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4A3" w:rsidRPr="00B80A49" w:rsidRDefault="00FD3240" w:rsidP="00FD3240">
      <w:pPr>
        <w:jc w:val="center"/>
        <w:rPr>
          <w:rFonts w:ascii="Book Antiqua" w:hAnsi="Book Antiqua" w:cs="Aparajita"/>
          <w:b/>
          <w:sz w:val="24"/>
          <w:szCs w:val="24"/>
        </w:rPr>
      </w:pPr>
      <w:r w:rsidRPr="00B80A49">
        <w:rPr>
          <w:rStyle w:val="apple-converted-space"/>
          <w:rFonts w:ascii="Book Antiqua" w:hAnsi="Book Antiqua" w:cs="Aparajita"/>
          <w:b/>
          <w:color w:val="000000"/>
          <w:sz w:val="24"/>
          <w:szCs w:val="24"/>
          <w:shd w:val="clear" w:color="auto" w:fill="FFFFFF"/>
        </w:rPr>
        <w:t>PROPUESTAS AL PROYECTO DE </w:t>
      </w:r>
      <w:r w:rsidRPr="00B80A49">
        <w:rPr>
          <w:rFonts w:ascii="Book Antiqua" w:hAnsi="Book Antiqua" w:cs="Aparajita"/>
          <w:b/>
          <w:color w:val="000000"/>
          <w:sz w:val="24"/>
          <w:szCs w:val="24"/>
          <w:shd w:val="clear" w:color="auto" w:fill="FFFFFF"/>
        </w:rPr>
        <w:t>OBSERVACIÓN GENERAL Nº 6 SOBRE EL DERECHO DE LAS PERSONAS CON DISCAPACIDAD A LA IGUALDAD Y LA NO DISCRIMINACIÓN PREPARADO POR EL COMITÉ DE LOS DERECHOS DE LAS PERSONAS CON DISCAPACIDAD DE LA ORGANIZACIÓN DE LAS NACIONES UNIDAS</w:t>
      </w:r>
    </w:p>
    <w:p w:rsidR="00FD3240" w:rsidRPr="00B80A49" w:rsidRDefault="00945F43" w:rsidP="00945F43">
      <w:pPr>
        <w:rPr>
          <w:rFonts w:ascii="Book Antiqua" w:hAnsi="Book Antiqua" w:cs="Aparajita"/>
          <w:b/>
          <w:sz w:val="12"/>
          <w:szCs w:val="24"/>
        </w:rPr>
      </w:pPr>
      <w:r w:rsidRPr="00B80A49">
        <w:rPr>
          <w:rFonts w:ascii="Book Antiqua" w:hAnsi="Book Antiqua" w:cs="Aparajita"/>
          <w:b/>
          <w:sz w:val="24"/>
          <w:szCs w:val="24"/>
        </w:rPr>
        <w:t xml:space="preserve">            </w:t>
      </w:r>
    </w:p>
    <w:p w:rsidR="00945F43" w:rsidRPr="00B80A49" w:rsidRDefault="00945F43" w:rsidP="00945F43">
      <w:pPr>
        <w:rPr>
          <w:rFonts w:ascii="Book Antiqua" w:hAnsi="Book Antiqua" w:cs="Aparajita"/>
          <w:b/>
          <w:sz w:val="24"/>
          <w:szCs w:val="24"/>
        </w:rPr>
      </w:pPr>
    </w:p>
    <w:p w:rsidR="00945F43" w:rsidRPr="00B80A49" w:rsidRDefault="00945F43" w:rsidP="00945F43">
      <w:pPr>
        <w:rPr>
          <w:rFonts w:ascii="Book Antiqua" w:hAnsi="Book Antiqua" w:cs="Aparajita"/>
          <w:b/>
          <w:sz w:val="24"/>
          <w:szCs w:val="24"/>
        </w:rPr>
      </w:pPr>
    </w:p>
    <w:p w:rsidR="00945F43" w:rsidRPr="00B80A49" w:rsidRDefault="00945F43" w:rsidP="00945F43">
      <w:pPr>
        <w:rPr>
          <w:rFonts w:ascii="Book Antiqua" w:hAnsi="Book Antiqua" w:cs="Aparajita"/>
          <w:b/>
          <w:sz w:val="24"/>
          <w:szCs w:val="24"/>
        </w:rPr>
      </w:pPr>
    </w:p>
    <w:p w:rsidR="00945F43" w:rsidRPr="00B80A49" w:rsidRDefault="00945F43" w:rsidP="00945F43">
      <w:pPr>
        <w:rPr>
          <w:rFonts w:ascii="Book Antiqua" w:hAnsi="Book Antiqua" w:cs="Aparajita"/>
          <w:b/>
          <w:sz w:val="24"/>
          <w:szCs w:val="24"/>
        </w:rPr>
      </w:pPr>
    </w:p>
    <w:p w:rsidR="00945F43" w:rsidRPr="00B80A49" w:rsidRDefault="00CB2219" w:rsidP="00945F43">
      <w:pPr>
        <w:rPr>
          <w:rFonts w:ascii="Book Antiqua" w:hAnsi="Book Antiqua" w:cs="Aparajita"/>
          <w:b/>
          <w:sz w:val="24"/>
          <w:szCs w:val="24"/>
        </w:rPr>
      </w:pPr>
      <w:r>
        <w:rPr>
          <w:rFonts w:ascii="Book Antiqua" w:hAnsi="Book Antiqua" w:cs="Arial"/>
          <w:noProof/>
          <w:sz w:val="20"/>
          <w:szCs w:val="24"/>
          <w:lang w:eastAsia="es-PE"/>
        </w:rPr>
        <mc:AlternateContent>
          <mc:Choice Requires="wps">
            <w:drawing>
              <wp:anchor distT="0" distB="0" distL="114300" distR="114300" simplePos="0" relativeHeight="251659264" behindDoc="0" locked="0" layoutInCell="1" allowOverlap="1">
                <wp:simplePos x="0" y="0"/>
                <wp:positionH relativeFrom="column">
                  <wp:posOffset>73660</wp:posOffset>
                </wp:positionH>
                <wp:positionV relativeFrom="paragraph">
                  <wp:posOffset>17780</wp:posOffset>
                </wp:positionV>
                <wp:extent cx="5624830" cy="0"/>
                <wp:effectExtent l="10795" t="5715" r="12700" b="133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4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8pt;margin-top:1.4pt;width:442.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I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M8jGcwroCoSm1taJAe1at51vS7Q0pXHVEtj8FvJwO5WchI3qWEizNQZDd80QxiCODH&#10;WR0b2wdImAI6RklON0n40SMKH6ezcT6fgHL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"/>
            </w:pict>
          </mc:Fallback>
        </mc:AlternateConten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5876"/>
      </w:tblGrid>
      <w:tr w:rsidR="009178A9" w:rsidRPr="00B6569F" w:rsidTr="00945F43">
        <w:tc>
          <w:tcPr>
            <w:tcW w:w="787" w:type="dxa"/>
          </w:tcPr>
          <w:p w:rsidR="009178A9" w:rsidRPr="00B80A49" w:rsidRDefault="00945F43" w:rsidP="00945F43">
            <w:pPr>
              <w:rPr>
                <w:rFonts w:ascii="Book Antiqua" w:hAnsi="Book Antiqua" w:cs="Aparajita"/>
                <w:b/>
                <w:color w:val="000000" w:themeColor="text1"/>
                <w:lang w:val="en-US"/>
              </w:rPr>
            </w:pPr>
            <w:r w:rsidRPr="00B80A49">
              <w:rPr>
                <w:rFonts w:ascii="Book Antiqua" w:hAnsi="Book Antiqua" w:cs="Aparajita"/>
                <w:b/>
                <w:color w:val="000000" w:themeColor="text1"/>
              </w:rPr>
              <w:t xml:space="preserve"> </w:t>
            </w:r>
            <w:r w:rsidR="009178A9" w:rsidRPr="00B80A49">
              <w:rPr>
                <w:rFonts w:ascii="Book Antiqua" w:hAnsi="Book Antiqua" w:cs="Aparajita"/>
                <w:b/>
                <w:color w:val="000000" w:themeColor="text1"/>
                <w:lang w:val="en-US"/>
              </w:rPr>
              <w:t>A</w:t>
            </w:r>
            <w:r w:rsidR="009178A9" w:rsidRPr="00B80A49">
              <w:rPr>
                <w:rFonts w:ascii="Book Antiqua" w:hAnsi="Book Antiqua" w:cs="Aparajita"/>
                <w:b/>
                <w:color w:val="000000" w:themeColor="text1"/>
                <w:lang w:val="en-US"/>
              </w:rPr>
              <w:sym w:font="Symbol" w:char="F03A"/>
            </w:r>
          </w:p>
        </w:tc>
        <w:tc>
          <w:tcPr>
            <w:tcW w:w="5876" w:type="dxa"/>
          </w:tcPr>
          <w:p w:rsidR="009178A9" w:rsidRPr="00B80A49" w:rsidRDefault="009178A9" w:rsidP="00945F43">
            <w:pPr>
              <w:rPr>
                <w:rFonts w:ascii="Book Antiqua" w:hAnsi="Book Antiqua" w:cs="Aparajita"/>
                <w:color w:val="000000" w:themeColor="text1"/>
              </w:rPr>
            </w:pPr>
            <w:r w:rsidRPr="00B80A49">
              <w:rPr>
                <w:rFonts w:ascii="Book Antiqua" w:hAnsi="Book Antiqua" w:cs="Aparajita"/>
                <w:color w:val="000000" w:themeColor="text1"/>
              </w:rPr>
              <w:t>Comité de los Derechos de las Personas con Discapacidad</w:t>
            </w:r>
          </w:p>
          <w:p w:rsidR="009178A9" w:rsidRPr="00B80A49" w:rsidRDefault="009178A9" w:rsidP="00945F43">
            <w:pPr>
              <w:rPr>
                <w:rFonts w:ascii="Book Antiqua" w:hAnsi="Book Antiqua" w:cs="Aparajita"/>
                <w:color w:val="000000" w:themeColor="text1"/>
                <w:lang w:val="en-US"/>
              </w:rPr>
            </w:pPr>
            <w:r w:rsidRPr="00B80A49">
              <w:rPr>
                <w:rFonts w:ascii="Book Antiqua" w:hAnsi="Book Antiqua" w:cs="Aparajita"/>
                <w:color w:val="000000" w:themeColor="text1"/>
                <w:shd w:val="clear" w:color="auto" w:fill="FFFFFF"/>
                <w:lang w:val="en-US"/>
              </w:rPr>
              <w:t>Human Rights Treaties Division (HRTD)</w:t>
            </w:r>
          </w:p>
          <w:p w:rsidR="009178A9" w:rsidRPr="00B80A49" w:rsidRDefault="009178A9" w:rsidP="00945F43">
            <w:pPr>
              <w:rPr>
                <w:rFonts w:ascii="Book Antiqua" w:hAnsi="Book Antiqua" w:cs="Aparajita"/>
                <w:color w:val="000000" w:themeColor="text1"/>
                <w:lang w:val="en-US"/>
              </w:rPr>
            </w:pPr>
            <w:r w:rsidRPr="00B80A49">
              <w:rPr>
                <w:rFonts w:ascii="Book Antiqua" w:hAnsi="Book Antiqua" w:cs="Aparajita"/>
                <w:color w:val="000000" w:themeColor="text1"/>
                <w:shd w:val="clear" w:color="auto" w:fill="FFFFFF"/>
                <w:lang w:val="en-US"/>
              </w:rPr>
              <w:t>Office of the United Nations High Commissioner for Human Rights (OHCHR)</w:t>
            </w:r>
          </w:p>
          <w:p w:rsidR="009178A9" w:rsidRPr="00B80A49" w:rsidRDefault="009178A9" w:rsidP="00945F43">
            <w:pPr>
              <w:rPr>
                <w:rFonts w:ascii="Book Antiqua" w:hAnsi="Book Antiqua" w:cs="Aparajita"/>
                <w:color w:val="000000" w:themeColor="text1"/>
                <w:lang w:val="en-US"/>
              </w:rPr>
            </w:pPr>
            <w:r w:rsidRPr="00B80A49">
              <w:rPr>
                <w:rFonts w:ascii="Book Antiqua" w:hAnsi="Book Antiqua" w:cs="Aparajita"/>
                <w:color w:val="000000" w:themeColor="text1"/>
                <w:shd w:val="clear" w:color="auto" w:fill="FFFFFF"/>
                <w:lang w:val="en-US"/>
              </w:rPr>
              <w:t>Palais Wilson - 52, rue des Pâquis</w:t>
            </w:r>
          </w:p>
          <w:p w:rsidR="009178A9" w:rsidRPr="00B80A49" w:rsidRDefault="009178A9" w:rsidP="00945F43">
            <w:pPr>
              <w:rPr>
                <w:rFonts w:ascii="Book Antiqua" w:hAnsi="Book Antiqua" w:cs="Aparajita"/>
                <w:color w:val="000000" w:themeColor="text1"/>
                <w:lang w:val="en-US"/>
              </w:rPr>
            </w:pPr>
            <w:r w:rsidRPr="00B80A49">
              <w:rPr>
                <w:rFonts w:ascii="Book Antiqua" w:hAnsi="Book Antiqua" w:cs="Aparajita"/>
                <w:color w:val="000000" w:themeColor="text1"/>
                <w:shd w:val="clear" w:color="auto" w:fill="FFFFFF"/>
                <w:lang w:val="en-US"/>
              </w:rPr>
              <w:t>CH-1201 Geneva (Switzerland)</w:t>
            </w:r>
          </w:p>
          <w:p w:rsidR="009178A9" w:rsidRPr="00B80A49" w:rsidRDefault="009178A9" w:rsidP="00945F43">
            <w:pPr>
              <w:rPr>
                <w:rFonts w:ascii="Book Antiqua" w:hAnsi="Book Antiqua" w:cs="Aparajita"/>
                <w:color w:val="000000" w:themeColor="text1"/>
                <w:lang w:val="en-US"/>
              </w:rPr>
            </w:pPr>
          </w:p>
        </w:tc>
      </w:tr>
      <w:tr w:rsidR="009178A9" w:rsidRPr="00B80A49" w:rsidTr="00945F43">
        <w:tc>
          <w:tcPr>
            <w:tcW w:w="787" w:type="dxa"/>
          </w:tcPr>
          <w:p w:rsidR="009178A9" w:rsidRPr="00B80A49" w:rsidRDefault="00945F43" w:rsidP="00945F43">
            <w:pPr>
              <w:rPr>
                <w:rFonts w:ascii="Book Antiqua" w:hAnsi="Book Antiqua" w:cs="Aparajita"/>
                <w:b/>
                <w:color w:val="000000" w:themeColor="text1"/>
                <w:lang w:val="en-US"/>
              </w:rPr>
            </w:pPr>
            <w:r w:rsidRPr="00B80A49">
              <w:rPr>
                <w:rFonts w:ascii="Book Antiqua" w:hAnsi="Book Antiqua" w:cs="Aparajita"/>
                <w:b/>
                <w:color w:val="000000" w:themeColor="text1"/>
                <w:lang w:val="en-US"/>
              </w:rPr>
              <w:t xml:space="preserve"> </w:t>
            </w:r>
            <w:r w:rsidR="009178A9" w:rsidRPr="00B80A49">
              <w:rPr>
                <w:rFonts w:ascii="Book Antiqua" w:hAnsi="Book Antiqua" w:cs="Aparajita"/>
                <w:b/>
                <w:color w:val="000000" w:themeColor="text1"/>
                <w:lang w:val="en-US"/>
              </w:rPr>
              <w:t>DE</w:t>
            </w:r>
            <w:r w:rsidR="009178A9" w:rsidRPr="00B80A49">
              <w:rPr>
                <w:rFonts w:ascii="Book Antiqua" w:hAnsi="Book Antiqua" w:cs="Aparajita"/>
                <w:b/>
                <w:color w:val="000000" w:themeColor="text1"/>
                <w:lang w:val="en-US"/>
              </w:rPr>
              <w:sym w:font="Symbol" w:char="F03A"/>
            </w:r>
          </w:p>
        </w:tc>
        <w:tc>
          <w:tcPr>
            <w:tcW w:w="5876" w:type="dxa"/>
          </w:tcPr>
          <w:p w:rsidR="00945F43" w:rsidRPr="00B80A49" w:rsidRDefault="009178A9" w:rsidP="00945F43">
            <w:pPr>
              <w:rPr>
                <w:rFonts w:ascii="Book Antiqua" w:hAnsi="Book Antiqua" w:cs="Aparajita"/>
                <w:color w:val="000000" w:themeColor="text1"/>
              </w:rPr>
            </w:pPr>
            <w:r w:rsidRPr="00B80A49">
              <w:rPr>
                <w:rFonts w:ascii="Book Antiqua" w:hAnsi="Book Antiqua" w:cs="Aparajita"/>
                <w:color w:val="000000" w:themeColor="text1"/>
              </w:rPr>
              <w:t>Elard Ricardo Bolaños Salazar</w:t>
            </w:r>
          </w:p>
          <w:p w:rsidR="00945F43" w:rsidRPr="00B80A49" w:rsidRDefault="00945F43" w:rsidP="00945F43">
            <w:pPr>
              <w:rPr>
                <w:rFonts w:ascii="Book Antiqua" w:hAnsi="Book Antiqua" w:cs="Aparajita"/>
                <w:color w:val="000000" w:themeColor="text1"/>
              </w:rPr>
            </w:pPr>
          </w:p>
        </w:tc>
      </w:tr>
      <w:tr w:rsidR="009178A9" w:rsidRPr="00B80A49" w:rsidTr="00945F43">
        <w:tc>
          <w:tcPr>
            <w:tcW w:w="787" w:type="dxa"/>
          </w:tcPr>
          <w:p w:rsidR="009178A9" w:rsidRPr="00B80A49" w:rsidRDefault="00CB2219" w:rsidP="00945F43">
            <w:pPr>
              <w:rPr>
                <w:rFonts w:ascii="Book Antiqua" w:hAnsi="Book Antiqua" w:cs="Aparajita"/>
                <w:b/>
                <w:color w:val="000000" w:themeColor="text1"/>
              </w:rPr>
            </w:pPr>
            <w:r>
              <w:rPr>
                <w:rFonts w:ascii="Book Antiqua" w:hAnsi="Book Antiqua" w:cs="Arial"/>
                <w:noProof/>
                <w:sz w:val="20"/>
                <w:szCs w:val="24"/>
                <w:lang w:eastAsia="es-PE"/>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310515</wp:posOffset>
                      </wp:positionV>
                      <wp:extent cx="5624830" cy="0"/>
                      <wp:effectExtent l="10795" t="6350" r="12700"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4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pt;margin-top:24.45pt;width:442.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zM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"/>
                  </w:pict>
                </mc:Fallback>
              </mc:AlternateContent>
            </w:r>
            <w:r w:rsidR="00945F43" w:rsidRPr="00B80A49">
              <w:rPr>
                <w:rFonts w:ascii="Book Antiqua" w:hAnsi="Book Antiqua" w:cs="Aparajita"/>
                <w:b/>
                <w:color w:val="000000" w:themeColor="text1"/>
              </w:rPr>
              <w:t>FECHA:</w:t>
            </w:r>
          </w:p>
        </w:tc>
        <w:tc>
          <w:tcPr>
            <w:tcW w:w="5876" w:type="dxa"/>
          </w:tcPr>
          <w:p w:rsidR="009178A9" w:rsidRPr="00B80A49" w:rsidRDefault="00FC00F9" w:rsidP="00945F43">
            <w:pPr>
              <w:rPr>
                <w:rFonts w:ascii="Book Antiqua" w:hAnsi="Book Antiqua" w:cs="Aparajita"/>
                <w:color w:val="000000" w:themeColor="text1"/>
              </w:rPr>
            </w:pPr>
            <w:r>
              <w:rPr>
                <w:rFonts w:ascii="Book Antiqua" w:hAnsi="Book Antiqua" w:cs="Aparajita"/>
                <w:color w:val="000000" w:themeColor="text1"/>
              </w:rPr>
              <w:t>29</w:t>
            </w:r>
            <w:r w:rsidR="00945F43" w:rsidRPr="00B80A49">
              <w:rPr>
                <w:rFonts w:ascii="Book Antiqua" w:hAnsi="Book Antiqua" w:cs="Aparajita"/>
                <w:color w:val="000000" w:themeColor="text1"/>
              </w:rPr>
              <w:t xml:space="preserve"> de </w:t>
            </w:r>
            <w:r>
              <w:rPr>
                <w:rFonts w:ascii="Book Antiqua" w:hAnsi="Book Antiqua" w:cs="Aparajita"/>
                <w:color w:val="000000" w:themeColor="text1"/>
              </w:rPr>
              <w:t xml:space="preserve">junio </w:t>
            </w:r>
            <w:r w:rsidR="00945F43" w:rsidRPr="00B80A49">
              <w:rPr>
                <w:rFonts w:ascii="Book Antiqua" w:hAnsi="Book Antiqua" w:cs="Aparajita"/>
                <w:color w:val="000000" w:themeColor="text1"/>
              </w:rPr>
              <w:t>de 2017</w:t>
            </w:r>
          </w:p>
          <w:p w:rsidR="00945F43" w:rsidRPr="00B80A49" w:rsidRDefault="00945F43" w:rsidP="00945F43">
            <w:pPr>
              <w:rPr>
                <w:rFonts w:ascii="Book Antiqua" w:hAnsi="Book Antiqua" w:cs="Aparajita"/>
                <w:color w:val="000000" w:themeColor="text1"/>
              </w:rPr>
            </w:pPr>
          </w:p>
        </w:tc>
      </w:tr>
    </w:tbl>
    <w:p w:rsidR="009178A9" w:rsidRPr="00B80A49" w:rsidRDefault="009178A9" w:rsidP="009178A9">
      <w:pPr>
        <w:rPr>
          <w:rFonts w:ascii="Book Antiqua" w:hAnsi="Book Antiqua" w:cs="Aparajita"/>
          <w:color w:val="000000" w:themeColor="text1"/>
        </w:rPr>
      </w:pPr>
    </w:p>
    <w:p w:rsidR="009178A9" w:rsidRPr="00B80A49" w:rsidRDefault="009178A9" w:rsidP="00945F43">
      <w:pPr>
        <w:spacing w:line="480" w:lineRule="auto"/>
        <w:jc w:val="center"/>
        <w:rPr>
          <w:rFonts w:ascii="Book Antiqua" w:hAnsi="Book Antiqua" w:cs="Arial"/>
          <w:sz w:val="20"/>
          <w:szCs w:val="24"/>
        </w:rPr>
      </w:pPr>
    </w:p>
    <w:p w:rsidR="00CB2219" w:rsidRDefault="00CB2219" w:rsidP="00B80A49">
      <w:pPr>
        <w:spacing w:line="480" w:lineRule="auto"/>
        <w:rPr>
          <w:rFonts w:ascii="Book Antiqua" w:hAnsi="Book Antiqua" w:cs="Arial"/>
          <w:sz w:val="20"/>
          <w:szCs w:val="24"/>
        </w:rPr>
      </w:pPr>
    </w:p>
    <w:p w:rsidR="00B80A49" w:rsidRPr="00B80A49" w:rsidRDefault="00B80A49" w:rsidP="00B80A49">
      <w:pPr>
        <w:spacing w:line="480" w:lineRule="auto"/>
        <w:rPr>
          <w:rFonts w:ascii="Book Antiqua" w:hAnsi="Book Antiqua" w:cs="Arial"/>
          <w:sz w:val="20"/>
          <w:szCs w:val="24"/>
        </w:rPr>
      </w:pPr>
    </w:p>
    <w:p w:rsidR="00FC00F9" w:rsidRPr="00B80A49" w:rsidRDefault="00CB2219" w:rsidP="00CB2219">
      <w:pPr>
        <w:spacing w:line="480" w:lineRule="auto"/>
        <w:jc w:val="center"/>
        <w:rPr>
          <w:rFonts w:ascii="Book Antiqua" w:hAnsi="Book Antiqua" w:cs="Arial"/>
          <w:sz w:val="20"/>
          <w:szCs w:val="24"/>
        </w:rPr>
      </w:pPr>
      <w:r>
        <w:rPr>
          <w:rFonts w:ascii="Book Antiqua" w:hAnsi="Book Antiqua" w:cs="Arial"/>
          <w:sz w:val="20"/>
          <w:szCs w:val="24"/>
        </w:rPr>
        <w:t xml:space="preserve">      </w:t>
      </w:r>
      <w:r>
        <w:rPr>
          <w:rFonts w:ascii="Book Antiqua" w:hAnsi="Book Antiqua" w:cs="Arial"/>
          <w:noProof/>
          <w:sz w:val="20"/>
          <w:szCs w:val="24"/>
          <w:lang w:eastAsia="es-PE"/>
        </w:rPr>
        <w:drawing>
          <wp:inline distT="0" distB="0" distL="0" distR="0" wp14:anchorId="706DA844" wp14:editId="39DD2008">
            <wp:extent cx="1202267" cy="66792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2267" cy="667926"/>
                    </a:xfrm>
                    <a:prstGeom prst="rect">
                      <a:avLst/>
                    </a:prstGeom>
                    <a:noFill/>
                    <a:ln>
                      <a:noFill/>
                    </a:ln>
                  </pic:spPr>
                </pic:pic>
              </a:graphicData>
            </a:graphic>
          </wp:inline>
        </w:drawing>
      </w:r>
    </w:p>
    <w:p w:rsidR="009178A9" w:rsidRPr="00B80A49" w:rsidRDefault="009178A9" w:rsidP="009178A9">
      <w:pPr>
        <w:jc w:val="center"/>
        <w:rPr>
          <w:rFonts w:ascii="Book Antiqua" w:hAnsi="Book Antiqua" w:cs="Aparajita"/>
          <w:b/>
          <w:smallCaps/>
        </w:rPr>
      </w:pPr>
      <w:r w:rsidRPr="00B80A49">
        <w:rPr>
          <w:rFonts w:ascii="Book Antiqua" w:hAnsi="Book Antiqua" w:cs="Aparajita"/>
          <w:b/>
          <w:smallCaps/>
        </w:rPr>
        <w:t>Elard Ricardo Bolaños Salazar</w:t>
      </w:r>
    </w:p>
    <w:p w:rsidR="009178A9" w:rsidRPr="00FC00F9" w:rsidRDefault="00FC00F9" w:rsidP="00FC00F9">
      <w:pPr>
        <w:jc w:val="center"/>
        <w:rPr>
          <w:rFonts w:ascii="Book Antiqua" w:hAnsi="Book Antiqua" w:cs="Aparajita"/>
          <w:sz w:val="20"/>
        </w:rPr>
      </w:pPr>
      <w:r w:rsidRPr="00FC00F9">
        <w:rPr>
          <w:rFonts w:ascii="Book Antiqua" w:hAnsi="Book Antiqua" w:cs="Aparajita"/>
          <w:sz w:val="20"/>
        </w:rPr>
        <w:t>Egresado</w:t>
      </w:r>
      <w:r w:rsidR="009178A9" w:rsidRPr="00FC00F9">
        <w:rPr>
          <w:rFonts w:ascii="Book Antiqua" w:hAnsi="Book Antiqua" w:cs="Aparajita"/>
          <w:sz w:val="20"/>
        </w:rPr>
        <w:t xml:space="preserve"> de la Facultad de Derecho de la Universidad de San Martín de Porres (Lima, Perú)</w:t>
      </w:r>
      <w:r w:rsidR="009178A9" w:rsidRPr="00FC00F9">
        <w:rPr>
          <w:rStyle w:val="Refdenotaalpie"/>
          <w:rFonts w:ascii="Book Antiqua" w:hAnsi="Book Antiqua" w:cs="Aparajita"/>
          <w:sz w:val="20"/>
        </w:rPr>
        <w:footnoteReference w:customMarkFollows="1" w:id="1"/>
        <w:t>*</w:t>
      </w:r>
    </w:p>
    <w:p w:rsidR="009178A9" w:rsidRPr="00FC00F9" w:rsidRDefault="009178A9" w:rsidP="009178A9">
      <w:pPr>
        <w:jc w:val="center"/>
        <w:rPr>
          <w:rFonts w:ascii="Book Antiqua" w:hAnsi="Book Antiqua" w:cs="Aparajita"/>
          <w:sz w:val="20"/>
        </w:rPr>
      </w:pPr>
      <w:r w:rsidRPr="00FC00F9">
        <w:rPr>
          <w:rFonts w:ascii="Book Antiqua" w:hAnsi="Book Antiqua" w:cs="Aparajita"/>
          <w:sz w:val="20"/>
        </w:rPr>
        <w:t xml:space="preserve">Correo electrónico: </w:t>
      </w:r>
      <w:hyperlink r:id="rId10" w:history="1">
        <w:r w:rsidR="0053416B" w:rsidRPr="00FC00F9">
          <w:rPr>
            <w:rStyle w:val="Hipervnculo"/>
            <w:rFonts w:ascii="Book Antiqua" w:hAnsi="Book Antiqua" w:cs="Aparajita"/>
            <w:sz w:val="20"/>
          </w:rPr>
          <w:t>ricardo.92b@hotmail.com</w:t>
        </w:r>
      </w:hyperlink>
    </w:p>
    <w:p w:rsidR="009178A9" w:rsidRDefault="009178A9" w:rsidP="009178A9">
      <w:pPr>
        <w:spacing w:line="480" w:lineRule="auto"/>
        <w:jc w:val="center"/>
        <w:rPr>
          <w:rFonts w:ascii="Arial" w:hAnsi="Arial" w:cs="Arial"/>
          <w:sz w:val="20"/>
          <w:szCs w:val="24"/>
        </w:rPr>
      </w:pPr>
    </w:p>
    <w:p w:rsidR="009178A9" w:rsidRDefault="009178A9" w:rsidP="009F2745">
      <w:pPr>
        <w:spacing w:line="480" w:lineRule="auto"/>
        <w:jc w:val="center"/>
        <w:rPr>
          <w:rFonts w:ascii="Arial" w:hAnsi="Arial" w:cs="Arial"/>
          <w:sz w:val="20"/>
          <w:szCs w:val="24"/>
        </w:rPr>
      </w:pPr>
    </w:p>
    <w:p w:rsidR="002856D2" w:rsidRDefault="002856D2" w:rsidP="009F2745">
      <w:pPr>
        <w:spacing w:line="480" w:lineRule="auto"/>
        <w:jc w:val="center"/>
        <w:rPr>
          <w:rFonts w:ascii="Arial" w:hAnsi="Arial" w:cs="Arial"/>
          <w:sz w:val="20"/>
          <w:szCs w:val="24"/>
        </w:rPr>
        <w:sectPr w:rsidR="002856D2" w:rsidSect="005B180C">
          <w:pgSz w:w="12240" w:h="15840"/>
          <w:pgMar w:top="1417" w:right="1701" w:bottom="1417" w:left="1701" w:header="708" w:footer="708" w:gutter="0"/>
          <w:cols w:space="708"/>
          <w:docGrid w:linePitch="360"/>
        </w:sectPr>
      </w:pPr>
    </w:p>
    <w:p w:rsidR="002856D2" w:rsidRDefault="00CB2219" w:rsidP="00CB2219">
      <w:pPr>
        <w:spacing w:line="276" w:lineRule="auto"/>
        <w:jc w:val="center"/>
        <w:rPr>
          <w:rFonts w:ascii="Book Antiqua" w:hAnsi="Book Antiqua" w:cs="Arial"/>
          <w:b/>
          <w:sz w:val="24"/>
          <w:szCs w:val="24"/>
        </w:rPr>
      </w:pPr>
      <w:r w:rsidRPr="00CB2219">
        <w:rPr>
          <w:rFonts w:ascii="Book Antiqua" w:hAnsi="Book Antiqua" w:cs="Arial"/>
          <w:b/>
          <w:sz w:val="24"/>
          <w:szCs w:val="24"/>
        </w:rPr>
        <w:lastRenderedPageBreak/>
        <w:t>Í</w:t>
      </w:r>
      <w:r w:rsidR="002856D2" w:rsidRPr="00CB2219">
        <w:rPr>
          <w:rFonts w:ascii="Book Antiqua" w:hAnsi="Book Antiqua" w:cs="Arial"/>
          <w:b/>
          <w:sz w:val="24"/>
          <w:szCs w:val="24"/>
        </w:rPr>
        <w:t>NDICE</w:t>
      </w:r>
    </w:p>
    <w:p w:rsidR="00CB2219" w:rsidRPr="00CB2219" w:rsidRDefault="00CB2219" w:rsidP="00CB2219">
      <w:pPr>
        <w:spacing w:line="276" w:lineRule="auto"/>
        <w:jc w:val="center"/>
        <w:rPr>
          <w:rFonts w:ascii="Book Antiqua" w:hAnsi="Book Antiqua" w:cs="Arial"/>
          <w:b/>
          <w:sz w:val="24"/>
          <w:szCs w:val="24"/>
        </w:rPr>
      </w:pPr>
    </w:p>
    <w:p w:rsidR="002856D2" w:rsidRDefault="002856D2" w:rsidP="009F2745">
      <w:pPr>
        <w:spacing w:line="480" w:lineRule="auto"/>
        <w:jc w:val="center"/>
        <w:rPr>
          <w:rFonts w:ascii="Arial" w:hAnsi="Arial" w:cs="Arial"/>
          <w:b/>
          <w:sz w:val="20"/>
          <w:szCs w:val="24"/>
        </w:rPr>
      </w:pPr>
    </w:p>
    <w:p w:rsidR="00CB2219" w:rsidRPr="00CB2219" w:rsidRDefault="00CB2219" w:rsidP="00CB2219">
      <w:pPr>
        <w:pStyle w:val="TDC1"/>
        <w:rPr>
          <w:rFonts w:eastAsiaTheme="minorEastAsia"/>
          <w:noProof/>
          <w:lang w:eastAsia="es-PE"/>
        </w:rPr>
      </w:pPr>
      <w:r w:rsidRPr="00CB2219">
        <w:rPr>
          <w:rFonts w:cs="Arial"/>
        </w:rPr>
        <w:fldChar w:fldCharType="begin"/>
      </w:r>
      <w:r w:rsidRPr="00CB2219">
        <w:rPr>
          <w:rFonts w:cs="Arial"/>
        </w:rPr>
        <w:instrText xml:space="preserve"> TOC \o "1-5" \h \z \u </w:instrText>
      </w:r>
      <w:r w:rsidRPr="00CB2219">
        <w:rPr>
          <w:rFonts w:cs="Arial"/>
        </w:rPr>
        <w:fldChar w:fldCharType="separate"/>
      </w:r>
      <w:hyperlink w:anchor="_Toc486598180" w:history="1">
        <w:r w:rsidRPr="00CB2219">
          <w:rPr>
            <w:rStyle w:val="Hipervnculo"/>
            <w:rFonts w:ascii="Book Antiqua" w:hAnsi="Book Antiqua" w:cs="Aparajita"/>
            <w:b w:val="0"/>
            <w:i w:val="0"/>
            <w:caps/>
            <w:noProof/>
          </w:rPr>
          <w:t>Introducción</w:t>
        </w:r>
        <w:r w:rsidRPr="00CB2219">
          <w:rPr>
            <w:noProof/>
            <w:webHidden/>
          </w:rPr>
          <w:tab/>
        </w:r>
        <w:r w:rsidRPr="00CB2219">
          <w:rPr>
            <w:noProof/>
            <w:webHidden/>
          </w:rPr>
          <w:fldChar w:fldCharType="begin"/>
        </w:r>
        <w:r w:rsidRPr="00CB2219">
          <w:rPr>
            <w:noProof/>
            <w:webHidden/>
          </w:rPr>
          <w:instrText xml:space="preserve"> PAGEREF _Toc486598180 \h </w:instrText>
        </w:r>
        <w:r w:rsidRPr="00CB2219">
          <w:rPr>
            <w:noProof/>
            <w:webHidden/>
          </w:rPr>
        </w:r>
        <w:r w:rsidRPr="00CB2219">
          <w:rPr>
            <w:noProof/>
            <w:webHidden/>
          </w:rPr>
          <w:fldChar w:fldCharType="separate"/>
        </w:r>
        <w:r>
          <w:rPr>
            <w:noProof/>
            <w:webHidden/>
          </w:rPr>
          <w:t>3</w:t>
        </w:r>
        <w:r w:rsidRPr="00CB2219">
          <w:rPr>
            <w:noProof/>
            <w:webHidden/>
          </w:rPr>
          <w:fldChar w:fldCharType="end"/>
        </w:r>
      </w:hyperlink>
    </w:p>
    <w:p w:rsidR="00CB2219" w:rsidRPr="00CB2219" w:rsidRDefault="00CB2219" w:rsidP="00CB2219">
      <w:pPr>
        <w:pStyle w:val="TDC1"/>
        <w:rPr>
          <w:rFonts w:eastAsiaTheme="minorEastAsia"/>
          <w:noProof/>
          <w:lang w:eastAsia="es-PE"/>
        </w:rPr>
      </w:pPr>
      <w:hyperlink w:anchor="_Toc486598181" w:history="1">
        <w:r w:rsidRPr="00CB2219">
          <w:rPr>
            <w:rStyle w:val="Hipervnculo"/>
            <w:rFonts w:ascii="Book Antiqua" w:hAnsi="Book Antiqua"/>
            <w:b w:val="0"/>
            <w:i w:val="0"/>
            <w:noProof/>
          </w:rPr>
          <w:t>I.</w:t>
        </w:r>
        <w:r w:rsidRPr="00CB2219">
          <w:rPr>
            <w:rFonts w:eastAsiaTheme="minorEastAsia"/>
            <w:noProof/>
            <w:lang w:eastAsia="es-PE"/>
          </w:rPr>
          <w:tab/>
        </w:r>
        <w:r w:rsidRPr="00CB2219">
          <w:rPr>
            <w:rStyle w:val="Hipervnculo"/>
            <w:rFonts w:ascii="Book Antiqua" w:hAnsi="Book Antiqua"/>
            <w:b w:val="0"/>
            <w:i w:val="0"/>
            <w:noProof/>
          </w:rPr>
          <w:t>El PRINCIPIO-DERECHO DE IGUALDAD Y NO DISCRIMINACIÓN DE LAS PERSONAS CON DISCAPACIDAD</w:t>
        </w:r>
        <w:r w:rsidRPr="00CB2219">
          <w:rPr>
            <w:noProof/>
            <w:webHidden/>
          </w:rPr>
          <w:tab/>
        </w:r>
        <w:r w:rsidRPr="00CB2219">
          <w:rPr>
            <w:noProof/>
            <w:webHidden/>
          </w:rPr>
          <w:fldChar w:fldCharType="begin"/>
        </w:r>
        <w:r w:rsidRPr="00CB2219">
          <w:rPr>
            <w:noProof/>
            <w:webHidden/>
          </w:rPr>
          <w:instrText xml:space="preserve"> PAGEREF _Toc486598181 \h </w:instrText>
        </w:r>
        <w:r w:rsidRPr="00CB2219">
          <w:rPr>
            <w:noProof/>
            <w:webHidden/>
          </w:rPr>
        </w:r>
        <w:r w:rsidRPr="00CB2219">
          <w:rPr>
            <w:noProof/>
            <w:webHidden/>
          </w:rPr>
          <w:fldChar w:fldCharType="separate"/>
        </w:r>
        <w:r>
          <w:rPr>
            <w:noProof/>
            <w:webHidden/>
          </w:rPr>
          <w:t>3</w:t>
        </w:r>
        <w:r w:rsidRPr="00CB2219">
          <w:rPr>
            <w:noProof/>
            <w:webHidden/>
          </w:rPr>
          <w:fldChar w:fldCharType="end"/>
        </w:r>
      </w:hyperlink>
    </w:p>
    <w:p w:rsidR="00CB2219" w:rsidRPr="00CB2219" w:rsidRDefault="00CB2219" w:rsidP="00CB2219">
      <w:pPr>
        <w:pStyle w:val="TDC1"/>
        <w:rPr>
          <w:rFonts w:eastAsiaTheme="minorEastAsia"/>
          <w:noProof/>
          <w:lang w:eastAsia="es-PE"/>
        </w:rPr>
      </w:pPr>
      <w:hyperlink w:anchor="_Toc486598182" w:history="1">
        <w:r w:rsidRPr="00CB2219">
          <w:rPr>
            <w:rStyle w:val="Hipervnculo"/>
            <w:rFonts w:ascii="Book Antiqua" w:hAnsi="Book Antiqua" w:cs="Aparajita"/>
            <w:b w:val="0"/>
            <w:i w:val="0"/>
            <w:noProof/>
          </w:rPr>
          <w:t>II.</w:t>
        </w:r>
        <w:r w:rsidRPr="00CB2219">
          <w:rPr>
            <w:rFonts w:eastAsiaTheme="minorEastAsia"/>
            <w:noProof/>
            <w:lang w:eastAsia="es-PE"/>
          </w:rPr>
          <w:tab/>
        </w:r>
        <w:r w:rsidRPr="00CB2219">
          <w:rPr>
            <w:rStyle w:val="Hipervnculo"/>
            <w:rFonts w:ascii="Book Antiqua" w:hAnsi="Book Antiqua" w:cs="Aparajita"/>
            <w:b w:val="0"/>
            <w:i w:val="0"/>
            <w:noProof/>
          </w:rPr>
          <w:t>LA ACCESIBILIDAD UNIVERSAL Y EL DISEÑO UNIVERSAL COMO OBLIGACIONES PRIMARIAS A LA DE ADOPTAR AJUSTES RAZONABLES</w:t>
        </w:r>
        <w:r w:rsidRPr="00CB2219">
          <w:rPr>
            <w:noProof/>
            <w:webHidden/>
          </w:rPr>
          <w:tab/>
        </w:r>
        <w:r w:rsidRPr="00CB2219">
          <w:rPr>
            <w:noProof/>
            <w:webHidden/>
          </w:rPr>
          <w:fldChar w:fldCharType="begin"/>
        </w:r>
        <w:r w:rsidRPr="00CB2219">
          <w:rPr>
            <w:noProof/>
            <w:webHidden/>
          </w:rPr>
          <w:instrText xml:space="preserve"> PAGEREF _Toc486598182 \h </w:instrText>
        </w:r>
        <w:r w:rsidRPr="00CB2219">
          <w:rPr>
            <w:noProof/>
            <w:webHidden/>
          </w:rPr>
        </w:r>
        <w:r w:rsidRPr="00CB2219">
          <w:rPr>
            <w:noProof/>
            <w:webHidden/>
          </w:rPr>
          <w:fldChar w:fldCharType="separate"/>
        </w:r>
        <w:r>
          <w:rPr>
            <w:noProof/>
            <w:webHidden/>
          </w:rPr>
          <w:t>5</w:t>
        </w:r>
        <w:r w:rsidRPr="00CB2219">
          <w:rPr>
            <w:noProof/>
            <w:webHidden/>
          </w:rPr>
          <w:fldChar w:fldCharType="end"/>
        </w:r>
      </w:hyperlink>
    </w:p>
    <w:p w:rsidR="00CB2219" w:rsidRPr="00CB2219" w:rsidRDefault="00CB2219" w:rsidP="00CB2219">
      <w:pPr>
        <w:pStyle w:val="TDC1"/>
        <w:rPr>
          <w:rFonts w:eastAsiaTheme="minorEastAsia"/>
          <w:noProof/>
          <w:lang w:eastAsia="es-PE"/>
        </w:rPr>
      </w:pPr>
      <w:hyperlink w:anchor="_Toc486598183" w:history="1">
        <w:r w:rsidRPr="00CB2219">
          <w:rPr>
            <w:rStyle w:val="Hipervnculo"/>
            <w:rFonts w:ascii="Book Antiqua" w:hAnsi="Book Antiqua" w:cs="Humanist777BT-RomanB"/>
            <w:b w:val="0"/>
            <w:i w:val="0"/>
            <w:noProof/>
          </w:rPr>
          <w:t>III.</w:t>
        </w:r>
        <w:r w:rsidRPr="00CB2219">
          <w:rPr>
            <w:rFonts w:eastAsiaTheme="minorEastAsia"/>
            <w:noProof/>
            <w:lang w:eastAsia="es-PE"/>
          </w:rPr>
          <w:tab/>
        </w:r>
        <w:r w:rsidRPr="00CB2219">
          <w:rPr>
            <w:rStyle w:val="Hipervnculo"/>
            <w:rFonts w:ascii="Book Antiqua" w:hAnsi="Book Antiqua" w:cs="Humanist777BT-RomanB"/>
            <w:b w:val="0"/>
            <w:i w:val="0"/>
            <w:noProof/>
          </w:rPr>
          <w:t>LOS AJUSTES RAZONABLES COMO UNA FORMA COMPLEMENTARIA PARA CONSEGUIR LA IGUALDAD DE LAS PERSONAS CON DISCAPACIDAD_</w:t>
        </w:r>
        <w:r w:rsidRPr="00CB2219">
          <w:rPr>
            <w:noProof/>
            <w:webHidden/>
          </w:rPr>
          <w:tab/>
        </w:r>
        <w:r w:rsidRPr="00CB2219">
          <w:rPr>
            <w:noProof/>
            <w:webHidden/>
          </w:rPr>
          <w:fldChar w:fldCharType="begin"/>
        </w:r>
        <w:r w:rsidRPr="00CB2219">
          <w:rPr>
            <w:noProof/>
            <w:webHidden/>
          </w:rPr>
          <w:instrText xml:space="preserve"> PAGEREF _Toc486598183 \h </w:instrText>
        </w:r>
        <w:r w:rsidRPr="00CB2219">
          <w:rPr>
            <w:noProof/>
            <w:webHidden/>
          </w:rPr>
        </w:r>
        <w:r w:rsidRPr="00CB2219">
          <w:rPr>
            <w:noProof/>
            <w:webHidden/>
          </w:rPr>
          <w:fldChar w:fldCharType="separate"/>
        </w:r>
        <w:r>
          <w:rPr>
            <w:noProof/>
            <w:webHidden/>
          </w:rPr>
          <w:t>6</w:t>
        </w:r>
        <w:r w:rsidRPr="00CB2219">
          <w:rPr>
            <w:noProof/>
            <w:webHidden/>
          </w:rPr>
          <w:fldChar w:fldCharType="end"/>
        </w:r>
      </w:hyperlink>
      <w:bookmarkStart w:id="0" w:name="_GoBack"/>
      <w:bookmarkEnd w:id="0"/>
    </w:p>
    <w:p w:rsidR="00CB2219" w:rsidRPr="00CB2219" w:rsidRDefault="00CB2219" w:rsidP="00CB2219">
      <w:pPr>
        <w:pStyle w:val="TDC1"/>
        <w:rPr>
          <w:rFonts w:eastAsiaTheme="minorEastAsia"/>
          <w:noProof/>
          <w:lang w:eastAsia="es-PE"/>
        </w:rPr>
      </w:pPr>
      <w:hyperlink w:anchor="_Toc486598184" w:history="1">
        <w:r w:rsidRPr="00CB2219">
          <w:rPr>
            <w:rStyle w:val="Hipervnculo"/>
            <w:rFonts w:ascii="Book Antiqua" w:hAnsi="Book Antiqua" w:cs="Humanist777BT-RomanB"/>
            <w:b w:val="0"/>
            <w:i w:val="0"/>
            <w:noProof/>
          </w:rPr>
          <w:t>IV.</w:t>
        </w:r>
        <w:r w:rsidRPr="00CB2219">
          <w:rPr>
            <w:rFonts w:eastAsiaTheme="minorEastAsia"/>
            <w:noProof/>
            <w:lang w:eastAsia="es-PE"/>
          </w:rPr>
          <w:tab/>
        </w:r>
        <w:r w:rsidRPr="00CB2219">
          <w:rPr>
            <w:rStyle w:val="Hipervnculo"/>
            <w:rFonts w:ascii="Book Antiqua" w:hAnsi="Book Antiqua" w:cs="Humanist777BT-RomanB"/>
            <w:b w:val="0"/>
            <w:i w:val="0"/>
            <w:noProof/>
          </w:rPr>
          <w:t>EL CARÁCTER SUBSIDIARIO DE LOS AJUSTES</w:t>
        </w:r>
        <w:r w:rsidRPr="00CB2219">
          <w:rPr>
            <w:noProof/>
            <w:webHidden/>
          </w:rPr>
          <w:tab/>
        </w:r>
        <w:r w:rsidRPr="00CB2219">
          <w:rPr>
            <w:noProof/>
            <w:webHidden/>
          </w:rPr>
          <w:fldChar w:fldCharType="begin"/>
        </w:r>
        <w:r w:rsidRPr="00CB2219">
          <w:rPr>
            <w:noProof/>
            <w:webHidden/>
          </w:rPr>
          <w:instrText xml:space="preserve"> PAGEREF _Toc486598184 \h </w:instrText>
        </w:r>
        <w:r w:rsidRPr="00CB2219">
          <w:rPr>
            <w:noProof/>
            <w:webHidden/>
          </w:rPr>
        </w:r>
        <w:r w:rsidRPr="00CB2219">
          <w:rPr>
            <w:noProof/>
            <w:webHidden/>
          </w:rPr>
          <w:fldChar w:fldCharType="separate"/>
        </w:r>
        <w:r>
          <w:rPr>
            <w:noProof/>
            <w:webHidden/>
          </w:rPr>
          <w:t>8</w:t>
        </w:r>
        <w:r w:rsidRPr="00CB2219">
          <w:rPr>
            <w:noProof/>
            <w:webHidden/>
          </w:rPr>
          <w:fldChar w:fldCharType="end"/>
        </w:r>
      </w:hyperlink>
    </w:p>
    <w:p w:rsidR="00CB2219" w:rsidRPr="00CB2219" w:rsidRDefault="00CB2219" w:rsidP="00CB2219">
      <w:pPr>
        <w:pStyle w:val="TDC1"/>
        <w:rPr>
          <w:rFonts w:eastAsiaTheme="minorEastAsia"/>
          <w:noProof/>
          <w:lang w:eastAsia="es-PE"/>
        </w:rPr>
      </w:pPr>
      <w:hyperlink w:anchor="_Toc486598185" w:history="1">
        <w:r w:rsidRPr="00CB2219">
          <w:rPr>
            <w:rStyle w:val="Hipervnculo"/>
            <w:rFonts w:ascii="Book Antiqua" w:hAnsi="Book Antiqua" w:cs="Humanist777BT-RomanB"/>
            <w:b w:val="0"/>
            <w:i w:val="0"/>
            <w:noProof/>
          </w:rPr>
          <w:t>V.</w:t>
        </w:r>
        <w:r w:rsidRPr="00CB2219">
          <w:rPr>
            <w:rFonts w:eastAsiaTheme="minorEastAsia"/>
            <w:noProof/>
            <w:lang w:eastAsia="es-PE"/>
          </w:rPr>
          <w:tab/>
        </w:r>
        <w:r w:rsidRPr="00CB2219">
          <w:rPr>
            <w:rStyle w:val="Hipervnculo"/>
            <w:rFonts w:ascii="Book Antiqua" w:hAnsi="Book Antiqua" w:cs="Humanist777BT-RomanB"/>
            <w:b w:val="0"/>
            <w:i w:val="0"/>
            <w:noProof/>
          </w:rPr>
          <w:t>EL CARÁCTER RAZONABLE DE LOS AJUSTES</w:t>
        </w:r>
        <w:r w:rsidRPr="00CB2219">
          <w:rPr>
            <w:noProof/>
            <w:webHidden/>
          </w:rPr>
          <w:tab/>
        </w:r>
        <w:r w:rsidRPr="00CB2219">
          <w:rPr>
            <w:noProof/>
            <w:webHidden/>
          </w:rPr>
          <w:fldChar w:fldCharType="begin"/>
        </w:r>
        <w:r w:rsidRPr="00CB2219">
          <w:rPr>
            <w:noProof/>
            <w:webHidden/>
          </w:rPr>
          <w:instrText xml:space="preserve"> PAGEREF _Toc486598185 \h </w:instrText>
        </w:r>
        <w:r w:rsidRPr="00CB2219">
          <w:rPr>
            <w:noProof/>
            <w:webHidden/>
          </w:rPr>
        </w:r>
        <w:r w:rsidRPr="00CB2219">
          <w:rPr>
            <w:noProof/>
            <w:webHidden/>
          </w:rPr>
          <w:fldChar w:fldCharType="separate"/>
        </w:r>
        <w:r>
          <w:rPr>
            <w:noProof/>
            <w:webHidden/>
          </w:rPr>
          <w:t>11</w:t>
        </w:r>
        <w:r w:rsidRPr="00CB2219">
          <w:rPr>
            <w:noProof/>
            <w:webHidden/>
          </w:rPr>
          <w:fldChar w:fldCharType="end"/>
        </w:r>
      </w:hyperlink>
    </w:p>
    <w:p w:rsidR="00CB2219" w:rsidRPr="00CB2219" w:rsidRDefault="00CB2219" w:rsidP="00CB2219">
      <w:pPr>
        <w:pStyle w:val="TDC1"/>
        <w:rPr>
          <w:rFonts w:eastAsiaTheme="minorEastAsia"/>
          <w:noProof/>
          <w:lang w:eastAsia="es-PE"/>
        </w:rPr>
      </w:pPr>
      <w:hyperlink w:anchor="_Toc486598186" w:history="1">
        <w:r w:rsidRPr="00CB2219">
          <w:rPr>
            <w:rStyle w:val="Hipervnculo"/>
            <w:rFonts w:ascii="Book Antiqua" w:hAnsi="Book Antiqua"/>
            <w:b w:val="0"/>
            <w:i w:val="0"/>
            <w:noProof/>
            <w:lang w:val="es-MX"/>
          </w:rPr>
          <w:t>VI.</w:t>
        </w:r>
        <w:r w:rsidRPr="00CB2219">
          <w:rPr>
            <w:rFonts w:eastAsiaTheme="minorEastAsia"/>
            <w:noProof/>
            <w:lang w:eastAsia="es-PE"/>
          </w:rPr>
          <w:tab/>
        </w:r>
        <w:r w:rsidRPr="00CB2219">
          <w:rPr>
            <w:rStyle w:val="Hipervnculo"/>
            <w:rFonts w:ascii="Book Antiqua" w:hAnsi="Book Antiqua"/>
            <w:b w:val="0"/>
            <w:i w:val="0"/>
            <w:noProof/>
            <w:lang w:val="es-MX"/>
          </w:rPr>
          <w:t>DIFERENCIA ENTRE LAS ACCIONES AFIRMATIVAS Y LOS AJUSTES RAZONABLES</w:t>
        </w:r>
        <w:r w:rsidRPr="00CB2219">
          <w:rPr>
            <w:noProof/>
            <w:webHidden/>
          </w:rPr>
          <w:tab/>
        </w:r>
        <w:r w:rsidRPr="00CB2219">
          <w:rPr>
            <w:noProof/>
            <w:webHidden/>
          </w:rPr>
          <w:fldChar w:fldCharType="begin"/>
        </w:r>
        <w:r w:rsidRPr="00CB2219">
          <w:rPr>
            <w:noProof/>
            <w:webHidden/>
          </w:rPr>
          <w:instrText xml:space="preserve"> PAGEREF _Toc486598186 \h </w:instrText>
        </w:r>
        <w:r w:rsidRPr="00CB2219">
          <w:rPr>
            <w:noProof/>
            <w:webHidden/>
          </w:rPr>
        </w:r>
        <w:r w:rsidRPr="00CB2219">
          <w:rPr>
            <w:noProof/>
            <w:webHidden/>
          </w:rPr>
          <w:fldChar w:fldCharType="separate"/>
        </w:r>
        <w:r>
          <w:rPr>
            <w:noProof/>
            <w:webHidden/>
          </w:rPr>
          <w:t>12</w:t>
        </w:r>
        <w:r w:rsidRPr="00CB2219">
          <w:rPr>
            <w:noProof/>
            <w:webHidden/>
          </w:rPr>
          <w:fldChar w:fldCharType="end"/>
        </w:r>
      </w:hyperlink>
    </w:p>
    <w:p w:rsidR="00CB2219" w:rsidRPr="00CB2219" w:rsidRDefault="00CB2219" w:rsidP="00CB2219">
      <w:pPr>
        <w:spacing w:line="276" w:lineRule="auto"/>
        <w:rPr>
          <w:rFonts w:ascii="Book Antiqua" w:hAnsi="Book Antiqua" w:cs="Arial"/>
          <w:b/>
          <w:sz w:val="24"/>
          <w:szCs w:val="24"/>
        </w:rPr>
      </w:pPr>
      <w:r w:rsidRPr="00CB2219">
        <w:rPr>
          <w:rFonts w:ascii="Book Antiqua" w:hAnsi="Book Antiqua" w:cs="Arial"/>
          <w:sz w:val="24"/>
          <w:szCs w:val="24"/>
        </w:rPr>
        <w:fldChar w:fldCharType="end"/>
      </w:r>
    </w:p>
    <w:p w:rsidR="002856D2" w:rsidRDefault="002856D2" w:rsidP="009F2745">
      <w:pPr>
        <w:spacing w:line="480" w:lineRule="auto"/>
        <w:jc w:val="center"/>
        <w:rPr>
          <w:rFonts w:ascii="Arial" w:hAnsi="Arial" w:cs="Arial"/>
          <w:b/>
          <w:sz w:val="20"/>
          <w:szCs w:val="24"/>
        </w:rPr>
      </w:pPr>
    </w:p>
    <w:p w:rsidR="002856D2" w:rsidRDefault="002856D2" w:rsidP="009F2745">
      <w:pPr>
        <w:spacing w:line="480" w:lineRule="auto"/>
        <w:jc w:val="center"/>
        <w:rPr>
          <w:rFonts w:ascii="Arial" w:hAnsi="Arial" w:cs="Arial"/>
          <w:b/>
          <w:sz w:val="20"/>
          <w:szCs w:val="24"/>
        </w:rPr>
      </w:pPr>
    </w:p>
    <w:p w:rsidR="002856D2" w:rsidRDefault="002856D2" w:rsidP="009F2745">
      <w:pPr>
        <w:spacing w:line="480" w:lineRule="auto"/>
        <w:jc w:val="center"/>
        <w:rPr>
          <w:rFonts w:ascii="Arial" w:hAnsi="Arial" w:cs="Arial"/>
          <w:b/>
          <w:sz w:val="20"/>
          <w:szCs w:val="24"/>
        </w:rPr>
      </w:pPr>
    </w:p>
    <w:p w:rsidR="002856D2" w:rsidRDefault="002856D2" w:rsidP="009F2745">
      <w:pPr>
        <w:spacing w:line="480" w:lineRule="auto"/>
        <w:jc w:val="center"/>
        <w:rPr>
          <w:rFonts w:ascii="Arial" w:hAnsi="Arial" w:cs="Arial"/>
          <w:b/>
          <w:sz w:val="20"/>
          <w:szCs w:val="24"/>
        </w:rPr>
      </w:pPr>
    </w:p>
    <w:p w:rsidR="002856D2" w:rsidRDefault="002856D2" w:rsidP="009F2745">
      <w:pPr>
        <w:spacing w:line="480" w:lineRule="auto"/>
        <w:jc w:val="center"/>
        <w:rPr>
          <w:rFonts w:ascii="Arial" w:hAnsi="Arial" w:cs="Arial"/>
          <w:b/>
          <w:sz w:val="20"/>
          <w:szCs w:val="24"/>
        </w:rPr>
      </w:pPr>
    </w:p>
    <w:p w:rsidR="002856D2" w:rsidRDefault="002856D2" w:rsidP="009F2745">
      <w:pPr>
        <w:spacing w:line="480" w:lineRule="auto"/>
        <w:jc w:val="center"/>
        <w:rPr>
          <w:rFonts w:ascii="Arial" w:hAnsi="Arial" w:cs="Arial"/>
          <w:b/>
          <w:sz w:val="20"/>
          <w:szCs w:val="24"/>
        </w:rPr>
      </w:pPr>
    </w:p>
    <w:p w:rsidR="002856D2" w:rsidRDefault="002856D2" w:rsidP="009F2745">
      <w:pPr>
        <w:spacing w:line="480" w:lineRule="auto"/>
        <w:jc w:val="center"/>
        <w:rPr>
          <w:rFonts w:ascii="Arial" w:hAnsi="Arial" w:cs="Arial"/>
          <w:b/>
          <w:sz w:val="20"/>
          <w:szCs w:val="24"/>
        </w:rPr>
      </w:pPr>
    </w:p>
    <w:p w:rsidR="002856D2" w:rsidRDefault="002856D2" w:rsidP="009F2745">
      <w:pPr>
        <w:spacing w:line="480" w:lineRule="auto"/>
        <w:jc w:val="center"/>
        <w:rPr>
          <w:rFonts w:ascii="Arial" w:hAnsi="Arial" w:cs="Arial"/>
          <w:b/>
          <w:sz w:val="20"/>
          <w:szCs w:val="24"/>
        </w:rPr>
      </w:pPr>
    </w:p>
    <w:p w:rsidR="002856D2" w:rsidRDefault="002856D2" w:rsidP="009F2745">
      <w:pPr>
        <w:spacing w:line="480" w:lineRule="auto"/>
        <w:jc w:val="center"/>
        <w:rPr>
          <w:rFonts w:ascii="Arial" w:hAnsi="Arial" w:cs="Arial"/>
          <w:b/>
          <w:sz w:val="20"/>
          <w:szCs w:val="24"/>
        </w:rPr>
      </w:pPr>
    </w:p>
    <w:p w:rsidR="002856D2" w:rsidRDefault="002856D2" w:rsidP="009F2745">
      <w:pPr>
        <w:spacing w:line="480" w:lineRule="auto"/>
        <w:jc w:val="center"/>
        <w:rPr>
          <w:rFonts w:ascii="Arial" w:hAnsi="Arial" w:cs="Arial"/>
          <w:b/>
          <w:sz w:val="20"/>
          <w:szCs w:val="24"/>
        </w:rPr>
      </w:pPr>
    </w:p>
    <w:p w:rsidR="002856D2" w:rsidRDefault="002856D2" w:rsidP="009F2745">
      <w:pPr>
        <w:spacing w:line="480" w:lineRule="auto"/>
        <w:jc w:val="center"/>
        <w:rPr>
          <w:rFonts w:ascii="Arial" w:hAnsi="Arial" w:cs="Arial"/>
          <w:b/>
          <w:sz w:val="20"/>
          <w:szCs w:val="24"/>
        </w:rPr>
      </w:pPr>
    </w:p>
    <w:p w:rsidR="002856D2" w:rsidRDefault="002856D2" w:rsidP="009F2745">
      <w:pPr>
        <w:spacing w:line="480" w:lineRule="auto"/>
        <w:jc w:val="center"/>
        <w:rPr>
          <w:rFonts w:ascii="Arial" w:hAnsi="Arial" w:cs="Arial"/>
          <w:b/>
          <w:sz w:val="20"/>
          <w:szCs w:val="24"/>
        </w:rPr>
      </w:pPr>
    </w:p>
    <w:p w:rsidR="002856D2" w:rsidRDefault="002856D2" w:rsidP="009F2745">
      <w:pPr>
        <w:spacing w:line="480" w:lineRule="auto"/>
        <w:jc w:val="center"/>
        <w:rPr>
          <w:rFonts w:ascii="Arial" w:hAnsi="Arial" w:cs="Arial"/>
          <w:b/>
          <w:sz w:val="20"/>
          <w:szCs w:val="24"/>
        </w:rPr>
      </w:pPr>
    </w:p>
    <w:p w:rsidR="002856D2" w:rsidRDefault="002856D2" w:rsidP="009F2745">
      <w:pPr>
        <w:spacing w:line="480" w:lineRule="auto"/>
        <w:jc w:val="center"/>
        <w:rPr>
          <w:rFonts w:ascii="Arial" w:hAnsi="Arial" w:cs="Arial"/>
          <w:b/>
          <w:sz w:val="20"/>
          <w:szCs w:val="24"/>
        </w:rPr>
      </w:pPr>
    </w:p>
    <w:p w:rsidR="002856D2" w:rsidRDefault="002856D2" w:rsidP="009F2745">
      <w:pPr>
        <w:spacing w:line="480" w:lineRule="auto"/>
        <w:jc w:val="center"/>
        <w:rPr>
          <w:rFonts w:ascii="Arial" w:hAnsi="Arial" w:cs="Arial"/>
          <w:b/>
          <w:sz w:val="20"/>
          <w:szCs w:val="24"/>
        </w:rPr>
      </w:pPr>
    </w:p>
    <w:p w:rsidR="002856D2" w:rsidRDefault="002856D2" w:rsidP="00CB2219">
      <w:pPr>
        <w:spacing w:line="480" w:lineRule="auto"/>
        <w:rPr>
          <w:rFonts w:ascii="Arial" w:hAnsi="Arial" w:cs="Arial"/>
          <w:b/>
          <w:sz w:val="20"/>
          <w:szCs w:val="24"/>
        </w:rPr>
      </w:pPr>
    </w:p>
    <w:p w:rsidR="002856D2" w:rsidRPr="00CB2219" w:rsidRDefault="002856D2" w:rsidP="00CB2219">
      <w:pPr>
        <w:pStyle w:val="Ttulo1"/>
        <w:spacing w:before="0" w:line="276" w:lineRule="auto"/>
        <w:rPr>
          <w:rFonts w:ascii="Book Antiqua" w:hAnsi="Book Antiqua" w:cs="Aparajita"/>
          <w:caps/>
          <w:color w:val="000000" w:themeColor="text1"/>
          <w:sz w:val="32"/>
          <w:szCs w:val="24"/>
        </w:rPr>
      </w:pPr>
      <w:bookmarkStart w:id="1" w:name="_Toc486598180"/>
      <w:r w:rsidRPr="00CB2219">
        <w:rPr>
          <w:rFonts w:ascii="Book Antiqua" w:hAnsi="Book Antiqua" w:cs="Aparajita"/>
          <w:caps/>
          <w:color w:val="000000" w:themeColor="text1"/>
          <w:sz w:val="24"/>
          <w:szCs w:val="24"/>
        </w:rPr>
        <w:lastRenderedPageBreak/>
        <w:t>Introducción</w:t>
      </w:r>
      <w:bookmarkEnd w:id="1"/>
    </w:p>
    <w:p w:rsidR="002856D2" w:rsidRPr="00B6569F" w:rsidRDefault="002856D2" w:rsidP="002856D2">
      <w:pPr>
        <w:spacing w:line="276" w:lineRule="auto"/>
        <w:rPr>
          <w:rFonts w:ascii="Book Antiqua" w:hAnsi="Book Antiqua" w:cs="Aparajita"/>
          <w:color w:val="000000" w:themeColor="text1"/>
          <w:szCs w:val="24"/>
        </w:rPr>
      </w:pPr>
    </w:p>
    <w:p w:rsidR="002856D2" w:rsidRPr="00B6569F" w:rsidRDefault="002856D2" w:rsidP="002856D2">
      <w:pPr>
        <w:spacing w:line="276" w:lineRule="auto"/>
        <w:rPr>
          <w:rFonts w:ascii="Book Antiqua" w:hAnsi="Book Antiqua" w:cs="Aparajita"/>
          <w:color w:val="000000" w:themeColor="text1"/>
        </w:rPr>
      </w:pPr>
      <w:r w:rsidRPr="00B6569F">
        <w:rPr>
          <w:rFonts w:ascii="Book Antiqua" w:hAnsi="Book Antiqua" w:cs="Aparajita"/>
          <w:color w:val="000000" w:themeColor="text1"/>
        </w:rPr>
        <w:t>Atendiendo al llamado del Comité de los Derechos de las Personas con Discapacidad (en adelante, “CDPD”</w:t>
      </w:r>
      <w:r w:rsidR="00FC00F9">
        <w:rPr>
          <w:rFonts w:ascii="Book Antiqua" w:hAnsi="Book Antiqua" w:cs="Aparajita"/>
          <w:color w:val="000000" w:themeColor="text1"/>
        </w:rPr>
        <w:t xml:space="preserve"> o “el Comité”</w:t>
      </w:r>
      <w:r w:rsidRPr="00B6569F">
        <w:rPr>
          <w:rFonts w:ascii="Book Antiqua" w:hAnsi="Book Antiqua" w:cs="Aparajita"/>
          <w:color w:val="000000" w:themeColor="text1"/>
        </w:rPr>
        <w:t>) para presentar observaciones al proyecto Observación General Nº 6 sobre el derecho de las personas con discapacidad a la igualdad y la no discriminación, quien suscribe la presente, Elard Ricardo Bolaños Salazar de nacionalidad peruana, presenta las siguientes observaciones en calidad de apoyo para el trabajo emprendido por el re</w:t>
      </w:r>
      <w:r w:rsidR="00FC00F9">
        <w:rPr>
          <w:rFonts w:ascii="Book Antiqua" w:hAnsi="Book Antiqua" w:cs="Aparajita"/>
          <w:color w:val="000000" w:themeColor="text1"/>
        </w:rPr>
        <w:t>ferido C</w:t>
      </w:r>
      <w:r w:rsidR="0057707E" w:rsidRPr="00B6569F">
        <w:rPr>
          <w:rFonts w:ascii="Book Antiqua" w:hAnsi="Book Antiqua" w:cs="Aparajita"/>
          <w:color w:val="000000" w:themeColor="text1"/>
        </w:rPr>
        <w:t>omité.</w:t>
      </w:r>
    </w:p>
    <w:p w:rsidR="00D01445" w:rsidRPr="00B6569F" w:rsidRDefault="00D01445" w:rsidP="002856D2">
      <w:pPr>
        <w:spacing w:line="276" w:lineRule="auto"/>
        <w:rPr>
          <w:rFonts w:ascii="Book Antiqua" w:hAnsi="Book Antiqua" w:cs="Aparajita"/>
          <w:color w:val="000000" w:themeColor="text1"/>
        </w:rPr>
      </w:pPr>
    </w:p>
    <w:p w:rsidR="00D01445" w:rsidRDefault="00D01445" w:rsidP="002856D2">
      <w:pPr>
        <w:spacing w:line="276" w:lineRule="auto"/>
        <w:rPr>
          <w:rFonts w:ascii="Book Antiqua" w:hAnsi="Book Antiqua"/>
          <w:color w:val="000000" w:themeColor="text1"/>
        </w:rPr>
      </w:pPr>
      <w:r w:rsidRPr="00B6569F">
        <w:rPr>
          <w:rFonts w:ascii="Book Antiqua" w:hAnsi="Book Antiqua" w:cs="Aparajita"/>
          <w:color w:val="000000" w:themeColor="text1"/>
        </w:rPr>
        <w:t>El Artículo 47</w:t>
      </w:r>
      <w:r w:rsidR="00781E61" w:rsidRPr="00B6569F">
        <w:rPr>
          <w:rFonts w:ascii="Book Antiqua" w:hAnsi="Book Antiqua" w:cs="Aparajita"/>
          <w:color w:val="000000" w:themeColor="text1"/>
        </w:rPr>
        <w:t>.1º</w:t>
      </w:r>
      <w:r w:rsidRPr="00B6569F">
        <w:rPr>
          <w:rFonts w:ascii="Book Antiqua" w:hAnsi="Book Antiqua" w:cs="Aparajita"/>
          <w:color w:val="000000" w:themeColor="text1"/>
        </w:rPr>
        <w:t xml:space="preserve"> del Reglamento del CDPD establece que “[e]</w:t>
      </w:r>
      <w:r w:rsidRPr="00B6569F">
        <w:rPr>
          <w:rFonts w:ascii="Book Antiqua" w:hAnsi="Book Antiqua"/>
          <w:color w:val="000000" w:themeColor="text1"/>
        </w:rPr>
        <w:t>l Comité podrá preparar observaciones generales sobre la base de los artículos y las disposiciones de la Convención con miras a promover su mejor aplicación y ayudar a los Estados partes a cumplir sus obligaciones de presentación de informes.”</w:t>
      </w:r>
      <w:r w:rsidRPr="00B6569F">
        <w:rPr>
          <w:rStyle w:val="Refdenotaalpie"/>
          <w:rFonts w:ascii="Book Antiqua" w:hAnsi="Book Antiqua" w:cs="Aparajita"/>
          <w:color w:val="000000" w:themeColor="text1"/>
        </w:rPr>
        <w:footnoteReference w:id="2"/>
      </w:r>
      <w:r w:rsidR="00FC00F9">
        <w:rPr>
          <w:rFonts w:ascii="Book Antiqua" w:hAnsi="Book Antiqua"/>
          <w:color w:val="000000" w:themeColor="text1"/>
        </w:rPr>
        <w:t xml:space="preserve"> Es bajo esta perspectiva que el Comité ha elaborado un proyecto de observación general en el cual se abordan diferentes aspectos que se relacionan con el desarrollo del derecho a la igualdad y la no discriminación de las personas con discapacidad. </w:t>
      </w:r>
    </w:p>
    <w:p w:rsidR="00FC00F9" w:rsidRDefault="00FC00F9" w:rsidP="002856D2">
      <w:pPr>
        <w:spacing w:line="276" w:lineRule="auto"/>
        <w:rPr>
          <w:rFonts w:ascii="Book Antiqua" w:hAnsi="Book Antiqua"/>
          <w:color w:val="000000" w:themeColor="text1"/>
        </w:rPr>
      </w:pPr>
    </w:p>
    <w:p w:rsidR="00FC00F9" w:rsidRDefault="00F235CC" w:rsidP="002856D2">
      <w:pPr>
        <w:spacing w:line="276" w:lineRule="auto"/>
        <w:rPr>
          <w:rFonts w:ascii="Book Antiqua" w:hAnsi="Book Antiqua"/>
          <w:color w:val="000000" w:themeColor="text1"/>
        </w:rPr>
      </w:pPr>
      <w:r>
        <w:rPr>
          <w:rFonts w:ascii="Book Antiqua" w:hAnsi="Book Antiqua"/>
          <w:color w:val="000000" w:themeColor="text1"/>
        </w:rPr>
        <w:t xml:space="preserve">De esta manera, el presente escrito (en calidad de </w:t>
      </w:r>
      <w:r w:rsidRPr="00F235CC">
        <w:rPr>
          <w:rFonts w:ascii="Book Antiqua" w:hAnsi="Book Antiqua"/>
          <w:i/>
          <w:color w:val="000000" w:themeColor="text1"/>
        </w:rPr>
        <w:t>amicus curiae</w:t>
      </w:r>
      <w:r>
        <w:rPr>
          <w:rFonts w:ascii="Book Antiqua" w:hAnsi="Book Antiqua"/>
          <w:color w:val="000000" w:themeColor="text1"/>
        </w:rPr>
        <w:t>) abordará ciertas consideraciones sobre los ajustes razonables y su relación con el derecho a la igualdad y no discriminación (artículo 5.1 de la Convención sobre los Derechos de las Personas con Discapacidad, en adelante “CRPD”).</w:t>
      </w:r>
    </w:p>
    <w:p w:rsidR="00F235CC" w:rsidRDefault="00F235CC" w:rsidP="002856D2">
      <w:pPr>
        <w:spacing w:line="276" w:lineRule="auto"/>
        <w:rPr>
          <w:rFonts w:ascii="Book Antiqua" w:hAnsi="Book Antiqua"/>
          <w:color w:val="000000" w:themeColor="text1"/>
        </w:rPr>
      </w:pPr>
    </w:p>
    <w:p w:rsidR="00F235CC" w:rsidRPr="00CB2219" w:rsidRDefault="00F235CC" w:rsidP="00CB2219">
      <w:pPr>
        <w:pStyle w:val="Prrafodelista"/>
        <w:numPr>
          <w:ilvl w:val="0"/>
          <w:numId w:val="1"/>
        </w:numPr>
        <w:spacing w:line="276" w:lineRule="auto"/>
        <w:ind w:left="567" w:hanging="567"/>
        <w:outlineLvl w:val="0"/>
        <w:rPr>
          <w:rFonts w:ascii="Book Antiqua" w:hAnsi="Book Antiqua"/>
          <w:b/>
          <w:color w:val="000000" w:themeColor="text1"/>
          <w:sz w:val="24"/>
        </w:rPr>
      </w:pPr>
      <w:bookmarkStart w:id="2" w:name="_Toc486598181"/>
      <w:r w:rsidRPr="00CB2219">
        <w:rPr>
          <w:rFonts w:ascii="Book Antiqua" w:hAnsi="Book Antiqua"/>
          <w:b/>
          <w:color w:val="000000" w:themeColor="text1"/>
          <w:sz w:val="24"/>
        </w:rPr>
        <w:t>El PRINCIPIO-DERECHO DE IGUALDAD Y NO DISCRIMINACIÓN DE LAS PERSONAS CON DISCAPACIDAD</w:t>
      </w:r>
      <w:bookmarkEnd w:id="2"/>
    </w:p>
    <w:p w:rsidR="00FC00F9" w:rsidRDefault="00FC00F9" w:rsidP="002856D2">
      <w:pPr>
        <w:spacing w:line="276" w:lineRule="auto"/>
        <w:rPr>
          <w:rFonts w:ascii="Book Antiqua" w:hAnsi="Book Antiqua"/>
          <w:color w:val="000000" w:themeColor="text1"/>
        </w:rPr>
      </w:pPr>
    </w:p>
    <w:p w:rsidR="00FC00F9" w:rsidRDefault="00842E97" w:rsidP="002856D2">
      <w:pPr>
        <w:spacing w:line="276" w:lineRule="auto"/>
        <w:rPr>
          <w:rFonts w:ascii="Book Antiqua" w:hAnsi="Book Antiqua" w:cs="Aparajita"/>
          <w:color w:val="000000" w:themeColor="text1"/>
        </w:rPr>
      </w:pPr>
      <w:r>
        <w:rPr>
          <w:rFonts w:ascii="Book Antiqua" w:hAnsi="Book Antiqua" w:cs="Aparajita"/>
          <w:color w:val="000000" w:themeColor="text1"/>
        </w:rPr>
        <w:t xml:space="preserve">El derecho a la igualdad –junto a la prohibición de la discriminación como parte de su contenido- ha sido reconocido por todos los instrumentos internacionales tanto del sistema universal como de los sistemas regionales de protección de Derechos Humanos. Solo a modo de ejemplo, tenemos que en América, la Corte Interamericana de Derechos Humanos </w:t>
      </w:r>
      <w:r w:rsidR="00376C6A">
        <w:rPr>
          <w:rFonts w:ascii="Book Antiqua" w:hAnsi="Book Antiqua" w:cs="Aparajita"/>
          <w:color w:val="000000" w:themeColor="text1"/>
        </w:rPr>
        <w:t xml:space="preserve">(en adelante “Corte IDH”) </w:t>
      </w:r>
      <w:r>
        <w:rPr>
          <w:rFonts w:ascii="Book Antiqua" w:hAnsi="Book Antiqua" w:cs="Aparajita"/>
          <w:color w:val="000000" w:themeColor="text1"/>
        </w:rPr>
        <w:t xml:space="preserve">ha referido que la igualdad y no discriminación, en tanto principio, se constituye como una norma de carácter </w:t>
      </w:r>
      <w:r w:rsidRPr="00842E97">
        <w:rPr>
          <w:rFonts w:ascii="Book Antiqua" w:hAnsi="Book Antiqua" w:cs="Aparajita"/>
          <w:i/>
          <w:color w:val="000000" w:themeColor="text1"/>
        </w:rPr>
        <w:t>ius cogens</w:t>
      </w:r>
      <w:r>
        <w:rPr>
          <w:rFonts w:ascii="Book Antiqua" w:hAnsi="Book Antiqua" w:cs="Aparajita"/>
          <w:color w:val="000000" w:themeColor="text1"/>
        </w:rPr>
        <w:t>.</w:t>
      </w:r>
      <w:r>
        <w:rPr>
          <w:rStyle w:val="Refdenotaalpie"/>
          <w:rFonts w:ascii="Book Antiqua" w:hAnsi="Book Antiqua" w:cs="Aparajita"/>
          <w:color w:val="000000" w:themeColor="text1"/>
        </w:rPr>
        <w:footnoteReference w:id="3"/>
      </w:r>
      <w:r>
        <w:rPr>
          <w:rFonts w:ascii="Book Antiqua" w:hAnsi="Book Antiqua" w:cs="Aparajita"/>
          <w:color w:val="000000" w:themeColor="text1"/>
        </w:rPr>
        <w:t xml:space="preserve"> </w:t>
      </w:r>
    </w:p>
    <w:p w:rsidR="00376C6A" w:rsidRDefault="00376C6A" w:rsidP="002856D2">
      <w:pPr>
        <w:spacing w:line="276" w:lineRule="auto"/>
        <w:rPr>
          <w:rFonts w:ascii="Book Antiqua" w:hAnsi="Book Antiqua" w:cs="Aparajita"/>
          <w:color w:val="000000" w:themeColor="text1"/>
        </w:rPr>
      </w:pPr>
    </w:p>
    <w:p w:rsidR="00376C6A" w:rsidRPr="00376C6A" w:rsidRDefault="00376C6A" w:rsidP="00376C6A">
      <w:pPr>
        <w:spacing w:line="276" w:lineRule="auto"/>
        <w:rPr>
          <w:rFonts w:ascii="Book Antiqua" w:hAnsi="Book Antiqua" w:cs="Aparajita"/>
          <w:color w:val="000000" w:themeColor="text1"/>
          <w:sz w:val="24"/>
          <w:szCs w:val="24"/>
        </w:rPr>
      </w:pPr>
      <w:r w:rsidRPr="00376C6A">
        <w:rPr>
          <w:rFonts w:ascii="Book Antiqua" w:hAnsi="Book Antiqua" w:cs="Aparajita"/>
          <w:color w:val="000000" w:themeColor="text1"/>
          <w:sz w:val="24"/>
          <w:szCs w:val="24"/>
        </w:rPr>
        <w:t>Sin embargo, este reconocimiento formal no es suficiente, sobre todo cuando estamos en el campo de la protección de los Derechos Humanos de los grupos en situación de vulnerabilidad.</w:t>
      </w:r>
    </w:p>
    <w:p w:rsidR="00376C6A" w:rsidRPr="00376C6A" w:rsidRDefault="00376C6A" w:rsidP="00376C6A">
      <w:pPr>
        <w:spacing w:line="276" w:lineRule="auto"/>
        <w:rPr>
          <w:rFonts w:ascii="Book Antiqua" w:hAnsi="Book Antiqua" w:cs="Aparajita"/>
          <w:color w:val="000000" w:themeColor="text1"/>
          <w:sz w:val="24"/>
          <w:szCs w:val="24"/>
        </w:rPr>
      </w:pPr>
    </w:p>
    <w:p w:rsidR="00376C6A" w:rsidRPr="00376C6A" w:rsidRDefault="00376C6A" w:rsidP="00376C6A">
      <w:pPr>
        <w:pStyle w:val="Default"/>
        <w:spacing w:line="276" w:lineRule="auto"/>
        <w:jc w:val="both"/>
        <w:rPr>
          <w:rFonts w:ascii="Book Antiqua" w:hAnsi="Book Antiqua"/>
        </w:rPr>
      </w:pPr>
    </w:p>
    <w:p w:rsidR="00376C6A" w:rsidRPr="00376C6A" w:rsidRDefault="00376C6A" w:rsidP="00376C6A">
      <w:pPr>
        <w:pStyle w:val="Default"/>
        <w:spacing w:line="276" w:lineRule="auto"/>
        <w:jc w:val="both"/>
        <w:rPr>
          <w:rFonts w:ascii="Book Antiqua" w:hAnsi="Book Antiqua"/>
          <w:iCs/>
          <w:color w:val="auto"/>
        </w:rPr>
      </w:pPr>
      <w:r w:rsidRPr="00376C6A">
        <w:rPr>
          <w:rFonts w:ascii="Book Antiqua" w:hAnsi="Book Antiqua"/>
        </w:rPr>
        <w:lastRenderedPageBreak/>
        <w:t xml:space="preserve">Por esta razón, </w:t>
      </w:r>
      <w:r w:rsidRPr="00376C6A">
        <w:rPr>
          <w:rFonts w:ascii="Book Antiqua" w:hAnsi="Book Antiqua" w:cstheme="minorBidi"/>
          <w:color w:val="auto"/>
        </w:rPr>
        <w:t>surge la concepción material de la igualdad, bajo el entendido que “una interpretación meramente formal de la igualdad tiene el defecto de esconder, tras de sí, una serie de desigualdades de orden material y simbólico que no se corresponden con los exigentes presupuestos normativos de la democracia”</w:t>
      </w:r>
      <w:r w:rsidRPr="00376C6A">
        <w:rPr>
          <w:rStyle w:val="Refdenotaalpie"/>
          <w:rFonts w:ascii="Book Antiqua" w:hAnsi="Book Antiqua"/>
        </w:rPr>
        <w:footnoteReference w:id="4"/>
      </w:r>
      <w:r w:rsidRPr="00376C6A">
        <w:rPr>
          <w:rFonts w:ascii="Book Antiqua" w:hAnsi="Book Antiqua" w:cstheme="minorBidi"/>
          <w:color w:val="auto"/>
        </w:rPr>
        <w:t>, en buena cuenta, es una fiera pero sin dientes. Por ello, en el ámbito de la justicia constitucional, el máximo tribunal peruano, por ejemplo, tiene dicho que:</w:t>
      </w:r>
      <w:r w:rsidRPr="00376C6A">
        <w:rPr>
          <w:rFonts w:ascii="Book Antiqua" w:hAnsi="Book Antiqua"/>
        </w:rPr>
        <w:t xml:space="preserve"> “</w:t>
      </w:r>
      <w:r w:rsidRPr="00376C6A">
        <w:rPr>
          <w:rFonts w:ascii="Book Antiqua" w:hAnsi="Book Antiqua" w:cstheme="minorBidi"/>
          <w:iCs/>
          <w:color w:val="auto"/>
        </w:rPr>
        <w:t>e</w:t>
      </w:r>
      <w:r w:rsidRPr="00376C6A">
        <w:rPr>
          <w:rFonts w:ascii="Book Antiqua" w:hAnsi="Book Antiqua" w:cstheme="minorBidi"/>
          <w:iCs/>
          <w:color w:val="auto"/>
        </w:rPr>
        <w:t>n su dimensión material, el derecho de igualdad supone no sólo una exigen</w:t>
      </w:r>
      <w:r w:rsidRPr="00376C6A">
        <w:rPr>
          <w:rFonts w:ascii="Book Antiqua" w:hAnsi="Book Antiqua" w:cstheme="minorBidi"/>
          <w:iCs/>
          <w:color w:val="auto"/>
        </w:rPr>
        <w:softHyphen/>
        <w:t>cia negativa, es decir la abstención de tratos discriminatorios; sino, además, una exigencia positiva por parte del Estado, que se inicia con el reconoci</w:t>
      </w:r>
      <w:r w:rsidRPr="00376C6A">
        <w:rPr>
          <w:rFonts w:ascii="Book Antiqua" w:hAnsi="Book Antiqua" w:cstheme="minorBidi"/>
          <w:iCs/>
          <w:color w:val="auto"/>
        </w:rPr>
        <w:softHyphen/>
        <w:t xml:space="preserve">miento de la insuficiencia de los mandatos prohibitivos de discriminación y la necesidad de equiparar situaciones, </w:t>
      </w:r>
      <w:r w:rsidRPr="00376C6A">
        <w:rPr>
          <w:rFonts w:ascii="Book Antiqua" w:hAnsi="Book Antiqua"/>
          <w:i/>
          <w:color w:val="auto"/>
        </w:rPr>
        <w:t>per se</w:t>
      </w:r>
      <w:r w:rsidRPr="00376C6A">
        <w:rPr>
          <w:rFonts w:ascii="Book Antiqua" w:hAnsi="Book Antiqua"/>
          <w:color w:val="auto"/>
        </w:rPr>
        <w:t xml:space="preserve">, </w:t>
      </w:r>
      <w:r w:rsidRPr="00376C6A">
        <w:rPr>
          <w:rFonts w:ascii="Book Antiqua" w:hAnsi="Book Antiqua"/>
          <w:iCs/>
          <w:color w:val="auto"/>
        </w:rPr>
        <w:t>desiguales</w:t>
      </w:r>
      <w:r w:rsidRPr="00376C6A">
        <w:rPr>
          <w:rFonts w:ascii="Book Antiqua" w:hAnsi="Book Antiqua"/>
          <w:iCs/>
          <w:color w:val="auto"/>
        </w:rPr>
        <w:t>”.</w:t>
      </w:r>
      <w:r w:rsidRPr="00376C6A">
        <w:rPr>
          <w:rStyle w:val="Refdenotaalpie"/>
          <w:rFonts w:ascii="Book Antiqua" w:hAnsi="Book Antiqua"/>
          <w:iCs/>
        </w:rPr>
        <w:footnoteReference w:id="5"/>
      </w:r>
    </w:p>
    <w:p w:rsidR="00376C6A" w:rsidRPr="00376C6A" w:rsidRDefault="00376C6A" w:rsidP="00376C6A">
      <w:pPr>
        <w:pStyle w:val="Default"/>
        <w:spacing w:line="276" w:lineRule="auto"/>
        <w:jc w:val="both"/>
        <w:rPr>
          <w:rFonts w:ascii="Book Antiqua" w:hAnsi="Book Antiqua"/>
        </w:rPr>
      </w:pPr>
    </w:p>
    <w:p w:rsidR="00376C6A" w:rsidRDefault="00376C6A" w:rsidP="00376C6A">
      <w:pPr>
        <w:pStyle w:val="Default"/>
        <w:spacing w:line="276" w:lineRule="auto"/>
        <w:jc w:val="both"/>
        <w:rPr>
          <w:rFonts w:ascii="Book Antiqua" w:hAnsi="Book Antiqua" w:cstheme="minorBidi"/>
          <w:color w:val="auto"/>
        </w:rPr>
      </w:pPr>
      <w:r>
        <w:rPr>
          <w:rFonts w:ascii="Book Antiqua" w:hAnsi="Book Antiqua" w:cstheme="minorBidi"/>
          <w:color w:val="auto"/>
        </w:rPr>
        <w:t>Por ello, e</w:t>
      </w:r>
      <w:r w:rsidRPr="00376C6A">
        <w:rPr>
          <w:rFonts w:ascii="Book Antiqua" w:hAnsi="Book Antiqua" w:cstheme="minorBidi"/>
          <w:color w:val="auto"/>
        </w:rPr>
        <w:t>n la discusión jurídica contemporánea se ha puesto sobre la mesa un tema que es sumamente interesante y debatible como es la obligación estatal de adjudi</w:t>
      </w:r>
      <w:r w:rsidRPr="00376C6A">
        <w:rPr>
          <w:rFonts w:ascii="Book Antiqua" w:hAnsi="Book Antiqua" w:cstheme="minorBidi"/>
          <w:color w:val="auto"/>
        </w:rPr>
        <w:softHyphen/>
        <w:t xml:space="preserve">car un tratamiento diferente a las personas que se encuentran en situaciones desiguales con la finalidad de conseguir el escenario deseable de la igualdad. Se ha señalado preliminarmente que la igualdad, como tal, supone entender que existen ciertas circunstancias reales de desigualdad que no pueden ser totalmente solucionadas o atendidas con el enunciado tradicional: “todos los seres humanos son iguales” o “todos merecen un trato igual”. </w:t>
      </w:r>
    </w:p>
    <w:p w:rsidR="00376C6A" w:rsidRPr="00376C6A" w:rsidRDefault="00376C6A" w:rsidP="00376C6A">
      <w:pPr>
        <w:pStyle w:val="Default"/>
        <w:spacing w:line="276" w:lineRule="auto"/>
        <w:jc w:val="both"/>
        <w:rPr>
          <w:rFonts w:ascii="Book Antiqua" w:hAnsi="Book Antiqua" w:cstheme="minorBidi"/>
          <w:color w:val="auto"/>
        </w:rPr>
      </w:pPr>
    </w:p>
    <w:p w:rsidR="00376C6A" w:rsidRPr="00376C6A" w:rsidRDefault="00376C6A" w:rsidP="00376C6A">
      <w:pPr>
        <w:pStyle w:val="Default"/>
        <w:spacing w:line="276" w:lineRule="auto"/>
        <w:jc w:val="both"/>
        <w:rPr>
          <w:rFonts w:ascii="Book Antiqua" w:hAnsi="Book Antiqua"/>
        </w:rPr>
      </w:pPr>
      <w:r w:rsidRPr="00376C6A">
        <w:rPr>
          <w:rFonts w:ascii="Book Antiqua" w:hAnsi="Book Antiqua" w:cstheme="minorBidi"/>
          <w:color w:val="auto"/>
        </w:rPr>
        <w:t>Atendiendo a ello, tanto el aparato legislativo como el juez o la jueza pueden (y de hecho deben) introducir tratamientos distintos a situaciones que no son realmente iguales o análogas. Sobre esto último, la Corte Interamericana de Derechos Humanos (en lo sucesivo, “Corte IDH”), siguiendo en el fondo la misma idea que ya se había anotado antes, considera que “no toda distinción de trato puede considerarse ofensiva, por sí misma, de la dignidad humana</w:t>
      </w:r>
      <w:r w:rsidRPr="00376C6A">
        <w:rPr>
          <w:rFonts w:ascii="Book Antiqua" w:hAnsi="Book Antiqua" w:cstheme="minorBidi"/>
          <w:color w:val="auto"/>
        </w:rPr>
        <w:t>”.</w:t>
      </w:r>
      <w:r w:rsidRPr="00376C6A">
        <w:rPr>
          <w:rStyle w:val="Refdenotaalpie"/>
          <w:rFonts w:ascii="Book Antiqua" w:hAnsi="Book Antiqua" w:cstheme="minorBidi"/>
          <w:color w:val="auto"/>
        </w:rPr>
        <w:footnoteReference w:id="6"/>
      </w:r>
    </w:p>
    <w:p w:rsidR="00842E97" w:rsidRDefault="00842E97" w:rsidP="002856D2">
      <w:pPr>
        <w:spacing w:line="276" w:lineRule="auto"/>
        <w:rPr>
          <w:rFonts w:ascii="Book Antiqua" w:hAnsi="Book Antiqua" w:cs="Aparajita"/>
          <w:color w:val="000000" w:themeColor="text1"/>
        </w:rPr>
      </w:pPr>
    </w:p>
    <w:p w:rsidR="002856D2" w:rsidRDefault="00B57AF8" w:rsidP="002856D2">
      <w:pPr>
        <w:spacing w:line="276" w:lineRule="auto"/>
        <w:rPr>
          <w:rFonts w:ascii="Book Antiqua" w:hAnsi="Book Antiqua" w:cs="Aparajita"/>
          <w:szCs w:val="24"/>
        </w:rPr>
      </w:pPr>
      <w:r>
        <w:rPr>
          <w:rFonts w:ascii="Book Antiqua" w:hAnsi="Book Antiqua" w:cs="Aparajita"/>
          <w:szCs w:val="24"/>
        </w:rPr>
        <w:t xml:space="preserve">Precisamente teniendo en cuenta esta perspectiva surge el concepto de “ajustes razonables”. Son, como se verá a continuación, una forma de llevar al terreno de lo fáctico la igualdad que proclama la CDPD. </w:t>
      </w:r>
    </w:p>
    <w:p w:rsidR="00C6051D" w:rsidRDefault="00C6051D" w:rsidP="002856D2">
      <w:pPr>
        <w:spacing w:line="276" w:lineRule="auto"/>
        <w:rPr>
          <w:rFonts w:ascii="Book Antiqua" w:hAnsi="Book Antiqua" w:cs="Aparajita"/>
          <w:szCs w:val="24"/>
        </w:rPr>
      </w:pPr>
    </w:p>
    <w:p w:rsidR="00C6051D" w:rsidRPr="00C6051D" w:rsidRDefault="00C6051D" w:rsidP="00CB2219">
      <w:pPr>
        <w:pStyle w:val="Prrafodelista"/>
        <w:numPr>
          <w:ilvl w:val="0"/>
          <w:numId w:val="1"/>
        </w:numPr>
        <w:spacing w:line="276" w:lineRule="auto"/>
        <w:ind w:left="567" w:hanging="567"/>
        <w:outlineLvl w:val="0"/>
        <w:rPr>
          <w:rFonts w:ascii="Book Antiqua" w:hAnsi="Book Antiqua" w:cs="Aparajita"/>
          <w:b/>
          <w:color w:val="000000" w:themeColor="text1"/>
          <w:szCs w:val="24"/>
        </w:rPr>
      </w:pPr>
      <w:bookmarkStart w:id="3" w:name="_Toc486598182"/>
      <w:r w:rsidRPr="00C6051D">
        <w:rPr>
          <w:rFonts w:ascii="Book Antiqua" w:hAnsi="Book Antiqua" w:cs="Aparajita"/>
          <w:b/>
          <w:color w:val="000000" w:themeColor="text1"/>
          <w:szCs w:val="24"/>
        </w:rPr>
        <w:lastRenderedPageBreak/>
        <w:t>LA ACCESIBILIDAD UNIVERSAL Y EL DISEÑO UNIVERSAL COMO OBLIGACIONES PRIMARIAS A LA DE ADOPTAR AJUSTES RAZONABLES</w:t>
      </w:r>
      <w:bookmarkEnd w:id="3"/>
    </w:p>
    <w:p w:rsidR="002856D2" w:rsidRPr="00C6051D" w:rsidRDefault="002856D2" w:rsidP="00C6051D">
      <w:pPr>
        <w:spacing w:line="276" w:lineRule="auto"/>
        <w:rPr>
          <w:rFonts w:ascii="Book Antiqua" w:hAnsi="Book Antiqua" w:cs="Aparajita"/>
          <w:sz w:val="24"/>
          <w:szCs w:val="24"/>
        </w:rPr>
      </w:pPr>
    </w:p>
    <w:p w:rsidR="00C6051D" w:rsidRPr="006D1C6D" w:rsidRDefault="00C6051D" w:rsidP="006D1C6D">
      <w:pPr>
        <w:autoSpaceDE w:val="0"/>
        <w:autoSpaceDN w:val="0"/>
        <w:adjustRightInd w:val="0"/>
        <w:spacing w:line="276" w:lineRule="auto"/>
        <w:rPr>
          <w:rFonts w:ascii="Book Antiqua" w:hAnsi="Book Antiqua" w:cs="Humanist777BT-RomanB"/>
          <w:sz w:val="24"/>
          <w:szCs w:val="24"/>
        </w:rPr>
      </w:pPr>
      <w:r w:rsidRPr="00C6051D">
        <w:rPr>
          <w:rFonts w:ascii="Book Antiqua" w:hAnsi="Book Antiqua" w:cs="Humanist777BT-RomanB"/>
          <w:sz w:val="24"/>
          <w:szCs w:val="24"/>
        </w:rPr>
        <w:t>La accesibilidad y el dis</w:t>
      </w:r>
      <w:r w:rsidRPr="00C6051D">
        <w:rPr>
          <w:rFonts w:ascii="Book Antiqua" w:hAnsi="Book Antiqua" w:cs="Humanist777BT-RomanB"/>
          <w:sz w:val="24"/>
          <w:szCs w:val="24"/>
        </w:rPr>
        <w:t xml:space="preserve">eño universal son, en conjunto, </w:t>
      </w:r>
      <w:r w:rsidRPr="00C6051D">
        <w:rPr>
          <w:rFonts w:ascii="Book Antiqua" w:hAnsi="Book Antiqua" w:cs="Humanist777BT-RomanB"/>
          <w:sz w:val="24"/>
          <w:szCs w:val="24"/>
        </w:rPr>
        <w:t xml:space="preserve">acciones </w:t>
      </w:r>
      <w:r>
        <w:rPr>
          <w:rFonts w:ascii="Book Antiqua" w:hAnsi="Book Antiqua" w:cs="Humanist777BT-RomanB"/>
          <w:sz w:val="24"/>
          <w:szCs w:val="24"/>
        </w:rPr>
        <w:t xml:space="preserve">positivas que deben adoptar los </w:t>
      </w:r>
      <w:r w:rsidRPr="00C6051D">
        <w:rPr>
          <w:rFonts w:ascii="Book Antiqua" w:hAnsi="Book Antiqua" w:cs="Humanist777BT-RomanB"/>
          <w:sz w:val="24"/>
          <w:szCs w:val="24"/>
        </w:rPr>
        <w:t>Estados para conse</w:t>
      </w:r>
      <w:r w:rsidRPr="00C6051D">
        <w:rPr>
          <w:rFonts w:ascii="Book Antiqua" w:hAnsi="Book Antiqua" w:cs="Humanist777BT-RomanB"/>
          <w:sz w:val="24"/>
          <w:szCs w:val="24"/>
        </w:rPr>
        <w:t xml:space="preserve">guir la igualdad fáctica de las </w:t>
      </w:r>
      <w:r w:rsidRPr="00C6051D">
        <w:rPr>
          <w:rFonts w:ascii="Book Antiqua" w:hAnsi="Book Antiqua" w:cs="Humanist777BT-RomanB"/>
          <w:sz w:val="24"/>
          <w:szCs w:val="24"/>
        </w:rPr>
        <w:t>personas con di</w:t>
      </w:r>
      <w:r w:rsidRPr="00C6051D">
        <w:rPr>
          <w:rFonts w:ascii="Book Antiqua" w:hAnsi="Book Antiqua" w:cs="Humanist777BT-RomanB"/>
          <w:sz w:val="24"/>
          <w:szCs w:val="24"/>
        </w:rPr>
        <w:t xml:space="preserve">scapacidad. Estos dos conceptos </w:t>
      </w:r>
      <w:r w:rsidRPr="00C6051D">
        <w:rPr>
          <w:rFonts w:ascii="Book Antiqua" w:hAnsi="Book Antiqua" w:cs="Humanist777BT-RomanB"/>
          <w:sz w:val="24"/>
          <w:szCs w:val="24"/>
        </w:rPr>
        <w:t>parten de la prem</w:t>
      </w:r>
      <w:r w:rsidRPr="00C6051D">
        <w:rPr>
          <w:rFonts w:ascii="Book Antiqua" w:hAnsi="Book Antiqua" w:cs="Humanist777BT-RomanB"/>
          <w:sz w:val="24"/>
          <w:szCs w:val="24"/>
        </w:rPr>
        <w:t xml:space="preserve">isa que la sociedad, tal y como </w:t>
      </w:r>
      <w:r w:rsidRPr="00C6051D">
        <w:rPr>
          <w:rFonts w:ascii="Book Antiqua" w:hAnsi="Book Antiqua" w:cs="Humanist777BT-RomanB"/>
          <w:sz w:val="24"/>
          <w:szCs w:val="24"/>
        </w:rPr>
        <w:t>está constituida</w:t>
      </w:r>
      <w:r w:rsidRPr="00C6051D">
        <w:rPr>
          <w:rFonts w:ascii="Book Antiqua" w:hAnsi="Book Antiqua" w:cs="Humanist777BT-RomanB"/>
          <w:sz w:val="24"/>
          <w:szCs w:val="24"/>
        </w:rPr>
        <w:t xml:space="preserve">, presenta múltiples obstáculos </w:t>
      </w:r>
      <w:r w:rsidRPr="00C6051D">
        <w:rPr>
          <w:rFonts w:ascii="Book Antiqua" w:hAnsi="Book Antiqua" w:cs="Humanist777BT-RomanB"/>
          <w:sz w:val="24"/>
          <w:szCs w:val="24"/>
        </w:rPr>
        <w:t>para las personas con</w:t>
      </w:r>
      <w:r w:rsidRPr="00C6051D">
        <w:rPr>
          <w:rFonts w:ascii="Book Antiqua" w:hAnsi="Book Antiqua" w:cs="Humanist777BT-RomanB"/>
          <w:sz w:val="24"/>
          <w:szCs w:val="24"/>
        </w:rPr>
        <w:t xml:space="preserve"> discapacidad </w:t>
      </w:r>
      <w:r w:rsidRPr="006D1C6D">
        <w:rPr>
          <w:rFonts w:ascii="Book Antiqua" w:hAnsi="Book Antiqua" w:cs="Humanist777BT-RomanB"/>
          <w:sz w:val="24"/>
          <w:szCs w:val="24"/>
        </w:rPr>
        <w:t xml:space="preserve">que les impide </w:t>
      </w:r>
      <w:r w:rsidRPr="006D1C6D">
        <w:rPr>
          <w:rFonts w:ascii="Book Antiqua" w:hAnsi="Book Antiqua" w:cs="Humanist777BT-RomanB"/>
          <w:sz w:val="24"/>
          <w:szCs w:val="24"/>
        </w:rPr>
        <w:t>ejercer sus derechos</w:t>
      </w:r>
      <w:r w:rsidRPr="006D1C6D">
        <w:rPr>
          <w:rFonts w:ascii="Book Antiqua" w:hAnsi="Book Antiqua" w:cs="Humanist777BT-RomanB"/>
          <w:sz w:val="24"/>
          <w:szCs w:val="24"/>
        </w:rPr>
        <w:t xml:space="preserve"> plenamente; por ello, mediante </w:t>
      </w:r>
      <w:r w:rsidRPr="006D1C6D">
        <w:rPr>
          <w:rFonts w:ascii="Book Antiqua" w:hAnsi="Book Antiqua" w:cs="Humanist777BT-RomanB"/>
          <w:sz w:val="24"/>
          <w:szCs w:val="24"/>
        </w:rPr>
        <w:t>la accesibilidad y e</w:t>
      </w:r>
      <w:r w:rsidRPr="006D1C6D">
        <w:rPr>
          <w:rFonts w:ascii="Book Antiqua" w:hAnsi="Book Antiqua" w:cs="Humanist777BT-RomanB"/>
          <w:sz w:val="24"/>
          <w:szCs w:val="24"/>
        </w:rPr>
        <w:t xml:space="preserve">l diseño universal se pretender </w:t>
      </w:r>
      <w:r w:rsidRPr="006D1C6D">
        <w:rPr>
          <w:rFonts w:ascii="Book Antiqua" w:hAnsi="Book Antiqua" w:cs="Humanist777BT-RomanB"/>
          <w:sz w:val="24"/>
          <w:szCs w:val="24"/>
        </w:rPr>
        <w:t xml:space="preserve">erradicar todos </w:t>
      </w:r>
      <w:r w:rsidRPr="006D1C6D">
        <w:rPr>
          <w:rFonts w:ascii="Book Antiqua" w:hAnsi="Book Antiqua" w:cs="Humanist777BT-RomanB"/>
          <w:sz w:val="24"/>
          <w:szCs w:val="24"/>
        </w:rPr>
        <w:t xml:space="preserve">aquellos limites sociales a fin </w:t>
      </w:r>
      <w:r w:rsidRPr="006D1C6D">
        <w:rPr>
          <w:rFonts w:ascii="Book Antiqua" w:hAnsi="Book Antiqua" w:cs="Humanist777BT-RomanB"/>
          <w:sz w:val="24"/>
          <w:szCs w:val="24"/>
        </w:rPr>
        <w:t>de conseguir la plena igualdad de este grupo vulnerable.</w:t>
      </w:r>
    </w:p>
    <w:p w:rsidR="002856D2" w:rsidRPr="006D1C6D" w:rsidRDefault="002856D2" w:rsidP="006D1C6D">
      <w:pPr>
        <w:spacing w:line="276" w:lineRule="auto"/>
        <w:rPr>
          <w:rFonts w:ascii="Book Antiqua" w:hAnsi="Book Antiqua" w:cs="Aparajita"/>
          <w:sz w:val="24"/>
          <w:szCs w:val="24"/>
        </w:rPr>
      </w:pPr>
    </w:p>
    <w:p w:rsidR="006D1C6D" w:rsidRPr="00DB3425" w:rsidRDefault="006D1C6D" w:rsidP="00DB3425">
      <w:pPr>
        <w:autoSpaceDE w:val="0"/>
        <w:autoSpaceDN w:val="0"/>
        <w:adjustRightInd w:val="0"/>
        <w:spacing w:line="276" w:lineRule="auto"/>
        <w:rPr>
          <w:rFonts w:ascii="Book Antiqua" w:hAnsi="Book Antiqua" w:cs="Humanist777BT-RomanB"/>
          <w:sz w:val="24"/>
          <w:szCs w:val="24"/>
        </w:rPr>
      </w:pPr>
      <w:r w:rsidRPr="006D1C6D">
        <w:rPr>
          <w:rFonts w:ascii="Book Antiqua" w:hAnsi="Book Antiqua" w:cs="Humanist777BT-RomanB"/>
          <w:sz w:val="24"/>
          <w:szCs w:val="24"/>
        </w:rPr>
        <w:t xml:space="preserve">En primer término, </w:t>
      </w:r>
      <w:r w:rsidRPr="006D1C6D">
        <w:rPr>
          <w:rFonts w:ascii="Book Antiqua" w:hAnsi="Book Antiqua" w:cs="Humanist777BT-RomanB"/>
          <w:sz w:val="24"/>
          <w:szCs w:val="24"/>
        </w:rPr>
        <w:t xml:space="preserve">la accesibilidad determina la </w:t>
      </w:r>
      <w:r w:rsidRPr="006D1C6D">
        <w:rPr>
          <w:rFonts w:ascii="Book Antiqua" w:hAnsi="Book Antiqua" w:cs="Humanist777BT-RomanB"/>
          <w:sz w:val="24"/>
          <w:szCs w:val="24"/>
        </w:rPr>
        <w:t>obligación estatal</w:t>
      </w:r>
      <w:r w:rsidRPr="006D1C6D">
        <w:rPr>
          <w:rFonts w:ascii="Book Antiqua" w:hAnsi="Book Antiqua" w:cs="Humanist777BT-RomanB"/>
          <w:sz w:val="24"/>
          <w:szCs w:val="24"/>
        </w:rPr>
        <w:t xml:space="preserve"> de garantizar que las personas </w:t>
      </w:r>
      <w:r w:rsidRPr="006D1C6D">
        <w:rPr>
          <w:rFonts w:ascii="Book Antiqua" w:hAnsi="Book Antiqua" w:cs="Humanist777BT-RomanB"/>
          <w:sz w:val="24"/>
          <w:szCs w:val="24"/>
        </w:rPr>
        <w:t xml:space="preserve">con discapacidad tengan </w:t>
      </w:r>
      <w:r w:rsidRPr="006D1C6D">
        <w:rPr>
          <w:rFonts w:ascii="Book Antiqua" w:hAnsi="Book Antiqua" w:cs="Humanist777BT-RomanB"/>
          <w:sz w:val="24"/>
          <w:szCs w:val="24"/>
        </w:rPr>
        <w:t xml:space="preserve">acceso a los bienes y servicios </w:t>
      </w:r>
      <w:r w:rsidRPr="006D1C6D">
        <w:rPr>
          <w:rFonts w:ascii="Book Antiqua" w:hAnsi="Book Antiqua" w:cs="Humanist777BT-RomanB"/>
          <w:sz w:val="24"/>
          <w:szCs w:val="24"/>
        </w:rPr>
        <w:t>en condicion</w:t>
      </w:r>
      <w:r w:rsidRPr="006D1C6D">
        <w:rPr>
          <w:rFonts w:ascii="Book Antiqua" w:hAnsi="Book Antiqua" w:cs="Humanist777BT-RomanB"/>
          <w:sz w:val="24"/>
          <w:szCs w:val="24"/>
        </w:rPr>
        <w:t xml:space="preserve">es de igualdad con las personas </w:t>
      </w:r>
      <w:r w:rsidRPr="006D1C6D">
        <w:rPr>
          <w:rFonts w:ascii="Book Antiqua" w:hAnsi="Book Antiqua" w:cs="Humanist777BT-RomanB"/>
          <w:sz w:val="24"/>
          <w:szCs w:val="24"/>
        </w:rPr>
        <w:t>sin discapacidad</w:t>
      </w:r>
      <w:r w:rsidRPr="006D1C6D">
        <w:rPr>
          <w:rFonts w:ascii="Book Antiqua" w:hAnsi="Book Antiqua" w:cs="Humanist777BT-RomanB"/>
          <w:sz w:val="24"/>
          <w:szCs w:val="24"/>
        </w:rPr>
        <w:t xml:space="preserve"> y, por lo tanto, que </w:t>
      </w:r>
      <w:r w:rsidRPr="00DB3425">
        <w:rPr>
          <w:rFonts w:ascii="Book Antiqua" w:hAnsi="Book Antiqua" w:cs="Humanist777BT-RomanB"/>
          <w:sz w:val="24"/>
          <w:szCs w:val="24"/>
        </w:rPr>
        <w:t xml:space="preserve">gocen por </w:t>
      </w:r>
      <w:r w:rsidRPr="00DB3425">
        <w:rPr>
          <w:rFonts w:ascii="Book Antiqua" w:hAnsi="Book Antiqua" w:cs="Humanist777BT-RomanB"/>
          <w:sz w:val="24"/>
          <w:szCs w:val="24"/>
        </w:rPr>
        <w:t>igual de todos los derechos constitucionales</w:t>
      </w:r>
      <w:r w:rsidRPr="00DB3425">
        <w:rPr>
          <w:rStyle w:val="Refdenotaalpie"/>
          <w:rFonts w:ascii="Book Antiqua" w:hAnsi="Book Antiqua" w:cs="Humanist777BT-RomanB"/>
          <w:sz w:val="24"/>
          <w:szCs w:val="24"/>
        </w:rPr>
        <w:footnoteReference w:id="7"/>
      </w:r>
      <w:r w:rsidRPr="00DB3425">
        <w:rPr>
          <w:rFonts w:ascii="Book Antiqua" w:hAnsi="Book Antiqua" w:cs="Humanist777BT-RomanB"/>
          <w:sz w:val="24"/>
          <w:szCs w:val="24"/>
        </w:rPr>
        <w:t xml:space="preserve">. Esta </w:t>
      </w:r>
      <w:r w:rsidRPr="00DB3425">
        <w:rPr>
          <w:rFonts w:ascii="Book Antiqua" w:hAnsi="Book Antiqua" w:cs="Humanist777BT-RomanB"/>
          <w:sz w:val="24"/>
          <w:szCs w:val="24"/>
        </w:rPr>
        <w:t>se convierte, c</w:t>
      </w:r>
      <w:r w:rsidRPr="00DB3425">
        <w:rPr>
          <w:rFonts w:ascii="Book Antiqua" w:hAnsi="Book Antiqua" w:cs="Humanist777BT-RomanB"/>
          <w:sz w:val="24"/>
          <w:szCs w:val="24"/>
        </w:rPr>
        <w:t xml:space="preserve">omo se podrá comparar luego, en </w:t>
      </w:r>
      <w:r w:rsidRPr="00DB3425">
        <w:rPr>
          <w:rFonts w:ascii="Book Antiqua" w:hAnsi="Book Antiqua" w:cs="Humanist777BT-RomanB"/>
          <w:sz w:val="24"/>
          <w:szCs w:val="24"/>
        </w:rPr>
        <w:t>una obligación un</w:t>
      </w:r>
      <w:r w:rsidRPr="00DB3425">
        <w:rPr>
          <w:rFonts w:ascii="Book Antiqua" w:hAnsi="Book Antiqua" w:cs="Humanist777BT-RomanB"/>
          <w:sz w:val="24"/>
          <w:szCs w:val="24"/>
        </w:rPr>
        <w:t xml:space="preserve"> poco más específica que la del </w:t>
      </w:r>
      <w:r w:rsidRPr="00DB3425">
        <w:rPr>
          <w:rFonts w:ascii="Book Antiqua" w:hAnsi="Book Antiqua" w:cs="Humanist777BT-RomanB"/>
          <w:sz w:val="24"/>
          <w:szCs w:val="24"/>
        </w:rPr>
        <w:t>diseño universal.</w:t>
      </w:r>
    </w:p>
    <w:p w:rsidR="00DB3425" w:rsidRPr="00DB3425" w:rsidRDefault="00DB3425" w:rsidP="00DB3425">
      <w:pPr>
        <w:autoSpaceDE w:val="0"/>
        <w:autoSpaceDN w:val="0"/>
        <w:adjustRightInd w:val="0"/>
        <w:spacing w:line="276" w:lineRule="auto"/>
        <w:rPr>
          <w:rFonts w:ascii="Book Antiqua" w:hAnsi="Book Antiqua" w:cs="Humanist777BT-RomanB"/>
          <w:sz w:val="24"/>
          <w:szCs w:val="24"/>
        </w:rPr>
      </w:pPr>
    </w:p>
    <w:p w:rsidR="00DB3425" w:rsidRPr="00DB3425" w:rsidRDefault="00DB3425" w:rsidP="00DB3425">
      <w:pPr>
        <w:autoSpaceDE w:val="0"/>
        <w:autoSpaceDN w:val="0"/>
        <w:adjustRightInd w:val="0"/>
        <w:spacing w:line="276" w:lineRule="auto"/>
        <w:rPr>
          <w:rFonts w:ascii="Book Antiqua" w:hAnsi="Book Antiqua" w:cs="Humanist777BT-RomanB"/>
          <w:sz w:val="24"/>
          <w:szCs w:val="24"/>
        </w:rPr>
      </w:pPr>
      <w:r w:rsidRPr="00DB3425">
        <w:rPr>
          <w:rFonts w:ascii="Book Antiqua" w:hAnsi="Book Antiqua" w:cs="Humanist777BT-RomanB"/>
          <w:sz w:val="24"/>
          <w:szCs w:val="24"/>
        </w:rPr>
        <w:t>En este sentido, los</w:t>
      </w:r>
      <w:r w:rsidRPr="00DB3425">
        <w:rPr>
          <w:rFonts w:ascii="Book Antiqua" w:hAnsi="Book Antiqua" w:cs="Humanist777BT-RomanB"/>
          <w:sz w:val="24"/>
          <w:szCs w:val="24"/>
        </w:rPr>
        <w:t xml:space="preserve"> Estados deben garantizar a las </w:t>
      </w:r>
      <w:r w:rsidRPr="00DB3425">
        <w:rPr>
          <w:rFonts w:ascii="Book Antiqua" w:hAnsi="Book Antiqua" w:cs="Humanist777BT-RomanB"/>
          <w:sz w:val="24"/>
          <w:szCs w:val="24"/>
        </w:rPr>
        <w:t>personas con discap</w:t>
      </w:r>
      <w:r w:rsidRPr="00DB3425">
        <w:rPr>
          <w:rFonts w:ascii="Book Antiqua" w:hAnsi="Book Antiqua" w:cs="Humanist777BT-RomanB"/>
          <w:sz w:val="24"/>
          <w:szCs w:val="24"/>
        </w:rPr>
        <w:t xml:space="preserve">acidad el acceso a los entornos </w:t>
      </w:r>
      <w:r w:rsidRPr="00DB3425">
        <w:rPr>
          <w:rFonts w:ascii="Book Antiqua" w:hAnsi="Book Antiqua" w:cs="Humanist777BT-RomanB"/>
          <w:sz w:val="24"/>
          <w:szCs w:val="24"/>
        </w:rPr>
        <w:t>físicos, transporte</w:t>
      </w:r>
      <w:r w:rsidRPr="00DB3425">
        <w:rPr>
          <w:rFonts w:ascii="Book Antiqua" w:hAnsi="Book Antiqua" w:cs="Humanist777BT-RomanB"/>
          <w:sz w:val="24"/>
          <w:szCs w:val="24"/>
        </w:rPr>
        <w:t xml:space="preserve">, información, comunicación y a </w:t>
      </w:r>
      <w:r w:rsidRPr="00DB3425">
        <w:rPr>
          <w:rFonts w:ascii="Book Antiqua" w:hAnsi="Book Antiqua" w:cs="Humanist777BT-RomanB"/>
          <w:sz w:val="24"/>
          <w:szCs w:val="24"/>
        </w:rPr>
        <w:t>todos aquellos campos de la vida en sociedad que</w:t>
      </w:r>
      <w:r w:rsidRPr="00DB3425">
        <w:rPr>
          <w:rFonts w:ascii="Book Antiqua" w:hAnsi="Book Antiqua" w:cs="Humanist777BT-RomanB"/>
          <w:sz w:val="24"/>
          <w:szCs w:val="24"/>
        </w:rPr>
        <w:t xml:space="preserve"> </w:t>
      </w:r>
      <w:r w:rsidRPr="00DB3425">
        <w:rPr>
          <w:rFonts w:ascii="Book Antiqua" w:hAnsi="Book Antiqua" w:cs="Humanist777BT-RomanB"/>
          <w:sz w:val="24"/>
          <w:szCs w:val="24"/>
        </w:rPr>
        <w:t>les permita desarrollar su proyecto de</w:t>
      </w:r>
      <w:r w:rsidRPr="00DB3425">
        <w:rPr>
          <w:rFonts w:ascii="Book Antiqua" w:hAnsi="Book Antiqua" w:cs="Humanist777BT-RomanB"/>
          <w:sz w:val="24"/>
          <w:szCs w:val="24"/>
        </w:rPr>
        <w:t xml:space="preserve"> vida de manera </w:t>
      </w:r>
      <w:r w:rsidRPr="00DB3425">
        <w:rPr>
          <w:rFonts w:ascii="Book Antiqua" w:hAnsi="Book Antiqua" w:cs="Humanist777BT-RomanB"/>
          <w:sz w:val="24"/>
          <w:szCs w:val="24"/>
        </w:rPr>
        <w:t>independie</w:t>
      </w:r>
      <w:r w:rsidRPr="00DB3425">
        <w:rPr>
          <w:rFonts w:ascii="Book Antiqua" w:hAnsi="Book Antiqua" w:cs="Humanist777BT-RomanB"/>
          <w:sz w:val="24"/>
          <w:szCs w:val="24"/>
        </w:rPr>
        <w:t xml:space="preserve">nte. Asimismo, deben garantizar </w:t>
      </w:r>
      <w:r w:rsidRPr="00DB3425">
        <w:rPr>
          <w:rFonts w:ascii="Book Antiqua" w:hAnsi="Book Antiqua" w:cs="Humanist777BT-RomanB"/>
          <w:sz w:val="24"/>
          <w:szCs w:val="24"/>
        </w:rPr>
        <w:t xml:space="preserve">la accesibilidad de </w:t>
      </w:r>
      <w:r w:rsidRPr="00DB3425">
        <w:rPr>
          <w:rFonts w:ascii="Book Antiqua" w:hAnsi="Book Antiqua" w:cs="Humanist777BT-RomanB"/>
          <w:sz w:val="24"/>
          <w:szCs w:val="24"/>
        </w:rPr>
        <w:t xml:space="preserve">las personas con discapacidad a </w:t>
      </w:r>
      <w:r w:rsidRPr="00DB3425">
        <w:rPr>
          <w:rFonts w:ascii="Book Antiqua" w:hAnsi="Book Antiqua" w:cs="Humanist777BT-RomanB"/>
          <w:sz w:val="24"/>
          <w:szCs w:val="24"/>
        </w:rPr>
        <w:t>los servicios abiert</w:t>
      </w:r>
      <w:r w:rsidRPr="00DB3425">
        <w:rPr>
          <w:rFonts w:ascii="Book Antiqua" w:hAnsi="Book Antiqua" w:cs="Humanist777BT-RomanB"/>
          <w:sz w:val="24"/>
          <w:szCs w:val="24"/>
        </w:rPr>
        <w:t xml:space="preserve">os al público, aun cuando estos </w:t>
      </w:r>
      <w:r w:rsidRPr="00DB3425">
        <w:rPr>
          <w:rFonts w:ascii="Book Antiqua" w:hAnsi="Book Antiqua" w:cs="Humanist777BT-RomanB"/>
          <w:sz w:val="24"/>
          <w:szCs w:val="24"/>
        </w:rPr>
        <w:t>sean prestados por entes particulares.</w:t>
      </w:r>
    </w:p>
    <w:p w:rsidR="00DB3425" w:rsidRPr="00DB3425" w:rsidRDefault="00DB3425" w:rsidP="00DB3425">
      <w:pPr>
        <w:autoSpaceDE w:val="0"/>
        <w:autoSpaceDN w:val="0"/>
        <w:adjustRightInd w:val="0"/>
        <w:spacing w:line="276" w:lineRule="auto"/>
        <w:rPr>
          <w:rFonts w:ascii="Book Antiqua" w:hAnsi="Book Antiqua" w:cs="Humanist777BT-RomanB"/>
          <w:sz w:val="24"/>
          <w:szCs w:val="24"/>
        </w:rPr>
      </w:pPr>
    </w:p>
    <w:p w:rsidR="00DB3425" w:rsidRPr="00D20870" w:rsidRDefault="00DB3425" w:rsidP="00D20870">
      <w:pPr>
        <w:autoSpaceDE w:val="0"/>
        <w:autoSpaceDN w:val="0"/>
        <w:adjustRightInd w:val="0"/>
        <w:spacing w:line="276" w:lineRule="auto"/>
        <w:rPr>
          <w:rFonts w:ascii="Book Antiqua" w:hAnsi="Book Antiqua" w:cs="Humanist777BT-RomanB"/>
          <w:sz w:val="24"/>
          <w:szCs w:val="24"/>
        </w:rPr>
      </w:pPr>
      <w:r w:rsidRPr="00DB3425">
        <w:rPr>
          <w:rFonts w:ascii="Book Antiqua" w:hAnsi="Book Antiqua" w:cs="Humanist777BT-RomanB"/>
          <w:sz w:val="24"/>
          <w:szCs w:val="24"/>
        </w:rPr>
        <w:t xml:space="preserve">El </w:t>
      </w:r>
      <w:r w:rsidRPr="00DB3425">
        <w:rPr>
          <w:rFonts w:ascii="Book Antiqua" w:hAnsi="Book Antiqua" w:cs="Humanist777BT-RomanB"/>
          <w:sz w:val="24"/>
          <w:szCs w:val="24"/>
        </w:rPr>
        <w:t xml:space="preserve">CRPD </w:t>
      </w:r>
      <w:r w:rsidRPr="00DB3425">
        <w:rPr>
          <w:rFonts w:ascii="Book Antiqua" w:hAnsi="Book Antiqua" w:cs="Humanist777BT-RomanB"/>
          <w:sz w:val="24"/>
          <w:szCs w:val="24"/>
        </w:rPr>
        <w:t>ha señalado que la ac</w:t>
      </w:r>
      <w:r w:rsidRPr="00DB3425">
        <w:rPr>
          <w:rFonts w:ascii="Book Antiqua" w:hAnsi="Book Antiqua" w:cs="Humanist777BT-RomanB"/>
          <w:sz w:val="24"/>
          <w:szCs w:val="24"/>
        </w:rPr>
        <w:t xml:space="preserve">cesibilidad resulta necesaria e </w:t>
      </w:r>
      <w:r w:rsidRPr="00DB3425">
        <w:rPr>
          <w:rFonts w:ascii="Book Antiqua" w:hAnsi="Book Antiqua" w:cs="Humanist777BT-RomanB"/>
          <w:sz w:val="24"/>
          <w:szCs w:val="24"/>
        </w:rPr>
        <w:t>indispensable para qu</w:t>
      </w:r>
      <w:r w:rsidRPr="00DB3425">
        <w:rPr>
          <w:rFonts w:ascii="Book Antiqua" w:hAnsi="Book Antiqua" w:cs="Humanist777BT-RomanB"/>
          <w:sz w:val="24"/>
          <w:szCs w:val="24"/>
        </w:rPr>
        <w:t xml:space="preserve">e las personas con discapacidad </w:t>
      </w:r>
      <w:r w:rsidRPr="00DB3425">
        <w:rPr>
          <w:rFonts w:ascii="Book Antiqua" w:hAnsi="Book Antiqua" w:cs="Humanist777BT-RomanB"/>
          <w:sz w:val="24"/>
          <w:szCs w:val="24"/>
        </w:rPr>
        <w:t>disfruten de m</w:t>
      </w:r>
      <w:r w:rsidRPr="00DB3425">
        <w:rPr>
          <w:rFonts w:ascii="Book Antiqua" w:hAnsi="Book Antiqua" w:cs="Humanist777BT-RomanB"/>
          <w:sz w:val="24"/>
          <w:szCs w:val="24"/>
        </w:rPr>
        <w:t xml:space="preserve">anera efectiva y en condiciones </w:t>
      </w:r>
      <w:r w:rsidRPr="00DB3425">
        <w:rPr>
          <w:rFonts w:ascii="Book Antiqua" w:hAnsi="Book Antiqua" w:cs="Humanist777BT-RomanB"/>
          <w:sz w:val="24"/>
          <w:szCs w:val="24"/>
        </w:rPr>
        <w:t xml:space="preserve">de igualdad de los derechos </w:t>
      </w:r>
      <w:r w:rsidRPr="00DB3425">
        <w:rPr>
          <w:rFonts w:ascii="Book Antiqua" w:hAnsi="Book Antiqua" w:cs="Humanist777BT-RomanB"/>
          <w:sz w:val="24"/>
          <w:szCs w:val="24"/>
        </w:rPr>
        <w:t xml:space="preserve">civiles, políticos, económicos, </w:t>
      </w:r>
      <w:r w:rsidRPr="00DB3425">
        <w:rPr>
          <w:rFonts w:ascii="Book Antiqua" w:hAnsi="Book Antiqua" w:cs="Humanist777BT-RomanB"/>
          <w:sz w:val="24"/>
          <w:szCs w:val="24"/>
        </w:rPr>
        <w:t xml:space="preserve">sociales y </w:t>
      </w:r>
      <w:r w:rsidRPr="00DB3425">
        <w:rPr>
          <w:rFonts w:ascii="Book Antiqua" w:hAnsi="Book Antiqua" w:cs="Humanist777BT-RomanB"/>
          <w:sz w:val="24"/>
          <w:szCs w:val="24"/>
        </w:rPr>
        <w:t xml:space="preserve">culturales. Por ello, el Estado </w:t>
      </w:r>
      <w:r w:rsidRPr="00DB3425">
        <w:rPr>
          <w:rFonts w:ascii="Book Antiqua" w:hAnsi="Book Antiqua" w:cs="Humanist777BT-RomanB"/>
          <w:sz w:val="24"/>
          <w:szCs w:val="24"/>
        </w:rPr>
        <w:t>está obligado a aproba</w:t>
      </w:r>
      <w:r w:rsidRPr="00DB3425">
        <w:rPr>
          <w:rFonts w:ascii="Book Antiqua" w:hAnsi="Book Antiqua" w:cs="Humanist777BT-RomanB"/>
          <w:sz w:val="24"/>
          <w:szCs w:val="24"/>
        </w:rPr>
        <w:t xml:space="preserve">r y promulgar normas nacionales </w:t>
      </w:r>
      <w:r w:rsidRPr="00DB3425">
        <w:rPr>
          <w:rFonts w:ascii="Book Antiqua" w:hAnsi="Book Antiqua" w:cs="Humanist777BT-RomanB"/>
          <w:sz w:val="24"/>
          <w:szCs w:val="24"/>
        </w:rPr>
        <w:t>de accesibil</w:t>
      </w:r>
      <w:r w:rsidRPr="00DB3425">
        <w:rPr>
          <w:rFonts w:ascii="Book Antiqua" w:hAnsi="Book Antiqua" w:cs="Humanist777BT-RomanB"/>
          <w:sz w:val="24"/>
          <w:szCs w:val="24"/>
        </w:rPr>
        <w:t xml:space="preserve">idad y a supervisarlas; además, </w:t>
      </w:r>
      <w:r w:rsidRPr="00DB3425">
        <w:rPr>
          <w:rFonts w:ascii="Book Antiqua" w:hAnsi="Book Antiqua" w:cs="Humanist777BT-RomanB"/>
          <w:sz w:val="24"/>
          <w:szCs w:val="24"/>
        </w:rPr>
        <w:t>en caso de no contar co</w:t>
      </w:r>
      <w:r w:rsidRPr="00DB3425">
        <w:rPr>
          <w:rFonts w:ascii="Book Antiqua" w:hAnsi="Book Antiqua" w:cs="Humanist777BT-RomanB"/>
          <w:sz w:val="24"/>
          <w:szCs w:val="24"/>
        </w:rPr>
        <w:t xml:space="preserve">n legislación sobre </w:t>
      </w:r>
      <w:r w:rsidRPr="00D20870">
        <w:rPr>
          <w:rFonts w:ascii="Book Antiqua" w:hAnsi="Book Antiqua" w:cs="Humanist777BT-RomanB"/>
          <w:sz w:val="24"/>
          <w:szCs w:val="24"/>
        </w:rPr>
        <w:t xml:space="preserve">la materia, </w:t>
      </w:r>
      <w:r w:rsidRPr="00D20870">
        <w:rPr>
          <w:rFonts w:ascii="Book Antiqua" w:hAnsi="Book Antiqua" w:cs="Humanist777BT-RomanB"/>
          <w:sz w:val="24"/>
          <w:szCs w:val="24"/>
        </w:rPr>
        <w:t>el primer pa</w:t>
      </w:r>
      <w:r w:rsidRPr="00D20870">
        <w:rPr>
          <w:rFonts w:ascii="Book Antiqua" w:hAnsi="Book Antiqua" w:cs="Humanist777BT-RomanB"/>
          <w:sz w:val="24"/>
          <w:szCs w:val="24"/>
        </w:rPr>
        <w:t xml:space="preserve">so es aprobar un marco jurídico </w:t>
      </w:r>
      <w:r w:rsidRPr="00D20870">
        <w:rPr>
          <w:rFonts w:ascii="Book Antiqua" w:hAnsi="Book Antiqua" w:cs="Humanist777BT-RomanB"/>
          <w:sz w:val="24"/>
          <w:szCs w:val="24"/>
        </w:rPr>
        <w:t>adecuado</w:t>
      </w:r>
      <w:r w:rsidRPr="00D20870">
        <w:rPr>
          <w:rFonts w:ascii="Book Antiqua" w:hAnsi="Book Antiqua" w:cs="Humanist777BT-RomanB"/>
          <w:sz w:val="24"/>
          <w:szCs w:val="24"/>
        </w:rPr>
        <w:t>.</w:t>
      </w:r>
      <w:r w:rsidRPr="00D20870">
        <w:rPr>
          <w:rStyle w:val="Refdenotaalpie"/>
          <w:rFonts w:ascii="Book Antiqua" w:hAnsi="Book Antiqua" w:cs="Humanist777BT-RomanB"/>
          <w:sz w:val="24"/>
          <w:szCs w:val="24"/>
        </w:rPr>
        <w:footnoteReference w:id="8"/>
      </w:r>
    </w:p>
    <w:p w:rsidR="00D20870" w:rsidRPr="00D20870" w:rsidRDefault="00D20870" w:rsidP="00D20870">
      <w:pPr>
        <w:autoSpaceDE w:val="0"/>
        <w:autoSpaceDN w:val="0"/>
        <w:adjustRightInd w:val="0"/>
        <w:spacing w:line="276" w:lineRule="auto"/>
        <w:rPr>
          <w:rFonts w:ascii="Book Antiqua" w:hAnsi="Book Antiqua" w:cs="Humanist777BT-RomanB"/>
          <w:sz w:val="24"/>
          <w:szCs w:val="24"/>
        </w:rPr>
      </w:pPr>
    </w:p>
    <w:p w:rsidR="00D20870" w:rsidRPr="003B0B48" w:rsidRDefault="00D20870" w:rsidP="003B0B48">
      <w:pPr>
        <w:autoSpaceDE w:val="0"/>
        <w:autoSpaceDN w:val="0"/>
        <w:adjustRightInd w:val="0"/>
        <w:spacing w:line="276" w:lineRule="auto"/>
        <w:rPr>
          <w:rFonts w:ascii="Book Antiqua" w:hAnsi="Book Antiqua" w:cs="Humanist777BT-RomanB"/>
          <w:sz w:val="24"/>
          <w:szCs w:val="24"/>
        </w:rPr>
      </w:pPr>
      <w:r w:rsidRPr="00D20870">
        <w:rPr>
          <w:rFonts w:ascii="Book Antiqua" w:hAnsi="Book Antiqua" w:cs="Humanist777BT-RomanB"/>
          <w:sz w:val="24"/>
          <w:szCs w:val="24"/>
        </w:rPr>
        <w:t>Ahora bien, l</w:t>
      </w:r>
      <w:r w:rsidRPr="00D20870">
        <w:rPr>
          <w:rFonts w:ascii="Book Antiqua" w:hAnsi="Book Antiqua" w:cs="Humanist777BT-RomanB"/>
          <w:sz w:val="24"/>
          <w:szCs w:val="24"/>
        </w:rPr>
        <w:t>a obligación de</w:t>
      </w:r>
      <w:r w:rsidRPr="00D20870">
        <w:rPr>
          <w:rFonts w:ascii="Book Antiqua" w:hAnsi="Book Antiqua" w:cs="Humanist777BT-RomanB"/>
          <w:sz w:val="24"/>
          <w:szCs w:val="24"/>
        </w:rPr>
        <w:t xml:space="preserve"> diseño universal, hasta cierto </w:t>
      </w:r>
      <w:r w:rsidRPr="00D20870">
        <w:rPr>
          <w:rFonts w:ascii="Book Antiqua" w:hAnsi="Book Antiqua" w:cs="Humanist777BT-RomanB"/>
          <w:sz w:val="24"/>
          <w:szCs w:val="24"/>
        </w:rPr>
        <w:t>punto, va más allá</w:t>
      </w:r>
      <w:r w:rsidRPr="00D20870">
        <w:rPr>
          <w:rFonts w:ascii="Book Antiqua" w:hAnsi="Book Antiqua" w:cs="Humanist777BT-RomanB"/>
          <w:sz w:val="24"/>
          <w:szCs w:val="24"/>
        </w:rPr>
        <w:t xml:space="preserve"> del concepto de accesibilidad, </w:t>
      </w:r>
      <w:r w:rsidRPr="00D20870">
        <w:rPr>
          <w:rFonts w:ascii="Book Antiqua" w:hAnsi="Book Antiqua" w:cs="Humanist777BT-RomanB"/>
          <w:sz w:val="24"/>
          <w:szCs w:val="24"/>
        </w:rPr>
        <w:t>dado que es una</w:t>
      </w:r>
      <w:r w:rsidRPr="00D20870">
        <w:rPr>
          <w:rFonts w:ascii="Book Antiqua" w:hAnsi="Book Antiqua" w:cs="Humanist777BT-RomanB"/>
          <w:sz w:val="24"/>
          <w:szCs w:val="24"/>
        </w:rPr>
        <w:t xml:space="preserve"> estrategia encaminada a lograr </w:t>
      </w:r>
      <w:r w:rsidRPr="00D20870">
        <w:rPr>
          <w:rFonts w:ascii="Book Antiqua" w:hAnsi="Book Antiqua" w:cs="Humanist777BT-RomanB"/>
          <w:sz w:val="24"/>
          <w:szCs w:val="24"/>
        </w:rPr>
        <w:t xml:space="preserve">que la </w:t>
      </w:r>
      <w:r w:rsidRPr="00D20870">
        <w:rPr>
          <w:rFonts w:ascii="Book Antiqua" w:hAnsi="Book Antiqua" w:cs="Humanist777BT-RomanB"/>
          <w:sz w:val="24"/>
          <w:szCs w:val="24"/>
        </w:rPr>
        <w:lastRenderedPageBreak/>
        <w:t xml:space="preserve">concepción y </w:t>
      </w:r>
      <w:r w:rsidRPr="00D20870">
        <w:rPr>
          <w:rFonts w:ascii="Book Antiqua" w:hAnsi="Book Antiqua" w:cs="Humanist777BT-RomanB"/>
          <w:sz w:val="24"/>
          <w:szCs w:val="24"/>
        </w:rPr>
        <w:t xml:space="preserve">la estructura de los diferentes </w:t>
      </w:r>
      <w:r w:rsidRPr="00D20870">
        <w:rPr>
          <w:rFonts w:ascii="Book Antiqua" w:hAnsi="Book Antiqua" w:cs="Humanist777BT-RomanB"/>
          <w:sz w:val="24"/>
          <w:szCs w:val="24"/>
        </w:rPr>
        <w:t>entornos, produc</w:t>
      </w:r>
      <w:r w:rsidRPr="00D20870">
        <w:rPr>
          <w:rFonts w:ascii="Book Antiqua" w:hAnsi="Book Antiqua" w:cs="Humanist777BT-RomanB"/>
          <w:sz w:val="24"/>
          <w:szCs w:val="24"/>
        </w:rPr>
        <w:t xml:space="preserve">tos, tecnologías y servicios de </w:t>
      </w:r>
      <w:r w:rsidRPr="00D20870">
        <w:rPr>
          <w:rFonts w:ascii="Book Antiqua" w:hAnsi="Book Antiqua" w:cs="Humanist777BT-RomanB"/>
          <w:sz w:val="24"/>
          <w:szCs w:val="24"/>
        </w:rPr>
        <w:t>información y comunicación sean comprensibles y</w:t>
      </w:r>
      <w:r w:rsidRPr="00D20870">
        <w:rPr>
          <w:rFonts w:ascii="Book Antiqua" w:hAnsi="Book Antiqua" w:cs="Humanist777BT-RomanB"/>
          <w:sz w:val="24"/>
          <w:szCs w:val="24"/>
        </w:rPr>
        <w:t xml:space="preserve"> </w:t>
      </w:r>
      <w:r w:rsidRPr="00D20870">
        <w:rPr>
          <w:rFonts w:ascii="Book Antiqua" w:hAnsi="Book Antiqua" w:cs="Humanist777BT-RomanB"/>
          <w:sz w:val="24"/>
          <w:szCs w:val="24"/>
        </w:rPr>
        <w:t>fáciles de utilizar para todos del modo más generalizado</w:t>
      </w:r>
      <w:r w:rsidRPr="00D20870">
        <w:rPr>
          <w:rFonts w:ascii="Book Antiqua" w:hAnsi="Book Antiqua" w:cs="Humanist777BT-RomanB"/>
          <w:sz w:val="24"/>
          <w:szCs w:val="24"/>
        </w:rPr>
        <w:t>.</w:t>
      </w:r>
      <w:r w:rsidRPr="00D20870">
        <w:rPr>
          <w:rStyle w:val="Refdenotaalpie"/>
          <w:rFonts w:ascii="Book Antiqua" w:hAnsi="Book Antiqua" w:cs="Humanist777BT-RomanB"/>
          <w:sz w:val="24"/>
          <w:szCs w:val="24"/>
        </w:rPr>
        <w:footnoteReference w:id="9"/>
      </w:r>
      <w:r w:rsidRPr="00D20870">
        <w:rPr>
          <w:rFonts w:ascii="Book Antiqua" w:hAnsi="Book Antiqua" w:cs="Humanist777BT-RomanB"/>
          <w:sz w:val="24"/>
          <w:szCs w:val="24"/>
        </w:rPr>
        <w:t xml:space="preserve"> </w:t>
      </w:r>
      <w:r w:rsidRPr="00D20870">
        <w:rPr>
          <w:rFonts w:ascii="Book Antiqua" w:hAnsi="Book Antiqua" w:cs="Humanist777BT-RomanB"/>
          <w:sz w:val="24"/>
          <w:szCs w:val="24"/>
        </w:rPr>
        <w:t>La construc</w:t>
      </w:r>
      <w:r w:rsidRPr="00D20870">
        <w:rPr>
          <w:rFonts w:ascii="Book Antiqua" w:hAnsi="Book Antiqua" w:cs="Humanist777BT-RomanB"/>
          <w:sz w:val="24"/>
          <w:szCs w:val="24"/>
        </w:rPr>
        <w:t xml:space="preserve">ción de estructuras físicas, la </w:t>
      </w:r>
      <w:r w:rsidRPr="00D20870">
        <w:rPr>
          <w:rFonts w:ascii="Book Antiqua" w:hAnsi="Book Antiqua" w:cs="Humanist777BT-RomanB"/>
          <w:sz w:val="24"/>
          <w:szCs w:val="24"/>
        </w:rPr>
        <w:t>adopción de normativa</w:t>
      </w:r>
      <w:r w:rsidRPr="00D20870">
        <w:rPr>
          <w:rFonts w:ascii="Book Antiqua" w:hAnsi="Book Antiqua" w:cs="Humanist777BT-RomanB"/>
          <w:sz w:val="24"/>
          <w:szCs w:val="24"/>
        </w:rPr>
        <w:t xml:space="preserve">, las políticas públicas, entre </w:t>
      </w:r>
      <w:r w:rsidRPr="00D20870">
        <w:rPr>
          <w:rFonts w:ascii="Book Antiqua" w:hAnsi="Book Antiqua" w:cs="Humanist777BT-RomanB"/>
          <w:sz w:val="24"/>
          <w:szCs w:val="24"/>
        </w:rPr>
        <w:t>otras cuestiones propia</w:t>
      </w:r>
      <w:r w:rsidRPr="00D20870">
        <w:rPr>
          <w:rFonts w:ascii="Book Antiqua" w:hAnsi="Book Antiqua" w:cs="Humanist777BT-RomanB"/>
          <w:sz w:val="24"/>
          <w:szCs w:val="24"/>
        </w:rPr>
        <w:t xml:space="preserve">s de la vida en sociedad, deben </w:t>
      </w:r>
      <w:r w:rsidRPr="00D20870">
        <w:rPr>
          <w:rFonts w:ascii="Book Antiqua" w:hAnsi="Book Antiqua" w:cs="Humanist777BT-RomanB"/>
          <w:sz w:val="24"/>
          <w:szCs w:val="24"/>
        </w:rPr>
        <w:t>tener un dise</w:t>
      </w:r>
      <w:r w:rsidRPr="00D20870">
        <w:rPr>
          <w:rFonts w:ascii="Book Antiqua" w:hAnsi="Book Antiqua" w:cs="Humanist777BT-RomanB"/>
          <w:sz w:val="24"/>
          <w:szCs w:val="24"/>
        </w:rPr>
        <w:t xml:space="preserve">ño amplio que en su elaboración </w:t>
      </w:r>
      <w:r w:rsidRPr="00D20870">
        <w:rPr>
          <w:rFonts w:ascii="Book Antiqua" w:hAnsi="Book Antiqua" w:cs="Humanist777BT-RomanB"/>
          <w:sz w:val="24"/>
          <w:szCs w:val="24"/>
        </w:rPr>
        <w:t xml:space="preserve">no tengan solo </w:t>
      </w:r>
      <w:r w:rsidRPr="003B0B48">
        <w:rPr>
          <w:rFonts w:ascii="Book Antiqua" w:hAnsi="Book Antiqua" w:cs="Humanist777BT-RomanB"/>
          <w:sz w:val="24"/>
          <w:szCs w:val="24"/>
        </w:rPr>
        <w:t>como des</w:t>
      </w:r>
      <w:r w:rsidRPr="003B0B48">
        <w:rPr>
          <w:rFonts w:ascii="Book Antiqua" w:hAnsi="Book Antiqua" w:cs="Humanist777BT-RomanB"/>
          <w:sz w:val="24"/>
          <w:szCs w:val="24"/>
        </w:rPr>
        <w:t xml:space="preserve">tinatarios finales las personas </w:t>
      </w:r>
      <w:r w:rsidRPr="003B0B48">
        <w:rPr>
          <w:rFonts w:ascii="Book Antiqua" w:hAnsi="Book Antiqua" w:cs="Humanist777BT-RomanB"/>
          <w:sz w:val="24"/>
          <w:szCs w:val="24"/>
        </w:rPr>
        <w:t>sin discapac</w:t>
      </w:r>
      <w:r w:rsidRPr="003B0B48">
        <w:rPr>
          <w:rFonts w:ascii="Book Antiqua" w:hAnsi="Book Antiqua" w:cs="Humanist777BT-RomanB"/>
          <w:sz w:val="24"/>
          <w:szCs w:val="24"/>
        </w:rPr>
        <w:t xml:space="preserve">idad, sino también aquellas que </w:t>
      </w:r>
      <w:r w:rsidRPr="003B0B48">
        <w:rPr>
          <w:rFonts w:ascii="Book Antiqua" w:hAnsi="Book Antiqua" w:cs="Humanist777BT-RomanB"/>
          <w:sz w:val="24"/>
          <w:szCs w:val="24"/>
        </w:rPr>
        <w:t>tienen una discapacidad</w:t>
      </w:r>
      <w:r w:rsidRPr="003B0B48">
        <w:rPr>
          <w:rFonts w:ascii="Book Antiqua" w:hAnsi="Book Antiqua" w:cs="Humanist777BT-RomanB"/>
          <w:sz w:val="24"/>
          <w:szCs w:val="24"/>
        </w:rPr>
        <w:t xml:space="preserve">. Por ello, el diseño universal </w:t>
      </w:r>
      <w:r w:rsidRPr="003B0B48">
        <w:rPr>
          <w:rFonts w:ascii="Book Antiqua" w:hAnsi="Book Antiqua" w:cs="Humanist777BT-RomanB"/>
          <w:sz w:val="24"/>
          <w:szCs w:val="24"/>
        </w:rPr>
        <w:t>es llamado también “diseño para todos”, “</w:t>
      </w:r>
      <w:r w:rsidRPr="003B0B48">
        <w:rPr>
          <w:rFonts w:ascii="Book Antiqua" w:hAnsi="Book Antiqua" w:cs="Humanist777BT-RomanB"/>
          <w:sz w:val="24"/>
          <w:szCs w:val="24"/>
        </w:rPr>
        <w:t xml:space="preserve">diseño </w:t>
      </w:r>
      <w:r w:rsidRPr="003B0B48">
        <w:rPr>
          <w:rFonts w:ascii="Book Antiqua" w:hAnsi="Book Antiqua" w:cs="Humanist777BT-RomanB"/>
          <w:sz w:val="24"/>
          <w:szCs w:val="24"/>
        </w:rPr>
        <w:t>global” o “diseño transgeneracional”.</w:t>
      </w:r>
    </w:p>
    <w:p w:rsidR="003B0B48" w:rsidRPr="003B0B48" w:rsidRDefault="003B0B48" w:rsidP="003B0B48">
      <w:pPr>
        <w:autoSpaceDE w:val="0"/>
        <w:autoSpaceDN w:val="0"/>
        <w:adjustRightInd w:val="0"/>
        <w:spacing w:line="276" w:lineRule="auto"/>
        <w:rPr>
          <w:rFonts w:ascii="Book Antiqua" w:hAnsi="Book Antiqua" w:cs="Humanist777BT-RomanB"/>
          <w:sz w:val="24"/>
          <w:szCs w:val="24"/>
        </w:rPr>
      </w:pPr>
    </w:p>
    <w:p w:rsidR="003B0B48" w:rsidRDefault="003B0B48" w:rsidP="003B0B48">
      <w:pPr>
        <w:autoSpaceDE w:val="0"/>
        <w:autoSpaceDN w:val="0"/>
        <w:adjustRightInd w:val="0"/>
        <w:spacing w:line="276" w:lineRule="auto"/>
        <w:rPr>
          <w:rFonts w:ascii="Book Antiqua" w:hAnsi="Book Antiqua" w:cs="Humanist777BT-RomanB"/>
          <w:sz w:val="24"/>
          <w:szCs w:val="24"/>
        </w:rPr>
      </w:pPr>
      <w:r w:rsidRPr="003B0B48">
        <w:rPr>
          <w:rFonts w:ascii="Book Antiqua" w:hAnsi="Book Antiqua" w:cs="Humanist777BT-RomanB"/>
          <w:sz w:val="24"/>
          <w:szCs w:val="24"/>
        </w:rPr>
        <w:t xml:space="preserve">Como un ejemplo </w:t>
      </w:r>
      <w:r w:rsidRPr="003B0B48">
        <w:rPr>
          <w:rFonts w:ascii="Book Antiqua" w:hAnsi="Book Antiqua" w:cs="Humanist777BT-RomanB"/>
          <w:sz w:val="24"/>
          <w:szCs w:val="24"/>
        </w:rPr>
        <w:t xml:space="preserve">concreto de lo que es un diseño </w:t>
      </w:r>
      <w:r w:rsidRPr="003B0B48">
        <w:rPr>
          <w:rFonts w:ascii="Book Antiqua" w:hAnsi="Book Antiqua" w:cs="Humanist777BT-RomanB"/>
          <w:sz w:val="24"/>
          <w:szCs w:val="24"/>
        </w:rPr>
        <w:t>universal se puede me</w:t>
      </w:r>
      <w:r w:rsidRPr="003B0B48">
        <w:rPr>
          <w:rFonts w:ascii="Book Antiqua" w:hAnsi="Book Antiqua" w:cs="Humanist777BT-RomanB"/>
          <w:sz w:val="24"/>
          <w:szCs w:val="24"/>
        </w:rPr>
        <w:t xml:space="preserve">ncionar la iniciativa que llevó </w:t>
      </w:r>
      <w:r w:rsidRPr="003B0B48">
        <w:rPr>
          <w:rFonts w:ascii="Book Antiqua" w:hAnsi="Book Antiqua" w:cs="Humanist777BT-RomanB"/>
          <w:sz w:val="24"/>
          <w:szCs w:val="24"/>
        </w:rPr>
        <w:t>a cabo el Museo de Bellas Artes de Buda</w:t>
      </w:r>
      <w:r w:rsidRPr="003B0B48">
        <w:rPr>
          <w:rFonts w:ascii="Book Antiqua" w:hAnsi="Book Antiqua" w:cs="Humanist777BT-RomanB"/>
          <w:sz w:val="24"/>
          <w:szCs w:val="24"/>
        </w:rPr>
        <w:t xml:space="preserve">pest. En </w:t>
      </w:r>
      <w:r w:rsidRPr="003B0B48">
        <w:rPr>
          <w:rFonts w:ascii="Book Antiqua" w:hAnsi="Book Antiqua" w:cs="Humanist777BT-RomanB"/>
          <w:sz w:val="24"/>
          <w:szCs w:val="24"/>
        </w:rPr>
        <w:t>2006 dicha institución c</w:t>
      </w:r>
      <w:r w:rsidRPr="003B0B48">
        <w:rPr>
          <w:rFonts w:ascii="Book Antiqua" w:hAnsi="Book Antiqua" w:cs="Humanist777BT-RomanB"/>
          <w:sz w:val="24"/>
          <w:szCs w:val="24"/>
        </w:rPr>
        <w:t xml:space="preserve">ultural presentó una exposición </w:t>
      </w:r>
      <w:r w:rsidRPr="003B0B48">
        <w:rPr>
          <w:rFonts w:ascii="Book Antiqua" w:hAnsi="Book Antiqua" w:cs="Humanist777BT-RomanB"/>
          <w:sz w:val="24"/>
          <w:szCs w:val="24"/>
        </w:rPr>
        <w:t xml:space="preserve">táctil sobre la </w:t>
      </w:r>
      <w:r w:rsidRPr="003B0B48">
        <w:rPr>
          <w:rFonts w:ascii="Book Antiqua" w:hAnsi="Book Antiqua" w:cs="Humanist777BT-RomanB"/>
          <w:sz w:val="24"/>
          <w:szCs w:val="24"/>
        </w:rPr>
        <w:t xml:space="preserve">cultura en la era de Segismundo </w:t>
      </w:r>
      <w:r w:rsidRPr="003B0B48">
        <w:rPr>
          <w:rFonts w:ascii="Book Antiqua" w:hAnsi="Book Antiqua" w:cs="Humanist777BT-RomanB"/>
          <w:sz w:val="24"/>
          <w:szCs w:val="24"/>
        </w:rPr>
        <w:t>de Luxemb</w:t>
      </w:r>
      <w:r w:rsidRPr="003B0B48">
        <w:rPr>
          <w:rFonts w:ascii="Book Antiqua" w:hAnsi="Book Antiqua" w:cs="Humanist777BT-RomanB"/>
          <w:sz w:val="24"/>
          <w:szCs w:val="24"/>
        </w:rPr>
        <w:t xml:space="preserve">urgo. Aunque aquella exposición </w:t>
      </w:r>
      <w:r w:rsidRPr="003B0B48">
        <w:rPr>
          <w:rFonts w:ascii="Book Antiqua" w:hAnsi="Book Antiqua" w:cs="Humanist777BT-RomanB"/>
          <w:sz w:val="24"/>
          <w:szCs w:val="24"/>
        </w:rPr>
        <w:t>se hizo principal</w:t>
      </w:r>
      <w:r w:rsidRPr="003B0B48">
        <w:rPr>
          <w:rFonts w:ascii="Book Antiqua" w:hAnsi="Book Antiqua" w:cs="Humanist777BT-RomanB"/>
          <w:sz w:val="24"/>
          <w:szCs w:val="24"/>
        </w:rPr>
        <w:t xml:space="preserve">mente para personas invidentes, </w:t>
      </w:r>
      <w:r w:rsidRPr="003B0B48">
        <w:rPr>
          <w:rFonts w:ascii="Book Antiqua" w:hAnsi="Book Antiqua" w:cs="Humanist777BT-RomanB"/>
          <w:sz w:val="24"/>
          <w:szCs w:val="24"/>
        </w:rPr>
        <w:t>también significó que los visitantes que no eran invi</w:t>
      </w:r>
      <w:r w:rsidRPr="003B0B48">
        <w:rPr>
          <w:rFonts w:ascii="Book Antiqua" w:hAnsi="Book Antiqua" w:cs="Humanist777BT-RomanB"/>
          <w:sz w:val="24"/>
          <w:szCs w:val="24"/>
        </w:rPr>
        <w:t xml:space="preserve">dentes </w:t>
      </w:r>
      <w:r w:rsidRPr="003B0B48">
        <w:rPr>
          <w:rFonts w:ascii="Book Antiqua" w:hAnsi="Book Antiqua" w:cs="Humanist777BT-RomanB"/>
          <w:sz w:val="24"/>
          <w:szCs w:val="24"/>
        </w:rPr>
        <w:t>experiment</w:t>
      </w:r>
      <w:r w:rsidRPr="003B0B48">
        <w:rPr>
          <w:rFonts w:ascii="Book Antiqua" w:hAnsi="Book Antiqua" w:cs="Humanist777BT-RomanB"/>
          <w:sz w:val="24"/>
          <w:szCs w:val="24"/>
        </w:rPr>
        <w:t xml:space="preserve">aran otra clase de sensibilidad </w:t>
      </w:r>
      <w:r w:rsidRPr="003B0B48">
        <w:rPr>
          <w:rFonts w:ascii="Book Antiqua" w:hAnsi="Book Antiqua" w:cs="Humanist777BT-RomanB"/>
          <w:sz w:val="24"/>
          <w:szCs w:val="24"/>
        </w:rPr>
        <w:t>estética. Como co</w:t>
      </w:r>
      <w:r w:rsidRPr="003B0B48">
        <w:rPr>
          <w:rFonts w:ascii="Book Antiqua" w:hAnsi="Book Antiqua" w:cs="Humanist777BT-RomanB"/>
          <w:sz w:val="24"/>
          <w:szCs w:val="24"/>
        </w:rPr>
        <w:t xml:space="preserve">rolario, es de suma importancia </w:t>
      </w:r>
      <w:r w:rsidRPr="003B0B48">
        <w:rPr>
          <w:rFonts w:ascii="Book Antiqua" w:hAnsi="Book Antiqua" w:cs="Humanist777BT-RomanB"/>
          <w:sz w:val="24"/>
          <w:szCs w:val="24"/>
        </w:rPr>
        <w:t xml:space="preserve">tener en cuenta </w:t>
      </w:r>
      <w:r w:rsidRPr="003B0B48">
        <w:rPr>
          <w:rFonts w:ascii="Book Antiqua" w:hAnsi="Book Antiqua" w:cs="Humanist777BT-RomanB"/>
          <w:sz w:val="24"/>
          <w:szCs w:val="24"/>
        </w:rPr>
        <w:t xml:space="preserve">que para aquellos países que no </w:t>
      </w:r>
      <w:r w:rsidRPr="003B0B48">
        <w:rPr>
          <w:rFonts w:ascii="Book Antiqua" w:hAnsi="Book Antiqua" w:cs="Humanist777BT-RomanB"/>
          <w:sz w:val="24"/>
          <w:szCs w:val="24"/>
        </w:rPr>
        <w:t>cuenten con los suf</w:t>
      </w:r>
      <w:r w:rsidRPr="003B0B48">
        <w:rPr>
          <w:rFonts w:ascii="Book Antiqua" w:hAnsi="Book Antiqua" w:cs="Humanist777BT-RomanB"/>
          <w:sz w:val="24"/>
          <w:szCs w:val="24"/>
        </w:rPr>
        <w:t xml:space="preserve">icientes recursos para llevar a </w:t>
      </w:r>
      <w:r w:rsidRPr="003B0B48">
        <w:rPr>
          <w:rFonts w:ascii="Book Antiqua" w:hAnsi="Book Antiqua" w:cs="Humanist777BT-RomanB"/>
          <w:sz w:val="24"/>
          <w:szCs w:val="24"/>
        </w:rPr>
        <w:t>cabo estas iniciativa</w:t>
      </w:r>
      <w:r w:rsidRPr="003B0B48">
        <w:rPr>
          <w:rFonts w:ascii="Book Antiqua" w:hAnsi="Book Antiqua" w:cs="Humanist777BT-RomanB"/>
          <w:sz w:val="24"/>
          <w:szCs w:val="24"/>
        </w:rPr>
        <w:t xml:space="preserve">s, la cooperación internacional </w:t>
      </w:r>
      <w:r w:rsidRPr="003B0B48">
        <w:rPr>
          <w:rFonts w:ascii="Book Antiqua" w:hAnsi="Book Antiqua" w:cs="Humanist777BT-RomanB"/>
          <w:sz w:val="24"/>
          <w:szCs w:val="24"/>
        </w:rPr>
        <w:t>es una important</w:t>
      </w:r>
      <w:r w:rsidRPr="003B0B48">
        <w:rPr>
          <w:rFonts w:ascii="Book Antiqua" w:hAnsi="Book Antiqua" w:cs="Humanist777BT-RomanB"/>
          <w:sz w:val="24"/>
          <w:szCs w:val="24"/>
        </w:rPr>
        <w:t xml:space="preserve">e herramienta y legitima aliada </w:t>
      </w:r>
      <w:r w:rsidRPr="003B0B48">
        <w:rPr>
          <w:rFonts w:ascii="Book Antiqua" w:hAnsi="Book Antiqua" w:cs="Humanist777BT-RomanB"/>
          <w:sz w:val="24"/>
          <w:szCs w:val="24"/>
        </w:rPr>
        <w:t xml:space="preserve">para la promoción </w:t>
      </w:r>
      <w:r w:rsidRPr="003B0B48">
        <w:rPr>
          <w:rFonts w:ascii="Book Antiqua" w:hAnsi="Book Antiqua" w:cs="Humanist777BT-RomanB"/>
          <w:sz w:val="24"/>
          <w:szCs w:val="24"/>
        </w:rPr>
        <w:t xml:space="preserve">de la accesibilidad y el diseño </w:t>
      </w:r>
      <w:r w:rsidRPr="003B0B48">
        <w:rPr>
          <w:rFonts w:ascii="Book Antiqua" w:hAnsi="Book Antiqua" w:cs="Humanist777BT-RomanB"/>
          <w:sz w:val="24"/>
          <w:szCs w:val="24"/>
        </w:rPr>
        <w:t>universal.</w:t>
      </w:r>
    </w:p>
    <w:p w:rsidR="001A454D" w:rsidRDefault="001A454D" w:rsidP="003B0B48">
      <w:pPr>
        <w:autoSpaceDE w:val="0"/>
        <w:autoSpaceDN w:val="0"/>
        <w:adjustRightInd w:val="0"/>
        <w:spacing w:line="276" w:lineRule="auto"/>
        <w:rPr>
          <w:rFonts w:ascii="Book Antiqua" w:hAnsi="Book Antiqua" w:cs="Humanist777BT-RomanB"/>
          <w:sz w:val="24"/>
          <w:szCs w:val="24"/>
        </w:rPr>
      </w:pPr>
    </w:p>
    <w:p w:rsidR="001A454D" w:rsidRDefault="001A454D" w:rsidP="00CB2219">
      <w:pPr>
        <w:pStyle w:val="Prrafodelista"/>
        <w:numPr>
          <w:ilvl w:val="0"/>
          <w:numId w:val="1"/>
        </w:numPr>
        <w:autoSpaceDE w:val="0"/>
        <w:autoSpaceDN w:val="0"/>
        <w:adjustRightInd w:val="0"/>
        <w:spacing w:line="276" w:lineRule="auto"/>
        <w:ind w:left="567" w:hanging="567"/>
        <w:outlineLvl w:val="0"/>
        <w:rPr>
          <w:rFonts w:ascii="Book Antiqua" w:hAnsi="Book Antiqua" w:cs="Humanist777BT-RomanB"/>
          <w:b/>
          <w:sz w:val="24"/>
          <w:szCs w:val="24"/>
        </w:rPr>
      </w:pPr>
      <w:bookmarkStart w:id="4" w:name="_Toc486598183"/>
      <w:r>
        <w:rPr>
          <w:rFonts w:ascii="Book Antiqua" w:hAnsi="Book Antiqua" w:cs="Humanist777BT-RomanB"/>
          <w:b/>
          <w:sz w:val="24"/>
          <w:szCs w:val="24"/>
        </w:rPr>
        <w:t>LOS AJUSTES</w:t>
      </w:r>
      <w:r w:rsidRPr="001A454D">
        <w:rPr>
          <w:rFonts w:ascii="Book Antiqua" w:hAnsi="Book Antiqua" w:cs="Humanist777BT-RomanB"/>
          <w:b/>
          <w:sz w:val="24"/>
          <w:szCs w:val="24"/>
        </w:rPr>
        <w:t xml:space="preserve"> RAZONABLES COMO UNA FORMA COMPLEMENTARIA PARA CONSEGUIR LA IGUALDAD DE LAS PERSONAS CON DISCAPACIDAD</w:t>
      </w:r>
      <w:bookmarkEnd w:id="4"/>
    </w:p>
    <w:p w:rsidR="009B1301" w:rsidRPr="009B1301" w:rsidRDefault="009B1301" w:rsidP="009B1301">
      <w:pPr>
        <w:autoSpaceDE w:val="0"/>
        <w:autoSpaceDN w:val="0"/>
        <w:adjustRightInd w:val="0"/>
        <w:spacing w:line="276" w:lineRule="auto"/>
        <w:rPr>
          <w:rFonts w:ascii="Book Antiqua" w:hAnsi="Book Antiqua" w:cs="Humanist777BT-RomanB"/>
          <w:b/>
          <w:sz w:val="24"/>
          <w:szCs w:val="24"/>
        </w:rPr>
      </w:pPr>
    </w:p>
    <w:p w:rsidR="009B1301" w:rsidRPr="009B1301" w:rsidRDefault="009B1301" w:rsidP="009B1301">
      <w:pPr>
        <w:autoSpaceDE w:val="0"/>
        <w:autoSpaceDN w:val="0"/>
        <w:adjustRightInd w:val="0"/>
        <w:spacing w:line="276" w:lineRule="auto"/>
        <w:rPr>
          <w:rFonts w:ascii="Book Antiqua" w:hAnsi="Book Antiqua" w:cs="Humanist777BT-RomanB"/>
          <w:sz w:val="24"/>
          <w:szCs w:val="24"/>
        </w:rPr>
      </w:pPr>
      <w:r w:rsidRPr="009B1301">
        <w:rPr>
          <w:rFonts w:ascii="Book Antiqua" w:hAnsi="Book Antiqua" w:cs="Humanist777BT-RomanB"/>
          <w:sz w:val="24"/>
          <w:szCs w:val="24"/>
        </w:rPr>
        <w:t>En este acápite se ab</w:t>
      </w:r>
      <w:r w:rsidRPr="009B1301">
        <w:rPr>
          <w:rFonts w:ascii="Book Antiqua" w:hAnsi="Book Antiqua" w:cs="Humanist777BT-RomanB"/>
          <w:sz w:val="24"/>
          <w:szCs w:val="24"/>
        </w:rPr>
        <w:t xml:space="preserve">ocará el estudio de los ajustes </w:t>
      </w:r>
      <w:r w:rsidRPr="009B1301">
        <w:rPr>
          <w:rFonts w:ascii="Book Antiqua" w:hAnsi="Book Antiqua" w:cs="Humanist777BT-RomanB"/>
          <w:sz w:val="24"/>
          <w:szCs w:val="24"/>
        </w:rPr>
        <w:t>razonables como instr</w:t>
      </w:r>
      <w:r w:rsidRPr="009B1301">
        <w:rPr>
          <w:rFonts w:ascii="Book Antiqua" w:hAnsi="Book Antiqua" w:cs="Humanist777BT-RomanB"/>
          <w:sz w:val="24"/>
          <w:szCs w:val="24"/>
        </w:rPr>
        <w:t xml:space="preserve">umento jurídico que salvaguarda </w:t>
      </w:r>
      <w:r w:rsidRPr="009B1301">
        <w:rPr>
          <w:rFonts w:ascii="Book Antiqua" w:hAnsi="Book Antiqua" w:cs="Humanist777BT-RomanB"/>
          <w:sz w:val="24"/>
          <w:szCs w:val="24"/>
        </w:rPr>
        <w:t>la igualdad</w:t>
      </w:r>
      <w:r w:rsidRPr="009B1301">
        <w:rPr>
          <w:rFonts w:ascii="Book Antiqua" w:hAnsi="Book Antiqua" w:cs="Humanist777BT-RomanB"/>
          <w:sz w:val="24"/>
          <w:szCs w:val="24"/>
        </w:rPr>
        <w:t xml:space="preserve"> de la persona con discapacidad </w:t>
      </w:r>
      <w:r w:rsidRPr="009B1301">
        <w:rPr>
          <w:rFonts w:ascii="Book Antiqua" w:hAnsi="Book Antiqua" w:cs="Humanist777BT-RomanB"/>
          <w:sz w:val="24"/>
          <w:szCs w:val="24"/>
        </w:rPr>
        <w:t>en todos los aspec</w:t>
      </w:r>
      <w:r w:rsidRPr="009B1301">
        <w:rPr>
          <w:rFonts w:ascii="Book Antiqua" w:hAnsi="Book Antiqua" w:cs="Humanist777BT-RomanB"/>
          <w:sz w:val="24"/>
          <w:szCs w:val="24"/>
        </w:rPr>
        <w:t xml:space="preserve">tos de su vida. En primer lugar </w:t>
      </w:r>
      <w:r w:rsidRPr="009B1301">
        <w:rPr>
          <w:rFonts w:ascii="Book Antiqua" w:hAnsi="Book Antiqua" w:cs="Humanist777BT-RomanB"/>
          <w:sz w:val="24"/>
          <w:szCs w:val="24"/>
        </w:rPr>
        <w:t>es necesario ten</w:t>
      </w:r>
      <w:r w:rsidRPr="009B1301">
        <w:rPr>
          <w:rFonts w:ascii="Book Antiqua" w:hAnsi="Book Antiqua" w:cs="Humanist777BT-RomanB"/>
          <w:sz w:val="24"/>
          <w:szCs w:val="24"/>
        </w:rPr>
        <w:t xml:space="preserve">er en cuenta que el concepto de </w:t>
      </w:r>
      <w:r w:rsidRPr="009B1301">
        <w:rPr>
          <w:rFonts w:ascii="Book Antiqua" w:hAnsi="Book Antiqua" w:cs="Humanist777BT-RomanB"/>
          <w:sz w:val="24"/>
          <w:szCs w:val="24"/>
        </w:rPr>
        <w:t>ajustes razonables,</w:t>
      </w:r>
      <w:r w:rsidRPr="009B1301">
        <w:rPr>
          <w:rFonts w:ascii="Book Antiqua" w:hAnsi="Book Antiqua" w:cs="Humanist777BT-RomanB"/>
          <w:sz w:val="24"/>
          <w:szCs w:val="24"/>
        </w:rPr>
        <w:t xml:space="preserve"> aunque con ciertas diferencias </w:t>
      </w:r>
      <w:r w:rsidRPr="009B1301">
        <w:rPr>
          <w:rFonts w:ascii="Book Antiqua" w:hAnsi="Book Antiqua" w:cs="Humanist777BT-RomanB"/>
          <w:sz w:val="24"/>
          <w:szCs w:val="24"/>
        </w:rPr>
        <w:t>con la conceptuali</w:t>
      </w:r>
      <w:r w:rsidRPr="009B1301">
        <w:rPr>
          <w:rFonts w:ascii="Book Antiqua" w:hAnsi="Book Antiqua" w:cs="Humanist777BT-RomanB"/>
          <w:sz w:val="24"/>
          <w:szCs w:val="24"/>
        </w:rPr>
        <w:t xml:space="preserve">zación actual, encuentra raíces </w:t>
      </w:r>
      <w:r w:rsidRPr="009B1301">
        <w:rPr>
          <w:rFonts w:ascii="Book Antiqua" w:hAnsi="Book Antiqua" w:cs="Humanist777BT-RomanB"/>
          <w:sz w:val="24"/>
          <w:szCs w:val="24"/>
        </w:rPr>
        <w:t>comunes en las leg</w:t>
      </w:r>
      <w:r w:rsidRPr="009B1301">
        <w:rPr>
          <w:rFonts w:ascii="Book Antiqua" w:hAnsi="Book Antiqua" w:cs="Humanist777BT-RomanB"/>
          <w:sz w:val="24"/>
          <w:szCs w:val="24"/>
        </w:rPr>
        <w:t xml:space="preserve">islaciones de Estados Unidos de </w:t>
      </w:r>
      <w:r w:rsidRPr="009B1301">
        <w:rPr>
          <w:rFonts w:ascii="Book Antiqua" w:hAnsi="Book Antiqua" w:cs="Humanist777BT-RomanB"/>
          <w:sz w:val="24"/>
          <w:szCs w:val="24"/>
        </w:rPr>
        <w:t>América</w:t>
      </w:r>
      <w:r w:rsidRPr="009B1301">
        <w:rPr>
          <w:rFonts w:ascii="Book Antiqua" w:hAnsi="Book Antiqua" w:cs="Humanist777BT-RomanB"/>
          <w:sz w:val="24"/>
          <w:szCs w:val="24"/>
        </w:rPr>
        <w:t xml:space="preserve"> </w:t>
      </w:r>
      <w:r w:rsidRPr="009B1301">
        <w:rPr>
          <w:rFonts w:ascii="Book Antiqua" w:hAnsi="Book Antiqua" w:cs="Humanist777BT-RomanB"/>
          <w:sz w:val="24"/>
          <w:szCs w:val="24"/>
        </w:rPr>
        <w:t xml:space="preserve">y Canadá </w:t>
      </w:r>
      <w:r w:rsidRPr="009B1301">
        <w:rPr>
          <w:rFonts w:ascii="Book Antiqua" w:hAnsi="Book Antiqua" w:cs="Humanist777BT-RomanB"/>
          <w:sz w:val="24"/>
          <w:szCs w:val="24"/>
        </w:rPr>
        <w:t xml:space="preserve">entre la década de los sesenta </w:t>
      </w:r>
      <w:r w:rsidRPr="009B1301">
        <w:rPr>
          <w:rFonts w:ascii="Book Antiqua" w:hAnsi="Book Antiqua" w:cs="Humanist777BT-RomanB"/>
          <w:sz w:val="24"/>
          <w:szCs w:val="24"/>
        </w:rPr>
        <w:t>y ochenta del sigl</w:t>
      </w:r>
      <w:r w:rsidRPr="009B1301">
        <w:rPr>
          <w:rFonts w:ascii="Book Antiqua" w:hAnsi="Book Antiqua" w:cs="Humanist777BT-RomanB"/>
          <w:sz w:val="24"/>
          <w:szCs w:val="24"/>
        </w:rPr>
        <w:t xml:space="preserve">o XX. En ambos casos se utilizó </w:t>
      </w:r>
      <w:r w:rsidRPr="009B1301">
        <w:rPr>
          <w:rFonts w:ascii="Book Antiqua" w:hAnsi="Book Antiqua" w:cs="Humanist777BT-RomanB"/>
          <w:sz w:val="24"/>
          <w:szCs w:val="24"/>
        </w:rPr>
        <w:t>el término para hace</w:t>
      </w:r>
      <w:r w:rsidRPr="009B1301">
        <w:rPr>
          <w:rFonts w:ascii="Book Antiqua" w:hAnsi="Book Antiqua" w:cs="Humanist777BT-RomanB"/>
          <w:sz w:val="24"/>
          <w:szCs w:val="24"/>
        </w:rPr>
        <w:t xml:space="preserve">r referencia a la obligación de </w:t>
      </w:r>
      <w:r w:rsidRPr="009B1301">
        <w:rPr>
          <w:rFonts w:ascii="Book Antiqua" w:hAnsi="Book Antiqua" w:cs="Humanist777BT-RomanB"/>
          <w:sz w:val="24"/>
          <w:szCs w:val="24"/>
        </w:rPr>
        <w:t>respetar las creencias</w:t>
      </w:r>
      <w:r w:rsidRPr="009B1301">
        <w:rPr>
          <w:rFonts w:ascii="Book Antiqua" w:hAnsi="Book Antiqua" w:cs="Humanist777BT-RomanB"/>
          <w:sz w:val="24"/>
          <w:szCs w:val="24"/>
        </w:rPr>
        <w:t xml:space="preserve"> religiosas de los trabajadores </w:t>
      </w:r>
      <w:r w:rsidRPr="009B1301">
        <w:rPr>
          <w:rFonts w:ascii="Book Antiqua" w:hAnsi="Book Antiqua" w:cs="Humanist777BT-RomanB"/>
          <w:sz w:val="24"/>
          <w:szCs w:val="24"/>
        </w:rPr>
        <w:t>cuyos credos no l</w:t>
      </w:r>
      <w:r w:rsidRPr="009B1301">
        <w:rPr>
          <w:rFonts w:ascii="Book Antiqua" w:hAnsi="Book Antiqua" w:cs="Humanist777BT-RomanB"/>
          <w:sz w:val="24"/>
          <w:szCs w:val="24"/>
        </w:rPr>
        <w:t>es permitía trabajar un determi</w:t>
      </w:r>
      <w:r w:rsidRPr="009B1301">
        <w:rPr>
          <w:rFonts w:ascii="Book Antiqua" w:hAnsi="Book Antiqua" w:cs="Humanist777BT-RomanB"/>
          <w:sz w:val="24"/>
          <w:szCs w:val="24"/>
        </w:rPr>
        <w:t>nado día de la semana,</w:t>
      </w:r>
      <w:r w:rsidRPr="009B1301">
        <w:rPr>
          <w:rFonts w:ascii="Book Antiqua" w:hAnsi="Book Antiqua" w:cs="Humanist777BT-RomanB"/>
          <w:sz w:val="24"/>
          <w:szCs w:val="24"/>
        </w:rPr>
        <w:t xml:space="preserve"> flexibilizando, para este fin, </w:t>
      </w:r>
      <w:r w:rsidRPr="009B1301">
        <w:rPr>
          <w:rFonts w:ascii="Book Antiqua" w:hAnsi="Book Antiqua" w:cs="Humanist777BT-RomanB"/>
          <w:sz w:val="24"/>
          <w:szCs w:val="24"/>
        </w:rPr>
        <w:t>los horarios de trabajo.</w:t>
      </w:r>
    </w:p>
    <w:p w:rsidR="009B1301" w:rsidRPr="009B1301" w:rsidRDefault="009B1301" w:rsidP="009B1301">
      <w:pPr>
        <w:autoSpaceDE w:val="0"/>
        <w:autoSpaceDN w:val="0"/>
        <w:adjustRightInd w:val="0"/>
        <w:spacing w:line="276" w:lineRule="auto"/>
        <w:rPr>
          <w:rFonts w:ascii="Book Antiqua" w:hAnsi="Book Antiqua" w:cs="Humanist777BT-RomanB"/>
          <w:sz w:val="24"/>
          <w:szCs w:val="24"/>
        </w:rPr>
      </w:pPr>
    </w:p>
    <w:p w:rsidR="009B1301" w:rsidRPr="009B1301" w:rsidRDefault="009B1301" w:rsidP="009B1301">
      <w:pPr>
        <w:autoSpaceDE w:val="0"/>
        <w:autoSpaceDN w:val="0"/>
        <w:adjustRightInd w:val="0"/>
        <w:spacing w:line="276" w:lineRule="auto"/>
        <w:rPr>
          <w:rFonts w:ascii="Book Antiqua" w:hAnsi="Book Antiqua" w:cs="Humanist777BT-RomanB"/>
          <w:sz w:val="24"/>
          <w:szCs w:val="24"/>
        </w:rPr>
      </w:pPr>
      <w:r w:rsidRPr="009B1301">
        <w:rPr>
          <w:rFonts w:ascii="Book Antiqua" w:hAnsi="Book Antiqua" w:cs="Humanist777BT-RomanB"/>
          <w:sz w:val="24"/>
          <w:szCs w:val="24"/>
        </w:rPr>
        <w:lastRenderedPageBreak/>
        <w:t>Pero más allá de enfocar el propósito con</w:t>
      </w:r>
      <w:r w:rsidRPr="009B1301">
        <w:rPr>
          <w:rFonts w:ascii="Book Antiqua" w:hAnsi="Book Antiqua" w:cs="Humanist777BT-RomanB"/>
          <w:sz w:val="24"/>
          <w:szCs w:val="24"/>
        </w:rPr>
        <w:t xml:space="preserve"> los cuales </w:t>
      </w:r>
      <w:r w:rsidRPr="009B1301">
        <w:rPr>
          <w:rFonts w:ascii="Book Antiqua" w:hAnsi="Book Antiqua" w:cs="Humanist777BT-RomanB"/>
          <w:sz w:val="24"/>
          <w:szCs w:val="24"/>
        </w:rPr>
        <w:t>fue concebido este</w:t>
      </w:r>
      <w:r w:rsidRPr="009B1301">
        <w:rPr>
          <w:rFonts w:ascii="Book Antiqua" w:hAnsi="Book Antiqua" w:cs="Humanist777BT-RomanB"/>
          <w:sz w:val="24"/>
          <w:szCs w:val="24"/>
        </w:rPr>
        <w:t xml:space="preserve"> término importa reparar en los </w:t>
      </w:r>
      <w:r w:rsidRPr="009B1301">
        <w:rPr>
          <w:rFonts w:ascii="Book Antiqua" w:hAnsi="Book Antiqua" w:cs="Humanist777BT-RomanB"/>
          <w:sz w:val="24"/>
          <w:szCs w:val="24"/>
        </w:rPr>
        <w:t>ajustes razonables</w:t>
      </w:r>
      <w:r w:rsidRPr="009B1301">
        <w:rPr>
          <w:rFonts w:ascii="Book Antiqua" w:hAnsi="Book Antiqua" w:cs="Humanist777BT-RomanB"/>
          <w:sz w:val="24"/>
          <w:szCs w:val="24"/>
        </w:rPr>
        <w:t xml:space="preserve"> como garantía del derecho a la </w:t>
      </w:r>
      <w:r w:rsidRPr="009B1301">
        <w:rPr>
          <w:rFonts w:ascii="Book Antiqua" w:hAnsi="Book Antiqua" w:cs="Humanist777BT-RomanB"/>
          <w:sz w:val="24"/>
          <w:szCs w:val="24"/>
        </w:rPr>
        <w:t>igualdad y no dis</w:t>
      </w:r>
      <w:r w:rsidRPr="009B1301">
        <w:rPr>
          <w:rFonts w:ascii="Book Antiqua" w:hAnsi="Book Antiqua" w:cs="Humanist777BT-RomanB"/>
          <w:sz w:val="24"/>
          <w:szCs w:val="24"/>
        </w:rPr>
        <w:t xml:space="preserve">criminación de las personas con </w:t>
      </w:r>
      <w:r w:rsidRPr="009B1301">
        <w:rPr>
          <w:rFonts w:ascii="Book Antiqua" w:hAnsi="Book Antiqua" w:cs="Humanist777BT-RomanB"/>
          <w:sz w:val="24"/>
          <w:szCs w:val="24"/>
        </w:rPr>
        <w:t>discapacidad. En</w:t>
      </w:r>
      <w:r w:rsidRPr="009B1301">
        <w:rPr>
          <w:rFonts w:ascii="Book Antiqua" w:hAnsi="Book Antiqua" w:cs="Humanist777BT-RomanB"/>
          <w:sz w:val="24"/>
          <w:szCs w:val="24"/>
        </w:rPr>
        <w:t xml:space="preserve"> tal sentido, antes que la CDPD </w:t>
      </w:r>
      <w:r w:rsidRPr="009B1301">
        <w:rPr>
          <w:rFonts w:ascii="Book Antiqua" w:hAnsi="Book Antiqua" w:cs="Humanist777BT-RomanB"/>
          <w:sz w:val="24"/>
          <w:szCs w:val="24"/>
        </w:rPr>
        <w:t>a nivel supranaci</w:t>
      </w:r>
      <w:r w:rsidRPr="009B1301">
        <w:rPr>
          <w:rFonts w:ascii="Book Antiqua" w:hAnsi="Book Antiqua" w:cs="Humanist777BT-RomanB"/>
          <w:sz w:val="24"/>
          <w:szCs w:val="24"/>
        </w:rPr>
        <w:t xml:space="preserve">onal fue el Consejo de la Unión </w:t>
      </w:r>
      <w:r w:rsidRPr="009B1301">
        <w:rPr>
          <w:rFonts w:ascii="Book Antiqua" w:hAnsi="Book Antiqua" w:cs="Humanist777BT-RomanB"/>
          <w:sz w:val="24"/>
          <w:szCs w:val="24"/>
        </w:rPr>
        <w:t>Europea en el año</w:t>
      </w:r>
      <w:r w:rsidRPr="009B1301">
        <w:rPr>
          <w:rFonts w:ascii="Book Antiqua" w:hAnsi="Book Antiqua" w:cs="Humanist777BT-RomanB"/>
          <w:sz w:val="24"/>
          <w:szCs w:val="24"/>
        </w:rPr>
        <w:t xml:space="preserve"> 2000 que mediante la Directiva </w:t>
      </w:r>
      <w:r w:rsidRPr="009B1301">
        <w:rPr>
          <w:rFonts w:ascii="Book Antiqua" w:hAnsi="Book Antiqua" w:cs="Humanist777BT-RomanB"/>
          <w:sz w:val="24"/>
          <w:szCs w:val="24"/>
        </w:rPr>
        <w:t>2000/78/CE obligó a</w:t>
      </w:r>
      <w:r w:rsidRPr="009B1301">
        <w:rPr>
          <w:rFonts w:ascii="Book Antiqua" w:hAnsi="Book Antiqua" w:cs="Humanist777BT-RomanB"/>
          <w:sz w:val="24"/>
          <w:szCs w:val="24"/>
        </w:rPr>
        <w:t xml:space="preserve"> los estados europeos a adoptar </w:t>
      </w:r>
      <w:r w:rsidRPr="009B1301">
        <w:rPr>
          <w:rFonts w:ascii="Book Antiqua" w:hAnsi="Book Antiqua" w:cs="Humanist777BT-RomanB"/>
          <w:sz w:val="24"/>
          <w:szCs w:val="24"/>
        </w:rPr>
        <w:t>ajustes razona</w:t>
      </w:r>
      <w:r w:rsidRPr="009B1301">
        <w:rPr>
          <w:rFonts w:ascii="Book Antiqua" w:hAnsi="Book Antiqua" w:cs="Humanist777BT-RomanB"/>
          <w:sz w:val="24"/>
          <w:szCs w:val="24"/>
        </w:rPr>
        <w:t xml:space="preserve">bles para conseguir la igualdad </w:t>
      </w:r>
      <w:r w:rsidRPr="009B1301">
        <w:rPr>
          <w:rFonts w:ascii="Book Antiqua" w:hAnsi="Book Antiqua" w:cs="Humanist777BT-RomanB"/>
          <w:sz w:val="24"/>
          <w:szCs w:val="24"/>
        </w:rPr>
        <w:t>material de las persona</w:t>
      </w:r>
      <w:r w:rsidRPr="009B1301">
        <w:rPr>
          <w:rFonts w:ascii="Book Antiqua" w:hAnsi="Book Antiqua" w:cs="Humanist777BT-RomanB"/>
          <w:sz w:val="24"/>
          <w:szCs w:val="24"/>
        </w:rPr>
        <w:t xml:space="preserve">s con discapacidad en el acceso </w:t>
      </w:r>
      <w:r w:rsidRPr="009B1301">
        <w:rPr>
          <w:rFonts w:ascii="Book Antiqua" w:hAnsi="Book Antiqua" w:cs="Humanist777BT-RomanB"/>
          <w:sz w:val="24"/>
          <w:szCs w:val="24"/>
        </w:rPr>
        <w:t>al empleo y durante el mismo. Posteriormente,</w:t>
      </w:r>
      <w:r w:rsidRPr="009B1301">
        <w:rPr>
          <w:rFonts w:ascii="Book Antiqua" w:hAnsi="Book Antiqua" w:cs="Humanist777BT-RomanB"/>
          <w:sz w:val="24"/>
          <w:szCs w:val="24"/>
        </w:rPr>
        <w:t xml:space="preserve"> </w:t>
      </w:r>
      <w:r w:rsidRPr="009B1301">
        <w:rPr>
          <w:rFonts w:ascii="Book Antiqua" w:hAnsi="Book Antiqua" w:cs="Humanist777BT-RomanB"/>
          <w:sz w:val="24"/>
          <w:szCs w:val="24"/>
        </w:rPr>
        <w:t>en 2003 se adoptó en España la Ley 51/2003,</w:t>
      </w:r>
      <w:r w:rsidRPr="009B1301">
        <w:rPr>
          <w:rFonts w:ascii="Book Antiqua" w:hAnsi="Book Antiqua" w:cs="Humanist777BT-RomanB"/>
          <w:sz w:val="24"/>
          <w:szCs w:val="24"/>
        </w:rPr>
        <w:t xml:space="preserve"> </w:t>
      </w:r>
      <w:r w:rsidRPr="009B1301">
        <w:rPr>
          <w:rFonts w:ascii="Book Antiqua" w:hAnsi="Book Antiqua" w:cs="Humanist777BT-RomanB"/>
          <w:sz w:val="24"/>
          <w:szCs w:val="24"/>
        </w:rPr>
        <w:t>que regulaba, con carácter general para todos los</w:t>
      </w:r>
      <w:r w:rsidRPr="009B1301">
        <w:rPr>
          <w:rFonts w:ascii="Book Antiqua" w:hAnsi="Book Antiqua" w:cs="Humanist777BT-RomanB"/>
          <w:sz w:val="24"/>
          <w:szCs w:val="24"/>
        </w:rPr>
        <w:t xml:space="preserve"> </w:t>
      </w:r>
      <w:r w:rsidRPr="009B1301">
        <w:rPr>
          <w:rFonts w:ascii="Book Antiqua" w:hAnsi="Book Antiqua" w:cs="Humanist777BT-RomanB"/>
          <w:sz w:val="24"/>
          <w:szCs w:val="24"/>
        </w:rPr>
        <w:t>derechos, los aju</w:t>
      </w:r>
      <w:r w:rsidRPr="009B1301">
        <w:rPr>
          <w:rFonts w:ascii="Book Antiqua" w:hAnsi="Book Antiqua" w:cs="Humanist777BT-RomanB"/>
          <w:sz w:val="24"/>
          <w:szCs w:val="24"/>
        </w:rPr>
        <w:t xml:space="preserve">stes razonables, yendo más allá </w:t>
      </w:r>
      <w:r w:rsidRPr="009B1301">
        <w:rPr>
          <w:rFonts w:ascii="Book Antiqua" w:hAnsi="Book Antiqua" w:cs="Humanist777BT-RomanB"/>
          <w:sz w:val="24"/>
          <w:szCs w:val="24"/>
        </w:rPr>
        <w:t xml:space="preserve">del campo laboral </w:t>
      </w:r>
      <w:r w:rsidRPr="009B1301">
        <w:rPr>
          <w:rFonts w:ascii="Book Antiqua" w:hAnsi="Book Antiqua" w:cs="Humanist777BT-RomanB"/>
          <w:sz w:val="24"/>
          <w:szCs w:val="24"/>
        </w:rPr>
        <w:t xml:space="preserve">que establecía la Directiva del </w:t>
      </w:r>
      <w:r w:rsidRPr="009B1301">
        <w:rPr>
          <w:rFonts w:ascii="Book Antiqua" w:hAnsi="Book Antiqua" w:cs="Humanist777BT-RomanB"/>
          <w:sz w:val="24"/>
          <w:szCs w:val="24"/>
        </w:rPr>
        <w:t>Consejo de la Unión Europea referida.</w:t>
      </w:r>
    </w:p>
    <w:p w:rsidR="009B1301" w:rsidRPr="009B1301" w:rsidRDefault="009B1301" w:rsidP="009B1301">
      <w:pPr>
        <w:autoSpaceDE w:val="0"/>
        <w:autoSpaceDN w:val="0"/>
        <w:adjustRightInd w:val="0"/>
        <w:spacing w:line="276" w:lineRule="auto"/>
        <w:rPr>
          <w:rFonts w:ascii="Book Antiqua" w:hAnsi="Book Antiqua" w:cs="Humanist777BT-RomanB"/>
          <w:sz w:val="24"/>
          <w:szCs w:val="24"/>
        </w:rPr>
      </w:pPr>
    </w:p>
    <w:p w:rsidR="009B1301" w:rsidRPr="009B1301" w:rsidRDefault="009B1301" w:rsidP="009B1301">
      <w:pPr>
        <w:autoSpaceDE w:val="0"/>
        <w:autoSpaceDN w:val="0"/>
        <w:adjustRightInd w:val="0"/>
        <w:spacing w:line="276" w:lineRule="auto"/>
        <w:rPr>
          <w:rFonts w:ascii="Book Antiqua" w:hAnsi="Book Antiqua" w:cs="Humanist777BT-ItalicB"/>
          <w:iCs/>
          <w:sz w:val="24"/>
          <w:szCs w:val="24"/>
        </w:rPr>
      </w:pPr>
      <w:r w:rsidRPr="009B1301">
        <w:rPr>
          <w:rFonts w:ascii="Book Antiqua" w:hAnsi="Book Antiqua" w:cs="Humanist777BT-RomanB"/>
          <w:sz w:val="24"/>
          <w:szCs w:val="24"/>
        </w:rPr>
        <w:t>A nivel internacion</w:t>
      </w:r>
      <w:r w:rsidRPr="009B1301">
        <w:rPr>
          <w:rFonts w:ascii="Book Antiqua" w:hAnsi="Book Antiqua" w:cs="Humanist777BT-RomanB"/>
          <w:sz w:val="24"/>
          <w:szCs w:val="24"/>
        </w:rPr>
        <w:t xml:space="preserve">al, fue mediante la CDPD que se </w:t>
      </w:r>
      <w:r w:rsidRPr="009B1301">
        <w:rPr>
          <w:rFonts w:ascii="Book Antiqua" w:hAnsi="Book Antiqua" w:cs="Humanist777BT-RomanB"/>
          <w:sz w:val="24"/>
          <w:szCs w:val="24"/>
        </w:rPr>
        <w:t>estableció la obligaci</w:t>
      </w:r>
      <w:r w:rsidRPr="009B1301">
        <w:rPr>
          <w:rFonts w:ascii="Book Antiqua" w:hAnsi="Book Antiqua" w:cs="Humanist777BT-RomanB"/>
          <w:sz w:val="24"/>
          <w:szCs w:val="24"/>
        </w:rPr>
        <w:t xml:space="preserve">ón para los Estados de realizar </w:t>
      </w:r>
      <w:r w:rsidRPr="009B1301">
        <w:rPr>
          <w:rFonts w:ascii="Book Antiqua" w:hAnsi="Book Antiqua" w:cs="Humanist777BT-RomanB"/>
          <w:sz w:val="24"/>
          <w:szCs w:val="24"/>
        </w:rPr>
        <w:t>ajustes razonables en favor de</w:t>
      </w:r>
      <w:r w:rsidRPr="009B1301">
        <w:rPr>
          <w:rFonts w:ascii="Book Antiqua" w:hAnsi="Book Antiqua" w:cs="Humanist777BT-RomanB"/>
          <w:sz w:val="24"/>
          <w:szCs w:val="24"/>
        </w:rPr>
        <w:t xml:space="preserve"> las personas con discapacidad; </w:t>
      </w:r>
      <w:r w:rsidRPr="009B1301">
        <w:rPr>
          <w:rFonts w:ascii="Book Antiqua" w:hAnsi="Book Antiqua" w:cs="Humanist777BT-RomanB"/>
          <w:sz w:val="24"/>
          <w:szCs w:val="24"/>
        </w:rPr>
        <w:t>dicho i</w:t>
      </w:r>
      <w:r w:rsidRPr="009B1301">
        <w:rPr>
          <w:rFonts w:ascii="Book Antiqua" w:hAnsi="Book Antiqua" w:cs="Humanist777BT-RomanB"/>
          <w:sz w:val="24"/>
          <w:szCs w:val="24"/>
        </w:rPr>
        <w:t xml:space="preserve">nstrumento internacional señala </w:t>
      </w:r>
      <w:r w:rsidRPr="009B1301">
        <w:rPr>
          <w:rFonts w:ascii="Book Antiqua" w:hAnsi="Book Antiqua" w:cs="Humanist777BT-RomanB"/>
          <w:sz w:val="24"/>
          <w:szCs w:val="24"/>
        </w:rPr>
        <w:t>en el penúltimo párrafo de su artículo 2° que</w:t>
      </w:r>
      <w:r w:rsidRPr="009B1301">
        <w:rPr>
          <w:rFonts w:ascii="Book Antiqua" w:hAnsi="Book Antiqua" w:cs="Humanist777BT-RomanB"/>
          <w:sz w:val="24"/>
          <w:szCs w:val="24"/>
        </w:rPr>
        <w:t xml:space="preserve">, </w:t>
      </w:r>
      <w:r w:rsidRPr="009B1301">
        <w:rPr>
          <w:rFonts w:ascii="Book Antiqua" w:hAnsi="Book Antiqua" w:cs="Humanist777BT-ItalicB"/>
          <w:iCs/>
          <w:sz w:val="24"/>
          <w:szCs w:val="24"/>
        </w:rPr>
        <w:t>por “ajustes razonables” se entenderán</w:t>
      </w:r>
      <w:r w:rsidRPr="009B1301">
        <w:rPr>
          <w:rFonts w:ascii="Book Antiqua" w:hAnsi="Book Antiqua" w:cs="Humanist777BT-RomanB"/>
          <w:sz w:val="24"/>
          <w:szCs w:val="24"/>
        </w:rPr>
        <w:t xml:space="preserve"> </w:t>
      </w:r>
      <w:r w:rsidRPr="009B1301">
        <w:rPr>
          <w:rFonts w:ascii="Book Antiqua" w:hAnsi="Book Antiqua" w:cs="Humanist777BT-ItalicB"/>
          <w:iCs/>
          <w:sz w:val="24"/>
          <w:szCs w:val="24"/>
        </w:rPr>
        <w:t>las modificaciones y adaptaciones necesarias</w:t>
      </w:r>
      <w:r w:rsidRPr="009B1301">
        <w:rPr>
          <w:rFonts w:ascii="Book Antiqua" w:hAnsi="Book Antiqua" w:cs="Humanist777BT-RomanB"/>
          <w:sz w:val="24"/>
          <w:szCs w:val="24"/>
        </w:rPr>
        <w:t xml:space="preserve"> </w:t>
      </w:r>
      <w:r w:rsidRPr="009B1301">
        <w:rPr>
          <w:rFonts w:ascii="Book Antiqua" w:hAnsi="Book Antiqua" w:cs="Humanist777BT-ItalicB"/>
          <w:iCs/>
          <w:sz w:val="24"/>
          <w:szCs w:val="24"/>
        </w:rPr>
        <w:t>y adecuadas que no impongan una</w:t>
      </w:r>
      <w:r w:rsidRPr="009B1301">
        <w:rPr>
          <w:rFonts w:ascii="Book Antiqua" w:hAnsi="Book Antiqua" w:cs="Humanist777BT-RomanB"/>
          <w:sz w:val="24"/>
          <w:szCs w:val="24"/>
        </w:rPr>
        <w:t xml:space="preserve"> </w:t>
      </w:r>
      <w:r w:rsidRPr="009B1301">
        <w:rPr>
          <w:rFonts w:ascii="Book Antiqua" w:hAnsi="Book Antiqua" w:cs="Humanist777BT-ItalicB"/>
          <w:iCs/>
          <w:sz w:val="24"/>
          <w:szCs w:val="24"/>
        </w:rPr>
        <w:t>carga desproporcionada o indebida, cuando</w:t>
      </w:r>
      <w:r w:rsidRPr="009B1301">
        <w:rPr>
          <w:rFonts w:ascii="Book Antiqua" w:hAnsi="Book Antiqua" w:cs="Humanist777BT-RomanB"/>
          <w:sz w:val="24"/>
          <w:szCs w:val="24"/>
        </w:rPr>
        <w:t xml:space="preserve"> </w:t>
      </w:r>
      <w:r w:rsidRPr="009B1301">
        <w:rPr>
          <w:rFonts w:ascii="Book Antiqua" w:hAnsi="Book Antiqua" w:cs="Humanist777BT-ItalicB"/>
          <w:iCs/>
          <w:sz w:val="24"/>
          <w:szCs w:val="24"/>
        </w:rPr>
        <w:t>se requieran en un caso particular, para garantizar</w:t>
      </w:r>
      <w:r w:rsidRPr="009B1301">
        <w:rPr>
          <w:rFonts w:ascii="Book Antiqua" w:hAnsi="Book Antiqua" w:cs="Humanist777BT-RomanB"/>
          <w:sz w:val="24"/>
          <w:szCs w:val="24"/>
        </w:rPr>
        <w:t xml:space="preserve"> </w:t>
      </w:r>
      <w:r w:rsidRPr="009B1301">
        <w:rPr>
          <w:rFonts w:ascii="Book Antiqua" w:hAnsi="Book Antiqua" w:cs="Humanist777BT-ItalicB"/>
          <w:iCs/>
          <w:sz w:val="24"/>
          <w:szCs w:val="24"/>
        </w:rPr>
        <w:t>a las personas con discapacidad el goce</w:t>
      </w:r>
      <w:r w:rsidRPr="009B1301">
        <w:rPr>
          <w:rFonts w:ascii="Book Antiqua" w:hAnsi="Book Antiqua" w:cs="Humanist777BT-RomanB"/>
          <w:sz w:val="24"/>
          <w:szCs w:val="24"/>
        </w:rPr>
        <w:t xml:space="preserve"> </w:t>
      </w:r>
      <w:r w:rsidRPr="009B1301">
        <w:rPr>
          <w:rFonts w:ascii="Book Antiqua" w:hAnsi="Book Antiqua" w:cs="Humanist777BT-ItalicB"/>
          <w:iCs/>
          <w:sz w:val="24"/>
          <w:szCs w:val="24"/>
        </w:rPr>
        <w:t>o ejercicio, en igualdad de condiciones con las</w:t>
      </w:r>
      <w:r w:rsidRPr="009B1301">
        <w:rPr>
          <w:rFonts w:ascii="Book Antiqua" w:hAnsi="Book Antiqua" w:cs="Humanist777BT-RomanB"/>
          <w:sz w:val="24"/>
          <w:szCs w:val="24"/>
        </w:rPr>
        <w:t xml:space="preserve"> </w:t>
      </w:r>
      <w:r w:rsidRPr="009B1301">
        <w:rPr>
          <w:rFonts w:ascii="Book Antiqua" w:hAnsi="Book Antiqua" w:cs="Humanist777BT-ItalicB"/>
          <w:iCs/>
          <w:sz w:val="24"/>
          <w:szCs w:val="24"/>
        </w:rPr>
        <w:t>demás, de todos los derechos humanos y libertades</w:t>
      </w:r>
      <w:r w:rsidRPr="009B1301">
        <w:rPr>
          <w:rFonts w:ascii="Book Antiqua" w:hAnsi="Book Antiqua" w:cs="Humanist777BT-RomanB"/>
          <w:sz w:val="24"/>
          <w:szCs w:val="24"/>
        </w:rPr>
        <w:t xml:space="preserve"> </w:t>
      </w:r>
      <w:r w:rsidRPr="009B1301">
        <w:rPr>
          <w:rFonts w:ascii="Book Antiqua" w:hAnsi="Book Antiqua" w:cs="Humanist777BT-ItalicB"/>
          <w:iCs/>
          <w:sz w:val="24"/>
          <w:szCs w:val="24"/>
        </w:rPr>
        <w:t>fundamentales.</w:t>
      </w:r>
    </w:p>
    <w:p w:rsidR="009B1301" w:rsidRPr="009B1301" w:rsidRDefault="009B1301" w:rsidP="009B1301">
      <w:pPr>
        <w:autoSpaceDE w:val="0"/>
        <w:autoSpaceDN w:val="0"/>
        <w:adjustRightInd w:val="0"/>
        <w:spacing w:line="276" w:lineRule="auto"/>
        <w:rPr>
          <w:rFonts w:ascii="Book Antiqua" w:hAnsi="Book Antiqua" w:cs="Humanist777BT-ItalicB"/>
          <w:iCs/>
          <w:sz w:val="24"/>
          <w:szCs w:val="24"/>
        </w:rPr>
      </w:pPr>
    </w:p>
    <w:p w:rsidR="009B1301" w:rsidRPr="003D257D" w:rsidRDefault="009B1301" w:rsidP="003D257D">
      <w:pPr>
        <w:autoSpaceDE w:val="0"/>
        <w:autoSpaceDN w:val="0"/>
        <w:adjustRightInd w:val="0"/>
        <w:spacing w:line="276" w:lineRule="auto"/>
        <w:rPr>
          <w:rFonts w:ascii="Book Antiqua" w:hAnsi="Book Antiqua" w:cs="Humanist777BT-RomanB"/>
          <w:sz w:val="24"/>
          <w:szCs w:val="24"/>
        </w:rPr>
      </w:pPr>
      <w:r w:rsidRPr="009B1301">
        <w:rPr>
          <w:rFonts w:ascii="Book Antiqua" w:hAnsi="Book Antiqua" w:cs="Humanist777BT-RomanB"/>
          <w:sz w:val="24"/>
          <w:szCs w:val="24"/>
        </w:rPr>
        <w:t>Tanto de la regulación de</w:t>
      </w:r>
      <w:r w:rsidRPr="009B1301">
        <w:rPr>
          <w:rFonts w:ascii="Book Antiqua" w:hAnsi="Book Antiqua" w:cs="Humanist777BT-RomanB"/>
          <w:sz w:val="24"/>
          <w:szCs w:val="24"/>
        </w:rPr>
        <w:t xml:space="preserve"> la CDPD como de la legislación </w:t>
      </w:r>
      <w:r w:rsidRPr="009B1301">
        <w:rPr>
          <w:rFonts w:ascii="Book Antiqua" w:hAnsi="Book Antiqua" w:cs="Humanist777BT-RomanB"/>
          <w:sz w:val="24"/>
          <w:szCs w:val="24"/>
        </w:rPr>
        <w:t>española se desprenden ciertos cr</w:t>
      </w:r>
      <w:r w:rsidRPr="009B1301">
        <w:rPr>
          <w:rFonts w:ascii="Book Antiqua" w:hAnsi="Book Antiqua" w:cs="Humanist777BT-RomanB"/>
          <w:sz w:val="24"/>
          <w:szCs w:val="24"/>
        </w:rPr>
        <w:t xml:space="preserve">iterios </w:t>
      </w:r>
      <w:r w:rsidRPr="009B1301">
        <w:rPr>
          <w:rFonts w:ascii="Book Antiqua" w:hAnsi="Book Antiqua" w:cs="Humanist777BT-RomanB"/>
          <w:sz w:val="24"/>
          <w:szCs w:val="24"/>
        </w:rPr>
        <w:t>constitutivos que podemos denominar como “</w:t>
      </w:r>
      <w:r w:rsidRPr="009B1301">
        <w:rPr>
          <w:rFonts w:ascii="Book Antiqua" w:hAnsi="Book Antiqua" w:cs="Humanist777BT-RomanB"/>
          <w:sz w:val="24"/>
          <w:szCs w:val="24"/>
        </w:rPr>
        <w:t xml:space="preserve">elementos </w:t>
      </w:r>
      <w:r w:rsidRPr="009B1301">
        <w:rPr>
          <w:rFonts w:ascii="Book Antiqua" w:hAnsi="Book Antiqua" w:cs="Humanist777BT-RomanB"/>
          <w:sz w:val="24"/>
          <w:szCs w:val="24"/>
        </w:rPr>
        <w:t>del ajuste razonable”.</w:t>
      </w:r>
      <w:r w:rsidRPr="009B1301">
        <w:rPr>
          <w:rFonts w:ascii="Book Antiqua" w:hAnsi="Book Antiqua" w:cs="Humanist777BT-RomanB"/>
          <w:sz w:val="24"/>
          <w:szCs w:val="24"/>
        </w:rPr>
        <w:t xml:space="preserve"> </w:t>
      </w:r>
      <w:r>
        <w:rPr>
          <w:rFonts w:ascii="Book Antiqua" w:hAnsi="Book Antiqua" w:cs="Humanist777BT-RomanB"/>
          <w:sz w:val="24"/>
          <w:szCs w:val="24"/>
        </w:rPr>
        <w:t xml:space="preserve">A estos elementos </w:t>
      </w:r>
      <w:r w:rsidRPr="009B1301">
        <w:rPr>
          <w:rFonts w:ascii="Book Antiqua" w:hAnsi="Book Antiqua" w:cs="Humanist777BT-RomanB"/>
          <w:sz w:val="24"/>
          <w:szCs w:val="24"/>
        </w:rPr>
        <w:t>Luis Cayo las e</w:t>
      </w:r>
      <w:r w:rsidRPr="009B1301">
        <w:rPr>
          <w:rFonts w:ascii="Book Antiqua" w:hAnsi="Book Antiqua" w:cs="Humanist777BT-RomanB"/>
          <w:sz w:val="24"/>
          <w:szCs w:val="24"/>
        </w:rPr>
        <w:t xml:space="preserve">numera y ordena de la siguiente </w:t>
      </w:r>
      <w:r w:rsidRPr="009B1301">
        <w:rPr>
          <w:rFonts w:ascii="Book Antiqua" w:hAnsi="Book Antiqua" w:cs="Humanist777BT-RomanB"/>
          <w:sz w:val="24"/>
          <w:szCs w:val="24"/>
        </w:rPr>
        <w:t>manera: a) cond</w:t>
      </w:r>
      <w:r w:rsidRPr="009B1301">
        <w:rPr>
          <w:rFonts w:ascii="Book Antiqua" w:hAnsi="Book Antiqua" w:cs="Humanist777BT-RomanB"/>
          <w:sz w:val="24"/>
          <w:szCs w:val="24"/>
        </w:rPr>
        <w:t xml:space="preserve">ucta positiva de actuación para </w:t>
      </w:r>
      <w:r w:rsidRPr="009B1301">
        <w:rPr>
          <w:rFonts w:ascii="Book Antiqua" w:hAnsi="Book Antiqua" w:cs="Humanist777BT-RomanB"/>
          <w:sz w:val="24"/>
          <w:szCs w:val="24"/>
        </w:rPr>
        <w:t>transformar el entor</w:t>
      </w:r>
      <w:r w:rsidRPr="009B1301">
        <w:rPr>
          <w:rFonts w:ascii="Book Antiqua" w:hAnsi="Book Antiqua" w:cs="Humanist777BT-RomanB"/>
          <w:sz w:val="24"/>
          <w:szCs w:val="24"/>
        </w:rPr>
        <w:t xml:space="preserve">no; b) que la transformación se </w:t>
      </w:r>
      <w:r w:rsidRPr="009B1301">
        <w:rPr>
          <w:rFonts w:ascii="Book Antiqua" w:hAnsi="Book Antiqua" w:cs="Humanist777BT-RomanB"/>
          <w:sz w:val="24"/>
          <w:szCs w:val="24"/>
        </w:rPr>
        <w:t>dirija a adaptar y hacer corresponder ese entorno a</w:t>
      </w:r>
      <w:r w:rsidRPr="009B1301">
        <w:rPr>
          <w:rFonts w:ascii="Book Antiqua" w:hAnsi="Book Antiqua" w:cs="Humanist777BT-RomanB"/>
          <w:sz w:val="24"/>
          <w:szCs w:val="24"/>
        </w:rPr>
        <w:t xml:space="preserve"> </w:t>
      </w:r>
      <w:r w:rsidRPr="009B1301">
        <w:rPr>
          <w:rFonts w:ascii="Book Antiqua" w:hAnsi="Book Antiqua" w:cs="Humanist777BT-RomanB"/>
          <w:sz w:val="24"/>
          <w:szCs w:val="24"/>
        </w:rPr>
        <w:t>las necesidades específicas d</w:t>
      </w:r>
      <w:r w:rsidRPr="009B1301">
        <w:rPr>
          <w:rFonts w:ascii="Book Antiqua" w:hAnsi="Book Antiqua" w:cs="Humanist777BT-RomanB"/>
          <w:sz w:val="24"/>
          <w:szCs w:val="24"/>
        </w:rPr>
        <w:t xml:space="preserve">e las personas con discapacidad </w:t>
      </w:r>
      <w:r w:rsidRPr="009B1301">
        <w:rPr>
          <w:rFonts w:ascii="Book Antiqua" w:hAnsi="Book Antiqua" w:cs="Humanist777BT-RomanB"/>
          <w:sz w:val="24"/>
          <w:szCs w:val="24"/>
        </w:rPr>
        <w:t>(element</w:t>
      </w:r>
      <w:r w:rsidRPr="009B1301">
        <w:rPr>
          <w:rFonts w:ascii="Book Antiqua" w:hAnsi="Book Antiqua" w:cs="Humanist777BT-RomanB"/>
          <w:sz w:val="24"/>
          <w:szCs w:val="24"/>
        </w:rPr>
        <w:t xml:space="preserve">o de individualización); c) que </w:t>
      </w:r>
      <w:r w:rsidRPr="009B1301">
        <w:rPr>
          <w:rFonts w:ascii="Book Antiqua" w:hAnsi="Book Antiqua" w:cs="Humanist777BT-RomanB"/>
          <w:sz w:val="24"/>
          <w:szCs w:val="24"/>
        </w:rPr>
        <w:t>no signifiquen una c</w:t>
      </w:r>
      <w:r w:rsidRPr="009B1301">
        <w:rPr>
          <w:rFonts w:ascii="Book Antiqua" w:hAnsi="Book Antiqua" w:cs="Humanist777BT-RomanB"/>
          <w:sz w:val="24"/>
          <w:szCs w:val="24"/>
        </w:rPr>
        <w:t xml:space="preserve">arga desproporcionada (elemento </w:t>
      </w:r>
      <w:r w:rsidRPr="009B1301">
        <w:rPr>
          <w:rFonts w:ascii="Book Antiqua" w:hAnsi="Book Antiqua" w:cs="Humanist777BT-RomanB"/>
          <w:sz w:val="24"/>
          <w:szCs w:val="24"/>
        </w:rPr>
        <w:t>razonable); d) fi</w:t>
      </w:r>
      <w:r w:rsidRPr="009B1301">
        <w:rPr>
          <w:rFonts w:ascii="Book Antiqua" w:hAnsi="Book Antiqua" w:cs="Humanist777BT-RomanB"/>
          <w:sz w:val="24"/>
          <w:szCs w:val="24"/>
        </w:rPr>
        <w:t xml:space="preserve">nalidad dirigida a facilitar la </w:t>
      </w:r>
      <w:r w:rsidRPr="009B1301">
        <w:rPr>
          <w:rFonts w:ascii="Book Antiqua" w:hAnsi="Book Antiqua" w:cs="Humanist777BT-RomanB"/>
          <w:sz w:val="24"/>
          <w:szCs w:val="24"/>
        </w:rPr>
        <w:t>accesibilidad o la pa</w:t>
      </w:r>
      <w:r w:rsidRPr="009B1301">
        <w:rPr>
          <w:rFonts w:ascii="Book Antiqua" w:hAnsi="Book Antiqua" w:cs="Humanist777BT-RomanB"/>
          <w:sz w:val="24"/>
          <w:szCs w:val="24"/>
        </w:rPr>
        <w:t xml:space="preserve">rticipación de las </w:t>
      </w:r>
      <w:r w:rsidRPr="003D257D">
        <w:rPr>
          <w:rFonts w:ascii="Book Antiqua" w:hAnsi="Book Antiqua" w:cs="Humanist777BT-RomanB"/>
          <w:sz w:val="24"/>
          <w:szCs w:val="24"/>
        </w:rPr>
        <w:t xml:space="preserve">personas con </w:t>
      </w:r>
      <w:r w:rsidRPr="003D257D">
        <w:rPr>
          <w:rFonts w:ascii="Book Antiqua" w:hAnsi="Book Antiqua" w:cs="Humanist777BT-RomanB"/>
          <w:sz w:val="24"/>
          <w:szCs w:val="24"/>
        </w:rPr>
        <w:t>discapacidad, y e) q</w:t>
      </w:r>
      <w:r w:rsidRPr="003D257D">
        <w:rPr>
          <w:rFonts w:ascii="Book Antiqua" w:hAnsi="Book Antiqua" w:cs="Humanist777BT-RomanB"/>
          <w:sz w:val="24"/>
          <w:szCs w:val="24"/>
        </w:rPr>
        <w:t xml:space="preserve">ue se hace exigible en aquellos </w:t>
      </w:r>
      <w:r w:rsidRPr="003D257D">
        <w:rPr>
          <w:rFonts w:ascii="Book Antiqua" w:hAnsi="Book Antiqua" w:cs="Humanist777BT-RomanB"/>
          <w:sz w:val="24"/>
          <w:szCs w:val="24"/>
        </w:rPr>
        <w:t>casos no alcanzados</w:t>
      </w:r>
      <w:r w:rsidRPr="003D257D">
        <w:rPr>
          <w:rFonts w:ascii="Book Antiqua" w:hAnsi="Book Antiqua" w:cs="Humanist777BT-RomanB"/>
          <w:sz w:val="24"/>
          <w:szCs w:val="24"/>
        </w:rPr>
        <w:t xml:space="preserve"> por las obligaciones generales </w:t>
      </w:r>
      <w:r w:rsidRPr="003D257D">
        <w:rPr>
          <w:rFonts w:ascii="Book Antiqua" w:hAnsi="Book Antiqua" w:cs="Humanist777BT-RomanB"/>
          <w:sz w:val="24"/>
          <w:szCs w:val="24"/>
        </w:rPr>
        <w:t>de protección de l</w:t>
      </w:r>
      <w:r w:rsidRPr="003D257D">
        <w:rPr>
          <w:rFonts w:ascii="Book Antiqua" w:hAnsi="Book Antiqua" w:cs="Humanist777BT-RomanB"/>
          <w:sz w:val="24"/>
          <w:szCs w:val="24"/>
        </w:rPr>
        <w:t xml:space="preserve">os derechos de las personas con </w:t>
      </w:r>
      <w:r w:rsidRPr="003D257D">
        <w:rPr>
          <w:rFonts w:ascii="Book Antiqua" w:hAnsi="Book Antiqua" w:cs="Humanist777BT-RomanB"/>
          <w:sz w:val="24"/>
          <w:szCs w:val="24"/>
        </w:rPr>
        <w:t>discapacidad</w:t>
      </w:r>
      <w:r w:rsidRPr="003D257D">
        <w:rPr>
          <w:rFonts w:ascii="Book Antiqua" w:hAnsi="Book Antiqua" w:cs="Humanist777BT-RomanB"/>
          <w:sz w:val="24"/>
          <w:szCs w:val="24"/>
        </w:rPr>
        <w:t>.</w:t>
      </w:r>
      <w:r w:rsidRPr="003D257D">
        <w:rPr>
          <w:rStyle w:val="Refdenotaalpie"/>
          <w:rFonts w:ascii="Book Antiqua" w:hAnsi="Book Antiqua" w:cs="Humanist777BT-RomanB"/>
          <w:sz w:val="24"/>
          <w:szCs w:val="24"/>
        </w:rPr>
        <w:footnoteReference w:id="10"/>
      </w:r>
    </w:p>
    <w:p w:rsidR="003D257D" w:rsidRPr="003D257D" w:rsidRDefault="003D257D" w:rsidP="003D257D">
      <w:pPr>
        <w:autoSpaceDE w:val="0"/>
        <w:autoSpaceDN w:val="0"/>
        <w:adjustRightInd w:val="0"/>
        <w:spacing w:line="276" w:lineRule="auto"/>
        <w:rPr>
          <w:rFonts w:ascii="Book Antiqua" w:hAnsi="Book Antiqua" w:cs="Humanist777BT-RomanB"/>
          <w:sz w:val="24"/>
          <w:szCs w:val="24"/>
        </w:rPr>
      </w:pPr>
    </w:p>
    <w:p w:rsidR="003D257D" w:rsidRDefault="003D257D" w:rsidP="003D257D">
      <w:pPr>
        <w:autoSpaceDE w:val="0"/>
        <w:autoSpaceDN w:val="0"/>
        <w:adjustRightInd w:val="0"/>
        <w:spacing w:line="276" w:lineRule="auto"/>
        <w:rPr>
          <w:rFonts w:ascii="Book Antiqua" w:hAnsi="Book Antiqua" w:cs="Humanist777BT-RomanB"/>
          <w:sz w:val="24"/>
          <w:szCs w:val="24"/>
        </w:rPr>
      </w:pPr>
      <w:r w:rsidRPr="003D257D">
        <w:rPr>
          <w:rFonts w:ascii="Book Antiqua" w:hAnsi="Book Antiqua" w:cs="Humanist777BT-RomanB"/>
          <w:sz w:val="24"/>
          <w:szCs w:val="24"/>
        </w:rPr>
        <w:t>Respecto a lo an</w:t>
      </w:r>
      <w:r w:rsidRPr="003D257D">
        <w:rPr>
          <w:rFonts w:ascii="Book Antiqua" w:hAnsi="Book Antiqua" w:cs="Humanist777BT-RomanB"/>
          <w:sz w:val="24"/>
          <w:szCs w:val="24"/>
        </w:rPr>
        <w:t xml:space="preserve">terior surgen esencialmente dos </w:t>
      </w:r>
      <w:r w:rsidRPr="003D257D">
        <w:rPr>
          <w:rFonts w:ascii="Book Antiqua" w:hAnsi="Book Antiqua" w:cs="Humanist777BT-RomanB"/>
          <w:sz w:val="24"/>
          <w:szCs w:val="24"/>
        </w:rPr>
        <w:t>preguntas: la primera gira en t</w:t>
      </w:r>
      <w:r w:rsidRPr="003D257D">
        <w:rPr>
          <w:rFonts w:ascii="Book Antiqua" w:hAnsi="Book Antiqua" w:cs="Humanist777BT-RomanB"/>
          <w:sz w:val="24"/>
          <w:szCs w:val="24"/>
        </w:rPr>
        <w:t xml:space="preserve">orno al carácter subsidiario </w:t>
      </w:r>
      <w:r w:rsidRPr="003D257D">
        <w:rPr>
          <w:rFonts w:ascii="Book Antiqua" w:hAnsi="Book Antiqua" w:cs="Humanist777BT-RomanB"/>
          <w:sz w:val="24"/>
          <w:szCs w:val="24"/>
        </w:rPr>
        <w:t>de los ajustes ra</w:t>
      </w:r>
      <w:r w:rsidRPr="003D257D">
        <w:rPr>
          <w:rFonts w:ascii="Book Antiqua" w:hAnsi="Book Antiqua" w:cs="Humanist777BT-RomanB"/>
          <w:sz w:val="24"/>
          <w:szCs w:val="24"/>
        </w:rPr>
        <w:t xml:space="preserve">zonables, y la segunda pregunta </w:t>
      </w:r>
      <w:r w:rsidRPr="003D257D">
        <w:rPr>
          <w:rFonts w:ascii="Book Antiqua" w:hAnsi="Book Antiqua" w:cs="Humanist777BT-RomanB"/>
          <w:sz w:val="24"/>
          <w:szCs w:val="24"/>
        </w:rPr>
        <w:t xml:space="preserve">surge </w:t>
      </w:r>
      <w:r w:rsidRPr="003D257D">
        <w:rPr>
          <w:rFonts w:ascii="Book Antiqua" w:hAnsi="Book Antiqua" w:cs="Humanist777BT-RomanB"/>
          <w:sz w:val="24"/>
          <w:szCs w:val="24"/>
        </w:rPr>
        <w:lastRenderedPageBreak/>
        <w:t>del término “razonable”</w:t>
      </w:r>
      <w:r w:rsidRPr="003D257D">
        <w:rPr>
          <w:rFonts w:ascii="Book Antiqua" w:hAnsi="Book Antiqua" w:cs="Humanist777BT-RomanB"/>
          <w:sz w:val="24"/>
          <w:szCs w:val="24"/>
        </w:rPr>
        <w:t xml:space="preserve"> de los ajustes, </w:t>
      </w:r>
      <w:r w:rsidRPr="003D257D">
        <w:rPr>
          <w:rFonts w:ascii="Book Antiqua" w:hAnsi="Book Antiqua" w:cs="Humanist777BT-RomanB"/>
          <w:sz w:val="24"/>
          <w:szCs w:val="24"/>
        </w:rPr>
        <w:t xml:space="preserve">pues si bien la </w:t>
      </w:r>
      <w:r w:rsidRPr="003D257D">
        <w:rPr>
          <w:rFonts w:ascii="Book Antiqua" w:hAnsi="Book Antiqua" w:cs="Humanist777BT-RomanB"/>
          <w:sz w:val="24"/>
          <w:szCs w:val="24"/>
        </w:rPr>
        <w:t xml:space="preserve">CDPD señala qué se entiende por </w:t>
      </w:r>
      <w:r w:rsidRPr="003D257D">
        <w:rPr>
          <w:rFonts w:ascii="Book Antiqua" w:hAnsi="Book Antiqua" w:cs="Humanist777BT-RomanB"/>
          <w:sz w:val="24"/>
          <w:szCs w:val="24"/>
        </w:rPr>
        <w:t>ajustes razonables, no establece un método para</w:t>
      </w:r>
      <w:r w:rsidRPr="003D257D">
        <w:rPr>
          <w:rFonts w:ascii="Book Antiqua" w:hAnsi="Book Antiqua" w:cs="Humanist777BT-RomanB"/>
          <w:sz w:val="24"/>
          <w:szCs w:val="24"/>
        </w:rPr>
        <w:t xml:space="preserve"> </w:t>
      </w:r>
      <w:r w:rsidRPr="003D257D">
        <w:rPr>
          <w:rFonts w:ascii="Book Antiqua" w:hAnsi="Book Antiqua" w:cs="Humanist777BT-RomanB"/>
          <w:sz w:val="24"/>
          <w:szCs w:val="24"/>
        </w:rPr>
        <w:t>medir la razonabilidad o no de estos. Estas dos</w:t>
      </w:r>
      <w:r w:rsidRPr="003D257D">
        <w:rPr>
          <w:rFonts w:ascii="Book Antiqua" w:hAnsi="Book Antiqua" w:cs="Humanist777BT-RomanB"/>
          <w:sz w:val="24"/>
          <w:szCs w:val="24"/>
        </w:rPr>
        <w:t xml:space="preserve"> </w:t>
      </w:r>
      <w:r w:rsidRPr="003D257D">
        <w:rPr>
          <w:rFonts w:ascii="Book Antiqua" w:hAnsi="Book Antiqua" w:cs="Humanist777BT-RomanB"/>
          <w:sz w:val="24"/>
          <w:szCs w:val="24"/>
        </w:rPr>
        <w:t>cuestiones serán analizadas a continuación.</w:t>
      </w:r>
    </w:p>
    <w:p w:rsidR="003D257D" w:rsidRDefault="003D257D" w:rsidP="003D257D">
      <w:pPr>
        <w:autoSpaceDE w:val="0"/>
        <w:autoSpaceDN w:val="0"/>
        <w:adjustRightInd w:val="0"/>
        <w:spacing w:line="276" w:lineRule="auto"/>
        <w:rPr>
          <w:rFonts w:ascii="Book Antiqua" w:hAnsi="Book Antiqua" w:cs="Humanist777BT-RomanB"/>
          <w:sz w:val="24"/>
          <w:szCs w:val="24"/>
        </w:rPr>
      </w:pPr>
    </w:p>
    <w:p w:rsidR="003D257D" w:rsidRDefault="003D257D" w:rsidP="00CB2219">
      <w:pPr>
        <w:pStyle w:val="Prrafodelista"/>
        <w:numPr>
          <w:ilvl w:val="0"/>
          <w:numId w:val="1"/>
        </w:numPr>
        <w:autoSpaceDE w:val="0"/>
        <w:autoSpaceDN w:val="0"/>
        <w:adjustRightInd w:val="0"/>
        <w:spacing w:line="276" w:lineRule="auto"/>
        <w:ind w:left="567" w:hanging="567"/>
        <w:outlineLvl w:val="0"/>
        <w:rPr>
          <w:rFonts w:ascii="Book Antiqua" w:hAnsi="Book Antiqua" w:cs="Humanist777BT-RomanB"/>
          <w:b/>
          <w:sz w:val="24"/>
          <w:szCs w:val="24"/>
        </w:rPr>
      </w:pPr>
      <w:bookmarkStart w:id="5" w:name="_Toc486598184"/>
      <w:r w:rsidRPr="003D257D">
        <w:rPr>
          <w:rFonts w:ascii="Book Antiqua" w:hAnsi="Book Antiqua" w:cs="Humanist777BT-RomanB"/>
          <w:b/>
          <w:sz w:val="24"/>
          <w:szCs w:val="24"/>
        </w:rPr>
        <w:t>EL CARÁCTER SUBSIDIARIO DE LOS AJUSTES</w:t>
      </w:r>
      <w:bookmarkEnd w:id="5"/>
    </w:p>
    <w:p w:rsidR="0071456C" w:rsidRPr="0071456C" w:rsidRDefault="0071456C" w:rsidP="0071456C">
      <w:pPr>
        <w:autoSpaceDE w:val="0"/>
        <w:autoSpaceDN w:val="0"/>
        <w:adjustRightInd w:val="0"/>
        <w:spacing w:line="276" w:lineRule="auto"/>
        <w:rPr>
          <w:rFonts w:ascii="Book Antiqua" w:hAnsi="Book Antiqua" w:cs="Humanist777BT-RomanB"/>
          <w:b/>
          <w:color w:val="000000" w:themeColor="text1"/>
          <w:sz w:val="24"/>
          <w:szCs w:val="24"/>
        </w:rPr>
      </w:pPr>
    </w:p>
    <w:p w:rsidR="0071456C" w:rsidRPr="0071456C" w:rsidRDefault="0071456C" w:rsidP="0071456C">
      <w:pPr>
        <w:autoSpaceDE w:val="0"/>
        <w:autoSpaceDN w:val="0"/>
        <w:adjustRightInd w:val="0"/>
        <w:spacing w:line="276" w:lineRule="auto"/>
        <w:rPr>
          <w:rFonts w:ascii="Book Antiqua" w:hAnsi="Book Antiqua" w:cs="Humanist777BT-RomanB"/>
          <w:color w:val="000000" w:themeColor="text1"/>
          <w:sz w:val="24"/>
          <w:szCs w:val="24"/>
        </w:rPr>
      </w:pPr>
      <w:r w:rsidRPr="0071456C">
        <w:rPr>
          <w:rFonts w:ascii="Book Antiqua" w:hAnsi="Book Antiqua" w:cs="Humanist777BT-RomanB"/>
          <w:color w:val="000000" w:themeColor="text1"/>
          <w:sz w:val="24"/>
          <w:szCs w:val="24"/>
        </w:rPr>
        <w:t>Como se anticipó</w:t>
      </w:r>
      <w:r w:rsidRPr="0071456C">
        <w:rPr>
          <w:rFonts w:ascii="Book Antiqua" w:hAnsi="Book Antiqua" w:cs="Humanist777BT-RomanB"/>
          <w:color w:val="000000" w:themeColor="text1"/>
          <w:sz w:val="24"/>
          <w:szCs w:val="24"/>
        </w:rPr>
        <w:t xml:space="preserve">, existe una obligación estatal </w:t>
      </w:r>
      <w:r w:rsidRPr="0071456C">
        <w:rPr>
          <w:rFonts w:ascii="Book Antiqua" w:hAnsi="Book Antiqua" w:cs="Humanist777BT-RomanB"/>
          <w:color w:val="000000" w:themeColor="text1"/>
          <w:sz w:val="24"/>
          <w:szCs w:val="24"/>
        </w:rPr>
        <w:t>de garantizar la acce</w:t>
      </w:r>
      <w:r w:rsidRPr="0071456C">
        <w:rPr>
          <w:rFonts w:ascii="Book Antiqua" w:hAnsi="Book Antiqua" w:cs="Humanist777BT-RomanB"/>
          <w:color w:val="000000" w:themeColor="text1"/>
          <w:sz w:val="24"/>
          <w:szCs w:val="24"/>
        </w:rPr>
        <w:t xml:space="preserve">sibilidad y el diseño universal </w:t>
      </w:r>
      <w:r w:rsidRPr="0071456C">
        <w:rPr>
          <w:rFonts w:ascii="Book Antiqua" w:hAnsi="Book Antiqua" w:cs="Humanist777BT-RomanB"/>
          <w:color w:val="000000" w:themeColor="text1"/>
          <w:sz w:val="24"/>
          <w:szCs w:val="24"/>
        </w:rPr>
        <w:t xml:space="preserve">para concretar la igualdad </w:t>
      </w:r>
      <w:r w:rsidRPr="0071456C">
        <w:rPr>
          <w:rFonts w:ascii="Book Antiqua" w:hAnsi="Book Antiqua" w:cs="Humanist777BT-RomanB"/>
          <w:color w:val="000000" w:themeColor="text1"/>
          <w:sz w:val="24"/>
          <w:szCs w:val="24"/>
        </w:rPr>
        <w:t xml:space="preserve">a las personas con discapacidad </w:t>
      </w:r>
      <w:r w:rsidRPr="0071456C">
        <w:rPr>
          <w:rFonts w:ascii="Book Antiqua" w:hAnsi="Book Antiqua" w:cs="Humanist777BT-RomanB"/>
          <w:color w:val="000000" w:themeColor="text1"/>
          <w:sz w:val="24"/>
          <w:szCs w:val="24"/>
        </w:rPr>
        <w:t>en el go</w:t>
      </w:r>
      <w:r w:rsidRPr="0071456C">
        <w:rPr>
          <w:rFonts w:ascii="Book Antiqua" w:hAnsi="Book Antiqua" w:cs="Humanist777BT-RomanB"/>
          <w:color w:val="000000" w:themeColor="text1"/>
          <w:sz w:val="24"/>
          <w:szCs w:val="24"/>
        </w:rPr>
        <w:t xml:space="preserve">ce y ejercicio de sus derechos. </w:t>
      </w:r>
      <w:r w:rsidRPr="0071456C">
        <w:rPr>
          <w:rFonts w:ascii="Book Antiqua" w:hAnsi="Book Antiqua" w:cs="Humanist777BT-RomanB"/>
          <w:color w:val="000000" w:themeColor="text1"/>
          <w:sz w:val="24"/>
          <w:szCs w:val="24"/>
        </w:rPr>
        <w:t>Sin embargo, puede</w:t>
      </w:r>
      <w:r w:rsidRPr="0071456C">
        <w:rPr>
          <w:rFonts w:ascii="Book Antiqua" w:hAnsi="Book Antiqua" w:cs="Humanist777BT-RomanB"/>
          <w:color w:val="000000" w:themeColor="text1"/>
          <w:sz w:val="24"/>
          <w:szCs w:val="24"/>
        </w:rPr>
        <w:t xml:space="preserve"> suceder que debido al carácter </w:t>
      </w:r>
      <w:r w:rsidRPr="0071456C">
        <w:rPr>
          <w:rFonts w:ascii="Book Antiqua" w:hAnsi="Book Antiqua" w:cs="Humanist777BT-RomanB"/>
          <w:color w:val="000000" w:themeColor="text1"/>
          <w:sz w:val="24"/>
          <w:szCs w:val="24"/>
        </w:rPr>
        <w:t>abierto de estas “primeras”</w:t>
      </w:r>
      <w:r w:rsidRPr="0071456C">
        <w:rPr>
          <w:rFonts w:ascii="Book Antiqua" w:hAnsi="Book Antiqua" w:cs="Humanist777BT-RomanB"/>
          <w:color w:val="000000" w:themeColor="text1"/>
          <w:sz w:val="24"/>
          <w:szCs w:val="24"/>
        </w:rPr>
        <w:t xml:space="preserve"> obligaciones de los </w:t>
      </w:r>
      <w:r w:rsidRPr="0071456C">
        <w:rPr>
          <w:rFonts w:ascii="Book Antiqua" w:hAnsi="Book Antiqua" w:cs="Humanist777BT-RomanB"/>
          <w:color w:val="000000" w:themeColor="text1"/>
          <w:sz w:val="24"/>
          <w:szCs w:val="24"/>
        </w:rPr>
        <w:t>Estados no se logre</w:t>
      </w:r>
      <w:r w:rsidRPr="0071456C">
        <w:rPr>
          <w:rFonts w:ascii="Book Antiqua" w:hAnsi="Book Antiqua" w:cs="Humanist777BT-RomanB"/>
          <w:color w:val="000000" w:themeColor="text1"/>
          <w:sz w:val="24"/>
          <w:szCs w:val="24"/>
        </w:rPr>
        <w:t xml:space="preserve"> garantizar el goce y ejercicio </w:t>
      </w:r>
      <w:r w:rsidRPr="0071456C">
        <w:rPr>
          <w:rFonts w:ascii="Book Antiqua" w:hAnsi="Book Antiqua" w:cs="Humanist777BT-RomanB"/>
          <w:color w:val="000000" w:themeColor="text1"/>
          <w:sz w:val="24"/>
          <w:szCs w:val="24"/>
        </w:rPr>
        <w:t>de los der</w:t>
      </w:r>
      <w:r w:rsidRPr="0071456C">
        <w:rPr>
          <w:rFonts w:ascii="Book Antiqua" w:hAnsi="Book Antiqua" w:cs="Humanist777BT-RomanB"/>
          <w:color w:val="000000" w:themeColor="text1"/>
          <w:sz w:val="24"/>
          <w:szCs w:val="24"/>
        </w:rPr>
        <w:t xml:space="preserve">echos de todas las personas con discapacidad; </w:t>
      </w:r>
      <w:r w:rsidRPr="0071456C">
        <w:rPr>
          <w:rFonts w:ascii="Book Antiqua" w:hAnsi="Book Antiqua" w:cs="Humanist777BT-RomanB"/>
          <w:color w:val="000000" w:themeColor="text1"/>
          <w:sz w:val="24"/>
          <w:szCs w:val="24"/>
        </w:rPr>
        <w:t>ello debido p</w:t>
      </w:r>
      <w:r w:rsidRPr="0071456C">
        <w:rPr>
          <w:rFonts w:ascii="Book Antiqua" w:hAnsi="Book Antiqua" w:cs="Humanist777BT-RomanB"/>
          <w:color w:val="000000" w:themeColor="text1"/>
          <w:sz w:val="24"/>
          <w:szCs w:val="24"/>
        </w:rPr>
        <w:t xml:space="preserve">rincipalmente a que la amplitud </w:t>
      </w:r>
      <w:r w:rsidRPr="0071456C">
        <w:rPr>
          <w:rFonts w:ascii="Book Antiqua" w:hAnsi="Book Antiqua" w:cs="Humanist777BT-RomanB"/>
          <w:color w:val="000000" w:themeColor="text1"/>
          <w:sz w:val="24"/>
          <w:szCs w:val="24"/>
        </w:rPr>
        <w:t xml:space="preserve">de la diversidad </w:t>
      </w:r>
      <w:r w:rsidRPr="0071456C">
        <w:rPr>
          <w:rFonts w:ascii="Book Antiqua" w:hAnsi="Book Antiqua" w:cs="Humanist777BT-RomanB"/>
          <w:color w:val="000000" w:themeColor="text1"/>
          <w:sz w:val="24"/>
          <w:szCs w:val="24"/>
        </w:rPr>
        <w:t xml:space="preserve">humana no se limita a reconocer </w:t>
      </w:r>
      <w:r w:rsidRPr="0071456C">
        <w:rPr>
          <w:rFonts w:ascii="Book Antiqua" w:hAnsi="Book Antiqua" w:cs="Humanist777BT-RomanB"/>
          <w:color w:val="000000" w:themeColor="text1"/>
          <w:sz w:val="24"/>
          <w:szCs w:val="24"/>
        </w:rPr>
        <w:t xml:space="preserve">que existen </w:t>
      </w:r>
      <w:r w:rsidRPr="0071456C">
        <w:rPr>
          <w:rFonts w:ascii="Book Antiqua" w:hAnsi="Book Antiqua" w:cs="Humanist777BT-RomanB"/>
          <w:color w:val="000000" w:themeColor="text1"/>
          <w:sz w:val="24"/>
          <w:szCs w:val="24"/>
        </w:rPr>
        <w:t xml:space="preserve">personas con discapacidad, sino </w:t>
      </w:r>
      <w:r w:rsidRPr="0071456C">
        <w:rPr>
          <w:rFonts w:ascii="Book Antiqua" w:hAnsi="Book Antiqua" w:cs="Humanist777BT-RomanB"/>
          <w:color w:val="000000" w:themeColor="text1"/>
          <w:sz w:val="24"/>
          <w:szCs w:val="24"/>
        </w:rPr>
        <w:t>también a recon</w:t>
      </w:r>
      <w:r w:rsidRPr="0071456C">
        <w:rPr>
          <w:rFonts w:ascii="Book Antiqua" w:hAnsi="Book Antiqua" w:cs="Humanist777BT-RomanB"/>
          <w:color w:val="000000" w:themeColor="text1"/>
          <w:sz w:val="24"/>
          <w:szCs w:val="24"/>
        </w:rPr>
        <w:t xml:space="preserve">ocer que dentro del mismo grupo </w:t>
      </w:r>
      <w:r w:rsidRPr="0071456C">
        <w:rPr>
          <w:rFonts w:ascii="Book Antiqua" w:hAnsi="Book Antiqua" w:cs="Humanist777BT-RomanB"/>
          <w:color w:val="000000" w:themeColor="text1"/>
          <w:sz w:val="24"/>
          <w:szCs w:val="24"/>
        </w:rPr>
        <w:t>también se pued</w:t>
      </w:r>
      <w:r w:rsidRPr="0071456C">
        <w:rPr>
          <w:rFonts w:ascii="Book Antiqua" w:hAnsi="Book Antiqua" w:cs="Humanist777BT-RomanB"/>
          <w:color w:val="000000" w:themeColor="text1"/>
          <w:sz w:val="24"/>
          <w:szCs w:val="24"/>
        </w:rPr>
        <w:t xml:space="preserve">e encontrar una enorme variedad </w:t>
      </w:r>
      <w:r w:rsidRPr="0071456C">
        <w:rPr>
          <w:rFonts w:ascii="Book Antiqua" w:hAnsi="Book Antiqua" w:cs="Humanist777BT-RomanB"/>
          <w:color w:val="000000" w:themeColor="text1"/>
          <w:sz w:val="24"/>
          <w:szCs w:val="24"/>
        </w:rPr>
        <w:t>y tipo de discapacid</w:t>
      </w:r>
      <w:r w:rsidRPr="0071456C">
        <w:rPr>
          <w:rFonts w:ascii="Book Antiqua" w:hAnsi="Book Antiqua" w:cs="Humanist777BT-RomanB"/>
          <w:color w:val="000000" w:themeColor="text1"/>
          <w:sz w:val="24"/>
          <w:szCs w:val="24"/>
        </w:rPr>
        <w:t xml:space="preserve">ades, y ante esta diversidad se </w:t>
      </w:r>
      <w:r w:rsidRPr="0071456C">
        <w:rPr>
          <w:rFonts w:ascii="Book Antiqua" w:hAnsi="Book Antiqua" w:cs="Humanist777BT-RomanB"/>
          <w:color w:val="000000" w:themeColor="text1"/>
          <w:sz w:val="24"/>
          <w:szCs w:val="24"/>
        </w:rPr>
        <w:t>requieren soluciones concretas e individualizadas.</w:t>
      </w:r>
    </w:p>
    <w:p w:rsidR="0071456C" w:rsidRPr="0071456C" w:rsidRDefault="0071456C" w:rsidP="0071456C">
      <w:pPr>
        <w:autoSpaceDE w:val="0"/>
        <w:autoSpaceDN w:val="0"/>
        <w:adjustRightInd w:val="0"/>
        <w:spacing w:line="276" w:lineRule="auto"/>
        <w:rPr>
          <w:rFonts w:ascii="Book Antiqua" w:hAnsi="Book Antiqua" w:cs="Humanist777BT-RomanB"/>
          <w:color w:val="000000" w:themeColor="text1"/>
          <w:sz w:val="24"/>
          <w:szCs w:val="24"/>
        </w:rPr>
      </w:pPr>
    </w:p>
    <w:p w:rsidR="0071456C" w:rsidRPr="0071456C" w:rsidRDefault="0071456C" w:rsidP="0071456C">
      <w:pPr>
        <w:autoSpaceDE w:val="0"/>
        <w:autoSpaceDN w:val="0"/>
        <w:adjustRightInd w:val="0"/>
        <w:spacing w:line="276" w:lineRule="auto"/>
        <w:rPr>
          <w:rFonts w:ascii="Book Antiqua" w:hAnsi="Book Antiqua" w:cs="Humanist777BT-RomanB"/>
          <w:color w:val="000000" w:themeColor="text1"/>
          <w:sz w:val="24"/>
          <w:szCs w:val="24"/>
        </w:rPr>
      </w:pPr>
      <w:r w:rsidRPr="0071456C">
        <w:rPr>
          <w:rFonts w:ascii="Book Antiqua" w:hAnsi="Book Antiqua" w:cs="Humanist777BT-RomanB"/>
          <w:color w:val="000000" w:themeColor="text1"/>
          <w:sz w:val="24"/>
          <w:szCs w:val="24"/>
        </w:rPr>
        <w:t>Ante esta necesidad sur</w:t>
      </w:r>
      <w:r w:rsidRPr="0071456C">
        <w:rPr>
          <w:rFonts w:ascii="Book Antiqua" w:hAnsi="Book Antiqua" w:cs="Humanist777BT-RomanB"/>
          <w:color w:val="000000" w:themeColor="text1"/>
          <w:sz w:val="24"/>
          <w:szCs w:val="24"/>
        </w:rPr>
        <w:t xml:space="preserve">ge la obligación complementaria </w:t>
      </w:r>
      <w:r w:rsidRPr="0071456C">
        <w:rPr>
          <w:rFonts w:ascii="Book Antiqua" w:hAnsi="Book Antiqua" w:cs="Humanist777BT-RomanB"/>
          <w:color w:val="000000" w:themeColor="text1"/>
          <w:sz w:val="24"/>
          <w:szCs w:val="24"/>
        </w:rPr>
        <w:t>de ad</w:t>
      </w:r>
      <w:r w:rsidRPr="0071456C">
        <w:rPr>
          <w:rFonts w:ascii="Book Antiqua" w:hAnsi="Book Antiqua" w:cs="Humanist777BT-RomanB"/>
          <w:color w:val="000000" w:themeColor="text1"/>
          <w:sz w:val="24"/>
          <w:szCs w:val="24"/>
        </w:rPr>
        <w:t xml:space="preserve">optar ajustes razonables que se </w:t>
      </w:r>
      <w:r w:rsidRPr="0071456C">
        <w:rPr>
          <w:rFonts w:ascii="Book Antiqua" w:hAnsi="Book Antiqua" w:cs="Humanist777BT-RomanB"/>
          <w:color w:val="000000" w:themeColor="text1"/>
          <w:sz w:val="24"/>
          <w:szCs w:val="24"/>
        </w:rPr>
        <w:t xml:space="preserve">despliegan ante el fracaso </w:t>
      </w:r>
      <w:r w:rsidRPr="0071456C">
        <w:rPr>
          <w:rFonts w:ascii="Book Antiqua" w:hAnsi="Book Antiqua" w:cs="Humanist777BT-RomanB"/>
          <w:color w:val="000000" w:themeColor="text1"/>
          <w:sz w:val="24"/>
          <w:szCs w:val="24"/>
        </w:rPr>
        <w:t xml:space="preserve">garantista, valga la expresión, </w:t>
      </w:r>
      <w:r w:rsidRPr="0071456C">
        <w:rPr>
          <w:rFonts w:ascii="Book Antiqua" w:hAnsi="Book Antiqua" w:cs="Humanist777BT-RomanB"/>
          <w:color w:val="000000" w:themeColor="text1"/>
          <w:sz w:val="24"/>
          <w:szCs w:val="24"/>
        </w:rPr>
        <w:t>de la acces</w:t>
      </w:r>
      <w:r w:rsidRPr="0071456C">
        <w:rPr>
          <w:rFonts w:ascii="Book Antiqua" w:hAnsi="Book Antiqua" w:cs="Humanist777BT-RomanB"/>
          <w:color w:val="000000" w:themeColor="text1"/>
          <w:sz w:val="24"/>
          <w:szCs w:val="24"/>
        </w:rPr>
        <w:t xml:space="preserve">ibilidad universal y del diseño </w:t>
      </w:r>
      <w:r w:rsidRPr="0071456C">
        <w:rPr>
          <w:rFonts w:ascii="Book Antiqua" w:hAnsi="Book Antiqua" w:cs="Humanist777BT-RomanB"/>
          <w:color w:val="000000" w:themeColor="text1"/>
          <w:sz w:val="24"/>
          <w:szCs w:val="24"/>
        </w:rPr>
        <w:t>universal, que ha de gozar d</w:t>
      </w:r>
      <w:r w:rsidRPr="0071456C">
        <w:rPr>
          <w:rFonts w:ascii="Book Antiqua" w:hAnsi="Book Antiqua" w:cs="Humanist777BT-RomanB"/>
          <w:color w:val="000000" w:themeColor="text1"/>
          <w:sz w:val="24"/>
          <w:szCs w:val="24"/>
        </w:rPr>
        <w:t xml:space="preserve">e precedencia y preferencia. </w:t>
      </w:r>
      <w:r w:rsidRPr="0071456C">
        <w:rPr>
          <w:rFonts w:ascii="Book Antiqua" w:hAnsi="Book Antiqua" w:cs="Humanist777BT-RomanB"/>
          <w:color w:val="000000" w:themeColor="text1"/>
          <w:sz w:val="24"/>
          <w:szCs w:val="24"/>
        </w:rPr>
        <w:t>Esto es así debi</w:t>
      </w:r>
      <w:r w:rsidRPr="0071456C">
        <w:rPr>
          <w:rFonts w:ascii="Book Antiqua" w:hAnsi="Book Antiqua" w:cs="Humanist777BT-RomanB"/>
          <w:color w:val="000000" w:themeColor="text1"/>
          <w:sz w:val="24"/>
          <w:szCs w:val="24"/>
        </w:rPr>
        <w:t xml:space="preserve">do a que los ajustes razonables </w:t>
      </w:r>
      <w:r w:rsidRPr="0071456C">
        <w:rPr>
          <w:rFonts w:ascii="Book Antiqua" w:hAnsi="Book Antiqua" w:cs="Humanist777BT-RomanB"/>
          <w:color w:val="000000" w:themeColor="text1"/>
          <w:sz w:val="24"/>
          <w:szCs w:val="24"/>
        </w:rPr>
        <w:t>significan un</w:t>
      </w:r>
      <w:r w:rsidRPr="0071456C">
        <w:rPr>
          <w:rFonts w:ascii="Book Antiqua" w:hAnsi="Book Antiqua" w:cs="Humanist777BT-RomanB"/>
          <w:color w:val="000000" w:themeColor="text1"/>
          <w:sz w:val="24"/>
          <w:szCs w:val="24"/>
        </w:rPr>
        <w:t xml:space="preserve"> medio para proteger el derecho </w:t>
      </w:r>
      <w:r w:rsidRPr="0071456C">
        <w:rPr>
          <w:rFonts w:ascii="Book Antiqua" w:hAnsi="Book Antiqua" w:cs="Humanist777BT-RomanB"/>
          <w:color w:val="000000" w:themeColor="text1"/>
          <w:sz w:val="24"/>
          <w:szCs w:val="24"/>
        </w:rPr>
        <w:t>a la igualdad de las personas con discapacidad, por</w:t>
      </w:r>
      <w:r w:rsidRPr="0071456C">
        <w:rPr>
          <w:rFonts w:ascii="Book Antiqua" w:hAnsi="Book Antiqua" w:cs="Humanist777BT-RomanB"/>
          <w:color w:val="000000" w:themeColor="text1"/>
          <w:sz w:val="24"/>
          <w:szCs w:val="24"/>
        </w:rPr>
        <w:t xml:space="preserve"> </w:t>
      </w:r>
      <w:r w:rsidRPr="0071456C">
        <w:rPr>
          <w:rFonts w:ascii="Book Antiqua" w:hAnsi="Book Antiqua" w:cs="Humanist777BT-RomanB"/>
          <w:color w:val="000000" w:themeColor="text1"/>
          <w:sz w:val="24"/>
          <w:szCs w:val="24"/>
        </w:rPr>
        <w:t>cuanto permiten,</w:t>
      </w:r>
      <w:r w:rsidRPr="0071456C">
        <w:rPr>
          <w:rFonts w:ascii="Book Antiqua" w:hAnsi="Book Antiqua" w:cs="Humanist777BT-RomanB"/>
          <w:color w:val="000000" w:themeColor="text1"/>
          <w:sz w:val="24"/>
          <w:szCs w:val="24"/>
        </w:rPr>
        <w:t xml:space="preserve"> en casos concretos (tal y como regula el artículo 2 de la </w:t>
      </w:r>
      <w:r w:rsidRPr="0071456C">
        <w:rPr>
          <w:rFonts w:ascii="Book Antiqua" w:hAnsi="Book Antiqua" w:cs="Humanist777BT-RomanB"/>
          <w:color w:val="000000" w:themeColor="text1"/>
          <w:sz w:val="24"/>
          <w:szCs w:val="24"/>
        </w:rPr>
        <w:t>CDPD), a</w:t>
      </w:r>
      <w:r w:rsidRPr="0071456C">
        <w:rPr>
          <w:rFonts w:ascii="Book Antiqua" w:hAnsi="Book Antiqua" w:cs="Humanist777BT-RomanB"/>
          <w:color w:val="000000" w:themeColor="text1"/>
          <w:sz w:val="24"/>
          <w:szCs w:val="24"/>
        </w:rPr>
        <w:t xml:space="preserve">segurar este derecho </w:t>
      </w:r>
      <w:r w:rsidRPr="0071456C">
        <w:rPr>
          <w:rFonts w:ascii="Book Antiqua" w:hAnsi="Book Antiqua" w:cs="Humanist777BT-RomanB"/>
          <w:color w:val="000000" w:themeColor="text1"/>
          <w:sz w:val="24"/>
          <w:szCs w:val="24"/>
        </w:rPr>
        <w:t>cuando el dispositi</w:t>
      </w:r>
      <w:r w:rsidRPr="0071456C">
        <w:rPr>
          <w:rFonts w:ascii="Book Antiqua" w:hAnsi="Book Antiqua" w:cs="Humanist777BT-RomanB"/>
          <w:color w:val="000000" w:themeColor="text1"/>
          <w:sz w:val="24"/>
          <w:szCs w:val="24"/>
        </w:rPr>
        <w:t xml:space="preserve">vo genérico de la accesibilidad universal y del </w:t>
      </w:r>
      <w:r w:rsidRPr="0071456C">
        <w:rPr>
          <w:rFonts w:ascii="Book Antiqua" w:hAnsi="Book Antiqua" w:cs="Humanist777BT-RomanB"/>
          <w:color w:val="000000" w:themeColor="text1"/>
          <w:sz w:val="24"/>
          <w:szCs w:val="24"/>
        </w:rPr>
        <w:t>d</w:t>
      </w:r>
      <w:r w:rsidRPr="0071456C">
        <w:rPr>
          <w:rFonts w:ascii="Book Antiqua" w:hAnsi="Book Antiqua" w:cs="Humanist777BT-RomanB"/>
          <w:color w:val="000000" w:themeColor="text1"/>
          <w:sz w:val="24"/>
          <w:szCs w:val="24"/>
        </w:rPr>
        <w:t xml:space="preserve">iseño universal no alcanza a la </w:t>
      </w:r>
      <w:r w:rsidRPr="0071456C">
        <w:rPr>
          <w:rFonts w:ascii="Book Antiqua" w:hAnsi="Book Antiqua" w:cs="Humanist777BT-RomanB"/>
          <w:color w:val="000000" w:themeColor="text1"/>
          <w:sz w:val="24"/>
          <w:szCs w:val="24"/>
        </w:rPr>
        <w:t>situación particul</w:t>
      </w:r>
      <w:r w:rsidRPr="0071456C">
        <w:rPr>
          <w:rFonts w:ascii="Book Antiqua" w:hAnsi="Book Antiqua" w:cs="Humanist777BT-RomanB"/>
          <w:color w:val="000000" w:themeColor="text1"/>
          <w:sz w:val="24"/>
          <w:szCs w:val="24"/>
        </w:rPr>
        <w:t xml:space="preserve">ar que experimenta cada persona </w:t>
      </w:r>
      <w:r w:rsidRPr="0071456C">
        <w:rPr>
          <w:rFonts w:ascii="Book Antiqua" w:hAnsi="Book Antiqua" w:cs="Humanist777BT-RomanB"/>
          <w:color w:val="000000" w:themeColor="text1"/>
          <w:sz w:val="24"/>
          <w:szCs w:val="24"/>
        </w:rPr>
        <w:t>con discapacidad.</w:t>
      </w:r>
    </w:p>
    <w:p w:rsidR="0071456C" w:rsidRPr="0071456C" w:rsidRDefault="0071456C" w:rsidP="0071456C">
      <w:pPr>
        <w:autoSpaceDE w:val="0"/>
        <w:autoSpaceDN w:val="0"/>
        <w:adjustRightInd w:val="0"/>
        <w:spacing w:line="276" w:lineRule="auto"/>
        <w:rPr>
          <w:rFonts w:ascii="Book Antiqua" w:hAnsi="Book Antiqua" w:cs="Humanist777BT-RomanB"/>
          <w:color w:val="000000" w:themeColor="text1"/>
          <w:sz w:val="24"/>
          <w:szCs w:val="24"/>
        </w:rPr>
      </w:pPr>
    </w:p>
    <w:p w:rsidR="0071456C" w:rsidRPr="00A60137" w:rsidRDefault="0071456C" w:rsidP="00A60137">
      <w:pPr>
        <w:autoSpaceDE w:val="0"/>
        <w:autoSpaceDN w:val="0"/>
        <w:adjustRightInd w:val="0"/>
        <w:spacing w:line="276" w:lineRule="auto"/>
        <w:rPr>
          <w:rFonts w:ascii="Book Antiqua" w:hAnsi="Book Antiqua" w:cs="Humanist777BT-RomanB"/>
          <w:sz w:val="24"/>
          <w:szCs w:val="24"/>
        </w:rPr>
      </w:pPr>
      <w:r w:rsidRPr="0071456C">
        <w:rPr>
          <w:rFonts w:ascii="Book Antiqua" w:hAnsi="Book Antiqua" w:cs="Humanist777BT-RomanB"/>
          <w:sz w:val="24"/>
          <w:szCs w:val="24"/>
        </w:rPr>
        <w:t>El carácter subsidiar</w:t>
      </w:r>
      <w:r w:rsidRPr="0071456C">
        <w:rPr>
          <w:rFonts w:ascii="Book Antiqua" w:hAnsi="Book Antiqua" w:cs="Humanist777BT-RomanB"/>
          <w:sz w:val="24"/>
          <w:szCs w:val="24"/>
        </w:rPr>
        <w:t xml:space="preserve">io de los ajustes razonables ha </w:t>
      </w:r>
      <w:r w:rsidRPr="0071456C">
        <w:rPr>
          <w:rFonts w:ascii="Book Antiqua" w:hAnsi="Book Antiqua" w:cs="Humanist777BT-RomanB"/>
          <w:sz w:val="24"/>
          <w:szCs w:val="24"/>
        </w:rPr>
        <w:t>sido reforzado po</w:t>
      </w:r>
      <w:r w:rsidRPr="0071456C">
        <w:rPr>
          <w:rFonts w:ascii="Book Antiqua" w:hAnsi="Book Antiqua" w:cs="Humanist777BT-RomanB"/>
          <w:sz w:val="24"/>
          <w:szCs w:val="24"/>
        </w:rPr>
        <w:t xml:space="preserve">r distintos pronunciamientos de </w:t>
      </w:r>
      <w:r w:rsidRPr="0071456C">
        <w:rPr>
          <w:rFonts w:ascii="Book Antiqua" w:hAnsi="Book Antiqua" w:cs="Humanist777BT-RomanB"/>
          <w:sz w:val="24"/>
          <w:szCs w:val="24"/>
        </w:rPr>
        <w:t>diversas autorida</w:t>
      </w:r>
      <w:r w:rsidRPr="0071456C">
        <w:rPr>
          <w:rFonts w:ascii="Book Antiqua" w:hAnsi="Book Antiqua" w:cs="Humanist777BT-RomanB"/>
          <w:sz w:val="24"/>
          <w:szCs w:val="24"/>
        </w:rPr>
        <w:t xml:space="preserve">des tanto a nivel nacional como </w:t>
      </w:r>
      <w:r w:rsidRPr="0071456C">
        <w:rPr>
          <w:rFonts w:ascii="Book Antiqua" w:hAnsi="Book Antiqua" w:cs="Humanist777BT-RomanB"/>
          <w:sz w:val="24"/>
          <w:szCs w:val="24"/>
        </w:rPr>
        <w:t>internacional. Por ej</w:t>
      </w:r>
      <w:r w:rsidRPr="0071456C">
        <w:rPr>
          <w:rFonts w:ascii="Book Antiqua" w:hAnsi="Book Antiqua" w:cs="Humanist777BT-RomanB"/>
          <w:sz w:val="24"/>
          <w:szCs w:val="24"/>
        </w:rPr>
        <w:t xml:space="preserve">emplo, en el Perú, el Instituto </w:t>
      </w:r>
      <w:r w:rsidRPr="0071456C">
        <w:rPr>
          <w:rFonts w:ascii="Book Antiqua" w:hAnsi="Book Antiqua" w:cs="Humanist777BT-RomanB"/>
          <w:sz w:val="24"/>
          <w:szCs w:val="24"/>
        </w:rPr>
        <w:t>Nacional de Defensa de la</w:t>
      </w:r>
      <w:r w:rsidRPr="0071456C">
        <w:rPr>
          <w:rFonts w:ascii="Book Antiqua" w:hAnsi="Book Antiqua" w:cs="Humanist777BT-RomanB"/>
          <w:sz w:val="24"/>
          <w:szCs w:val="24"/>
        </w:rPr>
        <w:t xml:space="preserve"> Competencia y de la Protección </w:t>
      </w:r>
      <w:r w:rsidRPr="0071456C">
        <w:rPr>
          <w:rFonts w:ascii="Book Antiqua" w:hAnsi="Book Antiqua" w:cs="Humanist777BT-RomanB"/>
          <w:sz w:val="24"/>
          <w:szCs w:val="24"/>
        </w:rPr>
        <w:t>de la Propiedad Int</w:t>
      </w:r>
      <w:r w:rsidRPr="0071456C">
        <w:rPr>
          <w:rFonts w:ascii="Book Antiqua" w:hAnsi="Book Antiqua" w:cs="Humanist777BT-RomanB"/>
          <w:sz w:val="24"/>
          <w:szCs w:val="24"/>
        </w:rPr>
        <w:t xml:space="preserve">electual (en adelante INDECOPI) </w:t>
      </w:r>
      <w:r w:rsidRPr="0071456C">
        <w:rPr>
          <w:rFonts w:ascii="Book Antiqua" w:hAnsi="Book Antiqua" w:cs="Humanist777BT-RomanB"/>
          <w:sz w:val="24"/>
          <w:szCs w:val="24"/>
        </w:rPr>
        <w:t>conoció de u</w:t>
      </w:r>
      <w:r w:rsidRPr="0071456C">
        <w:rPr>
          <w:rFonts w:ascii="Book Antiqua" w:hAnsi="Book Antiqua" w:cs="Humanist777BT-RomanB"/>
          <w:sz w:val="24"/>
          <w:szCs w:val="24"/>
        </w:rPr>
        <w:t xml:space="preserve">n caso sobre una ciudadana a </w:t>
      </w:r>
      <w:r w:rsidRPr="0071456C">
        <w:rPr>
          <w:rFonts w:ascii="Book Antiqua" w:hAnsi="Book Antiqua" w:cs="Humanist777BT-RomanB"/>
          <w:sz w:val="24"/>
          <w:szCs w:val="24"/>
        </w:rPr>
        <w:t>quien un banco priv</w:t>
      </w:r>
      <w:r w:rsidRPr="0071456C">
        <w:rPr>
          <w:rFonts w:ascii="Book Antiqua" w:hAnsi="Book Antiqua" w:cs="Humanist777BT-RomanB"/>
          <w:sz w:val="24"/>
          <w:szCs w:val="24"/>
        </w:rPr>
        <w:t xml:space="preserve">ado le negó su solicitud de una </w:t>
      </w:r>
      <w:r w:rsidRPr="0071456C">
        <w:rPr>
          <w:rFonts w:ascii="Book Antiqua" w:hAnsi="Book Antiqua" w:cs="Humanist777BT-RomanB"/>
          <w:sz w:val="24"/>
          <w:szCs w:val="24"/>
        </w:rPr>
        <w:t>nueva tarjeta de créd</w:t>
      </w:r>
      <w:r w:rsidRPr="0071456C">
        <w:rPr>
          <w:rFonts w:ascii="Book Antiqua" w:hAnsi="Book Antiqua" w:cs="Humanist777BT-RomanB"/>
          <w:sz w:val="24"/>
          <w:szCs w:val="24"/>
        </w:rPr>
        <w:t xml:space="preserve">ito debido a su dificultad para </w:t>
      </w:r>
      <w:r w:rsidRPr="0071456C">
        <w:rPr>
          <w:rFonts w:ascii="Book Antiqua" w:hAnsi="Book Antiqua" w:cs="Humanist777BT-RomanB"/>
          <w:sz w:val="24"/>
          <w:szCs w:val="24"/>
        </w:rPr>
        <w:t>firmar de la m</w:t>
      </w:r>
      <w:r w:rsidRPr="0071456C">
        <w:rPr>
          <w:rFonts w:ascii="Book Antiqua" w:hAnsi="Book Antiqua" w:cs="Humanist777BT-RomanB"/>
          <w:sz w:val="24"/>
          <w:szCs w:val="24"/>
        </w:rPr>
        <w:t xml:space="preserve">isma manera que en su documento </w:t>
      </w:r>
      <w:r w:rsidRPr="0071456C">
        <w:rPr>
          <w:rFonts w:ascii="Book Antiqua" w:hAnsi="Book Antiqua" w:cs="Humanist777BT-RomanB"/>
          <w:sz w:val="24"/>
          <w:szCs w:val="24"/>
        </w:rPr>
        <w:t>nacional de identidad</w:t>
      </w:r>
      <w:r w:rsidRPr="0071456C">
        <w:rPr>
          <w:rFonts w:ascii="Book Antiqua" w:hAnsi="Book Antiqua" w:cs="Humanist777BT-RomanB"/>
          <w:sz w:val="24"/>
          <w:szCs w:val="24"/>
        </w:rPr>
        <w:t xml:space="preserve">; esta dificultad se debía a la </w:t>
      </w:r>
      <w:r w:rsidRPr="0071456C">
        <w:rPr>
          <w:rFonts w:ascii="Book Antiqua" w:hAnsi="Book Antiqua" w:cs="Humanist777BT-RomanB"/>
          <w:sz w:val="24"/>
          <w:szCs w:val="24"/>
        </w:rPr>
        <w:t xml:space="preserve">hemiparesia, que </w:t>
      </w:r>
      <w:r w:rsidRPr="0071456C">
        <w:rPr>
          <w:rFonts w:ascii="Book Antiqua" w:hAnsi="Book Antiqua" w:cs="Humanist777BT-RomanB"/>
          <w:sz w:val="24"/>
          <w:szCs w:val="24"/>
        </w:rPr>
        <w:t xml:space="preserve">es considerada una discapacidad </w:t>
      </w:r>
      <w:r w:rsidRPr="0071456C">
        <w:rPr>
          <w:rFonts w:ascii="Book Antiqua" w:hAnsi="Book Antiqua" w:cs="Humanist777BT-RomanB"/>
          <w:sz w:val="24"/>
          <w:szCs w:val="24"/>
        </w:rPr>
        <w:t>física. El banco adu</w:t>
      </w:r>
      <w:r w:rsidRPr="0071456C">
        <w:rPr>
          <w:rFonts w:ascii="Book Antiqua" w:hAnsi="Book Antiqua" w:cs="Humanist777BT-RomanB"/>
          <w:sz w:val="24"/>
          <w:szCs w:val="24"/>
        </w:rPr>
        <w:t xml:space="preserve">cía que en este caso específico </w:t>
      </w:r>
      <w:r w:rsidRPr="0071456C">
        <w:rPr>
          <w:rFonts w:ascii="Book Antiqua" w:hAnsi="Book Antiqua" w:cs="Humanist777BT-RomanB"/>
          <w:sz w:val="24"/>
          <w:szCs w:val="24"/>
        </w:rPr>
        <w:t xml:space="preserve">el Reglamento </w:t>
      </w:r>
      <w:r w:rsidRPr="0071456C">
        <w:rPr>
          <w:rFonts w:ascii="Book Antiqua" w:hAnsi="Book Antiqua" w:cs="Humanist777BT-RomanB"/>
          <w:sz w:val="24"/>
          <w:szCs w:val="24"/>
        </w:rPr>
        <w:t xml:space="preserve">de Tarjetas de Crédito del Perú </w:t>
      </w:r>
      <w:r w:rsidRPr="0071456C">
        <w:rPr>
          <w:rFonts w:ascii="Book Antiqua" w:hAnsi="Book Antiqua" w:cs="Humanist777BT-RomanB"/>
          <w:sz w:val="24"/>
          <w:szCs w:val="24"/>
        </w:rPr>
        <w:t>obligaba a las entid</w:t>
      </w:r>
      <w:r w:rsidRPr="0071456C">
        <w:rPr>
          <w:rFonts w:ascii="Book Antiqua" w:hAnsi="Book Antiqua" w:cs="Humanist777BT-RomanB"/>
          <w:sz w:val="24"/>
          <w:szCs w:val="24"/>
        </w:rPr>
        <w:t xml:space="preserve">ades financieras a verificar la </w:t>
      </w:r>
      <w:r w:rsidRPr="0071456C">
        <w:rPr>
          <w:rFonts w:ascii="Book Antiqua" w:hAnsi="Book Antiqua" w:cs="Humanist777BT-RomanB"/>
          <w:sz w:val="24"/>
          <w:szCs w:val="24"/>
        </w:rPr>
        <w:t>identidad de los titula</w:t>
      </w:r>
      <w:r w:rsidRPr="0071456C">
        <w:rPr>
          <w:rFonts w:ascii="Book Antiqua" w:hAnsi="Book Antiqua" w:cs="Humanist777BT-RomanB"/>
          <w:sz w:val="24"/>
          <w:szCs w:val="24"/>
        </w:rPr>
        <w:t xml:space="preserve">res para la emisión de tarjetas </w:t>
      </w:r>
      <w:r w:rsidRPr="0071456C">
        <w:rPr>
          <w:rFonts w:ascii="Book Antiqua" w:hAnsi="Book Antiqua" w:cs="Humanist777BT-RomanB"/>
          <w:sz w:val="24"/>
          <w:szCs w:val="24"/>
        </w:rPr>
        <w:t xml:space="preserve">de crédito. </w:t>
      </w:r>
      <w:r w:rsidRPr="0071456C">
        <w:rPr>
          <w:rFonts w:ascii="Book Antiqua" w:hAnsi="Book Antiqua" w:cs="Humanist777BT-RomanB"/>
          <w:sz w:val="24"/>
          <w:szCs w:val="24"/>
        </w:rPr>
        <w:t xml:space="preserve">Al resolver este caso, INDECOPI </w:t>
      </w:r>
      <w:r w:rsidRPr="0071456C">
        <w:rPr>
          <w:rFonts w:ascii="Book Antiqua" w:hAnsi="Book Antiqua" w:cs="Humanist777BT-RomanB"/>
          <w:sz w:val="24"/>
          <w:szCs w:val="24"/>
        </w:rPr>
        <w:t xml:space="preserve">sostuvo que existe </w:t>
      </w:r>
      <w:r w:rsidRPr="0071456C">
        <w:rPr>
          <w:rFonts w:ascii="Book Antiqua" w:hAnsi="Book Antiqua" w:cs="Humanist777BT-RomanB"/>
          <w:sz w:val="24"/>
          <w:szCs w:val="24"/>
        </w:rPr>
        <w:lastRenderedPageBreak/>
        <w:t>una</w:t>
      </w:r>
      <w:r w:rsidRPr="0071456C">
        <w:rPr>
          <w:rFonts w:ascii="Book Antiqua" w:hAnsi="Book Antiqua" w:cs="Humanist777BT-RomanB"/>
          <w:sz w:val="24"/>
          <w:szCs w:val="24"/>
        </w:rPr>
        <w:t xml:space="preserve"> obligación de realizar ajustes </w:t>
      </w:r>
      <w:r w:rsidRPr="0071456C">
        <w:rPr>
          <w:rFonts w:ascii="Book Antiqua" w:hAnsi="Book Antiqua" w:cs="Humanist777BT-RomanB"/>
          <w:sz w:val="24"/>
          <w:szCs w:val="24"/>
        </w:rPr>
        <w:t>razonables par</w:t>
      </w:r>
      <w:r w:rsidRPr="0071456C">
        <w:rPr>
          <w:rFonts w:ascii="Book Antiqua" w:hAnsi="Book Antiqua" w:cs="Humanist777BT-RomanB"/>
          <w:sz w:val="24"/>
          <w:szCs w:val="24"/>
        </w:rPr>
        <w:t>a las personas con discapacidad e</w:t>
      </w:r>
      <w:r w:rsidRPr="00A60137">
        <w:rPr>
          <w:rFonts w:ascii="Book Antiqua" w:hAnsi="Book Antiqua" w:cs="Humanist777BT-RomanB"/>
          <w:sz w:val="24"/>
          <w:szCs w:val="24"/>
        </w:rPr>
        <w:t xml:space="preserve">n las relaciones de consumo; como por ejemplo, </w:t>
      </w:r>
      <w:r w:rsidRPr="00A60137">
        <w:rPr>
          <w:rFonts w:ascii="Book Antiqua" w:hAnsi="Book Antiqua" w:cs="Humanist777BT-RomanB"/>
          <w:sz w:val="24"/>
          <w:szCs w:val="24"/>
        </w:rPr>
        <w:t xml:space="preserve">recoger su huella </w:t>
      </w:r>
      <w:r w:rsidRPr="00A60137">
        <w:rPr>
          <w:rFonts w:ascii="Book Antiqua" w:hAnsi="Book Antiqua" w:cs="Humanist777BT-RomanB"/>
          <w:sz w:val="24"/>
          <w:szCs w:val="24"/>
        </w:rPr>
        <w:t xml:space="preserve">digital o cualquier otro método </w:t>
      </w:r>
      <w:r w:rsidRPr="00A60137">
        <w:rPr>
          <w:rFonts w:ascii="Book Antiqua" w:hAnsi="Book Antiqua" w:cs="Humanist777BT-RomanB"/>
          <w:sz w:val="24"/>
          <w:szCs w:val="24"/>
        </w:rPr>
        <w:t>que acredite su identificación</w:t>
      </w:r>
      <w:r w:rsidRPr="00A60137">
        <w:rPr>
          <w:rFonts w:ascii="Book Antiqua" w:hAnsi="Book Antiqua" w:cs="Humanist777BT-RomanB"/>
          <w:sz w:val="24"/>
          <w:szCs w:val="24"/>
        </w:rPr>
        <w:t>.</w:t>
      </w:r>
      <w:r w:rsidRPr="00A60137">
        <w:rPr>
          <w:rStyle w:val="Refdenotaalpie"/>
          <w:rFonts w:ascii="Book Antiqua" w:hAnsi="Book Antiqua" w:cs="Humanist777BT-RomanB"/>
          <w:sz w:val="24"/>
          <w:szCs w:val="24"/>
        </w:rPr>
        <w:footnoteReference w:id="11"/>
      </w:r>
      <w:r w:rsidRPr="00A60137">
        <w:rPr>
          <w:rFonts w:ascii="Book Antiqua" w:hAnsi="Book Antiqua" w:cs="Humanist777BT-RomanB"/>
          <w:sz w:val="24"/>
          <w:szCs w:val="24"/>
        </w:rPr>
        <w:t xml:space="preserve"> En este punto es </w:t>
      </w:r>
      <w:r w:rsidRPr="00A60137">
        <w:rPr>
          <w:rFonts w:ascii="Book Antiqua" w:hAnsi="Book Antiqua" w:cs="Humanist777BT-RomanB"/>
          <w:sz w:val="24"/>
          <w:szCs w:val="24"/>
        </w:rPr>
        <w:t xml:space="preserve">importante notar </w:t>
      </w:r>
      <w:r w:rsidRPr="00A60137">
        <w:rPr>
          <w:rFonts w:ascii="Book Antiqua" w:hAnsi="Book Antiqua" w:cs="Humanist777BT-RomanB"/>
          <w:sz w:val="24"/>
          <w:szCs w:val="24"/>
        </w:rPr>
        <w:t xml:space="preserve">que a diferencia de las medidas </w:t>
      </w:r>
      <w:r w:rsidRPr="00A60137">
        <w:rPr>
          <w:rFonts w:ascii="Book Antiqua" w:hAnsi="Book Antiqua" w:cs="Humanist777BT-RomanB"/>
          <w:sz w:val="24"/>
          <w:szCs w:val="24"/>
        </w:rPr>
        <w:t>de accesibilidad y diseño universal que son obligaciones</w:t>
      </w:r>
      <w:r w:rsidRPr="00A60137">
        <w:rPr>
          <w:rFonts w:ascii="Book Antiqua" w:hAnsi="Book Antiqua" w:cs="Humanist777BT-RomanB"/>
          <w:sz w:val="24"/>
          <w:szCs w:val="24"/>
        </w:rPr>
        <w:t xml:space="preserve"> </w:t>
      </w:r>
      <w:r w:rsidRPr="00A60137">
        <w:rPr>
          <w:rFonts w:ascii="Book Antiqua" w:hAnsi="Book Antiqua" w:cs="Humanist777BT-RomanB"/>
          <w:sz w:val="24"/>
          <w:szCs w:val="24"/>
        </w:rPr>
        <w:t>generales y genéricas, los ajustes razonables</w:t>
      </w:r>
      <w:r w:rsidRPr="00A60137">
        <w:rPr>
          <w:rFonts w:ascii="Book Antiqua" w:hAnsi="Book Antiqua" w:cs="Humanist777BT-RomanB"/>
          <w:sz w:val="24"/>
          <w:szCs w:val="24"/>
        </w:rPr>
        <w:t xml:space="preserve"> </w:t>
      </w:r>
      <w:r w:rsidRPr="00A60137">
        <w:rPr>
          <w:rFonts w:ascii="Book Antiqua" w:hAnsi="Book Antiqua" w:cs="Humanist777BT-RomanB"/>
          <w:sz w:val="24"/>
          <w:szCs w:val="24"/>
        </w:rPr>
        <w:t>que ordenó INDEC</w:t>
      </w:r>
      <w:r w:rsidRPr="00A60137">
        <w:rPr>
          <w:rFonts w:ascii="Book Antiqua" w:hAnsi="Book Antiqua" w:cs="Humanist777BT-RomanB"/>
          <w:sz w:val="24"/>
          <w:szCs w:val="24"/>
        </w:rPr>
        <w:t xml:space="preserve">OPI suponen la consideración de </w:t>
      </w:r>
      <w:r w:rsidRPr="00A60137">
        <w:rPr>
          <w:rFonts w:ascii="Book Antiqua" w:hAnsi="Book Antiqua" w:cs="Humanist777BT-RomanB"/>
          <w:sz w:val="24"/>
          <w:szCs w:val="24"/>
        </w:rPr>
        <w:t>necesidades específicas y concretas, es decir, “individualizadas”</w:t>
      </w:r>
      <w:r w:rsidRPr="00A60137">
        <w:rPr>
          <w:rFonts w:ascii="Book Antiqua" w:hAnsi="Book Antiqua" w:cs="Humanist777BT-RomanB"/>
          <w:sz w:val="24"/>
          <w:szCs w:val="24"/>
        </w:rPr>
        <w:t xml:space="preserve">, </w:t>
      </w:r>
      <w:r w:rsidRPr="00A60137">
        <w:rPr>
          <w:rFonts w:ascii="Book Antiqua" w:hAnsi="Book Antiqua" w:cs="Humanist777BT-RomanB"/>
          <w:sz w:val="24"/>
          <w:szCs w:val="24"/>
        </w:rPr>
        <w:t xml:space="preserve">más </w:t>
      </w:r>
      <w:r w:rsidRPr="00A60137">
        <w:rPr>
          <w:rFonts w:ascii="Book Antiqua" w:hAnsi="Book Antiqua" w:cs="Humanist777BT-RomanB"/>
          <w:sz w:val="24"/>
          <w:szCs w:val="24"/>
        </w:rPr>
        <w:t xml:space="preserve">allá de que puedan reconducirse </w:t>
      </w:r>
      <w:r w:rsidRPr="00A60137">
        <w:rPr>
          <w:rFonts w:ascii="Book Antiqua" w:hAnsi="Book Antiqua" w:cs="Humanist777BT-RomanB"/>
          <w:sz w:val="24"/>
          <w:szCs w:val="24"/>
        </w:rPr>
        <w:t>a rasgos grupales comunes</w:t>
      </w:r>
      <w:r w:rsidRPr="00A60137">
        <w:rPr>
          <w:rFonts w:ascii="Book Antiqua" w:hAnsi="Book Antiqua" w:cs="Humanist777BT-RomanB"/>
          <w:sz w:val="24"/>
          <w:szCs w:val="24"/>
        </w:rPr>
        <w:t>.</w:t>
      </w:r>
      <w:r w:rsidRPr="00A60137">
        <w:rPr>
          <w:rStyle w:val="Refdenotaalpie"/>
          <w:rFonts w:ascii="Book Antiqua" w:hAnsi="Book Antiqua" w:cs="Humanist777BT-RomanB"/>
          <w:sz w:val="24"/>
          <w:szCs w:val="24"/>
        </w:rPr>
        <w:footnoteReference w:id="12"/>
      </w:r>
    </w:p>
    <w:p w:rsidR="00A60137" w:rsidRPr="00A60137" w:rsidRDefault="00A60137" w:rsidP="00A60137">
      <w:pPr>
        <w:autoSpaceDE w:val="0"/>
        <w:autoSpaceDN w:val="0"/>
        <w:adjustRightInd w:val="0"/>
        <w:spacing w:line="276" w:lineRule="auto"/>
        <w:rPr>
          <w:rFonts w:ascii="Book Antiqua" w:hAnsi="Book Antiqua" w:cs="Humanist777BT-RomanB"/>
          <w:sz w:val="24"/>
          <w:szCs w:val="24"/>
        </w:rPr>
      </w:pPr>
    </w:p>
    <w:p w:rsidR="00A60137" w:rsidRPr="00A60137" w:rsidRDefault="00A60137" w:rsidP="00A60137">
      <w:pPr>
        <w:autoSpaceDE w:val="0"/>
        <w:autoSpaceDN w:val="0"/>
        <w:adjustRightInd w:val="0"/>
        <w:spacing w:line="276" w:lineRule="auto"/>
        <w:rPr>
          <w:rFonts w:ascii="Book Antiqua" w:hAnsi="Book Antiqua" w:cs="Humanist777BT-RomanB"/>
          <w:sz w:val="24"/>
          <w:szCs w:val="24"/>
        </w:rPr>
      </w:pPr>
      <w:r w:rsidRPr="00A60137">
        <w:rPr>
          <w:rFonts w:ascii="Book Antiqua" w:hAnsi="Book Antiqua" w:cs="Humanist777BT-RomanB"/>
          <w:sz w:val="24"/>
          <w:szCs w:val="24"/>
        </w:rPr>
        <w:t>En Colombia, la</w:t>
      </w:r>
      <w:r w:rsidRPr="00A60137">
        <w:rPr>
          <w:rFonts w:ascii="Book Antiqua" w:hAnsi="Book Antiqua" w:cs="Humanist777BT-RomanB"/>
          <w:sz w:val="24"/>
          <w:szCs w:val="24"/>
        </w:rPr>
        <w:t xml:space="preserve"> Corte Constitucional emitió en </w:t>
      </w:r>
      <w:r w:rsidRPr="00A60137">
        <w:rPr>
          <w:rFonts w:ascii="Book Antiqua" w:hAnsi="Book Antiqua" w:cs="Humanist777BT-RomanB"/>
          <w:sz w:val="24"/>
          <w:szCs w:val="24"/>
        </w:rPr>
        <w:t>2010 un pronunc</w:t>
      </w:r>
      <w:r w:rsidRPr="00A60137">
        <w:rPr>
          <w:rFonts w:ascii="Book Antiqua" w:hAnsi="Book Antiqua" w:cs="Humanist777BT-RomanB"/>
          <w:sz w:val="24"/>
          <w:szCs w:val="24"/>
        </w:rPr>
        <w:t xml:space="preserve">iamiento que es importante para </w:t>
      </w:r>
      <w:r w:rsidRPr="00A60137">
        <w:rPr>
          <w:rFonts w:ascii="Book Antiqua" w:hAnsi="Book Antiqua" w:cs="Humanist777BT-RomanB"/>
          <w:sz w:val="24"/>
          <w:szCs w:val="24"/>
        </w:rPr>
        <w:t>entender la CDPD que resultó del pedido que</w:t>
      </w:r>
      <w:r w:rsidRPr="00A60137">
        <w:rPr>
          <w:rFonts w:ascii="Book Antiqua" w:hAnsi="Book Antiqua" w:cs="Humanist777BT-RomanB"/>
          <w:sz w:val="24"/>
          <w:szCs w:val="24"/>
        </w:rPr>
        <w:t xml:space="preserve"> hizo </w:t>
      </w:r>
      <w:r w:rsidRPr="00A60137">
        <w:rPr>
          <w:rFonts w:ascii="Book Antiqua" w:hAnsi="Book Antiqua" w:cs="Humanist777BT-RomanB"/>
          <w:sz w:val="24"/>
          <w:szCs w:val="24"/>
        </w:rPr>
        <w:t>el jefe del Ministerio</w:t>
      </w:r>
      <w:r w:rsidRPr="00A60137">
        <w:rPr>
          <w:rFonts w:ascii="Book Antiqua" w:hAnsi="Book Antiqua" w:cs="Humanist777BT-RomanB"/>
          <w:sz w:val="24"/>
          <w:szCs w:val="24"/>
        </w:rPr>
        <w:t xml:space="preserve"> Público de Colombia a la Corte </w:t>
      </w:r>
      <w:r w:rsidRPr="00A60137">
        <w:rPr>
          <w:rFonts w:ascii="Book Antiqua" w:hAnsi="Book Antiqua" w:cs="Humanist777BT-RomanB"/>
          <w:sz w:val="24"/>
          <w:szCs w:val="24"/>
        </w:rPr>
        <w:t>Constitucional so</w:t>
      </w:r>
      <w:r w:rsidRPr="00A60137">
        <w:rPr>
          <w:rFonts w:ascii="Book Antiqua" w:hAnsi="Book Antiqua" w:cs="Humanist777BT-RomanB"/>
          <w:sz w:val="24"/>
          <w:szCs w:val="24"/>
        </w:rPr>
        <w:t xml:space="preserve">bre la exequibilidad o no de la </w:t>
      </w:r>
      <w:r w:rsidRPr="00A60137">
        <w:rPr>
          <w:rFonts w:ascii="Book Antiqua" w:hAnsi="Book Antiqua" w:cs="Humanist777BT-RomanB"/>
          <w:sz w:val="24"/>
          <w:szCs w:val="24"/>
        </w:rPr>
        <w:t>CD</w:t>
      </w:r>
      <w:r w:rsidRPr="00A60137">
        <w:rPr>
          <w:rFonts w:ascii="Book Antiqua" w:hAnsi="Book Antiqua" w:cs="Humanist777BT-RomanB"/>
          <w:sz w:val="24"/>
          <w:szCs w:val="24"/>
        </w:rPr>
        <w:t xml:space="preserve">PD. En dicha sentencia la Corte </w:t>
      </w:r>
      <w:r w:rsidRPr="00A60137">
        <w:rPr>
          <w:rFonts w:ascii="Book Antiqua" w:hAnsi="Book Antiqua" w:cs="Humanist777BT-RomanB"/>
          <w:sz w:val="24"/>
          <w:szCs w:val="24"/>
        </w:rPr>
        <w:t>Constitucional</w:t>
      </w:r>
      <w:r w:rsidRPr="00A60137">
        <w:rPr>
          <w:rFonts w:ascii="Book Antiqua" w:hAnsi="Book Antiqua" w:cs="Humanist777BT-RomanB"/>
          <w:sz w:val="24"/>
          <w:szCs w:val="24"/>
        </w:rPr>
        <w:t xml:space="preserve"> </w:t>
      </w:r>
      <w:r w:rsidRPr="00A60137">
        <w:rPr>
          <w:rFonts w:ascii="Book Antiqua" w:hAnsi="Book Antiqua" w:cs="Humanist777BT-RomanB"/>
          <w:sz w:val="24"/>
          <w:szCs w:val="24"/>
        </w:rPr>
        <w:t>colombiana sostuvo que el término “ajustes razonables”</w:t>
      </w:r>
      <w:r w:rsidRPr="00A60137">
        <w:rPr>
          <w:rFonts w:ascii="Book Antiqua" w:hAnsi="Book Antiqua" w:cs="Humanist777BT-RomanB"/>
          <w:sz w:val="24"/>
          <w:szCs w:val="24"/>
        </w:rPr>
        <w:t xml:space="preserve"> </w:t>
      </w:r>
      <w:r w:rsidRPr="00A60137">
        <w:rPr>
          <w:rFonts w:ascii="Book Antiqua" w:hAnsi="Book Antiqua" w:cs="Humanist777BT-RomanB"/>
          <w:sz w:val="24"/>
          <w:szCs w:val="24"/>
        </w:rPr>
        <w:t>se refiere a la extensión de las acciones qu</w:t>
      </w:r>
      <w:r w:rsidRPr="00A60137">
        <w:rPr>
          <w:rFonts w:ascii="Book Antiqua" w:hAnsi="Book Antiqua" w:cs="Humanist777BT-RomanB"/>
          <w:sz w:val="24"/>
          <w:szCs w:val="24"/>
        </w:rPr>
        <w:t xml:space="preserve">e </w:t>
      </w:r>
      <w:r w:rsidRPr="00A60137">
        <w:rPr>
          <w:rFonts w:ascii="Book Antiqua" w:hAnsi="Book Antiqua" w:cs="Humanist777BT-RomanB"/>
          <w:sz w:val="24"/>
          <w:szCs w:val="24"/>
        </w:rPr>
        <w:t>deberán adelantar</w:t>
      </w:r>
      <w:r w:rsidRPr="00A60137">
        <w:rPr>
          <w:rFonts w:ascii="Book Antiqua" w:hAnsi="Book Antiqua" w:cs="Humanist777BT-RomanB"/>
          <w:sz w:val="24"/>
          <w:szCs w:val="24"/>
        </w:rPr>
        <w:t xml:space="preserve">se para mejorar las condiciones </w:t>
      </w:r>
      <w:r w:rsidRPr="00A60137">
        <w:rPr>
          <w:rFonts w:ascii="Book Antiqua" w:hAnsi="Book Antiqua" w:cs="Humanist777BT-RomanB"/>
          <w:sz w:val="24"/>
          <w:szCs w:val="24"/>
        </w:rPr>
        <w:t xml:space="preserve">de accesibilidad, y </w:t>
      </w:r>
      <w:r w:rsidRPr="00A60137">
        <w:rPr>
          <w:rFonts w:ascii="Book Antiqua" w:hAnsi="Book Antiqua" w:cs="Humanist777BT-RomanB"/>
          <w:sz w:val="24"/>
          <w:szCs w:val="24"/>
        </w:rPr>
        <w:t xml:space="preserve">con ello, el pleno ejercicio de </w:t>
      </w:r>
      <w:r w:rsidRPr="00A60137">
        <w:rPr>
          <w:rFonts w:ascii="Book Antiqua" w:hAnsi="Book Antiqua" w:cs="Humanist777BT-RomanB"/>
          <w:sz w:val="24"/>
          <w:szCs w:val="24"/>
        </w:rPr>
        <w:t>los derechos de las personas discapacitadas</w:t>
      </w:r>
      <w:r w:rsidRPr="00A60137">
        <w:rPr>
          <w:rFonts w:ascii="Book Antiqua" w:hAnsi="Book Antiqua" w:cs="Humanist777BT-RomanB"/>
          <w:sz w:val="24"/>
          <w:szCs w:val="24"/>
        </w:rPr>
        <w:t>.</w:t>
      </w:r>
      <w:r w:rsidRPr="00A60137">
        <w:rPr>
          <w:rStyle w:val="Refdenotaalpie"/>
          <w:rFonts w:ascii="Book Antiqua" w:hAnsi="Book Antiqua" w:cs="Humanist777BT-RomanB"/>
          <w:sz w:val="24"/>
          <w:szCs w:val="24"/>
        </w:rPr>
        <w:footnoteReference w:id="13"/>
      </w:r>
      <w:r w:rsidRPr="00A60137">
        <w:rPr>
          <w:rFonts w:ascii="Book Antiqua" w:hAnsi="Book Antiqua" w:cs="Humanist777BT-RomanB"/>
          <w:sz w:val="24"/>
          <w:szCs w:val="24"/>
        </w:rPr>
        <w:t xml:space="preserve"> De </w:t>
      </w:r>
      <w:r w:rsidRPr="00A60137">
        <w:rPr>
          <w:rFonts w:ascii="Book Antiqua" w:hAnsi="Book Antiqua" w:cs="Humanist777BT-RomanB"/>
          <w:sz w:val="24"/>
          <w:szCs w:val="24"/>
        </w:rPr>
        <w:t xml:space="preserve">lo anterior se </w:t>
      </w:r>
      <w:r w:rsidRPr="00A60137">
        <w:rPr>
          <w:rFonts w:ascii="Book Antiqua" w:hAnsi="Book Antiqua" w:cs="Humanist777BT-RomanB"/>
          <w:sz w:val="24"/>
          <w:szCs w:val="24"/>
        </w:rPr>
        <w:t xml:space="preserve">deduce que al decir que deberán </w:t>
      </w:r>
      <w:r w:rsidRPr="00A60137">
        <w:rPr>
          <w:rFonts w:ascii="Book Antiqua" w:hAnsi="Book Antiqua" w:cs="Humanist777BT-RomanB"/>
          <w:sz w:val="24"/>
          <w:szCs w:val="24"/>
        </w:rPr>
        <w:t>realizarse accion</w:t>
      </w:r>
      <w:r w:rsidRPr="00A60137">
        <w:rPr>
          <w:rFonts w:ascii="Book Antiqua" w:hAnsi="Book Antiqua" w:cs="Humanist777BT-RomanB"/>
          <w:sz w:val="24"/>
          <w:szCs w:val="24"/>
        </w:rPr>
        <w:t xml:space="preserve">es para mejorar las condiciones </w:t>
      </w:r>
      <w:r w:rsidRPr="00A60137">
        <w:rPr>
          <w:rFonts w:ascii="Book Antiqua" w:hAnsi="Book Antiqua" w:cs="Humanist777BT-RomanB"/>
          <w:sz w:val="24"/>
          <w:szCs w:val="24"/>
        </w:rPr>
        <w:t xml:space="preserve">de accesibilidad, </w:t>
      </w:r>
      <w:r w:rsidRPr="00A60137">
        <w:rPr>
          <w:rFonts w:ascii="Book Antiqua" w:hAnsi="Book Antiqua" w:cs="Humanist777BT-RomanB"/>
          <w:sz w:val="24"/>
          <w:szCs w:val="24"/>
        </w:rPr>
        <w:t xml:space="preserve">la Corte colombiana parte de la </w:t>
      </w:r>
      <w:r w:rsidRPr="00A60137">
        <w:rPr>
          <w:rFonts w:ascii="Book Antiqua" w:hAnsi="Book Antiqua" w:cs="Humanist777BT-RomanB"/>
          <w:sz w:val="24"/>
          <w:szCs w:val="24"/>
        </w:rPr>
        <w:t xml:space="preserve">idea de que ya existe </w:t>
      </w:r>
      <w:r w:rsidRPr="00A60137">
        <w:rPr>
          <w:rFonts w:ascii="Book Antiqua" w:hAnsi="Book Antiqua" w:cs="Humanist777BT-RomanB"/>
          <w:sz w:val="24"/>
          <w:szCs w:val="24"/>
        </w:rPr>
        <w:t xml:space="preserve">accesibilidad y que los ajustes </w:t>
      </w:r>
      <w:r w:rsidRPr="00A60137">
        <w:rPr>
          <w:rFonts w:ascii="Book Antiqua" w:hAnsi="Book Antiqua" w:cs="Humanist777BT-RomanB"/>
          <w:sz w:val="24"/>
          <w:szCs w:val="24"/>
        </w:rPr>
        <w:t>razonables constituyen un mecanismo se</w:t>
      </w:r>
      <w:r w:rsidRPr="00A60137">
        <w:rPr>
          <w:rFonts w:ascii="Book Antiqua" w:hAnsi="Book Antiqua" w:cs="Humanist777BT-RomanB"/>
          <w:sz w:val="24"/>
          <w:szCs w:val="24"/>
        </w:rPr>
        <w:t xml:space="preserve">cundario </w:t>
      </w:r>
      <w:r w:rsidRPr="00A60137">
        <w:rPr>
          <w:rFonts w:ascii="Book Antiqua" w:hAnsi="Book Antiqua" w:cs="Humanist777BT-RomanB"/>
          <w:sz w:val="24"/>
          <w:szCs w:val="24"/>
        </w:rPr>
        <w:t>que refuerza el ej</w:t>
      </w:r>
      <w:r w:rsidRPr="00A60137">
        <w:rPr>
          <w:rFonts w:ascii="Book Antiqua" w:hAnsi="Book Antiqua" w:cs="Humanist777BT-RomanB"/>
          <w:sz w:val="24"/>
          <w:szCs w:val="24"/>
        </w:rPr>
        <w:t xml:space="preserve">ercicio pleno de los derechos y </w:t>
      </w:r>
      <w:r w:rsidRPr="00A60137">
        <w:rPr>
          <w:rFonts w:ascii="Book Antiqua" w:hAnsi="Book Antiqua" w:cs="Humanist777BT-RomanB"/>
          <w:sz w:val="24"/>
          <w:szCs w:val="24"/>
        </w:rPr>
        <w:t>libertades fundamentales d</w:t>
      </w:r>
      <w:r w:rsidRPr="00A60137">
        <w:rPr>
          <w:rFonts w:ascii="Book Antiqua" w:hAnsi="Book Antiqua" w:cs="Humanist777BT-RomanB"/>
          <w:sz w:val="24"/>
          <w:szCs w:val="24"/>
        </w:rPr>
        <w:t xml:space="preserve">e las personas con discapacidad </w:t>
      </w:r>
      <w:r w:rsidRPr="00A60137">
        <w:rPr>
          <w:rFonts w:ascii="Book Antiqua" w:hAnsi="Book Antiqua" w:cs="Humanist777BT-RomanB"/>
          <w:sz w:val="24"/>
          <w:szCs w:val="24"/>
        </w:rPr>
        <w:t>en aquellos ca</w:t>
      </w:r>
      <w:r w:rsidRPr="00A60137">
        <w:rPr>
          <w:rFonts w:ascii="Book Antiqua" w:hAnsi="Book Antiqua" w:cs="Humanist777BT-RomanB"/>
          <w:sz w:val="24"/>
          <w:szCs w:val="24"/>
        </w:rPr>
        <w:t xml:space="preserve">sos en los que la accesibilidad </w:t>
      </w:r>
      <w:r w:rsidRPr="00A60137">
        <w:rPr>
          <w:rFonts w:ascii="Book Antiqua" w:hAnsi="Book Antiqua" w:cs="Humanist777BT-RomanB"/>
          <w:sz w:val="24"/>
          <w:szCs w:val="24"/>
        </w:rPr>
        <w:t>no cubra la t</w:t>
      </w:r>
      <w:r w:rsidRPr="00A60137">
        <w:rPr>
          <w:rFonts w:ascii="Book Antiqua" w:hAnsi="Book Antiqua" w:cs="Humanist777BT-RomanB"/>
          <w:sz w:val="24"/>
          <w:szCs w:val="24"/>
        </w:rPr>
        <w:t xml:space="preserve">otalidad de expectativas de las </w:t>
      </w:r>
      <w:r w:rsidRPr="00A60137">
        <w:rPr>
          <w:rFonts w:ascii="Book Antiqua" w:hAnsi="Book Antiqua" w:cs="Humanist777BT-RomanB"/>
          <w:sz w:val="24"/>
          <w:szCs w:val="24"/>
        </w:rPr>
        <w:t>necesidades de estas personas.</w:t>
      </w:r>
    </w:p>
    <w:p w:rsidR="00A60137" w:rsidRPr="00A60137" w:rsidRDefault="00A60137" w:rsidP="00A60137">
      <w:pPr>
        <w:autoSpaceDE w:val="0"/>
        <w:autoSpaceDN w:val="0"/>
        <w:adjustRightInd w:val="0"/>
        <w:spacing w:line="276" w:lineRule="auto"/>
        <w:rPr>
          <w:rFonts w:ascii="Book Antiqua" w:hAnsi="Book Antiqua" w:cs="Humanist777BT-RomanB"/>
          <w:sz w:val="24"/>
          <w:szCs w:val="24"/>
        </w:rPr>
      </w:pPr>
    </w:p>
    <w:p w:rsidR="00A60137" w:rsidRPr="007B47DE" w:rsidRDefault="00A60137" w:rsidP="007B47DE">
      <w:pPr>
        <w:autoSpaceDE w:val="0"/>
        <w:autoSpaceDN w:val="0"/>
        <w:adjustRightInd w:val="0"/>
        <w:spacing w:line="276" w:lineRule="auto"/>
        <w:rPr>
          <w:rFonts w:ascii="Book Antiqua" w:hAnsi="Book Antiqua" w:cs="Humanist777BT-RomanB"/>
          <w:sz w:val="24"/>
          <w:szCs w:val="24"/>
        </w:rPr>
      </w:pPr>
      <w:r w:rsidRPr="00A60137">
        <w:rPr>
          <w:rFonts w:ascii="Book Antiqua" w:hAnsi="Book Antiqua" w:cs="Humanist777BT-RomanB"/>
          <w:sz w:val="24"/>
          <w:szCs w:val="24"/>
        </w:rPr>
        <w:t>Asimismo, en 2012,</w:t>
      </w:r>
      <w:r w:rsidRPr="00A60137">
        <w:rPr>
          <w:rFonts w:ascii="Book Antiqua" w:hAnsi="Book Antiqua" w:cs="Humanist777BT-RomanB"/>
          <w:sz w:val="24"/>
          <w:szCs w:val="24"/>
        </w:rPr>
        <w:t xml:space="preserve"> en el caso de un adulto mayor </w:t>
      </w:r>
      <w:r w:rsidRPr="00A60137">
        <w:rPr>
          <w:rFonts w:ascii="Book Antiqua" w:hAnsi="Book Antiqua" w:cs="Humanist777BT-RomanB"/>
          <w:sz w:val="24"/>
          <w:szCs w:val="24"/>
        </w:rPr>
        <w:t xml:space="preserve">con discapacidad, la </w:t>
      </w:r>
      <w:r w:rsidRPr="00A60137">
        <w:rPr>
          <w:rFonts w:ascii="Book Antiqua" w:hAnsi="Book Antiqua" w:cs="Humanist777BT-RomanB"/>
          <w:sz w:val="24"/>
          <w:szCs w:val="24"/>
        </w:rPr>
        <w:t xml:space="preserve">Corte Constitucional colombiana </w:t>
      </w:r>
      <w:r w:rsidRPr="00A60137">
        <w:rPr>
          <w:rFonts w:ascii="Book Antiqua" w:hAnsi="Book Antiqua" w:cs="Humanist777BT-RomanB"/>
          <w:sz w:val="24"/>
          <w:szCs w:val="24"/>
        </w:rPr>
        <w:t>interpret</w:t>
      </w:r>
      <w:r w:rsidRPr="00A60137">
        <w:rPr>
          <w:rFonts w:ascii="Book Antiqua" w:hAnsi="Book Antiqua" w:cs="Humanist777BT-RomanB"/>
          <w:sz w:val="24"/>
          <w:szCs w:val="24"/>
        </w:rPr>
        <w:t xml:space="preserve">ó que tanto el diseño universal </w:t>
      </w:r>
      <w:r w:rsidRPr="00A60137">
        <w:rPr>
          <w:rFonts w:ascii="Book Antiqua" w:hAnsi="Book Antiqua" w:cs="Humanist777BT-RomanB"/>
          <w:sz w:val="24"/>
          <w:szCs w:val="24"/>
        </w:rPr>
        <w:t>como la accesib</w:t>
      </w:r>
      <w:r w:rsidRPr="00A60137">
        <w:rPr>
          <w:rFonts w:ascii="Book Antiqua" w:hAnsi="Book Antiqua" w:cs="Humanist777BT-RomanB"/>
          <w:sz w:val="24"/>
          <w:szCs w:val="24"/>
        </w:rPr>
        <w:t xml:space="preserve">ilidad comportan una obligación </w:t>
      </w:r>
      <w:r w:rsidRPr="00A60137">
        <w:rPr>
          <w:rFonts w:ascii="Book Antiqua" w:hAnsi="Book Antiqua" w:cs="Humanist777BT-RomanB"/>
          <w:sz w:val="24"/>
          <w:szCs w:val="24"/>
        </w:rPr>
        <w:t>general, mientras que el principio de “ajustes razonables”</w:t>
      </w:r>
      <w:r w:rsidRPr="00A60137">
        <w:rPr>
          <w:rFonts w:ascii="Book Antiqua" w:hAnsi="Book Antiqua" w:cs="Humanist777BT-RomanB"/>
          <w:sz w:val="24"/>
          <w:szCs w:val="24"/>
        </w:rPr>
        <w:t xml:space="preserve"> </w:t>
      </w:r>
      <w:r w:rsidRPr="00A60137">
        <w:rPr>
          <w:rFonts w:ascii="Book Antiqua" w:hAnsi="Book Antiqua" w:cs="Humanist777BT-RomanB"/>
          <w:sz w:val="24"/>
          <w:szCs w:val="24"/>
        </w:rPr>
        <w:t>se encarga d</w:t>
      </w:r>
      <w:r w:rsidRPr="00A60137">
        <w:rPr>
          <w:rFonts w:ascii="Book Antiqua" w:hAnsi="Book Antiqua" w:cs="Humanist777BT-RomanB"/>
          <w:sz w:val="24"/>
          <w:szCs w:val="24"/>
        </w:rPr>
        <w:t xml:space="preserve">e suplir las insuficiencias que </w:t>
      </w:r>
      <w:r w:rsidRPr="00A60137">
        <w:rPr>
          <w:rFonts w:ascii="Book Antiqua" w:hAnsi="Book Antiqua" w:cs="Humanist777BT-RomanB"/>
          <w:sz w:val="24"/>
          <w:szCs w:val="24"/>
        </w:rPr>
        <w:t xml:space="preserve">el diseño universal </w:t>
      </w:r>
      <w:r w:rsidRPr="007B47DE">
        <w:rPr>
          <w:rFonts w:ascii="Book Antiqua" w:hAnsi="Book Antiqua" w:cs="Humanist777BT-RomanB"/>
          <w:sz w:val="24"/>
          <w:szCs w:val="24"/>
        </w:rPr>
        <w:t>y l</w:t>
      </w:r>
      <w:r w:rsidRPr="007B47DE">
        <w:rPr>
          <w:rFonts w:ascii="Book Antiqua" w:hAnsi="Book Antiqua" w:cs="Humanist777BT-RomanB"/>
          <w:sz w:val="24"/>
          <w:szCs w:val="24"/>
        </w:rPr>
        <w:t xml:space="preserve">a accesibilidad presenta frente </w:t>
      </w:r>
      <w:r w:rsidRPr="007B47DE">
        <w:rPr>
          <w:rFonts w:ascii="Book Antiqua" w:hAnsi="Book Antiqua" w:cs="Humanist777BT-RomanB"/>
          <w:sz w:val="24"/>
          <w:szCs w:val="24"/>
        </w:rPr>
        <w:t>a algunas de las personas con discapacidad</w:t>
      </w:r>
      <w:r w:rsidRPr="007B47DE">
        <w:rPr>
          <w:rFonts w:ascii="Book Antiqua" w:hAnsi="Book Antiqua" w:cs="Humanist777BT-RomanB"/>
          <w:sz w:val="24"/>
          <w:szCs w:val="24"/>
        </w:rPr>
        <w:t>.</w:t>
      </w:r>
      <w:r w:rsidRPr="007B47DE">
        <w:rPr>
          <w:rStyle w:val="Refdenotaalpie"/>
          <w:rFonts w:ascii="Book Antiqua" w:hAnsi="Book Antiqua" w:cs="Humanist777BT-RomanB"/>
          <w:sz w:val="24"/>
          <w:szCs w:val="24"/>
        </w:rPr>
        <w:footnoteReference w:id="14"/>
      </w:r>
    </w:p>
    <w:p w:rsidR="007B47DE" w:rsidRPr="007B47DE" w:rsidRDefault="007B47DE" w:rsidP="007B47DE">
      <w:pPr>
        <w:autoSpaceDE w:val="0"/>
        <w:autoSpaceDN w:val="0"/>
        <w:adjustRightInd w:val="0"/>
        <w:spacing w:line="276" w:lineRule="auto"/>
        <w:rPr>
          <w:rFonts w:ascii="Book Antiqua" w:hAnsi="Book Antiqua" w:cs="Humanist777BT-RomanB"/>
          <w:sz w:val="24"/>
          <w:szCs w:val="24"/>
        </w:rPr>
      </w:pPr>
    </w:p>
    <w:p w:rsidR="007B47DE" w:rsidRPr="00921775" w:rsidRDefault="007B47DE" w:rsidP="00921775">
      <w:pPr>
        <w:autoSpaceDE w:val="0"/>
        <w:autoSpaceDN w:val="0"/>
        <w:adjustRightInd w:val="0"/>
        <w:spacing w:line="276" w:lineRule="auto"/>
        <w:rPr>
          <w:rFonts w:ascii="Book Antiqua" w:hAnsi="Book Antiqua" w:cs="Humanist777BT-RomanB"/>
          <w:sz w:val="24"/>
          <w:szCs w:val="24"/>
        </w:rPr>
      </w:pPr>
      <w:r w:rsidRPr="007B47DE">
        <w:rPr>
          <w:rFonts w:ascii="Book Antiqua" w:hAnsi="Book Antiqua" w:cs="Humanist777BT-RomanB"/>
          <w:sz w:val="24"/>
          <w:szCs w:val="24"/>
        </w:rPr>
        <w:lastRenderedPageBreak/>
        <w:t>En Europa, el Tribunal Constitucional de España</w:t>
      </w:r>
      <w:r w:rsidRPr="007B47DE">
        <w:rPr>
          <w:rFonts w:ascii="Book Antiqua" w:hAnsi="Book Antiqua" w:cs="Humanist777BT-RomanB"/>
          <w:sz w:val="24"/>
          <w:szCs w:val="24"/>
        </w:rPr>
        <w:t xml:space="preserve"> </w:t>
      </w:r>
      <w:r w:rsidRPr="007B47DE">
        <w:rPr>
          <w:rFonts w:ascii="Book Antiqua" w:hAnsi="Book Antiqua" w:cs="Humanist777BT-RomanB"/>
          <w:sz w:val="24"/>
          <w:szCs w:val="24"/>
        </w:rPr>
        <w:t>tuvo que resolver el caso de un menor de edad con</w:t>
      </w:r>
      <w:r w:rsidRPr="007B47DE">
        <w:rPr>
          <w:rFonts w:ascii="Book Antiqua" w:hAnsi="Book Antiqua" w:cs="Humanist777BT-RomanB"/>
          <w:sz w:val="24"/>
          <w:szCs w:val="24"/>
        </w:rPr>
        <w:t xml:space="preserve"> </w:t>
      </w:r>
      <w:r w:rsidRPr="007B47DE">
        <w:rPr>
          <w:rFonts w:ascii="Book Antiqua" w:hAnsi="Book Antiqua" w:cs="Humanist777BT-RomanB"/>
          <w:sz w:val="24"/>
          <w:szCs w:val="24"/>
        </w:rPr>
        <w:t>discapacidad intelectual a quien, debido a una dificultad</w:t>
      </w:r>
      <w:r w:rsidRPr="007B47DE">
        <w:rPr>
          <w:rFonts w:ascii="Book Antiqua" w:hAnsi="Book Antiqua" w:cs="Humanist777BT-RomanB"/>
          <w:sz w:val="24"/>
          <w:szCs w:val="24"/>
        </w:rPr>
        <w:t xml:space="preserve"> </w:t>
      </w:r>
      <w:r w:rsidRPr="007B47DE">
        <w:rPr>
          <w:rFonts w:ascii="Book Antiqua" w:hAnsi="Book Antiqua" w:cs="Humanist777BT-RomanB"/>
          <w:sz w:val="24"/>
          <w:szCs w:val="24"/>
        </w:rPr>
        <w:t>para entend</w:t>
      </w:r>
      <w:r w:rsidRPr="007B47DE">
        <w:rPr>
          <w:rFonts w:ascii="Book Antiqua" w:hAnsi="Book Antiqua" w:cs="Humanist777BT-RomanB"/>
          <w:sz w:val="24"/>
          <w:szCs w:val="24"/>
        </w:rPr>
        <w:t xml:space="preserve">er la dinámica curricular de un </w:t>
      </w:r>
      <w:r w:rsidRPr="007B47DE">
        <w:rPr>
          <w:rFonts w:ascii="Book Antiqua" w:hAnsi="Book Antiqua" w:cs="Humanist777BT-RomanB"/>
          <w:sz w:val="24"/>
          <w:szCs w:val="24"/>
        </w:rPr>
        <w:t>colegio común, la a</w:t>
      </w:r>
      <w:r w:rsidRPr="007B47DE">
        <w:rPr>
          <w:rFonts w:ascii="Book Antiqua" w:hAnsi="Book Antiqua" w:cs="Humanist777BT-RomanB"/>
          <w:sz w:val="24"/>
          <w:szCs w:val="24"/>
        </w:rPr>
        <w:t xml:space="preserve">utoridad educativa de la región </w:t>
      </w:r>
      <w:r w:rsidRPr="007B47DE">
        <w:rPr>
          <w:rFonts w:ascii="Book Antiqua" w:hAnsi="Book Antiqua" w:cs="Humanist777BT-RomanB"/>
          <w:sz w:val="24"/>
          <w:szCs w:val="24"/>
        </w:rPr>
        <w:t>de Palencia había trasla</w:t>
      </w:r>
      <w:r w:rsidRPr="007B47DE">
        <w:rPr>
          <w:rFonts w:ascii="Book Antiqua" w:hAnsi="Book Antiqua" w:cs="Humanist777BT-RomanB"/>
          <w:sz w:val="24"/>
          <w:szCs w:val="24"/>
        </w:rPr>
        <w:t xml:space="preserve">dado a un colegio especializado </w:t>
      </w:r>
      <w:r w:rsidRPr="007B47DE">
        <w:rPr>
          <w:rFonts w:ascii="Book Antiqua" w:hAnsi="Book Antiqua" w:cs="Humanist777BT-RomanB"/>
          <w:sz w:val="24"/>
          <w:szCs w:val="24"/>
        </w:rPr>
        <w:t>en dar educ</w:t>
      </w:r>
      <w:r w:rsidRPr="007B47DE">
        <w:rPr>
          <w:rFonts w:ascii="Book Antiqua" w:hAnsi="Book Antiqua" w:cs="Humanist777BT-RomanB"/>
          <w:sz w:val="24"/>
          <w:szCs w:val="24"/>
        </w:rPr>
        <w:t xml:space="preserve">ación a niños con discapacidad. </w:t>
      </w:r>
      <w:r w:rsidRPr="007B47DE">
        <w:rPr>
          <w:rFonts w:ascii="Book Antiqua" w:hAnsi="Book Antiqua" w:cs="Humanist777BT-RomanB"/>
          <w:sz w:val="24"/>
          <w:szCs w:val="24"/>
        </w:rPr>
        <w:t xml:space="preserve">No obstante, los </w:t>
      </w:r>
      <w:r w:rsidRPr="007B47DE">
        <w:rPr>
          <w:rFonts w:ascii="Book Antiqua" w:hAnsi="Book Antiqua" w:cs="Humanist777BT-RomanB"/>
          <w:sz w:val="24"/>
          <w:szCs w:val="24"/>
        </w:rPr>
        <w:t xml:space="preserve">padres del menor se opusieron a </w:t>
      </w:r>
      <w:r w:rsidRPr="007B47DE">
        <w:rPr>
          <w:rFonts w:ascii="Book Antiqua" w:hAnsi="Book Antiqua" w:cs="Humanist777BT-RomanB"/>
          <w:sz w:val="24"/>
          <w:szCs w:val="24"/>
        </w:rPr>
        <w:t>esta directiva y se</w:t>
      </w:r>
      <w:r w:rsidRPr="007B47DE">
        <w:rPr>
          <w:rFonts w:ascii="Book Antiqua" w:hAnsi="Book Antiqua" w:cs="Humanist777BT-RomanB"/>
          <w:sz w:val="24"/>
          <w:szCs w:val="24"/>
        </w:rPr>
        <w:t xml:space="preserve"> negaron a que el niño asista a </w:t>
      </w:r>
      <w:r w:rsidRPr="007B47DE">
        <w:rPr>
          <w:rFonts w:ascii="Book Antiqua" w:hAnsi="Book Antiqua" w:cs="Humanist777BT-RomanB"/>
          <w:sz w:val="24"/>
          <w:szCs w:val="24"/>
        </w:rPr>
        <w:t>clases argumenta</w:t>
      </w:r>
      <w:r w:rsidRPr="007B47DE">
        <w:rPr>
          <w:rFonts w:ascii="Book Antiqua" w:hAnsi="Book Antiqua" w:cs="Humanist777BT-RomanB"/>
          <w:sz w:val="24"/>
          <w:szCs w:val="24"/>
        </w:rPr>
        <w:t xml:space="preserve">ndo principalmente que en lugar </w:t>
      </w:r>
      <w:r w:rsidRPr="007B47DE">
        <w:rPr>
          <w:rFonts w:ascii="Book Antiqua" w:hAnsi="Book Antiqua" w:cs="Humanist777BT-RomanB"/>
          <w:sz w:val="24"/>
          <w:szCs w:val="24"/>
        </w:rPr>
        <w:t>de ser trasladado a un cole</w:t>
      </w:r>
      <w:r w:rsidRPr="007B47DE">
        <w:rPr>
          <w:rFonts w:ascii="Book Antiqua" w:hAnsi="Book Antiqua" w:cs="Humanist777BT-RomanB"/>
          <w:sz w:val="24"/>
          <w:szCs w:val="24"/>
        </w:rPr>
        <w:t xml:space="preserve">gio de educación especializada, </w:t>
      </w:r>
      <w:r w:rsidRPr="007B47DE">
        <w:rPr>
          <w:rFonts w:ascii="Book Antiqua" w:hAnsi="Book Antiqua" w:cs="Humanist777BT-RomanB"/>
          <w:sz w:val="24"/>
          <w:szCs w:val="24"/>
        </w:rPr>
        <w:t xml:space="preserve">el menor </w:t>
      </w:r>
      <w:r w:rsidRPr="00921775">
        <w:rPr>
          <w:rFonts w:ascii="Book Antiqua" w:hAnsi="Book Antiqua" w:cs="Humanist777BT-RomanB"/>
          <w:sz w:val="24"/>
          <w:szCs w:val="24"/>
        </w:rPr>
        <w:t>de</w:t>
      </w:r>
      <w:r w:rsidRPr="00921775">
        <w:rPr>
          <w:rFonts w:ascii="Book Antiqua" w:hAnsi="Book Antiqua" w:cs="Humanist777BT-RomanB"/>
          <w:sz w:val="24"/>
          <w:szCs w:val="24"/>
        </w:rPr>
        <w:t xml:space="preserve">bía acudir a su anterior centro </w:t>
      </w:r>
      <w:r w:rsidRPr="00921775">
        <w:rPr>
          <w:rFonts w:ascii="Book Antiqua" w:hAnsi="Book Antiqua" w:cs="Humanist777BT-RomanB"/>
          <w:sz w:val="24"/>
          <w:szCs w:val="24"/>
        </w:rPr>
        <w:t>educativo, y este, a su vez, adoptar los ajustes</w:t>
      </w:r>
      <w:r w:rsidRPr="00921775">
        <w:rPr>
          <w:rFonts w:ascii="Book Antiqua" w:hAnsi="Book Antiqua" w:cs="Humanist777BT-RomanB"/>
          <w:sz w:val="24"/>
          <w:szCs w:val="24"/>
        </w:rPr>
        <w:t xml:space="preserve"> razonables que resulten necesarios para su desarrollo </w:t>
      </w:r>
      <w:r w:rsidRPr="00921775">
        <w:rPr>
          <w:rFonts w:ascii="Book Antiqua" w:hAnsi="Book Antiqua" w:cs="Humanist777BT-RomanB"/>
          <w:sz w:val="24"/>
          <w:szCs w:val="24"/>
        </w:rPr>
        <w:t>educativo pleno</w:t>
      </w:r>
      <w:r w:rsidRPr="00921775">
        <w:rPr>
          <w:rFonts w:ascii="Book Antiqua" w:hAnsi="Book Antiqua" w:cs="Humanist777BT-RomanB"/>
          <w:sz w:val="24"/>
          <w:szCs w:val="24"/>
        </w:rPr>
        <w:t>.</w:t>
      </w:r>
      <w:r w:rsidRPr="00921775">
        <w:rPr>
          <w:rStyle w:val="Refdenotaalpie"/>
          <w:rFonts w:ascii="Book Antiqua" w:hAnsi="Book Antiqua" w:cs="Humanist777BT-RomanB"/>
          <w:sz w:val="24"/>
          <w:szCs w:val="24"/>
        </w:rPr>
        <w:footnoteReference w:id="15"/>
      </w:r>
    </w:p>
    <w:p w:rsidR="00921775" w:rsidRPr="00921775" w:rsidRDefault="00921775" w:rsidP="00921775">
      <w:pPr>
        <w:autoSpaceDE w:val="0"/>
        <w:autoSpaceDN w:val="0"/>
        <w:adjustRightInd w:val="0"/>
        <w:spacing w:line="276" w:lineRule="auto"/>
        <w:rPr>
          <w:rFonts w:ascii="Book Antiqua" w:hAnsi="Book Antiqua" w:cs="Humanist777BT-RomanB"/>
          <w:sz w:val="24"/>
          <w:szCs w:val="24"/>
        </w:rPr>
      </w:pPr>
    </w:p>
    <w:p w:rsidR="00921775" w:rsidRPr="00921775" w:rsidRDefault="00921775" w:rsidP="00921775">
      <w:pPr>
        <w:spacing w:line="276" w:lineRule="auto"/>
        <w:rPr>
          <w:rFonts w:ascii="Book Antiqua" w:hAnsi="Book Antiqua" w:cs="Arial"/>
          <w:sz w:val="24"/>
          <w:szCs w:val="24"/>
          <w:lang w:val="es-MX"/>
        </w:rPr>
      </w:pPr>
      <w:r w:rsidRPr="00921775">
        <w:rPr>
          <w:rFonts w:ascii="Book Antiqua" w:hAnsi="Book Antiqua" w:cs="Arial"/>
          <w:sz w:val="24"/>
          <w:szCs w:val="24"/>
          <w:lang w:val="es-MX"/>
        </w:rPr>
        <w:t>Al resolver, el máximo intérprete de la constitución española señaló que la Ley Orgánica 2/2006 sobre educación establecía que la escolarización del alumnado que presenta necesidades educativas especiales se rige por los principios de normalización e inclusión y se asegura su no discriminación e igualdad en el acceso y permanencia en el sistema educativo. De tal forma que, la escolarización de estos menores en unidades o centros educativos especiales sólo se llevará a cabo cuando sus necesidades no puedan ser atendidas en el marco de las medidas de atención a la diversidad de los centros ordinarios. Es evidente, que en este caso el Tribunal Constitucional español interpretó que la medida de colocar al niño en un centro educativo especial constituía un ajuste razonable y, como tal, tenía carácter subsidiario dado que la obligación primaria era la de adaptar el centro educativo ordinario a las exigencias del menor en virtud de las obligaciones generales de accesibilidad y diseño universal.</w:t>
      </w:r>
    </w:p>
    <w:p w:rsidR="00921775" w:rsidRPr="00921775" w:rsidRDefault="00921775" w:rsidP="00921775">
      <w:pPr>
        <w:spacing w:line="276" w:lineRule="auto"/>
        <w:rPr>
          <w:rFonts w:ascii="Book Antiqua" w:hAnsi="Book Antiqua" w:cs="Arial"/>
          <w:sz w:val="24"/>
          <w:szCs w:val="24"/>
          <w:lang w:val="es-MX"/>
        </w:rPr>
      </w:pPr>
    </w:p>
    <w:p w:rsidR="00921775" w:rsidRPr="00921775" w:rsidRDefault="00921775" w:rsidP="00921775">
      <w:pPr>
        <w:spacing w:line="276" w:lineRule="auto"/>
        <w:rPr>
          <w:rFonts w:ascii="Book Antiqua" w:hAnsi="Book Antiqua" w:cs="Arial"/>
          <w:sz w:val="24"/>
          <w:szCs w:val="24"/>
          <w:lang w:val="es-MX"/>
        </w:rPr>
      </w:pPr>
      <w:r w:rsidRPr="00921775">
        <w:rPr>
          <w:rFonts w:ascii="Book Antiqua" w:hAnsi="Book Antiqua" w:cs="Arial"/>
          <w:sz w:val="24"/>
          <w:szCs w:val="24"/>
          <w:lang w:val="es-MX"/>
        </w:rPr>
        <w:t xml:space="preserve">En cuanto al nivel de protección regional de Derechos Humanos, en el año 2009 el Tribunal Europeo de Derechos Humanos (en adelante “Tribunal Europeo”, “TEDH” o “Tribunal de Estrasburgo”) emitió su primera sentencia donde acogió la CDPD como criterio interpretativo. El caso en cuestión es </w:t>
      </w:r>
      <w:r w:rsidRPr="00921775">
        <w:rPr>
          <w:rFonts w:ascii="Book Antiqua" w:hAnsi="Book Antiqua" w:cs="Arial"/>
          <w:i/>
          <w:sz w:val="24"/>
          <w:szCs w:val="24"/>
          <w:lang w:val="es-MX"/>
        </w:rPr>
        <w:t>Glor v. Suiza</w:t>
      </w:r>
      <w:r w:rsidRPr="00921775">
        <w:rPr>
          <w:rStyle w:val="Refdenotaalpie"/>
          <w:rFonts w:ascii="Book Antiqua" w:hAnsi="Book Antiqua" w:cs="Arial"/>
          <w:i/>
          <w:sz w:val="24"/>
          <w:szCs w:val="24"/>
          <w:lang w:val="es-MX"/>
        </w:rPr>
        <w:footnoteReference w:id="16"/>
      </w:r>
      <w:r w:rsidRPr="00921775">
        <w:rPr>
          <w:rFonts w:ascii="Book Antiqua" w:hAnsi="Book Antiqua" w:cs="Arial"/>
          <w:sz w:val="24"/>
          <w:szCs w:val="24"/>
          <w:lang w:val="es-MX"/>
        </w:rPr>
        <w:t xml:space="preserve"> y si bien el TEDH no enuncia de manera explícita el término “ajustes razonables” si da algunos alcances que parecieran aproximarse a este concepto. </w:t>
      </w:r>
    </w:p>
    <w:p w:rsidR="00921775" w:rsidRPr="00921775" w:rsidRDefault="00921775" w:rsidP="00921775">
      <w:pPr>
        <w:spacing w:line="276" w:lineRule="auto"/>
        <w:rPr>
          <w:rFonts w:ascii="Book Antiqua" w:hAnsi="Book Antiqua" w:cs="Arial"/>
          <w:sz w:val="24"/>
          <w:szCs w:val="24"/>
          <w:lang w:val="es-MX"/>
        </w:rPr>
      </w:pPr>
    </w:p>
    <w:p w:rsidR="00921775" w:rsidRPr="00921775" w:rsidRDefault="00921775" w:rsidP="00921775">
      <w:pPr>
        <w:spacing w:line="276" w:lineRule="auto"/>
        <w:rPr>
          <w:rFonts w:ascii="Book Antiqua" w:hAnsi="Book Antiqua" w:cs="Arial"/>
          <w:sz w:val="24"/>
          <w:szCs w:val="24"/>
          <w:lang w:val="es-MX"/>
        </w:rPr>
      </w:pPr>
      <w:r w:rsidRPr="00921775">
        <w:rPr>
          <w:rFonts w:ascii="Book Antiqua" w:hAnsi="Book Antiqua" w:cs="Arial"/>
          <w:sz w:val="24"/>
          <w:szCs w:val="24"/>
          <w:lang w:val="es-MX"/>
        </w:rPr>
        <w:t xml:space="preserve">El caso versaba sobre un ciudadano suizo que trabajaba como transportista y que fue declarado, a pesar de su interés, como no apto para el servicio militar por tener diabetes (considerada una discapacidad según el ordenamiento jurídico suizo). La legislación suiza no le permitía prestar el servicio militar pero tampoco lo eximia </w:t>
      </w:r>
      <w:r w:rsidRPr="00921775">
        <w:rPr>
          <w:rFonts w:ascii="Book Antiqua" w:hAnsi="Book Antiqua" w:cs="Arial"/>
          <w:sz w:val="24"/>
          <w:szCs w:val="24"/>
          <w:lang w:val="es-MX"/>
        </w:rPr>
        <w:lastRenderedPageBreak/>
        <w:t>de tener que pagar la multa por no realizarlo dado que su grado de discapacidad no era tal, según las leyes de ese Estado, como para eximirlo de cumplir con el pago.</w:t>
      </w:r>
    </w:p>
    <w:p w:rsidR="00921775" w:rsidRPr="00921775" w:rsidRDefault="00921775" w:rsidP="00921775">
      <w:pPr>
        <w:spacing w:line="276" w:lineRule="auto"/>
        <w:rPr>
          <w:rFonts w:ascii="Book Antiqua" w:hAnsi="Book Antiqua" w:cs="Arial"/>
          <w:sz w:val="24"/>
          <w:szCs w:val="24"/>
          <w:lang w:val="es-MX"/>
        </w:rPr>
      </w:pPr>
    </w:p>
    <w:p w:rsidR="00921775" w:rsidRPr="00921775" w:rsidRDefault="00921775" w:rsidP="00921775">
      <w:pPr>
        <w:spacing w:line="276" w:lineRule="auto"/>
        <w:rPr>
          <w:rFonts w:ascii="Book Antiqua" w:hAnsi="Book Antiqua" w:cs="Arial"/>
          <w:sz w:val="24"/>
          <w:szCs w:val="24"/>
          <w:lang w:val="es-MX"/>
        </w:rPr>
      </w:pPr>
      <w:r w:rsidRPr="00921775">
        <w:rPr>
          <w:rFonts w:ascii="Book Antiqua" w:hAnsi="Book Antiqua" w:cs="Arial"/>
          <w:sz w:val="24"/>
          <w:szCs w:val="24"/>
          <w:lang w:val="es-MX"/>
        </w:rPr>
        <w:t>El Tribunal Europeo, luego de un análisis previo sobre el principio de igualdad y no discriminación, consideró que el Estado suizo debería ofrecer alternativas para aquellas personas con discapacidad que quieran participar en el servicio militar de su país ajustando para este fin los ambientes del servicio militar para que estas personas puedan desarrollar su proyecto de vida. En concreto, tomó en cuenta la distinción objetiva y razonable que hacía la legislación suiza para no permitir a las personas con cierto grado de discapacidad realizar el servicio militar, pero resolvió que, en el caso concreto del ciudadano Glor se deberían tomar las medidas adecuadas y particulares para su caso, dado que su grado de discapacidad no era tal que le impidiera realizar funciones físicas.</w:t>
      </w:r>
    </w:p>
    <w:p w:rsidR="00921775" w:rsidRPr="00921775" w:rsidRDefault="00921775" w:rsidP="00921775">
      <w:pPr>
        <w:spacing w:line="276" w:lineRule="auto"/>
        <w:rPr>
          <w:rFonts w:ascii="Book Antiqua" w:hAnsi="Book Antiqua" w:cs="Arial"/>
          <w:sz w:val="24"/>
          <w:szCs w:val="24"/>
          <w:lang w:val="es-MX"/>
        </w:rPr>
      </w:pPr>
    </w:p>
    <w:p w:rsidR="00921775" w:rsidRPr="009C4626" w:rsidRDefault="00921775" w:rsidP="00921775">
      <w:pPr>
        <w:autoSpaceDE w:val="0"/>
        <w:autoSpaceDN w:val="0"/>
        <w:adjustRightInd w:val="0"/>
        <w:spacing w:line="276" w:lineRule="auto"/>
        <w:rPr>
          <w:rFonts w:ascii="Book Antiqua" w:hAnsi="Book Antiqua" w:cs="Arial"/>
          <w:sz w:val="24"/>
          <w:szCs w:val="24"/>
          <w:lang w:val="es-MX"/>
        </w:rPr>
      </w:pPr>
      <w:r w:rsidRPr="00921775">
        <w:rPr>
          <w:rFonts w:ascii="Book Antiqua" w:hAnsi="Book Antiqua" w:cs="Arial"/>
          <w:sz w:val="24"/>
          <w:szCs w:val="24"/>
          <w:lang w:val="es-MX"/>
        </w:rPr>
        <w:t xml:space="preserve">De lo señalado anteriormente, se evidencia que la obligación primaria es la de garantizar un acceso pleno y diseño universal a las personas con discapacidad para que puedan ejercer sus derechos en condiciones de igualdad y solo en aquellos casos en los que esta obligación primaria no alcance a la totalidad de los supuestos, dado que </w:t>
      </w:r>
      <w:r w:rsidRPr="009C4626">
        <w:rPr>
          <w:rFonts w:ascii="Book Antiqua" w:hAnsi="Book Antiqua" w:cs="Arial"/>
          <w:sz w:val="24"/>
          <w:szCs w:val="24"/>
          <w:lang w:val="es-MX"/>
        </w:rPr>
        <w:t>existe diversidad dentro del grupo de la persona con discapacidad, se hará exigible la obligación de adoptar ajustes razonables pues su característica es más individual que genérica.</w:t>
      </w:r>
    </w:p>
    <w:p w:rsidR="00921775" w:rsidRPr="009C4626" w:rsidRDefault="00921775" w:rsidP="00921775">
      <w:pPr>
        <w:autoSpaceDE w:val="0"/>
        <w:autoSpaceDN w:val="0"/>
        <w:adjustRightInd w:val="0"/>
        <w:spacing w:line="276" w:lineRule="auto"/>
        <w:rPr>
          <w:rFonts w:ascii="Book Antiqua" w:hAnsi="Book Antiqua" w:cs="Arial"/>
          <w:sz w:val="24"/>
          <w:szCs w:val="24"/>
          <w:lang w:val="es-MX"/>
        </w:rPr>
      </w:pPr>
    </w:p>
    <w:p w:rsidR="00921775" w:rsidRPr="009C4626" w:rsidRDefault="00921775" w:rsidP="00CB2219">
      <w:pPr>
        <w:pStyle w:val="Prrafodelista"/>
        <w:numPr>
          <w:ilvl w:val="0"/>
          <w:numId w:val="1"/>
        </w:numPr>
        <w:autoSpaceDE w:val="0"/>
        <w:autoSpaceDN w:val="0"/>
        <w:adjustRightInd w:val="0"/>
        <w:spacing w:line="276" w:lineRule="auto"/>
        <w:ind w:left="567" w:hanging="567"/>
        <w:outlineLvl w:val="0"/>
        <w:rPr>
          <w:rFonts w:ascii="Book Antiqua" w:hAnsi="Book Antiqua" w:cs="Humanist777BT-RomanB"/>
          <w:b/>
          <w:sz w:val="24"/>
          <w:szCs w:val="24"/>
        </w:rPr>
      </w:pPr>
      <w:bookmarkStart w:id="6" w:name="_Toc486598185"/>
      <w:r w:rsidRPr="009C4626">
        <w:rPr>
          <w:rFonts w:ascii="Book Antiqua" w:hAnsi="Book Antiqua" w:cs="Humanist777BT-RomanB"/>
          <w:b/>
          <w:sz w:val="24"/>
          <w:szCs w:val="24"/>
        </w:rPr>
        <w:t>EL CARÁCTER RAZONABLE DE LOS AJUSTES</w:t>
      </w:r>
      <w:bookmarkEnd w:id="6"/>
    </w:p>
    <w:p w:rsidR="009C4626" w:rsidRPr="009C4626" w:rsidRDefault="009C4626" w:rsidP="009C4626">
      <w:pPr>
        <w:autoSpaceDE w:val="0"/>
        <w:autoSpaceDN w:val="0"/>
        <w:adjustRightInd w:val="0"/>
        <w:spacing w:line="276" w:lineRule="auto"/>
        <w:rPr>
          <w:rFonts w:ascii="Book Antiqua" w:hAnsi="Book Antiqua" w:cs="Humanist777BT-RomanB"/>
          <w:b/>
          <w:sz w:val="24"/>
          <w:szCs w:val="24"/>
        </w:rPr>
      </w:pPr>
    </w:p>
    <w:p w:rsidR="009C4626" w:rsidRPr="009C4626" w:rsidRDefault="009C4626" w:rsidP="009C4626">
      <w:pPr>
        <w:autoSpaceDE w:val="0"/>
        <w:autoSpaceDN w:val="0"/>
        <w:adjustRightInd w:val="0"/>
        <w:spacing w:line="276" w:lineRule="auto"/>
        <w:rPr>
          <w:rFonts w:ascii="Book Antiqua" w:hAnsi="Book Antiqua" w:cs="Arial"/>
          <w:color w:val="000000" w:themeColor="text1"/>
          <w:sz w:val="24"/>
          <w:szCs w:val="24"/>
          <w:lang w:val="es-MX"/>
        </w:rPr>
      </w:pPr>
      <w:r w:rsidRPr="009C4626">
        <w:rPr>
          <w:rFonts w:ascii="Book Antiqua" w:hAnsi="Book Antiqua" w:cs="Arial"/>
          <w:color w:val="000000" w:themeColor="text1"/>
          <w:sz w:val="24"/>
          <w:szCs w:val="24"/>
          <w:lang w:val="es-MX"/>
        </w:rPr>
        <w:t>Otra de las cuestionas que resulta problemática es la determinación de la “razonabilidad” de los ajustes razonables. El carácter de razonables, evidentemente reduce el número e intensidad de ajustes que aun siendo necesarios para la satisfacción de las necesidades de las personas con discapacidad, están amparados por la normativa nacional e internacional</w:t>
      </w:r>
      <w:r w:rsidRPr="009C4626">
        <w:rPr>
          <w:rFonts w:ascii="Book Antiqua" w:hAnsi="Book Antiqua" w:cs="Arial"/>
          <w:color w:val="000000" w:themeColor="text1"/>
          <w:sz w:val="24"/>
          <w:szCs w:val="24"/>
          <w:lang w:val="es-MX"/>
        </w:rPr>
        <w:t>.</w:t>
      </w:r>
      <w:r w:rsidRPr="009C4626">
        <w:rPr>
          <w:rStyle w:val="Refdenotaalpie"/>
          <w:rFonts w:ascii="Book Antiqua" w:hAnsi="Book Antiqua" w:cs="Arial"/>
          <w:color w:val="000000" w:themeColor="text1"/>
          <w:sz w:val="24"/>
          <w:szCs w:val="24"/>
          <w:lang w:val="es-MX"/>
        </w:rPr>
        <w:footnoteReference w:id="17"/>
      </w:r>
    </w:p>
    <w:p w:rsidR="009C4626" w:rsidRPr="009C4626" w:rsidRDefault="009C4626" w:rsidP="009C4626">
      <w:pPr>
        <w:autoSpaceDE w:val="0"/>
        <w:autoSpaceDN w:val="0"/>
        <w:adjustRightInd w:val="0"/>
        <w:spacing w:line="276" w:lineRule="auto"/>
        <w:rPr>
          <w:rFonts w:ascii="Book Antiqua" w:hAnsi="Book Antiqua" w:cs="Arial"/>
          <w:color w:val="000000" w:themeColor="text1"/>
          <w:sz w:val="24"/>
          <w:szCs w:val="24"/>
          <w:lang w:val="es-MX"/>
        </w:rPr>
      </w:pPr>
    </w:p>
    <w:p w:rsidR="009C4626" w:rsidRPr="009C4626" w:rsidRDefault="009C4626" w:rsidP="009C4626">
      <w:pPr>
        <w:spacing w:line="276" w:lineRule="auto"/>
        <w:rPr>
          <w:rFonts w:ascii="Book Antiqua" w:hAnsi="Book Antiqua"/>
          <w:color w:val="000000" w:themeColor="text1"/>
          <w:sz w:val="24"/>
          <w:szCs w:val="24"/>
          <w:lang w:val="es-MX"/>
        </w:rPr>
      </w:pPr>
      <w:r w:rsidRPr="009C4626">
        <w:rPr>
          <w:rFonts w:ascii="Book Antiqua" w:hAnsi="Book Antiqua"/>
          <w:color w:val="000000" w:themeColor="text1"/>
          <w:sz w:val="24"/>
          <w:szCs w:val="24"/>
          <w:lang w:val="es-MX"/>
        </w:rPr>
        <w:t xml:space="preserve">La regulación de los ajustes razonables que está plasmada en la CDPD establece el límite de que la realización de los ajustes razonables no debe imponer una carga desproporcionada o indebida, pero no ofrece, a diferencia de la ley española 51/2003 referida anteriormente criterios para delimitar su razonabilidad de la cual se puede extraer que obligación del Estado de adoptar ajustes razonables culmina </w:t>
      </w:r>
      <w:r w:rsidRPr="009C4626">
        <w:rPr>
          <w:rFonts w:ascii="Book Antiqua" w:hAnsi="Book Antiqua"/>
          <w:color w:val="000000" w:themeColor="text1"/>
          <w:sz w:val="24"/>
          <w:szCs w:val="24"/>
          <w:lang w:val="es-MX"/>
        </w:rPr>
        <w:lastRenderedPageBreak/>
        <w:t>cuando estos ya no son “razonables”, es decir cuando se convierten en una carga indebida. De tal forma, la defensa estatal ante la no realización del ajuste se basa en la carga indebida, de modo tal que el análisis dependerá entonces del examen de las cargas</w:t>
      </w:r>
      <w:r>
        <w:rPr>
          <w:rFonts w:ascii="Book Antiqua" w:hAnsi="Book Antiqua"/>
          <w:color w:val="000000" w:themeColor="text1"/>
          <w:sz w:val="24"/>
          <w:szCs w:val="24"/>
          <w:lang w:val="es-MX"/>
        </w:rPr>
        <w:t>.</w:t>
      </w:r>
      <w:r w:rsidRPr="009C4626">
        <w:rPr>
          <w:rStyle w:val="Refdenotaalpie"/>
          <w:rFonts w:ascii="Book Antiqua" w:hAnsi="Book Antiqua"/>
          <w:color w:val="000000" w:themeColor="text1"/>
          <w:sz w:val="24"/>
          <w:szCs w:val="24"/>
          <w:lang w:val="es-MX"/>
        </w:rPr>
        <w:footnoteReference w:id="18"/>
      </w:r>
    </w:p>
    <w:p w:rsidR="009C4626" w:rsidRPr="009C4626" w:rsidRDefault="009C4626" w:rsidP="009C4626">
      <w:pPr>
        <w:spacing w:line="276" w:lineRule="auto"/>
        <w:rPr>
          <w:rFonts w:ascii="Book Antiqua" w:hAnsi="Book Antiqua"/>
          <w:color w:val="000000" w:themeColor="text1"/>
          <w:sz w:val="24"/>
          <w:szCs w:val="24"/>
          <w:lang w:val="es-MX"/>
        </w:rPr>
      </w:pPr>
    </w:p>
    <w:p w:rsidR="009C4626" w:rsidRPr="009C4626" w:rsidRDefault="009C4626" w:rsidP="009C4626">
      <w:pPr>
        <w:spacing w:line="276" w:lineRule="auto"/>
        <w:rPr>
          <w:rFonts w:ascii="Book Antiqua" w:hAnsi="Book Antiqua"/>
          <w:color w:val="000000" w:themeColor="text1"/>
          <w:sz w:val="24"/>
          <w:szCs w:val="24"/>
          <w:lang w:val="es-MX"/>
        </w:rPr>
      </w:pPr>
      <w:r w:rsidRPr="009C4626">
        <w:rPr>
          <w:rFonts w:ascii="Book Antiqua" w:hAnsi="Book Antiqua"/>
          <w:color w:val="000000" w:themeColor="text1"/>
          <w:sz w:val="24"/>
          <w:szCs w:val="24"/>
          <w:lang w:val="es-MX"/>
        </w:rPr>
        <w:t xml:space="preserve">No obstante, pretender una normativa genérica para determinar la carga excesiva de un ajuste razonable significaría ir en contra de una de las características fundamentales del ajuste razonable como es, precisamente, la particularidad. Es decir, no sería un beneficio para esta categoría jurídica, que se encarga de velar por los derechos de las personas con discapacidad en cada caso concreto, atribuirle una fórmula general para decidir cuándo es proporcional y cuándo no. </w:t>
      </w:r>
    </w:p>
    <w:p w:rsidR="009C4626" w:rsidRPr="009C4626" w:rsidRDefault="009C4626" w:rsidP="009C4626">
      <w:pPr>
        <w:spacing w:line="276" w:lineRule="auto"/>
        <w:rPr>
          <w:rFonts w:ascii="Book Antiqua" w:hAnsi="Book Antiqua"/>
          <w:color w:val="000000" w:themeColor="text1"/>
          <w:sz w:val="24"/>
          <w:szCs w:val="24"/>
          <w:lang w:val="es-MX"/>
        </w:rPr>
      </w:pPr>
    </w:p>
    <w:p w:rsidR="009C4626" w:rsidRPr="009C4626" w:rsidRDefault="009C4626" w:rsidP="009C4626">
      <w:pPr>
        <w:spacing w:line="276" w:lineRule="auto"/>
        <w:rPr>
          <w:rFonts w:ascii="Book Antiqua" w:hAnsi="Book Antiqua"/>
          <w:color w:val="000000" w:themeColor="text1"/>
          <w:sz w:val="24"/>
          <w:szCs w:val="24"/>
          <w:lang w:val="es-MX"/>
        </w:rPr>
      </w:pPr>
      <w:r w:rsidRPr="009C4626">
        <w:rPr>
          <w:rFonts w:ascii="Book Antiqua" w:hAnsi="Book Antiqua"/>
          <w:color w:val="000000" w:themeColor="text1"/>
          <w:sz w:val="24"/>
          <w:szCs w:val="24"/>
          <w:lang w:val="es-MX"/>
        </w:rPr>
        <w:t>Así que para la determinación del nivel de la carga y por ende de la razonabilidad del ajuste, se deberá interpretar la razonabilidad desde el punto de vista de la equidad, es decir, el enunciado general y abstracto, en este caso el de “razonable”, deberá ser apreciado a la luz de las singularidades de cada caso concreto, imponiéndose de esa manera la armonización del enunciado “razonable” con las particularidades materiales</w:t>
      </w:r>
      <w:r>
        <w:rPr>
          <w:rFonts w:ascii="Book Antiqua" w:hAnsi="Book Antiqua"/>
          <w:color w:val="000000" w:themeColor="text1"/>
          <w:sz w:val="24"/>
          <w:szCs w:val="24"/>
          <w:lang w:val="es-MX"/>
        </w:rPr>
        <w:t>.</w:t>
      </w:r>
      <w:r w:rsidRPr="009C4626">
        <w:rPr>
          <w:rStyle w:val="Refdenotaalpie"/>
          <w:rFonts w:ascii="Book Antiqua" w:hAnsi="Book Antiqua"/>
          <w:color w:val="000000" w:themeColor="text1"/>
          <w:sz w:val="24"/>
          <w:szCs w:val="24"/>
          <w:lang w:val="es-MX"/>
        </w:rPr>
        <w:footnoteReference w:id="19"/>
      </w:r>
      <w:r w:rsidRPr="009C4626">
        <w:rPr>
          <w:rFonts w:ascii="Book Antiqua" w:hAnsi="Book Antiqua"/>
          <w:color w:val="000000" w:themeColor="text1"/>
          <w:sz w:val="24"/>
          <w:szCs w:val="24"/>
          <w:lang w:val="es-MX"/>
        </w:rPr>
        <w:t xml:space="preserve">  </w:t>
      </w:r>
    </w:p>
    <w:p w:rsidR="009C4626" w:rsidRPr="009C4626" w:rsidRDefault="009C4626" w:rsidP="009C4626">
      <w:pPr>
        <w:spacing w:line="276" w:lineRule="auto"/>
        <w:rPr>
          <w:rFonts w:ascii="Book Antiqua" w:hAnsi="Book Antiqua"/>
          <w:color w:val="000000" w:themeColor="text1"/>
          <w:sz w:val="24"/>
          <w:szCs w:val="24"/>
          <w:lang w:val="es-MX"/>
        </w:rPr>
      </w:pPr>
    </w:p>
    <w:p w:rsidR="009C4626" w:rsidRPr="009C4626" w:rsidRDefault="009C4626" w:rsidP="009C4626">
      <w:pPr>
        <w:spacing w:line="276" w:lineRule="auto"/>
        <w:rPr>
          <w:rFonts w:ascii="Book Antiqua" w:hAnsi="Book Antiqua"/>
          <w:color w:val="000000" w:themeColor="text1"/>
          <w:sz w:val="24"/>
          <w:szCs w:val="24"/>
          <w:lang w:val="es-MX"/>
        </w:rPr>
      </w:pPr>
      <w:r w:rsidRPr="009C4626">
        <w:rPr>
          <w:rFonts w:ascii="Book Antiqua" w:hAnsi="Book Antiqua"/>
          <w:color w:val="000000" w:themeColor="text1"/>
          <w:sz w:val="24"/>
          <w:szCs w:val="24"/>
          <w:lang w:val="es-MX"/>
        </w:rPr>
        <w:t>Es necesario aclarar que la evaluación de la carga indebida del ajuste razonable no debe tomarse solo desde la perspectiva del costo económico, sino también, desde otros aspectos cruciales como el impacto que la adopción de tal ajuste tendrá en el resto de personas con y sin discapacidad, el beneficio inclusivo que supone su adopción, la viabilidad de su concreción, entre otros. Sin embargo, se debe tener en cuenta que al adoptar ajustes razonables, siempre se presentarán cargas, pero lo que no pueden es ser indebidas o excesivas</w:t>
      </w:r>
      <w:r>
        <w:rPr>
          <w:rFonts w:ascii="Book Antiqua" w:hAnsi="Book Antiqua"/>
          <w:color w:val="000000" w:themeColor="text1"/>
          <w:sz w:val="24"/>
          <w:szCs w:val="24"/>
          <w:lang w:val="es-MX"/>
        </w:rPr>
        <w:t>.</w:t>
      </w:r>
      <w:r w:rsidRPr="009C4626">
        <w:rPr>
          <w:rStyle w:val="Refdenotaalpie"/>
          <w:rFonts w:ascii="Book Antiqua" w:hAnsi="Book Antiqua"/>
          <w:color w:val="000000" w:themeColor="text1"/>
          <w:sz w:val="24"/>
          <w:szCs w:val="24"/>
          <w:lang w:val="es-MX"/>
        </w:rPr>
        <w:footnoteReference w:id="20"/>
      </w:r>
    </w:p>
    <w:p w:rsidR="009C4626" w:rsidRDefault="009C4626" w:rsidP="009C4626">
      <w:pPr>
        <w:autoSpaceDE w:val="0"/>
        <w:autoSpaceDN w:val="0"/>
        <w:adjustRightInd w:val="0"/>
        <w:spacing w:line="276" w:lineRule="auto"/>
        <w:rPr>
          <w:rFonts w:ascii="Book Antiqua" w:hAnsi="Book Antiqua" w:cs="Humanist777BT-RomanB"/>
          <w:b/>
          <w:sz w:val="24"/>
          <w:szCs w:val="24"/>
        </w:rPr>
      </w:pPr>
    </w:p>
    <w:p w:rsidR="009C4626" w:rsidRPr="00CB2219" w:rsidRDefault="009C4626" w:rsidP="00CB2219">
      <w:pPr>
        <w:pStyle w:val="Ttulo1"/>
        <w:numPr>
          <w:ilvl w:val="0"/>
          <w:numId w:val="1"/>
        </w:numPr>
        <w:spacing w:before="0" w:line="276" w:lineRule="auto"/>
        <w:ind w:left="567" w:hanging="567"/>
        <w:rPr>
          <w:rFonts w:ascii="Book Antiqua" w:hAnsi="Book Antiqua"/>
          <w:color w:val="000000" w:themeColor="text1"/>
          <w:sz w:val="24"/>
          <w:lang w:val="es-MX"/>
        </w:rPr>
      </w:pPr>
      <w:bookmarkStart w:id="7" w:name="_Toc393820814"/>
      <w:bookmarkStart w:id="8" w:name="_Toc393821629"/>
      <w:bookmarkStart w:id="9" w:name="_Toc486598186"/>
      <w:r w:rsidRPr="00CB2219">
        <w:rPr>
          <w:rFonts w:ascii="Book Antiqua" w:hAnsi="Book Antiqua"/>
          <w:color w:val="000000" w:themeColor="text1"/>
          <w:sz w:val="24"/>
          <w:lang w:val="es-MX"/>
        </w:rPr>
        <w:t>DIFERENCIA ENTRE LAS ACCIONES AFIRMATIVAS Y LOS AJUSTES RAZONABLES</w:t>
      </w:r>
      <w:bookmarkEnd w:id="7"/>
      <w:bookmarkEnd w:id="8"/>
      <w:bookmarkEnd w:id="9"/>
    </w:p>
    <w:p w:rsidR="009C4626" w:rsidRPr="009C4626" w:rsidRDefault="009C4626" w:rsidP="009C4626">
      <w:pPr>
        <w:autoSpaceDE w:val="0"/>
        <w:autoSpaceDN w:val="0"/>
        <w:adjustRightInd w:val="0"/>
        <w:spacing w:line="276" w:lineRule="auto"/>
        <w:rPr>
          <w:rFonts w:ascii="Book Antiqua" w:hAnsi="Book Antiqua" w:cs="Humanist777BT-RomanB"/>
          <w:b/>
          <w:color w:val="000000" w:themeColor="text1"/>
          <w:sz w:val="24"/>
          <w:szCs w:val="24"/>
        </w:rPr>
      </w:pPr>
    </w:p>
    <w:p w:rsidR="009C4626" w:rsidRPr="009C4626" w:rsidRDefault="009C4626" w:rsidP="009C4626">
      <w:pPr>
        <w:spacing w:line="276" w:lineRule="auto"/>
        <w:rPr>
          <w:rFonts w:ascii="Book Antiqua" w:hAnsi="Book Antiqua"/>
          <w:color w:val="000000" w:themeColor="text1"/>
          <w:sz w:val="24"/>
          <w:szCs w:val="24"/>
          <w:lang w:val="es-MX"/>
        </w:rPr>
      </w:pPr>
      <w:r w:rsidRPr="009C4626">
        <w:rPr>
          <w:rFonts w:ascii="Book Antiqua" w:hAnsi="Book Antiqua"/>
          <w:color w:val="000000" w:themeColor="text1"/>
          <w:sz w:val="24"/>
          <w:szCs w:val="24"/>
          <w:lang w:val="es-MX"/>
        </w:rPr>
        <w:t xml:space="preserve">Una vez establecidos los alcances y precisiones conceptuales de los ajustes razonables resulta conveniente marcar su diferencia con las llamadas “acciones </w:t>
      </w:r>
      <w:r w:rsidRPr="009C4626">
        <w:rPr>
          <w:rFonts w:ascii="Book Antiqua" w:hAnsi="Book Antiqua"/>
          <w:color w:val="000000" w:themeColor="text1"/>
          <w:sz w:val="24"/>
          <w:szCs w:val="24"/>
          <w:lang w:val="es-MX"/>
        </w:rPr>
        <w:lastRenderedPageBreak/>
        <w:t>afirmativas”. La importancia de hacer la distinción entre los ajustes razonables y las acciones afirmativas es de suma importancia para comprender sus diferenciadas consecuencias jurídicas.</w:t>
      </w:r>
    </w:p>
    <w:p w:rsidR="009C4626" w:rsidRPr="009C4626" w:rsidRDefault="009C4626" w:rsidP="009C4626">
      <w:pPr>
        <w:spacing w:line="276" w:lineRule="auto"/>
        <w:rPr>
          <w:rFonts w:ascii="Book Antiqua" w:hAnsi="Book Antiqua"/>
          <w:color w:val="000000" w:themeColor="text1"/>
          <w:sz w:val="24"/>
          <w:szCs w:val="24"/>
          <w:lang w:val="es-MX"/>
        </w:rPr>
      </w:pPr>
    </w:p>
    <w:p w:rsidR="009C4626" w:rsidRPr="009C4626" w:rsidRDefault="009C4626" w:rsidP="009C4626">
      <w:pPr>
        <w:spacing w:line="276" w:lineRule="auto"/>
        <w:rPr>
          <w:rFonts w:ascii="Book Antiqua" w:hAnsi="Book Antiqua"/>
          <w:color w:val="000000" w:themeColor="text1"/>
          <w:sz w:val="24"/>
          <w:szCs w:val="24"/>
          <w:lang w:val="es-MX"/>
        </w:rPr>
      </w:pPr>
      <w:r w:rsidRPr="009C4626">
        <w:rPr>
          <w:rFonts w:ascii="Book Antiqua" w:hAnsi="Book Antiqua"/>
          <w:color w:val="000000" w:themeColor="text1"/>
          <w:sz w:val="24"/>
          <w:szCs w:val="24"/>
          <w:lang w:val="es-MX"/>
        </w:rPr>
        <w:t>Para dilucidar la diferencia que existe entre estos dos conceptos debemos centrarnos en sus finalidades. Así, en primer término encontramos que hay algunas medidas a favor de las personas con discapacidad que tienen como finalidad conseguir la igualdad material del colectivo, independientemente de las características individuales específicas de sus miembros</w:t>
      </w:r>
      <w:r w:rsidRPr="009C4626">
        <w:rPr>
          <w:rStyle w:val="Refdenotaalpie"/>
          <w:rFonts w:ascii="Book Antiqua" w:hAnsi="Book Antiqua"/>
          <w:color w:val="000000" w:themeColor="text1"/>
          <w:sz w:val="24"/>
          <w:szCs w:val="24"/>
          <w:lang w:val="es-MX"/>
        </w:rPr>
        <w:footnoteReference w:id="21"/>
      </w:r>
      <w:r w:rsidRPr="009C4626">
        <w:rPr>
          <w:rFonts w:ascii="Book Antiqua" w:hAnsi="Book Antiqua"/>
          <w:color w:val="000000" w:themeColor="text1"/>
          <w:sz w:val="24"/>
          <w:szCs w:val="24"/>
          <w:lang w:val="es-MX"/>
        </w:rPr>
        <w:t xml:space="preserve">. A estas medidas las denominaremos accionas afirmativas. </w:t>
      </w:r>
    </w:p>
    <w:p w:rsidR="009C4626" w:rsidRPr="009C4626" w:rsidRDefault="009C4626" w:rsidP="009C4626">
      <w:pPr>
        <w:spacing w:line="276" w:lineRule="auto"/>
        <w:rPr>
          <w:rFonts w:ascii="Book Antiqua" w:hAnsi="Book Antiqua"/>
          <w:color w:val="000000" w:themeColor="text1"/>
          <w:sz w:val="24"/>
          <w:szCs w:val="24"/>
          <w:lang w:val="es-MX"/>
        </w:rPr>
      </w:pPr>
    </w:p>
    <w:p w:rsidR="009C4626" w:rsidRPr="009C4626" w:rsidRDefault="009C4626" w:rsidP="009C4626">
      <w:pPr>
        <w:spacing w:line="276" w:lineRule="auto"/>
        <w:rPr>
          <w:rFonts w:ascii="Book Antiqua" w:hAnsi="Book Antiqua" w:cs="ITCCentury Light"/>
          <w:color w:val="000000" w:themeColor="text1"/>
          <w:sz w:val="24"/>
          <w:szCs w:val="24"/>
        </w:rPr>
      </w:pPr>
      <w:r w:rsidRPr="009C4626">
        <w:rPr>
          <w:rFonts w:ascii="Book Antiqua" w:hAnsi="Book Antiqua"/>
          <w:color w:val="000000" w:themeColor="text1"/>
          <w:sz w:val="24"/>
          <w:szCs w:val="24"/>
          <w:lang w:val="es-MX"/>
        </w:rPr>
        <w:t xml:space="preserve">En cambio, existen otras medidas que parten de una desigualdad material objetivada de manera individual de las personas con discapacidad </w:t>
      </w:r>
      <w:r w:rsidRPr="009C4626">
        <w:rPr>
          <w:rFonts w:ascii="Book Antiqua" w:hAnsi="Book Antiqua" w:cs="ITCCentury Light"/>
          <w:color w:val="000000" w:themeColor="text1"/>
          <w:sz w:val="24"/>
          <w:szCs w:val="24"/>
        </w:rPr>
        <w:t>beneficiando a éstas con la finalidad de que puedan alcanzar la igualdad material individualmente. Es decir, comporta una medida que distingue entre ciudadanos individuales, cuya desigualdad material se manifiesta de manera individual</w:t>
      </w:r>
      <w:r w:rsidRPr="009C4626">
        <w:rPr>
          <w:rStyle w:val="Refdenotaalpie"/>
          <w:rFonts w:ascii="Book Antiqua" w:hAnsi="Book Antiqua" w:cs="ITCCentury Light"/>
          <w:color w:val="000000" w:themeColor="text1"/>
          <w:sz w:val="24"/>
          <w:szCs w:val="24"/>
        </w:rPr>
        <w:footnoteReference w:id="22"/>
      </w:r>
      <w:r w:rsidRPr="009C4626">
        <w:rPr>
          <w:rFonts w:ascii="Book Antiqua" w:hAnsi="Book Antiqua" w:cs="ITCCentury Light"/>
          <w:color w:val="000000" w:themeColor="text1"/>
          <w:sz w:val="24"/>
          <w:szCs w:val="24"/>
        </w:rPr>
        <w:t>, al contrario que las medidas positivas o afirmativas, que distinguen entre colectivos, como se ha precisado. Esta definición parece aproximarse más a los componentes de “ajuste razonable” que hemos evaluado anteriormente</w:t>
      </w:r>
      <w:r w:rsidRPr="009C4626">
        <w:rPr>
          <w:rStyle w:val="Refdenotaalpie"/>
          <w:rFonts w:ascii="Book Antiqua" w:hAnsi="Book Antiqua" w:cs="ITCCentury Light"/>
          <w:color w:val="000000" w:themeColor="text1"/>
          <w:sz w:val="24"/>
          <w:szCs w:val="24"/>
        </w:rPr>
        <w:footnoteReference w:id="23"/>
      </w:r>
      <w:r w:rsidRPr="009C4626">
        <w:rPr>
          <w:rFonts w:ascii="Book Antiqua" w:hAnsi="Book Antiqua" w:cs="ITCCentury Light"/>
          <w:color w:val="000000" w:themeColor="text1"/>
          <w:sz w:val="24"/>
          <w:szCs w:val="24"/>
        </w:rPr>
        <w:t xml:space="preserve">. También, a estas medidas que buscan la igualdad material individual, </w:t>
      </w:r>
      <w:r w:rsidRPr="009C4626">
        <w:rPr>
          <w:rFonts w:ascii="Book Antiqua" w:hAnsi="Book Antiqua" w:cs="ITCCentury Light"/>
          <w:i/>
          <w:color w:val="000000" w:themeColor="text1"/>
          <w:sz w:val="24"/>
          <w:szCs w:val="24"/>
        </w:rPr>
        <w:t>David Giménez</w:t>
      </w:r>
      <w:r w:rsidRPr="009C4626">
        <w:rPr>
          <w:rFonts w:ascii="Book Antiqua" w:hAnsi="Book Antiqua" w:cs="ITCCentury Light"/>
          <w:color w:val="000000" w:themeColor="text1"/>
          <w:sz w:val="24"/>
          <w:szCs w:val="24"/>
        </w:rPr>
        <w:t xml:space="preserve"> las denomina medidas de igualación positiva.</w:t>
      </w:r>
    </w:p>
    <w:p w:rsidR="009C4626" w:rsidRPr="009C4626" w:rsidRDefault="009C4626" w:rsidP="009C4626">
      <w:pPr>
        <w:spacing w:line="276" w:lineRule="auto"/>
        <w:rPr>
          <w:rFonts w:ascii="Book Antiqua" w:hAnsi="Book Antiqua" w:cs="ITCCentury Light"/>
          <w:color w:val="000000" w:themeColor="text1"/>
          <w:sz w:val="24"/>
          <w:szCs w:val="24"/>
        </w:rPr>
      </w:pPr>
    </w:p>
    <w:p w:rsidR="009C4626" w:rsidRPr="009C4626" w:rsidRDefault="009C4626" w:rsidP="009C4626">
      <w:pPr>
        <w:spacing w:line="276" w:lineRule="auto"/>
        <w:rPr>
          <w:rFonts w:ascii="Book Antiqua" w:hAnsi="Book Antiqua" w:cs="ITCCentury Light"/>
          <w:color w:val="000000" w:themeColor="text1"/>
          <w:sz w:val="24"/>
          <w:szCs w:val="24"/>
        </w:rPr>
      </w:pPr>
      <w:r w:rsidRPr="009C4626">
        <w:rPr>
          <w:rFonts w:ascii="Book Antiqua" w:hAnsi="Book Antiqua" w:cs="ITCCentury Light"/>
          <w:color w:val="000000" w:themeColor="text1"/>
          <w:sz w:val="24"/>
          <w:szCs w:val="24"/>
        </w:rPr>
        <w:t>Entonces, podemos concluir que existen acciones a favor de las personas con discapacidad que son acciones positivas (acciones afirmativas) y otras que son medidas de igualación positiva (ajustes razonables) y que las acciones afirmativas tienen por objeto la igualdad material colectiva de las personas con discapacidad mientras que el fin de los ajustes razonables es conseguir la igualdad material individual de este colectivo en situación de vulnerabilidad.</w:t>
      </w:r>
    </w:p>
    <w:p w:rsidR="009C4626" w:rsidRPr="009C4626" w:rsidRDefault="009C4626" w:rsidP="009C4626">
      <w:pPr>
        <w:autoSpaceDE w:val="0"/>
        <w:autoSpaceDN w:val="0"/>
        <w:adjustRightInd w:val="0"/>
        <w:spacing w:line="276" w:lineRule="auto"/>
        <w:rPr>
          <w:rFonts w:ascii="Book Antiqua" w:hAnsi="Book Antiqua" w:cs="Humanist777BT-RomanB"/>
          <w:b/>
          <w:sz w:val="24"/>
          <w:szCs w:val="24"/>
        </w:rPr>
      </w:pPr>
    </w:p>
    <w:sectPr w:rsidR="009C4626" w:rsidRPr="009C4626" w:rsidSect="005B180C">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956" w:rsidRDefault="00350956" w:rsidP="009178A9">
      <w:r>
        <w:separator/>
      </w:r>
    </w:p>
  </w:endnote>
  <w:endnote w:type="continuationSeparator" w:id="0">
    <w:p w:rsidR="00350956" w:rsidRDefault="00350956" w:rsidP="0091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tantia">
    <w:altName w:val="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anist777BT-RomanB">
    <w:panose1 w:val="00000000000000000000"/>
    <w:charset w:val="00"/>
    <w:family w:val="swiss"/>
    <w:notTrueType/>
    <w:pitch w:val="default"/>
    <w:sig w:usb0="00000003" w:usb1="00000000" w:usb2="00000000" w:usb3="00000000" w:csb0="00000001" w:csb1="00000000"/>
  </w:font>
  <w:font w:name="Humanist777BT-ItalicB">
    <w:panose1 w:val="00000000000000000000"/>
    <w:charset w:val="00"/>
    <w:family w:val="auto"/>
    <w:notTrueType/>
    <w:pitch w:val="default"/>
    <w:sig w:usb0="00000003" w:usb1="00000000" w:usb2="00000000" w:usb3="00000000" w:csb0="00000001" w:csb1="00000000"/>
  </w:font>
  <w:font w:name="ITCCentury Light">
    <w:altName w:val="ITCCentury Ligh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parajita" w:hAnsi="Aparajita" w:cs="Aparajita"/>
        <w:sz w:val="18"/>
        <w:szCs w:val="18"/>
      </w:rPr>
      <w:id w:val="7695686"/>
      <w:docPartObj>
        <w:docPartGallery w:val="Page Numbers (Bottom of Page)"/>
        <w:docPartUnique/>
      </w:docPartObj>
    </w:sdtPr>
    <w:sdtEndPr/>
    <w:sdtContent>
      <w:sdt>
        <w:sdtPr>
          <w:rPr>
            <w:rFonts w:ascii="Aparajita" w:hAnsi="Aparajita" w:cs="Aparajita"/>
            <w:sz w:val="18"/>
            <w:szCs w:val="18"/>
          </w:rPr>
          <w:id w:val="216747587"/>
          <w:docPartObj>
            <w:docPartGallery w:val="Page Numbers (Top of Page)"/>
            <w:docPartUnique/>
          </w:docPartObj>
        </w:sdtPr>
        <w:sdtEndPr/>
        <w:sdtContent>
          <w:p w:rsidR="002856D2" w:rsidRPr="002856D2" w:rsidRDefault="002856D2">
            <w:pPr>
              <w:pStyle w:val="Piedepgina"/>
              <w:jc w:val="right"/>
              <w:rPr>
                <w:rFonts w:ascii="Aparajita" w:hAnsi="Aparajita" w:cs="Aparajita"/>
                <w:sz w:val="18"/>
                <w:szCs w:val="18"/>
              </w:rPr>
            </w:pPr>
            <w:r w:rsidRPr="002856D2">
              <w:rPr>
                <w:rFonts w:ascii="Aparajita" w:hAnsi="Aparajita" w:cs="Aparajita"/>
                <w:sz w:val="18"/>
                <w:szCs w:val="18"/>
              </w:rPr>
              <w:t xml:space="preserve">Página </w:t>
            </w:r>
            <w:r w:rsidR="0087520B" w:rsidRPr="002856D2">
              <w:rPr>
                <w:rFonts w:ascii="Aparajita" w:hAnsi="Aparajita" w:cs="Aparajita"/>
                <w:b/>
                <w:sz w:val="18"/>
                <w:szCs w:val="18"/>
              </w:rPr>
              <w:fldChar w:fldCharType="begin"/>
            </w:r>
            <w:r w:rsidRPr="002856D2">
              <w:rPr>
                <w:rFonts w:ascii="Aparajita" w:hAnsi="Aparajita" w:cs="Aparajita"/>
                <w:b/>
                <w:sz w:val="18"/>
                <w:szCs w:val="18"/>
              </w:rPr>
              <w:instrText>PAGE</w:instrText>
            </w:r>
            <w:r w:rsidR="0087520B" w:rsidRPr="002856D2">
              <w:rPr>
                <w:rFonts w:ascii="Aparajita" w:hAnsi="Aparajita" w:cs="Aparajita"/>
                <w:b/>
                <w:sz w:val="18"/>
                <w:szCs w:val="18"/>
              </w:rPr>
              <w:fldChar w:fldCharType="separate"/>
            </w:r>
            <w:r w:rsidR="00CB2219">
              <w:rPr>
                <w:rFonts w:ascii="Aparajita" w:hAnsi="Aparajita" w:cs="Aparajita"/>
                <w:b/>
                <w:noProof/>
                <w:sz w:val="18"/>
                <w:szCs w:val="18"/>
              </w:rPr>
              <w:t>2</w:t>
            </w:r>
            <w:r w:rsidR="0087520B" w:rsidRPr="002856D2">
              <w:rPr>
                <w:rFonts w:ascii="Aparajita" w:hAnsi="Aparajita" w:cs="Aparajita"/>
                <w:b/>
                <w:sz w:val="18"/>
                <w:szCs w:val="18"/>
              </w:rPr>
              <w:fldChar w:fldCharType="end"/>
            </w:r>
            <w:r w:rsidRPr="002856D2">
              <w:rPr>
                <w:rFonts w:ascii="Aparajita" w:hAnsi="Aparajita" w:cs="Aparajita"/>
                <w:sz w:val="18"/>
                <w:szCs w:val="18"/>
              </w:rPr>
              <w:t xml:space="preserve"> de </w:t>
            </w:r>
            <w:r w:rsidR="0087520B" w:rsidRPr="002856D2">
              <w:rPr>
                <w:rFonts w:ascii="Aparajita" w:hAnsi="Aparajita" w:cs="Aparajita"/>
                <w:b/>
                <w:sz w:val="18"/>
                <w:szCs w:val="18"/>
              </w:rPr>
              <w:fldChar w:fldCharType="begin"/>
            </w:r>
            <w:r w:rsidRPr="002856D2">
              <w:rPr>
                <w:rFonts w:ascii="Aparajita" w:hAnsi="Aparajita" w:cs="Aparajita"/>
                <w:b/>
                <w:sz w:val="18"/>
                <w:szCs w:val="18"/>
              </w:rPr>
              <w:instrText>NUMPAGES</w:instrText>
            </w:r>
            <w:r w:rsidR="0087520B" w:rsidRPr="002856D2">
              <w:rPr>
                <w:rFonts w:ascii="Aparajita" w:hAnsi="Aparajita" w:cs="Aparajita"/>
                <w:b/>
                <w:sz w:val="18"/>
                <w:szCs w:val="18"/>
              </w:rPr>
              <w:fldChar w:fldCharType="separate"/>
            </w:r>
            <w:r w:rsidR="00CB2219">
              <w:rPr>
                <w:rFonts w:ascii="Aparajita" w:hAnsi="Aparajita" w:cs="Aparajita"/>
                <w:b/>
                <w:noProof/>
                <w:sz w:val="18"/>
                <w:szCs w:val="18"/>
              </w:rPr>
              <w:t>13</w:t>
            </w:r>
            <w:r w:rsidR="0087520B" w:rsidRPr="002856D2">
              <w:rPr>
                <w:rFonts w:ascii="Aparajita" w:hAnsi="Aparajita" w:cs="Aparajita"/>
                <w:b/>
                <w:sz w:val="18"/>
                <w:szCs w:val="18"/>
              </w:rPr>
              <w:fldChar w:fldCharType="end"/>
            </w:r>
          </w:p>
        </w:sdtContent>
      </w:sdt>
    </w:sdtContent>
  </w:sdt>
  <w:p w:rsidR="002856D2" w:rsidRDefault="002856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956" w:rsidRDefault="00350956" w:rsidP="009178A9">
      <w:r>
        <w:separator/>
      </w:r>
    </w:p>
  </w:footnote>
  <w:footnote w:type="continuationSeparator" w:id="0">
    <w:p w:rsidR="00350956" w:rsidRDefault="00350956" w:rsidP="009178A9">
      <w:r>
        <w:continuationSeparator/>
      </w:r>
    </w:p>
  </w:footnote>
  <w:footnote w:id="1">
    <w:p w:rsidR="009178A9" w:rsidRPr="009C4626" w:rsidRDefault="009178A9" w:rsidP="00921775">
      <w:pPr>
        <w:pStyle w:val="Textonotapie"/>
        <w:rPr>
          <w:rFonts w:ascii="Book Antiqua" w:hAnsi="Book Antiqua" w:cs="Aparajita"/>
          <w:color w:val="000000" w:themeColor="text1"/>
          <w:sz w:val="18"/>
          <w:szCs w:val="18"/>
        </w:rPr>
      </w:pPr>
      <w:r w:rsidRPr="009C4626">
        <w:rPr>
          <w:rStyle w:val="Refdenotaalpie"/>
          <w:rFonts w:ascii="Book Antiqua" w:hAnsi="Book Antiqua" w:cs="Aparajita"/>
          <w:color w:val="000000" w:themeColor="text1"/>
          <w:sz w:val="18"/>
          <w:szCs w:val="18"/>
        </w:rPr>
        <w:t>*</w:t>
      </w:r>
      <w:r w:rsidRPr="009C4626">
        <w:rPr>
          <w:rFonts w:ascii="Book Antiqua" w:hAnsi="Book Antiqua" w:cs="Aparajita"/>
          <w:color w:val="000000" w:themeColor="text1"/>
          <w:sz w:val="18"/>
          <w:szCs w:val="18"/>
        </w:rPr>
        <w:t xml:space="preserve"> El autor desea expresar de manera preliminar que lo aquí expuesto </w:t>
      </w:r>
      <w:r w:rsidR="00FC00F9" w:rsidRPr="009C4626">
        <w:rPr>
          <w:rFonts w:ascii="Book Antiqua" w:hAnsi="Book Antiqua" w:cs="Aparajita"/>
          <w:color w:val="000000" w:themeColor="text1"/>
          <w:sz w:val="18"/>
          <w:szCs w:val="18"/>
        </w:rPr>
        <w:t>es de entera responsabilidad de quien suscribe.</w:t>
      </w:r>
    </w:p>
  </w:footnote>
  <w:footnote w:id="2">
    <w:p w:rsidR="00D01445" w:rsidRPr="009C4626" w:rsidRDefault="00D01445" w:rsidP="00921775">
      <w:pPr>
        <w:pStyle w:val="NormalWeb"/>
        <w:spacing w:before="0" w:beforeAutospacing="0" w:after="0" w:afterAutospacing="0"/>
        <w:jc w:val="both"/>
        <w:rPr>
          <w:rFonts w:ascii="Book Antiqua" w:hAnsi="Book Antiqua" w:cs="Arial"/>
          <w:bCs/>
          <w:color w:val="000000"/>
          <w:sz w:val="18"/>
          <w:szCs w:val="18"/>
        </w:rPr>
      </w:pPr>
      <w:r w:rsidRPr="009C4626">
        <w:rPr>
          <w:rStyle w:val="Refdenotaalpie"/>
          <w:rFonts w:ascii="Book Antiqua" w:hAnsi="Book Antiqua" w:cs="Arial"/>
          <w:color w:val="000000" w:themeColor="text1"/>
          <w:sz w:val="18"/>
          <w:szCs w:val="18"/>
        </w:rPr>
        <w:footnoteRef/>
      </w:r>
      <w:r w:rsidRPr="009C4626">
        <w:rPr>
          <w:rFonts w:ascii="Book Antiqua" w:hAnsi="Book Antiqua" w:cs="Arial"/>
          <w:color w:val="000000" w:themeColor="text1"/>
          <w:sz w:val="18"/>
          <w:szCs w:val="18"/>
        </w:rPr>
        <w:t xml:space="preserve"> CDPD. </w:t>
      </w:r>
      <w:r w:rsidRPr="009C4626">
        <w:rPr>
          <w:rFonts w:ascii="Book Antiqua" w:hAnsi="Book Antiqua" w:cs="Arial"/>
          <w:i/>
          <w:color w:val="000000" w:themeColor="text1"/>
          <w:sz w:val="18"/>
          <w:szCs w:val="18"/>
        </w:rPr>
        <w:t xml:space="preserve">Reglamento del </w:t>
      </w:r>
      <w:r w:rsidRPr="009C4626">
        <w:rPr>
          <w:rFonts w:ascii="Book Antiqua" w:hAnsi="Book Antiqua" w:cs="Arial"/>
          <w:bCs/>
          <w:i/>
          <w:color w:val="000000" w:themeColor="text1"/>
          <w:sz w:val="18"/>
          <w:szCs w:val="18"/>
        </w:rPr>
        <w:t>Comité sobre los Derechos de las Personas con Discapacidad</w:t>
      </w:r>
      <w:r w:rsidRPr="009C4626">
        <w:rPr>
          <w:rFonts w:ascii="Book Antiqua" w:hAnsi="Book Antiqua" w:cs="Arial"/>
          <w:bCs/>
          <w:color w:val="000000" w:themeColor="text1"/>
          <w:sz w:val="18"/>
          <w:szCs w:val="18"/>
        </w:rPr>
        <w:t xml:space="preserve">. </w:t>
      </w:r>
      <w:r w:rsidRPr="009C4626">
        <w:rPr>
          <w:rFonts w:ascii="Book Antiqua" w:hAnsi="Book Antiqua" w:cs="Arial"/>
          <w:color w:val="000000" w:themeColor="text1"/>
          <w:sz w:val="18"/>
          <w:szCs w:val="18"/>
        </w:rPr>
        <w:t>CRPD/C/1/Rev.1, de 10 de octubre de 2016, artículo 47.1</w:t>
      </w:r>
      <w:r w:rsidR="00781E61" w:rsidRPr="009C4626">
        <w:rPr>
          <w:rFonts w:ascii="Book Antiqua" w:hAnsi="Book Antiqua" w:cs="Arial"/>
          <w:color w:val="000000"/>
          <w:sz w:val="18"/>
          <w:szCs w:val="18"/>
        </w:rPr>
        <w:t>.</w:t>
      </w:r>
    </w:p>
  </w:footnote>
  <w:footnote w:id="3">
    <w:p w:rsidR="00842E97" w:rsidRPr="009C4626" w:rsidRDefault="00842E97" w:rsidP="00921775">
      <w:pPr>
        <w:autoSpaceDE w:val="0"/>
        <w:autoSpaceDN w:val="0"/>
        <w:adjustRightInd w:val="0"/>
        <w:rPr>
          <w:rFonts w:ascii="Book Antiqua" w:hAnsi="Book Antiqua" w:cs="Humanist777BT-RomanB"/>
          <w:sz w:val="18"/>
          <w:szCs w:val="18"/>
        </w:rPr>
      </w:pPr>
      <w:r w:rsidRPr="009C4626">
        <w:rPr>
          <w:rStyle w:val="Refdenotaalpie"/>
          <w:rFonts w:ascii="Book Antiqua" w:hAnsi="Book Antiqua" w:cs="Arial"/>
          <w:sz w:val="18"/>
          <w:szCs w:val="18"/>
        </w:rPr>
        <w:footnoteRef/>
      </w:r>
      <w:r w:rsidRPr="009C4626">
        <w:rPr>
          <w:rFonts w:ascii="Book Antiqua" w:hAnsi="Book Antiqua" w:cs="Arial"/>
          <w:sz w:val="18"/>
          <w:szCs w:val="18"/>
        </w:rPr>
        <w:t xml:space="preserve"> </w:t>
      </w:r>
      <w:r w:rsidRPr="009C4626">
        <w:rPr>
          <w:rFonts w:ascii="Book Antiqua" w:hAnsi="Book Antiqua" w:cs="Arial"/>
          <w:sz w:val="18"/>
          <w:szCs w:val="18"/>
        </w:rPr>
        <w:t>Corte IDH. Condic</w:t>
      </w:r>
      <w:r w:rsidRPr="009C4626">
        <w:rPr>
          <w:rFonts w:ascii="Book Antiqua" w:hAnsi="Book Antiqua" w:cs="Arial"/>
          <w:sz w:val="18"/>
          <w:szCs w:val="18"/>
        </w:rPr>
        <w:t xml:space="preserve">ión jurídica y derechos humanos </w:t>
      </w:r>
      <w:r w:rsidRPr="009C4626">
        <w:rPr>
          <w:rFonts w:ascii="Book Antiqua" w:hAnsi="Book Antiqua" w:cs="Arial"/>
          <w:sz w:val="18"/>
          <w:szCs w:val="18"/>
        </w:rPr>
        <w:t>de los migrantes indocumentados</w:t>
      </w:r>
      <w:r w:rsidRPr="009C4626">
        <w:rPr>
          <w:rFonts w:ascii="Book Antiqua" w:hAnsi="Book Antiqua" w:cs="Arial"/>
          <w:i/>
          <w:iCs/>
          <w:sz w:val="18"/>
          <w:szCs w:val="18"/>
        </w:rPr>
        <w:t xml:space="preserve">. </w:t>
      </w:r>
      <w:r w:rsidRPr="009C4626">
        <w:rPr>
          <w:rFonts w:ascii="Book Antiqua" w:hAnsi="Book Antiqua" w:cs="Arial"/>
          <w:sz w:val="18"/>
          <w:szCs w:val="18"/>
        </w:rPr>
        <w:t xml:space="preserve">Opinión Consultiva OC- </w:t>
      </w:r>
      <w:r w:rsidRPr="009C4626">
        <w:rPr>
          <w:rFonts w:ascii="Book Antiqua" w:hAnsi="Book Antiqua" w:cs="Arial"/>
          <w:sz w:val="18"/>
          <w:szCs w:val="18"/>
        </w:rPr>
        <w:t>18/03 del 17 de</w:t>
      </w:r>
      <w:r w:rsidRPr="009C4626">
        <w:rPr>
          <w:rFonts w:ascii="Book Antiqua" w:hAnsi="Book Antiqua" w:cs="Arial"/>
          <w:sz w:val="18"/>
          <w:szCs w:val="18"/>
        </w:rPr>
        <w:t xml:space="preserve"> septiembre de 2003. Serie A </w:t>
      </w:r>
      <w:r w:rsidRPr="009C4626">
        <w:rPr>
          <w:rFonts w:ascii="Book Antiqua" w:hAnsi="Book Antiqua" w:cs="Arial"/>
          <w:sz w:val="18"/>
          <w:szCs w:val="18"/>
        </w:rPr>
        <w:t>18.</w:t>
      </w:r>
    </w:p>
  </w:footnote>
  <w:footnote w:id="4">
    <w:p w:rsidR="00376C6A" w:rsidRPr="009C4626" w:rsidRDefault="00376C6A" w:rsidP="00921775">
      <w:pPr>
        <w:pStyle w:val="Default"/>
        <w:jc w:val="both"/>
        <w:rPr>
          <w:rFonts w:ascii="Book Antiqua" w:hAnsi="Book Antiqua"/>
          <w:sz w:val="18"/>
          <w:szCs w:val="18"/>
        </w:rPr>
      </w:pPr>
      <w:r w:rsidRPr="009C4626">
        <w:rPr>
          <w:rStyle w:val="Refdenotaalpie"/>
          <w:rFonts w:ascii="Book Antiqua" w:hAnsi="Book Antiqua"/>
          <w:sz w:val="18"/>
          <w:szCs w:val="18"/>
        </w:rPr>
        <w:footnoteRef/>
      </w:r>
      <w:r w:rsidRPr="009C4626">
        <w:rPr>
          <w:rFonts w:ascii="Book Antiqua" w:hAnsi="Book Antiqua"/>
          <w:sz w:val="18"/>
          <w:szCs w:val="18"/>
        </w:rPr>
        <w:t xml:space="preserve"> </w:t>
      </w:r>
      <w:r w:rsidRPr="009C4626">
        <w:rPr>
          <w:rFonts w:ascii="Book Antiqua" w:hAnsi="Book Antiqua" w:cstheme="minorBidi"/>
          <w:color w:val="auto"/>
          <w:sz w:val="18"/>
          <w:szCs w:val="18"/>
        </w:rPr>
        <w:t xml:space="preserve">Clérico, Laura y </w:t>
      </w:r>
      <w:r w:rsidRPr="009C4626">
        <w:rPr>
          <w:rFonts w:ascii="Book Antiqua" w:hAnsi="Book Antiqua" w:cstheme="minorBidi"/>
          <w:color w:val="auto"/>
          <w:sz w:val="18"/>
          <w:szCs w:val="18"/>
        </w:rPr>
        <w:t xml:space="preserve">Martón </w:t>
      </w:r>
      <w:r w:rsidRPr="009C4626">
        <w:rPr>
          <w:rFonts w:ascii="Book Antiqua" w:hAnsi="Book Antiqua" w:cstheme="minorBidi"/>
          <w:color w:val="auto"/>
          <w:sz w:val="18"/>
          <w:szCs w:val="18"/>
        </w:rPr>
        <w:t>Aldao “Nuevas miradas de la igualdad en la jurispru</w:t>
      </w:r>
      <w:r w:rsidRPr="009C4626">
        <w:rPr>
          <w:rFonts w:ascii="Book Antiqua" w:hAnsi="Book Antiqua" w:cstheme="minorBidi"/>
          <w:color w:val="auto"/>
          <w:sz w:val="18"/>
          <w:szCs w:val="18"/>
        </w:rPr>
        <w:softHyphen/>
        <w:t xml:space="preserve">dencia de la Corte Interamericana de Derechos Humanos: la igualdad como redistribución y como reconocimiento”, en </w:t>
      </w:r>
      <w:r w:rsidRPr="009C4626">
        <w:rPr>
          <w:rFonts w:ascii="Book Antiqua" w:hAnsi="Book Antiqua"/>
          <w:i/>
          <w:iCs/>
          <w:color w:val="auto"/>
          <w:sz w:val="18"/>
          <w:szCs w:val="18"/>
        </w:rPr>
        <w:t xml:space="preserve">Lecciones y Ensayos, No. 89, </w:t>
      </w:r>
      <w:r w:rsidRPr="009C4626">
        <w:rPr>
          <w:rFonts w:ascii="Book Antiqua" w:hAnsi="Book Antiqua"/>
          <w:color w:val="auto"/>
          <w:sz w:val="18"/>
          <w:szCs w:val="18"/>
        </w:rPr>
        <w:t>Lim</w:t>
      </w:r>
      <w:r w:rsidRPr="009C4626">
        <w:rPr>
          <w:rFonts w:ascii="Book Antiqua" w:hAnsi="Book Antiqua"/>
          <w:color w:val="auto"/>
          <w:sz w:val="18"/>
          <w:szCs w:val="18"/>
        </w:rPr>
        <w:t>a, 2011, p. 147.</w:t>
      </w:r>
    </w:p>
  </w:footnote>
  <w:footnote w:id="5">
    <w:p w:rsidR="00376C6A" w:rsidRPr="009C4626" w:rsidRDefault="00376C6A" w:rsidP="00921775">
      <w:pPr>
        <w:pStyle w:val="Default"/>
        <w:jc w:val="both"/>
        <w:rPr>
          <w:rFonts w:ascii="Book Antiqua" w:hAnsi="Book Antiqua" w:cs="Times New Roman"/>
          <w:sz w:val="18"/>
          <w:szCs w:val="18"/>
        </w:rPr>
      </w:pPr>
      <w:r w:rsidRPr="009C4626">
        <w:rPr>
          <w:rStyle w:val="Refdenotaalpie"/>
          <w:rFonts w:ascii="Book Antiqua" w:hAnsi="Book Antiqua"/>
          <w:sz w:val="18"/>
          <w:szCs w:val="18"/>
        </w:rPr>
        <w:footnoteRef/>
      </w:r>
      <w:r w:rsidRPr="009C4626">
        <w:rPr>
          <w:rFonts w:ascii="Book Antiqua" w:hAnsi="Book Antiqua"/>
          <w:sz w:val="18"/>
          <w:szCs w:val="18"/>
        </w:rPr>
        <w:t xml:space="preserve"> </w:t>
      </w:r>
      <w:r w:rsidRPr="009C4626">
        <w:rPr>
          <w:rFonts w:ascii="Book Antiqua" w:hAnsi="Book Antiqua" w:cs="Times New Roman"/>
          <w:sz w:val="18"/>
          <w:szCs w:val="18"/>
        </w:rPr>
        <w:t>Tribunal Constitucional del Perú. Sentencia de 28 de junio de 2004. Exp. N° 0606-2004-AA/TC, f. j. 11.</w:t>
      </w:r>
    </w:p>
  </w:footnote>
  <w:footnote w:id="6">
    <w:p w:rsidR="00376C6A" w:rsidRPr="009C4626" w:rsidRDefault="00376C6A" w:rsidP="00921775">
      <w:pPr>
        <w:pStyle w:val="Default"/>
        <w:jc w:val="both"/>
        <w:rPr>
          <w:rFonts w:ascii="Book Antiqua" w:hAnsi="Book Antiqua" w:cs="Times New Roman"/>
          <w:sz w:val="18"/>
          <w:szCs w:val="18"/>
        </w:rPr>
      </w:pPr>
      <w:r w:rsidRPr="009C4626">
        <w:rPr>
          <w:rStyle w:val="Refdenotaalpie"/>
          <w:rFonts w:ascii="Book Antiqua" w:hAnsi="Book Antiqua"/>
          <w:sz w:val="18"/>
          <w:szCs w:val="18"/>
        </w:rPr>
        <w:footnoteRef/>
      </w:r>
      <w:r w:rsidRPr="009C4626">
        <w:rPr>
          <w:rFonts w:ascii="Book Antiqua" w:hAnsi="Book Antiqua"/>
          <w:sz w:val="18"/>
          <w:szCs w:val="18"/>
        </w:rPr>
        <w:t xml:space="preserve"> </w:t>
      </w:r>
      <w:r w:rsidRPr="009C4626">
        <w:rPr>
          <w:rFonts w:ascii="Book Antiqua" w:hAnsi="Book Antiqua" w:cs="Times New Roman"/>
          <w:sz w:val="18"/>
          <w:szCs w:val="18"/>
        </w:rPr>
        <w:t xml:space="preserve">Corte IDH. </w:t>
      </w:r>
      <w:r w:rsidRPr="009C4626">
        <w:rPr>
          <w:rFonts w:ascii="Book Antiqua" w:hAnsi="Book Antiqua" w:cs="Times New Roman"/>
          <w:i/>
          <w:iCs/>
          <w:sz w:val="18"/>
          <w:szCs w:val="18"/>
        </w:rPr>
        <w:t xml:space="preserve">Condición Jurídica y Derechos de los Migrantes Indocumentados. </w:t>
      </w:r>
      <w:r w:rsidRPr="009C4626">
        <w:rPr>
          <w:rFonts w:ascii="Book Antiqua" w:hAnsi="Book Antiqua" w:cs="Times New Roman"/>
          <w:sz w:val="18"/>
          <w:szCs w:val="18"/>
        </w:rPr>
        <w:t xml:space="preserve">Opinión Consultiva OC-18/03. 17 de setiembre de 2003. Serie A No. 18, párr. 89.  </w:t>
      </w:r>
    </w:p>
  </w:footnote>
  <w:footnote w:id="7">
    <w:p w:rsidR="006D1C6D" w:rsidRPr="009C4626" w:rsidRDefault="006D1C6D" w:rsidP="00921775">
      <w:pPr>
        <w:autoSpaceDE w:val="0"/>
        <w:autoSpaceDN w:val="0"/>
        <w:adjustRightInd w:val="0"/>
        <w:rPr>
          <w:rFonts w:ascii="Book Antiqua" w:hAnsi="Book Antiqua" w:cs="Humanist777BT-RomanB"/>
          <w:sz w:val="18"/>
          <w:szCs w:val="18"/>
        </w:rPr>
      </w:pPr>
      <w:r w:rsidRPr="009C4626">
        <w:rPr>
          <w:rStyle w:val="Refdenotaalpie"/>
          <w:rFonts w:ascii="Book Antiqua" w:hAnsi="Book Antiqua"/>
          <w:sz w:val="18"/>
          <w:szCs w:val="18"/>
        </w:rPr>
        <w:footnoteRef/>
      </w:r>
      <w:r w:rsidRPr="009C4626">
        <w:rPr>
          <w:rFonts w:ascii="Book Antiqua" w:hAnsi="Book Antiqua"/>
          <w:sz w:val="18"/>
          <w:szCs w:val="18"/>
        </w:rPr>
        <w:t xml:space="preserve"> </w:t>
      </w:r>
      <w:r w:rsidRPr="009C4626">
        <w:rPr>
          <w:rFonts w:ascii="Book Antiqua" w:hAnsi="Book Antiqua" w:cs="Humanist777BT-RomanB"/>
          <w:sz w:val="18"/>
          <w:szCs w:val="18"/>
        </w:rPr>
        <w:t>Corte Constitucion</w:t>
      </w:r>
      <w:r w:rsidRPr="009C4626">
        <w:rPr>
          <w:rFonts w:ascii="Book Antiqua" w:hAnsi="Book Antiqua" w:cs="Humanist777BT-RomanB"/>
          <w:sz w:val="18"/>
          <w:szCs w:val="18"/>
        </w:rPr>
        <w:t xml:space="preserve">al de Colombia. Sentencia del 8 </w:t>
      </w:r>
      <w:r w:rsidRPr="009C4626">
        <w:rPr>
          <w:rFonts w:ascii="Book Antiqua" w:hAnsi="Book Antiqua" w:cs="Humanist777BT-RomanB"/>
          <w:sz w:val="18"/>
          <w:szCs w:val="18"/>
        </w:rPr>
        <w:t>de junio de 2012. M.P. María Vi</w:t>
      </w:r>
      <w:r w:rsidRPr="009C4626">
        <w:rPr>
          <w:rFonts w:ascii="Book Antiqua" w:hAnsi="Book Antiqua" w:cs="Humanist777BT-RomanB"/>
          <w:sz w:val="18"/>
          <w:szCs w:val="18"/>
        </w:rPr>
        <w:t xml:space="preserve">ctoria Calle Correa. Expediente </w:t>
      </w:r>
      <w:r w:rsidRPr="009C4626">
        <w:rPr>
          <w:rFonts w:ascii="Book Antiqua" w:hAnsi="Book Antiqua" w:cs="Humanist777BT-RomanB"/>
          <w:sz w:val="18"/>
          <w:szCs w:val="18"/>
        </w:rPr>
        <w:t>T-427/12, p. 27.</w:t>
      </w:r>
    </w:p>
  </w:footnote>
  <w:footnote w:id="8">
    <w:p w:rsidR="00DB3425" w:rsidRPr="009C4626" w:rsidRDefault="00DB3425" w:rsidP="00921775">
      <w:pPr>
        <w:autoSpaceDE w:val="0"/>
        <w:autoSpaceDN w:val="0"/>
        <w:adjustRightInd w:val="0"/>
        <w:rPr>
          <w:rFonts w:ascii="Book Antiqua" w:hAnsi="Book Antiqua" w:cs="Humanist777BT-ItalicB"/>
          <w:i/>
          <w:iCs/>
          <w:sz w:val="18"/>
          <w:szCs w:val="18"/>
        </w:rPr>
      </w:pPr>
      <w:r w:rsidRPr="009C4626">
        <w:rPr>
          <w:rStyle w:val="Refdenotaalpie"/>
          <w:rFonts w:ascii="Book Antiqua" w:hAnsi="Book Antiqua"/>
          <w:sz w:val="18"/>
          <w:szCs w:val="18"/>
        </w:rPr>
        <w:footnoteRef/>
      </w:r>
      <w:r w:rsidRPr="009C4626">
        <w:rPr>
          <w:rFonts w:ascii="Book Antiqua" w:hAnsi="Book Antiqua"/>
          <w:sz w:val="18"/>
          <w:szCs w:val="18"/>
        </w:rPr>
        <w:t xml:space="preserve"> </w:t>
      </w:r>
      <w:r w:rsidRPr="009C4626">
        <w:rPr>
          <w:rFonts w:ascii="Book Antiqua" w:hAnsi="Book Antiqua" w:cs="Humanist777BT-RomanB"/>
          <w:sz w:val="18"/>
          <w:szCs w:val="18"/>
        </w:rPr>
        <w:t xml:space="preserve">CRPD. </w:t>
      </w:r>
      <w:r w:rsidRPr="009C4626">
        <w:rPr>
          <w:rFonts w:ascii="Book Antiqua" w:hAnsi="Book Antiqua" w:cs="Humanist777BT-ItalicB"/>
          <w:i/>
          <w:iCs/>
          <w:sz w:val="18"/>
          <w:szCs w:val="18"/>
        </w:rPr>
        <w:t>Observación General N° 2. Artí</w:t>
      </w:r>
      <w:r w:rsidRPr="009C4626">
        <w:rPr>
          <w:rFonts w:ascii="Book Antiqua" w:hAnsi="Book Antiqua" w:cs="Humanist777BT-ItalicB"/>
          <w:i/>
          <w:iCs/>
          <w:sz w:val="18"/>
          <w:szCs w:val="18"/>
        </w:rPr>
        <w:t xml:space="preserve">culo 9: Accesibilidad. </w:t>
      </w:r>
      <w:r w:rsidRPr="009C4626">
        <w:rPr>
          <w:rFonts w:ascii="Book Antiqua" w:hAnsi="Book Antiqua" w:cs="Humanist777BT-RomanB"/>
          <w:sz w:val="18"/>
          <w:szCs w:val="18"/>
        </w:rPr>
        <w:t>11° período de sesiones, CRPD/C/G/C/2, 2014, párrs. 4</w:t>
      </w:r>
      <w:r w:rsidRPr="009C4626">
        <w:rPr>
          <w:rFonts w:ascii="Book Antiqua" w:hAnsi="Book Antiqua" w:cs="Humanist777BT-RomanB"/>
          <w:sz w:val="18"/>
          <w:szCs w:val="18"/>
        </w:rPr>
        <w:t xml:space="preserve"> </w:t>
      </w:r>
      <w:r w:rsidRPr="009C4626">
        <w:rPr>
          <w:rFonts w:ascii="Book Antiqua" w:hAnsi="Book Antiqua" w:cs="Humanist777BT-RomanB"/>
          <w:sz w:val="18"/>
          <w:szCs w:val="18"/>
        </w:rPr>
        <w:t>y 28.</w:t>
      </w:r>
    </w:p>
  </w:footnote>
  <w:footnote w:id="9">
    <w:p w:rsidR="00D20870" w:rsidRPr="009C4626" w:rsidRDefault="00D20870" w:rsidP="00921775">
      <w:pPr>
        <w:autoSpaceDE w:val="0"/>
        <w:autoSpaceDN w:val="0"/>
        <w:adjustRightInd w:val="0"/>
        <w:rPr>
          <w:rFonts w:ascii="Book Antiqua" w:hAnsi="Book Antiqua" w:cs="Humanist777BT-ItalicB"/>
          <w:i/>
          <w:iCs/>
          <w:sz w:val="18"/>
          <w:szCs w:val="18"/>
        </w:rPr>
      </w:pPr>
      <w:r w:rsidRPr="009C4626">
        <w:rPr>
          <w:rStyle w:val="Refdenotaalpie"/>
          <w:rFonts w:ascii="Book Antiqua" w:hAnsi="Book Antiqua"/>
          <w:sz w:val="18"/>
          <w:szCs w:val="18"/>
        </w:rPr>
        <w:footnoteRef/>
      </w:r>
      <w:r w:rsidRPr="009C4626">
        <w:rPr>
          <w:rFonts w:ascii="Book Antiqua" w:hAnsi="Book Antiqua"/>
          <w:sz w:val="18"/>
          <w:szCs w:val="18"/>
        </w:rPr>
        <w:t xml:space="preserve"> </w:t>
      </w:r>
      <w:r w:rsidRPr="009C4626">
        <w:rPr>
          <w:rFonts w:ascii="Book Antiqua" w:hAnsi="Book Antiqua" w:cs="Humanist777BT-RomanB"/>
          <w:sz w:val="18"/>
          <w:szCs w:val="18"/>
        </w:rPr>
        <w:t xml:space="preserve">Consejo de Europa. </w:t>
      </w:r>
      <w:r w:rsidRPr="009C4626">
        <w:rPr>
          <w:rFonts w:ascii="Book Antiqua" w:hAnsi="Book Antiqua" w:cs="Humanist777BT-ItalicB"/>
          <w:i/>
          <w:iCs/>
          <w:sz w:val="18"/>
          <w:szCs w:val="18"/>
        </w:rPr>
        <w:t>Resolució</w:t>
      </w:r>
      <w:r w:rsidRPr="009C4626">
        <w:rPr>
          <w:rFonts w:ascii="Book Antiqua" w:hAnsi="Book Antiqua" w:cs="Humanist777BT-ItalicB"/>
          <w:i/>
          <w:iCs/>
          <w:sz w:val="18"/>
          <w:szCs w:val="18"/>
        </w:rPr>
        <w:t xml:space="preserve">n ResAP (2001)1 sobre </w:t>
      </w:r>
      <w:r w:rsidRPr="009C4626">
        <w:rPr>
          <w:rFonts w:ascii="Book Antiqua" w:hAnsi="Book Antiqua" w:cs="Humanist777BT-ItalicB"/>
          <w:i/>
          <w:iCs/>
          <w:sz w:val="18"/>
          <w:szCs w:val="18"/>
        </w:rPr>
        <w:t>la introducción de los principios de diseñ</w:t>
      </w:r>
      <w:r w:rsidRPr="009C4626">
        <w:rPr>
          <w:rFonts w:ascii="Book Antiqua" w:hAnsi="Book Antiqua" w:cs="Humanist777BT-ItalicB"/>
          <w:i/>
          <w:iCs/>
          <w:sz w:val="18"/>
          <w:szCs w:val="18"/>
        </w:rPr>
        <w:t xml:space="preserve">o para todos en los </w:t>
      </w:r>
      <w:r w:rsidRPr="009C4626">
        <w:rPr>
          <w:rFonts w:ascii="Book Antiqua" w:hAnsi="Book Antiqua" w:cs="Humanist777BT-ItalicB"/>
          <w:i/>
          <w:iCs/>
          <w:sz w:val="18"/>
          <w:szCs w:val="18"/>
        </w:rPr>
        <w:t>currículos de todas las profesiones que trabajen en la construcció</w:t>
      </w:r>
      <w:r w:rsidRPr="009C4626">
        <w:rPr>
          <w:rFonts w:ascii="Book Antiqua" w:hAnsi="Book Antiqua" w:cs="Humanist777BT-ItalicB"/>
          <w:i/>
          <w:iCs/>
          <w:sz w:val="18"/>
          <w:szCs w:val="18"/>
        </w:rPr>
        <w:t xml:space="preserve">n </w:t>
      </w:r>
      <w:r w:rsidRPr="009C4626">
        <w:rPr>
          <w:rFonts w:ascii="Book Antiqua" w:hAnsi="Book Antiqua" w:cs="Humanist777BT-ItalicB"/>
          <w:i/>
          <w:iCs/>
          <w:sz w:val="18"/>
          <w:szCs w:val="18"/>
        </w:rPr>
        <w:t xml:space="preserve">del entorno. </w:t>
      </w:r>
      <w:r w:rsidRPr="009C4626">
        <w:rPr>
          <w:rFonts w:ascii="Book Antiqua" w:hAnsi="Book Antiqua" w:cs="Humanist777BT-RomanB"/>
          <w:sz w:val="18"/>
          <w:szCs w:val="18"/>
        </w:rPr>
        <w:t>Comité de Ministros, 15 de febrero de 2001.</w:t>
      </w:r>
    </w:p>
  </w:footnote>
  <w:footnote w:id="10">
    <w:p w:rsidR="009B1301" w:rsidRPr="009C4626" w:rsidRDefault="009B1301" w:rsidP="00921775">
      <w:pPr>
        <w:autoSpaceDE w:val="0"/>
        <w:autoSpaceDN w:val="0"/>
        <w:adjustRightInd w:val="0"/>
        <w:rPr>
          <w:rFonts w:ascii="Book Antiqua" w:hAnsi="Book Antiqua" w:cs="Humanist777BT-RomanB"/>
          <w:sz w:val="18"/>
          <w:szCs w:val="18"/>
        </w:rPr>
      </w:pPr>
      <w:r w:rsidRPr="009C4626">
        <w:rPr>
          <w:rStyle w:val="Refdenotaalpie"/>
          <w:rFonts w:ascii="Book Antiqua" w:hAnsi="Book Antiqua"/>
          <w:sz w:val="18"/>
          <w:szCs w:val="18"/>
        </w:rPr>
        <w:footnoteRef/>
      </w:r>
      <w:r w:rsidRPr="009C4626">
        <w:rPr>
          <w:rFonts w:ascii="Book Antiqua" w:hAnsi="Book Antiqua"/>
          <w:sz w:val="18"/>
          <w:szCs w:val="18"/>
        </w:rPr>
        <w:t xml:space="preserve"> </w:t>
      </w:r>
      <w:r w:rsidRPr="009C4626">
        <w:rPr>
          <w:rFonts w:ascii="Book Antiqua" w:hAnsi="Book Antiqua" w:cs="Humanist777BT-RomanB"/>
          <w:sz w:val="18"/>
          <w:szCs w:val="18"/>
        </w:rPr>
        <w:t>Cayo, L. (2012). La configuración jurídic</w:t>
      </w:r>
      <w:r w:rsidRPr="009C4626">
        <w:rPr>
          <w:rFonts w:ascii="Book Antiqua" w:hAnsi="Book Antiqua" w:cs="Humanist777BT-RomanB"/>
          <w:sz w:val="18"/>
          <w:szCs w:val="18"/>
        </w:rPr>
        <w:t xml:space="preserve">a de los ajustes </w:t>
      </w:r>
      <w:r w:rsidRPr="009C4626">
        <w:rPr>
          <w:rFonts w:ascii="Book Antiqua" w:hAnsi="Book Antiqua" w:cs="Humanist777BT-RomanB"/>
          <w:sz w:val="18"/>
          <w:szCs w:val="18"/>
        </w:rPr>
        <w:t xml:space="preserve">razonables. En L. Cayo (Ed.), </w:t>
      </w:r>
      <w:r w:rsidRPr="009C4626">
        <w:rPr>
          <w:rFonts w:ascii="Book Antiqua" w:hAnsi="Book Antiqua" w:cs="Humanist777BT-ItalicB"/>
          <w:i/>
          <w:iCs/>
          <w:sz w:val="18"/>
          <w:szCs w:val="18"/>
        </w:rPr>
        <w:t>2003 – 2012: 10</w:t>
      </w:r>
      <w:r w:rsidRPr="009C4626">
        <w:rPr>
          <w:rFonts w:ascii="Book Antiqua" w:hAnsi="Book Antiqua" w:cs="Humanist777BT-RomanB"/>
          <w:sz w:val="18"/>
          <w:szCs w:val="18"/>
        </w:rPr>
        <w:t xml:space="preserve"> </w:t>
      </w:r>
      <w:r w:rsidRPr="009C4626">
        <w:rPr>
          <w:rFonts w:ascii="Book Antiqua" w:hAnsi="Book Antiqua" w:cs="Humanist777BT-ItalicB"/>
          <w:i/>
          <w:iCs/>
          <w:sz w:val="18"/>
          <w:szCs w:val="18"/>
        </w:rPr>
        <w:t>años de legislación sobre no discriminación</w:t>
      </w:r>
      <w:r w:rsidRPr="009C4626">
        <w:rPr>
          <w:rFonts w:ascii="Book Antiqua" w:hAnsi="Book Antiqua" w:cs="Humanist777BT-RomanB"/>
          <w:sz w:val="18"/>
          <w:szCs w:val="18"/>
        </w:rPr>
        <w:t xml:space="preserve"> </w:t>
      </w:r>
      <w:r w:rsidRPr="009C4626">
        <w:rPr>
          <w:rFonts w:ascii="Book Antiqua" w:hAnsi="Book Antiqua" w:cs="Humanist777BT-ItalicB"/>
          <w:i/>
          <w:iCs/>
          <w:sz w:val="18"/>
          <w:szCs w:val="18"/>
        </w:rPr>
        <w:t>de personas con discapacidad en España.</w:t>
      </w:r>
      <w:r w:rsidRPr="009C4626">
        <w:rPr>
          <w:rFonts w:ascii="Book Antiqua" w:hAnsi="Book Antiqua" w:cs="Humanist777BT-ItalicB"/>
          <w:i/>
          <w:iCs/>
          <w:sz w:val="18"/>
          <w:szCs w:val="18"/>
        </w:rPr>
        <w:t xml:space="preserve"> </w:t>
      </w:r>
      <w:r w:rsidRPr="009C4626">
        <w:rPr>
          <w:rFonts w:ascii="Book Antiqua" w:hAnsi="Book Antiqua" w:cs="Humanist777BT-RomanB"/>
          <w:sz w:val="18"/>
          <w:szCs w:val="18"/>
        </w:rPr>
        <w:t xml:space="preserve">Madrid: Grupo Editorial CINCA, p. </w:t>
      </w:r>
      <w:r w:rsidRPr="009C4626">
        <w:rPr>
          <w:rFonts w:ascii="Book Antiqua" w:hAnsi="Book Antiqua"/>
          <w:sz w:val="18"/>
          <w:szCs w:val="18"/>
        </w:rPr>
        <w:t>165.</w:t>
      </w:r>
    </w:p>
  </w:footnote>
  <w:footnote w:id="11">
    <w:p w:rsidR="0071456C" w:rsidRPr="009C4626" w:rsidRDefault="0071456C" w:rsidP="00921775">
      <w:pPr>
        <w:autoSpaceDE w:val="0"/>
        <w:autoSpaceDN w:val="0"/>
        <w:adjustRightInd w:val="0"/>
        <w:rPr>
          <w:rFonts w:ascii="Book Antiqua" w:hAnsi="Book Antiqua" w:cs="Humanist777BT-RomanB"/>
          <w:sz w:val="18"/>
          <w:szCs w:val="18"/>
        </w:rPr>
      </w:pPr>
      <w:r w:rsidRPr="009C4626">
        <w:rPr>
          <w:rStyle w:val="Refdenotaalpie"/>
          <w:rFonts w:ascii="Book Antiqua" w:hAnsi="Book Antiqua"/>
          <w:sz w:val="18"/>
          <w:szCs w:val="18"/>
        </w:rPr>
        <w:footnoteRef/>
      </w:r>
      <w:r w:rsidRPr="009C4626">
        <w:rPr>
          <w:rFonts w:ascii="Book Antiqua" w:hAnsi="Book Antiqua"/>
          <w:sz w:val="18"/>
          <w:szCs w:val="18"/>
        </w:rPr>
        <w:t xml:space="preserve"> </w:t>
      </w:r>
      <w:r w:rsidRPr="009C4626">
        <w:rPr>
          <w:rFonts w:ascii="Book Antiqua" w:hAnsi="Book Antiqua" w:cs="Humanist777BT-RomanB"/>
          <w:sz w:val="18"/>
          <w:szCs w:val="18"/>
        </w:rPr>
        <w:t>Tribunal de Defensa de l</w:t>
      </w:r>
      <w:r w:rsidRPr="009C4626">
        <w:rPr>
          <w:rFonts w:ascii="Book Antiqua" w:hAnsi="Book Antiqua" w:cs="Humanist777BT-RomanB"/>
          <w:sz w:val="18"/>
          <w:szCs w:val="18"/>
        </w:rPr>
        <w:t xml:space="preserve">a Competencia y de la Propiedad </w:t>
      </w:r>
      <w:r w:rsidRPr="009C4626">
        <w:rPr>
          <w:rFonts w:ascii="Book Antiqua" w:hAnsi="Book Antiqua" w:cs="Humanist777BT-RomanB"/>
          <w:sz w:val="18"/>
          <w:szCs w:val="18"/>
        </w:rPr>
        <w:t xml:space="preserve">Intelectual. Sala de </w:t>
      </w:r>
      <w:r w:rsidRPr="009C4626">
        <w:rPr>
          <w:rFonts w:ascii="Book Antiqua" w:hAnsi="Book Antiqua" w:cs="Humanist777BT-RomanB"/>
          <w:sz w:val="18"/>
          <w:szCs w:val="18"/>
        </w:rPr>
        <w:t xml:space="preserve">la Competencia N° 2. Resolución </w:t>
      </w:r>
      <w:r w:rsidRPr="009C4626">
        <w:rPr>
          <w:rFonts w:ascii="Book Antiqua" w:hAnsi="Book Antiqua" w:cs="Humanist777BT-RomanB"/>
          <w:sz w:val="18"/>
          <w:szCs w:val="18"/>
        </w:rPr>
        <w:t>0001-2011/SC2 - INDECOPI, 5 de enero de 2011.</w:t>
      </w:r>
    </w:p>
  </w:footnote>
  <w:footnote w:id="12">
    <w:p w:rsidR="0071456C" w:rsidRPr="009C4626" w:rsidRDefault="0071456C" w:rsidP="00921775">
      <w:pPr>
        <w:autoSpaceDE w:val="0"/>
        <w:autoSpaceDN w:val="0"/>
        <w:adjustRightInd w:val="0"/>
        <w:rPr>
          <w:rFonts w:ascii="Book Antiqua" w:hAnsi="Book Antiqua" w:cs="Humanist777BT-RomanB"/>
          <w:sz w:val="18"/>
          <w:szCs w:val="18"/>
        </w:rPr>
      </w:pPr>
      <w:r w:rsidRPr="009C4626">
        <w:rPr>
          <w:rStyle w:val="Refdenotaalpie"/>
          <w:rFonts w:ascii="Book Antiqua" w:hAnsi="Book Antiqua"/>
          <w:sz w:val="18"/>
          <w:szCs w:val="18"/>
        </w:rPr>
        <w:footnoteRef/>
      </w:r>
      <w:r w:rsidRPr="009C4626">
        <w:rPr>
          <w:rFonts w:ascii="Book Antiqua" w:hAnsi="Book Antiqua"/>
          <w:sz w:val="18"/>
          <w:szCs w:val="18"/>
        </w:rPr>
        <w:t xml:space="preserve"> </w:t>
      </w:r>
      <w:r w:rsidRPr="009C4626">
        <w:rPr>
          <w:rFonts w:ascii="Book Antiqua" w:hAnsi="Book Antiqua" w:cs="Humanist777BT-RomanB"/>
          <w:sz w:val="18"/>
          <w:szCs w:val="18"/>
        </w:rPr>
        <w:t>Courtis, C. (2007). L</w:t>
      </w:r>
      <w:r w:rsidRPr="009C4626">
        <w:rPr>
          <w:rFonts w:ascii="Book Antiqua" w:hAnsi="Book Antiqua" w:cs="Humanist777BT-RomanB"/>
          <w:sz w:val="18"/>
          <w:szCs w:val="18"/>
        </w:rPr>
        <w:t xml:space="preserve">a Convención sobre los Derechos </w:t>
      </w:r>
      <w:r w:rsidRPr="009C4626">
        <w:rPr>
          <w:rFonts w:ascii="Book Antiqua" w:hAnsi="Book Antiqua" w:cs="Humanist777BT-RomanB"/>
          <w:sz w:val="18"/>
          <w:szCs w:val="18"/>
        </w:rPr>
        <w:t>de las Pers</w:t>
      </w:r>
      <w:r w:rsidRPr="009C4626">
        <w:rPr>
          <w:rFonts w:ascii="Book Antiqua" w:hAnsi="Book Antiqua" w:cs="Humanist777BT-RomanB"/>
          <w:sz w:val="18"/>
          <w:szCs w:val="18"/>
        </w:rPr>
        <w:t xml:space="preserve">onas con Discapacidad. ¿Ante un </w:t>
      </w:r>
      <w:r w:rsidRPr="009C4626">
        <w:rPr>
          <w:rFonts w:ascii="Book Antiqua" w:hAnsi="Book Antiqua" w:cs="Humanist777BT-RomanB"/>
          <w:sz w:val="18"/>
          <w:szCs w:val="18"/>
        </w:rPr>
        <w:t>nuevo paradigma</w:t>
      </w:r>
      <w:r w:rsidRPr="009C4626">
        <w:rPr>
          <w:rFonts w:ascii="Book Antiqua" w:hAnsi="Book Antiqua" w:cs="Humanist777BT-RomanB"/>
          <w:sz w:val="18"/>
          <w:szCs w:val="18"/>
        </w:rPr>
        <w:t xml:space="preserve"> de protección? En J. Gutiérrez </w:t>
      </w:r>
      <w:r w:rsidRPr="009C4626">
        <w:rPr>
          <w:rFonts w:ascii="Book Antiqua" w:hAnsi="Book Antiqua" w:cs="Humanist777BT-RomanB"/>
          <w:sz w:val="18"/>
          <w:szCs w:val="18"/>
        </w:rPr>
        <w:t xml:space="preserve">(Ed.), </w:t>
      </w:r>
      <w:r w:rsidRPr="009C4626">
        <w:rPr>
          <w:rFonts w:ascii="Book Antiqua" w:hAnsi="Book Antiqua" w:cs="Humanist777BT-ItalicB"/>
          <w:i/>
          <w:iCs/>
          <w:sz w:val="18"/>
          <w:szCs w:val="18"/>
        </w:rPr>
        <w:t>Memoria del Seminario Internacional</w:t>
      </w:r>
      <w:r w:rsidRPr="009C4626">
        <w:rPr>
          <w:rFonts w:ascii="Book Antiqua" w:hAnsi="Book Antiqua" w:cs="Humanist777BT-RomanB"/>
          <w:sz w:val="18"/>
          <w:szCs w:val="18"/>
        </w:rPr>
        <w:t xml:space="preserve"> </w:t>
      </w:r>
      <w:r w:rsidRPr="009C4626">
        <w:rPr>
          <w:rFonts w:ascii="Book Antiqua" w:hAnsi="Book Antiqua" w:cs="Humanist777BT-ItalicB"/>
          <w:i/>
          <w:iCs/>
          <w:sz w:val="18"/>
          <w:szCs w:val="18"/>
        </w:rPr>
        <w:t>Convenció</w:t>
      </w:r>
      <w:r w:rsidRPr="009C4626">
        <w:rPr>
          <w:rFonts w:ascii="Book Antiqua" w:hAnsi="Book Antiqua" w:cs="Humanist777BT-ItalicB"/>
          <w:i/>
          <w:iCs/>
          <w:sz w:val="18"/>
          <w:szCs w:val="18"/>
        </w:rPr>
        <w:t xml:space="preserve">n sobre los </w:t>
      </w:r>
      <w:r w:rsidRPr="009C4626">
        <w:rPr>
          <w:rFonts w:ascii="Book Antiqua" w:hAnsi="Book Antiqua" w:cs="Humanist777BT-ItalicB"/>
          <w:i/>
          <w:iCs/>
          <w:sz w:val="18"/>
          <w:szCs w:val="18"/>
        </w:rPr>
        <w:t>Derechos de las</w:t>
      </w:r>
      <w:r w:rsidRPr="009C4626">
        <w:rPr>
          <w:rFonts w:ascii="Book Antiqua" w:hAnsi="Book Antiqua" w:cs="Humanist777BT-RomanB"/>
          <w:sz w:val="18"/>
          <w:szCs w:val="18"/>
        </w:rPr>
        <w:t xml:space="preserve"> </w:t>
      </w:r>
      <w:r w:rsidRPr="009C4626">
        <w:rPr>
          <w:rFonts w:ascii="Book Antiqua" w:hAnsi="Book Antiqua" w:cs="Humanist777BT-ItalicB"/>
          <w:i/>
          <w:iCs/>
          <w:sz w:val="18"/>
          <w:szCs w:val="18"/>
        </w:rPr>
        <w:t>Personas con Discapacidad. Por una cultura</w:t>
      </w:r>
      <w:r w:rsidRPr="009C4626">
        <w:rPr>
          <w:rFonts w:ascii="Book Antiqua" w:hAnsi="Book Antiqua" w:cs="Humanist777BT-RomanB"/>
          <w:sz w:val="18"/>
          <w:szCs w:val="18"/>
        </w:rPr>
        <w:t xml:space="preserve"> </w:t>
      </w:r>
      <w:r w:rsidRPr="009C4626">
        <w:rPr>
          <w:rFonts w:ascii="Book Antiqua" w:hAnsi="Book Antiqua" w:cs="Humanist777BT-ItalicB"/>
          <w:i/>
          <w:iCs/>
          <w:sz w:val="18"/>
          <w:szCs w:val="18"/>
        </w:rPr>
        <w:t xml:space="preserve">de la implementación. </w:t>
      </w:r>
      <w:r w:rsidRPr="009C4626">
        <w:rPr>
          <w:rFonts w:ascii="Book Antiqua" w:hAnsi="Book Antiqua" w:cs="Humanist777BT-RomanB"/>
          <w:sz w:val="18"/>
          <w:szCs w:val="18"/>
        </w:rPr>
        <w:t xml:space="preserve">México D.F.: Programa </w:t>
      </w:r>
      <w:r w:rsidRPr="009C4626">
        <w:rPr>
          <w:rFonts w:ascii="Book Antiqua" w:hAnsi="Book Antiqua" w:cs="Humanist777BT-RomanB"/>
          <w:sz w:val="18"/>
          <w:szCs w:val="18"/>
        </w:rPr>
        <w:t>de Coo</w:t>
      </w:r>
      <w:r w:rsidRPr="009C4626">
        <w:rPr>
          <w:rFonts w:ascii="Book Antiqua" w:hAnsi="Book Antiqua" w:cs="Humanist777BT-RomanB"/>
          <w:sz w:val="18"/>
          <w:szCs w:val="18"/>
        </w:rPr>
        <w:t>peración sobre Derechos Humanos México - Comisión Europea, p. 80.</w:t>
      </w:r>
    </w:p>
  </w:footnote>
  <w:footnote w:id="13">
    <w:p w:rsidR="00A60137" w:rsidRPr="009C4626" w:rsidRDefault="00A60137" w:rsidP="00921775">
      <w:pPr>
        <w:autoSpaceDE w:val="0"/>
        <w:autoSpaceDN w:val="0"/>
        <w:adjustRightInd w:val="0"/>
        <w:rPr>
          <w:rFonts w:ascii="Book Antiqua" w:hAnsi="Book Antiqua" w:cs="Humanist777BT-RomanB"/>
          <w:sz w:val="18"/>
          <w:szCs w:val="18"/>
        </w:rPr>
      </w:pPr>
      <w:r w:rsidRPr="009C4626">
        <w:rPr>
          <w:rStyle w:val="Refdenotaalpie"/>
          <w:rFonts w:ascii="Book Antiqua" w:hAnsi="Book Antiqua"/>
          <w:sz w:val="18"/>
          <w:szCs w:val="18"/>
        </w:rPr>
        <w:footnoteRef/>
      </w:r>
      <w:r w:rsidRPr="009C4626">
        <w:rPr>
          <w:rFonts w:ascii="Book Antiqua" w:hAnsi="Book Antiqua"/>
          <w:sz w:val="18"/>
          <w:szCs w:val="18"/>
        </w:rPr>
        <w:t xml:space="preserve"> </w:t>
      </w:r>
      <w:r w:rsidRPr="009C4626">
        <w:rPr>
          <w:rFonts w:ascii="Book Antiqua" w:hAnsi="Book Antiqua" w:cs="Humanist777BT-RomanB"/>
          <w:sz w:val="18"/>
          <w:szCs w:val="18"/>
        </w:rPr>
        <w:t>Corte Constituci</w:t>
      </w:r>
      <w:r w:rsidRPr="009C4626">
        <w:rPr>
          <w:rFonts w:ascii="Book Antiqua" w:hAnsi="Book Antiqua" w:cs="Humanist777BT-RomanB"/>
          <w:sz w:val="18"/>
          <w:szCs w:val="18"/>
        </w:rPr>
        <w:t xml:space="preserve">onal de Colombia. Sentencia del </w:t>
      </w:r>
      <w:r w:rsidRPr="009C4626">
        <w:rPr>
          <w:rFonts w:ascii="Book Antiqua" w:hAnsi="Book Antiqua" w:cs="Humanist777BT-RomanB"/>
          <w:sz w:val="18"/>
          <w:szCs w:val="18"/>
        </w:rPr>
        <w:t>21 de abril de 2010. M.P. Nil</w:t>
      </w:r>
      <w:r w:rsidRPr="009C4626">
        <w:rPr>
          <w:rFonts w:ascii="Book Antiqua" w:hAnsi="Book Antiqua" w:cs="Humanist777BT-RomanB"/>
          <w:sz w:val="18"/>
          <w:szCs w:val="18"/>
        </w:rPr>
        <w:t xml:space="preserve">son Pinilla Pinilla. Expediente </w:t>
      </w:r>
      <w:r w:rsidRPr="009C4626">
        <w:rPr>
          <w:rFonts w:ascii="Book Antiqua" w:hAnsi="Book Antiqua" w:cs="Humanist777BT-RomanB"/>
          <w:sz w:val="18"/>
          <w:szCs w:val="18"/>
        </w:rPr>
        <w:t>C-293/10, p. 49.</w:t>
      </w:r>
    </w:p>
  </w:footnote>
  <w:footnote w:id="14">
    <w:p w:rsidR="00A60137" w:rsidRPr="009C4626" w:rsidRDefault="00A60137" w:rsidP="00921775">
      <w:pPr>
        <w:autoSpaceDE w:val="0"/>
        <w:autoSpaceDN w:val="0"/>
        <w:adjustRightInd w:val="0"/>
        <w:rPr>
          <w:rFonts w:ascii="Book Antiqua" w:hAnsi="Book Antiqua" w:cs="Humanist777BT-RomanB"/>
          <w:sz w:val="18"/>
          <w:szCs w:val="18"/>
        </w:rPr>
      </w:pPr>
      <w:r w:rsidRPr="009C4626">
        <w:rPr>
          <w:rStyle w:val="Refdenotaalpie"/>
          <w:rFonts w:ascii="Book Antiqua" w:hAnsi="Book Antiqua"/>
          <w:sz w:val="18"/>
          <w:szCs w:val="18"/>
        </w:rPr>
        <w:footnoteRef/>
      </w:r>
      <w:r w:rsidRPr="009C4626">
        <w:rPr>
          <w:rFonts w:ascii="Book Antiqua" w:hAnsi="Book Antiqua"/>
          <w:sz w:val="18"/>
          <w:szCs w:val="18"/>
        </w:rPr>
        <w:t xml:space="preserve"> </w:t>
      </w:r>
      <w:r w:rsidRPr="009C4626">
        <w:rPr>
          <w:rFonts w:ascii="Book Antiqua" w:hAnsi="Book Antiqua" w:cs="Humanist777BT-RomanB"/>
          <w:sz w:val="18"/>
          <w:szCs w:val="18"/>
        </w:rPr>
        <w:t>Corte Constituci</w:t>
      </w:r>
      <w:r w:rsidRPr="009C4626">
        <w:rPr>
          <w:rFonts w:ascii="Book Antiqua" w:hAnsi="Book Antiqua" w:cs="Humanist777BT-RomanB"/>
          <w:sz w:val="18"/>
          <w:szCs w:val="18"/>
        </w:rPr>
        <w:t xml:space="preserve">onal de Colombia. Sentencia del </w:t>
      </w:r>
      <w:r w:rsidRPr="009C4626">
        <w:rPr>
          <w:rFonts w:ascii="Book Antiqua" w:hAnsi="Book Antiqua" w:cs="Humanist777BT-RomanB"/>
          <w:sz w:val="18"/>
          <w:szCs w:val="18"/>
        </w:rPr>
        <w:t>21 de abril de 2010. M.P. Nil</w:t>
      </w:r>
      <w:r w:rsidRPr="009C4626">
        <w:rPr>
          <w:rFonts w:ascii="Book Antiqua" w:hAnsi="Book Antiqua" w:cs="Humanist777BT-RomanB"/>
          <w:sz w:val="18"/>
          <w:szCs w:val="18"/>
        </w:rPr>
        <w:t xml:space="preserve">son Pinilla Pinilla. Expediente </w:t>
      </w:r>
      <w:r w:rsidRPr="009C4626">
        <w:rPr>
          <w:rFonts w:ascii="Book Antiqua" w:hAnsi="Book Antiqua" w:cs="Humanist777BT-RomanB"/>
          <w:sz w:val="18"/>
          <w:szCs w:val="18"/>
        </w:rPr>
        <w:t>C-293/10,</w:t>
      </w:r>
      <w:r w:rsidRPr="009C4626">
        <w:rPr>
          <w:rFonts w:ascii="Book Antiqua" w:hAnsi="Book Antiqua" w:cs="Humanist777BT-RomanB"/>
          <w:sz w:val="18"/>
          <w:szCs w:val="18"/>
        </w:rPr>
        <w:t xml:space="preserve"> p. 78</w:t>
      </w:r>
    </w:p>
  </w:footnote>
  <w:footnote w:id="15">
    <w:p w:rsidR="007B47DE" w:rsidRPr="009C4626" w:rsidRDefault="007B47DE" w:rsidP="00921775">
      <w:pPr>
        <w:autoSpaceDE w:val="0"/>
        <w:autoSpaceDN w:val="0"/>
        <w:adjustRightInd w:val="0"/>
        <w:rPr>
          <w:rFonts w:ascii="Book Antiqua" w:hAnsi="Book Antiqua" w:cs="Humanist777BT-ItalicB"/>
          <w:i/>
          <w:iCs/>
          <w:sz w:val="18"/>
          <w:szCs w:val="18"/>
        </w:rPr>
      </w:pPr>
      <w:r w:rsidRPr="009C4626">
        <w:rPr>
          <w:rStyle w:val="Refdenotaalpie"/>
          <w:rFonts w:ascii="Book Antiqua" w:hAnsi="Book Antiqua"/>
          <w:sz w:val="18"/>
          <w:szCs w:val="18"/>
        </w:rPr>
        <w:footnoteRef/>
      </w:r>
      <w:r w:rsidRPr="009C4626">
        <w:rPr>
          <w:rFonts w:ascii="Book Antiqua" w:hAnsi="Book Antiqua"/>
          <w:sz w:val="18"/>
          <w:szCs w:val="18"/>
        </w:rPr>
        <w:t xml:space="preserve"> </w:t>
      </w:r>
      <w:r w:rsidRPr="009C4626">
        <w:rPr>
          <w:rFonts w:ascii="Book Antiqua" w:hAnsi="Book Antiqua" w:cs="Humanist777BT-RomanB"/>
          <w:sz w:val="18"/>
          <w:szCs w:val="18"/>
        </w:rPr>
        <w:t xml:space="preserve">Tribunal Constitucional de España 10/2014. </w:t>
      </w:r>
      <w:r w:rsidRPr="009C4626">
        <w:rPr>
          <w:rFonts w:ascii="Book Antiqua" w:hAnsi="Book Antiqua" w:cs="Humanist777BT-ItalicB"/>
          <w:i/>
          <w:iCs/>
          <w:sz w:val="18"/>
          <w:szCs w:val="18"/>
        </w:rPr>
        <w:t>Recurs</w:t>
      </w:r>
      <w:r w:rsidRPr="009C4626">
        <w:rPr>
          <w:rFonts w:ascii="Book Antiqua" w:hAnsi="Book Antiqua" w:cs="Humanist777BT-ItalicB"/>
          <w:i/>
          <w:iCs/>
          <w:sz w:val="18"/>
          <w:szCs w:val="18"/>
        </w:rPr>
        <w:t xml:space="preserve">o </w:t>
      </w:r>
      <w:r w:rsidRPr="009C4626">
        <w:rPr>
          <w:rFonts w:ascii="Book Antiqua" w:hAnsi="Book Antiqua" w:cs="Humanist777BT-ItalicB"/>
          <w:i/>
          <w:iCs/>
          <w:sz w:val="18"/>
          <w:szCs w:val="18"/>
        </w:rPr>
        <w:t xml:space="preserve">de amparo 6868 - 2012. </w:t>
      </w:r>
      <w:r w:rsidRPr="009C4626">
        <w:rPr>
          <w:rFonts w:ascii="Book Antiqua" w:hAnsi="Book Antiqua" w:cs="Humanist777BT-RomanB"/>
          <w:sz w:val="18"/>
          <w:szCs w:val="18"/>
        </w:rPr>
        <w:t>Sentencia de 27 de enero de 2014.</w:t>
      </w:r>
    </w:p>
  </w:footnote>
  <w:footnote w:id="16">
    <w:p w:rsidR="00921775" w:rsidRPr="009C4626" w:rsidRDefault="00921775" w:rsidP="00921775">
      <w:pPr>
        <w:pStyle w:val="Textonotapie"/>
        <w:rPr>
          <w:rFonts w:ascii="Book Antiqua" w:hAnsi="Book Antiqua" w:cs="Arial"/>
          <w:sz w:val="18"/>
          <w:szCs w:val="18"/>
        </w:rPr>
      </w:pPr>
      <w:r w:rsidRPr="009C4626">
        <w:rPr>
          <w:rStyle w:val="Refdenotaalpie"/>
          <w:rFonts w:ascii="Book Antiqua" w:hAnsi="Book Antiqua" w:cs="Arial"/>
          <w:sz w:val="18"/>
          <w:szCs w:val="18"/>
        </w:rPr>
        <w:footnoteRef/>
      </w:r>
      <w:r w:rsidRPr="009C4626">
        <w:rPr>
          <w:rFonts w:ascii="Book Antiqua" w:hAnsi="Book Antiqua" w:cs="Arial"/>
          <w:sz w:val="18"/>
          <w:szCs w:val="18"/>
        </w:rPr>
        <w:t xml:space="preserve"> TEDH. </w:t>
      </w:r>
      <w:r w:rsidRPr="009C4626">
        <w:rPr>
          <w:rFonts w:ascii="Book Antiqua" w:hAnsi="Book Antiqua" w:cs="Arial"/>
          <w:i/>
          <w:sz w:val="18"/>
          <w:szCs w:val="18"/>
        </w:rPr>
        <w:t xml:space="preserve">Caso Glor Vs. Suiza. </w:t>
      </w:r>
      <w:r w:rsidRPr="009C4626">
        <w:rPr>
          <w:rFonts w:ascii="Book Antiqua" w:hAnsi="Book Antiqua" w:cs="Arial"/>
          <w:sz w:val="18"/>
          <w:szCs w:val="18"/>
        </w:rPr>
        <w:t>Sentencia de 30 de abril de 2009. Aplicación N° 13444/04.</w:t>
      </w:r>
    </w:p>
  </w:footnote>
  <w:footnote w:id="17">
    <w:p w:rsidR="009C4626" w:rsidRPr="009C4626" w:rsidRDefault="009C4626">
      <w:pPr>
        <w:pStyle w:val="Textonotapie"/>
        <w:rPr>
          <w:rFonts w:ascii="Book Antiqua" w:hAnsi="Book Antiqua"/>
          <w:sz w:val="18"/>
          <w:szCs w:val="18"/>
        </w:rPr>
      </w:pPr>
      <w:r w:rsidRPr="009C4626">
        <w:rPr>
          <w:rStyle w:val="Refdenotaalpie"/>
          <w:rFonts w:ascii="Book Antiqua" w:hAnsi="Book Antiqua"/>
          <w:sz w:val="18"/>
          <w:szCs w:val="18"/>
        </w:rPr>
        <w:footnoteRef/>
      </w:r>
      <w:r w:rsidRPr="009C4626">
        <w:rPr>
          <w:rFonts w:ascii="Book Antiqua" w:hAnsi="Book Antiqua"/>
          <w:sz w:val="18"/>
          <w:szCs w:val="18"/>
        </w:rPr>
        <w:t xml:space="preserve"> </w:t>
      </w:r>
      <w:r w:rsidRPr="009C4626">
        <w:rPr>
          <w:rFonts w:ascii="Book Antiqua" w:hAnsi="Book Antiqua"/>
          <w:i/>
          <w:sz w:val="18"/>
          <w:szCs w:val="18"/>
        </w:rPr>
        <w:t xml:space="preserve">Cfr. </w:t>
      </w:r>
      <w:r w:rsidRPr="009C4626">
        <w:rPr>
          <w:rFonts w:ascii="Book Antiqua" w:hAnsi="Book Antiqua"/>
          <w:sz w:val="18"/>
          <w:szCs w:val="18"/>
        </w:rPr>
        <w:t>CAYO, Luis. Óp. Cit., p. 163.</w:t>
      </w:r>
    </w:p>
  </w:footnote>
  <w:footnote w:id="18">
    <w:p w:rsidR="009C4626" w:rsidRPr="009C4626" w:rsidRDefault="009C4626" w:rsidP="009C4626">
      <w:pPr>
        <w:pStyle w:val="Textonotapie"/>
        <w:rPr>
          <w:rFonts w:ascii="Book Antiqua" w:hAnsi="Book Antiqua"/>
          <w:sz w:val="18"/>
          <w:szCs w:val="18"/>
        </w:rPr>
      </w:pPr>
      <w:r w:rsidRPr="009C4626">
        <w:rPr>
          <w:rStyle w:val="Refdenotaalpie"/>
          <w:rFonts w:ascii="Book Antiqua" w:hAnsi="Book Antiqua"/>
          <w:sz w:val="18"/>
          <w:szCs w:val="18"/>
        </w:rPr>
        <w:footnoteRef/>
      </w:r>
      <w:r w:rsidRPr="009C4626">
        <w:rPr>
          <w:rFonts w:ascii="Book Antiqua" w:hAnsi="Book Antiqua"/>
          <w:sz w:val="18"/>
          <w:szCs w:val="18"/>
        </w:rPr>
        <w:t xml:space="preserve"> </w:t>
      </w:r>
      <w:r w:rsidRPr="009C4626">
        <w:rPr>
          <w:rFonts w:ascii="Book Antiqua" w:hAnsi="Book Antiqua"/>
          <w:i/>
          <w:sz w:val="18"/>
          <w:szCs w:val="18"/>
        </w:rPr>
        <w:t xml:space="preserve">Cfr. </w:t>
      </w:r>
      <w:r w:rsidRPr="009C4626">
        <w:rPr>
          <w:rFonts w:ascii="Book Antiqua" w:hAnsi="Book Antiqua"/>
          <w:sz w:val="18"/>
          <w:szCs w:val="18"/>
        </w:rPr>
        <w:t xml:space="preserve">DE CAMPOS, Leticia. 2011. “Ajuste razonable: un nuevo concepto desde la óptica de una gramática constitucional inclusiva”. </w:t>
      </w:r>
      <w:r w:rsidRPr="009C4626">
        <w:rPr>
          <w:rFonts w:ascii="Book Antiqua" w:hAnsi="Book Antiqua"/>
          <w:i/>
          <w:sz w:val="18"/>
          <w:szCs w:val="18"/>
        </w:rPr>
        <w:t xml:space="preserve">Revista Internacional de Derechos Humanos SUR. </w:t>
      </w:r>
      <w:r w:rsidRPr="009C4626">
        <w:rPr>
          <w:rFonts w:ascii="Book Antiqua" w:hAnsi="Book Antiqua"/>
          <w:sz w:val="18"/>
          <w:szCs w:val="18"/>
        </w:rPr>
        <w:t>São Paulo, volumen 8, número 14, p. 108.</w:t>
      </w:r>
    </w:p>
  </w:footnote>
  <w:footnote w:id="19">
    <w:p w:rsidR="009C4626" w:rsidRPr="009C4626" w:rsidRDefault="009C4626" w:rsidP="009C4626">
      <w:pPr>
        <w:pStyle w:val="Textonotapie"/>
        <w:rPr>
          <w:rFonts w:ascii="Book Antiqua" w:hAnsi="Book Antiqua"/>
          <w:sz w:val="18"/>
          <w:szCs w:val="18"/>
        </w:rPr>
      </w:pPr>
      <w:r w:rsidRPr="009C4626">
        <w:rPr>
          <w:rStyle w:val="Refdenotaalpie"/>
          <w:rFonts w:ascii="Book Antiqua" w:hAnsi="Book Antiqua"/>
          <w:sz w:val="18"/>
          <w:szCs w:val="18"/>
        </w:rPr>
        <w:footnoteRef/>
      </w:r>
      <w:r w:rsidRPr="009C4626">
        <w:rPr>
          <w:rFonts w:ascii="Book Antiqua" w:hAnsi="Book Antiqua"/>
          <w:sz w:val="18"/>
          <w:szCs w:val="18"/>
        </w:rPr>
        <w:t xml:space="preserve"> </w:t>
      </w:r>
      <w:r w:rsidRPr="009C4626">
        <w:rPr>
          <w:rFonts w:ascii="Book Antiqua" w:hAnsi="Book Antiqua"/>
          <w:i/>
          <w:sz w:val="18"/>
          <w:szCs w:val="18"/>
        </w:rPr>
        <w:t xml:space="preserve">Cfr. </w:t>
      </w:r>
      <w:r w:rsidRPr="009C4626">
        <w:rPr>
          <w:rFonts w:ascii="Book Antiqua" w:hAnsi="Book Antiqua"/>
          <w:sz w:val="18"/>
          <w:szCs w:val="18"/>
        </w:rPr>
        <w:t xml:space="preserve">ÁVILA, Humberto. 2011. </w:t>
      </w:r>
      <w:r w:rsidRPr="009C4626">
        <w:rPr>
          <w:rFonts w:ascii="Book Antiqua" w:hAnsi="Book Antiqua"/>
          <w:i/>
          <w:sz w:val="18"/>
          <w:szCs w:val="18"/>
        </w:rPr>
        <w:t xml:space="preserve">Teoría de los principios. </w:t>
      </w:r>
      <w:r w:rsidRPr="009C4626">
        <w:rPr>
          <w:rFonts w:ascii="Book Antiqua" w:hAnsi="Book Antiqua"/>
          <w:sz w:val="18"/>
          <w:szCs w:val="18"/>
        </w:rPr>
        <w:t xml:space="preserve">Traducción de Laura Criado. Madrid: Marcial Pons, pp. 156 y 157 y, CIANCIARDO, Juan. 1999. “Máxima de razonabilidad y respeto de los derechos fundamentales”. </w:t>
      </w:r>
      <w:r w:rsidRPr="009C4626">
        <w:rPr>
          <w:rFonts w:ascii="Book Antiqua" w:hAnsi="Book Antiqua"/>
          <w:i/>
          <w:sz w:val="18"/>
          <w:szCs w:val="18"/>
        </w:rPr>
        <w:t xml:space="preserve">Persona y Derecho. </w:t>
      </w:r>
      <w:r w:rsidRPr="009C4626">
        <w:rPr>
          <w:rFonts w:ascii="Book Antiqua" w:hAnsi="Book Antiqua"/>
          <w:sz w:val="18"/>
          <w:szCs w:val="18"/>
        </w:rPr>
        <w:t>Pamplona, número 41, p. 50.</w:t>
      </w:r>
    </w:p>
  </w:footnote>
  <w:footnote w:id="20">
    <w:p w:rsidR="009C4626" w:rsidRPr="009C4626" w:rsidRDefault="009C4626" w:rsidP="009C4626">
      <w:pPr>
        <w:pStyle w:val="Textonotapie"/>
        <w:rPr>
          <w:rFonts w:ascii="Book Antiqua" w:hAnsi="Book Antiqua"/>
          <w:sz w:val="18"/>
          <w:szCs w:val="18"/>
        </w:rPr>
      </w:pPr>
      <w:r w:rsidRPr="009C4626">
        <w:rPr>
          <w:rStyle w:val="Refdenotaalpie"/>
          <w:rFonts w:ascii="Book Antiqua" w:hAnsi="Book Antiqua"/>
          <w:sz w:val="18"/>
          <w:szCs w:val="18"/>
        </w:rPr>
        <w:footnoteRef/>
      </w:r>
      <w:r w:rsidRPr="009C4626">
        <w:rPr>
          <w:rFonts w:ascii="Book Antiqua" w:hAnsi="Book Antiqua"/>
          <w:sz w:val="18"/>
          <w:szCs w:val="18"/>
        </w:rPr>
        <w:t xml:space="preserve"> </w:t>
      </w:r>
      <w:r w:rsidRPr="009C4626">
        <w:rPr>
          <w:rFonts w:ascii="Book Antiqua" w:hAnsi="Book Antiqua"/>
          <w:i/>
          <w:sz w:val="18"/>
          <w:szCs w:val="18"/>
        </w:rPr>
        <w:t xml:space="preserve">Cfr. </w:t>
      </w:r>
      <w:r w:rsidRPr="009C4626">
        <w:rPr>
          <w:rFonts w:ascii="Book Antiqua" w:hAnsi="Book Antiqua"/>
          <w:sz w:val="18"/>
          <w:szCs w:val="18"/>
        </w:rPr>
        <w:t xml:space="preserve">Suprema Corte de Canadá. </w:t>
      </w:r>
      <w:r w:rsidRPr="009C4626">
        <w:rPr>
          <w:rFonts w:ascii="Book Antiqua" w:hAnsi="Book Antiqua"/>
          <w:i/>
          <w:sz w:val="18"/>
          <w:szCs w:val="18"/>
        </w:rPr>
        <w:t>Caso Bhinder Vs. CN</w:t>
      </w:r>
      <w:r w:rsidRPr="009C4626">
        <w:rPr>
          <w:rFonts w:ascii="Book Antiqua" w:hAnsi="Book Antiqua"/>
          <w:sz w:val="18"/>
          <w:szCs w:val="18"/>
        </w:rPr>
        <w:t xml:space="preserve">. Sentencia de 17 de diciembre de 1985. </w:t>
      </w:r>
      <w:r w:rsidRPr="009C4626">
        <w:rPr>
          <w:rFonts w:ascii="Book Antiqua" w:hAnsi="Book Antiqua"/>
          <w:spacing w:val="-3"/>
          <w:sz w:val="18"/>
          <w:szCs w:val="18"/>
          <w:lang w:val="fr-CA"/>
        </w:rPr>
        <w:t>2 S.C.R. 561, párrs. 10 y sgts.</w:t>
      </w:r>
    </w:p>
  </w:footnote>
  <w:footnote w:id="21">
    <w:p w:rsidR="009C4626" w:rsidRPr="009C4626" w:rsidRDefault="009C4626" w:rsidP="009C4626">
      <w:pPr>
        <w:pStyle w:val="Textonotapie"/>
        <w:rPr>
          <w:rFonts w:ascii="Book Antiqua" w:hAnsi="Book Antiqua"/>
          <w:sz w:val="18"/>
          <w:szCs w:val="18"/>
        </w:rPr>
      </w:pPr>
      <w:r w:rsidRPr="009C4626">
        <w:rPr>
          <w:rStyle w:val="Refdenotaalpie"/>
          <w:rFonts w:ascii="Book Antiqua" w:hAnsi="Book Antiqua"/>
          <w:sz w:val="18"/>
          <w:szCs w:val="18"/>
        </w:rPr>
        <w:footnoteRef/>
      </w:r>
      <w:r w:rsidRPr="009C4626">
        <w:rPr>
          <w:rFonts w:ascii="Book Antiqua" w:hAnsi="Book Antiqua"/>
          <w:sz w:val="18"/>
          <w:szCs w:val="18"/>
        </w:rPr>
        <w:t xml:space="preserve"> </w:t>
      </w:r>
      <w:r w:rsidRPr="009C4626">
        <w:rPr>
          <w:rFonts w:ascii="Book Antiqua" w:hAnsi="Book Antiqua"/>
          <w:i/>
          <w:sz w:val="18"/>
          <w:szCs w:val="18"/>
        </w:rPr>
        <w:t xml:space="preserve">Cfr. </w:t>
      </w:r>
      <w:r w:rsidRPr="009C4626">
        <w:rPr>
          <w:rFonts w:ascii="Book Antiqua" w:hAnsi="Book Antiqua"/>
          <w:sz w:val="18"/>
          <w:szCs w:val="18"/>
        </w:rPr>
        <w:t xml:space="preserve">GIMÉNEZ, David. 2011. “Las medidas a favor de las personas con discapacidad y de las personas adultas mayores en España: ¿Acciones positivas o medidas de igualación positiva? En SANTIAGO, Mario. </w:t>
      </w:r>
      <w:r w:rsidRPr="009C4626">
        <w:rPr>
          <w:rFonts w:ascii="Book Antiqua" w:hAnsi="Book Antiqua"/>
          <w:i/>
          <w:sz w:val="18"/>
          <w:szCs w:val="18"/>
        </w:rPr>
        <w:t xml:space="preserve">Acciones afirmativas. </w:t>
      </w:r>
      <w:r w:rsidRPr="009C4626">
        <w:rPr>
          <w:rFonts w:ascii="Book Antiqua" w:hAnsi="Book Antiqua"/>
          <w:sz w:val="18"/>
          <w:szCs w:val="18"/>
        </w:rPr>
        <w:t>México D.F.: Consejo Nacional para Prevenir la Discriminación, p. 161.</w:t>
      </w:r>
    </w:p>
  </w:footnote>
  <w:footnote w:id="22">
    <w:p w:rsidR="009C4626" w:rsidRPr="009C4626" w:rsidRDefault="009C4626" w:rsidP="009C4626">
      <w:pPr>
        <w:pStyle w:val="Textonotapie"/>
        <w:rPr>
          <w:rFonts w:ascii="Book Antiqua" w:hAnsi="Book Antiqua"/>
          <w:sz w:val="18"/>
          <w:szCs w:val="18"/>
        </w:rPr>
      </w:pPr>
      <w:r w:rsidRPr="009C4626">
        <w:rPr>
          <w:rStyle w:val="Refdenotaalpie"/>
          <w:rFonts w:ascii="Book Antiqua" w:hAnsi="Book Antiqua"/>
          <w:sz w:val="18"/>
          <w:szCs w:val="18"/>
        </w:rPr>
        <w:footnoteRef/>
      </w:r>
      <w:r w:rsidRPr="009C4626">
        <w:rPr>
          <w:rFonts w:ascii="Book Antiqua" w:hAnsi="Book Antiqua"/>
          <w:sz w:val="18"/>
          <w:szCs w:val="18"/>
        </w:rPr>
        <w:t xml:space="preserve"> Ídem, p. 162.</w:t>
      </w:r>
    </w:p>
  </w:footnote>
  <w:footnote w:id="23">
    <w:p w:rsidR="009C4626" w:rsidRPr="009C4626" w:rsidRDefault="009C4626" w:rsidP="009C4626">
      <w:pPr>
        <w:pStyle w:val="Textonotapie"/>
        <w:rPr>
          <w:rFonts w:ascii="Book Antiqua" w:hAnsi="Book Antiqua"/>
          <w:sz w:val="18"/>
          <w:szCs w:val="18"/>
        </w:rPr>
      </w:pPr>
      <w:r w:rsidRPr="009C4626">
        <w:rPr>
          <w:rStyle w:val="Refdenotaalpie"/>
          <w:rFonts w:ascii="Book Antiqua" w:hAnsi="Book Antiqua"/>
          <w:sz w:val="18"/>
          <w:szCs w:val="18"/>
        </w:rPr>
        <w:footnoteRef/>
      </w:r>
      <w:r w:rsidRPr="009C4626">
        <w:rPr>
          <w:rFonts w:ascii="Book Antiqua" w:hAnsi="Book Antiqua"/>
          <w:sz w:val="18"/>
          <w:szCs w:val="18"/>
        </w:rPr>
        <w:t xml:space="preserve"> Al respecto, se debe recordar que, como se enunció anteriormente, la Convención sobre los Derechos de las Personas con Discapacidad establece que los ajustes razonables se aplicaran cuando se requieran en un caso particular.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6D2" w:rsidRDefault="002856D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E5DCC"/>
    <w:multiLevelType w:val="hybridMultilevel"/>
    <w:tmpl w:val="A09C0B46"/>
    <w:lvl w:ilvl="0" w:tplc="80026BF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240"/>
    <w:rsid w:val="000E10C7"/>
    <w:rsid w:val="0017509F"/>
    <w:rsid w:val="001A454D"/>
    <w:rsid w:val="002856D2"/>
    <w:rsid w:val="00350956"/>
    <w:rsid w:val="00376C6A"/>
    <w:rsid w:val="003B0B48"/>
    <w:rsid w:val="003B7A22"/>
    <w:rsid w:val="003D257D"/>
    <w:rsid w:val="00417A10"/>
    <w:rsid w:val="0053416B"/>
    <w:rsid w:val="00557CD0"/>
    <w:rsid w:val="0057707E"/>
    <w:rsid w:val="005A465D"/>
    <w:rsid w:val="005B180C"/>
    <w:rsid w:val="00643F90"/>
    <w:rsid w:val="006C3003"/>
    <w:rsid w:val="006D1C6D"/>
    <w:rsid w:val="0071456C"/>
    <w:rsid w:val="00781E61"/>
    <w:rsid w:val="007B47DE"/>
    <w:rsid w:val="007B49B1"/>
    <w:rsid w:val="007E6BA1"/>
    <w:rsid w:val="00842E97"/>
    <w:rsid w:val="0087520B"/>
    <w:rsid w:val="009178A9"/>
    <w:rsid w:val="00921775"/>
    <w:rsid w:val="00945F43"/>
    <w:rsid w:val="009B1301"/>
    <w:rsid w:val="009C4626"/>
    <w:rsid w:val="009F2745"/>
    <w:rsid w:val="00A60137"/>
    <w:rsid w:val="00A875E9"/>
    <w:rsid w:val="00B26BE0"/>
    <w:rsid w:val="00B57AF8"/>
    <w:rsid w:val="00B6569F"/>
    <w:rsid w:val="00B80A49"/>
    <w:rsid w:val="00C304BF"/>
    <w:rsid w:val="00C554A4"/>
    <w:rsid w:val="00C6051D"/>
    <w:rsid w:val="00CB2219"/>
    <w:rsid w:val="00D01445"/>
    <w:rsid w:val="00D20870"/>
    <w:rsid w:val="00DB3425"/>
    <w:rsid w:val="00EA18F8"/>
    <w:rsid w:val="00EA35FC"/>
    <w:rsid w:val="00EE1511"/>
    <w:rsid w:val="00F04C72"/>
    <w:rsid w:val="00F235CC"/>
    <w:rsid w:val="00FB7C41"/>
    <w:rsid w:val="00FC00F9"/>
    <w:rsid w:val="00FD32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80C"/>
  </w:style>
  <w:style w:type="paragraph" w:styleId="Ttulo1">
    <w:name w:val="heading 1"/>
    <w:basedOn w:val="Normal"/>
    <w:next w:val="Normal"/>
    <w:link w:val="Ttulo1Car"/>
    <w:uiPriority w:val="9"/>
    <w:qFormat/>
    <w:rsid w:val="002856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D01445"/>
    <w:pPr>
      <w:spacing w:before="100" w:beforeAutospacing="1" w:after="100" w:afterAutospacing="1"/>
      <w:jc w:val="left"/>
      <w:outlineLvl w:val="2"/>
    </w:pPr>
    <w:rPr>
      <w:rFonts w:ascii="Times New Roman" w:eastAsia="Times New Roman" w:hAnsi="Times New Roman" w:cs="Times New Roman"/>
      <w:b/>
      <w:bCs/>
      <w:sz w:val="27"/>
      <w:szCs w:val="27"/>
      <w:lang w:eastAsia="es-PE"/>
    </w:rPr>
  </w:style>
  <w:style w:type="paragraph" w:styleId="Ttulo4">
    <w:name w:val="heading 4"/>
    <w:basedOn w:val="Normal"/>
    <w:next w:val="Normal"/>
    <w:link w:val="Ttulo4Car"/>
    <w:uiPriority w:val="9"/>
    <w:semiHidden/>
    <w:unhideWhenUsed/>
    <w:qFormat/>
    <w:rsid w:val="009C462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D3240"/>
  </w:style>
  <w:style w:type="character" w:styleId="Hipervnculo">
    <w:name w:val="Hyperlink"/>
    <w:basedOn w:val="Fuentedeprrafopredeter"/>
    <w:uiPriority w:val="99"/>
    <w:unhideWhenUsed/>
    <w:rsid w:val="009F2745"/>
    <w:rPr>
      <w:color w:val="0000FF" w:themeColor="hyperlink"/>
      <w:u w:val="single"/>
    </w:rPr>
  </w:style>
  <w:style w:type="paragraph" w:styleId="Textonotapie">
    <w:name w:val="footnote text"/>
    <w:basedOn w:val="Normal"/>
    <w:link w:val="TextonotapieCar"/>
    <w:uiPriority w:val="99"/>
    <w:unhideWhenUsed/>
    <w:rsid w:val="009178A9"/>
    <w:rPr>
      <w:sz w:val="20"/>
      <w:szCs w:val="20"/>
    </w:rPr>
  </w:style>
  <w:style w:type="character" w:customStyle="1" w:styleId="TextonotapieCar">
    <w:name w:val="Texto nota pie Car"/>
    <w:basedOn w:val="Fuentedeprrafopredeter"/>
    <w:link w:val="Textonotapie"/>
    <w:uiPriority w:val="99"/>
    <w:rsid w:val="009178A9"/>
    <w:rPr>
      <w:sz w:val="20"/>
      <w:szCs w:val="20"/>
    </w:rPr>
  </w:style>
  <w:style w:type="character" w:styleId="Refdenotaalpie">
    <w:name w:val="footnote reference"/>
    <w:basedOn w:val="Fuentedeprrafopredeter"/>
    <w:uiPriority w:val="99"/>
    <w:unhideWhenUsed/>
    <w:rsid w:val="009178A9"/>
    <w:rPr>
      <w:vertAlign w:val="superscript"/>
    </w:rPr>
  </w:style>
  <w:style w:type="table" w:styleId="Tablaconcuadrcula">
    <w:name w:val="Table Grid"/>
    <w:basedOn w:val="Tablanormal"/>
    <w:uiPriority w:val="59"/>
    <w:rsid w:val="00917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856D2"/>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semiHidden/>
    <w:unhideWhenUsed/>
    <w:rsid w:val="002856D2"/>
    <w:pPr>
      <w:tabs>
        <w:tab w:val="center" w:pos="4419"/>
        <w:tab w:val="right" w:pos="8838"/>
      </w:tabs>
    </w:pPr>
  </w:style>
  <w:style w:type="character" w:customStyle="1" w:styleId="EncabezadoCar">
    <w:name w:val="Encabezado Car"/>
    <w:basedOn w:val="Fuentedeprrafopredeter"/>
    <w:link w:val="Encabezado"/>
    <w:uiPriority w:val="99"/>
    <w:semiHidden/>
    <w:rsid w:val="002856D2"/>
  </w:style>
  <w:style w:type="paragraph" w:styleId="Piedepgina">
    <w:name w:val="footer"/>
    <w:basedOn w:val="Normal"/>
    <w:link w:val="PiedepginaCar"/>
    <w:uiPriority w:val="99"/>
    <w:unhideWhenUsed/>
    <w:rsid w:val="002856D2"/>
    <w:pPr>
      <w:tabs>
        <w:tab w:val="center" w:pos="4419"/>
        <w:tab w:val="right" w:pos="8838"/>
      </w:tabs>
    </w:pPr>
  </w:style>
  <w:style w:type="character" w:customStyle="1" w:styleId="PiedepginaCar">
    <w:name w:val="Pie de página Car"/>
    <w:basedOn w:val="Fuentedeprrafopredeter"/>
    <w:link w:val="Piedepgina"/>
    <w:uiPriority w:val="99"/>
    <w:rsid w:val="002856D2"/>
  </w:style>
  <w:style w:type="character" w:customStyle="1" w:styleId="Ttulo3Car">
    <w:name w:val="Título 3 Car"/>
    <w:basedOn w:val="Fuentedeprrafopredeter"/>
    <w:link w:val="Ttulo3"/>
    <w:uiPriority w:val="9"/>
    <w:rsid w:val="00D01445"/>
    <w:rPr>
      <w:rFonts w:ascii="Times New Roman" w:eastAsia="Times New Roman" w:hAnsi="Times New Roman" w:cs="Times New Roman"/>
      <w:b/>
      <w:bCs/>
      <w:sz w:val="27"/>
      <w:szCs w:val="27"/>
      <w:lang w:eastAsia="es-PE"/>
    </w:rPr>
  </w:style>
  <w:style w:type="paragraph" w:styleId="NormalWeb">
    <w:name w:val="Normal (Web)"/>
    <w:basedOn w:val="Normal"/>
    <w:uiPriority w:val="99"/>
    <w:unhideWhenUsed/>
    <w:rsid w:val="00D01445"/>
    <w:pPr>
      <w:spacing w:before="100" w:beforeAutospacing="1" w:after="100" w:afterAutospacing="1"/>
      <w:jc w:val="left"/>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F235CC"/>
    <w:pPr>
      <w:ind w:left="720"/>
      <w:contextualSpacing/>
    </w:pPr>
  </w:style>
  <w:style w:type="paragraph" w:customStyle="1" w:styleId="Default">
    <w:name w:val="Default"/>
    <w:rsid w:val="00376C6A"/>
    <w:pPr>
      <w:autoSpaceDE w:val="0"/>
      <w:autoSpaceDN w:val="0"/>
      <w:adjustRightInd w:val="0"/>
      <w:jc w:val="left"/>
    </w:pPr>
    <w:rPr>
      <w:rFonts w:ascii="Constantia" w:hAnsi="Constantia" w:cs="Constantia"/>
      <w:color w:val="000000"/>
      <w:sz w:val="24"/>
      <w:szCs w:val="24"/>
    </w:rPr>
  </w:style>
  <w:style w:type="character" w:customStyle="1" w:styleId="Ttulo4Car">
    <w:name w:val="Título 4 Car"/>
    <w:basedOn w:val="Fuentedeprrafopredeter"/>
    <w:link w:val="Ttulo4"/>
    <w:uiPriority w:val="9"/>
    <w:semiHidden/>
    <w:rsid w:val="009C4626"/>
    <w:rPr>
      <w:rFonts w:asciiTheme="majorHAnsi" w:eastAsiaTheme="majorEastAsia" w:hAnsiTheme="majorHAnsi" w:cstheme="majorBidi"/>
      <w:b/>
      <w:bCs/>
      <w:i/>
      <w:iCs/>
      <w:color w:val="4F81BD" w:themeColor="accent1"/>
    </w:rPr>
  </w:style>
  <w:style w:type="paragraph" w:styleId="Textodeglobo">
    <w:name w:val="Balloon Text"/>
    <w:basedOn w:val="Normal"/>
    <w:link w:val="TextodegloboCar"/>
    <w:uiPriority w:val="99"/>
    <w:semiHidden/>
    <w:unhideWhenUsed/>
    <w:rsid w:val="00CB2219"/>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219"/>
    <w:rPr>
      <w:rFonts w:ascii="Tahoma" w:hAnsi="Tahoma" w:cs="Tahoma"/>
      <w:sz w:val="16"/>
      <w:szCs w:val="16"/>
    </w:rPr>
  </w:style>
  <w:style w:type="paragraph" w:styleId="TDC1">
    <w:name w:val="toc 1"/>
    <w:basedOn w:val="Normal"/>
    <w:next w:val="Normal"/>
    <w:autoRedefine/>
    <w:uiPriority w:val="39"/>
    <w:unhideWhenUsed/>
    <w:rsid w:val="00CB2219"/>
    <w:pPr>
      <w:tabs>
        <w:tab w:val="left" w:pos="567"/>
        <w:tab w:val="left" w:pos="1134"/>
        <w:tab w:val="right" w:leader="underscore" w:pos="8828"/>
      </w:tabs>
      <w:spacing w:line="276" w:lineRule="auto"/>
    </w:pPr>
    <w:rPr>
      <w:b/>
      <w:bCs/>
      <w:i/>
      <w:iCs/>
      <w:sz w:val="24"/>
      <w:szCs w:val="24"/>
    </w:rPr>
  </w:style>
  <w:style w:type="paragraph" w:styleId="TDC2">
    <w:name w:val="toc 2"/>
    <w:basedOn w:val="Normal"/>
    <w:next w:val="Normal"/>
    <w:autoRedefine/>
    <w:uiPriority w:val="39"/>
    <w:unhideWhenUsed/>
    <w:rsid w:val="00CB2219"/>
    <w:pPr>
      <w:spacing w:before="120"/>
      <w:ind w:left="220"/>
      <w:jc w:val="left"/>
    </w:pPr>
    <w:rPr>
      <w:b/>
      <w:bCs/>
    </w:rPr>
  </w:style>
  <w:style w:type="paragraph" w:styleId="TDC3">
    <w:name w:val="toc 3"/>
    <w:basedOn w:val="Normal"/>
    <w:next w:val="Normal"/>
    <w:autoRedefine/>
    <w:uiPriority w:val="39"/>
    <w:unhideWhenUsed/>
    <w:rsid w:val="00CB2219"/>
    <w:pPr>
      <w:ind w:left="440"/>
      <w:jc w:val="left"/>
    </w:pPr>
    <w:rPr>
      <w:sz w:val="20"/>
      <w:szCs w:val="20"/>
    </w:rPr>
  </w:style>
  <w:style w:type="paragraph" w:styleId="TDC4">
    <w:name w:val="toc 4"/>
    <w:basedOn w:val="Normal"/>
    <w:next w:val="Normal"/>
    <w:autoRedefine/>
    <w:uiPriority w:val="39"/>
    <w:unhideWhenUsed/>
    <w:rsid w:val="00CB2219"/>
    <w:pPr>
      <w:ind w:left="660"/>
      <w:jc w:val="left"/>
    </w:pPr>
    <w:rPr>
      <w:sz w:val="20"/>
      <w:szCs w:val="20"/>
    </w:rPr>
  </w:style>
  <w:style w:type="paragraph" w:styleId="TDC5">
    <w:name w:val="toc 5"/>
    <w:basedOn w:val="Normal"/>
    <w:next w:val="Normal"/>
    <w:autoRedefine/>
    <w:uiPriority w:val="39"/>
    <w:unhideWhenUsed/>
    <w:rsid w:val="00CB2219"/>
    <w:pPr>
      <w:ind w:left="880"/>
      <w:jc w:val="left"/>
    </w:pPr>
    <w:rPr>
      <w:sz w:val="20"/>
      <w:szCs w:val="20"/>
    </w:rPr>
  </w:style>
  <w:style w:type="paragraph" w:styleId="TDC6">
    <w:name w:val="toc 6"/>
    <w:basedOn w:val="Normal"/>
    <w:next w:val="Normal"/>
    <w:autoRedefine/>
    <w:uiPriority w:val="39"/>
    <w:unhideWhenUsed/>
    <w:rsid w:val="00CB2219"/>
    <w:pPr>
      <w:ind w:left="1100"/>
      <w:jc w:val="left"/>
    </w:pPr>
    <w:rPr>
      <w:sz w:val="20"/>
      <w:szCs w:val="20"/>
    </w:rPr>
  </w:style>
  <w:style w:type="paragraph" w:styleId="TDC7">
    <w:name w:val="toc 7"/>
    <w:basedOn w:val="Normal"/>
    <w:next w:val="Normal"/>
    <w:autoRedefine/>
    <w:uiPriority w:val="39"/>
    <w:unhideWhenUsed/>
    <w:rsid w:val="00CB2219"/>
    <w:pPr>
      <w:ind w:left="1320"/>
      <w:jc w:val="left"/>
    </w:pPr>
    <w:rPr>
      <w:sz w:val="20"/>
      <w:szCs w:val="20"/>
    </w:rPr>
  </w:style>
  <w:style w:type="paragraph" w:styleId="TDC8">
    <w:name w:val="toc 8"/>
    <w:basedOn w:val="Normal"/>
    <w:next w:val="Normal"/>
    <w:autoRedefine/>
    <w:uiPriority w:val="39"/>
    <w:unhideWhenUsed/>
    <w:rsid w:val="00CB2219"/>
    <w:pPr>
      <w:ind w:left="1540"/>
      <w:jc w:val="left"/>
    </w:pPr>
    <w:rPr>
      <w:sz w:val="20"/>
      <w:szCs w:val="20"/>
    </w:rPr>
  </w:style>
  <w:style w:type="paragraph" w:styleId="TDC9">
    <w:name w:val="toc 9"/>
    <w:basedOn w:val="Normal"/>
    <w:next w:val="Normal"/>
    <w:autoRedefine/>
    <w:uiPriority w:val="39"/>
    <w:unhideWhenUsed/>
    <w:rsid w:val="00CB2219"/>
    <w:pPr>
      <w:ind w:left="176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80C"/>
  </w:style>
  <w:style w:type="paragraph" w:styleId="Ttulo1">
    <w:name w:val="heading 1"/>
    <w:basedOn w:val="Normal"/>
    <w:next w:val="Normal"/>
    <w:link w:val="Ttulo1Car"/>
    <w:uiPriority w:val="9"/>
    <w:qFormat/>
    <w:rsid w:val="002856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D01445"/>
    <w:pPr>
      <w:spacing w:before="100" w:beforeAutospacing="1" w:after="100" w:afterAutospacing="1"/>
      <w:jc w:val="left"/>
      <w:outlineLvl w:val="2"/>
    </w:pPr>
    <w:rPr>
      <w:rFonts w:ascii="Times New Roman" w:eastAsia="Times New Roman" w:hAnsi="Times New Roman" w:cs="Times New Roman"/>
      <w:b/>
      <w:bCs/>
      <w:sz w:val="27"/>
      <w:szCs w:val="27"/>
      <w:lang w:eastAsia="es-PE"/>
    </w:rPr>
  </w:style>
  <w:style w:type="paragraph" w:styleId="Ttulo4">
    <w:name w:val="heading 4"/>
    <w:basedOn w:val="Normal"/>
    <w:next w:val="Normal"/>
    <w:link w:val="Ttulo4Car"/>
    <w:uiPriority w:val="9"/>
    <w:semiHidden/>
    <w:unhideWhenUsed/>
    <w:qFormat/>
    <w:rsid w:val="009C462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D3240"/>
  </w:style>
  <w:style w:type="character" w:styleId="Hipervnculo">
    <w:name w:val="Hyperlink"/>
    <w:basedOn w:val="Fuentedeprrafopredeter"/>
    <w:uiPriority w:val="99"/>
    <w:unhideWhenUsed/>
    <w:rsid w:val="009F2745"/>
    <w:rPr>
      <w:color w:val="0000FF" w:themeColor="hyperlink"/>
      <w:u w:val="single"/>
    </w:rPr>
  </w:style>
  <w:style w:type="paragraph" w:styleId="Textonotapie">
    <w:name w:val="footnote text"/>
    <w:basedOn w:val="Normal"/>
    <w:link w:val="TextonotapieCar"/>
    <w:uiPriority w:val="99"/>
    <w:unhideWhenUsed/>
    <w:rsid w:val="009178A9"/>
    <w:rPr>
      <w:sz w:val="20"/>
      <w:szCs w:val="20"/>
    </w:rPr>
  </w:style>
  <w:style w:type="character" w:customStyle="1" w:styleId="TextonotapieCar">
    <w:name w:val="Texto nota pie Car"/>
    <w:basedOn w:val="Fuentedeprrafopredeter"/>
    <w:link w:val="Textonotapie"/>
    <w:uiPriority w:val="99"/>
    <w:rsid w:val="009178A9"/>
    <w:rPr>
      <w:sz w:val="20"/>
      <w:szCs w:val="20"/>
    </w:rPr>
  </w:style>
  <w:style w:type="character" w:styleId="Refdenotaalpie">
    <w:name w:val="footnote reference"/>
    <w:basedOn w:val="Fuentedeprrafopredeter"/>
    <w:uiPriority w:val="99"/>
    <w:unhideWhenUsed/>
    <w:rsid w:val="009178A9"/>
    <w:rPr>
      <w:vertAlign w:val="superscript"/>
    </w:rPr>
  </w:style>
  <w:style w:type="table" w:styleId="Tablaconcuadrcula">
    <w:name w:val="Table Grid"/>
    <w:basedOn w:val="Tablanormal"/>
    <w:uiPriority w:val="59"/>
    <w:rsid w:val="00917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856D2"/>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semiHidden/>
    <w:unhideWhenUsed/>
    <w:rsid w:val="002856D2"/>
    <w:pPr>
      <w:tabs>
        <w:tab w:val="center" w:pos="4419"/>
        <w:tab w:val="right" w:pos="8838"/>
      </w:tabs>
    </w:pPr>
  </w:style>
  <w:style w:type="character" w:customStyle="1" w:styleId="EncabezadoCar">
    <w:name w:val="Encabezado Car"/>
    <w:basedOn w:val="Fuentedeprrafopredeter"/>
    <w:link w:val="Encabezado"/>
    <w:uiPriority w:val="99"/>
    <w:semiHidden/>
    <w:rsid w:val="002856D2"/>
  </w:style>
  <w:style w:type="paragraph" w:styleId="Piedepgina">
    <w:name w:val="footer"/>
    <w:basedOn w:val="Normal"/>
    <w:link w:val="PiedepginaCar"/>
    <w:uiPriority w:val="99"/>
    <w:unhideWhenUsed/>
    <w:rsid w:val="002856D2"/>
    <w:pPr>
      <w:tabs>
        <w:tab w:val="center" w:pos="4419"/>
        <w:tab w:val="right" w:pos="8838"/>
      </w:tabs>
    </w:pPr>
  </w:style>
  <w:style w:type="character" w:customStyle="1" w:styleId="PiedepginaCar">
    <w:name w:val="Pie de página Car"/>
    <w:basedOn w:val="Fuentedeprrafopredeter"/>
    <w:link w:val="Piedepgina"/>
    <w:uiPriority w:val="99"/>
    <w:rsid w:val="002856D2"/>
  </w:style>
  <w:style w:type="character" w:customStyle="1" w:styleId="Ttulo3Car">
    <w:name w:val="Título 3 Car"/>
    <w:basedOn w:val="Fuentedeprrafopredeter"/>
    <w:link w:val="Ttulo3"/>
    <w:uiPriority w:val="9"/>
    <w:rsid w:val="00D01445"/>
    <w:rPr>
      <w:rFonts w:ascii="Times New Roman" w:eastAsia="Times New Roman" w:hAnsi="Times New Roman" w:cs="Times New Roman"/>
      <w:b/>
      <w:bCs/>
      <w:sz w:val="27"/>
      <w:szCs w:val="27"/>
      <w:lang w:eastAsia="es-PE"/>
    </w:rPr>
  </w:style>
  <w:style w:type="paragraph" w:styleId="NormalWeb">
    <w:name w:val="Normal (Web)"/>
    <w:basedOn w:val="Normal"/>
    <w:uiPriority w:val="99"/>
    <w:unhideWhenUsed/>
    <w:rsid w:val="00D01445"/>
    <w:pPr>
      <w:spacing w:before="100" w:beforeAutospacing="1" w:after="100" w:afterAutospacing="1"/>
      <w:jc w:val="left"/>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F235CC"/>
    <w:pPr>
      <w:ind w:left="720"/>
      <w:contextualSpacing/>
    </w:pPr>
  </w:style>
  <w:style w:type="paragraph" w:customStyle="1" w:styleId="Default">
    <w:name w:val="Default"/>
    <w:rsid w:val="00376C6A"/>
    <w:pPr>
      <w:autoSpaceDE w:val="0"/>
      <w:autoSpaceDN w:val="0"/>
      <w:adjustRightInd w:val="0"/>
      <w:jc w:val="left"/>
    </w:pPr>
    <w:rPr>
      <w:rFonts w:ascii="Constantia" w:hAnsi="Constantia" w:cs="Constantia"/>
      <w:color w:val="000000"/>
      <w:sz w:val="24"/>
      <w:szCs w:val="24"/>
    </w:rPr>
  </w:style>
  <w:style w:type="character" w:customStyle="1" w:styleId="Ttulo4Car">
    <w:name w:val="Título 4 Car"/>
    <w:basedOn w:val="Fuentedeprrafopredeter"/>
    <w:link w:val="Ttulo4"/>
    <w:uiPriority w:val="9"/>
    <w:semiHidden/>
    <w:rsid w:val="009C4626"/>
    <w:rPr>
      <w:rFonts w:asciiTheme="majorHAnsi" w:eastAsiaTheme="majorEastAsia" w:hAnsiTheme="majorHAnsi" w:cstheme="majorBidi"/>
      <w:b/>
      <w:bCs/>
      <w:i/>
      <w:iCs/>
      <w:color w:val="4F81BD" w:themeColor="accent1"/>
    </w:rPr>
  </w:style>
  <w:style w:type="paragraph" w:styleId="Textodeglobo">
    <w:name w:val="Balloon Text"/>
    <w:basedOn w:val="Normal"/>
    <w:link w:val="TextodegloboCar"/>
    <w:uiPriority w:val="99"/>
    <w:semiHidden/>
    <w:unhideWhenUsed/>
    <w:rsid w:val="00CB2219"/>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219"/>
    <w:rPr>
      <w:rFonts w:ascii="Tahoma" w:hAnsi="Tahoma" w:cs="Tahoma"/>
      <w:sz w:val="16"/>
      <w:szCs w:val="16"/>
    </w:rPr>
  </w:style>
  <w:style w:type="paragraph" w:styleId="TDC1">
    <w:name w:val="toc 1"/>
    <w:basedOn w:val="Normal"/>
    <w:next w:val="Normal"/>
    <w:autoRedefine/>
    <w:uiPriority w:val="39"/>
    <w:unhideWhenUsed/>
    <w:rsid w:val="00CB2219"/>
    <w:pPr>
      <w:tabs>
        <w:tab w:val="left" w:pos="567"/>
        <w:tab w:val="left" w:pos="1134"/>
        <w:tab w:val="right" w:leader="underscore" w:pos="8828"/>
      </w:tabs>
      <w:spacing w:line="276" w:lineRule="auto"/>
    </w:pPr>
    <w:rPr>
      <w:b/>
      <w:bCs/>
      <w:i/>
      <w:iCs/>
      <w:sz w:val="24"/>
      <w:szCs w:val="24"/>
    </w:rPr>
  </w:style>
  <w:style w:type="paragraph" w:styleId="TDC2">
    <w:name w:val="toc 2"/>
    <w:basedOn w:val="Normal"/>
    <w:next w:val="Normal"/>
    <w:autoRedefine/>
    <w:uiPriority w:val="39"/>
    <w:unhideWhenUsed/>
    <w:rsid w:val="00CB2219"/>
    <w:pPr>
      <w:spacing w:before="120"/>
      <w:ind w:left="220"/>
      <w:jc w:val="left"/>
    </w:pPr>
    <w:rPr>
      <w:b/>
      <w:bCs/>
    </w:rPr>
  </w:style>
  <w:style w:type="paragraph" w:styleId="TDC3">
    <w:name w:val="toc 3"/>
    <w:basedOn w:val="Normal"/>
    <w:next w:val="Normal"/>
    <w:autoRedefine/>
    <w:uiPriority w:val="39"/>
    <w:unhideWhenUsed/>
    <w:rsid w:val="00CB2219"/>
    <w:pPr>
      <w:ind w:left="440"/>
      <w:jc w:val="left"/>
    </w:pPr>
    <w:rPr>
      <w:sz w:val="20"/>
      <w:szCs w:val="20"/>
    </w:rPr>
  </w:style>
  <w:style w:type="paragraph" w:styleId="TDC4">
    <w:name w:val="toc 4"/>
    <w:basedOn w:val="Normal"/>
    <w:next w:val="Normal"/>
    <w:autoRedefine/>
    <w:uiPriority w:val="39"/>
    <w:unhideWhenUsed/>
    <w:rsid w:val="00CB2219"/>
    <w:pPr>
      <w:ind w:left="660"/>
      <w:jc w:val="left"/>
    </w:pPr>
    <w:rPr>
      <w:sz w:val="20"/>
      <w:szCs w:val="20"/>
    </w:rPr>
  </w:style>
  <w:style w:type="paragraph" w:styleId="TDC5">
    <w:name w:val="toc 5"/>
    <w:basedOn w:val="Normal"/>
    <w:next w:val="Normal"/>
    <w:autoRedefine/>
    <w:uiPriority w:val="39"/>
    <w:unhideWhenUsed/>
    <w:rsid w:val="00CB2219"/>
    <w:pPr>
      <w:ind w:left="880"/>
      <w:jc w:val="left"/>
    </w:pPr>
    <w:rPr>
      <w:sz w:val="20"/>
      <w:szCs w:val="20"/>
    </w:rPr>
  </w:style>
  <w:style w:type="paragraph" w:styleId="TDC6">
    <w:name w:val="toc 6"/>
    <w:basedOn w:val="Normal"/>
    <w:next w:val="Normal"/>
    <w:autoRedefine/>
    <w:uiPriority w:val="39"/>
    <w:unhideWhenUsed/>
    <w:rsid w:val="00CB2219"/>
    <w:pPr>
      <w:ind w:left="1100"/>
      <w:jc w:val="left"/>
    </w:pPr>
    <w:rPr>
      <w:sz w:val="20"/>
      <w:szCs w:val="20"/>
    </w:rPr>
  </w:style>
  <w:style w:type="paragraph" w:styleId="TDC7">
    <w:name w:val="toc 7"/>
    <w:basedOn w:val="Normal"/>
    <w:next w:val="Normal"/>
    <w:autoRedefine/>
    <w:uiPriority w:val="39"/>
    <w:unhideWhenUsed/>
    <w:rsid w:val="00CB2219"/>
    <w:pPr>
      <w:ind w:left="1320"/>
      <w:jc w:val="left"/>
    </w:pPr>
    <w:rPr>
      <w:sz w:val="20"/>
      <w:szCs w:val="20"/>
    </w:rPr>
  </w:style>
  <w:style w:type="paragraph" w:styleId="TDC8">
    <w:name w:val="toc 8"/>
    <w:basedOn w:val="Normal"/>
    <w:next w:val="Normal"/>
    <w:autoRedefine/>
    <w:uiPriority w:val="39"/>
    <w:unhideWhenUsed/>
    <w:rsid w:val="00CB2219"/>
    <w:pPr>
      <w:ind w:left="1540"/>
      <w:jc w:val="left"/>
    </w:pPr>
    <w:rPr>
      <w:sz w:val="20"/>
      <w:szCs w:val="20"/>
    </w:rPr>
  </w:style>
  <w:style w:type="paragraph" w:styleId="TDC9">
    <w:name w:val="toc 9"/>
    <w:basedOn w:val="Normal"/>
    <w:next w:val="Normal"/>
    <w:autoRedefine/>
    <w:uiPriority w:val="39"/>
    <w:unhideWhenUsed/>
    <w:rsid w:val="00CB2219"/>
    <w:pPr>
      <w:ind w:left="176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94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ricardo.92b@hot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0288D4-8977-4311-87E1-B82785536D7B}"/>
</file>

<file path=customXml/itemProps2.xml><?xml version="1.0" encoding="utf-8"?>
<ds:datastoreItem xmlns:ds="http://schemas.openxmlformats.org/officeDocument/2006/customXml" ds:itemID="{3A1734AB-7CB6-473F-AA85-BFE20FC7AF01}"/>
</file>

<file path=customXml/itemProps3.xml><?xml version="1.0" encoding="utf-8"?>
<ds:datastoreItem xmlns:ds="http://schemas.openxmlformats.org/officeDocument/2006/customXml" ds:itemID="{91AF973E-19A6-4BBA-9856-9606D3B645EE}"/>
</file>

<file path=customXml/itemProps4.xml><?xml version="1.0" encoding="utf-8"?>
<ds:datastoreItem xmlns:ds="http://schemas.openxmlformats.org/officeDocument/2006/customXml" ds:itemID="{AB1BA3B5-E7C5-4347-8068-53C3DD424AF8}"/>
</file>

<file path=docProps/app.xml><?xml version="1.0" encoding="utf-8"?>
<Properties xmlns="http://schemas.openxmlformats.org/officeDocument/2006/extended-properties" xmlns:vt="http://schemas.openxmlformats.org/officeDocument/2006/docPropsVTypes">
  <Template>Normal</Template>
  <TotalTime>1</TotalTime>
  <Pages>13</Pages>
  <Words>3977</Words>
  <Characters>21874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Ulopez</dc:creator>
  <cp:lastModifiedBy>Ricardo Bolaños</cp:lastModifiedBy>
  <cp:revision>2</cp:revision>
  <dcterms:created xsi:type="dcterms:W3CDTF">2017-06-30T20:04:00Z</dcterms:created>
  <dcterms:modified xsi:type="dcterms:W3CDTF">2017-06-30T20:04:00Z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