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F75DE" w14:textId="39489ACF" w:rsidR="00314EC8" w:rsidRDefault="00314EC8" w:rsidP="00DF0C00">
      <w:pPr>
        <w:jc w:val="both"/>
        <w:rPr>
          <w:lang w:val="en-US"/>
        </w:rPr>
      </w:pPr>
      <w:r w:rsidRPr="00314EC8">
        <w:rPr>
          <w:noProof/>
          <w:lang w:eastAsia="fr-BE"/>
        </w:rPr>
        <w:drawing>
          <wp:anchor distT="0" distB="0" distL="114300" distR="114300" simplePos="0" relativeHeight="251658240" behindDoc="0" locked="0" layoutInCell="1" allowOverlap="1" wp14:anchorId="6E7D72BC" wp14:editId="6F4B34D4">
            <wp:simplePos x="0" y="0"/>
            <wp:positionH relativeFrom="margin">
              <wp:posOffset>1362075</wp:posOffset>
            </wp:positionH>
            <wp:positionV relativeFrom="margin">
              <wp:posOffset>-495300</wp:posOffset>
            </wp:positionV>
            <wp:extent cx="3089721" cy="981075"/>
            <wp:effectExtent l="0" t="0" r="0" b="0"/>
            <wp:wrapSquare wrapText="bothSides"/>
            <wp:docPr id="3" name="Picture 3" descr="K:\Communications\Logos\EQUINET LOGO\10th Anniversary\Equinet 10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ommunications\Logos\EQUINET LOGO\10th Anniversary\Equinet 10t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9721" cy="981075"/>
                    </a:xfrm>
                    <a:prstGeom prst="rect">
                      <a:avLst/>
                    </a:prstGeom>
                    <a:noFill/>
                    <a:ln>
                      <a:noFill/>
                    </a:ln>
                  </pic:spPr>
                </pic:pic>
              </a:graphicData>
            </a:graphic>
          </wp:anchor>
        </w:drawing>
      </w:r>
    </w:p>
    <w:p w14:paraId="463218D5" w14:textId="77777777" w:rsidR="00314EC8" w:rsidRDefault="00314EC8" w:rsidP="00DF0C00">
      <w:pPr>
        <w:jc w:val="both"/>
        <w:rPr>
          <w:b/>
          <w:sz w:val="28"/>
          <w:lang w:val="en-US"/>
        </w:rPr>
      </w:pPr>
    </w:p>
    <w:p w14:paraId="345570F5" w14:textId="3F843F24" w:rsidR="00314EC8" w:rsidRPr="00314EC8" w:rsidRDefault="00A03FD6" w:rsidP="00DF0C00">
      <w:pPr>
        <w:shd w:val="clear" w:color="auto" w:fill="F2F2F2" w:themeFill="background1" w:themeFillShade="F2"/>
        <w:jc w:val="both"/>
        <w:rPr>
          <w:b/>
          <w:sz w:val="32"/>
          <w:lang w:val="en-US"/>
        </w:rPr>
      </w:pPr>
      <w:proofErr w:type="spellStart"/>
      <w:r w:rsidRPr="00314EC8">
        <w:rPr>
          <w:b/>
          <w:sz w:val="32"/>
          <w:lang w:val="en-US"/>
        </w:rPr>
        <w:t>Equinet’s</w:t>
      </w:r>
      <w:proofErr w:type="spellEnd"/>
      <w:r w:rsidRPr="00314EC8">
        <w:rPr>
          <w:b/>
          <w:sz w:val="32"/>
          <w:lang w:val="en-US"/>
        </w:rPr>
        <w:t xml:space="preserve"> s</w:t>
      </w:r>
      <w:r w:rsidR="002E33DA" w:rsidRPr="00314EC8">
        <w:rPr>
          <w:b/>
          <w:sz w:val="32"/>
          <w:lang w:val="en-US"/>
        </w:rPr>
        <w:t xml:space="preserve">ubmission to the UN CRPD draft General Comment on Article 5 - Equality and </w:t>
      </w:r>
      <w:r w:rsidR="008209DE" w:rsidRPr="00314EC8">
        <w:rPr>
          <w:b/>
          <w:sz w:val="32"/>
          <w:lang w:val="en-US"/>
        </w:rPr>
        <w:t>N</w:t>
      </w:r>
      <w:r w:rsidR="002E33DA" w:rsidRPr="00314EC8">
        <w:rPr>
          <w:b/>
          <w:sz w:val="32"/>
          <w:lang w:val="en-US"/>
        </w:rPr>
        <w:t>on-</w:t>
      </w:r>
      <w:r w:rsidR="008209DE" w:rsidRPr="00314EC8">
        <w:rPr>
          <w:b/>
          <w:sz w:val="32"/>
          <w:lang w:val="en-US"/>
        </w:rPr>
        <w:t>D</w:t>
      </w:r>
      <w:r w:rsidR="002E33DA" w:rsidRPr="00314EC8">
        <w:rPr>
          <w:b/>
          <w:sz w:val="32"/>
          <w:lang w:val="en-US"/>
        </w:rPr>
        <w:t>iscrimination</w:t>
      </w:r>
    </w:p>
    <w:sdt>
      <w:sdtPr>
        <w:rPr>
          <w:rFonts w:asciiTheme="minorHAnsi" w:eastAsiaTheme="minorHAnsi" w:hAnsiTheme="minorHAnsi" w:cstheme="minorBidi"/>
          <w:color w:val="auto"/>
          <w:sz w:val="22"/>
          <w:szCs w:val="22"/>
          <w:lang w:val="fr-BE"/>
        </w:rPr>
        <w:id w:val="1235970316"/>
        <w:docPartObj>
          <w:docPartGallery w:val="Table of Contents"/>
          <w:docPartUnique/>
        </w:docPartObj>
      </w:sdtPr>
      <w:sdtEndPr>
        <w:rPr>
          <w:b/>
          <w:bCs/>
          <w:noProof/>
        </w:rPr>
      </w:sdtEndPr>
      <w:sdtContent>
        <w:p w14:paraId="58C0DC72" w14:textId="6F948E47" w:rsidR="00314EC8" w:rsidRPr="00314EC8" w:rsidRDefault="00314EC8" w:rsidP="00DF0C00">
          <w:pPr>
            <w:pStyle w:val="TOCHeading"/>
            <w:jc w:val="both"/>
            <w:rPr>
              <w:rFonts w:asciiTheme="minorHAnsi" w:hAnsiTheme="minorHAnsi"/>
              <w:b/>
              <w:sz w:val="36"/>
            </w:rPr>
          </w:pPr>
          <w:r w:rsidRPr="00314EC8">
            <w:rPr>
              <w:rFonts w:asciiTheme="minorHAnsi" w:hAnsiTheme="minorHAnsi"/>
              <w:b/>
              <w:sz w:val="36"/>
            </w:rPr>
            <w:t>Contents</w:t>
          </w:r>
        </w:p>
        <w:p w14:paraId="06673741" w14:textId="77777777" w:rsidR="00BA4069" w:rsidRDefault="00314EC8">
          <w:pPr>
            <w:pStyle w:val="TOC2"/>
            <w:tabs>
              <w:tab w:val="left" w:pos="660"/>
              <w:tab w:val="right" w:leader="dot" w:pos="9062"/>
            </w:tabs>
            <w:rPr>
              <w:rFonts w:eastAsiaTheme="minorEastAsia"/>
              <w:noProof/>
              <w:lang w:eastAsia="fr-BE"/>
            </w:rPr>
          </w:pPr>
          <w:r w:rsidRPr="00314EC8">
            <w:fldChar w:fldCharType="begin"/>
          </w:r>
          <w:r w:rsidRPr="00314EC8">
            <w:instrText xml:space="preserve"> TOC \o "1-3" \h \z \u </w:instrText>
          </w:r>
          <w:r w:rsidRPr="00314EC8">
            <w:fldChar w:fldCharType="separate"/>
          </w:r>
          <w:hyperlink w:anchor="_Toc486511930" w:history="1">
            <w:r w:rsidR="00BA4069" w:rsidRPr="00A234E8">
              <w:rPr>
                <w:rStyle w:val="Hyperlink"/>
                <w:noProof/>
                <w:lang w:val="en-US"/>
              </w:rPr>
              <w:t>1.</w:t>
            </w:r>
            <w:r w:rsidR="00BA4069">
              <w:rPr>
                <w:rFonts w:eastAsiaTheme="minorEastAsia"/>
                <w:noProof/>
                <w:lang w:eastAsia="fr-BE"/>
              </w:rPr>
              <w:tab/>
            </w:r>
            <w:r w:rsidR="00BA4069" w:rsidRPr="00A234E8">
              <w:rPr>
                <w:rStyle w:val="Hyperlink"/>
                <w:noProof/>
                <w:lang w:val="en-US"/>
              </w:rPr>
              <w:t>Introduction</w:t>
            </w:r>
            <w:r w:rsidR="00BA4069">
              <w:rPr>
                <w:noProof/>
                <w:webHidden/>
              </w:rPr>
              <w:tab/>
            </w:r>
            <w:r w:rsidR="00BA4069">
              <w:rPr>
                <w:noProof/>
                <w:webHidden/>
              </w:rPr>
              <w:fldChar w:fldCharType="begin"/>
            </w:r>
            <w:r w:rsidR="00BA4069">
              <w:rPr>
                <w:noProof/>
                <w:webHidden/>
              </w:rPr>
              <w:instrText xml:space="preserve"> PAGEREF _Toc486511930 \h </w:instrText>
            </w:r>
            <w:r w:rsidR="00BA4069">
              <w:rPr>
                <w:noProof/>
                <w:webHidden/>
              </w:rPr>
            </w:r>
            <w:r w:rsidR="00BA4069">
              <w:rPr>
                <w:noProof/>
                <w:webHidden/>
              </w:rPr>
              <w:fldChar w:fldCharType="separate"/>
            </w:r>
            <w:r w:rsidR="00BA4069">
              <w:rPr>
                <w:noProof/>
                <w:webHidden/>
              </w:rPr>
              <w:t>1</w:t>
            </w:r>
            <w:r w:rsidR="00BA4069">
              <w:rPr>
                <w:noProof/>
                <w:webHidden/>
              </w:rPr>
              <w:fldChar w:fldCharType="end"/>
            </w:r>
          </w:hyperlink>
        </w:p>
        <w:p w14:paraId="40BF7874" w14:textId="77777777" w:rsidR="00BA4069" w:rsidRDefault="00A4438B">
          <w:pPr>
            <w:pStyle w:val="TOC2"/>
            <w:tabs>
              <w:tab w:val="left" w:pos="660"/>
              <w:tab w:val="right" w:leader="dot" w:pos="9062"/>
            </w:tabs>
            <w:rPr>
              <w:rFonts w:eastAsiaTheme="minorEastAsia"/>
              <w:noProof/>
              <w:lang w:eastAsia="fr-BE"/>
            </w:rPr>
          </w:pPr>
          <w:hyperlink w:anchor="_Toc486511931" w:history="1">
            <w:r w:rsidR="00BA4069" w:rsidRPr="00A234E8">
              <w:rPr>
                <w:rStyle w:val="Hyperlink"/>
                <w:noProof/>
                <w:lang w:val="en-US"/>
              </w:rPr>
              <w:t>2.</w:t>
            </w:r>
            <w:r w:rsidR="00BA4069">
              <w:rPr>
                <w:rFonts w:eastAsiaTheme="minorEastAsia"/>
                <w:noProof/>
                <w:lang w:eastAsia="fr-BE"/>
              </w:rPr>
              <w:tab/>
            </w:r>
            <w:r w:rsidR="00BA4069" w:rsidRPr="00A234E8">
              <w:rPr>
                <w:rStyle w:val="Hyperlink"/>
                <w:noProof/>
                <w:lang w:val="en-US"/>
              </w:rPr>
              <w:t>Equality and non-discrimination – both principle and right</w:t>
            </w:r>
            <w:r w:rsidR="00BA4069">
              <w:rPr>
                <w:noProof/>
                <w:webHidden/>
              </w:rPr>
              <w:tab/>
            </w:r>
            <w:r w:rsidR="00BA4069">
              <w:rPr>
                <w:noProof/>
                <w:webHidden/>
              </w:rPr>
              <w:fldChar w:fldCharType="begin"/>
            </w:r>
            <w:r w:rsidR="00BA4069">
              <w:rPr>
                <w:noProof/>
                <w:webHidden/>
              </w:rPr>
              <w:instrText xml:space="preserve"> PAGEREF _Toc486511931 \h </w:instrText>
            </w:r>
            <w:r w:rsidR="00BA4069">
              <w:rPr>
                <w:noProof/>
                <w:webHidden/>
              </w:rPr>
            </w:r>
            <w:r w:rsidR="00BA4069">
              <w:rPr>
                <w:noProof/>
                <w:webHidden/>
              </w:rPr>
              <w:fldChar w:fldCharType="separate"/>
            </w:r>
            <w:r w:rsidR="00BA4069">
              <w:rPr>
                <w:noProof/>
                <w:webHidden/>
              </w:rPr>
              <w:t>2</w:t>
            </w:r>
            <w:r w:rsidR="00BA4069">
              <w:rPr>
                <w:noProof/>
                <w:webHidden/>
              </w:rPr>
              <w:fldChar w:fldCharType="end"/>
            </w:r>
          </w:hyperlink>
        </w:p>
        <w:p w14:paraId="0C7CCAB1" w14:textId="77777777" w:rsidR="00BA4069" w:rsidRDefault="00A4438B">
          <w:pPr>
            <w:pStyle w:val="TOC2"/>
            <w:tabs>
              <w:tab w:val="left" w:pos="660"/>
              <w:tab w:val="right" w:leader="dot" w:pos="9062"/>
            </w:tabs>
            <w:rPr>
              <w:rFonts w:eastAsiaTheme="minorEastAsia"/>
              <w:noProof/>
              <w:lang w:eastAsia="fr-BE"/>
            </w:rPr>
          </w:pPr>
          <w:hyperlink w:anchor="_Toc486511932" w:history="1">
            <w:r w:rsidR="00BA4069" w:rsidRPr="00A234E8">
              <w:rPr>
                <w:rStyle w:val="Hyperlink"/>
                <w:noProof/>
                <w:lang w:val="en-US"/>
              </w:rPr>
              <w:t>3.</w:t>
            </w:r>
            <w:r w:rsidR="00BA4069">
              <w:rPr>
                <w:rFonts w:eastAsiaTheme="minorEastAsia"/>
                <w:noProof/>
                <w:lang w:eastAsia="fr-BE"/>
              </w:rPr>
              <w:tab/>
            </w:r>
            <w:r w:rsidR="00BA4069" w:rsidRPr="00A234E8">
              <w:rPr>
                <w:rStyle w:val="Hyperlink"/>
                <w:noProof/>
                <w:lang w:val="en-US"/>
              </w:rPr>
              <w:t>Legal framework for protection against discrimination</w:t>
            </w:r>
            <w:r w:rsidR="00BA4069">
              <w:rPr>
                <w:noProof/>
                <w:webHidden/>
              </w:rPr>
              <w:tab/>
            </w:r>
            <w:r w:rsidR="00BA4069">
              <w:rPr>
                <w:noProof/>
                <w:webHidden/>
              </w:rPr>
              <w:fldChar w:fldCharType="begin"/>
            </w:r>
            <w:r w:rsidR="00BA4069">
              <w:rPr>
                <w:noProof/>
                <w:webHidden/>
              </w:rPr>
              <w:instrText xml:space="preserve"> PAGEREF _Toc486511932 \h </w:instrText>
            </w:r>
            <w:r w:rsidR="00BA4069">
              <w:rPr>
                <w:noProof/>
                <w:webHidden/>
              </w:rPr>
            </w:r>
            <w:r w:rsidR="00BA4069">
              <w:rPr>
                <w:noProof/>
                <w:webHidden/>
              </w:rPr>
              <w:fldChar w:fldCharType="separate"/>
            </w:r>
            <w:r w:rsidR="00BA4069">
              <w:rPr>
                <w:noProof/>
                <w:webHidden/>
              </w:rPr>
              <w:t>2</w:t>
            </w:r>
            <w:r w:rsidR="00BA4069">
              <w:rPr>
                <w:noProof/>
                <w:webHidden/>
              </w:rPr>
              <w:fldChar w:fldCharType="end"/>
            </w:r>
          </w:hyperlink>
        </w:p>
        <w:p w14:paraId="2A78A5E5" w14:textId="77777777" w:rsidR="00BA4069" w:rsidRDefault="00A4438B">
          <w:pPr>
            <w:pStyle w:val="TOC3"/>
            <w:tabs>
              <w:tab w:val="left" w:pos="1100"/>
              <w:tab w:val="right" w:leader="dot" w:pos="9062"/>
            </w:tabs>
            <w:rPr>
              <w:rFonts w:eastAsiaTheme="minorEastAsia"/>
              <w:noProof/>
              <w:lang w:eastAsia="fr-BE"/>
            </w:rPr>
          </w:pPr>
          <w:hyperlink w:anchor="_Toc486511933" w:history="1">
            <w:r w:rsidR="00BA4069" w:rsidRPr="00A234E8">
              <w:rPr>
                <w:rStyle w:val="Hyperlink"/>
                <w:noProof/>
                <w:lang w:val="en-US"/>
              </w:rPr>
              <w:t>3.1.</w:t>
            </w:r>
            <w:r w:rsidR="00BA4069">
              <w:rPr>
                <w:rFonts w:eastAsiaTheme="minorEastAsia"/>
                <w:noProof/>
                <w:lang w:eastAsia="fr-BE"/>
              </w:rPr>
              <w:tab/>
            </w:r>
            <w:r w:rsidR="00BA4069" w:rsidRPr="00A234E8">
              <w:rPr>
                <w:rStyle w:val="Hyperlink"/>
                <w:noProof/>
                <w:lang w:val="en-US"/>
              </w:rPr>
              <w:t>Protection against discrimination outside employment</w:t>
            </w:r>
            <w:r w:rsidR="00BA4069">
              <w:rPr>
                <w:noProof/>
                <w:webHidden/>
              </w:rPr>
              <w:tab/>
            </w:r>
            <w:r w:rsidR="00BA4069">
              <w:rPr>
                <w:noProof/>
                <w:webHidden/>
              </w:rPr>
              <w:fldChar w:fldCharType="begin"/>
            </w:r>
            <w:r w:rsidR="00BA4069">
              <w:rPr>
                <w:noProof/>
                <w:webHidden/>
              </w:rPr>
              <w:instrText xml:space="preserve"> PAGEREF _Toc486511933 \h </w:instrText>
            </w:r>
            <w:r w:rsidR="00BA4069">
              <w:rPr>
                <w:noProof/>
                <w:webHidden/>
              </w:rPr>
            </w:r>
            <w:r w:rsidR="00BA4069">
              <w:rPr>
                <w:noProof/>
                <w:webHidden/>
              </w:rPr>
              <w:fldChar w:fldCharType="separate"/>
            </w:r>
            <w:r w:rsidR="00BA4069">
              <w:rPr>
                <w:noProof/>
                <w:webHidden/>
              </w:rPr>
              <w:t>2</w:t>
            </w:r>
            <w:r w:rsidR="00BA4069">
              <w:rPr>
                <w:noProof/>
                <w:webHidden/>
              </w:rPr>
              <w:fldChar w:fldCharType="end"/>
            </w:r>
          </w:hyperlink>
        </w:p>
        <w:p w14:paraId="71810181" w14:textId="77777777" w:rsidR="00BA4069" w:rsidRDefault="00A4438B">
          <w:pPr>
            <w:pStyle w:val="TOC3"/>
            <w:tabs>
              <w:tab w:val="left" w:pos="1100"/>
              <w:tab w:val="right" w:leader="dot" w:pos="9062"/>
            </w:tabs>
            <w:rPr>
              <w:rFonts w:eastAsiaTheme="minorEastAsia"/>
              <w:noProof/>
              <w:lang w:eastAsia="fr-BE"/>
            </w:rPr>
          </w:pPr>
          <w:hyperlink w:anchor="_Toc486511934" w:history="1">
            <w:r w:rsidR="00BA4069" w:rsidRPr="00A234E8">
              <w:rPr>
                <w:rStyle w:val="Hyperlink"/>
                <w:noProof/>
                <w:lang w:val="en-US"/>
              </w:rPr>
              <w:t>3.2.</w:t>
            </w:r>
            <w:r w:rsidR="00BA4069">
              <w:rPr>
                <w:rFonts w:eastAsiaTheme="minorEastAsia"/>
                <w:noProof/>
                <w:lang w:eastAsia="fr-BE"/>
              </w:rPr>
              <w:tab/>
            </w:r>
            <w:r w:rsidR="00BA4069" w:rsidRPr="00A234E8">
              <w:rPr>
                <w:rStyle w:val="Hyperlink"/>
                <w:noProof/>
                <w:lang w:val="en-US"/>
              </w:rPr>
              <w:t>Intersectional and multiple discrimination</w:t>
            </w:r>
            <w:r w:rsidR="00BA4069">
              <w:rPr>
                <w:noProof/>
                <w:webHidden/>
              </w:rPr>
              <w:tab/>
            </w:r>
            <w:r w:rsidR="00BA4069">
              <w:rPr>
                <w:noProof/>
                <w:webHidden/>
              </w:rPr>
              <w:fldChar w:fldCharType="begin"/>
            </w:r>
            <w:r w:rsidR="00BA4069">
              <w:rPr>
                <w:noProof/>
                <w:webHidden/>
              </w:rPr>
              <w:instrText xml:space="preserve"> PAGEREF _Toc486511934 \h </w:instrText>
            </w:r>
            <w:r w:rsidR="00BA4069">
              <w:rPr>
                <w:noProof/>
                <w:webHidden/>
              </w:rPr>
            </w:r>
            <w:r w:rsidR="00BA4069">
              <w:rPr>
                <w:noProof/>
                <w:webHidden/>
              </w:rPr>
              <w:fldChar w:fldCharType="separate"/>
            </w:r>
            <w:r w:rsidR="00BA4069">
              <w:rPr>
                <w:noProof/>
                <w:webHidden/>
              </w:rPr>
              <w:t>3</w:t>
            </w:r>
            <w:r w:rsidR="00BA4069">
              <w:rPr>
                <w:noProof/>
                <w:webHidden/>
              </w:rPr>
              <w:fldChar w:fldCharType="end"/>
            </w:r>
          </w:hyperlink>
        </w:p>
        <w:p w14:paraId="7D239E5B" w14:textId="77777777" w:rsidR="00BA4069" w:rsidRDefault="00A4438B">
          <w:pPr>
            <w:pStyle w:val="TOC3"/>
            <w:tabs>
              <w:tab w:val="left" w:pos="1100"/>
              <w:tab w:val="right" w:leader="dot" w:pos="9062"/>
            </w:tabs>
            <w:rPr>
              <w:rFonts w:eastAsiaTheme="minorEastAsia"/>
              <w:noProof/>
              <w:lang w:eastAsia="fr-BE"/>
            </w:rPr>
          </w:pPr>
          <w:hyperlink w:anchor="_Toc486511935" w:history="1">
            <w:r w:rsidR="00BA4069" w:rsidRPr="00A234E8">
              <w:rPr>
                <w:rStyle w:val="Hyperlink"/>
                <w:noProof/>
                <w:lang w:val="en-US"/>
              </w:rPr>
              <w:t>3.3.</w:t>
            </w:r>
            <w:r w:rsidR="00BA4069">
              <w:rPr>
                <w:rFonts w:eastAsiaTheme="minorEastAsia"/>
                <w:noProof/>
                <w:lang w:eastAsia="fr-BE"/>
              </w:rPr>
              <w:tab/>
            </w:r>
            <w:r w:rsidR="00BA4069" w:rsidRPr="00A234E8">
              <w:rPr>
                <w:rStyle w:val="Hyperlink"/>
                <w:noProof/>
                <w:lang w:val="en-US"/>
              </w:rPr>
              <w:t>Reasonable accommodation</w:t>
            </w:r>
            <w:r w:rsidR="00BA4069">
              <w:rPr>
                <w:noProof/>
                <w:webHidden/>
              </w:rPr>
              <w:tab/>
            </w:r>
            <w:r w:rsidR="00BA4069">
              <w:rPr>
                <w:noProof/>
                <w:webHidden/>
              </w:rPr>
              <w:fldChar w:fldCharType="begin"/>
            </w:r>
            <w:r w:rsidR="00BA4069">
              <w:rPr>
                <w:noProof/>
                <w:webHidden/>
              </w:rPr>
              <w:instrText xml:space="preserve"> PAGEREF _Toc486511935 \h </w:instrText>
            </w:r>
            <w:r w:rsidR="00BA4069">
              <w:rPr>
                <w:noProof/>
                <w:webHidden/>
              </w:rPr>
            </w:r>
            <w:r w:rsidR="00BA4069">
              <w:rPr>
                <w:noProof/>
                <w:webHidden/>
              </w:rPr>
              <w:fldChar w:fldCharType="separate"/>
            </w:r>
            <w:r w:rsidR="00BA4069">
              <w:rPr>
                <w:noProof/>
                <w:webHidden/>
              </w:rPr>
              <w:t>4</w:t>
            </w:r>
            <w:r w:rsidR="00BA4069">
              <w:rPr>
                <w:noProof/>
                <w:webHidden/>
              </w:rPr>
              <w:fldChar w:fldCharType="end"/>
            </w:r>
          </w:hyperlink>
        </w:p>
        <w:p w14:paraId="5A7F09DC" w14:textId="77777777" w:rsidR="00BA4069" w:rsidRDefault="00A4438B">
          <w:pPr>
            <w:pStyle w:val="TOC2"/>
            <w:tabs>
              <w:tab w:val="left" w:pos="660"/>
              <w:tab w:val="right" w:leader="dot" w:pos="9062"/>
            </w:tabs>
            <w:rPr>
              <w:rFonts w:eastAsiaTheme="minorEastAsia"/>
              <w:noProof/>
              <w:lang w:eastAsia="fr-BE"/>
            </w:rPr>
          </w:pPr>
          <w:hyperlink w:anchor="_Toc486511936" w:history="1">
            <w:r w:rsidR="00BA4069" w:rsidRPr="00A234E8">
              <w:rPr>
                <w:rStyle w:val="Hyperlink"/>
                <w:noProof/>
                <w:lang w:val="en-US"/>
              </w:rPr>
              <w:t>4.</w:t>
            </w:r>
            <w:r w:rsidR="00BA4069">
              <w:rPr>
                <w:rFonts w:eastAsiaTheme="minorEastAsia"/>
                <w:noProof/>
                <w:lang w:eastAsia="fr-BE"/>
              </w:rPr>
              <w:tab/>
            </w:r>
            <w:r w:rsidR="00BA4069" w:rsidRPr="00A234E8">
              <w:rPr>
                <w:rStyle w:val="Hyperlink"/>
                <w:noProof/>
                <w:lang w:val="en-US"/>
              </w:rPr>
              <w:t>Equality bodies designated under CRPD article 33</w:t>
            </w:r>
            <w:r w:rsidR="00BA4069">
              <w:rPr>
                <w:noProof/>
                <w:webHidden/>
              </w:rPr>
              <w:tab/>
            </w:r>
            <w:r w:rsidR="00BA4069">
              <w:rPr>
                <w:noProof/>
                <w:webHidden/>
              </w:rPr>
              <w:fldChar w:fldCharType="begin"/>
            </w:r>
            <w:r w:rsidR="00BA4069">
              <w:rPr>
                <w:noProof/>
                <w:webHidden/>
              </w:rPr>
              <w:instrText xml:space="preserve"> PAGEREF _Toc486511936 \h </w:instrText>
            </w:r>
            <w:r w:rsidR="00BA4069">
              <w:rPr>
                <w:noProof/>
                <w:webHidden/>
              </w:rPr>
            </w:r>
            <w:r w:rsidR="00BA4069">
              <w:rPr>
                <w:noProof/>
                <w:webHidden/>
              </w:rPr>
              <w:fldChar w:fldCharType="separate"/>
            </w:r>
            <w:r w:rsidR="00BA4069">
              <w:rPr>
                <w:noProof/>
                <w:webHidden/>
              </w:rPr>
              <w:t>5</w:t>
            </w:r>
            <w:r w:rsidR="00BA4069">
              <w:rPr>
                <w:noProof/>
                <w:webHidden/>
              </w:rPr>
              <w:fldChar w:fldCharType="end"/>
            </w:r>
          </w:hyperlink>
        </w:p>
        <w:p w14:paraId="56AA200D" w14:textId="77777777" w:rsidR="00BA4069" w:rsidRDefault="00A4438B">
          <w:pPr>
            <w:pStyle w:val="TOC2"/>
            <w:tabs>
              <w:tab w:val="left" w:pos="660"/>
              <w:tab w:val="right" w:leader="dot" w:pos="9062"/>
            </w:tabs>
            <w:rPr>
              <w:rFonts w:eastAsiaTheme="minorEastAsia"/>
              <w:noProof/>
              <w:lang w:eastAsia="fr-BE"/>
            </w:rPr>
          </w:pPr>
          <w:hyperlink w:anchor="_Toc486511937" w:history="1">
            <w:r w:rsidR="00BA4069" w:rsidRPr="00A234E8">
              <w:rPr>
                <w:rStyle w:val="Hyperlink"/>
                <w:noProof/>
                <w:lang w:val="en-US"/>
              </w:rPr>
              <w:t>5.</w:t>
            </w:r>
            <w:r w:rsidR="00BA4069">
              <w:rPr>
                <w:rFonts w:eastAsiaTheme="minorEastAsia"/>
                <w:noProof/>
                <w:lang w:eastAsia="fr-BE"/>
              </w:rPr>
              <w:tab/>
            </w:r>
            <w:r w:rsidR="00BA4069" w:rsidRPr="00A234E8">
              <w:rPr>
                <w:rStyle w:val="Hyperlink"/>
                <w:noProof/>
                <w:lang w:val="en-US"/>
              </w:rPr>
              <w:t>Legal remedies</w:t>
            </w:r>
            <w:r w:rsidR="00BA4069">
              <w:rPr>
                <w:noProof/>
                <w:webHidden/>
              </w:rPr>
              <w:tab/>
            </w:r>
            <w:r w:rsidR="00BA4069">
              <w:rPr>
                <w:noProof/>
                <w:webHidden/>
              </w:rPr>
              <w:fldChar w:fldCharType="begin"/>
            </w:r>
            <w:r w:rsidR="00BA4069">
              <w:rPr>
                <w:noProof/>
                <w:webHidden/>
              </w:rPr>
              <w:instrText xml:space="preserve"> PAGEREF _Toc486511937 \h </w:instrText>
            </w:r>
            <w:r w:rsidR="00BA4069">
              <w:rPr>
                <w:noProof/>
                <w:webHidden/>
              </w:rPr>
            </w:r>
            <w:r w:rsidR="00BA4069">
              <w:rPr>
                <w:noProof/>
                <w:webHidden/>
              </w:rPr>
              <w:fldChar w:fldCharType="separate"/>
            </w:r>
            <w:r w:rsidR="00BA4069">
              <w:rPr>
                <w:noProof/>
                <w:webHidden/>
              </w:rPr>
              <w:t>6</w:t>
            </w:r>
            <w:r w:rsidR="00BA4069">
              <w:rPr>
                <w:noProof/>
                <w:webHidden/>
              </w:rPr>
              <w:fldChar w:fldCharType="end"/>
            </w:r>
          </w:hyperlink>
        </w:p>
        <w:p w14:paraId="579C7879" w14:textId="77777777" w:rsidR="00BA4069" w:rsidRDefault="00A4438B">
          <w:pPr>
            <w:pStyle w:val="TOC2"/>
            <w:tabs>
              <w:tab w:val="left" w:pos="660"/>
              <w:tab w:val="right" w:leader="dot" w:pos="9062"/>
            </w:tabs>
            <w:rPr>
              <w:rFonts w:eastAsiaTheme="minorEastAsia"/>
              <w:noProof/>
              <w:lang w:eastAsia="fr-BE"/>
            </w:rPr>
          </w:pPr>
          <w:hyperlink w:anchor="_Toc486511938" w:history="1">
            <w:r w:rsidR="00BA4069" w:rsidRPr="00A234E8">
              <w:rPr>
                <w:rStyle w:val="Hyperlink"/>
                <w:noProof/>
                <w:lang w:val="en-US"/>
              </w:rPr>
              <w:t>6.</w:t>
            </w:r>
            <w:r w:rsidR="00BA4069">
              <w:rPr>
                <w:rFonts w:eastAsiaTheme="minorEastAsia"/>
                <w:noProof/>
                <w:lang w:eastAsia="fr-BE"/>
              </w:rPr>
              <w:tab/>
            </w:r>
            <w:r w:rsidR="00BA4069" w:rsidRPr="00A234E8">
              <w:rPr>
                <w:rStyle w:val="Hyperlink"/>
                <w:noProof/>
                <w:lang w:val="en-US"/>
              </w:rPr>
              <w:t>Positive action measures</w:t>
            </w:r>
            <w:r w:rsidR="00BA4069">
              <w:rPr>
                <w:noProof/>
                <w:webHidden/>
              </w:rPr>
              <w:tab/>
            </w:r>
            <w:r w:rsidR="00BA4069">
              <w:rPr>
                <w:noProof/>
                <w:webHidden/>
              </w:rPr>
              <w:fldChar w:fldCharType="begin"/>
            </w:r>
            <w:r w:rsidR="00BA4069">
              <w:rPr>
                <w:noProof/>
                <w:webHidden/>
              </w:rPr>
              <w:instrText xml:space="preserve"> PAGEREF _Toc486511938 \h </w:instrText>
            </w:r>
            <w:r w:rsidR="00BA4069">
              <w:rPr>
                <w:noProof/>
                <w:webHidden/>
              </w:rPr>
            </w:r>
            <w:r w:rsidR="00BA4069">
              <w:rPr>
                <w:noProof/>
                <w:webHidden/>
              </w:rPr>
              <w:fldChar w:fldCharType="separate"/>
            </w:r>
            <w:r w:rsidR="00BA4069">
              <w:rPr>
                <w:noProof/>
                <w:webHidden/>
              </w:rPr>
              <w:t>7</w:t>
            </w:r>
            <w:r w:rsidR="00BA4069">
              <w:rPr>
                <w:noProof/>
                <w:webHidden/>
              </w:rPr>
              <w:fldChar w:fldCharType="end"/>
            </w:r>
          </w:hyperlink>
        </w:p>
        <w:p w14:paraId="28C6AD6C" w14:textId="77777777" w:rsidR="00BA4069" w:rsidRDefault="00A4438B">
          <w:pPr>
            <w:pStyle w:val="TOC2"/>
            <w:tabs>
              <w:tab w:val="left" w:pos="660"/>
              <w:tab w:val="right" w:leader="dot" w:pos="9062"/>
            </w:tabs>
            <w:rPr>
              <w:rFonts w:eastAsiaTheme="minorEastAsia"/>
              <w:noProof/>
              <w:lang w:eastAsia="fr-BE"/>
            </w:rPr>
          </w:pPr>
          <w:hyperlink w:anchor="_Toc486511939" w:history="1">
            <w:r w:rsidR="00BA4069" w:rsidRPr="00A234E8">
              <w:rPr>
                <w:rStyle w:val="Hyperlink"/>
                <w:noProof/>
                <w:lang w:val="en-US"/>
              </w:rPr>
              <w:t>7.</w:t>
            </w:r>
            <w:r w:rsidR="00BA4069">
              <w:rPr>
                <w:rFonts w:eastAsiaTheme="minorEastAsia"/>
                <w:noProof/>
                <w:lang w:eastAsia="fr-BE"/>
              </w:rPr>
              <w:tab/>
            </w:r>
            <w:r w:rsidR="00BA4069" w:rsidRPr="00A234E8">
              <w:rPr>
                <w:rStyle w:val="Hyperlink"/>
                <w:noProof/>
                <w:lang w:val="en-US"/>
              </w:rPr>
              <w:t>Summary of recommendations</w:t>
            </w:r>
            <w:r w:rsidR="00BA4069">
              <w:rPr>
                <w:noProof/>
                <w:webHidden/>
              </w:rPr>
              <w:tab/>
            </w:r>
            <w:r w:rsidR="00BA4069">
              <w:rPr>
                <w:noProof/>
                <w:webHidden/>
              </w:rPr>
              <w:fldChar w:fldCharType="begin"/>
            </w:r>
            <w:r w:rsidR="00BA4069">
              <w:rPr>
                <w:noProof/>
                <w:webHidden/>
              </w:rPr>
              <w:instrText xml:space="preserve"> PAGEREF _Toc486511939 \h </w:instrText>
            </w:r>
            <w:r w:rsidR="00BA4069">
              <w:rPr>
                <w:noProof/>
                <w:webHidden/>
              </w:rPr>
            </w:r>
            <w:r w:rsidR="00BA4069">
              <w:rPr>
                <w:noProof/>
                <w:webHidden/>
              </w:rPr>
              <w:fldChar w:fldCharType="separate"/>
            </w:r>
            <w:r w:rsidR="00BA4069">
              <w:rPr>
                <w:noProof/>
                <w:webHidden/>
              </w:rPr>
              <w:t>8</w:t>
            </w:r>
            <w:r w:rsidR="00BA4069">
              <w:rPr>
                <w:noProof/>
                <w:webHidden/>
              </w:rPr>
              <w:fldChar w:fldCharType="end"/>
            </w:r>
          </w:hyperlink>
        </w:p>
        <w:p w14:paraId="33515C5B" w14:textId="4F77297C" w:rsidR="002E33DA" w:rsidRPr="00314EC8" w:rsidRDefault="00314EC8" w:rsidP="00DF0C00">
          <w:pPr>
            <w:jc w:val="both"/>
          </w:pPr>
          <w:r w:rsidRPr="00314EC8">
            <w:rPr>
              <w:b/>
              <w:bCs/>
              <w:noProof/>
            </w:rPr>
            <w:fldChar w:fldCharType="end"/>
          </w:r>
        </w:p>
      </w:sdtContent>
    </w:sdt>
    <w:p w14:paraId="479184D2" w14:textId="217C62D9" w:rsidR="00314EC8" w:rsidRPr="00314EC8" w:rsidRDefault="002E33DA" w:rsidP="003659B1">
      <w:pPr>
        <w:pStyle w:val="Heading2"/>
        <w:numPr>
          <w:ilvl w:val="0"/>
          <w:numId w:val="1"/>
        </w:numPr>
        <w:shd w:val="clear" w:color="auto" w:fill="F2F2F2" w:themeFill="background1" w:themeFillShade="F2"/>
        <w:spacing w:line="360" w:lineRule="auto"/>
        <w:jc w:val="both"/>
        <w:rPr>
          <w:rFonts w:asciiTheme="minorHAnsi" w:hAnsiTheme="minorHAnsi"/>
          <w:lang w:val="en-US"/>
        </w:rPr>
      </w:pPr>
      <w:bookmarkStart w:id="0" w:name="_Toc486511930"/>
      <w:r w:rsidRPr="00314EC8">
        <w:rPr>
          <w:rFonts w:asciiTheme="minorHAnsi" w:hAnsiTheme="minorHAnsi"/>
          <w:lang w:val="en-US"/>
        </w:rPr>
        <w:t>Introduction</w:t>
      </w:r>
      <w:bookmarkEnd w:id="0"/>
    </w:p>
    <w:p w14:paraId="616E17F3" w14:textId="6D8E35BB" w:rsidR="007A663A" w:rsidRPr="00314EC8" w:rsidRDefault="00314EC8" w:rsidP="003659B1">
      <w:pPr>
        <w:spacing w:line="360" w:lineRule="auto"/>
        <w:jc w:val="both"/>
        <w:rPr>
          <w:lang w:val="en-US"/>
        </w:rPr>
      </w:pPr>
      <w:r>
        <w:rPr>
          <w:lang w:val="en-US"/>
        </w:rPr>
        <w:br/>
      </w:r>
      <w:r w:rsidR="002E33DA" w:rsidRPr="00314EC8">
        <w:rPr>
          <w:lang w:val="en-US"/>
        </w:rPr>
        <w:t xml:space="preserve">Reference is made to the call for submissions on the outline of the draft General Comment on article 5 by the Committee on the Rights of Persons with Disabilities. Equinet </w:t>
      </w:r>
      <w:r w:rsidR="0070004F" w:rsidRPr="00314EC8">
        <w:rPr>
          <w:lang w:val="en-US"/>
        </w:rPr>
        <w:t>highly appreciates</w:t>
      </w:r>
      <w:r w:rsidR="002D6629" w:rsidRPr="00314EC8">
        <w:rPr>
          <w:lang w:val="en-US"/>
        </w:rPr>
        <w:t xml:space="preserve"> </w:t>
      </w:r>
      <w:r w:rsidR="002E33DA" w:rsidRPr="00314EC8">
        <w:rPr>
          <w:lang w:val="en-US"/>
        </w:rPr>
        <w:t>that the Committee is</w:t>
      </w:r>
      <w:r w:rsidR="0070004F" w:rsidRPr="00314EC8">
        <w:rPr>
          <w:lang w:val="en-US"/>
        </w:rPr>
        <w:t xml:space="preserve"> in the process of</w:t>
      </w:r>
      <w:r w:rsidR="002E33DA" w:rsidRPr="00314EC8">
        <w:rPr>
          <w:lang w:val="en-US"/>
        </w:rPr>
        <w:t xml:space="preserve"> developing a </w:t>
      </w:r>
      <w:r w:rsidR="008C21B5" w:rsidRPr="00314EC8">
        <w:rPr>
          <w:lang w:val="en-US"/>
        </w:rPr>
        <w:t>General C</w:t>
      </w:r>
      <w:r w:rsidR="002E33DA" w:rsidRPr="00314EC8">
        <w:rPr>
          <w:lang w:val="en-US"/>
        </w:rPr>
        <w:t xml:space="preserve">omment on article </w:t>
      </w:r>
      <w:r w:rsidR="00EC7FE4" w:rsidRPr="00314EC8">
        <w:rPr>
          <w:lang w:val="en-US"/>
        </w:rPr>
        <w:t>5 on equality and non-discrimination</w:t>
      </w:r>
      <w:r w:rsidR="0070004F" w:rsidRPr="00314EC8">
        <w:rPr>
          <w:lang w:val="en-US"/>
        </w:rPr>
        <w:t>, which will hopefully be a useful tool for many of our members</w:t>
      </w:r>
      <w:r w:rsidR="00EC7FE4" w:rsidRPr="00314EC8">
        <w:rPr>
          <w:lang w:val="en-US"/>
        </w:rPr>
        <w:t xml:space="preserve">. We also warmly welcome the opportunity to give our input to the Committee already at this early stage. </w:t>
      </w:r>
    </w:p>
    <w:p w14:paraId="7112E859" w14:textId="2602A972" w:rsidR="00706C93" w:rsidRDefault="00EC7FE4" w:rsidP="003659B1">
      <w:pPr>
        <w:spacing w:line="360" w:lineRule="auto"/>
        <w:jc w:val="both"/>
        <w:rPr>
          <w:lang w:val="en-US"/>
        </w:rPr>
      </w:pPr>
      <w:r w:rsidRPr="00A224A7">
        <w:rPr>
          <w:b/>
          <w:lang w:val="en-US"/>
        </w:rPr>
        <w:t>Equinet is the European</w:t>
      </w:r>
      <w:r w:rsidR="00314EC8" w:rsidRPr="00A224A7">
        <w:rPr>
          <w:b/>
          <w:lang w:val="en-US"/>
        </w:rPr>
        <w:t xml:space="preserve"> network of</w:t>
      </w:r>
      <w:r w:rsidR="004E72DC" w:rsidRPr="00A224A7">
        <w:rPr>
          <w:b/>
          <w:lang w:val="en-US"/>
        </w:rPr>
        <w:t xml:space="preserve"> </w:t>
      </w:r>
      <w:r w:rsidR="00314EC8" w:rsidRPr="00A224A7">
        <w:rPr>
          <w:b/>
          <w:lang w:val="en-US"/>
        </w:rPr>
        <w:t>n</w:t>
      </w:r>
      <w:r w:rsidR="004E72DC" w:rsidRPr="00A224A7">
        <w:rPr>
          <w:b/>
          <w:lang w:val="en-US"/>
        </w:rPr>
        <w:t>ational equality bodies</w:t>
      </w:r>
      <w:r w:rsidR="00A03FD6" w:rsidRPr="00314EC8">
        <w:rPr>
          <w:lang w:val="en-US"/>
        </w:rPr>
        <w:t xml:space="preserve">, </w:t>
      </w:r>
      <w:r w:rsidR="004E72DC" w:rsidRPr="00314EC8">
        <w:rPr>
          <w:lang w:val="en-US"/>
        </w:rPr>
        <w:t>and</w:t>
      </w:r>
      <w:r w:rsidRPr="00314EC8">
        <w:rPr>
          <w:lang w:val="en-US"/>
        </w:rPr>
        <w:t xml:space="preserve"> brings together 46 equality bodies from 34 European countries</w:t>
      </w:r>
      <w:r w:rsidR="00A03FD6" w:rsidRPr="00314EC8">
        <w:rPr>
          <w:lang w:val="en-US"/>
        </w:rPr>
        <w:t>.</w:t>
      </w:r>
      <w:r w:rsidR="00A03FD6" w:rsidRPr="00314EC8">
        <w:rPr>
          <w:rStyle w:val="FootnoteReference"/>
          <w:lang w:val="en-US"/>
        </w:rPr>
        <w:t xml:space="preserve"> </w:t>
      </w:r>
      <w:r w:rsidR="00A03FD6" w:rsidRPr="00314EC8">
        <w:rPr>
          <w:rStyle w:val="FootnoteReference"/>
          <w:lang w:val="en-US"/>
        </w:rPr>
        <w:footnoteReference w:id="1"/>
      </w:r>
      <w:r w:rsidR="008323E3">
        <w:rPr>
          <w:lang w:val="en-US"/>
        </w:rPr>
        <w:t xml:space="preserve"> National e</w:t>
      </w:r>
      <w:r w:rsidR="00A03FD6" w:rsidRPr="00314EC8">
        <w:rPr>
          <w:lang w:val="en-US"/>
        </w:rPr>
        <w:t>quality bodies are</w:t>
      </w:r>
      <w:r w:rsidRPr="00314EC8">
        <w:rPr>
          <w:lang w:val="en-US"/>
        </w:rPr>
        <w:t xml:space="preserve"> public institutions </w:t>
      </w:r>
      <w:r w:rsidR="00A51E8C" w:rsidRPr="00314EC8">
        <w:rPr>
          <w:lang w:val="en-US"/>
        </w:rPr>
        <w:t>established under</w:t>
      </w:r>
      <w:r w:rsidRPr="00314EC8">
        <w:rPr>
          <w:lang w:val="en-US"/>
        </w:rPr>
        <w:t xml:space="preserve"> the EU Equal Treatm</w:t>
      </w:r>
      <w:r w:rsidR="008323E3">
        <w:rPr>
          <w:lang w:val="en-US"/>
        </w:rPr>
        <w:t>ent Directives</w:t>
      </w:r>
      <w:r w:rsidRPr="00314EC8">
        <w:rPr>
          <w:lang w:val="en-US"/>
        </w:rPr>
        <w:t>.</w:t>
      </w:r>
      <w:r w:rsidR="00A03FD6" w:rsidRPr="00314EC8">
        <w:rPr>
          <w:rStyle w:val="FootnoteReference"/>
          <w:lang w:val="en-US"/>
        </w:rPr>
        <w:footnoteReference w:id="2"/>
      </w:r>
      <w:r w:rsidRPr="00314EC8">
        <w:rPr>
          <w:lang w:val="en-US"/>
        </w:rPr>
        <w:t xml:space="preserve"> </w:t>
      </w:r>
      <w:r w:rsidR="00AF3C6B">
        <w:rPr>
          <w:lang w:val="en-US"/>
        </w:rPr>
        <w:t xml:space="preserve">They </w:t>
      </w:r>
      <w:r w:rsidR="00A51E8C" w:rsidRPr="00314EC8">
        <w:rPr>
          <w:lang w:val="en-US"/>
        </w:rPr>
        <w:t xml:space="preserve">have </w:t>
      </w:r>
      <w:r w:rsidR="008C21B5" w:rsidRPr="00314EC8">
        <w:rPr>
          <w:lang w:val="en-US"/>
        </w:rPr>
        <w:t xml:space="preserve">the </w:t>
      </w:r>
      <w:r w:rsidR="00A51E8C" w:rsidRPr="00314EC8">
        <w:rPr>
          <w:lang w:val="en-US"/>
        </w:rPr>
        <w:t xml:space="preserve">mandate to provide </w:t>
      </w:r>
      <w:r w:rsidR="00A51E8C" w:rsidRPr="00A224A7">
        <w:rPr>
          <w:b/>
          <w:lang w:val="en-US"/>
        </w:rPr>
        <w:t>independent assistance to victims of discrimination, monitor discrimination issues and promote equality</w:t>
      </w:r>
      <w:r w:rsidR="00A51E8C" w:rsidRPr="00314EC8">
        <w:rPr>
          <w:lang w:val="en-US"/>
        </w:rPr>
        <w:t xml:space="preserve">. </w:t>
      </w:r>
      <w:r w:rsidR="00E16CDB">
        <w:rPr>
          <w:lang w:val="en-US"/>
        </w:rPr>
        <w:t>F</w:t>
      </w:r>
      <w:r w:rsidR="00FD3D8F">
        <w:rPr>
          <w:lang w:val="en-US"/>
        </w:rPr>
        <w:t>if</w:t>
      </w:r>
      <w:r w:rsidR="00E16CDB">
        <w:rPr>
          <w:lang w:val="en-US"/>
        </w:rPr>
        <w:t>teen equality bodies</w:t>
      </w:r>
      <w:r w:rsidR="00706C93">
        <w:rPr>
          <w:lang w:val="en-US"/>
        </w:rPr>
        <w:t xml:space="preserve"> </w:t>
      </w:r>
      <w:r w:rsidR="00A51E8C" w:rsidRPr="00314EC8">
        <w:rPr>
          <w:lang w:val="en-US"/>
        </w:rPr>
        <w:t>are also designated as independent monitoring mechanisms under the UN CRPD article 33.</w:t>
      </w:r>
      <w:r w:rsidR="00706C93" w:rsidRPr="00706C93">
        <w:rPr>
          <w:rStyle w:val="FootnoteReference"/>
          <w:lang w:val="en-US"/>
        </w:rPr>
        <w:t xml:space="preserve"> </w:t>
      </w:r>
      <w:r w:rsidR="00706C93">
        <w:rPr>
          <w:rStyle w:val="FootnoteReference"/>
          <w:lang w:val="en-US"/>
        </w:rPr>
        <w:footnoteReference w:id="3"/>
      </w:r>
      <w:r w:rsidR="00A51E8C" w:rsidRPr="00314EC8">
        <w:rPr>
          <w:lang w:val="en-US"/>
        </w:rPr>
        <w:t xml:space="preserve"> </w:t>
      </w:r>
      <w:r w:rsidR="00A03FD6" w:rsidRPr="00314EC8">
        <w:rPr>
          <w:lang w:val="en-US"/>
        </w:rPr>
        <w:t xml:space="preserve">As a network, </w:t>
      </w:r>
      <w:r w:rsidRPr="00314EC8">
        <w:rPr>
          <w:lang w:val="en-US"/>
        </w:rPr>
        <w:t>Equinet promotes equality in Europe by supporting the work of its members as independent and effective institutions and valuable catal</w:t>
      </w:r>
      <w:r w:rsidR="00B015CB" w:rsidRPr="00314EC8">
        <w:rPr>
          <w:lang w:val="en-US"/>
        </w:rPr>
        <w:t>ysts for more equal societies.</w:t>
      </w:r>
      <w:r w:rsidR="001875F5">
        <w:rPr>
          <w:lang w:val="en-US"/>
        </w:rPr>
        <w:t xml:space="preserve"> </w:t>
      </w:r>
      <w:r w:rsidR="00AE6658">
        <w:rPr>
          <w:lang w:val="en-US"/>
        </w:rPr>
        <w:t xml:space="preserve">While </w:t>
      </w:r>
      <w:r w:rsidR="001875F5" w:rsidRPr="00314EC8">
        <w:rPr>
          <w:lang w:val="en-US"/>
        </w:rPr>
        <w:t xml:space="preserve">equality bodies conduct their work mainly at national level, Equinet works to contribute to </w:t>
      </w:r>
      <w:r w:rsidR="001875F5" w:rsidRPr="00314EC8">
        <w:rPr>
          <w:lang w:val="en-US"/>
        </w:rPr>
        <w:lastRenderedPageBreak/>
        <w:t xml:space="preserve">the EU </w:t>
      </w:r>
      <w:r w:rsidR="001875F5">
        <w:rPr>
          <w:lang w:val="en-US"/>
        </w:rPr>
        <w:t>and European a</w:t>
      </w:r>
      <w:r w:rsidR="001875F5" w:rsidRPr="00314EC8">
        <w:rPr>
          <w:lang w:val="en-US"/>
        </w:rPr>
        <w:t>genda</w:t>
      </w:r>
      <w:r w:rsidR="001875F5">
        <w:rPr>
          <w:lang w:val="en-US"/>
        </w:rPr>
        <w:t>s</w:t>
      </w:r>
      <w:r w:rsidR="001875F5" w:rsidRPr="00314EC8">
        <w:rPr>
          <w:lang w:val="en-US"/>
        </w:rPr>
        <w:t xml:space="preserve">, </w:t>
      </w:r>
      <w:r w:rsidR="001875F5" w:rsidRPr="00AF3C6B">
        <w:rPr>
          <w:b/>
          <w:lang w:val="en-US"/>
        </w:rPr>
        <w:t>and this submission therefore concerns issues both related to national and international level</w:t>
      </w:r>
      <w:r w:rsidR="00AF3C6B">
        <w:rPr>
          <w:b/>
          <w:lang w:val="en-US"/>
        </w:rPr>
        <w:t>s</w:t>
      </w:r>
      <w:r w:rsidR="001875F5" w:rsidRPr="00314EC8">
        <w:rPr>
          <w:lang w:val="en-US"/>
        </w:rPr>
        <w:t xml:space="preserve">. </w:t>
      </w:r>
    </w:p>
    <w:p w14:paraId="617DA2E0" w14:textId="21693233" w:rsidR="001875F5" w:rsidRDefault="00706C93" w:rsidP="003659B1">
      <w:pPr>
        <w:spacing w:line="360" w:lineRule="auto"/>
        <w:jc w:val="both"/>
        <w:rPr>
          <w:lang w:val="en-US"/>
        </w:rPr>
      </w:pPr>
      <w:r>
        <w:rPr>
          <w:lang w:val="en-US"/>
        </w:rPr>
        <w:t>In the current submission, w</w:t>
      </w:r>
      <w:r w:rsidR="001875F5">
        <w:rPr>
          <w:lang w:val="en-US"/>
        </w:rPr>
        <w:t xml:space="preserve">e will </w:t>
      </w:r>
      <w:r w:rsidR="007A663A" w:rsidRPr="00033630">
        <w:rPr>
          <w:lang w:val="en-US"/>
        </w:rPr>
        <w:t xml:space="preserve">mainly focus on the </w:t>
      </w:r>
      <w:r w:rsidR="007A663A" w:rsidRPr="00033630">
        <w:rPr>
          <w:b/>
          <w:lang w:val="en-US"/>
        </w:rPr>
        <w:t xml:space="preserve">legal </w:t>
      </w:r>
      <w:r w:rsidR="00B56FDB" w:rsidRPr="00033630">
        <w:rPr>
          <w:b/>
          <w:lang w:val="en-US"/>
        </w:rPr>
        <w:t xml:space="preserve">concept and </w:t>
      </w:r>
      <w:r w:rsidR="007A663A" w:rsidRPr="00033630">
        <w:rPr>
          <w:b/>
          <w:lang w:val="en-US"/>
        </w:rPr>
        <w:t>framework for protection against dis</w:t>
      </w:r>
      <w:r w:rsidR="008C21B5" w:rsidRPr="00033630">
        <w:rPr>
          <w:b/>
          <w:lang w:val="en-US"/>
        </w:rPr>
        <w:t>crimination based on disability</w:t>
      </w:r>
      <w:r w:rsidR="00A03FD6" w:rsidRPr="00033630">
        <w:rPr>
          <w:lang w:val="en-US"/>
        </w:rPr>
        <w:t xml:space="preserve">, </w:t>
      </w:r>
      <w:r w:rsidR="008C21B5" w:rsidRPr="00033630">
        <w:rPr>
          <w:lang w:val="en-US"/>
        </w:rPr>
        <w:t xml:space="preserve">including </w:t>
      </w:r>
      <w:r w:rsidR="007A663A" w:rsidRPr="00033630">
        <w:rPr>
          <w:lang w:val="en-US"/>
        </w:rPr>
        <w:t>intersectional discrimination</w:t>
      </w:r>
      <w:r w:rsidR="00FF6D10" w:rsidRPr="00033630">
        <w:rPr>
          <w:lang w:val="en-US"/>
        </w:rPr>
        <w:t xml:space="preserve"> and reasonable accommodation. Further on, we will</w:t>
      </w:r>
      <w:r w:rsidR="001F619A">
        <w:rPr>
          <w:lang w:val="en-US"/>
        </w:rPr>
        <w:t xml:space="preserve"> give</w:t>
      </w:r>
      <w:r w:rsidR="00FF6D10" w:rsidRPr="00033630">
        <w:rPr>
          <w:lang w:val="en-US"/>
        </w:rPr>
        <w:t xml:space="preserve"> input on </w:t>
      </w:r>
      <w:r w:rsidR="007A663A" w:rsidRPr="00033630">
        <w:rPr>
          <w:b/>
          <w:lang w:val="en-US"/>
        </w:rPr>
        <w:t>the role of equality bodies in the implementation of the UN CRPD</w:t>
      </w:r>
      <w:r w:rsidR="007A663A" w:rsidRPr="00033630">
        <w:rPr>
          <w:lang w:val="en-US"/>
        </w:rPr>
        <w:t xml:space="preserve"> </w:t>
      </w:r>
      <w:r w:rsidR="00B015CB" w:rsidRPr="00033630">
        <w:rPr>
          <w:lang w:val="en-US"/>
        </w:rPr>
        <w:t xml:space="preserve">in the </w:t>
      </w:r>
      <w:r w:rsidR="006F0BF9" w:rsidRPr="00033630">
        <w:rPr>
          <w:lang w:val="en-US"/>
        </w:rPr>
        <w:t xml:space="preserve">Member </w:t>
      </w:r>
      <w:r w:rsidR="001D2D5C" w:rsidRPr="00033630">
        <w:rPr>
          <w:lang w:val="en-US"/>
        </w:rPr>
        <w:t>S</w:t>
      </w:r>
      <w:r w:rsidR="00B015CB" w:rsidRPr="00033630">
        <w:rPr>
          <w:lang w:val="en-US"/>
        </w:rPr>
        <w:t>tates</w:t>
      </w:r>
      <w:r w:rsidR="00FF6D10" w:rsidRPr="00033630">
        <w:rPr>
          <w:lang w:val="en-US"/>
        </w:rPr>
        <w:t xml:space="preserve">, and issues related to </w:t>
      </w:r>
      <w:r w:rsidR="00FF6D10" w:rsidRPr="00033630">
        <w:rPr>
          <w:b/>
          <w:lang w:val="en-US"/>
        </w:rPr>
        <w:t>legal remedies and affirmative action</w:t>
      </w:r>
      <w:r w:rsidR="007A663A" w:rsidRPr="00033630">
        <w:rPr>
          <w:lang w:val="en-US"/>
        </w:rPr>
        <w:t>.</w:t>
      </w:r>
      <w:r w:rsidR="00033630">
        <w:rPr>
          <w:lang w:val="en-US"/>
        </w:rPr>
        <w:t xml:space="preserve"> E</w:t>
      </w:r>
      <w:r w:rsidR="00956CE6">
        <w:rPr>
          <w:lang w:val="en-US"/>
        </w:rPr>
        <w:t>a</w:t>
      </w:r>
      <w:r w:rsidR="00033630">
        <w:rPr>
          <w:lang w:val="en-US"/>
        </w:rPr>
        <w:t>ch section of the submission will make reference to the relevant</w:t>
      </w:r>
      <w:r w:rsidR="001875F5" w:rsidRPr="001875F5">
        <w:rPr>
          <w:lang w:val="en-US"/>
        </w:rPr>
        <w:t xml:space="preserve"> </w:t>
      </w:r>
      <w:r w:rsidR="001875F5">
        <w:rPr>
          <w:lang w:val="en-US"/>
        </w:rPr>
        <w:t>number and</w:t>
      </w:r>
      <w:r w:rsidR="001875F5" w:rsidRPr="001875F5">
        <w:rPr>
          <w:lang w:val="en-US"/>
        </w:rPr>
        <w:t xml:space="preserve"> heading of the paragraph </w:t>
      </w:r>
      <w:r w:rsidR="001875F5">
        <w:rPr>
          <w:lang w:val="en-US"/>
        </w:rPr>
        <w:t>in the outline of the General C</w:t>
      </w:r>
      <w:r w:rsidR="001875F5" w:rsidRPr="001875F5">
        <w:rPr>
          <w:lang w:val="en-US"/>
        </w:rPr>
        <w:t>omment</w:t>
      </w:r>
      <w:r w:rsidR="001875F5">
        <w:rPr>
          <w:lang w:val="en-US"/>
        </w:rPr>
        <w:t>.</w:t>
      </w:r>
      <w:r w:rsidR="00033630">
        <w:rPr>
          <w:lang w:val="en-US"/>
        </w:rPr>
        <w:t xml:space="preserve"> </w:t>
      </w:r>
    </w:p>
    <w:p w14:paraId="67A5DD2A" w14:textId="77777777" w:rsidR="001F619A" w:rsidRDefault="001F619A" w:rsidP="003659B1">
      <w:pPr>
        <w:spacing w:line="360" w:lineRule="auto"/>
        <w:jc w:val="both"/>
        <w:rPr>
          <w:lang w:val="en-US"/>
        </w:rPr>
      </w:pPr>
    </w:p>
    <w:p w14:paraId="6A16B184" w14:textId="3BD04D9F" w:rsidR="00B56FDB" w:rsidRDefault="001875F5" w:rsidP="003659B1">
      <w:pPr>
        <w:pStyle w:val="Heading2"/>
        <w:numPr>
          <w:ilvl w:val="0"/>
          <w:numId w:val="1"/>
        </w:numPr>
        <w:shd w:val="clear" w:color="auto" w:fill="F2F2F2" w:themeFill="background1" w:themeFillShade="F2"/>
        <w:spacing w:line="360" w:lineRule="auto"/>
        <w:jc w:val="both"/>
        <w:rPr>
          <w:rFonts w:asciiTheme="minorHAnsi" w:hAnsiTheme="minorHAnsi"/>
          <w:lang w:val="en-US"/>
        </w:rPr>
      </w:pPr>
      <w:bookmarkStart w:id="1" w:name="_Toc486511931"/>
      <w:r>
        <w:rPr>
          <w:rFonts w:asciiTheme="minorHAnsi" w:hAnsiTheme="minorHAnsi"/>
          <w:lang w:val="en-US"/>
        </w:rPr>
        <w:t>Equality and n</w:t>
      </w:r>
      <w:r w:rsidR="00B56FDB">
        <w:rPr>
          <w:rFonts w:asciiTheme="minorHAnsi" w:hAnsiTheme="minorHAnsi"/>
          <w:lang w:val="en-US"/>
        </w:rPr>
        <w:t>on-discrimination – both principle and right</w:t>
      </w:r>
      <w:bookmarkEnd w:id="1"/>
    </w:p>
    <w:p w14:paraId="03A4F949" w14:textId="64AE902E" w:rsidR="00B56FDB" w:rsidRPr="001875F5" w:rsidRDefault="00B56FDB" w:rsidP="003659B1">
      <w:pPr>
        <w:spacing w:line="360" w:lineRule="auto"/>
        <w:jc w:val="both"/>
        <w:rPr>
          <w:i/>
          <w:lang w:val="en-US"/>
        </w:rPr>
      </w:pPr>
      <w:r w:rsidRPr="001875F5">
        <w:rPr>
          <w:i/>
          <w:lang w:val="en-US"/>
        </w:rPr>
        <w:t xml:space="preserve">This section refers to the outline of the draft General Comment </w:t>
      </w:r>
      <w:r w:rsidRPr="001875F5">
        <w:rPr>
          <w:b/>
          <w:i/>
          <w:lang w:val="en-US"/>
        </w:rPr>
        <w:t>chapter I Introduction,</w:t>
      </w:r>
      <w:r w:rsidRPr="001875F5">
        <w:rPr>
          <w:i/>
          <w:lang w:val="en-US"/>
        </w:rPr>
        <w:t xml:space="preserve"> and in particular </w:t>
      </w:r>
      <w:r w:rsidRPr="004F5763">
        <w:rPr>
          <w:b/>
          <w:i/>
          <w:lang w:val="en-US"/>
        </w:rPr>
        <w:t>paragraph 4.</w:t>
      </w:r>
      <w:r w:rsidRPr="001875F5">
        <w:rPr>
          <w:i/>
          <w:lang w:val="en-US"/>
        </w:rPr>
        <w:t xml:space="preserve"> </w:t>
      </w:r>
      <w:r w:rsidRPr="004F5763">
        <w:rPr>
          <w:b/>
          <w:i/>
          <w:lang w:val="en-US"/>
        </w:rPr>
        <w:t>Legal character of art. 5</w:t>
      </w:r>
    </w:p>
    <w:p w14:paraId="7446F15F" w14:textId="77777777" w:rsidR="00D3660B" w:rsidRDefault="00706C93" w:rsidP="003659B1">
      <w:pPr>
        <w:spacing w:line="360" w:lineRule="auto"/>
        <w:jc w:val="both"/>
        <w:rPr>
          <w:b/>
          <w:lang w:val="en-US"/>
        </w:rPr>
      </w:pPr>
      <w:r>
        <w:rPr>
          <w:lang w:val="en-US"/>
        </w:rPr>
        <w:t>T</w:t>
      </w:r>
      <w:r w:rsidR="00B56FDB">
        <w:rPr>
          <w:lang w:val="en-US"/>
        </w:rPr>
        <w:t>he outline</w:t>
      </w:r>
      <w:r>
        <w:rPr>
          <w:lang w:val="en-US"/>
        </w:rPr>
        <w:t xml:space="preserve"> of the General Comment raises</w:t>
      </w:r>
      <w:r w:rsidR="00B56FDB">
        <w:rPr>
          <w:lang w:val="en-US"/>
        </w:rPr>
        <w:t xml:space="preserve"> the question of whether Article 5 constitutes a </w:t>
      </w:r>
      <w:r w:rsidR="00B56FDB" w:rsidRPr="00B56FDB">
        <w:rPr>
          <w:lang w:val="en-US"/>
        </w:rPr>
        <w:t xml:space="preserve">principle or </w:t>
      </w:r>
      <w:r>
        <w:rPr>
          <w:lang w:val="en-US"/>
        </w:rPr>
        <w:t xml:space="preserve">a </w:t>
      </w:r>
      <w:r w:rsidR="00B56FDB" w:rsidRPr="00B56FDB">
        <w:rPr>
          <w:lang w:val="en-US"/>
        </w:rPr>
        <w:t>right</w:t>
      </w:r>
      <w:r w:rsidR="00B56FDB">
        <w:rPr>
          <w:lang w:val="en-US"/>
        </w:rPr>
        <w:t xml:space="preserve">. From </w:t>
      </w:r>
      <w:proofErr w:type="spellStart"/>
      <w:r w:rsidR="00B56FDB">
        <w:rPr>
          <w:lang w:val="en-US"/>
        </w:rPr>
        <w:t>Equinet`s</w:t>
      </w:r>
      <w:proofErr w:type="spellEnd"/>
      <w:r w:rsidR="00B56FDB">
        <w:rPr>
          <w:lang w:val="en-US"/>
        </w:rPr>
        <w:t xml:space="preserve"> point of view, </w:t>
      </w:r>
      <w:r w:rsidR="00B56FDB" w:rsidRPr="00D95D12">
        <w:rPr>
          <w:b/>
          <w:lang w:val="en-US"/>
        </w:rPr>
        <w:t xml:space="preserve">it is clear that </w:t>
      </w:r>
      <w:r w:rsidRPr="00D95D12">
        <w:rPr>
          <w:b/>
          <w:lang w:val="en-US"/>
        </w:rPr>
        <w:t xml:space="preserve">equality and </w:t>
      </w:r>
      <w:r w:rsidR="00B56FDB" w:rsidRPr="00D95D12">
        <w:rPr>
          <w:b/>
          <w:lang w:val="en-US"/>
        </w:rPr>
        <w:t xml:space="preserve">non-discrimination </w:t>
      </w:r>
      <w:r w:rsidRPr="00D95D12">
        <w:rPr>
          <w:b/>
          <w:lang w:val="en-US"/>
        </w:rPr>
        <w:t>are</w:t>
      </w:r>
      <w:r w:rsidR="00B56FDB" w:rsidRPr="00D95D12">
        <w:rPr>
          <w:b/>
          <w:lang w:val="en-US"/>
        </w:rPr>
        <w:t xml:space="preserve"> both</w:t>
      </w:r>
      <w:r w:rsidR="00B56FDB" w:rsidRPr="00B56FDB">
        <w:rPr>
          <w:b/>
          <w:lang w:val="en-US"/>
        </w:rPr>
        <w:t>.</w:t>
      </w:r>
      <w:r w:rsidR="00080CD5">
        <w:rPr>
          <w:b/>
          <w:lang w:val="en-US"/>
        </w:rPr>
        <w:t xml:space="preserve"> </w:t>
      </w:r>
    </w:p>
    <w:p w14:paraId="0EBB606F" w14:textId="746C3E64" w:rsidR="00A02E7C" w:rsidRDefault="00080CD5" w:rsidP="003659B1">
      <w:pPr>
        <w:spacing w:line="360" w:lineRule="auto"/>
        <w:jc w:val="both"/>
        <w:rPr>
          <w:lang w:val="en-US"/>
        </w:rPr>
      </w:pPr>
      <w:r w:rsidRPr="00080CD5">
        <w:rPr>
          <w:lang w:val="en-US"/>
        </w:rPr>
        <w:t>A principle can be defined as a general law that has numerous special applications across a wide field.</w:t>
      </w:r>
      <w:r>
        <w:rPr>
          <w:lang w:val="en-US"/>
        </w:rPr>
        <w:t xml:space="preserve"> </w:t>
      </w:r>
      <w:r w:rsidR="00443EF9">
        <w:rPr>
          <w:lang w:val="en-US"/>
        </w:rPr>
        <w:t>E</w:t>
      </w:r>
      <w:r w:rsidR="001875F5">
        <w:rPr>
          <w:lang w:val="en-US"/>
        </w:rPr>
        <w:t xml:space="preserve">quality and </w:t>
      </w:r>
      <w:r>
        <w:rPr>
          <w:lang w:val="en-US"/>
        </w:rPr>
        <w:t>non-discrimination is</w:t>
      </w:r>
      <w:r w:rsidR="00DB5333">
        <w:rPr>
          <w:lang w:val="en-US"/>
        </w:rPr>
        <w:t xml:space="preserve"> listed in the General Principles in CRPD article 3, and is  </w:t>
      </w:r>
      <w:r>
        <w:rPr>
          <w:lang w:val="en-US"/>
        </w:rPr>
        <w:t xml:space="preserve"> highlighted in the preamble</w:t>
      </w:r>
      <w:r w:rsidR="00443EF9">
        <w:rPr>
          <w:lang w:val="en-US"/>
        </w:rPr>
        <w:t xml:space="preserve"> UN CRPD, as well as in article 4 concerning the general obligations under the convention</w:t>
      </w:r>
      <w:r>
        <w:rPr>
          <w:lang w:val="en-US"/>
        </w:rPr>
        <w:t>,</w:t>
      </w:r>
      <w:r w:rsidR="00706C93">
        <w:rPr>
          <w:lang w:val="en-US"/>
        </w:rPr>
        <w:t xml:space="preserve"> </w:t>
      </w:r>
      <w:r w:rsidR="00DB5333">
        <w:rPr>
          <w:lang w:val="en-US"/>
        </w:rPr>
        <w:t xml:space="preserve">underpinning </w:t>
      </w:r>
      <w:r w:rsidR="00D3660B">
        <w:rPr>
          <w:lang w:val="en-US"/>
        </w:rPr>
        <w:t>that</w:t>
      </w:r>
      <w:r w:rsidR="00DB5333">
        <w:rPr>
          <w:lang w:val="en-US"/>
        </w:rPr>
        <w:t xml:space="preserve"> equality and non-discrimination</w:t>
      </w:r>
      <w:r w:rsidR="00D3660B">
        <w:rPr>
          <w:lang w:val="en-US"/>
        </w:rPr>
        <w:t xml:space="preserve"> is to be considered an </w:t>
      </w:r>
      <w:r w:rsidR="00706C93">
        <w:rPr>
          <w:lang w:val="en-US"/>
        </w:rPr>
        <w:t>overarching principle of the convention. M</w:t>
      </w:r>
      <w:r w:rsidR="00443EF9">
        <w:rPr>
          <w:lang w:val="en-US"/>
        </w:rPr>
        <w:t>oreover</w:t>
      </w:r>
      <w:r w:rsidR="00706C93">
        <w:rPr>
          <w:lang w:val="en-US"/>
        </w:rPr>
        <w:t xml:space="preserve">, the same fundamental nature of equality and non-discrimination </w:t>
      </w:r>
      <w:r w:rsidR="002F6C78">
        <w:rPr>
          <w:lang w:val="en-US"/>
        </w:rPr>
        <w:t xml:space="preserve">as a principle </w:t>
      </w:r>
      <w:r w:rsidR="00706C93">
        <w:rPr>
          <w:lang w:val="en-US"/>
        </w:rPr>
        <w:t xml:space="preserve">is to be found </w:t>
      </w:r>
      <w:r w:rsidR="00443EF9">
        <w:rPr>
          <w:lang w:val="en-US"/>
        </w:rPr>
        <w:t xml:space="preserve"> in </w:t>
      </w:r>
      <w:r>
        <w:rPr>
          <w:lang w:val="en-US"/>
        </w:rPr>
        <w:t>a number of other core human rights instruments, including the Universal Declaration of Human Rights, the European Convention of Human rights, the UN Covenant on Civil and Political Right</w:t>
      </w:r>
      <w:r w:rsidR="00882CEF">
        <w:rPr>
          <w:lang w:val="en-US"/>
        </w:rPr>
        <w:t>s and the UN Convention on the R</w:t>
      </w:r>
      <w:r>
        <w:rPr>
          <w:lang w:val="en-US"/>
        </w:rPr>
        <w:t xml:space="preserve">ights of the Child. </w:t>
      </w:r>
      <w:r w:rsidR="00882CEF">
        <w:rPr>
          <w:lang w:val="en-US"/>
        </w:rPr>
        <w:t>Further on, the</w:t>
      </w:r>
      <w:r w:rsidR="00882CEF" w:rsidRPr="00882CEF">
        <w:rPr>
          <w:lang w:val="en-US"/>
        </w:rPr>
        <w:t xml:space="preserve"> E</w:t>
      </w:r>
      <w:r w:rsidR="00882CEF">
        <w:rPr>
          <w:lang w:val="en-US"/>
        </w:rPr>
        <w:t xml:space="preserve">uropean </w:t>
      </w:r>
      <w:r w:rsidR="00882CEF" w:rsidRPr="00882CEF">
        <w:rPr>
          <w:lang w:val="en-US"/>
        </w:rPr>
        <w:t>C</w:t>
      </w:r>
      <w:r w:rsidR="00882CEF">
        <w:rPr>
          <w:lang w:val="en-US"/>
        </w:rPr>
        <w:t xml:space="preserve">ourt of </w:t>
      </w:r>
      <w:r w:rsidR="00882CEF" w:rsidRPr="00882CEF">
        <w:rPr>
          <w:lang w:val="en-US"/>
        </w:rPr>
        <w:t>J</w:t>
      </w:r>
      <w:r w:rsidR="00882CEF">
        <w:rPr>
          <w:lang w:val="en-US"/>
        </w:rPr>
        <w:t>ustice</w:t>
      </w:r>
      <w:r w:rsidR="00882CEF" w:rsidRPr="00882CEF">
        <w:rPr>
          <w:lang w:val="en-US"/>
        </w:rPr>
        <w:t xml:space="preserve"> has held that the</w:t>
      </w:r>
      <w:r w:rsidR="00882CEF">
        <w:rPr>
          <w:lang w:val="en-US"/>
        </w:rPr>
        <w:t xml:space="preserve"> </w:t>
      </w:r>
      <w:r w:rsidR="00882CEF" w:rsidRPr="00882CEF">
        <w:rPr>
          <w:lang w:val="en-US"/>
        </w:rPr>
        <w:t xml:space="preserve">principle of </w:t>
      </w:r>
      <w:r w:rsidR="00882CEF">
        <w:rPr>
          <w:lang w:val="en-US"/>
        </w:rPr>
        <w:t>non-discrimination</w:t>
      </w:r>
      <w:r w:rsidR="00882CEF" w:rsidRPr="00882CEF">
        <w:rPr>
          <w:lang w:val="en-US"/>
        </w:rPr>
        <w:t xml:space="preserve">s one of the general principles of </w:t>
      </w:r>
      <w:r w:rsidR="00882CEF">
        <w:rPr>
          <w:lang w:val="en-US"/>
        </w:rPr>
        <w:t>EU</w:t>
      </w:r>
      <w:r w:rsidR="00882CEF" w:rsidRPr="00882CEF">
        <w:rPr>
          <w:lang w:val="en-US"/>
        </w:rPr>
        <w:t xml:space="preserve"> law.</w:t>
      </w:r>
      <w:r w:rsidR="00882CEF">
        <w:rPr>
          <w:rStyle w:val="FootnoteReference"/>
          <w:lang w:val="en-US"/>
        </w:rPr>
        <w:footnoteReference w:id="4"/>
      </w:r>
      <w:r w:rsidR="00882CEF">
        <w:rPr>
          <w:lang w:val="en-US"/>
        </w:rPr>
        <w:t xml:space="preserve"> </w:t>
      </w:r>
    </w:p>
    <w:p w14:paraId="4942548B" w14:textId="19442E03" w:rsidR="00B56FDB" w:rsidRDefault="001875F5" w:rsidP="003659B1">
      <w:pPr>
        <w:spacing w:line="360" w:lineRule="auto"/>
        <w:jc w:val="both"/>
        <w:rPr>
          <w:lang w:val="en-US"/>
        </w:rPr>
      </w:pPr>
      <w:r>
        <w:rPr>
          <w:lang w:val="en-US"/>
        </w:rPr>
        <w:t>Understanding Article 5 as a principle also include</w:t>
      </w:r>
      <w:r w:rsidR="001F619A">
        <w:rPr>
          <w:lang w:val="en-US"/>
        </w:rPr>
        <w:t>s</w:t>
      </w:r>
      <w:r>
        <w:rPr>
          <w:lang w:val="en-US"/>
        </w:rPr>
        <w:t xml:space="preserve"> having due regard to this article when interpreting the other rights of the Convention. </w:t>
      </w:r>
      <w:r w:rsidR="00882CEF">
        <w:rPr>
          <w:lang w:val="en-US"/>
        </w:rPr>
        <w:t>Further on, the specific application</w:t>
      </w:r>
      <w:r w:rsidR="001F619A">
        <w:rPr>
          <w:lang w:val="en-US"/>
        </w:rPr>
        <w:t xml:space="preserve"> of</w:t>
      </w:r>
      <w:r w:rsidR="00882CEF">
        <w:rPr>
          <w:lang w:val="en-US"/>
        </w:rPr>
        <w:t xml:space="preserve"> th</w:t>
      </w:r>
      <w:r>
        <w:rPr>
          <w:lang w:val="en-US"/>
        </w:rPr>
        <w:t xml:space="preserve">e </w:t>
      </w:r>
      <w:r w:rsidR="00882CEF">
        <w:rPr>
          <w:lang w:val="en-US"/>
        </w:rPr>
        <w:t>principle</w:t>
      </w:r>
      <w:r>
        <w:rPr>
          <w:lang w:val="en-US"/>
        </w:rPr>
        <w:t xml:space="preserve"> of equality and non-discrimination</w:t>
      </w:r>
      <w:r w:rsidR="00882CEF">
        <w:rPr>
          <w:lang w:val="en-US"/>
        </w:rPr>
        <w:t xml:space="preserve"> in concrete cases constitutes </w:t>
      </w:r>
      <w:r w:rsidR="00882CEF" w:rsidRPr="00882CEF">
        <w:rPr>
          <w:b/>
          <w:lang w:val="en-US"/>
        </w:rPr>
        <w:t>a right</w:t>
      </w:r>
      <w:r w:rsidR="00882CEF">
        <w:rPr>
          <w:lang w:val="en-US"/>
        </w:rPr>
        <w:t xml:space="preserve"> for the individual to not be discriminated against. </w:t>
      </w:r>
      <w:r>
        <w:rPr>
          <w:lang w:val="en-US"/>
        </w:rPr>
        <w:t xml:space="preserve">This can be read directly from article 5 (2), which </w:t>
      </w:r>
      <w:r w:rsidR="00DF0C00">
        <w:rPr>
          <w:lang w:val="en-US"/>
        </w:rPr>
        <w:t>oblige</w:t>
      </w:r>
      <w:r>
        <w:rPr>
          <w:lang w:val="en-US"/>
        </w:rPr>
        <w:t xml:space="preserve"> the State Parties to </w:t>
      </w:r>
      <w:r w:rsidRPr="001875F5">
        <w:rPr>
          <w:lang w:val="en-US"/>
        </w:rPr>
        <w:t>prohibit all discrimination on the basis of disability</w:t>
      </w:r>
      <w:r>
        <w:rPr>
          <w:lang w:val="en-US"/>
        </w:rPr>
        <w:t>.</w:t>
      </w:r>
    </w:p>
    <w:p w14:paraId="6E45F2ED" w14:textId="77777777" w:rsidR="00A02E7C" w:rsidRDefault="00A02E7C" w:rsidP="003659B1">
      <w:pPr>
        <w:spacing w:line="360" w:lineRule="auto"/>
        <w:jc w:val="both"/>
        <w:rPr>
          <w:lang w:val="en-US"/>
        </w:rPr>
      </w:pPr>
    </w:p>
    <w:p w14:paraId="7A2B3D48" w14:textId="77777777" w:rsidR="007A663A" w:rsidRPr="00314EC8" w:rsidRDefault="007A663A" w:rsidP="003659B1">
      <w:pPr>
        <w:pStyle w:val="Heading2"/>
        <w:numPr>
          <w:ilvl w:val="0"/>
          <w:numId w:val="1"/>
        </w:numPr>
        <w:shd w:val="clear" w:color="auto" w:fill="F2F2F2" w:themeFill="background1" w:themeFillShade="F2"/>
        <w:spacing w:line="360" w:lineRule="auto"/>
        <w:jc w:val="both"/>
        <w:rPr>
          <w:rFonts w:asciiTheme="minorHAnsi" w:hAnsiTheme="minorHAnsi"/>
          <w:lang w:val="en-US"/>
        </w:rPr>
      </w:pPr>
      <w:bookmarkStart w:id="2" w:name="_Toc486511932"/>
      <w:r w:rsidRPr="00314EC8">
        <w:rPr>
          <w:rFonts w:asciiTheme="minorHAnsi" w:hAnsiTheme="minorHAnsi"/>
          <w:lang w:val="en-US"/>
        </w:rPr>
        <w:t>Legal framework for protection against discrimination</w:t>
      </w:r>
      <w:bookmarkEnd w:id="2"/>
    </w:p>
    <w:p w14:paraId="533B9ED3" w14:textId="77777777" w:rsidR="00FC030A" w:rsidRDefault="00FC030A" w:rsidP="003659B1">
      <w:pPr>
        <w:pStyle w:val="Heading3"/>
        <w:numPr>
          <w:ilvl w:val="1"/>
          <w:numId w:val="1"/>
        </w:numPr>
        <w:spacing w:line="360" w:lineRule="auto"/>
        <w:jc w:val="both"/>
        <w:rPr>
          <w:rFonts w:asciiTheme="minorHAnsi" w:hAnsiTheme="minorHAnsi"/>
          <w:lang w:val="en-US"/>
        </w:rPr>
      </w:pPr>
      <w:bookmarkStart w:id="3" w:name="_Toc486511933"/>
      <w:r w:rsidRPr="00314EC8">
        <w:rPr>
          <w:rFonts w:asciiTheme="minorHAnsi" w:hAnsiTheme="minorHAnsi"/>
          <w:lang w:val="en-US"/>
        </w:rPr>
        <w:t>Protection against discrimination outside employment</w:t>
      </w:r>
      <w:bookmarkEnd w:id="3"/>
    </w:p>
    <w:p w14:paraId="6D06DC3B" w14:textId="73AE3740" w:rsidR="005401F7" w:rsidRPr="001875F5" w:rsidRDefault="005401F7" w:rsidP="003659B1">
      <w:pPr>
        <w:spacing w:line="360" w:lineRule="auto"/>
        <w:jc w:val="both"/>
        <w:rPr>
          <w:i/>
          <w:lang w:val="en-US"/>
        </w:rPr>
      </w:pPr>
      <w:r w:rsidRPr="001875F5">
        <w:rPr>
          <w:i/>
          <w:lang w:val="en-US"/>
        </w:rPr>
        <w:t xml:space="preserve">This section refers to the outline of the draft General Comment </w:t>
      </w:r>
      <w:r w:rsidRPr="001875F5">
        <w:rPr>
          <w:b/>
          <w:i/>
          <w:lang w:val="en-US"/>
        </w:rPr>
        <w:t>chapter II on Normative Content</w:t>
      </w:r>
      <w:r w:rsidRPr="001875F5">
        <w:rPr>
          <w:i/>
          <w:lang w:val="en-US"/>
        </w:rPr>
        <w:t xml:space="preserve">, paragraph 7. Discrimination and </w:t>
      </w:r>
      <w:r w:rsidRPr="001875F5">
        <w:rPr>
          <w:b/>
          <w:i/>
          <w:lang w:val="en-US"/>
        </w:rPr>
        <w:t>chapter IV on State Party obligations,</w:t>
      </w:r>
      <w:r w:rsidRPr="001875F5">
        <w:rPr>
          <w:i/>
          <w:lang w:val="en-US"/>
        </w:rPr>
        <w:t xml:space="preserve"> paragraph 19. Legislative obligations: Anti-Discrimination Laws.</w:t>
      </w:r>
    </w:p>
    <w:p w14:paraId="21CBF63D" w14:textId="61227750" w:rsidR="00011A45" w:rsidRDefault="00995DCA" w:rsidP="003659B1">
      <w:pPr>
        <w:spacing w:line="360" w:lineRule="auto"/>
        <w:jc w:val="both"/>
        <w:rPr>
          <w:lang w:val="en-US"/>
        </w:rPr>
      </w:pPr>
      <w:r w:rsidRPr="00314EC8">
        <w:rPr>
          <w:lang w:val="en-US"/>
        </w:rPr>
        <w:lastRenderedPageBreak/>
        <w:t xml:space="preserve">According to CRPD article 5 </w:t>
      </w:r>
      <w:r w:rsidR="00A77ED7" w:rsidRPr="00314EC8">
        <w:rPr>
          <w:lang w:val="en-US"/>
        </w:rPr>
        <w:t xml:space="preserve">(2) </w:t>
      </w:r>
      <w:r w:rsidRPr="00314EC8">
        <w:rPr>
          <w:lang w:val="en-US"/>
        </w:rPr>
        <w:t xml:space="preserve">member states are obliged to ensure that </w:t>
      </w:r>
      <w:r w:rsidRPr="00314EC8">
        <w:rPr>
          <w:color w:val="000000"/>
          <w:shd w:val="clear" w:color="auto" w:fill="FFFFFF"/>
          <w:lang w:val="en-US"/>
        </w:rPr>
        <w:t>persons with disabilities have an “</w:t>
      </w:r>
      <w:r w:rsidRPr="00FE4D3A">
        <w:rPr>
          <w:i/>
          <w:color w:val="000000"/>
          <w:shd w:val="clear" w:color="auto" w:fill="FFFFFF"/>
          <w:lang w:val="en-US"/>
        </w:rPr>
        <w:t>equal and effective legal protection against discrimination on all grounds</w:t>
      </w:r>
      <w:r w:rsidRPr="00314EC8">
        <w:rPr>
          <w:color w:val="000000"/>
          <w:shd w:val="clear" w:color="auto" w:fill="FFFFFF"/>
          <w:lang w:val="en-US"/>
        </w:rPr>
        <w:t>.</w:t>
      </w:r>
      <w:r w:rsidRPr="00314EC8">
        <w:rPr>
          <w:lang w:val="en-US"/>
        </w:rPr>
        <w:t xml:space="preserve">” </w:t>
      </w:r>
      <w:r w:rsidR="0070004F" w:rsidRPr="00314EC8">
        <w:rPr>
          <w:lang w:val="en-US"/>
        </w:rPr>
        <w:t xml:space="preserve">According to this formulation, the protection against discrimination in the Convention concerns </w:t>
      </w:r>
      <w:r w:rsidR="0070004F" w:rsidRPr="004B1067">
        <w:rPr>
          <w:b/>
          <w:lang w:val="en-US"/>
        </w:rPr>
        <w:t>all areas of society</w:t>
      </w:r>
      <w:r w:rsidR="0070004F" w:rsidRPr="00314EC8">
        <w:rPr>
          <w:lang w:val="en-US"/>
        </w:rPr>
        <w:t xml:space="preserve">, including access to the </w:t>
      </w:r>
      <w:proofErr w:type="spellStart"/>
      <w:r w:rsidR="0070004F" w:rsidRPr="00314EC8">
        <w:rPr>
          <w:lang w:val="en-US"/>
        </w:rPr>
        <w:t>labour</w:t>
      </w:r>
      <w:proofErr w:type="spellEnd"/>
      <w:r w:rsidR="0070004F" w:rsidRPr="00314EC8">
        <w:rPr>
          <w:lang w:val="en-US"/>
        </w:rPr>
        <w:t xml:space="preserve"> market, education, goods and services, health services and social protection. </w:t>
      </w:r>
      <w:r w:rsidRPr="00314EC8">
        <w:rPr>
          <w:lang w:val="en-US"/>
        </w:rPr>
        <w:t xml:space="preserve">On the contrary, </w:t>
      </w:r>
      <w:r w:rsidR="0070004F" w:rsidRPr="00314EC8">
        <w:rPr>
          <w:lang w:val="en-US"/>
        </w:rPr>
        <w:t xml:space="preserve">the </w:t>
      </w:r>
      <w:r w:rsidR="00D75EF9" w:rsidRPr="004B1067">
        <w:rPr>
          <w:b/>
          <w:lang w:val="en-US"/>
        </w:rPr>
        <w:t>EU legal framework</w:t>
      </w:r>
      <w:r w:rsidR="008C21B5" w:rsidRPr="004B1067">
        <w:rPr>
          <w:b/>
          <w:lang w:val="en-US"/>
        </w:rPr>
        <w:t xml:space="preserve"> (Directive 2000/78/EC)</w:t>
      </w:r>
      <w:r w:rsidR="00D75EF9" w:rsidRPr="004B1067">
        <w:rPr>
          <w:b/>
          <w:lang w:val="en-US"/>
        </w:rPr>
        <w:t xml:space="preserve"> </w:t>
      </w:r>
      <w:r w:rsidR="00D75EF9" w:rsidRPr="00314EC8">
        <w:rPr>
          <w:lang w:val="en-US"/>
        </w:rPr>
        <w:t xml:space="preserve">only protects persons with disability in the </w:t>
      </w:r>
      <w:proofErr w:type="spellStart"/>
      <w:r w:rsidR="00D75EF9" w:rsidRPr="00314EC8">
        <w:rPr>
          <w:lang w:val="en-US"/>
        </w:rPr>
        <w:t>labo</w:t>
      </w:r>
      <w:r w:rsidR="00A03FD6" w:rsidRPr="00314EC8">
        <w:rPr>
          <w:lang w:val="en-US"/>
        </w:rPr>
        <w:t>u</w:t>
      </w:r>
      <w:r w:rsidR="00D75EF9" w:rsidRPr="00314EC8">
        <w:rPr>
          <w:lang w:val="en-US"/>
        </w:rPr>
        <w:t>r</w:t>
      </w:r>
      <w:proofErr w:type="spellEnd"/>
      <w:r w:rsidR="00D75EF9" w:rsidRPr="00314EC8">
        <w:rPr>
          <w:lang w:val="en-US"/>
        </w:rPr>
        <w:t xml:space="preserve"> market, leaving people </w:t>
      </w:r>
      <w:r w:rsidR="001F619A">
        <w:rPr>
          <w:lang w:val="en-US"/>
        </w:rPr>
        <w:t xml:space="preserve">with disabilities </w:t>
      </w:r>
      <w:r w:rsidR="00D75EF9" w:rsidRPr="00314EC8">
        <w:rPr>
          <w:lang w:val="en-US"/>
        </w:rPr>
        <w:t xml:space="preserve">without protection against discrimination </w:t>
      </w:r>
      <w:r w:rsidR="001D2D5C" w:rsidRPr="00314EC8">
        <w:rPr>
          <w:lang w:val="en-US"/>
        </w:rPr>
        <w:t xml:space="preserve">in </w:t>
      </w:r>
      <w:r w:rsidR="0070004F" w:rsidRPr="00314EC8">
        <w:rPr>
          <w:lang w:val="en-US"/>
        </w:rPr>
        <w:t xml:space="preserve">other areas </w:t>
      </w:r>
      <w:r w:rsidR="00D75EF9" w:rsidRPr="00314EC8">
        <w:rPr>
          <w:lang w:val="en-US"/>
        </w:rPr>
        <w:t>in a number of European countries.</w:t>
      </w:r>
      <w:r w:rsidR="00A77ED7" w:rsidRPr="00314EC8">
        <w:rPr>
          <w:lang w:val="en-US"/>
        </w:rPr>
        <w:t xml:space="preserve"> </w:t>
      </w:r>
      <w:r w:rsidR="00DF0C00" w:rsidRPr="00DF0C00">
        <w:rPr>
          <w:lang w:val="en-US"/>
        </w:rPr>
        <w:t xml:space="preserve"> </w:t>
      </w:r>
    </w:p>
    <w:p w14:paraId="3148E204" w14:textId="0C07730B" w:rsidR="00452D62" w:rsidRPr="00314EC8" w:rsidRDefault="00DF0C00" w:rsidP="003659B1">
      <w:pPr>
        <w:spacing w:line="360" w:lineRule="auto"/>
        <w:jc w:val="both"/>
        <w:rPr>
          <w:lang w:val="en-US"/>
        </w:rPr>
      </w:pPr>
      <w:r w:rsidRPr="00314EC8">
        <w:rPr>
          <w:lang w:val="en-US"/>
        </w:rPr>
        <w:t xml:space="preserve">At European level, </w:t>
      </w:r>
      <w:r>
        <w:rPr>
          <w:lang w:val="en-US"/>
        </w:rPr>
        <w:t>a directive concerning discrimination ou</w:t>
      </w:r>
      <w:r w:rsidR="00011A45">
        <w:rPr>
          <w:lang w:val="en-US"/>
        </w:rPr>
        <w:t xml:space="preserve">tside employment (the so-called </w:t>
      </w:r>
      <w:r>
        <w:rPr>
          <w:lang w:val="en-US"/>
        </w:rPr>
        <w:t xml:space="preserve">Horizontal Directive) </w:t>
      </w:r>
      <w:r w:rsidRPr="00314EC8">
        <w:rPr>
          <w:lang w:val="en-US"/>
        </w:rPr>
        <w:t xml:space="preserve">was </w:t>
      </w:r>
      <w:r w:rsidR="00011A45">
        <w:rPr>
          <w:lang w:val="en-US"/>
        </w:rPr>
        <w:t>proposed by the European Commission</w:t>
      </w:r>
      <w:r w:rsidRPr="00314EC8">
        <w:rPr>
          <w:lang w:val="en-US"/>
        </w:rPr>
        <w:t xml:space="preserve"> in 2008.</w:t>
      </w:r>
      <w:r w:rsidRPr="00314EC8">
        <w:rPr>
          <w:rStyle w:val="FootnoteReference"/>
          <w:lang w:val="en-US"/>
        </w:rPr>
        <w:footnoteReference w:id="5"/>
      </w:r>
      <w:r>
        <w:rPr>
          <w:lang w:val="en-US"/>
        </w:rPr>
        <w:t xml:space="preserve"> </w:t>
      </w:r>
      <w:r w:rsidRPr="00314EC8">
        <w:rPr>
          <w:lang w:val="en-US"/>
        </w:rPr>
        <w:t xml:space="preserve">However, this directive would require unanimous support in the Council of the EU and it has unfortunately not been moving forward due to objections from some </w:t>
      </w:r>
      <w:r>
        <w:rPr>
          <w:lang w:val="en-US"/>
        </w:rPr>
        <w:t>Member S</w:t>
      </w:r>
      <w:r w:rsidRPr="00314EC8">
        <w:rPr>
          <w:lang w:val="en-US"/>
        </w:rPr>
        <w:t>tates.</w:t>
      </w:r>
      <w:r>
        <w:rPr>
          <w:lang w:val="en-US"/>
        </w:rPr>
        <w:t xml:space="preserve"> </w:t>
      </w:r>
      <w:r w:rsidR="00A77ED7" w:rsidRPr="00314EC8">
        <w:rPr>
          <w:lang w:val="en-US"/>
        </w:rPr>
        <w:t xml:space="preserve">At national level, </w:t>
      </w:r>
      <w:r w:rsidR="0070004F" w:rsidRPr="00314EC8">
        <w:rPr>
          <w:lang w:val="en-US"/>
        </w:rPr>
        <w:t xml:space="preserve">several European </w:t>
      </w:r>
      <w:r>
        <w:rPr>
          <w:lang w:val="en-US"/>
        </w:rPr>
        <w:t>c</w:t>
      </w:r>
      <w:r w:rsidR="0070004F" w:rsidRPr="00314EC8">
        <w:rPr>
          <w:lang w:val="en-US"/>
        </w:rPr>
        <w:t xml:space="preserve">ountries have already </w:t>
      </w:r>
      <w:r w:rsidR="00452D62" w:rsidRPr="00314EC8">
        <w:rPr>
          <w:lang w:val="en-US"/>
        </w:rPr>
        <w:t>prohibited discrimination on the ground of disability outside employment. Even though there will always be room for improvement, one promising example can be found in the</w:t>
      </w:r>
      <w:r w:rsidR="00122EA8" w:rsidRPr="00314EC8">
        <w:rPr>
          <w:lang w:val="en-US"/>
        </w:rPr>
        <w:t xml:space="preserve"> Norwegian</w:t>
      </w:r>
      <w:r w:rsidR="00452D62" w:rsidRPr="00314EC8">
        <w:rPr>
          <w:lang w:val="en-US"/>
        </w:rPr>
        <w:t xml:space="preserve"> </w:t>
      </w:r>
      <w:r w:rsidR="00A77ED7" w:rsidRPr="00314EC8">
        <w:rPr>
          <w:lang w:val="en-US"/>
        </w:rPr>
        <w:t>Accessibility and Discrimination Act which covers discrimination on all areas</w:t>
      </w:r>
      <w:r w:rsidR="00452D62" w:rsidRPr="00314EC8">
        <w:rPr>
          <w:lang w:val="en-US"/>
        </w:rPr>
        <w:t xml:space="preserve"> and require all undertakings open to the public to be accessible for persons with disabilities</w:t>
      </w:r>
      <w:r w:rsidR="00A77ED7" w:rsidRPr="00314EC8">
        <w:rPr>
          <w:lang w:val="en-US"/>
        </w:rPr>
        <w:t>.</w:t>
      </w:r>
      <w:r w:rsidR="00D75EF9" w:rsidRPr="00314EC8">
        <w:rPr>
          <w:lang w:val="en-US"/>
        </w:rPr>
        <w:t xml:space="preserve"> </w:t>
      </w:r>
    </w:p>
    <w:p w14:paraId="5413735E" w14:textId="4634A41F" w:rsidR="00A03FD6" w:rsidRDefault="00452D62" w:rsidP="003659B1">
      <w:pPr>
        <w:shd w:val="clear" w:color="auto" w:fill="F2F2F2" w:themeFill="background1" w:themeFillShade="F2"/>
        <w:spacing w:line="360" w:lineRule="auto"/>
        <w:jc w:val="both"/>
        <w:rPr>
          <w:lang w:val="en-US"/>
        </w:rPr>
      </w:pPr>
      <w:r w:rsidRPr="00314EC8">
        <w:rPr>
          <w:lang w:val="en-US"/>
        </w:rPr>
        <w:t>Equinet recommends t</w:t>
      </w:r>
      <w:r w:rsidR="00D75EF9" w:rsidRPr="00314EC8">
        <w:rPr>
          <w:lang w:val="en-US"/>
        </w:rPr>
        <w:t xml:space="preserve">he </w:t>
      </w:r>
      <w:r w:rsidR="00A77ED7" w:rsidRPr="00314EC8">
        <w:rPr>
          <w:lang w:val="en-US"/>
        </w:rPr>
        <w:t>C</w:t>
      </w:r>
      <w:r w:rsidR="00D75EF9" w:rsidRPr="00314EC8">
        <w:rPr>
          <w:lang w:val="en-US"/>
        </w:rPr>
        <w:t xml:space="preserve">ommittee </w:t>
      </w:r>
      <w:r w:rsidRPr="00314EC8">
        <w:rPr>
          <w:lang w:val="en-US"/>
        </w:rPr>
        <w:t xml:space="preserve">to put a </w:t>
      </w:r>
      <w:r w:rsidRPr="00F56D6E">
        <w:rPr>
          <w:b/>
          <w:lang w:val="en-US"/>
        </w:rPr>
        <w:t>strong emphasis on the importance of</w:t>
      </w:r>
      <w:r w:rsidR="00A03FD6" w:rsidRPr="00F56D6E">
        <w:rPr>
          <w:b/>
          <w:lang w:val="en-US"/>
        </w:rPr>
        <w:t xml:space="preserve"> ado</w:t>
      </w:r>
      <w:r w:rsidRPr="00F56D6E">
        <w:rPr>
          <w:b/>
          <w:lang w:val="en-US"/>
        </w:rPr>
        <w:t xml:space="preserve">pting </w:t>
      </w:r>
      <w:r w:rsidR="00FE4D3A" w:rsidRPr="00F56D6E">
        <w:rPr>
          <w:b/>
          <w:lang w:val="en-US"/>
        </w:rPr>
        <w:t>comprehensive</w:t>
      </w:r>
      <w:r w:rsidR="00A03FD6" w:rsidRPr="00F56D6E">
        <w:rPr>
          <w:b/>
          <w:lang w:val="en-US"/>
        </w:rPr>
        <w:t xml:space="preserve"> legislation </w:t>
      </w:r>
      <w:r w:rsidR="00FC73E8" w:rsidRPr="00314EC8">
        <w:rPr>
          <w:lang w:val="en-US"/>
        </w:rPr>
        <w:t>at b</w:t>
      </w:r>
      <w:r w:rsidR="00FC73E8">
        <w:rPr>
          <w:lang w:val="en-US"/>
        </w:rPr>
        <w:t>oth national and European level</w:t>
      </w:r>
      <w:r w:rsidR="00FC73E8" w:rsidRPr="00314EC8">
        <w:rPr>
          <w:lang w:val="en-US"/>
        </w:rPr>
        <w:t xml:space="preserve"> </w:t>
      </w:r>
      <w:r w:rsidR="00A03FD6" w:rsidRPr="00F56D6E">
        <w:rPr>
          <w:b/>
          <w:lang w:val="en-US"/>
        </w:rPr>
        <w:t>prohibiting</w:t>
      </w:r>
      <w:r w:rsidR="00A351BE" w:rsidRPr="00F56D6E">
        <w:rPr>
          <w:b/>
          <w:lang w:val="en-US"/>
        </w:rPr>
        <w:t xml:space="preserve"> discrimination on the ground of disability</w:t>
      </w:r>
      <w:r w:rsidR="00A03FD6" w:rsidRPr="00F56D6E">
        <w:rPr>
          <w:b/>
          <w:lang w:val="en-US"/>
        </w:rPr>
        <w:t xml:space="preserve"> outside employment</w:t>
      </w:r>
      <w:r w:rsidR="00FC73E8">
        <w:rPr>
          <w:lang w:val="en-US"/>
        </w:rPr>
        <w:t>, including</w:t>
      </w:r>
      <w:r w:rsidR="00FE4D3A">
        <w:rPr>
          <w:lang w:val="en-US"/>
        </w:rPr>
        <w:t xml:space="preserve"> </w:t>
      </w:r>
      <w:r w:rsidR="00DF0C00">
        <w:rPr>
          <w:lang w:val="en-US"/>
        </w:rPr>
        <w:t xml:space="preserve">in </w:t>
      </w:r>
      <w:r w:rsidR="00FE4D3A">
        <w:rPr>
          <w:lang w:val="en-US"/>
        </w:rPr>
        <w:t>social protection, social advantage, education, goods and services and housing</w:t>
      </w:r>
      <w:r w:rsidR="00FC73E8">
        <w:rPr>
          <w:lang w:val="en-US"/>
        </w:rPr>
        <w:t>.</w:t>
      </w:r>
      <w:r w:rsidR="00FE4D3A">
        <w:rPr>
          <w:lang w:val="en-US"/>
        </w:rPr>
        <w:t xml:space="preserve"> </w:t>
      </w:r>
    </w:p>
    <w:p w14:paraId="093DB4AB" w14:textId="3C824131" w:rsidR="00FC030A" w:rsidRPr="00314EC8" w:rsidRDefault="00FC030A" w:rsidP="003659B1">
      <w:pPr>
        <w:pStyle w:val="Heading3"/>
        <w:numPr>
          <w:ilvl w:val="1"/>
          <w:numId w:val="1"/>
        </w:numPr>
        <w:spacing w:line="360" w:lineRule="auto"/>
        <w:jc w:val="both"/>
        <w:rPr>
          <w:rFonts w:asciiTheme="minorHAnsi" w:hAnsiTheme="minorHAnsi"/>
          <w:lang w:val="en-US"/>
        </w:rPr>
      </w:pPr>
      <w:bookmarkStart w:id="4" w:name="_Toc486511934"/>
      <w:r w:rsidRPr="00314EC8">
        <w:rPr>
          <w:rFonts w:asciiTheme="minorHAnsi" w:hAnsiTheme="minorHAnsi"/>
          <w:lang w:val="en-US"/>
        </w:rPr>
        <w:t>Intersectional</w:t>
      </w:r>
      <w:r w:rsidR="00DF0C00">
        <w:rPr>
          <w:rFonts w:asciiTheme="minorHAnsi" w:hAnsiTheme="minorHAnsi"/>
          <w:lang w:val="en-US"/>
        </w:rPr>
        <w:t xml:space="preserve"> and multiple</w:t>
      </w:r>
      <w:r w:rsidRPr="00314EC8">
        <w:rPr>
          <w:rFonts w:asciiTheme="minorHAnsi" w:hAnsiTheme="minorHAnsi"/>
          <w:lang w:val="en-US"/>
        </w:rPr>
        <w:t xml:space="preserve"> discrimination</w:t>
      </w:r>
      <w:bookmarkEnd w:id="4"/>
    </w:p>
    <w:p w14:paraId="335B3F3D" w14:textId="29FCDDB1" w:rsidR="005401F7" w:rsidRPr="00A15559" w:rsidRDefault="005401F7" w:rsidP="003659B1">
      <w:pPr>
        <w:spacing w:line="360" w:lineRule="auto"/>
        <w:jc w:val="both"/>
        <w:rPr>
          <w:i/>
          <w:lang w:val="en-US"/>
        </w:rPr>
      </w:pPr>
      <w:r w:rsidRPr="00A15559">
        <w:rPr>
          <w:i/>
          <w:lang w:val="en-US"/>
        </w:rPr>
        <w:t xml:space="preserve">This section refers to the outline of the draft General Comment </w:t>
      </w:r>
      <w:r w:rsidRPr="00A15559">
        <w:rPr>
          <w:b/>
          <w:i/>
          <w:lang w:val="en-US"/>
        </w:rPr>
        <w:t>chapter II on Normative Content,</w:t>
      </w:r>
      <w:r w:rsidRPr="00A15559">
        <w:rPr>
          <w:i/>
          <w:lang w:val="en-US"/>
        </w:rPr>
        <w:t xml:space="preserve"> paragraph 7. Discrimination and </w:t>
      </w:r>
      <w:r w:rsidRPr="00A15559">
        <w:rPr>
          <w:b/>
          <w:i/>
          <w:lang w:val="en-US"/>
        </w:rPr>
        <w:t>chapter IV on State Party obligations</w:t>
      </w:r>
      <w:r w:rsidRPr="00A15559">
        <w:rPr>
          <w:i/>
          <w:lang w:val="en-US"/>
        </w:rPr>
        <w:t>, paragraph 19. Legislative obligations: Anti-Discrimination Laws.</w:t>
      </w:r>
    </w:p>
    <w:p w14:paraId="1F48BD98" w14:textId="183C7320" w:rsidR="00FA491F" w:rsidRPr="00314EC8" w:rsidRDefault="00FA491F" w:rsidP="003659B1">
      <w:pPr>
        <w:spacing w:line="360" w:lineRule="auto"/>
        <w:jc w:val="both"/>
        <w:rPr>
          <w:lang w:val="en-US"/>
        </w:rPr>
      </w:pPr>
      <w:r w:rsidRPr="00314EC8">
        <w:rPr>
          <w:lang w:val="en-US"/>
        </w:rPr>
        <w:t xml:space="preserve">In the preamble of the </w:t>
      </w:r>
      <w:r w:rsidR="00F9300A" w:rsidRPr="00314EC8">
        <w:rPr>
          <w:lang w:val="en-US"/>
        </w:rPr>
        <w:t>UN CRPD</w:t>
      </w:r>
      <w:r w:rsidR="00F56D6E">
        <w:rPr>
          <w:lang w:val="en-US"/>
        </w:rPr>
        <w:t xml:space="preserve">, </w:t>
      </w:r>
      <w:r w:rsidRPr="00314EC8">
        <w:rPr>
          <w:lang w:val="en-US"/>
        </w:rPr>
        <w:t>the State Parties highlights the “</w:t>
      </w:r>
      <w:r w:rsidRPr="00FE4D3A">
        <w:rPr>
          <w:i/>
          <w:lang w:val="en-US"/>
        </w:rPr>
        <w:t xml:space="preserve">difficult conditions faced by persons with disabilities who are subject to multiple or aggravated forms of discrimination on the basis of race, </w:t>
      </w:r>
      <w:proofErr w:type="spellStart"/>
      <w:r w:rsidRPr="00FE4D3A">
        <w:rPr>
          <w:i/>
          <w:lang w:val="en-US"/>
        </w:rPr>
        <w:t>colour</w:t>
      </w:r>
      <w:proofErr w:type="spellEnd"/>
      <w:r w:rsidRPr="00FE4D3A">
        <w:rPr>
          <w:i/>
          <w:lang w:val="en-US"/>
        </w:rPr>
        <w:t>, sex, language, religion, political or other opinion, national, ethnic, indigenous or social origin, property, birth, age or other status</w:t>
      </w:r>
      <w:r w:rsidR="00C22877" w:rsidRPr="00314EC8">
        <w:rPr>
          <w:lang w:val="en-US"/>
        </w:rPr>
        <w:t>”</w:t>
      </w:r>
      <w:r w:rsidR="00FE4D3A">
        <w:rPr>
          <w:lang w:val="en-US"/>
        </w:rPr>
        <w:t>. F</w:t>
      </w:r>
      <w:r w:rsidR="00C22877" w:rsidRPr="00314EC8">
        <w:rPr>
          <w:lang w:val="en-US"/>
        </w:rPr>
        <w:t>urther on, multiple discrimination</w:t>
      </w:r>
      <w:r w:rsidR="00706C93">
        <w:rPr>
          <w:lang w:val="en-US"/>
        </w:rPr>
        <w:t xml:space="preserve"> of women and girls with disabilities is regulated </w:t>
      </w:r>
      <w:r w:rsidR="00C22877" w:rsidRPr="00314EC8">
        <w:rPr>
          <w:lang w:val="en-US"/>
        </w:rPr>
        <w:t xml:space="preserve">in article 6 of the </w:t>
      </w:r>
      <w:r w:rsidR="00E16CDB">
        <w:rPr>
          <w:lang w:val="en-US"/>
        </w:rPr>
        <w:t>Convention</w:t>
      </w:r>
      <w:r w:rsidR="00C22877" w:rsidRPr="00314EC8">
        <w:rPr>
          <w:lang w:val="en-US"/>
        </w:rPr>
        <w:t xml:space="preserve">. </w:t>
      </w:r>
    </w:p>
    <w:p w14:paraId="449E2FE8" w14:textId="7519C774" w:rsidR="00FA491F" w:rsidRPr="00314EC8" w:rsidRDefault="00FA491F" w:rsidP="003659B1">
      <w:pPr>
        <w:spacing w:line="360" w:lineRule="auto"/>
        <w:jc w:val="both"/>
        <w:rPr>
          <w:lang w:val="en-US"/>
        </w:rPr>
      </w:pPr>
      <w:r w:rsidRPr="00314EC8">
        <w:rPr>
          <w:lang w:val="en-US"/>
        </w:rPr>
        <w:t>Multiple</w:t>
      </w:r>
      <w:r w:rsidR="00DF0C00">
        <w:rPr>
          <w:lang w:val="en-US"/>
        </w:rPr>
        <w:t xml:space="preserve"> </w:t>
      </w:r>
      <w:r w:rsidRPr="00314EC8">
        <w:rPr>
          <w:lang w:val="en-US"/>
        </w:rPr>
        <w:t>discrimination involves discrimination on a combination of grounds.</w:t>
      </w:r>
      <w:r w:rsidR="00FC73E8" w:rsidRPr="00FC73E8">
        <w:rPr>
          <w:lang w:val="en-US"/>
        </w:rPr>
        <w:t xml:space="preserve"> </w:t>
      </w:r>
      <w:r w:rsidR="00E6793F">
        <w:rPr>
          <w:lang w:val="en-US"/>
        </w:rPr>
        <w:t xml:space="preserve">However, </w:t>
      </w:r>
      <w:r w:rsidR="00FC73E8" w:rsidRPr="00122EA8">
        <w:rPr>
          <w:lang w:val="en-US"/>
        </w:rPr>
        <w:t>persons have multiple identities and it is important to take into account their specific situation, experience and identity. This is crucial in responding to intersectional discrimination</w:t>
      </w:r>
      <w:r w:rsidR="00FC73E8">
        <w:rPr>
          <w:lang w:val="en-US"/>
        </w:rPr>
        <w:t xml:space="preserve"> </w:t>
      </w:r>
      <w:r w:rsidRPr="00314EC8">
        <w:rPr>
          <w:lang w:val="en-US"/>
        </w:rPr>
        <w:t>where different grounds interact in a manner that makes them inseparable.</w:t>
      </w:r>
      <w:r w:rsidR="00FC73E8" w:rsidRPr="00FC73E8">
        <w:rPr>
          <w:rStyle w:val="FootnoteReference"/>
          <w:lang w:val="en-US"/>
        </w:rPr>
        <w:t xml:space="preserve"> </w:t>
      </w:r>
      <w:r w:rsidR="00FC73E8" w:rsidRPr="00314EC8">
        <w:rPr>
          <w:rStyle w:val="FootnoteReference"/>
          <w:lang w:val="en-US"/>
        </w:rPr>
        <w:footnoteReference w:id="6"/>
      </w:r>
      <w:r w:rsidRPr="00314EC8">
        <w:rPr>
          <w:lang w:val="en-US"/>
        </w:rPr>
        <w:t xml:space="preserve"> </w:t>
      </w:r>
    </w:p>
    <w:p w14:paraId="1B7F0134" w14:textId="5AB1D867" w:rsidR="00DF0C00" w:rsidRDefault="00FA491F" w:rsidP="003659B1">
      <w:pPr>
        <w:spacing w:line="360" w:lineRule="auto"/>
        <w:jc w:val="both"/>
        <w:rPr>
          <w:lang w:val="en-US"/>
        </w:rPr>
      </w:pPr>
      <w:r w:rsidRPr="00314EC8">
        <w:rPr>
          <w:lang w:val="en-US"/>
        </w:rPr>
        <w:t>To a certain extent, multiple discrimination can be dealt with within existing EU legal frameworks</w:t>
      </w:r>
      <w:r w:rsidR="00F56D6E">
        <w:rPr>
          <w:lang w:val="en-US"/>
        </w:rPr>
        <w:t xml:space="preserve">, </w:t>
      </w:r>
      <w:r w:rsidR="002D6D84" w:rsidRPr="00314EC8">
        <w:rPr>
          <w:lang w:val="en-US"/>
        </w:rPr>
        <w:t>but only in employmen</w:t>
      </w:r>
      <w:r w:rsidR="00F56D6E">
        <w:rPr>
          <w:lang w:val="en-US"/>
        </w:rPr>
        <w:t>t</w:t>
      </w:r>
      <w:r w:rsidR="002D6D84" w:rsidRPr="00314EC8">
        <w:rPr>
          <w:lang w:val="en-US"/>
        </w:rPr>
        <w:t>. S</w:t>
      </w:r>
      <w:r w:rsidRPr="00314EC8">
        <w:rPr>
          <w:lang w:val="en-US"/>
        </w:rPr>
        <w:t xml:space="preserve">everal countries </w:t>
      </w:r>
      <w:r w:rsidR="002D6D84" w:rsidRPr="00314EC8">
        <w:rPr>
          <w:lang w:val="en-US"/>
        </w:rPr>
        <w:t xml:space="preserve">also </w:t>
      </w:r>
      <w:r w:rsidRPr="00314EC8">
        <w:rPr>
          <w:lang w:val="en-US"/>
        </w:rPr>
        <w:t xml:space="preserve">have </w:t>
      </w:r>
      <w:r w:rsidR="002D6D84" w:rsidRPr="00314EC8">
        <w:rPr>
          <w:lang w:val="en-US"/>
        </w:rPr>
        <w:t xml:space="preserve">national </w:t>
      </w:r>
      <w:r w:rsidRPr="00314EC8">
        <w:rPr>
          <w:lang w:val="en-US"/>
        </w:rPr>
        <w:t>anti-discrimination legislation which includes provisions concerning multiple discrimination.</w:t>
      </w:r>
      <w:r w:rsidRPr="00314EC8">
        <w:rPr>
          <w:rStyle w:val="FootnoteReference"/>
          <w:lang w:val="en-US"/>
        </w:rPr>
        <w:footnoteReference w:id="7"/>
      </w:r>
      <w:r w:rsidRPr="00314EC8">
        <w:rPr>
          <w:lang w:val="en-US"/>
        </w:rPr>
        <w:t xml:space="preserve"> However, </w:t>
      </w:r>
      <w:r w:rsidR="00A351BE" w:rsidRPr="00F56D6E">
        <w:rPr>
          <w:b/>
          <w:lang w:val="en-US"/>
        </w:rPr>
        <w:t xml:space="preserve">European anti-discrimination law </w:t>
      </w:r>
      <w:r w:rsidRPr="00F56D6E">
        <w:rPr>
          <w:b/>
          <w:lang w:val="en-US"/>
        </w:rPr>
        <w:t xml:space="preserve">and many national legislations </w:t>
      </w:r>
      <w:r w:rsidR="00575A9B" w:rsidRPr="00F56D6E">
        <w:rPr>
          <w:b/>
          <w:lang w:val="en-US"/>
        </w:rPr>
        <w:t xml:space="preserve">do </w:t>
      </w:r>
      <w:r w:rsidR="00A351BE" w:rsidRPr="00F56D6E">
        <w:rPr>
          <w:b/>
          <w:lang w:val="en-US"/>
        </w:rPr>
        <w:t>not cover intersectional discrimination</w:t>
      </w:r>
      <w:r w:rsidR="00A351BE" w:rsidRPr="00314EC8">
        <w:rPr>
          <w:lang w:val="en-US"/>
        </w:rPr>
        <w:t xml:space="preserve">, leaving for example </w:t>
      </w:r>
      <w:r w:rsidR="00452D62" w:rsidRPr="00314EC8">
        <w:rPr>
          <w:lang w:val="en-US"/>
        </w:rPr>
        <w:t>girls and</w:t>
      </w:r>
      <w:r w:rsidR="00A351BE" w:rsidRPr="00314EC8">
        <w:rPr>
          <w:lang w:val="en-US"/>
        </w:rPr>
        <w:t xml:space="preserve"> women with disabilities without</w:t>
      </w:r>
      <w:r w:rsidR="00254D8C" w:rsidRPr="00314EC8">
        <w:rPr>
          <w:lang w:val="en-US"/>
        </w:rPr>
        <w:t xml:space="preserve"> a</w:t>
      </w:r>
      <w:r w:rsidR="00A351BE" w:rsidRPr="00314EC8">
        <w:rPr>
          <w:lang w:val="en-US"/>
        </w:rPr>
        <w:t xml:space="preserve"> protection reflecting their particular vulnerab</w:t>
      </w:r>
      <w:r w:rsidR="00F56D6E">
        <w:rPr>
          <w:lang w:val="en-US"/>
        </w:rPr>
        <w:t>le situation</w:t>
      </w:r>
      <w:r w:rsidR="00452D62" w:rsidRPr="00314EC8">
        <w:rPr>
          <w:lang w:val="en-US"/>
        </w:rPr>
        <w:t xml:space="preserve"> and exposure to</w:t>
      </w:r>
      <w:r w:rsidR="00A351BE" w:rsidRPr="00314EC8">
        <w:rPr>
          <w:lang w:val="en-US"/>
        </w:rPr>
        <w:t xml:space="preserve"> discrimination and abuse.</w:t>
      </w:r>
      <w:r w:rsidR="00995DCA" w:rsidRPr="00314EC8">
        <w:rPr>
          <w:lang w:val="en-US"/>
        </w:rPr>
        <w:t xml:space="preserve"> </w:t>
      </w:r>
      <w:r w:rsidR="001514FA" w:rsidRPr="00314EC8">
        <w:rPr>
          <w:lang w:val="en-US"/>
        </w:rPr>
        <w:t>Th</w:t>
      </w:r>
      <w:r w:rsidR="001514FA">
        <w:rPr>
          <w:lang w:val="en-US"/>
        </w:rPr>
        <w:t>e lack of legislation regulating intersectional discrimination</w:t>
      </w:r>
      <w:r w:rsidR="001514FA" w:rsidRPr="00314EC8">
        <w:rPr>
          <w:lang w:val="en-US"/>
        </w:rPr>
        <w:t xml:space="preserve"> is problematic in the light of UN CRPD article 5 read in conjunction with article 6 and 7, even if the articles do</w:t>
      </w:r>
      <w:r w:rsidR="00E6793F">
        <w:rPr>
          <w:lang w:val="en-US"/>
        </w:rPr>
        <w:t xml:space="preserve"> no</w:t>
      </w:r>
      <w:r w:rsidR="001514FA" w:rsidRPr="00314EC8">
        <w:rPr>
          <w:lang w:val="en-US"/>
        </w:rPr>
        <w:t xml:space="preserve">t explicitly mention intersectionality. </w:t>
      </w:r>
      <w:r w:rsidR="00DF0C00">
        <w:rPr>
          <w:lang w:val="en-US"/>
        </w:rPr>
        <w:t>This issue has already been highlighted by the UN Committee on the right of the Child in the General Comment no. 9 from 2007 concerning the rights of children with disabilities:</w:t>
      </w:r>
    </w:p>
    <w:p w14:paraId="181285CA" w14:textId="150D165D" w:rsidR="00DF0C00" w:rsidRPr="00DF0C00" w:rsidRDefault="00DF0C00" w:rsidP="003659B1">
      <w:pPr>
        <w:spacing w:line="360" w:lineRule="auto"/>
        <w:ind w:left="708"/>
        <w:jc w:val="both"/>
        <w:rPr>
          <w:i/>
          <w:lang w:val="en-US"/>
        </w:rPr>
      </w:pPr>
      <w:r w:rsidRPr="00DF0C00">
        <w:rPr>
          <w:i/>
          <w:lang w:val="en-US"/>
        </w:rPr>
        <w:t>Girls with disabilities are often even more vulnerable to discrimination due to gender discrimination. In this context, States parties are requested to pay particular attention to girls with disabilities by taking the necessary measures, and when needed extra measures, in order to ensure that they are well protected, have access to all services and are fully included in society.</w:t>
      </w:r>
    </w:p>
    <w:p w14:paraId="03A0C043" w14:textId="1EA3D180" w:rsidR="00FA491F" w:rsidRPr="00314EC8" w:rsidRDefault="001F619A" w:rsidP="003659B1">
      <w:pPr>
        <w:spacing w:line="360" w:lineRule="auto"/>
        <w:jc w:val="both"/>
        <w:rPr>
          <w:lang w:val="en-US"/>
        </w:rPr>
      </w:pPr>
      <w:r>
        <w:rPr>
          <w:lang w:val="en-US"/>
        </w:rPr>
        <w:t>These considerations</w:t>
      </w:r>
      <w:r w:rsidR="00DF0C00">
        <w:rPr>
          <w:lang w:val="en-US"/>
        </w:rPr>
        <w:t xml:space="preserve"> from the UN CRC should be mirrored by the</w:t>
      </w:r>
      <w:r w:rsidR="001514FA">
        <w:rPr>
          <w:lang w:val="en-US"/>
        </w:rPr>
        <w:t xml:space="preserve"> UN CRPD, but not only re</w:t>
      </w:r>
      <w:r w:rsidR="00DF0C00">
        <w:rPr>
          <w:lang w:val="en-US"/>
        </w:rPr>
        <w:t>l</w:t>
      </w:r>
      <w:r w:rsidR="001514FA">
        <w:rPr>
          <w:lang w:val="en-US"/>
        </w:rPr>
        <w:t>a</w:t>
      </w:r>
      <w:r w:rsidR="00DF0C00">
        <w:rPr>
          <w:lang w:val="en-US"/>
        </w:rPr>
        <w:t xml:space="preserve">ted to children, and also on other ground such as sexual orientation, gender identity/expression, </w:t>
      </w:r>
      <w:r w:rsidR="001514FA">
        <w:rPr>
          <w:lang w:val="en-US"/>
        </w:rPr>
        <w:t>ethnicity, religion and belief.</w:t>
      </w:r>
      <w:r w:rsidR="00DF0C00">
        <w:rPr>
          <w:lang w:val="en-US"/>
        </w:rPr>
        <w:t xml:space="preserve"> </w:t>
      </w:r>
    </w:p>
    <w:p w14:paraId="48FC69CF" w14:textId="5162072B" w:rsidR="0012232A" w:rsidRPr="00314EC8" w:rsidRDefault="00282AFE" w:rsidP="003659B1">
      <w:pPr>
        <w:spacing w:line="360" w:lineRule="auto"/>
        <w:jc w:val="both"/>
        <w:rPr>
          <w:lang w:val="en-US"/>
        </w:rPr>
      </w:pPr>
      <w:r w:rsidRPr="00314EC8">
        <w:rPr>
          <w:lang w:val="en-US"/>
        </w:rPr>
        <w:t>D</w:t>
      </w:r>
      <w:r w:rsidR="0090694F" w:rsidRPr="00314EC8">
        <w:rPr>
          <w:lang w:val="en-US"/>
        </w:rPr>
        <w:t>ue to the synergistic nature of</w:t>
      </w:r>
      <w:r w:rsidRPr="00314EC8">
        <w:rPr>
          <w:lang w:val="en-US"/>
        </w:rPr>
        <w:t xml:space="preserve"> intersectional</w:t>
      </w:r>
      <w:r w:rsidR="0090694F" w:rsidRPr="00314EC8">
        <w:rPr>
          <w:lang w:val="en-US"/>
        </w:rPr>
        <w:t xml:space="preserve"> discrimination</w:t>
      </w:r>
      <w:r w:rsidRPr="00314EC8">
        <w:rPr>
          <w:lang w:val="en-US"/>
        </w:rPr>
        <w:t xml:space="preserve">, developing effective legislation on this form of discrimination </w:t>
      </w:r>
      <w:r w:rsidRPr="00E16CDB">
        <w:rPr>
          <w:b/>
          <w:lang w:val="en-US"/>
        </w:rPr>
        <w:t>can be a challenge</w:t>
      </w:r>
      <w:r w:rsidR="00F56D6E">
        <w:rPr>
          <w:lang w:val="en-US"/>
        </w:rPr>
        <w:t>.</w:t>
      </w:r>
      <w:r w:rsidR="002D0F86">
        <w:rPr>
          <w:lang w:val="en-US"/>
        </w:rPr>
        <w:t xml:space="preserve"> In a 2016 report fro</w:t>
      </w:r>
      <w:r w:rsidR="0090694F" w:rsidRPr="00314EC8">
        <w:rPr>
          <w:lang w:val="en-US"/>
        </w:rPr>
        <w:t>m the European network of legal experts in gender equality and non-discrimination, these and other challenges are taken into consideration</w:t>
      </w:r>
      <w:r w:rsidR="002D0F86">
        <w:rPr>
          <w:lang w:val="en-US"/>
        </w:rPr>
        <w:t>. T</w:t>
      </w:r>
      <w:r w:rsidR="0090694F" w:rsidRPr="00314EC8">
        <w:rPr>
          <w:lang w:val="en-US"/>
        </w:rPr>
        <w:t>he report argue</w:t>
      </w:r>
      <w:r w:rsidR="00575A9B" w:rsidRPr="00314EC8">
        <w:rPr>
          <w:lang w:val="en-US"/>
        </w:rPr>
        <w:t>s</w:t>
      </w:r>
      <w:r w:rsidR="0090694F" w:rsidRPr="00314EC8">
        <w:rPr>
          <w:lang w:val="en-US"/>
        </w:rPr>
        <w:t xml:space="preserve"> that discrimination law should focus on relationships of power in order to determine who to protect and how:</w:t>
      </w:r>
      <w:r w:rsidR="0090694F" w:rsidRPr="00314EC8">
        <w:rPr>
          <w:rStyle w:val="FootnoteReference"/>
          <w:lang w:val="en-US"/>
        </w:rPr>
        <w:footnoteReference w:id="8"/>
      </w:r>
    </w:p>
    <w:p w14:paraId="16740F21" w14:textId="77777777" w:rsidR="0012232A" w:rsidRPr="00314EC8" w:rsidRDefault="0090694F" w:rsidP="003659B1">
      <w:pPr>
        <w:spacing w:line="360" w:lineRule="auto"/>
        <w:ind w:left="708"/>
        <w:jc w:val="both"/>
        <w:rPr>
          <w:i/>
          <w:lang w:val="en-US"/>
        </w:rPr>
      </w:pPr>
      <w:r w:rsidRPr="00314EC8">
        <w:rPr>
          <w:i/>
          <w:lang w:val="en-US"/>
        </w:rPr>
        <w:t>Since everyone has a range of identities, a relational view allows us to see that some characteristics signal privilege, while others are relationships of disadvantage. In addition, the ways in which detriment or disadvantage is experienced might be significantly shaped by circumstances and context. Thus power operates vertically, diagonally and in layers. The aim of intersectionality should be to capture and address the wrongs suffered by those who are at the confluence of all these relationships.</w:t>
      </w:r>
    </w:p>
    <w:p w14:paraId="3DFE5BF2" w14:textId="4CE2594A" w:rsidR="00D85DEE" w:rsidRPr="00314EC8" w:rsidRDefault="00DE25CD" w:rsidP="003659B1">
      <w:pPr>
        <w:shd w:val="clear" w:color="auto" w:fill="F2F2F2" w:themeFill="background1" w:themeFillShade="F2"/>
        <w:spacing w:line="360" w:lineRule="auto"/>
        <w:jc w:val="both"/>
        <w:rPr>
          <w:lang w:val="en-US"/>
        </w:rPr>
      </w:pPr>
      <w:r w:rsidRPr="00314EC8">
        <w:rPr>
          <w:lang w:val="en-US"/>
        </w:rPr>
        <w:t>Even though developing such legislation can be challenging, Equinet recommends that that the</w:t>
      </w:r>
      <w:r w:rsidR="00AF5A86" w:rsidRPr="00314EC8">
        <w:rPr>
          <w:lang w:val="en-US"/>
        </w:rPr>
        <w:t xml:space="preserve"> Committee highlight</w:t>
      </w:r>
      <w:r w:rsidRPr="00314EC8">
        <w:rPr>
          <w:lang w:val="en-US"/>
        </w:rPr>
        <w:t>s</w:t>
      </w:r>
      <w:r w:rsidR="00AF5A86" w:rsidRPr="00314EC8">
        <w:rPr>
          <w:lang w:val="en-US"/>
        </w:rPr>
        <w:t xml:space="preserve"> the </w:t>
      </w:r>
      <w:r w:rsidR="00AF5A86" w:rsidRPr="00F56D6E">
        <w:rPr>
          <w:b/>
          <w:lang w:val="en-US"/>
        </w:rPr>
        <w:t>need for explicit legislation regulating</w:t>
      </w:r>
      <w:r w:rsidRPr="00F56D6E">
        <w:rPr>
          <w:b/>
          <w:lang w:val="en-US"/>
        </w:rPr>
        <w:t xml:space="preserve"> both</w:t>
      </w:r>
      <w:r w:rsidR="00AF5A86" w:rsidRPr="00F56D6E">
        <w:rPr>
          <w:b/>
          <w:lang w:val="en-US"/>
        </w:rPr>
        <w:t xml:space="preserve"> intersectional and multiple discrimination at national and European level</w:t>
      </w:r>
      <w:r w:rsidR="00F56D6E">
        <w:rPr>
          <w:b/>
          <w:lang w:val="en-US"/>
        </w:rPr>
        <w:t>s</w:t>
      </w:r>
      <w:r w:rsidR="00E16CDB">
        <w:rPr>
          <w:b/>
          <w:lang w:val="en-US"/>
        </w:rPr>
        <w:t xml:space="preserve"> on all grounds of discrimination</w:t>
      </w:r>
      <w:r w:rsidR="00AF5A86" w:rsidRPr="00314EC8">
        <w:rPr>
          <w:lang w:val="en-US"/>
        </w:rPr>
        <w:t xml:space="preserve">. </w:t>
      </w:r>
    </w:p>
    <w:p w14:paraId="4EE18EDB" w14:textId="1087F9AF" w:rsidR="00327801" w:rsidRDefault="00327801" w:rsidP="003659B1">
      <w:pPr>
        <w:pStyle w:val="Heading3"/>
        <w:numPr>
          <w:ilvl w:val="1"/>
          <w:numId w:val="1"/>
        </w:numPr>
        <w:spacing w:line="360" w:lineRule="auto"/>
        <w:jc w:val="both"/>
        <w:rPr>
          <w:rFonts w:asciiTheme="minorHAnsi" w:hAnsiTheme="minorHAnsi"/>
          <w:lang w:val="en-US"/>
        </w:rPr>
      </w:pPr>
      <w:bookmarkStart w:id="5" w:name="_Toc486511935"/>
      <w:r w:rsidRPr="00314EC8">
        <w:rPr>
          <w:rFonts w:asciiTheme="minorHAnsi" w:hAnsiTheme="minorHAnsi"/>
          <w:lang w:val="en-US"/>
        </w:rPr>
        <w:t xml:space="preserve">Reasonable </w:t>
      </w:r>
      <w:r w:rsidR="00CD516A">
        <w:rPr>
          <w:rFonts w:asciiTheme="minorHAnsi" w:hAnsiTheme="minorHAnsi"/>
          <w:lang w:val="en-US"/>
        </w:rPr>
        <w:t>a</w:t>
      </w:r>
      <w:r w:rsidRPr="00314EC8">
        <w:rPr>
          <w:rFonts w:asciiTheme="minorHAnsi" w:hAnsiTheme="minorHAnsi"/>
          <w:lang w:val="en-US"/>
        </w:rPr>
        <w:t>ccommodation</w:t>
      </w:r>
      <w:bookmarkEnd w:id="5"/>
    </w:p>
    <w:p w14:paraId="58414F05" w14:textId="48089E2F" w:rsidR="005401F7" w:rsidRPr="001875F5" w:rsidRDefault="005401F7" w:rsidP="003659B1">
      <w:pPr>
        <w:spacing w:line="360" w:lineRule="auto"/>
        <w:jc w:val="both"/>
        <w:rPr>
          <w:i/>
          <w:lang w:val="en-US"/>
        </w:rPr>
      </w:pPr>
      <w:r w:rsidRPr="001875F5">
        <w:rPr>
          <w:i/>
          <w:lang w:val="en-US"/>
        </w:rPr>
        <w:t>This section refers to the outline of the draft General Comment</w:t>
      </w:r>
      <w:r w:rsidRPr="001875F5">
        <w:rPr>
          <w:b/>
          <w:i/>
          <w:lang w:val="en-US"/>
        </w:rPr>
        <w:t xml:space="preserve"> chapter II on Normative Content,</w:t>
      </w:r>
      <w:r w:rsidRPr="001875F5">
        <w:rPr>
          <w:i/>
          <w:lang w:val="en-US"/>
        </w:rPr>
        <w:t xml:space="preserve"> paragraph 8. Reasonable </w:t>
      </w:r>
      <w:r w:rsidR="00FC3232" w:rsidRPr="001875F5">
        <w:rPr>
          <w:i/>
          <w:lang w:val="en-US"/>
        </w:rPr>
        <w:t>Accommodation</w:t>
      </w:r>
      <w:r w:rsidRPr="001875F5">
        <w:rPr>
          <w:i/>
          <w:lang w:val="en-US"/>
        </w:rPr>
        <w:t xml:space="preserve"> and </w:t>
      </w:r>
      <w:r w:rsidRPr="001875F5">
        <w:rPr>
          <w:b/>
          <w:i/>
          <w:lang w:val="en-US"/>
        </w:rPr>
        <w:t>chapter IV on State Party obligations</w:t>
      </w:r>
      <w:r w:rsidRPr="001875F5">
        <w:rPr>
          <w:i/>
          <w:lang w:val="en-US"/>
        </w:rPr>
        <w:t>, paragraph 19. Legislative obligations: Anti-Discrimination Laws.</w:t>
      </w:r>
    </w:p>
    <w:p w14:paraId="3F5C11F9" w14:textId="726BC8F9" w:rsidR="00D86494" w:rsidRPr="00314EC8" w:rsidRDefault="00D86494" w:rsidP="003659B1">
      <w:pPr>
        <w:spacing w:line="360" w:lineRule="auto"/>
        <w:jc w:val="both"/>
        <w:rPr>
          <w:lang w:val="en-US"/>
        </w:rPr>
      </w:pPr>
      <w:r w:rsidRPr="00314EC8">
        <w:rPr>
          <w:lang w:val="en-US"/>
        </w:rPr>
        <w:t>According to Article 5 (3), States Parties shall take all appropriate steps to ensure that reasonable accommodation is provided in order to promote equality and eliminate discrimination. To be in line with their obligations under the Convention, the State Parties should therefor</w:t>
      </w:r>
      <w:r w:rsidR="00A4438B">
        <w:rPr>
          <w:lang w:val="en-US"/>
        </w:rPr>
        <w:t>e</w:t>
      </w:r>
      <w:r w:rsidRPr="00314EC8">
        <w:rPr>
          <w:lang w:val="en-US"/>
        </w:rPr>
        <w:t xml:space="preserve"> explicitly define lack of reasonable accommodation as discrimination</w:t>
      </w:r>
      <w:r w:rsidR="00E16CDB">
        <w:rPr>
          <w:lang w:val="en-US"/>
        </w:rPr>
        <w:t xml:space="preserve"> in order to be in line with their obligations under the Convention</w:t>
      </w:r>
      <w:r w:rsidR="00224A10">
        <w:rPr>
          <w:lang w:val="en-US"/>
        </w:rPr>
        <w:t>.</w:t>
      </w:r>
    </w:p>
    <w:p w14:paraId="2054D96D" w14:textId="53C622E3" w:rsidR="00B21B3F" w:rsidRDefault="00DD78F0" w:rsidP="003659B1">
      <w:pPr>
        <w:spacing w:line="360" w:lineRule="auto"/>
        <w:jc w:val="both"/>
        <w:rPr>
          <w:lang w:val="en-US"/>
        </w:rPr>
      </w:pPr>
      <w:r>
        <w:rPr>
          <w:lang w:val="en-US"/>
        </w:rPr>
        <w:t xml:space="preserve">The obligation to </w:t>
      </w:r>
      <w:r w:rsidR="00D86494" w:rsidRPr="00314EC8">
        <w:rPr>
          <w:lang w:val="en-US"/>
        </w:rPr>
        <w:t>accommodat</w:t>
      </w:r>
      <w:r w:rsidR="00FD3D8F">
        <w:rPr>
          <w:lang w:val="en-US"/>
        </w:rPr>
        <w:t>e</w:t>
      </w:r>
      <w:r w:rsidR="00D86494" w:rsidRPr="00314EC8">
        <w:rPr>
          <w:lang w:val="en-US"/>
        </w:rPr>
        <w:t xml:space="preserve"> is not absolute. It is noteworthy that both the </w:t>
      </w:r>
      <w:r w:rsidR="001875F5">
        <w:rPr>
          <w:lang w:val="en-US"/>
        </w:rPr>
        <w:t xml:space="preserve">EU </w:t>
      </w:r>
      <w:r w:rsidR="00D86494" w:rsidRPr="00314EC8">
        <w:rPr>
          <w:lang w:val="en-US"/>
        </w:rPr>
        <w:t>General Framework Directive and the UN CRPD explicitly refer to the limitation of the “disproportionate burden” of the duty bearer, namely to the latter’s obligation to provide accommodation measures without however being encumbered by any substantial financial burden, something which would turn such measures into “unreasonable”.</w:t>
      </w:r>
      <w:r w:rsidR="001875F5">
        <w:rPr>
          <w:rStyle w:val="FootnoteReference"/>
          <w:lang w:val="en-US"/>
        </w:rPr>
        <w:footnoteReference w:id="9"/>
      </w:r>
      <w:r w:rsidR="00FD3D8F">
        <w:rPr>
          <w:lang w:val="en-US"/>
        </w:rPr>
        <w:t xml:space="preserve"> </w:t>
      </w:r>
      <w:r w:rsidR="00207C84" w:rsidRPr="00207C84">
        <w:rPr>
          <w:lang w:val="en-US"/>
        </w:rPr>
        <w:t>Considering Member States and local authorities</w:t>
      </w:r>
      <w:r w:rsidR="00207C84">
        <w:rPr>
          <w:lang w:val="en-US"/>
        </w:rPr>
        <w:t>’</w:t>
      </w:r>
      <w:r w:rsidR="00207C84" w:rsidRPr="00207C84">
        <w:rPr>
          <w:lang w:val="en-US"/>
        </w:rPr>
        <w:t xml:space="preserve"> particular role as duty bearers under the Convention, </w:t>
      </w:r>
      <w:r w:rsidR="00207C84">
        <w:rPr>
          <w:lang w:val="en-US"/>
        </w:rPr>
        <w:t>such public bodies</w:t>
      </w:r>
      <w:r w:rsidR="00207C84" w:rsidRPr="00207C84">
        <w:rPr>
          <w:lang w:val="en-US"/>
        </w:rPr>
        <w:t xml:space="preserve"> have a particular responsibility for providing persons with disabilities the necessary accommodation.</w:t>
      </w:r>
      <w:r w:rsidR="00207C84">
        <w:rPr>
          <w:lang w:val="en-US"/>
        </w:rPr>
        <w:t xml:space="preserve"> </w:t>
      </w:r>
      <w:r w:rsidR="00207C84" w:rsidRPr="00207C84">
        <w:rPr>
          <w:lang w:val="en-US"/>
        </w:rPr>
        <w:t>It is important that the concept of disproportionate burden must be interpreted narrowly to prevent an abuse of this exception.</w:t>
      </w:r>
    </w:p>
    <w:p w14:paraId="440D4960" w14:textId="77D0B622" w:rsidR="009E17B8" w:rsidRDefault="00F44B5D" w:rsidP="003659B1">
      <w:pPr>
        <w:spacing w:line="360" w:lineRule="auto"/>
        <w:jc w:val="both"/>
        <w:rPr>
          <w:lang w:val="en-US"/>
        </w:rPr>
      </w:pPr>
      <w:r>
        <w:rPr>
          <w:lang w:val="en-US"/>
        </w:rPr>
        <w:t xml:space="preserve">UN CRPD does not mention the questions of burden of proof. However, according to EU law, </w:t>
      </w:r>
      <w:r w:rsidRPr="00F44B5D">
        <w:rPr>
          <w:lang w:val="en-US"/>
        </w:rPr>
        <w:t>the burden of proof at first lies</w:t>
      </w:r>
      <w:r>
        <w:rPr>
          <w:lang w:val="en-US"/>
        </w:rPr>
        <w:t xml:space="preserve"> </w:t>
      </w:r>
      <w:r w:rsidRPr="00F44B5D">
        <w:rPr>
          <w:lang w:val="en-US"/>
        </w:rPr>
        <w:t>with the complainant – that is, it is up to the person complaining to present a certain</w:t>
      </w:r>
      <w:r>
        <w:rPr>
          <w:lang w:val="en-US"/>
        </w:rPr>
        <w:t xml:space="preserve"> </w:t>
      </w:r>
      <w:r w:rsidRPr="00F44B5D">
        <w:rPr>
          <w:lang w:val="en-US"/>
        </w:rPr>
        <w:t xml:space="preserve">amount and certain type of evidence supporting their claim. </w:t>
      </w:r>
      <w:r>
        <w:rPr>
          <w:lang w:val="en-US"/>
        </w:rPr>
        <w:t>However, in discrimination cases, o</w:t>
      </w:r>
      <w:r w:rsidRPr="00F44B5D">
        <w:rPr>
          <w:lang w:val="en-US"/>
        </w:rPr>
        <w:t>nce the</w:t>
      </w:r>
      <w:r>
        <w:rPr>
          <w:lang w:val="en-US"/>
        </w:rPr>
        <w:t xml:space="preserve"> complainant</w:t>
      </w:r>
      <w:r w:rsidRPr="00F44B5D">
        <w:rPr>
          <w:lang w:val="en-US"/>
        </w:rPr>
        <w:t xml:space="preserve"> provide the</w:t>
      </w:r>
      <w:r>
        <w:rPr>
          <w:lang w:val="en-US"/>
        </w:rPr>
        <w:t xml:space="preserve"> </w:t>
      </w:r>
      <w:r w:rsidRPr="00F44B5D">
        <w:rPr>
          <w:lang w:val="en-US"/>
        </w:rPr>
        <w:t>required amount of evidence, the burden of proof shifts to the defendant</w:t>
      </w:r>
      <w:r>
        <w:rPr>
          <w:lang w:val="en-US"/>
        </w:rPr>
        <w:t xml:space="preserve"> cf.</w:t>
      </w:r>
      <w:r w:rsidRPr="00F44B5D">
        <w:rPr>
          <w:lang w:val="en-US"/>
        </w:rPr>
        <w:t xml:space="preserve"> </w:t>
      </w:r>
      <w:r>
        <w:rPr>
          <w:lang w:val="en-US"/>
        </w:rPr>
        <w:t>a</w:t>
      </w:r>
      <w:r w:rsidRPr="00F44B5D">
        <w:rPr>
          <w:lang w:val="en-US"/>
        </w:rPr>
        <w:t xml:space="preserve">rticles 8 </w:t>
      </w:r>
      <w:r>
        <w:rPr>
          <w:lang w:val="en-US"/>
        </w:rPr>
        <w:t xml:space="preserve">of the </w:t>
      </w:r>
      <w:r w:rsidRPr="00F44B5D">
        <w:rPr>
          <w:lang w:val="en-US"/>
        </w:rPr>
        <w:t xml:space="preserve">Race Directive and 10 </w:t>
      </w:r>
      <w:r>
        <w:rPr>
          <w:lang w:val="en-US"/>
        </w:rPr>
        <w:t xml:space="preserve">of the </w:t>
      </w:r>
      <w:r w:rsidRPr="00F44B5D">
        <w:rPr>
          <w:lang w:val="en-US"/>
        </w:rPr>
        <w:t>General Framework Directive.</w:t>
      </w:r>
      <w:r>
        <w:rPr>
          <w:lang w:val="en-US"/>
        </w:rPr>
        <w:t xml:space="preserve"> When developing a</w:t>
      </w:r>
      <w:r w:rsidR="00CD516A">
        <w:rPr>
          <w:lang w:val="en-US"/>
        </w:rPr>
        <w:t>n</w:t>
      </w:r>
      <w:r>
        <w:rPr>
          <w:lang w:val="en-US"/>
        </w:rPr>
        <w:t xml:space="preserve"> Equinet report on the Race and Fram</w:t>
      </w:r>
      <w:r w:rsidR="00F34A76">
        <w:rPr>
          <w:lang w:val="en-US"/>
        </w:rPr>
        <w:t>e</w:t>
      </w:r>
      <w:r>
        <w:rPr>
          <w:lang w:val="en-US"/>
        </w:rPr>
        <w:t>work Directive in 2013,</w:t>
      </w:r>
      <w:r w:rsidR="00F34A76">
        <w:rPr>
          <w:rStyle w:val="FootnoteReference"/>
          <w:lang w:val="en-US"/>
        </w:rPr>
        <w:footnoteReference w:id="10"/>
      </w:r>
      <w:r>
        <w:rPr>
          <w:lang w:val="en-US"/>
        </w:rPr>
        <w:t xml:space="preserve"> it became clear that there is need for a clarification of the use </w:t>
      </w:r>
      <w:r w:rsidR="00F34A76">
        <w:rPr>
          <w:lang w:val="en-US"/>
        </w:rPr>
        <w:t xml:space="preserve">of the burden of proof in these cases. </w:t>
      </w:r>
    </w:p>
    <w:p w14:paraId="7E07587A" w14:textId="5E943DB3" w:rsidR="009E17B8" w:rsidRDefault="00F34A76" w:rsidP="003659B1">
      <w:pPr>
        <w:shd w:val="clear" w:color="auto" w:fill="F2F2F2" w:themeFill="background1" w:themeFillShade="F2"/>
        <w:spacing w:after="0" w:line="360" w:lineRule="auto"/>
        <w:jc w:val="both"/>
        <w:rPr>
          <w:lang w:val="en-US"/>
        </w:rPr>
      </w:pPr>
      <w:r>
        <w:rPr>
          <w:lang w:val="en-US"/>
        </w:rPr>
        <w:t xml:space="preserve">Equinet </w:t>
      </w:r>
      <w:r w:rsidR="0069703A">
        <w:rPr>
          <w:lang w:val="en-US"/>
        </w:rPr>
        <w:t>therefor</w:t>
      </w:r>
      <w:r w:rsidR="00A32312">
        <w:rPr>
          <w:lang w:val="en-US"/>
        </w:rPr>
        <w:t>e</w:t>
      </w:r>
      <w:r w:rsidR="0069703A">
        <w:rPr>
          <w:lang w:val="en-US"/>
        </w:rPr>
        <w:t xml:space="preserve"> suggests </w:t>
      </w:r>
      <w:r w:rsidR="009E17B8">
        <w:rPr>
          <w:lang w:val="en-US"/>
        </w:rPr>
        <w:t>the</w:t>
      </w:r>
      <w:r w:rsidR="0069703A">
        <w:rPr>
          <w:lang w:val="en-US"/>
        </w:rPr>
        <w:t xml:space="preserve"> Committee to </w:t>
      </w:r>
      <w:r>
        <w:rPr>
          <w:lang w:val="en-US"/>
        </w:rPr>
        <w:t xml:space="preserve">recommend that the </w:t>
      </w:r>
      <w:r w:rsidRPr="001F619A">
        <w:rPr>
          <w:b/>
          <w:lang w:val="en-US"/>
        </w:rPr>
        <w:t xml:space="preserve">rule of the shifting burden of proof </w:t>
      </w:r>
      <w:r>
        <w:rPr>
          <w:lang w:val="en-US"/>
        </w:rPr>
        <w:t>should also apply to cases</w:t>
      </w:r>
      <w:r w:rsidR="005052D6" w:rsidRPr="005052D6">
        <w:rPr>
          <w:lang w:val="en-US"/>
        </w:rPr>
        <w:t xml:space="preserve"> </w:t>
      </w:r>
      <w:r w:rsidR="005052D6">
        <w:rPr>
          <w:lang w:val="en-US"/>
        </w:rPr>
        <w:t xml:space="preserve">on </w:t>
      </w:r>
      <w:r w:rsidR="005052D6" w:rsidRPr="005052D6">
        <w:rPr>
          <w:lang w:val="en-US"/>
        </w:rPr>
        <w:t>reasonable accommodation</w:t>
      </w:r>
      <w:r w:rsidR="005052D6">
        <w:rPr>
          <w:lang w:val="en-US"/>
        </w:rPr>
        <w:t xml:space="preserve">, </w:t>
      </w:r>
      <w:r>
        <w:rPr>
          <w:lang w:val="en-US"/>
        </w:rPr>
        <w:t>when taking into account that lack of reasonable accommodation is to be considered as discrimination under the Convention.</w:t>
      </w:r>
      <w:r w:rsidR="009E17B8">
        <w:rPr>
          <w:lang w:val="en-US"/>
        </w:rPr>
        <w:t xml:space="preserve"> Further on, the Committee should remind the State Parties of the obligation to </w:t>
      </w:r>
      <w:r w:rsidR="009E17B8" w:rsidRPr="005052D6">
        <w:rPr>
          <w:b/>
          <w:lang w:val="en-US"/>
        </w:rPr>
        <w:t>prohibit discrimination outside employment.</w:t>
      </w:r>
    </w:p>
    <w:p w14:paraId="22D5DBD3" w14:textId="77777777" w:rsidR="009E17B8" w:rsidRDefault="009E17B8" w:rsidP="003659B1">
      <w:pPr>
        <w:pStyle w:val="NoSpacing"/>
        <w:spacing w:line="360" w:lineRule="auto"/>
        <w:rPr>
          <w:lang w:val="en-US"/>
        </w:rPr>
      </w:pPr>
    </w:p>
    <w:p w14:paraId="3457FE6C" w14:textId="77777777" w:rsidR="0069703A" w:rsidRDefault="0069703A" w:rsidP="003659B1">
      <w:pPr>
        <w:pStyle w:val="NoSpacing"/>
        <w:spacing w:line="360" w:lineRule="auto"/>
        <w:rPr>
          <w:lang w:val="en-US"/>
        </w:rPr>
      </w:pPr>
    </w:p>
    <w:p w14:paraId="1412528C" w14:textId="77777777" w:rsidR="008209DE" w:rsidRPr="00314EC8" w:rsidRDefault="00A51E8C" w:rsidP="003659B1">
      <w:pPr>
        <w:pStyle w:val="Heading2"/>
        <w:numPr>
          <w:ilvl w:val="0"/>
          <w:numId w:val="1"/>
        </w:numPr>
        <w:shd w:val="clear" w:color="auto" w:fill="F2F2F2" w:themeFill="background1" w:themeFillShade="F2"/>
        <w:spacing w:line="360" w:lineRule="auto"/>
        <w:jc w:val="both"/>
        <w:rPr>
          <w:rFonts w:asciiTheme="minorHAnsi" w:hAnsiTheme="minorHAnsi"/>
          <w:lang w:val="en-US"/>
        </w:rPr>
      </w:pPr>
      <w:bookmarkStart w:id="6" w:name="_Toc486511936"/>
      <w:r w:rsidRPr="00314EC8">
        <w:rPr>
          <w:rFonts w:asciiTheme="minorHAnsi" w:hAnsiTheme="minorHAnsi"/>
          <w:lang w:val="en-US"/>
        </w:rPr>
        <w:t>Equality bodies</w:t>
      </w:r>
      <w:r w:rsidR="008209DE" w:rsidRPr="00314EC8">
        <w:rPr>
          <w:rFonts w:asciiTheme="minorHAnsi" w:hAnsiTheme="minorHAnsi"/>
          <w:lang w:val="en-US"/>
        </w:rPr>
        <w:t xml:space="preserve"> designated under</w:t>
      </w:r>
      <w:r w:rsidR="00775D87" w:rsidRPr="00314EC8">
        <w:rPr>
          <w:rFonts w:asciiTheme="minorHAnsi" w:hAnsiTheme="minorHAnsi"/>
          <w:lang w:val="en-US"/>
        </w:rPr>
        <w:t xml:space="preserve"> CRPD</w:t>
      </w:r>
      <w:r w:rsidR="008209DE" w:rsidRPr="00314EC8">
        <w:rPr>
          <w:rFonts w:asciiTheme="minorHAnsi" w:hAnsiTheme="minorHAnsi"/>
          <w:lang w:val="en-US"/>
        </w:rPr>
        <w:t xml:space="preserve"> article 33</w:t>
      </w:r>
      <w:bookmarkEnd w:id="6"/>
    </w:p>
    <w:p w14:paraId="1DF57DE2" w14:textId="6BC0EB6D" w:rsidR="007A663A" w:rsidRPr="00487C8D" w:rsidRDefault="00A03FD6" w:rsidP="00487C8D">
      <w:pPr>
        <w:spacing w:line="360" w:lineRule="auto"/>
        <w:jc w:val="both"/>
        <w:rPr>
          <w:i/>
          <w:lang w:val="en-US"/>
        </w:rPr>
      </w:pPr>
      <w:r w:rsidRPr="00487C8D">
        <w:rPr>
          <w:i/>
          <w:lang w:val="en-US"/>
        </w:rPr>
        <w:t>This section refers to the outlin</w:t>
      </w:r>
      <w:r w:rsidR="00221687" w:rsidRPr="00487C8D">
        <w:rPr>
          <w:i/>
          <w:lang w:val="en-US"/>
        </w:rPr>
        <w:t xml:space="preserve">e of the draft General Comment </w:t>
      </w:r>
      <w:r w:rsidR="007A663A" w:rsidRPr="00487C8D">
        <w:rPr>
          <w:i/>
          <w:lang w:val="en-US"/>
        </w:rPr>
        <w:t xml:space="preserve">chapter </w:t>
      </w:r>
      <w:r w:rsidRPr="00487C8D">
        <w:rPr>
          <w:i/>
          <w:lang w:val="en-US"/>
        </w:rPr>
        <w:t>IV</w:t>
      </w:r>
      <w:r w:rsidR="007A663A" w:rsidRPr="00487C8D">
        <w:rPr>
          <w:i/>
          <w:lang w:val="en-US"/>
        </w:rPr>
        <w:t xml:space="preserve"> on State Party obligations, in particular </w:t>
      </w:r>
      <w:r w:rsidR="00A77ED7" w:rsidRPr="00487C8D">
        <w:rPr>
          <w:i/>
          <w:lang w:val="en-US"/>
        </w:rPr>
        <w:t xml:space="preserve">paragraph </w:t>
      </w:r>
      <w:r w:rsidR="007A663A" w:rsidRPr="00487C8D">
        <w:rPr>
          <w:i/>
          <w:lang w:val="en-US"/>
        </w:rPr>
        <w:t xml:space="preserve">20 on Institutional obligations: equality courts, bodies, </w:t>
      </w:r>
      <w:r w:rsidR="00B57F5D" w:rsidRPr="00487C8D">
        <w:rPr>
          <w:i/>
          <w:lang w:val="en-US"/>
        </w:rPr>
        <w:t>ombudspersons</w:t>
      </w:r>
      <w:r w:rsidR="007A663A" w:rsidRPr="00487C8D">
        <w:rPr>
          <w:i/>
          <w:lang w:val="en-US"/>
        </w:rPr>
        <w:t xml:space="preserve"> and chapter 5 on National Monitoring, in particular </w:t>
      </w:r>
      <w:r w:rsidR="00A62F46" w:rsidRPr="00487C8D">
        <w:rPr>
          <w:i/>
          <w:lang w:val="en-US"/>
        </w:rPr>
        <w:t>paragraph</w:t>
      </w:r>
      <w:r w:rsidR="007A663A" w:rsidRPr="00487C8D">
        <w:rPr>
          <w:i/>
          <w:lang w:val="en-US"/>
        </w:rPr>
        <w:t xml:space="preserve"> 24 on Independent monitoring frameworks.</w:t>
      </w:r>
    </w:p>
    <w:p w14:paraId="6DEB0357" w14:textId="69C88C02" w:rsidR="008209DE" w:rsidRPr="00314EC8" w:rsidRDefault="00BB5261" w:rsidP="003659B1">
      <w:pPr>
        <w:spacing w:line="360" w:lineRule="auto"/>
        <w:jc w:val="both"/>
        <w:rPr>
          <w:lang w:val="en-US"/>
        </w:rPr>
      </w:pPr>
      <w:r w:rsidRPr="00314EC8">
        <w:rPr>
          <w:lang w:val="en-US"/>
        </w:rPr>
        <w:t>F</w:t>
      </w:r>
      <w:r w:rsidR="00FD3D8F">
        <w:rPr>
          <w:lang w:val="en-US"/>
        </w:rPr>
        <w:t>ift</w:t>
      </w:r>
      <w:r w:rsidRPr="00314EC8">
        <w:rPr>
          <w:lang w:val="en-US"/>
        </w:rPr>
        <w:t>een</w:t>
      </w:r>
      <w:r w:rsidR="008209DE" w:rsidRPr="00314EC8">
        <w:rPr>
          <w:lang w:val="en-US"/>
        </w:rPr>
        <w:t xml:space="preserve"> </w:t>
      </w:r>
      <w:proofErr w:type="spellStart"/>
      <w:r w:rsidR="00327801" w:rsidRPr="00314EC8">
        <w:rPr>
          <w:lang w:val="en-US"/>
        </w:rPr>
        <w:t>Equinet’s</w:t>
      </w:r>
      <w:proofErr w:type="spellEnd"/>
      <w:r w:rsidR="00327801" w:rsidRPr="00314EC8">
        <w:rPr>
          <w:lang w:val="en-US"/>
        </w:rPr>
        <w:t xml:space="preserve"> members</w:t>
      </w:r>
      <w:r w:rsidR="008209DE" w:rsidRPr="00314EC8">
        <w:rPr>
          <w:lang w:val="en-US"/>
        </w:rPr>
        <w:t xml:space="preserve"> </w:t>
      </w:r>
      <w:r w:rsidR="00D03E1B" w:rsidRPr="00314EC8">
        <w:rPr>
          <w:lang w:val="en-US"/>
        </w:rPr>
        <w:t>are designated</w:t>
      </w:r>
      <w:r w:rsidR="008209DE" w:rsidRPr="00314EC8">
        <w:rPr>
          <w:lang w:val="en-US"/>
        </w:rPr>
        <w:t xml:space="preserve"> as independent monitoring mechanisms for the UNCRPD in their countries.</w:t>
      </w:r>
      <w:r w:rsidRPr="00314EC8">
        <w:rPr>
          <w:rStyle w:val="FootnoteReference"/>
          <w:lang w:val="en-US"/>
        </w:rPr>
        <w:footnoteReference w:id="11"/>
      </w:r>
      <w:r w:rsidR="008209DE" w:rsidRPr="00314EC8">
        <w:rPr>
          <w:lang w:val="en-US"/>
        </w:rPr>
        <w:t xml:space="preserve"> </w:t>
      </w:r>
      <w:r w:rsidR="00D03E1B" w:rsidRPr="00314EC8">
        <w:rPr>
          <w:lang w:val="en-US"/>
        </w:rPr>
        <w:t>Many equality bodies have had disability rights in their mandate long before they were designated under article 33</w:t>
      </w:r>
      <w:r w:rsidR="00E16CDB">
        <w:rPr>
          <w:lang w:val="en-US"/>
        </w:rPr>
        <w:t>(2)</w:t>
      </w:r>
      <w:r w:rsidR="00D03E1B" w:rsidRPr="00314EC8">
        <w:rPr>
          <w:lang w:val="en-US"/>
        </w:rPr>
        <w:t xml:space="preserve">, and had thorough knowledge of the field and experience in </w:t>
      </w:r>
      <w:r w:rsidR="006F71E3" w:rsidRPr="00314EC8">
        <w:rPr>
          <w:lang w:val="en-US"/>
        </w:rPr>
        <w:t xml:space="preserve">handling complaints due to discrimination, promoting equalities and conducting surveys. </w:t>
      </w:r>
      <w:r w:rsidR="00D03E1B" w:rsidRPr="00314EC8">
        <w:rPr>
          <w:lang w:val="en-US"/>
        </w:rPr>
        <w:t xml:space="preserve"> </w:t>
      </w:r>
      <w:r w:rsidR="006F71E3" w:rsidRPr="00E16CDB">
        <w:rPr>
          <w:b/>
          <w:lang w:val="en-US"/>
        </w:rPr>
        <w:t>This ma</w:t>
      </w:r>
      <w:r w:rsidR="00221687" w:rsidRPr="00E16CDB">
        <w:rPr>
          <w:b/>
          <w:lang w:val="en-US"/>
        </w:rPr>
        <w:t>kes</w:t>
      </w:r>
      <w:r w:rsidR="006F71E3" w:rsidRPr="00E16CDB">
        <w:rPr>
          <w:b/>
          <w:lang w:val="en-US"/>
        </w:rPr>
        <w:t xml:space="preserve"> the equality bodies a natural choice when designating mechanisms at national level.</w:t>
      </w:r>
      <w:r w:rsidR="006F71E3" w:rsidRPr="00314EC8">
        <w:rPr>
          <w:lang w:val="en-US"/>
        </w:rPr>
        <w:t xml:space="preserve"> However, some equality bodies have face</w:t>
      </w:r>
      <w:r w:rsidR="00A62F46" w:rsidRPr="00314EC8">
        <w:rPr>
          <w:lang w:val="en-US"/>
        </w:rPr>
        <w:t>d</w:t>
      </w:r>
      <w:r w:rsidR="006F71E3" w:rsidRPr="00314EC8">
        <w:rPr>
          <w:lang w:val="en-US"/>
        </w:rPr>
        <w:t xml:space="preserve"> </w:t>
      </w:r>
      <w:r w:rsidR="006F71E3" w:rsidRPr="00E16CDB">
        <w:rPr>
          <w:b/>
          <w:lang w:val="en-US"/>
        </w:rPr>
        <w:t>challenges</w:t>
      </w:r>
      <w:r w:rsidR="006F71E3" w:rsidRPr="00314EC8">
        <w:rPr>
          <w:lang w:val="en-US"/>
        </w:rPr>
        <w:t xml:space="preserve"> in the new role</w:t>
      </w:r>
      <w:r w:rsidR="00221687" w:rsidRPr="00314EC8">
        <w:rPr>
          <w:lang w:val="en-US"/>
        </w:rPr>
        <w:t>,</w:t>
      </w:r>
      <w:r w:rsidR="00A62F46" w:rsidRPr="00314EC8">
        <w:rPr>
          <w:lang w:val="en-US"/>
        </w:rPr>
        <w:t xml:space="preserve"> </w:t>
      </w:r>
      <w:r w:rsidR="00A62F46" w:rsidRPr="00314EC8">
        <w:rPr>
          <w:i/>
          <w:lang w:val="en-US"/>
        </w:rPr>
        <w:t>inter alia</w:t>
      </w:r>
      <w:r w:rsidR="00A62F46" w:rsidRPr="00314EC8">
        <w:rPr>
          <w:lang w:val="en-US"/>
        </w:rPr>
        <w:t xml:space="preserve"> due to lack of additional resources to accompany these responsibilities</w:t>
      </w:r>
      <w:r w:rsidR="006F71E3" w:rsidRPr="00314EC8">
        <w:rPr>
          <w:lang w:val="en-US"/>
        </w:rPr>
        <w:t xml:space="preserve">. </w:t>
      </w:r>
      <w:r w:rsidR="00A62F46" w:rsidRPr="00314EC8">
        <w:rPr>
          <w:lang w:val="en-US"/>
        </w:rPr>
        <w:t>This was one of the findings in a</w:t>
      </w:r>
      <w:r w:rsidR="006F71E3" w:rsidRPr="00314EC8">
        <w:rPr>
          <w:lang w:val="en-US"/>
        </w:rPr>
        <w:t xml:space="preserve"> survey conducted by </w:t>
      </w:r>
      <w:r w:rsidR="00A62F46" w:rsidRPr="00314EC8">
        <w:rPr>
          <w:lang w:val="en-US"/>
        </w:rPr>
        <w:t>E</w:t>
      </w:r>
      <w:r w:rsidR="006F71E3" w:rsidRPr="00314EC8">
        <w:rPr>
          <w:lang w:val="en-US"/>
        </w:rPr>
        <w:t>quine</w:t>
      </w:r>
      <w:r w:rsidR="00A62F46" w:rsidRPr="00314EC8">
        <w:rPr>
          <w:lang w:val="en-US"/>
        </w:rPr>
        <w:t>t</w:t>
      </w:r>
      <w:r w:rsidR="006F71E3" w:rsidRPr="00314EC8">
        <w:rPr>
          <w:lang w:val="en-US"/>
        </w:rPr>
        <w:t xml:space="preserve"> in 2015 in relation to the development of the Equinet perspective </w:t>
      </w:r>
      <w:r w:rsidR="00221687" w:rsidRPr="00314EC8">
        <w:rPr>
          <w:lang w:val="en-US"/>
        </w:rPr>
        <w:t>“</w:t>
      </w:r>
      <w:proofErr w:type="spellStart"/>
      <w:r w:rsidR="006F71E3" w:rsidRPr="00314EC8">
        <w:rPr>
          <w:lang w:val="en-US"/>
        </w:rPr>
        <w:t>Realising</w:t>
      </w:r>
      <w:proofErr w:type="spellEnd"/>
      <w:r w:rsidR="006F71E3" w:rsidRPr="00314EC8">
        <w:rPr>
          <w:lang w:val="en-US"/>
        </w:rPr>
        <w:t xml:space="preserve"> Rights: Equality Bodie</w:t>
      </w:r>
      <w:r w:rsidR="00A62F46" w:rsidRPr="00314EC8">
        <w:rPr>
          <w:lang w:val="en-US"/>
        </w:rPr>
        <w:t>s and People with Disabilities.</w:t>
      </w:r>
      <w:r w:rsidR="00221687" w:rsidRPr="00314EC8">
        <w:rPr>
          <w:lang w:val="en-US"/>
        </w:rPr>
        <w:t>”</w:t>
      </w:r>
      <w:r w:rsidR="006F71E3" w:rsidRPr="00314EC8">
        <w:rPr>
          <w:rStyle w:val="FootnoteReference"/>
          <w:lang w:val="en-US"/>
        </w:rPr>
        <w:footnoteReference w:id="12"/>
      </w:r>
    </w:p>
    <w:p w14:paraId="7463C4E4" w14:textId="77777777" w:rsidR="00825A7F" w:rsidRDefault="000E0BFC" w:rsidP="003659B1">
      <w:pPr>
        <w:spacing w:line="360" w:lineRule="auto"/>
        <w:jc w:val="both"/>
        <w:rPr>
          <w:lang w:val="en-US"/>
        </w:rPr>
      </w:pPr>
      <w:r w:rsidRPr="00314EC8">
        <w:rPr>
          <w:lang w:val="en-US"/>
        </w:rPr>
        <w:t>According to</w:t>
      </w:r>
      <w:r w:rsidR="00A62F46" w:rsidRPr="00314EC8">
        <w:rPr>
          <w:lang w:val="en-US"/>
        </w:rPr>
        <w:t xml:space="preserve"> UNCRPD</w:t>
      </w:r>
      <w:r w:rsidRPr="00314EC8">
        <w:rPr>
          <w:lang w:val="en-US"/>
        </w:rPr>
        <w:t xml:space="preserve"> article 33 (2)</w:t>
      </w:r>
      <w:r w:rsidR="0041700D" w:rsidRPr="00314EC8">
        <w:rPr>
          <w:lang w:val="en-US"/>
        </w:rPr>
        <w:t xml:space="preserve"> the independent mechanisms shall promote, protect and monitor implementation of the Convention.  Further on, States Parties shall take into account the principles relating to the status and functioning of national institutions for protection and promotion of human rights (the Paris Principles).</w:t>
      </w:r>
      <w:r w:rsidR="000F49FE" w:rsidRPr="00314EC8">
        <w:rPr>
          <w:lang w:val="en-US"/>
        </w:rPr>
        <w:t xml:space="preserve"> Some equality bodies are </w:t>
      </w:r>
      <w:r w:rsidR="00B57F5D" w:rsidRPr="00314EC8">
        <w:rPr>
          <w:lang w:val="en-US"/>
        </w:rPr>
        <w:t xml:space="preserve">situated in organisations that are also </w:t>
      </w:r>
      <w:r w:rsidR="000F49FE" w:rsidRPr="00314EC8">
        <w:rPr>
          <w:lang w:val="en-US"/>
        </w:rPr>
        <w:t xml:space="preserve">designated as </w:t>
      </w:r>
      <w:r w:rsidR="00221687" w:rsidRPr="00314EC8">
        <w:rPr>
          <w:lang w:val="en-US"/>
        </w:rPr>
        <w:t>n</w:t>
      </w:r>
      <w:r w:rsidR="000F49FE" w:rsidRPr="00314EC8">
        <w:rPr>
          <w:lang w:val="en-US"/>
        </w:rPr>
        <w:t xml:space="preserve">ational </w:t>
      </w:r>
      <w:r w:rsidR="00221687" w:rsidRPr="00314EC8">
        <w:rPr>
          <w:lang w:val="en-US"/>
        </w:rPr>
        <w:t>human r</w:t>
      </w:r>
      <w:r w:rsidR="000F49FE" w:rsidRPr="00314EC8">
        <w:rPr>
          <w:lang w:val="en-US"/>
        </w:rPr>
        <w:t xml:space="preserve">ights </w:t>
      </w:r>
      <w:r w:rsidR="00221687" w:rsidRPr="00314EC8">
        <w:rPr>
          <w:lang w:val="en-US"/>
        </w:rPr>
        <w:t>i</w:t>
      </w:r>
      <w:r w:rsidR="000F49FE" w:rsidRPr="00314EC8">
        <w:rPr>
          <w:lang w:val="en-US"/>
        </w:rPr>
        <w:t xml:space="preserve">nstitutions. </w:t>
      </w:r>
    </w:p>
    <w:p w14:paraId="22C9F2F8" w14:textId="77777777" w:rsidR="00EF1B9A" w:rsidRDefault="000F49FE" w:rsidP="003659B1">
      <w:pPr>
        <w:spacing w:line="360" w:lineRule="auto"/>
        <w:jc w:val="both"/>
        <w:rPr>
          <w:lang w:val="en-US"/>
        </w:rPr>
      </w:pPr>
      <w:r w:rsidRPr="00314EC8">
        <w:rPr>
          <w:lang w:val="en-US"/>
        </w:rPr>
        <w:t xml:space="preserve">However, </w:t>
      </w:r>
      <w:r w:rsidR="00A62F46" w:rsidRPr="00825A7F">
        <w:rPr>
          <w:b/>
          <w:lang w:val="en-US"/>
        </w:rPr>
        <w:t>e</w:t>
      </w:r>
      <w:r w:rsidRPr="00825A7F">
        <w:rPr>
          <w:b/>
          <w:lang w:val="en-US"/>
        </w:rPr>
        <w:t>quality bodies are unique when compared to other institutions with mandates in the field of rights.</w:t>
      </w:r>
      <w:r w:rsidRPr="00314EC8">
        <w:rPr>
          <w:lang w:val="en-US"/>
        </w:rPr>
        <w:t xml:space="preserve"> This difference is evident in </w:t>
      </w:r>
      <w:r w:rsidR="00B57F5D" w:rsidRPr="00314EC8">
        <w:rPr>
          <w:lang w:val="en-US"/>
        </w:rPr>
        <w:t xml:space="preserve">that </w:t>
      </w:r>
      <w:r w:rsidRPr="00314EC8">
        <w:rPr>
          <w:lang w:val="en-US"/>
        </w:rPr>
        <w:t xml:space="preserve">the promotion of full equality in practice goes beyond rights, the focus on ground-based discrimination locates the individual rights holder as members of specific groups, the combination of enforcement and developmental approaches to their mandate, and the provision of assistance to individuals in cases of discrimination. </w:t>
      </w:r>
    </w:p>
    <w:p w14:paraId="6BEC224E" w14:textId="1D1072A6" w:rsidR="00B015CB" w:rsidRPr="00314EC8" w:rsidRDefault="000F49FE" w:rsidP="003659B1">
      <w:pPr>
        <w:spacing w:line="360" w:lineRule="auto"/>
        <w:jc w:val="both"/>
        <w:rPr>
          <w:lang w:val="en-US"/>
        </w:rPr>
      </w:pPr>
      <w:r w:rsidRPr="00314EC8">
        <w:rPr>
          <w:lang w:val="en-US"/>
        </w:rPr>
        <w:t xml:space="preserve">For this reason, </w:t>
      </w:r>
      <w:r w:rsidR="00B57F5D" w:rsidRPr="00314EC8">
        <w:rPr>
          <w:lang w:val="en-US"/>
        </w:rPr>
        <w:t xml:space="preserve">and taking into account that States Parties designated their equality bodies as CRPD independent mechanisms without making changes to ensure their full independence, sufficient resources and adequate functions, </w:t>
      </w:r>
      <w:r w:rsidRPr="00314EC8">
        <w:rPr>
          <w:lang w:val="en-US"/>
        </w:rPr>
        <w:t xml:space="preserve">Equinet finds that there is a need for particular </w:t>
      </w:r>
      <w:r w:rsidR="00EF1B9A">
        <w:rPr>
          <w:lang w:val="en-US"/>
        </w:rPr>
        <w:t xml:space="preserve">minimum </w:t>
      </w:r>
      <w:r w:rsidRPr="00314EC8">
        <w:rPr>
          <w:lang w:val="en-US"/>
        </w:rPr>
        <w:t xml:space="preserve">standards related to </w:t>
      </w:r>
      <w:r w:rsidR="00EF1B9A">
        <w:rPr>
          <w:lang w:val="en-US"/>
        </w:rPr>
        <w:t xml:space="preserve">the mandate, independence, effectiveness and establishment of </w:t>
      </w:r>
      <w:r w:rsidRPr="00314EC8">
        <w:rPr>
          <w:lang w:val="en-US"/>
        </w:rPr>
        <w:t>equality bodies, and have been advocating for the development of such standards since 2015.</w:t>
      </w:r>
      <w:r w:rsidRPr="00314EC8">
        <w:rPr>
          <w:rStyle w:val="FootnoteReference"/>
          <w:lang w:val="en-US"/>
        </w:rPr>
        <w:footnoteReference w:id="13"/>
      </w:r>
      <w:r w:rsidR="00B015CB" w:rsidRPr="00314EC8">
        <w:rPr>
          <w:lang w:val="en-US"/>
        </w:rPr>
        <w:t xml:space="preserve"> </w:t>
      </w:r>
    </w:p>
    <w:p w14:paraId="7BE40405" w14:textId="77777777" w:rsidR="001514FA" w:rsidRDefault="00A62F46" w:rsidP="003659B1">
      <w:pPr>
        <w:spacing w:line="360" w:lineRule="auto"/>
        <w:jc w:val="both"/>
        <w:rPr>
          <w:lang w:val="en-US"/>
        </w:rPr>
      </w:pPr>
      <w:r w:rsidRPr="00314EC8">
        <w:rPr>
          <w:lang w:val="en-US"/>
        </w:rPr>
        <w:t>Regardless of the name and the status of such standards, the States</w:t>
      </w:r>
      <w:r w:rsidR="00EF1B9A">
        <w:rPr>
          <w:lang w:val="en-US"/>
        </w:rPr>
        <w:t xml:space="preserve"> Parties</w:t>
      </w:r>
      <w:r w:rsidRPr="00314EC8">
        <w:rPr>
          <w:lang w:val="en-US"/>
        </w:rPr>
        <w:t xml:space="preserve"> need to ensure that the bod</w:t>
      </w:r>
      <w:r w:rsidR="00221687" w:rsidRPr="00314EC8">
        <w:rPr>
          <w:lang w:val="en-US"/>
        </w:rPr>
        <w:t>ies</w:t>
      </w:r>
      <w:r w:rsidRPr="00314EC8">
        <w:rPr>
          <w:lang w:val="en-US"/>
        </w:rPr>
        <w:t xml:space="preserve"> designated under the C</w:t>
      </w:r>
      <w:r w:rsidR="00221687" w:rsidRPr="00314EC8">
        <w:rPr>
          <w:lang w:val="en-US"/>
        </w:rPr>
        <w:t>RPD</w:t>
      </w:r>
      <w:r w:rsidRPr="00314EC8">
        <w:rPr>
          <w:lang w:val="en-US"/>
        </w:rPr>
        <w:t xml:space="preserve"> ha</w:t>
      </w:r>
      <w:r w:rsidR="00221687" w:rsidRPr="00314EC8">
        <w:rPr>
          <w:lang w:val="en-US"/>
        </w:rPr>
        <w:t xml:space="preserve">ve </w:t>
      </w:r>
      <w:r w:rsidRPr="00314EC8">
        <w:rPr>
          <w:lang w:val="en-US"/>
        </w:rPr>
        <w:t>a broad mandat</w:t>
      </w:r>
      <w:r w:rsidR="00221687" w:rsidRPr="00314EC8">
        <w:rPr>
          <w:lang w:val="en-US"/>
        </w:rPr>
        <w:t>e</w:t>
      </w:r>
      <w:r w:rsidRPr="00314EC8">
        <w:rPr>
          <w:lang w:val="en-US"/>
        </w:rPr>
        <w:t xml:space="preserve">, sufficient independence, human and financial resources and </w:t>
      </w:r>
      <w:r w:rsidR="00B57F5D" w:rsidRPr="00314EC8">
        <w:rPr>
          <w:lang w:val="en-US"/>
        </w:rPr>
        <w:t xml:space="preserve">are part of </w:t>
      </w:r>
      <w:r w:rsidRPr="00314EC8">
        <w:rPr>
          <w:lang w:val="en-US"/>
        </w:rPr>
        <w:t xml:space="preserve">an appropriate institutional architecture. </w:t>
      </w:r>
      <w:r w:rsidR="00221687" w:rsidRPr="00314EC8">
        <w:rPr>
          <w:lang w:val="en-US"/>
        </w:rPr>
        <w:t xml:space="preserve">Without strong monitoring mechanisms, there is a risk that the Convention will not be implemented well, that victims of discrimination will not have sufficient support and that and that the Committee will not have access to the relevant data concerning the actual situation in the relevant country. </w:t>
      </w:r>
    </w:p>
    <w:p w14:paraId="5CECF45C" w14:textId="14EAE7C1" w:rsidR="008C21B5" w:rsidRPr="00EF1B9A" w:rsidRDefault="001514FA" w:rsidP="003659B1">
      <w:pPr>
        <w:shd w:val="clear" w:color="auto" w:fill="F2F2F2" w:themeFill="background1" w:themeFillShade="F2"/>
        <w:spacing w:line="360" w:lineRule="auto"/>
        <w:jc w:val="both"/>
        <w:rPr>
          <w:b/>
          <w:lang w:val="en-US"/>
        </w:rPr>
      </w:pPr>
      <w:r>
        <w:rPr>
          <w:lang w:val="en-US"/>
        </w:rPr>
        <w:t xml:space="preserve">On this background, </w:t>
      </w:r>
      <w:r w:rsidR="00B015CB" w:rsidRPr="00314EC8">
        <w:rPr>
          <w:lang w:val="en-US"/>
        </w:rPr>
        <w:t xml:space="preserve">Equinet strongly recommends the Committee to </w:t>
      </w:r>
      <w:r w:rsidR="00221687" w:rsidRPr="00EF1B9A">
        <w:rPr>
          <w:b/>
          <w:lang w:val="en-US"/>
        </w:rPr>
        <w:t>acknowledge</w:t>
      </w:r>
      <w:r w:rsidR="00B015CB" w:rsidRPr="00EF1B9A">
        <w:rPr>
          <w:b/>
          <w:lang w:val="en-US"/>
        </w:rPr>
        <w:t xml:space="preserve"> the variety in bodies designated under article 33</w:t>
      </w:r>
      <w:r w:rsidR="00EF1B9A" w:rsidRPr="00EF1B9A">
        <w:rPr>
          <w:b/>
          <w:lang w:val="en-US"/>
        </w:rPr>
        <w:t>(2)</w:t>
      </w:r>
      <w:r w:rsidR="00B015CB" w:rsidRPr="00EF1B9A">
        <w:rPr>
          <w:b/>
          <w:lang w:val="en-US"/>
        </w:rPr>
        <w:t>,</w:t>
      </w:r>
      <w:r w:rsidR="00B015CB" w:rsidRPr="00314EC8">
        <w:rPr>
          <w:lang w:val="en-US"/>
        </w:rPr>
        <w:t xml:space="preserve"> and pay particular attention to the </w:t>
      </w:r>
      <w:r w:rsidR="00B015CB" w:rsidRPr="00EF1B9A">
        <w:rPr>
          <w:b/>
          <w:lang w:val="en-US"/>
        </w:rPr>
        <w:t xml:space="preserve">need to ensure the </w:t>
      </w:r>
      <w:r w:rsidR="00B57F5D" w:rsidRPr="00EF1B9A">
        <w:rPr>
          <w:b/>
          <w:lang w:val="en-US"/>
        </w:rPr>
        <w:t xml:space="preserve">proper </w:t>
      </w:r>
      <w:r w:rsidR="00B015CB" w:rsidRPr="00EF1B9A">
        <w:rPr>
          <w:b/>
          <w:lang w:val="en-US"/>
        </w:rPr>
        <w:t>functioning of these bodies</w:t>
      </w:r>
      <w:r>
        <w:rPr>
          <w:b/>
          <w:lang w:val="en-US"/>
        </w:rPr>
        <w:t>, including sufficient powers, independence and resources</w:t>
      </w:r>
      <w:r w:rsidR="00B015CB" w:rsidRPr="00EF1B9A">
        <w:rPr>
          <w:b/>
          <w:lang w:val="en-US"/>
        </w:rPr>
        <w:t xml:space="preserve">. </w:t>
      </w:r>
    </w:p>
    <w:p w14:paraId="0FFBA823" w14:textId="77777777" w:rsidR="0069703A" w:rsidRDefault="0069703A" w:rsidP="003659B1">
      <w:pPr>
        <w:pStyle w:val="NoSpacing"/>
        <w:spacing w:line="360" w:lineRule="auto"/>
        <w:rPr>
          <w:lang w:val="en-US"/>
        </w:rPr>
      </w:pPr>
    </w:p>
    <w:p w14:paraId="73FF4CEB" w14:textId="25789F2B" w:rsidR="00FF6D10" w:rsidRPr="00314EC8" w:rsidRDefault="00FF6D10" w:rsidP="003659B1">
      <w:pPr>
        <w:pStyle w:val="Heading2"/>
        <w:numPr>
          <w:ilvl w:val="0"/>
          <w:numId w:val="1"/>
        </w:numPr>
        <w:shd w:val="clear" w:color="auto" w:fill="F2F2F2" w:themeFill="background1" w:themeFillShade="F2"/>
        <w:spacing w:line="360" w:lineRule="auto"/>
        <w:jc w:val="both"/>
        <w:rPr>
          <w:rFonts w:asciiTheme="minorHAnsi" w:hAnsiTheme="minorHAnsi"/>
          <w:lang w:val="en-US"/>
        </w:rPr>
      </w:pPr>
      <w:bookmarkStart w:id="7" w:name="_Toc486511937"/>
      <w:r w:rsidRPr="00314EC8">
        <w:rPr>
          <w:rFonts w:asciiTheme="minorHAnsi" w:hAnsiTheme="minorHAnsi"/>
          <w:lang w:val="en-US"/>
        </w:rPr>
        <w:t xml:space="preserve">Legal </w:t>
      </w:r>
      <w:r w:rsidR="00CD516A">
        <w:rPr>
          <w:rFonts w:asciiTheme="minorHAnsi" w:hAnsiTheme="minorHAnsi"/>
          <w:lang w:val="en-US"/>
        </w:rPr>
        <w:t>r</w:t>
      </w:r>
      <w:r w:rsidRPr="00314EC8">
        <w:rPr>
          <w:rFonts w:asciiTheme="minorHAnsi" w:hAnsiTheme="minorHAnsi"/>
          <w:lang w:val="en-US"/>
        </w:rPr>
        <w:t>emedies</w:t>
      </w:r>
      <w:bookmarkEnd w:id="7"/>
    </w:p>
    <w:p w14:paraId="2436B681" w14:textId="174581B7" w:rsidR="00FF6D10" w:rsidRDefault="00FF6D10" w:rsidP="003659B1">
      <w:pPr>
        <w:spacing w:line="360" w:lineRule="auto"/>
        <w:jc w:val="both"/>
        <w:rPr>
          <w:i/>
          <w:lang w:val="en-US"/>
        </w:rPr>
      </w:pPr>
      <w:r w:rsidRPr="00314EC8">
        <w:rPr>
          <w:i/>
          <w:lang w:val="en-US"/>
        </w:rPr>
        <w:t xml:space="preserve">This section refers to the outline of the draft General Comment </w:t>
      </w:r>
      <w:r w:rsidRPr="007864EC">
        <w:rPr>
          <w:b/>
          <w:i/>
          <w:lang w:val="en-US"/>
        </w:rPr>
        <w:t>chapter IV on State Party obligations</w:t>
      </w:r>
      <w:r w:rsidRPr="00314EC8">
        <w:rPr>
          <w:i/>
          <w:lang w:val="en-US"/>
        </w:rPr>
        <w:t>, in particular paragraph</w:t>
      </w:r>
      <w:r w:rsidR="00443EF9">
        <w:rPr>
          <w:i/>
          <w:lang w:val="en-US"/>
        </w:rPr>
        <w:t xml:space="preserve"> 21 concerning legal remedies</w:t>
      </w:r>
    </w:p>
    <w:p w14:paraId="0C7ECBA2" w14:textId="2ABBC0F7" w:rsidR="007864EC" w:rsidRDefault="007864EC" w:rsidP="003659B1">
      <w:pPr>
        <w:spacing w:line="360" w:lineRule="auto"/>
        <w:jc w:val="both"/>
        <w:rPr>
          <w:lang w:val="en-US"/>
        </w:rPr>
      </w:pPr>
      <w:r>
        <w:rPr>
          <w:lang w:val="en-US"/>
        </w:rPr>
        <w:t xml:space="preserve">The UN CRPD does not include a specific demand for effective remedies, like for example the ECHR article 13. However, </w:t>
      </w:r>
      <w:r w:rsidR="005052D6">
        <w:rPr>
          <w:lang w:val="en-US"/>
        </w:rPr>
        <w:t xml:space="preserve">when </w:t>
      </w:r>
      <w:r>
        <w:rPr>
          <w:lang w:val="en-US"/>
        </w:rPr>
        <w:t xml:space="preserve">reading article 4 </w:t>
      </w:r>
      <w:r w:rsidR="009E17B8">
        <w:rPr>
          <w:lang w:val="en-US"/>
        </w:rPr>
        <w:t xml:space="preserve">concerning the general obligation </w:t>
      </w:r>
      <w:r>
        <w:rPr>
          <w:lang w:val="en-US"/>
        </w:rPr>
        <w:t xml:space="preserve">in conjunction with article 13 </w:t>
      </w:r>
      <w:r w:rsidR="005052D6">
        <w:rPr>
          <w:lang w:val="en-US"/>
        </w:rPr>
        <w:t xml:space="preserve">on </w:t>
      </w:r>
      <w:r w:rsidR="009E17B8">
        <w:rPr>
          <w:lang w:val="en-US"/>
        </w:rPr>
        <w:t>access to justice</w:t>
      </w:r>
      <w:r w:rsidR="005052D6">
        <w:rPr>
          <w:lang w:val="en-US"/>
        </w:rPr>
        <w:t>,</w:t>
      </w:r>
      <w:r w:rsidR="009E17B8">
        <w:rPr>
          <w:lang w:val="en-US"/>
        </w:rPr>
        <w:t xml:space="preserve"> </w:t>
      </w:r>
      <w:r w:rsidR="005052D6">
        <w:rPr>
          <w:lang w:val="en-US"/>
        </w:rPr>
        <w:t xml:space="preserve">a natural understanding of the Convention is that the State is obliged to </w:t>
      </w:r>
      <w:r>
        <w:rPr>
          <w:lang w:val="en-US"/>
        </w:rPr>
        <w:t xml:space="preserve">ensure that </w:t>
      </w:r>
      <w:r w:rsidR="009E17B8">
        <w:rPr>
          <w:lang w:val="en-US"/>
        </w:rPr>
        <w:t xml:space="preserve">persons who are subjected to violations of the rights in the convention, including discrimination, </w:t>
      </w:r>
      <w:r w:rsidR="005052D6">
        <w:rPr>
          <w:lang w:val="en-US"/>
        </w:rPr>
        <w:t xml:space="preserve">have </w:t>
      </w:r>
      <w:r w:rsidR="009E17B8">
        <w:rPr>
          <w:lang w:val="en-US"/>
        </w:rPr>
        <w:t xml:space="preserve">access </w:t>
      </w:r>
      <w:r w:rsidR="008F322D">
        <w:rPr>
          <w:lang w:val="en-US"/>
        </w:rPr>
        <w:t xml:space="preserve">to some form of legal remedies. This includes both access to a complaints mechanism (tribunal/court) and compensation. </w:t>
      </w:r>
    </w:p>
    <w:p w14:paraId="5FC6DED6" w14:textId="3567FBA2" w:rsidR="008F322D" w:rsidRDefault="008F322D" w:rsidP="003659B1">
      <w:pPr>
        <w:spacing w:line="360" w:lineRule="auto"/>
        <w:jc w:val="both"/>
        <w:rPr>
          <w:lang w:val="en-US"/>
        </w:rPr>
      </w:pPr>
      <w:r>
        <w:rPr>
          <w:lang w:val="en-US"/>
        </w:rPr>
        <w:t xml:space="preserve">Many, but not all, Equality Bodies can handle individual cases concerning discrimination on the ground of disability. Many are so-called quasi-judicial bodies, meaning that they can handle complaints but their decision might have little or no legal effect. Strengthening the mandate of the equality bodies in this regard would also contribute to more effective remedies for victims of discrimination on the basis of disability. </w:t>
      </w:r>
    </w:p>
    <w:p w14:paraId="129D16BA" w14:textId="6847EF7F" w:rsidR="009E17B8" w:rsidRDefault="009E17B8" w:rsidP="003659B1">
      <w:pPr>
        <w:spacing w:line="360" w:lineRule="auto"/>
        <w:jc w:val="both"/>
        <w:rPr>
          <w:lang w:val="en-US"/>
        </w:rPr>
      </w:pPr>
      <w:r>
        <w:rPr>
          <w:lang w:val="en-US"/>
        </w:rPr>
        <w:t xml:space="preserve">A 2015 study commissioned by Equinet found that there is great variety in </w:t>
      </w:r>
      <w:r w:rsidR="008F322D">
        <w:rPr>
          <w:lang w:val="en-US"/>
        </w:rPr>
        <w:t>what sanctions can be imposed be imposed by equality bodies in cases where were equality law have been violated.</w:t>
      </w:r>
      <w:r w:rsidR="008F322D">
        <w:rPr>
          <w:rStyle w:val="FootnoteReference"/>
          <w:lang w:val="en-US"/>
        </w:rPr>
        <w:footnoteReference w:id="14"/>
      </w:r>
      <w:r w:rsidR="008F322D">
        <w:rPr>
          <w:lang w:val="en-US"/>
        </w:rPr>
        <w:t xml:space="preserve"> The EU Directives on Equal treatment </w:t>
      </w:r>
      <w:r w:rsidR="008F322D" w:rsidRPr="008F322D">
        <w:rPr>
          <w:lang w:val="en-US"/>
        </w:rPr>
        <w:t xml:space="preserve">do not provide any guidance as to the nature of such sanctions, nor do they set a minimum standard or even lay down who should be the body in charge of issuing such sanctions. </w:t>
      </w:r>
      <w:r w:rsidR="008F322D">
        <w:rPr>
          <w:lang w:val="en-US"/>
        </w:rPr>
        <w:t>The experience of many of our members and NGOs working in the field of equality is that the lack of sanctions makes equal treatment</w:t>
      </w:r>
      <w:r w:rsidR="005052D6">
        <w:rPr>
          <w:lang w:val="en-US"/>
        </w:rPr>
        <w:t xml:space="preserve"> legislation</w:t>
      </w:r>
      <w:r w:rsidR="008F322D">
        <w:rPr>
          <w:lang w:val="en-US"/>
        </w:rPr>
        <w:t xml:space="preserve"> </w:t>
      </w:r>
      <w:r w:rsidR="00B36ABE">
        <w:rPr>
          <w:lang w:val="en-US"/>
        </w:rPr>
        <w:t>shallow.</w:t>
      </w:r>
    </w:p>
    <w:p w14:paraId="76B3E0E8" w14:textId="30ACE5C5" w:rsidR="00B36ABE" w:rsidRPr="008F322D" w:rsidRDefault="00B36ABE" w:rsidP="003659B1">
      <w:pPr>
        <w:shd w:val="clear" w:color="auto" w:fill="F2F2F2" w:themeFill="background1" w:themeFillShade="F2"/>
        <w:spacing w:line="360" w:lineRule="auto"/>
        <w:jc w:val="both"/>
        <w:rPr>
          <w:lang w:val="en-US"/>
        </w:rPr>
      </w:pPr>
      <w:r>
        <w:rPr>
          <w:lang w:val="en-US"/>
        </w:rPr>
        <w:t xml:space="preserve">To ensure the realization of the rights of the UN CRPD in practice, the Committee should recommend that all Member States </w:t>
      </w:r>
      <w:r w:rsidRPr="005052D6">
        <w:rPr>
          <w:b/>
          <w:lang w:val="en-US"/>
        </w:rPr>
        <w:t>ensure low threshold complaint mechanisms</w:t>
      </w:r>
      <w:r>
        <w:rPr>
          <w:lang w:val="en-US"/>
        </w:rPr>
        <w:t xml:space="preserve"> at national level, and that these bodies should be able to </w:t>
      </w:r>
      <w:r w:rsidRPr="005052D6">
        <w:rPr>
          <w:b/>
          <w:lang w:val="en-US"/>
        </w:rPr>
        <w:t>impose sanctions, including compensation</w:t>
      </w:r>
      <w:r w:rsidR="00FD3D8F">
        <w:rPr>
          <w:b/>
          <w:lang w:val="en-US"/>
        </w:rPr>
        <w:t xml:space="preserve">, </w:t>
      </w:r>
      <w:r w:rsidR="00FD3D8F" w:rsidRPr="00FD3D8F">
        <w:rPr>
          <w:lang w:val="en-US"/>
        </w:rPr>
        <w:t xml:space="preserve">or </w:t>
      </w:r>
      <w:r w:rsidR="00FD3D8F">
        <w:rPr>
          <w:lang w:val="en-US"/>
        </w:rPr>
        <w:t>take cases of discrimination</w:t>
      </w:r>
      <w:r w:rsidR="00FD3D8F" w:rsidRPr="00FD3D8F">
        <w:rPr>
          <w:lang w:val="en-US"/>
        </w:rPr>
        <w:t xml:space="preserve"> </w:t>
      </w:r>
      <w:r w:rsidR="00FD3D8F" w:rsidRPr="00DB5333">
        <w:rPr>
          <w:b/>
          <w:lang w:val="en-US"/>
        </w:rPr>
        <w:t>before the courts</w:t>
      </w:r>
      <w:r w:rsidRPr="00DB5333">
        <w:rPr>
          <w:b/>
          <w:lang w:val="en-US"/>
        </w:rPr>
        <w:t>.</w:t>
      </w:r>
      <w:r w:rsidRPr="00FD3D8F">
        <w:rPr>
          <w:lang w:val="en-US"/>
        </w:rPr>
        <w:t xml:space="preserve"> </w:t>
      </w:r>
    </w:p>
    <w:p w14:paraId="133269E2" w14:textId="77777777" w:rsidR="0069703A" w:rsidRDefault="0069703A" w:rsidP="003659B1">
      <w:pPr>
        <w:spacing w:line="360" w:lineRule="auto"/>
        <w:rPr>
          <w:lang w:val="en-US"/>
        </w:rPr>
      </w:pPr>
    </w:p>
    <w:p w14:paraId="446DF10D" w14:textId="1569B431" w:rsidR="0069703A" w:rsidRPr="0069703A" w:rsidRDefault="00701EB2" w:rsidP="003659B1">
      <w:pPr>
        <w:pStyle w:val="Heading2"/>
        <w:numPr>
          <w:ilvl w:val="0"/>
          <w:numId w:val="1"/>
        </w:numPr>
        <w:shd w:val="clear" w:color="auto" w:fill="F2F2F2" w:themeFill="background1" w:themeFillShade="F2"/>
        <w:spacing w:line="360" w:lineRule="auto"/>
        <w:jc w:val="both"/>
        <w:rPr>
          <w:rFonts w:asciiTheme="minorHAnsi" w:hAnsiTheme="minorHAnsi"/>
          <w:lang w:val="en-US"/>
        </w:rPr>
      </w:pPr>
      <w:bookmarkStart w:id="8" w:name="_Toc486511938"/>
      <w:r>
        <w:rPr>
          <w:rFonts w:asciiTheme="minorHAnsi" w:hAnsiTheme="minorHAnsi"/>
          <w:lang w:val="en-US"/>
        </w:rPr>
        <w:t>Positive action measures</w:t>
      </w:r>
      <w:bookmarkEnd w:id="8"/>
    </w:p>
    <w:p w14:paraId="155010B1" w14:textId="4C9EC4CF" w:rsidR="00FF6D10" w:rsidRDefault="00FF6D10" w:rsidP="003659B1">
      <w:pPr>
        <w:spacing w:line="360" w:lineRule="auto"/>
        <w:jc w:val="both"/>
        <w:rPr>
          <w:i/>
          <w:lang w:val="en-US"/>
        </w:rPr>
      </w:pPr>
      <w:r w:rsidRPr="00314EC8">
        <w:rPr>
          <w:i/>
          <w:lang w:val="en-US"/>
        </w:rPr>
        <w:t xml:space="preserve">This section refers to the outline of the draft General Comment </w:t>
      </w:r>
      <w:r w:rsidRPr="00445607">
        <w:rPr>
          <w:b/>
          <w:i/>
          <w:lang w:val="en-US"/>
        </w:rPr>
        <w:t>chapter IV on State Party obligations,</w:t>
      </w:r>
      <w:r w:rsidRPr="00314EC8">
        <w:rPr>
          <w:i/>
          <w:lang w:val="en-US"/>
        </w:rPr>
        <w:t xml:space="preserve"> in particular paragraph</w:t>
      </w:r>
      <w:r w:rsidR="00445607">
        <w:rPr>
          <w:i/>
          <w:lang w:val="en-US"/>
        </w:rPr>
        <w:t xml:space="preserve"> </w:t>
      </w:r>
      <w:r w:rsidR="00445607" w:rsidRPr="00445607">
        <w:rPr>
          <w:i/>
          <w:lang w:val="en-US"/>
        </w:rPr>
        <w:t>22. Other positive obligations: affirmative action measures</w:t>
      </w:r>
      <w:r w:rsidR="00A15A32">
        <w:rPr>
          <w:i/>
          <w:lang w:val="en-US"/>
        </w:rPr>
        <w:t>.</w:t>
      </w:r>
    </w:p>
    <w:p w14:paraId="01F11EF5" w14:textId="4C5A65AB" w:rsidR="00A15A32" w:rsidRDefault="00A15A32" w:rsidP="003659B1">
      <w:pPr>
        <w:spacing w:line="360" w:lineRule="auto"/>
        <w:jc w:val="both"/>
        <w:rPr>
          <w:lang w:val="en-US"/>
        </w:rPr>
      </w:pPr>
      <w:r>
        <w:rPr>
          <w:lang w:val="en-US"/>
        </w:rPr>
        <w:t xml:space="preserve">According to </w:t>
      </w:r>
      <w:r w:rsidR="007340F1">
        <w:rPr>
          <w:lang w:val="en-US"/>
        </w:rPr>
        <w:t>article 5 (4),</w:t>
      </w:r>
      <w:r w:rsidR="007340F1" w:rsidRPr="007340F1">
        <w:rPr>
          <w:lang w:val="en-US"/>
        </w:rPr>
        <w:t xml:space="preserve"> </w:t>
      </w:r>
      <w:r w:rsidR="007340F1">
        <w:rPr>
          <w:lang w:val="en-US"/>
        </w:rPr>
        <w:t>s</w:t>
      </w:r>
      <w:r w:rsidR="007340F1" w:rsidRPr="007340F1">
        <w:rPr>
          <w:lang w:val="en-US"/>
        </w:rPr>
        <w:t xml:space="preserve">pecific measures which are necessary to accelerate </w:t>
      </w:r>
      <w:r w:rsidR="005052D6">
        <w:rPr>
          <w:lang w:val="en-US"/>
        </w:rPr>
        <w:t>and</w:t>
      </w:r>
      <w:r w:rsidR="007340F1" w:rsidRPr="007340F1">
        <w:rPr>
          <w:lang w:val="en-US"/>
        </w:rPr>
        <w:t xml:space="preserve"> achieve </w:t>
      </w:r>
      <w:r w:rsidR="007340F1" w:rsidRPr="00434C35">
        <w:rPr>
          <w:i/>
          <w:lang w:val="en-US"/>
        </w:rPr>
        <w:t>de facto</w:t>
      </w:r>
      <w:r w:rsidR="007340F1" w:rsidRPr="007340F1">
        <w:rPr>
          <w:lang w:val="en-US"/>
        </w:rPr>
        <w:t xml:space="preserve"> equality of persons with disabilities shall not be considered discriminat</w:t>
      </w:r>
      <w:r w:rsidR="00434C35">
        <w:rPr>
          <w:lang w:val="en-US"/>
        </w:rPr>
        <w:t>ory</w:t>
      </w:r>
      <w:r w:rsidR="007340F1" w:rsidRPr="007340F1">
        <w:rPr>
          <w:lang w:val="en-US"/>
        </w:rPr>
        <w:t xml:space="preserve"> under the terms of the present Convention.</w:t>
      </w:r>
      <w:r w:rsidR="007340F1">
        <w:rPr>
          <w:lang w:val="en-US"/>
        </w:rPr>
        <w:t xml:space="preserve"> Such measures are often named positive duties. </w:t>
      </w:r>
    </w:p>
    <w:p w14:paraId="56E84DB9" w14:textId="7F8D3BF3" w:rsidR="007340F1" w:rsidRDefault="007340F1" w:rsidP="003659B1">
      <w:pPr>
        <w:spacing w:line="360" w:lineRule="auto"/>
        <w:jc w:val="both"/>
        <w:rPr>
          <w:lang w:val="en-US"/>
        </w:rPr>
      </w:pPr>
      <w:r>
        <w:rPr>
          <w:lang w:val="en-US"/>
        </w:rPr>
        <w:t xml:space="preserve">An Equinet report from 2014 on Positive Action Measures, </w:t>
      </w:r>
      <w:r w:rsidRPr="007340F1">
        <w:rPr>
          <w:lang w:val="en-US"/>
        </w:rPr>
        <w:t>shows that many positive action measures are being taken in Europe to improve the position of certain disadvantaged groups</w:t>
      </w:r>
      <w:r>
        <w:rPr>
          <w:lang w:val="en-US"/>
        </w:rPr>
        <w:t xml:space="preserve">, including people with disabilities, </w:t>
      </w:r>
      <w:r w:rsidRPr="007340F1">
        <w:rPr>
          <w:lang w:val="en-US"/>
        </w:rPr>
        <w:t>typically relate to the field of employment. Despite the wealth of positive action measures implemented across the EU, the impact of these steps are not generally measured or evaluated.</w:t>
      </w:r>
      <w:r>
        <w:rPr>
          <w:rStyle w:val="FootnoteReference"/>
          <w:lang w:val="en-US"/>
        </w:rPr>
        <w:footnoteReference w:id="15"/>
      </w:r>
      <w:r w:rsidRPr="007340F1">
        <w:rPr>
          <w:lang w:val="en-US"/>
        </w:rPr>
        <w:t xml:space="preserve"> This is </w:t>
      </w:r>
      <w:r>
        <w:rPr>
          <w:lang w:val="en-US"/>
        </w:rPr>
        <w:t>noteworthy, considering</w:t>
      </w:r>
      <w:r w:rsidRPr="007340F1">
        <w:rPr>
          <w:lang w:val="en-US"/>
        </w:rPr>
        <w:t xml:space="preserve"> the fact that evaluation is shown to be a useful and indispensable tool for effective positive action.</w:t>
      </w:r>
      <w:r>
        <w:rPr>
          <w:lang w:val="en-US"/>
        </w:rPr>
        <w:t xml:space="preserve"> </w:t>
      </w:r>
    </w:p>
    <w:p w14:paraId="6F27BC2C" w14:textId="42FB3500" w:rsidR="007340F1" w:rsidRDefault="007340F1" w:rsidP="003659B1">
      <w:pPr>
        <w:spacing w:line="360" w:lineRule="auto"/>
        <w:jc w:val="both"/>
        <w:rPr>
          <w:lang w:val="en-US"/>
        </w:rPr>
      </w:pPr>
      <w:r>
        <w:rPr>
          <w:lang w:val="en-US"/>
        </w:rPr>
        <w:t>The mentioned report</w:t>
      </w:r>
      <w:r w:rsidRPr="007340F1">
        <w:rPr>
          <w:i/>
          <w:lang w:val="en-US"/>
        </w:rPr>
        <w:t xml:space="preserve"> </w:t>
      </w:r>
      <w:r w:rsidR="005052D6">
        <w:rPr>
          <w:i/>
          <w:lang w:val="en-US"/>
        </w:rPr>
        <w:t xml:space="preserve">inter </w:t>
      </w:r>
      <w:r w:rsidRPr="007340F1">
        <w:rPr>
          <w:i/>
          <w:lang w:val="en-US"/>
        </w:rPr>
        <w:t>alia</w:t>
      </w:r>
      <w:r>
        <w:rPr>
          <w:lang w:val="en-US"/>
        </w:rPr>
        <w:t xml:space="preserve"> recommends that t</w:t>
      </w:r>
      <w:r w:rsidRPr="007340F1">
        <w:rPr>
          <w:lang w:val="en-US"/>
        </w:rPr>
        <w:t>he state and its authorities should play a leading role in implementing positive action measures. Obligations imposed by the state to take action can be effective, including placing duties on public authorities to promote equality and including the use of anti-discrimination and positive action clauses in public procurement contracts.</w:t>
      </w:r>
    </w:p>
    <w:p w14:paraId="24A517F9" w14:textId="2C09E63B" w:rsidR="007340F1" w:rsidRDefault="002645C3" w:rsidP="003659B1">
      <w:pPr>
        <w:shd w:val="clear" w:color="auto" w:fill="F2F2F2" w:themeFill="background1" w:themeFillShade="F2"/>
        <w:spacing w:line="360" w:lineRule="auto"/>
        <w:jc w:val="both"/>
        <w:rPr>
          <w:lang w:val="en-US"/>
        </w:rPr>
      </w:pPr>
      <w:r>
        <w:rPr>
          <w:lang w:val="en-US"/>
        </w:rPr>
        <w:t>Based on the</w:t>
      </w:r>
      <w:r w:rsidR="007340F1">
        <w:rPr>
          <w:lang w:val="en-US"/>
        </w:rPr>
        <w:t xml:space="preserve"> experience of equality bodies, affirmative action can have positive effect, and </w:t>
      </w:r>
      <w:r>
        <w:rPr>
          <w:lang w:val="en-US"/>
        </w:rPr>
        <w:t>the Committee should therefor</w:t>
      </w:r>
      <w:r w:rsidR="00A4438B">
        <w:rPr>
          <w:lang w:val="en-US"/>
        </w:rPr>
        <w:t>e</w:t>
      </w:r>
      <w:bookmarkStart w:id="9" w:name="_GoBack"/>
      <w:bookmarkEnd w:id="9"/>
      <w:r>
        <w:rPr>
          <w:lang w:val="en-US"/>
        </w:rPr>
        <w:t xml:space="preserve"> recommend </w:t>
      </w:r>
      <w:r w:rsidR="007340F1">
        <w:rPr>
          <w:lang w:val="en-US"/>
        </w:rPr>
        <w:t>the</w:t>
      </w:r>
      <w:r>
        <w:rPr>
          <w:lang w:val="en-US"/>
        </w:rPr>
        <w:t xml:space="preserve"> Member </w:t>
      </w:r>
      <w:r w:rsidR="007340F1">
        <w:rPr>
          <w:lang w:val="en-US"/>
        </w:rPr>
        <w:t>State</w:t>
      </w:r>
      <w:r>
        <w:rPr>
          <w:lang w:val="en-US"/>
        </w:rPr>
        <w:t>s and the EU to use their</w:t>
      </w:r>
      <w:r w:rsidR="007340F1">
        <w:rPr>
          <w:lang w:val="en-US"/>
        </w:rPr>
        <w:t xml:space="preserve"> key role</w:t>
      </w:r>
      <w:r>
        <w:rPr>
          <w:lang w:val="en-US"/>
        </w:rPr>
        <w:t>,</w:t>
      </w:r>
      <w:r w:rsidR="007340F1">
        <w:rPr>
          <w:lang w:val="en-US"/>
        </w:rPr>
        <w:t xml:space="preserve"> not only as decision maker and duty bearer</w:t>
      </w:r>
      <w:r>
        <w:rPr>
          <w:lang w:val="en-US"/>
        </w:rPr>
        <w:t xml:space="preserve">, but as employer, to implement, monitor and further develop such measures. </w:t>
      </w:r>
    </w:p>
    <w:p w14:paraId="5FA4E3A3" w14:textId="77777777" w:rsidR="00434C35" w:rsidRDefault="00434C35" w:rsidP="003659B1">
      <w:pPr>
        <w:pStyle w:val="NoSpacing"/>
        <w:spacing w:line="360" w:lineRule="auto"/>
        <w:rPr>
          <w:lang w:val="en-US"/>
        </w:rPr>
      </w:pPr>
    </w:p>
    <w:p w14:paraId="0967482A" w14:textId="77777777" w:rsidR="00B015CB" w:rsidRPr="00314EC8" w:rsidRDefault="008B198E" w:rsidP="003659B1">
      <w:pPr>
        <w:pStyle w:val="Heading2"/>
        <w:numPr>
          <w:ilvl w:val="0"/>
          <w:numId w:val="1"/>
        </w:numPr>
        <w:shd w:val="clear" w:color="auto" w:fill="F2F2F2" w:themeFill="background1" w:themeFillShade="F2"/>
        <w:spacing w:line="360" w:lineRule="auto"/>
        <w:jc w:val="both"/>
        <w:rPr>
          <w:rFonts w:asciiTheme="minorHAnsi" w:hAnsiTheme="minorHAnsi"/>
          <w:lang w:val="en-US"/>
        </w:rPr>
      </w:pPr>
      <w:bookmarkStart w:id="10" w:name="_Toc486511939"/>
      <w:r w:rsidRPr="00314EC8">
        <w:rPr>
          <w:rFonts w:asciiTheme="minorHAnsi" w:hAnsiTheme="minorHAnsi"/>
          <w:lang w:val="en-US"/>
        </w:rPr>
        <w:t>Summary of recommendations</w:t>
      </w:r>
      <w:bookmarkEnd w:id="10"/>
    </w:p>
    <w:p w14:paraId="1B5D034F" w14:textId="77777777" w:rsidR="00434C35" w:rsidRDefault="00B015CB" w:rsidP="003659B1">
      <w:pPr>
        <w:spacing w:line="360" w:lineRule="auto"/>
        <w:jc w:val="both"/>
        <w:rPr>
          <w:lang w:val="en-US"/>
        </w:rPr>
      </w:pPr>
      <w:r w:rsidRPr="00314EC8">
        <w:rPr>
          <w:lang w:val="en-US"/>
        </w:rPr>
        <w:t xml:space="preserve">In this submission, </w:t>
      </w:r>
      <w:r w:rsidR="00434C35">
        <w:rPr>
          <w:lang w:val="en-US"/>
        </w:rPr>
        <w:t>seven</w:t>
      </w:r>
      <w:r w:rsidRPr="00314EC8">
        <w:rPr>
          <w:lang w:val="en-US"/>
        </w:rPr>
        <w:t xml:space="preserve"> main recommen</w:t>
      </w:r>
      <w:r w:rsidR="00434C35">
        <w:rPr>
          <w:lang w:val="en-US"/>
        </w:rPr>
        <w:t xml:space="preserve">dations have been put forward. </w:t>
      </w:r>
    </w:p>
    <w:p w14:paraId="5A482575" w14:textId="193D4C4D" w:rsidR="00A51E8C" w:rsidRPr="00314EC8" w:rsidRDefault="00B015CB" w:rsidP="003659B1">
      <w:pPr>
        <w:spacing w:line="360" w:lineRule="auto"/>
        <w:jc w:val="both"/>
        <w:rPr>
          <w:lang w:val="en-US"/>
        </w:rPr>
      </w:pPr>
      <w:r w:rsidRPr="00314EC8">
        <w:rPr>
          <w:lang w:val="en-US"/>
        </w:rPr>
        <w:t xml:space="preserve">Equinet recommends the UN CRPD Committee to </w:t>
      </w:r>
      <w:r w:rsidR="00434C35">
        <w:rPr>
          <w:lang w:val="en-US"/>
        </w:rPr>
        <w:t>include</w:t>
      </w:r>
      <w:r w:rsidRPr="00314EC8">
        <w:rPr>
          <w:lang w:val="en-US"/>
        </w:rPr>
        <w:t xml:space="preserve"> the following recommendations in the new General Comment:</w:t>
      </w:r>
    </w:p>
    <w:p w14:paraId="1CD1EE2B" w14:textId="1CF48116" w:rsidR="00B015CB" w:rsidRPr="00314EC8" w:rsidRDefault="00B015CB" w:rsidP="003659B1">
      <w:pPr>
        <w:pStyle w:val="ListParagraph"/>
        <w:numPr>
          <w:ilvl w:val="0"/>
          <w:numId w:val="3"/>
        </w:numPr>
        <w:shd w:val="clear" w:color="auto" w:fill="F2F2F2" w:themeFill="background1" w:themeFillShade="F2"/>
        <w:spacing w:line="360" w:lineRule="auto"/>
        <w:jc w:val="both"/>
        <w:rPr>
          <w:lang w:val="en-US"/>
        </w:rPr>
      </w:pPr>
      <w:r w:rsidRPr="00314EC8">
        <w:rPr>
          <w:lang w:val="en-US"/>
        </w:rPr>
        <w:t xml:space="preserve">EU and </w:t>
      </w:r>
      <w:r w:rsidR="001F619A">
        <w:rPr>
          <w:lang w:val="en-US"/>
        </w:rPr>
        <w:t>S</w:t>
      </w:r>
      <w:r w:rsidRPr="00314EC8">
        <w:rPr>
          <w:lang w:val="en-US"/>
        </w:rPr>
        <w:t xml:space="preserve">tate </w:t>
      </w:r>
      <w:r w:rsidR="001F619A">
        <w:rPr>
          <w:lang w:val="en-US"/>
        </w:rPr>
        <w:t>P</w:t>
      </w:r>
      <w:r w:rsidRPr="00314EC8">
        <w:rPr>
          <w:lang w:val="en-US"/>
        </w:rPr>
        <w:t xml:space="preserve">arties to the UN CRPD should </w:t>
      </w:r>
      <w:r w:rsidR="008B198E" w:rsidRPr="00314EC8">
        <w:rPr>
          <w:lang w:val="en-US"/>
        </w:rPr>
        <w:t>adopt</w:t>
      </w:r>
      <w:r w:rsidRPr="00314EC8">
        <w:rPr>
          <w:lang w:val="en-US"/>
        </w:rPr>
        <w:t xml:space="preserve"> legislation prohibiting discrimination outside employment</w:t>
      </w:r>
    </w:p>
    <w:p w14:paraId="3CAABA58" w14:textId="1CB568BB" w:rsidR="00B015CB" w:rsidRPr="00314EC8" w:rsidRDefault="008B198E" w:rsidP="003659B1">
      <w:pPr>
        <w:pStyle w:val="ListParagraph"/>
        <w:numPr>
          <w:ilvl w:val="0"/>
          <w:numId w:val="3"/>
        </w:numPr>
        <w:shd w:val="clear" w:color="auto" w:fill="F2F2F2" w:themeFill="background1" w:themeFillShade="F2"/>
        <w:spacing w:line="360" w:lineRule="auto"/>
        <w:jc w:val="both"/>
        <w:rPr>
          <w:lang w:val="en-US"/>
        </w:rPr>
      </w:pPr>
      <w:r w:rsidRPr="00314EC8">
        <w:rPr>
          <w:lang w:val="en-US"/>
        </w:rPr>
        <w:t xml:space="preserve">EU and </w:t>
      </w:r>
      <w:r w:rsidR="001F619A">
        <w:rPr>
          <w:lang w:val="en-US"/>
        </w:rPr>
        <w:t>S</w:t>
      </w:r>
      <w:r w:rsidRPr="00314EC8">
        <w:rPr>
          <w:lang w:val="en-US"/>
        </w:rPr>
        <w:t xml:space="preserve">tate </w:t>
      </w:r>
      <w:r w:rsidR="001F619A">
        <w:rPr>
          <w:lang w:val="en-US"/>
        </w:rPr>
        <w:t>P</w:t>
      </w:r>
      <w:r w:rsidRPr="00314EC8">
        <w:rPr>
          <w:lang w:val="en-US"/>
        </w:rPr>
        <w:t>arties to the UN CRPD should adopt legislation explicitly regulating multiple and intersectional discrimination</w:t>
      </w:r>
    </w:p>
    <w:p w14:paraId="140B37C4" w14:textId="2FC4352C" w:rsidR="00FF6D10" w:rsidRDefault="00DB5333" w:rsidP="003659B1">
      <w:pPr>
        <w:pStyle w:val="ListParagraph"/>
        <w:numPr>
          <w:ilvl w:val="0"/>
          <w:numId w:val="3"/>
        </w:numPr>
        <w:shd w:val="clear" w:color="auto" w:fill="F2F2F2" w:themeFill="background1" w:themeFillShade="F2"/>
        <w:spacing w:line="360" w:lineRule="auto"/>
        <w:jc w:val="both"/>
        <w:rPr>
          <w:lang w:val="en-US"/>
        </w:rPr>
      </w:pPr>
      <w:r>
        <w:rPr>
          <w:lang w:val="en-US"/>
        </w:rPr>
        <w:t>Lack of r</w:t>
      </w:r>
      <w:r w:rsidR="00FF6D10" w:rsidRPr="00314EC8">
        <w:rPr>
          <w:lang w:val="en-US"/>
        </w:rPr>
        <w:t>easonable accommodation</w:t>
      </w:r>
      <w:r w:rsidR="001514FA">
        <w:rPr>
          <w:lang w:val="en-US"/>
        </w:rPr>
        <w:t xml:space="preserve"> should be recognized as a form of discrimination in national and European legislation</w:t>
      </w:r>
    </w:p>
    <w:p w14:paraId="0CC520AC" w14:textId="1BF8CECF" w:rsidR="007C6F0D" w:rsidRPr="00314EC8" w:rsidRDefault="007C6F0D" w:rsidP="003659B1">
      <w:pPr>
        <w:pStyle w:val="ListParagraph"/>
        <w:numPr>
          <w:ilvl w:val="0"/>
          <w:numId w:val="3"/>
        </w:numPr>
        <w:shd w:val="clear" w:color="auto" w:fill="F2F2F2" w:themeFill="background1" w:themeFillShade="F2"/>
        <w:spacing w:line="360" w:lineRule="auto"/>
        <w:jc w:val="both"/>
        <w:rPr>
          <w:lang w:val="en-US"/>
        </w:rPr>
      </w:pPr>
      <w:r>
        <w:rPr>
          <w:lang w:val="en-US"/>
        </w:rPr>
        <w:t>Where regional or national legislation sets forward a rule of a shifting burden of proof, this should include reasonable accommodation cases</w:t>
      </w:r>
    </w:p>
    <w:p w14:paraId="2A4EE8CB" w14:textId="0F553DB7" w:rsidR="00FF6D10" w:rsidRPr="00314EC8" w:rsidRDefault="008B198E" w:rsidP="003659B1">
      <w:pPr>
        <w:pStyle w:val="ListParagraph"/>
        <w:numPr>
          <w:ilvl w:val="0"/>
          <w:numId w:val="3"/>
        </w:numPr>
        <w:shd w:val="clear" w:color="auto" w:fill="F2F2F2" w:themeFill="background1" w:themeFillShade="F2"/>
        <w:spacing w:line="360" w:lineRule="auto"/>
        <w:jc w:val="both"/>
        <w:rPr>
          <w:lang w:val="en-US"/>
        </w:rPr>
      </w:pPr>
      <w:r w:rsidRPr="00314EC8">
        <w:rPr>
          <w:lang w:val="en-US"/>
        </w:rPr>
        <w:t xml:space="preserve">EU and </w:t>
      </w:r>
      <w:r w:rsidR="001F619A">
        <w:rPr>
          <w:lang w:val="en-US"/>
        </w:rPr>
        <w:t>S</w:t>
      </w:r>
      <w:r w:rsidRPr="00314EC8">
        <w:rPr>
          <w:lang w:val="en-US"/>
        </w:rPr>
        <w:t xml:space="preserve">tate </w:t>
      </w:r>
      <w:r w:rsidR="001F619A">
        <w:rPr>
          <w:lang w:val="en-US"/>
        </w:rPr>
        <w:t>P</w:t>
      </w:r>
      <w:r w:rsidRPr="00314EC8">
        <w:rPr>
          <w:lang w:val="en-US"/>
        </w:rPr>
        <w:t>arties should ensure that independent monitoring mechanisms designated under article 33 have a broad mandat</w:t>
      </w:r>
      <w:r w:rsidR="003E394A" w:rsidRPr="00314EC8">
        <w:rPr>
          <w:lang w:val="en-US"/>
        </w:rPr>
        <w:t>e</w:t>
      </w:r>
      <w:r w:rsidRPr="00314EC8">
        <w:rPr>
          <w:lang w:val="en-US"/>
        </w:rPr>
        <w:t xml:space="preserve">, sufficient independence, human and financial resources and an appropriate institutional architecture. </w:t>
      </w:r>
    </w:p>
    <w:p w14:paraId="757B3A80" w14:textId="024E6192" w:rsidR="00FF6D10" w:rsidRPr="00314EC8" w:rsidRDefault="001F619A" w:rsidP="003659B1">
      <w:pPr>
        <w:pStyle w:val="ListParagraph"/>
        <w:numPr>
          <w:ilvl w:val="0"/>
          <w:numId w:val="3"/>
        </w:numPr>
        <w:shd w:val="clear" w:color="auto" w:fill="F2F2F2" w:themeFill="background1" w:themeFillShade="F2"/>
        <w:spacing w:line="360" w:lineRule="auto"/>
        <w:jc w:val="both"/>
        <w:rPr>
          <w:lang w:val="en-US"/>
        </w:rPr>
      </w:pPr>
      <w:r>
        <w:rPr>
          <w:lang w:val="en-US"/>
        </w:rPr>
        <w:t>State Parties should</w:t>
      </w:r>
      <w:r w:rsidR="00B36ABE">
        <w:rPr>
          <w:lang w:val="en-US"/>
        </w:rPr>
        <w:t xml:space="preserve"> ensure low threshold complaint mechanisms at national level, and that these bodies should be able to impose sanctions, including compensation</w:t>
      </w:r>
      <w:r w:rsidR="00DB5333">
        <w:rPr>
          <w:lang w:val="en-US"/>
        </w:rPr>
        <w:t>,</w:t>
      </w:r>
      <w:r w:rsidR="00DB5333" w:rsidRPr="00DB5333">
        <w:rPr>
          <w:lang w:val="en-US"/>
        </w:rPr>
        <w:t xml:space="preserve"> </w:t>
      </w:r>
      <w:r w:rsidR="00DB5333" w:rsidRPr="00FD3D8F">
        <w:rPr>
          <w:lang w:val="en-US"/>
        </w:rPr>
        <w:t xml:space="preserve">or </w:t>
      </w:r>
      <w:r w:rsidR="00DB5333">
        <w:rPr>
          <w:lang w:val="en-US"/>
        </w:rPr>
        <w:t>take cases of discrimination</w:t>
      </w:r>
      <w:r w:rsidR="00DB5333" w:rsidRPr="00FD3D8F">
        <w:rPr>
          <w:lang w:val="en-US"/>
        </w:rPr>
        <w:t xml:space="preserve"> before the courts.</w:t>
      </w:r>
    </w:p>
    <w:p w14:paraId="2F976FCB" w14:textId="7976C6FD" w:rsidR="00A51E8C" w:rsidRPr="00AC4C84" w:rsidRDefault="002645C3" w:rsidP="003659B1">
      <w:pPr>
        <w:pStyle w:val="ListParagraph"/>
        <w:numPr>
          <w:ilvl w:val="0"/>
          <w:numId w:val="3"/>
        </w:numPr>
        <w:shd w:val="clear" w:color="auto" w:fill="F2F2F2" w:themeFill="background1" w:themeFillShade="F2"/>
        <w:spacing w:line="360" w:lineRule="auto"/>
        <w:jc w:val="both"/>
        <w:rPr>
          <w:lang w:val="en-US"/>
        </w:rPr>
      </w:pPr>
      <w:r w:rsidRPr="00AC4C84">
        <w:rPr>
          <w:lang w:val="en-US"/>
        </w:rPr>
        <w:t xml:space="preserve">EU </w:t>
      </w:r>
      <w:r w:rsidR="001F619A">
        <w:rPr>
          <w:lang w:val="en-US"/>
        </w:rPr>
        <w:t xml:space="preserve">and State Parties </w:t>
      </w:r>
      <w:r w:rsidRPr="00AC4C84">
        <w:rPr>
          <w:lang w:val="en-US"/>
        </w:rPr>
        <w:t>should use their key role, not only as decision maker</w:t>
      </w:r>
      <w:r w:rsidR="00D01D93">
        <w:rPr>
          <w:lang w:val="en-US"/>
        </w:rPr>
        <w:t>s</w:t>
      </w:r>
      <w:r w:rsidRPr="00AC4C84">
        <w:rPr>
          <w:lang w:val="en-US"/>
        </w:rPr>
        <w:t xml:space="preserve"> and duty bearer</w:t>
      </w:r>
      <w:r w:rsidR="00D01D93">
        <w:rPr>
          <w:lang w:val="en-US"/>
        </w:rPr>
        <w:t>s</w:t>
      </w:r>
      <w:r w:rsidRPr="00AC4C84">
        <w:rPr>
          <w:lang w:val="en-US"/>
        </w:rPr>
        <w:t>, but as employer</w:t>
      </w:r>
      <w:r w:rsidR="00D01D93">
        <w:rPr>
          <w:lang w:val="en-US"/>
        </w:rPr>
        <w:t>s</w:t>
      </w:r>
      <w:r w:rsidRPr="00AC4C84">
        <w:rPr>
          <w:lang w:val="en-US"/>
        </w:rPr>
        <w:t>, to implement, monitor and further develop positive action measures.</w:t>
      </w:r>
    </w:p>
    <w:sectPr w:rsidR="00A51E8C" w:rsidRPr="00AC4C84" w:rsidSect="00A03FD6">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92213" w14:textId="77777777" w:rsidR="007340F1" w:rsidRDefault="007340F1" w:rsidP="002E33DA">
      <w:pPr>
        <w:spacing w:after="0" w:line="240" w:lineRule="auto"/>
      </w:pPr>
      <w:r>
        <w:separator/>
      </w:r>
    </w:p>
  </w:endnote>
  <w:endnote w:type="continuationSeparator" w:id="0">
    <w:p w14:paraId="409AD878" w14:textId="77777777" w:rsidR="007340F1" w:rsidRDefault="007340F1" w:rsidP="002E3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620618"/>
      <w:docPartObj>
        <w:docPartGallery w:val="Page Numbers (Bottom of Page)"/>
        <w:docPartUnique/>
      </w:docPartObj>
    </w:sdtPr>
    <w:sdtEndPr>
      <w:rPr>
        <w:noProof/>
      </w:rPr>
    </w:sdtEndPr>
    <w:sdtContent>
      <w:p w14:paraId="50C0A412" w14:textId="3A59C0DC" w:rsidR="00011A45" w:rsidRDefault="00011A45">
        <w:pPr>
          <w:pStyle w:val="Footer"/>
          <w:jc w:val="center"/>
        </w:pPr>
        <w:r>
          <w:fldChar w:fldCharType="begin"/>
        </w:r>
        <w:r>
          <w:instrText xml:space="preserve"> PAGE   \* MERGEFORMAT </w:instrText>
        </w:r>
        <w:r>
          <w:fldChar w:fldCharType="separate"/>
        </w:r>
        <w:r w:rsidR="00A4438B">
          <w:rPr>
            <w:noProof/>
          </w:rPr>
          <w:t>10</w:t>
        </w:r>
        <w:r>
          <w:rPr>
            <w:noProof/>
          </w:rPr>
          <w:fldChar w:fldCharType="end"/>
        </w:r>
      </w:p>
    </w:sdtContent>
  </w:sdt>
  <w:p w14:paraId="0494C5AE" w14:textId="77777777" w:rsidR="00011A45" w:rsidRDefault="00011A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1089D" w14:textId="0B65C5D1" w:rsidR="007340F1" w:rsidRPr="00A03FD6" w:rsidRDefault="00BA4069" w:rsidP="00A03FD6">
    <w:pPr>
      <w:pStyle w:val="Footer"/>
      <w:jc w:val="center"/>
      <w:rPr>
        <w:b/>
        <w:color w:val="FF0000"/>
        <w:sz w:val="72"/>
        <w:szCs w:val="72"/>
        <w:lang w:val="en-US"/>
      </w:rPr>
    </w:pPr>
    <w:r>
      <w:rPr>
        <w:b/>
        <w:noProof/>
        <w:color w:val="FF0000"/>
        <w:sz w:val="72"/>
        <w:szCs w:val="72"/>
        <w:lang w:eastAsia="fr-BE"/>
      </w:rPr>
      <w:drawing>
        <wp:inline distT="0" distB="0" distL="0" distR="0" wp14:anchorId="5A628DB5" wp14:editId="11E34E18">
          <wp:extent cx="3219900" cy="5906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 funding 2.PNG"/>
                  <pic:cNvPicPr/>
                </pic:nvPicPr>
                <pic:blipFill>
                  <a:blip r:embed="rId1">
                    <a:extLst>
                      <a:ext uri="{28A0092B-C50C-407E-A947-70E740481C1C}">
                        <a14:useLocalDpi xmlns:a14="http://schemas.microsoft.com/office/drawing/2010/main" val="0"/>
                      </a:ext>
                    </a:extLst>
                  </a:blip>
                  <a:stretch>
                    <a:fillRect/>
                  </a:stretch>
                </pic:blipFill>
                <pic:spPr>
                  <a:xfrm>
                    <a:off x="0" y="0"/>
                    <a:ext cx="3219900" cy="59063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33EA8" w14:textId="77777777" w:rsidR="007340F1" w:rsidRDefault="007340F1" w:rsidP="002E33DA">
      <w:pPr>
        <w:spacing w:after="0" w:line="240" w:lineRule="auto"/>
      </w:pPr>
      <w:r>
        <w:separator/>
      </w:r>
    </w:p>
  </w:footnote>
  <w:footnote w:type="continuationSeparator" w:id="0">
    <w:p w14:paraId="1670F880" w14:textId="77777777" w:rsidR="007340F1" w:rsidRDefault="007340F1" w:rsidP="002E33DA">
      <w:pPr>
        <w:spacing w:after="0" w:line="240" w:lineRule="auto"/>
      </w:pPr>
      <w:r>
        <w:continuationSeparator/>
      </w:r>
    </w:p>
  </w:footnote>
  <w:footnote w:id="1">
    <w:p w14:paraId="48E61D71" w14:textId="77777777" w:rsidR="007340F1" w:rsidRPr="008C21B5" w:rsidRDefault="007340F1" w:rsidP="00314EC8">
      <w:pPr>
        <w:pStyle w:val="FootnoteText"/>
        <w:rPr>
          <w:lang w:val="en-US"/>
        </w:rPr>
      </w:pPr>
      <w:r>
        <w:rPr>
          <w:rStyle w:val="FootnoteReference"/>
        </w:rPr>
        <w:footnoteRef/>
      </w:r>
      <w:r w:rsidRPr="008C21B5">
        <w:rPr>
          <w:lang w:val="en-US"/>
        </w:rPr>
        <w:t xml:space="preserve"> </w:t>
      </w:r>
      <w:r>
        <w:rPr>
          <w:lang w:val="en-US"/>
        </w:rPr>
        <w:t xml:space="preserve">More information about Equinet and our members can be found on our webpage: </w:t>
      </w:r>
      <w:hyperlink r:id="rId1" w:history="1">
        <w:r w:rsidRPr="009B3F7F">
          <w:rPr>
            <w:rStyle w:val="Hyperlink"/>
            <w:lang w:val="en-US"/>
          </w:rPr>
          <w:t>http://www.equineteurope.org/</w:t>
        </w:r>
      </w:hyperlink>
      <w:r>
        <w:rPr>
          <w:lang w:val="en-US"/>
        </w:rPr>
        <w:t xml:space="preserve"> </w:t>
      </w:r>
    </w:p>
  </w:footnote>
  <w:footnote w:id="2">
    <w:p w14:paraId="3F0455B6" w14:textId="77777777" w:rsidR="007340F1" w:rsidRPr="00A03FD6" w:rsidRDefault="007340F1" w:rsidP="00314EC8">
      <w:pPr>
        <w:pStyle w:val="FootnoteText"/>
      </w:pPr>
      <w:r>
        <w:rPr>
          <w:rStyle w:val="FootnoteReference"/>
        </w:rPr>
        <w:footnoteRef/>
      </w:r>
      <w:r w:rsidRPr="00A03FD6">
        <w:t xml:space="preserve"> </w:t>
      </w:r>
      <w:r>
        <w:t>Directive 2000/43/EC, Directive 2004/113/EC, Directive 2006/54/EU, Directive 2010/41/EU</w:t>
      </w:r>
    </w:p>
  </w:footnote>
  <w:footnote w:id="3">
    <w:p w14:paraId="03F00013" w14:textId="4545F63D" w:rsidR="00706C93" w:rsidRPr="00E16CDB" w:rsidRDefault="00706C93" w:rsidP="00706C93">
      <w:pPr>
        <w:pStyle w:val="FootnoteText"/>
        <w:rPr>
          <w:lang w:val="en-US"/>
        </w:rPr>
      </w:pPr>
      <w:r>
        <w:rPr>
          <w:rStyle w:val="FootnoteReference"/>
        </w:rPr>
        <w:footnoteRef/>
      </w:r>
      <w:r w:rsidRPr="00E16CDB">
        <w:rPr>
          <w:lang w:val="en-US"/>
        </w:rPr>
        <w:t xml:space="preserve"> </w:t>
      </w:r>
      <w:r>
        <w:rPr>
          <w:lang w:val="en-US"/>
        </w:rPr>
        <w:t xml:space="preserve">In </w:t>
      </w:r>
      <w:r w:rsidR="00FD3D8F">
        <w:rPr>
          <w:lang w:val="en-US"/>
        </w:rPr>
        <w:t xml:space="preserve">Belgium, </w:t>
      </w:r>
      <w:r>
        <w:rPr>
          <w:lang w:val="en-US"/>
        </w:rPr>
        <w:t>Cyprus, Czech Republic, Denmark, France, Croatia, Ireland, Latvia, Luxemburg, Lithuania, Malta, Netherlands, Norway, Poland and UK</w:t>
      </w:r>
    </w:p>
  </w:footnote>
  <w:footnote w:id="4">
    <w:p w14:paraId="5DE6D82E" w14:textId="5F22A080" w:rsidR="007340F1" w:rsidRPr="00882CEF" w:rsidRDefault="007340F1">
      <w:pPr>
        <w:pStyle w:val="FootnoteText"/>
        <w:rPr>
          <w:lang w:val="en-US"/>
        </w:rPr>
      </w:pPr>
      <w:r>
        <w:rPr>
          <w:rStyle w:val="FootnoteReference"/>
        </w:rPr>
        <w:footnoteRef/>
      </w:r>
      <w:r w:rsidRPr="00882CEF">
        <w:rPr>
          <w:lang w:val="en-US"/>
        </w:rPr>
        <w:t xml:space="preserve"> Cases 117/76 and 16/77 </w:t>
      </w:r>
      <w:proofErr w:type="spellStart"/>
      <w:r w:rsidRPr="00882CEF">
        <w:rPr>
          <w:lang w:val="en-US"/>
        </w:rPr>
        <w:t>Ruckdeschel</w:t>
      </w:r>
      <w:proofErr w:type="spellEnd"/>
      <w:r w:rsidRPr="00882CEF">
        <w:rPr>
          <w:lang w:val="en-US"/>
        </w:rPr>
        <w:t xml:space="preserve"> [1977] ECR 1753.</w:t>
      </w:r>
    </w:p>
  </w:footnote>
  <w:footnote w:id="5">
    <w:p w14:paraId="637D694B" w14:textId="5837B36D" w:rsidR="007340F1" w:rsidRPr="00254D8C" w:rsidRDefault="007340F1" w:rsidP="005C45B0">
      <w:pPr>
        <w:pStyle w:val="FootnoteText"/>
        <w:jc w:val="both"/>
        <w:rPr>
          <w:lang w:val="en-US"/>
        </w:rPr>
      </w:pPr>
      <w:r>
        <w:rPr>
          <w:rStyle w:val="FootnoteReference"/>
        </w:rPr>
        <w:footnoteRef/>
      </w:r>
      <w:r w:rsidRPr="00254D8C">
        <w:rPr>
          <w:lang w:val="en-US"/>
        </w:rPr>
        <w:t xml:space="preserve"> Proposal for a Council Directive on implementing the principle of equal treatment between persons irrespective of religion or belief, disability, age or sexual orientation</w:t>
      </w:r>
      <w:r w:rsidR="00BA4069">
        <w:rPr>
          <w:lang w:val="en-US"/>
        </w:rPr>
        <w:t>, 2008.</w:t>
      </w:r>
    </w:p>
  </w:footnote>
  <w:footnote w:id="6">
    <w:p w14:paraId="7CCAEF49" w14:textId="77777777" w:rsidR="007340F1" w:rsidRPr="00FA491F" w:rsidRDefault="007340F1" w:rsidP="00FC73E8">
      <w:pPr>
        <w:pStyle w:val="FootnoteText"/>
        <w:rPr>
          <w:lang w:val="en-US"/>
        </w:rPr>
      </w:pPr>
      <w:r>
        <w:rPr>
          <w:rStyle w:val="FootnoteReference"/>
        </w:rPr>
        <w:footnoteRef/>
      </w:r>
      <w:r w:rsidRPr="00FA491F">
        <w:rPr>
          <w:lang w:val="en-US"/>
        </w:rPr>
        <w:t xml:space="preserve"> </w:t>
      </w:r>
      <w:r>
        <w:rPr>
          <w:lang w:val="en-US"/>
        </w:rPr>
        <w:t xml:space="preserve">Equinet perspective, </w:t>
      </w:r>
      <w:proofErr w:type="gramStart"/>
      <w:r w:rsidRPr="00CD4BEC">
        <w:rPr>
          <w:lang w:val="en-US"/>
        </w:rPr>
        <w:t>Innovating</w:t>
      </w:r>
      <w:proofErr w:type="gramEnd"/>
      <w:r w:rsidRPr="00CD4BEC">
        <w:rPr>
          <w:lang w:val="en-US"/>
        </w:rPr>
        <w:t xml:space="preserve"> at the Intersections. Equality Bodies tackling Intersectional Discrimination</w:t>
      </w:r>
      <w:r w:rsidRPr="00F56D6E">
        <w:rPr>
          <w:lang w:val="en-US"/>
        </w:rPr>
        <w:t>,</w:t>
      </w:r>
      <w:r>
        <w:rPr>
          <w:lang w:val="en-US"/>
        </w:rPr>
        <w:t xml:space="preserve"> 2016 </w:t>
      </w:r>
      <w:hyperlink r:id="rId2" w:history="1">
        <w:r w:rsidRPr="00237CC4">
          <w:rPr>
            <w:rStyle w:val="Hyperlink"/>
            <w:lang w:val="en-US"/>
          </w:rPr>
          <w:t>http://www.equineteurope.org/Equinet-Perspective-Innovating-at-the-Intersections-Equality-Bodies-tackling</w:t>
        </w:r>
      </w:hyperlink>
      <w:r>
        <w:rPr>
          <w:lang w:val="en-US"/>
        </w:rPr>
        <w:t xml:space="preserve">   </w:t>
      </w:r>
    </w:p>
  </w:footnote>
  <w:footnote w:id="7">
    <w:p w14:paraId="485CEF65" w14:textId="0EBF2F0E" w:rsidR="007340F1" w:rsidRPr="0037642B" w:rsidRDefault="007340F1" w:rsidP="00F44B5D">
      <w:pPr>
        <w:pStyle w:val="FootnoteText"/>
        <w:rPr>
          <w:lang w:val="en-US"/>
        </w:rPr>
      </w:pPr>
      <w:r>
        <w:rPr>
          <w:rStyle w:val="FootnoteReference"/>
        </w:rPr>
        <w:footnoteRef/>
      </w:r>
      <w:r w:rsidRPr="0037642B">
        <w:rPr>
          <w:lang w:val="en-US"/>
        </w:rPr>
        <w:t xml:space="preserve"> </w:t>
      </w:r>
      <w:r>
        <w:rPr>
          <w:lang w:val="en-US"/>
        </w:rPr>
        <w:t xml:space="preserve">Equinet perspective, </w:t>
      </w:r>
      <w:r w:rsidRPr="0037642B">
        <w:rPr>
          <w:lang w:val="en-US"/>
        </w:rPr>
        <w:t>Innovating at the Intersections</w:t>
      </w:r>
      <w:r>
        <w:rPr>
          <w:lang w:val="en-US"/>
        </w:rPr>
        <w:t xml:space="preserve">, 2016 </w:t>
      </w:r>
      <w:hyperlink r:id="rId3" w:history="1">
        <w:r w:rsidRPr="0056070D">
          <w:rPr>
            <w:rStyle w:val="Hyperlink"/>
            <w:lang w:val="en-US"/>
          </w:rPr>
          <w:t>http://www.equineteurope.org/IMG/pdf/equinet_perspective_2016_-_intersectionality_final_web.pdf</w:t>
        </w:r>
      </w:hyperlink>
      <w:r>
        <w:rPr>
          <w:lang w:val="en-US"/>
        </w:rPr>
        <w:t xml:space="preserve"> </w:t>
      </w:r>
    </w:p>
  </w:footnote>
  <w:footnote w:id="8">
    <w:p w14:paraId="3058CDA9" w14:textId="36971DE6" w:rsidR="007340F1" w:rsidRPr="0090694F" w:rsidRDefault="007340F1" w:rsidP="00527A5A">
      <w:pPr>
        <w:pStyle w:val="FootnoteText"/>
        <w:jc w:val="both"/>
        <w:rPr>
          <w:lang w:val="en-US"/>
        </w:rPr>
      </w:pPr>
      <w:r>
        <w:rPr>
          <w:rStyle w:val="FootnoteReference"/>
        </w:rPr>
        <w:footnoteRef/>
      </w:r>
      <w:r w:rsidRPr="0090694F">
        <w:rPr>
          <w:lang w:val="en-US"/>
        </w:rPr>
        <w:t xml:space="preserve"> </w:t>
      </w:r>
      <w:r>
        <w:rPr>
          <w:lang w:val="en-US"/>
        </w:rPr>
        <w:t xml:space="preserve">Fredman, Sandra. </w:t>
      </w:r>
      <w:r w:rsidRPr="00327801">
        <w:rPr>
          <w:lang w:val="en-US"/>
        </w:rPr>
        <w:t xml:space="preserve">Intersectional discrimination in EU gender equality and non-discrimination law, </w:t>
      </w:r>
      <w:r w:rsidR="00527A5A" w:rsidRPr="00527A5A">
        <w:rPr>
          <w:lang w:val="en-US"/>
        </w:rPr>
        <w:t>European network of legal experts in</w:t>
      </w:r>
      <w:r w:rsidR="00527A5A">
        <w:rPr>
          <w:lang w:val="en-US"/>
        </w:rPr>
        <w:t xml:space="preserve"> </w:t>
      </w:r>
      <w:r w:rsidR="00527A5A" w:rsidRPr="00527A5A">
        <w:rPr>
          <w:lang w:val="en-US"/>
        </w:rPr>
        <w:t>gender equality and non-discrimination</w:t>
      </w:r>
      <w:r w:rsidR="00527A5A">
        <w:rPr>
          <w:lang w:val="en-US"/>
        </w:rPr>
        <w:t>,</w:t>
      </w:r>
      <w:r w:rsidR="00527A5A" w:rsidRPr="00527A5A">
        <w:rPr>
          <w:lang w:val="en-US"/>
        </w:rPr>
        <w:t xml:space="preserve"> </w:t>
      </w:r>
      <w:r w:rsidRPr="00327801">
        <w:rPr>
          <w:lang w:val="en-US"/>
        </w:rPr>
        <w:t>2016.</w:t>
      </w:r>
    </w:p>
  </w:footnote>
  <w:footnote w:id="9">
    <w:p w14:paraId="73AD2DF9" w14:textId="7B77CA56" w:rsidR="007340F1" w:rsidRPr="001875F5" w:rsidRDefault="007340F1">
      <w:pPr>
        <w:pStyle w:val="FootnoteText"/>
        <w:rPr>
          <w:lang w:val="en-US"/>
        </w:rPr>
      </w:pPr>
      <w:r>
        <w:rPr>
          <w:rStyle w:val="FootnoteReference"/>
        </w:rPr>
        <w:footnoteRef/>
      </w:r>
      <w:r w:rsidRPr="001875F5">
        <w:rPr>
          <w:lang w:val="en-US"/>
        </w:rPr>
        <w:t xml:space="preserve"> </w:t>
      </w:r>
      <w:r w:rsidR="005A2D45">
        <w:rPr>
          <w:lang w:val="en-US"/>
        </w:rPr>
        <w:t>Equinet,</w:t>
      </w:r>
      <w:r>
        <w:rPr>
          <w:lang w:val="en-US"/>
        </w:rPr>
        <w:t xml:space="preserve"> </w:t>
      </w:r>
      <w:r w:rsidRPr="001875F5">
        <w:rPr>
          <w:lang w:val="en-US"/>
        </w:rPr>
        <w:t>Equality Bodies Supporting Good Practice on Making Reasonable Accommodation for People with Disabilities by Employers and Service Providers,</w:t>
      </w:r>
      <w:r>
        <w:rPr>
          <w:lang w:val="en-US"/>
        </w:rPr>
        <w:t xml:space="preserve"> 2014. </w:t>
      </w:r>
      <w:hyperlink r:id="rId4" w:history="1">
        <w:r w:rsidRPr="0056070D">
          <w:rPr>
            <w:rStyle w:val="Hyperlink"/>
            <w:lang w:val="en-US"/>
          </w:rPr>
          <w:t>http://www.equineteurope.org/IMG/pdf/final_guide.pdf</w:t>
        </w:r>
      </w:hyperlink>
      <w:r>
        <w:rPr>
          <w:lang w:val="en-US"/>
        </w:rPr>
        <w:t xml:space="preserve"> </w:t>
      </w:r>
    </w:p>
  </w:footnote>
  <w:footnote w:id="10">
    <w:p w14:paraId="36FE66B6" w14:textId="46AD1754" w:rsidR="007340F1" w:rsidRPr="009A63F1" w:rsidRDefault="007340F1">
      <w:pPr>
        <w:pStyle w:val="FootnoteText"/>
      </w:pPr>
      <w:r>
        <w:rPr>
          <w:rStyle w:val="FootnoteReference"/>
        </w:rPr>
        <w:footnoteRef/>
      </w:r>
      <w:r w:rsidRPr="00F34A76">
        <w:rPr>
          <w:lang w:val="en-US"/>
        </w:rPr>
        <w:t xml:space="preserve"> </w:t>
      </w:r>
      <w:r>
        <w:rPr>
          <w:lang w:val="en-US"/>
        </w:rPr>
        <w:t xml:space="preserve">Equinet, </w:t>
      </w:r>
      <w:r w:rsidRPr="00A15559">
        <w:rPr>
          <w:lang w:val="en-US"/>
        </w:rPr>
        <w:t>Equality Law in Practice – Report on the Implementation of the Race and General Framework Directives</w:t>
      </w:r>
      <w:r>
        <w:rPr>
          <w:lang w:val="en-US"/>
        </w:rPr>
        <w:t xml:space="preserve">, 2013. </w:t>
      </w:r>
      <w:hyperlink r:id="rId5" w:history="1">
        <w:r w:rsidRPr="009A63F1">
          <w:rPr>
            <w:rStyle w:val="Hyperlink"/>
          </w:rPr>
          <w:t>http://www.equineteurope.org/IMG/pdf/equinet_equality_law_in_practice_2013_report_final_covers.pdf</w:t>
        </w:r>
      </w:hyperlink>
      <w:r w:rsidRPr="009A63F1">
        <w:t xml:space="preserve"> </w:t>
      </w:r>
    </w:p>
  </w:footnote>
  <w:footnote w:id="11">
    <w:p w14:paraId="59D6894F" w14:textId="42290BEE" w:rsidR="007340F1" w:rsidRPr="00BB5261" w:rsidRDefault="007340F1" w:rsidP="00CD4BEC">
      <w:pPr>
        <w:pStyle w:val="FootnoteText"/>
        <w:jc w:val="both"/>
        <w:rPr>
          <w:lang w:val="en-US"/>
        </w:rPr>
      </w:pPr>
      <w:r>
        <w:rPr>
          <w:rStyle w:val="FootnoteReference"/>
        </w:rPr>
        <w:footnoteRef/>
      </w:r>
      <w:r w:rsidRPr="00BB5261">
        <w:rPr>
          <w:lang w:val="en-US"/>
        </w:rPr>
        <w:t xml:space="preserve"> </w:t>
      </w:r>
      <w:r>
        <w:rPr>
          <w:lang w:val="en-US"/>
        </w:rPr>
        <w:t xml:space="preserve">In </w:t>
      </w:r>
      <w:r w:rsidR="00FD3D8F">
        <w:rPr>
          <w:lang w:val="en-US"/>
        </w:rPr>
        <w:t xml:space="preserve">Belgium, </w:t>
      </w:r>
      <w:r>
        <w:rPr>
          <w:lang w:val="en-US"/>
        </w:rPr>
        <w:t xml:space="preserve">Cyprus, Czech Republic, Denmark, France, Croatia, Ireland, Latvia, Luxemburg, Lithuania, Malta, Netherlands, Norway, Poland and UK </w:t>
      </w:r>
    </w:p>
  </w:footnote>
  <w:footnote w:id="12">
    <w:p w14:paraId="165E8F64" w14:textId="1F8132E4" w:rsidR="007340F1" w:rsidRPr="006F71E3" w:rsidRDefault="007340F1" w:rsidP="005A2D45">
      <w:pPr>
        <w:pStyle w:val="FootnoteText"/>
        <w:rPr>
          <w:lang w:val="en-US"/>
        </w:rPr>
      </w:pPr>
      <w:r>
        <w:rPr>
          <w:rStyle w:val="FootnoteReference"/>
        </w:rPr>
        <w:footnoteRef/>
      </w:r>
      <w:r w:rsidR="005A2D45">
        <w:rPr>
          <w:lang w:val="en-US"/>
        </w:rPr>
        <w:t xml:space="preserve"> Equinet, </w:t>
      </w:r>
      <w:proofErr w:type="spellStart"/>
      <w:r w:rsidR="005A2D45" w:rsidRPr="005A2D45">
        <w:rPr>
          <w:lang w:val="en-US"/>
        </w:rPr>
        <w:t>Realising</w:t>
      </w:r>
      <w:proofErr w:type="spellEnd"/>
      <w:r w:rsidR="005A2D45" w:rsidRPr="005A2D45">
        <w:rPr>
          <w:lang w:val="en-US"/>
        </w:rPr>
        <w:t xml:space="preserve"> Rights: Equality Bodies and People with Disabilities. Supporting the Review of the European</w:t>
      </w:r>
      <w:r w:rsidR="005A2D45">
        <w:rPr>
          <w:lang w:val="en-US"/>
        </w:rPr>
        <w:t xml:space="preserve"> Disability Strategy 2010-2020, 2014. </w:t>
      </w:r>
      <w:hyperlink r:id="rId6" w:history="1">
        <w:r w:rsidRPr="00010793">
          <w:rPr>
            <w:rStyle w:val="Hyperlink"/>
            <w:lang w:val="en-US"/>
          </w:rPr>
          <w:t>http://www.equineteurope.org/IMG/pdf/disabiliby_perspective_with_cover.pdf</w:t>
        </w:r>
      </w:hyperlink>
      <w:r>
        <w:rPr>
          <w:lang w:val="en-US"/>
        </w:rPr>
        <w:t xml:space="preserve"> </w:t>
      </w:r>
    </w:p>
  </w:footnote>
  <w:footnote w:id="13">
    <w:p w14:paraId="44AFB430" w14:textId="3A8A0768" w:rsidR="007340F1" w:rsidRPr="005A2D45" w:rsidRDefault="007340F1" w:rsidP="005A2D45">
      <w:pPr>
        <w:pStyle w:val="FootnoteText"/>
      </w:pPr>
      <w:r>
        <w:rPr>
          <w:rStyle w:val="FootnoteReference"/>
        </w:rPr>
        <w:footnoteRef/>
      </w:r>
      <w:r w:rsidRPr="005559D1">
        <w:rPr>
          <w:lang w:val="en-US"/>
        </w:rPr>
        <w:t xml:space="preserve"> Equinet Working Paper on Devel</w:t>
      </w:r>
      <w:r>
        <w:rPr>
          <w:lang w:val="en-US"/>
        </w:rPr>
        <w:t>oping Standards for Equality Bo</w:t>
      </w:r>
      <w:r w:rsidRPr="005559D1">
        <w:rPr>
          <w:lang w:val="en-US"/>
        </w:rPr>
        <w:t>d</w:t>
      </w:r>
      <w:r>
        <w:rPr>
          <w:lang w:val="en-US"/>
        </w:rPr>
        <w:t>i</w:t>
      </w:r>
      <w:r w:rsidRPr="005559D1">
        <w:rPr>
          <w:lang w:val="en-US"/>
        </w:rPr>
        <w:t>es</w:t>
      </w:r>
      <w:r w:rsidR="005A2D45">
        <w:rPr>
          <w:lang w:val="en-US"/>
        </w:rPr>
        <w:t>, 2015.</w:t>
      </w:r>
      <w:r w:rsidRPr="005559D1">
        <w:rPr>
          <w:lang w:val="en-US"/>
        </w:rPr>
        <w:t xml:space="preserve"> </w:t>
      </w:r>
      <w:hyperlink r:id="rId7" w:history="1">
        <w:r w:rsidRPr="005A2D45">
          <w:rPr>
            <w:rStyle w:val="Hyperlink"/>
          </w:rPr>
          <w:t>http://www.equineteurope.org/Equinet-Working-Paper-on-Developing-Standards-for-Equality-Bodies</w:t>
        </w:r>
      </w:hyperlink>
      <w:r w:rsidRPr="005A2D45">
        <w:t xml:space="preserve"> </w:t>
      </w:r>
    </w:p>
  </w:footnote>
  <w:footnote w:id="14">
    <w:p w14:paraId="06447E49" w14:textId="5D7DC805" w:rsidR="007340F1" w:rsidRPr="009A63F1" w:rsidRDefault="007340F1">
      <w:pPr>
        <w:pStyle w:val="FootnoteText"/>
      </w:pPr>
      <w:r>
        <w:rPr>
          <w:rStyle w:val="FootnoteReference"/>
        </w:rPr>
        <w:footnoteRef/>
      </w:r>
      <w:r w:rsidRPr="008F322D">
        <w:rPr>
          <w:lang w:val="en-US"/>
        </w:rPr>
        <w:t xml:space="preserve"> </w:t>
      </w:r>
      <w:r>
        <w:rPr>
          <w:lang w:val="en-US"/>
        </w:rPr>
        <w:t xml:space="preserve">Equinet, </w:t>
      </w:r>
      <w:proofErr w:type="gramStart"/>
      <w:r w:rsidRPr="008F322D">
        <w:rPr>
          <w:lang w:val="en-US"/>
        </w:rPr>
        <w:t>The</w:t>
      </w:r>
      <w:proofErr w:type="gramEnd"/>
      <w:r w:rsidRPr="008F322D">
        <w:rPr>
          <w:lang w:val="en-US"/>
        </w:rPr>
        <w:t xml:space="preserve"> Sanctions Regime in Discrimination Cases and its Effects</w:t>
      </w:r>
      <w:r>
        <w:rPr>
          <w:lang w:val="en-US"/>
        </w:rPr>
        <w:t xml:space="preserve">, 2015. </w:t>
      </w:r>
      <w:hyperlink r:id="rId8" w:history="1">
        <w:r w:rsidRPr="009A63F1">
          <w:rPr>
            <w:rStyle w:val="Hyperlink"/>
          </w:rPr>
          <w:t>http://www.equineteurope.org/IMG/pdf/sanctions_regime_discrimination_-_final_for_web.pdf</w:t>
        </w:r>
      </w:hyperlink>
      <w:r w:rsidRPr="009A63F1">
        <w:t xml:space="preserve"> </w:t>
      </w:r>
    </w:p>
  </w:footnote>
  <w:footnote w:id="15">
    <w:p w14:paraId="6EA5E205" w14:textId="364484E2" w:rsidR="007340F1" w:rsidRPr="009A63F1" w:rsidRDefault="007340F1">
      <w:pPr>
        <w:pStyle w:val="FootnoteText"/>
      </w:pPr>
      <w:r>
        <w:rPr>
          <w:rStyle w:val="FootnoteReference"/>
        </w:rPr>
        <w:footnoteRef/>
      </w:r>
      <w:r w:rsidRPr="007340F1">
        <w:rPr>
          <w:lang w:val="en-US"/>
        </w:rPr>
        <w:t xml:space="preserve"> </w:t>
      </w:r>
      <w:r>
        <w:rPr>
          <w:lang w:val="en-US"/>
        </w:rPr>
        <w:t xml:space="preserve">Equinet, </w:t>
      </w:r>
      <w:r w:rsidRPr="007340F1">
        <w:rPr>
          <w:lang w:val="en-US"/>
        </w:rPr>
        <w:t>Positive Action Measures. The Experience of Equality Bodies</w:t>
      </w:r>
      <w:r>
        <w:rPr>
          <w:lang w:val="en-US"/>
        </w:rPr>
        <w:t>, 2014.</w:t>
      </w:r>
      <w:r w:rsidRPr="007340F1">
        <w:rPr>
          <w:lang w:val="en-US"/>
        </w:rPr>
        <w:t xml:space="preserve"> </w:t>
      </w:r>
      <w:hyperlink r:id="rId9" w:history="1">
        <w:r w:rsidRPr="009A63F1">
          <w:rPr>
            <w:rStyle w:val="Hyperlink"/>
          </w:rPr>
          <w:t>http://www.equineteurope.org/IMG/pdf/positive_action_measures_final_with_cover.pdf</w:t>
        </w:r>
      </w:hyperlink>
      <w:r w:rsidRPr="009A63F1">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1468C"/>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DE20432"/>
    <w:multiLevelType w:val="hybridMultilevel"/>
    <w:tmpl w:val="3CDE6288"/>
    <w:lvl w:ilvl="0" w:tplc="080C000F">
      <w:start w:val="1"/>
      <w:numFmt w:val="decimal"/>
      <w:lvlText w:val="%1."/>
      <w:lvlJc w:val="left"/>
      <w:pPr>
        <w:ind w:left="780" w:hanging="360"/>
      </w:pPr>
    </w:lvl>
    <w:lvl w:ilvl="1" w:tplc="080C0019" w:tentative="1">
      <w:start w:val="1"/>
      <w:numFmt w:val="lowerLetter"/>
      <w:lvlText w:val="%2."/>
      <w:lvlJc w:val="left"/>
      <w:pPr>
        <w:ind w:left="1500" w:hanging="360"/>
      </w:pPr>
    </w:lvl>
    <w:lvl w:ilvl="2" w:tplc="080C001B" w:tentative="1">
      <w:start w:val="1"/>
      <w:numFmt w:val="lowerRoman"/>
      <w:lvlText w:val="%3."/>
      <w:lvlJc w:val="right"/>
      <w:pPr>
        <w:ind w:left="2220" w:hanging="180"/>
      </w:pPr>
    </w:lvl>
    <w:lvl w:ilvl="3" w:tplc="080C000F" w:tentative="1">
      <w:start w:val="1"/>
      <w:numFmt w:val="decimal"/>
      <w:lvlText w:val="%4."/>
      <w:lvlJc w:val="left"/>
      <w:pPr>
        <w:ind w:left="2940" w:hanging="360"/>
      </w:pPr>
    </w:lvl>
    <w:lvl w:ilvl="4" w:tplc="080C0019" w:tentative="1">
      <w:start w:val="1"/>
      <w:numFmt w:val="lowerLetter"/>
      <w:lvlText w:val="%5."/>
      <w:lvlJc w:val="left"/>
      <w:pPr>
        <w:ind w:left="3660" w:hanging="360"/>
      </w:pPr>
    </w:lvl>
    <w:lvl w:ilvl="5" w:tplc="080C001B" w:tentative="1">
      <w:start w:val="1"/>
      <w:numFmt w:val="lowerRoman"/>
      <w:lvlText w:val="%6."/>
      <w:lvlJc w:val="right"/>
      <w:pPr>
        <w:ind w:left="4380" w:hanging="180"/>
      </w:pPr>
    </w:lvl>
    <w:lvl w:ilvl="6" w:tplc="080C000F" w:tentative="1">
      <w:start w:val="1"/>
      <w:numFmt w:val="decimal"/>
      <w:lvlText w:val="%7."/>
      <w:lvlJc w:val="left"/>
      <w:pPr>
        <w:ind w:left="5100" w:hanging="360"/>
      </w:pPr>
    </w:lvl>
    <w:lvl w:ilvl="7" w:tplc="080C0019" w:tentative="1">
      <w:start w:val="1"/>
      <w:numFmt w:val="lowerLetter"/>
      <w:lvlText w:val="%8."/>
      <w:lvlJc w:val="left"/>
      <w:pPr>
        <w:ind w:left="5820" w:hanging="360"/>
      </w:pPr>
    </w:lvl>
    <w:lvl w:ilvl="8" w:tplc="080C001B" w:tentative="1">
      <w:start w:val="1"/>
      <w:numFmt w:val="lowerRoman"/>
      <w:lvlText w:val="%9."/>
      <w:lvlJc w:val="right"/>
      <w:pPr>
        <w:ind w:left="6540" w:hanging="180"/>
      </w:pPr>
    </w:lvl>
  </w:abstractNum>
  <w:abstractNum w:abstractNumId="2" w15:restartNumberingAfterBreak="0">
    <w:nsid w:val="65930DC5"/>
    <w:multiLevelType w:val="hybridMultilevel"/>
    <w:tmpl w:val="D242B3E0"/>
    <w:lvl w:ilvl="0" w:tplc="38043E60">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7EF26132"/>
    <w:multiLevelType w:val="hybridMultilevel"/>
    <w:tmpl w:val="EDA2F8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3DA"/>
    <w:rsid w:val="00011A45"/>
    <w:rsid w:val="00020B47"/>
    <w:rsid w:val="00033630"/>
    <w:rsid w:val="00080CD5"/>
    <w:rsid w:val="00086DE1"/>
    <w:rsid w:val="000B71D8"/>
    <w:rsid w:val="000E0BFC"/>
    <w:rsid w:val="000F49FE"/>
    <w:rsid w:val="0012232A"/>
    <w:rsid w:val="00122EA8"/>
    <w:rsid w:val="001377BE"/>
    <w:rsid w:val="00141AD0"/>
    <w:rsid w:val="001514FA"/>
    <w:rsid w:val="00166AF9"/>
    <w:rsid w:val="001875F5"/>
    <w:rsid w:val="001D2D5C"/>
    <w:rsid w:val="001F619A"/>
    <w:rsid w:val="00207C84"/>
    <w:rsid w:val="00221687"/>
    <w:rsid w:val="00224A10"/>
    <w:rsid w:val="00240B08"/>
    <w:rsid w:val="00254D8C"/>
    <w:rsid w:val="002645C3"/>
    <w:rsid w:val="00282AFE"/>
    <w:rsid w:val="002D0F86"/>
    <w:rsid w:val="002D6629"/>
    <w:rsid w:val="002D6D84"/>
    <w:rsid w:val="002E1614"/>
    <w:rsid w:val="002E33DA"/>
    <w:rsid w:val="002F6C78"/>
    <w:rsid w:val="00314B9D"/>
    <w:rsid w:val="00314EC8"/>
    <w:rsid w:val="00322B15"/>
    <w:rsid w:val="00327801"/>
    <w:rsid w:val="003659B1"/>
    <w:rsid w:val="0037642B"/>
    <w:rsid w:val="003854F2"/>
    <w:rsid w:val="003A1F16"/>
    <w:rsid w:val="003D2201"/>
    <w:rsid w:val="003E394A"/>
    <w:rsid w:val="003E4E7A"/>
    <w:rsid w:val="0041700D"/>
    <w:rsid w:val="00434C35"/>
    <w:rsid w:val="00443EF9"/>
    <w:rsid w:val="00445607"/>
    <w:rsid w:val="0045140B"/>
    <w:rsid w:val="00452D62"/>
    <w:rsid w:val="00487C8D"/>
    <w:rsid w:val="004B1067"/>
    <w:rsid w:val="004E547E"/>
    <w:rsid w:val="004E72DC"/>
    <w:rsid w:val="004F5763"/>
    <w:rsid w:val="005052D6"/>
    <w:rsid w:val="00527A5A"/>
    <w:rsid w:val="005401F7"/>
    <w:rsid w:val="005559D1"/>
    <w:rsid w:val="005755E8"/>
    <w:rsid w:val="00575A9B"/>
    <w:rsid w:val="00593F9B"/>
    <w:rsid w:val="005A2D45"/>
    <w:rsid w:val="005C45B0"/>
    <w:rsid w:val="00634C45"/>
    <w:rsid w:val="0069703A"/>
    <w:rsid w:val="006E3470"/>
    <w:rsid w:val="006F0BF9"/>
    <w:rsid w:val="006F71E3"/>
    <w:rsid w:val="0070004F"/>
    <w:rsid w:val="00701EB2"/>
    <w:rsid w:val="00706C93"/>
    <w:rsid w:val="007340F1"/>
    <w:rsid w:val="00775D87"/>
    <w:rsid w:val="00781342"/>
    <w:rsid w:val="007864EC"/>
    <w:rsid w:val="00787A07"/>
    <w:rsid w:val="007A663A"/>
    <w:rsid w:val="007C6F0D"/>
    <w:rsid w:val="007D300C"/>
    <w:rsid w:val="007D742E"/>
    <w:rsid w:val="008209DE"/>
    <w:rsid w:val="00825A7F"/>
    <w:rsid w:val="008323E3"/>
    <w:rsid w:val="00845142"/>
    <w:rsid w:val="00861A02"/>
    <w:rsid w:val="00882CEF"/>
    <w:rsid w:val="00885F5E"/>
    <w:rsid w:val="00890F6D"/>
    <w:rsid w:val="008B198E"/>
    <w:rsid w:val="008C21B5"/>
    <w:rsid w:val="008F322D"/>
    <w:rsid w:val="0090694F"/>
    <w:rsid w:val="00931090"/>
    <w:rsid w:val="00956CE6"/>
    <w:rsid w:val="00971C6F"/>
    <w:rsid w:val="00995DCA"/>
    <w:rsid w:val="009A63F1"/>
    <w:rsid w:val="009E17B8"/>
    <w:rsid w:val="00A02E7C"/>
    <w:rsid w:val="00A03FD6"/>
    <w:rsid w:val="00A15559"/>
    <w:rsid w:val="00A15A32"/>
    <w:rsid w:val="00A16C44"/>
    <w:rsid w:val="00A224A7"/>
    <w:rsid w:val="00A24334"/>
    <w:rsid w:val="00A32312"/>
    <w:rsid w:val="00A35195"/>
    <w:rsid w:val="00A351BE"/>
    <w:rsid w:val="00A4438B"/>
    <w:rsid w:val="00A51E8C"/>
    <w:rsid w:val="00A62F46"/>
    <w:rsid w:val="00A77ED7"/>
    <w:rsid w:val="00AC4C84"/>
    <w:rsid w:val="00AE6658"/>
    <w:rsid w:val="00AF3C6B"/>
    <w:rsid w:val="00AF5A86"/>
    <w:rsid w:val="00B015CB"/>
    <w:rsid w:val="00B21B3F"/>
    <w:rsid w:val="00B24F41"/>
    <w:rsid w:val="00B36ABE"/>
    <w:rsid w:val="00B56FDB"/>
    <w:rsid w:val="00B57F5D"/>
    <w:rsid w:val="00BA4069"/>
    <w:rsid w:val="00BB5261"/>
    <w:rsid w:val="00BD1FA0"/>
    <w:rsid w:val="00BD24AE"/>
    <w:rsid w:val="00C22877"/>
    <w:rsid w:val="00CB2542"/>
    <w:rsid w:val="00CC6AC0"/>
    <w:rsid w:val="00CD4BEC"/>
    <w:rsid w:val="00CD516A"/>
    <w:rsid w:val="00D01D93"/>
    <w:rsid w:val="00D03E1B"/>
    <w:rsid w:val="00D06CCC"/>
    <w:rsid w:val="00D06F27"/>
    <w:rsid w:val="00D3660B"/>
    <w:rsid w:val="00D474A1"/>
    <w:rsid w:val="00D75EF9"/>
    <w:rsid w:val="00D85DEE"/>
    <w:rsid w:val="00D86494"/>
    <w:rsid w:val="00D95D12"/>
    <w:rsid w:val="00DB5333"/>
    <w:rsid w:val="00DB5A06"/>
    <w:rsid w:val="00DD78F0"/>
    <w:rsid w:val="00DE25CD"/>
    <w:rsid w:val="00DF0C00"/>
    <w:rsid w:val="00E041EF"/>
    <w:rsid w:val="00E06F63"/>
    <w:rsid w:val="00E16CDB"/>
    <w:rsid w:val="00E6793F"/>
    <w:rsid w:val="00EC7FE4"/>
    <w:rsid w:val="00ED3E1D"/>
    <w:rsid w:val="00EF1B9A"/>
    <w:rsid w:val="00F34A76"/>
    <w:rsid w:val="00F44B5D"/>
    <w:rsid w:val="00F56D6E"/>
    <w:rsid w:val="00F671A2"/>
    <w:rsid w:val="00F675FD"/>
    <w:rsid w:val="00F9300A"/>
    <w:rsid w:val="00FA491F"/>
    <w:rsid w:val="00FC030A"/>
    <w:rsid w:val="00FC3232"/>
    <w:rsid w:val="00FC73E8"/>
    <w:rsid w:val="00FD3D8F"/>
    <w:rsid w:val="00FE4D3A"/>
    <w:rsid w:val="00FF6D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BF08AB"/>
  <w15:docId w15:val="{7C32AD27-4CAA-4678-9494-DC1CC5A1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33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4EC8"/>
    <w:pPr>
      <w:keepNext/>
      <w:keepLines/>
      <w:spacing w:before="200" w:after="0"/>
      <w:outlineLvl w:val="1"/>
    </w:pPr>
    <w:rPr>
      <w:rFonts w:asciiTheme="majorHAnsi" w:eastAsiaTheme="majorEastAsia" w:hAnsiTheme="majorHAnsi" w:cstheme="majorBidi"/>
      <w:b/>
      <w:bCs/>
      <w:color w:val="002060"/>
      <w:sz w:val="26"/>
      <w:szCs w:val="26"/>
    </w:rPr>
  </w:style>
  <w:style w:type="paragraph" w:styleId="Heading3">
    <w:name w:val="heading 3"/>
    <w:basedOn w:val="Normal"/>
    <w:next w:val="Normal"/>
    <w:link w:val="Heading3Char"/>
    <w:uiPriority w:val="9"/>
    <w:unhideWhenUsed/>
    <w:qFormat/>
    <w:rsid w:val="00FC03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3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33DA"/>
  </w:style>
  <w:style w:type="paragraph" w:styleId="Footer">
    <w:name w:val="footer"/>
    <w:basedOn w:val="Normal"/>
    <w:link w:val="FooterChar"/>
    <w:uiPriority w:val="99"/>
    <w:unhideWhenUsed/>
    <w:rsid w:val="002E33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33DA"/>
  </w:style>
  <w:style w:type="paragraph" w:styleId="BalloonText">
    <w:name w:val="Balloon Text"/>
    <w:basedOn w:val="Normal"/>
    <w:link w:val="BalloonTextChar"/>
    <w:uiPriority w:val="99"/>
    <w:semiHidden/>
    <w:unhideWhenUsed/>
    <w:rsid w:val="002E3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3DA"/>
    <w:rPr>
      <w:rFonts w:ascii="Tahoma" w:hAnsi="Tahoma" w:cs="Tahoma"/>
      <w:sz w:val="16"/>
      <w:szCs w:val="16"/>
    </w:rPr>
  </w:style>
  <w:style w:type="character" w:customStyle="1" w:styleId="Heading1Char">
    <w:name w:val="Heading 1 Char"/>
    <w:basedOn w:val="DefaultParagraphFont"/>
    <w:link w:val="Heading1"/>
    <w:uiPriority w:val="9"/>
    <w:rsid w:val="002E33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14EC8"/>
    <w:rPr>
      <w:rFonts w:asciiTheme="majorHAnsi" w:eastAsiaTheme="majorEastAsia" w:hAnsiTheme="majorHAnsi" w:cstheme="majorBidi"/>
      <w:b/>
      <w:bCs/>
      <w:color w:val="002060"/>
      <w:sz w:val="26"/>
      <w:szCs w:val="26"/>
    </w:rPr>
  </w:style>
  <w:style w:type="paragraph" w:styleId="ListParagraph">
    <w:name w:val="List Paragraph"/>
    <w:basedOn w:val="Normal"/>
    <w:uiPriority w:val="34"/>
    <w:qFormat/>
    <w:rsid w:val="00A51E8C"/>
    <w:pPr>
      <w:ind w:left="720"/>
      <w:contextualSpacing/>
    </w:pPr>
  </w:style>
  <w:style w:type="paragraph" w:styleId="FootnoteText">
    <w:name w:val="footnote text"/>
    <w:basedOn w:val="Normal"/>
    <w:link w:val="FootnoteTextChar"/>
    <w:uiPriority w:val="99"/>
    <w:semiHidden/>
    <w:unhideWhenUsed/>
    <w:rsid w:val="00BB52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261"/>
    <w:rPr>
      <w:sz w:val="20"/>
      <w:szCs w:val="20"/>
    </w:rPr>
  </w:style>
  <w:style w:type="character" w:styleId="FootnoteReference">
    <w:name w:val="footnote reference"/>
    <w:basedOn w:val="DefaultParagraphFont"/>
    <w:uiPriority w:val="99"/>
    <w:semiHidden/>
    <w:unhideWhenUsed/>
    <w:rsid w:val="00BB5261"/>
    <w:rPr>
      <w:vertAlign w:val="superscript"/>
    </w:rPr>
  </w:style>
  <w:style w:type="character" w:styleId="Hyperlink">
    <w:name w:val="Hyperlink"/>
    <w:basedOn w:val="DefaultParagraphFont"/>
    <w:uiPriority w:val="99"/>
    <w:unhideWhenUsed/>
    <w:rsid w:val="006F71E3"/>
    <w:rPr>
      <w:color w:val="0000FF" w:themeColor="hyperlink"/>
      <w:u w:val="single"/>
    </w:rPr>
  </w:style>
  <w:style w:type="character" w:customStyle="1" w:styleId="Heading3Char">
    <w:name w:val="Heading 3 Char"/>
    <w:basedOn w:val="DefaultParagraphFont"/>
    <w:link w:val="Heading3"/>
    <w:uiPriority w:val="9"/>
    <w:rsid w:val="00FC030A"/>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166AF9"/>
    <w:rPr>
      <w:sz w:val="16"/>
      <w:szCs w:val="16"/>
    </w:rPr>
  </w:style>
  <w:style w:type="paragraph" w:styleId="CommentText">
    <w:name w:val="annotation text"/>
    <w:basedOn w:val="Normal"/>
    <w:link w:val="CommentTextChar"/>
    <w:uiPriority w:val="99"/>
    <w:semiHidden/>
    <w:unhideWhenUsed/>
    <w:rsid w:val="00166AF9"/>
    <w:pPr>
      <w:spacing w:line="240" w:lineRule="auto"/>
    </w:pPr>
    <w:rPr>
      <w:sz w:val="20"/>
      <w:szCs w:val="20"/>
    </w:rPr>
  </w:style>
  <w:style w:type="character" w:customStyle="1" w:styleId="CommentTextChar">
    <w:name w:val="Comment Text Char"/>
    <w:basedOn w:val="DefaultParagraphFont"/>
    <w:link w:val="CommentText"/>
    <w:uiPriority w:val="99"/>
    <w:semiHidden/>
    <w:rsid w:val="00166AF9"/>
    <w:rPr>
      <w:sz w:val="20"/>
      <w:szCs w:val="20"/>
    </w:rPr>
  </w:style>
  <w:style w:type="paragraph" w:styleId="CommentSubject">
    <w:name w:val="annotation subject"/>
    <w:basedOn w:val="CommentText"/>
    <w:next w:val="CommentText"/>
    <w:link w:val="CommentSubjectChar"/>
    <w:uiPriority w:val="99"/>
    <w:semiHidden/>
    <w:unhideWhenUsed/>
    <w:rsid w:val="00166AF9"/>
    <w:rPr>
      <w:b/>
      <w:bCs/>
    </w:rPr>
  </w:style>
  <w:style w:type="character" w:customStyle="1" w:styleId="CommentSubjectChar">
    <w:name w:val="Comment Subject Char"/>
    <w:basedOn w:val="CommentTextChar"/>
    <w:link w:val="CommentSubject"/>
    <w:uiPriority w:val="99"/>
    <w:semiHidden/>
    <w:rsid w:val="00166AF9"/>
    <w:rPr>
      <w:b/>
      <w:bCs/>
      <w:sz w:val="20"/>
      <w:szCs w:val="20"/>
    </w:rPr>
  </w:style>
  <w:style w:type="paragraph" w:styleId="TOCHeading">
    <w:name w:val="TOC Heading"/>
    <w:basedOn w:val="Heading1"/>
    <w:next w:val="Normal"/>
    <w:uiPriority w:val="39"/>
    <w:unhideWhenUsed/>
    <w:qFormat/>
    <w:rsid w:val="00314EC8"/>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314EC8"/>
    <w:pPr>
      <w:spacing w:after="100"/>
    </w:pPr>
  </w:style>
  <w:style w:type="paragraph" w:styleId="TOC2">
    <w:name w:val="toc 2"/>
    <w:basedOn w:val="Normal"/>
    <w:next w:val="Normal"/>
    <w:autoRedefine/>
    <w:uiPriority w:val="39"/>
    <w:unhideWhenUsed/>
    <w:rsid w:val="00314EC8"/>
    <w:pPr>
      <w:spacing w:after="100"/>
      <w:ind w:left="220"/>
    </w:pPr>
  </w:style>
  <w:style w:type="paragraph" w:styleId="TOC3">
    <w:name w:val="toc 3"/>
    <w:basedOn w:val="Normal"/>
    <w:next w:val="Normal"/>
    <w:autoRedefine/>
    <w:uiPriority w:val="39"/>
    <w:unhideWhenUsed/>
    <w:rsid w:val="00314EC8"/>
    <w:pPr>
      <w:spacing w:after="100"/>
      <w:ind w:left="440"/>
    </w:pPr>
  </w:style>
  <w:style w:type="paragraph" w:styleId="NoSpacing">
    <w:name w:val="No Spacing"/>
    <w:uiPriority w:val="1"/>
    <w:qFormat/>
    <w:rsid w:val="00D85DEE"/>
    <w:pPr>
      <w:spacing w:after="0" w:line="240" w:lineRule="auto"/>
    </w:pPr>
  </w:style>
  <w:style w:type="character" w:styleId="FollowedHyperlink">
    <w:name w:val="FollowedHyperlink"/>
    <w:basedOn w:val="DefaultParagraphFont"/>
    <w:uiPriority w:val="99"/>
    <w:semiHidden/>
    <w:unhideWhenUsed/>
    <w:rsid w:val="00CD4B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equineteurope.org/IMG/pdf/sanctions_regime_discrimination_-_final_for_web.pdf" TargetMode="External"/><Relationship Id="rId3" Type="http://schemas.openxmlformats.org/officeDocument/2006/relationships/hyperlink" Target="http://www.equineteurope.org/IMG/pdf/equinet_perspective_2016_-_intersectionality_final_web.pdf" TargetMode="External"/><Relationship Id="rId7" Type="http://schemas.openxmlformats.org/officeDocument/2006/relationships/hyperlink" Target="http://www.equineteurope.org/Equinet-Working-Paper-on-Developing-Standards-for-Equality-Bodies" TargetMode="External"/><Relationship Id="rId2" Type="http://schemas.openxmlformats.org/officeDocument/2006/relationships/hyperlink" Target="http://www.equineteurope.org/Equinet-Perspective-Innovating-at-the-Intersections-Equality-Bodies-tackling" TargetMode="External"/><Relationship Id="rId1" Type="http://schemas.openxmlformats.org/officeDocument/2006/relationships/hyperlink" Target="http://www.equineteurope.org/" TargetMode="External"/><Relationship Id="rId6" Type="http://schemas.openxmlformats.org/officeDocument/2006/relationships/hyperlink" Target="http://www.equineteurope.org/IMG/pdf/disabiliby_perspective_with_cover.pdf" TargetMode="External"/><Relationship Id="rId5" Type="http://schemas.openxmlformats.org/officeDocument/2006/relationships/hyperlink" Target="http://www.equineteurope.org/IMG/pdf/equinet_equality_law_in_practice_2013_report_final_covers.pdf" TargetMode="External"/><Relationship Id="rId4" Type="http://schemas.openxmlformats.org/officeDocument/2006/relationships/hyperlink" Target="http://www.equineteurope.org/IMG/pdf/final_guide.pdf" TargetMode="External"/><Relationship Id="rId9" Type="http://schemas.openxmlformats.org/officeDocument/2006/relationships/hyperlink" Target="http://www.equineteurope.org/IMG/pdf/positive_action_measures_final_with_cov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321360-0E07-4017-86F6-7E221A487391}"/>
</file>

<file path=customXml/itemProps2.xml><?xml version="1.0" encoding="utf-8"?>
<ds:datastoreItem xmlns:ds="http://schemas.openxmlformats.org/officeDocument/2006/customXml" ds:itemID="{B15ABB09-15DC-4FA9-9468-62263C859D61}"/>
</file>

<file path=customXml/itemProps3.xml><?xml version="1.0" encoding="utf-8"?>
<ds:datastoreItem xmlns:ds="http://schemas.openxmlformats.org/officeDocument/2006/customXml" ds:itemID="{E7DD78D9-1328-4C96-8C25-CDA5AAEAB9DD}"/>
</file>

<file path=customXml/itemProps4.xml><?xml version="1.0" encoding="utf-8"?>
<ds:datastoreItem xmlns:ds="http://schemas.openxmlformats.org/officeDocument/2006/customXml" ds:itemID="{4A52BC64-F658-4683-B069-50AC7FE1438C}"/>
</file>

<file path=docProps/app.xml><?xml version="1.0" encoding="utf-8"?>
<Properties xmlns="http://schemas.openxmlformats.org/officeDocument/2006/extended-properties" xmlns:vt="http://schemas.openxmlformats.org/officeDocument/2006/docPropsVTypes">
  <Template>Normal</Template>
  <TotalTime>1118</TotalTime>
  <Pages>10</Pages>
  <Words>3355</Words>
  <Characters>18455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Thorsnes</dc:creator>
  <cp:lastModifiedBy>Jessica Machacova</cp:lastModifiedBy>
  <cp:revision>98</cp:revision>
  <cp:lastPrinted>2017-06-21T15:14:00Z</cp:lastPrinted>
  <dcterms:created xsi:type="dcterms:W3CDTF">2017-06-13T08:57:00Z</dcterms:created>
  <dcterms:modified xsi:type="dcterms:W3CDTF">2017-06-30T14:25:00Z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