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6C394" w14:textId="53BB3DF7" w:rsidR="00C10837" w:rsidRPr="00E017B0" w:rsidRDefault="00C10837" w:rsidP="00E017B0">
      <w:pPr>
        <w:pStyle w:val="Heading1"/>
        <w:spacing w:after="160"/>
        <w:rPr>
          <w:sz w:val="36"/>
        </w:rPr>
      </w:pPr>
      <w:bookmarkStart w:id="0" w:name="_GoBack"/>
      <w:bookmarkEnd w:id="0"/>
      <w:r w:rsidRPr="00E017B0">
        <w:rPr>
          <w:sz w:val="36"/>
        </w:rPr>
        <w:t xml:space="preserve">Submission to CRPD discussion on the General Comment on the rights of persons with disabilities to work and employment (Article 27) </w:t>
      </w:r>
    </w:p>
    <w:p w14:paraId="0109D624" w14:textId="6EA2B1D1" w:rsidR="00C10837" w:rsidRPr="00E017B0" w:rsidRDefault="0060778C" w:rsidP="00E017B0">
      <w:pPr>
        <w:rPr>
          <w:rFonts w:ascii="Calibri" w:hAnsi="Calibri" w:cs="Calibri"/>
          <w:i/>
          <w:szCs w:val="24"/>
        </w:rPr>
      </w:pPr>
      <w:r w:rsidRPr="00E017B0">
        <w:rPr>
          <w:rFonts w:ascii="Calibri" w:hAnsi="Calibri" w:cs="Calibri"/>
          <w:i/>
          <w:szCs w:val="24"/>
        </w:rPr>
        <w:t>March</w:t>
      </w:r>
      <w:r w:rsidR="00C10837" w:rsidRPr="00E017B0">
        <w:rPr>
          <w:rFonts w:ascii="Calibri" w:hAnsi="Calibri" w:cs="Calibri"/>
          <w:i/>
          <w:szCs w:val="24"/>
        </w:rPr>
        <w:t xml:space="preserve"> 2021 </w:t>
      </w:r>
    </w:p>
    <w:p w14:paraId="180B8D73" w14:textId="129DB4FF" w:rsidR="008D70D5" w:rsidRPr="00E017B0" w:rsidRDefault="008D70D5" w:rsidP="00E017B0">
      <w:pPr>
        <w:rPr>
          <w:rFonts w:ascii="Lato" w:hAnsi="Lato" w:cs="Calibri"/>
          <w:szCs w:val="24"/>
        </w:rPr>
      </w:pPr>
      <w:r w:rsidRPr="00E017B0">
        <w:rPr>
          <w:rFonts w:ascii="Lato" w:hAnsi="Lato" w:cs="Calibri"/>
          <w:szCs w:val="24"/>
        </w:rPr>
        <w:t xml:space="preserve">Sightsavers welcomes the opportunity to provide input to the Committee on the Rights of Persons with Disabilities (CRPD Committee) for its General </w:t>
      </w:r>
      <w:r w:rsidR="00E44C72" w:rsidRPr="00E017B0">
        <w:rPr>
          <w:rFonts w:ascii="Lato" w:hAnsi="Lato" w:cs="Calibri"/>
          <w:szCs w:val="24"/>
        </w:rPr>
        <w:t>Comment</w:t>
      </w:r>
      <w:r w:rsidRPr="00E017B0">
        <w:rPr>
          <w:rFonts w:ascii="Lato" w:hAnsi="Lato" w:cs="Calibri"/>
          <w:szCs w:val="24"/>
        </w:rPr>
        <w:t xml:space="preserve"> on the rights to work and employment. </w:t>
      </w:r>
      <w:r w:rsidR="00E55E73" w:rsidRPr="00E017B0">
        <w:rPr>
          <w:rFonts w:ascii="Lato" w:hAnsi="Lato" w:cs="Calibri"/>
          <w:szCs w:val="24"/>
        </w:rPr>
        <w:t xml:space="preserve">Across the world persons with disabilities face lower employment rates and lower market participation than their peers, which in turn contributes to perpetuating a cycle of poverty, inequality and exclusion. </w:t>
      </w:r>
      <w:r w:rsidR="00B91F5E">
        <w:rPr>
          <w:rFonts w:ascii="Lato" w:hAnsi="Lato" w:cs="Calibri"/>
          <w:szCs w:val="24"/>
        </w:rPr>
        <w:t>Article 27</w:t>
      </w:r>
      <w:r w:rsidR="002C380D" w:rsidRPr="00E017B0">
        <w:rPr>
          <w:rFonts w:ascii="Lato" w:hAnsi="Lato" w:cs="Calibri"/>
          <w:szCs w:val="24"/>
        </w:rPr>
        <w:t xml:space="preserve"> is essential in enabling persons disabilities to seek work and earn a living on an equal basis with others.</w:t>
      </w:r>
    </w:p>
    <w:p w14:paraId="7D8D18AD" w14:textId="110AE6AF" w:rsidR="00E44C72" w:rsidRPr="00E017B0" w:rsidRDefault="00E55E73" w:rsidP="00E017B0">
      <w:pPr>
        <w:rPr>
          <w:rFonts w:ascii="Calibri" w:hAnsi="Calibri" w:cs="Calibri"/>
          <w:sz w:val="28"/>
          <w:szCs w:val="28"/>
        </w:rPr>
      </w:pPr>
      <w:r w:rsidRPr="00E017B0">
        <w:rPr>
          <w:rFonts w:ascii="Lato" w:hAnsi="Lato" w:cs="Calibri"/>
          <w:szCs w:val="24"/>
        </w:rPr>
        <w:t xml:space="preserve">We welcome the committee’s initiative to draft the General Comment on Article 27 and its holistic interpretation of the different elements of this article. This Comment will </w:t>
      </w:r>
      <w:r w:rsidR="002C380D" w:rsidRPr="00E017B0">
        <w:rPr>
          <w:rFonts w:ascii="Lato" w:hAnsi="Lato" w:cs="Calibri"/>
          <w:szCs w:val="24"/>
        </w:rPr>
        <w:t xml:space="preserve">provide valuable guidance to partners and for </w:t>
      </w:r>
      <w:r w:rsidRPr="00E017B0">
        <w:rPr>
          <w:rFonts w:ascii="Lato" w:hAnsi="Lato" w:cs="Calibri"/>
          <w:szCs w:val="24"/>
        </w:rPr>
        <w:t xml:space="preserve">our work </w:t>
      </w:r>
      <w:r w:rsidR="00277842" w:rsidRPr="00E017B0">
        <w:rPr>
          <w:rFonts w:ascii="Lato" w:hAnsi="Lato" w:cs="Calibri"/>
          <w:szCs w:val="24"/>
        </w:rPr>
        <w:t xml:space="preserve">advocating for the full inclusion and </w:t>
      </w:r>
      <w:r w:rsidR="002C380D" w:rsidRPr="00E017B0">
        <w:rPr>
          <w:rFonts w:ascii="Lato" w:hAnsi="Lato" w:cs="Calibri"/>
          <w:szCs w:val="24"/>
        </w:rPr>
        <w:t xml:space="preserve">economic </w:t>
      </w:r>
      <w:r w:rsidR="00277842" w:rsidRPr="00E017B0">
        <w:rPr>
          <w:rFonts w:ascii="Lato" w:hAnsi="Lato" w:cs="Calibri"/>
          <w:szCs w:val="24"/>
        </w:rPr>
        <w:t xml:space="preserve">empowerment of persons with </w:t>
      </w:r>
      <w:r w:rsidRPr="00E017B0">
        <w:rPr>
          <w:rFonts w:ascii="Lato" w:hAnsi="Lato" w:cs="Calibri"/>
          <w:szCs w:val="24"/>
        </w:rPr>
        <w:t xml:space="preserve">disabilities. </w:t>
      </w:r>
      <w:r w:rsidR="00E44C72" w:rsidRPr="00E017B0">
        <w:rPr>
          <w:rFonts w:ascii="Lato" w:hAnsi="Lato" w:cs="Calibri"/>
          <w:szCs w:val="24"/>
        </w:rPr>
        <w:t>This submission provides an overview of the challenges faced by persons with disabilities in entering the labour market, provides suggestions for points that need further clarification and areas which could be further detailed in the Committee’s</w:t>
      </w:r>
      <w:r w:rsidR="008D04D5" w:rsidRPr="00E017B0">
        <w:rPr>
          <w:rFonts w:ascii="Lato" w:hAnsi="Lato" w:cs="Calibri"/>
          <w:szCs w:val="24"/>
        </w:rPr>
        <w:t xml:space="preserve"> General Comment</w:t>
      </w:r>
      <w:r w:rsidR="00E44C72" w:rsidRPr="00E017B0">
        <w:rPr>
          <w:rFonts w:ascii="Lato" w:hAnsi="Lato" w:cs="Calibri"/>
          <w:szCs w:val="24"/>
        </w:rPr>
        <w:t xml:space="preserve">. It is based </w:t>
      </w:r>
      <w:r w:rsidR="002C380D" w:rsidRPr="00E017B0">
        <w:rPr>
          <w:rFonts w:ascii="Lato" w:hAnsi="Lato" w:cs="Calibri"/>
          <w:szCs w:val="24"/>
        </w:rPr>
        <w:t>o</w:t>
      </w:r>
      <w:r w:rsidR="00E44C72" w:rsidRPr="00E017B0">
        <w:rPr>
          <w:rFonts w:ascii="Lato" w:hAnsi="Lato" w:cs="Calibri"/>
          <w:szCs w:val="24"/>
        </w:rPr>
        <w:t>n Sightsaver’s experience in policy, research and programmes and builds on the st</w:t>
      </w:r>
      <w:r w:rsidR="00277842" w:rsidRPr="00E017B0">
        <w:rPr>
          <w:rFonts w:ascii="Lato" w:hAnsi="Lato" w:cs="Calibri"/>
          <w:szCs w:val="24"/>
        </w:rPr>
        <w:t xml:space="preserve">rong </w:t>
      </w:r>
      <w:r w:rsidRPr="00E017B0">
        <w:rPr>
          <w:rFonts w:ascii="Lato" w:hAnsi="Lato" w:cs="Calibri"/>
          <w:szCs w:val="24"/>
        </w:rPr>
        <w:t>foundation</w:t>
      </w:r>
      <w:r w:rsidR="00277842" w:rsidRPr="00E017B0">
        <w:rPr>
          <w:rFonts w:ascii="Lato" w:hAnsi="Lato" w:cs="Calibri"/>
          <w:szCs w:val="24"/>
        </w:rPr>
        <w:t>s</w:t>
      </w:r>
      <w:r w:rsidRPr="00E017B0">
        <w:rPr>
          <w:rFonts w:ascii="Lato" w:hAnsi="Lato" w:cs="Calibri"/>
          <w:szCs w:val="24"/>
        </w:rPr>
        <w:t xml:space="preserve"> </w:t>
      </w:r>
      <w:r w:rsidR="00277842" w:rsidRPr="00E017B0">
        <w:rPr>
          <w:rFonts w:ascii="Lato" w:hAnsi="Lato" w:cs="Calibri"/>
          <w:szCs w:val="24"/>
        </w:rPr>
        <w:t>laid</w:t>
      </w:r>
      <w:r w:rsidRPr="00E017B0">
        <w:rPr>
          <w:rFonts w:ascii="Lato" w:hAnsi="Lato" w:cs="Calibri"/>
          <w:szCs w:val="24"/>
        </w:rPr>
        <w:t xml:space="preserve"> out by </w:t>
      </w:r>
      <w:r w:rsidR="00E44C72" w:rsidRPr="00E017B0">
        <w:rPr>
          <w:rFonts w:ascii="Lato" w:hAnsi="Lato" w:cs="Calibri"/>
          <w:szCs w:val="24"/>
        </w:rPr>
        <w:t>work of the Committee</w:t>
      </w:r>
      <w:r w:rsidR="002C380D" w:rsidRPr="00E017B0">
        <w:rPr>
          <w:rFonts w:ascii="Lato" w:hAnsi="Lato" w:cs="Calibri"/>
          <w:szCs w:val="24"/>
        </w:rPr>
        <w:t xml:space="preserve"> in its outline</w:t>
      </w:r>
      <w:r w:rsidR="00E44C72" w:rsidRPr="00E017B0">
        <w:rPr>
          <w:rFonts w:ascii="Lato" w:hAnsi="Lato" w:cs="Calibri"/>
          <w:szCs w:val="24"/>
        </w:rPr>
        <w:t xml:space="preserve">. </w:t>
      </w:r>
    </w:p>
    <w:p w14:paraId="0BDD2002" w14:textId="77777777" w:rsidR="00C10837" w:rsidRPr="00E017B0" w:rsidRDefault="00C10837" w:rsidP="00E017B0">
      <w:pPr>
        <w:rPr>
          <w:rFonts w:ascii="Lato" w:hAnsi="Lato" w:cs="Calibri"/>
          <w:szCs w:val="24"/>
        </w:rPr>
      </w:pPr>
    </w:p>
    <w:p w14:paraId="5F7D05ED" w14:textId="7020FAF4" w:rsidR="00C10837" w:rsidRPr="00E017B0" w:rsidRDefault="00FD2BCA" w:rsidP="00E017B0">
      <w:pPr>
        <w:pStyle w:val="Heading3"/>
        <w:spacing w:after="160"/>
        <w:rPr>
          <w:sz w:val="28"/>
        </w:rPr>
      </w:pPr>
      <w:r w:rsidRPr="00E017B0">
        <w:rPr>
          <w:sz w:val="28"/>
        </w:rPr>
        <w:t>Introduction – Social inclusion and the right to work and employment</w:t>
      </w:r>
      <w:r w:rsidR="00C10837" w:rsidRPr="00E017B0">
        <w:rPr>
          <w:sz w:val="28"/>
        </w:rPr>
        <w:t xml:space="preserve"> </w:t>
      </w:r>
    </w:p>
    <w:p w14:paraId="1E603143" w14:textId="1EF22C60" w:rsidR="00E44C72" w:rsidRPr="00E017B0" w:rsidRDefault="00D16378" w:rsidP="00E017B0">
      <w:pPr>
        <w:rPr>
          <w:rFonts w:ascii="Lato" w:hAnsi="Lato"/>
          <w:szCs w:val="24"/>
        </w:rPr>
      </w:pPr>
      <w:r w:rsidRPr="00E017B0">
        <w:rPr>
          <w:rFonts w:ascii="Lato" w:hAnsi="Lato"/>
          <w:szCs w:val="24"/>
        </w:rPr>
        <w:t>P</w:t>
      </w:r>
      <w:r w:rsidR="004568DD" w:rsidRPr="00E017B0">
        <w:rPr>
          <w:rFonts w:ascii="Lato" w:hAnsi="Lato"/>
          <w:szCs w:val="24"/>
        </w:rPr>
        <w:t>ersons</w:t>
      </w:r>
      <w:r w:rsidRPr="00E017B0">
        <w:rPr>
          <w:rFonts w:ascii="Lato" w:hAnsi="Lato"/>
          <w:szCs w:val="24"/>
        </w:rPr>
        <w:t xml:space="preserve"> with disabilities face </w:t>
      </w:r>
      <w:r w:rsidR="00D85FD2" w:rsidRPr="00E017B0">
        <w:rPr>
          <w:rFonts w:ascii="Lato" w:hAnsi="Lato"/>
          <w:szCs w:val="24"/>
        </w:rPr>
        <w:t>significant physical, attitudinal and other barriers which restrict their access to employment</w:t>
      </w:r>
      <w:r w:rsidRPr="00E017B0">
        <w:rPr>
          <w:rFonts w:ascii="Lato" w:hAnsi="Lato"/>
          <w:szCs w:val="24"/>
        </w:rPr>
        <w:t xml:space="preserve">, meaning they are less likely to be active in formal labour markets and tend to pursue informal and insecure livelihoods. </w:t>
      </w:r>
      <w:r w:rsidR="000B60B7" w:rsidRPr="00E017B0">
        <w:rPr>
          <w:rFonts w:ascii="Lato" w:hAnsi="Lato"/>
        </w:rPr>
        <w:t>Globally, the ratio of employment to population for persons with disabilities</w:t>
      </w:r>
      <w:r w:rsidR="009A4FEB" w:rsidRPr="00E017B0">
        <w:rPr>
          <w:rFonts w:ascii="Lato" w:hAnsi="Lato"/>
        </w:rPr>
        <w:t xml:space="preserve"> aged 15 or older is</w:t>
      </w:r>
      <w:r w:rsidR="000B60B7" w:rsidRPr="00E017B0">
        <w:rPr>
          <w:rFonts w:ascii="Lato" w:hAnsi="Lato"/>
        </w:rPr>
        <w:t xml:space="preserve"> 36 per cent on average. That ratio is 60 per cent for persons without disabilities.</w:t>
      </w:r>
      <w:r w:rsidR="000B60B7" w:rsidRPr="00E017B0">
        <w:rPr>
          <w:rStyle w:val="FootnoteReference"/>
          <w:rFonts w:ascii="Lato" w:hAnsi="Lato"/>
        </w:rPr>
        <w:footnoteReference w:id="1"/>
      </w:r>
      <w:r w:rsidR="00673548" w:rsidRPr="00E017B0">
        <w:rPr>
          <w:rFonts w:ascii="Lato" w:hAnsi="Lato"/>
          <w:szCs w:val="24"/>
        </w:rPr>
        <w:t xml:space="preserve"> </w:t>
      </w:r>
      <w:r w:rsidR="00B43E91" w:rsidRPr="00E017B0">
        <w:rPr>
          <w:rFonts w:ascii="Lato" w:hAnsi="Lato"/>
          <w:szCs w:val="24"/>
        </w:rPr>
        <w:t>Moreover, the type and degree of disabilit</w:t>
      </w:r>
      <w:r w:rsidR="00673548" w:rsidRPr="00E017B0">
        <w:rPr>
          <w:rFonts w:ascii="Lato" w:hAnsi="Lato"/>
          <w:szCs w:val="24"/>
        </w:rPr>
        <w:t>y</w:t>
      </w:r>
      <w:r w:rsidR="00B43E91" w:rsidRPr="00E017B0">
        <w:rPr>
          <w:rFonts w:ascii="Lato" w:hAnsi="Lato"/>
          <w:szCs w:val="24"/>
        </w:rPr>
        <w:t xml:space="preserve"> </w:t>
      </w:r>
      <w:r w:rsidR="00673548" w:rsidRPr="00E017B0">
        <w:rPr>
          <w:rFonts w:ascii="Lato" w:hAnsi="Lato"/>
          <w:szCs w:val="24"/>
        </w:rPr>
        <w:t xml:space="preserve">may </w:t>
      </w:r>
      <w:r w:rsidR="00B43E91" w:rsidRPr="00E017B0">
        <w:rPr>
          <w:rFonts w:ascii="Lato" w:hAnsi="Lato"/>
          <w:szCs w:val="24"/>
        </w:rPr>
        <w:t>impact pe</w:t>
      </w:r>
      <w:r w:rsidR="004568DD" w:rsidRPr="00E017B0">
        <w:rPr>
          <w:rFonts w:ascii="Lato" w:hAnsi="Lato"/>
          <w:szCs w:val="24"/>
        </w:rPr>
        <w:t>rsons</w:t>
      </w:r>
      <w:r w:rsidR="00B43E91" w:rsidRPr="00E017B0">
        <w:rPr>
          <w:rFonts w:ascii="Lato" w:hAnsi="Lato"/>
          <w:szCs w:val="24"/>
        </w:rPr>
        <w:t xml:space="preserve"> with disabilities</w:t>
      </w:r>
      <w:r w:rsidR="00673548" w:rsidRPr="00E017B0">
        <w:rPr>
          <w:rFonts w:ascii="Lato" w:hAnsi="Lato"/>
          <w:szCs w:val="24"/>
        </w:rPr>
        <w:t xml:space="preserve"> and their ability to secure employment</w:t>
      </w:r>
      <w:r w:rsidR="00B43E91" w:rsidRPr="00E017B0">
        <w:rPr>
          <w:rFonts w:ascii="Lato" w:hAnsi="Lato"/>
          <w:szCs w:val="24"/>
        </w:rPr>
        <w:t xml:space="preserve"> differently. Persons with psychosocial disabilities are half as likely to be employed as persons with other types of disabilities</w:t>
      </w:r>
      <w:r w:rsidR="00B43E91" w:rsidRPr="00E017B0">
        <w:rPr>
          <w:rStyle w:val="FootnoteReference"/>
          <w:rFonts w:ascii="Lato" w:hAnsi="Lato"/>
          <w:szCs w:val="24"/>
        </w:rPr>
        <w:footnoteReference w:id="2"/>
      </w:r>
      <w:r w:rsidR="00B43E91" w:rsidRPr="00E017B0">
        <w:rPr>
          <w:rFonts w:ascii="Lato" w:hAnsi="Lato"/>
          <w:szCs w:val="24"/>
        </w:rPr>
        <w:t xml:space="preserve"> </w:t>
      </w:r>
      <w:r w:rsidR="000C31DF" w:rsidRPr="00E017B0">
        <w:rPr>
          <w:rFonts w:ascii="Lato" w:hAnsi="Lato"/>
          <w:szCs w:val="24"/>
        </w:rPr>
        <w:t>but</w:t>
      </w:r>
      <w:r w:rsidR="009A23B5" w:rsidRPr="00E017B0">
        <w:rPr>
          <w:rFonts w:ascii="Lato" w:hAnsi="Lato"/>
          <w:szCs w:val="24"/>
        </w:rPr>
        <w:t xml:space="preserve"> 30% </w:t>
      </w:r>
      <w:r w:rsidR="000F67E7" w:rsidRPr="00E017B0">
        <w:rPr>
          <w:rFonts w:ascii="Lato" w:hAnsi="Lato"/>
          <w:szCs w:val="24"/>
        </w:rPr>
        <w:t xml:space="preserve">of </w:t>
      </w:r>
      <w:r w:rsidR="009A23B5" w:rsidRPr="00E017B0">
        <w:rPr>
          <w:rFonts w:ascii="Lato" w:hAnsi="Lato"/>
          <w:szCs w:val="24"/>
        </w:rPr>
        <w:t xml:space="preserve">governments in LMICs offer no social support to </w:t>
      </w:r>
      <w:r w:rsidR="004568DD" w:rsidRPr="00E017B0">
        <w:rPr>
          <w:rFonts w:ascii="Lato" w:hAnsi="Lato"/>
          <w:szCs w:val="24"/>
        </w:rPr>
        <w:t>persons</w:t>
      </w:r>
      <w:r w:rsidR="009A23B5" w:rsidRPr="00E017B0">
        <w:rPr>
          <w:rFonts w:ascii="Lato" w:hAnsi="Lato"/>
          <w:szCs w:val="24"/>
        </w:rPr>
        <w:t xml:space="preserve"> with psychosocial disabilities</w:t>
      </w:r>
      <w:r w:rsidR="009A23B5" w:rsidRPr="00E017B0">
        <w:rPr>
          <w:rStyle w:val="FootnoteReference"/>
          <w:rFonts w:ascii="Lato" w:hAnsi="Lato"/>
          <w:szCs w:val="24"/>
        </w:rPr>
        <w:footnoteReference w:id="3"/>
      </w:r>
      <w:r w:rsidR="009A23B5" w:rsidRPr="00E017B0">
        <w:rPr>
          <w:rFonts w:ascii="Lato" w:hAnsi="Lato"/>
          <w:szCs w:val="24"/>
        </w:rPr>
        <w:t>.</w:t>
      </w:r>
    </w:p>
    <w:p w14:paraId="29D9A6CB" w14:textId="6A7491F7" w:rsidR="00534E8E" w:rsidRDefault="00534E8E" w:rsidP="00E017B0">
      <w:pPr>
        <w:rPr>
          <w:rFonts w:ascii="Lato" w:hAnsi="Lato"/>
          <w:szCs w:val="24"/>
        </w:rPr>
      </w:pPr>
      <w:r w:rsidRPr="00E017B0">
        <w:rPr>
          <w:rFonts w:ascii="Lato" w:hAnsi="Lato"/>
          <w:szCs w:val="24"/>
        </w:rPr>
        <w:lastRenderedPageBreak/>
        <w:t xml:space="preserve">Even when </w:t>
      </w:r>
      <w:r w:rsidR="00D16378" w:rsidRPr="00E017B0">
        <w:rPr>
          <w:rFonts w:ascii="Lato" w:hAnsi="Lato"/>
          <w:szCs w:val="24"/>
        </w:rPr>
        <w:t>persons with disabilities are employed, they are more likely to</w:t>
      </w:r>
      <w:r w:rsidRPr="00E017B0">
        <w:rPr>
          <w:rFonts w:ascii="Lato" w:hAnsi="Lato"/>
          <w:szCs w:val="24"/>
        </w:rPr>
        <w:t xml:space="preserve"> earn less</w:t>
      </w:r>
      <w:r w:rsidR="00285B85" w:rsidRPr="00E017B0">
        <w:rPr>
          <w:rStyle w:val="FootnoteReference"/>
          <w:rFonts w:ascii="Lato" w:hAnsi="Lato"/>
        </w:rPr>
        <w:footnoteReference w:id="4"/>
      </w:r>
      <w:r w:rsidR="00D16378" w:rsidRPr="00E017B0">
        <w:rPr>
          <w:rFonts w:ascii="Lato" w:hAnsi="Lato"/>
          <w:szCs w:val="24"/>
        </w:rPr>
        <w:t>, work in worst conditions and have fewer opportunities for career development than their peers. This is due to</w:t>
      </w:r>
      <w:r w:rsidRPr="00E017B0">
        <w:rPr>
          <w:rFonts w:ascii="Lato" w:hAnsi="Lato"/>
          <w:szCs w:val="24"/>
        </w:rPr>
        <w:t xml:space="preserve"> entrenched stigma</w:t>
      </w:r>
      <w:r w:rsidR="00362E07" w:rsidRPr="00E017B0">
        <w:rPr>
          <w:rFonts w:ascii="Lato" w:hAnsi="Lato"/>
          <w:szCs w:val="24"/>
        </w:rPr>
        <w:t>, discrimina</w:t>
      </w:r>
      <w:r w:rsidR="009A4FEB" w:rsidRPr="00E017B0">
        <w:rPr>
          <w:rFonts w:ascii="Lato" w:hAnsi="Lato"/>
        </w:rPr>
        <w:t>t</w:t>
      </w:r>
      <w:r w:rsidR="000B60B7" w:rsidRPr="00E017B0">
        <w:rPr>
          <w:rFonts w:ascii="Lato" w:hAnsi="Lato"/>
        </w:rPr>
        <w:t xml:space="preserve">ory </w:t>
      </w:r>
      <w:r w:rsidR="009A4FEB" w:rsidRPr="00E017B0">
        <w:rPr>
          <w:rFonts w:ascii="Lato" w:hAnsi="Lato"/>
        </w:rPr>
        <w:t>attitudes</w:t>
      </w:r>
      <w:r w:rsidR="000B60B7" w:rsidRPr="00E017B0">
        <w:rPr>
          <w:rFonts w:ascii="Lato" w:hAnsi="Lato"/>
        </w:rPr>
        <w:t xml:space="preserve"> and practices, as well as</w:t>
      </w:r>
      <w:r w:rsidR="00362E07" w:rsidRPr="00E017B0">
        <w:rPr>
          <w:rFonts w:ascii="Lato" w:hAnsi="Lato"/>
          <w:szCs w:val="24"/>
        </w:rPr>
        <w:t xml:space="preserve"> </w:t>
      </w:r>
      <w:r w:rsidR="00BA77DF" w:rsidRPr="00E017B0">
        <w:rPr>
          <w:rFonts w:ascii="Lato" w:hAnsi="Lato"/>
          <w:szCs w:val="24"/>
        </w:rPr>
        <w:t>negative assumptions about disabilities in the workplace</w:t>
      </w:r>
      <w:r w:rsidR="00946184" w:rsidRPr="00E017B0">
        <w:rPr>
          <w:rStyle w:val="FootnoteReference"/>
          <w:rFonts w:ascii="Lato" w:hAnsi="Lato"/>
          <w:szCs w:val="24"/>
        </w:rPr>
        <w:footnoteReference w:id="5"/>
      </w:r>
      <w:r w:rsidR="00BA77DF" w:rsidRPr="00E017B0">
        <w:rPr>
          <w:rFonts w:ascii="Lato" w:hAnsi="Lato"/>
          <w:szCs w:val="24"/>
        </w:rPr>
        <w:t>. Barriers</w:t>
      </w:r>
      <w:r w:rsidRPr="00E017B0">
        <w:rPr>
          <w:rFonts w:ascii="Lato" w:hAnsi="Lato"/>
          <w:szCs w:val="24"/>
        </w:rPr>
        <w:t xml:space="preserve"> to accessing education </w:t>
      </w:r>
      <w:r w:rsidR="00362E07" w:rsidRPr="00E017B0">
        <w:rPr>
          <w:rFonts w:ascii="Lato" w:hAnsi="Lato"/>
          <w:szCs w:val="24"/>
        </w:rPr>
        <w:t xml:space="preserve">and training, as well as </w:t>
      </w:r>
      <w:r w:rsidR="009A4FEB" w:rsidRPr="00E017B0">
        <w:rPr>
          <w:rFonts w:ascii="Lato" w:hAnsi="Lato"/>
        </w:rPr>
        <w:t xml:space="preserve">inaccessible workplaces and </w:t>
      </w:r>
      <w:r w:rsidR="00362E07" w:rsidRPr="00E017B0">
        <w:rPr>
          <w:rFonts w:ascii="Lato" w:hAnsi="Lato"/>
          <w:szCs w:val="24"/>
        </w:rPr>
        <w:t xml:space="preserve">difficulties </w:t>
      </w:r>
      <w:r w:rsidR="00673548" w:rsidRPr="00E017B0">
        <w:rPr>
          <w:rFonts w:ascii="Lato" w:hAnsi="Lato"/>
          <w:szCs w:val="24"/>
        </w:rPr>
        <w:t>obtaining</w:t>
      </w:r>
      <w:r w:rsidR="00362E07" w:rsidRPr="00E017B0">
        <w:rPr>
          <w:rFonts w:ascii="Lato" w:hAnsi="Lato"/>
          <w:szCs w:val="24"/>
        </w:rPr>
        <w:t xml:space="preserve"> </w:t>
      </w:r>
      <w:r w:rsidRPr="00E017B0">
        <w:rPr>
          <w:rFonts w:ascii="Lato" w:hAnsi="Lato"/>
          <w:szCs w:val="24"/>
        </w:rPr>
        <w:t>financial support to start a business also add to the challenges faced by persons with disabilities</w:t>
      </w:r>
      <w:r w:rsidR="009A4FEB" w:rsidRPr="00E017B0">
        <w:rPr>
          <w:rFonts w:ascii="Lato" w:hAnsi="Lato"/>
        </w:rPr>
        <w:t xml:space="preserve"> in accessing job opportunities. These many </w:t>
      </w:r>
      <w:r w:rsidR="009A23B5" w:rsidRPr="00E017B0">
        <w:rPr>
          <w:rFonts w:ascii="Lato" w:hAnsi="Lato"/>
        </w:rPr>
        <w:t>obstacles</w:t>
      </w:r>
      <w:r w:rsidR="009A4FEB" w:rsidRPr="00E017B0">
        <w:rPr>
          <w:rFonts w:ascii="Lato" w:hAnsi="Lato"/>
        </w:rPr>
        <w:t xml:space="preserve"> mean many persons with disabilities are not able to secure a job and remain </w:t>
      </w:r>
      <w:r w:rsidR="00B43E91" w:rsidRPr="00E017B0">
        <w:rPr>
          <w:rFonts w:ascii="Lato" w:hAnsi="Lato"/>
        </w:rPr>
        <w:t xml:space="preserve">an underrepresented </w:t>
      </w:r>
      <w:r w:rsidR="009A4FEB" w:rsidRPr="00E017B0">
        <w:rPr>
          <w:rFonts w:ascii="Lato" w:hAnsi="Lato"/>
        </w:rPr>
        <w:t xml:space="preserve">segment in </w:t>
      </w:r>
      <w:r w:rsidR="009A4FEB" w:rsidRPr="00E017B0">
        <w:rPr>
          <w:rFonts w:ascii="Lato" w:hAnsi="Lato"/>
          <w:szCs w:val="24"/>
        </w:rPr>
        <w:t>the labour force</w:t>
      </w:r>
      <w:r w:rsidR="009A23B5" w:rsidRPr="00E017B0">
        <w:rPr>
          <w:rStyle w:val="FootnoteReference"/>
          <w:rFonts w:ascii="Lato" w:hAnsi="Lato"/>
          <w:szCs w:val="24"/>
        </w:rPr>
        <w:footnoteReference w:id="6"/>
      </w:r>
      <w:r w:rsidR="009A4FEB" w:rsidRPr="00E017B0">
        <w:rPr>
          <w:rFonts w:ascii="Lato" w:hAnsi="Lato"/>
          <w:szCs w:val="24"/>
        </w:rPr>
        <w:t>.</w:t>
      </w:r>
      <w:r w:rsidR="00F46F11" w:rsidRPr="00E017B0">
        <w:rPr>
          <w:rFonts w:ascii="Lato" w:hAnsi="Lato"/>
          <w:szCs w:val="24"/>
        </w:rPr>
        <w:t xml:space="preserve"> </w:t>
      </w:r>
    </w:p>
    <w:p w14:paraId="088CC4B9" w14:textId="77777777" w:rsidR="00E017B0" w:rsidRPr="00E017B0" w:rsidRDefault="00E017B0" w:rsidP="00E017B0">
      <w:pPr>
        <w:rPr>
          <w:rFonts w:ascii="Lato" w:hAnsi="Lato"/>
          <w:szCs w:val="24"/>
        </w:rPr>
      </w:pPr>
      <w:r w:rsidRPr="00E017B0">
        <w:rPr>
          <w:rFonts w:ascii="Lato" w:hAnsi="Lato"/>
          <w:szCs w:val="24"/>
          <w:lang w:val="en-US"/>
        </w:rPr>
        <w:t xml:space="preserve">The </w:t>
      </w:r>
      <w:r w:rsidRPr="00E017B0">
        <w:rPr>
          <w:rFonts w:ascii="Lato" w:hAnsi="Lato"/>
          <w:szCs w:val="24"/>
        </w:rPr>
        <w:t xml:space="preserve">over-representation of persons with disabilities among the poor and in the informal economy has also increased their risk of acquiring COVID-19. At the same time, COVID has exacerbated the existing inequalities that arise from the multiple barriers such as stigma, inaccessibility of transport and public services, increasing the risk of persons with disabilities experiencing the socioeconomic </w:t>
      </w:r>
      <w:r w:rsidRPr="00E017B0">
        <w:rPr>
          <w:rFonts w:ascii="Lato" w:hAnsi="Lato"/>
          <w:szCs w:val="24"/>
        </w:rPr>
        <w:lastRenderedPageBreak/>
        <w:t>consequences of the pandemic. Already facing exclusion in employment</w:t>
      </w:r>
      <w:r w:rsidRPr="00E017B0">
        <w:rPr>
          <w:rFonts w:ascii="Lato" w:hAnsi="Lato"/>
          <w:szCs w:val="24"/>
          <w:vertAlign w:val="superscript"/>
        </w:rPr>
        <w:footnoteReference w:id="7"/>
      </w:r>
      <w:r w:rsidRPr="00E017B0">
        <w:rPr>
          <w:rFonts w:ascii="Lato" w:hAnsi="Lato"/>
          <w:szCs w:val="24"/>
        </w:rPr>
        <w:t>, persons with disabilities are more likely to lose their livelihood and experience greater difficulties accessing work during the recovery</w:t>
      </w:r>
      <w:r w:rsidRPr="00E017B0">
        <w:rPr>
          <w:rFonts w:ascii="Lato" w:hAnsi="Lato"/>
          <w:szCs w:val="24"/>
          <w:vertAlign w:val="superscript"/>
        </w:rPr>
        <w:footnoteReference w:id="8"/>
      </w:r>
      <w:r w:rsidRPr="00E017B0">
        <w:rPr>
          <w:rFonts w:ascii="Lato" w:hAnsi="Lato"/>
          <w:szCs w:val="24"/>
        </w:rPr>
        <w:t xml:space="preserve">. </w:t>
      </w:r>
    </w:p>
    <w:p w14:paraId="1B63A255" w14:textId="77777777" w:rsidR="00E017B0" w:rsidRPr="00E017B0" w:rsidRDefault="00E017B0" w:rsidP="00E017B0">
      <w:pPr>
        <w:rPr>
          <w:rFonts w:ascii="Lato" w:hAnsi="Lato"/>
          <w:szCs w:val="24"/>
        </w:rPr>
      </w:pPr>
      <w:r w:rsidRPr="00E017B0">
        <w:rPr>
          <w:rFonts w:ascii="Lato" w:hAnsi="Lato"/>
          <w:szCs w:val="24"/>
        </w:rPr>
        <w:t>Persons with disabilities are often left out of social protection systems due to discrimination, exclusion from work or being active in the informal economy</w:t>
      </w:r>
      <w:r w:rsidRPr="00E017B0">
        <w:rPr>
          <w:rFonts w:ascii="Lato" w:hAnsi="Lato"/>
          <w:szCs w:val="24"/>
          <w:vertAlign w:val="superscript"/>
        </w:rPr>
        <w:footnoteReference w:id="9"/>
      </w:r>
      <w:r w:rsidRPr="00E017B0">
        <w:rPr>
          <w:rFonts w:ascii="Lato" w:hAnsi="Lato"/>
          <w:szCs w:val="24"/>
        </w:rPr>
        <w:t>. As highlighted by the former Special Rapporteur of the Human Rights Council on the rights of persons with disabilities, Catalina Devandas-Aguilar, social protection systems 'are not only a powerful instrument for providing income security and reducing poverty and inequality, but play an important role in enhancing human potential, enabling individuals to access food, health care, education, employment and financial means</w:t>
      </w:r>
      <w:r w:rsidRPr="00E017B0">
        <w:rPr>
          <w:rFonts w:ascii="Lato" w:hAnsi="Lato"/>
          <w:szCs w:val="24"/>
          <w:vertAlign w:val="superscript"/>
        </w:rPr>
        <w:footnoteReference w:id="10"/>
      </w:r>
      <w:r w:rsidRPr="00E017B0">
        <w:rPr>
          <w:rFonts w:ascii="Lato" w:hAnsi="Lato"/>
          <w:szCs w:val="24"/>
        </w:rPr>
        <w:t>.' The General Comment should recognise the role that social protection schemes can play in encouraging labour market participation of persons with disabilities. The pandemic has shown the importance of ensuring comprehensive social protection systems that are inclusive of persons with disabilities to enable persons with disabilities and their families to have income security in times of crisis and beyond.</w:t>
      </w:r>
    </w:p>
    <w:p w14:paraId="58576866" w14:textId="77777777" w:rsidR="00E017B0" w:rsidRPr="00E017B0" w:rsidRDefault="00E017B0" w:rsidP="00E017B0">
      <w:pPr>
        <w:rPr>
          <w:rFonts w:ascii="Lato" w:hAnsi="Lato"/>
          <w:szCs w:val="24"/>
        </w:rPr>
      </w:pPr>
      <w:r w:rsidRPr="00E017B0">
        <w:rPr>
          <w:rFonts w:ascii="Lato" w:hAnsi="Lato"/>
          <w:szCs w:val="24"/>
        </w:rPr>
        <w:lastRenderedPageBreak/>
        <w:t>Under Article 27, States have an obligation to create and enabling environment and promote equal employment opportunities for persons with disabilities both at the public and private sectors. While many countries have taken steps to address barriers to accessing employment through disability-inclusive national employment policies, non-discriminatory legislation or inclusive technical and vocational education policies, there are often gaps in implementation and lack of adequate enforcement mechanisms can undermine the effectiveness of such policies and legislation</w:t>
      </w:r>
      <w:r w:rsidRPr="00E017B0">
        <w:rPr>
          <w:rFonts w:ascii="Lato" w:hAnsi="Lato"/>
          <w:szCs w:val="24"/>
          <w:vertAlign w:val="superscript"/>
        </w:rPr>
        <w:footnoteReference w:id="11"/>
      </w:r>
      <w:r w:rsidRPr="00E017B0">
        <w:rPr>
          <w:rFonts w:ascii="Lato" w:hAnsi="Lato"/>
          <w:szCs w:val="24"/>
        </w:rPr>
        <w:t xml:space="preserve">.  The General Comment should make it clear to States that they need to take steps to ensure non-discriminatory policies and legislation are effectively implemented so they can have a real impact in increasing labour market participation of persons with disabilities. </w:t>
      </w:r>
    </w:p>
    <w:p w14:paraId="1510A732" w14:textId="2BD07C71" w:rsidR="00E017B0" w:rsidRDefault="00E017B0" w:rsidP="00E017B0">
      <w:pPr>
        <w:rPr>
          <w:rFonts w:ascii="Lato" w:hAnsi="Lato"/>
          <w:szCs w:val="24"/>
        </w:rPr>
      </w:pPr>
      <w:r w:rsidRPr="00E017B0">
        <w:rPr>
          <w:rFonts w:ascii="Lato" w:hAnsi="Lato"/>
          <w:szCs w:val="24"/>
        </w:rPr>
        <w:t>The right to work is a fundamental right and essential for realising many other rights, including ensuring the economic independence of persons with disabilities and their families and allowing them to live in dignity and these connections to other CRPD provisions could be made clearer in the General Comment. The inclusion of persons with disabilities in the labour market is crucial to achieve the UN Sustainable Development Goals (SDGs), in particular SDG 8 and will also support the achievement of SDG 10 as it can reduce social stigma, promote social justice and help reduce inequalities by empowering persons with disabilities to have greater and more active participation in society</w:t>
      </w:r>
      <w:r>
        <w:rPr>
          <w:rFonts w:ascii="Lato" w:hAnsi="Lato"/>
          <w:szCs w:val="24"/>
        </w:rPr>
        <w:t>.</w:t>
      </w:r>
    </w:p>
    <w:p w14:paraId="7842B81D" w14:textId="77777777" w:rsidR="00E017B0" w:rsidRDefault="00E017B0" w:rsidP="00E017B0">
      <w:pPr>
        <w:rPr>
          <w:rFonts w:ascii="Lato" w:hAnsi="Lato"/>
          <w:szCs w:val="24"/>
        </w:rPr>
      </w:pPr>
    </w:p>
    <w:p w14:paraId="7D5DA325" w14:textId="320781BB" w:rsidR="00221F09" w:rsidRPr="00E017B0" w:rsidRDefault="00221F09" w:rsidP="00E017B0">
      <w:pPr>
        <w:pStyle w:val="Heading1"/>
        <w:spacing w:after="160"/>
        <w:rPr>
          <w:rFonts w:ascii="Lato" w:hAnsi="Lato"/>
          <w:sz w:val="28"/>
          <w:lang w:val="en-US"/>
        </w:rPr>
      </w:pPr>
      <w:r w:rsidRPr="00E017B0">
        <w:rPr>
          <w:rFonts w:ascii="Lato" w:hAnsi="Lato"/>
          <w:sz w:val="28"/>
          <w:lang w:val="en-US"/>
        </w:rPr>
        <w:lastRenderedPageBreak/>
        <w:t>Art 27.</w:t>
      </w:r>
      <w:r w:rsidR="0061619E" w:rsidRPr="00E017B0">
        <w:rPr>
          <w:rFonts w:ascii="Lato" w:hAnsi="Lato"/>
          <w:sz w:val="28"/>
          <w:lang w:val="en-US"/>
        </w:rPr>
        <w:t>1.a</w:t>
      </w:r>
      <w:r w:rsidRPr="00E017B0">
        <w:rPr>
          <w:rFonts w:ascii="Lato" w:hAnsi="Lato"/>
          <w:sz w:val="28"/>
          <w:lang w:val="en-US"/>
        </w:rPr>
        <w:t xml:space="preserve"> Protection from discrimination </w:t>
      </w:r>
      <w:r w:rsidR="0061619E" w:rsidRPr="00E017B0">
        <w:rPr>
          <w:rFonts w:ascii="Lato" w:hAnsi="Lato"/>
          <w:sz w:val="28"/>
          <w:lang w:val="en-US"/>
        </w:rPr>
        <w:t>in the workplace</w:t>
      </w:r>
    </w:p>
    <w:p w14:paraId="049D080A" w14:textId="399119FE" w:rsidR="00C33A3D" w:rsidRPr="00E017B0" w:rsidRDefault="00221F09" w:rsidP="00BE46B4">
      <w:pPr>
        <w:rPr>
          <w:rFonts w:ascii="Lato" w:hAnsi="Lato" w:cs="Calibri"/>
          <w:szCs w:val="24"/>
          <w:lang w:val="en-US"/>
        </w:rPr>
      </w:pPr>
      <w:r w:rsidRPr="00E017B0">
        <w:rPr>
          <w:rFonts w:ascii="Lato" w:hAnsi="Lato" w:cs="Calibri"/>
          <w:szCs w:val="24"/>
          <w:lang w:val="en-US"/>
        </w:rPr>
        <w:t xml:space="preserve">Article 27 sets out the obligation of States to take steps, including through legislation, to protect persons with disabilities from discrimination in the workplace. </w:t>
      </w:r>
      <w:r w:rsidR="00AD3C87" w:rsidRPr="00E017B0">
        <w:rPr>
          <w:rFonts w:ascii="Lato" w:hAnsi="Lato" w:cs="Calibri"/>
          <w:szCs w:val="24"/>
          <w:lang w:val="en-US"/>
        </w:rPr>
        <w:t>The General Comment should clarify that s</w:t>
      </w:r>
      <w:r w:rsidRPr="00E017B0">
        <w:rPr>
          <w:rFonts w:ascii="Lato" w:hAnsi="Lato" w:cs="Calibri"/>
          <w:szCs w:val="24"/>
          <w:lang w:val="en-US"/>
        </w:rPr>
        <w:t>uch protection</w:t>
      </w:r>
      <w:r w:rsidR="00AD3C87" w:rsidRPr="00E017B0">
        <w:rPr>
          <w:rFonts w:ascii="Lato" w:hAnsi="Lato" w:cs="Calibri"/>
          <w:szCs w:val="24"/>
          <w:lang w:val="en-US"/>
        </w:rPr>
        <w:t>s</w:t>
      </w:r>
      <w:r w:rsidRPr="00E017B0">
        <w:rPr>
          <w:rFonts w:ascii="Lato" w:hAnsi="Lato" w:cs="Calibri"/>
          <w:szCs w:val="24"/>
          <w:lang w:val="en-US"/>
        </w:rPr>
        <w:t xml:space="preserve"> should </w:t>
      </w:r>
      <w:r w:rsidR="00AD3C87" w:rsidRPr="00E017B0">
        <w:rPr>
          <w:rFonts w:ascii="Lato" w:hAnsi="Lato" w:cs="Calibri"/>
          <w:szCs w:val="24"/>
          <w:lang w:val="en-US"/>
        </w:rPr>
        <w:t>have</w:t>
      </w:r>
      <w:r w:rsidR="00AD3C87" w:rsidRPr="00E017B0">
        <w:rPr>
          <w:rFonts w:ascii="Lato" w:hAnsi="Lato" w:cs="Calibri"/>
          <w:b/>
          <w:bCs/>
          <w:szCs w:val="24"/>
          <w:lang w:val="en-US"/>
        </w:rPr>
        <w:t xml:space="preserve"> safeguards in place which ensure that people </w:t>
      </w:r>
      <w:r w:rsidR="00D85FD2" w:rsidRPr="00E017B0">
        <w:rPr>
          <w:rFonts w:ascii="Lato" w:hAnsi="Lato" w:cs="Calibri"/>
          <w:b/>
          <w:bCs/>
          <w:szCs w:val="24"/>
          <w:lang w:val="en-US"/>
        </w:rPr>
        <w:t>who disclose</w:t>
      </w:r>
      <w:r w:rsidR="00AD3C87" w:rsidRPr="00E017B0">
        <w:rPr>
          <w:rFonts w:ascii="Lato" w:hAnsi="Lato" w:cs="Calibri"/>
          <w:b/>
          <w:bCs/>
          <w:szCs w:val="24"/>
          <w:lang w:val="en-US"/>
        </w:rPr>
        <w:t xml:space="preserve"> their disability at work or in the process of applying for a role do not experience discrimination on disclosure</w:t>
      </w:r>
      <w:r w:rsidR="00AD3C87" w:rsidRPr="00E017B0">
        <w:rPr>
          <w:rFonts w:ascii="Lato" w:hAnsi="Lato" w:cs="Calibri"/>
          <w:szCs w:val="24"/>
          <w:lang w:val="en-US"/>
        </w:rPr>
        <w:t xml:space="preserve">. </w:t>
      </w:r>
      <w:r w:rsidR="00234CB3" w:rsidRPr="00E017B0">
        <w:rPr>
          <w:rFonts w:ascii="Lato" w:hAnsi="Lato" w:cs="Calibri"/>
          <w:szCs w:val="24"/>
          <w:lang w:val="en-US"/>
        </w:rPr>
        <w:t>The General Comment should also clarify that p</w:t>
      </w:r>
      <w:r w:rsidRPr="00E017B0">
        <w:rPr>
          <w:rFonts w:ascii="Lato" w:hAnsi="Lato" w:cs="Calibri"/>
          <w:szCs w:val="24"/>
          <w:lang w:val="en-US"/>
        </w:rPr>
        <w:t xml:space="preserve">olicies and legislation should </w:t>
      </w:r>
      <w:r w:rsidRPr="00E017B0">
        <w:rPr>
          <w:rFonts w:ascii="Lato" w:hAnsi="Lato" w:cs="Calibri"/>
          <w:b/>
          <w:bCs/>
          <w:szCs w:val="24"/>
          <w:lang w:val="en-US"/>
        </w:rPr>
        <w:t xml:space="preserve">extend to </w:t>
      </w:r>
      <w:r w:rsidR="005303C6" w:rsidRPr="00E017B0">
        <w:rPr>
          <w:rFonts w:ascii="Lato" w:hAnsi="Lato" w:cs="Calibri"/>
          <w:b/>
          <w:bCs/>
          <w:szCs w:val="24"/>
          <w:lang w:val="en-US"/>
        </w:rPr>
        <w:t xml:space="preserve">indirect discrimination and </w:t>
      </w:r>
      <w:r w:rsidRPr="00E017B0">
        <w:rPr>
          <w:rFonts w:ascii="Lato" w:hAnsi="Lato" w:cs="Calibri"/>
          <w:b/>
          <w:bCs/>
          <w:szCs w:val="24"/>
          <w:lang w:val="en-US"/>
        </w:rPr>
        <w:t>discrimination by association</w:t>
      </w:r>
      <w:r w:rsidRPr="00E017B0">
        <w:rPr>
          <w:rFonts w:ascii="Lato" w:hAnsi="Lato" w:cs="Calibri"/>
          <w:szCs w:val="24"/>
          <w:lang w:val="en-US"/>
        </w:rPr>
        <w:t xml:space="preserve">, which may occur when family members </w:t>
      </w:r>
      <w:r w:rsidR="00F957EB" w:rsidRPr="00E017B0">
        <w:rPr>
          <w:rFonts w:ascii="Lato" w:hAnsi="Lato" w:cs="Calibri"/>
          <w:szCs w:val="24"/>
          <w:lang w:val="en-US"/>
        </w:rPr>
        <w:t xml:space="preserve">or a person who is associated with a person with disability is </w:t>
      </w:r>
      <w:r w:rsidR="00C33A3D" w:rsidRPr="00E017B0">
        <w:rPr>
          <w:rFonts w:ascii="Lato" w:hAnsi="Lato" w:cs="Calibri"/>
          <w:szCs w:val="24"/>
          <w:lang w:val="en-US"/>
        </w:rPr>
        <w:t>discriminated</w:t>
      </w:r>
      <w:r w:rsidR="00F957EB" w:rsidRPr="00E017B0">
        <w:rPr>
          <w:rFonts w:ascii="Lato" w:hAnsi="Lato" w:cs="Calibri"/>
          <w:szCs w:val="24"/>
          <w:lang w:val="en-US"/>
        </w:rPr>
        <w:t xml:space="preserve"> </w:t>
      </w:r>
      <w:r w:rsidR="00C33A3D" w:rsidRPr="00E017B0">
        <w:rPr>
          <w:rFonts w:ascii="Lato" w:hAnsi="Lato" w:cs="Calibri"/>
          <w:szCs w:val="24"/>
          <w:lang w:val="en-US"/>
        </w:rPr>
        <w:t xml:space="preserve">at work </w:t>
      </w:r>
      <w:r w:rsidR="00F957EB" w:rsidRPr="00E017B0">
        <w:rPr>
          <w:rFonts w:ascii="Lato" w:hAnsi="Lato" w:cs="Calibri"/>
          <w:szCs w:val="24"/>
          <w:lang w:val="en-US"/>
        </w:rPr>
        <w:t>because of this relationship</w:t>
      </w:r>
      <w:r w:rsidR="00C33A3D" w:rsidRPr="00E017B0">
        <w:rPr>
          <w:rFonts w:ascii="Lato" w:hAnsi="Lato" w:cs="Calibri"/>
          <w:szCs w:val="24"/>
          <w:lang w:val="en-US"/>
        </w:rPr>
        <w:t>.</w:t>
      </w:r>
      <w:r w:rsidR="00AD3C87" w:rsidRPr="00E017B0">
        <w:rPr>
          <w:rFonts w:ascii="Lato" w:hAnsi="Lato" w:cs="Calibri"/>
          <w:szCs w:val="24"/>
          <w:lang w:val="en-US"/>
        </w:rPr>
        <w:t xml:space="preserve"> This should align with paragraph 17c set out in General Comment 3. </w:t>
      </w:r>
    </w:p>
    <w:p w14:paraId="1F27B6AE" w14:textId="5F202043" w:rsidR="00AE26A8" w:rsidRPr="00E017B0" w:rsidRDefault="00AE26A8" w:rsidP="00BE46B4">
      <w:pPr>
        <w:rPr>
          <w:rFonts w:ascii="Lato" w:hAnsi="Lato" w:cs="Calibri"/>
          <w:szCs w:val="24"/>
          <w:lang w:val="en-US"/>
        </w:rPr>
      </w:pPr>
      <w:r w:rsidRPr="00E017B0">
        <w:rPr>
          <w:rFonts w:ascii="Lato" w:hAnsi="Lato" w:cs="Calibri"/>
          <w:szCs w:val="24"/>
          <w:lang w:val="en-US"/>
        </w:rPr>
        <w:t xml:space="preserve">The General Comment should </w:t>
      </w:r>
      <w:r w:rsidRPr="00E017B0">
        <w:rPr>
          <w:rFonts w:ascii="Lato" w:hAnsi="Lato" w:cs="Calibri"/>
          <w:b/>
          <w:bCs/>
          <w:szCs w:val="24"/>
          <w:lang w:val="en-US"/>
        </w:rPr>
        <w:t xml:space="preserve">make it clear to State parties that they are responsible for addressing discrimination perpetrated by public authorities as well as by </w:t>
      </w:r>
      <w:r w:rsidR="00F52AF1" w:rsidRPr="00E017B0">
        <w:rPr>
          <w:rFonts w:ascii="Lato" w:hAnsi="Lato" w:cs="Calibri"/>
          <w:b/>
          <w:bCs/>
          <w:szCs w:val="24"/>
          <w:lang w:val="en-US"/>
        </w:rPr>
        <w:t>private actors and bodies</w:t>
      </w:r>
      <w:r w:rsidRPr="00E017B0">
        <w:rPr>
          <w:rFonts w:ascii="Lato" w:hAnsi="Lato" w:cs="Calibri"/>
          <w:szCs w:val="24"/>
          <w:lang w:val="en-US"/>
        </w:rPr>
        <w:t>. This</w:t>
      </w:r>
      <w:r w:rsidR="00032B45" w:rsidRPr="00E017B0">
        <w:rPr>
          <w:rFonts w:ascii="Lato" w:hAnsi="Lato" w:cs="Calibri"/>
          <w:szCs w:val="24"/>
          <w:lang w:val="en-US"/>
        </w:rPr>
        <w:t xml:space="preserve"> responsibility is also </w:t>
      </w:r>
      <w:r w:rsidR="00B14549" w:rsidRPr="00E017B0">
        <w:rPr>
          <w:rFonts w:ascii="Lato" w:hAnsi="Lato" w:cs="Calibri"/>
          <w:szCs w:val="24"/>
          <w:lang w:val="en-US"/>
        </w:rPr>
        <w:t>recognized</w:t>
      </w:r>
      <w:r w:rsidRPr="00E017B0">
        <w:rPr>
          <w:rFonts w:ascii="Lato" w:hAnsi="Lato" w:cs="Calibri"/>
          <w:szCs w:val="24"/>
          <w:lang w:val="en-US"/>
        </w:rPr>
        <w:t xml:space="preserve"> by Article 26 of the International Covenant on Civil and Political Rights, which prohibits discrimination on any ground and requires States to act against discrimination by public and private agencies in all fields</w:t>
      </w:r>
      <w:r w:rsidRPr="00E017B0">
        <w:rPr>
          <w:rStyle w:val="FootnoteReference"/>
          <w:rFonts w:ascii="Lato" w:hAnsi="Lato" w:cs="Calibri"/>
          <w:szCs w:val="24"/>
          <w:lang w:val="en-US"/>
        </w:rPr>
        <w:footnoteReference w:id="12"/>
      </w:r>
      <w:r w:rsidRPr="00E017B0">
        <w:rPr>
          <w:rFonts w:ascii="Lato" w:hAnsi="Lato" w:cs="Calibri"/>
          <w:szCs w:val="24"/>
          <w:lang w:val="en-US"/>
        </w:rPr>
        <w:t xml:space="preserve">. </w:t>
      </w:r>
    </w:p>
    <w:p w14:paraId="1602C988" w14:textId="625BC7B5" w:rsidR="00F35050" w:rsidRPr="00E017B0" w:rsidRDefault="00DE3A5C" w:rsidP="00BE46B4">
      <w:pPr>
        <w:rPr>
          <w:rFonts w:ascii="Lato" w:hAnsi="Lato" w:cs="Calibri"/>
          <w:szCs w:val="24"/>
          <w:lang w:val="en-US"/>
        </w:rPr>
      </w:pPr>
      <w:r w:rsidRPr="00E017B0">
        <w:rPr>
          <w:rFonts w:ascii="Lato" w:hAnsi="Lato" w:cs="Calibri"/>
          <w:szCs w:val="24"/>
          <w:lang w:val="en-US"/>
        </w:rPr>
        <w:t xml:space="preserve">While it is welcome that many States have taken steps to adopt </w:t>
      </w:r>
      <w:r w:rsidR="00ED1C44" w:rsidRPr="00E017B0">
        <w:rPr>
          <w:rFonts w:ascii="Lato" w:hAnsi="Lato" w:cs="Calibri"/>
          <w:szCs w:val="24"/>
          <w:lang w:val="en-US"/>
        </w:rPr>
        <w:t>non</w:t>
      </w:r>
      <w:r w:rsidRPr="00E017B0">
        <w:rPr>
          <w:rFonts w:ascii="Lato" w:hAnsi="Lato" w:cs="Calibri"/>
          <w:szCs w:val="24"/>
          <w:lang w:val="en-US"/>
        </w:rPr>
        <w:t xml:space="preserve">-discrimination policies and legislation, </w:t>
      </w:r>
      <w:r w:rsidR="004109FB" w:rsidRPr="00E017B0">
        <w:rPr>
          <w:rFonts w:ascii="Lato" w:hAnsi="Lato" w:cs="Calibri"/>
          <w:szCs w:val="24"/>
          <w:lang w:val="en-US"/>
        </w:rPr>
        <w:t>these frameworks will only have an impact in en</w:t>
      </w:r>
      <w:r w:rsidR="004109FB" w:rsidRPr="00E017B0">
        <w:rPr>
          <w:rFonts w:ascii="Lato" w:hAnsi="Lato" w:cs="Calibri"/>
          <w:szCs w:val="24"/>
          <w:lang w:val="en-US"/>
        </w:rPr>
        <w:lastRenderedPageBreak/>
        <w:t>couraging and</w:t>
      </w:r>
      <w:r w:rsidR="002F796E" w:rsidRPr="00E017B0">
        <w:rPr>
          <w:rFonts w:ascii="Lato" w:hAnsi="Lato" w:cs="Calibri"/>
          <w:szCs w:val="24"/>
          <w:lang w:val="en-US"/>
        </w:rPr>
        <w:t xml:space="preserve"> supporting the participation of </w:t>
      </w:r>
      <w:r w:rsidR="004568DD" w:rsidRPr="00E017B0">
        <w:rPr>
          <w:rFonts w:ascii="Lato" w:hAnsi="Lato" w:cs="Calibri"/>
          <w:szCs w:val="24"/>
          <w:lang w:val="en-US"/>
        </w:rPr>
        <w:t>persons</w:t>
      </w:r>
      <w:r w:rsidR="002F796E" w:rsidRPr="00E017B0">
        <w:rPr>
          <w:rFonts w:ascii="Lato" w:hAnsi="Lato" w:cs="Calibri"/>
          <w:szCs w:val="24"/>
          <w:lang w:val="en-US"/>
        </w:rPr>
        <w:t xml:space="preserve"> with disabilities in the labour market </w:t>
      </w:r>
      <w:r w:rsidR="004109FB" w:rsidRPr="00E017B0">
        <w:rPr>
          <w:rFonts w:ascii="Lato" w:hAnsi="Lato" w:cs="Calibri"/>
          <w:szCs w:val="24"/>
          <w:lang w:val="en-US"/>
        </w:rPr>
        <w:t xml:space="preserve">if they are effectively implemented.  </w:t>
      </w:r>
      <w:r w:rsidR="00F35050" w:rsidRPr="00E017B0">
        <w:rPr>
          <w:rFonts w:ascii="Lato" w:hAnsi="Lato" w:cs="Calibri"/>
          <w:szCs w:val="24"/>
          <w:lang w:val="en-US"/>
        </w:rPr>
        <w:t xml:space="preserve">The General Comment should include </w:t>
      </w:r>
      <w:r w:rsidR="00F35050" w:rsidRPr="00E017B0">
        <w:rPr>
          <w:rFonts w:ascii="Lato" w:hAnsi="Lato" w:cs="Calibri"/>
          <w:b/>
          <w:bCs/>
          <w:szCs w:val="24"/>
          <w:lang w:val="en-US"/>
        </w:rPr>
        <w:t>clarity to states parties on</w:t>
      </w:r>
      <w:r w:rsidR="00F35050" w:rsidRPr="00E017B0">
        <w:rPr>
          <w:rFonts w:ascii="Lato" w:hAnsi="Lato" w:cs="Calibri"/>
          <w:szCs w:val="24"/>
          <w:lang w:val="en-US"/>
        </w:rPr>
        <w:t xml:space="preserve"> </w:t>
      </w:r>
      <w:r w:rsidR="00F35050" w:rsidRPr="00E017B0">
        <w:rPr>
          <w:rFonts w:ascii="Lato" w:hAnsi="Lato" w:cs="Calibri"/>
          <w:b/>
          <w:bCs/>
          <w:szCs w:val="24"/>
          <w:lang w:val="en-US"/>
        </w:rPr>
        <w:t>how to ensure non-discrimination policy i</w:t>
      </w:r>
      <w:r w:rsidR="001E7250" w:rsidRPr="00E017B0">
        <w:rPr>
          <w:rFonts w:ascii="Lato" w:hAnsi="Lato" w:cs="Calibri"/>
          <w:b/>
          <w:bCs/>
          <w:szCs w:val="24"/>
          <w:lang w:val="en-US"/>
        </w:rPr>
        <w:t>s</w:t>
      </w:r>
      <w:r w:rsidR="00F35050" w:rsidRPr="00E017B0">
        <w:rPr>
          <w:rFonts w:ascii="Lato" w:hAnsi="Lato" w:cs="Calibri"/>
          <w:b/>
          <w:bCs/>
          <w:szCs w:val="24"/>
          <w:lang w:val="en-US"/>
        </w:rPr>
        <w:t xml:space="preserve"> effectively implemented</w:t>
      </w:r>
      <w:r w:rsidR="00B91F5E">
        <w:rPr>
          <w:rFonts w:ascii="Lato" w:hAnsi="Lato" w:cs="Calibri"/>
          <w:szCs w:val="24"/>
          <w:lang w:val="en-US"/>
        </w:rPr>
        <w:t>;</w:t>
      </w:r>
      <w:r w:rsidR="00F35050" w:rsidRPr="00E017B0">
        <w:rPr>
          <w:rFonts w:ascii="Lato" w:hAnsi="Lato" w:cs="Calibri"/>
          <w:szCs w:val="24"/>
          <w:lang w:val="en-US"/>
        </w:rPr>
        <w:t xml:space="preserve"> a number of areas to consider are set out </w:t>
      </w:r>
      <w:r w:rsidR="00D85FD2" w:rsidRPr="00E017B0">
        <w:rPr>
          <w:rFonts w:ascii="Lato" w:hAnsi="Lato" w:cs="Calibri"/>
          <w:szCs w:val="24"/>
          <w:lang w:val="en-US"/>
        </w:rPr>
        <w:t>below:</w:t>
      </w:r>
      <w:r w:rsidR="00F35050" w:rsidRPr="00E017B0">
        <w:rPr>
          <w:rFonts w:ascii="Lato" w:hAnsi="Lato" w:cs="Calibri"/>
          <w:szCs w:val="24"/>
          <w:lang w:val="en-US"/>
        </w:rPr>
        <w:t xml:space="preserve"> </w:t>
      </w:r>
    </w:p>
    <w:p w14:paraId="3D8235C9" w14:textId="5CF5FBB9" w:rsidR="00F35050" w:rsidRPr="00E017B0" w:rsidRDefault="00D85FD2" w:rsidP="00BE46B4">
      <w:pPr>
        <w:pStyle w:val="ListParagraph"/>
        <w:numPr>
          <w:ilvl w:val="0"/>
          <w:numId w:val="22"/>
        </w:numPr>
        <w:rPr>
          <w:rFonts w:ascii="Lato" w:hAnsi="Lato" w:cs="Calibri"/>
          <w:szCs w:val="24"/>
          <w:lang w:val="en-US"/>
        </w:rPr>
      </w:pPr>
      <w:r w:rsidRPr="00E017B0">
        <w:rPr>
          <w:rFonts w:ascii="Lato" w:hAnsi="Lato" w:cs="Calibri"/>
          <w:b/>
          <w:bCs/>
          <w:szCs w:val="24"/>
          <w:lang w:val="en-US"/>
        </w:rPr>
        <w:t>Awareness and ownership</w:t>
      </w:r>
      <w:r w:rsidRPr="00E017B0">
        <w:rPr>
          <w:rFonts w:ascii="Lato" w:hAnsi="Lato" w:cs="Calibri"/>
          <w:szCs w:val="24"/>
          <w:lang w:val="en-US"/>
        </w:rPr>
        <w:t xml:space="preserve">: </w:t>
      </w:r>
      <w:r w:rsidR="00472EC5" w:rsidRPr="00E017B0">
        <w:rPr>
          <w:rFonts w:ascii="Lato" w:hAnsi="Lato" w:cs="Calibri"/>
          <w:szCs w:val="24"/>
          <w:lang w:val="en-US"/>
        </w:rPr>
        <w:t>a</w:t>
      </w:r>
      <w:r w:rsidR="004109FB" w:rsidRPr="00E017B0">
        <w:rPr>
          <w:rFonts w:ascii="Lato" w:hAnsi="Lato" w:cs="Calibri"/>
          <w:szCs w:val="24"/>
          <w:lang w:val="en-US"/>
        </w:rPr>
        <w:t xml:space="preserve"> first step to </w:t>
      </w:r>
      <w:r w:rsidR="001F2AB4" w:rsidRPr="00E017B0">
        <w:rPr>
          <w:rFonts w:ascii="Lato" w:hAnsi="Lato" w:cs="Calibri"/>
          <w:szCs w:val="24"/>
          <w:lang w:val="en-US"/>
        </w:rPr>
        <w:t>ensur</w:t>
      </w:r>
      <w:r w:rsidR="00604308" w:rsidRPr="00E017B0">
        <w:rPr>
          <w:rFonts w:ascii="Lato" w:hAnsi="Lato" w:cs="Calibri"/>
          <w:szCs w:val="24"/>
          <w:lang w:val="en-US"/>
        </w:rPr>
        <w:t>e</w:t>
      </w:r>
      <w:r w:rsidR="001F2AB4" w:rsidRPr="00E017B0">
        <w:rPr>
          <w:rFonts w:ascii="Lato" w:hAnsi="Lato" w:cs="Calibri"/>
          <w:szCs w:val="24"/>
          <w:lang w:val="en-US"/>
        </w:rPr>
        <w:t xml:space="preserve"> disability-related employment </w:t>
      </w:r>
      <w:r w:rsidR="00604308" w:rsidRPr="00E017B0">
        <w:rPr>
          <w:rFonts w:ascii="Lato" w:hAnsi="Lato" w:cs="Calibri"/>
          <w:szCs w:val="24"/>
          <w:lang w:val="en-US"/>
        </w:rPr>
        <w:t xml:space="preserve">policies and </w:t>
      </w:r>
      <w:r w:rsidR="001F2AB4" w:rsidRPr="00E017B0">
        <w:rPr>
          <w:rFonts w:ascii="Lato" w:hAnsi="Lato" w:cs="Calibri"/>
          <w:szCs w:val="24"/>
          <w:lang w:val="en-US"/>
        </w:rPr>
        <w:t xml:space="preserve">legislation </w:t>
      </w:r>
      <w:r w:rsidR="00604308" w:rsidRPr="00E017B0">
        <w:rPr>
          <w:rFonts w:ascii="Lato" w:hAnsi="Lato" w:cs="Calibri"/>
          <w:szCs w:val="24"/>
          <w:lang w:val="en-US"/>
        </w:rPr>
        <w:t>are</w:t>
      </w:r>
      <w:r w:rsidR="001F2AB4" w:rsidRPr="00E017B0">
        <w:rPr>
          <w:rFonts w:ascii="Lato" w:hAnsi="Lato" w:cs="Calibri"/>
          <w:szCs w:val="24"/>
          <w:lang w:val="en-US"/>
        </w:rPr>
        <w:t xml:space="preserve"> effective is to</w:t>
      </w:r>
      <w:r w:rsidR="00604308" w:rsidRPr="00E017B0">
        <w:rPr>
          <w:rFonts w:ascii="Lato" w:hAnsi="Lato" w:cs="Calibri"/>
          <w:szCs w:val="24"/>
          <w:lang w:val="en-US"/>
        </w:rPr>
        <w:t xml:space="preserve"> raise awareness of their existence and promote ownership of such frameworks</w:t>
      </w:r>
      <w:r w:rsidR="001E7250" w:rsidRPr="00E017B0">
        <w:rPr>
          <w:rFonts w:ascii="Lato" w:hAnsi="Lato" w:cs="Calibri"/>
          <w:szCs w:val="24"/>
          <w:lang w:val="en-US"/>
        </w:rPr>
        <w:t xml:space="preserve">. States should </w:t>
      </w:r>
      <w:r w:rsidR="00B91F5E">
        <w:rPr>
          <w:rFonts w:ascii="Lato" w:hAnsi="Lato" w:cs="Calibri"/>
          <w:szCs w:val="24"/>
          <w:lang w:val="en-US"/>
        </w:rPr>
        <w:t>do so</w:t>
      </w:r>
      <w:r w:rsidR="001E7250" w:rsidRPr="00E017B0">
        <w:rPr>
          <w:rFonts w:ascii="Lato" w:hAnsi="Lato" w:cs="Calibri"/>
          <w:szCs w:val="24"/>
          <w:lang w:val="en-US"/>
        </w:rPr>
        <w:t xml:space="preserve"> </w:t>
      </w:r>
      <w:r w:rsidR="00604308" w:rsidRPr="00E017B0">
        <w:rPr>
          <w:rFonts w:ascii="Lato" w:hAnsi="Lato" w:cs="Calibri"/>
          <w:szCs w:val="24"/>
          <w:lang w:val="en-US"/>
        </w:rPr>
        <w:t xml:space="preserve">through communication and engagement with national and local </w:t>
      </w:r>
      <w:r w:rsidR="002F796E" w:rsidRPr="00E017B0">
        <w:rPr>
          <w:rFonts w:ascii="Lato" w:hAnsi="Lato" w:cs="Calibri"/>
          <w:szCs w:val="24"/>
          <w:lang w:val="en-US"/>
        </w:rPr>
        <w:t xml:space="preserve">institutions and </w:t>
      </w:r>
      <w:r w:rsidR="009B3F23" w:rsidRPr="00E017B0">
        <w:rPr>
          <w:rFonts w:ascii="Lato" w:hAnsi="Lato" w:cs="Calibri"/>
          <w:szCs w:val="24"/>
          <w:lang w:val="en-US"/>
        </w:rPr>
        <w:t>stakeholders</w:t>
      </w:r>
      <w:r w:rsidR="00E27481" w:rsidRPr="00E017B0">
        <w:rPr>
          <w:rFonts w:ascii="Lato" w:hAnsi="Lato" w:cs="Calibri"/>
          <w:szCs w:val="24"/>
          <w:lang w:val="en-US"/>
        </w:rPr>
        <w:t xml:space="preserve">, in line with Article 8 of the CRPD. </w:t>
      </w:r>
      <w:r w:rsidR="00604308" w:rsidRPr="00E017B0">
        <w:rPr>
          <w:rFonts w:ascii="Lato" w:hAnsi="Lato" w:cs="Calibri"/>
          <w:szCs w:val="24"/>
          <w:lang w:val="en-US"/>
        </w:rPr>
        <w:t xml:space="preserve"> </w:t>
      </w:r>
    </w:p>
    <w:p w14:paraId="4C6BEEF9" w14:textId="0754972A" w:rsidR="00D85FD2" w:rsidRPr="00E017B0" w:rsidRDefault="00D85FD2" w:rsidP="00BE46B4">
      <w:pPr>
        <w:pStyle w:val="ListParagraph"/>
        <w:numPr>
          <w:ilvl w:val="0"/>
          <w:numId w:val="22"/>
        </w:numPr>
        <w:rPr>
          <w:rFonts w:ascii="Lato" w:hAnsi="Lato" w:cs="Calibri"/>
          <w:szCs w:val="24"/>
          <w:lang w:val="en-US"/>
        </w:rPr>
      </w:pPr>
      <w:r w:rsidRPr="00E017B0">
        <w:rPr>
          <w:rFonts w:ascii="Lato" w:hAnsi="Lato" w:cs="Calibri"/>
          <w:b/>
          <w:bCs/>
          <w:szCs w:val="24"/>
          <w:lang w:val="en-US"/>
        </w:rPr>
        <w:t>Budget for implementation</w:t>
      </w:r>
      <w:r w:rsidRPr="00E017B0">
        <w:rPr>
          <w:rFonts w:ascii="Lato" w:hAnsi="Lato" w:cs="Calibri"/>
          <w:szCs w:val="24"/>
          <w:lang w:val="en-US"/>
        </w:rPr>
        <w:t xml:space="preserve">: </w:t>
      </w:r>
      <w:r w:rsidR="001E7250" w:rsidRPr="00E017B0">
        <w:rPr>
          <w:rFonts w:ascii="Lato" w:hAnsi="Lato" w:cs="Calibri"/>
          <w:szCs w:val="24"/>
          <w:lang w:val="en-US"/>
        </w:rPr>
        <w:t>States should ensure non</w:t>
      </w:r>
      <w:r w:rsidRPr="00E017B0">
        <w:rPr>
          <w:rFonts w:ascii="Lato" w:hAnsi="Lato" w:cs="Calibri"/>
          <w:szCs w:val="24"/>
          <w:lang w:val="en-US"/>
        </w:rPr>
        <w:t xml:space="preserve">-discrimination policies and legislation </w:t>
      </w:r>
      <w:r w:rsidR="001E7250" w:rsidRPr="00E017B0">
        <w:rPr>
          <w:rFonts w:ascii="Lato" w:hAnsi="Lato" w:cs="Calibri"/>
          <w:szCs w:val="24"/>
          <w:lang w:val="en-US"/>
        </w:rPr>
        <w:t xml:space="preserve">are </w:t>
      </w:r>
      <w:r w:rsidRPr="00E017B0">
        <w:rPr>
          <w:rFonts w:ascii="Lato" w:hAnsi="Lato" w:cs="Calibri"/>
          <w:szCs w:val="24"/>
          <w:lang w:val="en-US"/>
        </w:rPr>
        <w:t xml:space="preserve">accompanied by appropriate allocation of </w:t>
      </w:r>
      <w:r w:rsidR="001E7250" w:rsidRPr="00E017B0">
        <w:rPr>
          <w:rFonts w:ascii="Lato" w:hAnsi="Lato" w:cs="Calibri"/>
          <w:szCs w:val="24"/>
          <w:lang w:val="en-US"/>
        </w:rPr>
        <w:t xml:space="preserve">capacity and </w:t>
      </w:r>
      <w:r w:rsidRPr="00E017B0">
        <w:rPr>
          <w:rFonts w:ascii="Lato" w:hAnsi="Lato" w:cs="Calibri"/>
          <w:szCs w:val="24"/>
          <w:lang w:val="en-US"/>
        </w:rPr>
        <w:t>resources for implementation</w:t>
      </w:r>
      <w:r w:rsidR="001E7250" w:rsidRPr="00E017B0">
        <w:rPr>
          <w:rFonts w:ascii="Lato" w:hAnsi="Lato" w:cs="Calibri"/>
          <w:szCs w:val="24"/>
          <w:lang w:val="en-US"/>
        </w:rPr>
        <w:t>.</w:t>
      </w:r>
    </w:p>
    <w:p w14:paraId="765C2049" w14:textId="11455952" w:rsidR="004109FB" w:rsidRPr="00E017B0" w:rsidRDefault="00D85FD2" w:rsidP="00BE46B4">
      <w:pPr>
        <w:pStyle w:val="ListParagraph"/>
        <w:numPr>
          <w:ilvl w:val="0"/>
          <w:numId w:val="22"/>
        </w:numPr>
        <w:rPr>
          <w:rFonts w:ascii="Lato" w:hAnsi="Lato" w:cs="Calibri"/>
          <w:szCs w:val="24"/>
          <w:lang w:val="en-US"/>
        </w:rPr>
      </w:pPr>
      <w:r w:rsidRPr="00E017B0">
        <w:rPr>
          <w:rFonts w:ascii="Lato" w:hAnsi="Lato" w:cs="Calibri"/>
          <w:b/>
          <w:bCs/>
          <w:szCs w:val="24"/>
          <w:lang w:val="en-US"/>
        </w:rPr>
        <w:t>Clear guidance</w:t>
      </w:r>
      <w:r w:rsidR="001E7250" w:rsidRPr="00E017B0">
        <w:rPr>
          <w:rFonts w:ascii="Lato" w:hAnsi="Lato" w:cs="Calibri"/>
          <w:b/>
          <w:bCs/>
          <w:szCs w:val="24"/>
          <w:lang w:val="en-US"/>
        </w:rPr>
        <w:t>, roles and responsibility</w:t>
      </w:r>
      <w:r w:rsidRPr="00E017B0">
        <w:rPr>
          <w:rFonts w:ascii="Lato" w:hAnsi="Lato" w:cs="Calibri"/>
          <w:szCs w:val="24"/>
          <w:lang w:val="en-US"/>
        </w:rPr>
        <w:t xml:space="preserve">: </w:t>
      </w:r>
      <w:r w:rsidR="001E7250" w:rsidRPr="00E017B0">
        <w:rPr>
          <w:rFonts w:ascii="Lato" w:hAnsi="Lato" w:cs="Calibri"/>
          <w:szCs w:val="24"/>
          <w:lang w:val="en-US"/>
        </w:rPr>
        <w:t xml:space="preserve">States should provide </w:t>
      </w:r>
      <w:r w:rsidRPr="00E017B0">
        <w:rPr>
          <w:rFonts w:ascii="Lato" w:hAnsi="Lato" w:cs="Calibri"/>
          <w:szCs w:val="24"/>
          <w:lang w:val="en-US"/>
        </w:rPr>
        <w:t xml:space="preserve">clear guidance on implementation to </w:t>
      </w:r>
      <w:r w:rsidR="009B3F23" w:rsidRPr="00E017B0">
        <w:rPr>
          <w:rFonts w:ascii="Lato" w:hAnsi="Lato" w:cs="Calibri"/>
          <w:szCs w:val="24"/>
          <w:lang w:val="en-US"/>
        </w:rPr>
        <w:t>avoid</w:t>
      </w:r>
      <w:r w:rsidR="00604308" w:rsidRPr="00E017B0">
        <w:rPr>
          <w:rFonts w:ascii="Lato" w:hAnsi="Lato" w:cs="Calibri"/>
          <w:szCs w:val="24"/>
          <w:lang w:val="en-US"/>
        </w:rPr>
        <w:t xml:space="preserve"> ambiguity around interpretation</w:t>
      </w:r>
      <w:r w:rsidR="009B3F23" w:rsidRPr="00E017B0">
        <w:rPr>
          <w:rFonts w:ascii="Lato" w:hAnsi="Lato" w:cs="Calibri"/>
          <w:szCs w:val="24"/>
          <w:lang w:val="en-US"/>
        </w:rPr>
        <w:t>, clarify any misconceptions and ensure</w:t>
      </w:r>
      <w:r w:rsidR="00604308" w:rsidRPr="00E017B0">
        <w:rPr>
          <w:rFonts w:ascii="Lato" w:hAnsi="Lato" w:cs="Calibri"/>
          <w:szCs w:val="24"/>
          <w:lang w:val="en-US"/>
        </w:rPr>
        <w:t xml:space="preserve"> the framework</w:t>
      </w:r>
      <w:r w:rsidR="009B3F23" w:rsidRPr="00E017B0">
        <w:rPr>
          <w:rFonts w:ascii="Lato" w:hAnsi="Lato" w:cs="Calibri"/>
          <w:szCs w:val="24"/>
          <w:lang w:val="en-US"/>
        </w:rPr>
        <w:t xml:space="preserve"> can be </w:t>
      </w:r>
      <w:r w:rsidR="00604308" w:rsidRPr="00E017B0">
        <w:rPr>
          <w:rFonts w:ascii="Lato" w:hAnsi="Lato" w:cs="Calibri"/>
          <w:szCs w:val="24"/>
          <w:lang w:val="en-US"/>
        </w:rPr>
        <w:t>consistently implemented</w:t>
      </w:r>
      <w:r w:rsidR="008F1492" w:rsidRPr="00E017B0">
        <w:rPr>
          <w:rFonts w:ascii="Lato" w:hAnsi="Lato" w:cs="Calibri"/>
          <w:szCs w:val="24"/>
          <w:lang w:val="en-US"/>
        </w:rPr>
        <w:t xml:space="preserve"> by different actors</w:t>
      </w:r>
      <w:r w:rsidR="00604308" w:rsidRPr="00E017B0">
        <w:rPr>
          <w:rFonts w:ascii="Lato" w:hAnsi="Lato" w:cs="Calibri"/>
          <w:szCs w:val="24"/>
          <w:lang w:val="en-US"/>
        </w:rPr>
        <w:t xml:space="preserve">. </w:t>
      </w:r>
      <w:r w:rsidR="00472EC5" w:rsidRPr="00E017B0">
        <w:rPr>
          <w:rFonts w:ascii="Lato" w:hAnsi="Lato" w:cs="Calibri"/>
          <w:szCs w:val="24"/>
          <w:lang w:val="en-US"/>
        </w:rPr>
        <w:t>The lack of clarity around specific policy aspects or confusion between different bodies about who has responsibility for implementation can lead to weak accountability, duplication and institutional inertia.</w:t>
      </w:r>
      <w:r w:rsidR="00E2338B" w:rsidRPr="00E017B0">
        <w:rPr>
          <w:rStyle w:val="FootnoteReference"/>
          <w:rFonts w:ascii="Lato" w:hAnsi="Lato" w:cs="Calibri"/>
          <w:szCs w:val="24"/>
          <w:lang w:val="en-US"/>
        </w:rPr>
        <w:footnoteReference w:id="13"/>
      </w:r>
      <w:r w:rsidR="009B3F23" w:rsidRPr="00E017B0">
        <w:rPr>
          <w:rFonts w:ascii="Lato" w:hAnsi="Lato" w:cs="Calibri"/>
          <w:szCs w:val="24"/>
          <w:lang w:val="en-US"/>
        </w:rPr>
        <w:t xml:space="preserve"> </w:t>
      </w:r>
    </w:p>
    <w:p w14:paraId="790DF25D" w14:textId="329E322A" w:rsidR="00CA008A" w:rsidRPr="00E017B0" w:rsidRDefault="00DE4B71" w:rsidP="00BE46B4">
      <w:pPr>
        <w:pStyle w:val="ListParagraph"/>
        <w:numPr>
          <w:ilvl w:val="0"/>
          <w:numId w:val="22"/>
        </w:numPr>
        <w:rPr>
          <w:lang w:val="en-US"/>
        </w:rPr>
      </w:pPr>
      <w:r w:rsidRPr="00E017B0">
        <w:rPr>
          <w:rFonts w:ascii="Lato" w:hAnsi="Lato" w:cs="Calibri"/>
          <w:b/>
          <w:bCs/>
          <w:szCs w:val="24"/>
          <w:lang w:val="en-US"/>
        </w:rPr>
        <w:t>Effective accountability mechanisms</w:t>
      </w:r>
      <w:r w:rsidRPr="00E017B0">
        <w:rPr>
          <w:rFonts w:ascii="Lato" w:hAnsi="Lato" w:cs="Calibri"/>
          <w:szCs w:val="24"/>
          <w:lang w:val="en-US"/>
        </w:rPr>
        <w:t xml:space="preserve">: </w:t>
      </w:r>
      <w:r w:rsidR="001E7250" w:rsidRPr="00E017B0">
        <w:rPr>
          <w:rFonts w:ascii="Lato" w:hAnsi="Lato" w:cs="Calibri"/>
          <w:szCs w:val="24"/>
          <w:lang w:val="en-US"/>
        </w:rPr>
        <w:t xml:space="preserve">States must ensure there are </w:t>
      </w:r>
      <w:r w:rsidR="00234CB3" w:rsidRPr="00E017B0">
        <w:rPr>
          <w:rFonts w:ascii="Lato" w:hAnsi="Lato" w:cs="Calibri"/>
          <w:szCs w:val="24"/>
          <w:lang w:val="en-US"/>
        </w:rPr>
        <w:t>e</w:t>
      </w:r>
      <w:r w:rsidR="00DE3A5C" w:rsidRPr="00E017B0">
        <w:rPr>
          <w:rFonts w:ascii="Lato" w:hAnsi="Lato" w:cs="Calibri"/>
          <w:szCs w:val="24"/>
          <w:lang w:val="en-US"/>
        </w:rPr>
        <w:t xml:space="preserve">ffective </w:t>
      </w:r>
      <w:r w:rsidR="00DB2ED8" w:rsidRPr="00E017B0">
        <w:rPr>
          <w:rFonts w:ascii="Lato" w:hAnsi="Lato" w:cs="Calibri"/>
          <w:szCs w:val="24"/>
          <w:lang w:val="en-US"/>
        </w:rPr>
        <w:t xml:space="preserve">accountability </w:t>
      </w:r>
      <w:r w:rsidR="00DE3A5C" w:rsidRPr="00E017B0">
        <w:rPr>
          <w:rFonts w:ascii="Lato" w:hAnsi="Lato" w:cs="Calibri"/>
          <w:szCs w:val="24"/>
          <w:lang w:val="en-US"/>
        </w:rPr>
        <w:t>mechanisms</w:t>
      </w:r>
      <w:r w:rsidR="00234CB3" w:rsidRPr="00E017B0">
        <w:rPr>
          <w:rFonts w:ascii="Lato" w:hAnsi="Lato" w:cs="Calibri"/>
          <w:szCs w:val="24"/>
          <w:lang w:val="en-US"/>
        </w:rPr>
        <w:t xml:space="preserve"> </w:t>
      </w:r>
      <w:r w:rsidR="00DE3A5C" w:rsidRPr="00E017B0">
        <w:rPr>
          <w:rFonts w:ascii="Lato" w:hAnsi="Lato" w:cs="Calibri"/>
          <w:szCs w:val="24"/>
          <w:lang w:val="en-US"/>
        </w:rPr>
        <w:t>to enforce</w:t>
      </w:r>
      <w:r w:rsidR="00423F76" w:rsidRPr="00E017B0">
        <w:rPr>
          <w:rFonts w:ascii="Lato" w:hAnsi="Lato" w:cs="Calibri"/>
          <w:szCs w:val="24"/>
          <w:lang w:val="en-US"/>
        </w:rPr>
        <w:t xml:space="preserve"> non-</w:t>
      </w:r>
      <w:r w:rsidR="00DB2ED8" w:rsidRPr="00E017B0">
        <w:rPr>
          <w:rFonts w:ascii="Lato" w:hAnsi="Lato" w:cs="Calibri"/>
          <w:szCs w:val="24"/>
          <w:lang w:val="en-US"/>
        </w:rPr>
        <w:t xml:space="preserve">discrimination </w:t>
      </w:r>
      <w:r w:rsidR="00DE3A5C" w:rsidRPr="00E017B0">
        <w:rPr>
          <w:rFonts w:ascii="Lato" w:hAnsi="Lato" w:cs="Calibri"/>
          <w:szCs w:val="24"/>
          <w:lang w:val="en-US"/>
        </w:rPr>
        <w:t xml:space="preserve">policies </w:t>
      </w:r>
      <w:r w:rsidR="00DE3A5C" w:rsidRPr="00E017B0">
        <w:rPr>
          <w:rFonts w:ascii="Lato" w:hAnsi="Lato" w:cs="Calibri"/>
          <w:szCs w:val="24"/>
          <w:lang w:val="en-US"/>
        </w:rPr>
        <w:lastRenderedPageBreak/>
        <w:t xml:space="preserve">and legislation, enabling persons with disabilities to challenge discrimination </w:t>
      </w:r>
      <w:r w:rsidR="00DB2ED8" w:rsidRPr="00E017B0">
        <w:rPr>
          <w:rFonts w:ascii="Lato" w:hAnsi="Lato" w:cs="Calibri"/>
          <w:szCs w:val="24"/>
          <w:lang w:val="en-US"/>
        </w:rPr>
        <w:t>in the workplace</w:t>
      </w:r>
      <w:r w:rsidR="002F796E" w:rsidRPr="00E017B0">
        <w:rPr>
          <w:rFonts w:ascii="Lato" w:hAnsi="Lato" w:cs="Calibri"/>
          <w:szCs w:val="24"/>
          <w:lang w:val="en-US"/>
        </w:rPr>
        <w:t xml:space="preserve"> and seek redress when their rights are </w:t>
      </w:r>
      <w:r w:rsidR="00CB20AC" w:rsidRPr="00E017B0">
        <w:rPr>
          <w:rFonts w:ascii="Lato" w:hAnsi="Lato" w:cs="Calibri"/>
          <w:szCs w:val="24"/>
          <w:lang w:val="en-US"/>
        </w:rPr>
        <w:t xml:space="preserve">violated. </w:t>
      </w:r>
      <w:r w:rsidR="00DE3A5C" w:rsidRPr="00E017B0">
        <w:rPr>
          <w:rFonts w:ascii="Lato" w:hAnsi="Lato" w:cs="Calibri"/>
          <w:szCs w:val="24"/>
          <w:lang w:val="en-US"/>
        </w:rPr>
        <w:t xml:space="preserve">Persons with disabilities </w:t>
      </w:r>
      <w:r w:rsidR="002F796E" w:rsidRPr="00E017B0">
        <w:rPr>
          <w:rFonts w:ascii="Lato" w:hAnsi="Lato" w:cs="Calibri"/>
          <w:szCs w:val="24"/>
          <w:lang w:val="en-US"/>
        </w:rPr>
        <w:t xml:space="preserve">often </w:t>
      </w:r>
      <w:r w:rsidR="00CB20AC" w:rsidRPr="00E017B0">
        <w:rPr>
          <w:rFonts w:ascii="Lato" w:hAnsi="Lato" w:cs="Calibri"/>
          <w:szCs w:val="24"/>
          <w:lang w:val="en-US"/>
        </w:rPr>
        <w:t xml:space="preserve">face challenges accessing </w:t>
      </w:r>
      <w:r w:rsidR="00CB20AC" w:rsidRPr="00E017B0">
        <w:rPr>
          <w:rFonts w:ascii="Lato" w:hAnsi="Lato" w:cs="Calibri"/>
          <w:b/>
          <w:bCs/>
          <w:szCs w:val="24"/>
          <w:lang w:val="en-US"/>
        </w:rPr>
        <w:t>justice mechanisms</w:t>
      </w:r>
      <w:r w:rsidR="00CB20AC" w:rsidRPr="00E017B0">
        <w:rPr>
          <w:rFonts w:ascii="Lato" w:hAnsi="Lato" w:cs="Calibri"/>
          <w:szCs w:val="24"/>
          <w:lang w:val="en-US"/>
        </w:rPr>
        <w:t xml:space="preserve"> </w:t>
      </w:r>
      <w:r w:rsidR="00CA008A" w:rsidRPr="00E017B0">
        <w:rPr>
          <w:rFonts w:ascii="Lato" w:hAnsi="Lato" w:cs="Calibri"/>
          <w:szCs w:val="24"/>
          <w:lang w:val="en-US"/>
        </w:rPr>
        <w:t>on an equal basis with others for reasons such as</w:t>
      </w:r>
      <w:r w:rsidR="00CB20AC" w:rsidRPr="00E017B0">
        <w:rPr>
          <w:rFonts w:ascii="Lato" w:hAnsi="Lato" w:cs="Calibri"/>
          <w:szCs w:val="24"/>
          <w:lang w:val="en-US"/>
        </w:rPr>
        <w:t xml:space="preserve"> </w:t>
      </w:r>
      <w:r w:rsidR="00CA008A" w:rsidRPr="00E017B0">
        <w:rPr>
          <w:rFonts w:ascii="Lato" w:hAnsi="Lato" w:cs="Calibri"/>
          <w:szCs w:val="24"/>
          <w:lang w:val="en-US"/>
        </w:rPr>
        <w:t xml:space="preserve">lack of awareness of their rights, </w:t>
      </w:r>
      <w:r w:rsidR="00CB20AC" w:rsidRPr="00E017B0">
        <w:rPr>
          <w:rFonts w:ascii="Lato" w:hAnsi="Lato" w:cs="Calibri"/>
          <w:szCs w:val="24"/>
          <w:lang w:val="en-US"/>
        </w:rPr>
        <w:t xml:space="preserve">financial barriers, </w:t>
      </w:r>
      <w:r w:rsidR="008C38A3" w:rsidRPr="00E017B0">
        <w:rPr>
          <w:rFonts w:ascii="Lato" w:hAnsi="Lato" w:cs="Calibri"/>
          <w:szCs w:val="24"/>
          <w:lang w:val="en-US"/>
        </w:rPr>
        <w:t>inaccessibility</w:t>
      </w:r>
      <w:r w:rsidR="00CA008A" w:rsidRPr="00E017B0">
        <w:rPr>
          <w:rFonts w:ascii="Lato" w:hAnsi="Lato" w:cs="Calibri"/>
          <w:szCs w:val="24"/>
          <w:lang w:val="en-US"/>
        </w:rPr>
        <w:t xml:space="preserve">, </w:t>
      </w:r>
      <w:r w:rsidR="00CB20AC" w:rsidRPr="00E017B0">
        <w:rPr>
          <w:rFonts w:ascii="Lato" w:hAnsi="Lato" w:cs="Calibri"/>
          <w:szCs w:val="24"/>
          <w:lang w:val="en-US"/>
        </w:rPr>
        <w:t>low self-confidence as well as bias and negative social attitudes</w:t>
      </w:r>
      <w:r w:rsidR="00946184" w:rsidRPr="00E017B0">
        <w:rPr>
          <w:rStyle w:val="FootnoteReference"/>
          <w:rFonts w:ascii="Lato" w:hAnsi="Lato" w:cs="Calibri"/>
          <w:szCs w:val="24"/>
          <w:lang w:val="en-US"/>
        </w:rPr>
        <w:footnoteReference w:id="14"/>
      </w:r>
      <w:r w:rsidR="00CB20AC" w:rsidRPr="00E017B0">
        <w:rPr>
          <w:rFonts w:ascii="Lato" w:hAnsi="Lato" w:cs="Calibri"/>
          <w:szCs w:val="24"/>
          <w:lang w:val="en-US"/>
        </w:rPr>
        <w:t xml:space="preserve">. </w:t>
      </w:r>
      <w:r w:rsidR="00A60F2D" w:rsidRPr="00E017B0">
        <w:rPr>
          <w:rFonts w:ascii="Lato" w:hAnsi="Lato" w:cs="Arial"/>
          <w:color w:val="1C1D1E"/>
          <w:szCs w:val="24"/>
          <w:shd w:val="clear" w:color="auto" w:fill="FFFFFF"/>
        </w:rPr>
        <w:t>People with disabilities</w:t>
      </w:r>
      <w:r w:rsidR="00CB20AC" w:rsidRPr="00E017B0">
        <w:rPr>
          <w:rFonts w:ascii="Lato" w:hAnsi="Lato" w:cs="Arial"/>
          <w:color w:val="1C1D1E"/>
          <w:szCs w:val="24"/>
          <w:shd w:val="clear" w:color="auto" w:fill="FFFFFF"/>
        </w:rPr>
        <w:t xml:space="preserve"> should have access to </w:t>
      </w:r>
      <w:r w:rsidR="00CB20AC" w:rsidRPr="00E017B0">
        <w:rPr>
          <w:rFonts w:ascii="Lato" w:hAnsi="Lato" w:cs="Arial"/>
          <w:b/>
          <w:bCs/>
          <w:color w:val="1C1D1E"/>
          <w:szCs w:val="24"/>
          <w:shd w:val="clear" w:color="auto" w:fill="FFFFFF"/>
        </w:rPr>
        <w:t>legal aid</w:t>
      </w:r>
      <w:r w:rsidR="00CB20AC" w:rsidRPr="00E017B0">
        <w:rPr>
          <w:rFonts w:ascii="Lato" w:hAnsi="Lato" w:cs="Arial"/>
          <w:color w:val="1C1D1E"/>
          <w:szCs w:val="24"/>
          <w:shd w:val="clear" w:color="auto" w:fill="FFFFFF"/>
        </w:rPr>
        <w:t xml:space="preserve"> </w:t>
      </w:r>
      <w:r w:rsidR="00A60F2D" w:rsidRPr="00E017B0">
        <w:rPr>
          <w:rFonts w:ascii="Lato" w:hAnsi="Lato" w:cs="Arial"/>
          <w:color w:val="1C1D1E"/>
          <w:szCs w:val="24"/>
          <w:shd w:val="clear" w:color="auto" w:fill="FFFFFF"/>
        </w:rPr>
        <w:t xml:space="preserve">and other measures to enable them to </w:t>
      </w:r>
      <w:r w:rsidR="00CB20AC" w:rsidRPr="00E017B0">
        <w:rPr>
          <w:rFonts w:ascii="Lato" w:hAnsi="Lato" w:cs="Arial"/>
          <w:color w:val="1C1D1E"/>
          <w:szCs w:val="24"/>
          <w:shd w:val="clear" w:color="auto" w:fill="FFFFFF"/>
        </w:rPr>
        <w:t xml:space="preserve">challenge discrimination through </w:t>
      </w:r>
      <w:r w:rsidR="00CA008A" w:rsidRPr="00E017B0">
        <w:rPr>
          <w:rFonts w:ascii="Lato" w:hAnsi="Lato" w:cs="Arial"/>
          <w:color w:val="1C1D1E"/>
          <w:szCs w:val="24"/>
          <w:shd w:val="clear" w:color="auto" w:fill="FFFFFF"/>
        </w:rPr>
        <w:t xml:space="preserve">national human rights institutions or an equality body, as well as through judicial remedies such as </w:t>
      </w:r>
      <w:r w:rsidR="00CB20AC" w:rsidRPr="00E017B0">
        <w:rPr>
          <w:rFonts w:ascii="Lato" w:hAnsi="Lato" w:cs="Arial"/>
          <w:color w:val="1C1D1E"/>
          <w:szCs w:val="24"/>
          <w:shd w:val="clear" w:color="auto" w:fill="FFFFFF"/>
        </w:rPr>
        <w:t xml:space="preserve">employment </w:t>
      </w:r>
      <w:r w:rsidR="00543E44" w:rsidRPr="00E017B0">
        <w:rPr>
          <w:rFonts w:ascii="Lato" w:hAnsi="Lato" w:cs="Arial"/>
          <w:color w:val="1C1D1E"/>
          <w:szCs w:val="24"/>
          <w:shd w:val="clear" w:color="auto" w:fill="FFFFFF"/>
        </w:rPr>
        <w:t>tribunals</w:t>
      </w:r>
      <w:r w:rsidR="00CA008A" w:rsidRPr="00E017B0">
        <w:rPr>
          <w:rFonts w:ascii="Lato" w:hAnsi="Lato" w:cs="Arial"/>
          <w:color w:val="1C1D1E"/>
          <w:szCs w:val="24"/>
          <w:shd w:val="clear" w:color="auto" w:fill="FFFFFF"/>
        </w:rPr>
        <w:t xml:space="preserve"> and </w:t>
      </w:r>
      <w:r w:rsidR="00CB20AC" w:rsidRPr="00E017B0">
        <w:rPr>
          <w:rFonts w:ascii="Lato" w:hAnsi="Lato" w:cs="Arial"/>
          <w:color w:val="1C1D1E"/>
          <w:szCs w:val="24"/>
          <w:shd w:val="clear" w:color="auto" w:fill="FFFFFF"/>
        </w:rPr>
        <w:t xml:space="preserve">courts </w:t>
      </w:r>
      <w:r w:rsidR="00CA008A" w:rsidRPr="00E017B0">
        <w:rPr>
          <w:rFonts w:ascii="Lato" w:hAnsi="Lato" w:cs="Arial"/>
          <w:color w:val="1C1D1E"/>
          <w:szCs w:val="24"/>
          <w:shd w:val="clear" w:color="auto" w:fill="FFFFFF"/>
        </w:rPr>
        <w:t>when other institutions cannot impose sanctions and redress</w:t>
      </w:r>
      <w:r w:rsidR="00CA008A" w:rsidRPr="00E017B0">
        <w:rPr>
          <w:rStyle w:val="FootnoteReference"/>
          <w:rFonts w:ascii="Lato" w:hAnsi="Lato" w:cs="Arial"/>
          <w:color w:val="1C1D1E"/>
          <w:szCs w:val="24"/>
          <w:shd w:val="clear" w:color="auto" w:fill="FFFFFF"/>
        </w:rPr>
        <w:footnoteReference w:id="15"/>
      </w:r>
      <w:r w:rsidR="00CB20AC" w:rsidRPr="00E017B0">
        <w:rPr>
          <w:rFonts w:ascii="Lato" w:hAnsi="Lato" w:cs="Arial"/>
          <w:color w:val="1C1D1E"/>
          <w:szCs w:val="24"/>
          <w:shd w:val="clear" w:color="auto" w:fill="FFFFFF"/>
        </w:rPr>
        <w:t xml:space="preserve">. </w:t>
      </w:r>
      <w:r w:rsidR="00543E44" w:rsidRPr="00E017B0">
        <w:rPr>
          <w:rFonts w:ascii="Lato" w:hAnsi="Lato" w:cs="Calibri"/>
          <w:b/>
          <w:bCs/>
          <w:szCs w:val="24"/>
          <w:lang w:val="en-US"/>
        </w:rPr>
        <w:t>R</w:t>
      </w:r>
      <w:r w:rsidR="00DE3A5C" w:rsidRPr="00E017B0">
        <w:rPr>
          <w:rFonts w:ascii="Lato" w:hAnsi="Lato" w:cs="Calibri"/>
          <w:b/>
          <w:bCs/>
          <w:szCs w:val="24"/>
          <w:lang w:val="en-US"/>
        </w:rPr>
        <w:t>elevant sanctions</w:t>
      </w:r>
      <w:r w:rsidR="00DE3A5C" w:rsidRPr="00E017B0">
        <w:rPr>
          <w:rFonts w:ascii="Lato" w:hAnsi="Lato" w:cs="Calibri"/>
          <w:szCs w:val="24"/>
          <w:lang w:val="en-US"/>
        </w:rPr>
        <w:t xml:space="preserve"> in cases of discrimination</w:t>
      </w:r>
      <w:r w:rsidR="001E7250" w:rsidRPr="00E017B0">
        <w:rPr>
          <w:rFonts w:ascii="Lato" w:hAnsi="Lato" w:cs="Calibri"/>
          <w:szCs w:val="24"/>
          <w:lang w:val="en-US"/>
        </w:rPr>
        <w:t xml:space="preserve"> should be </w:t>
      </w:r>
      <w:r w:rsidR="00F46F11" w:rsidRPr="00E017B0">
        <w:rPr>
          <w:rFonts w:ascii="Lato" w:hAnsi="Lato" w:cs="Calibri"/>
          <w:szCs w:val="24"/>
          <w:lang w:val="en-US"/>
        </w:rPr>
        <w:t>applied</w:t>
      </w:r>
      <w:r w:rsidR="00CA008A" w:rsidRPr="00E017B0">
        <w:rPr>
          <w:rFonts w:ascii="Lato" w:hAnsi="Lato" w:cs="Calibri"/>
          <w:szCs w:val="24"/>
          <w:lang w:val="en-US"/>
        </w:rPr>
        <w:t xml:space="preserve"> </w:t>
      </w:r>
      <w:r w:rsidR="00DE3A5C" w:rsidRPr="00E017B0">
        <w:rPr>
          <w:rFonts w:ascii="Lato" w:hAnsi="Lato" w:cs="Calibri"/>
          <w:szCs w:val="24"/>
          <w:lang w:val="en-US"/>
        </w:rPr>
        <w:t xml:space="preserve">to prevent and discourage such practices in the workplace. </w:t>
      </w:r>
    </w:p>
    <w:p w14:paraId="79F73205" w14:textId="77777777" w:rsidR="00E017B0" w:rsidRPr="00E017B0" w:rsidRDefault="00E017B0" w:rsidP="00E017B0">
      <w:pPr>
        <w:pStyle w:val="ListParagraph"/>
        <w:jc w:val="both"/>
        <w:rPr>
          <w:lang w:val="en-US"/>
        </w:rPr>
      </w:pPr>
    </w:p>
    <w:p w14:paraId="58618162" w14:textId="1519B300" w:rsidR="0061619E" w:rsidRPr="00E017B0" w:rsidRDefault="0061619E" w:rsidP="00E017B0">
      <w:pPr>
        <w:pStyle w:val="Heading1"/>
        <w:spacing w:after="160"/>
        <w:rPr>
          <w:rFonts w:ascii="Lato" w:hAnsi="Lato"/>
          <w:sz w:val="28"/>
          <w:lang w:val="en-US"/>
        </w:rPr>
      </w:pPr>
      <w:r w:rsidRPr="00E017B0">
        <w:rPr>
          <w:rFonts w:ascii="Lato" w:hAnsi="Lato"/>
          <w:sz w:val="28"/>
          <w:lang w:val="en-US"/>
        </w:rPr>
        <w:t>Art 27.1.b Equal opportunities and equal remuneration for work of equal value</w:t>
      </w:r>
    </w:p>
    <w:p w14:paraId="6EA12F0D" w14:textId="4FBDA03D" w:rsidR="001E7250" w:rsidRPr="00E017B0" w:rsidRDefault="00B3447E" w:rsidP="00E017B0">
      <w:pPr>
        <w:rPr>
          <w:rFonts w:ascii="Lato" w:hAnsi="Lato" w:cs="Arial"/>
        </w:rPr>
      </w:pPr>
      <w:r w:rsidRPr="00E017B0">
        <w:rPr>
          <w:rFonts w:ascii="Lato" w:hAnsi="Lato"/>
          <w:szCs w:val="24"/>
        </w:rPr>
        <w:t xml:space="preserve">Persons with disabilities experience </w:t>
      </w:r>
      <w:r w:rsidR="00A80C1C" w:rsidRPr="00E017B0">
        <w:rPr>
          <w:rFonts w:ascii="Lato" w:hAnsi="Lato"/>
          <w:szCs w:val="24"/>
        </w:rPr>
        <w:t>lower employment rates and salaries than their peers</w:t>
      </w:r>
      <w:r w:rsidR="00CC3360" w:rsidRPr="00E017B0">
        <w:rPr>
          <w:rStyle w:val="FootnoteReference"/>
          <w:rFonts w:ascii="Lato" w:hAnsi="Lato"/>
          <w:szCs w:val="24"/>
        </w:rPr>
        <w:footnoteReference w:id="16"/>
      </w:r>
      <w:r w:rsidR="00A80C1C" w:rsidRPr="00E017B0">
        <w:rPr>
          <w:rFonts w:ascii="Lato" w:hAnsi="Lato"/>
          <w:szCs w:val="24"/>
        </w:rPr>
        <w:t xml:space="preserve">. </w:t>
      </w:r>
      <w:r w:rsidR="00234CB3" w:rsidRPr="00E017B0">
        <w:rPr>
          <w:rFonts w:ascii="Lato" w:hAnsi="Lato"/>
          <w:szCs w:val="24"/>
        </w:rPr>
        <w:t xml:space="preserve">They also face underemployment since persons with disabilities are sometimes discouraged from even looking for work and therefore not </w:t>
      </w:r>
      <w:r w:rsidR="00234CB3" w:rsidRPr="00E017B0">
        <w:rPr>
          <w:rFonts w:ascii="Lato" w:hAnsi="Lato"/>
          <w:szCs w:val="24"/>
        </w:rPr>
        <w:lastRenderedPageBreak/>
        <w:t xml:space="preserve">counted as part of the labour force. </w:t>
      </w:r>
      <w:r w:rsidR="00F52AF1" w:rsidRPr="00E017B0">
        <w:rPr>
          <w:rFonts w:ascii="Lato" w:hAnsi="Lato"/>
          <w:szCs w:val="24"/>
        </w:rPr>
        <w:t>Many people with disabilities work in the informal sector, which increases the likelihood of being paid below minimum wage and not being covered by social security schemes.</w:t>
      </w:r>
      <w:r w:rsidR="00F52AF1" w:rsidRPr="00E017B0">
        <w:rPr>
          <w:rFonts w:ascii="Lato" w:hAnsi="Lato" w:cs="Arial"/>
        </w:rPr>
        <w:t xml:space="preserve"> The Committee should </w:t>
      </w:r>
      <w:r w:rsidR="00F52AF1" w:rsidRPr="00E017B0">
        <w:rPr>
          <w:rFonts w:ascii="Lato" w:hAnsi="Lato" w:cs="Arial"/>
          <w:b/>
          <w:bCs/>
        </w:rPr>
        <w:t>make links to Article 6 as t</w:t>
      </w:r>
      <w:r w:rsidR="00F52AF1" w:rsidRPr="00E017B0">
        <w:rPr>
          <w:rFonts w:ascii="Lato" w:hAnsi="Lato"/>
          <w:b/>
          <w:bCs/>
          <w:szCs w:val="24"/>
        </w:rPr>
        <w:t>his is particularly challenging for women with disabilities, who face overlapping barriers including customs and traditions which may discourage them from seeking employment or being paid equal pay for work of equal value</w:t>
      </w:r>
      <w:r w:rsidR="00F52AF1" w:rsidRPr="00E017B0">
        <w:rPr>
          <w:rStyle w:val="FootnoteReference"/>
          <w:rFonts w:ascii="Lato" w:hAnsi="Lato"/>
          <w:b/>
          <w:bCs/>
          <w:szCs w:val="24"/>
        </w:rPr>
        <w:footnoteReference w:id="17"/>
      </w:r>
      <w:r w:rsidR="00F52AF1" w:rsidRPr="00E017B0">
        <w:rPr>
          <w:rFonts w:ascii="Lato" w:hAnsi="Lato"/>
          <w:szCs w:val="24"/>
        </w:rPr>
        <w:t xml:space="preserve">. </w:t>
      </w:r>
      <w:r w:rsidR="001E7250" w:rsidRPr="00E017B0">
        <w:rPr>
          <w:rFonts w:ascii="Lato" w:hAnsi="Lato" w:cs="Arial"/>
        </w:rPr>
        <w:t xml:space="preserve">On the issue of equal remuneration, the Committee should go beyond calling on “States parties to ensure that persons with disabilities are paid no less than the minimum wage” to recommend they </w:t>
      </w:r>
      <w:r w:rsidR="00465B53" w:rsidRPr="00E017B0">
        <w:rPr>
          <w:rFonts w:ascii="Lato" w:hAnsi="Lato" w:cs="Arial"/>
        </w:rPr>
        <w:t xml:space="preserve">should be paid the same wage as anyone without a disability for the same work. </w:t>
      </w:r>
      <w:r w:rsidR="001E7250" w:rsidRPr="00E017B0">
        <w:rPr>
          <w:rFonts w:ascii="Lato" w:hAnsi="Lato" w:cs="Arial"/>
        </w:rPr>
        <w:t xml:space="preserve"> </w:t>
      </w:r>
    </w:p>
    <w:p w14:paraId="43D452A1" w14:textId="391ED5B0" w:rsidR="00402E55" w:rsidRPr="00E017B0" w:rsidRDefault="008C38A3" w:rsidP="00E017B0">
      <w:pPr>
        <w:rPr>
          <w:rFonts w:ascii="Lato" w:hAnsi="Lato"/>
          <w:szCs w:val="24"/>
          <w:lang w:val="en-US"/>
        </w:rPr>
      </w:pPr>
      <w:r w:rsidRPr="00E017B0">
        <w:rPr>
          <w:rFonts w:ascii="Lato" w:hAnsi="Lato"/>
          <w:szCs w:val="24"/>
        </w:rPr>
        <w:t>The</w:t>
      </w:r>
      <w:r w:rsidR="00A80C1C" w:rsidRPr="00E017B0">
        <w:rPr>
          <w:rFonts w:ascii="Lato" w:hAnsi="Lato"/>
          <w:szCs w:val="24"/>
        </w:rPr>
        <w:t xml:space="preserve"> General Comment should </w:t>
      </w:r>
      <w:r w:rsidR="00465B53" w:rsidRPr="00E017B0">
        <w:rPr>
          <w:rFonts w:ascii="Lato" w:hAnsi="Lato"/>
          <w:szCs w:val="24"/>
        </w:rPr>
        <w:t xml:space="preserve">also </w:t>
      </w:r>
      <w:r w:rsidR="00A80C1C" w:rsidRPr="00E017B0">
        <w:rPr>
          <w:rFonts w:ascii="Lato" w:hAnsi="Lato"/>
          <w:b/>
          <w:bCs/>
          <w:szCs w:val="24"/>
        </w:rPr>
        <w:t>look at broader circumstances which may support or hinder access to the labour market for persons with disabilities</w:t>
      </w:r>
      <w:r w:rsidR="00A80C1C" w:rsidRPr="00E017B0">
        <w:rPr>
          <w:rFonts w:ascii="Lato" w:hAnsi="Lato"/>
          <w:szCs w:val="24"/>
        </w:rPr>
        <w:t>.</w:t>
      </w:r>
      <w:r w:rsidR="00465B53" w:rsidRPr="00E017B0">
        <w:rPr>
          <w:rFonts w:ascii="Lato" w:hAnsi="Lato"/>
          <w:szCs w:val="24"/>
        </w:rPr>
        <w:t xml:space="preserve"> </w:t>
      </w:r>
      <w:r w:rsidR="0041548D" w:rsidRPr="00E017B0">
        <w:rPr>
          <w:rFonts w:ascii="Lato" w:hAnsi="Lato"/>
          <w:szCs w:val="24"/>
          <w:lang w:val="en-US"/>
        </w:rPr>
        <w:t xml:space="preserve">In this regard, </w:t>
      </w:r>
      <w:r w:rsidR="00D001A2" w:rsidRPr="00E017B0">
        <w:rPr>
          <w:rFonts w:ascii="Lato" w:hAnsi="Lato"/>
          <w:szCs w:val="24"/>
          <w:lang w:val="en-US"/>
        </w:rPr>
        <w:t xml:space="preserve">social protection systems, whether mainstream schemes or targeted at persons with disabilities, can play a key role in enabling persons with disabilities to access and retain employment. We welcome the recognition of the importance of </w:t>
      </w:r>
      <w:r w:rsidR="0041548D" w:rsidRPr="00E017B0">
        <w:rPr>
          <w:rFonts w:ascii="Lato" w:hAnsi="Lato"/>
          <w:szCs w:val="24"/>
          <w:lang w:val="en-US"/>
        </w:rPr>
        <w:t>not losing disability allowances when in work</w:t>
      </w:r>
      <w:r w:rsidR="00D001A2" w:rsidRPr="00E017B0">
        <w:rPr>
          <w:rFonts w:ascii="Lato" w:hAnsi="Lato"/>
          <w:szCs w:val="24"/>
          <w:lang w:val="en-US"/>
        </w:rPr>
        <w:t xml:space="preserve">, but this point could be </w:t>
      </w:r>
      <w:r w:rsidR="0041548D" w:rsidRPr="00E017B0">
        <w:rPr>
          <w:rFonts w:ascii="Lato" w:hAnsi="Lato"/>
          <w:szCs w:val="24"/>
          <w:lang w:val="en-US"/>
        </w:rPr>
        <w:t xml:space="preserve">broadened to </w:t>
      </w:r>
      <w:r w:rsidR="0041548D" w:rsidRPr="00E017B0">
        <w:rPr>
          <w:rFonts w:ascii="Lato" w:hAnsi="Lato"/>
          <w:b/>
          <w:bCs/>
          <w:szCs w:val="24"/>
          <w:lang w:val="en-US"/>
        </w:rPr>
        <w:t>c</w:t>
      </w:r>
      <w:r w:rsidR="00D001A2" w:rsidRPr="00E017B0">
        <w:rPr>
          <w:rFonts w:ascii="Lato" w:hAnsi="Lato"/>
          <w:b/>
          <w:bCs/>
          <w:szCs w:val="24"/>
          <w:lang w:val="en-US"/>
        </w:rPr>
        <w:t>reate stronger links to Article 28 and c</w:t>
      </w:r>
      <w:r w:rsidR="0041548D" w:rsidRPr="00E017B0">
        <w:rPr>
          <w:rFonts w:ascii="Lato" w:hAnsi="Lato"/>
          <w:b/>
          <w:bCs/>
          <w:szCs w:val="24"/>
          <w:lang w:val="en-US"/>
        </w:rPr>
        <w:t>onsider the wider implications and importance of comprehensive disability social protection systems</w:t>
      </w:r>
      <w:r w:rsidR="0041548D" w:rsidRPr="00E017B0">
        <w:rPr>
          <w:rFonts w:ascii="Lato" w:hAnsi="Lato"/>
          <w:szCs w:val="24"/>
          <w:lang w:val="en-US"/>
        </w:rPr>
        <w:t xml:space="preserve">. </w:t>
      </w:r>
      <w:bookmarkStart w:id="1" w:name="_Hlk65084213"/>
    </w:p>
    <w:p w14:paraId="560AC801" w14:textId="49978342" w:rsidR="00C72EFC" w:rsidRPr="00E017B0" w:rsidRDefault="0041548D" w:rsidP="00E017B0">
      <w:pPr>
        <w:pStyle w:val="xmsonormal"/>
        <w:spacing w:after="160" w:line="276" w:lineRule="auto"/>
        <w:rPr>
          <w:rFonts w:ascii="Lato" w:hAnsi="Lato"/>
          <w:sz w:val="24"/>
          <w:szCs w:val="24"/>
          <w:lang w:val="en-US"/>
        </w:rPr>
      </w:pPr>
      <w:r w:rsidRPr="00E017B0">
        <w:rPr>
          <w:rFonts w:ascii="Lato" w:hAnsi="Lato"/>
          <w:sz w:val="24"/>
          <w:szCs w:val="24"/>
          <w:lang w:val="en-US"/>
        </w:rPr>
        <w:t>Persons with disabilities and their families face significant barriers guaranteeing income security, as well as extra costs to access the essential services they need</w:t>
      </w:r>
      <w:r w:rsidR="0000738D" w:rsidRPr="00E017B0">
        <w:rPr>
          <w:rFonts w:ascii="Lato" w:hAnsi="Lato"/>
          <w:sz w:val="24"/>
          <w:szCs w:val="24"/>
          <w:lang w:val="en-US"/>
        </w:rPr>
        <w:t xml:space="preserve">, </w:t>
      </w:r>
      <w:r w:rsidR="0000738D" w:rsidRPr="00E017B0">
        <w:rPr>
          <w:rFonts w:ascii="Lato" w:hAnsi="Lato"/>
          <w:sz w:val="24"/>
          <w:szCs w:val="24"/>
          <w:lang w:val="en-US"/>
        </w:rPr>
        <w:lastRenderedPageBreak/>
        <w:t>such as expenses for assistive devices and greater costs for general services such as medical care and transportation</w:t>
      </w:r>
      <w:r w:rsidR="00347A96" w:rsidRPr="00E017B0">
        <w:rPr>
          <w:rFonts w:ascii="Lato" w:hAnsi="Lato"/>
          <w:sz w:val="24"/>
          <w:szCs w:val="24"/>
          <w:lang w:val="en-US"/>
        </w:rPr>
        <w:t>.</w:t>
      </w:r>
      <w:r w:rsidR="0000738D" w:rsidRPr="00E017B0">
        <w:rPr>
          <w:rFonts w:ascii="Lato" w:hAnsi="Lato"/>
          <w:sz w:val="24"/>
          <w:szCs w:val="24"/>
          <w:lang w:val="en-US"/>
        </w:rPr>
        <w:t xml:space="preserve"> Recent estimates suggest those costs can amount to </w:t>
      </w:r>
      <w:r w:rsidR="00A81180" w:rsidRPr="00E017B0">
        <w:rPr>
          <w:rFonts w:ascii="Lato" w:hAnsi="Lato"/>
          <w:sz w:val="24"/>
          <w:szCs w:val="24"/>
          <w:lang w:val="en-US"/>
        </w:rPr>
        <w:t>5</w:t>
      </w:r>
      <w:r w:rsidR="0000738D" w:rsidRPr="00E017B0">
        <w:rPr>
          <w:rFonts w:ascii="Lato" w:hAnsi="Lato"/>
          <w:sz w:val="24"/>
          <w:szCs w:val="24"/>
          <w:lang w:val="en-US"/>
        </w:rPr>
        <w:t>0 per cent of a country’s average wages</w:t>
      </w:r>
      <w:r w:rsidR="00901B1A" w:rsidRPr="00E017B0">
        <w:rPr>
          <w:rStyle w:val="FootnoteReference"/>
          <w:rFonts w:ascii="Lato" w:hAnsi="Lato"/>
          <w:sz w:val="24"/>
          <w:szCs w:val="24"/>
          <w:lang w:val="en-US"/>
        </w:rPr>
        <w:footnoteReference w:id="18"/>
      </w:r>
      <w:r w:rsidR="0000738D" w:rsidRPr="00E017B0">
        <w:rPr>
          <w:rFonts w:ascii="Lato" w:hAnsi="Lato"/>
          <w:sz w:val="24"/>
          <w:szCs w:val="24"/>
          <w:lang w:val="en-US"/>
        </w:rPr>
        <w:t xml:space="preserve">. </w:t>
      </w:r>
      <w:r w:rsidR="00347A96" w:rsidRPr="00E017B0">
        <w:rPr>
          <w:rFonts w:ascii="Lato" w:hAnsi="Lato"/>
          <w:sz w:val="24"/>
          <w:szCs w:val="24"/>
          <w:lang w:val="en-US"/>
        </w:rPr>
        <w:t xml:space="preserve"> </w:t>
      </w:r>
      <w:bookmarkEnd w:id="1"/>
      <w:r w:rsidR="004568DD" w:rsidRPr="00E017B0">
        <w:rPr>
          <w:rFonts w:ascii="Lato" w:hAnsi="Lato"/>
          <w:sz w:val="24"/>
          <w:szCs w:val="24"/>
          <w:lang w:val="en-US"/>
        </w:rPr>
        <w:t xml:space="preserve">Many persons with disabilities will face higher costs if they enter the labour market than if they are unemployed. </w:t>
      </w:r>
      <w:r w:rsidR="00347A96" w:rsidRPr="00E017B0">
        <w:rPr>
          <w:rFonts w:ascii="Lato" w:hAnsi="Lato"/>
          <w:sz w:val="24"/>
          <w:szCs w:val="24"/>
          <w:lang w:val="en-US"/>
        </w:rPr>
        <w:t xml:space="preserve">By providing </w:t>
      </w:r>
      <w:r w:rsidR="002B6733" w:rsidRPr="00E017B0">
        <w:rPr>
          <w:rFonts w:ascii="Lato" w:hAnsi="Lato"/>
          <w:sz w:val="24"/>
          <w:szCs w:val="24"/>
          <w:lang w:val="en-US"/>
        </w:rPr>
        <w:t>persons with disabilities</w:t>
      </w:r>
      <w:r w:rsidR="00347A96" w:rsidRPr="00E017B0">
        <w:rPr>
          <w:rFonts w:ascii="Lato" w:hAnsi="Lato"/>
          <w:sz w:val="24"/>
          <w:szCs w:val="24"/>
          <w:lang w:val="en-US"/>
        </w:rPr>
        <w:t xml:space="preserve"> with income security and ensuring their disability-related needs and extra costs are met, social protection systems can encourage the active participation of </w:t>
      </w:r>
      <w:r w:rsidR="002B6733" w:rsidRPr="00E017B0">
        <w:rPr>
          <w:rFonts w:ascii="Lato" w:hAnsi="Lato"/>
          <w:sz w:val="24"/>
          <w:szCs w:val="24"/>
          <w:lang w:val="en-US"/>
        </w:rPr>
        <w:t>persons</w:t>
      </w:r>
      <w:r w:rsidR="00347A96" w:rsidRPr="00E017B0">
        <w:rPr>
          <w:rFonts w:ascii="Lato" w:hAnsi="Lato"/>
          <w:sz w:val="24"/>
          <w:szCs w:val="24"/>
          <w:lang w:val="en-US"/>
        </w:rPr>
        <w:t xml:space="preserve"> with disabilities in the labour market and </w:t>
      </w:r>
      <w:r w:rsidR="00A81180" w:rsidRPr="00E017B0">
        <w:rPr>
          <w:rFonts w:ascii="Lato" w:hAnsi="Lato"/>
          <w:sz w:val="24"/>
          <w:szCs w:val="24"/>
          <w:lang w:val="en-US"/>
        </w:rPr>
        <w:t xml:space="preserve">as productive members of </w:t>
      </w:r>
      <w:r w:rsidR="00347A96" w:rsidRPr="00E017B0">
        <w:rPr>
          <w:rFonts w:ascii="Lato" w:hAnsi="Lato"/>
          <w:sz w:val="24"/>
          <w:szCs w:val="24"/>
          <w:lang w:val="en-US"/>
        </w:rPr>
        <w:t xml:space="preserve">society. </w:t>
      </w:r>
      <w:r w:rsidR="00A81180" w:rsidRPr="00E017B0">
        <w:rPr>
          <w:rFonts w:ascii="Lato" w:hAnsi="Lato"/>
          <w:sz w:val="24"/>
          <w:szCs w:val="24"/>
          <w:lang w:val="en-US"/>
        </w:rPr>
        <w:t>Social protection can also play an important role by increasing resilience in case of unemployment or sickness, as well as in reducing vulnerabil</w:t>
      </w:r>
      <w:r w:rsidR="00347A96" w:rsidRPr="00E017B0">
        <w:rPr>
          <w:rFonts w:ascii="Lato" w:hAnsi="Lato"/>
          <w:sz w:val="24"/>
          <w:szCs w:val="24"/>
          <w:lang w:val="en-US"/>
        </w:rPr>
        <w:t xml:space="preserve">ity to shocks </w:t>
      </w:r>
      <w:r w:rsidR="00A81180" w:rsidRPr="00E017B0">
        <w:rPr>
          <w:rFonts w:ascii="Lato" w:hAnsi="Lato"/>
          <w:sz w:val="24"/>
          <w:szCs w:val="24"/>
          <w:lang w:val="en-US"/>
        </w:rPr>
        <w:t xml:space="preserve">such as climate disasters or a pandemic like </w:t>
      </w:r>
      <w:r w:rsidR="00347A96" w:rsidRPr="00E017B0">
        <w:rPr>
          <w:rFonts w:ascii="Lato" w:hAnsi="Lato"/>
          <w:sz w:val="24"/>
          <w:szCs w:val="24"/>
          <w:lang w:val="en-US"/>
        </w:rPr>
        <w:t>COVID.</w:t>
      </w:r>
    </w:p>
    <w:p w14:paraId="6A868F6B" w14:textId="57849285" w:rsidR="003A396B" w:rsidRPr="00E017B0" w:rsidRDefault="00C72EFC" w:rsidP="00E017B0">
      <w:pPr>
        <w:pStyle w:val="xmsonormal"/>
        <w:spacing w:after="160" w:line="276" w:lineRule="auto"/>
        <w:rPr>
          <w:rFonts w:ascii="Lato" w:hAnsi="Lato"/>
          <w:sz w:val="24"/>
          <w:szCs w:val="24"/>
          <w:lang w:val="en-US"/>
        </w:rPr>
      </w:pPr>
      <w:r w:rsidRPr="00E017B0">
        <w:rPr>
          <w:rFonts w:ascii="Lato" w:hAnsi="Lato"/>
          <w:sz w:val="24"/>
          <w:szCs w:val="24"/>
          <w:lang w:val="en-US"/>
        </w:rPr>
        <w:t xml:space="preserve">As flagged by </w:t>
      </w:r>
      <w:r w:rsidR="00CC3360" w:rsidRPr="00E017B0">
        <w:rPr>
          <w:rFonts w:ascii="Lato" w:hAnsi="Lato"/>
          <w:sz w:val="24"/>
          <w:szCs w:val="24"/>
          <w:lang w:val="en-US"/>
        </w:rPr>
        <w:t xml:space="preserve">Special Rapporteur on the </w:t>
      </w:r>
      <w:r w:rsidR="00F52AF1" w:rsidRPr="00E017B0">
        <w:rPr>
          <w:rFonts w:ascii="Lato" w:hAnsi="Lato"/>
          <w:sz w:val="24"/>
          <w:szCs w:val="24"/>
          <w:lang w:val="en-US"/>
        </w:rPr>
        <w:t>R</w:t>
      </w:r>
      <w:r w:rsidR="00CC3360" w:rsidRPr="00E017B0">
        <w:rPr>
          <w:rFonts w:ascii="Lato" w:hAnsi="Lato"/>
          <w:sz w:val="24"/>
          <w:szCs w:val="24"/>
          <w:lang w:val="en-US"/>
        </w:rPr>
        <w:t xml:space="preserve">ights of </w:t>
      </w:r>
      <w:r w:rsidR="00F52AF1" w:rsidRPr="00E017B0">
        <w:rPr>
          <w:rFonts w:ascii="Lato" w:hAnsi="Lato"/>
          <w:sz w:val="24"/>
          <w:szCs w:val="24"/>
          <w:lang w:val="en-US"/>
        </w:rPr>
        <w:t>P</w:t>
      </w:r>
      <w:r w:rsidR="00CC3360" w:rsidRPr="00E017B0">
        <w:rPr>
          <w:rFonts w:ascii="Lato" w:hAnsi="Lato"/>
          <w:sz w:val="24"/>
          <w:szCs w:val="24"/>
          <w:lang w:val="en-US"/>
        </w:rPr>
        <w:t xml:space="preserve">ersons with </w:t>
      </w:r>
      <w:r w:rsidR="00F52AF1" w:rsidRPr="00E017B0">
        <w:rPr>
          <w:rFonts w:ascii="Lato" w:hAnsi="Lato"/>
          <w:sz w:val="24"/>
          <w:szCs w:val="24"/>
          <w:lang w:val="en-US"/>
        </w:rPr>
        <w:t>D</w:t>
      </w:r>
      <w:r w:rsidR="00CC3360" w:rsidRPr="00E017B0">
        <w:rPr>
          <w:rFonts w:ascii="Lato" w:hAnsi="Lato"/>
          <w:sz w:val="24"/>
          <w:szCs w:val="24"/>
          <w:lang w:val="en-US"/>
        </w:rPr>
        <w:t>isabilities</w:t>
      </w:r>
      <w:r w:rsidRPr="00E017B0">
        <w:rPr>
          <w:rFonts w:ascii="Lato" w:hAnsi="Lato"/>
          <w:sz w:val="24"/>
          <w:szCs w:val="24"/>
          <w:lang w:val="en-US"/>
        </w:rPr>
        <w:t>, well-designed social protecti</w:t>
      </w:r>
      <w:r w:rsidR="00A81180" w:rsidRPr="00E017B0">
        <w:rPr>
          <w:rFonts w:ascii="Lato" w:hAnsi="Lato"/>
          <w:sz w:val="24"/>
          <w:szCs w:val="24"/>
          <w:lang w:val="en-US"/>
        </w:rPr>
        <w:t>o</w:t>
      </w:r>
      <w:r w:rsidRPr="00E017B0">
        <w:rPr>
          <w:rFonts w:ascii="Lato" w:hAnsi="Lato"/>
          <w:sz w:val="24"/>
          <w:szCs w:val="24"/>
          <w:lang w:val="en-US"/>
        </w:rPr>
        <w:t>n schemes can help remove barriers that impede access to employment and enhance productivity, employability and economic development of persons with disabilities</w:t>
      </w:r>
      <w:r w:rsidR="00B91F5E" w:rsidRPr="00E017B0">
        <w:rPr>
          <w:rStyle w:val="FootnoteReference"/>
          <w:rFonts w:ascii="Lato" w:hAnsi="Lato"/>
          <w:sz w:val="24"/>
          <w:szCs w:val="24"/>
          <w:lang w:val="en-US"/>
        </w:rPr>
        <w:footnoteReference w:id="19"/>
      </w:r>
      <w:r w:rsidRPr="00E017B0">
        <w:rPr>
          <w:rFonts w:ascii="Lato" w:hAnsi="Lato"/>
          <w:sz w:val="24"/>
          <w:szCs w:val="24"/>
          <w:lang w:val="en-US"/>
        </w:rPr>
        <w:t xml:space="preserve">. </w:t>
      </w:r>
      <w:r w:rsidR="00423F76" w:rsidRPr="00E017B0">
        <w:rPr>
          <w:rFonts w:ascii="Lato" w:hAnsi="Lato"/>
          <w:sz w:val="24"/>
          <w:szCs w:val="24"/>
          <w:lang w:val="en-US"/>
        </w:rPr>
        <w:t>The General Comment should</w:t>
      </w:r>
      <w:r w:rsidR="00423F76" w:rsidRPr="00E017B0">
        <w:rPr>
          <w:rFonts w:ascii="Lato" w:hAnsi="Lato"/>
          <w:b/>
          <w:bCs/>
          <w:sz w:val="24"/>
          <w:szCs w:val="24"/>
          <w:lang w:val="en-US"/>
        </w:rPr>
        <w:t xml:space="preserve"> make it clear that </w:t>
      </w:r>
      <w:r w:rsidR="00431A42" w:rsidRPr="00E017B0">
        <w:rPr>
          <w:rFonts w:ascii="Lato" w:hAnsi="Lato"/>
          <w:b/>
          <w:bCs/>
          <w:sz w:val="24"/>
          <w:szCs w:val="24"/>
          <w:lang w:val="en-US"/>
        </w:rPr>
        <w:t>States should not tie the eligibility of disability</w:t>
      </w:r>
      <w:r w:rsidR="00A80C1C" w:rsidRPr="00E017B0">
        <w:rPr>
          <w:rFonts w:ascii="Lato" w:hAnsi="Lato"/>
          <w:b/>
          <w:bCs/>
          <w:sz w:val="24"/>
          <w:szCs w:val="24"/>
          <w:lang w:val="en-US"/>
        </w:rPr>
        <w:t xml:space="preserve"> benefits</w:t>
      </w:r>
      <w:r w:rsidRPr="00E017B0">
        <w:rPr>
          <w:rFonts w:ascii="Lato" w:hAnsi="Lato"/>
          <w:b/>
          <w:bCs/>
          <w:sz w:val="24"/>
          <w:szCs w:val="24"/>
          <w:lang w:val="en-US"/>
        </w:rPr>
        <w:t xml:space="preserve"> to the inability to work</w:t>
      </w:r>
      <w:r w:rsidRPr="00E017B0">
        <w:rPr>
          <w:rFonts w:ascii="Lato" w:hAnsi="Lato"/>
          <w:sz w:val="24"/>
          <w:szCs w:val="24"/>
          <w:lang w:val="en-US"/>
        </w:rPr>
        <w:t>, which contributes to underemployment</w:t>
      </w:r>
      <w:r w:rsidR="00A80C1C" w:rsidRPr="00E017B0">
        <w:rPr>
          <w:rFonts w:ascii="Lato" w:hAnsi="Lato"/>
          <w:sz w:val="24"/>
          <w:szCs w:val="24"/>
          <w:lang w:val="en-US"/>
        </w:rPr>
        <w:t xml:space="preserve">, </w:t>
      </w:r>
      <w:r w:rsidR="00431A42" w:rsidRPr="00E017B0">
        <w:rPr>
          <w:rFonts w:ascii="Lato" w:hAnsi="Lato"/>
          <w:sz w:val="24"/>
          <w:szCs w:val="24"/>
          <w:lang w:val="en-US"/>
        </w:rPr>
        <w:t xml:space="preserve">reinforces stereotypes and </w:t>
      </w:r>
      <w:r w:rsidRPr="00E017B0">
        <w:rPr>
          <w:rFonts w:ascii="Lato" w:hAnsi="Lato"/>
          <w:sz w:val="24"/>
          <w:szCs w:val="24"/>
          <w:lang w:val="en-US"/>
        </w:rPr>
        <w:t xml:space="preserve">may constitute a disincentive to look for </w:t>
      </w:r>
      <w:r w:rsidR="00B91F5E">
        <w:rPr>
          <w:rFonts w:ascii="Lato" w:hAnsi="Lato"/>
          <w:sz w:val="24"/>
          <w:szCs w:val="24"/>
          <w:lang w:val="en-US"/>
        </w:rPr>
        <w:t>work</w:t>
      </w:r>
      <w:r w:rsidRPr="00E017B0">
        <w:rPr>
          <w:rFonts w:ascii="Lato" w:hAnsi="Lato"/>
          <w:sz w:val="24"/>
          <w:szCs w:val="24"/>
          <w:lang w:val="en-US"/>
        </w:rPr>
        <w:t xml:space="preserve">. </w:t>
      </w:r>
      <w:r w:rsidR="00F320BB" w:rsidRPr="00E017B0">
        <w:rPr>
          <w:rFonts w:ascii="Lato" w:hAnsi="Lato"/>
          <w:sz w:val="24"/>
          <w:szCs w:val="24"/>
          <w:lang w:val="en-US"/>
        </w:rPr>
        <w:t xml:space="preserve">It should encourage States to adopt </w:t>
      </w:r>
      <w:r w:rsidR="00F320BB" w:rsidRPr="00E017B0">
        <w:rPr>
          <w:rFonts w:ascii="Lato" w:hAnsi="Lato"/>
          <w:b/>
          <w:bCs/>
          <w:sz w:val="24"/>
          <w:szCs w:val="24"/>
          <w:lang w:val="en-US"/>
        </w:rPr>
        <w:lastRenderedPageBreak/>
        <w:t>d</w:t>
      </w:r>
      <w:r w:rsidR="00431A42" w:rsidRPr="00E017B0">
        <w:rPr>
          <w:rFonts w:ascii="Lato" w:hAnsi="Lato"/>
          <w:b/>
          <w:bCs/>
          <w:sz w:val="24"/>
          <w:szCs w:val="24"/>
          <w:lang w:val="en-US"/>
        </w:rPr>
        <w:t>isability-related</w:t>
      </w:r>
      <w:r w:rsidRPr="00E017B0">
        <w:rPr>
          <w:rFonts w:ascii="Lato" w:hAnsi="Lato"/>
          <w:b/>
          <w:bCs/>
          <w:sz w:val="24"/>
          <w:szCs w:val="24"/>
          <w:lang w:val="en-US"/>
        </w:rPr>
        <w:t xml:space="preserve"> interventions </w:t>
      </w:r>
      <w:r w:rsidR="00F320BB" w:rsidRPr="00E017B0">
        <w:rPr>
          <w:rFonts w:ascii="Lato" w:hAnsi="Lato"/>
          <w:b/>
          <w:bCs/>
          <w:sz w:val="24"/>
          <w:szCs w:val="24"/>
          <w:lang w:val="en-US"/>
        </w:rPr>
        <w:t>to</w:t>
      </w:r>
      <w:r w:rsidRPr="00E017B0">
        <w:rPr>
          <w:rFonts w:ascii="Lato" w:hAnsi="Lato"/>
          <w:b/>
          <w:bCs/>
          <w:sz w:val="24"/>
          <w:szCs w:val="24"/>
          <w:lang w:val="en-US"/>
        </w:rPr>
        <w:t xml:space="preserve"> help cover the additional costs – such as the cost of travel to work and equipment </w:t>
      </w:r>
      <w:r w:rsidR="00183288" w:rsidRPr="00E017B0">
        <w:rPr>
          <w:rFonts w:ascii="Lato" w:hAnsi="Lato"/>
          <w:b/>
          <w:bCs/>
          <w:sz w:val="24"/>
          <w:szCs w:val="24"/>
          <w:lang w:val="en-US"/>
        </w:rPr>
        <w:t>–</w:t>
      </w:r>
      <w:r w:rsidRPr="00E017B0">
        <w:rPr>
          <w:rFonts w:ascii="Lato" w:hAnsi="Lato"/>
          <w:b/>
          <w:bCs/>
          <w:sz w:val="24"/>
          <w:szCs w:val="24"/>
          <w:lang w:val="en-US"/>
        </w:rPr>
        <w:t xml:space="preserve"> </w:t>
      </w:r>
      <w:r w:rsidR="00183288" w:rsidRPr="00E017B0">
        <w:rPr>
          <w:rFonts w:ascii="Lato" w:hAnsi="Lato"/>
          <w:b/>
          <w:bCs/>
          <w:sz w:val="24"/>
          <w:szCs w:val="24"/>
          <w:lang w:val="en-US"/>
        </w:rPr>
        <w:t xml:space="preserve">supplementing earnings and </w:t>
      </w:r>
      <w:r w:rsidRPr="00E017B0">
        <w:rPr>
          <w:rFonts w:ascii="Lato" w:hAnsi="Lato"/>
          <w:b/>
          <w:bCs/>
          <w:sz w:val="24"/>
          <w:szCs w:val="24"/>
          <w:lang w:val="en-US"/>
        </w:rPr>
        <w:t>helping persons with disabilities stay in the labour fource</w:t>
      </w:r>
      <w:r w:rsidR="002B6733" w:rsidRPr="00E017B0">
        <w:rPr>
          <w:rFonts w:ascii="Lato" w:hAnsi="Lato"/>
          <w:sz w:val="24"/>
          <w:szCs w:val="24"/>
          <w:lang w:val="en-US"/>
        </w:rPr>
        <w:t>.</w:t>
      </w:r>
      <w:r w:rsidR="00431A42" w:rsidRPr="00E017B0">
        <w:rPr>
          <w:rFonts w:ascii="Lato" w:hAnsi="Lato"/>
          <w:sz w:val="24"/>
          <w:szCs w:val="24"/>
          <w:lang w:val="en-US"/>
        </w:rPr>
        <w:t xml:space="preserve"> Such disability-related benefits should complement broader income-related social security schemes in order to prevent poverty and promote the labour inclusion and effective participation of persons with disabilities. </w:t>
      </w:r>
    </w:p>
    <w:p w14:paraId="330C0C52" w14:textId="4BC48028" w:rsidR="00C72EFC" w:rsidRDefault="00A81180" w:rsidP="00E017B0">
      <w:pPr>
        <w:pStyle w:val="xmsonormal"/>
        <w:spacing w:after="160" w:line="276" w:lineRule="auto"/>
        <w:rPr>
          <w:rFonts w:ascii="Lato" w:hAnsi="Lato"/>
          <w:sz w:val="24"/>
          <w:szCs w:val="24"/>
          <w:lang w:val="en-US"/>
        </w:rPr>
      </w:pPr>
      <w:r w:rsidRPr="00E017B0">
        <w:rPr>
          <w:rFonts w:ascii="Lato" w:hAnsi="Lato"/>
          <w:sz w:val="24"/>
          <w:szCs w:val="24"/>
          <w:lang w:val="en-US"/>
        </w:rPr>
        <w:t>Social protection is also important for persons with disabilities beyond working age</w:t>
      </w:r>
      <w:r w:rsidR="00431A42" w:rsidRPr="00E017B0">
        <w:rPr>
          <w:rFonts w:ascii="Lato" w:hAnsi="Lato"/>
          <w:sz w:val="24"/>
          <w:szCs w:val="24"/>
          <w:lang w:val="en-US"/>
        </w:rPr>
        <w:t>, particularly fo</w:t>
      </w:r>
      <w:r w:rsidR="00183288" w:rsidRPr="00E017B0">
        <w:rPr>
          <w:rFonts w:ascii="Lato" w:hAnsi="Lato"/>
          <w:sz w:val="24"/>
          <w:szCs w:val="24"/>
          <w:lang w:val="en-US"/>
        </w:rPr>
        <w:t>r</w:t>
      </w:r>
      <w:r w:rsidR="00431A42" w:rsidRPr="00E017B0">
        <w:rPr>
          <w:rFonts w:ascii="Lato" w:hAnsi="Lato"/>
          <w:sz w:val="24"/>
          <w:szCs w:val="24"/>
          <w:lang w:val="en-US"/>
        </w:rPr>
        <w:t xml:space="preserve"> women with disabilities who are often excluded from formal employment</w:t>
      </w:r>
      <w:r w:rsidRPr="00E017B0">
        <w:rPr>
          <w:rFonts w:ascii="Lato" w:hAnsi="Lato"/>
          <w:sz w:val="24"/>
          <w:szCs w:val="24"/>
          <w:lang w:val="en-US"/>
        </w:rPr>
        <w:t xml:space="preserve">. Those who have not acquired entitlements to a contributory pension throughout their lives could face difficulties maintaining an adequate level of income security when they are older and should have access to </w:t>
      </w:r>
      <w:r w:rsidR="00431A42" w:rsidRPr="00E017B0">
        <w:rPr>
          <w:rFonts w:ascii="Lato" w:hAnsi="Lato"/>
          <w:sz w:val="24"/>
          <w:szCs w:val="24"/>
          <w:lang w:val="en-US"/>
        </w:rPr>
        <w:t xml:space="preserve">non-contributory </w:t>
      </w:r>
      <w:r w:rsidRPr="00E017B0">
        <w:rPr>
          <w:rFonts w:ascii="Lato" w:hAnsi="Lato"/>
          <w:sz w:val="24"/>
          <w:szCs w:val="24"/>
          <w:lang w:val="en-US"/>
        </w:rPr>
        <w:t xml:space="preserve">social protection programmes to guarantee their income security. </w:t>
      </w:r>
    </w:p>
    <w:p w14:paraId="4C7559B8" w14:textId="77777777" w:rsidR="00E017B0" w:rsidRPr="00E017B0" w:rsidRDefault="00E017B0" w:rsidP="00E017B0">
      <w:pPr>
        <w:pStyle w:val="xmsonormal"/>
        <w:spacing w:after="160" w:line="276" w:lineRule="auto"/>
        <w:rPr>
          <w:rFonts w:ascii="Lato" w:hAnsi="Lato"/>
          <w:sz w:val="24"/>
          <w:szCs w:val="24"/>
          <w:lang w:val="en-US"/>
        </w:rPr>
      </w:pPr>
    </w:p>
    <w:p w14:paraId="53933960" w14:textId="77777777" w:rsidR="0081236E" w:rsidRPr="00E017B0" w:rsidRDefault="0081236E" w:rsidP="00E017B0">
      <w:pPr>
        <w:pStyle w:val="Heading1"/>
        <w:spacing w:after="160"/>
        <w:rPr>
          <w:rFonts w:ascii="Lato" w:hAnsi="Lato"/>
          <w:sz w:val="28"/>
          <w:lang w:val="en-US"/>
        </w:rPr>
      </w:pPr>
      <w:r w:rsidRPr="00E017B0">
        <w:rPr>
          <w:rFonts w:ascii="Lato" w:hAnsi="Lato"/>
          <w:sz w:val="28"/>
          <w:lang w:val="en-US"/>
        </w:rPr>
        <w:t xml:space="preserve">Art 27.1.d and j: Access to inclusive education and inclusive vocational training </w:t>
      </w:r>
    </w:p>
    <w:p w14:paraId="2A9464ED" w14:textId="5198F03A" w:rsidR="00437BB7" w:rsidRPr="00E017B0" w:rsidRDefault="00C130F1" w:rsidP="00BE46B4">
      <w:pPr>
        <w:rPr>
          <w:rFonts w:ascii="Lato" w:eastAsia="Times New Roman" w:hAnsi="Lato" w:cs="Arial"/>
        </w:rPr>
      </w:pPr>
      <w:r w:rsidRPr="00E017B0">
        <w:rPr>
          <w:rFonts w:ascii="Lato" w:eastAsia="Times New Roman" w:hAnsi="Lato" w:cs="Arial"/>
        </w:rPr>
        <w:t>While there are many factors that contribute to poverty and social exclusion of persons with disabilities</w:t>
      </w:r>
      <w:r w:rsidR="000E4508" w:rsidRPr="00E017B0">
        <w:rPr>
          <w:rFonts w:ascii="Lato" w:eastAsia="Times New Roman" w:hAnsi="Lato" w:cs="Arial"/>
        </w:rPr>
        <w:t xml:space="preserve">, </w:t>
      </w:r>
      <w:r w:rsidR="00AD3D65" w:rsidRPr="00E017B0">
        <w:rPr>
          <w:rFonts w:ascii="Lato" w:eastAsia="Times New Roman" w:hAnsi="Lato" w:cs="Arial"/>
        </w:rPr>
        <w:t xml:space="preserve">the lack of access to education has a significant and direct impact in reducing their chances of securing employment. </w:t>
      </w:r>
      <w:r w:rsidR="00E754AB" w:rsidRPr="00E017B0">
        <w:rPr>
          <w:rFonts w:ascii="Lato" w:eastAsia="Times New Roman" w:hAnsi="Lato" w:cs="Arial"/>
        </w:rPr>
        <w:t xml:space="preserve"> </w:t>
      </w:r>
      <w:r w:rsidRPr="00E017B0">
        <w:rPr>
          <w:rFonts w:ascii="Lato" w:eastAsia="Times New Roman" w:hAnsi="Lato" w:cs="Arial"/>
        </w:rPr>
        <w:t xml:space="preserve">Persons with disabilities </w:t>
      </w:r>
      <w:r w:rsidR="00437BB7" w:rsidRPr="00E017B0">
        <w:rPr>
          <w:rFonts w:ascii="Lato" w:eastAsia="Times New Roman" w:hAnsi="Lato" w:cs="Arial"/>
        </w:rPr>
        <w:t>often have much lower income than their peers unless they are highly educated and in employment</w:t>
      </w:r>
      <w:r w:rsidR="00437BB7" w:rsidRPr="00E017B0">
        <w:rPr>
          <w:rStyle w:val="FootnoteReference"/>
          <w:rFonts w:ascii="Lato" w:eastAsia="Times New Roman" w:hAnsi="Lato" w:cs="Arial"/>
        </w:rPr>
        <w:footnoteReference w:id="20"/>
      </w:r>
      <w:r w:rsidR="00437BB7" w:rsidRPr="00E017B0">
        <w:rPr>
          <w:rFonts w:ascii="Lato" w:eastAsia="Times New Roman" w:hAnsi="Lato" w:cs="Arial"/>
        </w:rPr>
        <w:t xml:space="preserve">. However, children and youth with disabilities </w:t>
      </w:r>
      <w:r w:rsidR="00437BB7" w:rsidRPr="00E017B0">
        <w:rPr>
          <w:rFonts w:ascii="Lato" w:eastAsia="Times New Roman" w:hAnsi="Lato" w:cs="Arial"/>
        </w:rPr>
        <w:lastRenderedPageBreak/>
        <w:t>are less likely to attend school</w:t>
      </w:r>
      <w:r w:rsidR="00183288" w:rsidRPr="00E017B0">
        <w:rPr>
          <w:rFonts w:ascii="Lato" w:eastAsia="Times New Roman" w:hAnsi="Lato" w:cs="Arial"/>
        </w:rPr>
        <w:t xml:space="preserve"> and often lack access to formal education and information technology skills</w:t>
      </w:r>
      <w:r w:rsidR="00E37C4A" w:rsidRPr="00E017B0">
        <w:rPr>
          <w:rStyle w:val="FootnoteReference"/>
          <w:rFonts w:ascii="Lato" w:eastAsia="Times New Roman" w:hAnsi="Lato" w:cs="Arial"/>
        </w:rPr>
        <w:footnoteReference w:id="21"/>
      </w:r>
      <w:r w:rsidR="00437BB7" w:rsidRPr="00E017B0">
        <w:rPr>
          <w:rFonts w:ascii="Lato" w:eastAsia="Times New Roman" w:hAnsi="Lato" w:cs="Arial"/>
        </w:rPr>
        <w:t xml:space="preserve">, which in turn affects their employment </w:t>
      </w:r>
      <w:r w:rsidR="00E37C4A" w:rsidRPr="00E017B0">
        <w:rPr>
          <w:rFonts w:ascii="Lato" w:eastAsia="Times New Roman" w:hAnsi="Lato" w:cs="Arial"/>
        </w:rPr>
        <w:t>prospects</w:t>
      </w:r>
      <w:r w:rsidR="00437BB7" w:rsidRPr="00E017B0">
        <w:rPr>
          <w:rFonts w:ascii="Lato" w:eastAsia="Times New Roman" w:hAnsi="Lato" w:cs="Arial"/>
        </w:rPr>
        <w:t xml:space="preserve">. </w:t>
      </w:r>
    </w:p>
    <w:p w14:paraId="0D12596B" w14:textId="4CFFC3DB" w:rsidR="00991DE3" w:rsidRPr="00E017B0" w:rsidRDefault="007F3A55" w:rsidP="00BE46B4">
      <w:pPr>
        <w:autoSpaceDE w:val="0"/>
        <w:autoSpaceDN w:val="0"/>
        <w:adjustRightInd w:val="0"/>
        <w:rPr>
          <w:rFonts w:ascii="Lato" w:eastAsia="Times New Roman" w:hAnsi="Lato" w:cs="Arial"/>
        </w:rPr>
      </w:pPr>
      <w:r w:rsidRPr="00E017B0">
        <w:rPr>
          <w:rFonts w:ascii="Lato" w:eastAsia="Times New Roman" w:hAnsi="Lato" w:cs="Arial"/>
        </w:rPr>
        <w:t xml:space="preserve">The General Comment should </w:t>
      </w:r>
      <w:r w:rsidRPr="00E017B0">
        <w:rPr>
          <w:rFonts w:ascii="Lato" w:eastAsia="Times New Roman" w:hAnsi="Lato" w:cs="Arial"/>
          <w:b/>
          <w:bCs/>
        </w:rPr>
        <w:t>make stronger links to Article 24 and</w:t>
      </w:r>
      <w:r w:rsidRPr="00E017B0">
        <w:rPr>
          <w:rFonts w:ascii="Lato" w:eastAsia="Times New Roman" w:hAnsi="Lato" w:cs="Arial"/>
        </w:rPr>
        <w:t xml:space="preserve"> </w:t>
      </w:r>
      <w:r w:rsidR="00423F76" w:rsidRPr="00E017B0">
        <w:rPr>
          <w:rFonts w:ascii="Lato" w:eastAsia="Times New Roman" w:hAnsi="Lato" w:cs="Arial"/>
          <w:b/>
          <w:bCs/>
        </w:rPr>
        <w:t xml:space="preserve">make it clear that </w:t>
      </w:r>
      <w:r w:rsidR="00125239" w:rsidRPr="00E017B0">
        <w:rPr>
          <w:rFonts w:ascii="Lato" w:eastAsia="Times New Roman" w:hAnsi="Lato" w:cs="Arial"/>
          <w:b/>
          <w:bCs/>
        </w:rPr>
        <w:t>States should ensure inclusive education for all children with disabilities</w:t>
      </w:r>
      <w:r w:rsidR="00125239" w:rsidRPr="00E017B0">
        <w:rPr>
          <w:rFonts w:ascii="Lato" w:eastAsia="Times New Roman" w:hAnsi="Lato" w:cs="Arial"/>
        </w:rPr>
        <w:t xml:space="preserve"> as these foundational skills </w:t>
      </w:r>
      <w:r w:rsidRPr="00E017B0">
        <w:rPr>
          <w:rFonts w:ascii="Lato" w:eastAsia="Times New Roman" w:hAnsi="Lato" w:cs="Arial"/>
        </w:rPr>
        <w:t xml:space="preserve">are critical to enable </w:t>
      </w:r>
      <w:r w:rsidR="00125239" w:rsidRPr="00E017B0">
        <w:rPr>
          <w:rFonts w:ascii="Lato" w:eastAsia="Times New Roman" w:hAnsi="Lato" w:cs="Arial"/>
        </w:rPr>
        <w:t xml:space="preserve">children </w:t>
      </w:r>
      <w:r w:rsidRPr="00E017B0">
        <w:rPr>
          <w:rFonts w:ascii="Lato" w:eastAsia="Times New Roman" w:hAnsi="Lato" w:cs="Arial"/>
        </w:rPr>
        <w:t>to</w:t>
      </w:r>
      <w:r w:rsidR="00125239" w:rsidRPr="00E017B0">
        <w:rPr>
          <w:rFonts w:ascii="Lato" w:eastAsia="Times New Roman" w:hAnsi="Lato" w:cs="Arial"/>
        </w:rPr>
        <w:t xml:space="preserve"> grow into lifelong learners who are able to respond to labour market changes. </w:t>
      </w:r>
      <w:r w:rsidR="00991DE3" w:rsidRPr="00E017B0">
        <w:rPr>
          <w:rFonts w:ascii="Lato" w:eastAsia="Times New Roman" w:hAnsi="Lato" w:cs="Arial"/>
        </w:rPr>
        <w:t xml:space="preserve">The Committee should </w:t>
      </w:r>
      <w:r w:rsidR="00423F76" w:rsidRPr="00E017B0">
        <w:rPr>
          <w:rFonts w:ascii="Lato" w:eastAsia="Times New Roman" w:hAnsi="Lato" w:cs="Arial"/>
        </w:rPr>
        <w:t xml:space="preserve">also clarify </w:t>
      </w:r>
      <w:r w:rsidR="00991DE3" w:rsidRPr="00E017B0">
        <w:rPr>
          <w:rFonts w:ascii="Lato" w:eastAsia="Times New Roman" w:hAnsi="Lato" w:cs="Arial"/>
        </w:rPr>
        <w:t>that</w:t>
      </w:r>
      <w:r w:rsidR="00991DE3" w:rsidRPr="00E017B0">
        <w:rPr>
          <w:rFonts w:ascii="Lato" w:eastAsia="Times New Roman" w:hAnsi="Lato" w:cs="Arial"/>
          <w:b/>
          <w:bCs/>
        </w:rPr>
        <w:t xml:space="preserve"> h</w:t>
      </w:r>
      <w:r w:rsidR="00C16A78" w:rsidRPr="00E017B0">
        <w:rPr>
          <w:rFonts w:ascii="Lato" w:eastAsia="Times New Roman" w:hAnsi="Lato" w:cs="Arial"/>
          <w:b/>
          <w:bCs/>
        </w:rPr>
        <w:t xml:space="preserve">igher education </w:t>
      </w:r>
      <w:r w:rsidR="00E37C4A" w:rsidRPr="00E017B0">
        <w:rPr>
          <w:rFonts w:ascii="Lato" w:eastAsia="Times New Roman" w:hAnsi="Lato" w:cs="Arial"/>
          <w:b/>
          <w:bCs/>
        </w:rPr>
        <w:t xml:space="preserve">and training </w:t>
      </w:r>
      <w:r w:rsidR="00C16A78" w:rsidRPr="00E017B0">
        <w:rPr>
          <w:rFonts w:ascii="Lato" w:eastAsia="Times New Roman" w:hAnsi="Lato" w:cs="Arial"/>
          <w:b/>
          <w:bCs/>
        </w:rPr>
        <w:t>institutions need to be inclusive and accessible to persons with disabilities</w:t>
      </w:r>
      <w:r w:rsidR="00C16A78" w:rsidRPr="00B34DAF">
        <w:rPr>
          <w:rFonts w:ascii="Lato" w:eastAsia="Times New Roman" w:hAnsi="Lato" w:cs="Arial"/>
        </w:rPr>
        <w:t>,</w:t>
      </w:r>
      <w:r w:rsidR="00C16A78" w:rsidRPr="00E017B0">
        <w:rPr>
          <w:rFonts w:ascii="Lato" w:eastAsia="Times New Roman" w:hAnsi="Lato" w:cs="Arial"/>
          <w:b/>
          <w:bCs/>
        </w:rPr>
        <w:t xml:space="preserve"> </w:t>
      </w:r>
      <w:r w:rsidR="00D17189" w:rsidRPr="00B34DAF">
        <w:rPr>
          <w:rFonts w:ascii="Lato" w:eastAsia="Times New Roman" w:hAnsi="Lato" w:cs="Arial"/>
        </w:rPr>
        <w:t xml:space="preserve">from </w:t>
      </w:r>
      <w:r w:rsidR="00E27481" w:rsidRPr="00B34DAF">
        <w:rPr>
          <w:rFonts w:ascii="Lato" w:eastAsia="Times New Roman" w:hAnsi="Lato" w:cs="Arial"/>
        </w:rPr>
        <w:t xml:space="preserve">the provision of reasonable accommodation in line with Article 24.5, to </w:t>
      </w:r>
      <w:r w:rsidR="00C16A78" w:rsidRPr="00B34DAF">
        <w:rPr>
          <w:rFonts w:ascii="Lato" w:eastAsia="Times New Roman" w:hAnsi="Lato" w:cs="Arial"/>
        </w:rPr>
        <w:t xml:space="preserve">admission policies </w:t>
      </w:r>
      <w:r w:rsidR="00D17189" w:rsidRPr="00B34DAF">
        <w:rPr>
          <w:rFonts w:ascii="Lato" w:eastAsia="Times New Roman" w:hAnsi="Lato" w:cs="Arial"/>
        </w:rPr>
        <w:t xml:space="preserve">that </w:t>
      </w:r>
      <w:r w:rsidR="00C16A78" w:rsidRPr="00B34DAF">
        <w:rPr>
          <w:rFonts w:ascii="Lato" w:eastAsia="Times New Roman" w:hAnsi="Lato" w:cs="Arial"/>
        </w:rPr>
        <w:t xml:space="preserve">include diversity as criteria, </w:t>
      </w:r>
      <w:r w:rsidR="00D17189" w:rsidRPr="00B34DAF">
        <w:rPr>
          <w:rFonts w:ascii="Lato" w:eastAsia="Times New Roman" w:hAnsi="Lato" w:cs="Arial"/>
        </w:rPr>
        <w:t>to the</w:t>
      </w:r>
      <w:r w:rsidR="00C16A78" w:rsidRPr="00B34DAF">
        <w:rPr>
          <w:rFonts w:ascii="Lato" w:eastAsia="Times New Roman" w:hAnsi="Lato" w:cs="Arial"/>
        </w:rPr>
        <w:t xml:space="preserve"> provision of financial support</w:t>
      </w:r>
      <w:r w:rsidR="00E37C4A" w:rsidRPr="00B34DAF">
        <w:rPr>
          <w:rFonts w:ascii="Lato" w:eastAsia="Times New Roman" w:hAnsi="Lato" w:cs="Arial"/>
        </w:rPr>
        <w:t xml:space="preserve">, such as sustainable funding for </w:t>
      </w:r>
      <w:r w:rsidR="00F36AD0" w:rsidRPr="00B34DAF">
        <w:rPr>
          <w:rFonts w:ascii="Lato" w:eastAsia="Times New Roman" w:hAnsi="Lato" w:cs="Arial"/>
        </w:rPr>
        <w:t>t</w:t>
      </w:r>
      <w:r w:rsidR="00E37C4A" w:rsidRPr="00B34DAF">
        <w:rPr>
          <w:rFonts w:ascii="Lato" w:eastAsia="Times New Roman" w:hAnsi="Lato" w:cs="Arial"/>
        </w:rPr>
        <w:t>raining programmes as well as scholarships and bursaries</w:t>
      </w:r>
      <w:r w:rsidR="00C16A78" w:rsidRPr="00B34DAF">
        <w:rPr>
          <w:rFonts w:ascii="Lato" w:eastAsia="Times New Roman" w:hAnsi="Lato" w:cs="Arial"/>
        </w:rPr>
        <w:t xml:space="preserve"> for youth with disabilities.</w:t>
      </w:r>
      <w:r w:rsidR="0056584F" w:rsidRPr="00E017B0">
        <w:rPr>
          <w:rFonts w:ascii="Lato" w:eastAsia="Times New Roman" w:hAnsi="Lato" w:cs="Arial"/>
        </w:rPr>
        <w:t xml:space="preserve"> </w:t>
      </w:r>
    </w:p>
    <w:p w14:paraId="2B292640" w14:textId="0547D34D" w:rsidR="004A567B" w:rsidRPr="00E017B0" w:rsidRDefault="00465B53" w:rsidP="00BE46B4">
      <w:pPr>
        <w:rPr>
          <w:rFonts w:ascii="Lato" w:eastAsia="Times New Roman" w:hAnsi="Lato" w:cs="Arial"/>
        </w:rPr>
      </w:pPr>
      <w:r w:rsidRPr="00E017B0">
        <w:rPr>
          <w:rFonts w:ascii="Lato" w:eastAsia="Times New Roman" w:hAnsi="Lato" w:cs="Arial"/>
        </w:rPr>
        <w:t>We welcome the Committee’s recommendation for m</w:t>
      </w:r>
      <w:r w:rsidR="004A567B" w:rsidRPr="00E017B0">
        <w:rPr>
          <w:rFonts w:ascii="Lato" w:eastAsia="Times New Roman" w:hAnsi="Lato" w:cs="Arial"/>
        </w:rPr>
        <w:t xml:space="preserve">ainstream technical and vocational education and training (TVET) colleges </w:t>
      </w:r>
      <w:r w:rsidRPr="00E017B0">
        <w:rPr>
          <w:rFonts w:ascii="Lato" w:eastAsia="Times New Roman" w:hAnsi="Lato" w:cs="Arial"/>
        </w:rPr>
        <w:t xml:space="preserve">to be </w:t>
      </w:r>
      <w:r w:rsidR="004A567B" w:rsidRPr="00E017B0">
        <w:rPr>
          <w:rFonts w:ascii="Lato" w:eastAsia="Times New Roman" w:hAnsi="Lato" w:cs="Arial"/>
        </w:rPr>
        <w:t>inclusive of persons with disabilities</w:t>
      </w:r>
      <w:r w:rsidRPr="00E017B0">
        <w:rPr>
          <w:rFonts w:ascii="Lato" w:eastAsia="Times New Roman" w:hAnsi="Lato" w:cs="Arial"/>
        </w:rPr>
        <w:t xml:space="preserve">. </w:t>
      </w:r>
      <w:r w:rsidRPr="00E017B0">
        <w:rPr>
          <w:rFonts w:ascii="Lato" w:eastAsia="Times New Roman" w:hAnsi="Lato" w:cs="Arial"/>
          <w:b/>
          <w:bCs/>
        </w:rPr>
        <w:t xml:space="preserve">The General Comment should make it clear that this extends to </w:t>
      </w:r>
      <w:r w:rsidR="00E37C4A" w:rsidRPr="00E017B0">
        <w:rPr>
          <w:rFonts w:ascii="Lato" w:eastAsia="Times New Roman" w:hAnsi="Lato" w:cs="Arial"/>
          <w:b/>
          <w:bCs/>
        </w:rPr>
        <w:t>accessibility of infrastructure and information, as well as preparedness of trainers to support and accommodate trainees with different disabilities</w:t>
      </w:r>
      <w:r w:rsidR="004A567B" w:rsidRPr="00E017B0">
        <w:rPr>
          <w:rFonts w:ascii="Lato" w:eastAsia="Times New Roman" w:hAnsi="Lato" w:cs="Arial"/>
        </w:rPr>
        <w:t xml:space="preserve">. TVET programmes should </w:t>
      </w:r>
      <w:r w:rsidR="00F86909" w:rsidRPr="00E017B0">
        <w:rPr>
          <w:rFonts w:ascii="Lato" w:eastAsia="Times New Roman" w:hAnsi="Lato" w:cs="Arial"/>
        </w:rPr>
        <w:t xml:space="preserve">also </w:t>
      </w:r>
      <w:r w:rsidR="004A567B" w:rsidRPr="00E017B0">
        <w:rPr>
          <w:rFonts w:ascii="Lato" w:eastAsia="Times New Roman" w:hAnsi="Lato" w:cs="Arial"/>
          <w:b/>
          <w:bCs/>
        </w:rPr>
        <w:t>focus on the genuine skills needed in the local labour market to maximise the chances of finding employment</w:t>
      </w:r>
      <w:r w:rsidR="004A567B" w:rsidRPr="00E017B0">
        <w:rPr>
          <w:rFonts w:ascii="Lato" w:eastAsia="Times New Roman" w:hAnsi="Lato" w:cs="Arial"/>
        </w:rPr>
        <w:t xml:space="preserve">. </w:t>
      </w:r>
      <w:r w:rsidR="00F86909" w:rsidRPr="00E017B0">
        <w:rPr>
          <w:rFonts w:ascii="Lato" w:eastAsia="Times New Roman" w:hAnsi="Lato" w:cs="Arial"/>
        </w:rPr>
        <w:t xml:space="preserve">The Committee should also recognise the importance of providing </w:t>
      </w:r>
      <w:r w:rsidR="004A567B" w:rsidRPr="00E017B0">
        <w:rPr>
          <w:rFonts w:ascii="Lato" w:eastAsia="Times New Roman" w:hAnsi="Lato" w:cs="Arial"/>
          <w:b/>
          <w:bCs/>
        </w:rPr>
        <w:t>business training</w:t>
      </w:r>
      <w:r w:rsidR="004A567B" w:rsidRPr="00E017B0">
        <w:rPr>
          <w:rFonts w:ascii="Lato" w:eastAsia="Times New Roman" w:hAnsi="Lato" w:cs="Arial"/>
        </w:rPr>
        <w:t xml:space="preserve"> as part of </w:t>
      </w:r>
      <w:r w:rsidR="004A567B" w:rsidRPr="00E017B0">
        <w:rPr>
          <w:rFonts w:ascii="Lato" w:eastAsia="Times New Roman" w:hAnsi="Lato" w:cs="Arial"/>
        </w:rPr>
        <w:lastRenderedPageBreak/>
        <w:t xml:space="preserve">capacity building schemes, enabling </w:t>
      </w:r>
      <w:r w:rsidR="00F86909" w:rsidRPr="00E017B0">
        <w:rPr>
          <w:rFonts w:ascii="Lato" w:eastAsia="Times New Roman" w:hAnsi="Lato" w:cs="Arial"/>
        </w:rPr>
        <w:t xml:space="preserve">persons with disabilities to better </w:t>
      </w:r>
      <w:r w:rsidR="004A567B" w:rsidRPr="00E017B0">
        <w:rPr>
          <w:rFonts w:ascii="Lato" w:eastAsia="Times New Roman" w:hAnsi="Lato" w:cs="Arial"/>
        </w:rPr>
        <w:t>understand and respond to market demands.</w:t>
      </w:r>
    </w:p>
    <w:p w14:paraId="6F6D4A24" w14:textId="072CD11C" w:rsidR="00496A08" w:rsidRDefault="00F86909" w:rsidP="00BE46B4">
      <w:pPr>
        <w:rPr>
          <w:rFonts w:ascii="Lato" w:eastAsia="Times New Roman" w:hAnsi="Lato" w:cs="Arial"/>
        </w:rPr>
      </w:pPr>
      <w:r w:rsidRPr="00E017B0">
        <w:rPr>
          <w:rFonts w:ascii="Lato" w:eastAsia="Times New Roman" w:hAnsi="Lato" w:cs="Arial"/>
        </w:rPr>
        <w:t>Persons with disabilities</w:t>
      </w:r>
      <w:r w:rsidR="00B11906" w:rsidRPr="00E017B0">
        <w:rPr>
          <w:rFonts w:ascii="Lato" w:eastAsia="Times New Roman" w:hAnsi="Lato" w:cs="Arial"/>
        </w:rPr>
        <w:t xml:space="preserve"> </w:t>
      </w:r>
      <w:r w:rsidR="009D30FC" w:rsidRPr="00E017B0">
        <w:rPr>
          <w:rFonts w:ascii="Lato" w:eastAsia="Times New Roman" w:hAnsi="Lato" w:cs="Arial"/>
        </w:rPr>
        <w:t xml:space="preserve">– particularly women - </w:t>
      </w:r>
      <w:r w:rsidR="00B11906" w:rsidRPr="00E017B0">
        <w:rPr>
          <w:rFonts w:ascii="Lato" w:eastAsia="Times New Roman" w:hAnsi="Lato" w:cs="Arial"/>
        </w:rPr>
        <w:t>may also face stigmatisation and lack of support from families and communities, all which impact their own self-esteem and self-confidence and limit their ability to compete in the job market and find employment</w:t>
      </w:r>
      <w:r w:rsidR="00B11906" w:rsidRPr="00E017B0">
        <w:rPr>
          <w:rStyle w:val="FootnoteReference"/>
          <w:rFonts w:ascii="Lato" w:eastAsia="Times New Roman" w:hAnsi="Lato" w:cs="Arial"/>
        </w:rPr>
        <w:footnoteReference w:id="22"/>
      </w:r>
      <w:r w:rsidR="00B11906" w:rsidRPr="00E017B0">
        <w:rPr>
          <w:rFonts w:ascii="Lato" w:eastAsia="Times New Roman" w:hAnsi="Lato" w:cs="Arial"/>
        </w:rPr>
        <w:t xml:space="preserve">.  </w:t>
      </w:r>
      <w:r w:rsidR="00465B53" w:rsidRPr="00E017B0">
        <w:rPr>
          <w:rFonts w:ascii="Lato" w:eastAsia="Times New Roman" w:hAnsi="Lato" w:cs="Arial"/>
        </w:rPr>
        <w:t xml:space="preserve">The General Comment should </w:t>
      </w:r>
      <w:r w:rsidR="00465B53" w:rsidRPr="00E017B0">
        <w:rPr>
          <w:rFonts w:ascii="Lato" w:eastAsia="Times New Roman" w:hAnsi="Lato" w:cs="Arial"/>
          <w:b/>
          <w:bCs/>
        </w:rPr>
        <w:t>highlight the importance of supporting p</w:t>
      </w:r>
      <w:r w:rsidR="00B11906" w:rsidRPr="00E017B0">
        <w:rPr>
          <w:rFonts w:ascii="Lato" w:eastAsia="Times New Roman" w:hAnsi="Lato" w:cs="Arial"/>
          <w:b/>
          <w:bCs/>
        </w:rPr>
        <w:t>ersons with disabilities when transitioning from education to employment, including through specific outreach as part of higher education services</w:t>
      </w:r>
      <w:r w:rsidR="00B11906" w:rsidRPr="00E017B0">
        <w:rPr>
          <w:rFonts w:ascii="Lato" w:eastAsia="Times New Roman" w:hAnsi="Lato" w:cs="Arial"/>
        </w:rPr>
        <w:t xml:space="preserve">. </w:t>
      </w:r>
      <w:r w:rsidR="00465B53" w:rsidRPr="00E017B0">
        <w:rPr>
          <w:rFonts w:ascii="Lato" w:eastAsia="Times New Roman" w:hAnsi="Lato" w:cs="Arial"/>
        </w:rPr>
        <w:t xml:space="preserve">It could also </w:t>
      </w:r>
      <w:r w:rsidR="00465B53" w:rsidRPr="00E017B0">
        <w:rPr>
          <w:rFonts w:ascii="Lato" w:eastAsia="Times New Roman" w:hAnsi="Lato" w:cs="Arial"/>
          <w:b/>
          <w:bCs/>
        </w:rPr>
        <w:t xml:space="preserve">recommend that </w:t>
      </w:r>
      <w:r w:rsidR="00B11906" w:rsidRPr="00E017B0">
        <w:rPr>
          <w:rFonts w:ascii="Lato" w:eastAsia="Times New Roman" w:hAnsi="Lato" w:cs="Arial"/>
          <w:b/>
          <w:bCs/>
        </w:rPr>
        <w:t>States should ensure training programmes and schemes include soft skills</w:t>
      </w:r>
      <w:r w:rsidR="00B11906" w:rsidRPr="00E017B0">
        <w:rPr>
          <w:rFonts w:ascii="Lato" w:eastAsia="Times New Roman" w:hAnsi="Lato" w:cs="Arial"/>
        </w:rPr>
        <w:t xml:space="preserve">, such as </w:t>
      </w:r>
      <w:r w:rsidR="00E37C4A" w:rsidRPr="00E017B0">
        <w:rPr>
          <w:rFonts w:ascii="Lato" w:eastAsia="Times New Roman" w:hAnsi="Lato" w:cs="Arial"/>
        </w:rPr>
        <w:t xml:space="preserve">vocational guidance, </w:t>
      </w:r>
      <w:r w:rsidR="00B11906" w:rsidRPr="00E017B0">
        <w:rPr>
          <w:rFonts w:ascii="Lato" w:eastAsia="Times New Roman" w:hAnsi="Lato" w:cs="Arial"/>
        </w:rPr>
        <w:t xml:space="preserve">CV writing, interview training, and broader support to </w:t>
      </w:r>
      <w:r w:rsidR="00E51D05" w:rsidRPr="00E017B0">
        <w:rPr>
          <w:rFonts w:ascii="Lato" w:eastAsia="Times New Roman" w:hAnsi="Lato" w:cs="Arial"/>
        </w:rPr>
        <w:t xml:space="preserve">help </w:t>
      </w:r>
      <w:r w:rsidR="00E37C4A" w:rsidRPr="00E017B0">
        <w:rPr>
          <w:rFonts w:ascii="Lato" w:eastAsia="Times New Roman" w:hAnsi="Lato" w:cs="Arial"/>
        </w:rPr>
        <w:t xml:space="preserve">persons with disabilities to </w:t>
      </w:r>
      <w:r w:rsidR="00B11906" w:rsidRPr="00E017B0">
        <w:rPr>
          <w:rFonts w:ascii="Lato" w:eastAsia="Times New Roman" w:hAnsi="Lato" w:cs="Arial"/>
        </w:rPr>
        <w:t>build self-confidence</w:t>
      </w:r>
      <w:r w:rsidR="00E51D05" w:rsidRPr="00E017B0">
        <w:rPr>
          <w:rFonts w:ascii="Lato" w:eastAsia="Times New Roman" w:hAnsi="Lato" w:cs="Arial"/>
        </w:rPr>
        <w:t xml:space="preserve"> to compete </w:t>
      </w:r>
      <w:r w:rsidR="00B11906" w:rsidRPr="00E017B0">
        <w:rPr>
          <w:rFonts w:ascii="Lato" w:eastAsia="Times New Roman" w:hAnsi="Lato" w:cs="Arial"/>
        </w:rPr>
        <w:t>in the job market</w:t>
      </w:r>
      <w:r w:rsidR="00E37C4A" w:rsidRPr="00E017B0">
        <w:rPr>
          <w:rFonts w:ascii="Lato" w:eastAsia="Times New Roman" w:hAnsi="Lato" w:cs="Arial"/>
        </w:rPr>
        <w:t xml:space="preserve"> on an equal basis with other job seekers</w:t>
      </w:r>
      <w:r w:rsidR="00B11906" w:rsidRPr="00E017B0">
        <w:rPr>
          <w:rFonts w:ascii="Lato" w:eastAsia="Times New Roman" w:hAnsi="Lato" w:cs="Arial"/>
        </w:rPr>
        <w:t xml:space="preserve">. </w:t>
      </w:r>
    </w:p>
    <w:p w14:paraId="5D5ED1E6" w14:textId="77777777" w:rsidR="00E017B0" w:rsidRPr="00E017B0" w:rsidRDefault="00E017B0" w:rsidP="00E017B0">
      <w:pPr>
        <w:jc w:val="both"/>
        <w:rPr>
          <w:rFonts w:ascii="Lato" w:eastAsia="Times New Roman" w:hAnsi="Lato" w:cs="Arial"/>
        </w:rPr>
      </w:pPr>
    </w:p>
    <w:p w14:paraId="4D2D2341" w14:textId="4AF9637B" w:rsidR="0081236E" w:rsidRPr="00E017B0" w:rsidRDefault="0081236E" w:rsidP="00E017B0">
      <w:pPr>
        <w:pStyle w:val="Heading1"/>
        <w:spacing w:after="160"/>
        <w:rPr>
          <w:rFonts w:ascii="Lato" w:hAnsi="Lato"/>
          <w:sz w:val="28"/>
          <w:lang w:val="en-US"/>
        </w:rPr>
      </w:pPr>
      <w:r w:rsidRPr="00E017B0">
        <w:rPr>
          <w:rFonts w:ascii="Lato" w:hAnsi="Lato"/>
          <w:sz w:val="28"/>
          <w:lang w:val="en-US"/>
        </w:rPr>
        <w:t xml:space="preserve">Art 27.1.f: Self-employment, microfinance, business development services </w:t>
      </w:r>
    </w:p>
    <w:p w14:paraId="57AFFD88" w14:textId="153419BD" w:rsidR="00F36AD0" w:rsidRPr="00E017B0" w:rsidRDefault="00FF65B1" w:rsidP="00E017B0">
      <w:pPr>
        <w:rPr>
          <w:rFonts w:ascii="Lato" w:hAnsi="Lato"/>
        </w:rPr>
      </w:pPr>
      <w:r w:rsidRPr="00E017B0">
        <w:rPr>
          <w:rFonts w:ascii="Lato" w:hAnsi="Lato"/>
        </w:rPr>
        <w:t xml:space="preserve">Given the challenges of entering the labour market, </w:t>
      </w:r>
      <w:r w:rsidR="005A6931" w:rsidRPr="00E017B0">
        <w:rPr>
          <w:rFonts w:ascii="Lato" w:hAnsi="Lato" w:cs="Calibri"/>
          <w:lang w:val="en-US"/>
        </w:rPr>
        <w:t xml:space="preserve">a large number of persons with disabilities, particularly women, work in small and medium sized </w:t>
      </w:r>
      <w:r w:rsidR="002B6733" w:rsidRPr="00E017B0">
        <w:rPr>
          <w:rFonts w:ascii="Lato" w:hAnsi="Lato" w:cs="Calibri"/>
          <w:lang w:val="en-US"/>
        </w:rPr>
        <w:t>enterprises</w:t>
      </w:r>
      <w:r w:rsidR="005A6931" w:rsidRPr="00E017B0">
        <w:rPr>
          <w:rFonts w:ascii="Lato" w:hAnsi="Lato" w:cs="Calibri"/>
          <w:lang w:val="en-US"/>
        </w:rPr>
        <w:t xml:space="preserve"> or </w:t>
      </w:r>
      <w:r w:rsidRPr="00E017B0">
        <w:rPr>
          <w:rFonts w:ascii="Lato" w:hAnsi="Lato"/>
        </w:rPr>
        <w:t xml:space="preserve">rely on the informal market for a living. </w:t>
      </w:r>
      <w:r w:rsidR="00CA008A" w:rsidRPr="00E017B0">
        <w:rPr>
          <w:rFonts w:ascii="Lato" w:hAnsi="Lato"/>
        </w:rPr>
        <w:t>The</w:t>
      </w:r>
      <w:r w:rsidRPr="00E017B0">
        <w:rPr>
          <w:rFonts w:ascii="Lato" w:hAnsi="Lato"/>
        </w:rPr>
        <w:t xml:space="preserve"> lack of access to funds for </w:t>
      </w:r>
      <w:r w:rsidRPr="00E017B0">
        <w:rPr>
          <w:rFonts w:ascii="Lato" w:hAnsi="Lato"/>
        </w:rPr>
        <w:lastRenderedPageBreak/>
        <w:t>investment is a major barrier for persons with disabilities to set up their own businesses</w:t>
      </w:r>
      <w:r w:rsidR="00224049" w:rsidRPr="00E017B0">
        <w:rPr>
          <w:rStyle w:val="FootnoteReference"/>
          <w:rFonts w:ascii="Lato" w:hAnsi="Lato"/>
        </w:rPr>
        <w:footnoteReference w:id="23"/>
      </w:r>
      <w:r w:rsidRPr="00E017B0">
        <w:rPr>
          <w:rFonts w:ascii="Lato" w:hAnsi="Lato"/>
        </w:rPr>
        <w:t xml:space="preserve">. </w:t>
      </w:r>
    </w:p>
    <w:p w14:paraId="3791800C" w14:textId="19A73D46" w:rsidR="00F46F11" w:rsidRDefault="00FF65B1" w:rsidP="00E017B0">
      <w:pPr>
        <w:rPr>
          <w:rFonts w:ascii="Lato" w:hAnsi="Lato" w:cs="Calibri"/>
          <w:lang w:val="en-US"/>
        </w:rPr>
      </w:pPr>
      <w:r w:rsidRPr="00E017B0">
        <w:rPr>
          <w:rFonts w:ascii="Lato" w:hAnsi="Lato"/>
        </w:rPr>
        <w:t xml:space="preserve">The Committee should </w:t>
      </w:r>
      <w:r w:rsidR="00224049" w:rsidRPr="00E017B0">
        <w:rPr>
          <w:rFonts w:ascii="Lato" w:hAnsi="Lato"/>
        </w:rPr>
        <w:t xml:space="preserve">more clearly </w:t>
      </w:r>
      <w:r w:rsidR="00224049" w:rsidRPr="00E017B0">
        <w:rPr>
          <w:rFonts w:ascii="Lato" w:hAnsi="Lato"/>
          <w:b/>
          <w:bCs/>
        </w:rPr>
        <w:t xml:space="preserve">highlight the responsibility of States to create the right social and economic environment for </w:t>
      </w:r>
      <w:r w:rsidR="005A6931" w:rsidRPr="00E017B0">
        <w:rPr>
          <w:rFonts w:ascii="Lato" w:hAnsi="Lato"/>
          <w:b/>
          <w:bCs/>
        </w:rPr>
        <w:t xml:space="preserve">the financial inclusion of persons with disabilities. </w:t>
      </w:r>
      <w:r w:rsidR="005A6931" w:rsidRPr="00E017B0">
        <w:rPr>
          <w:rFonts w:ascii="Lato" w:hAnsi="Lato" w:cs="Calibri"/>
          <w:lang w:val="en-US"/>
        </w:rPr>
        <w:t xml:space="preserve">Regulatory structures must ensure there is </w:t>
      </w:r>
      <w:r w:rsidR="005A6931" w:rsidRPr="00E017B0">
        <w:rPr>
          <w:rFonts w:ascii="Lato" w:hAnsi="Lato" w:cs="Calibri"/>
          <w:b/>
          <w:bCs/>
          <w:lang w:val="en-US"/>
        </w:rPr>
        <w:t xml:space="preserve">no </w:t>
      </w:r>
      <w:r w:rsidR="005A6931" w:rsidRPr="00E017B0">
        <w:rPr>
          <w:rFonts w:ascii="Lato" w:hAnsi="Lato"/>
          <w:b/>
          <w:bCs/>
        </w:rPr>
        <w:t xml:space="preserve">discrimination in accessing loans and financing and that microfinancing, insurance and other financial institutions provide accessible information and </w:t>
      </w:r>
      <w:r w:rsidR="009D7168" w:rsidRPr="00E017B0">
        <w:rPr>
          <w:rFonts w:ascii="Lato" w:hAnsi="Lato"/>
          <w:b/>
          <w:bCs/>
        </w:rPr>
        <w:t xml:space="preserve">services, including </w:t>
      </w:r>
      <w:r w:rsidR="005A6931" w:rsidRPr="00E017B0">
        <w:rPr>
          <w:rFonts w:ascii="Lato" w:hAnsi="Lato"/>
          <w:b/>
          <w:bCs/>
        </w:rPr>
        <w:t xml:space="preserve">customised credit conditions </w:t>
      </w:r>
      <w:r w:rsidR="009D7168" w:rsidRPr="00E017B0">
        <w:rPr>
          <w:rFonts w:ascii="Lato" w:hAnsi="Lato"/>
          <w:b/>
          <w:bCs/>
        </w:rPr>
        <w:t xml:space="preserve">and improved access to mobile banking </w:t>
      </w:r>
      <w:r w:rsidR="005A6931" w:rsidRPr="00E017B0">
        <w:rPr>
          <w:rFonts w:ascii="Lato" w:hAnsi="Lato"/>
          <w:b/>
          <w:bCs/>
        </w:rPr>
        <w:t xml:space="preserve">for persons with disabilities. </w:t>
      </w:r>
      <w:r w:rsidR="005A6931" w:rsidRPr="00E017B0">
        <w:rPr>
          <w:rFonts w:ascii="Lato" w:hAnsi="Lato" w:cs="Calibri"/>
          <w:lang w:val="en-US"/>
        </w:rPr>
        <w:t xml:space="preserve"> </w:t>
      </w:r>
    </w:p>
    <w:p w14:paraId="3FE65C4E" w14:textId="77777777" w:rsidR="00E017B0" w:rsidRPr="00E017B0" w:rsidRDefault="00E017B0" w:rsidP="00E017B0">
      <w:pPr>
        <w:rPr>
          <w:rFonts w:ascii="Lato" w:hAnsi="Lato"/>
        </w:rPr>
      </w:pPr>
    </w:p>
    <w:p w14:paraId="61111761" w14:textId="09966339" w:rsidR="0081236E" w:rsidRPr="00E017B0" w:rsidRDefault="0081236E" w:rsidP="00E017B0">
      <w:pPr>
        <w:pStyle w:val="Heading1"/>
        <w:spacing w:after="160"/>
        <w:rPr>
          <w:rFonts w:ascii="Lato" w:hAnsi="Lato"/>
          <w:sz w:val="28"/>
          <w:lang w:val="en-US"/>
        </w:rPr>
      </w:pPr>
      <w:r w:rsidRPr="00E017B0">
        <w:rPr>
          <w:rFonts w:ascii="Lato" w:hAnsi="Lato"/>
          <w:sz w:val="28"/>
          <w:lang w:val="en-US"/>
        </w:rPr>
        <w:t xml:space="preserve">Art 27.1.h: Affirmative action programs </w:t>
      </w:r>
    </w:p>
    <w:p w14:paraId="2EDDF64C" w14:textId="18231F21" w:rsidR="00743346" w:rsidRPr="00E017B0" w:rsidRDefault="00743346" w:rsidP="00BE46B4">
      <w:pPr>
        <w:rPr>
          <w:rFonts w:ascii="Lato" w:hAnsi="Lato" w:cs="Calibri"/>
          <w:lang w:val="en-US"/>
        </w:rPr>
      </w:pPr>
      <w:r w:rsidRPr="00E017B0">
        <w:rPr>
          <w:rFonts w:ascii="Lato" w:hAnsi="Lato" w:cs="Calibri"/>
          <w:lang w:val="en-US"/>
        </w:rPr>
        <w:t xml:space="preserve">Measures to protect persons with disabilities from discrimination in the labour market are essential to encourage persons with disabilities to </w:t>
      </w:r>
      <w:r w:rsidR="00B55B3A" w:rsidRPr="00E017B0">
        <w:rPr>
          <w:rFonts w:ascii="Lato" w:hAnsi="Lato" w:cs="Calibri"/>
          <w:lang w:val="en-US"/>
        </w:rPr>
        <w:t>enter and continue in employment</w:t>
      </w:r>
      <w:r w:rsidRPr="00E017B0">
        <w:rPr>
          <w:rFonts w:ascii="Lato" w:hAnsi="Lato" w:cs="Calibri"/>
          <w:lang w:val="en-US"/>
        </w:rPr>
        <w:t>. These measures need to be combined with broader policies and legislation</w:t>
      </w:r>
      <w:r w:rsidR="00EC5E70" w:rsidRPr="00E017B0">
        <w:rPr>
          <w:rFonts w:ascii="Lato" w:hAnsi="Lato" w:cs="Calibri"/>
          <w:lang w:val="en-US"/>
        </w:rPr>
        <w:t>,</w:t>
      </w:r>
      <w:r w:rsidRPr="00E017B0">
        <w:rPr>
          <w:rFonts w:ascii="Lato" w:hAnsi="Lato" w:cs="Calibri"/>
          <w:lang w:val="en-US"/>
        </w:rPr>
        <w:t xml:space="preserve"> </w:t>
      </w:r>
      <w:r w:rsidR="00EC5E70" w:rsidRPr="00E017B0">
        <w:rPr>
          <w:rFonts w:ascii="Lato" w:hAnsi="Lato" w:cs="Calibri"/>
          <w:lang w:val="en-US"/>
        </w:rPr>
        <w:t xml:space="preserve">such as equal access to quality education and social protection schemes, </w:t>
      </w:r>
      <w:r w:rsidRPr="00E017B0">
        <w:rPr>
          <w:rFonts w:ascii="Lato" w:hAnsi="Lato" w:cs="Calibri"/>
          <w:lang w:val="en-US"/>
        </w:rPr>
        <w:t>to c</w:t>
      </w:r>
      <w:r w:rsidR="00EC5E70" w:rsidRPr="00E017B0">
        <w:rPr>
          <w:rFonts w:ascii="Lato" w:hAnsi="Lato" w:cs="Calibri"/>
          <w:lang w:val="en-US"/>
        </w:rPr>
        <w:t>ounter the</w:t>
      </w:r>
      <w:r w:rsidRPr="00E017B0">
        <w:rPr>
          <w:rFonts w:ascii="Lato" w:hAnsi="Lato" w:cs="Calibri"/>
          <w:lang w:val="en-US"/>
        </w:rPr>
        <w:t xml:space="preserve"> structural disadvantages faced by persons with disabilities. </w:t>
      </w:r>
    </w:p>
    <w:p w14:paraId="642B975F" w14:textId="49072A3F" w:rsidR="007E5CBE" w:rsidRDefault="00B55B3A" w:rsidP="00BE46B4">
      <w:pPr>
        <w:rPr>
          <w:rFonts w:ascii="Lato" w:hAnsi="Lato" w:cs="Calibri"/>
          <w:lang w:val="en-US"/>
        </w:rPr>
      </w:pPr>
      <w:r w:rsidRPr="00E017B0">
        <w:rPr>
          <w:rFonts w:ascii="Lato" w:hAnsi="Lato" w:cs="Calibri"/>
          <w:lang w:val="en-US"/>
        </w:rPr>
        <w:t xml:space="preserve">Nondiscrimination legislation should encourage and sometimes require affirmative actions. </w:t>
      </w:r>
      <w:r w:rsidR="00A27CDB" w:rsidRPr="00E017B0">
        <w:rPr>
          <w:rFonts w:ascii="Lato" w:hAnsi="Lato" w:cs="Calibri"/>
          <w:lang w:val="en-US"/>
        </w:rPr>
        <w:t xml:space="preserve">The General Comment should </w:t>
      </w:r>
      <w:r w:rsidR="00A27CDB" w:rsidRPr="00E017B0">
        <w:rPr>
          <w:rFonts w:ascii="Lato" w:hAnsi="Lato" w:cs="Calibri"/>
          <w:b/>
          <w:bCs/>
          <w:lang w:val="en-US"/>
        </w:rPr>
        <w:t xml:space="preserve">guide States in adopting </w:t>
      </w:r>
      <w:r w:rsidRPr="00E017B0">
        <w:rPr>
          <w:rFonts w:ascii="Lato" w:hAnsi="Lato" w:cs="Calibri"/>
          <w:b/>
          <w:bCs/>
          <w:lang w:val="en-US"/>
        </w:rPr>
        <w:t xml:space="preserve">affirmative actions </w:t>
      </w:r>
      <w:r w:rsidR="00A27CDB" w:rsidRPr="00E017B0">
        <w:rPr>
          <w:rFonts w:ascii="Lato" w:hAnsi="Lato" w:cs="Calibri"/>
          <w:b/>
          <w:bCs/>
          <w:lang w:val="en-US"/>
        </w:rPr>
        <w:t>which include criteria</w:t>
      </w:r>
      <w:r w:rsidRPr="00E017B0">
        <w:rPr>
          <w:rFonts w:ascii="Lato" w:hAnsi="Lato" w:cs="Calibri"/>
          <w:b/>
          <w:bCs/>
          <w:lang w:val="en-US"/>
        </w:rPr>
        <w:t xml:space="preserve"> carefully defined in compliance with CRPD</w:t>
      </w:r>
      <w:r w:rsidRPr="00E017B0">
        <w:rPr>
          <w:rFonts w:ascii="Lato" w:hAnsi="Lato" w:cs="Calibri"/>
          <w:lang w:val="en-US"/>
        </w:rPr>
        <w:t xml:space="preserve">. They </w:t>
      </w:r>
      <w:r w:rsidRPr="00E017B0">
        <w:rPr>
          <w:rFonts w:ascii="Lato" w:hAnsi="Lato" w:cs="Calibri"/>
          <w:lang w:val="en-US"/>
        </w:rPr>
        <w:lastRenderedPageBreak/>
        <w:t xml:space="preserve">should </w:t>
      </w:r>
      <w:r w:rsidRPr="00E017B0">
        <w:rPr>
          <w:rFonts w:ascii="Lato" w:hAnsi="Lato" w:cs="Calibri"/>
          <w:b/>
          <w:bCs/>
          <w:lang w:val="en-US"/>
        </w:rPr>
        <w:t xml:space="preserve">frame disability as a </w:t>
      </w:r>
      <w:r w:rsidR="00B91F5E" w:rsidRPr="00E017B0">
        <w:rPr>
          <w:rFonts w:ascii="Lato" w:hAnsi="Lato" w:cs="Calibri"/>
          <w:b/>
          <w:bCs/>
          <w:lang w:val="en-US"/>
        </w:rPr>
        <w:t>positive criterion</w:t>
      </w:r>
      <w:r w:rsidRPr="00E017B0">
        <w:rPr>
          <w:rFonts w:ascii="Lato" w:hAnsi="Lato" w:cs="Calibri"/>
          <w:b/>
          <w:bCs/>
          <w:lang w:val="en-US"/>
        </w:rPr>
        <w:t xml:space="preserve"> that would make the work environment more diverse and give people with disabilities equal opportunities for career progression</w:t>
      </w:r>
      <w:r w:rsidRPr="00E017B0">
        <w:rPr>
          <w:rFonts w:ascii="Lato" w:hAnsi="Lato" w:cs="Calibri"/>
          <w:lang w:val="en-US"/>
        </w:rPr>
        <w:t xml:space="preserve">.  </w:t>
      </w:r>
    </w:p>
    <w:p w14:paraId="1B754D6F" w14:textId="3A3336DC" w:rsidR="00B55B3A" w:rsidRPr="00E017B0" w:rsidRDefault="00B55B3A" w:rsidP="00BE46B4">
      <w:pPr>
        <w:rPr>
          <w:rFonts w:ascii="Lato" w:hAnsi="Lato" w:cs="Calibri"/>
          <w:lang w:val="en-US"/>
        </w:rPr>
      </w:pPr>
      <w:r w:rsidRPr="00E017B0">
        <w:rPr>
          <w:rFonts w:ascii="Lato" w:hAnsi="Lato" w:cs="Calibri"/>
          <w:lang w:val="en-US"/>
        </w:rPr>
        <w:t>Quota systems are one of the most commonly used affirmative actions in the context of the right to work</w:t>
      </w:r>
      <w:r w:rsidR="00A27CDB" w:rsidRPr="00E017B0">
        <w:rPr>
          <w:rFonts w:ascii="Lato" w:hAnsi="Lato" w:cs="Calibri"/>
          <w:lang w:val="en-US"/>
        </w:rPr>
        <w:t xml:space="preserve"> and we welcome the Committee’s careful approach and the recognition that </w:t>
      </w:r>
      <w:r w:rsidR="00B34DAF">
        <w:rPr>
          <w:rFonts w:ascii="Lato" w:hAnsi="Lato" w:cs="Calibri"/>
          <w:lang w:val="en-US"/>
        </w:rPr>
        <w:t>the</w:t>
      </w:r>
      <w:r w:rsidR="00A27CDB" w:rsidRPr="00E017B0">
        <w:rPr>
          <w:rFonts w:ascii="Lato" w:hAnsi="Lato" w:cs="Calibri"/>
          <w:lang w:val="en-US"/>
        </w:rPr>
        <w:t xml:space="preserve"> efficacy</w:t>
      </w:r>
      <w:r w:rsidR="00B34DAF">
        <w:rPr>
          <w:rFonts w:ascii="Lato" w:hAnsi="Lato" w:cs="Calibri"/>
          <w:lang w:val="en-US"/>
        </w:rPr>
        <w:t xml:space="preserve"> of quotas</w:t>
      </w:r>
      <w:r w:rsidR="00A27CDB" w:rsidRPr="00E017B0">
        <w:rPr>
          <w:rFonts w:ascii="Lato" w:hAnsi="Lato" w:cs="Calibri"/>
          <w:lang w:val="en-US"/>
        </w:rPr>
        <w:t xml:space="preserve"> is linked to the degree in which they are enforced. </w:t>
      </w:r>
      <w:r w:rsidR="00C859F9" w:rsidRPr="00E017B0">
        <w:rPr>
          <w:rFonts w:ascii="Lato" w:hAnsi="Lato" w:cs="Calibri"/>
          <w:lang w:val="en-US"/>
        </w:rPr>
        <w:t xml:space="preserve"> </w:t>
      </w:r>
      <w:r w:rsidR="00A27CDB" w:rsidRPr="00E017B0">
        <w:rPr>
          <w:rFonts w:ascii="Lato" w:hAnsi="Lato" w:cs="Calibri"/>
          <w:lang w:val="en-US"/>
        </w:rPr>
        <w:t>The most effective quota systems include the payment of a fee by the non-complying company for not meeting the agreed quotas, which are in turn used to finance measures to promote employment of persons with disabilities</w:t>
      </w:r>
      <w:r w:rsidR="00A27CDB" w:rsidRPr="00E017B0">
        <w:rPr>
          <w:rStyle w:val="FootnoteReference"/>
          <w:rFonts w:ascii="Lato" w:hAnsi="Lato" w:cs="Calibri"/>
          <w:lang w:val="en-US"/>
        </w:rPr>
        <w:footnoteReference w:id="24"/>
      </w:r>
      <w:r w:rsidR="00A27CDB" w:rsidRPr="00E017B0">
        <w:rPr>
          <w:rFonts w:ascii="Lato" w:hAnsi="Lato" w:cs="Calibri"/>
          <w:lang w:val="en-US"/>
        </w:rPr>
        <w:t xml:space="preserve">. </w:t>
      </w:r>
      <w:r w:rsidR="005A6931" w:rsidRPr="00E017B0">
        <w:rPr>
          <w:rFonts w:ascii="Lato" w:hAnsi="Lato" w:cs="Calibri"/>
          <w:lang w:val="en-US"/>
        </w:rPr>
        <w:t xml:space="preserve">The General Comment should also make it clear that </w:t>
      </w:r>
      <w:r w:rsidR="005A6931" w:rsidRPr="00E017B0">
        <w:rPr>
          <w:rFonts w:ascii="Lato" w:hAnsi="Lato" w:cs="Calibri"/>
          <w:b/>
          <w:bCs/>
          <w:lang w:val="en-US"/>
        </w:rPr>
        <w:t>q</w:t>
      </w:r>
      <w:r w:rsidR="00C859F9" w:rsidRPr="00E017B0">
        <w:rPr>
          <w:rFonts w:ascii="Lato" w:hAnsi="Lato" w:cs="Calibri"/>
          <w:b/>
          <w:bCs/>
          <w:lang w:val="en-US"/>
        </w:rPr>
        <w:t>uota systems</w:t>
      </w:r>
      <w:r w:rsidR="00A27CDB" w:rsidRPr="00E017B0">
        <w:rPr>
          <w:rFonts w:ascii="Lato" w:hAnsi="Lato" w:cs="Calibri"/>
          <w:b/>
          <w:bCs/>
          <w:lang w:val="en-US"/>
        </w:rPr>
        <w:t xml:space="preserve">, when used, </w:t>
      </w:r>
      <w:r w:rsidR="005A6931" w:rsidRPr="00E017B0">
        <w:rPr>
          <w:rFonts w:ascii="Lato" w:hAnsi="Lato" w:cs="Calibri"/>
          <w:b/>
          <w:bCs/>
          <w:lang w:val="en-US"/>
        </w:rPr>
        <w:t xml:space="preserve">must </w:t>
      </w:r>
      <w:r w:rsidR="00A27CDB" w:rsidRPr="00E017B0">
        <w:rPr>
          <w:rFonts w:ascii="Lato" w:hAnsi="Lato" w:cs="Calibri"/>
          <w:b/>
          <w:bCs/>
          <w:lang w:val="en-US"/>
        </w:rPr>
        <w:t xml:space="preserve">be combined </w:t>
      </w:r>
      <w:r w:rsidR="00C859F9" w:rsidRPr="00E017B0">
        <w:rPr>
          <w:rFonts w:ascii="Lato" w:hAnsi="Lato" w:cs="Calibri"/>
          <w:b/>
          <w:bCs/>
          <w:lang w:val="en-US"/>
        </w:rPr>
        <w:t>with other positive actions</w:t>
      </w:r>
      <w:r w:rsidR="00A27CDB" w:rsidRPr="00E017B0">
        <w:rPr>
          <w:rFonts w:ascii="Lato" w:hAnsi="Lato" w:cs="Calibri"/>
          <w:b/>
          <w:bCs/>
          <w:lang w:val="en-US"/>
        </w:rPr>
        <w:t xml:space="preserve"> that </w:t>
      </w:r>
      <w:r w:rsidR="005A6931" w:rsidRPr="00E017B0">
        <w:rPr>
          <w:rFonts w:ascii="Lato" w:hAnsi="Lato" w:cs="Calibri"/>
          <w:b/>
          <w:bCs/>
          <w:lang w:val="en-US"/>
        </w:rPr>
        <w:t xml:space="preserve">complement the shortcomings of each system and </w:t>
      </w:r>
      <w:r w:rsidR="00A27CDB" w:rsidRPr="00E017B0">
        <w:rPr>
          <w:rFonts w:ascii="Lato" w:hAnsi="Lato" w:cs="Calibri"/>
          <w:b/>
          <w:bCs/>
          <w:lang w:val="en-US"/>
        </w:rPr>
        <w:t>support the employment of persons with disabilities, including those who work in the informal economy</w:t>
      </w:r>
      <w:r w:rsidR="00A27CDB" w:rsidRPr="00E017B0">
        <w:rPr>
          <w:rFonts w:ascii="Lato" w:hAnsi="Lato" w:cs="Calibri"/>
          <w:lang w:val="en-US"/>
        </w:rPr>
        <w:t xml:space="preserve">. </w:t>
      </w:r>
    </w:p>
    <w:p w14:paraId="08F67E7A" w14:textId="036FE6D2" w:rsidR="005158B9" w:rsidRPr="00E017B0" w:rsidRDefault="005158B9" w:rsidP="00BE46B4">
      <w:pPr>
        <w:rPr>
          <w:rFonts w:ascii="Lato" w:hAnsi="Lato" w:cs="Calibri"/>
          <w:lang w:val="en-US"/>
        </w:rPr>
      </w:pPr>
      <w:r w:rsidRPr="00E017B0">
        <w:rPr>
          <w:rFonts w:ascii="Lato" w:hAnsi="Lato" w:cs="Calibri"/>
          <w:lang w:val="en-US"/>
        </w:rPr>
        <w:t>We welcome the recognition that public procurement measures can help contribute to</w:t>
      </w:r>
      <w:r w:rsidR="00057019" w:rsidRPr="00E017B0">
        <w:rPr>
          <w:rFonts w:ascii="Lato" w:hAnsi="Lato" w:cs="Calibri"/>
          <w:lang w:val="en-US"/>
        </w:rPr>
        <w:t xml:space="preserve"> promoting opportunities </w:t>
      </w:r>
      <w:r w:rsidRPr="00E017B0">
        <w:rPr>
          <w:rFonts w:ascii="Lato" w:hAnsi="Lato" w:cs="Calibri"/>
          <w:lang w:val="en-US"/>
        </w:rPr>
        <w:t xml:space="preserve">and changing private and public sector practices regarding persons with disabilities. The General Comment should also </w:t>
      </w:r>
      <w:r w:rsidRPr="00E017B0">
        <w:rPr>
          <w:rFonts w:ascii="Lato" w:hAnsi="Lato" w:cs="Calibri"/>
          <w:b/>
          <w:bCs/>
          <w:lang w:val="en-US"/>
        </w:rPr>
        <w:t xml:space="preserve">point to the role that public procurement can have in promoting accessible </w:t>
      </w:r>
      <w:r w:rsidR="00057019" w:rsidRPr="00E017B0">
        <w:rPr>
          <w:rFonts w:ascii="Lato" w:hAnsi="Lato" w:cs="Calibri"/>
          <w:b/>
          <w:bCs/>
          <w:lang w:val="en-US"/>
        </w:rPr>
        <w:t xml:space="preserve">work </w:t>
      </w:r>
      <w:r w:rsidRPr="00E017B0">
        <w:rPr>
          <w:rFonts w:ascii="Lato" w:hAnsi="Lato" w:cs="Calibri"/>
          <w:b/>
          <w:bCs/>
          <w:lang w:val="en-US"/>
        </w:rPr>
        <w:t>environments, such as including accessibility and universal design requirements in public procurement contracts</w:t>
      </w:r>
      <w:r w:rsidRPr="00E017B0">
        <w:rPr>
          <w:rFonts w:ascii="Lato" w:hAnsi="Lato" w:cs="Calibri"/>
          <w:lang w:val="en-US"/>
        </w:rPr>
        <w:t xml:space="preserve">. </w:t>
      </w:r>
    </w:p>
    <w:p w14:paraId="0687EAB0" w14:textId="6FDBEDDE" w:rsidR="00E754AB" w:rsidRDefault="00EC5E70" w:rsidP="00BE46B4">
      <w:pPr>
        <w:rPr>
          <w:rFonts w:ascii="Lato" w:hAnsi="Lato" w:cs="Calibri"/>
          <w:lang w:val="en-US"/>
        </w:rPr>
      </w:pPr>
      <w:r w:rsidRPr="00E017B0">
        <w:rPr>
          <w:rFonts w:ascii="Lato" w:hAnsi="Lato" w:cs="Calibri"/>
          <w:lang w:val="en-US"/>
        </w:rPr>
        <w:lastRenderedPageBreak/>
        <w:t xml:space="preserve">Closing the employment gap of persons with disabilities is closely linked to inclusive education, including </w:t>
      </w:r>
      <w:r w:rsidRPr="00B34DAF">
        <w:rPr>
          <w:rFonts w:ascii="Lato" w:hAnsi="Lato" w:cs="Calibri"/>
          <w:b/>
          <w:bCs/>
          <w:lang w:val="en-US"/>
        </w:rPr>
        <w:t xml:space="preserve">affirmative action in </w:t>
      </w:r>
      <w:r w:rsidR="005158B9" w:rsidRPr="00B34DAF">
        <w:rPr>
          <w:rFonts w:ascii="Lato" w:hAnsi="Lato" w:cs="Calibri"/>
          <w:b/>
          <w:bCs/>
          <w:lang w:val="en-US"/>
        </w:rPr>
        <w:t xml:space="preserve">higher </w:t>
      </w:r>
      <w:r w:rsidRPr="00B34DAF">
        <w:rPr>
          <w:rFonts w:ascii="Lato" w:hAnsi="Lato" w:cs="Calibri"/>
          <w:b/>
          <w:bCs/>
          <w:lang w:val="en-US"/>
        </w:rPr>
        <w:t>education</w:t>
      </w:r>
      <w:r w:rsidRPr="00E017B0">
        <w:rPr>
          <w:rFonts w:ascii="Lato" w:hAnsi="Lato" w:cs="Calibri"/>
          <w:lang w:val="en-US"/>
        </w:rPr>
        <w:t xml:space="preserve"> such as admission policies that see disability as a </w:t>
      </w:r>
      <w:r w:rsidR="007E5CBE" w:rsidRPr="00E017B0">
        <w:rPr>
          <w:rFonts w:ascii="Lato" w:hAnsi="Lato" w:cs="Calibri"/>
          <w:lang w:val="en-US"/>
        </w:rPr>
        <w:t>positive</w:t>
      </w:r>
      <w:r w:rsidR="007E5CBE">
        <w:rPr>
          <w:rFonts w:ascii="Lato" w:hAnsi="Lato" w:cs="Calibri"/>
          <w:lang w:val="en-US"/>
        </w:rPr>
        <w:t xml:space="preserve"> </w:t>
      </w:r>
      <w:r w:rsidR="007E5CBE" w:rsidRPr="00E017B0">
        <w:rPr>
          <w:rFonts w:ascii="Lato" w:hAnsi="Lato" w:cs="Calibri"/>
          <w:lang w:val="en-US"/>
        </w:rPr>
        <w:t>criterion</w:t>
      </w:r>
      <w:r w:rsidRPr="00E017B0">
        <w:rPr>
          <w:rFonts w:ascii="Lato" w:hAnsi="Lato" w:cs="Calibri"/>
          <w:lang w:val="en-US"/>
        </w:rPr>
        <w:t xml:space="preserve"> for school diversity, as well as continued education and training opportunities, ensuring persons with disabilities are able to seek employment on an equal basis with others. </w:t>
      </w:r>
    </w:p>
    <w:p w14:paraId="6FAC439E" w14:textId="77777777" w:rsidR="00E017B0" w:rsidRPr="00E017B0" w:rsidRDefault="00E017B0" w:rsidP="00E017B0">
      <w:pPr>
        <w:jc w:val="both"/>
        <w:rPr>
          <w:rFonts w:cs="Calibri"/>
          <w:lang w:val="en-US"/>
        </w:rPr>
      </w:pPr>
    </w:p>
    <w:p w14:paraId="5288705B" w14:textId="3C701CFE" w:rsidR="0081236E" w:rsidRPr="00E017B0" w:rsidRDefault="0081236E" w:rsidP="00E017B0">
      <w:pPr>
        <w:pStyle w:val="Heading1"/>
        <w:spacing w:after="160"/>
        <w:rPr>
          <w:rFonts w:ascii="Lato" w:hAnsi="Lato"/>
          <w:sz w:val="28"/>
          <w:lang w:val="en-US"/>
        </w:rPr>
      </w:pPr>
      <w:r w:rsidRPr="00E017B0">
        <w:rPr>
          <w:rFonts w:ascii="Lato" w:hAnsi="Lato"/>
          <w:sz w:val="28"/>
          <w:lang w:val="en-US"/>
        </w:rPr>
        <w:t xml:space="preserve">Art 27.  </w:t>
      </w:r>
      <w:r w:rsidR="00A6185E" w:rsidRPr="00E017B0">
        <w:rPr>
          <w:rFonts w:ascii="Lato" w:hAnsi="Lato"/>
          <w:sz w:val="28"/>
          <w:lang w:val="en-US"/>
        </w:rPr>
        <w:t xml:space="preserve">I: The obligation to provide reasonable accommodation in the </w:t>
      </w:r>
      <w:r w:rsidR="00FC2F1C" w:rsidRPr="00E017B0">
        <w:rPr>
          <w:rFonts w:ascii="Lato" w:hAnsi="Lato"/>
          <w:sz w:val="28"/>
          <w:lang w:val="en-US"/>
        </w:rPr>
        <w:t>workplace</w:t>
      </w:r>
      <w:r w:rsidR="00A6185E" w:rsidRPr="00E017B0">
        <w:rPr>
          <w:rFonts w:ascii="Lato" w:hAnsi="Lato"/>
          <w:sz w:val="28"/>
          <w:lang w:val="en-US"/>
        </w:rPr>
        <w:t xml:space="preserve"> and the denial of reasonable accommodation as a form of discrimination </w:t>
      </w:r>
    </w:p>
    <w:p w14:paraId="36F2D7B0" w14:textId="59CC778D" w:rsidR="000435B7" w:rsidRPr="00E017B0" w:rsidRDefault="000435B7" w:rsidP="00E017B0">
      <w:pPr>
        <w:rPr>
          <w:rFonts w:ascii="Lato" w:hAnsi="Lato"/>
          <w:lang w:val="en-US"/>
        </w:rPr>
      </w:pPr>
      <w:r w:rsidRPr="00E017B0">
        <w:rPr>
          <w:rFonts w:ascii="Lato" w:hAnsi="Lato"/>
          <w:lang w:val="en-US"/>
        </w:rPr>
        <w:t xml:space="preserve">States have the duty to take all appropriate steps to ensure reasonable accommodation and the failure to do so constitutes discrimination on the basis of disabilities. The Committee has rightly highlighted that it is the responsibility of the State to create conditions for </w:t>
      </w:r>
      <w:r w:rsidR="00091530" w:rsidRPr="00E017B0">
        <w:rPr>
          <w:rFonts w:ascii="Lato" w:hAnsi="Lato"/>
          <w:lang w:val="en-US"/>
        </w:rPr>
        <w:t>reasonable</w:t>
      </w:r>
      <w:r w:rsidRPr="00E017B0">
        <w:rPr>
          <w:rFonts w:ascii="Lato" w:hAnsi="Lato"/>
          <w:lang w:val="en-US"/>
        </w:rPr>
        <w:t xml:space="preserve"> accommodation to be provided, as reflected in article 5 (3) of the Convention. Th</w:t>
      </w:r>
      <w:r w:rsidR="009D7168" w:rsidRPr="00E017B0">
        <w:rPr>
          <w:rFonts w:ascii="Lato" w:hAnsi="Lato"/>
          <w:lang w:val="en-US"/>
        </w:rPr>
        <w:t xml:space="preserve">e General Comment should make it clear that </w:t>
      </w:r>
      <w:r w:rsidR="009D7168" w:rsidRPr="00E017B0">
        <w:rPr>
          <w:rFonts w:ascii="Lato" w:hAnsi="Lato"/>
          <w:b/>
          <w:bCs/>
          <w:lang w:val="en-US"/>
        </w:rPr>
        <w:t>States should provide a clear</w:t>
      </w:r>
      <w:r w:rsidR="009D7168" w:rsidRPr="00E017B0">
        <w:rPr>
          <w:rFonts w:ascii="Lato" w:hAnsi="Lato"/>
          <w:lang w:val="en-US"/>
        </w:rPr>
        <w:t xml:space="preserve"> </w:t>
      </w:r>
      <w:r w:rsidR="007E728A" w:rsidRPr="00E017B0">
        <w:rPr>
          <w:rFonts w:ascii="Lato" w:hAnsi="Lato"/>
          <w:b/>
          <w:bCs/>
          <w:lang w:val="en-US"/>
        </w:rPr>
        <w:t xml:space="preserve">definition of </w:t>
      </w:r>
      <w:r w:rsidRPr="00E017B0">
        <w:rPr>
          <w:rFonts w:ascii="Lato" w:hAnsi="Lato"/>
          <w:b/>
          <w:bCs/>
          <w:lang w:val="en-US"/>
        </w:rPr>
        <w:t>reasonable accommodation</w:t>
      </w:r>
      <w:r w:rsidRPr="00E017B0">
        <w:rPr>
          <w:rFonts w:ascii="Lato" w:hAnsi="Lato"/>
          <w:lang w:val="en-US"/>
        </w:rPr>
        <w:t xml:space="preserve"> as th</w:t>
      </w:r>
      <w:r w:rsidR="0075224B" w:rsidRPr="00E017B0">
        <w:rPr>
          <w:rFonts w:ascii="Lato" w:hAnsi="Lato"/>
          <w:lang w:val="en-US"/>
        </w:rPr>
        <w:t>is concept</w:t>
      </w:r>
      <w:r w:rsidR="00E017B0">
        <w:rPr>
          <w:rFonts w:ascii="Lato" w:hAnsi="Lato"/>
          <w:lang w:val="en-US"/>
        </w:rPr>
        <w:t xml:space="preserve"> </w:t>
      </w:r>
      <w:r w:rsidR="00862C5C" w:rsidRPr="00E017B0">
        <w:rPr>
          <w:rFonts w:ascii="Lato" w:hAnsi="Lato"/>
          <w:lang w:val="en-US"/>
        </w:rPr>
        <w:t>(</w:t>
      </w:r>
      <w:r w:rsidR="00032B45" w:rsidRPr="00E017B0">
        <w:rPr>
          <w:rFonts w:ascii="Lato" w:hAnsi="Lato"/>
          <w:lang w:val="en-US"/>
        </w:rPr>
        <w:t>an individual requirement</w:t>
      </w:r>
      <w:r w:rsidR="00862C5C" w:rsidRPr="00E017B0">
        <w:rPr>
          <w:rFonts w:ascii="Lato" w:hAnsi="Lato"/>
          <w:lang w:val="en-US"/>
        </w:rPr>
        <w:t>)</w:t>
      </w:r>
      <w:r w:rsidR="00032B45" w:rsidRPr="00E017B0">
        <w:rPr>
          <w:rFonts w:ascii="Lato" w:hAnsi="Lato"/>
          <w:lang w:val="en-US"/>
        </w:rPr>
        <w:t>,</w:t>
      </w:r>
      <w:r w:rsidR="0075224B" w:rsidRPr="00E017B0">
        <w:rPr>
          <w:rFonts w:ascii="Lato" w:hAnsi="Lato"/>
          <w:lang w:val="en-US"/>
        </w:rPr>
        <w:t xml:space="preserve"> is not widely understood and </w:t>
      </w:r>
      <w:r w:rsidR="00032B45" w:rsidRPr="00E017B0">
        <w:rPr>
          <w:rFonts w:ascii="Lato" w:hAnsi="Lato"/>
          <w:lang w:val="en-US"/>
        </w:rPr>
        <w:t>can be confused with accessibility measures (a general requirement) or affirmative action measures</w:t>
      </w:r>
      <w:r w:rsidR="00032B45" w:rsidRPr="00E017B0">
        <w:rPr>
          <w:rStyle w:val="FootnoteReference"/>
          <w:rFonts w:ascii="Lato" w:hAnsi="Lato"/>
          <w:lang w:val="en-US"/>
        </w:rPr>
        <w:footnoteReference w:id="25"/>
      </w:r>
      <w:r w:rsidR="00032B45" w:rsidRPr="00E017B0">
        <w:rPr>
          <w:rFonts w:ascii="Lato" w:hAnsi="Lato"/>
          <w:lang w:val="en-US"/>
        </w:rPr>
        <w:t xml:space="preserve">. </w:t>
      </w:r>
      <w:r w:rsidR="007E728A" w:rsidRPr="00E017B0">
        <w:rPr>
          <w:rFonts w:ascii="Lato" w:hAnsi="Lato"/>
          <w:lang w:val="en-US"/>
        </w:rPr>
        <w:t>This ambiguity can lead to so</w:t>
      </w:r>
      <w:r w:rsidRPr="00E017B0">
        <w:rPr>
          <w:rFonts w:ascii="Lato" w:hAnsi="Lato"/>
          <w:lang w:val="en-US"/>
        </w:rPr>
        <w:t>me employers incorrectly assum</w:t>
      </w:r>
      <w:r w:rsidR="007E728A" w:rsidRPr="00E017B0">
        <w:rPr>
          <w:rFonts w:ascii="Lato" w:hAnsi="Lato"/>
          <w:lang w:val="en-US"/>
        </w:rPr>
        <w:t>ing</w:t>
      </w:r>
      <w:r w:rsidRPr="00E017B0">
        <w:rPr>
          <w:rFonts w:ascii="Lato" w:hAnsi="Lato"/>
          <w:lang w:val="en-US"/>
        </w:rPr>
        <w:t xml:space="preserve"> that all persons with disabilities will need adjustments that are too </w:t>
      </w:r>
      <w:r w:rsidRPr="00E017B0">
        <w:rPr>
          <w:rFonts w:ascii="Lato" w:hAnsi="Lato"/>
          <w:lang w:val="en-US"/>
        </w:rPr>
        <w:lastRenderedPageBreak/>
        <w:t xml:space="preserve">costly to provide, </w:t>
      </w:r>
      <w:r w:rsidR="007E728A" w:rsidRPr="00E017B0">
        <w:rPr>
          <w:rFonts w:ascii="Lato" w:hAnsi="Lato"/>
          <w:lang w:val="en-US"/>
        </w:rPr>
        <w:t>increasing</w:t>
      </w:r>
      <w:r w:rsidRPr="00E017B0">
        <w:rPr>
          <w:rFonts w:ascii="Lato" w:hAnsi="Lato"/>
          <w:lang w:val="en-US"/>
        </w:rPr>
        <w:t xml:space="preserve"> stigma and undermin</w:t>
      </w:r>
      <w:r w:rsidR="007E728A" w:rsidRPr="00E017B0">
        <w:rPr>
          <w:rFonts w:ascii="Lato" w:hAnsi="Lato"/>
          <w:lang w:val="en-US"/>
        </w:rPr>
        <w:t>ing</w:t>
      </w:r>
      <w:r w:rsidRPr="00E017B0">
        <w:rPr>
          <w:rFonts w:ascii="Lato" w:hAnsi="Lato"/>
          <w:lang w:val="en-US"/>
        </w:rPr>
        <w:t xml:space="preserve"> the</w:t>
      </w:r>
      <w:r w:rsidR="0075224B" w:rsidRPr="00E017B0">
        <w:rPr>
          <w:rFonts w:ascii="Lato" w:hAnsi="Lato"/>
          <w:lang w:val="en-US"/>
        </w:rPr>
        <w:t>ir</w:t>
      </w:r>
      <w:r w:rsidRPr="00E017B0">
        <w:rPr>
          <w:rFonts w:ascii="Lato" w:hAnsi="Lato"/>
          <w:lang w:val="en-US"/>
        </w:rPr>
        <w:t xml:space="preserve"> chances to get employment. </w:t>
      </w:r>
      <w:r w:rsidR="00B56E20" w:rsidRPr="00E017B0">
        <w:rPr>
          <w:rFonts w:ascii="Lato" w:hAnsi="Lato"/>
          <w:lang w:val="en-US"/>
        </w:rPr>
        <w:t>Most accommodations do not entail a significant cost and many have no cost at all</w:t>
      </w:r>
      <w:r w:rsidR="00B56E20" w:rsidRPr="00E017B0">
        <w:rPr>
          <w:rStyle w:val="FootnoteReference"/>
          <w:rFonts w:ascii="Lato" w:hAnsi="Lato"/>
          <w:lang w:val="en-US"/>
        </w:rPr>
        <w:footnoteReference w:id="26"/>
      </w:r>
      <w:r w:rsidR="00B56E20" w:rsidRPr="00E017B0">
        <w:rPr>
          <w:rFonts w:ascii="Lato" w:hAnsi="Lato"/>
          <w:lang w:val="en-US"/>
        </w:rPr>
        <w:t>.</w:t>
      </w:r>
      <w:r w:rsidR="00C65213" w:rsidRPr="00E017B0">
        <w:rPr>
          <w:rFonts w:ascii="Lato" w:hAnsi="Lato"/>
          <w:lang w:val="en-US"/>
        </w:rPr>
        <w:t xml:space="preserve"> </w:t>
      </w:r>
    </w:p>
    <w:p w14:paraId="1D495441" w14:textId="759AF335" w:rsidR="000435B7" w:rsidRPr="00E017B0" w:rsidRDefault="00837A0D" w:rsidP="00E017B0">
      <w:pPr>
        <w:rPr>
          <w:rFonts w:ascii="Lato" w:hAnsi="Lato"/>
          <w:lang w:val="en-US"/>
        </w:rPr>
      </w:pPr>
      <w:r w:rsidRPr="00E017B0">
        <w:rPr>
          <w:rFonts w:ascii="Lato" w:hAnsi="Lato"/>
          <w:lang w:val="en-US"/>
        </w:rPr>
        <w:t xml:space="preserve">The General Comment should </w:t>
      </w:r>
      <w:r w:rsidRPr="00E017B0">
        <w:rPr>
          <w:rFonts w:ascii="Lato" w:hAnsi="Lato"/>
          <w:b/>
          <w:bCs/>
          <w:lang w:val="en-US"/>
        </w:rPr>
        <w:t xml:space="preserve">include the responsibility of the State </w:t>
      </w:r>
      <w:r w:rsidR="00F95047" w:rsidRPr="00E017B0">
        <w:rPr>
          <w:rFonts w:ascii="Lato" w:hAnsi="Lato"/>
          <w:b/>
          <w:bCs/>
          <w:lang w:val="en-US"/>
        </w:rPr>
        <w:t xml:space="preserve">to </w:t>
      </w:r>
      <w:r w:rsidRPr="00E017B0">
        <w:rPr>
          <w:rFonts w:ascii="Lato" w:hAnsi="Lato"/>
          <w:b/>
          <w:bCs/>
          <w:lang w:val="en-US"/>
        </w:rPr>
        <w:t>p</w:t>
      </w:r>
      <w:r w:rsidR="000435B7" w:rsidRPr="00E017B0">
        <w:rPr>
          <w:rFonts w:ascii="Lato" w:hAnsi="Lato"/>
          <w:b/>
          <w:bCs/>
          <w:lang w:val="en-US"/>
        </w:rPr>
        <w:t xml:space="preserve">rovide </w:t>
      </w:r>
      <w:r w:rsidR="00DE7BD3" w:rsidRPr="00E017B0">
        <w:rPr>
          <w:rFonts w:ascii="Lato" w:hAnsi="Lato"/>
          <w:b/>
          <w:bCs/>
          <w:lang w:val="en-US"/>
        </w:rPr>
        <w:t xml:space="preserve">accessible information, resources and </w:t>
      </w:r>
      <w:r w:rsidR="000435B7" w:rsidRPr="00E017B0">
        <w:rPr>
          <w:rFonts w:ascii="Lato" w:hAnsi="Lato"/>
          <w:b/>
          <w:bCs/>
          <w:lang w:val="en-US"/>
        </w:rPr>
        <w:t>guidan</w:t>
      </w:r>
      <w:r w:rsidR="00DE7BD3" w:rsidRPr="00E017B0">
        <w:rPr>
          <w:rFonts w:ascii="Lato" w:hAnsi="Lato"/>
          <w:b/>
          <w:bCs/>
          <w:lang w:val="en-US"/>
        </w:rPr>
        <w:t xml:space="preserve">ce </w:t>
      </w:r>
      <w:r w:rsidR="0075224B" w:rsidRPr="00E017B0">
        <w:rPr>
          <w:rFonts w:ascii="Lato" w:hAnsi="Lato"/>
          <w:b/>
          <w:bCs/>
          <w:lang w:val="en-US"/>
        </w:rPr>
        <w:t xml:space="preserve">explaining </w:t>
      </w:r>
      <w:r w:rsidR="001F38DB" w:rsidRPr="00E017B0">
        <w:rPr>
          <w:rFonts w:ascii="Lato" w:hAnsi="Lato"/>
          <w:b/>
          <w:bCs/>
          <w:lang w:val="en-US"/>
        </w:rPr>
        <w:t xml:space="preserve">what </w:t>
      </w:r>
      <w:r w:rsidR="00DE7BD3" w:rsidRPr="00E017B0">
        <w:rPr>
          <w:rFonts w:ascii="Lato" w:hAnsi="Lato"/>
          <w:b/>
          <w:bCs/>
          <w:lang w:val="en-US"/>
        </w:rPr>
        <w:t xml:space="preserve">can </w:t>
      </w:r>
      <w:r w:rsidR="001F38DB" w:rsidRPr="00E017B0">
        <w:rPr>
          <w:rFonts w:ascii="Lato" w:hAnsi="Lato"/>
          <w:b/>
          <w:bCs/>
          <w:lang w:val="en-US"/>
        </w:rPr>
        <w:t>be considered reasonable accommodation</w:t>
      </w:r>
      <w:r w:rsidR="007E728A" w:rsidRPr="00E017B0">
        <w:rPr>
          <w:rFonts w:ascii="Lato" w:hAnsi="Lato"/>
          <w:b/>
          <w:bCs/>
          <w:lang w:val="en-US"/>
        </w:rPr>
        <w:t xml:space="preserve"> and that it must</w:t>
      </w:r>
      <w:r w:rsidR="001F38DB" w:rsidRPr="00E017B0">
        <w:rPr>
          <w:rFonts w:ascii="Lato" w:hAnsi="Lato"/>
          <w:b/>
          <w:bCs/>
          <w:lang w:val="en-US"/>
        </w:rPr>
        <w:t xml:space="preserve"> </w:t>
      </w:r>
      <w:r w:rsidR="00DE7BD3" w:rsidRPr="00E017B0">
        <w:rPr>
          <w:rFonts w:ascii="Lato" w:hAnsi="Lato"/>
          <w:b/>
          <w:bCs/>
          <w:lang w:val="en-US"/>
        </w:rPr>
        <w:t>be provided through all phases of employment</w:t>
      </w:r>
      <w:r w:rsidR="00DE7BD3" w:rsidRPr="00E017B0">
        <w:rPr>
          <w:rFonts w:ascii="Lato" w:hAnsi="Lato"/>
          <w:lang w:val="en-US"/>
        </w:rPr>
        <w:t>. This should include, but not be limited to</w:t>
      </w:r>
      <w:r w:rsidR="00B56E20" w:rsidRPr="00E017B0">
        <w:rPr>
          <w:rFonts w:ascii="Lato" w:hAnsi="Lato"/>
          <w:lang w:val="en-US"/>
        </w:rPr>
        <w:t>:</w:t>
      </w:r>
      <w:r w:rsidR="00DE7BD3" w:rsidRPr="00E017B0">
        <w:rPr>
          <w:rFonts w:ascii="Lato" w:hAnsi="Lato"/>
          <w:lang w:val="en-US"/>
        </w:rPr>
        <w:t xml:space="preserve"> </w:t>
      </w:r>
      <w:r w:rsidR="001F38DB" w:rsidRPr="00E017B0">
        <w:rPr>
          <w:rFonts w:ascii="Lato" w:hAnsi="Lato"/>
          <w:lang w:val="en-US"/>
        </w:rPr>
        <w:t xml:space="preserve">accessible </w:t>
      </w:r>
      <w:r w:rsidR="00DE7BD3" w:rsidRPr="00E017B0">
        <w:rPr>
          <w:rFonts w:ascii="Lato" w:hAnsi="Lato"/>
          <w:lang w:val="en-US"/>
        </w:rPr>
        <w:t xml:space="preserve">and inclusive </w:t>
      </w:r>
      <w:r w:rsidR="001F38DB" w:rsidRPr="00E017B0">
        <w:rPr>
          <w:rFonts w:ascii="Lato" w:hAnsi="Lato"/>
          <w:lang w:val="en-US"/>
        </w:rPr>
        <w:t xml:space="preserve">recruitment </w:t>
      </w:r>
      <w:r w:rsidR="00DE7BD3" w:rsidRPr="00E017B0">
        <w:rPr>
          <w:rFonts w:ascii="Lato" w:hAnsi="Lato"/>
          <w:lang w:val="en-US"/>
        </w:rPr>
        <w:t xml:space="preserve">and selection </w:t>
      </w:r>
      <w:r w:rsidR="001F38DB" w:rsidRPr="00E017B0">
        <w:rPr>
          <w:rFonts w:ascii="Lato" w:hAnsi="Lato"/>
          <w:lang w:val="en-US"/>
        </w:rPr>
        <w:t>processes, adapted work environments, flexible work</w:t>
      </w:r>
      <w:r w:rsidR="00B56E20" w:rsidRPr="00E017B0">
        <w:rPr>
          <w:rFonts w:ascii="Lato" w:hAnsi="Lato"/>
          <w:lang w:val="en-US"/>
        </w:rPr>
        <w:t xml:space="preserve"> schedules</w:t>
      </w:r>
      <w:r w:rsidR="001F38DB" w:rsidRPr="00E017B0">
        <w:rPr>
          <w:rFonts w:ascii="Lato" w:hAnsi="Lato"/>
          <w:lang w:val="en-US"/>
        </w:rPr>
        <w:t xml:space="preserve"> and arrangements, the provision of assistive technologies</w:t>
      </w:r>
      <w:r w:rsidR="00DE7BD3" w:rsidRPr="00E017B0">
        <w:rPr>
          <w:rFonts w:ascii="Lato" w:hAnsi="Lato"/>
          <w:lang w:val="en-US"/>
        </w:rPr>
        <w:t xml:space="preserve">, </w:t>
      </w:r>
      <w:r w:rsidR="00B56E20" w:rsidRPr="00E017B0">
        <w:rPr>
          <w:rFonts w:ascii="Lato" w:hAnsi="Lato"/>
          <w:lang w:val="en-US"/>
        </w:rPr>
        <w:t xml:space="preserve">support to travel to and from work, </w:t>
      </w:r>
      <w:r w:rsidR="00DE7BD3" w:rsidRPr="00E017B0">
        <w:rPr>
          <w:rFonts w:ascii="Lato" w:hAnsi="Lato"/>
          <w:lang w:val="en-US"/>
        </w:rPr>
        <w:t>as well as employer obligations such as pensions</w:t>
      </w:r>
      <w:r w:rsidR="00B56E20" w:rsidRPr="00E017B0">
        <w:rPr>
          <w:rFonts w:ascii="Lato" w:hAnsi="Lato"/>
          <w:lang w:val="en-US"/>
        </w:rPr>
        <w:t xml:space="preserve">. </w:t>
      </w:r>
      <w:r w:rsidR="009D7168" w:rsidRPr="00E017B0">
        <w:rPr>
          <w:rFonts w:ascii="Lato" w:hAnsi="Lato"/>
          <w:lang w:val="en-US"/>
        </w:rPr>
        <w:t xml:space="preserve">The General Comment should also </w:t>
      </w:r>
      <w:r w:rsidR="009D7168" w:rsidRPr="00E017B0">
        <w:rPr>
          <w:rFonts w:ascii="Lato" w:hAnsi="Lato"/>
          <w:b/>
          <w:bCs/>
          <w:lang w:val="en-US"/>
        </w:rPr>
        <w:t xml:space="preserve">cover the need for </w:t>
      </w:r>
      <w:r w:rsidR="001F38DB" w:rsidRPr="00E017B0">
        <w:rPr>
          <w:rFonts w:ascii="Lato" w:hAnsi="Lato"/>
          <w:b/>
          <w:bCs/>
          <w:lang w:val="en-US"/>
        </w:rPr>
        <w:t xml:space="preserve">States </w:t>
      </w:r>
      <w:r w:rsidR="009D7168" w:rsidRPr="00E017B0">
        <w:rPr>
          <w:rFonts w:ascii="Lato" w:hAnsi="Lato"/>
          <w:b/>
          <w:bCs/>
          <w:lang w:val="en-US"/>
        </w:rPr>
        <w:t>to</w:t>
      </w:r>
      <w:r w:rsidR="001F38DB" w:rsidRPr="00E017B0">
        <w:rPr>
          <w:rFonts w:ascii="Lato" w:hAnsi="Lato"/>
          <w:b/>
          <w:bCs/>
          <w:lang w:val="en-US"/>
        </w:rPr>
        <w:t xml:space="preserve"> provide</w:t>
      </w:r>
      <w:r w:rsidR="00DE7BD3" w:rsidRPr="00E017B0">
        <w:rPr>
          <w:rFonts w:ascii="Lato" w:hAnsi="Lato"/>
          <w:b/>
          <w:bCs/>
          <w:lang w:val="en-US"/>
        </w:rPr>
        <w:t xml:space="preserve"> technical and </w:t>
      </w:r>
      <w:r w:rsidR="001F38DB" w:rsidRPr="00E017B0">
        <w:rPr>
          <w:rFonts w:ascii="Lato" w:hAnsi="Lato"/>
          <w:b/>
          <w:bCs/>
          <w:lang w:val="en-US"/>
        </w:rPr>
        <w:t xml:space="preserve">financial support to </w:t>
      </w:r>
      <w:r w:rsidR="00DE7BD3" w:rsidRPr="00E017B0">
        <w:rPr>
          <w:rFonts w:ascii="Lato" w:hAnsi="Lato"/>
          <w:b/>
          <w:bCs/>
          <w:lang w:val="en-US"/>
        </w:rPr>
        <w:t>employers to facilitate the provision of reasonable accommodation</w:t>
      </w:r>
      <w:r w:rsidR="005303C6" w:rsidRPr="00E017B0">
        <w:rPr>
          <w:rFonts w:ascii="Lato" w:hAnsi="Lato"/>
          <w:b/>
          <w:bCs/>
          <w:lang w:val="en-US"/>
        </w:rPr>
        <w:t>, including by earmarking appropriate funds for that purpose and training public officials to ensure effective implementation</w:t>
      </w:r>
      <w:r w:rsidR="005303C6" w:rsidRPr="00E017B0">
        <w:rPr>
          <w:rStyle w:val="FootnoteReference"/>
          <w:rFonts w:ascii="Lato" w:hAnsi="Lato"/>
          <w:lang w:val="en-US"/>
        </w:rPr>
        <w:footnoteReference w:id="27"/>
      </w:r>
      <w:r w:rsidR="00DE7BD3" w:rsidRPr="00E017B0">
        <w:rPr>
          <w:rFonts w:ascii="Lato" w:hAnsi="Lato"/>
          <w:lang w:val="en-US"/>
        </w:rPr>
        <w:t>.</w:t>
      </w:r>
      <w:r w:rsidR="00B56E20" w:rsidRPr="00E017B0">
        <w:rPr>
          <w:rFonts w:ascii="Lato" w:hAnsi="Lato"/>
          <w:lang w:val="en-US"/>
        </w:rPr>
        <w:t xml:space="preserve"> It is also essential for the person with disability to be involved in </w:t>
      </w:r>
      <w:r w:rsidR="00C65213" w:rsidRPr="00E017B0">
        <w:rPr>
          <w:rFonts w:ascii="Lato" w:hAnsi="Lato"/>
          <w:lang w:val="en-US"/>
        </w:rPr>
        <w:t>identifying</w:t>
      </w:r>
      <w:r w:rsidR="00B56E20" w:rsidRPr="00E017B0">
        <w:rPr>
          <w:rFonts w:ascii="Lato" w:hAnsi="Lato"/>
          <w:lang w:val="en-US"/>
        </w:rPr>
        <w:t xml:space="preserve"> what kind of support they need</w:t>
      </w:r>
      <w:r w:rsidRPr="00E017B0">
        <w:rPr>
          <w:rFonts w:ascii="Lato" w:hAnsi="Lato"/>
          <w:lang w:val="en-US"/>
        </w:rPr>
        <w:t xml:space="preserve">, which may change and needs to be reviewed over time. </w:t>
      </w:r>
    </w:p>
    <w:p w14:paraId="16A86A08" w14:textId="046A8047" w:rsidR="00837A0D" w:rsidRDefault="00837A0D" w:rsidP="00E017B0">
      <w:pPr>
        <w:rPr>
          <w:rFonts w:ascii="Lato" w:hAnsi="Lato"/>
          <w:lang w:val="en-US"/>
        </w:rPr>
      </w:pPr>
      <w:r w:rsidRPr="00E017B0">
        <w:rPr>
          <w:rFonts w:ascii="Lato" w:hAnsi="Lato"/>
          <w:lang w:val="en-US"/>
        </w:rPr>
        <w:t>The adoption of legislati</w:t>
      </w:r>
      <w:r w:rsidR="005303C6" w:rsidRPr="00E017B0">
        <w:rPr>
          <w:rFonts w:ascii="Lato" w:hAnsi="Lato"/>
          <w:lang w:val="en-US"/>
        </w:rPr>
        <w:t xml:space="preserve">ve and policy frameworks that define the </w:t>
      </w:r>
      <w:r w:rsidRPr="00E017B0">
        <w:rPr>
          <w:rFonts w:ascii="Lato" w:hAnsi="Lato"/>
          <w:lang w:val="en-US"/>
        </w:rPr>
        <w:t xml:space="preserve">denial of reasonable accommodation as </w:t>
      </w:r>
      <w:r w:rsidR="005303C6" w:rsidRPr="00E017B0">
        <w:rPr>
          <w:rFonts w:ascii="Lato" w:hAnsi="Lato"/>
          <w:lang w:val="en-US"/>
        </w:rPr>
        <w:t xml:space="preserve">a form of </w:t>
      </w:r>
      <w:r w:rsidRPr="00E017B0">
        <w:rPr>
          <w:rFonts w:ascii="Lato" w:hAnsi="Lato"/>
          <w:lang w:val="en-US"/>
        </w:rPr>
        <w:t xml:space="preserve">discrimination </w:t>
      </w:r>
      <w:r w:rsidR="005303C6" w:rsidRPr="00E017B0">
        <w:rPr>
          <w:rFonts w:ascii="Lato" w:hAnsi="Lato"/>
          <w:lang w:val="en-US"/>
        </w:rPr>
        <w:t xml:space="preserve">on the basis of disability </w:t>
      </w:r>
      <w:r w:rsidRPr="00E017B0">
        <w:rPr>
          <w:rFonts w:ascii="Lato" w:hAnsi="Lato"/>
          <w:lang w:val="en-US"/>
        </w:rPr>
        <w:t xml:space="preserve">is </w:t>
      </w:r>
      <w:r w:rsidRPr="00E017B0">
        <w:rPr>
          <w:rFonts w:ascii="Lato" w:hAnsi="Lato"/>
          <w:lang w:val="en-US"/>
        </w:rPr>
        <w:lastRenderedPageBreak/>
        <w:t>a</w:t>
      </w:r>
      <w:r w:rsidR="005303C6" w:rsidRPr="00E017B0">
        <w:rPr>
          <w:rFonts w:ascii="Lato" w:hAnsi="Lato"/>
          <w:lang w:val="en-US"/>
        </w:rPr>
        <w:t>n important</w:t>
      </w:r>
      <w:r w:rsidRPr="00E017B0">
        <w:rPr>
          <w:rFonts w:ascii="Lato" w:hAnsi="Lato"/>
          <w:lang w:val="en-US"/>
        </w:rPr>
        <w:t xml:space="preserve"> step, but unless such </w:t>
      </w:r>
      <w:r w:rsidR="00A82A40" w:rsidRPr="00E017B0">
        <w:rPr>
          <w:rFonts w:ascii="Lato" w:hAnsi="Lato"/>
          <w:lang w:val="en-US"/>
        </w:rPr>
        <w:t>frameworks</w:t>
      </w:r>
      <w:r w:rsidRPr="00E017B0">
        <w:rPr>
          <w:rFonts w:ascii="Lato" w:hAnsi="Lato"/>
          <w:lang w:val="en-US"/>
        </w:rPr>
        <w:t xml:space="preserve"> are accompanied by </w:t>
      </w:r>
      <w:r w:rsidR="005303C6" w:rsidRPr="00E017B0">
        <w:rPr>
          <w:rFonts w:ascii="Lato" w:hAnsi="Lato"/>
          <w:lang w:val="en-US"/>
        </w:rPr>
        <w:t xml:space="preserve">clear guidance, technical and </w:t>
      </w:r>
      <w:r w:rsidRPr="00E017B0">
        <w:rPr>
          <w:rFonts w:ascii="Lato" w:hAnsi="Lato"/>
          <w:lang w:val="en-US"/>
        </w:rPr>
        <w:t xml:space="preserve">financial support and effective accountability mechanisms, they will fail to ensure a change in attitudes and more equal opportunities in the workplace. </w:t>
      </w:r>
      <w:r w:rsidR="009D7168" w:rsidRPr="00E017B0">
        <w:rPr>
          <w:rFonts w:ascii="Lato" w:hAnsi="Lato"/>
          <w:lang w:val="en-US"/>
        </w:rPr>
        <w:t xml:space="preserve">The General Comment should </w:t>
      </w:r>
      <w:r w:rsidR="009D7168" w:rsidRPr="00E017B0">
        <w:rPr>
          <w:rFonts w:ascii="Lato" w:hAnsi="Lato"/>
          <w:b/>
          <w:bCs/>
          <w:lang w:val="en-US"/>
        </w:rPr>
        <w:t xml:space="preserve">include the responsibility of </w:t>
      </w:r>
      <w:r w:rsidR="005303C6" w:rsidRPr="00E017B0">
        <w:rPr>
          <w:rFonts w:ascii="Lato" w:hAnsi="Lato"/>
          <w:b/>
          <w:bCs/>
        </w:rPr>
        <w:t xml:space="preserve">States </w:t>
      </w:r>
      <w:r w:rsidR="009D7168" w:rsidRPr="00E017B0">
        <w:rPr>
          <w:rFonts w:ascii="Lato" w:hAnsi="Lato"/>
          <w:b/>
          <w:bCs/>
        </w:rPr>
        <w:t>to</w:t>
      </w:r>
      <w:r w:rsidR="005303C6" w:rsidRPr="00E017B0">
        <w:rPr>
          <w:rFonts w:ascii="Lato" w:hAnsi="Lato"/>
          <w:b/>
          <w:bCs/>
        </w:rPr>
        <w:t xml:space="preserve"> enforce the provision of reasonable accommodation in both the public and private sectors and </w:t>
      </w:r>
      <w:r w:rsidR="009D7168" w:rsidRPr="00E017B0">
        <w:rPr>
          <w:rFonts w:ascii="Lato" w:hAnsi="Lato"/>
          <w:b/>
          <w:bCs/>
        </w:rPr>
        <w:t xml:space="preserve">make sure </w:t>
      </w:r>
      <w:r w:rsidR="005303C6" w:rsidRPr="00E017B0">
        <w:rPr>
          <w:rFonts w:ascii="Lato" w:hAnsi="Lato"/>
          <w:b/>
          <w:bCs/>
        </w:rPr>
        <w:t>p</w:t>
      </w:r>
      <w:r w:rsidRPr="00E017B0">
        <w:rPr>
          <w:rFonts w:ascii="Lato" w:hAnsi="Lato"/>
          <w:b/>
          <w:bCs/>
          <w:lang w:val="en-US"/>
        </w:rPr>
        <w:t xml:space="preserve">ersons with disabilities </w:t>
      </w:r>
      <w:r w:rsidR="009D7168" w:rsidRPr="00E017B0">
        <w:rPr>
          <w:rFonts w:ascii="Lato" w:hAnsi="Lato"/>
          <w:b/>
          <w:bCs/>
          <w:lang w:val="en-US"/>
        </w:rPr>
        <w:t xml:space="preserve">can </w:t>
      </w:r>
      <w:r w:rsidRPr="00E017B0">
        <w:rPr>
          <w:rFonts w:ascii="Lato" w:hAnsi="Lato"/>
          <w:b/>
          <w:bCs/>
          <w:lang w:val="en-US"/>
        </w:rPr>
        <w:t>access effective accountability mechanisms</w:t>
      </w:r>
      <w:r w:rsidR="00B34DAF">
        <w:rPr>
          <w:rFonts w:ascii="Lato" w:hAnsi="Lato"/>
          <w:lang w:val="en-US"/>
        </w:rPr>
        <w:t xml:space="preserve"> </w:t>
      </w:r>
      <w:r w:rsidRPr="00E017B0">
        <w:rPr>
          <w:rFonts w:ascii="Lato" w:hAnsi="Lato"/>
          <w:lang w:val="en-US"/>
        </w:rPr>
        <w:t xml:space="preserve">to challenge discrimination in employment, including in the case of lack of provision of effective accommodation. </w:t>
      </w:r>
    </w:p>
    <w:p w14:paraId="62561910" w14:textId="77777777" w:rsidR="00E017B0" w:rsidRPr="00E017B0" w:rsidRDefault="00E017B0" w:rsidP="00E017B0">
      <w:pPr>
        <w:rPr>
          <w:rFonts w:ascii="Lato" w:hAnsi="Lato"/>
          <w:lang w:val="en-US"/>
        </w:rPr>
      </w:pPr>
    </w:p>
    <w:p w14:paraId="3814A861" w14:textId="5F59F9E9" w:rsidR="00F0267A" w:rsidRPr="00E017B0" w:rsidRDefault="00F0267A" w:rsidP="00E017B0">
      <w:pPr>
        <w:pStyle w:val="Heading1"/>
        <w:spacing w:after="160"/>
        <w:rPr>
          <w:rFonts w:ascii="Lato" w:hAnsi="Lato"/>
          <w:sz w:val="28"/>
          <w:lang w:val="en-US"/>
        </w:rPr>
      </w:pPr>
      <w:r w:rsidRPr="00E017B0">
        <w:rPr>
          <w:rFonts w:ascii="Lato" w:hAnsi="Lato"/>
          <w:sz w:val="28"/>
          <w:lang w:val="en-US"/>
        </w:rPr>
        <w:t xml:space="preserve">Relationship with other provisions of the CRPD </w:t>
      </w:r>
    </w:p>
    <w:p w14:paraId="053039DD" w14:textId="4371F109" w:rsidR="00260BBB" w:rsidRPr="00E017B0" w:rsidRDefault="00260BBB" w:rsidP="00E017B0">
      <w:pPr>
        <w:rPr>
          <w:rFonts w:ascii="Lato" w:hAnsi="Lato"/>
          <w:spacing w:val="2"/>
          <w:shd w:val="clear" w:color="auto" w:fill="FCFCFC"/>
        </w:rPr>
      </w:pPr>
      <w:r w:rsidRPr="00E017B0">
        <w:rPr>
          <w:rFonts w:ascii="Lato" w:hAnsi="Lato"/>
          <w:spacing w:val="2"/>
          <w:shd w:val="clear" w:color="auto" w:fill="FCFCFC"/>
        </w:rPr>
        <w:t xml:space="preserve">The right to work is a fundamental right and essential for realising many other rights, including ensuring the economic independence of persons with disabilities and their families and allowing them to live in dignity. The full realisation of Article 27 is therefore closely linked to many other articles of the convention which </w:t>
      </w:r>
      <w:r w:rsidR="00B34DAF">
        <w:rPr>
          <w:rFonts w:ascii="Lato" w:hAnsi="Lato"/>
          <w:spacing w:val="2"/>
          <w:shd w:val="clear" w:color="auto" w:fill="FCFCFC"/>
        </w:rPr>
        <w:t xml:space="preserve">are </w:t>
      </w:r>
      <w:r w:rsidRPr="00E017B0">
        <w:rPr>
          <w:rFonts w:ascii="Lato" w:hAnsi="Lato"/>
          <w:spacing w:val="2"/>
          <w:shd w:val="clear" w:color="auto" w:fill="FCFCFC"/>
        </w:rPr>
        <w:t>mentioned above and further outlined below:</w:t>
      </w:r>
    </w:p>
    <w:p w14:paraId="1E043E3D" w14:textId="4194D06A" w:rsidR="004223E6" w:rsidRPr="00E017B0" w:rsidRDefault="004223E6" w:rsidP="00E017B0">
      <w:pPr>
        <w:rPr>
          <w:rFonts w:ascii="Lato" w:hAnsi="Lato"/>
          <w:spacing w:val="2"/>
          <w:shd w:val="clear" w:color="auto" w:fill="FCFCFC"/>
        </w:rPr>
      </w:pPr>
      <w:r w:rsidRPr="00E017B0">
        <w:rPr>
          <w:rFonts w:ascii="Lato" w:hAnsi="Lato"/>
          <w:b/>
          <w:bCs/>
          <w:spacing w:val="2"/>
          <w:shd w:val="clear" w:color="auto" w:fill="FCFCFC"/>
        </w:rPr>
        <w:t xml:space="preserve">Article 6 </w:t>
      </w:r>
      <w:r w:rsidR="008E2EF5">
        <w:rPr>
          <w:rFonts w:ascii="Lato" w:hAnsi="Lato"/>
          <w:spacing w:val="2"/>
          <w:shd w:val="clear" w:color="auto" w:fill="FCFCFC"/>
        </w:rPr>
        <w:t>given</w:t>
      </w:r>
      <w:r w:rsidR="00370EC1" w:rsidRPr="00E017B0">
        <w:rPr>
          <w:rFonts w:ascii="Lato" w:hAnsi="Lato"/>
          <w:spacing w:val="2"/>
          <w:shd w:val="clear" w:color="auto" w:fill="FCFCFC"/>
        </w:rPr>
        <w:t xml:space="preserve"> the particular challenges faced by</w:t>
      </w:r>
      <w:r w:rsidR="00370EC1" w:rsidRPr="00E017B0">
        <w:rPr>
          <w:rFonts w:ascii="Lato" w:hAnsi="Lato"/>
          <w:b/>
          <w:bCs/>
          <w:spacing w:val="2"/>
          <w:shd w:val="clear" w:color="auto" w:fill="FCFCFC"/>
        </w:rPr>
        <w:t xml:space="preserve"> </w:t>
      </w:r>
      <w:r w:rsidRPr="00E017B0">
        <w:rPr>
          <w:rFonts w:ascii="Lato" w:hAnsi="Lato"/>
          <w:spacing w:val="2"/>
          <w:shd w:val="clear" w:color="auto" w:fill="FCFCFC"/>
        </w:rPr>
        <w:t>women with disabilities</w:t>
      </w:r>
      <w:r w:rsidR="00370EC1" w:rsidRPr="00E017B0">
        <w:rPr>
          <w:rFonts w:ascii="Lato" w:hAnsi="Lato"/>
          <w:spacing w:val="2"/>
          <w:shd w:val="clear" w:color="auto" w:fill="FCFCFC"/>
        </w:rPr>
        <w:t xml:space="preserve"> in participating in the labour market, as they face </w:t>
      </w:r>
      <w:r w:rsidRPr="00E017B0">
        <w:rPr>
          <w:rFonts w:ascii="Lato" w:hAnsi="Lato"/>
          <w:spacing w:val="2"/>
          <w:shd w:val="clear" w:color="auto" w:fill="FCFCFC"/>
        </w:rPr>
        <w:t>compounding barriers to realising their right to work and accessing decent work opportunities on an equal basis and with equal pay.</w:t>
      </w:r>
    </w:p>
    <w:p w14:paraId="60E55DE3" w14:textId="01C00A54" w:rsidR="00260BBB" w:rsidRPr="00E017B0" w:rsidRDefault="00260BBB" w:rsidP="00E017B0">
      <w:pPr>
        <w:rPr>
          <w:rFonts w:ascii="Lato" w:hAnsi="Lato"/>
          <w:spacing w:val="2"/>
          <w:shd w:val="clear" w:color="auto" w:fill="FCFCFC"/>
        </w:rPr>
      </w:pPr>
      <w:r w:rsidRPr="00E017B0">
        <w:rPr>
          <w:rFonts w:ascii="Lato" w:hAnsi="Lato"/>
          <w:b/>
          <w:bCs/>
          <w:spacing w:val="2"/>
          <w:shd w:val="clear" w:color="auto" w:fill="FCFCFC"/>
        </w:rPr>
        <w:t>Article 8</w:t>
      </w:r>
      <w:r w:rsidRPr="00E017B0">
        <w:rPr>
          <w:rFonts w:ascii="Lato" w:hAnsi="Lato"/>
          <w:spacing w:val="2"/>
          <w:shd w:val="clear" w:color="auto" w:fill="FCFCFC"/>
        </w:rPr>
        <w:t xml:space="preserve"> on the need to raise awareness of the rights of persons with disabilities and combat discrimination, including by ensuring </w:t>
      </w:r>
      <w:r w:rsidR="004223E6" w:rsidRPr="00E017B0">
        <w:rPr>
          <w:rFonts w:ascii="Lato" w:hAnsi="Lato"/>
          <w:spacing w:val="2"/>
          <w:shd w:val="clear" w:color="auto" w:fill="FCFCFC"/>
        </w:rPr>
        <w:t xml:space="preserve">non-discrimination policies and legislation are well understood and effectively implemented. </w:t>
      </w:r>
    </w:p>
    <w:p w14:paraId="3F58E9AC" w14:textId="172A25D0" w:rsidR="004223E6" w:rsidRPr="00E017B0" w:rsidRDefault="004223E6" w:rsidP="00E017B0">
      <w:pPr>
        <w:rPr>
          <w:rFonts w:ascii="Lato" w:hAnsi="Lato"/>
          <w:spacing w:val="2"/>
          <w:shd w:val="clear" w:color="auto" w:fill="FCFCFC"/>
        </w:rPr>
      </w:pPr>
      <w:r w:rsidRPr="00E017B0">
        <w:rPr>
          <w:rFonts w:ascii="Lato" w:hAnsi="Lato"/>
          <w:b/>
          <w:bCs/>
          <w:spacing w:val="2"/>
          <w:shd w:val="clear" w:color="auto" w:fill="FCFCFC"/>
        </w:rPr>
        <w:lastRenderedPageBreak/>
        <w:t>Article 24</w:t>
      </w:r>
      <w:r w:rsidRPr="00E017B0">
        <w:rPr>
          <w:rFonts w:ascii="Lato" w:hAnsi="Lato"/>
          <w:spacing w:val="2"/>
          <w:shd w:val="clear" w:color="auto" w:fill="FCFCFC"/>
        </w:rPr>
        <w:t xml:space="preserve"> as inclusive education is an essential condition for individual development and which plays a key role in enabling participation in the labour market as well as the acquisition of lifelong skills and knowledge. </w:t>
      </w:r>
    </w:p>
    <w:p w14:paraId="46F95429" w14:textId="0C2A25DB" w:rsidR="004223E6" w:rsidRPr="00E017B0" w:rsidRDefault="004223E6" w:rsidP="00E017B0">
      <w:pPr>
        <w:rPr>
          <w:rFonts w:ascii="Lato" w:hAnsi="Lato"/>
          <w:spacing w:val="2"/>
          <w:shd w:val="clear" w:color="auto" w:fill="FCFCFC"/>
        </w:rPr>
      </w:pPr>
      <w:r w:rsidRPr="00E017B0">
        <w:rPr>
          <w:rFonts w:ascii="Lato" w:hAnsi="Lato"/>
          <w:b/>
          <w:bCs/>
          <w:spacing w:val="2"/>
          <w:shd w:val="clear" w:color="auto" w:fill="FCFCFC"/>
        </w:rPr>
        <w:t>Article 28</w:t>
      </w:r>
      <w:r w:rsidRPr="00E017B0">
        <w:rPr>
          <w:rFonts w:ascii="Lato" w:hAnsi="Lato"/>
          <w:spacing w:val="2"/>
          <w:shd w:val="clear" w:color="auto" w:fill="FCFCFC"/>
        </w:rPr>
        <w:t xml:space="preserve"> since social protection schemes, when well designed, can encourage and facilitate labour market participation and increase the resilience of persons with disabilities to crisis.</w:t>
      </w:r>
    </w:p>
    <w:p w14:paraId="3A9126EC" w14:textId="4B153452" w:rsidR="004223E6" w:rsidRPr="00E017B0" w:rsidRDefault="004223E6" w:rsidP="00E017B0">
      <w:pPr>
        <w:rPr>
          <w:rFonts w:ascii="Helvetica" w:eastAsia="Times New Roman" w:hAnsi="Helvetica" w:cs="Times New Roman"/>
          <w:color w:val="000000"/>
          <w:sz w:val="20"/>
          <w:szCs w:val="20"/>
          <w:lang w:eastAsia="en-GB"/>
        </w:rPr>
      </w:pPr>
      <w:r w:rsidRPr="00E017B0">
        <w:rPr>
          <w:rFonts w:ascii="Lato" w:hAnsi="Lato"/>
          <w:b/>
          <w:bCs/>
          <w:spacing w:val="2"/>
          <w:shd w:val="clear" w:color="auto" w:fill="FCFCFC"/>
        </w:rPr>
        <w:t>Article 32</w:t>
      </w:r>
      <w:r w:rsidRPr="00E017B0">
        <w:rPr>
          <w:rFonts w:ascii="Lato" w:hAnsi="Lato"/>
          <w:spacing w:val="2"/>
          <w:shd w:val="clear" w:color="auto" w:fill="FCFCFC"/>
        </w:rPr>
        <w:t xml:space="preserve"> as international cooperation can play an essential role in promoting and supporting efforts to increase the participation of persons with disabilities in the labour market, through </w:t>
      </w:r>
      <w:r w:rsidR="008E2EF5">
        <w:rPr>
          <w:rFonts w:ascii="Lato" w:hAnsi="Lato"/>
          <w:spacing w:val="2"/>
          <w:shd w:val="clear" w:color="auto" w:fill="FCFCFC"/>
        </w:rPr>
        <w:t xml:space="preserve">initiatives such as </w:t>
      </w:r>
      <w:r w:rsidRPr="00E017B0">
        <w:rPr>
          <w:rFonts w:ascii="Lato" w:hAnsi="Lato"/>
          <w:spacing w:val="2"/>
          <w:shd w:val="clear" w:color="auto" w:fill="FCFCFC"/>
        </w:rPr>
        <w:t xml:space="preserve">economic empowerment programmes, training and capacity building of persons with disabilities, </w:t>
      </w:r>
      <w:r w:rsidR="006C0782" w:rsidRPr="00E017B0">
        <w:rPr>
          <w:rFonts w:ascii="Lato" w:hAnsi="Lato"/>
          <w:spacing w:val="2"/>
          <w:shd w:val="clear" w:color="auto" w:fill="FCFCFC"/>
        </w:rPr>
        <w:t xml:space="preserve">as well as financial support and facilitated access to assistive technologies. </w:t>
      </w:r>
    </w:p>
    <w:p w14:paraId="0C0253FD" w14:textId="505CDB3D" w:rsidR="001F5BC3" w:rsidRPr="00E017B0" w:rsidRDefault="001F5BC3" w:rsidP="00E017B0"/>
    <w:p w14:paraId="5F6D4626" w14:textId="1A17F97F" w:rsidR="00561F3D" w:rsidRPr="00E017B0" w:rsidRDefault="00561F3D" w:rsidP="00E017B0">
      <w:pPr>
        <w:pStyle w:val="Heading1"/>
        <w:spacing w:after="160"/>
        <w:rPr>
          <w:rFonts w:ascii="Lato" w:hAnsi="Lato"/>
          <w:sz w:val="28"/>
          <w:lang w:val="en-US"/>
        </w:rPr>
      </w:pPr>
      <w:r w:rsidRPr="00E017B0">
        <w:rPr>
          <w:rFonts w:ascii="Lato" w:hAnsi="Lato"/>
          <w:sz w:val="28"/>
          <w:lang w:val="en-US"/>
        </w:rPr>
        <w:t>Further information</w:t>
      </w:r>
    </w:p>
    <w:p w14:paraId="10E0B20F" w14:textId="1EC6A3A1" w:rsidR="00561F3D" w:rsidRPr="00E017B0" w:rsidRDefault="00561F3D" w:rsidP="00E017B0">
      <w:pPr>
        <w:rPr>
          <w:rFonts w:ascii="Lato" w:hAnsi="Lato"/>
          <w:lang w:val="en-US"/>
        </w:rPr>
      </w:pPr>
      <w:r w:rsidRPr="00E017B0">
        <w:rPr>
          <w:rFonts w:ascii="Lato" w:hAnsi="Lato"/>
          <w:lang w:val="en-US"/>
        </w:rPr>
        <w:t xml:space="preserve">This submission was prepared by </w:t>
      </w:r>
      <w:r w:rsidR="00991DE3" w:rsidRPr="00E017B0">
        <w:rPr>
          <w:rFonts w:ascii="Lato" w:hAnsi="Lato"/>
          <w:lang w:val="en-US"/>
        </w:rPr>
        <w:t>Mariana Rudge, Senior Policy Adviser on Social Inclusion and Inclusive Education</w:t>
      </w:r>
      <w:r w:rsidRPr="00E017B0">
        <w:rPr>
          <w:rFonts w:ascii="Lato" w:hAnsi="Lato"/>
          <w:lang w:val="en-US"/>
        </w:rPr>
        <w:t xml:space="preserve"> at Sightsavers. </w:t>
      </w:r>
    </w:p>
    <w:p w14:paraId="6B740B7C" w14:textId="0485ADEF" w:rsidR="00561F3D" w:rsidRPr="00561F3D" w:rsidRDefault="00561F3D" w:rsidP="00E017B0">
      <w:pPr>
        <w:rPr>
          <w:rFonts w:ascii="Lato" w:hAnsi="Lato"/>
          <w:lang w:val="en-US"/>
        </w:rPr>
      </w:pPr>
      <w:r w:rsidRPr="00E017B0">
        <w:rPr>
          <w:rFonts w:ascii="Lato" w:hAnsi="Lato"/>
          <w:lang w:val="en-US"/>
        </w:rPr>
        <w:t xml:space="preserve">For further information please contact: </w:t>
      </w:r>
      <w:hyperlink r:id="rId8" w:history="1">
        <w:r w:rsidR="00991DE3" w:rsidRPr="00E017B0">
          <w:rPr>
            <w:rStyle w:val="Hyperlink"/>
            <w:rFonts w:ascii="Lato" w:hAnsi="Lato"/>
            <w:lang w:val="en-US"/>
          </w:rPr>
          <w:t>mrudge@sightsavers.org</w:t>
        </w:r>
      </w:hyperlink>
      <w:r w:rsidR="00991DE3">
        <w:rPr>
          <w:rFonts w:ascii="Lato" w:hAnsi="Lato"/>
          <w:lang w:val="en-US"/>
        </w:rPr>
        <w:t xml:space="preserve"> </w:t>
      </w:r>
    </w:p>
    <w:sectPr w:rsidR="00561F3D" w:rsidRPr="00561F3D" w:rsidSect="001921FD">
      <w:footerReference w:type="default" r:id="rId9"/>
      <w:pgSz w:w="11906" w:h="16838" w:code="9"/>
      <w:pgMar w:top="1134" w:right="680" w:bottom="1701"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B2D46" w14:textId="77777777" w:rsidR="0026631E" w:rsidRDefault="0026631E" w:rsidP="004D189A">
      <w:pPr>
        <w:spacing w:after="0" w:line="240" w:lineRule="auto"/>
      </w:pPr>
      <w:r>
        <w:separator/>
      </w:r>
    </w:p>
  </w:endnote>
  <w:endnote w:type="continuationSeparator" w:id="0">
    <w:p w14:paraId="536A4557" w14:textId="77777777" w:rsidR="0026631E" w:rsidRDefault="0026631E" w:rsidP="004D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00000001"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D6FD6" w14:textId="6C390213" w:rsidR="002F796E" w:rsidRPr="00AF03AB" w:rsidRDefault="002F796E">
    <w:pPr>
      <w:pStyle w:val="Footer"/>
      <w:rPr>
        <w:rFonts w:ascii="Lato" w:hAnsi="Lato"/>
      </w:rPr>
    </w:pPr>
    <w:r w:rsidRPr="00AF03AB">
      <w:rPr>
        <w:rFonts w:ascii="Lato" w:hAnsi="Lato"/>
        <w:noProof/>
        <w:lang w:eastAsia="en-GB"/>
      </w:rPr>
      <w:drawing>
        <wp:anchor distT="0" distB="0" distL="114300" distR="114300" simplePos="0" relativeHeight="251657728" behindDoc="1" locked="0" layoutInCell="1" allowOverlap="1" wp14:anchorId="259E1F62" wp14:editId="3E26C1CD">
          <wp:simplePos x="0" y="0"/>
          <wp:positionH relativeFrom="column">
            <wp:posOffset>5280231</wp:posOffset>
          </wp:positionH>
          <wp:positionV relativeFrom="paragraph">
            <wp:posOffset>-115846</wp:posOffset>
          </wp:positionV>
          <wp:extent cx="1403985" cy="340525"/>
          <wp:effectExtent l="0" t="0" r="571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Z_RY_TK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340525"/>
                  </a:xfrm>
                  <a:prstGeom prst="rect">
                    <a:avLst/>
                  </a:prstGeom>
                </pic:spPr>
              </pic:pic>
            </a:graphicData>
          </a:graphic>
          <wp14:sizeRelH relativeFrom="page">
            <wp14:pctWidth>0</wp14:pctWidth>
          </wp14:sizeRelH>
          <wp14:sizeRelV relativeFrom="page">
            <wp14:pctHeight>0</wp14:pctHeight>
          </wp14:sizeRelV>
        </wp:anchor>
      </w:drawing>
    </w:r>
    <w:r w:rsidRPr="00AF03AB">
      <w:rPr>
        <w:rFonts w:ascii="Lato" w:hAnsi="Lato"/>
      </w:rPr>
      <w:fldChar w:fldCharType="begin"/>
    </w:r>
    <w:r w:rsidRPr="00AF03AB">
      <w:rPr>
        <w:rFonts w:ascii="Lato" w:hAnsi="Lato"/>
      </w:rPr>
      <w:instrText xml:space="preserve"> PAGE   \* MERGEFORMAT </w:instrText>
    </w:r>
    <w:r w:rsidRPr="00AF03AB">
      <w:rPr>
        <w:rFonts w:ascii="Lato" w:hAnsi="Lato"/>
      </w:rPr>
      <w:fldChar w:fldCharType="separate"/>
    </w:r>
    <w:r w:rsidR="00080E3E">
      <w:rPr>
        <w:rFonts w:ascii="Lato" w:hAnsi="Lato"/>
        <w:noProof/>
      </w:rPr>
      <w:t>2</w:t>
    </w:r>
    <w:r w:rsidRPr="00AF03AB">
      <w:rPr>
        <w:rFonts w:ascii="Lato" w:hAnsi="Lato"/>
        <w:noProof/>
      </w:rPr>
      <w:fldChar w:fldCharType="end"/>
    </w:r>
    <w:r w:rsidRPr="00AF03AB">
      <w:rPr>
        <w:rFonts w:ascii="Lato" w:hAnsi="Lato"/>
        <w:noProof/>
        <w:lang w:eastAsia="en-GB"/>
      </w:rPr>
      <mc:AlternateContent>
        <mc:Choice Requires="wps">
          <w:drawing>
            <wp:anchor distT="0" distB="0" distL="114300" distR="114300" simplePos="0" relativeHeight="251656704" behindDoc="0" locked="0" layoutInCell="1" allowOverlap="1" wp14:anchorId="6FE5AF16" wp14:editId="597AC21F">
              <wp:simplePos x="0" y="0"/>
              <wp:positionH relativeFrom="page">
                <wp:posOffset>0</wp:posOffset>
              </wp:positionH>
              <wp:positionV relativeFrom="page">
                <wp:posOffset>9792970</wp:posOffset>
              </wp:positionV>
              <wp:extent cx="7560000" cy="0"/>
              <wp:effectExtent l="0" t="19050" r="3175" b="19050"/>
              <wp:wrapNone/>
              <wp:docPr id="35" name="Straight Connector 35"/>
              <wp:cNvGraphicFramePr/>
              <a:graphic xmlns:a="http://schemas.openxmlformats.org/drawingml/2006/main">
                <a:graphicData uri="http://schemas.microsoft.com/office/word/2010/wordprocessingShape">
                  <wps:wsp>
                    <wps:cNvCnPr/>
                    <wps:spPr>
                      <a:xfrm>
                        <a:off x="0" y="0"/>
                        <a:ext cx="7560000" cy="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30A160" id="Straight Connector 35"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71.1pt" to="595.3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770QEAAPYDAAAOAAAAZHJzL2Uyb0RvYy54bWysU8GO0zAQvSPxD5bvNGlRd1dR0z20gguC&#10;ioUP8DrjxpLtsWzTJH/P2GmzCJAQiBwc2zPvzbxne/c4WsMuEKJG1/L1quYMnMROu3PLv3559+aB&#10;s5iE64RBBy2fIPLH/etXu8E3sMEeTQeBEYmLzeBb3qfkm6qKsgcr4go9OAoqDFYkWoZz1QUxELs1&#10;1aau76oBQ+cDSoiRdo9zkO8Lv1Ig0yelIiRmWk69pTKGMj7nsdrvRHMOwvdaXtsQ/9CFFdpR0YXq&#10;KJJg34L+hcpqGTCiSiuJtkKltISigdSs65/UPPXCQ9FC5kS/2BT/H638eDkFpruWv91y5oSlM3pK&#10;Qehzn9gBnSMHMTAKklODjw0BDu4UrqvoTyHLHlWw+U+C2FjcnRZ3YUxM0ub99q6mjzN5i1UvQB9i&#10;eg9oWZ603GiXhYtGXD7ERMUo9ZaSt41jQ8s3D9v7bUnLsaOIPbsIOug4xSOm3DHBjKNf7nzutczS&#10;ZGCm+QyK1FN368JT7h0cTJiJhJTg0nphouwMU9qYBVj/GXjNz1Aod/JvwAuiVEaXFrDVDsPvqqfx&#10;1rKa828OzLqzBc/YTeUUizV0uYpX14eQb++P6wJ/ea777wAAAP//AwBQSwMEFAAGAAgAAAAhAMlJ&#10;9tPdAAAACwEAAA8AAABkcnMvZG93bnJldi54bWxMj0FLw0AQhe+C/2EZwZvdJJigaTZFBPEiYqqF&#10;HqfZMQnNzobdbRv/vduD2OO893jzvWo1m1EcyfnBsoJ0kYAgbq0euFPw9fly9wDCB2SNo2VS8EMe&#10;VvX1VYWltidu6LgOnYgl7EtU0IcwlVL6tieDfmEn4uh9W2cwxNN1Ujs8xXIzyixJCmlw4Pihx4me&#10;e2r364NRsC/SzTY3XZAfzfv02jQu37w5pW5v5qcliEBz+A/DGT+iQx2ZdvbA2otRQRwSoprfZxmI&#10;s58+JgWI3Z8m60pebqh/AQAA//8DAFBLAQItABQABgAIAAAAIQC2gziS/gAAAOEBAAATAAAAAAAA&#10;AAAAAAAAAAAAAABbQ29udGVudF9UeXBlc10ueG1sUEsBAi0AFAAGAAgAAAAhADj9If/WAAAAlAEA&#10;AAsAAAAAAAAAAAAAAAAALwEAAF9yZWxzLy5yZWxzUEsBAi0AFAAGAAgAAAAhAAq2TvvRAQAA9gMA&#10;AA4AAAAAAAAAAAAAAAAALgIAAGRycy9lMm9Eb2MueG1sUEsBAi0AFAAGAAgAAAAhAMlJ9tPdAAAA&#10;CwEAAA8AAAAAAAAAAAAAAAAAKwQAAGRycy9kb3ducmV2LnhtbFBLBQYAAAAABAAEAPMAAAA1BQAA&#10;AAA=&#10;" strokecolor="#ffb513 [3044]" strokeweight="2.25pt">
              <v:stroke dashstyle="1 1"/>
              <w10:wrap anchorx="page" anchory="page"/>
            </v:line>
          </w:pict>
        </mc:Fallback>
      </mc:AlternateContent>
    </w:r>
    <w:r>
      <w:rPr>
        <w:noProof/>
      </w:rPr>
      <w:t xml:space="preserve"> | </w:t>
    </w:r>
    <w:r w:rsidR="00303C50" w:rsidRPr="00303C50">
      <w:rPr>
        <w:noProof/>
      </w:rPr>
      <w:t>Submission to CRPD discussion on the General Comment on Article 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FC8C2" w14:textId="77777777" w:rsidR="0026631E" w:rsidRDefault="0026631E" w:rsidP="004D189A">
      <w:pPr>
        <w:spacing w:after="0" w:line="240" w:lineRule="auto"/>
      </w:pPr>
      <w:r>
        <w:separator/>
      </w:r>
    </w:p>
  </w:footnote>
  <w:footnote w:type="continuationSeparator" w:id="0">
    <w:p w14:paraId="0AE76215" w14:textId="77777777" w:rsidR="0026631E" w:rsidRDefault="0026631E" w:rsidP="004D189A">
      <w:pPr>
        <w:spacing w:after="0" w:line="240" w:lineRule="auto"/>
      </w:pPr>
      <w:r>
        <w:continuationSeparator/>
      </w:r>
    </w:p>
  </w:footnote>
  <w:footnote w:id="1">
    <w:p w14:paraId="67DA2DE5" w14:textId="73309F76" w:rsidR="002F796E" w:rsidRPr="003D76C8" w:rsidRDefault="002F796E">
      <w:pPr>
        <w:pStyle w:val="FootnoteText"/>
        <w:rPr>
          <w:rFonts w:ascii="Lato" w:hAnsi="Lato"/>
        </w:rPr>
      </w:pPr>
      <w:r w:rsidRPr="001E261D">
        <w:rPr>
          <w:rStyle w:val="FootnoteReference"/>
          <w:rFonts w:ascii="Lato" w:hAnsi="Lato"/>
        </w:rPr>
        <w:footnoteRef/>
      </w:r>
      <w:r w:rsidRPr="001E261D">
        <w:rPr>
          <w:rFonts w:ascii="Lato" w:hAnsi="Lato"/>
        </w:rPr>
        <w:t xml:space="preserve"> </w:t>
      </w:r>
      <w:r w:rsidR="00585AB7">
        <w:rPr>
          <w:rFonts w:ascii="Lato" w:hAnsi="Lato"/>
        </w:rPr>
        <w:t xml:space="preserve">UN </w:t>
      </w:r>
      <w:r w:rsidRPr="001E261D">
        <w:rPr>
          <w:rFonts w:ascii="Lato" w:hAnsi="Lato"/>
        </w:rPr>
        <w:t>Department of Economic and Social Affairs</w:t>
      </w:r>
      <w:r w:rsidR="009C4E12">
        <w:rPr>
          <w:rFonts w:ascii="Lato" w:hAnsi="Lato"/>
        </w:rPr>
        <w:t>, 2011</w:t>
      </w:r>
      <w:r w:rsidR="00585AB7">
        <w:rPr>
          <w:rFonts w:ascii="Lato" w:hAnsi="Lato"/>
        </w:rPr>
        <w:t>.</w:t>
      </w:r>
      <w:r w:rsidRPr="001E261D">
        <w:rPr>
          <w:rFonts w:ascii="Lato" w:hAnsi="Lato"/>
        </w:rPr>
        <w:t xml:space="preserve"> </w:t>
      </w:r>
      <w:hyperlink r:id="rId1" w:history="1">
        <w:r w:rsidRPr="001E261D">
          <w:rPr>
            <w:rStyle w:val="Hyperlink"/>
            <w:rFonts w:ascii="Lato" w:hAnsi="Lato"/>
          </w:rPr>
          <w:t>Disability and Development Report</w:t>
        </w:r>
      </w:hyperlink>
      <w:r w:rsidRPr="001E261D">
        <w:rPr>
          <w:rFonts w:ascii="Lato" w:hAnsi="Lato"/>
        </w:rPr>
        <w:t>, p. 152,</w:t>
      </w:r>
      <w:r w:rsidRPr="003D76C8">
        <w:rPr>
          <w:rFonts w:ascii="Lato" w:hAnsi="Lato"/>
        </w:rPr>
        <w:t xml:space="preserve"> </w:t>
      </w:r>
    </w:p>
  </w:footnote>
  <w:footnote w:id="2">
    <w:p w14:paraId="2C875654" w14:textId="155015A9" w:rsidR="002F796E" w:rsidRPr="001E261D" w:rsidRDefault="002F796E">
      <w:pPr>
        <w:pStyle w:val="FootnoteText"/>
        <w:rPr>
          <w:rFonts w:ascii="Lato" w:hAnsi="Lato"/>
        </w:rPr>
      </w:pPr>
      <w:r w:rsidRPr="001E261D">
        <w:rPr>
          <w:rStyle w:val="FootnoteReference"/>
          <w:rFonts w:ascii="Lato" w:hAnsi="Lato"/>
        </w:rPr>
        <w:footnoteRef/>
      </w:r>
      <w:r w:rsidRPr="001E261D">
        <w:rPr>
          <w:rFonts w:ascii="Lato" w:hAnsi="Lato"/>
        </w:rPr>
        <w:t xml:space="preserve"> </w:t>
      </w:r>
      <w:r w:rsidR="00585AB7">
        <w:rPr>
          <w:rFonts w:ascii="Lato" w:hAnsi="Lato"/>
        </w:rPr>
        <w:t>UN</w:t>
      </w:r>
      <w:r w:rsidRPr="001E261D">
        <w:rPr>
          <w:rFonts w:ascii="Lato" w:hAnsi="Lato"/>
        </w:rPr>
        <w:t xml:space="preserve"> Department of Economic and Social Affairs</w:t>
      </w:r>
      <w:r w:rsidR="009C4E12">
        <w:rPr>
          <w:rFonts w:ascii="Lato" w:hAnsi="Lato"/>
        </w:rPr>
        <w:t>, 2011</w:t>
      </w:r>
      <w:r w:rsidR="00585AB7">
        <w:rPr>
          <w:rFonts w:ascii="Lato" w:hAnsi="Lato"/>
        </w:rPr>
        <w:t>.</w:t>
      </w:r>
      <w:r w:rsidRPr="001E261D">
        <w:rPr>
          <w:rFonts w:ascii="Lato" w:hAnsi="Lato"/>
        </w:rPr>
        <w:t xml:space="preserve"> </w:t>
      </w:r>
      <w:hyperlink r:id="rId2" w:history="1">
        <w:r w:rsidRPr="00585AB7">
          <w:rPr>
            <w:rStyle w:val="Hyperlink"/>
            <w:rFonts w:ascii="Lato" w:hAnsi="Lato"/>
          </w:rPr>
          <w:t>Disability and Development Report</w:t>
        </w:r>
      </w:hyperlink>
      <w:r w:rsidRPr="001E261D">
        <w:rPr>
          <w:rFonts w:ascii="Lato" w:hAnsi="Lato"/>
        </w:rPr>
        <w:t xml:space="preserve">, p. 155, </w:t>
      </w:r>
      <w:r w:rsidR="003A396B" w:rsidRPr="001E261D">
        <w:rPr>
          <w:rFonts w:ascii="Lato" w:hAnsi="Lato"/>
        </w:rPr>
        <w:t xml:space="preserve">and </w:t>
      </w:r>
      <w:r w:rsidR="003A396B" w:rsidRPr="001E261D">
        <w:rPr>
          <w:rFonts w:ascii="Lato" w:hAnsi="Lato"/>
          <w:color w:val="000000"/>
          <w:shd w:val="clear" w:color="auto" w:fill="FFFFFF"/>
        </w:rPr>
        <w:t>OECD</w:t>
      </w:r>
      <w:r w:rsidR="00585AB7">
        <w:rPr>
          <w:rFonts w:ascii="Lato" w:hAnsi="Lato"/>
          <w:color w:val="000000"/>
          <w:shd w:val="clear" w:color="auto" w:fill="FFFFFF"/>
        </w:rPr>
        <w:t xml:space="preserve">, 2009. </w:t>
      </w:r>
      <w:hyperlink r:id="rId3" w:history="1">
        <w:r w:rsidR="003A396B" w:rsidRPr="00585AB7">
          <w:rPr>
            <w:rStyle w:val="Hyperlink"/>
            <w:rFonts w:ascii="Lato" w:hAnsi="Lato"/>
            <w:shd w:val="clear" w:color="auto" w:fill="FFFFFF"/>
          </w:rPr>
          <w:t>Sickness, disability and work: Keeping on track in the economic downturn—background paper</w:t>
        </w:r>
      </w:hyperlink>
    </w:p>
  </w:footnote>
  <w:footnote w:id="3">
    <w:p w14:paraId="36BF45E2" w14:textId="4773A929" w:rsidR="002F796E" w:rsidRPr="001E261D" w:rsidRDefault="002F796E" w:rsidP="009A23B5">
      <w:pPr>
        <w:pStyle w:val="FootnoteText"/>
        <w:rPr>
          <w:rFonts w:ascii="Lato" w:hAnsi="Lato"/>
        </w:rPr>
      </w:pPr>
      <w:r w:rsidRPr="001E261D">
        <w:rPr>
          <w:rStyle w:val="FootnoteReference"/>
          <w:rFonts w:ascii="Lato" w:hAnsi="Lato"/>
        </w:rPr>
        <w:footnoteRef/>
      </w:r>
      <w:r w:rsidRPr="001E261D">
        <w:rPr>
          <w:rFonts w:ascii="Lato" w:hAnsi="Lato"/>
        </w:rPr>
        <w:t xml:space="preserve"> </w:t>
      </w:r>
      <w:r w:rsidR="009C4E12">
        <w:rPr>
          <w:rFonts w:ascii="Lato" w:hAnsi="Lato"/>
        </w:rPr>
        <w:t>Lee, H and Fraser, E, S</w:t>
      </w:r>
      <w:r w:rsidR="009C4E12">
        <w:t xml:space="preserve">ocial Development Direct, Disability Inclusion Helpdesk. </w:t>
      </w:r>
      <w:hyperlink r:id="rId4" w:history="1">
        <w:r w:rsidR="009C4E12" w:rsidRPr="009C4E12">
          <w:rPr>
            <w:rStyle w:val="Hyperlink"/>
          </w:rPr>
          <w:t>Who are the “bottom billion”? People with disabilities</w:t>
        </w:r>
      </w:hyperlink>
      <w:r w:rsidR="009C4E12">
        <w:t xml:space="preserve">. </w:t>
      </w:r>
    </w:p>
  </w:footnote>
  <w:footnote w:id="4">
    <w:p w14:paraId="5F2B02C5" w14:textId="6868C7AF" w:rsidR="002F796E" w:rsidRPr="001E261D" w:rsidRDefault="002F796E">
      <w:pPr>
        <w:pStyle w:val="FootnoteText"/>
        <w:rPr>
          <w:rFonts w:ascii="Lato" w:hAnsi="Lato"/>
        </w:rPr>
      </w:pPr>
      <w:r w:rsidRPr="001E261D">
        <w:rPr>
          <w:rStyle w:val="FootnoteReference"/>
          <w:rFonts w:ascii="Lato" w:hAnsi="Lato"/>
        </w:rPr>
        <w:footnoteRef/>
      </w:r>
      <w:r w:rsidRPr="001E261D">
        <w:rPr>
          <w:rFonts w:ascii="Lato" w:hAnsi="Lato"/>
        </w:rPr>
        <w:t xml:space="preserve"> Kruse, D., L. Schur, S. Rogers and M. Ameri</w:t>
      </w:r>
      <w:r w:rsidR="00585AB7">
        <w:rPr>
          <w:rFonts w:ascii="Lato" w:hAnsi="Lato"/>
        </w:rPr>
        <w:t xml:space="preserve">, 2007. </w:t>
      </w:r>
      <w:r w:rsidRPr="001E261D">
        <w:rPr>
          <w:rFonts w:ascii="Lato" w:hAnsi="Lato"/>
        </w:rPr>
        <w:t>Why Do Workers with Disabilities Earn Less? Occupational Job Requirements and Disability Discrimination. British Journal of Industrial Relations</w:t>
      </w:r>
    </w:p>
  </w:footnote>
  <w:footnote w:id="5">
    <w:p w14:paraId="3E617A03" w14:textId="7529A73B" w:rsidR="00946184" w:rsidRPr="00F13A1A" w:rsidRDefault="00946184">
      <w:pPr>
        <w:pStyle w:val="FootnoteText"/>
        <w:rPr>
          <w:rFonts w:ascii="Lato" w:hAnsi="Lato"/>
        </w:rPr>
      </w:pPr>
      <w:r w:rsidRPr="00F13A1A">
        <w:rPr>
          <w:rStyle w:val="FootnoteReference"/>
          <w:rFonts w:ascii="Lato" w:hAnsi="Lato"/>
        </w:rPr>
        <w:footnoteRef/>
      </w:r>
      <w:r w:rsidRPr="00F13A1A">
        <w:rPr>
          <w:rFonts w:ascii="Lato" w:hAnsi="Lato"/>
        </w:rPr>
        <w:t xml:space="preserve"> World Health Organization, &amp; World Bank</w:t>
      </w:r>
      <w:r w:rsidR="00585AB7" w:rsidRPr="00F13A1A">
        <w:rPr>
          <w:rFonts w:ascii="Lato" w:hAnsi="Lato"/>
        </w:rPr>
        <w:t xml:space="preserve">, </w:t>
      </w:r>
      <w:r w:rsidRPr="00F13A1A">
        <w:rPr>
          <w:rFonts w:ascii="Lato" w:hAnsi="Lato"/>
        </w:rPr>
        <w:t xml:space="preserve">2011. </w:t>
      </w:r>
      <w:hyperlink r:id="rId5" w:history="1">
        <w:r w:rsidRPr="00F13A1A">
          <w:rPr>
            <w:rStyle w:val="Hyperlink"/>
            <w:rFonts w:ascii="Lato" w:hAnsi="Lato"/>
          </w:rPr>
          <w:t>World report on disability</w:t>
        </w:r>
      </w:hyperlink>
      <w:r w:rsidR="00585AB7" w:rsidRPr="00F13A1A">
        <w:rPr>
          <w:rFonts w:ascii="Lato" w:hAnsi="Lato"/>
        </w:rPr>
        <w:t xml:space="preserve">, </w:t>
      </w:r>
      <w:r w:rsidRPr="00F13A1A">
        <w:rPr>
          <w:rFonts w:ascii="Lato" w:hAnsi="Lato"/>
        </w:rPr>
        <w:t>p. 240</w:t>
      </w:r>
    </w:p>
  </w:footnote>
  <w:footnote w:id="6">
    <w:p w14:paraId="190EA5A4" w14:textId="507DDFA8" w:rsidR="002F796E" w:rsidRPr="00F13A1A" w:rsidRDefault="002F796E">
      <w:pPr>
        <w:pStyle w:val="FootnoteText"/>
        <w:rPr>
          <w:rFonts w:ascii="Lato" w:hAnsi="Lato"/>
        </w:rPr>
      </w:pPr>
      <w:r w:rsidRPr="00F13A1A">
        <w:rPr>
          <w:rStyle w:val="FootnoteReference"/>
          <w:rFonts w:ascii="Lato" w:hAnsi="Lato"/>
        </w:rPr>
        <w:footnoteRef/>
      </w:r>
      <w:r w:rsidRPr="00F13A1A">
        <w:rPr>
          <w:rFonts w:ascii="Lato" w:hAnsi="Lato"/>
        </w:rPr>
        <w:t xml:space="preserve"> Lange, A</w:t>
      </w:r>
      <w:r w:rsidR="00585AB7" w:rsidRPr="00F13A1A">
        <w:rPr>
          <w:rFonts w:ascii="Lato" w:hAnsi="Lato"/>
        </w:rPr>
        <w:t>, 2014</w:t>
      </w:r>
      <w:r w:rsidRPr="00F13A1A">
        <w:rPr>
          <w:rFonts w:ascii="Lato" w:hAnsi="Lato"/>
        </w:rPr>
        <w:t>. Public Policy Lessons from Chile: Individuals with Disabilities – An Untapped Talent Pool (2nd ed., Vol. 19, pp. 29 – 41). Washington, D.C.: Georgetown Public Policy Review. 1083-7523 [ISSN]</w:t>
      </w:r>
    </w:p>
  </w:footnote>
  <w:footnote w:id="7">
    <w:p w14:paraId="798368AF" w14:textId="77777777" w:rsidR="00E017B0" w:rsidRPr="00F13A1A" w:rsidRDefault="00E017B0" w:rsidP="00E017B0">
      <w:pPr>
        <w:pStyle w:val="FootnoteText"/>
        <w:rPr>
          <w:rFonts w:ascii="Lato" w:hAnsi="Lato"/>
        </w:rPr>
      </w:pPr>
      <w:r w:rsidRPr="00F13A1A">
        <w:rPr>
          <w:rStyle w:val="FootnoteReference"/>
          <w:rFonts w:ascii="Lato" w:hAnsi="Lato"/>
        </w:rPr>
        <w:footnoteRef/>
      </w:r>
      <w:r w:rsidRPr="00F13A1A">
        <w:rPr>
          <w:rFonts w:ascii="Lato" w:hAnsi="Lato"/>
        </w:rPr>
        <w:t xml:space="preserve"> UN DESA, 2018. Disability and Development Report, </w:t>
      </w:r>
      <w:hyperlink r:id="rId6" w:history="1">
        <w:r w:rsidRPr="00F13A1A">
          <w:rPr>
            <w:rStyle w:val="Hyperlink"/>
            <w:rFonts w:ascii="Lato" w:hAnsi="Lato"/>
          </w:rPr>
          <w:t>Realizing the Sustainable Development Goals by, for and with persons with disabilities</w:t>
        </w:r>
      </w:hyperlink>
    </w:p>
  </w:footnote>
  <w:footnote w:id="8">
    <w:p w14:paraId="4153FAF5" w14:textId="77777777" w:rsidR="00E017B0" w:rsidRPr="00F13A1A" w:rsidRDefault="00E017B0" w:rsidP="00E017B0">
      <w:pPr>
        <w:pStyle w:val="FootnoteText"/>
        <w:rPr>
          <w:rFonts w:ascii="Lato" w:hAnsi="Lato"/>
        </w:rPr>
      </w:pPr>
      <w:r w:rsidRPr="00F13A1A">
        <w:rPr>
          <w:rStyle w:val="FootnoteReference"/>
          <w:rFonts w:ascii="Lato" w:hAnsi="Lato"/>
        </w:rPr>
        <w:footnoteRef/>
      </w:r>
      <w:r w:rsidRPr="00F13A1A">
        <w:rPr>
          <w:rFonts w:ascii="Lato" w:hAnsi="Lato"/>
        </w:rPr>
        <w:t xml:space="preserve"> Mitra, S. and Kruse, D., 2016. Are workers with disabilities more likely to be displaced?. The International Journal of Human Resource Management, 27(14), pp.1550-1579.</w:t>
      </w:r>
    </w:p>
  </w:footnote>
  <w:footnote w:id="9">
    <w:p w14:paraId="4DCF6CBC" w14:textId="77777777" w:rsidR="00E017B0" w:rsidRPr="00F13A1A" w:rsidRDefault="00E017B0" w:rsidP="00E017B0">
      <w:pPr>
        <w:pStyle w:val="CommentText"/>
        <w:spacing w:after="0"/>
        <w:rPr>
          <w:rFonts w:ascii="Lato" w:hAnsi="Lato"/>
        </w:rPr>
      </w:pPr>
      <w:r w:rsidRPr="00F13A1A">
        <w:rPr>
          <w:rStyle w:val="FootnoteReference"/>
          <w:rFonts w:ascii="Lato" w:hAnsi="Lato"/>
        </w:rPr>
        <w:footnoteRef/>
      </w:r>
      <w:r w:rsidRPr="00F13A1A">
        <w:rPr>
          <w:rFonts w:ascii="Lato" w:hAnsi="Lato"/>
        </w:rPr>
        <w:t xml:space="preserve"> Lee, H and Fraser, E. Social Development Direct, Disability Inclusion Helpdesk. </w:t>
      </w:r>
      <w:hyperlink r:id="rId7" w:history="1">
        <w:r w:rsidRPr="00F13A1A">
          <w:rPr>
            <w:rStyle w:val="Hyperlink"/>
            <w:rFonts w:ascii="Lato" w:hAnsi="Lato"/>
          </w:rPr>
          <w:t>Who are the “bottom billion”? People with disabilities</w:t>
        </w:r>
      </w:hyperlink>
    </w:p>
  </w:footnote>
  <w:footnote w:id="10">
    <w:p w14:paraId="298B3912" w14:textId="77777777" w:rsidR="00E017B0" w:rsidRPr="00F13A1A" w:rsidRDefault="00E017B0" w:rsidP="00E017B0">
      <w:pPr>
        <w:pStyle w:val="FootnoteText"/>
        <w:rPr>
          <w:rFonts w:ascii="Lato" w:hAnsi="Lato"/>
        </w:rPr>
      </w:pPr>
      <w:r w:rsidRPr="00F13A1A">
        <w:rPr>
          <w:rStyle w:val="FootnoteReference"/>
          <w:rFonts w:ascii="Lato" w:hAnsi="Lato"/>
        </w:rPr>
        <w:footnoteRef/>
      </w:r>
      <w:r w:rsidRPr="00F13A1A">
        <w:rPr>
          <w:rFonts w:ascii="Lato" w:hAnsi="Lato"/>
        </w:rPr>
        <w:t xml:space="preserve"> UN OHCHR, 2015. </w:t>
      </w:r>
      <w:hyperlink r:id="rId8" w:history="1">
        <w:r w:rsidRPr="00F13A1A">
          <w:rPr>
            <w:rStyle w:val="Hyperlink"/>
            <w:rFonts w:ascii="Lato" w:hAnsi="Lato"/>
          </w:rPr>
          <w:t>Report of the Special Rapporteur on the rights of persons with disabilities to social protection</w:t>
        </w:r>
      </w:hyperlink>
      <w:r w:rsidRPr="00F13A1A">
        <w:rPr>
          <w:rFonts w:ascii="Lato" w:hAnsi="Lato"/>
        </w:rPr>
        <w:t xml:space="preserve">, </w:t>
      </w:r>
      <w:hyperlink r:id="rId9" w:history="1">
        <w:r w:rsidRPr="00F13A1A">
          <w:rPr>
            <w:rStyle w:val="Hyperlink"/>
            <w:rFonts w:ascii="Lato" w:hAnsi="Lato"/>
            <w:shd w:val="clear" w:color="auto" w:fill="FFFFFF"/>
          </w:rPr>
          <w:t>A/70/297</w:t>
        </w:r>
      </w:hyperlink>
      <w:r w:rsidRPr="00F13A1A">
        <w:rPr>
          <w:rFonts w:ascii="Lato" w:hAnsi="Lato"/>
          <w:color w:val="000000"/>
          <w:shd w:val="clear" w:color="auto" w:fill="FFFFFF"/>
        </w:rPr>
        <w:t> </w:t>
      </w:r>
    </w:p>
  </w:footnote>
  <w:footnote w:id="11">
    <w:p w14:paraId="5D193A09" w14:textId="77777777" w:rsidR="00E017B0" w:rsidRDefault="00E017B0" w:rsidP="00E017B0">
      <w:pPr>
        <w:pStyle w:val="FootnoteText"/>
      </w:pPr>
      <w:r w:rsidRPr="00F13A1A">
        <w:rPr>
          <w:rStyle w:val="FootnoteReference"/>
          <w:rFonts w:ascii="Lato" w:hAnsi="Lato"/>
        </w:rPr>
        <w:footnoteRef/>
      </w:r>
      <w:r w:rsidRPr="00F13A1A">
        <w:rPr>
          <w:rFonts w:ascii="Lato" w:hAnsi="Lato"/>
        </w:rPr>
        <w:t xml:space="preserve"> World Health Organization, &amp; World Bank, 2011. </w:t>
      </w:r>
      <w:hyperlink r:id="rId10" w:history="1">
        <w:r w:rsidRPr="00F13A1A">
          <w:rPr>
            <w:rStyle w:val="Hyperlink"/>
            <w:rFonts w:ascii="Lato" w:hAnsi="Lato"/>
          </w:rPr>
          <w:t>World report on disability</w:t>
        </w:r>
      </w:hyperlink>
      <w:r w:rsidRPr="00F13A1A">
        <w:rPr>
          <w:rFonts w:ascii="Lato" w:hAnsi="Lato"/>
        </w:rPr>
        <w:t>, p. 240</w:t>
      </w:r>
    </w:p>
  </w:footnote>
  <w:footnote w:id="12">
    <w:p w14:paraId="1E014F34" w14:textId="7B5C4F4B" w:rsidR="00AE26A8" w:rsidRPr="00F13A1A" w:rsidRDefault="00AE26A8">
      <w:pPr>
        <w:pStyle w:val="FootnoteText"/>
        <w:rPr>
          <w:rFonts w:ascii="Lato" w:hAnsi="Lato"/>
        </w:rPr>
      </w:pPr>
      <w:r w:rsidRPr="00F13A1A">
        <w:rPr>
          <w:rStyle w:val="FootnoteReference"/>
          <w:rFonts w:ascii="Lato" w:hAnsi="Lato"/>
        </w:rPr>
        <w:footnoteRef/>
      </w:r>
      <w:r w:rsidRPr="00F13A1A">
        <w:rPr>
          <w:rFonts w:ascii="Lato" w:hAnsi="Lato"/>
        </w:rPr>
        <w:t xml:space="preserve"> UNOHCHR, 2000. </w:t>
      </w:r>
      <w:hyperlink r:id="rId11" w:history="1">
        <w:r w:rsidRPr="00F13A1A">
          <w:rPr>
            <w:rStyle w:val="Hyperlink"/>
            <w:rFonts w:ascii="Lato" w:hAnsi="Lato"/>
          </w:rPr>
          <w:t>CCPR General Comment No. 28: Article 3 (The Equality of Rights Between Men and Women), para 31</w:t>
        </w:r>
      </w:hyperlink>
      <w:r w:rsidRPr="00F13A1A">
        <w:rPr>
          <w:rFonts w:ascii="Lato" w:hAnsi="Lato"/>
        </w:rPr>
        <w:t xml:space="preserve">. </w:t>
      </w:r>
    </w:p>
  </w:footnote>
  <w:footnote w:id="13">
    <w:p w14:paraId="522C90A1" w14:textId="34AE3F2B" w:rsidR="00E2338B" w:rsidRPr="001E261D" w:rsidRDefault="00E2338B" w:rsidP="00E44378">
      <w:pPr>
        <w:pStyle w:val="FootnoteText"/>
        <w:rPr>
          <w:rFonts w:ascii="Lato" w:hAnsi="Lato"/>
        </w:rPr>
      </w:pPr>
      <w:r w:rsidRPr="001E261D">
        <w:rPr>
          <w:rStyle w:val="FootnoteReference"/>
          <w:rFonts w:ascii="Lato" w:hAnsi="Lato"/>
        </w:rPr>
        <w:footnoteRef/>
      </w:r>
      <w:r w:rsidR="00E44378" w:rsidRPr="00E44378">
        <w:rPr>
          <w:rFonts w:ascii="Lato" w:hAnsi="Lato"/>
        </w:rPr>
        <w:t>Andrew Griffiths</w:t>
      </w:r>
      <w:r w:rsidR="00F52AF1">
        <w:rPr>
          <w:rFonts w:ascii="Lato" w:hAnsi="Lato"/>
        </w:rPr>
        <w:t>,</w:t>
      </w:r>
      <w:r w:rsidR="00E44378" w:rsidRPr="00E44378">
        <w:rPr>
          <w:rFonts w:ascii="Lato" w:hAnsi="Lato"/>
        </w:rPr>
        <w:t xml:space="preserve"> Stevens Bechang</w:t>
      </w:r>
      <w:r w:rsidR="00E44378">
        <w:rPr>
          <w:rFonts w:ascii="Lato" w:hAnsi="Lato"/>
        </w:rPr>
        <w:t xml:space="preserve">e &amp; others, Journal of International Development, </w:t>
      </w:r>
      <w:r w:rsidR="00E44378" w:rsidRPr="00E44378">
        <w:rPr>
          <w:rFonts w:ascii="Lato" w:hAnsi="Lato"/>
        </w:rPr>
        <w:t>Volume32, Issue8</w:t>
      </w:r>
      <w:r w:rsidR="00E44378">
        <w:rPr>
          <w:rFonts w:ascii="Lato" w:hAnsi="Lato"/>
        </w:rPr>
        <w:t xml:space="preserve">, 2020. </w:t>
      </w:r>
      <w:hyperlink r:id="rId12" w:history="1">
        <w:r w:rsidR="00E44378" w:rsidRPr="00E44378">
          <w:rPr>
            <w:rStyle w:val="Hyperlink"/>
            <w:rFonts w:ascii="Lato" w:hAnsi="Lato"/>
          </w:rPr>
          <w:t>How Do Legal and Policy Frameworks Support Employment of People With Disabilities in Uganda? Findings From a Qualitative Policy Analysis Study</w:t>
        </w:r>
      </w:hyperlink>
    </w:p>
  </w:footnote>
  <w:footnote w:id="14">
    <w:p w14:paraId="75AD4980" w14:textId="4E913CB6" w:rsidR="00946184" w:rsidRPr="001E261D" w:rsidRDefault="00946184">
      <w:pPr>
        <w:pStyle w:val="FootnoteText"/>
        <w:rPr>
          <w:rFonts w:ascii="Lato" w:hAnsi="Lato"/>
        </w:rPr>
      </w:pPr>
      <w:r w:rsidRPr="001E261D">
        <w:rPr>
          <w:rStyle w:val="FootnoteReference"/>
          <w:rFonts w:ascii="Lato" w:hAnsi="Lato"/>
        </w:rPr>
        <w:footnoteRef/>
      </w:r>
      <w:r w:rsidRPr="001E261D">
        <w:rPr>
          <w:rFonts w:ascii="Lato" w:hAnsi="Lato"/>
        </w:rPr>
        <w:t xml:space="preserve"> </w:t>
      </w:r>
      <w:r w:rsidR="00E44378" w:rsidRPr="00E44378">
        <w:rPr>
          <w:rFonts w:ascii="Lato" w:hAnsi="Lato"/>
        </w:rPr>
        <w:t>Andrew Griffiths</w:t>
      </w:r>
      <w:r w:rsidR="00BB5D07">
        <w:rPr>
          <w:rFonts w:ascii="Lato" w:hAnsi="Lato"/>
        </w:rPr>
        <w:t xml:space="preserve">, </w:t>
      </w:r>
      <w:r w:rsidR="00E44378" w:rsidRPr="00E44378">
        <w:rPr>
          <w:rFonts w:ascii="Lato" w:hAnsi="Lato"/>
        </w:rPr>
        <w:t>Stevens Bechang</w:t>
      </w:r>
      <w:r w:rsidR="00E44378">
        <w:rPr>
          <w:rFonts w:ascii="Lato" w:hAnsi="Lato"/>
        </w:rPr>
        <w:t xml:space="preserve">e &amp; others, Journal of International Development, </w:t>
      </w:r>
      <w:r w:rsidR="00E44378" w:rsidRPr="00E44378">
        <w:rPr>
          <w:rFonts w:ascii="Lato" w:hAnsi="Lato"/>
        </w:rPr>
        <w:t>Volume32, Issue8</w:t>
      </w:r>
      <w:r w:rsidR="00E44378">
        <w:rPr>
          <w:rFonts w:ascii="Lato" w:hAnsi="Lato"/>
        </w:rPr>
        <w:t xml:space="preserve">, 2020. </w:t>
      </w:r>
      <w:hyperlink r:id="rId13" w:history="1">
        <w:r w:rsidR="00E44378" w:rsidRPr="00E44378">
          <w:rPr>
            <w:rStyle w:val="Hyperlink"/>
            <w:rFonts w:ascii="Lato" w:hAnsi="Lato"/>
          </w:rPr>
          <w:t>How Do Legal and Policy Frameworks Support Employment of People With Disabilities in Uganda? Findings From a Qualitative Policy Analysis Study</w:t>
        </w:r>
      </w:hyperlink>
      <w:r w:rsidR="00E44378">
        <w:rPr>
          <w:rFonts w:ascii="Lato" w:hAnsi="Lato"/>
        </w:rPr>
        <w:t xml:space="preserve"> </w:t>
      </w:r>
    </w:p>
  </w:footnote>
  <w:footnote w:id="15">
    <w:p w14:paraId="3497EAEC" w14:textId="5BF7F02C" w:rsidR="00CA008A" w:rsidRPr="001E261D" w:rsidRDefault="00CA008A">
      <w:pPr>
        <w:pStyle w:val="FootnoteText"/>
        <w:rPr>
          <w:rFonts w:ascii="Lato" w:hAnsi="Lato"/>
        </w:rPr>
      </w:pPr>
      <w:r w:rsidRPr="001E261D">
        <w:rPr>
          <w:rStyle w:val="FootnoteReference"/>
          <w:rFonts w:ascii="Lato" w:hAnsi="Lato"/>
        </w:rPr>
        <w:footnoteRef/>
      </w:r>
      <w:r w:rsidRPr="001E261D">
        <w:rPr>
          <w:rFonts w:ascii="Lato" w:hAnsi="Lato"/>
        </w:rPr>
        <w:t xml:space="preserve"> </w:t>
      </w:r>
      <w:r w:rsidR="00E44378">
        <w:rPr>
          <w:rFonts w:ascii="Lato" w:hAnsi="Lato"/>
        </w:rPr>
        <w:t xml:space="preserve">UN OHCHR, 2016. </w:t>
      </w:r>
      <w:hyperlink r:id="rId14" w:history="1">
        <w:r w:rsidRPr="00E44378">
          <w:rPr>
            <w:rStyle w:val="Hyperlink"/>
            <w:rFonts w:ascii="Lato" w:hAnsi="Lato"/>
          </w:rPr>
          <w:t>Report of the Special Rapporteur of the Human Rights Council on the rights of persons with disabilities, Catalina Devandas-Aguilar, on disability-inclusive policies</w:t>
        </w:r>
      </w:hyperlink>
      <w:r w:rsidRPr="001E261D">
        <w:rPr>
          <w:rFonts w:ascii="Lato" w:hAnsi="Lato"/>
        </w:rPr>
        <w:t xml:space="preserve">, A/71/314 </w:t>
      </w:r>
    </w:p>
  </w:footnote>
  <w:footnote w:id="16">
    <w:p w14:paraId="4DA5B25E" w14:textId="33D68D89" w:rsidR="00CC3360" w:rsidRPr="003D76C8" w:rsidRDefault="00CC3360">
      <w:pPr>
        <w:pStyle w:val="FootnoteText"/>
        <w:rPr>
          <w:rFonts w:ascii="Lato" w:hAnsi="Lato"/>
        </w:rPr>
      </w:pPr>
      <w:r w:rsidRPr="001E261D">
        <w:rPr>
          <w:rStyle w:val="FootnoteReference"/>
          <w:rFonts w:ascii="Lato" w:hAnsi="Lato"/>
        </w:rPr>
        <w:footnoteRef/>
      </w:r>
      <w:r w:rsidRPr="001E261D">
        <w:rPr>
          <w:rFonts w:ascii="Lato" w:hAnsi="Lato"/>
        </w:rPr>
        <w:t xml:space="preserve"> </w:t>
      </w:r>
      <w:r w:rsidR="00E44378" w:rsidRPr="001E261D">
        <w:rPr>
          <w:rFonts w:ascii="Lato" w:hAnsi="Lato"/>
        </w:rPr>
        <w:t>World Health Organization, &amp; World Bank</w:t>
      </w:r>
      <w:r w:rsidR="00E44378">
        <w:rPr>
          <w:rFonts w:ascii="Lato" w:hAnsi="Lato"/>
        </w:rPr>
        <w:t xml:space="preserve">, </w:t>
      </w:r>
      <w:r w:rsidR="00E44378" w:rsidRPr="001E261D">
        <w:rPr>
          <w:rFonts w:ascii="Lato" w:hAnsi="Lato"/>
        </w:rPr>
        <w:t xml:space="preserve">2011. </w:t>
      </w:r>
      <w:hyperlink r:id="rId15" w:history="1">
        <w:r w:rsidR="00E44378" w:rsidRPr="00585AB7">
          <w:rPr>
            <w:rStyle w:val="Hyperlink"/>
            <w:rFonts w:ascii="Lato" w:hAnsi="Lato"/>
          </w:rPr>
          <w:t>World report on disability</w:t>
        </w:r>
      </w:hyperlink>
      <w:r w:rsidR="00E44378">
        <w:rPr>
          <w:rFonts w:ascii="Lato" w:hAnsi="Lato"/>
        </w:rPr>
        <w:t xml:space="preserve">, </w:t>
      </w:r>
      <w:r w:rsidRPr="001E261D">
        <w:rPr>
          <w:rFonts w:ascii="Lato" w:hAnsi="Lato"/>
        </w:rPr>
        <w:t>p. 261</w:t>
      </w:r>
    </w:p>
  </w:footnote>
  <w:footnote w:id="17">
    <w:p w14:paraId="11B9D0EF" w14:textId="0CFC9E67" w:rsidR="00F52AF1" w:rsidRDefault="00F52AF1">
      <w:pPr>
        <w:pStyle w:val="FootnoteText"/>
      </w:pPr>
      <w:r>
        <w:rPr>
          <w:rStyle w:val="FootnoteReference"/>
        </w:rPr>
        <w:footnoteRef/>
      </w:r>
      <w:r>
        <w:t xml:space="preserve"> </w:t>
      </w:r>
      <w:r w:rsidRPr="00AE26A8">
        <w:t>UN</w:t>
      </w:r>
      <w:r>
        <w:t>OHCHR</w:t>
      </w:r>
      <w:r w:rsidRPr="00AE26A8">
        <w:t>,</w:t>
      </w:r>
      <w:r>
        <w:t xml:space="preserve"> 2000.</w:t>
      </w:r>
      <w:r w:rsidRPr="00AE26A8">
        <w:t xml:space="preserve"> </w:t>
      </w:r>
      <w:hyperlink r:id="rId16" w:history="1">
        <w:r w:rsidRPr="00AE26A8">
          <w:rPr>
            <w:rStyle w:val="Hyperlink"/>
          </w:rPr>
          <w:t>CCPR General Comment No. 28: Article 3 (The Equality of Rights Between Men and Women),</w:t>
        </w:r>
        <w:r>
          <w:rPr>
            <w:rStyle w:val="Hyperlink"/>
          </w:rPr>
          <w:t xml:space="preserve"> </w:t>
        </w:r>
        <w:r w:rsidRPr="00AE26A8">
          <w:rPr>
            <w:rStyle w:val="Hyperlink"/>
          </w:rPr>
          <w:t>para 31</w:t>
        </w:r>
      </w:hyperlink>
      <w:r>
        <w:t>.</w:t>
      </w:r>
    </w:p>
  </w:footnote>
  <w:footnote w:id="18">
    <w:p w14:paraId="6F6214EA" w14:textId="333FAC01" w:rsidR="002F796E" w:rsidRPr="00F13A1A" w:rsidRDefault="002F796E">
      <w:pPr>
        <w:pStyle w:val="FootnoteText"/>
        <w:rPr>
          <w:rFonts w:ascii="Lato" w:hAnsi="Lato"/>
        </w:rPr>
      </w:pPr>
      <w:r w:rsidRPr="00F13A1A">
        <w:rPr>
          <w:rStyle w:val="FootnoteReference"/>
          <w:rFonts w:ascii="Lato" w:hAnsi="Lato"/>
        </w:rPr>
        <w:footnoteRef/>
      </w:r>
      <w:r w:rsidRPr="00F13A1A">
        <w:rPr>
          <w:rFonts w:ascii="Lato" w:hAnsi="Lato"/>
        </w:rPr>
        <w:t xml:space="preserve"> </w:t>
      </w:r>
      <w:r w:rsidR="00A81180" w:rsidRPr="00F13A1A">
        <w:rPr>
          <w:rFonts w:ascii="Lato" w:hAnsi="Lato"/>
        </w:rPr>
        <w:t>J. Cullinan, B. Gannon and S. Lyons, Estimating the Extra Cost of Living for People with Disabilities, in Health Economics, vol. 20 (5) (2011); P. Saunders, “The cost of disability and the incidence of poverty”, Discussion Paper No. 147, Social Policy Research Centre, University of New South Wales, 2006</w:t>
      </w:r>
      <w:r w:rsidR="00E44378" w:rsidRPr="00F13A1A">
        <w:rPr>
          <w:rFonts w:ascii="Lato" w:hAnsi="Lato"/>
        </w:rPr>
        <w:t>.</w:t>
      </w:r>
      <w:r w:rsidR="00A81180" w:rsidRPr="00F13A1A">
        <w:rPr>
          <w:rFonts w:ascii="Lato" w:hAnsi="Lato"/>
        </w:rPr>
        <w:t xml:space="preserve"> Prashant Loyalka and others, “The costs of disability in China”, in Demography, 51 (1)</w:t>
      </w:r>
    </w:p>
  </w:footnote>
  <w:footnote w:id="19">
    <w:p w14:paraId="02764115" w14:textId="77777777" w:rsidR="00B91F5E" w:rsidRDefault="00B91F5E" w:rsidP="00B91F5E">
      <w:pPr>
        <w:pStyle w:val="FootnoteText"/>
      </w:pPr>
      <w:r w:rsidRPr="00F13A1A">
        <w:rPr>
          <w:rStyle w:val="FootnoteReference"/>
          <w:rFonts w:ascii="Lato" w:hAnsi="Lato"/>
        </w:rPr>
        <w:footnoteRef/>
      </w:r>
      <w:r w:rsidRPr="00F13A1A">
        <w:rPr>
          <w:rFonts w:ascii="Lato" w:hAnsi="Lato"/>
        </w:rPr>
        <w:t xml:space="preserve"> UN OHCHR, 2015. </w:t>
      </w:r>
      <w:hyperlink r:id="rId17" w:history="1">
        <w:r w:rsidRPr="00F13A1A">
          <w:rPr>
            <w:rStyle w:val="Hyperlink"/>
            <w:rFonts w:ascii="Lato" w:hAnsi="Lato"/>
          </w:rPr>
          <w:t>Report of the Special Rapporteur on the rights of persons with disabilities to social protection</w:t>
        </w:r>
      </w:hyperlink>
      <w:r w:rsidRPr="00F13A1A">
        <w:rPr>
          <w:rFonts w:ascii="Lato" w:hAnsi="Lato"/>
        </w:rPr>
        <w:t xml:space="preserve">, </w:t>
      </w:r>
      <w:hyperlink r:id="rId18" w:history="1">
        <w:r w:rsidRPr="00F13A1A">
          <w:rPr>
            <w:rStyle w:val="Hyperlink"/>
            <w:rFonts w:ascii="Lato" w:hAnsi="Lato"/>
            <w:shd w:val="clear" w:color="auto" w:fill="FFFFFF"/>
          </w:rPr>
          <w:t>A/70/297</w:t>
        </w:r>
      </w:hyperlink>
      <w:r w:rsidRPr="00F13A1A">
        <w:rPr>
          <w:rFonts w:ascii="Lato" w:hAnsi="Lato"/>
          <w:color w:val="000000"/>
          <w:shd w:val="clear" w:color="auto" w:fill="FFFFFF"/>
        </w:rPr>
        <w:t> </w:t>
      </w:r>
    </w:p>
  </w:footnote>
  <w:footnote w:id="20">
    <w:p w14:paraId="6723049A" w14:textId="4692F848" w:rsidR="00437BB7" w:rsidRPr="001E261D" w:rsidRDefault="00437BB7">
      <w:pPr>
        <w:pStyle w:val="FootnoteText"/>
        <w:rPr>
          <w:rFonts w:ascii="Lato" w:hAnsi="Lato"/>
        </w:rPr>
      </w:pPr>
      <w:r w:rsidRPr="001E261D">
        <w:rPr>
          <w:rStyle w:val="FootnoteReference"/>
          <w:rFonts w:ascii="Lato" w:hAnsi="Lato"/>
        </w:rPr>
        <w:footnoteRef/>
      </w:r>
      <w:r w:rsidRPr="001E261D">
        <w:rPr>
          <w:rFonts w:ascii="Lato" w:hAnsi="Lato"/>
        </w:rPr>
        <w:t xml:space="preserve"> OECD, </w:t>
      </w:r>
      <w:r w:rsidR="00E44378">
        <w:rPr>
          <w:rFonts w:ascii="Lato" w:hAnsi="Lato"/>
        </w:rPr>
        <w:t xml:space="preserve">2009. </w:t>
      </w:r>
      <w:hyperlink r:id="rId19" w:history="1">
        <w:r w:rsidRPr="00E44378">
          <w:rPr>
            <w:rStyle w:val="Hyperlink"/>
            <w:rFonts w:ascii="Lato" w:hAnsi="Lato"/>
          </w:rPr>
          <w:t>Sickness, disability and work: keeping on track in the economic downturn</w:t>
        </w:r>
      </w:hyperlink>
      <w:r w:rsidRPr="001E261D">
        <w:rPr>
          <w:rFonts w:ascii="Lato" w:hAnsi="Lato"/>
        </w:rPr>
        <w:t xml:space="preserve"> </w:t>
      </w:r>
    </w:p>
  </w:footnote>
  <w:footnote w:id="21">
    <w:p w14:paraId="6AE7102A" w14:textId="6CA68958" w:rsidR="00E37C4A" w:rsidRPr="001E261D" w:rsidRDefault="00E37C4A" w:rsidP="00E37C4A">
      <w:pPr>
        <w:pStyle w:val="FootnoteText"/>
        <w:rPr>
          <w:rFonts w:ascii="Lato" w:hAnsi="Lato"/>
        </w:rPr>
      </w:pPr>
      <w:r w:rsidRPr="001E261D">
        <w:rPr>
          <w:rStyle w:val="FootnoteReference"/>
          <w:rFonts w:ascii="Lato" w:hAnsi="Lato"/>
        </w:rPr>
        <w:footnoteRef/>
      </w:r>
      <w:r w:rsidRPr="001E261D">
        <w:rPr>
          <w:rFonts w:ascii="Lato" w:hAnsi="Lato"/>
        </w:rPr>
        <w:t xml:space="preserve"> ILO, </w:t>
      </w:r>
      <w:r w:rsidR="00E44378">
        <w:rPr>
          <w:rFonts w:ascii="Lato" w:hAnsi="Lato"/>
        </w:rPr>
        <w:t xml:space="preserve">2017. </w:t>
      </w:r>
      <w:hyperlink r:id="rId20" w:history="1">
        <w:r w:rsidRPr="00E44378">
          <w:rPr>
            <w:rStyle w:val="Hyperlink"/>
            <w:rFonts w:ascii="Lato" w:hAnsi="Lato"/>
          </w:rPr>
          <w:t>Strategies for skills acquisition and work for people with disabilities in Southern Africa</w:t>
        </w:r>
      </w:hyperlink>
      <w:r w:rsidRPr="001E261D">
        <w:rPr>
          <w:rFonts w:ascii="Lato" w:hAnsi="Lato"/>
        </w:rPr>
        <w:t xml:space="preserve"> </w:t>
      </w:r>
    </w:p>
  </w:footnote>
  <w:footnote w:id="22">
    <w:p w14:paraId="714D25DD" w14:textId="76DCA63C" w:rsidR="00B11906" w:rsidRDefault="00B11906" w:rsidP="00B11906">
      <w:pPr>
        <w:pStyle w:val="FootnoteText"/>
      </w:pPr>
      <w:r w:rsidRPr="001E261D">
        <w:rPr>
          <w:rStyle w:val="FootnoteReference"/>
          <w:rFonts w:ascii="Lato" w:hAnsi="Lato"/>
        </w:rPr>
        <w:footnoteRef/>
      </w:r>
      <w:r w:rsidRPr="001E261D">
        <w:rPr>
          <w:rFonts w:ascii="Lato" w:hAnsi="Lato"/>
        </w:rPr>
        <w:t xml:space="preserve"> Wickenden, M.; Thompson, S.; Mader, P.; Brown, S. and Rohwerder, B</w:t>
      </w:r>
      <w:r w:rsidR="00E44378">
        <w:rPr>
          <w:rFonts w:ascii="Lato" w:hAnsi="Lato"/>
        </w:rPr>
        <w:t xml:space="preserve">, IDS, 2020. </w:t>
      </w:r>
      <w:hyperlink r:id="rId21" w:history="1">
        <w:r w:rsidRPr="00E44378">
          <w:rPr>
            <w:rStyle w:val="Hyperlink"/>
            <w:rFonts w:ascii="Lato" w:hAnsi="Lato"/>
          </w:rPr>
          <w:t>Accelerating Disability Inclusive Formal Employment in Bangladesh, Kenya, Nigeria, and Uganda: What are the Vital Ingredients</w:t>
        </w:r>
      </w:hyperlink>
      <w:r w:rsidRPr="001E261D">
        <w:rPr>
          <w:rFonts w:ascii="Lato" w:hAnsi="Lato"/>
        </w:rPr>
        <w:t>?</w:t>
      </w:r>
    </w:p>
  </w:footnote>
  <w:footnote w:id="23">
    <w:p w14:paraId="5B257199" w14:textId="1FBB3F6F" w:rsidR="00224049" w:rsidRPr="001E261D" w:rsidRDefault="00224049">
      <w:pPr>
        <w:pStyle w:val="FootnoteText"/>
        <w:rPr>
          <w:rFonts w:ascii="Lato" w:hAnsi="Lato"/>
        </w:rPr>
      </w:pPr>
      <w:r w:rsidRPr="001E261D">
        <w:rPr>
          <w:rStyle w:val="FootnoteReference"/>
          <w:rFonts w:ascii="Lato" w:hAnsi="Lato"/>
        </w:rPr>
        <w:footnoteRef/>
      </w:r>
      <w:r w:rsidRPr="001E261D">
        <w:rPr>
          <w:rFonts w:ascii="Lato" w:hAnsi="Lato"/>
        </w:rPr>
        <w:t xml:space="preserve"> </w:t>
      </w:r>
      <w:r w:rsidR="00E44378" w:rsidRPr="001E261D">
        <w:rPr>
          <w:rFonts w:ascii="Lato" w:hAnsi="Lato"/>
        </w:rPr>
        <w:t>World Health Organization, &amp; World Bank</w:t>
      </w:r>
      <w:r w:rsidR="00E44378">
        <w:rPr>
          <w:rFonts w:ascii="Lato" w:hAnsi="Lato"/>
        </w:rPr>
        <w:t xml:space="preserve">, </w:t>
      </w:r>
      <w:r w:rsidR="00E44378" w:rsidRPr="001E261D">
        <w:rPr>
          <w:rFonts w:ascii="Lato" w:hAnsi="Lato"/>
        </w:rPr>
        <w:t xml:space="preserve">2011. </w:t>
      </w:r>
      <w:hyperlink r:id="rId22" w:history="1">
        <w:r w:rsidR="00E44378" w:rsidRPr="00585AB7">
          <w:rPr>
            <w:rStyle w:val="Hyperlink"/>
            <w:rFonts w:ascii="Lato" w:hAnsi="Lato"/>
          </w:rPr>
          <w:t>World report on disability</w:t>
        </w:r>
      </w:hyperlink>
    </w:p>
  </w:footnote>
  <w:footnote w:id="24">
    <w:p w14:paraId="0F76C5DF" w14:textId="2164C416" w:rsidR="00A27CDB" w:rsidRDefault="00A27CDB" w:rsidP="00A27CDB">
      <w:pPr>
        <w:pStyle w:val="FootnoteText"/>
      </w:pPr>
      <w:r w:rsidRPr="001E261D">
        <w:rPr>
          <w:rStyle w:val="FootnoteReference"/>
          <w:rFonts w:ascii="Lato" w:hAnsi="Lato"/>
        </w:rPr>
        <w:footnoteRef/>
      </w:r>
      <w:r w:rsidRPr="001E261D">
        <w:rPr>
          <w:rFonts w:ascii="Lato" w:hAnsi="Lato"/>
        </w:rPr>
        <w:t xml:space="preserve"> </w:t>
      </w:r>
      <w:r w:rsidR="00E44378" w:rsidRPr="001E261D">
        <w:rPr>
          <w:rFonts w:ascii="Lato" w:hAnsi="Lato"/>
        </w:rPr>
        <w:t>World Health Organization, &amp; World Bank</w:t>
      </w:r>
      <w:r w:rsidR="00E44378">
        <w:rPr>
          <w:rFonts w:ascii="Lato" w:hAnsi="Lato"/>
        </w:rPr>
        <w:t xml:space="preserve">, </w:t>
      </w:r>
      <w:r w:rsidR="00E44378" w:rsidRPr="001E261D">
        <w:rPr>
          <w:rFonts w:ascii="Lato" w:hAnsi="Lato"/>
        </w:rPr>
        <w:t xml:space="preserve">2011. </w:t>
      </w:r>
      <w:hyperlink r:id="rId23" w:history="1">
        <w:r w:rsidR="00E44378" w:rsidRPr="00585AB7">
          <w:rPr>
            <w:rStyle w:val="Hyperlink"/>
            <w:rFonts w:ascii="Lato" w:hAnsi="Lato"/>
          </w:rPr>
          <w:t>World report on disability</w:t>
        </w:r>
      </w:hyperlink>
      <w:r w:rsidR="00E44378">
        <w:rPr>
          <w:rFonts w:ascii="Lato" w:hAnsi="Lato"/>
        </w:rPr>
        <w:t xml:space="preserve">, </w:t>
      </w:r>
      <w:r w:rsidR="00E44378" w:rsidRPr="001E261D">
        <w:rPr>
          <w:rFonts w:ascii="Lato" w:hAnsi="Lato"/>
        </w:rPr>
        <w:t xml:space="preserve">p. </w:t>
      </w:r>
      <w:r w:rsidRPr="001E261D">
        <w:rPr>
          <w:rFonts w:ascii="Lato" w:hAnsi="Lato"/>
        </w:rPr>
        <w:t>162</w:t>
      </w:r>
    </w:p>
  </w:footnote>
  <w:footnote w:id="25">
    <w:p w14:paraId="1D0A9906" w14:textId="031D27E0" w:rsidR="00032B45" w:rsidRPr="00F13A1A" w:rsidRDefault="00032B45" w:rsidP="00032B45">
      <w:pPr>
        <w:pStyle w:val="FootnoteText"/>
        <w:rPr>
          <w:rFonts w:ascii="Lato" w:hAnsi="Lato"/>
        </w:rPr>
      </w:pPr>
      <w:r w:rsidRPr="00F13A1A">
        <w:rPr>
          <w:rStyle w:val="FootnoteReference"/>
          <w:rFonts w:ascii="Lato" w:hAnsi="Lato"/>
        </w:rPr>
        <w:footnoteRef/>
      </w:r>
      <w:r w:rsidRPr="00F13A1A">
        <w:rPr>
          <w:rFonts w:ascii="Lato" w:hAnsi="Lato"/>
        </w:rPr>
        <w:t xml:space="preserve"> UN OHCHR, 2012. Report of the Office of the United Nations High Commissioner for</w:t>
      </w:r>
    </w:p>
    <w:p w14:paraId="1E3F70C2" w14:textId="623FC3AC" w:rsidR="00032B45" w:rsidRPr="00F13A1A" w:rsidRDefault="00032B45" w:rsidP="00032B45">
      <w:pPr>
        <w:pStyle w:val="FootnoteText"/>
        <w:rPr>
          <w:rFonts w:ascii="Lato" w:hAnsi="Lato"/>
        </w:rPr>
      </w:pPr>
      <w:r w:rsidRPr="00F13A1A">
        <w:rPr>
          <w:rFonts w:ascii="Lato" w:hAnsi="Lato"/>
        </w:rPr>
        <w:t xml:space="preserve">Human Rights, </w:t>
      </w:r>
      <w:hyperlink r:id="rId24" w:history="1">
        <w:r w:rsidRPr="00F13A1A">
          <w:rPr>
            <w:rStyle w:val="Hyperlink"/>
            <w:rFonts w:ascii="Lato" w:hAnsi="Lato"/>
          </w:rPr>
          <w:t>Thematic study on the work and employment of persons with disabilities</w:t>
        </w:r>
      </w:hyperlink>
      <w:r w:rsidRPr="00F13A1A">
        <w:rPr>
          <w:rFonts w:ascii="Lato" w:hAnsi="Lato"/>
        </w:rPr>
        <w:t>, para 32. A/HRC/22/25</w:t>
      </w:r>
    </w:p>
  </w:footnote>
  <w:footnote w:id="26">
    <w:p w14:paraId="4DFB9D8A" w14:textId="43218877" w:rsidR="00B56E20" w:rsidRPr="00F13A1A" w:rsidRDefault="00B56E20" w:rsidP="00E44378">
      <w:pPr>
        <w:pStyle w:val="FootnoteText"/>
        <w:rPr>
          <w:rFonts w:ascii="Lato" w:hAnsi="Lato"/>
        </w:rPr>
      </w:pPr>
      <w:r w:rsidRPr="00F13A1A">
        <w:rPr>
          <w:rStyle w:val="FootnoteReference"/>
          <w:rFonts w:ascii="Lato" w:hAnsi="Lato"/>
        </w:rPr>
        <w:footnoteRef/>
      </w:r>
      <w:r w:rsidRPr="00F13A1A">
        <w:rPr>
          <w:rFonts w:ascii="Lato" w:hAnsi="Lato"/>
        </w:rPr>
        <w:t xml:space="preserve"> </w:t>
      </w:r>
      <w:r w:rsidR="00E44378" w:rsidRPr="00F13A1A">
        <w:rPr>
          <w:rFonts w:ascii="Lato" w:hAnsi="Lato"/>
        </w:rPr>
        <w:t>ILO, 2016</w:t>
      </w:r>
      <w:hyperlink r:id="rId25" w:history="1">
        <w:r w:rsidR="00E44378" w:rsidRPr="00F13A1A">
          <w:rPr>
            <w:rStyle w:val="Hyperlink"/>
            <w:rFonts w:ascii="Lato" w:hAnsi="Lato"/>
          </w:rPr>
          <w:t>. Promoting diversity and inclusion through workplace adjustments: a practical guide</w:t>
        </w:r>
      </w:hyperlink>
      <w:r w:rsidR="00E44378" w:rsidRPr="00F13A1A">
        <w:rPr>
          <w:rFonts w:ascii="Lato" w:hAnsi="Lato"/>
        </w:rPr>
        <w:t xml:space="preserve"> </w:t>
      </w:r>
    </w:p>
  </w:footnote>
  <w:footnote w:id="27">
    <w:p w14:paraId="7DDD731E" w14:textId="3EDFC2BD" w:rsidR="005303C6" w:rsidRDefault="005303C6">
      <w:pPr>
        <w:pStyle w:val="FootnoteText"/>
      </w:pPr>
      <w:r w:rsidRPr="00F13A1A">
        <w:rPr>
          <w:rStyle w:val="FootnoteReference"/>
          <w:rFonts w:ascii="Lato" w:hAnsi="Lato"/>
        </w:rPr>
        <w:footnoteRef/>
      </w:r>
      <w:r w:rsidRPr="00F13A1A">
        <w:rPr>
          <w:rFonts w:ascii="Lato" w:hAnsi="Lato"/>
        </w:rPr>
        <w:t xml:space="preserve"> </w:t>
      </w:r>
      <w:r w:rsidR="00D03FBA" w:rsidRPr="00F13A1A">
        <w:rPr>
          <w:rFonts w:ascii="Lato" w:hAnsi="Lato"/>
        </w:rPr>
        <w:t xml:space="preserve">UN OHCHR, 2016. </w:t>
      </w:r>
      <w:hyperlink r:id="rId26" w:history="1">
        <w:r w:rsidR="00D03FBA" w:rsidRPr="00F13A1A">
          <w:rPr>
            <w:rStyle w:val="Hyperlink"/>
            <w:rFonts w:ascii="Lato" w:hAnsi="Lato"/>
          </w:rPr>
          <w:t>Report of the Special Rapporteur of the Human Rights Council on the rights of persons with disabilities, Catalina Devandas-Aguilar, on disability-inclusive policies</w:t>
        </w:r>
      </w:hyperlink>
      <w:r w:rsidR="00D03FBA" w:rsidRPr="00F13A1A">
        <w:rPr>
          <w:rFonts w:ascii="Lato" w:hAnsi="Lato"/>
        </w:rPr>
        <w:t>, A/71/314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D4044F4"/>
    <w:lvl w:ilvl="0">
      <w:start w:val="1"/>
      <w:numFmt w:val="bullet"/>
      <w:pStyle w:val="ListBullet"/>
      <w:lvlText w:val="·"/>
      <w:lvlJc w:val="left"/>
      <w:pPr>
        <w:ind w:left="360" w:hanging="360"/>
      </w:pPr>
      <w:rPr>
        <w:rFonts w:ascii="Symbol" w:hAnsi="Symbol" w:hint="default"/>
        <w:color w:val="960051"/>
      </w:rPr>
    </w:lvl>
  </w:abstractNum>
  <w:abstractNum w:abstractNumId="1" w15:restartNumberingAfterBreak="0">
    <w:nsid w:val="09D97402"/>
    <w:multiLevelType w:val="hybridMultilevel"/>
    <w:tmpl w:val="A962ACC6"/>
    <w:lvl w:ilvl="0" w:tplc="A1443350">
      <w:start w:val="1"/>
      <w:numFmt w:val="bullet"/>
      <w:pStyle w:val="Casestudybullet"/>
      <w:lvlText w:val="·"/>
      <w:lvlJc w:val="left"/>
      <w:pPr>
        <w:ind w:left="720" w:hanging="360"/>
      </w:pPr>
      <w:rPr>
        <w:rFonts w:ascii="Symbol" w:hAnsi="Symbol" w:hint="default"/>
        <w:color w:val="9600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2094A"/>
    <w:multiLevelType w:val="hybridMultilevel"/>
    <w:tmpl w:val="FD8A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C6D10"/>
    <w:multiLevelType w:val="hybridMultilevel"/>
    <w:tmpl w:val="B3DA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13474"/>
    <w:multiLevelType w:val="hybridMultilevel"/>
    <w:tmpl w:val="ECFA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040AF"/>
    <w:multiLevelType w:val="hybridMultilevel"/>
    <w:tmpl w:val="97CC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74DF5"/>
    <w:multiLevelType w:val="hybridMultilevel"/>
    <w:tmpl w:val="9BA49180"/>
    <w:lvl w:ilvl="0" w:tplc="C74AE38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8FD8F74C">
      <w:start w:val="1"/>
      <w:numFmt w:val="upperLetter"/>
      <w:lvlText w:val="%3)"/>
      <w:lvlJc w:val="left"/>
      <w:pPr>
        <w:ind w:left="1980" w:hanging="360"/>
      </w:pPr>
      <w:rPr>
        <w:rFonts w:hint="default"/>
      </w:rPr>
    </w:lvl>
    <w:lvl w:ilvl="3" w:tplc="3AE24830">
      <w:start w:val="1"/>
      <w:numFmt w:val="lowerLetter"/>
      <w:lvlText w:val="%4)"/>
      <w:lvlJc w:val="left"/>
      <w:pPr>
        <w:ind w:left="2520" w:hanging="360"/>
      </w:pPr>
      <w:rPr>
        <w:rFonts w:eastAsiaTheme="minorHAnsi" w:hint="default"/>
        <w:b/>
        <w:u w:val="none"/>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387C27"/>
    <w:multiLevelType w:val="hybridMultilevel"/>
    <w:tmpl w:val="2740454A"/>
    <w:lvl w:ilvl="0" w:tplc="6D10830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063C33"/>
    <w:multiLevelType w:val="multilevel"/>
    <w:tmpl w:val="7C82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63EE8"/>
    <w:multiLevelType w:val="hybridMultilevel"/>
    <w:tmpl w:val="357E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61FF6"/>
    <w:multiLevelType w:val="hybridMultilevel"/>
    <w:tmpl w:val="B9B857DC"/>
    <w:lvl w:ilvl="0" w:tplc="63D41C7A">
      <w:start w:val="27"/>
      <w:numFmt w:val="bullet"/>
      <w:lvlText w:val="-"/>
      <w:lvlJc w:val="left"/>
      <w:pPr>
        <w:ind w:left="1065" w:hanging="360"/>
      </w:pPr>
      <w:rPr>
        <w:rFonts w:ascii="Calibri" w:eastAsia="Calibr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1" w15:restartNumberingAfterBreak="0">
    <w:nsid w:val="3A0469A2"/>
    <w:multiLevelType w:val="hybridMultilevel"/>
    <w:tmpl w:val="8122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0124A"/>
    <w:multiLevelType w:val="hybridMultilevel"/>
    <w:tmpl w:val="BA1E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6009A"/>
    <w:multiLevelType w:val="hybridMultilevel"/>
    <w:tmpl w:val="F16C48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255FA"/>
    <w:multiLevelType w:val="hybridMultilevel"/>
    <w:tmpl w:val="288E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243CC9"/>
    <w:multiLevelType w:val="hybridMultilevel"/>
    <w:tmpl w:val="7C72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492E46"/>
    <w:multiLevelType w:val="hybridMultilevel"/>
    <w:tmpl w:val="E3665D62"/>
    <w:lvl w:ilvl="0" w:tplc="22C2BB74">
      <w:start w:val="2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E037DD1"/>
    <w:multiLevelType w:val="hybridMultilevel"/>
    <w:tmpl w:val="1B46A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E990A9A"/>
    <w:multiLevelType w:val="hybridMultilevel"/>
    <w:tmpl w:val="BFC44626"/>
    <w:lvl w:ilvl="0" w:tplc="ED5ECF48">
      <w:start w:val="1"/>
      <w:numFmt w:val="bullet"/>
      <w:pStyle w:val="Bullet2"/>
      <w:lvlText w:val="–"/>
      <w:lvlJc w:val="left"/>
      <w:pPr>
        <w:ind w:left="890" w:hanging="360"/>
      </w:pPr>
      <w:rPr>
        <w:rFonts w:ascii="Georgia" w:hAnsi="Georgia"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56247B11"/>
    <w:multiLevelType w:val="hybridMultilevel"/>
    <w:tmpl w:val="1DD6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D23D16"/>
    <w:multiLevelType w:val="hybridMultilevel"/>
    <w:tmpl w:val="6BEC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5415D7"/>
    <w:multiLevelType w:val="hybridMultilevel"/>
    <w:tmpl w:val="ED94D6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66048A8"/>
    <w:multiLevelType w:val="hybridMultilevel"/>
    <w:tmpl w:val="4126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F55C2A"/>
    <w:multiLevelType w:val="hybridMultilevel"/>
    <w:tmpl w:val="24842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
  </w:num>
  <w:num w:numId="4">
    <w:abstractNumId w:val="2"/>
  </w:num>
  <w:num w:numId="5">
    <w:abstractNumId w:val="21"/>
  </w:num>
  <w:num w:numId="6">
    <w:abstractNumId w:val="12"/>
  </w:num>
  <w:num w:numId="7">
    <w:abstractNumId w:val="11"/>
  </w:num>
  <w:num w:numId="8">
    <w:abstractNumId w:val="22"/>
  </w:num>
  <w:num w:numId="9">
    <w:abstractNumId w:val="15"/>
  </w:num>
  <w:num w:numId="10">
    <w:abstractNumId w:val="3"/>
  </w:num>
  <w:num w:numId="11">
    <w:abstractNumId w:val="9"/>
  </w:num>
  <w:num w:numId="12">
    <w:abstractNumId w:val="5"/>
  </w:num>
  <w:num w:numId="13">
    <w:abstractNumId w:val="4"/>
  </w:num>
  <w:num w:numId="14">
    <w:abstractNumId w:val="19"/>
  </w:num>
  <w:num w:numId="15">
    <w:abstractNumId w:val="20"/>
  </w:num>
  <w:num w:numId="16">
    <w:abstractNumId w:val="13"/>
  </w:num>
  <w:num w:numId="17">
    <w:abstractNumId w:val="23"/>
  </w:num>
  <w:num w:numId="18">
    <w:abstractNumId w:val="16"/>
  </w:num>
  <w:num w:numId="19">
    <w:abstractNumId w:val="7"/>
  </w:num>
  <w:num w:numId="20">
    <w:abstractNumId w:val="17"/>
  </w:num>
  <w:num w:numId="21">
    <w:abstractNumId w:val="10"/>
  </w:num>
  <w:num w:numId="22">
    <w:abstractNumId w:val="14"/>
  </w:num>
  <w:num w:numId="23">
    <w:abstractNumId w:val="6"/>
  </w:num>
  <w:num w:numId="2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DC"/>
    <w:rsid w:val="00000714"/>
    <w:rsid w:val="0000738D"/>
    <w:rsid w:val="00010BBE"/>
    <w:rsid w:val="00012C00"/>
    <w:rsid w:val="00032B45"/>
    <w:rsid w:val="000334EA"/>
    <w:rsid w:val="00041B68"/>
    <w:rsid w:val="000435B7"/>
    <w:rsid w:val="00056148"/>
    <w:rsid w:val="00057019"/>
    <w:rsid w:val="00071A14"/>
    <w:rsid w:val="00073790"/>
    <w:rsid w:val="00073D9E"/>
    <w:rsid w:val="0007593E"/>
    <w:rsid w:val="00076056"/>
    <w:rsid w:val="00080A9A"/>
    <w:rsid w:val="00080E3E"/>
    <w:rsid w:val="00082C9F"/>
    <w:rsid w:val="00086013"/>
    <w:rsid w:val="0009072E"/>
    <w:rsid w:val="00091530"/>
    <w:rsid w:val="0009592E"/>
    <w:rsid w:val="00096DE3"/>
    <w:rsid w:val="000A3D4B"/>
    <w:rsid w:val="000B0E96"/>
    <w:rsid w:val="000B13EB"/>
    <w:rsid w:val="000B60B7"/>
    <w:rsid w:val="000B6D66"/>
    <w:rsid w:val="000C31DF"/>
    <w:rsid w:val="000C5BCC"/>
    <w:rsid w:val="000D32F4"/>
    <w:rsid w:val="000D6ABC"/>
    <w:rsid w:val="000E0336"/>
    <w:rsid w:val="000E4508"/>
    <w:rsid w:val="000F13C0"/>
    <w:rsid w:val="000F67E7"/>
    <w:rsid w:val="000F6F0A"/>
    <w:rsid w:val="00100C9E"/>
    <w:rsid w:val="00105B86"/>
    <w:rsid w:val="001107E9"/>
    <w:rsid w:val="001109C9"/>
    <w:rsid w:val="00125239"/>
    <w:rsid w:val="00150086"/>
    <w:rsid w:val="00155402"/>
    <w:rsid w:val="00161868"/>
    <w:rsid w:val="00177181"/>
    <w:rsid w:val="00181C86"/>
    <w:rsid w:val="00183288"/>
    <w:rsid w:val="001921FD"/>
    <w:rsid w:val="00192554"/>
    <w:rsid w:val="001A036D"/>
    <w:rsid w:val="001A30F3"/>
    <w:rsid w:val="001B0286"/>
    <w:rsid w:val="001B08B3"/>
    <w:rsid w:val="001B7DCE"/>
    <w:rsid w:val="001C0FA5"/>
    <w:rsid w:val="001C29A5"/>
    <w:rsid w:val="001C5CF1"/>
    <w:rsid w:val="001C67AC"/>
    <w:rsid w:val="001C77F6"/>
    <w:rsid w:val="001D371D"/>
    <w:rsid w:val="001D53DA"/>
    <w:rsid w:val="001E261D"/>
    <w:rsid w:val="001E44F9"/>
    <w:rsid w:val="001E6A15"/>
    <w:rsid w:val="001E7250"/>
    <w:rsid w:val="001F1D4D"/>
    <w:rsid w:val="001F2AB4"/>
    <w:rsid w:val="001F38DB"/>
    <w:rsid w:val="001F5BC3"/>
    <w:rsid w:val="001F6C95"/>
    <w:rsid w:val="00204370"/>
    <w:rsid w:val="00207EDC"/>
    <w:rsid w:val="00214BD6"/>
    <w:rsid w:val="00220835"/>
    <w:rsid w:val="00221F09"/>
    <w:rsid w:val="00224049"/>
    <w:rsid w:val="00234CB3"/>
    <w:rsid w:val="00241613"/>
    <w:rsid w:val="00247A48"/>
    <w:rsid w:val="00254D78"/>
    <w:rsid w:val="0025678D"/>
    <w:rsid w:val="00260BBB"/>
    <w:rsid w:val="00265FC5"/>
    <w:rsid w:val="0026631E"/>
    <w:rsid w:val="002726D3"/>
    <w:rsid w:val="00277842"/>
    <w:rsid w:val="00284CA8"/>
    <w:rsid w:val="00285B85"/>
    <w:rsid w:val="0028748B"/>
    <w:rsid w:val="002B40BF"/>
    <w:rsid w:val="002B44DD"/>
    <w:rsid w:val="002B6733"/>
    <w:rsid w:val="002C380D"/>
    <w:rsid w:val="002D3008"/>
    <w:rsid w:val="002D313E"/>
    <w:rsid w:val="002E1B86"/>
    <w:rsid w:val="002F3BFA"/>
    <w:rsid w:val="002F796E"/>
    <w:rsid w:val="00303C50"/>
    <w:rsid w:val="00306536"/>
    <w:rsid w:val="00315DCA"/>
    <w:rsid w:val="003212C6"/>
    <w:rsid w:val="003410B8"/>
    <w:rsid w:val="00344BF4"/>
    <w:rsid w:val="00347A96"/>
    <w:rsid w:val="00362E07"/>
    <w:rsid w:val="0036425A"/>
    <w:rsid w:val="00370EC1"/>
    <w:rsid w:val="00371C7F"/>
    <w:rsid w:val="00372200"/>
    <w:rsid w:val="003737B2"/>
    <w:rsid w:val="003848EB"/>
    <w:rsid w:val="003945EA"/>
    <w:rsid w:val="003960E1"/>
    <w:rsid w:val="00396C2D"/>
    <w:rsid w:val="0039774E"/>
    <w:rsid w:val="003A396B"/>
    <w:rsid w:val="003A48A5"/>
    <w:rsid w:val="003B46F5"/>
    <w:rsid w:val="003C3678"/>
    <w:rsid w:val="003D0CA2"/>
    <w:rsid w:val="003D244C"/>
    <w:rsid w:val="003D67FB"/>
    <w:rsid w:val="003D76C8"/>
    <w:rsid w:val="003F1D38"/>
    <w:rsid w:val="003F22DB"/>
    <w:rsid w:val="003F5829"/>
    <w:rsid w:val="00402E55"/>
    <w:rsid w:val="00404AE1"/>
    <w:rsid w:val="004072D1"/>
    <w:rsid w:val="004109FB"/>
    <w:rsid w:val="004153B6"/>
    <w:rsid w:val="0041548D"/>
    <w:rsid w:val="00416E83"/>
    <w:rsid w:val="00417BCB"/>
    <w:rsid w:val="004223E6"/>
    <w:rsid w:val="00423F76"/>
    <w:rsid w:val="00431A42"/>
    <w:rsid w:val="0043768A"/>
    <w:rsid w:val="00437BB7"/>
    <w:rsid w:val="00437F42"/>
    <w:rsid w:val="00441963"/>
    <w:rsid w:val="004568DD"/>
    <w:rsid w:val="00461395"/>
    <w:rsid w:val="00465B53"/>
    <w:rsid w:val="0046606F"/>
    <w:rsid w:val="004669B7"/>
    <w:rsid w:val="00472356"/>
    <w:rsid w:val="00472EC5"/>
    <w:rsid w:val="00480E84"/>
    <w:rsid w:val="00482347"/>
    <w:rsid w:val="00496A08"/>
    <w:rsid w:val="004A1B82"/>
    <w:rsid w:val="004A567B"/>
    <w:rsid w:val="004B3BF5"/>
    <w:rsid w:val="004B5945"/>
    <w:rsid w:val="004B5EC0"/>
    <w:rsid w:val="004D05ED"/>
    <w:rsid w:val="004D189A"/>
    <w:rsid w:val="004D3801"/>
    <w:rsid w:val="004D42EB"/>
    <w:rsid w:val="004D463B"/>
    <w:rsid w:val="004D59D4"/>
    <w:rsid w:val="004E2575"/>
    <w:rsid w:val="004E3B67"/>
    <w:rsid w:val="004E4336"/>
    <w:rsid w:val="004E4C71"/>
    <w:rsid w:val="004E683C"/>
    <w:rsid w:val="004F4FB0"/>
    <w:rsid w:val="004F6765"/>
    <w:rsid w:val="00512126"/>
    <w:rsid w:val="005145F0"/>
    <w:rsid w:val="005158B9"/>
    <w:rsid w:val="00516874"/>
    <w:rsid w:val="0052345E"/>
    <w:rsid w:val="005258B5"/>
    <w:rsid w:val="005303C6"/>
    <w:rsid w:val="00534BBF"/>
    <w:rsid w:val="00534E8E"/>
    <w:rsid w:val="00541833"/>
    <w:rsid w:val="00543E44"/>
    <w:rsid w:val="00550AA9"/>
    <w:rsid w:val="00551D7C"/>
    <w:rsid w:val="00561F3D"/>
    <w:rsid w:val="0056271D"/>
    <w:rsid w:val="0056584F"/>
    <w:rsid w:val="005851DF"/>
    <w:rsid w:val="00585AB7"/>
    <w:rsid w:val="00587120"/>
    <w:rsid w:val="0059623F"/>
    <w:rsid w:val="005A5F46"/>
    <w:rsid w:val="005A6931"/>
    <w:rsid w:val="005B796B"/>
    <w:rsid w:val="005C52B4"/>
    <w:rsid w:val="005C5496"/>
    <w:rsid w:val="005C77FE"/>
    <w:rsid w:val="005D36EC"/>
    <w:rsid w:val="005D5547"/>
    <w:rsid w:val="005D754B"/>
    <w:rsid w:val="005E04CE"/>
    <w:rsid w:val="005E3C9C"/>
    <w:rsid w:val="005E7029"/>
    <w:rsid w:val="005F3684"/>
    <w:rsid w:val="005F70F4"/>
    <w:rsid w:val="00604308"/>
    <w:rsid w:val="0060667B"/>
    <w:rsid w:val="0060778C"/>
    <w:rsid w:val="00610FEC"/>
    <w:rsid w:val="006117AF"/>
    <w:rsid w:val="0061619E"/>
    <w:rsid w:val="00624F46"/>
    <w:rsid w:val="0063241F"/>
    <w:rsid w:val="006356ED"/>
    <w:rsid w:val="0063630C"/>
    <w:rsid w:val="00642363"/>
    <w:rsid w:val="006478C5"/>
    <w:rsid w:val="0065610E"/>
    <w:rsid w:val="00657288"/>
    <w:rsid w:val="00665F34"/>
    <w:rsid w:val="0067097C"/>
    <w:rsid w:val="00673548"/>
    <w:rsid w:val="00674CF3"/>
    <w:rsid w:val="006820EB"/>
    <w:rsid w:val="006825E9"/>
    <w:rsid w:val="0068402A"/>
    <w:rsid w:val="006849E9"/>
    <w:rsid w:val="00685F2C"/>
    <w:rsid w:val="00694858"/>
    <w:rsid w:val="006967D0"/>
    <w:rsid w:val="006A27DA"/>
    <w:rsid w:val="006A5694"/>
    <w:rsid w:val="006A6E73"/>
    <w:rsid w:val="006B21DE"/>
    <w:rsid w:val="006B53C1"/>
    <w:rsid w:val="006C0782"/>
    <w:rsid w:val="006C10D3"/>
    <w:rsid w:val="006C4883"/>
    <w:rsid w:val="006E1342"/>
    <w:rsid w:val="006F28DF"/>
    <w:rsid w:val="006F3D80"/>
    <w:rsid w:val="00700F94"/>
    <w:rsid w:val="007071BC"/>
    <w:rsid w:val="00707631"/>
    <w:rsid w:val="007136EA"/>
    <w:rsid w:val="007246F9"/>
    <w:rsid w:val="00724A05"/>
    <w:rsid w:val="007327D1"/>
    <w:rsid w:val="007335BC"/>
    <w:rsid w:val="0073443C"/>
    <w:rsid w:val="007353EE"/>
    <w:rsid w:val="00743346"/>
    <w:rsid w:val="0075146D"/>
    <w:rsid w:val="0075224B"/>
    <w:rsid w:val="00763916"/>
    <w:rsid w:val="00764B0D"/>
    <w:rsid w:val="00776ECA"/>
    <w:rsid w:val="00783FC9"/>
    <w:rsid w:val="007A02C3"/>
    <w:rsid w:val="007A123B"/>
    <w:rsid w:val="007A1EEE"/>
    <w:rsid w:val="007A7409"/>
    <w:rsid w:val="007B11FA"/>
    <w:rsid w:val="007B242A"/>
    <w:rsid w:val="007B66EA"/>
    <w:rsid w:val="007C1684"/>
    <w:rsid w:val="007C2BC6"/>
    <w:rsid w:val="007C7CF1"/>
    <w:rsid w:val="007D3AD3"/>
    <w:rsid w:val="007E11A9"/>
    <w:rsid w:val="007E21C7"/>
    <w:rsid w:val="007E33FF"/>
    <w:rsid w:val="007E5CBE"/>
    <w:rsid w:val="007E728A"/>
    <w:rsid w:val="007F3A55"/>
    <w:rsid w:val="008025F4"/>
    <w:rsid w:val="0081236E"/>
    <w:rsid w:val="00821930"/>
    <w:rsid w:val="00822102"/>
    <w:rsid w:val="008235C9"/>
    <w:rsid w:val="00827AE8"/>
    <w:rsid w:val="00827D17"/>
    <w:rsid w:val="0083177F"/>
    <w:rsid w:val="00831882"/>
    <w:rsid w:val="00837A0D"/>
    <w:rsid w:val="0084371D"/>
    <w:rsid w:val="00844C34"/>
    <w:rsid w:val="00846813"/>
    <w:rsid w:val="00852F6B"/>
    <w:rsid w:val="008549D3"/>
    <w:rsid w:val="008609B1"/>
    <w:rsid w:val="0086112E"/>
    <w:rsid w:val="00862C5C"/>
    <w:rsid w:val="00864BBA"/>
    <w:rsid w:val="008675DB"/>
    <w:rsid w:val="00870265"/>
    <w:rsid w:val="00871EF6"/>
    <w:rsid w:val="008776EC"/>
    <w:rsid w:val="00881DE9"/>
    <w:rsid w:val="008910BB"/>
    <w:rsid w:val="00892E31"/>
    <w:rsid w:val="008B1786"/>
    <w:rsid w:val="008B52ED"/>
    <w:rsid w:val="008C1526"/>
    <w:rsid w:val="008C269E"/>
    <w:rsid w:val="008C38A3"/>
    <w:rsid w:val="008C3E5D"/>
    <w:rsid w:val="008D04D5"/>
    <w:rsid w:val="008D0E01"/>
    <w:rsid w:val="008D28A7"/>
    <w:rsid w:val="008D70D5"/>
    <w:rsid w:val="008E2EF5"/>
    <w:rsid w:val="008E5930"/>
    <w:rsid w:val="008F1492"/>
    <w:rsid w:val="008F70DD"/>
    <w:rsid w:val="008F72F7"/>
    <w:rsid w:val="00901B1A"/>
    <w:rsid w:val="009039FD"/>
    <w:rsid w:val="009049F5"/>
    <w:rsid w:val="0090663A"/>
    <w:rsid w:val="00913582"/>
    <w:rsid w:val="00944328"/>
    <w:rsid w:val="00946184"/>
    <w:rsid w:val="0094652A"/>
    <w:rsid w:val="00953440"/>
    <w:rsid w:val="009671B2"/>
    <w:rsid w:val="00971FD3"/>
    <w:rsid w:val="009750C5"/>
    <w:rsid w:val="00981C16"/>
    <w:rsid w:val="00982099"/>
    <w:rsid w:val="00991DE3"/>
    <w:rsid w:val="00994671"/>
    <w:rsid w:val="009A23B5"/>
    <w:rsid w:val="009A4FEB"/>
    <w:rsid w:val="009A6CA4"/>
    <w:rsid w:val="009A727A"/>
    <w:rsid w:val="009B3BA8"/>
    <w:rsid w:val="009B3F23"/>
    <w:rsid w:val="009C4E12"/>
    <w:rsid w:val="009C6453"/>
    <w:rsid w:val="009C690F"/>
    <w:rsid w:val="009C727D"/>
    <w:rsid w:val="009D152F"/>
    <w:rsid w:val="009D30FC"/>
    <w:rsid w:val="009D7168"/>
    <w:rsid w:val="009E21D1"/>
    <w:rsid w:val="009E5BAB"/>
    <w:rsid w:val="009E746E"/>
    <w:rsid w:val="009F5B39"/>
    <w:rsid w:val="009F7D6F"/>
    <w:rsid w:val="00A02010"/>
    <w:rsid w:val="00A02657"/>
    <w:rsid w:val="00A0773D"/>
    <w:rsid w:val="00A13FBF"/>
    <w:rsid w:val="00A214B6"/>
    <w:rsid w:val="00A23061"/>
    <w:rsid w:val="00A25A8A"/>
    <w:rsid w:val="00A27CDB"/>
    <w:rsid w:val="00A32124"/>
    <w:rsid w:val="00A32493"/>
    <w:rsid w:val="00A325DC"/>
    <w:rsid w:val="00A35018"/>
    <w:rsid w:val="00A55BAB"/>
    <w:rsid w:val="00A60F2D"/>
    <w:rsid w:val="00A614FF"/>
    <w:rsid w:val="00A6185E"/>
    <w:rsid w:val="00A65598"/>
    <w:rsid w:val="00A77DED"/>
    <w:rsid w:val="00A80C1C"/>
    <w:rsid w:val="00A81180"/>
    <w:rsid w:val="00A82A40"/>
    <w:rsid w:val="00A82B5E"/>
    <w:rsid w:val="00A838EC"/>
    <w:rsid w:val="00A842D4"/>
    <w:rsid w:val="00A9639D"/>
    <w:rsid w:val="00AB100F"/>
    <w:rsid w:val="00AC0C17"/>
    <w:rsid w:val="00AC6D11"/>
    <w:rsid w:val="00AD1155"/>
    <w:rsid w:val="00AD2D1C"/>
    <w:rsid w:val="00AD3C87"/>
    <w:rsid w:val="00AD3D65"/>
    <w:rsid w:val="00AD7C3B"/>
    <w:rsid w:val="00AE00B8"/>
    <w:rsid w:val="00AE26A8"/>
    <w:rsid w:val="00AE3BEF"/>
    <w:rsid w:val="00AF03AB"/>
    <w:rsid w:val="00AF34B9"/>
    <w:rsid w:val="00B01FD2"/>
    <w:rsid w:val="00B11906"/>
    <w:rsid w:val="00B14549"/>
    <w:rsid w:val="00B266D4"/>
    <w:rsid w:val="00B3447E"/>
    <w:rsid w:val="00B34DAF"/>
    <w:rsid w:val="00B36B78"/>
    <w:rsid w:val="00B4037F"/>
    <w:rsid w:val="00B43E91"/>
    <w:rsid w:val="00B46529"/>
    <w:rsid w:val="00B52B3C"/>
    <w:rsid w:val="00B55B3A"/>
    <w:rsid w:val="00B5610A"/>
    <w:rsid w:val="00B56E20"/>
    <w:rsid w:val="00B62463"/>
    <w:rsid w:val="00B63281"/>
    <w:rsid w:val="00B637FA"/>
    <w:rsid w:val="00B65EA2"/>
    <w:rsid w:val="00B746A9"/>
    <w:rsid w:val="00B75448"/>
    <w:rsid w:val="00B77066"/>
    <w:rsid w:val="00B83AFD"/>
    <w:rsid w:val="00B842F8"/>
    <w:rsid w:val="00B84B44"/>
    <w:rsid w:val="00B91F5E"/>
    <w:rsid w:val="00BA77DF"/>
    <w:rsid w:val="00BB5D07"/>
    <w:rsid w:val="00BB6B71"/>
    <w:rsid w:val="00BC0BF4"/>
    <w:rsid w:val="00BC4F0D"/>
    <w:rsid w:val="00BD0002"/>
    <w:rsid w:val="00BD09F5"/>
    <w:rsid w:val="00BD79DD"/>
    <w:rsid w:val="00BE39DB"/>
    <w:rsid w:val="00BE46B4"/>
    <w:rsid w:val="00BF1044"/>
    <w:rsid w:val="00BF7295"/>
    <w:rsid w:val="00C0333A"/>
    <w:rsid w:val="00C03FF9"/>
    <w:rsid w:val="00C074DC"/>
    <w:rsid w:val="00C10837"/>
    <w:rsid w:val="00C130F1"/>
    <w:rsid w:val="00C1685F"/>
    <w:rsid w:val="00C16A78"/>
    <w:rsid w:val="00C225C4"/>
    <w:rsid w:val="00C2532D"/>
    <w:rsid w:val="00C27AC5"/>
    <w:rsid w:val="00C33A3D"/>
    <w:rsid w:val="00C35A47"/>
    <w:rsid w:val="00C40386"/>
    <w:rsid w:val="00C442A7"/>
    <w:rsid w:val="00C453EF"/>
    <w:rsid w:val="00C45416"/>
    <w:rsid w:val="00C45E56"/>
    <w:rsid w:val="00C60BFF"/>
    <w:rsid w:val="00C6454F"/>
    <w:rsid w:val="00C6483A"/>
    <w:rsid w:val="00C65213"/>
    <w:rsid w:val="00C72EFC"/>
    <w:rsid w:val="00C859F9"/>
    <w:rsid w:val="00C92791"/>
    <w:rsid w:val="00C9348D"/>
    <w:rsid w:val="00C93779"/>
    <w:rsid w:val="00C96636"/>
    <w:rsid w:val="00CA008A"/>
    <w:rsid w:val="00CA672A"/>
    <w:rsid w:val="00CA6D40"/>
    <w:rsid w:val="00CB0C93"/>
    <w:rsid w:val="00CB20AC"/>
    <w:rsid w:val="00CB23CA"/>
    <w:rsid w:val="00CB49C4"/>
    <w:rsid w:val="00CC31A7"/>
    <w:rsid w:val="00CC3360"/>
    <w:rsid w:val="00CC776F"/>
    <w:rsid w:val="00CE1C06"/>
    <w:rsid w:val="00CE3994"/>
    <w:rsid w:val="00CF0C28"/>
    <w:rsid w:val="00CF1DDE"/>
    <w:rsid w:val="00CF3B6F"/>
    <w:rsid w:val="00D001A2"/>
    <w:rsid w:val="00D00C64"/>
    <w:rsid w:val="00D02CD8"/>
    <w:rsid w:val="00D03FBA"/>
    <w:rsid w:val="00D1275E"/>
    <w:rsid w:val="00D15A84"/>
    <w:rsid w:val="00D16378"/>
    <w:rsid w:val="00D17189"/>
    <w:rsid w:val="00D2317E"/>
    <w:rsid w:val="00D24446"/>
    <w:rsid w:val="00D36844"/>
    <w:rsid w:val="00D36BAC"/>
    <w:rsid w:val="00D53BC4"/>
    <w:rsid w:val="00D65A1D"/>
    <w:rsid w:val="00D66D66"/>
    <w:rsid w:val="00D751F2"/>
    <w:rsid w:val="00D80818"/>
    <w:rsid w:val="00D810F6"/>
    <w:rsid w:val="00D83D26"/>
    <w:rsid w:val="00D85FD2"/>
    <w:rsid w:val="00D9312F"/>
    <w:rsid w:val="00D93B3C"/>
    <w:rsid w:val="00D95928"/>
    <w:rsid w:val="00D97458"/>
    <w:rsid w:val="00DA15AB"/>
    <w:rsid w:val="00DA6850"/>
    <w:rsid w:val="00DB015E"/>
    <w:rsid w:val="00DB11DF"/>
    <w:rsid w:val="00DB2ED8"/>
    <w:rsid w:val="00DC0000"/>
    <w:rsid w:val="00DC08E2"/>
    <w:rsid w:val="00DC1312"/>
    <w:rsid w:val="00DD3212"/>
    <w:rsid w:val="00DD77C1"/>
    <w:rsid w:val="00DE1166"/>
    <w:rsid w:val="00DE3A5C"/>
    <w:rsid w:val="00DE4B71"/>
    <w:rsid w:val="00DE7BD3"/>
    <w:rsid w:val="00DF6486"/>
    <w:rsid w:val="00E00C60"/>
    <w:rsid w:val="00E017B0"/>
    <w:rsid w:val="00E01CD3"/>
    <w:rsid w:val="00E04BE7"/>
    <w:rsid w:val="00E05FC6"/>
    <w:rsid w:val="00E12DBB"/>
    <w:rsid w:val="00E21203"/>
    <w:rsid w:val="00E23002"/>
    <w:rsid w:val="00E2338B"/>
    <w:rsid w:val="00E23879"/>
    <w:rsid w:val="00E23F59"/>
    <w:rsid w:val="00E27481"/>
    <w:rsid w:val="00E30A25"/>
    <w:rsid w:val="00E37C4A"/>
    <w:rsid w:val="00E42036"/>
    <w:rsid w:val="00E44378"/>
    <w:rsid w:val="00E44C72"/>
    <w:rsid w:val="00E45128"/>
    <w:rsid w:val="00E51D05"/>
    <w:rsid w:val="00E5359F"/>
    <w:rsid w:val="00E55E73"/>
    <w:rsid w:val="00E6113A"/>
    <w:rsid w:val="00E61B83"/>
    <w:rsid w:val="00E7423C"/>
    <w:rsid w:val="00E754AB"/>
    <w:rsid w:val="00E82678"/>
    <w:rsid w:val="00E83060"/>
    <w:rsid w:val="00E90594"/>
    <w:rsid w:val="00E9242F"/>
    <w:rsid w:val="00E93C16"/>
    <w:rsid w:val="00E94AC6"/>
    <w:rsid w:val="00E94FCA"/>
    <w:rsid w:val="00E95655"/>
    <w:rsid w:val="00EA0708"/>
    <w:rsid w:val="00EA13ED"/>
    <w:rsid w:val="00EA67BC"/>
    <w:rsid w:val="00EC4C72"/>
    <w:rsid w:val="00EC5E70"/>
    <w:rsid w:val="00EC6AFE"/>
    <w:rsid w:val="00ED192B"/>
    <w:rsid w:val="00ED1C44"/>
    <w:rsid w:val="00F0267A"/>
    <w:rsid w:val="00F0358C"/>
    <w:rsid w:val="00F0598D"/>
    <w:rsid w:val="00F13A1A"/>
    <w:rsid w:val="00F149D2"/>
    <w:rsid w:val="00F274A6"/>
    <w:rsid w:val="00F27507"/>
    <w:rsid w:val="00F306E4"/>
    <w:rsid w:val="00F320BB"/>
    <w:rsid w:val="00F35050"/>
    <w:rsid w:val="00F36AD0"/>
    <w:rsid w:val="00F37D7B"/>
    <w:rsid w:val="00F44100"/>
    <w:rsid w:val="00F45325"/>
    <w:rsid w:val="00F46516"/>
    <w:rsid w:val="00F46F11"/>
    <w:rsid w:val="00F50B54"/>
    <w:rsid w:val="00F52AF1"/>
    <w:rsid w:val="00F54E75"/>
    <w:rsid w:val="00F62401"/>
    <w:rsid w:val="00F7342C"/>
    <w:rsid w:val="00F77BB7"/>
    <w:rsid w:val="00F86160"/>
    <w:rsid w:val="00F86909"/>
    <w:rsid w:val="00F913EA"/>
    <w:rsid w:val="00F932D5"/>
    <w:rsid w:val="00F95047"/>
    <w:rsid w:val="00F957EB"/>
    <w:rsid w:val="00FA36F8"/>
    <w:rsid w:val="00FB4631"/>
    <w:rsid w:val="00FB5AF6"/>
    <w:rsid w:val="00FB5D71"/>
    <w:rsid w:val="00FC2F1C"/>
    <w:rsid w:val="00FC617D"/>
    <w:rsid w:val="00FC7350"/>
    <w:rsid w:val="00FC7A6F"/>
    <w:rsid w:val="00FC7AF9"/>
    <w:rsid w:val="00FD2BCA"/>
    <w:rsid w:val="00FD603D"/>
    <w:rsid w:val="00FE600C"/>
    <w:rsid w:val="00FF6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0EC7B"/>
  <w15:docId w15:val="{B28A24CA-6F61-4A0E-AA12-3E3F2FE8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DCE"/>
    <w:pPr>
      <w:spacing w:after="160"/>
    </w:pPr>
    <w:rPr>
      <w:rFonts w:ascii="Arial" w:hAnsi="Arial"/>
      <w:sz w:val="24"/>
    </w:rPr>
  </w:style>
  <w:style w:type="paragraph" w:styleId="Heading1">
    <w:name w:val="heading 1"/>
    <w:basedOn w:val="Normal"/>
    <w:next w:val="Normal"/>
    <w:link w:val="Heading1Char"/>
    <w:uiPriority w:val="2"/>
    <w:qFormat/>
    <w:rsid w:val="00A0773D"/>
    <w:pPr>
      <w:keepNext/>
      <w:keepLines/>
      <w:spacing w:after="240"/>
      <w:outlineLvl w:val="0"/>
    </w:pPr>
    <w:rPr>
      <w:rFonts w:eastAsiaTheme="majorEastAsia" w:cstheme="majorBidi"/>
      <w:b/>
      <w:bCs/>
      <w:color w:val="960051"/>
      <w:sz w:val="48"/>
      <w:szCs w:val="28"/>
    </w:rPr>
  </w:style>
  <w:style w:type="paragraph" w:styleId="Heading2">
    <w:name w:val="heading 2"/>
    <w:basedOn w:val="Normal"/>
    <w:next w:val="Normal"/>
    <w:link w:val="Heading2Char"/>
    <w:uiPriority w:val="2"/>
    <w:qFormat/>
    <w:rsid w:val="00881DE9"/>
    <w:pPr>
      <w:keepNext/>
      <w:keepLines/>
      <w:spacing w:after="240"/>
      <w:outlineLvl w:val="1"/>
    </w:pPr>
    <w:rPr>
      <w:rFonts w:eastAsiaTheme="majorEastAsia" w:cstheme="majorBidi"/>
      <w:bCs/>
      <w:sz w:val="48"/>
      <w:szCs w:val="26"/>
    </w:rPr>
  </w:style>
  <w:style w:type="paragraph" w:styleId="Heading3">
    <w:name w:val="heading 3"/>
    <w:basedOn w:val="Normal"/>
    <w:next w:val="Normal"/>
    <w:link w:val="Heading3Char"/>
    <w:uiPriority w:val="2"/>
    <w:qFormat/>
    <w:rsid w:val="00F306E4"/>
    <w:pPr>
      <w:keepNext/>
      <w:keepLines/>
      <w:pBdr>
        <w:bottom w:val="dotted" w:sz="18" w:space="1" w:color="FFBB22"/>
      </w:pBdr>
      <w:spacing w:after="240"/>
      <w:outlineLvl w:val="2"/>
    </w:pPr>
    <w:rPr>
      <w:rFonts w:eastAsiaTheme="majorEastAsia" w:cstheme="majorBidi"/>
      <w:b/>
      <w:bCs/>
      <w:color w:val="960051"/>
      <w:sz w:val="36"/>
    </w:rPr>
  </w:style>
  <w:style w:type="paragraph" w:styleId="Heading4">
    <w:name w:val="heading 4"/>
    <w:basedOn w:val="Normal"/>
    <w:next w:val="Normal"/>
    <w:link w:val="Heading4Char"/>
    <w:uiPriority w:val="2"/>
    <w:qFormat/>
    <w:rsid w:val="00F306E4"/>
    <w:pPr>
      <w:keepNext/>
      <w:keepLines/>
      <w:spacing w:after="240"/>
      <w:outlineLvl w:val="3"/>
    </w:pPr>
    <w:rPr>
      <w:rFonts w:eastAsiaTheme="majorEastAsia" w:cstheme="majorBidi"/>
      <w:b/>
      <w:bCs/>
      <w:iCs/>
      <w:color w:val="403A60"/>
      <w:sz w:val="36"/>
    </w:rPr>
  </w:style>
  <w:style w:type="paragraph" w:styleId="Heading5">
    <w:name w:val="heading 5"/>
    <w:basedOn w:val="Normal"/>
    <w:next w:val="Normal"/>
    <w:link w:val="Heading5Char"/>
    <w:uiPriority w:val="2"/>
    <w:qFormat/>
    <w:rsid w:val="00F306E4"/>
    <w:pPr>
      <w:keepNext/>
      <w:keepLines/>
      <w:spacing w:after="240"/>
      <w:outlineLvl w:val="4"/>
    </w:pPr>
    <w:rPr>
      <w:rFonts w:eastAsiaTheme="majorEastAsia" w:cstheme="majorBidi"/>
      <w:b/>
      <w:color w:val="403A60"/>
      <w:sz w:val="28"/>
    </w:rPr>
  </w:style>
  <w:style w:type="paragraph" w:styleId="Heading6">
    <w:name w:val="heading 6"/>
    <w:basedOn w:val="Normal"/>
    <w:next w:val="Normal"/>
    <w:link w:val="Heading6Char"/>
    <w:uiPriority w:val="2"/>
    <w:qFormat/>
    <w:rsid w:val="002B44DD"/>
    <w:pPr>
      <w:keepNext/>
      <w:keepLines/>
      <w:spacing w:after="240"/>
      <w:outlineLvl w:val="5"/>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74CF3"/>
    <w:rPr>
      <w:rFonts w:ascii="Arial" w:eastAsiaTheme="majorEastAsia" w:hAnsi="Arial" w:cstheme="majorBidi"/>
      <w:b/>
      <w:bCs/>
      <w:color w:val="960051"/>
      <w:sz w:val="48"/>
      <w:szCs w:val="28"/>
    </w:rPr>
  </w:style>
  <w:style w:type="character" w:customStyle="1" w:styleId="Heading2Char">
    <w:name w:val="Heading 2 Char"/>
    <w:basedOn w:val="DefaultParagraphFont"/>
    <w:link w:val="Heading2"/>
    <w:uiPriority w:val="2"/>
    <w:rsid w:val="00674CF3"/>
    <w:rPr>
      <w:rFonts w:ascii="Arial" w:eastAsiaTheme="majorEastAsia" w:hAnsi="Arial" w:cstheme="majorBidi"/>
      <w:bCs/>
      <w:sz w:val="48"/>
      <w:szCs w:val="26"/>
    </w:rPr>
  </w:style>
  <w:style w:type="character" w:customStyle="1" w:styleId="Heading3Char">
    <w:name w:val="Heading 3 Char"/>
    <w:basedOn w:val="DefaultParagraphFont"/>
    <w:link w:val="Heading3"/>
    <w:uiPriority w:val="2"/>
    <w:rsid w:val="00674CF3"/>
    <w:rPr>
      <w:rFonts w:ascii="Arial" w:eastAsiaTheme="majorEastAsia" w:hAnsi="Arial" w:cstheme="majorBidi"/>
      <w:b/>
      <w:bCs/>
      <w:color w:val="960051"/>
      <w:sz w:val="36"/>
    </w:rPr>
  </w:style>
  <w:style w:type="character" w:customStyle="1" w:styleId="Heading4Char">
    <w:name w:val="Heading 4 Char"/>
    <w:basedOn w:val="DefaultParagraphFont"/>
    <w:link w:val="Heading4"/>
    <w:uiPriority w:val="2"/>
    <w:rsid w:val="00674CF3"/>
    <w:rPr>
      <w:rFonts w:ascii="Arial" w:eastAsiaTheme="majorEastAsia" w:hAnsi="Arial" w:cstheme="majorBidi"/>
      <w:b/>
      <w:bCs/>
      <w:iCs/>
      <w:color w:val="403A60"/>
      <w:sz w:val="36"/>
    </w:rPr>
  </w:style>
  <w:style w:type="character" w:customStyle="1" w:styleId="Heading5Char">
    <w:name w:val="Heading 5 Char"/>
    <w:basedOn w:val="DefaultParagraphFont"/>
    <w:link w:val="Heading5"/>
    <w:uiPriority w:val="2"/>
    <w:rsid w:val="00674CF3"/>
    <w:rPr>
      <w:rFonts w:ascii="Arial" w:eastAsiaTheme="majorEastAsia" w:hAnsi="Arial" w:cstheme="majorBidi"/>
      <w:b/>
      <w:color w:val="403A60"/>
      <w:sz w:val="28"/>
    </w:rPr>
  </w:style>
  <w:style w:type="character" w:customStyle="1" w:styleId="Heading6Char">
    <w:name w:val="Heading 6 Char"/>
    <w:basedOn w:val="DefaultParagraphFont"/>
    <w:link w:val="Heading6"/>
    <w:uiPriority w:val="2"/>
    <w:rsid w:val="00674CF3"/>
    <w:rPr>
      <w:rFonts w:asciiTheme="majorHAnsi" w:eastAsiaTheme="majorEastAsia" w:hAnsiTheme="majorHAnsi" w:cstheme="majorBidi"/>
      <w:b/>
      <w:iCs/>
      <w:sz w:val="24"/>
    </w:rPr>
  </w:style>
  <w:style w:type="paragraph" w:styleId="ListBullet">
    <w:name w:val="List Bullet"/>
    <w:basedOn w:val="Normal"/>
    <w:uiPriority w:val="99"/>
    <w:semiHidden/>
    <w:rsid w:val="002B44DD"/>
    <w:pPr>
      <w:numPr>
        <w:numId w:val="1"/>
      </w:numPr>
      <w:ind w:left="170" w:hanging="170"/>
      <w:contextualSpacing/>
    </w:pPr>
  </w:style>
  <w:style w:type="paragraph" w:customStyle="1" w:styleId="Bullet1">
    <w:name w:val="Bullet1"/>
    <w:basedOn w:val="ListBullet"/>
    <w:uiPriority w:val="2"/>
    <w:qFormat/>
    <w:rsid w:val="00694858"/>
    <w:pPr>
      <w:ind w:left="227" w:hanging="227"/>
    </w:pPr>
  </w:style>
  <w:style w:type="paragraph" w:customStyle="1" w:styleId="Bullet2">
    <w:name w:val="Bullet2"/>
    <w:basedOn w:val="Bullet1"/>
    <w:uiPriority w:val="2"/>
    <w:qFormat/>
    <w:rsid w:val="00694858"/>
    <w:pPr>
      <w:numPr>
        <w:numId w:val="2"/>
      </w:numPr>
      <w:ind w:left="454" w:hanging="227"/>
    </w:pPr>
  </w:style>
  <w:style w:type="paragraph" w:styleId="Quote">
    <w:name w:val="Quote"/>
    <w:basedOn w:val="Normal"/>
    <w:next w:val="Normal"/>
    <w:link w:val="QuoteChar"/>
    <w:uiPriority w:val="29"/>
    <w:semiHidden/>
    <w:qFormat/>
    <w:rsid w:val="00B842F8"/>
    <w:rPr>
      <w:iCs/>
      <w:color w:val="960051"/>
      <w:sz w:val="28"/>
    </w:rPr>
  </w:style>
  <w:style w:type="character" w:customStyle="1" w:styleId="QuoteChar">
    <w:name w:val="Quote Char"/>
    <w:basedOn w:val="DefaultParagraphFont"/>
    <w:link w:val="Quote"/>
    <w:uiPriority w:val="29"/>
    <w:semiHidden/>
    <w:rsid w:val="003B46F5"/>
    <w:rPr>
      <w:rFonts w:ascii="Arial" w:hAnsi="Arial"/>
      <w:iCs/>
      <w:color w:val="960051"/>
      <w:sz w:val="28"/>
    </w:rPr>
  </w:style>
  <w:style w:type="paragraph" w:styleId="Caption">
    <w:name w:val="caption"/>
    <w:basedOn w:val="Normal"/>
    <w:next w:val="Normal"/>
    <w:uiPriority w:val="4"/>
    <w:qFormat/>
    <w:rsid w:val="004D189A"/>
    <w:pPr>
      <w:spacing w:after="120" w:line="240" w:lineRule="auto"/>
    </w:pPr>
    <w:rPr>
      <w:bCs/>
      <w:sz w:val="18"/>
      <w:szCs w:val="18"/>
    </w:rPr>
  </w:style>
  <w:style w:type="paragraph" w:styleId="Header">
    <w:name w:val="header"/>
    <w:basedOn w:val="Normal"/>
    <w:link w:val="HeaderChar"/>
    <w:uiPriority w:val="99"/>
    <w:unhideWhenUsed/>
    <w:rsid w:val="004D1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89A"/>
    <w:rPr>
      <w:rFonts w:ascii="Arial" w:hAnsi="Arial"/>
      <w:sz w:val="24"/>
    </w:rPr>
  </w:style>
  <w:style w:type="paragraph" w:styleId="Footer">
    <w:name w:val="footer"/>
    <w:basedOn w:val="Normal"/>
    <w:link w:val="FooterChar"/>
    <w:uiPriority w:val="99"/>
    <w:unhideWhenUsed/>
    <w:rsid w:val="00FA36F8"/>
    <w:pPr>
      <w:tabs>
        <w:tab w:val="left" w:pos="1021"/>
      </w:tabs>
      <w:spacing w:after="0" w:line="240" w:lineRule="auto"/>
    </w:pPr>
  </w:style>
  <w:style w:type="character" w:customStyle="1" w:styleId="FooterChar">
    <w:name w:val="Footer Char"/>
    <w:basedOn w:val="DefaultParagraphFont"/>
    <w:link w:val="Footer"/>
    <w:uiPriority w:val="99"/>
    <w:rsid w:val="00FA36F8"/>
    <w:rPr>
      <w:rFonts w:ascii="Arial" w:hAnsi="Arial"/>
      <w:sz w:val="24"/>
    </w:rPr>
  </w:style>
  <w:style w:type="character" w:styleId="PlaceholderText">
    <w:name w:val="Placeholder Text"/>
    <w:basedOn w:val="DefaultParagraphFont"/>
    <w:uiPriority w:val="99"/>
    <w:semiHidden/>
    <w:rsid w:val="00FA36F8"/>
    <w:rPr>
      <w:color w:val="808080"/>
    </w:rPr>
  </w:style>
  <w:style w:type="paragraph" w:styleId="BalloonText">
    <w:name w:val="Balloon Text"/>
    <w:basedOn w:val="Normal"/>
    <w:link w:val="BalloonTextChar"/>
    <w:uiPriority w:val="99"/>
    <w:semiHidden/>
    <w:unhideWhenUsed/>
    <w:rsid w:val="00FA3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6F8"/>
    <w:rPr>
      <w:rFonts w:ascii="Tahoma" w:hAnsi="Tahoma" w:cs="Tahoma"/>
      <w:sz w:val="16"/>
      <w:szCs w:val="16"/>
    </w:rPr>
  </w:style>
  <w:style w:type="table" w:styleId="TableGrid">
    <w:name w:val="Table Grid"/>
    <w:basedOn w:val="TableNormal"/>
    <w:uiPriority w:val="59"/>
    <w:rsid w:val="00F62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2401"/>
    <w:pPr>
      <w:spacing w:after="0" w:line="240" w:lineRule="auto"/>
    </w:pPr>
    <w:rPr>
      <w:rFonts w:ascii="Arial" w:hAnsi="Arial"/>
      <w:sz w:val="24"/>
    </w:rPr>
  </w:style>
  <w:style w:type="paragraph" w:styleId="Title">
    <w:name w:val="Title"/>
    <w:basedOn w:val="Normal"/>
    <w:link w:val="TitleChar"/>
    <w:uiPriority w:val="4"/>
    <w:qFormat/>
    <w:rsid w:val="00F50B54"/>
    <w:pPr>
      <w:spacing w:after="0" w:line="240" w:lineRule="auto"/>
      <w:contextualSpacing/>
    </w:pPr>
    <w:rPr>
      <w:rFonts w:eastAsiaTheme="majorEastAsia" w:cstheme="majorBidi"/>
      <w:b/>
      <w:color w:val="FFFFFF" w:themeColor="background1"/>
      <w:spacing w:val="5"/>
      <w:kern w:val="28"/>
      <w:sz w:val="68"/>
      <w:szCs w:val="52"/>
      <w:lang w:val="en-US" w:eastAsia="ja-JP"/>
    </w:rPr>
  </w:style>
  <w:style w:type="character" w:customStyle="1" w:styleId="TitleChar">
    <w:name w:val="Title Char"/>
    <w:basedOn w:val="DefaultParagraphFont"/>
    <w:link w:val="Title"/>
    <w:uiPriority w:val="4"/>
    <w:rsid w:val="003B46F5"/>
    <w:rPr>
      <w:rFonts w:ascii="Arial" w:eastAsiaTheme="majorEastAsia" w:hAnsi="Arial" w:cstheme="majorBidi"/>
      <w:b/>
      <w:color w:val="FFFFFF" w:themeColor="background1"/>
      <w:spacing w:val="5"/>
      <w:kern w:val="28"/>
      <w:sz w:val="68"/>
      <w:szCs w:val="52"/>
      <w:lang w:val="en-US" w:eastAsia="ja-JP"/>
    </w:rPr>
  </w:style>
  <w:style w:type="paragraph" w:styleId="Subtitle">
    <w:name w:val="Subtitle"/>
    <w:basedOn w:val="Normal"/>
    <w:link w:val="SubtitleChar"/>
    <w:uiPriority w:val="4"/>
    <w:qFormat/>
    <w:rsid w:val="00265FC5"/>
    <w:pPr>
      <w:numPr>
        <w:ilvl w:val="1"/>
      </w:numPr>
      <w:spacing w:after="0" w:line="240" w:lineRule="auto"/>
    </w:pPr>
    <w:rPr>
      <w:rFonts w:eastAsiaTheme="majorEastAsia" w:cstheme="majorBidi"/>
      <w:iCs/>
      <w:color w:val="FFFFFF"/>
      <w:spacing w:val="15"/>
      <w:sz w:val="56"/>
      <w:szCs w:val="24"/>
      <w:lang w:val="en-US" w:eastAsia="ja-JP"/>
    </w:rPr>
  </w:style>
  <w:style w:type="character" w:customStyle="1" w:styleId="SubtitleChar">
    <w:name w:val="Subtitle Char"/>
    <w:basedOn w:val="DefaultParagraphFont"/>
    <w:link w:val="Subtitle"/>
    <w:uiPriority w:val="4"/>
    <w:rsid w:val="003B46F5"/>
    <w:rPr>
      <w:rFonts w:ascii="Arial" w:eastAsiaTheme="majorEastAsia" w:hAnsi="Arial" w:cstheme="majorBidi"/>
      <w:iCs/>
      <w:color w:val="FFFFFF"/>
      <w:spacing w:val="15"/>
      <w:sz w:val="56"/>
      <w:szCs w:val="24"/>
      <w:lang w:val="en-US" w:eastAsia="ja-JP"/>
    </w:rPr>
  </w:style>
  <w:style w:type="paragraph" w:customStyle="1" w:styleId="Titleblack">
    <w:name w:val="Title black"/>
    <w:basedOn w:val="Title"/>
    <w:uiPriority w:val="4"/>
    <w:qFormat/>
    <w:rsid w:val="0063630C"/>
    <w:rPr>
      <w:color w:val="auto"/>
    </w:rPr>
  </w:style>
  <w:style w:type="paragraph" w:customStyle="1" w:styleId="Subtitleblack">
    <w:name w:val="Subtitle black"/>
    <w:basedOn w:val="Subtitle"/>
    <w:uiPriority w:val="4"/>
    <w:qFormat/>
    <w:rsid w:val="0063630C"/>
    <w:rPr>
      <w:color w:val="auto"/>
    </w:rPr>
  </w:style>
  <w:style w:type="character" w:customStyle="1" w:styleId="A12">
    <w:name w:val="A12"/>
    <w:uiPriority w:val="99"/>
    <w:semiHidden/>
    <w:rsid w:val="00B5610A"/>
    <w:rPr>
      <w:color w:val="FFFFFF"/>
      <w:sz w:val="44"/>
      <w:szCs w:val="44"/>
    </w:rPr>
  </w:style>
  <w:style w:type="paragraph" w:customStyle="1" w:styleId="Casestudytext">
    <w:name w:val="Case study text"/>
    <w:basedOn w:val="NoSpacing"/>
    <w:uiPriority w:val="3"/>
    <w:qFormat/>
    <w:rsid w:val="000E0336"/>
    <w:pPr>
      <w:spacing w:after="120"/>
    </w:pPr>
    <w:rPr>
      <w:color w:val="403A60"/>
      <w:sz w:val="22"/>
    </w:rPr>
  </w:style>
  <w:style w:type="paragraph" w:customStyle="1" w:styleId="Casestudybullet">
    <w:name w:val="Case study bullet"/>
    <w:basedOn w:val="Casestudytext"/>
    <w:uiPriority w:val="3"/>
    <w:qFormat/>
    <w:rsid w:val="000E0336"/>
    <w:pPr>
      <w:numPr>
        <w:numId w:val="3"/>
      </w:numPr>
      <w:ind w:left="227" w:hanging="227"/>
    </w:pPr>
  </w:style>
  <w:style w:type="table" w:styleId="ColorfulList-Accent2">
    <w:name w:val="Colorful List Accent 2"/>
    <w:basedOn w:val="TableNormal"/>
    <w:uiPriority w:val="72"/>
    <w:rsid w:val="000E0336"/>
    <w:pPr>
      <w:spacing w:after="0" w:line="240" w:lineRule="auto"/>
    </w:pPr>
    <w:rPr>
      <w:rFonts w:ascii="Arial" w:hAnsi="Arial"/>
      <w:color w:val="000000" w:themeColor="text1"/>
    </w:rPr>
    <w:tblPr>
      <w:tblStyleRowBandSize w:val="1"/>
      <w:tblStyleColBandSize w:val="1"/>
      <w:tblBorders>
        <w:insideH w:val="single" w:sz="8" w:space="0" w:color="FFFFFF" w:themeColor="background1"/>
        <w:insideV w:val="single" w:sz="8" w:space="0" w:color="FFFFFF" w:themeColor="background1"/>
      </w:tblBorders>
    </w:tblPr>
    <w:tcPr>
      <w:shd w:val="clear" w:color="auto" w:fill="D9D9D9" w:themeFill="background1" w:themeFillShade="D9"/>
    </w:tcPr>
    <w:tblStylePr w:type="firstRow">
      <w:rPr>
        <w:b w:val="0"/>
        <w:bCs/>
        <w:color w:val="FFFFFF" w:themeColor="background1"/>
      </w:rPr>
      <w:tblPr/>
      <w:tcPr>
        <w:tcBorders>
          <w:top w:val="nil"/>
          <w:left w:val="nil"/>
          <w:bottom w:val="nil"/>
          <w:right w:val="nil"/>
          <w:insideH w:val="single" w:sz="8" w:space="0" w:color="FFFFFF" w:themeColor="background1"/>
          <w:insideV w:val="single" w:sz="8" w:space="0" w:color="FFFFFF" w:themeColor="background1"/>
          <w:tl2br w:val="nil"/>
          <w:tr2bl w:val="nil"/>
        </w:tcBorders>
        <w:shd w:val="clear" w:color="auto" w:fill="780040" w:themeFill="accent2" w:themeFillShade="CC"/>
      </w:tcPr>
    </w:tblStylePr>
    <w:tblStylePr w:type="lastRow">
      <w:rPr>
        <w:b/>
        <w:bCs/>
        <w:color w:val="7800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2Vert">
      <w:tblPr/>
      <w:tcPr>
        <w:shd w:val="clear" w:color="auto" w:fill="D9D9D9" w:themeFill="background1" w:themeFillShade="D9"/>
      </w:tcPr>
    </w:tblStylePr>
    <w:tblStylePr w:type="band1Horz">
      <w:tblPr/>
      <w:tcPr>
        <w:tcBorders>
          <w:insideH w:val="nil"/>
        </w:tcBorders>
        <w:shd w:val="clear" w:color="auto" w:fill="D9D9D9" w:themeFill="background1" w:themeFillShade="D9"/>
      </w:tcPr>
    </w:tblStylePr>
    <w:tblStylePr w:type="band2Horz">
      <w:tblPr/>
      <w:tcPr>
        <w:tcBorders>
          <w:insideH w:val="nil"/>
        </w:tcBorders>
        <w:shd w:val="clear" w:color="auto" w:fill="D9D9D9" w:themeFill="background1" w:themeFillShade="D9"/>
      </w:tcPr>
    </w:tblStylePr>
  </w:style>
  <w:style w:type="paragraph" w:customStyle="1" w:styleId="Pa13">
    <w:name w:val="Pa13"/>
    <w:basedOn w:val="Normal"/>
    <w:next w:val="Normal"/>
    <w:uiPriority w:val="99"/>
    <w:rsid w:val="000E0336"/>
    <w:pPr>
      <w:autoSpaceDE w:val="0"/>
      <w:autoSpaceDN w:val="0"/>
      <w:adjustRightInd w:val="0"/>
      <w:spacing w:after="0" w:line="221" w:lineRule="atLeast"/>
    </w:pPr>
    <w:rPr>
      <w:rFonts w:cs="Arial"/>
      <w:szCs w:val="24"/>
    </w:rPr>
  </w:style>
  <w:style w:type="character" w:styleId="Hyperlink">
    <w:name w:val="Hyperlink"/>
    <w:basedOn w:val="DefaultParagraphFont"/>
    <w:uiPriority w:val="99"/>
    <w:unhideWhenUsed/>
    <w:rsid w:val="00AF03AB"/>
    <w:rPr>
      <w:color w:val="0000FF" w:themeColor="hyperlink"/>
      <w:u w:val="single"/>
    </w:rPr>
  </w:style>
  <w:style w:type="paragraph" w:styleId="ListParagraph">
    <w:name w:val="List Paragraph"/>
    <w:basedOn w:val="Normal"/>
    <w:uiPriority w:val="34"/>
    <w:qFormat/>
    <w:rsid w:val="00AF03AB"/>
    <w:pPr>
      <w:ind w:left="720"/>
      <w:contextualSpacing/>
    </w:pPr>
  </w:style>
  <w:style w:type="paragraph" w:styleId="FootnoteText">
    <w:name w:val="footnote text"/>
    <w:basedOn w:val="Normal"/>
    <w:link w:val="FootnoteTextChar"/>
    <w:uiPriority w:val="99"/>
    <w:unhideWhenUsed/>
    <w:rsid w:val="009E746E"/>
    <w:pPr>
      <w:spacing w:after="0" w:line="240" w:lineRule="auto"/>
    </w:pPr>
    <w:rPr>
      <w:sz w:val="20"/>
      <w:szCs w:val="20"/>
    </w:rPr>
  </w:style>
  <w:style w:type="character" w:customStyle="1" w:styleId="FootnoteTextChar">
    <w:name w:val="Footnote Text Char"/>
    <w:basedOn w:val="DefaultParagraphFont"/>
    <w:link w:val="FootnoteText"/>
    <w:uiPriority w:val="99"/>
    <w:rsid w:val="009E746E"/>
    <w:rPr>
      <w:rFonts w:ascii="Arial" w:hAnsi="Arial"/>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9E746E"/>
    <w:rPr>
      <w:vertAlign w:val="superscript"/>
    </w:rPr>
  </w:style>
  <w:style w:type="character" w:styleId="CommentReference">
    <w:name w:val="annotation reference"/>
    <w:basedOn w:val="DefaultParagraphFont"/>
    <w:uiPriority w:val="99"/>
    <w:semiHidden/>
    <w:unhideWhenUsed/>
    <w:rsid w:val="00FC7A6F"/>
    <w:rPr>
      <w:sz w:val="16"/>
      <w:szCs w:val="16"/>
    </w:rPr>
  </w:style>
  <w:style w:type="paragraph" w:styleId="CommentText">
    <w:name w:val="annotation text"/>
    <w:basedOn w:val="Normal"/>
    <w:link w:val="CommentTextChar"/>
    <w:uiPriority w:val="99"/>
    <w:unhideWhenUsed/>
    <w:rsid w:val="00FC7A6F"/>
    <w:pPr>
      <w:spacing w:line="240" w:lineRule="auto"/>
    </w:pPr>
    <w:rPr>
      <w:sz w:val="20"/>
      <w:szCs w:val="20"/>
    </w:rPr>
  </w:style>
  <w:style w:type="character" w:customStyle="1" w:styleId="CommentTextChar">
    <w:name w:val="Comment Text Char"/>
    <w:basedOn w:val="DefaultParagraphFont"/>
    <w:link w:val="CommentText"/>
    <w:uiPriority w:val="99"/>
    <w:rsid w:val="00FC7A6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266D4"/>
    <w:rPr>
      <w:b/>
      <w:bCs/>
    </w:rPr>
  </w:style>
  <w:style w:type="character" w:customStyle="1" w:styleId="CommentSubjectChar">
    <w:name w:val="Comment Subject Char"/>
    <w:basedOn w:val="CommentTextChar"/>
    <w:link w:val="CommentSubject"/>
    <w:uiPriority w:val="99"/>
    <w:semiHidden/>
    <w:rsid w:val="00B266D4"/>
    <w:rPr>
      <w:rFonts w:ascii="Arial" w:hAnsi="Arial"/>
      <w:b/>
      <w:bCs/>
      <w:sz w:val="20"/>
      <w:szCs w:val="20"/>
    </w:rPr>
  </w:style>
  <w:style w:type="character" w:customStyle="1" w:styleId="UnresolvedMention">
    <w:name w:val="Unresolved Mention"/>
    <w:basedOn w:val="DefaultParagraphFont"/>
    <w:uiPriority w:val="99"/>
    <w:semiHidden/>
    <w:unhideWhenUsed/>
    <w:rsid w:val="00E12DBB"/>
    <w:rPr>
      <w:color w:val="605E5C"/>
      <w:shd w:val="clear" w:color="auto" w:fill="E1DFDD"/>
    </w:rPr>
  </w:style>
  <w:style w:type="paragraph" w:styleId="EndnoteText">
    <w:name w:val="endnote text"/>
    <w:basedOn w:val="Normal"/>
    <w:link w:val="EndnoteTextChar"/>
    <w:uiPriority w:val="99"/>
    <w:semiHidden/>
    <w:unhideWhenUsed/>
    <w:rsid w:val="006F3D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3D80"/>
    <w:rPr>
      <w:rFonts w:ascii="Arial" w:hAnsi="Arial"/>
      <w:sz w:val="20"/>
      <w:szCs w:val="20"/>
    </w:rPr>
  </w:style>
  <w:style w:type="character" w:styleId="EndnoteReference">
    <w:name w:val="endnote reference"/>
    <w:basedOn w:val="DefaultParagraphFont"/>
    <w:uiPriority w:val="99"/>
    <w:semiHidden/>
    <w:unhideWhenUsed/>
    <w:rsid w:val="006F3D80"/>
    <w:rPr>
      <w:vertAlign w:val="superscript"/>
    </w:rPr>
  </w:style>
  <w:style w:type="paragraph" w:customStyle="1" w:styleId="xmsonormal">
    <w:name w:val="x_msonormal"/>
    <w:basedOn w:val="Normal"/>
    <w:rsid w:val="00C10837"/>
    <w:pPr>
      <w:spacing w:after="0" w:line="240" w:lineRule="auto"/>
    </w:pPr>
    <w:rPr>
      <w:rFonts w:ascii="Calibri" w:hAnsi="Calibri" w:cs="Calibri"/>
      <w:sz w:val="22"/>
      <w:lang w:eastAsia="en-GB"/>
    </w:rPr>
  </w:style>
  <w:style w:type="character" w:styleId="Strong">
    <w:name w:val="Strong"/>
    <w:basedOn w:val="DefaultParagraphFont"/>
    <w:uiPriority w:val="22"/>
    <w:qFormat/>
    <w:rsid w:val="00C10837"/>
    <w:rPr>
      <w:b/>
      <w:bCs/>
    </w:rPr>
  </w:style>
  <w:style w:type="paragraph" w:customStyle="1" w:styleId="para">
    <w:name w:val="para"/>
    <w:basedOn w:val="Normal"/>
    <w:rsid w:val="007A123B"/>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9A6CA4"/>
    <w:rPr>
      <w:color w:val="800080" w:themeColor="followedHyperlink"/>
      <w:u w:val="singl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21F09"/>
    <w:pPr>
      <w:spacing w:line="240" w:lineRule="exact"/>
      <w:jc w:val="both"/>
    </w:pPr>
    <w:rPr>
      <w:rFonts w:asciiTheme="minorHAnsi" w:hAnsiTheme="minorHAnsi"/>
      <w:sz w:val="22"/>
      <w:vertAlign w:val="superscript"/>
    </w:rPr>
  </w:style>
  <w:style w:type="paragraph" w:styleId="NormalWeb">
    <w:name w:val="Normal (Web)"/>
    <w:basedOn w:val="Normal"/>
    <w:uiPriority w:val="99"/>
    <w:semiHidden/>
    <w:unhideWhenUsed/>
    <w:rsid w:val="004109FB"/>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5D36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8225">
      <w:bodyDiv w:val="1"/>
      <w:marLeft w:val="0"/>
      <w:marRight w:val="0"/>
      <w:marTop w:val="0"/>
      <w:marBottom w:val="0"/>
      <w:divBdr>
        <w:top w:val="none" w:sz="0" w:space="0" w:color="auto"/>
        <w:left w:val="none" w:sz="0" w:space="0" w:color="auto"/>
        <w:bottom w:val="none" w:sz="0" w:space="0" w:color="auto"/>
        <w:right w:val="none" w:sz="0" w:space="0" w:color="auto"/>
      </w:divBdr>
    </w:div>
    <w:div w:id="165098084">
      <w:bodyDiv w:val="1"/>
      <w:marLeft w:val="0"/>
      <w:marRight w:val="0"/>
      <w:marTop w:val="0"/>
      <w:marBottom w:val="0"/>
      <w:divBdr>
        <w:top w:val="none" w:sz="0" w:space="0" w:color="auto"/>
        <w:left w:val="none" w:sz="0" w:space="0" w:color="auto"/>
        <w:bottom w:val="none" w:sz="0" w:space="0" w:color="auto"/>
        <w:right w:val="none" w:sz="0" w:space="0" w:color="auto"/>
      </w:divBdr>
      <w:divsChild>
        <w:div w:id="1785078436">
          <w:marLeft w:val="0"/>
          <w:marRight w:val="0"/>
          <w:marTop w:val="0"/>
          <w:marBottom w:val="0"/>
          <w:divBdr>
            <w:top w:val="none" w:sz="0" w:space="0" w:color="auto"/>
            <w:left w:val="none" w:sz="0" w:space="0" w:color="auto"/>
            <w:bottom w:val="none" w:sz="0" w:space="0" w:color="auto"/>
            <w:right w:val="none" w:sz="0" w:space="0" w:color="auto"/>
          </w:divBdr>
        </w:div>
      </w:divsChild>
    </w:div>
    <w:div w:id="1271426789">
      <w:bodyDiv w:val="1"/>
      <w:marLeft w:val="0"/>
      <w:marRight w:val="0"/>
      <w:marTop w:val="0"/>
      <w:marBottom w:val="0"/>
      <w:divBdr>
        <w:top w:val="none" w:sz="0" w:space="0" w:color="auto"/>
        <w:left w:val="none" w:sz="0" w:space="0" w:color="auto"/>
        <w:bottom w:val="none" w:sz="0" w:space="0" w:color="auto"/>
        <w:right w:val="none" w:sz="0" w:space="0" w:color="auto"/>
      </w:divBdr>
    </w:div>
    <w:div w:id="1350838297">
      <w:bodyDiv w:val="1"/>
      <w:marLeft w:val="0"/>
      <w:marRight w:val="0"/>
      <w:marTop w:val="0"/>
      <w:marBottom w:val="0"/>
      <w:divBdr>
        <w:top w:val="none" w:sz="0" w:space="0" w:color="auto"/>
        <w:left w:val="none" w:sz="0" w:space="0" w:color="auto"/>
        <w:bottom w:val="none" w:sz="0" w:space="0" w:color="auto"/>
        <w:right w:val="none" w:sz="0" w:space="0" w:color="auto"/>
      </w:divBdr>
    </w:div>
    <w:div w:id="1603341415">
      <w:bodyDiv w:val="1"/>
      <w:marLeft w:val="0"/>
      <w:marRight w:val="0"/>
      <w:marTop w:val="0"/>
      <w:marBottom w:val="0"/>
      <w:divBdr>
        <w:top w:val="none" w:sz="0" w:space="0" w:color="auto"/>
        <w:left w:val="none" w:sz="0" w:space="0" w:color="auto"/>
        <w:bottom w:val="none" w:sz="0" w:space="0" w:color="auto"/>
        <w:right w:val="none" w:sz="0" w:space="0" w:color="auto"/>
      </w:divBdr>
    </w:div>
    <w:div w:id="1677459934">
      <w:bodyDiv w:val="1"/>
      <w:marLeft w:val="0"/>
      <w:marRight w:val="0"/>
      <w:marTop w:val="0"/>
      <w:marBottom w:val="0"/>
      <w:divBdr>
        <w:top w:val="none" w:sz="0" w:space="0" w:color="auto"/>
        <w:left w:val="none" w:sz="0" w:space="0" w:color="auto"/>
        <w:bottom w:val="none" w:sz="0" w:space="0" w:color="auto"/>
        <w:right w:val="none" w:sz="0" w:space="0" w:color="auto"/>
      </w:divBdr>
    </w:div>
    <w:div w:id="1699550368">
      <w:bodyDiv w:val="1"/>
      <w:marLeft w:val="0"/>
      <w:marRight w:val="0"/>
      <w:marTop w:val="0"/>
      <w:marBottom w:val="0"/>
      <w:divBdr>
        <w:top w:val="none" w:sz="0" w:space="0" w:color="auto"/>
        <w:left w:val="none" w:sz="0" w:space="0" w:color="auto"/>
        <w:bottom w:val="none" w:sz="0" w:space="0" w:color="auto"/>
        <w:right w:val="none" w:sz="0" w:space="0" w:color="auto"/>
      </w:divBdr>
    </w:div>
    <w:div w:id="1852716953">
      <w:bodyDiv w:val="1"/>
      <w:marLeft w:val="0"/>
      <w:marRight w:val="0"/>
      <w:marTop w:val="0"/>
      <w:marBottom w:val="0"/>
      <w:divBdr>
        <w:top w:val="none" w:sz="0" w:space="0" w:color="auto"/>
        <w:left w:val="none" w:sz="0" w:space="0" w:color="auto"/>
        <w:bottom w:val="none" w:sz="0" w:space="0" w:color="auto"/>
        <w:right w:val="none" w:sz="0" w:space="0" w:color="auto"/>
      </w:divBdr>
    </w:div>
    <w:div w:id="192009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udge@sightsavers.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undocs.org/en/A/70/297" TargetMode="External"/><Relationship Id="rId13" Type="http://schemas.openxmlformats.org/officeDocument/2006/relationships/hyperlink" Target="https://doi.org/10.1002/jid.3508" TargetMode="External"/><Relationship Id="rId18" Type="http://schemas.openxmlformats.org/officeDocument/2006/relationships/hyperlink" Target="https://undocs.org/en/A/70/297" TargetMode="External"/><Relationship Id="rId26" Type="http://schemas.openxmlformats.org/officeDocument/2006/relationships/hyperlink" Target="https://undocs.org/en/A/71/314" TargetMode="External"/><Relationship Id="rId3" Type="http://schemas.openxmlformats.org/officeDocument/2006/relationships/hyperlink" Target="http://www.oecd.org/employment/emp/42699911.pdf" TargetMode="External"/><Relationship Id="rId21" Type="http://schemas.openxmlformats.org/officeDocument/2006/relationships/hyperlink" Target="https://www.ids.ac.uk/publications/accelerating-disability-inclusive-formal-employment-in-bangladesh-kenya-nigeria-and-uganda-what-are-the-vital-ingredients/" TargetMode="External"/><Relationship Id="rId7" Type="http://schemas.openxmlformats.org/officeDocument/2006/relationships/hyperlink" Target="https://www.sddirect.org.uk/media/2126/poverty-factsheet-people-with-disabilities.pdf" TargetMode="External"/><Relationship Id="rId12" Type="http://schemas.openxmlformats.org/officeDocument/2006/relationships/hyperlink" Target="https://doi.org/10.1002/jid.3508" TargetMode="External"/><Relationship Id="rId17" Type="http://schemas.openxmlformats.org/officeDocument/2006/relationships/hyperlink" Target="https://undocs.org/en/A/70/297" TargetMode="External"/><Relationship Id="rId25" Type="http://schemas.openxmlformats.org/officeDocument/2006/relationships/hyperlink" Target="https://www.ilo.org/wcmsp5/groups/public/---ed_norm/---declaration/documents/publication/wcms_536630.pdf" TargetMode="External"/><Relationship Id="rId2" Type="http://schemas.openxmlformats.org/officeDocument/2006/relationships/hyperlink" Target="https://social.un.org/publications/UN-Flagship-Report-Disability-Final.pdf" TargetMode="External"/><Relationship Id="rId16" Type="http://schemas.openxmlformats.org/officeDocument/2006/relationships/hyperlink" Target="https://www.refworld.org/docid/45139c9b4.html" TargetMode="External"/><Relationship Id="rId20" Type="http://schemas.openxmlformats.org/officeDocument/2006/relationships/hyperlink" Target="https://www.ilo.org/wcmsp5/groups/public/@ed_emp/@ifp_skills/documents/publication/wcms_107784.pdf" TargetMode="External"/><Relationship Id="rId1" Type="http://schemas.openxmlformats.org/officeDocument/2006/relationships/hyperlink" Target="https://social.un.org/publications/UN-Flagship-Report-Disability-Final.pdf" TargetMode="External"/><Relationship Id="rId6" Type="http://schemas.openxmlformats.org/officeDocument/2006/relationships/hyperlink" Target="https://social.un.org/publications/UN-Flagship-Report-Disability-Final.pdf" TargetMode="External"/><Relationship Id="rId11" Type="http://schemas.openxmlformats.org/officeDocument/2006/relationships/hyperlink" Target="https://www.refworld.org/docid/45139c9b4.html" TargetMode="External"/><Relationship Id="rId24" Type="http://schemas.openxmlformats.org/officeDocument/2006/relationships/hyperlink" Target="https://undocs.org/A/HRC/22/25" TargetMode="External"/><Relationship Id="rId5" Type="http://schemas.openxmlformats.org/officeDocument/2006/relationships/hyperlink" Target="https://www.who.int/publications/i/item/9789241564182" TargetMode="External"/><Relationship Id="rId15" Type="http://schemas.openxmlformats.org/officeDocument/2006/relationships/hyperlink" Target="https://www.who.int/publications/i/item/9789241564182" TargetMode="External"/><Relationship Id="rId23" Type="http://schemas.openxmlformats.org/officeDocument/2006/relationships/hyperlink" Target="https://www.who.int/publications/i/item/9789241564182" TargetMode="External"/><Relationship Id="rId10" Type="http://schemas.openxmlformats.org/officeDocument/2006/relationships/hyperlink" Target="https://www.who.int/publications/i/item/9789241564182" TargetMode="External"/><Relationship Id="rId19" Type="http://schemas.openxmlformats.org/officeDocument/2006/relationships/hyperlink" Target="http://www.oecd.org/employment/emp/42699911.pdf" TargetMode="External"/><Relationship Id="rId4" Type="http://schemas.openxmlformats.org/officeDocument/2006/relationships/hyperlink" Target="https://www.sddirect.org.uk/media/2126/poverty-factsheet-people-with-disabilities.pdf" TargetMode="External"/><Relationship Id="rId9" Type="http://schemas.openxmlformats.org/officeDocument/2006/relationships/hyperlink" Target="https://undocs.org/en/A/70/297" TargetMode="External"/><Relationship Id="rId14" Type="http://schemas.openxmlformats.org/officeDocument/2006/relationships/hyperlink" Target="https://undocs.org/en/A/71/314" TargetMode="External"/><Relationship Id="rId22" Type="http://schemas.openxmlformats.org/officeDocument/2006/relationships/hyperlink" Target="https://www.who.int/publications/i/item/97892415641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mith\Downloads\sightsavers_40866260420.dotx" TargetMode="External"/></Relationships>
</file>

<file path=word/theme/theme1.xml><?xml version="1.0" encoding="utf-8"?>
<a:theme xmlns:a="http://schemas.openxmlformats.org/drawingml/2006/main" name="Office Theme">
  <a:themeElements>
    <a:clrScheme name="Sightsavers">
      <a:dk1>
        <a:sysClr val="windowText" lastClr="000000"/>
      </a:dk1>
      <a:lt1>
        <a:sysClr val="window" lastClr="FFFFFF"/>
      </a:lt1>
      <a:dk2>
        <a:srgbClr val="FFBB22"/>
      </a:dk2>
      <a:lt2>
        <a:srgbClr val="960051"/>
      </a:lt2>
      <a:accent1>
        <a:srgbClr val="FFBB22"/>
      </a:accent1>
      <a:accent2>
        <a:srgbClr val="960051"/>
      </a:accent2>
      <a:accent3>
        <a:srgbClr val="403A60"/>
      </a:accent3>
      <a:accent4>
        <a:srgbClr val="612141"/>
      </a:accent4>
      <a:accent5>
        <a:srgbClr val="80276C"/>
      </a:accent5>
      <a:accent6>
        <a:srgbClr val="AF272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2A5C07-FE18-4894-9BBE-61C547256AD8}">
  <ds:schemaRefs>
    <ds:schemaRef ds:uri="http://schemas.openxmlformats.org/officeDocument/2006/bibliography"/>
  </ds:schemaRefs>
</ds:datastoreItem>
</file>

<file path=customXml/itemProps2.xml><?xml version="1.0" encoding="utf-8"?>
<ds:datastoreItem xmlns:ds="http://schemas.openxmlformats.org/officeDocument/2006/customXml" ds:itemID="{DB4BF6F2-7510-4520-B75A-863B1307B423}"/>
</file>

<file path=customXml/itemProps3.xml><?xml version="1.0" encoding="utf-8"?>
<ds:datastoreItem xmlns:ds="http://schemas.openxmlformats.org/officeDocument/2006/customXml" ds:itemID="{688ADF90-A971-4E4E-A3F1-1F621D6BA005}"/>
</file>

<file path=customXml/itemProps4.xml><?xml version="1.0" encoding="utf-8"?>
<ds:datastoreItem xmlns:ds="http://schemas.openxmlformats.org/officeDocument/2006/customXml" ds:itemID="{B0D1CEB8-D601-4098-9062-6739FFCD705F}"/>
</file>

<file path=docProps/app.xml><?xml version="1.0" encoding="utf-8"?>
<Properties xmlns="http://schemas.openxmlformats.org/officeDocument/2006/extended-properties" xmlns:vt="http://schemas.openxmlformats.org/officeDocument/2006/docPropsVTypes">
  <Template>sightsavers_40866260420.dotx</Template>
  <TotalTime>0</TotalTime>
  <Pages>9</Pages>
  <Words>3739</Words>
  <Characters>21314</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Sightsavers</Company>
  <LinksUpToDate>false</LinksUpToDate>
  <CharactersWithSpaces>25003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Smith</dc:creator>
  <cp:lastModifiedBy>Janna Iskakova</cp:lastModifiedBy>
  <cp:revision>2</cp:revision>
  <dcterms:created xsi:type="dcterms:W3CDTF">2021-03-15T13:16:00Z</dcterms:created>
  <dcterms:modified xsi:type="dcterms:W3CDTF">2021-03-15T13:16:00Z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