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B0F2C" w:rsidRPr="005C70E9" w:rsidRDefault="00456EE5">
      <w:pPr>
        <w:spacing w:line="240" w:lineRule="auto"/>
        <w:jc w:val="center"/>
        <w:rPr>
          <w:rFonts w:ascii="Calibri" w:eastAsia="Calibri" w:hAnsi="Calibri" w:cs="Calibri"/>
          <w:b/>
          <w:sz w:val="28"/>
          <w:szCs w:val="28"/>
        </w:rPr>
      </w:pPr>
      <w:bookmarkStart w:id="0" w:name="_GoBack"/>
      <w:bookmarkEnd w:id="0"/>
      <w:r w:rsidRPr="005C70E9">
        <w:rPr>
          <w:rFonts w:ascii="Calibri" w:eastAsia="Calibri" w:hAnsi="Calibri" w:cs="Calibri"/>
          <w:b/>
          <w:sz w:val="28"/>
          <w:szCs w:val="28"/>
        </w:rPr>
        <w:t>Submission to the CRPD on its concept note on art. 27 (right to work)</w:t>
      </w:r>
    </w:p>
    <w:p w14:paraId="00000003" w14:textId="77777777" w:rsidR="005B0F2C" w:rsidRPr="005C70E9" w:rsidRDefault="005B0F2C">
      <w:pPr>
        <w:spacing w:line="240" w:lineRule="auto"/>
        <w:jc w:val="both"/>
        <w:rPr>
          <w:rFonts w:ascii="Calibri" w:eastAsia="Calibri" w:hAnsi="Calibri" w:cs="Calibri"/>
          <w:sz w:val="24"/>
          <w:szCs w:val="24"/>
        </w:rPr>
      </w:pPr>
    </w:p>
    <w:p w14:paraId="00000004" w14:textId="77777777" w:rsidR="005B0F2C" w:rsidRPr="005C70E9" w:rsidRDefault="00456EE5">
      <w:pPr>
        <w:spacing w:line="240" w:lineRule="auto"/>
        <w:jc w:val="both"/>
        <w:rPr>
          <w:rFonts w:ascii="Calibri" w:eastAsia="Calibri" w:hAnsi="Calibri" w:cs="Calibri"/>
          <w:b/>
          <w:sz w:val="24"/>
          <w:szCs w:val="24"/>
        </w:rPr>
      </w:pPr>
      <w:r w:rsidRPr="005C70E9">
        <w:rPr>
          <w:rFonts w:ascii="Calibri" w:eastAsia="Calibri" w:hAnsi="Calibri" w:cs="Calibri"/>
          <w:b/>
          <w:sz w:val="24"/>
          <w:szCs w:val="24"/>
        </w:rPr>
        <w:t>Introduction</w:t>
      </w:r>
    </w:p>
    <w:p w14:paraId="00000005" w14:textId="77777777" w:rsidR="005B0F2C" w:rsidRPr="005C70E9" w:rsidRDefault="005B0F2C">
      <w:pPr>
        <w:spacing w:line="240" w:lineRule="auto"/>
        <w:jc w:val="both"/>
        <w:rPr>
          <w:rFonts w:ascii="Calibri" w:eastAsia="Calibri" w:hAnsi="Calibri" w:cs="Calibri"/>
          <w:sz w:val="24"/>
          <w:szCs w:val="24"/>
        </w:rPr>
      </w:pPr>
    </w:p>
    <w:p w14:paraId="00000006"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This submission is prepared by the Sexual Rights Initiative (SRI).  The Sexual Rights Initiative is a coalition of national and regional organizations based in Canada, Poland, India, Egypt, Argentina, and South Africa that work together to advance human rights related to sexuality at the United Nations.</w:t>
      </w:r>
      <w:r w:rsidRPr="005C70E9">
        <w:rPr>
          <w:vertAlign w:val="superscript"/>
        </w:rPr>
        <w:footnoteReference w:id="1"/>
      </w:r>
    </w:p>
    <w:p w14:paraId="00000007" w14:textId="77777777" w:rsidR="005B0F2C" w:rsidRPr="005C70E9" w:rsidRDefault="005B0F2C">
      <w:pPr>
        <w:spacing w:line="240" w:lineRule="auto"/>
        <w:jc w:val="both"/>
        <w:rPr>
          <w:rFonts w:ascii="Calibri" w:eastAsia="Calibri" w:hAnsi="Calibri" w:cs="Calibri"/>
          <w:sz w:val="24"/>
          <w:szCs w:val="24"/>
        </w:rPr>
      </w:pPr>
    </w:p>
    <w:p w14:paraId="00000008"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This submission first suggests that the Committee should develop an intersectional analysis that recognizes the ableist, sexist and patriarchal systems, structures and institutions that define productivity and dependency. Secondly, it highlights how the full enjoyment of sexual and reproductive rights, broadly understood, redistributes resources, legitimacy, and power, therefore conditioning access to and keeping work. In reciprocity, access to work mediates the exercise of sexual and reproductive rights. The submission concludes by suggesting recommendations for structural changes to accessing work, health, education, and social protection systems.</w:t>
      </w:r>
    </w:p>
    <w:p w14:paraId="00000009" w14:textId="77777777" w:rsidR="005B0F2C" w:rsidRPr="005C70E9" w:rsidRDefault="005B0F2C">
      <w:pPr>
        <w:spacing w:line="240" w:lineRule="auto"/>
        <w:jc w:val="both"/>
        <w:rPr>
          <w:rFonts w:ascii="Calibri" w:eastAsia="Calibri" w:hAnsi="Calibri" w:cs="Calibri"/>
          <w:sz w:val="24"/>
          <w:szCs w:val="24"/>
        </w:rPr>
      </w:pPr>
    </w:p>
    <w:p w14:paraId="0000000A" w14:textId="77777777" w:rsidR="005B0F2C" w:rsidRPr="005C70E9" w:rsidRDefault="00456EE5">
      <w:pPr>
        <w:numPr>
          <w:ilvl w:val="0"/>
          <w:numId w:val="2"/>
        </w:numPr>
        <w:spacing w:line="240" w:lineRule="auto"/>
        <w:jc w:val="both"/>
        <w:rPr>
          <w:rFonts w:ascii="Calibri" w:eastAsia="Calibri" w:hAnsi="Calibri" w:cs="Calibri"/>
          <w:b/>
          <w:sz w:val="24"/>
          <w:szCs w:val="24"/>
        </w:rPr>
      </w:pPr>
      <w:r w:rsidRPr="005C70E9">
        <w:rPr>
          <w:rFonts w:ascii="Calibri" w:eastAsia="Calibri" w:hAnsi="Calibri" w:cs="Calibri"/>
          <w:b/>
          <w:sz w:val="24"/>
          <w:szCs w:val="24"/>
        </w:rPr>
        <w:t>The right not to work and still have material conditions to live and enjoy life</w:t>
      </w:r>
    </w:p>
    <w:p w14:paraId="0000000B" w14:textId="77777777" w:rsidR="005B0F2C" w:rsidRPr="005C70E9" w:rsidRDefault="005B0F2C">
      <w:pPr>
        <w:spacing w:line="240" w:lineRule="auto"/>
        <w:jc w:val="both"/>
        <w:rPr>
          <w:rFonts w:ascii="Calibri" w:eastAsia="Calibri" w:hAnsi="Calibri" w:cs="Calibri"/>
          <w:b/>
          <w:sz w:val="24"/>
          <w:szCs w:val="24"/>
        </w:rPr>
      </w:pPr>
    </w:p>
    <w:p w14:paraId="0000000C"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Gender analysis must always be rooted in a framework that acknowledges power structures/ imbalances/asymmetries at individual, societal and institutional levels. Because gender and sexuality are deeply symbolic, culturally meaningful concepts, they affect and are affected by many other aspects of human life. The lens of intersectionality is crucial to understanding how sexuality and gender work, in life and, </w:t>
      </w:r>
      <w:r w:rsidRPr="005C70E9">
        <w:rPr>
          <w:rFonts w:ascii="Calibri" w:eastAsia="Calibri" w:hAnsi="Calibri" w:cs="Calibri"/>
          <w:sz w:val="24"/>
          <w:szCs w:val="24"/>
        </w:rPr>
        <w:lastRenderedPageBreak/>
        <w:t>overwhelmingly, in law. Understanding and addressing human rights violations related to sexuality and gender requires thinking about lives and bodies as a whole because race, disability, ethnicity, class, faith and geography shape how people experience their sexualities and genders. Sexuality and gender, in turn, shape how individuals, communities and states interpret environments, laws and policies.</w:t>
      </w:r>
      <w:r w:rsidRPr="005C70E9">
        <w:rPr>
          <w:vertAlign w:val="superscript"/>
        </w:rPr>
        <w:footnoteReference w:id="2"/>
      </w:r>
    </w:p>
    <w:p w14:paraId="0000000D" w14:textId="77777777" w:rsidR="005B0F2C" w:rsidRPr="005C70E9" w:rsidRDefault="005B0F2C">
      <w:pPr>
        <w:spacing w:line="240" w:lineRule="auto"/>
        <w:jc w:val="both"/>
        <w:rPr>
          <w:rFonts w:ascii="Calibri" w:eastAsia="Calibri" w:hAnsi="Calibri" w:cs="Calibri"/>
          <w:sz w:val="24"/>
          <w:szCs w:val="24"/>
        </w:rPr>
      </w:pPr>
    </w:p>
    <w:p w14:paraId="0000000E"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The practices of forced sterilization, abortion, and contraception highlight the unequal power structures that dominate the lives of women and girls with disabilities. Treaty bodies have consistently recognized that States subject marginalized women to involuntary medical procedures, including forced or coerced sterilizations, abortion and contraception.</w:t>
      </w:r>
      <w:r w:rsidRPr="005C70E9">
        <w:rPr>
          <w:vertAlign w:val="superscript"/>
        </w:rPr>
        <w:footnoteReference w:id="3"/>
      </w:r>
      <w:r w:rsidRPr="005C70E9">
        <w:rPr>
          <w:rFonts w:ascii="Calibri" w:eastAsia="Calibri" w:hAnsi="Calibri" w:cs="Calibri"/>
          <w:sz w:val="24"/>
          <w:szCs w:val="24"/>
        </w:rPr>
        <w:t xml:space="preserve"> Eugenics is rooted in sexism, racism and ableism, forces that permit and encourage forced sterilization and prevails in different forms, including through the legacy of population control informed by white supremacy and replacement theory, which has resurfaced in current politics.</w:t>
      </w:r>
      <w:r w:rsidRPr="005C70E9">
        <w:rPr>
          <w:vertAlign w:val="superscript"/>
        </w:rPr>
        <w:footnoteReference w:id="4"/>
      </w:r>
      <w:r w:rsidRPr="005C70E9">
        <w:rPr>
          <w:rFonts w:ascii="Calibri" w:eastAsia="Calibri" w:hAnsi="Calibri" w:cs="Calibri"/>
          <w:sz w:val="24"/>
          <w:szCs w:val="24"/>
        </w:rPr>
        <w:t xml:space="preserve"> However, the effects of eugenics are not exclusive to reproduction.</w:t>
      </w:r>
    </w:p>
    <w:p w14:paraId="0000000F" w14:textId="77777777" w:rsidR="005B0F2C" w:rsidRPr="005C70E9" w:rsidRDefault="005B0F2C">
      <w:pPr>
        <w:spacing w:line="240" w:lineRule="auto"/>
        <w:jc w:val="both"/>
        <w:rPr>
          <w:rFonts w:ascii="Calibri" w:eastAsia="Calibri" w:hAnsi="Calibri" w:cs="Calibri"/>
          <w:sz w:val="24"/>
          <w:szCs w:val="24"/>
        </w:rPr>
      </w:pPr>
    </w:p>
    <w:p w14:paraId="00000010"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Eugenics has been historically based on the ideas of “social” and “racial degeneracy” adopting different forms, but always linked to social and economic crisis, criminality, </w:t>
      </w:r>
      <w:r w:rsidRPr="005C70E9">
        <w:rPr>
          <w:rFonts w:ascii="Calibri" w:eastAsia="Calibri" w:hAnsi="Calibri" w:cs="Calibri"/>
          <w:sz w:val="24"/>
          <w:szCs w:val="24"/>
        </w:rPr>
        <w:lastRenderedPageBreak/>
        <w:t>poverty, and absence of expected “progress”.</w:t>
      </w:r>
      <w:r w:rsidRPr="005C70E9">
        <w:rPr>
          <w:vertAlign w:val="superscript"/>
        </w:rPr>
        <w:footnoteReference w:id="5"/>
      </w:r>
      <w:r w:rsidRPr="005C70E9">
        <w:rPr>
          <w:rFonts w:ascii="Calibri" w:eastAsia="Calibri" w:hAnsi="Calibri" w:cs="Calibri"/>
          <w:sz w:val="24"/>
          <w:szCs w:val="24"/>
        </w:rPr>
        <w:t xml:space="preserve"> Race, mental capacity, and moral standards related to sexuality defined the concept of “social degeneracy”. </w:t>
      </w:r>
      <w:r w:rsidRPr="005C70E9">
        <w:rPr>
          <w:vertAlign w:val="superscript"/>
        </w:rPr>
        <w:footnoteReference w:id="6"/>
      </w:r>
    </w:p>
    <w:p w14:paraId="00000011" w14:textId="77777777" w:rsidR="005B0F2C" w:rsidRPr="005C70E9" w:rsidRDefault="00456EE5" w:rsidP="005C70E9">
      <w:pPr>
        <w:pStyle w:val="ListParagraph"/>
        <w:spacing w:line="240" w:lineRule="auto"/>
        <w:ind w:right="720"/>
        <w:jc w:val="both"/>
        <w:rPr>
          <w:rFonts w:ascii="Calibri" w:eastAsia="Calibri" w:hAnsi="Calibri" w:cs="Calibri"/>
        </w:rPr>
      </w:pPr>
      <w:r w:rsidRPr="005C70E9">
        <w:rPr>
          <w:rFonts w:ascii="Calibri" w:eastAsia="Calibri" w:hAnsi="Calibri" w:cs="Calibri"/>
        </w:rPr>
        <w:t xml:space="preserve">“Consequently, eugenicists targeted black and indigenous people, anyone who was not physically or mentally “normal”, and people, especially women, who did not comply with moral standards on sexuality. [...] Eugenics experiences in the United States, Canada and Colombia show how the medical concept of “feeblemindedness” was created and shaped around moral values about </w:t>
      </w:r>
      <w:r w:rsidRPr="005C70E9">
        <w:rPr>
          <w:rFonts w:ascii="Calibri" w:eastAsia="Calibri" w:hAnsi="Calibri" w:cs="Calibri"/>
          <w:b/>
        </w:rPr>
        <w:t xml:space="preserve">sexuality and alcohol, </w:t>
      </w:r>
      <w:r w:rsidRPr="005C70E9">
        <w:rPr>
          <w:rFonts w:ascii="Calibri" w:eastAsia="Calibri" w:hAnsi="Calibri" w:cs="Calibri"/>
          <w:b/>
          <w:u w:val="single"/>
        </w:rPr>
        <w:t>economic productivity and efficiency</w:t>
      </w:r>
      <w:r w:rsidRPr="005C70E9">
        <w:rPr>
          <w:rFonts w:ascii="Calibri" w:eastAsia="Calibri" w:hAnsi="Calibri" w:cs="Calibri"/>
          <w:b/>
        </w:rPr>
        <w:t>, and social rejection [based on...] race and class</w:t>
      </w:r>
      <w:r w:rsidRPr="005C70E9">
        <w:rPr>
          <w:rFonts w:ascii="Calibri" w:eastAsia="Calibri" w:hAnsi="Calibri" w:cs="Calibri"/>
        </w:rPr>
        <w:t>.”</w:t>
      </w:r>
      <w:r w:rsidRPr="005C70E9">
        <w:rPr>
          <w:vertAlign w:val="superscript"/>
        </w:rPr>
        <w:footnoteReference w:id="7"/>
      </w:r>
      <w:r w:rsidRPr="005C70E9">
        <w:rPr>
          <w:rFonts w:ascii="Calibri" w:eastAsia="Calibri" w:hAnsi="Calibri" w:cs="Calibri"/>
        </w:rPr>
        <w:t xml:space="preserve"> [emphasis added]</w:t>
      </w:r>
    </w:p>
    <w:p w14:paraId="00000012" w14:textId="77777777" w:rsidR="005B0F2C" w:rsidRPr="005C70E9" w:rsidRDefault="005B0F2C">
      <w:pPr>
        <w:spacing w:line="240" w:lineRule="auto"/>
        <w:jc w:val="both"/>
        <w:rPr>
          <w:rFonts w:ascii="Calibri" w:eastAsia="Calibri" w:hAnsi="Calibri" w:cs="Calibri"/>
          <w:sz w:val="24"/>
          <w:szCs w:val="24"/>
        </w:rPr>
      </w:pPr>
    </w:p>
    <w:p w14:paraId="00000013"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Gender, sexuality, race, class, and disability underpin the moral categories targeted by eugenics. These structures shape State policy when defining “productivity” and “dependency”, and shaping regulations on work, access to health systems, and social security. </w:t>
      </w:r>
    </w:p>
    <w:p w14:paraId="00000014" w14:textId="77777777" w:rsidR="005B0F2C" w:rsidRPr="005C70E9" w:rsidRDefault="005B0F2C">
      <w:pPr>
        <w:spacing w:line="240" w:lineRule="auto"/>
        <w:jc w:val="both"/>
        <w:rPr>
          <w:rFonts w:ascii="Calibri" w:eastAsia="Calibri" w:hAnsi="Calibri" w:cs="Calibri"/>
          <w:sz w:val="24"/>
          <w:szCs w:val="24"/>
        </w:rPr>
      </w:pPr>
    </w:p>
    <w:p w14:paraId="00000015"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Feminists have analyzed profusely how work is gendered, recognizing that the traditional domestic distribution of work and production is patriarchal by nature. In a very basic summary, in the family,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is mostly produced by women, with the male “head of household expropriating her surplus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 both in the use values he appropriates and on the leisure time resulting from the necessary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time he </w:t>
      </w:r>
      <w:r w:rsidRPr="005C70E9">
        <w:rPr>
          <w:rFonts w:ascii="Calibri" w:eastAsia="Calibri" w:hAnsi="Calibri" w:cs="Calibri"/>
          <w:sz w:val="24"/>
          <w:szCs w:val="24"/>
        </w:rPr>
        <w:lastRenderedPageBreak/>
        <w:t>relinquishes.”</w:t>
      </w:r>
      <w:r w:rsidRPr="005C70E9">
        <w:rPr>
          <w:vertAlign w:val="superscript"/>
        </w:rPr>
        <w:footnoteReference w:id="8"/>
      </w:r>
      <w:r w:rsidRPr="005C70E9">
        <w:rPr>
          <w:rFonts w:ascii="Calibri" w:eastAsia="Calibri" w:hAnsi="Calibri" w:cs="Calibri"/>
          <w:sz w:val="24"/>
          <w:szCs w:val="24"/>
        </w:rPr>
        <w:t xml:space="preserve"> The “economic unit” of the family then defines women as “dependents”, even when it is really men who depend on the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that is produced in the household.</w:t>
      </w:r>
      <w:r w:rsidRPr="005C70E9">
        <w:rPr>
          <w:vertAlign w:val="superscript"/>
        </w:rPr>
        <w:footnoteReference w:id="9"/>
      </w:r>
      <w:r w:rsidRPr="005C70E9">
        <w:rPr>
          <w:rFonts w:ascii="Calibri" w:eastAsia="Calibri" w:hAnsi="Calibri" w:cs="Calibri"/>
          <w:sz w:val="24"/>
          <w:szCs w:val="24"/>
        </w:rPr>
        <w:t xml:space="preserve"> Through this economic organization men (or masculinity) become the “norm”: the idealized version of “productivity” and “efficiency”.</w:t>
      </w:r>
    </w:p>
    <w:p w14:paraId="00000016" w14:textId="77777777" w:rsidR="005B0F2C" w:rsidRPr="005C70E9" w:rsidRDefault="005B0F2C">
      <w:pPr>
        <w:spacing w:line="240" w:lineRule="auto"/>
        <w:jc w:val="both"/>
        <w:rPr>
          <w:rFonts w:ascii="Calibri" w:eastAsia="Calibri" w:hAnsi="Calibri" w:cs="Calibri"/>
          <w:sz w:val="24"/>
          <w:szCs w:val="24"/>
        </w:rPr>
      </w:pPr>
    </w:p>
    <w:p w14:paraId="00000017"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The neoliberal notion of the autonomous actor, that everyone is either completely dependent or completely independent, also underpins other essential issues to autonomy, like legal capacity. The autonomous actor </w:t>
      </w:r>
      <w:proofErr w:type="gramStart"/>
      <w:r w:rsidRPr="005C70E9">
        <w:rPr>
          <w:rFonts w:ascii="Calibri" w:eastAsia="Calibri" w:hAnsi="Calibri" w:cs="Calibri"/>
          <w:sz w:val="24"/>
          <w:szCs w:val="24"/>
        </w:rPr>
        <w:t>has been constructed</w:t>
      </w:r>
      <w:proofErr w:type="gramEnd"/>
      <w:r w:rsidRPr="005C70E9">
        <w:rPr>
          <w:rFonts w:ascii="Calibri" w:eastAsia="Calibri" w:hAnsi="Calibri" w:cs="Calibri"/>
          <w:sz w:val="24"/>
          <w:szCs w:val="24"/>
        </w:rPr>
        <w:t xml:space="preserve"> as an androcentric concept where men (as the norm) are rational, self-sufficient and atomistic beings that use their objective human rationality to analyze a situation and make the best possible decision. Feminists have criticized this conception of autonomy arguing that it produces the false belief that humans are isolated and alienated subjects. The autonomous actor myth does not address that people usually decide in a relational way, considering the experiences of other persons, their advice and what they can observe of the consequences. Decision making is not static, because it evolves as a person has more opportunities to make decisions (and to make mistakes when doing so). Self-determination is not built in </w:t>
      </w:r>
      <w:proofErr w:type="gramStart"/>
      <w:r w:rsidRPr="005C70E9">
        <w:rPr>
          <w:rFonts w:ascii="Calibri" w:eastAsia="Calibri" w:hAnsi="Calibri" w:cs="Calibri"/>
          <w:sz w:val="24"/>
          <w:szCs w:val="24"/>
        </w:rPr>
        <w:t>isolation,</w:t>
      </w:r>
      <w:proofErr w:type="gramEnd"/>
      <w:r w:rsidRPr="005C70E9">
        <w:rPr>
          <w:rFonts w:ascii="Calibri" w:eastAsia="Calibri" w:hAnsi="Calibri" w:cs="Calibri"/>
          <w:sz w:val="24"/>
          <w:szCs w:val="24"/>
        </w:rPr>
        <w:t xml:space="preserve"> it is a product of relational experiences and material conditions.</w:t>
      </w:r>
    </w:p>
    <w:p w14:paraId="00000018" w14:textId="77777777" w:rsidR="005B0F2C" w:rsidRPr="005C70E9" w:rsidRDefault="005B0F2C">
      <w:pPr>
        <w:spacing w:line="240" w:lineRule="auto"/>
        <w:jc w:val="both"/>
        <w:rPr>
          <w:rFonts w:ascii="Calibri" w:eastAsia="Calibri" w:hAnsi="Calibri" w:cs="Calibri"/>
          <w:sz w:val="24"/>
          <w:szCs w:val="24"/>
        </w:rPr>
      </w:pPr>
    </w:p>
    <w:p w14:paraId="00000019"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States use racist and patriarchal standards of normality and have historically considered persons with disabilities nonproductive and essentially dependent. The lack of “production” added to the “permanent demand for care” creates the label and stigma of being a burden. In addition, the support services needed by some persons with disabilities to access work on an equal basis are largely not supported by social </w:t>
      </w:r>
      <w:r w:rsidRPr="005C70E9">
        <w:rPr>
          <w:rFonts w:ascii="Calibri" w:eastAsia="Calibri" w:hAnsi="Calibri" w:cs="Calibri"/>
          <w:sz w:val="24"/>
          <w:szCs w:val="24"/>
        </w:rPr>
        <w:lastRenderedPageBreak/>
        <w:t xml:space="preserve">protection systems and the burden of costs are placed on the individual. As capitalism dictates, if you </w:t>
      </w:r>
      <w:proofErr w:type="gramStart"/>
      <w:r w:rsidRPr="005C70E9">
        <w:rPr>
          <w:rFonts w:ascii="Calibri" w:eastAsia="Calibri" w:hAnsi="Calibri" w:cs="Calibri"/>
          <w:sz w:val="24"/>
          <w:szCs w:val="24"/>
        </w:rPr>
        <w:t>are seen</w:t>
      </w:r>
      <w:proofErr w:type="gramEnd"/>
      <w:r w:rsidRPr="005C70E9">
        <w:rPr>
          <w:rFonts w:ascii="Calibri" w:eastAsia="Calibri" w:hAnsi="Calibri" w:cs="Calibri"/>
          <w:sz w:val="24"/>
          <w:szCs w:val="24"/>
        </w:rPr>
        <w:t xml:space="preserve"> as non-productive, you are not granted the support you need to participate.</w:t>
      </w:r>
    </w:p>
    <w:p w14:paraId="0000001A" w14:textId="77777777" w:rsidR="005B0F2C" w:rsidRPr="005C70E9" w:rsidRDefault="005B0F2C">
      <w:pPr>
        <w:spacing w:line="240" w:lineRule="auto"/>
        <w:jc w:val="both"/>
        <w:rPr>
          <w:rFonts w:ascii="Calibri" w:eastAsia="Calibri" w:hAnsi="Calibri" w:cs="Calibri"/>
          <w:sz w:val="24"/>
          <w:szCs w:val="24"/>
        </w:rPr>
      </w:pPr>
    </w:p>
    <w:p w14:paraId="0000001B"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Going back to the initial example, eugenics targets persons with disabilities based on their assigned productivity to eliminate them, while capitalism targets persons with disabilities to exclude them.</w:t>
      </w:r>
      <w:r w:rsidRPr="005C70E9">
        <w:rPr>
          <w:vertAlign w:val="superscript"/>
        </w:rPr>
        <w:footnoteReference w:id="10"/>
      </w:r>
      <w:r w:rsidRPr="005C70E9">
        <w:rPr>
          <w:rFonts w:ascii="Calibri" w:eastAsia="Calibri" w:hAnsi="Calibri" w:cs="Calibri"/>
          <w:sz w:val="24"/>
          <w:szCs w:val="24"/>
        </w:rPr>
        <w:t xml:space="preserve"> Exclusion does not bar exploitation, it just does not happen mostly as formal workers, but as objects of care “that provide never-ending profits for the health industry, [...] to be forever habilitated, rehabilitated, "healed," "protected" by the health industry, "protected" by the "special" education industry, and "protected" by specially designed working environments.”</w:t>
      </w:r>
      <w:r w:rsidRPr="005C70E9">
        <w:rPr>
          <w:vertAlign w:val="superscript"/>
        </w:rPr>
        <w:footnoteReference w:id="11"/>
      </w:r>
      <w:r w:rsidRPr="005C70E9">
        <w:rPr>
          <w:rFonts w:ascii="Calibri" w:eastAsia="Calibri" w:hAnsi="Calibri" w:cs="Calibri"/>
          <w:sz w:val="24"/>
          <w:szCs w:val="24"/>
        </w:rPr>
        <w:t xml:space="preserve"> None of these segregated systems promote the independence or participation of persons with disabilities, but actually serve to further exclude them: from healthcare on their terms, from mainstream quality education and from work on the open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force.</w:t>
      </w:r>
    </w:p>
    <w:p w14:paraId="0000001C" w14:textId="77777777" w:rsidR="005B0F2C" w:rsidRPr="005C70E9" w:rsidRDefault="005B0F2C">
      <w:pPr>
        <w:spacing w:line="240" w:lineRule="auto"/>
        <w:jc w:val="both"/>
        <w:rPr>
          <w:rFonts w:ascii="Calibri" w:eastAsia="Calibri" w:hAnsi="Calibri" w:cs="Calibri"/>
          <w:sz w:val="24"/>
          <w:szCs w:val="24"/>
        </w:rPr>
      </w:pPr>
    </w:p>
    <w:p w14:paraId="0000001D"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The construction of persons with disabilities as victims and dependents, has impacts outside the world of work. For example, understanding persons with disabilities as dependents automatically bars them from many immigration procedures. Several countries have discriminatory immigration laws that ban migration of persons with </w:t>
      </w:r>
      <w:r w:rsidRPr="005C70E9">
        <w:rPr>
          <w:rFonts w:ascii="Calibri" w:eastAsia="Calibri" w:hAnsi="Calibri" w:cs="Calibri"/>
          <w:sz w:val="24"/>
          <w:szCs w:val="24"/>
        </w:rPr>
        <w:lastRenderedPageBreak/>
        <w:t>disabilities by assuming they will not be able to work and sustain themselves,</w:t>
      </w:r>
      <w:r w:rsidRPr="005C70E9">
        <w:rPr>
          <w:vertAlign w:val="superscript"/>
        </w:rPr>
        <w:footnoteReference w:id="12"/>
      </w:r>
      <w:r w:rsidRPr="005C70E9">
        <w:rPr>
          <w:rFonts w:ascii="Calibri" w:eastAsia="Calibri" w:hAnsi="Calibri" w:cs="Calibri"/>
          <w:sz w:val="24"/>
          <w:szCs w:val="24"/>
        </w:rPr>
        <w:t xml:space="preserve"> reinforcing stereotypes around productivity and persons with disabilities being a burden. This can lead to detention and discriminatory procedural laws and allow the forced diversion of persons with disabilities to health institutions.</w:t>
      </w:r>
      <w:r w:rsidRPr="005C70E9">
        <w:rPr>
          <w:vertAlign w:val="superscript"/>
        </w:rPr>
        <w:footnoteReference w:id="13"/>
      </w:r>
    </w:p>
    <w:p w14:paraId="0000001E" w14:textId="77777777" w:rsidR="005B0F2C" w:rsidRPr="005C70E9" w:rsidRDefault="005B0F2C">
      <w:pPr>
        <w:spacing w:line="240" w:lineRule="auto"/>
        <w:jc w:val="both"/>
        <w:rPr>
          <w:rFonts w:ascii="Calibri" w:eastAsia="Calibri" w:hAnsi="Calibri" w:cs="Calibri"/>
          <w:sz w:val="24"/>
          <w:szCs w:val="24"/>
        </w:rPr>
      </w:pPr>
    </w:p>
    <w:p w14:paraId="0000001F" w14:textId="77777777" w:rsidR="005B0F2C" w:rsidRPr="005C70E9" w:rsidRDefault="00456EE5">
      <w:pPr>
        <w:numPr>
          <w:ilvl w:val="0"/>
          <w:numId w:val="2"/>
        </w:numPr>
        <w:spacing w:line="240" w:lineRule="auto"/>
        <w:jc w:val="both"/>
        <w:rPr>
          <w:rFonts w:ascii="Calibri" w:eastAsia="Calibri" w:hAnsi="Calibri" w:cs="Calibri"/>
          <w:b/>
          <w:sz w:val="24"/>
          <w:szCs w:val="24"/>
        </w:rPr>
      </w:pPr>
      <w:r w:rsidRPr="005C70E9">
        <w:rPr>
          <w:rFonts w:ascii="Calibri" w:eastAsia="Calibri" w:hAnsi="Calibri" w:cs="Calibri"/>
          <w:b/>
          <w:sz w:val="24"/>
          <w:szCs w:val="24"/>
        </w:rPr>
        <w:t>Structures of power are embedded in the legal policy framework and in practice</w:t>
      </w:r>
    </w:p>
    <w:p w14:paraId="00000020" w14:textId="77777777" w:rsidR="005B0F2C" w:rsidRPr="005C70E9" w:rsidRDefault="005B0F2C">
      <w:pPr>
        <w:spacing w:line="240" w:lineRule="auto"/>
        <w:jc w:val="both"/>
        <w:rPr>
          <w:rFonts w:ascii="Calibri" w:eastAsia="Calibri" w:hAnsi="Calibri" w:cs="Calibri"/>
          <w:sz w:val="24"/>
          <w:szCs w:val="24"/>
        </w:rPr>
      </w:pPr>
    </w:p>
    <w:p w14:paraId="00000021"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Programs and policies through which States attempt to ensure the rights of persons with disabilities rely on requirements that have historically scrutinized their bodies, openly labeling them as unproductive, unfit, and not normal, even relying on percentages to measure their productivity or normality.</w:t>
      </w:r>
      <w:r w:rsidRPr="005C70E9">
        <w:rPr>
          <w:vertAlign w:val="superscript"/>
        </w:rPr>
        <w:footnoteReference w:id="14"/>
      </w:r>
      <w:r w:rsidRPr="005C70E9">
        <w:rPr>
          <w:rFonts w:ascii="Calibri" w:eastAsia="Calibri" w:hAnsi="Calibri" w:cs="Calibri"/>
          <w:sz w:val="24"/>
          <w:szCs w:val="24"/>
        </w:rPr>
        <w:t xml:space="preserve"> Disability assessments, through the power of medicine and capitalist notions of productivity, consider autonomy and agency as opposing disability. Disability assessments set a very high standard to achieve and maintain legal recognition of disability, providing incentives to be “more disabled” and less autonomous, incentives to be dehumanized. These assessments respond to the same capitalist and patriarchal systems that police and stigmatize the bodies of women, adolescents, sex workers, people living with HIV, lesbian, gay, bisexual, transgender, gender non-conforming and intersex persons and restrict the enjoyment of their rights. </w:t>
      </w:r>
    </w:p>
    <w:p w14:paraId="00000022" w14:textId="77777777" w:rsidR="005B0F2C" w:rsidRPr="005C70E9" w:rsidRDefault="005B0F2C">
      <w:pPr>
        <w:spacing w:line="240" w:lineRule="auto"/>
        <w:jc w:val="both"/>
        <w:rPr>
          <w:rFonts w:ascii="Calibri" w:eastAsia="Calibri" w:hAnsi="Calibri" w:cs="Calibri"/>
          <w:sz w:val="24"/>
          <w:szCs w:val="24"/>
        </w:rPr>
      </w:pPr>
    </w:p>
    <w:p w14:paraId="00000023"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State policies and systems often condition coverage by the status in the family. The “head of household” who does the “productive” work pays a contribution that grants him direct access to social protection and health systems, while the other members of the family, the ones who do unpaid and unrecognized reproductive </w:t>
      </w:r>
      <w:proofErr w:type="spellStart"/>
      <w:r w:rsidRPr="005C70E9">
        <w:rPr>
          <w:rFonts w:ascii="Calibri" w:eastAsia="Calibri" w:hAnsi="Calibri" w:cs="Calibri"/>
          <w:sz w:val="24"/>
          <w:szCs w:val="24"/>
        </w:rPr>
        <w:t>labour</w:t>
      </w:r>
      <w:proofErr w:type="spellEnd"/>
      <w:r w:rsidRPr="005C70E9">
        <w:rPr>
          <w:vertAlign w:val="superscript"/>
        </w:rPr>
        <w:footnoteReference w:id="15"/>
      </w:r>
      <w:r w:rsidRPr="005C70E9">
        <w:rPr>
          <w:rFonts w:ascii="Calibri" w:eastAsia="Calibri" w:hAnsi="Calibri" w:cs="Calibri"/>
          <w:sz w:val="24"/>
          <w:szCs w:val="24"/>
        </w:rPr>
        <w:t xml:space="preserve"> are granted access as dependents. This situation -in which access to resources is dependent upon family </w:t>
      </w:r>
      <w:proofErr w:type="gramStart"/>
      <w:r w:rsidRPr="005C70E9">
        <w:rPr>
          <w:rFonts w:ascii="Calibri" w:eastAsia="Calibri" w:hAnsi="Calibri" w:cs="Calibri"/>
          <w:sz w:val="24"/>
          <w:szCs w:val="24"/>
        </w:rPr>
        <w:t>relations-</w:t>
      </w:r>
      <w:proofErr w:type="gramEnd"/>
      <w:r w:rsidRPr="005C70E9">
        <w:rPr>
          <w:rFonts w:ascii="Calibri" w:eastAsia="Calibri" w:hAnsi="Calibri" w:cs="Calibri"/>
          <w:sz w:val="24"/>
          <w:szCs w:val="24"/>
        </w:rPr>
        <w:t xml:space="preserve"> gives the families of people with disabilities more power and control over the lives of persons with disabilities.</w:t>
      </w:r>
      <w:r w:rsidRPr="005C70E9">
        <w:rPr>
          <w:vertAlign w:val="superscript"/>
        </w:rPr>
        <w:footnoteReference w:id="16"/>
      </w:r>
      <w:r w:rsidRPr="005C70E9">
        <w:rPr>
          <w:rFonts w:ascii="Calibri" w:eastAsia="Calibri" w:hAnsi="Calibri" w:cs="Calibri"/>
          <w:sz w:val="24"/>
          <w:szCs w:val="24"/>
        </w:rPr>
        <w:t xml:space="preserve"> This is particularly dangerous for women with disabilities who often have less autonomy than men with disabilities </w:t>
      </w:r>
      <w:proofErr w:type="gramStart"/>
      <w:r w:rsidRPr="005C70E9">
        <w:rPr>
          <w:rFonts w:ascii="Calibri" w:eastAsia="Calibri" w:hAnsi="Calibri" w:cs="Calibri"/>
          <w:sz w:val="24"/>
          <w:szCs w:val="24"/>
        </w:rPr>
        <w:t>as a result</w:t>
      </w:r>
      <w:proofErr w:type="gramEnd"/>
      <w:r w:rsidRPr="005C70E9">
        <w:rPr>
          <w:rFonts w:ascii="Calibri" w:eastAsia="Calibri" w:hAnsi="Calibri" w:cs="Calibri"/>
          <w:sz w:val="24"/>
          <w:szCs w:val="24"/>
        </w:rPr>
        <w:t xml:space="preserve"> of patriarchal gender norms. Family members might push women with disabilities to stay in unfulfilling, unhappy and possibly violent situations, for example. This control over their access to economic resources and health services is comparable to restrictions to legal capacity that grant guardianship to the partners of women with disabilities: the concession of inordinate power to guardians who can now control every aspect of the lives of women with disabilities. </w:t>
      </w:r>
    </w:p>
    <w:p w14:paraId="00000024" w14:textId="77777777" w:rsidR="005B0F2C" w:rsidRPr="005C70E9" w:rsidRDefault="005B0F2C">
      <w:pPr>
        <w:spacing w:line="240" w:lineRule="auto"/>
        <w:jc w:val="both"/>
        <w:rPr>
          <w:rFonts w:ascii="Calibri" w:eastAsia="Calibri" w:hAnsi="Calibri" w:cs="Calibri"/>
          <w:sz w:val="24"/>
          <w:szCs w:val="24"/>
        </w:rPr>
      </w:pPr>
    </w:p>
    <w:p w14:paraId="00000025"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Women with disabilities may have to work informally rather than formally in order not to jeopardize any benefits or health coverage they or their families receive because of “their dependency.” If they were to work formally, it would disprove the "dependency" they must continuously demonstrate. If they choose to work formally, they might lose continuity on life-depending services. </w:t>
      </w:r>
      <w:proofErr w:type="gramStart"/>
      <w:r w:rsidRPr="005C70E9">
        <w:rPr>
          <w:rFonts w:ascii="Calibri" w:eastAsia="Calibri" w:hAnsi="Calibri" w:cs="Calibri"/>
          <w:sz w:val="24"/>
          <w:szCs w:val="24"/>
        </w:rPr>
        <w:t>And</w:t>
      </w:r>
      <w:proofErr w:type="gramEnd"/>
      <w:r w:rsidRPr="005C70E9">
        <w:rPr>
          <w:rFonts w:ascii="Calibri" w:eastAsia="Calibri" w:hAnsi="Calibri" w:cs="Calibri"/>
          <w:sz w:val="24"/>
          <w:szCs w:val="24"/>
        </w:rPr>
        <w:t xml:space="preserve"> given their already conditioned access to work by the lack of reasonable accommodations, sexism and harassment at the workplace, amongst others, it is not unreasonable to choose the stability offered by programs that rely on dependency. These policies are the poverty </w:t>
      </w:r>
      <w:r w:rsidRPr="005C70E9">
        <w:rPr>
          <w:rFonts w:ascii="Calibri" w:eastAsia="Calibri" w:hAnsi="Calibri" w:cs="Calibri"/>
          <w:sz w:val="24"/>
          <w:szCs w:val="24"/>
        </w:rPr>
        <w:lastRenderedPageBreak/>
        <w:t xml:space="preserve">trap that has been creating serious barriers and disincentives for women to seek or keep work, barring them from equal payment and economic independence. </w:t>
      </w:r>
    </w:p>
    <w:p w14:paraId="00000026" w14:textId="77777777" w:rsidR="005B0F2C" w:rsidRPr="005C70E9" w:rsidRDefault="005B0F2C">
      <w:pPr>
        <w:spacing w:line="240" w:lineRule="auto"/>
        <w:jc w:val="both"/>
        <w:rPr>
          <w:rFonts w:ascii="Calibri" w:eastAsia="Calibri" w:hAnsi="Calibri" w:cs="Calibri"/>
          <w:sz w:val="24"/>
          <w:szCs w:val="24"/>
        </w:rPr>
      </w:pPr>
    </w:p>
    <w:p w14:paraId="00000027"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In addition, persons who have disability benefits may not qualify as unemployed, but as economically inactive. The inactivity rate is the percentage of the working-age population that is neither employed nor looking for work. In many countries, unemployment rates of persons with disabilities are relatively low, but with high inactivity rates.</w:t>
      </w:r>
      <w:r w:rsidRPr="005C70E9">
        <w:rPr>
          <w:vertAlign w:val="superscript"/>
        </w:rPr>
        <w:footnoteReference w:id="17"/>
      </w:r>
      <w:r w:rsidRPr="005C70E9">
        <w:rPr>
          <w:rFonts w:ascii="Calibri" w:eastAsia="Calibri" w:hAnsi="Calibri" w:cs="Calibri"/>
          <w:sz w:val="24"/>
          <w:szCs w:val="24"/>
        </w:rPr>
        <w:t xml:space="preserve"> In other words, there is low unemployment because people with disabilities are ruled out permanently of the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market because they get a disability pension. States must overhaul their research and statistics of national data on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as well as on social protection to be disaggregated by disability and gender. Disability-related support systems and policies must be reformed so that eligibility and access are not means-tested, require unemployment, or are family based, otherwise they perpetuate a cycle of poverty.</w:t>
      </w:r>
      <w:r w:rsidRPr="005C70E9">
        <w:rPr>
          <w:vertAlign w:val="superscript"/>
        </w:rPr>
        <w:footnoteReference w:id="18"/>
      </w:r>
    </w:p>
    <w:p w14:paraId="00000028" w14:textId="77777777" w:rsidR="005B0F2C" w:rsidRPr="005C70E9" w:rsidRDefault="005B0F2C">
      <w:pPr>
        <w:spacing w:line="240" w:lineRule="auto"/>
        <w:jc w:val="both"/>
        <w:rPr>
          <w:rFonts w:ascii="Calibri" w:eastAsia="Calibri" w:hAnsi="Calibri" w:cs="Calibri"/>
          <w:sz w:val="24"/>
          <w:szCs w:val="24"/>
        </w:rPr>
      </w:pPr>
    </w:p>
    <w:p w14:paraId="00000029"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Women with disabilities can also be left with the only choice of, and even forced to, doing unpaid domestic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by their families who feel they will not be able to work for various reasons. Barriers to workforce, stigma, fear of their daughters with disabilities being harassed or assaulted, families themselves placing little value on their daughters with disabilities and not supporting them to attend school all limit the choices of women with disabilities when accessing work. Women with disabilities are in the precarity of trying to find work and losing the support provided by their families. In this way, families and caregivers play a role in trapping women with disabilities from leaving the home and accessing work. </w:t>
      </w:r>
    </w:p>
    <w:p w14:paraId="0000002A" w14:textId="77777777" w:rsidR="005B0F2C" w:rsidRPr="005C70E9" w:rsidRDefault="005B0F2C">
      <w:pPr>
        <w:spacing w:line="240" w:lineRule="auto"/>
        <w:jc w:val="both"/>
        <w:rPr>
          <w:rFonts w:ascii="Calibri" w:eastAsia="Calibri" w:hAnsi="Calibri" w:cs="Calibri"/>
          <w:sz w:val="24"/>
          <w:szCs w:val="24"/>
        </w:rPr>
      </w:pPr>
    </w:p>
    <w:p w14:paraId="0000002B"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The formal work that societies recognize and value rests on racism, capitalism, sexism, and ableism. People not engaged in that type of work are demonized and considered to be outside the boundaries protection of the State or not in need of attention from the State because </w:t>
      </w:r>
      <w:proofErr w:type="gramStart"/>
      <w:r w:rsidRPr="005C70E9">
        <w:rPr>
          <w:rFonts w:ascii="Calibri" w:eastAsia="Calibri" w:hAnsi="Calibri" w:cs="Calibri"/>
          <w:sz w:val="24"/>
          <w:szCs w:val="24"/>
        </w:rPr>
        <w:t>it will be provided by the patriarchal family</w:t>
      </w:r>
      <w:proofErr w:type="gramEnd"/>
      <w:r w:rsidRPr="005C70E9">
        <w:rPr>
          <w:rFonts w:ascii="Calibri" w:eastAsia="Calibri" w:hAnsi="Calibri" w:cs="Calibri"/>
          <w:sz w:val="24"/>
          <w:szCs w:val="24"/>
        </w:rPr>
        <w:t>.  When worth and dignity are tied to work, concepts like “welfare queens” are weaponized against black women, creating stigma against those who use social protection:</w:t>
      </w:r>
    </w:p>
    <w:p w14:paraId="0000002C" w14:textId="77777777" w:rsidR="005B0F2C" w:rsidRPr="005C70E9" w:rsidRDefault="00456EE5">
      <w:pPr>
        <w:spacing w:line="240" w:lineRule="auto"/>
        <w:ind w:left="720" w:right="720"/>
        <w:jc w:val="both"/>
        <w:rPr>
          <w:rFonts w:ascii="Calibri" w:eastAsia="Calibri" w:hAnsi="Calibri" w:cs="Calibri"/>
        </w:rPr>
      </w:pPr>
      <w:r w:rsidRPr="005C70E9">
        <w:rPr>
          <w:rFonts w:ascii="Calibri" w:eastAsia="Calibri" w:hAnsi="Calibri" w:cs="Calibri"/>
        </w:rPr>
        <w:t>“Specifically, the welfare queen archetype is typically represented as a woman whose irresponsible choice to have children out of wedlock has caused her to turn to the state for financial support. Fiscally and sexually irresponsible, she is a threat to social order precisely because she rejects the importance of the nuclear family as a bedrock social institution. [...] As political scientist Ange-Marie Hancock has observed, political conversations that make poor minority mothers a special category engage in a kind of divide and conquer strategy intended to isolate vulnerable communities and to encourage Americans to shame the vulnerable and dependent rather than recognize that the needs and struggles of the disempowered are often shared across different constituencies in the body politic. When we re-examine the so-called demands the welfare queen makes of the state, stripped of the caricature produced by conservative forces, we gain insight into an alternative model of obligation between the state and its citizens.”</w:t>
      </w:r>
      <w:r w:rsidRPr="005C70E9">
        <w:rPr>
          <w:rFonts w:ascii="Calibri" w:eastAsia="Calibri" w:hAnsi="Calibri" w:cs="Calibri"/>
          <w:vertAlign w:val="superscript"/>
        </w:rPr>
        <w:footnoteReference w:id="19"/>
      </w:r>
    </w:p>
    <w:p w14:paraId="0000002D" w14:textId="77777777" w:rsidR="005B0F2C" w:rsidRPr="005C70E9" w:rsidRDefault="005B0F2C">
      <w:pPr>
        <w:spacing w:line="240" w:lineRule="auto"/>
        <w:jc w:val="both"/>
        <w:rPr>
          <w:rFonts w:ascii="Calibri" w:eastAsia="Calibri" w:hAnsi="Calibri" w:cs="Calibri"/>
          <w:sz w:val="24"/>
          <w:szCs w:val="24"/>
        </w:rPr>
      </w:pPr>
    </w:p>
    <w:p w14:paraId="0000002E"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Accordingly, the Committee must not fall into the trap of reinforcing these patriarchal, racist, ableist and classist social and moral values into the concept of work by relying on the traditional views of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productivity and dependency. Instead, the Committee should directly debunk them by recognizing that work is not necessary or equivalent to dignity and worth. These “values” are tied to the idea of normalcy and </w:t>
      </w:r>
      <w:r w:rsidRPr="005C70E9">
        <w:rPr>
          <w:rFonts w:ascii="Calibri" w:eastAsia="Calibri" w:hAnsi="Calibri" w:cs="Calibri"/>
          <w:sz w:val="24"/>
          <w:szCs w:val="24"/>
        </w:rPr>
        <w:lastRenderedPageBreak/>
        <w:t>must be challenged, including by opening paths for dignity outside of the right to work; this is the right not to work and still have material conditions to live and enjoy life.</w:t>
      </w:r>
      <w:r w:rsidRPr="005C70E9">
        <w:rPr>
          <w:vertAlign w:val="superscript"/>
        </w:rPr>
        <w:footnoteReference w:id="20"/>
      </w:r>
    </w:p>
    <w:p w14:paraId="0000002F" w14:textId="77777777" w:rsidR="005B0F2C" w:rsidRPr="005C70E9" w:rsidRDefault="005B0F2C">
      <w:pPr>
        <w:spacing w:line="240" w:lineRule="auto"/>
        <w:jc w:val="both"/>
        <w:rPr>
          <w:rFonts w:ascii="Calibri" w:eastAsia="Calibri" w:hAnsi="Calibri" w:cs="Calibri"/>
          <w:sz w:val="24"/>
          <w:szCs w:val="24"/>
        </w:rPr>
      </w:pPr>
    </w:p>
    <w:p w14:paraId="00000030"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The Committee must recognize domestic work as work, providing recognition of the </w:t>
      </w:r>
      <w:proofErr w:type="gramStart"/>
      <w:r w:rsidRPr="005C70E9">
        <w:rPr>
          <w:rFonts w:ascii="Calibri" w:eastAsia="Calibri" w:hAnsi="Calibri" w:cs="Calibri"/>
          <w:sz w:val="24"/>
          <w:szCs w:val="24"/>
        </w:rPr>
        <w:t>work women</w:t>
      </w:r>
      <w:proofErr w:type="gramEnd"/>
      <w:r w:rsidRPr="005C70E9">
        <w:rPr>
          <w:rFonts w:ascii="Calibri" w:eastAsia="Calibri" w:hAnsi="Calibri" w:cs="Calibri"/>
          <w:sz w:val="24"/>
          <w:szCs w:val="24"/>
        </w:rPr>
        <w:t xml:space="preserve"> and girls with disabilities may actually be doing already in their homes, but that is not being considered as work and not valued and offered support or benefits. The Committee should encourage States to recognize, value, and redistribute that work. The Committee should take this opportunity to promote and request more research and information on unpaid domestic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especially considering gender, disability, race, migration, and class. The General Comment would benefit from addressing intersectional discrimination in accessing equal pay for equal work, including on to the issue of low-wage employment, by recognizes practices enabled by sexism, racism, disability and class, amongst others, often show up in similar ways. Simultaneously, people not working, including those not engaged in domestic work, have a right to access social protection, health systems and disability-related and other kinds of support that allow them to live their lives with dignity, including through universal basic income.</w:t>
      </w:r>
    </w:p>
    <w:p w14:paraId="00000031" w14:textId="77777777" w:rsidR="005B0F2C" w:rsidRPr="005C70E9" w:rsidRDefault="005B0F2C">
      <w:pPr>
        <w:spacing w:line="240" w:lineRule="auto"/>
        <w:jc w:val="both"/>
        <w:rPr>
          <w:rFonts w:ascii="Calibri" w:eastAsia="Calibri" w:hAnsi="Calibri" w:cs="Calibri"/>
          <w:sz w:val="24"/>
          <w:szCs w:val="24"/>
        </w:rPr>
      </w:pPr>
    </w:p>
    <w:p w14:paraId="00000032" w14:textId="5D28BEC8" w:rsidR="005B0F2C" w:rsidRPr="005C70E9" w:rsidRDefault="00456EE5">
      <w:pPr>
        <w:numPr>
          <w:ilvl w:val="0"/>
          <w:numId w:val="2"/>
        </w:numPr>
        <w:spacing w:line="240" w:lineRule="auto"/>
        <w:jc w:val="both"/>
        <w:rPr>
          <w:rFonts w:ascii="Calibri" w:eastAsia="Calibri" w:hAnsi="Calibri" w:cs="Calibri"/>
          <w:b/>
          <w:sz w:val="24"/>
          <w:szCs w:val="24"/>
        </w:rPr>
      </w:pPr>
      <w:r w:rsidRPr="005C70E9">
        <w:rPr>
          <w:rFonts w:ascii="Calibri" w:eastAsia="Calibri" w:hAnsi="Calibri" w:cs="Calibri"/>
          <w:b/>
          <w:sz w:val="24"/>
          <w:szCs w:val="24"/>
        </w:rPr>
        <w:t xml:space="preserve">Full exercise of sexual and reproductive rights </w:t>
      </w:r>
      <w:r w:rsidR="005C70E9" w:rsidRPr="005C70E9">
        <w:rPr>
          <w:rFonts w:ascii="Calibri" w:eastAsia="Calibri" w:hAnsi="Calibri" w:cs="Calibri"/>
          <w:b/>
          <w:sz w:val="24"/>
          <w:szCs w:val="24"/>
        </w:rPr>
        <w:t>facilitates</w:t>
      </w:r>
      <w:r w:rsidRPr="005C70E9">
        <w:rPr>
          <w:rFonts w:ascii="Calibri" w:eastAsia="Calibri" w:hAnsi="Calibri" w:cs="Calibri"/>
          <w:b/>
          <w:sz w:val="24"/>
          <w:szCs w:val="24"/>
        </w:rPr>
        <w:t xml:space="preserve"> “freely chosen and accepted” work, free of violence and coercion.</w:t>
      </w:r>
    </w:p>
    <w:p w14:paraId="00000033" w14:textId="77777777" w:rsidR="005B0F2C" w:rsidRPr="005C70E9" w:rsidRDefault="005B0F2C">
      <w:pPr>
        <w:spacing w:line="240" w:lineRule="auto"/>
        <w:jc w:val="both"/>
        <w:rPr>
          <w:rFonts w:ascii="Calibri" w:eastAsia="Calibri" w:hAnsi="Calibri" w:cs="Calibri"/>
          <w:b/>
          <w:sz w:val="24"/>
          <w:szCs w:val="24"/>
        </w:rPr>
      </w:pPr>
    </w:p>
    <w:p w14:paraId="00000034"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lastRenderedPageBreak/>
        <w:t>Women with disabilities are actively discouraged and barred from the world of formal work. However, when women with disabilities do engage in formal work “a weakened exercise of sexual and reproductive rights negatively impacts the empowerment and identity development of women, girls and youth with disabilities, also hindering the exercise of other rights such as work.”</w:t>
      </w:r>
      <w:r w:rsidRPr="005C70E9">
        <w:rPr>
          <w:vertAlign w:val="superscript"/>
        </w:rPr>
        <w:footnoteReference w:id="21"/>
      </w:r>
      <w:r w:rsidRPr="005C70E9">
        <w:rPr>
          <w:rFonts w:ascii="Calibri" w:eastAsia="Calibri" w:hAnsi="Calibri" w:cs="Calibri"/>
          <w:sz w:val="24"/>
          <w:szCs w:val="24"/>
        </w:rPr>
        <w:t xml:space="preserve"> Sexual and reproductive rights are materialized through a wide range of rights, including “including the right to life, the right to be free from torture, the right to health, the right to privacy, the right to education, and the prohibition of discrimination.”</w:t>
      </w:r>
      <w:r w:rsidRPr="005C70E9">
        <w:rPr>
          <w:vertAlign w:val="superscript"/>
        </w:rPr>
        <w:footnoteReference w:id="22"/>
      </w:r>
      <w:r w:rsidRPr="005C70E9">
        <w:rPr>
          <w:rFonts w:ascii="Calibri" w:eastAsia="Calibri" w:hAnsi="Calibri" w:cs="Calibri"/>
          <w:sz w:val="24"/>
          <w:szCs w:val="24"/>
        </w:rPr>
        <w:t xml:space="preserve"> </w:t>
      </w:r>
    </w:p>
    <w:p w14:paraId="00000035" w14:textId="77777777" w:rsidR="005B0F2C" w:rsidRPr="005C70E9" w:rsidRDefault="005B0F2C">
      <w:pPr>
        <w:spacing w:line="240" w:lineRule="auto"/>
        <w:jc w:val="both"/>
        <w:rPr>
          <w:rFonts w:ascii="Calibri" w:eastAsia="Calibri" w:hAnsi="Calibri" w:cs="Calibri"/>
          <w:sz w:val="24"/>
          <w:szCs w:val="24"/>
        </w:rPr>
      </w:pPr>
    </w:p>
    <w:p w14:paraId="00000036"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The CESCR Committee in its General Comment 22 on the right to sexual and reproductive health, highlights that it right extends beyond health care. Social and underlying determinants of sexual and reproductive health, including access to safe and potable water, adequate sanitation, food and nutrition, housing, safe and healthy working conditions and environment,  and health related education and information, amongst others, are all part of sexual and reproductive rights.</w:t>
      </w:r>
      <w:r w:rsidRPr="005C70E9">
        <w:rPr>
          <w:vertAlign w:val="superscript"/>
        </w:rPr>
        <w:footnoteReference w:id="23"/>
      </w:r>
      <w:r w:rsidRPr="005C70E9">
        <w:rPr>
          <w:rFonts w:ascii="Calibri" w:eastAsia="Calibri" w:hAnsi="Calibri" w:cs="Calibri"/>
          <w:sz w:val="24"/>
          <w:szCs w:val="24"/>
        </w:rPr>
        <w:t xml:space="preserve"> A full enjoyment of sexual and reproductive rights enables the conditions to exercise bodily autonomy, where persons with disabilities, and especially women with disabilities, have the ability to make and exercise choices not limited by oppression, discrimination, stigma, coercion, violence, lack of opportunities or possible consequences. Only when choice is no longer an illusion we can meaningfully engage in work “freely chosen or accepted,” as phrased in article 27 of the CRPD Convention.</w:t>
      </w:r>
    </w:p>
    <w:p w14:paraId="00000037" w14:textId="77777777" w:rsidR="005B0F2C" w:rsidRPr="005C70E9" w:rsidRDefault="005B0F2C">
      <w:pPr>
        <w:spacing w:line="240" w:lineRule="auto"/>
        <w:jc w:val="both"/>
        <w:rPr>
          <w:rFonts w:ascii="Calibri" w:eastAsia="Calibri" w:hAnsi="Calibri" w:cs="Calibri"/>
          <w:sz w:val="24"/>
          <w:szCs w:val="24"/>
        </w:rPr>
      </w:pPr>
    </w:p>
    <w:p w14:paraId="00000038"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Sexual and reproductive health is essential for women with disabilities to be able to access work equipped with greater resources. As stated by ILO in study carried out in Perú, hindering sexual and reproductive rights exposes women with disabilities to greater risk of gender-based violence.</w:t>
      </w:r>
      <w:r w:rsidRPr="005C70E9">
        <w:rPr>
          <w:vertAlign w:val="superscript"/>
        </w:rPr>
        <w:footnoteReference w:id="24"/>
      </w:r>
      <w:r w:rsidRPr="005C70E9">
        <w:rPr>
          <w:rFonts w:ascii="Calibri" w:eastAsia="Calibri" w:hAnsi="Calibri" w:cs="Calibri"/>
          <w:sz w:val="24"/>
          <w:szCs w:val="24"/>
        </w:rPr>
        <w:t xml:space="preserve"> The same forces that permit and cause violence outside of the world of work drive situations of violence likely to be reproduced in the work environment, affecting the ability of women with disabilities to keep work. Misinformation provided to women with disabilities by health care providers, education institutions and society through stereotypes about their sexual and reproductive rights fuels the barriers to employment. Comprehensive sexuality education can provide part of the information to realize their bodily autonomy. It can facilitate the exercise of their sexual rights and self-care in this field, by helping them navigate the differences between work relationships, friendship, romantic relationships, among others, and to generate alerts against possible situations of exploitation, harassment or sexual violence.</w:t>
      </w:r>
      <w:r w:rsidRPr="005C70E9">
        <w:rPr>
          <w:vertAlign w:val="superscript"/>
        </w:rPr>
        <w:footnoteReference w:id="25"/>
      </w:r>
      <w:r w:rsidRPr="005C70E9">
        <w:rPr>
          <w:rFonts w:ascii="Calibri" w:eastAsia="Calibri" w:hAnsi="Calibri" w:cs="Calibri"/>
          <w:sz w:val="24"/>
          <w:szCs w:val="24"/>
        </w:rPr>
        <w:t xml:space="preserve"> </w:t>
      </w:r>
    </w:p>
    <w:p w14:paraId="00000039" w14:textId="77777777" w:rsidR="005B0F2C" w:rsidRPr="005C70E9" w:rsidRDefault="005B0F2C">
      <w:pPr>
        <w:spacing w:line="240" w:lineRule="auto"/>
        <w:jc w:val="both"/>
        <w:rPr>
          <w:rFonts w:ascii="Calibri" w:eastAsia="Calibri" w:hAnsi="Calibri" w:cs="Calibri"/>
          <w:sz w:val="24"/>
          <w:szCs w:val="24"/>
        </w:rPr>
      </w:pPr>
    </w:p>
    <w:p w14:paraId="0000003A"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As recognized by the Committee in the concept note, reasonable accommodation requests are being denied to women based on both their disability and gender. When reasonable accommodations are provided, they must be planned and implemented considering how gender injustice can render them </w:t>
      </w:r>
      <w:proofErr w:type="spellStart"/>
      <w:r w:rsidRPr="005C70E9">
        <w:rPr>
          <w:rFonts w:ascii="Calibri" w:eastAsia="Calibri" w:hAnsi="Calibri" w:cs="Calibri"/>
          <w:sz w:val="24"/>
          <w:szCs w:val="24"/>
        </w:rPr>
        <w:t>unuseful</w:t>
      </w:r>
      <w:proofErr w:type="spellEnd"/>
      <w:r w:rsidRPr="005C70E9">
        <w:rPr>
          <w:rFonts w:ascii="Calibri" w:eastAsia="Calibri" w:hAnsi="Calibri" w:cs="Calibri"/>
          <w:sz w:val="24"/>
          <w:szCs w:val="24"/>
        </w:rPr>
        <w:t>, counterproductive or even damaging. For example, when a reasonable accommodation request is made for Sign Language Interpretation, it is essential that a woman with disability can feel comfortable talking about gender-sensitive issues while using their services.</w:t>
      </w:r>
    </w:p>
    <w:p w14:paraId="0000003B" w14:textId="77777777" w:rsidR="005B0F2C" w:rsidRPr="005C70E9" w:rsidRDefault="005B0F2C">
      <w:pPr>
        <w:spacing w:line="240" w:lineRule="auto"/>
        <w:jc w:val="both"/>
        <w:rPr>
          <w:rFonts w:ascii="Calibri" w:eastAsia="Calibri" w:hAnsi="Calibri" w:cs="Calibri"/>
          <w:sz w:val="24"/>
          <w:szCs w:val="24"/>
        </w:rPr>
      </w:pPr>
    </w:p>
    <w:p w14:paraId="0000003C"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Harassment is based on the same relations of power discussed previously that condition distribution of both paid and unpaid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as well as formal and informal </w:t>
      </w:r>
      <w:proofErr w:type="spellStart"/>
      <w:r w:rsidRPr="005C70E9">
        <w:rPr>
          <w:rFonts w:ascii="Calibri" w:eastAsia="Calibri" w:hAnsi="Calibri" w:cs="Calibri"/>
          <w:sz w:val="24"/>
          <w:szCs w:val="24"/>
        </w:rPr>
        <w:lastRenderedPageBreak/>
        <w:t>labour</w:t>
      </w:r>
      <w:proofErr w:type="spellEnd"/>
      <w:r w:rsidRPr="005C70E9">
        <w:rPr>
          <w:rFonts w:ascii="Calibri" w:eastAsia="Calibri" w:hAnsi="Calibri" w:cs="Calibri"/>
          <w:sz w:val="24"/>
          <w:szCs w:val="24"/>
        </w:rPr>
        <w:t>. However, “the narrow and individualized conception of harm, discrimination, harassment, and violence in anti-discrimination and human rights doctrine”</w:t>
      </w:r>
      <w:r w:rsidRPr="005C70E9">
        <w:rPr>
          <w:vertAlign w:val="superscript"/>
        </w:rPr>
        <w:footnoteReference w:id="26"/>
      </w:r>
      <w:r w:rsidRPr="005C70E9">
        <w:rPr>
          <w:rFonts w:ascii="Calibri" w:eastAsia="Calibri" w:hAnsi="Calibri" w:cs="Calibri"/>
          <w:sz w:val="24"/>
          <w:szCs w:val="24"/>
        </w:rPr>
        <w:t xml:space="preserve"> derails most analyses that point to the structures creating that harm and do not consider measures that have the potential for structural change. Effectively addressing harassment goes beyond the ability to produce and enforce workplace regulations that, although important and necessary, do not engage with how equipped women with disabilities are when they move into “the world of work”.</w:t>
      </w:r>
    </w:p>
    <w:p w14:paraId="0000003D" w14:textId="77777777" w:rsidR="005B0F2C" w:rsidRPr="005C70E9" w:rsidRDefault="005B0F2C">
      <w:pPr>
        <w:spacing w:line="240" w:lineRule="auto"/>
        <w:jc w:val="both"/>
        <w:rPr>
          <w:rFonts w:ascii="Calibri" w:eastAsia="Calibri" w:hAnsi="Calibri" w:cs="Calibri"/>
          <w:sz w:val="24"/>
          <w:szCs w:val="24"/>
        </w:rPr>
      </w:pPr>
    </w:p>
    <w:p w14:paraId="0000003E"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Harassment is another example of the structures that seek to bar women with disabilities from work by labeling them as less productive. As noted by the ILO, “acts of violence and harassment against persons with disabilities are often linked to negative stereotypes about their productivity. </w:t>
      </w:r>
      <w:proofErr w:type="gramStart"/>
      <w:r w:rsidRPr="005C70E9">
        <w:rPr>
          <w:rFonts w:ascii="Calibri" w:eastAsia="Calibri" w:hAnsi="Calibri" w:cs="Calibri"/>
          <w:sz w:val="24"/>
          <w:szCs w:val="24"/>
        </w:rPr>
        <w:t>Commonly-reported</w:t>
      </w:r>
      <w:proofErr w:type="gramEnd"/>
      <w:r w:rsidRPr="005C70E9">
        <w:rPr>
          <w:rFonts w:ascii="Calibri" w:eastAsia="Calibri" w:hAnsi="Calibri" w:cs="Calibri"/>
          <w:sz w:val="24"/>
          <w:szCs w:val="24"/>
        </w:rPr>
        <w:t xml:space="preserve"> practices include harassing performance monitoring procedures, micro-management and over-attribution of mistakes, as well as </w:t>
      </w:r>
      <w:proofErr w:type="spellStart"/>
      <w:r w:rsidRPr="005C70E9">
        <w:rPr>
          <w:rFonts w:ascii="Calibri" w:eastAsia="Calibri" w:hAnsi="Calibri" w:cs="Calibri"/>
          <w:sz w:val="24"/>
          <w:szCs w:val="24"/>
        </w:rPr>
        <w:t>behaviours</w:t>
      </w:r>
      <w:proofErr w:type="spellEnd"/>
      <w:r w:rsidRPr="005C70E9">
        <w:rPr>
          <w:rFonts w:ascii="Calibri" w:eastAsia="Calibri" w:hAnsi="Calibri" w:cs="Calibri"/>
          <w:sz w:val="24"/>
          <w:szCs w:val="24"/>
        </w:rPr>
        <w:t xml:space="preserve"> “designed to negatively impact the target’s sense of self as a competent person.”</w:t>
      </w:r>
      <w:r w:rsidRPr="005C70E9">
        <w:rPr>
          <w:vertAlign w:val="superscript"/>
        </w:rPr>
        <w:footnoteReference w:id="27"/>
      </w:r>
      <w:r w:rsidRPr="005C70E9">
        <w:rPr>
          <w:rFonts w:ascii="Calibri" w:eastAsia="Calibri" w:hAnsi="Calibri" w:cs="Calibri"/>
          <w:sz w:val="24"/>
          <w:szCs w:val="24"/>
          <w:vertAlign w:val="superscript"/>
        </w:rPr>
        <w:t xml:space="preserve"> </w:t>
      </w:r>
    </w:p>
    <w:p w14:paraId="0000003F" w14:textId="77777777" w:rsidR="005B0F2C" w:rsidRPr="005C70E9" w:rsidRDefault="005B0F2C">
      <w:pPr>
        <w:spacing w:line="240" w:lineRule="auto"/>
        <w:jc w:val="both"/>
        <w:rPr>
          <w:rFonts w:ascii="Calibri" w:eastAsia="Calibri" w:hAnsi="Calibri" w:cs="Calibri"/>
          <w:sz w:val="24"/>
          <w:szCs w:val="24"/>
        </w:rPr>
      </w:pPr>
    </w:p>
    <w:p w14:paraId="00000040" w14:textId="77777777" w:rsidR="005B0F2C" w:rsidRPr="005C70E9" w:rsidRDefault="00456EE5" w:rsidP="005C70E9">
      <w:pPr>
        <w:pStyle w:val="ListParagraph"/>
        <w:numPr>
          <w:ilvl w:val="0"/>
          <w:numId w:val="4"/>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Addressing violence and harassment as it relates to work, also requires addressing specific pre-conditions for accessing work on an equal basis and free from violence, exploitation and abuse. These pre-conditions include: providing reasonable accommodations, having access to personal assistance, being recognized as a person with legal capacity, direct access to benefits that support disability related extra costs, the freedom to exercise sexual rights, and access to accessible sexual and reproductive health services. </w:t>
      </w:r>
    </w:p>
    <w:p w14:paraId="00000042" w14:textId="77777777" w:rsidR="005B0F2C" w:rsidRPr="005C70E9" w:rsidRDefault="005B0F2C">
      <w:pPr>
        <w:spacing w:line="240" w:lineRule="auto"/>
        <w:jc w:val="both"/>
        <w:rPr>
          <w:rFonts w:ascii="Calibri" w:eastAsia="Calibri" w:hAnsi="Calibri" w:cs="Calibri"/>
          <w:sz w:val="24"/>
          <w:szCs w:val="24"/>
        </w:rPr>
      </w:pPr>
    </w:p>
    <w:p w14:paraId="00000043" w14:textId="77777777" w:rsidR="005B0F2C" w:rsidRPr="005C70E9" w:rsidRDefault="00456EE5">
      <w:pPr>
        <w:numPr>
          <w:ilvl w:val="0"/>
          <w:numId w:val="2"/>
        </w:numPr>
        <w:spacing w:line="240" w:lineRule="auto"/>
        <w:jc w:val="both"/>
        <w:rPr>
          <w:rFonts w:ascii="Calibri" w:eastAsia="Calibri" w:hAnsi="Calibri" w:cs="Calibri"/>
          <w:b/>
          <w:sz w:val="24"/>
          <w:szCs w:val="24"/>
        </w:rPr>
      </w:pPr>
      <w:r w:rsidRPr="005C70E9">
        <w:rPr>
          <w:rFonts w:ascii="Calibri" w:eastAsia="Calibri" w:hAnsi="Calibri" w:cs="Calibri"/>
          <w:b/>
          <w:sz w:val="24"/>
          <w:szCs w:val="24"/>
        </w:rPr>
        <w:lastRenderedPageBreak/>
        <w:t>Recommendations</w:t>
      </w:r>
    </w:p>
    <w:p w14:paraId="00000044" w14:textId="77777777" w:rsidR="005B0F2C" w:rsidRPr="005C70E9" w:rsidRDefault="005B0F2C">
      <w:pPr>
        <w:spacing w:line="240" w:lineRule="auto"/>
        <w:ind w:left="720"/>
        <w:jc w:val="both"/>
        <w:rPr>
          <w:rFonts w:ascii="Calibri" w:eastAsia="Calibri" w:hAnsi="Calibri" w:cs="Calibri"/>
          <w:sz w:val="24"/>
          <w:szCs w:val="24"/>
        </w:rPr>
      </w:pPr>
    </w:p>
    <w:p w14:paraId="00000045" w14:textId="77777777" w:rsidR="005B0F2C" w:rsidRPr="005C70E9" w:rsidRDefault="00456EE5">
      <w:pPr>
        <w:numPr>
          <w:ilvl w:val="0"/>
          <w:numId w:val="3"/>
        </w:numPr>
        <w:spacing w:line="240" w:lineRule="auto"/>
        <w:jc w:val="both"/>
        <w:rPr>
          <w:rFonts w:ascii="Calibri" w:eastAsia="Calibri" w:hAnsi="Calibri" w:cs="Calibri"/>
          <w:sz w:val="24"/>
          <w:szCs w:val="24"/>
        </w:rPr>
      </w:pPr>
      <w:r w:rsidRPr="005C70E9">
        <w:rPr>
          <w:rFonts w:ascii="Calibri" w:eastAsia="Calibri" w:hAnsi="Calibri" w:cs="Calibri"/>
          <w:sz w:val="24"/>
          <w:szCs w:val="24"/>
        </w:rPr>
        <w:t>Ensure direct and unconditioned access to universal health coverage, social protection systems and welfare programs, including universal basic income, financed adequately through global, equitable tax systems that end loopholes for multinational corporations, illicit financial flows, and tax havens.</w:t>
      </w:r>
    </w:p>
    <w:p w14:paraId="00000046" w14:textId="77777777" w:rsidR="005B0F2C" w:rsidRPr="005C70E9" w:rsidRDefault="00456EE5">
      <w:pPr>
        <w:numPr>
          <w:ilvl w:val="0"/>
          <w:numId w:val="3"/>
        </w:numPr>
        <w:spacing w:line="240" w:lineRule="auto"/>
        <w:jc w:val="both"/>
        <w:rPr>
          <w:rFonts w:ascii="Calibri" w:eastAsia="Calibri" w:hAnsi="Calibri" w:cs="Calibri"/>
          <w:sz w:val="24"/>
          <w:szCs w:val="24"/>
        </w:rPr>
      </w:pPr>
      <w:r w:rsidRPr="005C70E9">
        <w:rPr>
          <w:rFonts w:ascii="Calibri" w:eastAsia="Calibri" w:hAnsi="Calibri" w:cs="Calibri"/>
          <w:sz w:val="24"/>
          <w:szCs w:val="24"/>
        </w:rPr>
        <w:t>Disability-related support systems and policies must be reformed so that eligibility and access is not means-tested, require unemployment, or are family based, otherwise they perpetuate a cycle of poverty.</w:t>
      </w:r>
    </w:p>
    <w:p w14:paraId="00000047" w14:textId="77777777" w:rsidR="005B0F2C" w:rsidRPr="005C70E9" w:rsidRDefault="00456EE5">
      <w:pPr>
        <w:numPr>
          <w:ilvl w:val="0"/>
          <w:numId w:val="3"/>
        </w:numPr>
        <w:spacing w:line="240" w:lineRule="auto"/>
        <w:jc w:val="both"/>
        <w:rPr>
          <w:rFonts w:ascii="Calibri" w:eastAsia="Calibri" w:hAnsi="Calibri" w:cs="Calibri"/>
          <w:sz w:val="24"/>
          <w:szCs w:val="24"/>
        </w:rPr>
      </w:pPr>
      <w:r w:rsidRPr="005C70E9">
        <w:rPr>
          <w:rFonts w:ascii="Calibri" w:eastAsia="Calibri" w:hAnsi="Calibri" w:cs="Calibri"/>
          <w:sz w:val="24"/>
          <w:szCs w:val="24"/>
        </w:rPr>
        <w:t>Address social and other determinants of health in law and practice from an intersectional perspective that enable persons with disabilities, in particular women and girls, to effectively enjoy their sexual and reproductive rights.</w:t>
      </w:r>
    </w:p>
    <w:p w14:paraId="00000048" w14:textId="77777777" w:rsidR="005B0F2C" w:rsidRPr="005C70E9" w:rsidRDefault="00456EE5">
      <w:pPr>
        <w:numPr>
          <w:ilvl w:val="0"/>
          <w:numId w:val="1"/>
        </w:numPr>
        <w:spacing w:line="240" w:lineRule="auto"/>
        <w:jc w:val="both"/>
        <w:rPr>
          <w:sz w:val="24"/>
          <w:szCs w:val="24"/>
        </w:rPr>
      </w:pPr>
      <w:r w:rsidRPr="005C70E9">
        <w:rPr>
          <w:rFonts w:ascii="Calibri" w:eastAsia="Calibri" w:hAnsi="Calibri" w:cs="Calibri"/>
          <w:sz w:val="24"/>
          <w:szCs w:val="24"/>
        </w:rPr>
        <w:t xml:space="preserve">Eligibility to access support services needs to </w:t>
      </w:r>
      <w:proofErr w:type="gramStart"/>
      <w:r w:rsidRPr="005C70E9">
        <w:rPr>
          <w:rFonts w:ascii="Calibri" w:eastAsia="Calibri" w:hAnsi="Calibri" w:cs="Calibri"/>
          <w:sz w:val="24"/>
          <w:szCs w:val="24"/>
        </w:rPr>
        <w:t>be defined</w:t>
      </w:r>
      <w:proofErr w:type="gramEnd"/>
      <w:r w:rsidRPr="005C70E9">
        <w:rPr>
          <w:rFonts w:ascii="Calibri" w:eastAsia="Calibri" w:hAnsi="Calibri" w:cs="Calibri"/>
          <w:sz w:val="24"/>
          <w:szCs w:val="24"/>
        </w:rPr>
        <w:t xml:space="preserve"> in a non-discriminatory way and assessments should move away from the medical approach to disability, comply with the human rights approach and take into account the specific needs of persons with disabilities rather than focusing on impairments.</w:t>
      </w:r>
    </w:p>
    <w:p w14:paraId="00000049" w14:textId="77777777" w:rsidR="005B0F2C" w:rsidRPr="005C70E9" w:rsidRDefault="00456EE5">
      <w:pPr>
        <w:numPr>
          <w:ilvl w:val="0"/>
          <w:numId w:val="1"/>
        </w:numPr>
        <w:spacing w:line="240" w:lineRule="auto"/>
        <w:jc w:val="both"/>
        <w:rPr>
          <w:sz w:val="24"/>
          <w:szCs w:val="24"/>
        </w:rPr>
      </w:pPr>
      <w:bookmarkStart w:id="1" w:name="_gjdgxs" w:colFirst="0" w:colLast="0"/>
      <w:bookmarkEnd w:id="1"/>
      <w:r w:rsidRPr="005C70E9">
        <w:rPr>
          <w:rFonts w:ascii="Calibri" w:eastAsia="Calibri" w:hAnsi="Calibri" w:cs="Calibri"/>
          <w:sz w:val="24"/>
          <w:szCs w:val="24"/>
        </w:rPr>
        <w:t>Remove migration restrictions based on disability.</w:t>
      </w:r>
    </w:p>
    <w:p w14:paraId="0000004A" w14:textId="77777777" w:rsidR="005B0F2C" w:rsidRPr="005C70E9" w:rsidRDefault="00456EE5">
      <w:pPr>
        <w:numPr>
          <w:ilvl w:val="0"/>
          <w:numId w:val="1"/>
        </w:numPr>
        <w:spacing w:line="240" w:lineRule="auto"/>
        <w:jc w:val="both"/>
        <w:rPr>
          <w:rFonts w:ascii="Calibri" w:eastAsia="Calibri" w:hAnsi="Calibri" w:cs="Calibri"/>
          <w:sz w:val="24"/>
          <w:szCs w:val="24"/>
        </w:rPr>
      </w:pPr>
      <w:bookmarkStart w:id="2" w:name="_axa0ddw7bk8k" w:colFirst="0" w:colLast="0"/>
      <w:bookmarkEnd w:id="2"/>
      <w:r w:rsidRPr="005C70E9">
        <w:rPr>
          <w:rFonts w:ascii="Calibri" w:eastAsia="Calibri" w:hAnsi="Calibri" w:cs="Calibri"/>
          <w:sz w:val="24"/>
          <w:szCs w:val="24"/>
        </w:rPr>
        <w:t>Ensure the right to legal capacity by recognizing the will and preference of persons with disabilities, and particularly women and girls with disabilities in regards to work, by facilitating supported decision making when requested in all parts of the hiring and negotiation process.</w:t>
      </w:r>
    </w:p>
    <w:p w14:paraId="0000004B" w14:textId="77777777" w:rsidR="005B0F2C" w:rsidRPr="005C70E9" w:rsidRDefault="00456EE5">
      <w:pPr>
        <w:numPr>
          <w:ilvl w:val="0"/>
          <w:numId w:val="1"/>
        </w:numPr>
        <w:spacing w:line="240" w:lineRule="auto"/>
        <w:jc w:val="both"/>
        <w:rPr>
          <w:rFonts w:ascii="Calibri" w:eastAsia="Calibri" w:hAnsi="Calibri" w:cs="Calibri"/>
          <w:sz w:val="24"/>
          <w:szCs w:val="24"/>
        </w:rPr>
      </w:pPr>
      <w:bookmarkStart w:id="3" w:name="_h2ol8huko5d3" w:colFirst="0" w:colLast="0"/>
      <w:bookmarkEnd w:id="3"/>
      <w:r w:rsidRPr="005C70E9">
        <w:rPr>
          <w:rFonts w:ascii="Calibri" w:eastAsia="Calibri" w:hAnsi="Calibri" w:cs="Calibri"/>
          <w:sz w:val="24"/>
          <w:szCs w:val="24"/>
        </w:rPr>
        <w:t xml:space="preserve">Ensure the right to independent living in the community by creating and financing programs of personal assistance, accessible housing, and supported employment, prioritizing women and girls with disabilities. </w:t>
      </w:r>
    </w:p>
    <w:p w14:paraId="0000004C" w14:textId="479B600D" w:rsidR="005B0F2C" w:rsidRPr="005C70E9" w:rsidRDefault="00456EE5">
      <w:pPr>
        <w:numPr>
          <w:ilvl w:val="0"/>
          <w:numId w:val="1"/>
        </w:numPr>
        <w:spacing w:line="240" w:lineRule="auto"/>
        <w:jc w:val="both"/>
        <w:rPr>
          <w:rFonts w:ascii="Calibri" w:eastAsia="Calibri" w:hAnsi="Calibri" w:cs="Calibri"/>
          <w:sz w:val="24"/>
          <w:szCs w:val="24"/>
        </w:rPr>
      </w:pPr>
      <w:bookmarkStart w:id="4" w:name="_7wctmhbfcglx" w:colFirst="0" w:colLast="0"/>
      <w:bookmarkEnd w:id="4"/>
      <w:r w:rsidRPr="005C70E9">
        <w:rPr>
          <w:rFonts w:ascii="Calibri" w:eastAsia="Calibri" w:hAnsi="Calibri" w:cs="Calibri"/>
          <w:sz w:val="24"/>
          <w:szCs w:val="24"/>
        </w:rPr>
        <w:t xml:space="preserve">Full access to justice and redress in case of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discrimination </w:t>
      </w:r>
      <w:proofErr w:type="gramStart"/>
      <w:r w:rsidRPr="005C70E9">
        <w:rPr>
          <w:rFonts w:ascii="Calibri" w:eastAsia="Calibri" w:hAnsi="Calibri" w:cs="Calibri"/>
          <w:sz w:val="24"/>
          <w:szCs w:val="24"/>
        </w:rPr>
        <w:t>on the basis of</w:t>
      </w:r>
      <w:proofErr w:type="gramEnd"/>
      <w:r w:rsidRPr="005C70E9">
        <w:rPr>
          <w:rFonts w:ascii="Calibri" w:eastAsia="Calibri" w:hAnsi="Calibri" w:cs="Calibri"/>
          <w:sz w:val="24"/>
          <w:szCs w:val="24"/>
        </w:rPr>
        <w:t xml:space="preserve"> disability and gender, including by providing procedural accommodations that have a </w:t>
      </w:r>
      <w:r w:rsidR="005C70E9" w:rsidRPr="005C70E9">
        <w:rPr>
          <w:rFonts w:ascii="Calibri" w:eastAsia="Calibri" w:hAnsi="Calibri" w:cs="Calibri"/>
          <w:sz w:val="24"/>
          <w:szCs w:val="24"/>
        </w:rPr>
        <w:t>gender-based</w:t>
      </w:r>
      <w:r w:rsidRPr="005C70E9">
        <w:rPr>
          <w:rFonts w:ascii="Calibri" w:eastAsia="Calibri" w:hAnsi="Calibri" w:cs="Calibri"/>
          <w:sz w:val="24"/>
          <w:szCs w:val="24"/>
        </w:rPr>
        <w:t xml:space="preserve"> approach.</w:t>
      </w:r>
    </w:p>
    <w:p w14:paraId="0000004D" w14:textId="07E283E9" w:rsidR="005B0F2C" w:rsidRPr="005C70E9" w:rsidRDefault="00456EE5">
      <w:pPr>
        <w:numPr>
          <w:ilvl w:val="0"/>
          <w:numId w:val="1"/>
        </w:numPr>
        <w:spacing w:line="240" w:lineRule="auto"/>
        <w:jc w:val="both"/>
        <w:rPr>
          <w:rFonts w:ascii="Calibri" w:eastAsia="Calibri" w:hAnsi="Calibri" w:cs="Calibri"/>
          <w:sz w:val="24"/>
          <w:szCs w:val="24"/>
        </w:rPr>
      </w:pPr>
      <w:bookmarkStart w:id="5" w:name="_gt7et04v2nwe" w:colFirst="0" w:colLast="0"/>
      <w:bookmarkEnd w:id="5"/>
      <w:r w:rsidRPr="005C70E9">
        <w:rPr>
          <w:rFonts w:ascii="Calibri" w:eastAsia="Calibri" w:hAnsi="Calibri" w:cs="Calibri"/>
          <w:sz w:val="24"/>
          <w:szCs w:val="24"/>
        </w:rPr>
        <w:lastRenderedPageBreak/>
        <w:t xml:space="preserve">Ensure the provision of reasonable accommodation with a </w:t>
      </w:r>
      <w:r w:rsidR="005C70E9" w:rsidRPr="005C70E9">
        <w:rPr>
          <w:rFonts w:ascii="Calibri" w:eastAsia="Calibri" w:hAnsi="Calibri" w:cs="Calibri"/>
          <w:sz w:val="24"/>
          <w:szCs w:val="24"/>
        </w:rPr>
        <w:t>gender-based</w:t>
      </w:r>
      <w:r w:rsidRPr="005C70E9">
        <w:rPr>
          <w:rFonts w:ascii="Calibri" w:eastAsia="Calibri" w:hAnsi="Calibri" w:cs="Calibri"/>
          <w:sz w:val="24"/>
          <w:szCs w:val="24"/>
        </w:rPr>
        <w:t xml:space="preserve"> approach and safeguards to ensure women with disabilities are not denied reasonable </w:t>
      </w:r>
      <w:r w:rsidR="005C70E9" w:rsidRPr="005C70E9">
        <w:rPr>
          <w:rFonts w:ascii="Calibri" w:eastAsia="Calibri" w:hAnsi="Calibri" w:cs="Calibri"/>
          <w:sz w:val="24"/>
          <w:szCs w:val="24"/>
        </w:rPr>
        <w:t>accommodations</w:t>
      </w:r>
      <w:r w:rsidRPr="005C70E9">
        <w:rPr>
          <w:rFonts w:ascii="Calibri" w:eastAsia="Calibri" w:hAnsi="Calibri" w:cs="Calibri"/>
          <w:sz w:val="24"/>
          <w:szCs w:val="24"/>
        </w:rPr>
        <w:t xml:space="preserve">. </w:t>
      </w:r>
    </w:p>
    <w:p w14:paraId="0000004E" w14:textId="77777777" w:rsidR="005B0F2C" w:rsidRPr="005C70E9" w:rsidRDefault="00456EE5">
      <w:pPr>
        <w:numPr>
          <w:ilvl w:val="0"/>
          <w:numId w:val="1"/>
        </w:numPr>
        <w:spacing w:line="240" w:lineRule="auto"/>
        <w:jc w:val="both"/>
        <w:rPr>
          <w:sz w:val="24"/>
          <w:szCs w:val="24"/>
        </w:rPr>
      </w:pPr>
      <w:r w:rsidRPr="005C70E9">
        <w:rPr>
          <w:rFonts w:ascii="Calibri" w:eastAsia="Calibri" w:hAnsi="Calibri" w:cs="Calibri"/>
          <w:sz w:val="24"/>
          <w:szCs w:val="24"/>
        </w:rPr>
        <w:t>Ensure that Comprehensive Sexuality Education is part of the mandatory accessible and inclusive school curricula for all children, with particular attention to women and girls with disabilities, including anti-bullying programmes within schools that tackle stigma and discrimination and promote safe spaces for them to learn.</w:t>
      </w:r>
    </w:p>
    <w:p w14:paraId="0000004F" w14:textId="13FF71CC" w:rsidR="005B0F2C" w:rsidRPr="005C70E9" w:rsidRDefault="00456EE5">
      <w:pPr>
        <w:numPr>
          <w:ilvl w:val="0"/>
          <w:numId w:val="1"/>
        </w:numPr>
        <w:spacing w:line="240" w:lineRule="auto"/>
        <w:jc w:val="both"/>
        <w:rPr>
          <w:rFonts w:ascii="Calibri" w:eastAsia="Calibri" w:hAnsi="Calibri" w:cs="Calibri"/>
          <w:sz w:val="24"/>
          <w:szCs w:val="24"/>
        </w:rPr>
      </w:pPr>
      <w:proofErr w:type="gramStart"/>
      <w:r w:rsidRPr="005C70E9">
        <w:rPr>
          <w:rFonts w:ascii="Calibri" w:eastAsia="Calibri" w:hAnsi="Calibri" w:cs="Calibri"/>
          <w:sz w:val="24"/>
          <w:szCs w:val="24"/>
        </w:rPr>
        <w:t>Create, promote and finance programmes and strategies for inclusive education to keep girls with disabilities in school and lower drop-out rates including through anti-harassment and anti-bullying programmes in schools with particular attention to girls and women with disabilities</w:t>
      </w:r>
      <w:r w:rsidR="005C70E9" w:rsidRPr="005C70E9">
        <w:rPr>
          <w:rFonts w:ascii="Calibri" w:eastAsia="Calibri" w:hAnsi="Calibri" w:cs="Calibri"/>
          <w:sz w:val="24"/>
          <w:szCs w:val="24"/>
        </w:rPr>
        <w:t xml:space="preserve"> </w:t>
      </w:r>
      <w:r w:rsidRPr="005C70E9">
        <w:rPr>
          <w:rFonts w:ascii="Calibri" w:eastAsia="Calibri" w:hAnsi="Calibri" w:cs="Calibri"/>
          <w:sz w:val="24"/>
          <w:szCs w:val="24"/>
        </w:rPr>
        <w:t>and accessible and safe WASH programmes (including menstruation hygiene programmes) in schools that support girls and women with disabilities to access WASH safely and with dignity.</w:t>
      </w:r>
      <w:proofErr w:type="gramEnd"/>
    </w:p>
    <w:p w14:paraId="00000050" w14:textId="77777777" w:rsidR="005B0F2C" w:rsidRPr="005C70E9" w:rsidRDefault="00456EE5">
      <w:pPr>
        <w:numPr>
          <w:ilvl w:val="0"/>
          <w:numId w:val="1"/>
        </w:numPr>
        <w:spacing w:line="240" w:lineRule="auto"/>
        <w:jc w:val="both"/>
        <w:rPr>
          <w:rFonts w:ascii="Calibri" w:eastAsia="Calibri" w:hAnsi="Calibri" w:cs="Calibri"/>
          <w:sz w:val="24"/>
          <w:szCs w:val="24"/>
        </w:rPr>
      </w:pPr>
      <w:bookmarkStart w:id="6" w:name="_bqxnbaepvvbc" w:colFirst="0" w:colLast="0"/>
      <w:bookmarkEnd w:id="6"/>
      <w:proofErr w:type="spellStart"/>
      <w:r w:rsidRPr="005C70E9">
        <w:rPr>
          <w:rFonts w:ascii="Calibri" w:eastAsia="Calibri" w:hAnsi="Calibri" w:cs="Calibri"/>
          <w:sz w:val="24"/>
          <w:szCs w:val="24"/>
        </w:rPr>
        <w:t>Craete</w:t>
      </w:r>
      <w:proofErr w:type="spellEnd"/>
      <w:r w:rsidRPr="005C70E9">
        <w:rPr>
          <w:rFonts w:ascii="Calibri" w:eastAsia="Calibri" w:hAnsi="Calibri" w:cs="Calibri"/>
          <w:sz w:val="24"/>
          <w:szCs w:val="24"/>
        </w:rPr>
        <w:t>, finance and promote awareness raising campaigns on the right to access to work of women with disabilities that address stigma and discrimination using an intersectional approach.</w:t>
      </w:r>
    </w:p>
    <w:p w14:paraId="00000051" w14:textId="77777777" w:rsidR="005B0F2C" w:rsidRPr="005C70E9" w:rsidRDefault="00456EE5" w:rsidP="005C70E9">
      <w:pPr>
        <w:numPr>
          <w:ilvl w:val="0"/>
          <w:numId w:val="1"/>
        </w:numPr>
        <w:spacing w:line="240" w:lineRule="auto"/>
        <w:jc w:val="both"/>
        <w:rPr>
          <w:rFonts w:ascii="Calibri" w:eastAsia="Calibri" w:hAnsi="Calibri" w:cs="Calibri"/>
          <w:sz w:val="24"/>
          <w:szCs w:val="24"/>
        </w:rPr>
      </w:pPr>
      <w:r w:rsidRPr="005C70E9">
        <w:rPr>
          <w:rFonts w:ascii="Calibri" w:eastAsia="Calibri" w:hAnsi="Calibri" w:cs="Calibri"/>
          <w:sz w:val="24"/>
          <w:szCs w:val="24"/>
        </w:rPr>
        <w:t xml:space="preserve">Overhaul research and statistics of national data on </w:t>
      </w:r>
      <w:proofErr w:type="spellStart"/>
      <w:r w:rsidRPr="005C70E9">
        <w:rPr>
          <w:rFonts w:ascii="Calibri" w:eastAsia="Calibri" w:hAnsi="Calibri" w:cs="Calibri"/>
          <w:sz w:val="24"/>
          <w:szCs w:val="24"/>
        </w:rPr>
        <w:t>labour</w:t>
      </w:r>
      <w:proofErr w:type="spellEnd"/>
      <w:r w:rsidRPr="005C70E9">
        <w:rPr>
          <w:rFonts w:ascii="Calibri" w:eastAsia="Calibri" w:hAnsi="Calibri" w:cs="Calibri"/>
          <w:sz w:val="24"/>
          <w:szCs w:val="24"/>
        </w:rPr>
        <w:t xml:space="preserve"> as well as on social protection to be disaggregated by disability and gender.</w:t>
      </w:r>
    </w:p>
    <w:sectPr w:rsidR="005B0F2C" w:rsidRPr="005C70E9" w:rsidSect="005C70E9">
      <w:footerReference w:type="default" r:id="rId7"/>
      <w:headerReference w:type="first" r:id="rId8"/>
      <w:foot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63B0" w14:textId="77777777" w:rsidR="00456EE5" w:rsidRDefault="00456EE5">
      <w:pPr>
        <w:spacing w:line="240" w:lineRule="auto"/>
      </w:pPr>
      <w:r>
        <w:separator/>
      </w:r>
    </w:p>
  </w:endnote>
  <w:endnote w:type="continuationSeparator" w:id="0">
    <w:p w14:paraId="0181D187" w14:textId="77777777" w:rsidR="00456EE5" w:rsidRDefault="00456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7F2A" w14:textId="1C942DCF" w:rsidR="00E714D3" w:rsidRPr="00E714D3" w:rsidRDefault="00E714D3" w:rsidP="00E714D3">
    <w:pPr>
      <w:pStyle w:val="Footer"/>
      <w:tabs>
        <w:tab w:val="left" w:pos="6800"/>
      </w:tabs>
      <w:rPr>
        <w:rFonts w:asciiTheme="majorHAnsi" w:hAnsiTheme="majorHAnsi"/>
        <w:sz w:val="18"/>
        <w:szCs w:val="18"/>
      </w:rPr>
    </w:pPr>
    <w:r w:rsidRPr="00E714D3">
      <w:rPr>
        <w:rFonts w:asciiTheme="majorHAnsi" w:hAnsiTheme="majorHAnsi"/>
        <w:sz w:val="18"/>
        <w:szCs w:val="18"/>
      </w:rPr>
      <w:tab/>
    </w:r>
    <w:sdt>
      <w:sdtPr>
        <w:rPr>
          <w:rFonts w:asciiTheme="majorHAnsi" w:hAnsiTheme="majorHAnsi"/>
          <w:sz w:val="18"/>
          <w:szCs w:val="18"/>
        </w:rPr>
        <w:id w:val="-692071384"/>
        <w:docPartObj>
          <w:docPartGallery w:val="Page Numbers (Bottom of Page)"/>
          <w:docPartUnique/>
        </w:docPartObj>
      </w:sdtPr>
      <w:sdtEndPr>
        <w:rPr>
          <w:noProof/>
        </w:rPr>
      </w:sdtEndPr>
      <w:sdtContent>
        <w:r w:rsidRPr="00E714D3">
          <w:rPr>
            <w:rFonts w:asciiTheme="majorHAnsi" w:hAnsiTheme="majorHAnsi"/>
            <w:sz w:val="18"/>
            <w:szCs w:val="18"/>
          </w:rPr>
          <w:fldChar w:fldCharType="begin"/>
        </w:r>
        <w:r w:rsidRPr="00E714D3">
          <w:rPr>
            <w:rFonts w:asciiTheme="majorHAnsi" w:hAnsiTheme="majorHAnsi"/>
            <w:sz w:val="18"/>
            <w:szCs w:val="18"/>
          </w:rPr>
          <w:instrText xml:space="preserve"> PAGE   \* MERGEFORMAT </w:instrText>
        </w:r>
        <w:r w:rsidRPr="00E714D3">
          <w:rPr>
            <w:rFonts w:asciiTheme="majorHAnsi" w:hAnsiTheme="majorHAnsi"/>
            <w:sz w:val="18"/>
            <w:szCs w:val="18"/>
          </w:rPr>
          <w:fldChar w:fldCharType="separate"/>
        </w:r>
        <w:r w:rsidR="002040C3">
          <w:rPr>
            <w:rFonts w:asciiTheme="majorHAnsi" w:hAnsiTheme="majorHAnsi"/>
            <w:noProof/>
            <w:sz w:val="18"/>
            <w:szCs w:val="18"/>
          </w:rPr>
          <w:t>9</w:t>
        </w:r>
        <w:r w:rsidRPr="00E714D3">
          <w:rPr>
            <w:rFonts w:asciiTheme="majorHAnsi" w:hAnsiTheme="majorHAnsi"/>
            <w:noProof/>
            <w:sz w:val="18"/>
            <w:szCs w:val="18"/>
          </w:rPr>
          <w:fldChar w:fldCharType="end"/>
        </w:r>
      </w:sdtContent>
    </w:sdt>
    <w:r w:rsidRPr="00E714D3">
      <w:rPr>
        <w:rFonts w:asciiTheme="majorHAnsi" w:hAnsiTheme="majorHAnsi"/>
        <w:noProof/>
        <w:sz w:val="18"/>
        <w:szCs w:val="18"/>
      </w:rPr>
      <w:tab/>
    </w:r>
  </w:p>
  <w:p w14:paraId="7BA0CE05" w14:textId="77777777" w:rsidR="00E714D3" w:rsidRPr="00E714D3" w:rsidRDefault="00E714D3">
    <w:pPr>
      <w:pStyle w:val="Footer"/>
      <w:rPr>
        <w:rFonts w:asciiTheme="majorHAnsi" w:hAnsi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71939"/>
      <w:docPartObj>
        <w:docPartGallery w:val="Page Numbers (Bottom of Page)"/>
        <w:docPartUnique/>
      </w:docPartObj>
    </w:sdtPr>
    <w:sdtEndPr>
      <w:rPr>
        <w:noProof/>
      </w:rPr>
    </w:sdtEndPr>
    <w:sdtContent>
      <w:p w14:paraId="5B85D377" w14:textId="452A89D6" w:rsidR="00E714D3" w:rsidRDefault="00E714D3">
        <w:pPr>
          <w:pStyle w:val="Footer"/>
          <w:jc w:val="center"/>
        </w:pPr>
        <w:r>
          <w:fldChar w:fldCharType="begin"/>
        </w:r>
        <w:r>
          <w:instrText xml:space="preserve"> PAGE   \* MERGEFORMAT </w:instrText>
        </w:r>
        <w:r>
          <w:fldChar w:fldCharType="separate"/>
        </w:r>
        <w:r w:rsidR="002040C3">
          <w:rPr>
            <w:noProof/>
          </w:rPr>
          <w:t>1</w:t>
        </w:r>
        <w:r>
          <w:rPr>
            <w:noProof/>
          </w:rPr>
          <w:fldChar w:fldCharType="end"/>
        </w:r>
      </w:p>
    </w:sdtContent>
  </w:sdt>
  <w:p w14:paraId="1430E49B" w14:textId="77777777" w:rsidR="003239F4" w:rsidRDefault="00323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4AEC8" w14:textId="77777777" w:rsidR="00456EE5" w:rsidRDefault="00456EE5">
      <w:pPr>
        <w:spacing w:line="240" w:lineRule="auto"/>
      </w:pPr>
      <w:r>
        <w:separator/>
      </w:r>
    </w:p>
  </w:footnote>
  <w:footnote w:type="continuationSeparator" w:id="0">
    <w:p w14:paraId="0B90E70F" w14:textId="77777777" w:rsidR="00456EE5" w:rsidRDefault="00456EE5">
      <w:pPr>
        <w:spacing w:line="240" w:lineRule="auto"/>
      </w:pPr>
      <w:r>
        <w:continuationSeparator/>
      </w:r>
    </w:p>
  </w:footnote>
  <w:footnote w:id="1">
    <w:p w14:paraId="00000065"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w:t>
      </w:r>
      <w:hyperlink r:id="rId1">
        <w:r w:rsidRPr="005C70E9">
          <w:rPr>
            <w:rFonts w:asciiTheme="majorHAnsi" w:hAnsiTheme="majorHAnsi" w:cstheme="majorHAnsi"/>
            <w:color w:val="1155CC"/>
            <w:sz w:val="18"/>
            <w:szCs w:val="18"/>
            <w:u w:val="single"/>
          </w:rPr>
          <w:t>http://www.sexualrightsinitiative.com</w:t>
        </w:r>
      </w:hyperlink>
      <w:r w:rsidRPr="005C70E9">
        <w:rPr>
          <w:rFonts w:asciiTheme="majorHAnsi" w:hAnsiTheme="majorHAnsi" w:cstheme="majorHAnsi"/>
          <w:sz w:val="18"/>
          <w:szCs w:val="18"/>
        </w:rPr>
        <w:t xml:space="preserve"> </w:t>
      </w:r>
    </w:p>
  </w:footnote>
  <w:footnote w:id="2">
    <w:p w14:paraId="00000069"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Sexual Rights Initiative, Advancing Sexual Rights for All [Position Paper], </w:t>
      </w:r>
      <w:r w:rsidRPr="005C70E9">
        <w:rPr>
          <w:rFonts w:asciiTheme="majorHAnsi" w:hAnsiTheme="majorHAnsi" w:cstheme="majorHAnsi"/>
          <w:i/>
          <w:sz w:val="18"/>
          <w:szCs w:val="18"/>
        </w:rPr>
        <w:t>Available at</w:t>
      </w:r>
      <w:r w:rsidRPr="005C70E9">
        <w:rPr>
          <w:rFonts w:asciiTheme="majorHAnsi" w:hAnsiTheme="majorHAnsi" w:cstheme="majorHAnsi"/>
          <w:sz w:val="18"/>
          <w:szCs w:val="18"/>
        </w:rPr>
        <w:t xml:space="preserve">: </w:t>
      </w:r>
      <w:hyperlink r:id="rId2">
        <w:r w:rsidRPr="005C70E9">
          <w:rPr>
            <w:rFonts w:asciiTheme="majorHAnsi" w:hAnsiTheme="majorHAnsi" w:cstheme="majorHAnsi"/>
            <w:color w:val="1155CC"/>
            <w:sz w:val="18"/>
            <w:szCs w:val="18"/>
            <w:u w:val="single"/>
          </w:rPr>
          <w:t>https://www.sexualrightsinitiative.com/sites/default/files/resources/files/2019-05/Advancing-Sexual-Rights-for-All-Full-Paper-FINAL.pdf</w:t>
        </w:r>
      </w:hyperlink>
      <w:r w:rsidRPr="005C70E9">
        <w:rPr>
          <w:rFonts w:asciiTheme="majorHAnsi" w:hAnsiTheme="majorHAnsi" w:cstheme="majorHAnsi"/>
          <w:sz w:val="18"/>
          <w:szCs w:val="18"/>
        </w:rPr>
        <w:t xml:space="preserve"> </w:t>
      </w:r>
    </w:p>
  </w:footnote>
  <w:footnote w:id="3">
    <w:p w14:paraId="00000066"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See e.g., UN Doc. CEDAW/C/MDA/CO/6 (2020), para. 40(c); UN Doc. CERD/C/UZB/CO/10-12 (2020), para. 12; UN Doc. CCPR/C/CZE/CO/4 (2019) para. 22; UN Doc. E/C.12/SVK/CO/3 (2019), para. 45; UN Doc. CRPD/C/IND/CO/1 (2019), para. 36; UN Doc. CRC/C/MLT/CO/3-6 (2019), para. 28; UN Doc. CAT/C/PER/CO/7 (2018), para. 37.</w:t>
      </w:r>
    </w:p>
    <w:p w14:paraId="00000067" w14:textId="77777777" w:rsidR="005B0F2C" w:rsidRPr="005C70E9" w:rsidRDefault="005B0F2C">
      <w:pPr>
        <w:spacing w:line="240" w:lineRule="auto"/>
        <w:rPr>
          <w:rFonts w:asciiTheme="majorHAnsi" w:hAnsiTheme="majorHAnsi" w:cstheme="majorHAnsi"/>
          <w:sz w:val="18"/>
          <w:szCs w:val="18"/>
        </w:rPr>
      </w:pPr>
    </w:p>
    <w:p w14:paraId="00000068" w14:textId="77777777" w:rsidR="005B0F2C" w:rsidRPr="005C70E9" w:rsidRDefault="005B0F2C">
      <w:pPr>
        <w:spacing w:line="240" w:lineRule="auto"/>
        <w:rPr>
          <w:rFonts w:asciiTheme="majorHAnsi" w:hAnsiTheme="majorHAnsi" w:cstheme="majorHAnsi"/>
          <w:sz w:val="18"/>
          <w:szCs w:val="18"/>
        </w:rPr>
      </w:pPr>
    </w:p>
  </w:footnote>
  <w:footnote w:id="4">
    <w:p w14:paraId="0000006A"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Sexual Rights Initiative, Joint Civil Society Statement 42nd Session Of The Un Human Rights Council International Safe Abortion Day - 28 September 2019, </w:t>
      </w:r>
      <w:r w:rsidRPr="005C70E9">
        <w:rPr>
          <w:rFonts w:asciiTheme="majorHAnsi" w:hAnsiTheme="majorHAnsi" w:cstheme="majorHAnsi"/>
          <w:i/>
          <w:sz w:val="18"/>
          <w:szCs w:val="18"/>
        </w:rPr>
        <w:t>Available at:</w:t>
      </w:r>
      <w:r w:rsidRPr="005C70E9">
        <w:rPr>
          <w:rFonts w:asciiTheme="majorHAnsi" w:hAnsiTheme="majorHAnsi" w:cstheme="majorHAnsi"/>
          <w:sz w:val="18"/>
          <w:szCs w:val="18"/>
        </w:rPr>
        <w:t xml:space="preserve"> </w:t>
      </w:r>
      <w:hyperlink r:id="rId3">
        <w:r w:rsidRPr="005C70E9">
          <w:rPr>
            <w:rFonts w:asciiTheme="majorHAnsi" w:hAnsiTheme="majorHAnsi" w:cstheme="majorHAnsi"/>
            <w:color w:val="1155CC"/>
            <w:sz w:val="18"/>
            <w:szCs w:val="18"/>
            <w:u w:val="single"/>
          </w:rPr>
          <w:t>https://www.sexualrightsinitiative.com/resources/joint-civil-society-statement-42nd-session-un-human-rights-council-international-safe</w:t>
        </w:r>
      </w:hyperlink>
      <w:r w:rsidRPr="005C70E9">
        <w:rPr>
          <w:rFonts w:asciiTheme="majorHAnsi" w:hAnsiTheme="majorHAnsi" w:cstheme="majorHAnsi"/>
          <w:sz w:val="18"/>
          <w:szCs w:val="18"/>
        </w:rPr>
        <w:t xml:space="preserve"> </w:t>
      </w:r>
    </w:p>
  </w:footnote>
  <w:footnote w:id="5">
    <w:p w14:paraId="0000006C"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Natalia Acevedo Guerrero, </w:t>
      </w:r>
      <w:r w:rsidRPr="005C70E9">
        <w:rPr>
          <w:rFonts w:asciiTheme="majorHAnsi" w:hAnsiTheme="majorHAnsi" w:cstheme="majorHAnsi"/>
          <w:i/>
          <w:sz w:val="18"/>
          <w:szCs w:val="18"/>
        </w:rPr>
        <w:t>The medical discourse and the sterilization of people with disabilities in the United States, Canada and Colombia: From eugenics to the present</w:t>
      </w:r>
      <w:r w:rsidRPr="005C70E9">
        <w:rPr>
          <w:rFonts w:asciiTheme="majorHAnsi" w:hAnsiTheme="majorHAnsi" w:cstheme="majorHAnsi"/>
          <w:sz w:val="18"/>
          <w:szCs w:val="18"/>
        </w:rPr>
        <w:t xml:space="preserve"> (Thesis), pp. 100-101. (2015)</w:t>
      </w:r>
    </w:p>
  </w:footnote>
  <w:footnote w:id="6">
    <w:p w14:paraId="0000006D"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Id. </w:t>
      </w:r>
    </w:p>
  </w:footnote>
  <w:footnote w:id="7">
    <w:p w14:paraId="0000006B"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Id. “More specifically, eugenicists used IQ testing methodology to identify who was “fit” for marriage and reproduction, and who was “unfit” and should be institutionalized, segregated or sterilized. It is possible to affirm that these methods allowed eugenicists to medicalize and standardize the selection of patients to whom these measures were applied, and thus, rationally justify the relationship between feeblemindedness and afro-descendants, immigrants, indigenous people, poor people, “promiscuous” women, alcoholics, people with venereal diseases, sex workers, and people from the coasts, among other “immoral” or “problematic” groups.” </w:t>
      </w:r>
    </w:p>
  </w:footnote>
  <w:footnote w:id="8">
    <w:p w14:paraId="0000006F"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Lakshmi Lingam &amp;</w:t>
      </w:r>
      <w:proofErr w:type="spellStart"/>
      <w:r w:rsidRPr="005C70E9">
        <w:rPr>
          <w:rFonts w:asciiTheme="majorHAnsi" w:hAnsiTheme="majorHAnsi" w:cstheme="majorHAnsi"/>
          <w:sz w:val="18"/>
          <w:szCs w:val="18"/>
        </w:rPr>
        <w:t>Tattwamasi</w:t>
      </w:r>
      <w:proofErr w:type="spellEnd"/>
      <w:r w:rsidRPr="005C70E9">
        <w:rPr>
          <w:rFonts w:asciiTheme="majorHAnsi" w:hAnsiTheme="majorHAnsi" w:cstheme="majorHAnsi"/>
          <w:sz w:val="18"/>
          <w:szCs w:val="18"/>
        </w:rPr>
        <w:t xml:space="preserve"> </w:t>
      </w:r>
      <w:proofErr w:type="spellStart"/>
      <w:r w:rsidRPr="005C70E9">
        <w:rPr>
          <w:rFonts w:asciiTheme="majorHAnsi" w:hAnsiTheme="majorHAnsi" w:cstheme="majorHAnsi"/>
          <w:sz w:val="18"/>
          <w:szCs w:val="18"/>
        </w:rPr>
        <w:t>Paltasingh</w:t>
      </w:r>
      <w:proofErr w:type="spellEnd"/>
      <w:r w:rsidRPr="005C70E9">
        <w:rPr>
          <w:rFonts w:asciiTheme="majorHAnsi" w:hAnsiTheme="majorHAnsi" w:cstheme="majorHAnsi"/>
          <w:sz w:val="18"/>
          <w:szCs w:val="18"/>
        </w:rPr>
        <w:t xml:space="preserve">, </w:t>
      </w:r>
      <w:r w:rsidRPr="005C70E9">
        <w:rPr>
          <w:rFonts w:asciiTheme="majorHAnsi" w:hAnsiTheme="majorHAnsi" w:cstheme="majorHAnsi"/>
          <w:i/>
          <w:sz w:val="18"/>
          <w:szCs w:val="18"/>
        </w:rPr>
        <w:t>‘Production’ and ‘Reproduction’ in Feminism: Ideas, Perspectives and Concepts</w:t>
      </w:r>
      <w:r w:rsidRPr="005C70E9">
        <w:rPr>
          <w:rFonts w:asciiTheme="majorHAnsi" w:hAnsiTheme="majorHAnsi" w:cstheme="majorHAnsi"/>
          <w:sz w:val="18"/>
          <w:szCs w:val="18"/>
        </w:rPr>
        <w:t xml:space="preserve">, IIM Kozhikode Society &amp; Management Review. 2014;3(1):45-53. </w:t>
      </w:r>
    </w:p>
  </w:footnote>
  <w:footnote w:id="9">
    <w:p w14:paraId="0000006E"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Id.</w:t>
      </w:r>
    </w:p>
  </w:footnote>
  <w:footnote w:id="10">
    <w:p w14:paraId="00000078"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Exclusion can also lead to death by depriving people of basic means of survival and even loop back into eugenics. In Colombia, for example, young men with disabilities were victims of extrajudicial killings by the military, who then showed them as deaths in combat to get rewards and benefits. They were targeted because they were considered unproductive members of society. See: </w:t>
      </w:r>
      <w:hyperlink r:id="rId4">
        <w:r w:rsidRPr="005C70E9">
          <w:rPr>
            <w:rFonts w:asciiTheme="majorHAnsi" w:hAnsiTheme="majorHAnsi" w:cstheme="majorHAnsi"/>
            <w:color w:val="1155CC"/>
            <w:sz w:val="18"/>
            <w:szCs w:val="18"/>
            <w:u w:val="single"/>
          </w:rPr>
          <w:t>https://www.jep.gov.co/especiales1/macrocasos/03.html</w:t>
        </w:r>
      </w:hyperlink>
      <w:r w:rsidRPr="005C70E9">
        <w:rPr>
          <w:rFonts w:asciiTheme="majorHAnsi" w:hAnsiTheme="majorHAnsi" w:cstheme="majorHAnsi"/>
          <w:sz w:val="18"/>
          <w:szCs w:val="18"/>
        </w:rPr>
        <w:t xml:space="preserve"> </w:t>
      </w:r>
    </w:p>
  </w:footnote>
  <w:footnote w:id="11">
    <w:p w14:paraId="00000070"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Facundo Chávez </w:t>
      </w:r>
      <w:proofErr w:type="spellStart"/>
      <w:r w:rsidRPr="005C70E9">
        <w:rPr>
          <w:rFonts w:asciiTheme="majorHAnsi" w:hAnsiTheme="majorHAnsi" w:cstheme="majorHAnsi"/>
          <w:sz w:val="18"/>
          <w:szCs w:val="18"/>
        </w:rPr>
        <w:t>Penillas</w:t>
      </w:r>
      <w:proofErr w:type="spellEnd"/>
      <w:r w:rsidRPr="005C70E9">
        <w:rPr>
          <w:rFonts w:asciiTheme="majorHAnsi" w:hAnsiTheme="majorHAnsi" w:cstheme="majorHAnsi"/>
          <w:sz w:val="18"/>
          <w:szCs w:val="18"/>
        </w:rPr>
        <w:t xml:space="preserve"> &amp; Stuart Schrader, </w:t>
      </w:r>
      <w:r w:rsidRPr="005C70E9">
        <w:rPr>
          <w:rFonts w:asciiTheme="majorHAnsi" w:hAnsiTheme="majorHAnsi" w:cstheme="majorHAnsi"/>
          <w:i/>
          <w:sz w:val="18"/>
          <w:szCs w:val="18"/>
        </w:rPr>
        <w:t xml:space="preserve">Crisis, Class, and Disability in Argentina: Red por los Derechos de las Personas con </w:t>
      </w:r>
      <w:proofErr w:type="spellStart"/>
      <w:r w:rsidRPr="005C70E9">
        <w:rPr>
          <w:rFonts w:asciiTheme="majorHAnsi" w:hAnsiTheme="majorHAnsi" w:cstheme="majorHAnsi"/>
          <w:i/>
          <w:sz w:val="18"/>
          <w:szCs w:val="18"/>
        </w:rPr>
        <w:t>Discapacidad</w:t>
      </w:r>
      <w:proofErr w:type="spellEnd"/>
      <w:r w:rsidRPr="005C70E9">
        <w:rPr>
          <w:rFonts w:asciiTheme="majorHAnsi" w:hAnsiTheme="majorHAnsi" w:cstheme="majorHAnsi"/>
          <w:sz w:val="18"/>
          <w:szCs w:val="18"/>
        </w:rPr>
        <w:t xml:space="preserve">, Disability Studies Quarterly Vol. 32 No 3 (2012). Available at: </w:t>
      </w:r>
      <w:hyperlink r:id="rId5">
        <w:r w:rsidRPr="005C70E9">
          <w:rPr>
            <w:rFonts w:asciiTheme="majorHAnsi" w:hAnsiTheme="majorHAnsi" w:cstheme="majorHAnsi"/>
            <w:color w:val="1155CC"/>
            <w:sz w:val="18"/>
            <w:szCs w:val="18"/>
            <w:u w:val="single"/>
          </w:rPr>
          <w:t>https://dsq-sds.org/article/view/3274/3107</w:t>
        </w:r>
      </w:hyperlink>
      <w:r w:rsidRPr="005C70E9">
        <w:rPr>
          <w:rFonts w:asciiTheme="majorHAnsi" w:hAnsiTheme="majorHAnsi" w:cstheme="majorHAnsi"/>
          <w:sz w:val="18"/>
          <w:szCs w:val="18"/>
        </w:rPr>
        <w:t xml:space="preserve"> </w:t>
      </w:r>
    </w:p>
  </w:footnote>
  <w:footnote w:id="12">
    <w:p w14:paraId="00000076" w14:textId="77777777" w:rsidR="005B0F2C" w:rsidRPr="005C70E9" w:rsidRDefault="00456EE5">
      <w:pPr>
        <w:spacing w:line="240" w:lineRule="auto"/>
        <w:rPr>
          <w:rFonts w:asciiTheme="majorHAnsi" w:eastAsia="Calibr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eastAsia="Calibri" w:hAnsiTheme="majorHAnsi" w:cstheme="majorHAnsi"/>
          <w:sz w:val="18"/>
          <w:szCs w:val="18"/>
        </w:rPr>
        <w:t xml:space="preserve"> See e.g.</w:t>
      </w:r>
      <w:proofErr w:type="gramStart"/>
      <w:r w:rsidRPr="005C70E9">
        <w:rPr>
          <w:rFonts w:asciiTheme="majorHAnsi" w:eastAsia="Calibri" w:hAnsiTheme="majorHAnsi" w:cstheme="majorHAnsi"/>
          <w:sz w:val="18"/>
          <w:szCs w:val="18"/>
        </w:rPr>
        <w:t>,  U.N</w:t>
      </w:r>
      <w:proofErr w:type="gramEnd"/>
      <w:r w:rsidRPr="005C70E9">
        <w:rPr>
          <w:rFonts w:asciiTheme="majorHAnsi" w:eastAsia="Calibri" w:hAnsiTheme="majorHAnsi" w:cstheme="majorHAnsi"/>
          <w:sz w:val="18"/>
          <w:szCs w:val="18"/>
        </w:rPr>
        <w:t>. Doc. CRPD/C/KOR/CO/1 (2014), paras. 35-36; U.N. Doc. CRPD/C/ARE/CO/1 (2016), paras. 49-50</w:t>
      </w:r>
      <w:proofErr w:type="gramStart"/>
      <w:r w:rsidRPr="005C70E9">
        <w:rPr>
          <w:rFonts w:asciiTheme="majorHAnsi" w:eastAsia="Calibri" w:hAnsiTheme="majorHAnsi" w:cstheme="majorHAnsi"/>
          <w:sz w:val="18"/>
          <w:szCs w:val="18"/>
        </w:rPr>
        <w:t>;  U.N</w:t>
      </w:r>
      <w:proofErr w:type="gramEnd"/>
      <w:r w:rsidRPr="005C70E9">
        <w:rPr>
          <w:rFonts w:asciiTheme="majorHAnsi" w:eastAsia="Calibri" w:hAnsiTheme="majorHAnsi" w:cstheme="majorHAnsi"/>
          <w:sz w:val="18"/>
          <w:szCs w:val="18"/>
        </w:rPr>
        <w:t>. Doc. CRPD/C/ARG/CO/1 (2012), paras. 45-46; U.N. Doc. CRPD/C/SVN/CO/1 (2018), paras. 29-30; U.N. Doc. CRPD/C/ARN/CO/1 (2016), paras. 29-30.</w:t>
      </w:r>
    </w:p>
  </w:footnote>
  <w:footnote w:id="13">
    <w:p w14:paraId="00000075" w14:textId="77777777" w:rsidR="005B0F2C" w:rsidRPr="005C70E9" w:rsidRDefault="00456EE5">
      <w:pPr>
        <w:spacing w:line="240" w:lineRule="auto"/>
        <w:rPr>
          <w:rFonts w:asciiTheme="majorHAnsi" w:eastAsia="Calibr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eastAsia="Calibri" w:hAnsiTheme="majorHAnsi" w:cstheme="majorHAnsi"/>
          <w:sz w:val="18"/>
          <w:szCs w:val="18"/>
        </w:rPr>
        <w:t xml:space="preserve"> See e.g., “Immigration to Australia is governed by the Migration Act, which is explicitly exempted from the Disability Discrimination Act. While disability discrimination is against the law in Australia, the Department of Immigration and Multicultural Affairs (DIMA) is exempted from this law when dealing with potential migrants and refugees with disability.” Council of Canadians with Disabilities, </w:t>
      </w:r>
      <w:r w:rsidRPr="005C70E9">
        <w:rPr>
          <w:rFonts w:asciiTheme="majorHAnsi" w:eastAsia="Calibri" w:hAnsiTheme="majorHAnsi" w:cstheme="majorHAnsi"/>
          <w:i/>
          <w:sz w:val="18"/>
          <w:szCs w:val="18"/>
        </w:rPr>
        <w:t>Disability &amp; Immigration Law in Australia</w:t>
      </w:r>
      <w:r w:rsidRPr="005C70E9">
        <w:rPr>
          <w:rFonts w:asciiTheme="majorHAnsi" w:eastAsia="Calibri" w:hAnsiTheme="majorHAnsi" w:cstheme="majorHAnsi"/>
          <w:sz w:val="18"/>
          <w:szCs w:val="18"/>
        </w:rPr>
        <w:t xml:space="preserve">, Available at: </w:t>
      </w:r>
      <w:hyperlink r:id="rId6">
        <w:r w:rsidRPr="005C70E9">
          <w:rPr>
            <w:rFonts w:asciiTheme="majorHAnsi" w:eastAsia="Calibri" w:hAnsiTheme="majorHAnsi" w:cstheme="majorHAnsi"/>
            <w:color w:val="1155CC"/>
            <w:sz w:val="18"/>
            <w:szCs w:val="18"/>
            <w:u w:val="single"/>
          </w:rPr>
          <w:t>http://ccdonline.ca/en/socialpolicy/access-inclusion/disability-and-immigration-law-in-australia</w:t>
        </w:r>
      </w:hyperlink>
      <w:r w:rsidRPr="005C70E9">
        <w:rPr>
          <w:rFonts w:asciiTheme="majorHAnsi" w:eastAsia="Calibri" w:hAnsiTheme="majorHAnsi" w:cstheme="majorHAnsi"/>
          <w:sz w:val="18"/>
          <w:szCs w:val="18"/>
        </w:rPr>
        <w:t xml:space="preserve"> </w:t>
      </w:r>
    </w:p>
  </w:footnote>
  <w:footnote w:id="14">
    <w:p w14:paraId="00000072"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See, e.g. CRPD, Inquiry concerning the United Kingdom of Great Britain and Northern Ireland carried out by the Committee under article 6 of the Optional Protocol to the Convention, UN. Doc. CRPD/C/15/R.2/Rev.1 (2016), para. 12.</w:t>
      </w:r>
    </w:p>
  </w:footnote>
  <w:footnote w:id="15">
    <w:p w14:paraId="00000073"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Mignon Duffy, </w:t>
      </w:r>
      <w:r w:rsidRPr="005C70E9">
        <w:rPr>
          <w:rFonts w:asciiTheme="majorHAnsi" w:hAnsiTheme="majorHAnsi" w:cstheme="majorHAnsi"/>
          <w:i/>
          <w:sz w:val="18"/>
          <w:szCs w:val="18"/>
        </w:rPr>
        <w:t>Doing the Dirty Work: Gender, Race, and Reproductive Labor in Historical Perspective</w:t>
      </w:r>
      <w:r w:rsidRPr="005C70E9">
        <w:rPr>
          <w:rFonts w:asciiTheme="majorHAnsi" w:hAnsiTheme="majorHAnsi" w:cstheme="majorHAnsi"/>
          <w:sz w:val="18"/>
          <w:szCs w:val="18"/>
        </w:rPr>
        <w:t xml:space="preserve">, Gender and Society, vol. 21, no. 3, 2007, pp. 315–317. </w:t>
      </w:r>
    </w:p>
  </w:footnote>
  <w:footnote w:id="16">
    <w:p w14:paraId="00000079"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In some cases, persons with disabilities (often women) lose their disability benefits because of their partner's income, pushing or keeping the whole family into poverty based on the disability status of one of their members.</w:t>
      </w:r>
    </w:p>
  </w:footnote>
  <w:footnote w:id="17">
    <w:p w14:paraId="0000007B"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See e.g., Eurostat, Disability statistics - </w:t>
      </w:r>
      <w:proofErr w:type="spellStart"/>
      <w:r w:rsidRPr="005C70E9">
        <w:rPr>
          <w:rFonts w:asciiTheme="majorHAnsi" w:hAnsiTheme="majorHAnsi" w:cstheme="majorHAnsi"/>
          <w:sz w:val="18"/>
          <w:szCs w:val="18"/>
        </w:rPr>
        <w:t>labour</w:t>
      </w:r>
      <w:proofErr w:type="spellEnd"/>
      <w:r w:rsidRPr="005C70E9">
        <w:rPr>
          <w:rFonts w:asciiTheme="majorHAnsi" w:hAnsiTheme="majorHAnsi" w:cstheme="majorHAnsi"/>
          <w:sz w:val="18"/>
          <w:szCs w:val="18"/>
        </w:rPr>
        <w:t xml:space="preserve"> market access, </w:t>
      </w:r>
      <w:r w:rsidRPr="005C70E9">
        <w:rPr>
          <w:rFonts w:asciiTheme="majorHAnsi" w:hAnsiTheme="majorHAnsi" w:cstheme="majorHAnsi"/>
          <w:i/>
          <w:sz w:val="18"/>
          <w:szCs w:val="18"/>
        </w:rPr>
        <w:t>Available at</w:t>
      </w:r>
      <w:r w:rsidRPr="005C70E9">
        <w:rPr>
          <w:rFonts w:asciiTheme="majorHAnsi" w:hAnsiTheme="majorHAnsi" w:cstheme="majorHAnsi"/>
          <w:sz w:val="18"/>
          <w:szCs w:val="18"/>
        </w:rPr>
        <w:t xml:space="preserve">: </w:t>
      </w:r>
      <w:hyperlink r:id="rId7">
        <w:r w:rsidRPr="005C70E9">
          <w:rPr>
            <w:rFonts w:asciiTheme="majorHAnsi" w:hAnsiTheme="majorHAnsi" w:cstheme="majorHAnsi"/>
            <w:color w:val="1155CC"/>
            <w:sz w:val="18"/>
            <w:szCs w:val="18"/>
            <w:u w:val="single"/>
          </w:rPr>
          <w:t>https://ec.europa.eu/eurostat/statistics-explained/pdfscache/34420.pdf</w:t>
        </w:r>
      </w:hyperlink>
      <w:r w:rsidRPr="005C70E9">
        <w:rPr>
          <w:rFonts w:asciiTheme="majorHAnsi" w:hAnsiTheme="majorHAnsi" w:cstheme="majorHAnsi"/>
          <w:sz w:val="18"/>
          <w:szCs w:val="18"/>
        </w:rPr>
        <w:t xml:space="preserve"> </w:t>
      </w:r>
    </w:p>
  </w:footnote>
  <w:footnote w:id="18">
    <w:p w14:paraId="0000007A"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Iris Institute</w:t>
      </w:r>
      <w:proofErr w:type="gramStart"/>
      <w:r w:rsidRPr="005C70E9">
        <w:rPr>
          <w:rFonts w:asciiTheme="majorHAnsi" w:hAnsiTheme="majorHAnsi" w:cstheme="majorHAnsi"/>
          <w:sz w:val="18"/>
          <w:szCs w:val="18"/>
        </w:rPr>
        <w:t>,  Disability</w:t>
      </w:r>
      <w:proofErr w:type="gramEnd"/>
      <w:r w:rsidRPr="005C70E9">
        <w:rPr>
          <w:rFonts w:asciiTheme="majorHAnsi" w:hAnsiTheme="majorHAnsi" w:cstheme="majorHAnsi"/>
          <w:sz w:val="18"/>
          <w:szCs w:val="18"/>
        </w:rPr>
        <w:t xml:space="preserve"> and Inclusion Based Policy Analysis. </w:t>
      </w:r>
      <w:r w:rsidRPr="005C70E9">
        <w:rPr>
          <w:rFonts w:asciiTheme="majorHAnsi" w:hAnsiTheme="majorHAnsi" w:cstheme="majorHAnsi"/>
          <w:i/>
          <w:sz w:val="18"/>
          <w:szCs w:val="18"/>
        </w:rPr>
        <w:t>Available at</w:t>
      </w:r>
      <w:r w:rsidRPr="005C70E9">
        <w:rPr>
          <w:rFonts w:asciiTheme="majorHAnsi" w:hAnsiTheme="majorHAnsi" w:cstheme="majorHAnsi"/>
          <w:sz w:val="18"/>
          <w:szCs w:val="18"/>
        </w:rPr>
        <w:t xml:space="preserve">: </w:t>
      </w:r>
      <w:hyperlink r:id="rId8">
        <w:r w:rsidRPr="005C70E9">
          <w:rPr>
            <w:rFonts w:asciiTheme="majorHAnsi" w:hAnsiTheme="majorHAnsi" w:cstheme="majorHAnsi"/>
            <w:color w:val="1155CC"/>
            <w:sz w:val="18"/>
            <w:szCs w:val="18"/>
            <w:u w:val="single"/>
          </w:rPr>
          <w:t>https://irisinstitute.files.wordpress.com/2012/01/is-five-190142-iris_disability_inclusive_lens_eng.pdf</w:t>
        </w:r>
      </w:hyperlink>
      <w:r w:rsidRPr="005C70E9">
        <w:rPr>
          <w:rFonts w:asciiTheme="majorHAnsi" w:hAnsiTheme="majorHAnsi" w:cstheme="majorHAnsi"/>
          <w:sz w:val="18"/>
          <w:szCs w:val="18"/>
        </w:rPr>
        <w:t xml:space="preserve"> </w:t>
      </w:r>
    </w:p>
  </w:footnote>
  <w:footnote w:id="19">
    <w:p w14:paraId="0000007C" w14:textId="0BEB666F"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Camille Gear Rich, </w:t>
      </w:r>
      <w:r w:rsidRPr="005C70E9">
        <w:rPr>
          <w:rFonts w:asciiTheme="majorHAnsi" w:hAnsiTheme="majorHAnsi" w:cstheme="majorHAnsi"/>
          <w:i/>
          <w:iCs/>
          <w:sz w:val="18"/>
          <w:szCs w:val="18"/>
        </w:rPr>
        <w:t>Reclaiming the Welfare Queen: Feminist and Critical Race Theory Alternatives to Existing Anti-Povert</w:t>
      </w:r>
      <w:r w:rsidR="005C70E9" w:rsidRPr="005C70E9">
        <w:rPr>
          <w:rFonts w:asciiTheme="majorHAnsi" w:hAnsiTheme="majorHAnsi" w:cstheme="majorHAnsi"/>
          <w:i/>
          <w:iCs/>
          <w:sz w:val="18"/>
          <w:szCs w:val="18"/>
        </w:rPr>
        <w:t>y</w:t>
      </w:r>
      <w:r w:rsidRPr="005C70E9">
        <w:rPr>
          <w:rFonts w:asciiTheme="majorHAnsi" w:hAnsiTheme="majorHAnsi" w:cstheme="majorHAnsi"/>
          <w:i/>
          <w:iCs/>
          <w:sz w:val="18"/>
          <w:szCs w:val="18"/>
        </w:rPr>
        <w:t xml:space="preserve"> Discourse</w:t>
      </w:r>
      <w:r w:rsidRPr="005C70E9">
        <w:rPr>
          <w:rFonts w:asciiTheme="majorHAnsi" w:hAnsiTheme="majorHAnsi" w:cstheme="majorHAnsi"/>
          <w:sz w:val="18"/>
          <w:szCs w:val="18"/>
        </w:rPr>
        <w:t>, 25 Southern California Interdisciplinary Journal 257 (2016). pp. 260-261</w:t>
      </w:r>
    </w:p>
  </w:footnote>
  <w:footnote w:id="20">
    <w:p w14:paraId="00000071"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w:t>
      </w:r>
      <w:proofErr w:type="spellStart"/>
      <w:r w:rsidRPr="005C70E9">
        <w:rPr>
          <w:rFonts w:asciiTheme="majorHAnsi" w:hAnsiTheme="majorHAnsi" w:cstheme="majorHAnsi"/>
          <w:sz w:val="18"/>
          <w:szCs w:val="18"/>
        </w:rPr>
        <w:t>Lohana</w:t>
      </w:r>
      <w:proofErr w:type="spellEnd"/>
      <w:r w:rsidRPr="005C70E9">
        <w:rPr>
          <w:rFonts w:asciiTheme="majorHAnsi" w:hAnsiTheme="majorHAnsi" w:cstheme="majorHAnsi"/>
          <w:sz w:val="18"/>
          <w:szCs w:val="18"/>
        </w:rPr>
        <w:t xml:space="preserve"> [</w:t>
      </w:r>
      <w:proofErr w:type="spellStart"/>
      <w:r w:rsidRPr="005C70E9">
        <w:rPr>
          <w:rFonts w:asciiTheme="majorHAnsi" w:hAnsiTheme="majorHAnsi" w:cstheme="majorHAnsi"/>
          <w:sz w:val="18"/>
          <w:szCs w:val="18"/>
        </w:rPr>
        <w:t>Berkins</w:t>
      </w:r>
      <w:proofErr w:type="spellEnd"/>
      <w:r w:rsidRPr="005C70E9">
        <w:rPr>
          <w:rFonts w:asciiTheme="majorHAnsi" w:hAnsiTheme="majorHAnsi" w:cstheme="majorHAnsi"/>
          <w:sz w:val="18"/>
          <w:szCs w:val="18"/>
        </w:rPr>
        <w:t xml:space="preserve">] argued that social justice is not about survival, but is only achieved when people can imagine the possibility of enjoying life. She had not read Deleuze, she did not know about the ethics of self-care or similar philosophical proposals. Nor did she despise them, she knew that the political struggle is a struggle for the symbolic order, and she knew how to make her life experience a political fact.” Translated from: Paula </w:t>
      </w:r>
      <w:proofErr w:type="spellStart"/>
      <w:r w:rsidRPr="005C70E9">
        <w:rPr>
          <w:rFonts w:asciiTheme="majorHAnsi" w:hAnsiTheme="majorHAnsi" w:cstheme="majorHAnsi"/>
          <w:sz w:val="18"/>
          <w:szCs w:val="18"/>
        </w:rPr>
        <w:t>Viturro</w:t>
      </w:r>
      <w:proofErr w:type="spellEnd"/>
      <w:r w:rsidRPr="005C70E9">
        <w:rPr>
          <w:rFonts w:asciiTheme="majorHAnsi" w:hAnsiTheme="majorHAnsi" w:cstheme="majorHAnsi"/>
          <w:sz w:val="18"/>
          <w:szCs w:val="18"/>
        </w:rPr>
        <w:t xml:space="preserve">, </w:t>
      </w:r>
      <w:r w:rsidRPr="005C70E9">
        <w:rPr>
          <w:rFonts w:asciiTheme="majorHAnsi" w:hAnsiTheme="majorHAnsi" w:cstheme="majorHAnsi"/>
          <w:i/>
          <w:sz w:val="18"/>
          <w:szCs w:val="18"/>
        </w:rPr>
        <w:t xml:space="preserve">El </w:t>
      </w:r>
      <w:proofErr w:type="spellStart"/>
      <w:r w:rsidRPr="005C70E9">
        <w:rPr>
          <w:rFonts w:asciiTheme="majorHAnsi" w:hAnsiTheme="majorHAnsi" w:cstheme="majorHAnsi"/>
          <w:i/>
          <w:sz w:val="18"/>
          <w:szCs w:val="18"/>
        </w:rPr>
        <w:t>tiempo</w:t>
      </w:r>
      <w:proofErr w:type="spellEnd"/>
      <w:r w:rsidRPr="005C70E9">
        <w:rPr>
          <w:rFonts w:asciiTheme="majorHAnsi" w:hAnsiTheme="majorHAnsi" w:cstheme="majorHAnsi"/>
          <w:i/>
          <w:sz w:val="18"/>
          <w:szCs w:val="18"/>
        </w:rPr>
        <w:t xml:space="preserve"> de la </w:t>
      </w:r>
      <w:proofErr w:type="spellStart"/>
      <w:r w:rsidRPr="005C70E9">
        <w:rPr>
          <w:rFonts w:asciiTheme="majorHAnsi" w:hAnsiTheme="majorHAnsi" w:cstheme="majorHAnsi"/>
          <w:i/>
          <w:sz w:val="18"/>
          <w:szCs w:val="18"/>
        </w:rPr>
        <w:t>revolución</w:t>
      </w:r>
      <w:proofErr w:type="spellEnd"/>
      <w:r w:rsidRPr="005C70E9">
        <w:rPr>
          <w:rFonts w:asciiTheme="majorHAnsi" w:hAnsiTheme="majorHAnsi" w:cstheme="majorHAnsi"/>
          <w:i/>
          <w:sz w:val="18"/>
          <w:szCs w:val="18"/>
        </w:rPr>
        <w:t xml:space="preserve"> (social) </w:t>
      </w:r>
      <w:proofErr w:type="spellStart"/>
      <w:r w:rsidRPr="005C70E9">
        <w:rPr>
          <w:rFonts w:asciiTheme="majorHAnsi" w:hAnsiTheme="majorHAnsi" w:cstheme="majorHAnsi"/>
          <w:i/>
          <w:sz w:val="18"/>
          <w:szCs w:val="18"/>
        </w:rPr>
        <w:t>es</w:t>
      </w:r>
      <w:proofErr w:type="spellEnd"/>
      <w:r w:rsidRPr="005C70E9">
        <w:rPr>
          <w:rFonts w:asciiTheme="majorHAnsi" w:hAnsiTheme="majorHAnsi" w:cstheme="majorHAnsi"/>
          <w:i/>
          <w:sz w:val="18"/>
          <w:szCs w:val="18"/>
        </w:rPr>
        <w:t xml:space="preserve"> </w:t>
      </w:r>
      <w:proofErr w:type="spellStart"/>
      <w:r w:rsidRPr="005C70E9">
        <w:rPr>
          <w:rFonts w:asciiTheme="majorHAnsi" w:hAnsiTheme="majorHAnsi" w:cstheme="majorHAnsi"/>
          <w:i/>
          <w:sz w:val="18"/>
          <w:szCs w:val="18"/>
        </w:rPr>
        <w:t>ahora</w:t>
      </w:r>
      <w:proofErr w:type="spellEnd"/>
      <w:r w:rsidRPr="005C70E9">
        <w:rPr>
          <w:rFonts w:asciiTheme="majorHAnsi" w:hAnsiTheme="majorHAnsi" w:cstheme="majorHAnsi"/>
          <w:sz w:val="18"/>
          <w:szCs w:val="18"/>
        </w:rPr>
        <w:t xml:space="preserve"> IN: La </w:t>
      </w:r>
      <w:proofErr w:type="spellStart"/>
      <w:r w:rsidRPr="005C70E9">
        <w:rPr>
          <w:rFonts w:asciiTheme="majorHAnsi" w:hAnsiTheme="majorHAnsi" w:cstheme="majorHAnsi"/>
          <w:sz w:val="18"/>
          <w:szCs w:val="18"/>
        </w:rPr>
        <w:t>Revolución</w:t>
      </w:r>
      <w:proofErr w:type="spellEnd"/>
      <w:r w:rsidRPr="005C70E9">
        <w:rPr>
          <w:rFonts w:asciiTheme="majorHAnsi" w:hAnsiTheme="majorHAnsi" w:cstheme="majorHAnsi"/>
          <w:sz w:val="18"/>
          <w:szCs w:val="18"/>
        </w:rPr>
        <w:t xml:space="preserve"> de las Mariposas. A </w:t>
      </w:r>
      <w:proofErr w:type="spellStart"/>
      <w:r w:rsidRPr="005C70E9">
        <w:rPr>
          <w:rFonts w:asciiTheme="majorHAnsi" w:hAnsiTheme="majorHAnsi" w:cstheme="majorHAnsi"/>
          <w:sz w:val="18"/>
          <w:szCs w:val="18"/>
        </w:rPr>
        <w:t>diez</w:t>
      </w:r>
      <w:proofErr w:type="spellEnd"/>
      <w:r w:rsidRPr="005C70E9">
        <w:rPr>
          <w:rFonts w:asciiTheme="majorHAnsi" w:hAnsiTheme="majorHAnsi" w:cstheme="majorHAnsi"/>
          <w:sz w:val="18"/>
          <w:szCs w:val="18"/>
        </w:rPr>
        <w:t xml:space="preserve"> </w:t>
      </w:r>
      <w:proofErr w:type="spellStart"/>
      <w:r w:rsidRPr="005C70E9">
        <w:rPr>
          <w:rFonts w:asciiTheme="majorHAnsi" w:hAnsiTheme="majorHAnsi" w:cstheme="majorHAnsi"/>
          <w:sz w:val="18"/>
          <w:szCs w:val="18"/>
        </w:rPr>
        <w:t>años</w:t>
      </w:r>
      <w:proofErr w:type="spellEnd"/>
      <w:r w:rsidRPr="005C70E9">
        <w:rPr>
          <w:rFonts w:asciiTheme="majorHAnsi" w:hAnsiTheme="majorHAnsi" w:cstheme="majorHAnsi"/>
          <w:sz w:val="18"/>
          <w:szCs w:val="18"/>
        </w:rPr>
        <w:t xml:space="preserve"> de La </w:t>
      </w:r>
      <w:proofErr w:type="spellStart"/>
      <w:r w:rsidRPr="005C70E9">
        <w:rPr>
          <w:rFonts w:asciiTheme="majorHAnsi" w:hAnsiTheme="majorHAnsi" w:cstheme="majorHAnsi"/>
          <w:sz w:val="18"/>
          <w:szCs w:val="18"/>
        </w:rPr>
        <w:t>Gesta</w:t>
      </w:r>
      <w:proofErr w:type="spellEnd"/>
      <w:r w:rsidRPr="005C70E9">
        <w:rPr>
          <w:rFonts w:asciiTheme="majorHAnsi" w:hAnsiTheme="majorHAnsi" w:cstheme="majorHAnsi"/>
          <w:sz w:val="18"/>
          <w:szCs w:val="18"/>
        </w:rPr>
        <w:t xml:space="preserve"> del </w:t>
      </w:r>
      <w:proofErr w:type="spellStart"/>
      <w:r w:rsidRPr="005C70E9">
        <w:rPr>
          <w:rFonts w:asciiTheme="majorHAnsi" w:hAnsiTheme="majorHAnsi" w:cstheme="majorHAnsi"/>
          <w:sz w:val="18"/>
          <w:szCs w:val="18"/>
        </w:rPr>
        <w:t>Nombre</w:t>
      </w:r>
      <w:proofErr w:type="spellEnd"/>
      <w:r w:rsidRPr="005C70E9">
        <w:rPr>
          <w:rFonts w:asciiTheme="majorHAnsi" w:hAnsiTheme="majorHAnsi" w:cstheme="majorHAnsi"/>
          <w:sz w:val="18"/>
          <w:szCs w:val="18"/>
        </w:rPr>
        <w:t xml:space="preserve"> </w:t>
      </w:r>
      <w:proofErr w:type="spellStart"/>
      <w:r w:rsidRPr="005C70E9">
        <w:rPr>
          <w:rFonts w:asciiTheme="majorHAnsi" w:hAnsiTheme="majorHAnsi" w:cstheme="majorHAnsi"/>
          <w:sz w:val="18"/>
          <w:szCs w:val="18"/>
        </w:rPr>
        <w:t>Propio</w:t>
      </w:r>
      <w:proofErr w:type="spellEnd"/>
      <w:r w:rsidRPr="005C70E9">
        <w:rPr>
          <w:rFonts w:asciiTheme="majorHAnsi" w:hAnsiTheme="majorHAnsi" w:cstheme="majorHAnsi"/>
          <w:sz w:val="18"/>
          <w:szCs w:val="18"/>
        </w:rPr>
        <w:t xml:space="preserve">. p. 167. </w:t>
      </w:r>
      <w:r w:rsidRPr="005C70E9">
        <w:rPr>
          <w:rFonts w:asciiTheme="majorHAnsi" w:hAnsiTheme="majorHAnsi" w:cstheme="majorHAnsi"/>
          <w:i/>
          <w:sz w:val="18"/>
          <w:szCs w:val="18"/>
        </w:rPr>
        <w:t>Available at</w:t>
      </w:r>
      <w:r w:rsidRPr="005C70E9">
        <w:rPr>
          <w:rFonts w:asciiTheme="majorHAnsi" w:hAnsiTheme="majorHAnsi" w:cstheme="majorHAnsi"/>
          <w:sz w:val="18"/>
          <w:szCs w:val="18"/>
        </w:rPr>
        <w:t xml:space="preserve">: </w:t>
      </w:r>
      <w:hyperlink r:id="rId9">
        <w:r w:rsidRPr="005C70E9">
          <w:rPr>
            <w:rFonts w:asciiTheme="majorHAnsi" w:hAnsiTheme="majorHAnsi" w:cstheme="majorHAnsi"/>
            <w:color w:val="1155CC"/>
            <w:sz w:val="18"/>
            <w:szCs w:val="18"/>
            <w:u w:val="single"/>
          </w:rPr>
          <w:t>https://www.algec.org/wp-content/uploads/2017/09/la_revolucion_de_las_mariposas.pdf</w:t>
        </w:r>
      </w:hyperlink>
      <w:r w:rsidRPr="005C70E9">
        <w:rPr>
          <w:rFonts w:asciiTheme="majorHAnsi" w:hAnsiTheme="majorHAnsi" w:cstheme="majorHAnsi"/>
          <w:sz w:val="18"/>
          <w:szCs w:val="18"/>
        </w:rPr>
        <w:t xml:space="preserve"> </w:t>
      </w:r>
    </w:p>
  </w:footnote>
  <w:footnote w:id="21">
    <w:p w14:paraId="0000007D"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ILO, UNESCO, UNFPA, </w:t>
      </w:r>
      <w:proofErr w:type="spellStart"/>
      <w:r w:rsidRPr="005C70E9">
        <w:rPr>
          <w:rFonts w:asciiTheme="majorHAnsi" w:hAnsiTheme="majorHAnsi" w:cstheme="majorHAnsi"/>
          <w:i/>
          <w:sz w:val="18"/>
          <w:szCs w:val="18"/>
        </w:rPr>
        <w:t>Caja</w:t>
      </w:r>
      <w:proofErr w:type="spellEnd"/>
      <w:r w:rsidRPr="005C70E9">
        <w:rPr>
          <w:rFonts w:asciiTheme="majorHAnsi" w:hAnsiTheme="majorHAnsi" w:cstheme="majorHAnsi"/>
          <w:i/>
          <w:sz w:val="18"/>
          <w:szCs w:val="18"/>
        </w:rPr>
        <w:t xml:space="preserve"> de </w:t>
      </w:r>
      <w:proofErr w:type="spellStart"/>
      <w:r w:rsidRPr="005C70E9">
        <w:rPr>
          <w:rFonts w:asciiTheme="majorHAnsi" w:hAnsiTheme="majorHAnsi" w:cstheme="majorHAnsi"/>
          <w:i/>
          <w:sz w:val="18"/>
          <w:szCs w:val="18"/>
        </w:rPr>
        <w:t>herramientas</w:t>
      </w:r>
      <w:proofErr w:type="spellEnd"/>
      <w:r w:rsidRPr="005C70E9">
        <w:rPr>
          <w:rFonts w:asciiTheme="majorHAnsi" w:hAnsiTheme="majorHAnsi" w:cstheme="majorHAnsi"/>
          <w:i/>
          <w:sz w:val="18"/>
          <w:szCs w:val="18"/>
        </w:rPr>
        <w:t xml:space="preserve"> para la </w:t>
      </w:r>
      <w:proofErr w:type="spellStart"/>
      <w:r w:rsidRPr="005C70E9">
        <w:rPr>
          <w:rFonts w:asciiTheme="majorHAnsi" w:hAnsiTheme="majorHAnsi" w:cstheme="majorHAnsi"/>
          <w:i/>
          <w:sz w:val="18"/>
          <w:szCs w:val="18"/>
        </w:rPr>
        <w:t>inclusión</w:t>
      </w:r>
      <w:proofErr w:type="spellEnd"/>
      <w:r w:rsidRPr="005C70E9">
        <w:rPr>
          <w:rFonts w:asciiTheme="majorHAnsi" w:hAnsiTheme="majorHAnsi" w:cstheme="majorHAnsi"/>
          <w:i/>
          <w:sz w:val="18"/>
          <w:szCs w:val="18"/>
        </w:rPr>
        <w:t xml:space="preserve"> </w:t>
      </w:r>
      <w:proofErr w:type="spellStart"/>
      <w:r w:rsidRPr="005C70E9">
        <w:rPr>
          <w:rFonts w:asciiTheme="majorHAnsi" w:hAnsiTheme="majorHAnsi" w:cstheme="majorHAnsi"/>
          <w:i/>
          <w:sz w:val="18"/>
          <w:szCs w:val="18"/>
        </w:rPr>
        <w:t>laboral</w:t>
      </w:r>
      <w:proofErr w:type="spellEnd"/>
      <w:r w:rsidRPr="005C70E9">
        <w:rPr>
          <w:rFonts w:asciiTheme="majorHAnsi" w:hAnsiTheme="majorHAnsi" w:cstheme="majorHAnsi"/>
          <w:i/>
          <w:sz w:val="18"/>
          <w:szCs w:val="18"/>
        </w:rPr>
        <w:t xml:space="preserve"> de personas con </w:t>
      </w:r>
      <w:proofErr w:type="spellStart"/>
      <w:r w:rsidRPr="005C70E9">
        <w:rPr>
          <w:rFonts w:asciiTheme="majorHAnsi" w:hAnsiTheme="majorHAnsi" w:cstheme="majorHAnsi"/>
          <w:i/>
          <w:sz w:val="18"/>
          <w:szCs w:val="18"/>
        </w:rPr>
        <w:t>discapacidad</w:t>
      </w:r>
      <w:proofErr w:type="spellEnd"/>
      <w:r w:rsidRPr="005C70E9">
        <w:rPr>
          <w:rFonts w:asciiTheme="majorHAnsi" w:hAnsiTheme="majorHAnsi" w:cstheme="majorHAnsi"/>
          <w:i/>
          <w:sz w:val="18"/>
          <w:szCs w:val="18"/>
        </w:rPr>
        <w:t xml:space="preserve">. </w:t>
      </w:r>
      <w:proofErr w:type="spellStart"/>
      <w:r w:rsidRPr="005C70E9">
        <w:rPr>
          <w:rFonts w:asciiTheme="majorHAnsi" w:hAnsiTheme="majorHAnsi" w:cstheme="majorHAnsi"/>
          <w:i/>
          <w:sz w:val="18"/>
          <w:szCs w:val="18"/>
        </w:rPr>
        <w:t>Resumen</w:t>
      </w:r>
      <w:proofErr w:type="spellEnd"/>
      <w:r w:rsidRPr="005C70E9">
        <w:rPr>
          <w:rFonts w:asciiTheme="majorHAnsi" w:hAnsiTheme="majorHAnsi" w:cstheme="majorHAnsi"/>
          <w:i/>
          <w:sz w:val="18"/>
          <w:szCs w:val="18"/>
        </w:rPr>
        <w:t xml:space="preserve"> y </w:t>
      </w:r>
      <w:proofErr w:type="spellStart"/>
      <w:r w:rsidRPr="005C70E9">
        <w:rPr>
          <w:rFonts w:asciiTheme="majorHAnsi" w:hAnsiTheme="majorHAnsi" w:cstheme="majorHAnsi"/>
          <w:i/>
          <w:sz w:val="18"/>
          <w:szCs w:val="18"/>
        </w:rPr>
        <w:t>recomendaciones</w:t>
      </w:r>
      <w:proofErr w:type="spellEnd"/>
      <w:r w:rsidRPr="005C70E9">
        <w:rPr>
          <w:rFonts w:asciiTheme="majorHAnsi" w:hAnsiTheme="majorHAnsi" w:cstheme="majorHAnsi"/>
          <w:i/>
          <w:sz w:val="18"/>
          <w:szCs w:val="18"/>
        </w:rPr>
        <w:t xml:space="preserve"> para </w:t>
      </w:r>
      <w:proofErr w:type="spellStart"/>
      <w:r w:rsidRPr="005C70E9">
        <w:rPr>
          <w:rFonts w:asciiTheme="majorHAnsi" w:hAnsiTheme="majorHAnsi" w:cstheme="majorHAnsi"/>
          <w:i/>
          <w:sz w:val="18"/>
          <w:szCs w:val="18"/>
        </w:rPr>
        <w:t>generar</w:t>
      </w:r>
      <w:proofErr w:type="spellEnd"/>
      <w:r w:rsidRPr="005C70E9">
        <w:rPr>
          <w:rFonts w:asciiTheme="majorHAnsi" w:hAnsiTheme="majorHAnsi" w:cstheme="majorHAnsi"/>
          <w:i/>
          <w:sz w:val="18"/>
          <w:szCs w:val="18"/>
        </w:rPr>
        <w:t xml:space="preserve"> </w:t>
      </w:r>
      <w:proofErr w:type="spellStart"/>
      <w:r w:rsidRPr="005C70E9">
        <w:rPr>
          <w:rFonts w:asciiTheme="majorHAnsi" w:hAnsiTheme="majorHAnsi" w:cstheme="majorHAnsi"/>
          <w:i/>
          <w:sz w:val="18"/>
          <w:szCs w:val="18"/>
        </w:rPr>
        <w:t>condiciones</w:t>
      </w:r>
      <w:proofErr w:type="spellEnd"/>
      <w:r w:rsidRPr="005C70E9">
        <w:rPr>
          <w:rFonts w:asciiTheme="majorHAnsi" w:hAnsiTheme="majorHAnsi" w:cstheme="majorHAnsi"/>
          <w:i/>
          <w:sz w:val="18"/>
          <w:szCs w:val="18"/>
        </w:rPr>
        <w:t xml:space="preserve"> </w:t>
      </w:r>
      <w:proofErr w:type="spellStart"/>
      <w:r w:rsidRPr="005C70E9">
        <w:rPr>
          <w:rFonts w:asciiTheme="majorHAnsi" w:hAnsiTheme="majorHAnsi" w:cstheme="majorHAnsi"/>
          <w:i/>
          <w:sz w:val="18"/>
          <w:szCs w:val="18"/>
        </w:rPr>
        <w:t>favorables</w:t>
      </w:r>
      <w:proofErr w:type="spellEnd"/>
      <w:r w:rsidRPr="005C70E9">
        <w:rPr>
          <w:rFonts w:asciiTheme="majorHAnsi" w:hAnsiTheme="majorHAnsi" w:cstheme="majorHAnsi"/>
          <w:i/>
          <w:sz w:val="18"/>
          <w:szCs w:val="18"/>
        </w:rPr>
        <w:t xml:space="preserve"> para la </w:t>
      </w:r>
      <w:proofErr w:type="spellStart"/>
      <w:r w:rsidRPr="005C70E9">
        <w:rPr>
          <w:rFonts w:asciiTheme="majorHAnsi" w:hAnsiTheme="majorHAnsi" w:cstheme="majorHAnsi"/>
          <w:i/>
          <w:sz w:val="18"/>
          <w:szCs w:val="18"/>
        </w:rPr>
        <w:t>inclusión</w:t>
      </w:r>
      <w:proofErr w:type="spellEnd"/>
      <w:r w:rsidRPr="005C70E9">
        <w:rPr>
          <w:rFonts w:asciiTheme="majorHAnsi" w:hAnsiTheme="majorHAnsi" w:cstheme="majorHAnsi"/>
          <w:i/>
          <w:sz w:val="18"/>
          <w:szCs w:val="18"/>
        </w:rPr>
        <w:t xml:space="preserve"> </w:t>
      </w:r>
      <w:proofErr w:type="spellStart"/>
      <w:r w:rsidRPr="005C70E9">
        <w:rPr>
          <w:rFonts w:asciiTheme="majorHAnsi" w:hAnsiTheme="majorHAnsi" w:cstheme="majorHAnsi"/>
          <w:i/>
          <w:sz w:val="18"/>
          <w:szCs w:val="18"/>
        </w:rPr>
        <w:t>laboral</w:t>
      </w:r>
      <w:proofErr w:type="spellEnd"/>
      <w:r w:rsidRPr="005C70E9">
        <w:rPr>
          <w:rFonts w:asciiTheme="majorHAnsi" w:hAnsiTheme="majorHAnsi" w:cstheme="majorHAnsi"/>
          <w:i/>
          <w:sz w:val="18"/>
          <w:szCs w:val="18"/>
        </w:rPr>
        <w:t xml:space="preserve"> de personas con </w:t>
      </w:r>
      <w:proofErr w:type="spellStart"/>
      <w:r w:rsidRPr="005C70E9">
        <w:rPr>
          <w:rFonts w:asciiTheme="majorHAnsi" w:hAnsiTheme="majorHAnsi" w:cstheme="majorHAnsi"/>
          <w:i/>
          <w:sz w:val="18"/>
          <w:szCs w:val="18"/>
        </w:rPr>
        <w:t>discapacidad</w:t>
      </w:r>
      <w:proofErr w:type="spellEnd"/>
      <w:r w:rsidRPr="005C70E9">
        <w:rPr>
          <w:rFonts w:asciiTheme="majorHAnsi" w:hAnsiTheme="majorHAnsi" w:cstheme="majorHAnsi"/>
          <w:i/>
          <w:sz w:val="18"/>
          <w:szCs w:val="18"/>
        </w:rPr>
        <w:t xml:space="preserve"> con </w:t>
      </w:r>
      <w:proofErr w:type="spellStart"/>
      <w:r w:rsidRPr="005C70E9">
        <w:rPr>
          <w:rFonts w:asciiTheme="majorHAnsi" w:hAnsiTheme="majorHAnsi" w:cstheme="majorHAnsi"/>
          <w:i/>
          <w:sz w:val="18"/>
          <w:szCs w:val="18"/>
        </w:rPr>
        <w:t>énfasis</w:t>
      </w:r>
      <w:proofErr w:type="spellEnd"/>
      <w:r w:rsidRPr="005C70E9">
        <w:rPr>
          <w:rFonts w:asciiTheme="majorHAnsi" w:hAnsiTheme="majorHAnsi" w:cstheme="majorHAnsi"/>
          <w:i/>
          <w:sz w:val="18"/>
          <w:szCs w:val="18"/>
        </w:rPr>
        <w:t xml:space="preserve"> </w:t>
      </w:r>
      <w:proofErr w:type="spellStart"/>
      <w:r w:rsidRPr="005C70E9">
        <w:rPr>
          <w:rFonts w:asciiTheme="majorHAnsi" w:hAnsiTheme="majorHAnsi" w:cstheme="majorHAnsi"/>
          <w:i/>
          <w:sz w:val="18"/>
          <w:szCs w:val="18"/>
        </w:rPr>
        <w:t>en</w:t>
      </w:r>
      <w:proofErr w:type="spellEnd"/>
      <w:r w:rsidRPr="005C70E9">
        <w:rPr>
          <w:rFonts w:asciiTheme="majorHAnsi" w:hAnsiTheme="majorHAnsi" w:cstheme="majorHAnsi"/>
          <w:i/>
          <w:sz w:val="18"/>
          <w:szCs w:val="18"/>
        </w:rPr>
        <w:t xml:space="preserve"> las </w:t>
      </w:r>
      <w:proofErr w:type="spellStart"/>
      <w:r w:rsidRPr="005C70E9">
        <w:rPr>
          <w:rFonts w:asciiTheme="majorHAnsi" w:hAnsiTheme="majorHAnsi" w:cstheme="majorHAnsi"/>
          <w:i/>
          <w:sz w:val="18"/>
          <w:szCs w:val="18"/>
        </w:rPr>
        <w:t>mujeres</w:t>
      </w:r>
      <w:proofErr w:type="spellEnd"/>
      <w:r w:rsidRPr="005C70E9">
        <w:rPr>
          <w:rFonts w:asciiTheme="majorHAnsi" w:hAnsiTheme="majorHAnsi" w:cstheme="majorHAnsi"/>
          <w:sz w:val="18"/>
          <w:szCs w:val="18"/>
        </w:rPr>
        <w:t xml:space="preserve">, p. 11. [ILO] Available at: </w:t>
      </w:r>
      <w:hyperlink r:id="rId10">
        <w:r w:rsidRPr="005C70E9">
          <w:rPr>
            <w:rFonts w:asciiTheme="majorHAnsi" w:hAnsiTheme="majorHAnsi" w:cstheme="majorHAnsi"/>
            <w:color w:val="1155CC"/>
            <w:sz w:val="18"/>
            <w:szCs w:val="18"/>
            <w:u w:val="single"/>
          </w:rPr>
          <w:t>https://www.ilo.org/wcmsp5/groups/public/---</w:t>
        </w:r>
        <w:proofErr w:type="spellStart"/>
        <w:r w:rsidRPr="005C70E9">
          <w:rPr>
            <w:rFonts w:asciiTheme="majorHAnsi" w:hAnsiTheme="majorHAnsi" w:cstheme="majorHAnsi"/>
            <w:color w:val="1155CC"/>
            <w:sz w:val="18"/>
            <w:szCs w:val="18"/>
            <w:u w:val="single"/>
          </w:rPr>
          <w:t>americas</w:t>
        </w:r>
        <w:proofErr w:type="spellEnd"/>
        <w:r w:rsidRPr="005C70E9">
          <w:rPr>
            <w:rFonts w:asciiTheme="majorHAnsi" w:hAnsiTheme="majorHAnsi" w:cstheme="majorHAnsi"/>
            <w:color w:val="1155CC"/>
            <w:sz w:val="18"/>
            <w:szCs w:val="18"/>
            <w:u w:val="single"/>
          </w:rPr>
          <w:t>/---</w:t>
        </w:r>
        <w:proofErr w:type="spellStart"/>
        <w:r w:rsidRPr="005C70E9">
          <w:rPr>
            <w:rFonts w:asciiTheme="majorHAnsi" w:hAnsiTheme="majorHAnsi" w:cstheme="majorHAnsi"/>
            <w:color w:val="1155CC"/>
            <w:sz w:val="18"/>
            <w:szCs w:val="18"/>
            <w:u w:val="single"/>
          </w:rPr>
          <w:t>ro</w:t>
        </w:r>
        <w:proofErr w:type="spellEnd"/>
        <w:r w:rsidRPr="005C70E9">
          <w:rPr>
            <w:rFonts w:asciiTheme="majorHAnsi" w:hAnsiTheme="majorHAnsi" w:cstheme="majorHAnsi"/>
            <w:color w:val="1155CC"/>
            <w:sz w:val="18"/>
            <w:szCs w:val="18"/>
            <w:u w:val="single"/>
          </w:rPr>
          <w:t>-lima/documents/publication/wcms_760023.pdf</w:t>
        </w:r>
      </w:hyperlink>
      <w:r w:rsidRPr="005C70E9">
        <w:rPr>
          <w:rFonts w:asciiTheme="majorHAnsi" w:hAnsiTheme="majorHAnsi" w:cstheme="majorHAnsi"/>
          <w:sz w:val="18"/>
          <w:szCs w:val="18"/>
        </w:rPr>
        <w:t xml:space="preserve"> </w:t>
      </w:r>
    </w:p>
  </w:footnote>
  <w:footnote w:id="22">
    <w:p w14:paraId="0000007E"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OHCHR, Sexual and reproductive health and rights, </w:t>
      </w:r>
      <w:r w:rsidRPr="005C70E9">
        <w:rPr>
          <w:rFonts w:asciiTheme="majorHAnsi" w:hAnsiTheme="majorHAnsi" w:cstheme="majorHAnsi"/>
          <w:i/>
          <w:sz w:val="18"/>
          <w:szCs w:val="18"/>
        </w:rPr>
        <w:t>Available at:</w:t>
      </w:r>
      <w:r w:rsidRPr="005C70E9">
        <w:rPr>
          <w:rFonts w:asciiTheme="majorHAnsi" w:hAnsiTheme="majorHAnsi" w:cstheme="majorHAnsi"/>
          <w:sz w:val="18"/>
          <w:szCs w:val="18"/>
        </w:rPr>
        <w:t xml:space="preserve"> </w:t>
      </w:r>
      <w:hyperlink r:id="rId11">
        <w:r w:rsidRPr="005C70E9">
          <w:rPr>
            <w:rFonts w:asciiTheme="majorHAnsi" w:hAnsiTheme="majorHAnsi" w:cstheme="majorHAnsi"/>
            <w:color w:val="1155CC"/>
            <w:sz w:val="18"/>
            <w:szCs w:val="18"/>
            <w:u w:val="single"/>
          </w:rPr>
          <w:t>https://www.ohchr.org/en/issues/women/wrgs/pages/healthrights.aspx</w:t>
        </w:r>
      </w:hyperlink>
      <w:r w:rsidRPr="005C70E9">
        <w:rPr>
          <w:rFonts w:asciiTheme="majorHAnsi" w:hAnsiTheme="majorHAnsi" w:cstheme="majorHAnsi"/>
          <w:sz w:val="18"/>
          <w:szCs w:val="18"/>
        </w:rPr>
        <w:t xml:space="preserve"> </w:t>
      </w:r>
    </w:p>
  </w:footnote>
  <w:footnote w:id="23">
    <w:p w14:paraId="0000007F"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CESCR, General comment No. 22 (2016) on the right to sexual and reproductive health (article 12 of the International Covenant on Economic, Social and Cultural Rights), UN Doc. E/C.12/GC/22, para. 7</w:t>
      </w:r>
    </w:p>
  </w:footnote>
  <w:footnote w:id="24">
    <w:p w14:paraId="00000080"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w:t>
      </w:r>
      <w:r w:rsidRPr="005C70E9">
        <w:rPr>
          <w:rFonts w:asciiTheme="majorHAnsi" w:hAnsiTheme="majorHAnsi" w:cstheme="majorHAnsi"/>
          <w:i/>
          <w:sz w:val="18"/>
          <w:szCs w:val="18"/>
        </w:rPr>
        <w:t>ILO</w:t>
      </w:r>
      <w:r w:rsidRPr="005C70E9">
        <w:rPr>
          <w:rFonts w:asciiTheme="majorHAnsi" w:hAnsiTheme="majorHAnsi" w:cstheme="majorHAnsi"/>
          <w:sz w:val="18"/>
          <w:szCs w:val="18"/>
        </w:rPr>
        <w:t>, Supra note 21</w:t>
      </w:r>
    </w:p>
  </w:footnote>
  <w:footnote w:id="25">
    <w:p w14:paraId="00000077" w14:textId="77777777" w:rsidR="005B0F2C" w:rsidRPr="005C70E9" w:rsidRDefault="00456EE5">
      <w:pPr>
        <w:spacing w:line="240" w:lineRule="auto"/>
        <w:rPr>
          <w:rFonts w:asciiTheme="majorHAns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hAnsiTheme="majorHAnsi" w:cstheme="majorHAnsi"/>
          <w:sz w:val="18"/>
          <w:szCs w:val="18"/>
        </w:rPr>
        <w:t xml:space="preserve"> Id.</w:t>
      </w:r>
    </w:p>
  </w:footnote>
  <w:footnote w:id="26">
    <w:p w14:paraId="00000063" w14:textId="77777777" w:rsidR="005B0F2C" w:rsidRPr="005C70E9" w:rsidRDefault="00456EE5">
      <w:pPr>
        <w:spacing w:line="240" w:lineRule="auto"/>
        <w:rPr>
          <w:rFonts w:asciiTheme="majorHAnsi" w:eastAsia="Calibr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eastAsia="Calibri" w:hAnsiTheme="majorHAnsi" w:cstheme="majorHAnsi"/>
          <w:sz w:val="18"/>
          <w:szCs w:val="18"/>
        </w:rPr>
        <w:t xml:space="preserve"> Alyssa Clutterbuck, </w:t>
      </w:r>
      <w:r w:rsidRPr="005C70E9">
        <w:rPr>
          <w:rFonts w:asciiTheme="majorHAnsi" w:eastAsia="Calibri" w:hAnsiTheme="majorHAnsi" w:cstheme="majorHAnsi"/>
          <w:i/>
          <w:sz w:val="18"/>
          <w:szCs w:val="18"/>
        </w:rPr>
        <w:t>Rethinking Baker: A Critical Race Feminist Theory of Disability</w:t>
      </w:r>
      <w:r w:rsidRPr="005C70E9">
        <w:rPr>
          <w:rFonts w:asciiTheme="majorHAnsi" w:eastAsia="Calibri" w:hAnsiTheme="majorHAnsi" w:cstheme="majorHAnsi"/>
          <w:sz w:val="18"/>
          <w:szCs w:val="18"/>
        </w:rPr>
        <w:t>, Appeal: Review of Current Law and Law Reform 51, 2015, p. 13</w:t>
      </w:r>
    </w:p>
  </w:footnote>
  <w:footnote w:id="27">
    <w:p w14:paraId="00000064" w14:textId="77777777" w:rsidR="005B0F2C" w:rsidRPr="005C70E9" w:rsidRDefault="00456EE5">
      <w:pPr>
        <w:spacing w:line="240" w:lineRule="auto"/>
        <w:rPr>
          <w:rFonts w:asciiTheme="majorHAnsi" w:eastAsia="Calibri" w:hAnsiTheme="majorHAnsi" w:cstheme="majorHAnsi"/>
          <w:sz w:val="18"/>
          <w:szCs w:val="18"/>
        </w:rPr>
      </w:pPr>
      <w:r w:rsidRPr="005C70E9">
        <w:rPr>
          <w:rFonts w:asciiTheme="majorHAnsi" w:hAnsiTheme="majorHAnsi" w:cstheme="majorHAnsi"/>
          <w:sz w:val="18"/>
          <w:szCs w:val="18"/>
          <w:vertAlign w:val="superscript"/>
        </w:rPr>
        <w:footnoteRef/>
      </w:r>
      <w:r w:rsidRPr="005C70E9">
        <w:rPr>
          <w:rFonts w:asciiTheme="majorHAnsi" w:eastAsia="Calibri" w:hAnsiTheme="majorHAnsi" w:cstheme="majorHAnsi"/>
          <w:sz w:val="18"/>
          <w:szCs w:val="18"/>
        </w:rPr>
        <w:t xml:space="preserve"> ILO</w:t>
      </w:r>
      <w:proofErr w:type="gramStart"/>
      <w:r w:rsidRPr="005C70E9">
        <w:rPr>
          <w:rFonts w:asciiTheme="majorHAnsi" w:eastAsia="Calibri" w:hAnsiTheme="majorHAnsi" w:cstheme="majorHAnsi"/>
          <w:sz w:val="18"/>
          <w:szCs w:val="18"/>
        </w:rPr>
        <w:t>,  Violence</w:t>
      </w:r>
      <w:proofErr w:type="gramEnd"/>
      <w:r w:rsidRPr="005C70E9">
        <w:rPr>
          <w:rFonts w:asciiTheme="majorHAnsi" w:eastAsia="Calibri" w:hAnsiTheme="majorHAnsi" w:cstheme="majorHAnsi"/>
          <w:sz w:val="18"/>
          <w:szCs w:val="18"/>
        </w:rPr>
        <w:t xml:space="preserve"> and harassment against persons with disabilities in the world of work, p. 2. Available at: </w:t>
      </w:r>
      <w:hyperlink r:id="rId12">
        <w:r w:rsidRPr="005C70E9">
          <w:rPr>
            <w:rFonts w:asciiTheme="majorHAnsi" w:eastAsia="Calibri" w:hAnsiTheme="majorHAnsi" w:cstheme="majorHAnsi"/>
            <w:color w:val="1155CC"/>
            <w:sz w:val="18"/>
            <w:szCs w:val="18"/>
            <w:u w:val="single"/>
          </w:rPr>
          <w:t>https://www.ilo.org/global/topics/violence-harassment/resources/WCMS_738118/lang--en/index.htm</w:t>
        </w:r>
      </w:hyperlink>
      <w:r w:rsidRPr="005C70E9">
        <w:rPr>
          <w:rFonts w:asciiTheme="majorHAnsi" w:eastAsia="Calibr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332A" w14:textId="14E03658" w:rsidR="005C70E9" w:rsidRDefault="005C70E9" w:rsidP="005C70E9">
    <w:pPr>
      <w:pStyle w:val="Header"/>
      <w:jc w:val="right"/>
    </w:pPr>
    <w:r>
      <w:rPr>
        <w:noProof/>
        <w:lang w:val="en-GB" w:eastAsia="en-GB"/>
      </w:rPr>
      <w:drawing>
        <wp:inline distT="0" distB="0" distL="0" distR="0" wp14:anchorId="3BC34060" wp14:editId="6EBACA43">
          <wp:extent cx="1218063" cy="9715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336" cy="9797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1D9"/>
    <w:multiLevelType w:val="hybridMultilevel"/>
    <w:tmpl w:val="53A8D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95F44"/>
    <w:multiLevelType w:val="multilevel"/>
    <w:tmpl w:val="E1761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147D1A"/>
    <w:multiLevelType w:val="multilevel"/>
    <w:tmpl w:val="40906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EE07BC"/>
    <w:multiLevelType w:val="hybridMultilevel"/>
    <w:tmpl w:val="D7EE7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E62CD"/>
    <w:multiLevelType w:val="multilevel"/>
    <w:tmpl w:val="4D507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067792"/>
    <w:multiLevelType w:val="hybridMultilevel"/>
    <w:tmpl w:val="E9980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021CE"/>
    <w:multiLevelType w:val="hybridMultilevel"/>
    <w:tmpl w:val="569635D4"/>
    <w:lvl w:ilvl="0" w:tplc="5E5456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2C"/>
    <w:rsid w:val="002040C3"/>
    <w:rsid w:val="003239F4"/>
    <w:rsid w:val="00456EE5"/>
    <w:rsid w:val="005B0F2C"/>
    <w:rsid w:val="005C70E9"/>
    <w:rsid w:val="00E714D3"/>
    <w:rsid w:val="00F3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23910"/>
  <w15:docId w15:val="{B55938BC-519F-4A09-86AC-32484EFD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C70E9"/>
    <w:pPr>
      <w:tabs>
        <w:tab w:val="center" w:pos="4680"/>
        <w:tab w:val="right" w:pos="9360"/>
      </w:tabs>
      <w:spacing w:line="240" w:lineRule="auto"/>
    </w:pPr>
  </w:style>
  <w:style w:type="character" w:customStyle="1" w:styleId="HeaderChar">
    <w:name w:val="Header Char"/>
    <w:basedOn w:val="DefaultParagraphFont"/>
    <w:link w:val="Header"/>
    <w:uiPriority w:val="99"/>
    <w:rsid w:val="005C70E9"/>
  </w:style>
  <w:style w:type="paragraph" w:styleId="Footer">
    <w:name w:val="footer"/>
    <w:basedOn w:val="Normal"/>
    <w:link w:val="FooterChar"/>
    <w:uiPriority w:val="99"/>
    <w:unhideWhenUsed/>
    <w:rsid w:val="005C70E9"/>
    <w:pPr>
      <w:tabs>
        <w:tab w:val="center" w:pos="4680"/>
        <w:tab w:val="right" w:pos="9360"/>
      </w:tabs>
      <w:spacing w:line="240" w:lineRule="auto"/>
    </w:pPr>
  </w:style>
  <w:style w:type="character" w:customStyle="1" w:styleId="FooterChar">
    <w:name w:val="Footer Char"/>
    <w:basedOn w:val="DefaultParagraphFont"/>
    <w:link w:val="Footer"/>
    <w:uiPriority w:val="99"/>
    <w:rsid w:val="005C70E9"/>
  </w:style>
  <w:style w:type="paragraph" w:styleId="ListParagraph">
    <w:name w:val="List Paragraph"/>
    <w:basedOn w:val="Normal"/>
    <w:uiPriority w:val="34"/>
    <w:qFormat/>
    <w:rsid w:val="005C7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irisinstitute.files.wordpress.com/2012/01/is-five-190142-iris_disability_inclusive_lens_eng.pdf" TargetMode="External"/><Relationship Id="rId3" Type="http://schemas.openxmlformats.org/officeDocument/2006/relationships/hyperlink" Target="https://www.sexualrightsinitiative.com/resources/joint-civil-society-statement-42nd-session-un-human-rights-council-international-safe" TargetMode="External"/><Relationship Id="rId7" Type="http://schemas.openxmlformats.org/officeDocument/2006/relationships/hyperlink" Target="https://ec.europa.eu/eurostat/statistics-explained/pdfscache/34420.pdf" TargetMode="External"/><Relationship Id="rId12" Type="http://schemas.openxmlformats.org/officeDocument/2006/relationships/hyperlink" Target="https://www.ilo.org/global/topics/violence-harassment/resources/WCMS_738118/lang--en/index.htm" TargetMode="External"/><Relationship Id="rId2" Type="http://schemas.openxmlformats.org/officeDocument/2006/relationships/hyperlink" Target="https://www.sexualrightsinitiative.com/sites/default/files/resources/files/2019-05/Advancing-Sexual-Rights-for-All-Full-Paper-FINAL.pdf" TargetMode="External"/><Relationship Id="rId1" Type="http://schemas.openxmlformats.org/officeDocument/2006/relationships/hyperlink" Target="http://www.sexualrightsinitiative.com" TargetMode="External"/><Relationship Id="rId6" Type="http://schemas.openxmlformats.org/officeDocument/2006/relationships/hyperlink" Target="http://ccdonline.ca/en/socialpolicy/access-inclusion/disability-and-immigration-law-in-australia" TargetMode="External"/><Relationship Id="rId11" Type="http://schemas.openxmlformats.org/officeDocument/2006/relationships/hyperlink" Target="https://www.ohchr.org/en/issues/women/wrgs/pages/healthrights.aspx" TargetMode="External"/><Relationship Id="rId5" Type="http://schemas.openxmlformats.org/officeDocument/2006/relationships/hyperlink" Target="https://dsq-sds.org/article/view/3274/3107" TargetMode="External"/><Relationship Id="rId10" Type="http://schemas.openxmlformats.org/officeDocument/2006/relationships/hyperlink" Target="https://www.ilo.org/wcmsp5/groups/public/---americas/---ro-lima/documents/publication/wcms_760023.pdf" TargetMode="External"/><Relationship Id="rId4" Type="http://schemas.openxmlformats.org/officeDocument/2006/relationships/hyperlink" Target="https://www.jep.gov.co/especiales1/macrocasos/03.html" TargetMode="External"/><Relationship Id="rId9" Type="http://schemas.openxmlformats.org/officeDocument/2006/relationships/hyperlink" Target="https://www.algec.org/wp-content/uploads/2017/09/la_revolucion_de_las_maripos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98DA92-9E51-4DEA-AE9B-939408F5F779}"/>
</file>

<file path=customXml/itemProps2.xml><?xml version="1.0" encoding="utf-8"?>
<ds:datastoreItem xmlns:ds="http://schemas.openxmlformats.org/officeDocument/2006/customXml" ds:itemID="{FCF33CCF-015A-41F1-B3E6-2B6B15F41846}"/>
</file>

<file path=customXml/itemProps3.xml><?xml version="1.0" encoding="utf-8"?>
<ds:datastoreItem xmlns:ds="http://schemas.openxmlformats.org/officeDocument/2006/customXml" ds:itemID="{EAF879CA-2544-4074-A7F5-2F92B074E48F}"/>
</file>

<file path=docProps/app.xml><?xml version="1.0" encoding="utf-8"?>
<Properties xmlns="http://schemas.openxmlformats.org/officeDocument/2006/extended-properties" xmlns:vt="http://schemas.openxmlformats.org/officeDocument/2006/docPropsVTypes">
  <Template>Normal.dotm</Template>
  <TotalTime>0</TotalTime>
  <Pages>9</Pages>
  <Words>3538</Words>
  <Characters>20172</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Janna Iskakova</cp:lastModifiedBy>
  <cp:revision>2</cp:revision>
  <dcterms:created xsi:type="dcterms:W3CDTF">2021-03-16T19:49:00Z</dcterms:created>
  <dcterms:modified xsi:type="dcterms:W3CDTF">2021-03-16T19:49:00Z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