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2C361" w14:textId="77777777" w:rsidR="003B58B6" w:rsidRPr="00B72B41" w:rsidRDefault="003B58B6" w:rsidP="00B72B41">
      <w:pPr>
        <w:spacing w:line="240" w:lineRule="auto"/>
        <w:jc w:val="both"/>
        <w:rPr>
          <w:rFonts w:ascii="Arial" w:hAnsi="Arial" w:cs="Arial"/>
          <w:b/>
        </w:rPr>
      </w:pPr>
      <w:bookmarkStart w:id="0" w:name="_GoBack"/>
      <w:bookmarkEnd w:id="0"/>
      <w:r w:rsidRPr="00B72B41">
        <w:rPr>
          <w:rFonts w:ascii="Arial" w:hAnsi="Arial" w:cs="Arial"/>
          <w:b/>
          <w:noProof/>
          <w:lang w:val="en-GB" w:eastAsia="en-GB"/>
        </w:rPr>
        <w:drawing>
          <wp:inline distT="0" distB="0" distL="0" distR="0" wp14:anchorId="570D0545" wp14:editId="07777777">
            <wp:extent cx="2346960" cy="955286"/>
            <wp:effectExtent l="19050" t="0" r="0" b="0"/>
            <wp:docPr id="8" name="Picture 2" descr="C:\Users\MichaelW\Desktop\NZHRC_LOCKUP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aelW\Desktop\NZHRC_LOCKUP_RGB.jpg"/>
                    <pic:cNvPicPr>
                      <a:picLocks noChangeAspect="1" noChangeArrowheads="1"/>
                    </pic:cNvPicPr>
                  </pic:nvPicPr>
                  <pic:blipFill>
                    <a:blip r:embed="rId12" cstate="print"/>
                    <a:srcRect/>
                    <a:stretch>
                      <a:fillRect/>
                    </a:stretch>
                  </pic:blipFill>
                  <pic:spPr bwMode="auto">
                    <a:xfrm>
                      <a:off x="0" y="0"/>
                      <a:ext cx="2355177" cy="958630"/>
                    </a:xfrm>
                    <a:prstGeom prst="rect">
                      <a:avLst/>
                    </a:prstGeom>
                    <a:noFill/>
                    <a:ln w="9525">
                      <a:noFill/>
                      <a:miter lim="800000"/>
                      <a:headEnd/>
                      <a:tailEnd/>
                    </a:ln>
                  </pic:spPr>
                </pic:pic>
              </a:graphicData>
            </a:graphic>
          </wp:inline>
        </w:drawing>
      </w:r>
    </w:p>
    <w:p w14:paraId="4E0E5341" w14:textId="77777777" w:rsidR="003B58B6" w:rsidRPr="00B72B41" w:rsidRDefault="003B58B6" w:rsidP="00B72B41">
      <w:pPr>
        <w:spacing w:line="240" w:lineRule="auto"/>
        <w:jc w:val="both"/>
        <w:rPr>
          <w:rFonts w:ascii="Arial" w:hAnsi="Arial" w:cs="Arial"/>
          <w:b/>
        </w:rPr>
      </w:pPr>
    </w:p>
    <w:p w14:paraId="169CB77D" w14:textId="1E7EFAE8" w:rsidR="00872A47" w:rsidRPr="00B72B41" w:rsidRDefault="3A4C78B7" w:rsidP="6B7B169F">
      <w:pPr>
        <w:spacing w:line="240" w:lineRule="auto"/>
        <w:jc w:val="both"/>
        <w:rPr>
          <w:rFonts w:ascii="Arial" w:hAnsi="Arial" w:cs="Arial"/>
          <w:b/>
          <w:bCs/>
          <w:sz w:val="24"/>
          <w:szCs w:val="24"/>
        </w:rPr>
      </w:pPr>
      <w:r w:rsidRPr="6B7B169F">
        <w:rPr>
          <w:rFonts w:ascii="Arial" w:hAnsi="Arial" w:cs="Arial"/>
          <w:b/>
          <w:bCs/>
          <w:sz w:val="24"/>
          <w:szCs w:val="24"/>
        </w:rPr>
        <w:t xml:space="preserve">Committee on the Rights of Persons with Disabilities: General Discussion on Article </w:t>
      </w:r>
      <w:r w:rsidR="2D0447D4" w:rsidRPr="6B7B169F">
        <w:rPr>
          <w:rFonts w:ascii="Arial" w:hAnsi="Arial" w:cs="Arial"/>
          <w:b/>
          <w:bCs/>
          <w:sz w:val="24"/>
          <w:szCs w:val="24"/>
        </w:rPr>
        <w:t>27</w:t>
      </w:r>
    </w:p>
    <w:p w14:paraId="1C79421F" w14:textId="4D801212" w:rsidR="00B07BEB" w:rsidRPr="00B72B41" w:rsidRDefault="2D0447D4" w:rsidP="6B7B169F">
      <w:pPr>
        <w:spacing w:line="240" w:lineRule="auto"/>
        <w:jc w:val="both"/>
        <w:rPr>
          <w:rFonts w:ascii="Arial" w:hAnsi="Arial" w:cs="Arial"/>
          <w:b/>
          <w:bCs/>
          <w:sz w:val="24"/>
          <w:szCs w:val="24"/>
        </w:rPr>
      </w:pPr>
      <w:r w:rsidRPr="6B7B169F">
        <w:rPr>
          <w:rFonts w:ascii="Arial" w:hAnsi="Arial" w:cs="Arial"/>
          <w:b/>
          <w:bCs/>
          <w:sz w:val="24"/>
          <w:szCs w:val="24"/>
        </w:rPr>
        <w:t>1</w:t>
      </w:r>
      <w:r w:rsidR="00A638A4">
        <w:rPr>
          <w:rFonts w:ascii="Arial" w:hAnsi="Arial" w:cs="Arial"/>
          <w:b/>
          <w:bCs/>
          <w:sz w:val="24"/>
          <w:szCs w:val="24"/>
        </w:rPr>
        <w:t>5</w:t>
      </w:r>
      <w:r w:rsidRPr="6B7B169F">
        <w:rPr>
          <w:rFonts w:ascii="Arial" w:hAnsi="Arial" w:cs="Arial"/>
          <w:b/>
          <w:bCs/>
          <w:sz w:val="24"/>
          <w:szCs w:val="24"/>
        </w:rPr>
        <w:t xml:space="preserve"> March 2021</w:t>
      </w:r>
      <w:r w:rsidR="3A4C78B7" w:rsidRPr="6B7B169F">
        <w:rPr>
          <w:rFonts w:ascii="Arial" w:hAnsi="Arial" w:cs="Arial"/>
          <w:b/>
          <w:bCs/>
          <w:sz w:val="24"/>
          <w:szCs w:val="24"/>
        </w:rPr>
        <w:t xml:space="preserve"> </w:t>
      </w:r>
    </w:p>
    <w:p w14:paraId="7446630E" w14:textId="77777777" w:rsidR="00B72B41" w:rsidRDefault="00B72B41" w:rsidP="00835368">
      <w:pPr>
        <w:jc w:val="both"/>
        <w:rPr>
          <w:rFonts w:ascii="Arial" w:hAnsi="Arial" w:cs="Arial"/>
          <w:b/>
          <w:sz w:val="24"/>
          <w:szCs w:val="24"/>
        </w:rPr>
      </w:pPr>
    </w:p>
    <w:p w14:paraId="72EA7101" w14:textId="77777777" w:rsidR="00CD5113" w:rsidRPr="00B72B41" w:rsidRDefault="3A4C78B7" w:rsidP="00B72B41">
      <w:pPr>
        <w:jc w:val="both"/>
        <w:rPr>
          <w:rFonts w:ascii="Arial" w:hAnsi="Arial" w:cs="Arial"/>
          <w:b/>
          <w:bCs/>
        </w:rPr>
      </w:pPr>
      <w:r w:rsidRPr="00B72B41">
        <w:rPr>
          <w:rFonts w:ascii="Arial" w:hAnsi="Arial" w:cs="Arial"/>
          <w:b/>
          <w:bCs/>
        </w:rPr>
        <w:t xml:space="preserve">Introduction </w:t>
      </w:r>
    </w:p>
    <w:p w14:paraId="26FE3A16" w14:textId="16F35E89" w:rsidR="00C742F2" w:rsidRDefault="3A4C78B7" w:rsidP="00B72B41">
      <w:pPr>
        <w:pStyle w:val="ListParagraph"/>
        <w:numPr>
          <w:ilvl w:val="0"/>
          <w:numId w:val="21"/>
        </w:numPr>
        <w:jc w:val="both"/>
        <w:rPr>
          <w:rFonts w:ascii="Arial" w:hAnsi="Arial" w:cs="Arial"/>
        </w:rPr>
      </w:pPr>
      <w:r w:rsidRPr="00B72B41">
        <w:rPr>
          <w:rFonts w:ascii="Arial" w:hAnsi="Arial" w:cs="Arial"/>
        </w:rPr>
        <w:t xml:space="preserve">The New Zealand Human Rights Commission (“the Commission”) welcomes the opportunity to make a submission to the Committee on the Rights of Persons with Disabilities (“the Committee”). The Commission is New Zealand’s National Human Rights Institution (“NHRI”). It </w:t>
      </w:r>
      <w:proofErr w:type="gramStart"/>
      <w:r w:rsidRPr="00B72B41">
        <w:rPr>
          <w:rFonts w:ascii="Arial" w:hAnsi="Arial" w:cs="Arial"/>
        </w:rPr>
        <w:t>is accredited</w:t>
      </w:r>
      <w:proofErr w:type="gramEnd"/>
      <w:r w:rsidRPr="00B72B41">
        <w:rPr>
          <w:rFonts w:ascii="Arial" w:hAnsi="Arial" w:cs="Arial"/>
        </w:rPr>
        <w:t xml:space="preserve"> as an “A” status NHRI. It is an independent Crown Entity pursuant to the Crown Entities Act 2004 and derives its statutory mandate from the Human Rights Act 1993 (“HRA”). The long title to the HRA states it </w:t>
      </w:r>
      <w:proofErr w:type="gramStart"/>
      <w:r w:rsidRPr="00B72B41">
        <w:rPr>
          <w:rFonts w:ascii="Arial" w:hAnsi="Arial" w:cs="Arial"/>
        </w:rPr>
        <w:t>is intended</w:t>
      </w:r>
      <w:proofErr w:type="gramEnd"/>
      <w:r w:rsidRPr="00B72B41">
        <w:rPr>
          <w:rFonts w:ascii="Arial" w:hAnsi="Arial" w:cs="Arial"/>
        </w:rPr>
        <w:t xml:space="preserve"> to provide better protection of human rights in New Zealand in general accordance with United Nations human rights covenants and conventions. In terms of disability rights, the Commission’s primary function is to “protect the full and equal enjoyment of persons with disabilities”. </w:t>
      </w:r>
    </w:p>
    <w:p w14:paraId="117E6166" w14:textId="77777777" w:rsidR="00B72B41" w:rsidRPr="00B72B41" w:rsidRDefault="00B72B41" w:rsidP="00B72B41">
      <w:pPr>
        <w:pStyle w:val="ListParagraph"/>
        <w:jc w:val="both"/>
        <w:rPr>
          <w:rFonts w:ascii="Arial" w:hAnsi="Arial" w:cs="Arial"/>
        </w:rPr>
      </w:pPr>
    </w:p>
    <w:p w14:paraId="6EBA92BD" w14:textId="059FD0FC" w:rsidR="00A6092F" w:rsidRDefault="00A6092F" w:rsidP="00B72B41">
      <w:pPr>
        <w:pStyle w:val="ListParagraph"/>
        <w:numPr>
          <w:ilvl w:val="0"/>
          <w:numId w:val="21"/>
        </w:numPr>
        <w:jc w:val="both"/>
        <w:rPr>
          <w:rFonts w:ascii="Arial" w:hAnsi="Arial" w:cs="Arial"/>
        </w:rPr>
      </w:pPr>
      <w:r w:rsidRPr="00B72B41">
        <w:rPr>
          <w:rFonts w:ascii="Arial" w:hAnsi="Arial" w:cs="Arial"/>
        </w:rPr>
        <w:t xml:space="preserve">The purpose of this submission is to provide input into the </w:t>
      </w:r>
      <w:r w:rsidR="007823D1">
        <w:rPr>
          <w:rFonts w:ascii="Arial" w:hAnsi="Arial" w:cs="Arial"/>
        </w:rPr>
        <w:t>g</w:t>
      </w:r>
      <w:r w:rsidRPr="00B72B41">
        <w:rPr>
          <w:rFonts w:ascii="Arial" w:hAnsi="Arial" w:cs="Arial"/>
        </w:rPr>
        <w:t xml:space="preserve">eneral </w:t>
      </w:r>
      <w:r w:rsidR="007823D1">
        <w:rPr>
          <w:rFonts w:ascii="Arial" w:hAnsi="Arial" w:cs="Arial"/>
        </w:rPr>
        <w:t>d</w:t>
      </w:r>
      <w:r w:rsidRPr="00B72B41">
        <w:rPr>
          <w:rFonts w:ascii="Arial" w:hAnsi="Arial" w:cs="Arial"/>
        </w:rPr>
        <w:t xml:space="preserve">iscussion on Article </w:t>
      </w:r>
      <w:r w:rsidR="006B4FDE">
        <w:rPr>
          <w:rFonts w:ascii="Arial" w:hAnsi="Arial" w:cs="Arial"/>
        </w:rPr>
        <w:t>27</w:t>
      </w:r>
      <w:r w:rsidRPr="00B72B41">
        <w:rPr>
          <w:rFonts w:ascii="Arial" w:hAnsi="Arial" w:cs="Arial"/>
        </w:rPr>
        <w:t xml:space="preserve"> that the Committee is holding on </w:t>
      </w:r>
      <w:r w:rsidR="008038FD">
        <w:rPr>
          <w:rFonts w:ascii="Arial" w:hAnsi="Arial" w:cs="Arial"/>
        </w:rPr>
        <w:t>2</w:t>
      </w:r>
      <w:r w:rsidR="007823D1">
        <w:rPr>
          <w:rFonts w:ascii="Arial" w:hAnsi="Arial" w:cs="Arial"/>
        </w:rPr>
        <w:t>2 and 24</w:t>
      </w:r>
      <w:r w:rsidRPr="00B72B41">
        <w:rPr>
          <w:rFonts w:ascii="Arial" w:hAnsi="Arial" w:cs="Arial"/>
        </w:rPr>
        <w:t xml:space="preserve"> </w:t>
      </w:r>
      <w:r w:rsidR="00784FDA">
        <w:rPr>
          <w:rFonts w:ascii="Arial" w:hAnsi="Arial" w:cs="Arial"/>
        </w:rPr>
        <w:t>March</w:t>
      </w:r>
      <w:r w:rsidRPr="00B72B41">
        <w:rPr>
          <w:rFonts w:ascii="Arial" w:hAnsi="Arial" w:cs="Arial"/>
        </w:rPr>
        <w:t xml:space="preserve"> 20</w:t>
      </w:r>
      <w:r w:rsidR="00784FDA">
        <w:rPr>
          <w:rFonts w:ascii="Arial" w:hAnsi="Arial" w:cs="Arial"/>
        </w:rPr>
        <w:t>21</w:t>
      </w:r>
      <w:r w:rsidRPr="00B72B41">
        <w:rPr>
          <w:rFonts w:ascii="Arial" w:hAnsi="Arial" w:cs="Arial"/>
        </w:rPr>
        <w:t xml:space="preserve">. We understand that the </w:t>
      </w:r>
      <w:proofErr w:type="gramStart"/>
      <w:r w:rsidRPr="00B72B41">
        <w:rPr>
          <w:rFonts w:ascii="Arial" w:hAnsi="Arial" w:cs="Arial"/>
        </w:rPr>
        <w:t>outcome</w:t>
      </w:r>
      <w:proofErr w:type="gramEnd"/>
      <w:r w:rsidRPr="00B72B41">
        <w:rPr>
          <w:rFonts w:ascii="Arial" w:hAnsi="Arial" w:cs="Arial"/>
        </w:rPr>
        <w:t xml:space="preserve"> of the </w:t>
      </w:r>
      <w:r w:rsidR="007823D1">
        <w:rPr>
          <w:rFonts w:ascii="Arial" w:hAnsi="Arial" w:cs="Arial"/>
        </w:rPr>
        <w:t>discussion</w:t>
      </w:r>
      <w:r w:rsidRPr="00B72B41">
        <w:rPr>
          <w:rFonts w:ascii="Arial" w:hAnsi="Arial" w:cs="Arial"/>
        </w:rPr>
        <w:t xml:space="preserve"> will inform the drafting </w:t>
      </w:r>
      <w:r w:rsidRPr="00B72B41">
        <w:rPr>
          <w:rFonts w:ascii="Arial" w:hAnsi="Arial" w:cs="Arial"/>
        </w:rPr>
        <w:lastRenderedPageBreak/>
        <w:t xml:space="preserve">of the Committee’s General Comment on Article </w:t>
      </w:r>
      <w:r w:rsidR="00437228">
        <w:rPr>
          <w:rFonts w:ascii="Arial" w:hAnsi="Arial" w:cs="Arial"/>
        </w:rPr>
        <w:t>27</w:t>
      </w:r>
      <w:r w:rsidRPr="00B72B41">
        <w:rPr>
          <w:rFonts w:ascii="Arial" w:hAnsi="Arial" w:cs="Arial"/>
        </w:rPr>
        <w:t>. </w:t>
      </w:r>
      <w:r w:rsidR="00BB3A55">
        <w:rPr>
          <w:rFonts w:ascii="Arial" w:hAnsi="Arial" w:cs="Arial"/>
        </w:rPr>
        <w:t xml:space="preserve">The Commission is happy for this submission to </w:t>
      </w:r>
      <w:proofErr w:type="gramStart"/>
      <w:r w:rsidR="00BB3A55">
        <w:rPr>
          <w:rFonts w:ascii="Arial" w:hAnsi="Arial" w:cs="Arial"/>
        </w:rPr>
        <w:t>be published</w:t>
      </w:r>
      <w:proofErr w:type="gramEnd"/>
      <w:r w:rsidR="00BB3A55">
        <w:rPr>
          <w:rFonts w:ascii="Arial" w:hAnsi="Arial" w:cs="Arial"/>
        </w:rPr>
        <w:t>.</w:t>
      </w:r>
    </w:p>
    <w:p w14:paraId="7DB530D2" w14:textId="77777777" w:rsidR="00B72B41" w:rsidRPr="00B72B41" w:rsidRDefault="00B72B41" w:rsidP="00B72B41">
      <w:pPr>
        <w:pStyle w:val="ListParagraph"/>
        <w:jc w:val="both"/>
        <w:rPr>
          <w:rFonts w:ascii="Arial" w:hAnsi="Arial" w:cs="Arial"/>
        </w:rPr>
      </w:pPr>
    </w:p>
    <w:p w14:paraId="69862E3E" w14:textId="04538FE4" w:rsidR="00FD5D27" w:rsidRPr="00FD5D27" w:rsidRDefault="00D67DAF" w:rsidP="00013E99">
      <w:pPr>
        <w:pStyle w:val="ListParagraph"/>
        <w:numPr>
          <w:ilvl w:val="0"/>
          <w:numId w:val="21"/>
        </w:numPr>
        <w:jc w:val="both"/>
        <w:rPr>
          <w:rFonts w:ascii="Arial" w:hAnsi="Arial" w:cs="Arial"/>
        </w:rPr>
      </w:pPr>
      <w:r>
        <w:rPr>
          <w:rFonts w:ascii="Arial" w:hAnsi="Arial" w:cs="Arial"/>
        </w:rPr>
        <w:t xml:space="preserve">In light of recent </w:t>
      </w:r>
      <w:r w:rsidR="003F637C">
        <w:rPr>
          <w:rFonts w:ascii="Arial" w:hAnsi="Arial" w:cs="Arial"/>
        </w:rPr>
        <w:t xml:space="preserve">litigation </w:t>
      </w:r>
      <w:r w:rsidR="0078167B">
        <w:rPr>
          <w:rFonts w:ascii="Arial" w:hAnsi="Arial" w:cs="Arial"/>
        </w:rPr>
        <w:t>in New</w:t>
      </w:r>
      <w:r w:rsidR="000D2ECA">
        <w:rPr>
          <w:rFonts w:ascii="Arial" w:hAnsi="Arial" w:cs="Arial"/>
        </w:rPr>
        <w:t xml:space="preserve"> Zealand</w:t>
      </w:r>
      <w:r w:rsidR="006372C7">
        <w:rPr>
          <w:rFonts w:ascii="Arial" w:hAnsi="Arial" w:cs="Arial"/>
        </w:rPr>
        <w:t xml:space="preserve"> concerning</w:t>
      </w:r>
      <w:r w:rsidR="00CB7BA3">
        <w:rPr>
          <w:rFonts w:ascii="Arial" w:hAnsi="Arial" w:cs="Arial"/>
        </w:rPr>
        <w:t xml:space="preserve"> the right of disabled persons to exercise</w:t>
      </w:r>
      <w:r w:rsidR="008B5B64">
        <w:rPr>
          <w:rFonts w:ascii="Arial" w:hAnsi="Arial" w:cs="Arial"/>
        </w:rPr>
        <w:t xml:space="preserve"> legal capacity</w:t>
      </w:r>
      <w:r w:rsidR="00340AA7">
        <w:rPr>
          <w:rFonts w:ascii="Arial" w:hAnsi="Arial" w:cs="Arial"/>
        </w:rPr>
        <w:t xml:space="preserve"> in employment relationships</w:t>
      </w:r>
      <w:bookmarkStart w:id="1" w:name="_Ref65486923"/>
      <w:r w:rsidR="009A236C">
        <w:rPr>
          <w:rStyle w:val="FootnoteReference"/>
          <w:rFonts w:ascii="Arial" w:hAnsi="Arial" w:cs="Arial"/>
        </w:rPr>
        <w:footnoteReference w:id="2"/>
      </w:r>
      <w:bookmarkEnd w:id="1"/>
      <w:r w:rsidR="004F2026">
        <w:rPr>
          <w:rFonts w:ascii="Arial" w:hAnsi="Arial" w:cs="Arial"/>
        </w:rPr>
        <w:t>, t</w:t>
      </w:r>
      <w:r w:rsidR="00A6092F" w:rsidRPr="6B7B169F">
        <w:rPr>
          <w:rFonts w:ascii="Arial" w:hAnsi="Arial" w:cs="Arial"/>
        </w:rPr>
        <w:t xml:space="preserve">he Commission is providing a </w:t>
      </w:r>
      <w:r w:rsidR="630962C8" w:rsidRPr="6B7B169F">
        <w:rPr>
          <w:rFonts w:ascii="Arial" w:hAnsi="Arial" w:cs="Arial"/>
        </w:rPr>
        <w:t xml:space="preserve">focused </w:t>
      </w:r>
      <w:r w:rsidR="00A6092F" w:rsidRPr="6B7B169F">
        <w:rPr>
          <w:rFonts w:ascii="Arial" w:hAnsi="Arial" w:cs="Arial"/>
        </w:rPr>
        <w:t xml:space="preserve">submission addressing </w:t>
      </w:r>
      <w:r w:rsidR="00AD6F66">
        <w:rPr>
          <w:rFonts w:ascii="Arial" w:hAnsi="Arial" w:cs="Arial"/>
        </w:rPr>
        <w:t xml:space="preserve">the connection between </w:t>
      </w:r>
      <w:r w:rsidR="78C46E9D" w:rsidRPr="6B7B169F">
        <w:rPr>
          <w:rFonts w:ascii="Arial" w:hAnsi="Arial" w:cs="Arial"/>
        </w:rPr>
        <w:t>the right to work</w:t>
      </w:r>
      <w:r w:rsidR="517DB79B" w:rsidRPr="6B7B169F">
        <w:rPr>
          <w:rFonts w:ascii="Arial" w:hAnsi="Arial" w:cs="Arial"/>
        </w:rPr>
        <w:t xml:space="preserve"> </w:t>
      </w:r>
      <w:r w:rsidR="00AD6F66">
        <w:rPr>
          <w:rFonts w:ascii="Arial" w:hAnsi="Arial" w:cs="Arial"/>
        </w:rPr>
        <w:t>and the right to exercise legal capacity under Article 12</w:t>
      </w:r>
      <w:r w:rsidR="00724BA3">
        <w:rPr>
          <w:rFonts w:ascii="Arial" w:hAnsi="Arial" w:cs="Arial"/>
        </w:rPr>
        <w:t xml:space="preserve">. </w:t>
      </w:r>
      <w:r w:rsidR="009E116D">
        <w:rPr>
          <w:rFonts w:ascii="Arial" w:hAnsi="Arial" w:cs="Arial"/>
        </w:rPr>
        <w:t xml:space="preserve">In particular, we would like to highlight </w:t>
      </w:r>
      <w:r w:rsidR="00611A8D">
        <w:rPr>
          <w:rFonts w:ascii="Arial" w:hAnsi="Arial" w:cs="Arial"/>
        </w:rPr>
        <w:t xml:space="preserve">the issue of upholding legal capacity in employment </w:t>
      </w:r>
      <w:r w:rsidR="007557F5">
        <w:rPr>
          <w:rFonts w:ascii="Arial" w:hAnsi="Arial" w:cs="Arial"/>
        </w:rPr>
        <w:t>relationships when the</w:t>
      </w:r>
      <w:r w:rsidR="001B5E3A">
        <w:rPr>
          <w:rFonts w:ascii="Arial" w:hAnsi="Arial" w:cs="Arial"/>
        </w:rPr>
        <w:t xml:space="preserve">re are </w:t>
      </w:r>
      <w:r w:rsidR="0009517E">
        <w:rPr>
          <w:rFonts w:ascii="Arial" w:hAnsi="Arial" w:cs="Arial"/>
        </w:rPr>
        <w:t xml:space="preserve">questions </w:t>
      </w:r>
      <w:r w:rsidR="001B5E3A">
        <w:rPr>
          <w:rFonts w:ascii="Arial" w:hAnsi="Arial" w:cs="Arial"/>
        </w:rPr>
        <w:t>relating to a</w:t>
      </w:r>
      <w:r w:rsidR="007557F5">
        <w:rPr>
          <w:rFonts w:ascii="Arial" w:hAnsi="Arial" w:cs="Arial"/>
        </w:rPr>
        <w:t xml:space="preserve"> disabled person</w:t>
      </w:r>
      <w:r w:rsidR="001B5E3A">
        <w:rPr>
          <w:rFonts w:ascii="Arial" w:hAnsi="Arial" w:cs="Arial"/>
        </w:rPr>
        <w:t xml:space="preserve">’s </w:t>
      </w:r>
      <w:r w:rsidR="00F443E0">
        <w:rPr>
          <w:rFonts w:ascii="Arial" w:hAnsi="Arial" w:cs="Arial"/>
        </w:rPr>
        <w:t>ability to exercise their legal capacity due to a</w:t>
      </w:r>
      <w:r w:rsidR="007557F5">
        <w:rPr>
          <w:rFonts w:ascii="Arial" w:hAnsi="Arial" w:cs="Arial"/>
        </w:rPr>
        <w:t xml:space="preserve"> </w:t>
      </w:r>
      <w:r w:rsidR="00244C5F">
        <w:rPr>
          <w:rFonts w:ascii="Arial" w:hAnsi="Arial" w:cs="Arial"/>
        </w:rPr>
        <w:t xml:space="preserve">mental or intellectual </w:t>
      </w:r>
      <w:r w:rsidR="0032104C">
        <w:rPr>
          <w:rFonts w:ascii="Arial" w:hAnsi="Arial" w:cs="Arial"/>
        </w:rPr>
        <w:t>impairment</w:t>
      </w:r>
      <w:r w:rsidR="009C5D39">
        <w:rPr>
          <w:rFonts w:ascii="Arial" w:hAnsi="Arial" w:cs="Arial"/>
        </w:rPr>
        <w:t xml:space="preserve"> and a lack of </w:t>
      </w:r>
      <w:r w:rsidR="00EC6699">
        <w:rPr>
          <w:rFonts w:ascii="Arial" w:hAnsi="Arial" w:cs="Arial"/>
        </w:rPr>
        <w:t xml:space="preserve">a recognised (or mandated) </w:t>
      </w:r>
      <w:r w:rsidR="009C5D39">
        <w:rPr>
          <w:rFonts w:ascii="Arial" w:hAnsi="Arial" w:cs="Arial"/>
        </w:rPr>
        <w:t>supported decision making</w:t>
      </w:r>
      <w:r w:rsidR="00EC6699">
        <w:rPr>
          <w:rFonts w:ascii="Arial" w:hAnsi="Arial" w:cs="Arial"/>
        </w:rPr>
        <w:t xml:space="preserve"> framework and resourcing</w:t>
      </w:r>
      <w:r w:rsidR="764AAD45" w:rsidRPr="04BC2556">
        <w:rPr>
          <w:rFonts w:ascii="Arial" w:hAnsi="Arial" w:cs="Arial"/>
        </w:rPr>
        <w:t>.</w:t>
      </w:r>
    </w:p>
    <w:p w14:paraId="5D493317" w14:textId="77777777" w:rsidR="00D845F6" w:rsidRPr="00D845F6" w:rsidRDefault="00D845F6" w:rsidP="00D845F6">
      <w:pPr>
        <w:pStyle w:val="ListParagraph"/>
        <w:rPr>
          <w:rFonts w:ascii="Arial" w:hAnsi="Arial" w:cs="Arial"/>
        </w:rPr>
      </w:pPr>
    </w:p>
    <w:p w14:paraId="670C789E" w14:textId="41434085" w:rsidR="00835368" w:rsidRDefault="00835368" w:rsidP="00835368">
      <w:pPr>
        <w:pStyle w:val="ListParagraph"/>
        <w:numPr>
          <w:ilvl w:val="0"/>
          <w:numId w:val="21"/>
        </w:numPr>
        <w:jc w:val="both"/>
        <w:rPr>
          <w:rFonts w:ascii="Arial" w:hAnsi="Arial" w:cs="Arial"/>
        </w:rPr>
      </w:pPr>
      <w:r>
        <w:rPr>
          <w:rFonts w:ascii="Arial" w:hAnsi="Arial" w:cs="Arial"/>
        </w:rPr>
        <w:t xml:space="preserve">The Commission has </w:t>
      </w:r>
      <w:r w:rsidR="24246923" w:rsidRPr="6F4B0036">
        <w:rPr>
          <w:rFonts w:ascii="Arial" w:hAnsi="Arial" w:cs="Arial"/>
        </w:rPr>
        <w:t>intervened</w:t>
      </w:r>
      <w:r>
        <w:rPr>
          <w:rFonts w:ascii="Arial" w:hAnsi="Arial" w:cs="Arial"/>
        </w:rPr>
        <w:t xml:space="preserve"> in two separate cases in the last six months involving employment disputes arising from </w:t>
      </w:r>
      <w:r w:rsidR="006F040C">
        <w:rPr>
          <w:rFonts w:ascii="Arial" w:hAnsi="Arial" w:cs="Arial"/>
        </w:rPr>
        <w:t>concerns</w:t>
      </w:r>
      <w:r w:rsidR="007F639D" w:rsidRPr="6F4B0036">
        <w:rPr>
          <w:rFonts w:ascii="Arial" w:hAnsi="Arial" w:cs="Arial"/>
        </w:rPr>
        <w:t xml:space="preserve"> </w:t>
      </w:r>
      <w:r w:rsidR="009E0BE4">
        <w:rPr>
          <w:rFonts w:ascii="Arial" w:hAnsi="Arial" w:cs="Arial"/>
        </w:rPr>
        <w:t>relating to a disabled person’s</w:t>
      </w:r>
      <w:r w:rsidR="009E0BE4" w:rsidRPr="6F4B0036">
        <w:rPr>
          <w:rFonts w:ascii="Arial" w:hAnsi="Arial" w:cs="Arial"/>
        </w:rPr>
        <w:t xml:space="preserve"> </w:t>
      </w:r>
      <w:r w:rsidR="009E0BE4">
        <w:rPr>
          <w:rFonts w:ascii="Arial" w:hAnsi="Arial" w:cs="Arial"/>
        </w:rPr>
        <w:t>legal</w:t>
      </w:r>
      <w:r>
        <w:rPr>
          <w:rFonts w:ascii="Arial" w:hAnsi="Arial" w:cs="Arial"/>
        </w:rPr>
        <w:t xml:space="preserve"> capacity.</w:t>
      </w:r>
      <w:r w:rsidR="00906DF6">
        <w:rPr>
          <w:rStyle w:val="FootnoteReference"/>
          <w:rFonts w:ascii="Arial" w:hAnsi="Arial" w:cs="Arial"/>
        </w:rPr>
        <w:footnoteReference w:id="3"/>
      </w:r>
      <w:r w:rsidR="00DA5584">
        <w:rPr>
          <w:rFonts w:ascii="Arial" w:hAnsi="Arial" w:cs="Arial"/>
        </w:rPr>
        <w:t xml:space="preserve"> Both cases are</w:t>
      </w:r>
      <w:r w:rsidR="00300E70">
        <w:rPr>
          <w:rFonts w:ascii="Arial" w:hAnsi="Arial" w:cs="Arial"/>
        </w:rPr>
        <w:t xml:space="preserve"> currently</w:t>
      </w:r>
      <w:r w:rsidR="00DA5584">
        <w:rPr>
          <w:rFonts w:ascii="Arial" w:hAnsi="Arial" w:cs="Arial"/>
        </w:rPr>
        <w:t xml:space="preserve"> </w:t>
      </w:r>
      <w:r w:rsidR="00854992">
        <w:rPr>
          <w:rFonts w:ascii="Arial" w:hAnsi="Arial" w:cs="Arial"/>
        </w:rPr>
        <w:t xml:space="preserve">awaiting </w:t>
      </w:r>
      <w:r w:rsidR="001D6A73">
        <w:rPr>
          <w:rFonts w:ascii="Arial" w:hAnsi="Arial" w:cs="Arial"/>
        </w:rPr>
        <w:t>judgments</w:t>
      </w:r>
      <w:r w:rsidR="00300E70">
        <w:rPr>
          <w:rFonts w:ascii="Arial" w:hAnsi="Arial" w:cs="Arial"/>
        </w:rPr>
        <w:t xml:space="preserve"> from the Courts.</w:t>
      </w:r>
    </w:p>
    <w:p w14:paraId="647C2F6C" w14:textId="77777777" w:rsidR="00835368" w:rsidRDefault="00835368" w:rsidP="00835368">
      <w:pPr>
        <w:pStyle w:val="ListParagraph"/>
        <w:ind w:left="1440"/>
        <w:jc w:val="both"/>
        <w:rPr>
          <w:rFonts w:ascii="Arial" w:hAnsi="Arial" w:cs="Arial"/>
        </w:rPr>
      </w:pPr>
    </w:p>
    <w:p w14:paraId="0B341CE7" w14:textId="360DD28E" w:rsidR="00835368" w:rsidRDefault="00835368" w:rsidP="00835368">
      <w:pPr>
        <w:pStyle w:val="ListParagraph"/>
        <w:numPr>
          <w:ilvl w:val="0"/>
          <w:numId w:val="21"/>
        </w:numPr>
        <w:jc w:val="both"/>
        <w:rPr>
          <w:rFonts w:ascii="Arial" w:hAnsi="Arial" w:cs="Arial"/>
        </w:rPr>
      </w:pPr>
      <w:r>
        <w:rPr>
          <w:rFonts w:ascii="Arial" w:hAnsi="Arial" w:cs="Arial"/>
        </w:rPr>
        <w:t xml:space="preserve">In the first case, </w:t>
      </w:r>
      <w:r w:rsidRPr="00141655">
        <w:rPr>
          <w:rFonts w:ascii="Arial" w:hAnsi="Arial" w:cs="Arial"/>
          <w:i/>
          <w:iCs/>
        </w:rPr>
        <w:t>TUV v Defence Force of New Zealand</w:t>
      </w:r>
      <w:r>
        <w:rPr>
          <w:rFonts w:ascii="Arial" w:hAnsi="Arial" w:cs="Arial"/>
        </w:rPr>
        <w:t>,</w:t>
      </w:r>
      <w:r>
        <w:rPr>
          <w:rStyle w:val="FootnoteReference"/>
          <w:rFonts w:ascii="Arial" w:hAnsi="Arial" w:cs="Arial"/>
        </w:rPr>
        <w:footnoteReference w:id="4"/>
      </w:r>
      <w:r>
        <w:rPr>
          <w:rFonts w:ascii="Arial" w:hAnsi="Arial" w:cs="Arial"/>
        </w:rPr>
        <w:t xml:space="preserve"> the plaintiff </w:t>
      </w:r>
      <w:r w:rsidR="00DA72F2">
        <w:rPr>
          <w:rFonts w:ascii="Arial" w:hAnsi="Arial" w:cs="Arial"/>
        </w:rPr>
        <w:t>alleged</w:t>
      </w:r>
      <w:r w:rsidR="00500C9D">
        <w:rPr>
          <w:rFonts w:ascii="Arial" w:hAnsi="Arial" w:cs="Arial"/>
        </w:rPr>
        <w:t xml:space="preserve"> that she </w:t>
      </w:r>
      <w:r>
        <w:rPr>
          <w:rFonts w:ascii="Arial" w:hAnsi="Arial" w:cs="Arial"/>
        </w:rPr>
        <w:t xml:space="preserve">experienced stress, anxiety and depression </w:t>
      </w:r>
      <w:r w:rsidR="00BD52C9">
        <w:rPr>
          <w:rFonts w:ascii="Arial" w:hAnsi="Arial" w:cs="Arial"/>
        </w:rPr>
        <w:t>due to</w:t>
      </w:r>
      <w:r>
        <w:rPr>
          <w:rFonts w:ascii="Arial" w:hAnsi="Arial" w:cs="Arial"/>
        </w:rPr>
        <w:t xml:space="preserve"> workplace bullying and harassment. The Employment Court accepted that she was “more likely than not” mentally incapacitated when she signed </w:t>
      </w:r>
      <w:r w:rsidR="00867566">
        <w:rPr>
          <w:rFonts w:ascii="Arial" w:hAnsi="Arial" w:cs="Arial"/>
        </w:rPr>
        <w:t xml:space="preserve">a </w:t>
      </w:r>
      <w:r>
        <w:rPr>
          <w:rFonts w:ascii="Arial" w:hAnsi="Arial" w:cs="Arial"/>
        </w:rPr>
        <w:t xml:space="preserve">settlement </w:t>
      </w:r>
      <w:r>
        <w:rPr>
          <w:rFonts w:ascii="Arial" w:hAnsi="Arial" w:cs="Arial"/>
        </w:rPr>
        <w:lastRenderedPageBreak/>
        <w:t xml:space="preserve">agreement </w:t>
      </w:r>
      <w:r w:rsidR="00867566">
        <w:rPr>
          <w:rFonts w:ascii="Arial" w:hAnsi="Arial" w:cs="Arial"/>
        </w:rPr>
        <w:t>in which</w:t>
      </w:r>
      <w:r w:rsidR="005B5B42">
        <w:rPr>
          <w:rFonts w:ascii="Arial" w:hAnsi="Arial" w:cs="Arial"/>
        </w:rPr>
        <w:t xml:space="preserve"> she </w:t>
      </w:r>
      <w:r>
        <w:rPr>
          <w:rFonts w:ascii="Arial" w:hAnsi="Arial" w:cs="Arial"/>
        </w:rPr>
        <w:t>forfeited her rights to advance a personal grievance claim against her employer. The issue on appeal centred on the validity of the employment agreement</w:t>
      </w:r>
      <w:r w:rsidR="006B34DC">
        <w:rPr>
          <w:rFonts w:ascii="Arial" w:hAnsi="Arial" w:cs="Arial"/>
        </w:rPr>
        <w:t>,</w:t>
      </w:r>
      <w:r>
        <w:rPr>
          <w:rFonts w:ascii="Arial" w:hAnsi="Arial" w:cs="Arial"/>
        </w:rPr>
        <w:t xml:space="preserve"> considering the </w:t>
      </w:r>
      <w:proofErr w:type="gramStart"/>
      <w:r>
        <w:rPr>
          <w:rFonts w:ascii="Arial" w:hAnsi="Arial" w:cs="Arial"/>
        </w:rPr>
        <w:t>plaintiff’s</w:t>
      </w:r>
      <w:proofErr w:type="gramEnd"/>
      <w:r>
        <w:rPr>
          <w:rFonts w:ascii="Arial" w:hAnsi="Arial" w:cs="Arial"/>
        </w:rPr>
        <w:t xml:space="preserve"> diminished mental capacity </w:t>
      </w:r>
      <w:r w:rsidR="006B34DC">
        <w:rPr>
          <w:rFonts w:ascii="Arial" w:hAnsi="Arial" w:cs="Arial"/>
        </w:rPr>
        <w:t xml:space="preserve">at the time of signing the agreement. </w:t>
      </w:r>
      <w:r w:rsidR="00DD574C">
        <w:rPr>
          <w:rFonts w:ascii="Arial" w:hAnsi="Arial" w:cs="Arial"/>
        </w:rPr>
        <w:t>As intervener, the Commission highlighted</w:t>
      </w:r>
      <w:r w:rsidR="006C11D1">
        <w:rPr>
          <w:rFonts w:ascii="Arial" w:hAnsi="Arial" w:cs="Arial"/>
        </w:rPr>
        <w:t xml:space="preserve"> the </w:t>
      </w:r>
      <w:r w:rsidR="00505F76">
        <w:rPr>
          <w:rFonts w:ascii="Arial" w:hAnsi="Arial" w:cs="Arial"/>
        </w:rPr>
        <w:t>need to ensure that the plaintiff was able to exercise her legal capacity – through supported decision-making</w:t>
      </w:r>
      <w:r w:rsidR="007C6CBE">
        <w:rPr>
          <w:rFonts w:ascii="Arial" w:hAnsi="Arial" w:cs="Arial"/>
        </w:rPr>
        <w:t xml:space="preserve"> and appropriate safeguards.</w:t>
      </w:r>
    </w:p>
    <w:p w14:paraId="69457526" w14:textId="77777777" w:rsidR="00835368" w:rsidRPr="00DE7116" w:rsidRDefault="00835368" w:rsidP="00835368">
      <w:pPr>
        <w:pStyle w:val="ListParagraph"/>
        <w:rPr>
          <w:rFonts w:ascii="Arial" w:hAnsi="Arial" w:cs="Arial"/>
        </w:rPr>
      </w:pPr>
    </w:p>
    <w:p w14:paraId="086E1C2B" w14:textId="0DF1066C" w:rsidR="00835368" w:rsidRPr="00835368" w:rsidRDefault="001978FB" w:rsidP="00835368">
      <w:pPr>
        <w:pStyle w:val="ListParagraph"/>
        <w:numPr>
          <w:ilvl w:val="0"/>
          <w:numId w:val="21"/>
        </w:numPr>
        <w:jc w:val="both"/>
        <w:rPr>
          <w:rFonts w:ascii="Arial" w:hAnsi="Arial" w:cs="Arial"/>
        </w:rPr>
      </w:pPr>
      <w:r>
        <w:rPr>
          <w:rFonts w:ascii="Arial" w:hAnsi="Arial" w:cs="Arial"/>
        </w:rPr>
        <w:t>In the second case,</w:t>
      </w:r>
      <w:r w:rsidR="00835368">
        <w:rPr>
          <w:rFonts w:ascii="Arial" w:hAnsi="Arial" w:cs="Arial"/>
        </w:rPr>
        <w:t xml:space="preserve"> </w:t>
      </w:r>
      <w:r w:rsidR="00835368" w:rsidRPr="00DE7116">
        <w:rPr>
          <w:rFonts w:ascii="Arial" w:hAnsi="Arial" w:cs="Arial"/>
          <w:i/>
          <w:iCs/>
        </w:rPr>
        <w:t>Fleming v Attorney-General</w:t>
      </w:r>
      <w:r w:rsidR="00B2650D" w:rsidRPr="0042679C">
        <w:rPr>
          <w:rStyle w:val="FootnoteReference"/>
          <w:rFonts w:ascii="Arial" w:hAnsi="Arial" w:cs="Arial"/>
        </w:rPr>
        <w:footnoteReference w:id="5"/>
      </w:r>
      <w:r w:rsidRPr="0042679C">
        <w:rPr>
          <w:rFonts w:ascii="Arial" w:hAnsi="Arial" w:cs="Arial"/>
        </w:rPr>
        <w:t>,</w:t>
      </w:r>
      <w:r w:rsidR="00835368">
        <w:rPr>
          <w:rFonts w:ascii="Arial" w:hAnsi="Arial" w:cs="Arial"/>
        </w:rPr>
        <w:t xml:space="preserve"> </w:t>
      </w:r>
      <w:r w:rsidR="003725F9">
        <w:rPr>
          <w:rFonts w:ascii="Arial" w:hAnsi="Arial" w:cs="Arial"/>
        </w:rPr>
        <w:t xml:space="preserve">the plaintiff </w:t>
      </w:r>
      <w:r w:rsidR="00835368">
        <w:rPr>
          <w:rFonts w:ascii="Arial" w:hAnsi="Arial" w:cs="Arial"/>
        </w:rPr>
        <w:t>acted as a caregiver to her intellectually disabled</w:t>
      </w:r>
      <w:r w:rsidR="003725F9">
        <w:rPr>
          <w:rFonts w:ascii="Arial" w:hAnsi="Arial" w:cs="Arial"/>
        </w:rPr>
        <w:t xml:space="preserve"> adult </w:t>
      </w:r>
      <w:r w:rsidR="00835368">
        <w:rPr>
          <w:rFonts w:ascii="Arial" w:hAnsi="Arial" w:cs="Arial"/>
        </w:rPr>
        <w:t xml:space="preserve">son. Under the new family care policy, </w:t>
      </w:r>
      <w:r w:rsidR="004E312F">
        <w:rPr>
          <w:rFonts w:ascii="Arial" w:hAnsi="Arial" w:cs="Arial"/>
        </w:rPr>
        <w:t xml:space="preserve">in which family members previously excluded from </w:t>
      </w:r>
      <w:r w:rsidR="00D04381">
        <w:rPr>
          <w:rFonts w:ascii="Arial" w:hAnsi="Arial" w:cs="Arial"/>
        </w:rPr>
        <w:t>being paid as carer</w:t>
      </w:r>
      <w:r w:rsidR="00C96CB7">
        <w:rPr>
          <w:rFonts w:ascii="Arial" w:hAnsi="Arial" w:cs="Arial"/>
        </w:rPr>
        <w:t>s</w:t>
      </w:r>
      <w:r w:rsidR="00B50DA0">
        <w:rPr>
          <w:rFonts w:ascii="Arial" w:hAnsi="Arial" w:cs="Arial"/>
        </w:rPr>
        <w:t xml:space="preserve"> could now </w:t>
      </w:r>
      <w:r w:rsidR="0055006E">
        <w:rPr>
          <w:rFonts w:ascii="Arial" w:hAnsi="Arial" w:cs="Arial"/>
        </w:rPr>
        <w:t xml:space="preserve">be paid, </w:t>
      </w:r>
      <w:r w:rsidR="003725F9">
        <w:rPr>
          <w:rFonts w:ascii="Arial" w:hAnsi="Arial" w:cs="Arial"/>
        </w:rPr>
        <w:t>the plaintiff’s son</w:t>
      </w:r>
      <w:r w:rsidR="00835368">
        <w:rPr>
          <w:rFonts w:ascii="Arial" w:hAnsi="Arial" w:cs="Arial"/>
        </w:rPr>
        <w:t xml:space="preserve"> was required to employ his mother </w:t>
      </w:r>
      <w:r w:rsidR="001C3559">
        <w:rPr>
          <w:rFonts w:ascii="Arial" w:hAnsi="Arial" w:cs="Arial"/>
        </w:rPr>
        <w:t>for</w:t>
      </w:r>
      <w:r w:rsidR="00835368">
        <w:rPr>
          <w:rFonts w:ascii="Arial" w:hAnsi="Arial" w:cs="Arial"/>
        </w:rPr>
        <w:t xml:space="preserve"> her to access state funding</w:t>
      </w:r>
      <w:r w:rsidR="007F4C0D">
        <w:rPr>
          <w:rFonts w:ascii="Arial" w:hAnsi="Arial" w:cs="Arial"/>
        </w:rPr>
        <w:t xml:space="preserve"> as his caregiver</w:t>
      </w:r>
      <w:r w:rsidR="00835368">
        <w:rPr>
          <w:rFonts w:ascii="Arial" w:hAnsi="Arial" w:cs="Arial"/>
        </w:rPr>
        <w:t>.</w:t>
      </w:r>
      <w:r w:rsidR="00CE4A33">
        <w:rPr>
          <w:rStyle w:val="FootnoteReference"/>
          <w:rFonts w:ascii="Arial" w:hAnsi="Arial" w:cs="Arial"/>
        </w:rPr>
        <w:footnoteReference w:id="6"/>
      </w:r>
      <w:r w:rsidR="00835368">
        <w:rPr>
          <w:rFonts w:ascii="Arial" w:hAnsi="Arial" w:cs="Arial"/>
        </w:rPr>
        <w:t xml:space="preserve"> The issue in that case centred on the legitimacy of the employment agreement </w:t>
      </w:r>
      <w:r w:rsidR="00497556">
        <w:rPr>
          <w:rFonts w:ascii="Arial" w:hAnsi="Arial" w:cs="Arial"/>
        </w:rPr>
        <w:t>considering</w:t>
      </w:r>
      <w:r w:rsidR="00835368">
        <w:rPr>
          <w:rFonts w:ascii="Arial" w:hAnsi="Arial" w:cs="Arial"/>
        </w:rPr>
        <w:t xml:space="preserve"> </w:t>
      </w:r>
      <w:r w:rsidR="004D1970">
        <w:rPr>
          <w:rFonts w:ascii="Arial" w:hAnsi="Arial" w:cs="Arial"/>
        </w:rPr>
        <w:t xml:space="preserve">his </w:t>
      </w:r>
      <w:r w:rsidR="00835368">
        <w:rPr>
          <w:rFonts w:ascii="Arial" w:hAnsi="Arial" w:cs="Arial"/>
        </w:rPr>
        <w:t xml:space="preserve"> </w:t>
      </w:r>
      <w:r w:rsidR="00C503A0">
        <w:rPr>
          <w:rFonts w:ascii="Arial" w:hAnsi="Arial" w:cs="Arial"/>
        </w:rPr>
        <w:t xml:space="preserve">high support needs relating to his </w:t>
      </w:r>
      <w:r w:rsidR="00835368">
        <w:rPr>
          <w:rFonts w:ascii="Arial" w:hAnsi="Arial" w:cs="Arial"/>
        </w:rPr>
        <w:t>intellectual disability</w:t>
      </w:r>
      <w:r w:rsidR="00D37265">
        <w:rPr>
          <w:rFonts w:ascii="Arial" w:hAnsi="Arial" w:cs="Arial"/>
        </w:rPr>
        <w:t>, and the lack of support systems in place for him to exercise his legal capacity</w:t>
      </w:r>
      <w:r w:rsidR="00A935AA">
        <w:rPr>
          <w:rFonts w:ascii="Arial" w:hAnsi="Arial" w:cs="Arial"/>
        </w:rPr>
        <w:t>.</w:t>
      </w:r>
      <w:r w:rsidR="00835368">
        <w:rPr>
          <w:rFonts w:ascii="Arial" w:hAnsi="Arial" w:cs="Arial"/>
        </w:rPr>
        <w:t xml:space="preserve"> </w:t>
      </w:r>
    </w:p>
    <w:p w14:paraId="240900BD" w14:textId="54C46629" w:rsidR="00835368" w:rsidRPr="00835368" w:rsidRDefault="00835368" w:rsidP="00835368">
      <w:pPr>
        <w:pStyle w:val="ListParagraph"/>
        <w:jc w:val="both"/>
        <w:rPr>
          <w:rFonts w:ascii="Arial" w:hAnsi="Arial" w:cs="Arial"/>
        </w:rPr>
      </w:pPr>
    </w:p>
    <w:p w14:paraId="3C608132" w14:textId="3C7D56A1" w:rsidR="00D845F6" w:rsidRPr="00013E99" w:rsidRDefault="00AE6BCF" w:rsidP="00013E99">
      <w:pPr>
        <w:pStyle w:val="ListParagraph"/>
        <w:numPr>
          <w:ilvl w:val="0"/>
          <w:numId w:val="21"/>
        </w:numPr>
        <w:jc w:val="both"/>
        <w:rPr>
          <w:rFonts w:ascii="Arial" w:hAnsi="Arial" w:cs="Arial"/>
        </w:rPr>
      </w:pPr>
      <w:proofErr w:type="gramStart"/>
      <w:r>
        <w:rPr>
          <w:rFonts w:ascii="Arial" w:hAnsi="Arial" w:cs="Arial"/>
        </w:rPr>
        <w:t xml:space="preserve">In both cases, </w:t>
      </w:r>
      <w:r w:rsidR="00BD3BA2">
        <w:rPr>
          <w:rFonts w:ascii="Arial" w:hAnsi="Arial" w:cs="Arial"/>
        </w:rPr>
        <w:t xml:space="preserve">at issue was </w:t>
      </w:r>
      <w:r>
        <w:rPr>
          <w:rFonts w:ascii="Arial" w:hAnsi="Arial" w:cs="Arial"/>
        </w:rPr>
        <w:t xml:space="preserve">the </w:t>
      </w:r>
      <w:r w:rsidR="00521A58">
        <w:rPr>
          <w:rFonts w:ascii="Arial" w:hAnsi="Arial" w:cs="Arial"/>
        </w:rPr>
        <w:t xml:space="preserve">ability or otherwise of </w:t>
      </w:r>
      <w:r>
        <w:rPr>
          <w:rFonts w:ascii="Arial" w:hAnsi="Arial" w:cs="Arial"/>
        </w:rPr>
        <w:t xml:space="preserve">disabled persons to exercise their legal capacity in employment due to </w:t>
      </w:r>
      <w:r w:rsidR="008C4149">
        <w:rPr>
          <w:rFonts w:ascii="Arial" w:hAnsi="Arial" w:cs="Arial"/>
        </w:rPr>
        <w:t>the</w:t>
      </w:r>
      <w:r w:rsidR="0027227C">
        <w:rPr>
          <w:rFonts w:ascii="Arial" w:hAnsi="Arial" w:cs="Arial"/>
        </w:rPr>
        <w:t xml:space="preserve"> general</w:t>
      </w:r>
      <w:r w:rsidR="008C4149">
        <w:rPr>
          <w:rFonts w:ascii="Arial" w:hAnsi="Arial" w:cs="Arial"/>
        </w:rPr>
        <w:t xml:space="preserve"> lack of </w:t>
      </w:r>
      <w:r w:rsidR="00CD1997">
        <w:rPr>
          <w:rFonts w:ascii="Arial" w:hAnsi="Arial" w:cs="Arial"/>
        </w:rPr>
        <w:t xml:space="preserve">specific </w:t>
      </w:r>
      <w:r w:rsidR="008C4149">
        <w:rPr>
          <w:rFonts w:ascii="Arial" w:hAnsi="Arial" w:cs="Arial"/>
        </w:rPr>
        <w:t xml:space="preserve">supported </w:t>
      </w:r>
      <w:r w:rsidR="00E60830">
        <w:rPr>
          <w:rFonts w:ascii="Arial" w:hAnsi="Arial" w:cs="Arial"/>
        </w:rPr>
        <w:t>de</w:t>
      </w:r>
      <w:r w:rsidR="00E60830" w:rsidRPr="00DA04F7">
        <w:rPr>
          <w:rFonts w:ascii="Arial" w:hAnsi="Arial" w:cs="Arial"/>
        </w:rPr>
        <w:t>cision-making mechanisms and safeguards</w:t>
      </w:r>
      <w:r w:rsidR="00603179">
        <w:rPr>
          <w:rFonts w:ascii="Arial" w:hAnsi="Arial" w:cs="Arial"/>
        </w:rPr>
        <w:t xml:space="preserve"> available in </w:t>
      </w:r>
      <w:r w:rsidR="009165AA">
        <w:rPr>
          <w:rFonts w:ascii="Arial" w:hAnsi="Arial" w:cs="Arial"/>
        </w:rPr>
        <w:t xml:space="preserve">the </w:t>
      </w:r>
      <w:r w:rsidR="006E51CD">
        <w:rPr>
          <w:rFonts w:ascii="Arial" w:hAnsi="Arial" w:cs="Arial"/>
        </w:rPr>
        <w:t>employment</w:t>
      </w:r>
      <w:r w:rsidR="009165AA">
        <w:rPr>
          <w:rFonts w:ascii="Arial" w:hAnsi="Arial" w:cs="Arial"/>
        </w:rPr>
        <w:t xml:space="preserve"> sector</w:t>
      </w:r>
      <w:r w:rsidR="00E60830" w:rsidRPr="00DA04F7">
        <w:rPr>
          <w:rFonts w:ascii="Arial" w:hAnsi="Arial" w:cs="Arial"/>
        </w:rPr>
        <w:t>.</w:t>
      </w:r>
      <w:proofErr w:type="gramEnd"/>
      <w:r w:rsidR="00E60830" w:rsidRPr="00DA04F7">
        <w:rPr>
          <w:rFonts w:ascii="Arial" w:hAnsi="Arial" w:cs="Arial"/>
        </w:rPr>
        <w:t xml:space="preserve"> </w:t>
      </w:r>
      <w:r w:rsidR="00CD119A">
        <w:rPr>
          <w:rFonts w:ascii="Arial" w:hAnsi="Arial" w:cs="Arial"/>
        </w:rPr>
        <w:t>Gi</w:t>
      </w:r>
      <w:r w:rsidR="00CD119A" w:rsidRPr="00DA04F7">
        <w:rPr>
          <w:rFonts w:ascii="Arial" w:hAnsi="Arial" w:cs="Arial"/>
        </w:rPr>
        <w:t>ven</w:t>
      </w:r>
      <w:r w:rsidR="00CD119A">
        <w:rPr>
          <w:rFonts w:ascii="Arial" w:hAnsi="Arial" w:cs="Arial"/>
        </w:rPr>
        <w:t xml:space="preserve"> the issues highlighted by the above two </w:t>
      </w:r>
      <w:r w:rsidR="00CD119A">
        <w:rPr>
          <w:rFonts w:ascii="Arial" w:hAnsi="Arial" w:cs="Arial"/>
        </w:rPr>
        <w:lastRenderedPageBreak/>
        <w:t xml:space="preserve">cases on the intersection of these rights, </w:t>
      </w:r>
      <w:r w:rsidR="00590EF9" w:rsidRPr="00DA04F7">
        <w:rPr>
          <w:rFonts w:ascii="Arial" w:hAnsi="Arial" w:cs="Arial"/>
        </w:rPr>
        <w:t xml:space="preserve">we set out </w:t>
      </w:r>
      <w:r w:rsidR="00CD119A">
        <w:rPr>
          <w:rFonts w:ascii="Arial" w:hAnsi="Arial" w:cs="Arial"/>
        </w:rPr>
        <w:t xml:space="preserve">below </w:t>
      </w:r>
      <w:r w:rsidR="00590EF9" w:rsidRPr="00DA04F7">
        <w:rPr>
          <w:rFonts w:ascii="Arial" w:hAnsi="Arial" w:cs="Arial"/>
        </w:rPr>
        <w:t>some of the international jurisprudence on Article 12 and its relevance to Article 27</w:t>
      </w:r>
      <w:r w:rsidR="00CD119A">
        <w:rPr>
          <w:rFonts w:ascii="Arial" w:hAnsi="Arial" w:cs="Arial"/>
        </w:rPr>
        <w:t>.</w:t>
      </w:r>
    </w:p>
    <w:p w14:paraId="1CC826B1" w14:textId="516F872B" w:rsidR="0089417E" w:rsidRPr="001B4AA1" w:rsidRDefault="002F6385" w:rsidP="0089417E">
      <w:pPr>
        <w:jc w:val="both"/>
        <w:rPr>
          <w:rFonts w:ascii="Arial" w:hAnsi="Arial" w:cs="Arial"/>
          <w:b/>
          <w:bCs/>
        </w:rPr>
      </w:pPr>
      <w:r>
        <w:rPr>
          <w:rFonts w:ascii="Arial" w:hAnsi="Arial" w:cs="Arial"/>
          <w:b/>
          <w:bCs/>
        </w:rPr>
        <w:t>State’s d</w:t>
      </w:r>
      <w:r w:rsidR="0089417E" w:rsidRPr="001B4AA1">
        <w:rPr>
          <w:rFonts w:ascii="Arial" w:hAnsi="Arial" w:cs="Arial"/>
          <w:b/>
          <w:bCs/>
        </w:rPr>
        <w:t xml:space="preserve">uty to provide support to disabled persons </w:t>
      </w:r>
      <w:r w:rsidR="008A5413">
        <w:rPr>
          <w:rFonts w:ascii="Arial" w:hAnsi="Arial" w:cs="Arial"/>
          <w:b/>
          <w:bCs/>
        </w:rPr>
        <w:t xml:space="preserve">to </w:t>
      </w:r>
      <w:r w:rsidR="0089417E" w:rsidRPr="001B4AA1">
        <w:rPr>
          <w:rFonts w:ascii="Arial" w:hAnsi="Arial" w:cs="Arial"/>
          <w:b/>
          <w:bCs/>
        </w:rPr>
        <w:t>exercis</w:t>
      </w:r>
      <w:r w:rsidR="008A5413">
        <w:rPr>
          <w:rFonts w:ascii="Arial" w:hAnsi="Arial" w:cs="Arial"/>
          <w:b/>
          <w:bCs/>
        </w:rPr>
        <w:t>e</w:t>
      </w:r>
      <w:r w:rsidR="0089417E" w:rsidRPr="001B4AA1">
        <w:rPr>
          <w:rFonts w:ascii="Arial" w:hAnsi="Arial" w:cs="Arial"/>
          <w:b/>
          <w:bCs/>
        </w:rPr>
        <w:t xml:space="preserve"> their legal capacity</w:t>
      </w:r>
      <w:r w:rsidR="007C1BE3" w:rsidRPr="001B4AA1">
        <w:rPr>
          <w:rFonts w:ascii="Arial" w:hAnsi="Arial" w:cs="Arial"/>
          <w:b/>
          <w:bCs/>
        </w:rPr>
        <w:t xml:space="preserve"> in employment</w:t>
      </w:r>
    </w:p>
    <w:p w14:paraId="54B8BCB8" w14:textId="00A37828" w:rsidR="00154F1C" w:rsidRPr="00EF1851" w:rsidRDefault="00471A06" w:rsidP="00EF1851">
      <w:pPr>
        <w:pStyle w:val="ListParagraph"/>
        <w:numPr>
          <w:ilvl w:val="0"/>
          <w:numId w:val="21"/>
        </w:numPr>
        <w:jc w:val="both"/>
        <w:rPr>
          <w:rFonts w:ascii="Arial" w:hAnsi="Arial" w:cs="Arial"/>
        </w:rPr>
      </w:pPr>
      <w:r w:rsidRPr="00471A06">
        <w:rPr>
          <w:rFonts w:ascii="Arial" w:hAnsi="Arial" w:cs="Arial"/>
        </w:rPr>
        <w:t>Article 12</w:t>
      </w:r>
      <w:r w:rsidR="005536A0">
        <w:rPr>
          <w:rFonts w:ascii="Arial" w:hAnsi="Arial" w:cs="Arial"/>
        </w:rPr>
        <w:t>.1 of the</w:t>
      </w:r>
      <w:r w:rsidRPr="00471A06">
        <w:rPr>
          <w:rFonts w:ascii="Arial" w:hAnsi="Arial" w:cs="Arial"/>
        </w:rPr>
        <w:t xml:space="preserve"> CRPD requires states parties to recognise all persons with disabilities as legal persons, capable of bearing rights and duties</w:t>
      </w:r>
      <w:r w:rsidR="00FB033F">
        <w:rPr>
          <w:rFonts w:ascii="Arial" w:hAnsi="Arial" w:cs="Arial"/>
        </w:rPr>
        <w:t xml:space="preserve"> across all aspects of the law</w:t>
      </w:r>
      <w:r w:rsidR="00837B75">
        <w:rPr>
          <w:rFonts w:ascii="Arial" w:hAnsi="Arial" w:cs="Arial"/>
        </w:rPr>
        <w:t xml:space="preserve">. </w:t>
      </w:r>
      <w:proofErr w:type="gramStart"/>
      <w:r w:rsidR="00A03DD5">
        <w:rPr>
          <w:rFonts w:ascii="Arial" w:hAnsi="Arial" w:cs="Arial"/>
        </w:rPr>
        <w:t>Hence</w:t>
      </w:r>
      <w:proofErr w:type="gramEnd"/>
      <w:r w:rsidR="00A03DD5">
        <w:rPr>
          <w:rFonts w:ascii="Arial" w:hAnsi="Arial" w:cs="Arial"/>
        </w:rPr>
        <w:t xml:space="preserve"> in</w:t>
      </w:r>
      <w:r w:rsidR="00A03DD5" w:rsidRPr="00677A52">
        <w:rPr>
          <w:rFonts w:ascii="Arial" w:hAnsi="Arial" w:cs="Arial"/>
        </w:rPr>
        <w:t xml:space="preserve"> General Comment No. 6</w:t>
      </w:r>
      <w:r w:rsidR="00A03DD5">
        <w:rPr>
          <w:rFonts w:ascii="Arial" w:hAnsi="Arial" w:cs="Arial"/>
        </w:rPr>
        <w:t xml:space="preserve"> on</w:t>
      </w:r>
      <w:r w:rsidR="00A03DD5" w:rsidRPr="00015CD7">
        <w:rPr>
          <w:rFonts w:ascii="Arial" w:hAnsi="Arial" w:cs="Arial"/>
        </w:rPr>
        <w:t xml:space="preserve"> equality and non-discrimination</w:t>
      </w:r>
      <w:r w:rsidR="00A03DD5" w:rsidRPr="00677A52">
        <w:rPr>
          <w:rFonts w:ascii="Arial" w:hAnsi="Arial" w:cs="Arial"/>
        </w:rPr>
        <w:t xml:space="preserve">, the Committee describes </w:t>
      </w:r>
      <w:r w:rsidR="00A03DD5">
        <w:rPr>
          <w:rFonts w:ascii="Arial" w:hAnsi="Arial" w:cs="Arial"/>
        </w:rPr>
        <w:t xml:space="preserve">the right to legal capacity </w:t>
      </w:r>
      <w:r w:rsidR="00A03DD5" w:rsidRPr="00677A52">
        <w:rPr>
          <w:rFonts w:ascii="Arial" w:hAnsi="Arial" w:cs="Arial"/>
        </w:rPr>
        <w:t xml:space="preserve">as “a threshold right”, </w:t>
      </w:r>
      <w:r w:rsidR="00A03DD5">
        <w:rPr>
          <w:rFonts w:ascii="Arial" w:hAnsi="Arial" w:cs="Arial"/>
        </w:rPr>
        <w:t>which</w:t>
      </w:r>
      <w:r w:rsidR="00A03DD5" w:rsidRPr="00677A52">
        <w:rPr>
          <w:rFonts w:ascii="Arial" w:hAnsi="Arial" w:cs="Arial"/>
        </w:rPr>
        <w:t xml:space="preserve"> is required to enjoy almost all the other rights in the CRPD.</w:t>
      </w:r>
      <w:r w:rsidR="00A03DD5">
        <w:rPr>
          <w:rStyle w:val="FootnoteReference"/>
          <w:rFonts w:ascii="Arial" w:hAnsi="Arial" w:cs="Arial"/>
        </w:rPr>
        <w:footnoteReference w:id="7"/>
      </w:r>
      <w:r w:rsidR="00E706FA">
        <w:rPr>
          <w:rFonts w:ascii="Arial" w:hAnsi="Arial" w:cs="Arial"/>
        </w:rPr>
        <w:t xml:space="preserve"> </w:t>
      </w:r>
      <w:r w:rsidR="00BF1F7B" w:rsidRPr="00EF1851">
        <w:rPr>
          <w:rFonts w:ascii="Arial" w:hAnsi="Arial" w:cs="Arial"/>
        </w:rPr>
        <w:t>Article 12 thus starts from the position that a person with diminished mental or intellectual capacity has the right to exercise legal capacity in employment, must have access to support to do so, and should have their rights and interests protected via proportionate procedural safeguards.”</w:t>
      </w:r>
      <w:r w:rsidR="00BF1F7B" w:rsidRPr="00913D6B">
        <w:rPr>
          <w:rStyle w:val="FootnoteReference"/>
          <w:rFonts w:ascii="Arial" w:hAnsi="Arial" w:cs="Arial"/>
        </w:rPr>
        <w:footnoteReference w:id="8"/>
      </w:r>
    </w:p>
    <w:p w14:paraId="6BF297DC" w14:textId="77777777" w:rsidR="00154F1C" w:rsidRPr="00154F1C" w:rsidRDefault="00154F1C" w:rsidP="00154F1C">
      <w:pPr>
        <w:pStyle w:val="ListParagraph"/>
        <w:jc w:val="both"/>
        <w:rPr>
          <w:rFonts w:ascii="Arial" w:hAnsi="Arial" w:cs="Arial"/>
        </w:rPr>
      </w:pPr>
    </w:p>
    <w:p w14:paraId="0ECC3C87" w14:textId="6210BC30" w:rsidR="00B24B20" w:rsidRPr="00B240D4" w:rsidRDefault="00B24B20" w:rsidP="00B240D4">
      <w:pPr>
        <w:pStyle w:val="ListParagraph"/>
        <w:numPr>
          <w:ilvl w:val="0"/>
          <w:numId w:val="21"/>
        </w:numPr>
        <w:jc w:val="both"/>
        <w:rPr>
          <w:rFonts w:ascii="Arial" w:hAnsi="Arial" w:cs="Arial"/>
          <w:i/>
          <w:iCs/>
          <w:sz w:val="20"/>
          <w:szCs w:val="20"/>
        </w:rPr>
      </w:pPr>
      <w:r w:rsidRPr="00C6333C">
        <w:rPr>
          <w:rFonts w:ascii="Arial" w:hAnsi="Arial" w:cs="Arial"/>
        </w:rPr>
        <w:t>The CRPD Committee in General Comment No. 1</w:t>
      </w:r>
      <w:r w:rsidRPr="00B240D4">
        <w:rPr>
          <w:rFonts w:ascii="Arial" w:hAnsi="Arial" w:cs="Arial"/>
        </w:rPr>
        <w:t xml:space="preserve"> provides guidance on how to ensure access to </w:t>
      </w:r>
      <w:r w:rsidRPr="00C6333C">
        <w:rPr>
          <w:rFonts w:ascii="Arial" w:hAnsi="Arial" w:cs="Arial"/>
        </w:rPr>
        <w:t>support</w:t>
      </w:r>
      <w:r w:rsidR="00CA02DE">
        <w:rPr>
          <w:rFonts w:ascii="Arial" w:hAnsi="Arial" w:cs="Arial"/>
        </w:rPr>
        <w:t>ed</w:t>
      </w:r>
      <w:r w:rsidRPr="00B240D4">
        <w:rPr>
          <w:rFonts w:ascii="Arial" w:hAnsi="Arial" w:cs="Arial"/>
        </w:rPr>
        <w:t xml:space="preserve"> decision-making and includes the following factors</w:t>
      </w:r>
      <w:r w:rsidRPr="00C6333C">
        <w:rPr>
          <w:rFonts w:ascii="Arial" w:hAnsi="Arial" w:cs="Arial"/>
          <w:i/>
          <w:sz w:val="20"/>
          <w:szCs w:val="20"/>
        </w:rPr>
        <w:t>:</w:t>
      </w:r>
      <w:r w:rsidRPr="004D59BC">
        <w:rPr>
          <w:rStyle w:val="FootnoteReference"/>
          <w:rFonts w:ascii="Arial" w:hAnsi="Arial" w:cs="Arial"/>
          <w:iCs/>
          <w:sz w:val="20"/>
          <w:szCs w:val="20"/>
        </w:rPr>
        <w:footnoteReference w:id="9"/>
      </w:r>
    </w:p>
    <w:p w14:paraId="14F5E8CC" w14:textId="77777777" w:rsidR="00395C0F" w:rsidRPr="00395C0F" w:rsidRDefault="00395C0F" w:rsidP="00395C0F">
      <w:pPr>
        <w:pStyle w:val="ListParagraph"/>
        <w:ind w:firstLine="360"/>
        <w:jc w:val="both"/>
        <w:rPr>
          <w:rFonts w:ascii="Arial" w:hAnsi="Arial" w:cs="Arial"/>
          <w:i/>
          <w:iCs/>
          <w:sz w:val="20"/>
          <w:szCs w:val="20"/>
        </w:rPr>
      </w:pPr>
    </w:p>
    <w:p w14:paraId="426646C4" w14:textId="69D65A5C" w:rsidR="00255B2F" w:rsidRDefault="00B24B20" w:rsidP="001B4BEB">
      <w:pPr>
        <w:pStyle w:val="ListParagraph"/>
        <w:numPr>
          <w:ilvl w:val="1"/>
          <w:numId w:val="30"/>
        </w:numPr>
        <w:jc w:val="both"/>
        <w:rPr>
          <w:rFonts w:ascii="Arial" w:hAnsi="Arial" w:cs="Arial"/>
        </w:rPr>
      </w:pPr>
      <w:r w:rsidRPr="00B74405">
        <w:rPr>
          <w:rFonts w:ascii="Arial" w:hAnsi="Arial" w:cs="Arial"/>
        </w:rPr>
        <w:lastRenderedPageBreak/>
        <w:t>It should be available to all</w:t>
      </w:r>
      <w:r w:rsidR="00083453">
        <w:rPr>
          <w:rFonts w:ascii="Arial" w:hAnsi="Arial" w:cs="Arial"/>
        </w:rPr>
        <w:t>,</w:t>
      </w:r>
      <w:r w:rsidRPr="00B74405">
        <w:rPr>
          <w:rFonts w:ascii="Arial" w:hAnsi="Arial" w:cs="Arial"/>
        </w:rPr>
        <w:t xml:space="preserve"> and a person requiring a high level of support should not be a barrier to obtaining supported decision-making</w:t>
      </w:r>
    </w:p>
    <w:p w14:paraId="1E18260D" w14:textId="77777777" w:rsidR="00255B2F" w:rsidRDefault="00B24B20" w:rsidP="001B4BEB">
      <w:pPr>
        <w:pStyle w:val="ListParagraph"/>
        <w:numPr>
          <w:ilvl w:val="1"/>
          <w:numId w:val="30"/>
        </w:numPr>
        <w:jc w:val="both"/>
        <w:rPr>
          <w:rFonts w:ascii="Arial" w:hAnsi="Arial" w:cs="Arial"/>
        </w:rPr>
      </w:pPr>
      <w:r w:rsidRPr="00255B2F">
        <w:rPr>
          <w:rFonts w:ascii="Arial" w:hAnsi="Arial" w:cs="Arial"/>
        </w:rPr>
        <w:t>All forms of support must be based on the will and preference of the person, not on what is perceived as being in his or her objective best interests</w:t>
      </w:r>
    </w:p>
    <w:p w14:paraId="0B63D0DB" w14:textId="77777777" w:rsidR="00255B2F" w:rsidRDefault="00B24B20" w:rsidP="001B4BEB">
      <w:pPr>
        <w:pStyle w:val="ListParagraph"/>
        <w:numPr>
          <w:ilvl w:val="1"/>
          <w:numId w:val="30"/>
        </w:numPr>
        <w:jc w:val="both"/>
        <w:rPr>
          <w:rFonts w:ascii="Arial" w:hAnsi="Arial" w:cs="Arial"/>
        </w:rPr>
      </w:pPr>
      <w:r w:rsidRPr="00255B2F">
        <w:rPr>
          <w:rFonts w:ascii="Arial" w:hAnsi="Arial" w:cs="Arial"/>
        </w:rPr>
        <w:t xml:space="preserve">States have an obligation to facilitate support </w:t>
      </w:r>
    </w:p>
    <w:p w14:paraId="5EDB8966" w14:textId="77777777" w:rsidR="00255B2F" w:rsidRDefault="00B24B20" w:rsidP="001B4BEB">
      <w:pPr>
        <w:pStyle w:val="ListParagraph"/>
        <w:numPr>
          <w:ilvl w:val="1"/>
          <w:numId w:val="30"/>
        </w:numPr>
        <w:jc w:val="both"/>
        <w:rPr>
          <w:rFonts w:ascii="Arial" w:hAnsi="Arial" w:cs="Arial"/>
        </w:rPr>
      </w:pPr>
      <w:r w:rsidRPr="00255B2F">
        <w:rPr>
          <w:rFonts w:ascii="Arial" w:hAnsi="Arial" w:cs="Arial"/>
        </w:rPr>
        <w:t>States must ensure that support is available at nominal or no cost to disabled people</w:t>
      </w:r>
    </w:p>
    <w:p w14:paraId="05D3081C" w14:textId="3A988662" w:rsidR="00255B2F" w:rsidRDefault="00B24B20" w:rsidP="001B4BEB">
      <w:pPr>
        <w:pStyle w:val="ListParagraph"/>
        <w:numPr>
          <w:ilvl w:val="1"/>
          <w:numId w:val="30"/>
        </w:numPr>
        <w:jc w:val="both"/>
        <w:rPr>
          <w:rFonts w:ascii="Arial" w:hAnsi="Arial" w:cs="Arial"/>
        </w:rPr>
      </w:pPr>
      <w:r w:rsidRPr="00255B2F">
        <w:rPr>
          <w:rFonts w:ascii="Arial" w:hAnsi="Arial" w:cs="Arial"/>
        </w:rPr>
        <w:t xml:space="preserve">Safeguards must be </w:t>
      </w:r>
      <w:r w:rsidR="00166BA0">
        <w:rPr>
          <w:rFonts w:ascii="Arial" w:hAnsi="Arial" w:cs="Arial"/>
        </w:rPr>
        <w:t xml:space="preserve">established </w:t>
      </w:r>
      <w:r w:rsidRPr="00255B2F">
        <w:rPr>
          <w:rFonts w:ascii="Arial" w:hAnsi="Arial" w:cs="Arial"/>
        </w:rPr>
        <w:t>for all processes relating to legal capacity and support in exercising legal capacity with the goal of safeguards being to ensure that the person’s will and preferences are respected</w:t>
      </w:r>
    </w:p>
    <w:p w14:paraId="08683C77" w14:textId="77777777" w:rsidR="002C28A0" w:rsidRDefault="002C28A0" w:rsidP="002C28A0">
      <w:pPr>
        <w:pStyle w:val="ListParagraph"/>
        <w:ind w:left="1440"/>
        <w:jc w:val="both"/>
        <w:rPr>
          <w:rFonts w:ascii="Arial" w:hAnsi="Arial" w:cs="Arial"/>
        </w:rPr>
      </w:pPr>
    </w:p>
    <w:p w14:paraId="27A7D7A8" w14:textId="77777777" w:rsidR="00154F1C" w:rsidRPr="00395C0F" w:rsidRDefault="00154F1C" w:rsidP="00154F1C">
      <w:pPr>
        <w:pStyle w:val="ListParagraph"/>
        <w:numPr>
          <w:ilvl w:val="0"/>
          <w:numId w:val="21"/>
        </w:numPr>
        <w:jc w:val="both"/>
        <w:rPr>
          <w:i/>
          <w:iCs/>
          <w:sz w:val="20"/>
          <w:szCs w:val="20"/>
        </w:rPr>
      </w:pPr>
      <w:r w:rsidRPr="00AF513F">
        <w:rPr>
          <w:rFonts w:ascii="Arial" w:hAnsi="Arial" w:cs="Arial"/>
        </w:rPr>
        <w:t xml:space="preserve">Supported decision making must </w:t>
      </w:r>
      <w:r>
        <w:rPr>
          <w:rFonts w:ascii="Arial" w:hAnsi="Arial" w:cs="Arial"/>
        </w:rPr>
        <w:t xml:space="preserve">therefore </w:t>
      </w:r>
      <w:r w:rsidRPr="00AF513F">
        <w:rPr>
          <w:rFonts w:ascii="Arial" w:hAnsi="Arial" w:cs="Arial"/>
        </w:rPr>
        <w:t>be available to disabled people throughout the employment process – from job applications at the point of entry, through to the redress of grievances at the exit. This duty to provide supported decision making at the point of redress of grievances at exit also engages Article 13(1) which obliges States Parties t</w:t>
      </w:r>
      <w:r>
        <w:rPr>
          <w:rFonts w:ascii="Arial" w:hAnsi="Arial" w:cs="Arial"/>
        </w:rPr>
        <w:t>o:</w:t>
      </w:r>
    </w:p>
    <w:p w14:paraId="6D091894" w14:textId="77777777" w:rsidR="00154F1C" w:rsidRPr="00395C0F" w:rsidRDefault="00154F1C" w:rsidP="00154F1C">
      <w:pPr>
        <w:pStyle w:val="ListParagraph"/>
        <w:jc w:val="both"/>
        <w:rPr>
          <w:i/>
          <w:iCs/>
          <w:sz w:val="20"/>
          <w:szCs w:val="20"/>
        </w:rPr>
      </w:pPr>
    </w:p>
    <w:p w14:paraId="1100C9B9" w14:textId="77777777" w:rsidR="00154F1C" w:rsidRDefault="00154F1C" w:rsidP="00154F1C">
      <w:pPr>
        <w:pStyle w:val="ListParagraph"/>
        <w:ind w:left="1418"/>
        <w:jc w:val="both"/>
        <w:rPr>
          <w:rFonts w:ascii="Arial" w:hAnsi="Arial" w:cs="Arial"/>
          <w:i/>
          <w:iCs/>
          <w:sz w:val="20"/>
          <w:szCs w:val="20"/>
        </w:rPr>
      </w:pPr>
      <w:r w:rsidRPr="00395C0F">
        <w:rPr>
          <w:rFonts w:ascii="Arial" w:hAnsi="Arial" w:cs="Arial"/>
          <w:i/>
          <w:iCs/>
          <w:sz w:val="20"/>
          <w:szCs w:val="20"/>
        </w:rPr>
        <w:t>…ensure effective access to justice for persons with disabilities on an equal basis with others, including through the provision of procedural and age-appropriate accommodations, in order to facilitate their effective role as direct and indirect participants, including as witnesses, in all legal proceedings, including at investigative and other preliminary stages.”</w:t>
      </w:r>
      <w:r>
        <w:rPr>
          <w:rFonts w:ascii="Arial" w:hAnsi="Arial" w:cs="Arial"/>
          <w:i/>
          <w:iCs/>
          <w:sz w:val="20"/>
          <w:szCs w:val="20"/>
        </w:rPr>
        <w:t>’</w:t>
      </w:r>
    </w:p>
    <w:p w14:paraId="25AE3805" w14:textId="77777777" w:rsidR="00154F1C" w:rsidRDefault="00154F1C" w:rsidP="00154F1C">
      <w:pPr>
        <w:pStyle w:val="ListParagraph"/>
        <w:jc w:val="both"/>
        <w:rPr>
          <w:rFonts w:ascii="Arial" w:hAnsi="Arial" w:cs="Arial"/>
        </w:rPr>
      </w:pPr>
    </w:p>
    <w:p w14:paraId="161BA1E8" w14:textId="4EE0EB43" w:rsidR="001B4D2B" w:rsidRDefault="001B4D2B" w:rsidP="00CD7064">
      <w:pPr>
        <w:pStyle w:val="ListParagraph"/>
        <w:numPr>
          <w:ilvl w:val="0"/>
          <w:numId w:val="21"/>
        </w:numPr>
        <w:jc w:val="both"/>
        <w:rPr>
          <w:rFonts w:ascii="Arial" w:hAnsi="Arial" w:cs="Arial"/>
        </w:rPr>
      </w:pPr>
      <w:r w:rsidRPr="00B74405">
        <w:rPr>
          <w:rFonts w:ascii="Arial" w:hAnsi="Arial" w:cs="Arial"/>
        </w:rPr>
        <w:t>Article 12(4) outlines safeguards that are necessary to ensure that the measures to support the exercise of legal capacity are free from abuse. The safeguards must ensure that:</w:t>
      </w:r>
    </w:p>
    <w:p w14:paraId="373F5DC3" w14:textId="77777777" w:rsidR="001B4D2B" w:rsidRPr="00B74405" w:rsidRDefault="001B4D2B" w:rsidP="001B4D2B">
      <w:pPr>
        <w:pStyle w:val="ListParagraph"/>
        <w:jc w:val="both"/>
        <w:rPr>
          <w:rFonts w:ascii="Arial" w:hAnsi="Arial" w:cs="Arial"/>
        </w:rPr>
      </w:pPr>
    </w:p>
    <w:p w14:paraId="4C82C61F" w14:textId="759DA497" w:rsidR="001B4D2B" w:rsidRPr="009009CC" w:rsidRDefault="001B4D2B" w:rsidP="009009CC">
      <w:pPr>
        <w:pStyle w:val="ListParagraph"/>
        <w:ind w:left="1418"/>
        <w:jc w:val="both"/>
        <w:rPr>
          <w:rFonts w:ascii="Arial" w:hAnsi="Arial" w:cs="Arial"/>
          <w:i/>
          <w:iCs/>
          <w:sz w:val="20"/>
          <w:szCs w:val="20"/>
        </w:rPr>
      </w:pPr>
      <w:r w:rsidRPr="009009CC">
        <w:rPr>
          <w:rFonts w:ascii="Arial" w:hAnsi="Arial" w:cs="Arial"/>
          <w:i/>
          <w:iCs/>
          <w:sz w:val="20"/>
          <w:szCs w:val="20"/>
        </w:rPr>
        <w:lastRenderedPageBreak/>
        <w:t xml:space="preserve">… </w:t>
      </w:r>
      <w:proofErr w:type="gramStart"/>
      <w:r w:rsidRPr="009009CC">
        <w:rPr>
          <w:rFonts w:ascii="Arial" w:hAnsi="Arial" w:cs="Arial"/>
          <w:i/>
          <w:iCs/>
          <w:sz w:val="20"/>
          <w:szCs w:val="20"/>
        </w:rPr>
        <w:t>measures</w:t>
      </w:r>
      <w:proofErr w:type="gramEnd"/>
      <w:r w:rsidRPr="009009CC">
        <w:rPr>
          <w:rFonts w:ascii="Arial" w:hAnsi="Arial" w:cs="Arial"/>
          <w:i/>
          <w:iCs/>
          <w:sz w:val="20"/>
          <w:szCs w:val="20"/>
        </w:rPr>
        <w:t xml:space="preserve"> relating to the exercise of legal capacity respect the rights, will and preferences of the person, are free of conflict of interest and undue influence, are </w:t>
      </w:r>
      <w:r w:rsidRPr="009009CC">
        <w:rPr>
          <w:rFonts w:ascii="Arial" w:hAnsi="Arial" w:cs="Arial"/>
          <w:b/>
          <w:bCs/>
          <w:i/>
          <w:iCs/>
          <w:sz w:val="20"/>
          <w:szCs w:val="20"/>
        </w:rPr>
        <w:t>proportional and tailored</w:t>
      </w:r>
      <w:r w:rsidRPr="009009CC">
        <w:rPr>
          <w:rFonts w:ascii="Arial" w:hAnsi="Arial" w:cs="Arial"/>
          <w:i/>
          <w:iCs/>
          <w:sz w:val="20"/>
          <w:szCs w:val="20"/>
        </w:rPr>
        <w:t xml:space="preserve"> to the person’s circumstances, apply for the shortest time possible and are subject to regular review by a competent, independent and impartial authority or judicial body. (</w:t>
      </w:r>
      <w:proofErr w:type="gramStart"/>
      <w:r w:rsidRPr="009009CC">
        <w:rPr>
          <w:rFonts w:ascii="Arial" w:hAnsi="Arial" w:cs="Arial"/>
          <w:i/>
          <w:iCs/>
          <w:sz w:val="20"/>
          <w:szCs w:val="20"/>
        </w:rPr>
        <w:t>emphasis</w:t>
      </w:r>
      <w:proofErr w:type="gramEnd"/>
      <w:r w:rsidRPr="009009CC">
        <w:rPr>
          <w:rFonts w:ascii="Arial" w:hAnsi="Arial" w:cs="Arial"/>
          <w:i/>
          <w:iCs/>
          <w:sz w:val="20"/>
          <w:szCs w:val="20"/>
        </w:rPr>
        <w:t xml:space="preserve"> added)</w:t>
      </w:r>
    </w:p>
    <w:p w14:paraId="3BC01A16" w14:textId="77777777" w:rsidR="001B4D2B" w:rsidRPr="001B4D2B" w:rsidRDefault="001B4D2B" w:rsidP="001B4D2B">
      <w:pPr>
        <w:pStyle w:val="ListParagraph"/>
        <w:jc w:val="both"/>
        <w:rPr>
          <w:rFonts w:ascii="Arial" w:hAnsi="Arial" w:cs="Arial"/>
          <w:i/>
          <w:iCs/>
        </w:rPr>
      </w:pPr>
    </w:p>
    <w:p w14:paraId="6A976601" w14:textId="575D2C9C" w:rsidR="001B4D2B" w:rsidRPr="001B4D2B" w:rsidRDefault="001B4D2B" w:rsidP="00CD7064">
      <w:pPr>
        <w:pStyle w:val="ListParagraph"/>
        <w:numPr>
          <w:ilvl w:val="0"/>
          <w:numId w:val="21"/>
        </w:numPr>
        <w:jc w:val="both"/>
        <w:rPr>
          <w:rFonts w:ascii="Arial" w:hAnsi="Arial" w:cs="Arial"/>
          <w:u w:val="single"/>
        </w:rPr>
      </w:pPr>
      <w:r w:rsidRPr="00B74405">
        <w:rPr>
          <w:rFonts w:ascii="Arial" w:hAnsi="Arial" w:cs="Arial"/>
        </w:rPr>
        <w:t>The Special Rapporteur on the rights of persons with disabilities has stated that the primary purpose of the safeguards</w:t>
      </w:r>
      <w:r w:rsidR="0014374A">
        <w:rPr>
          <w:rFonts w:ascii="Arial" w:hAnsi="Arial" w:cs="Arial"/>
        </w:rPr>
        <w:t>:</w:t>
      </w:r>
      <w:r w:rsidRPr="00B74405">
        <w:rPr>
          <w:rStyle w:val="FootnoteReference"/>
          <w:rFonts w:ascii="Arial" w:hAnsi="Arial" w:cs="Arial"/>
        </w:rPr>
        <w:footnoteReference w:id="10"/>
      </w:r>
      <w:r w:rsidRPr="00B74405">
        <w:rPr>
          <w:rFonts w:ascii="Arial" w:hAnsi="Arial" w:cs="Arial"/>
        </w:rPr>
        <w:t xml:space="preserve"> </w:t>
      </w:r>
    </w:p>
    <w:p w14:paraId="016CFD0E" w14:textId="77777777" w:rsidR="001B4D2B" w:rsidRPr="00B74405" w:rsidRDefault="001B4D2B" w:rsidP="001B4D2B">
      <w:pPr>
        <w:pStyle w:val="ListParagraph"/>
        <w:jc w:val="both"/>
        <w:rPr>
          <w:rFonts w:ascii="Arial" w:hAnsi="Arial" w:cs="Arial"/>
          <w:u w:val="single"/>
        </w:rPr>
      </w:pPr>
    </w:p>
    <w:p w14:paraId="7CECB528" w14:textId="46265018" w:rsidR="00301EE3" w:rsidRDefault="001B4D2B" w:rsidP="00301EE3">
      <w:pPr>
        <w:pStyle w:val="ListParagraph"/>
        <w:ind w:left="1440"/>
        <w:jc w:val="both"/>
        <w:rPr>
          <w:rFonts w:ascii="Arial" w:hAnsi="Arial" w:cs="Arial"/>
          <w:i/>
          <w:iCs/>
          <w:sz w:val="20"/>
          <w:szCs w:val="20"/>
        </w:rPr>
      </w:pPr>
      <w:proofErr w:type="gramStart"/>
      <w:r w:rsidRPr="009009CC">
        <w:rPr>
          <w:rFonts w:ascii="Arial" w:hAnsi="Arial" w:cs="Arial"/>
          <w:i/>
          <w:iCs/>
          <w:sz w:val="20"/>
          <w:szCs w:val="20"/>
        </w:rPr>
        <w:t>must</w:t>
      </w:r>
      <w:proofErr w:type="gramEnd"/>
      <w:r w:rsidRPr="009009CC">
        <w:rPr>
          <w:rFonts w:ascii="Arial" w:hAnsi="Arial" w:cs="Arial"/>
          <w:i/>
          <w:iCs/>
          <w:sz w:val="20"/>
          <w:szCs w:val="20"/>
        </w:rPr>
        <w:t xml:space="preserve"> be to ensure the respect of the person’s rights, will and preferences. In order to accomplish this, the safeguards must provide protection from abuse on an </w:t>
      </w:r>
      <w:r w:rsidRPr="009009CC">
        <w:rPr>
          <w:rFonts w:ascii="Arial" w:hAnsi="Arial" w:cs="Arial"/>
          <w:sz w:val="20"/>
          <w:szCs w:val="20"/>
        </w:rPr>
        <w:t>equal</w:t>
      </w:r>
      <w:r w:rsidRPr="009009CC">
        <w:rPr>
          <w:rFonts w:ascii="Arial" w:hAnsi="Arial" w:cs="Arial"/>
          <w:i/>
          <w:iCs/>
          <w:sz w:val="20"/>
          <w:szCs w:val="20"/>
        </w:rPr>
        <w:t xml:space="preserve"> basis with others.</w:t>
      </w:r>
    </w:p>
    <w:p w14:paraId="294A76B5" w14:textId="77777777" w:rsidR="00984376" w:rsidRDefault="00984376" w:rsidP="00984376">
      <w:pPr>
        <w:pStyle w:val="ListParagraph"/>
        <w:jc w:val="both"/>
        <w:rPr>
          <w:rFonts w:ascii="Arial" w:hAnsi="Arial" w:cs="Arial"/>
        </w:rPr>
      </w:pPr>
    </w:p>
    <w:p w14:paraId="2F27B2B8" w14:textId="48561402" w:rsidR="00984376" w:rsidRDefault="00984376" w:rsidP="00984376">
      <w:pPr>
        <w:pStyle w:val="ListParagraph"/>
        <w:numPr>
          <w:ilvl w:val="0"/>
          <w:numId w:val="21"/>
        </w:numPr>
        <w:jc w:val="both"/>
        <w:rPr>
          <w:rFonts w:ascii="Arial" w:hAnsi="Arial" w:cs="Arial"/>
        </w:rPr>
      </w:pPr>
      <w:r>
        <w:rPr>
          <w:rFonts w:ascii="Arial" w:hAnsi="Arial" w:cs="Arial"/>
        </w:rPr>
        <w:t xml:space="preserve">The requirement to ensure supported decision making and safeguards closely aligns with the right to participation, which is a core principle of the CRPD as set out at Article 3.3. </w:t>
      </w:r>
      <w:r w:rsidRPr="00BA07A6">
        <w:rPr>
          <w:rFonts w:ascii="Arial" w:hAnsi="Arial" w:cs="Arial"/>
        </w:rPr>
        <w:t xml:space="preserve">Participation is has been described as a “cross-cutting issue” that </w:t>
      </w:r>
      <w:r w:rsidRPr="00B74405">
        <w:rPr>
          <w:rFonts w:ascii="Arial" w:hAnsi="Arial" w:cs="Arial"/>
        </w:rPr>
        <w:t>“allows individuals to play a central role in their own development, as well as in the development of their communities</w:t>
      </w:r>
      <w:r>
        <w:rPr>
          <w:rFonts w:ascii="Arial" w:hAnsi="Arial" w:cs="Arial"/>
        </w:rPr>
        <w:t>.</w:t>
      </w:r>
      <w:r w:rsidRPr="00B74405">
        <w:rPr>
          <w:rFonts w:ascii="Arial" w:hAnsi="Arial" w:cs="Arial"/>
        </w:rPr>
        <w:t>”</w:t>
      </w:r>
      <w:r w:rsidRPr="00B74405">
        <w:rPr>
          <w:rStyle w:val="FootnoteReference"/>
          <w:rFonts w:ascii="Arial" w:hAnsi="Arial" w:cs="Arial"/>
        </w:rPr>
        <w:footnoteReference w:id="11"/>
      </w:r>
      <w:r w:rsidRPr="00BA07A6">
        <w:rPr>
          <w:rFonts w:ascii="Arial" w:hAnsi="Arial" w:cs="Arial"/>
        </w:rPr>
        <w:t>Accessibility is essential to participation of disabled people and is described by the Special Rapporteur as a “precondition for persons with disabilities to fully participate in all aspects of life</w:t>
      </w:r>
      <w:r>
        <w:rPr>
          <w:rFonts w:ascii="Arial" w:hAnsi="Arial" w:cs="Arial"/>
        </w:rPr>
        <w:t>,</w:t>
      </w:r>
      <w:r w:rsidRPr="00BA07A6">
        <w:rPr>
          <w:rFonts w:ascii="Arial" w:hAnsi="Arial" w:cs="Arial"/>
        </w:rPr>
        <w:t>”</w:t>
      </w:r>
      <w:r w:rsidRPr="00B74405">
        <w:rPr>
          <w:rStyle w:val="FootnoteReference"/>
          <w:rFonts w:ascii="Arial" w:hAnsi="Arial" w:cs="Arial"/>
        </w:rPr>
        <w:footnoteReference w:id="12"/>
      </w:r>
      <w:r>
        <w:rPr>
          <w:rFonts w:ascii="Arial" w:hAnsi="Arial" w:cs="Arial"/>
        </w:rPr>
        <w:t xml:space="preserve"> as articulated below:</w:t>
      </w:r>
      <w:r w:rsidRPr="008209B3">
        <w:rPr>
          <w:rStyle w:val="FootnoteReference"/>
          <w:rFonts w:ascii="Arial" w:hAnsi="Arial" w:cs="Arial"/>
        </w:rPr>
        <w:t xml:space="preserve"> </w:t>
      </w:r>
      <w:r w:rsidRPr="00B74405">
        <w:rPr>
          <w:rStyle w:val="FootnoteReference"/>
          <w:rFonts w:ascii="Arial" w:hAnsi="Arial" w:cs="Arial"/>
        </w:rPr>
        <w:footnoteReference w:id="13"/>
      </w:r>
      <w:r w:rsidRPr="00BA07A6">
        <w:rPr>
          <w:rFonts w:ascii="Arial" w:hAnsi="Arial" w:cs="Arial"/>
        </w:rPr>
        <w:t xml:space="preserve"> </w:t>
      </w:r>
    </w:p>
    <w:p w14:paraId="21000587" w14:textId="77777777" w:rsidR="00984376" w:rsidRPr="006E61CA" w:rsidRDefault="00984376" w:rsidP="00984376">
      <w:pPr>
        <w:pStyle w:val="ListParagraph"/>
        <w:rPr>
          <w:i/>
          <w:iCs/>
          <w:sz w:val="20"/>
          <w:szCs w:val="20"/>
        </w:rPr>
      </w:pPr>
    </w:p>
    <w:p w14:paraId="18E0D4B0" w14:textId="3F36FC68" w:rsidR="003E4779" w:rsidRPr="00D3772E" w:rsidRDefault="003E4779" w:rsidP="00984376">
      <w:pPr>
        <w:pStyle w:val="ListParagraph"/>
        <w:ind w:left="1440"/>
        <w:jc w:val="both"/>
        <w:rPr>
          <w:rFonts w:ascii="Arial" w:hAnsi="Arial" w:cs="Arial"/>
        </w:rPr>
      </w:pPr>
      <w:r w:rsidRPr="00395C0F">
        <w:rPr>
          <w:rFonts w:ascii="Arial" w:hAnsi="Arial" w:cs="Arial"/>
          <w:i/>
          <w:sz w:val="20"/>
          <w:szCs w:val="20"/>
        </w:rPr>
        <w:t xml:space="preserve">Without accessible information and communication, a range of persons with different disabilities cannot effectively participate in </w:t>
      </w:r>
      <w:proofErr w:type="gramStart"/>
      <w:r w:rsidRPr="00395C0F">
        <w:rPr>
          <w:rFonts w:ascii="Arial" w:hAnsi="Arial" w:cs="Arial"/>
          <w:i/>
          <w:sz w:val="20"/>
          <w:szCs w:val="20"/>
        </w:rPr>
        <w:t>law-making</w:t>
      </w:r>
      <w:proofErr w:type="gramEnd"/>
      <w:r w:rsidRPr="00395C0F">
        <w:rPr>
          <w:rFonts w:ascii="Arial" w:hAnsi="Arial" w:cs="Arial"/>
          <w:i/>
          <w:sz w:val="20"/>
          <w:szCs w:val="20"/>
        </w:rPr>
        <w:t xml:space="preserve"> and </w:t>
      </w:r>
      <w:r w:rsidRPr="00395C0F">
        <w:rPr>
          <w:rFonts w:ascii="Arial" w:hAnsi="Arial" w:cs="Arial"/>
          <w:i/>
          <w:sz w:val="20"/>
          <w:szCs w:val="20"/>
        </w:rPr>
        <w:lastRenderedPageBreak/>
        <w:t>policymaking. This is particularly the case for persons with sensory and intellectual impairments</w:t>
      </w:r>
      <w:r w:rsidRPr="006E61CA">
        <w:rPr>
          <w:i/>
        </w:rPr>
        <w:t>.</w:t>
      </w:r>
    </w:p>
    <w:p w14:paraId="46DB894D" w14:textId="77777777" w:rsidR="00984376" w:rsidRPr="009009CC" w:rsidRDefault="00984376" w:rsidP="00301EE3">
      <w:pPr>
        <w:pStyle w:val="ListParagraph"/>
        <w:ind w:left="1440"/>
        <w:jc w:val="both"/>
        <w:rPr>
          <w:rFonts w:ascii="Arial" w:hAnsi="Arial" w:cs="Arial"/>
          <w:i/>
          <w:iCs/>
          <w:sz w:val="20"/>
          <w:szCs w:val="20"/>
        </w:rPr>
      </w:pPr>
    </w:p>
    <w:p w14:paraId="087091BD" w14:textId="19862019" w:rsidR="00AF2B5D" w:rsidRPr="00AF2B5D" w:rsidRDefault="00590EF9" w:rsidP="00AF2B5D">
      <w:pPr>
        <w:jc w:val="both"/>
        <w:rPr>
          <w:rFonts w:ascii="Arial" w:hAnsi="Arial" w:cs="Arial"/>
          <w:b/>
          <w:bCs/>
        </w:rPr>
      </w:pPr>
      <w:r w:rsidRPr="00301EE3">
        <w:rPr>
          <w:rFonts w:ascii="Arial" w:hAnsi="Arial" w:cs="Arial"/>
          <w:b/>
          <w:bCs/>
        </w:rPr>
        <w:t xml:space="preserve">Recommendations to the Committee </w:t>
      </w:r>
      <w:r w:rsidR="002F6385" w:rsidRPr="00301EE3">
        <w:rPr>
          <w:rFonts w:ascii="Arial" w:hAnsi="Arial" w:cs="Arial"/>
          <w:b/>
          <w:bCs/>
        </w:rPr>
        <w:t>regarding the State’s duty to provide support to disabled persons to exercise their legal capacity in employment</w:t>
      </w:r>
    </w:p>
    <w:p w14:paraId="560CE30D" w14:textId="025A5D50" w:rsidR="00AF2B5D" w:rsidRPr="00460725" w:rsidRDefault="00AF2B5D" w:rsidP="00917810">
      <w:pPr>
        <w:pStyle w:val="ListParagraph"/>
        <w:numPr>
          <w:ilvl w:val="0"/>
          <w:numId w:val="21"/>
        </w:numPr>
        <w:jc w:val="both"/>
        <w:rPr>
          <w:rFonts w:ascii="Arial" w:hAnsi="Arial" w:cs="Arial"/>
          <w:i/>
          <w:iCs/>
        </w:rPr>
      </w:pPr>
      <w:r>
        <w:rPr>
          <w:rFonts w:ascii="Arial" w:hAnsi="Arial" w:cs="Arial"/>
        </w:rPr>
        <w:t>In light of the issues highlighted in the cases described in paragraphs 5 and 6 above</w:t>
      </w:r>
      <w:r w:rsidR="0003310D">
        <w:rPr>
          <w:rFonts w:ascii="Arial" w:hAnsi="Arial" w:cs="Arial"/>
        </w:rPr>
        <w:t xml:space="preserve">, the Commission </w:t>
      </w:r>
      <w:r w:rsidR="00B8714E">
        <w:rPr>
          <w:rFonts w:ascii="Arial" w:hAnsi="Arial" w:cs="Arial"/>
        </w:rPr>
        <w:t>makes the following recommendations to the Committee on the draft General Comment on Article 27</w:t>
      </w:r>
      <w:r w:rsidR="007D6390">
        <w:rPr>
          <w:rFonts w:ascii="Arial" w:hAnsi="Arial" w:cs="Arial"/>
        </w:rPr>
        <w:t>:</w:t>
      </w:r>
    </w:p>
    <w:p w14:paraId="5FBA689A" w14:textId="77777777" w:rsidR="00460725" w:rsidRPr="00917810" w:rsidRDefault="00460725" w:rsidP="00460725">
      <w:pPr>
        <w:pStyle w:val="ListParagraph"/>
        <w:jc w:val="both"/>
        <w:rPr>
          <w:rFonts w:ascii="Arial" w:hAnsi="Arial" w:cs="Arial"/>
          <w:i/>
          <w:iCs/>
        </w:rPr>
      </w:pPr>
    </w:p>
    <w:p w14:paraId="58C5BB96" w14:textId="2BBD8C27" w:rsidR="00857B71" w:rsidRPr="00A638A4" w:rsidRDefault="1A06A6FD" w:rsidP="00A638A4">
      <w:pPr>
        <w:pStyle w:val="ListParagraph"/>
        <w:numPr>
          <w:ilvl w:val="1"/>
          <w:numId w:val="21"/>
        </w:numPr>
        <w:jc w:val="both"/>
        <w:rPr>
          <w:rFonts w:ascii="Arial" w:hAnsi="Arial" w:cs="Arial"/>
          <w:i/>
          <w:iCs/>
        </w:rPr>
      </w:pPr>
      <w:r w:rsidRPr="1EE3D33F">
        <w:rPr>
          <w:rFonts w:ascii="Arial" w:hAnsi="Arial" w:cs="Arial"/>
        </w:rPr>
        <w:t>States parties should ensure that employment legislation provides for supported decision</w:t>
      </w:r>
      <w:r w:rsidR="786680D7" w:rsidRPr="1EE3D33F">
        <w:rPr>
          <w:rFonts w:ascii="Arial" w:hAnsi="Arial" w:cs="Arial"/>
        </w:rPr>
        <w:t xml:space="preserve">-making services throughout the </w:t>
      </w:r>
      <w:r w:rsidR="36F2E23B" w:rsidRPr="1EE3D33F">
        <w:rPr>
          <w:rFonts w:ascii="Arial" w:hAnsi="Arial" w:cs="Arial"/>
        </w:rPr>
        <w:t xml:space="preserve">pre-employment and </w:t>
      </w:r>
      <w:r w:rsidR="786680D7" w:rsidRPr="1EE3D33F">
        <w:rPr>
          <w:rFonts w:ascii="Arial" w:hAnsi="Arial" w:cs="Arial"/>
        </w:rPr>
        <w:t xml:space="preserve">employment </w:t>
      </w:r>
      <w:r w:rsidR="36F2E23B" w:rsidRPr="1EE3D33F">
        <w:rPr>
          <w:rFonts w:ascii="Arial" w:hAnsi="Arial" w:cs="Arial"/>
        </w:rPr>
        <w:t>relationship</w:t>
      </w:r>
      <w:r w:rsidR="61A263DE" w:rsidRPr="1EE3D33F">
        <w:rPr>
          <w:rFonts w:ascii="Arial" w:hAnsi="Arial" w:cs="Arial"/>
        </w:rPr>
        <w:t xml:space="preserve">, including </w:t>
      </w:r>
      <w:r w:rsidR="538A54D5" w:rsidRPr="1EE3D33F">
        <w:rPr>
          <w:rFonts w:ascii="Arial" w:hAnsi="Arial" w:cs="Arial"/>
        </w:rPr>
        <w:t xml:space="preserve">via </w:t>
      </w:r>
      <w:r w:rsidR="1428AF94" w:rsidRPr="1EE3D33F">
        <w:rPr>
          <w:rFonts w:ascii="Arial" w:hAnsi="Arial" w:cs="Arial"/>
        </w:rPr>
        <w:t xml:space="preserve">the provision of </w:t>
      </w:r>
      <w:r w:rsidR="61A263DE" w:rsidRPr="1EE3D33F">
        <w:rPr>
          <w:rFonts w:ascii="Arial" w:hAnsi="Arial" w:cs="Arial"/>
        </w:rPr>
        <w:t>alternative dispute resolution services</w:t>
      </w:r>
      <w:r w:rsidR="180F0AD2" w:rsidRPr="1EE3D33F">
        <w:rPr>
          <w:rFonts w:ascii="Arial" w:hAnsi="Arial" w:cs="Arial"/>
        </w:rPr>
        <w:t>.</w:t>
      </w:r>
    </w:p>
    <w:p w14:paraId="21B69102" w14:textId="77777777" w:rsidR="00A638A4" w:rsidRPr="00A638A4" w:rsidRDefault="00A638A4" w:rsidP="00A638A4">
      <w:pPr>
        <w:pStyle w:val="ListParagraph"/>
        <w:ind w:left="1440"/>
        <w:jc w:val="both"/>
        <w:rPr>
          <w:rFonts w:ascii="Arial" w:hAnsi="Arial" w:cs="Arial"/>
          <w:i/>
          <w:iCs/>
        </w:rPr>
      </w:pPr>
    </w:p>
    <w:p w14:paraId="2C7327AC" w14:textId="182EB745" w:rsidR="00857B71" w:rsidRPr="000406FC" w:rsidRDefault="1BCD15C1" w:rsidP="1EE3D33F">
      <w:pPr>
        <w:pStyle w:val="ListParagraph"/>
        <w:numPr>
          <w:ilvl w:val="1"/>
          <w:numId w:val="21"/>
        </w:numPr>
        <w:jc w:val="both"/>
        <w:rPr>
          <w:rFonts w:ascii="Arial" w:hAnsi="Arial" w:cs="Arial"/>
          <w:i/>
          <w:iCs/>
        </w:rPr>
      </w:pPr>
      <w:r w:rsidRPr="1EE3D33F">
        <w:rPr>
          <w:rFonts w:ascii="Arial" w:hAnsi="Arial" w:cs="Arial"/>
        </w:rPr>
        <w:t xml:space="preserve">If it is established that a disabled person had entered into an </w:t>
      </w:r>
      <w:r w:rsidR="5245F831" w:rsidRPr="1EE3D33F">
        <w:rPr>
          <w:rFonts w:ascii="Arial" w:hAnsi="Arial" w:cs="Arial"/>
        </w:rPr>
        <w:t>agreement at any stage throughout the employment process</w:t>
      </w:r>
      <w:r w:rsidR="4BEAF42F" w:rsidRPr="1EE3D33F">
        <w:rPr>
          <w:rFonts w:ascii="Arial" w:hAnsi="Arial" w:cs="Arial"/>
        </w:rPr>
        <w:t xml:space="preserve"> without</w:t>
      </w:r>
      <w:r w:rsidR="00FE5BB9">
        <w:rPr>
          <w:rFonts w:ascii="Arial" w:hAnsi="Arial" w:cs="Arial"/>
        </w:rPr>
        <w:t xml:space="preserve"> adequate support/safeguards to exercise</w:t>
      </w:r>
      <w:r w:rsidR="4BEAF42F" w:rsidRPr="1EE3D33F">
        <w:rPr>
          <w:rFonts w:ascii="Arial" w:hAnsi="Arial" w:cs="Arial"/>
        </w:rPr>
        <w:t xml:space="preserve"> full legal capacity – in the absence of adequate supported decision making </w:t>
      </w:r>
      <w:r w:rsidR="55BA37C6" w:rsidRPr="1EE3D33F">
        <w:rPr>
          <w:rFonts w:ascii="Arial" w:hAnsi="Arial" w:cs="Arial"/>
        </w:rPr>
        <w:t>and/or safeguards – the agreement sh</w:t>
      </w:r>
      <w:r w:rsidR="143D951E" w:rsidRPr="1EE3D33F">
        <w:rPr>
          <w:rFonts w:ascii="Arial" w:hAnsi="Arial" w:cs="Arial"/>
        </w:rPr>
        <w:t>ould</w:t>
      </w:r>
      <w:r w:rsidR="55BA37C6" w:rsidRPr="1EE3D33F">
        <w:rPr>
          <w:rFonts w:ascii="Arial" w:hAnsi="Arial" w:cs="Arial"/>
        </w:rPr>
        <w:t xml:space="preserve"> be set aside. </w:t>
      </w:r>
    </w:p>
    <w:p w14:paraId="03C921D8" w14:textId="1DB6C3C5" w:rsidR="00832939" w:rsidRPr="00832939" w:rsidRDefault="00832939" w:rsidP="00832939">
      <w:pPr>
        <w:jc w:val="both"/>
        <w:rPr>
          <w:rFonts w:ascii="Arial" w:hAnsi="Arial" w:cs="Arial"/>
          <w:b/>
        </w:rPr>
      </w:pPr>
      <w:r w:rsidRPr="00B72B41">
        <w:rPr>
          <w:rFonts w:ascii="Arial" w:hAnsi="Arial" w:cs="Arial"/>
          <w:b/>
        </w:rPr>
        <w:t xml:space="preserve">Conclusion </w:t>
      </w:r>
    </w:p>
    <w:p w14:paraId="58036D35" w14:textId="23B62D08" w:rsidR="3A4C78B7" w:rsidRPr="00291852" w:rsidRDefault="00832939" w:rsidP="00BF1F7B">
      <w:pPr>
        <w:pStyle w:val="ListParagraph"/>
        <w:numPr>
          <w:ilvl w:val="0"/>
          <w:numId w:val="21"/>
        </w:numPr>
        <w:jc w:val="both"/>
        <w:rPr>
          <w:rFonts w:ascii="Arial" w:hAnsi="Arial" w:cs="Arial"/>
        </w:rPr>
      </w:pPr>
      <w:r w:rsidRPr="6B7B169F">
        <w:rPr>
          <w:rFonts w:ascii="Arial" w:hAnsi="Arial" w:cs="Arial"/>
        </w:rPr>
        <w:t xml:space="preserve">The Commission encourages the Committee to use the General Comment on Article </w:t>
      </w:r>
      <w:r>
        <w:rPr>
          <w:rFonts w:ascii="Arial" w:hAnsi="Arial" w:cs="Arial"/>
        </w:rPr>
        <w:t>12</w:t>
      </w:r>
      <w:r w:rsidRPr="6B7B169F">
        <w:rPr>
          <w:rFonts w:ascii="Arial" w:hAnsi="Arial" w:cs="Arial"/>
        </w:rPr>
        <w:t xml:space="preserve"> as an opportunity to build on </w:t>
      </w:r>
      <w:r>
        <w:rPr>
          <w:rFonts w:ascii="Arial" w:hAnsi="Arial" w:cs="Arial"/>
        </w:rPr>
        <w:t xml:space="preserve">the Draft General Comment for Article 27, </w:t>
      </w:r>
      <w:r w:rsidRPr="6B7B169F">
        <w:rPr>
          <w:rFonts w:ascii="Arial" w:hAnsi="Arial" w:cs="Arial"/>
        </w:rPr>
        <w:t xml:space="preserve">by considering the linkage between </w:t>
      </w:r>
      <w:r>
        <w:rPr>
          <w:rFonts w:ascii="Arial" w:hAnsi="Arial" w:cs="Arial"/>
        </w:rPr>
        <w:t>the right to work</w:t>
      </w:r>
      <w:r w:rsidR="00817F58">
        <w:rPr>
          <w:rFonts w:ascii="Arial" w:hAnsi="Arial" w:cs="Arial"/>
        </w:rPr>
        <w:t xml:space="preserve"> </w:t>
      </w:r>
      <w:r w:rsidR="00A64358">
        <w:rPr>
          <w:rFonts w:ascii="Arial" w:hAnsi="Arial" w:cs="Arial"/>
        </w:rPr>
        <w:t xml:space="preserve">and broader </w:t>
      </w:r>
      <w:r>
        <w:rPr>
          <w:rFonts w:ascii="Arial" w:hAnsi="Arial" w:cs="Arial"/>
        </w:rPr>
        <w:t xml:space="preserve">employment </w:t>
      </w:r>
      <w:r w:rsidR="00A64358">
        <w:rPr>
          <w:rFonts w:ascii="Arial" w:hAnsi="Arial" w:cs="Arial"/>
        </w:rPr>
        <w:t>issues concerning</w:t>
      </w:r>
      <w:r>
        <w:rPr>
          <w:rFonts w:ascii="Arial" w:hAnsi="Arial" w:cs="Arial"/>
        </w:rPr>
        <w:t xml:space="preserve"> legal capacity</w:t>
      </w:r>
      <w:r w:rsidR="00A64358">
        <w:rPr>
          <w:rFonts w:ascii="Arial" w:hAnsi="Arial" w:cs="Arial"/>
        </w:rPr>
        <w:t xml:space="preserve">. </w:t>
      </w:r>
    </w:p>
    <w:sectPr w:rsidR="3A4C78B7" w:rsidRPr="00291852" w:rsidSect="00B07BEB">
      <w:headerReference w:type="default" r:id="rId13"/>
      <w:footerReference w:type="default" r:id="rId14"/>
      <w:headerReference w:type="first" r:id="rId15"/>
      <w:pgSz w:w="11906" w:h="16838"/>
      <w:pgMar w:top="1440" w:right="1440" w:bottom="1440" w:left="1440" w:header="170" w:footer="2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80E0F" w14:textId="77777777" w:rsidR="009F09B0" w:rsidRDefault="009F09B0" w:rsidP="00872A47">
      <w:pPr>
        <w:spacing w:after="0" w:line="240" w:lineRule="auto"/>
      </w:pPr>
      <w:r>
        <w:separator/>
      </w:r>
    </w:p>
  </w:endnote>
  <w:endnote w:type="continuationSeparator" w:id="0">
    <w:p w14:paraId="7EC539AF" w14:textId="77777777" w:rsidR="009F09B0" w:rsidRDefault="009F09B0" w:rsidP="00872A47">
      <w:pPr>
        <w:spacing w:after="0" w:line="240" w:lineRule="auto"/>
      </w:pPr>
      <w:r>
        <w:continuationSeparator/>
      </w:r>
    </w:p>
  </w:endnote>
  <w:endnote w:type="continuationNotice" w:id="1">
    <w:p w14:paraId="75E8F8CC" w14:textId="77777777" w:rsidR="009F09B0" w:rsidRDefault="009F09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risMacron Italic">
    <w:altName w:val="Arial"/>
    <w:panose1 w:val="00000000000000000000"/>
    <w:charset w:val="00"/>
    <w:family w:val="modern"/>
    <w:notTrueType/>
    <w:pitch w:val="variable"/>
    <w:sig w:usb0="00000001" w:usb1="4000204A" w:usb2="00000000" w:usb3="00000000" w:csb0="0000011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420976"/>
      <w:docPartObj>
        <w:docPartGallery w:val="Page Numbers (Bottom of Page)"/>
        <w:docPartUnique/>
      </w:docPartObj>
    </w:sdtPr>
    <w:sdtEndPr/>
    <w:sdtContent>
      <w:p w14:paraId="22E68ECD" w14:textId="1F8A3329" w:rsidR="00921CF7" w:rsidRDefault="00DA1EB1">
        <w:pPr>
          <w:pStyle w:val="Footer"/>
          <w:jc w:val="center"/>
        </w:pPr>
        <w:r>
          <w:fldChar w:fldCharType="begin"/>
        </w:r>
        <w:r w:rsidR="00C31490">
          <w:instrText xml:space="preserve"> PAGE   \* MERGEFORMAT </w:instrText>
        </w:r>
        <w:r>
          <w:fldChar w:fldCharType="separate"/>
        </w:r>
        <w:r w:rsidR="006C70F9">
          <w:rPr>
            <w:noProof/>
          </w:rPr>
          <w:t>4</w:t>
        </w:r>
        <w:r>
          <w:rPr>
            <w:noProof/>
          </w:rPr>
          <w:fldChar w:fldCharType="end"/>
        </w:r>
      </w:p>
    </w:sdtContent>
  </w:sdt>
  <w:p w14:paraId="020109F8" w14:textId="77777777" w:rsidR="00921CF7" w:rsidRDefault="00921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B2F9E" w14:textId="77777777" w:rsidR="009F09B0" w:rsidRDefault="009F09B0" w:rsidP="00872A47">
      <w:pPr>
        <w:spacing w:after="0" w:line="240" w:lineRule="auto"/>
      </w:pPr>
      <w:r>
        <w:separator/>
      </w:r>
    </w:p>
  </w:footnote>
  <w:footnote w:type="continuationSeparator" w:id="0">
    <w:p w14:paraId="72B57C10" w14:textId="77777777" w:rsidR="009F09B0" w:rsidRDefault="009F09B0" w:rsidP="00872A47">
      <w:pPr>
        <w:spacing w:after="0" w:line="240" w:lineRule="auto"/>
      </w:pPr>
      <w:r>
        <w:continuationSeparator/>
      </w:r>
    </w:p>
  </w:footnote>
  <w:footnote w:type="continuationNotice" w:id="1">
    <w:p w14:paraId="45504930" w14:textId="77777777" w:rsidR="009F09B0" w:rsidRDefault="009F09B0">
      <w:pPr>
        <w:spacing w:after="0" w:line="240" w:lineRule="auto"/>
      </w:pPr>
    </w:p>
  </w:footnote>
  <w:footnote w:id="2">
    <w:p w14:paraId="41665DF9" w14:textId="7F47A026" w:rsidR="00CB17B7" w:rsidRPr="00EA2E99" w:rsidRDefault="009A236C">
      <w:pPr>
        <w:pStyle w:val="FootnoteText"/>
        <w:rPr>
          <w:rFonts w:ascii="Arial" w:hAnsi="Arial" w:cs="Arial"/>
          <w:sz w:val="18"/>
          <w:szCs w:val="18"/>
          <w:lang w:val="en-US"/>
        </w:rPr>
      </w:pPr>
      <w:r w:rsidRPr="00EA2E99">
        <w:rPr>
          <w:rStyle w:val="FootnoteReference"/>
          <w:rFonts w:ascii="Arial" w:hAnsi="Arial" w:cs="Arial"/>
          <w:sz w:val="18"/>
          <w:szCs w:val="18"/>
        </w:rPr>
        <w:footnoteRef/>
      </w:r>
      <w:r w:rsidRPr="00EA2E99">
        <w:rPr>
          <w:rFonts w:ascii="Arial" w:hAnsi="Arial" w:cs="Arial"/>
          <w:sz w:val="18"/>
          <w:szCs w:val="18"/>
        </w:rPr>
        <w:t xml:space="preserve"> </w:t>
      </w:r>
      <w:r w:rsidRPr="00EA2E99">
        <w:rPr>
          <w:rFonts w:ascii="Arial" w:hAnsi="Arial" w:cs="Arial"/>
          <w:i/>
          <w:sz w:val="18"/>
          <w:szCs w:val="18"/>
          <w:lang w:val="en-US"/>
        </w:rPr>
        <w:t xml:space="preserve">TUV v </w:t>
      </w:r>
      <w:r w:rsidR="000B64F0" w:rsidRPr="00EA2E99">
        <w:rPr>
          <w:rFonts w:ascii="Arial" w:hAnsi="Arial" w:cs="Arial"/>
          <w:i/>
          <w:sz w:val="18"/>
          <w:szCs w:val="18"/>
          <w:lang w:val="en-US"/>
        </w:rPr>
        <w:t xml:space="preserve">The Chief of New Zealand </w:t>
      </w:r>
      <w:proofErr w:type="spellStart"/>
      <w:r w:rsidR="000B64F0" w:rsidRPr="00EA2E99">
        <w:rPr>
          <w:rFonts w:ascii="Arial" w:hAnsi="Arial" w:cs="Arial"/>
          <w:i/>
          <w:sz w:val="18"/>
          <w:szCs w:val="18"/>
          <w:lang w:val="en-US"/>
        </w:rPr>
        <w:t>Defence</w:t>
      </w:r>
      <w:proofErr w:type="spellEnd"/>
      <w:r w:rsidR="000B64F0" w:rsidRPr="00EA2E99">
        <w:rPr>
          <w:rFonts w:ascii="Arial" w:hAnsi="Arial" w:cs="Arial"/>
          <w:i/>
          <w:sz w:val="18"/>
          <w:szCs w:val="18"/>
          <w:lang w:val="en-US"/>
        </w:rPr>
        <w:t xml:space="preserve"> Force</w:t>
      </w:r>
      <w:r w:rsidR="000B64F0" w:rsidRPr="00EA2E99">
        <w:rPr>
          <w:rFonts w:ascii="Arial" w:hAnsi="Arial" w:cs="Arial"/>
          <w:sz w:val="18"/>
          <w:szCs w:val="18"/>
          <w:lang w:val="en-US"/>
        </w:rPr>
        <w:t xml:space="preserve"> </w:t>
      </w:r>
      <w:r w:rsidR="00783E51" w:rsidRPr="00EA2E99">
        <w:rPr>
          <w:rFonts w:ascii="Arial" w:hAnsi="Arial" w:cs="Arial"/>
          <w:sz w:val="18"/>
          <w:szCs w:val="18"/>
          <w:lang w:val="en-US"/>
        </w:rPr>
        <w:t>SC</w:t>
      </w:r>
      <w:r w:rsidR="00CB17B7" w:rsidRPr="00EA2E99">
        <w:rPr>
          <w:rFonts w:ascii="Arial" w:hAnsi="Arial" w:cs="Arial"/>
          <w:sz w:val="18"/>
          <w:szCs w:val="18"/>
          <w:lang w:val="en-US"/>
        </w:rPr>
        <w:t xml:space="preserve"> CIV</w:t>
      </w:r>
      <w:r w:rsidR="00783E51" w:rsidRPr="00EA2E99">
        <w:rPr>
          <w:rFonts w:ascii="Arial" w:hAnsi="Arial" w:cs="Arial"/>
          <w:sz w:val="18"/>
          <w:szCs w:val="18"/>
          <w:lang w:val="en-US"/>
        </w:rPr>
        <w:t xml:space="preserve"> 14/2020</w:t>
      </w:r>
      <w:r w:rsidR="00CB17B7" w:rsidRPr="00EA2E99">
        <w:rPr>
          <w:rFonts w:ascii="Arial" w:hAnsi="Arial" w:cs="Arial"/>
          <w:sz w:val="18"/>
          <w:szCs w:val="18"/>
          <w:lang w:val="en-US"/>
        </w:rPr>
        <w:t>,</w:t>
      </w:r>
      <w:r w:rsidR="00ED30E8" w:rsidRPr="00EA2E99">
        <w:rPr>
          <w:rFonts w:ascii="Arial" w:hAnsi="Arial" w:cs="Arial"/>
          <w:sz w:val="18"/>
          <w:szCs w:val="18"/>
          <w:lang w:val="en-US"/>
        </w:rPr>
        <w:t xml:space="preserve"> 8 September 2020</w:t>
      </w:r>
      <w:r w:rsidR="00A40879" w:rsidRPr="00EA2E99">
        <w:rPr>
          <w:rFonts w:ascii="Arial" w:hAnsi="Arial" w:cs="Arial"/>
          <w:sz w:val="18"/>
          <w:szCs w:val="18"/>
          <w:lang w:val="en-US"/>
        </w:rPr>
        <w:t xml:space="preserve">; </w:t>
      </w:r>
      <w:r w:rsidR="00B07A48" w:rsidRPr="00EA2E99">
        <w:rPr>
          <w:rFonts w:ascii="Arial" w:hAnsi="Arial" w:cs="Arial"/>
          <w:i/>
          <w:sz w:val="18"/>
          <w:szCs w:val="18"/>
          <w:lang w:val="en-US"/>
        </w:rPr>
        <w:t>Fleming v Attorney-General</w:t>
      </w:r>
      <w:r w:rsidR="00B07A48" w:rsidRPr="00EA2E99">
        <w:rPr>
          <w:rFonts w:ascii="Arial" w:hAnsi="Arial" w:cs="Arial"/>
          <w:sz w:val="18"/>
          <w:szCs w:val="18"/>
          <w:lang w:val="en-US"/>
        </w:rPr>
        <w:t xml:space="preserve"> </w:t>
      </w:r>
      <w:r w:rsidR="0047363B" w:rsidRPr="00EA2E99">
        <w:rPr>
          <w:rFonts w:ascii="Arial" w:hAnsi="Arial" w:cs="Arial"/>
          <w:sz w:val="18"/>
          <w:szCs w:val="18"/>
          <w:lang w:val="en-US"/>
        </w:rPr>
        <w:t>[20</w:t>
      </w:r>
      <w:r w:rsidR="00F974E9" w:rsidRPr="00EA2E99">
        <w:rPr>
          <w:rFonts w:ascii="Arial" w:hAnsi="Arial" w:cs="Arial"/>
          <w:sz w:val="18"/>
          <w:szCs w:val="18"/>
          <w:lang w:val="en-US"/>
        </w:rPr>
        <w:t>20</w:t>
      </w:r>
      <w:r w:rsidR="0047363B" w:rsidRPr="00EA2E99">
        <w:rPr>
          <w:rFonts w:ascii="Arial" w:hAnsi="Arial" w:cs="Arial"/>
          <w:sz w:val="18"/>
          <w:szCs w:val="18"/>
          <w:lang w:val="en-US"/>
        </w:rPr>
        <w:t xml:space="preserve">] </w:t>
      </w:r>
      <w:proofErr w:type="spellStart"/>
      <w:r w:rsidR="0047363B" w:rsidRPr="00EA2E99">
        <w:rPr>
          <w:rFonts w:ascii="Arial" w:hAnsi="Arial" w:cs="Arial"/>
          <w:sz w:val="18"/>
          <w:szCs w:val="18"/>
          <w:lang w:val="en-US"/>
        </w:rPr>
        <w:t>NZEmp</w:t>
      </w:r>
      <w:r w:rsidR="00B31275" w:rsidRPr="00EA2E99">
        <w:rPr>
          <w:rFonts w:ascii="Arial" w:hAnsi="Arial" w:cs="Arial"/>
          <w:sz w:val="18"/>
          <w:szCs w:val="18"/>
          <w:lang w:val="en-US"/>
        </w:rPr>
        <w:t>C</w:t>
      </w:r>
      <w:proofErr w:type="spellEnd"/>
      <w:r w:rsidR="00B31275" w:rsidRPr="00EA2E99">
        <w:rPr>
          <w:rFonts w:ascii="Arial" w:hAnsi="Arial" w:cs="Arial"/>
          <w:sz w:val="18"/>
          <w:szCs w:val="18"/>
          <w:lang w:val="en-US"/>
        </w:rPr>
        <w:t xml:space="preserve"> </w:t>
      </w:r>
      <w:r w:rsidR="00962777" w:rsidRPr="00EA2E99">
        <w:rPr>
          <w:rFonts w:ascii="Arial" w:hAnsi="Arial" w:cs="Arial"/>
          <w:sz w:val="18"/>
          <w:szCs w:val="18"/>
          <w:lang w:val="en-US"/>
        </w:rPr>
        <w:t>340</w:t>
      </w:r>
      <w:r w:rsidR="008B576B" w:rsidRPr="00EA2E99">
        <w:rPr>
          <w:rFonts w:ascii="Arial" w:hAnsi="Arial" w:cs="Arial"/>
          <w:sz w:val="18"/>
          <w:szCs w:val="18"/>
          <w:lang w:val="en-US"/>
        </w:rPr>
        <w:t xml:space="preserve">, </w:t>
      </w:r>
      <w:r w:rsidR="00752121" w:rsidRPr="00EA2E99">
        <w:rPr>
          <w:rFonts w:ascii="Arial" w:hAnsi="Arial" w:cs="Arial"/>
          <w:sz w:val="18"/>
          <w:szCs w:val="18"/>
          <w:lang w:val="en-US"/>
        </w:rPr>
        <w:t xml:space="preserve">18 December 2020. </w:t>
      </w:r>
    </w:p>
  </w:footnote>
  <w:footnote w:id="3">
    <w:p w14:paraId="6E9FD361" w14:textId="7CDC6927" w:rsidR="00906DF6" w:rsidRPr="00EA2E99" w:rsidRDefault="00906DF6">
      <w:pPr>
        <w:pStyle w:val="FootnoteText"/>
        <w:rPr>
          <w:rFonts w:ascii="Arial" w:hAnsi="Arial" w:cs="Arial"/>
          <w:sz w:val="18"/>
          <w:szCs w:val="18"/>
        </w:rPr>
      </w:pPr>
      <w:r w:rsidRPr="00EA2E99">
        <w:rPr>
          <w:rStyle w:val="FootnoteReference"/>
          <w:rFonts w:ascii="Arial" w:hAnsi="Arial" w:cs="Arial"/>
          <w:sz w:val="18"/>
          <w:szCs w:val="18"/>
        </w:rPr>
        <w:footnoteRef/>
      </w:r>
      <w:r w:rsidRPr="00EA2E99">
        <w:rPr>
          <w:rFonts w:ascii="Arial" w:hAnsi="Arial" w:cs="Arial"/>
          <w:sz w:val="18"/>
          <w:szCs w:val="18"/>
        </w:rPr>
        <w:t xml:space="preserve"> </w:t>
      </w:r>
      <w:proofErr w:type="gramStart"/>
      <w:r w:rsidRPr="00EA2E99">
        <w:rPr>
          <w:rFonts w:ascii="Arial" w:hAnsi="Arial" w:cs="Arial"/>
          <w:sz w:val="18"/>
          <w:szCs w:val="18"/>
          <w:lang w:val="en-GB"/>
        </w:rPr>
        <w:t>Under s 5(2)</w:t>
      </w:r>
      <w:r w:rsidR="00A7100D" w:rsidRPr="00EA2E99">
        <w:rPr>
          <w:rFonts w:ascii="Arial" w:hAnsi="Arial" w:cs="Arial"/>
          <w:sz w:val="18"/>
          <w:szCs w:val="18"/>
          <w:lang w:val="en-GB"/>
        </w:rPr>
        <w:t>(j)</w:t>
      </w:r>
      <w:r w:rsidR="006E26DE" w:rsidRPr="00EA2E99">
        <w:rPr>
          <w:rFonts w:ascii="Arial" w:hAnsi="Arial" w:cs="Arial"/>
          <w:sz w:val="18"/>
          <w:szCs w:val="18"/>
          <w:lang w:val="en-GB"/>
        </w:rPr>
        <w:t xml:space="preserve"> of the Human Rights Act 1993 (HRA)</w:t>
      </w:r>
      <w:r w:rsidR="00A7100D" w:rsidRPr="00EA2E99">
        <w:rPr>
          <w:rFonts w:ascii="Arial" w:hAnsi="Arial" w:cs="Arial"/>
          <w:sz w:val="18"/>
          <w:szCs w:val="18"/>
          <w:lang w:val="en-GB"/>
        </w:rPr>
        <w:t>, the Commission may apply to</w:t>
      </w:r>
      <w:r w:rsidR="00EB638D" w:rsidRPr="00EA2E99">
        <w:rPr>
          <w:rFonts w:ascii="Arial" w:hAnsi="Arial" w:cs="Arial"/>
          <w:sz w:val="18"/>
          <w:szCs w:val="18"/>
          <w:lang w:val="en-GB"/>
        </w:rPr>
        <w:t xml:space="preserve"> a court or tribunal to</w:t>
      </w:r>
      <w:r w:rsidR="00A7100D" w:rsidRPr="00EA2E99">
        <w:rPr>
          <w:rFonts w:ascii="Arial" w:hAnsi="Arial" w:cs="Arial"/>
          <w:sz w:val="18"/>
          <w:szCs w:val="18"/>
          <w:lang w:val="en-GB"/>
        </w:rPr>
        <w:t xml:space="preserve"> be appointed as intervener</w:t>
      </w:r>
      <w:r w:rsidR="00EB638D" w:rsidRPr="00EA2E99">
        <w:rPr>
          <w:rFonts w:ascii="Arial" w:hAnsi="Arial" w:cs="Arial"/>
          <w:sz w:val="18"/>
          <w:szCs w:val="18"/>
          <w:lang w:val="en-GB"/>
        </w:rPr>
        <w:t xml:space="preserve"> or as counsel assisting the court or tribunal</w:t>
      </w:r>
      <w:r w:rsidR="00921378" w:rsidRPr="00EA2E99">
        <w:rPr>
          <w:rFonts w:ascii="Arial" w:hAnsi="Arial" w:cs="Arial"/>
          <w:sz w:val="18"/>
          <w:szCs w:val="18"/>
          <w:lang w:val="en-GB"/>
        </w:rPr>
        <w:t xml:space="preserve"> if, in the Commission’s opinion</w:t>
      </w:r>
      <w:r w:rsidR="00A524FB" w:rsidRPr="00EA2E99">
        <w:rPr>
          <w:rFonts w:ascii="Arial" w:hAnsi="Arial" w:cs="Arial"/>
          <w:sz w:val="18"/>
          <w:szCs w:val="18"/>
          <w:lang w:val="en-GB"/>
        </w:rPr>
        <w:t xml:space="preserve">, taking </w:t>
      </w:r>
      <w:r w:rsidR="00107674" w:rsidRPr="00EA2E99">
        <w:rPr>
          <w:rFonts w:ascii="Arial" w:hAnsi="Arial" w:cs="Arial"/>
          <w:sz w:val="18"/>
          <w:szCs w:val="18"/>
          <w:lang w:val="en-GB"/>
        </w:rPr>
        <w:t>part in the proceeding</w:t>
      </w:r>
      <w:r w:rsidR="003F4A61" w:rsidRPr="00EA2E99">
        <w:rPr>
          <w:rFonts w:ascii="Arial" w:hAnsi="Arial" w:cs="Arial"/>
          <w:sz w:val="18"/>
          <w:szCs w:val="18"/>
          <w:lang w:val="en-GB"/>
        </w:rPr>
        <w:t>s</w:t>
      </w:r>
      <w:r w:rsidR="00C26AD3" w:rsidRPr="00EA2E99">
        <w:rPr>
          <w:rFonts w:ascii="Arial" w:hAnsi="Arial" w:cs="Arial"/>
          <w:sz w:val="18"/>
          <w:szCs w:val="18"/>
          <w:lang w:val="en-GB"/>
        </w:rPr>
        <w:t xml:space="preserve"> in that way will facilitate the performance of its functions under s </w:t>
      </w:r>
      <w:r w:rsidR="00F63B5E" w:rsidRPr="00EA2E99">
        <w:rPr>
          <w:rFonts w:ascii="Arial" w:hAnsi="Arial" w:cs="Arial"/>
          <w:sz w:val="18"/>
          <w:szCs w:val="18"/>
          <w:lang w:val="en-GB"/>
        </w:rPr>
        <w:t xml:space="preserve">5(2)(a): to </w:t>
      </w:r>
      <w:r w:rsidR="00BC711C" w:rsidRPr="00EA2E99">
        <w:rPr>
          <w:rFonts w:ascii="Arial" w:hAnsi="Arial" w:cs="Arial"/>
          <w:sz w:val="18"/>
          <w:szCs w:val="18"/>
          <w:lang w:val="en-GB"/>
        </w:rPr>
        <w:t>be an advocate for human rights and to promote and protect, by education and</w:t>
      </w:r>
      <w:r w:rsidR="00094E88" w:rsidRPr="00EA2E99">
        <w:rPr>
          <w:rFonts w:ascii="Arial" w:hAnsi="Arial" w:cs="Arial"/>
          <w:sz w:val="18"/>
          <w:szCs w:val="18"/>
          <w:lang w:val="en-GB"/>
        </w:rPr>
        <w:t xml:space="preserve"> publicity</w:t>
      </w:r>
      <w:r w:rsidR="00C804A0" w:rsidRPr="00EA2E99">
        <w:rPr>
          <w:rFonts w:ascii="Arial" w:hAnsi="Arial" w:cs="Arial"/>
          <w:sz w:val="18"/>
          <w:szCs w:val="18"/>
          <w:lang w:val="en-GB"/>
        </w:rPr>
        <w:t>, respect for</w:t>
      </w:r>
      <w:r w:rsidR="00D5343E" w:rsidRPr="00EA2E99">
        <w:rPr>
          <w:rFonts w:ascii="Arial" w:hAnsi="Arial" w:cs="Arial"/>
          <w:sz w:val="18"/>
          <w:szCs w:val="18"/>
          <w:lang w:val="en-GB"/>
        </w:rPr>
        <w:t>, and</w:t>
      </w:r>
      <w:r w:rsidR="00036AFB" w:rsidRPr="00EA2E99">
        <w:rPr>
          <w:rFonts w:ascii="Arial" w:hAnsi="Arial" w:cs="Arial"/>
          <w:sz w:val="18"/>
          <w:szCs w:val="18"/>
          <w:lang w:val="en-GB"/>
        </w:rPr>
        <w:t xml:space="preserve"> </w:t>
      </w:r>
      <w:r w:rsidR="00A33E63" w:rsidRPr="00EA2E99">
        <w:rPr>
          <w:rFonts w:ascii="Arial" w:hAnsi="Arial" w:cs="Arial"/>
          <w:sz w:val="18"/>
          <w:szCs w:val="18"/>
          <w:lang w:val="en-GB"/>
        </w:rPr>
        <w:t>observance</w:t>
      </w:r>
      <w:r w:rsidR="009B6CBF" w:rsidRPr="00EA2E99">
        <w:rPr>
          <w:rFonts w:ascii="Arial" w:hAnsi="Arial" w:cs="Arial"/>
          <w:sz w:val="18"/>
          <w:szCs w:val="18"/>
          <w:lang w:val="en-GB"/>
        </w:rPr>
        <w:t xml:space="preserve"> of, human rights.</w:t>
      </w:r>
      <w:proofErr w:type="gramEnd"/>
      <w:r w:rsidR="009B6CBF" w:rsidRPr="00EA2E99">
        <w:rPr>
          <w:rFonts w:ascii="Arial" w:hAnsi="Arial" w:cs="Arial"/>
          <w:sz w:val="18"/>
          <w:szCs w:val="18"/>
        </w:rPr>
        <w:t xml:space="preserve"> </w:t>
      </w:r>
    </w:p>
  </w:footnote>
  <w:footnote w:id="4">
    <w:p w14:paraId="70111233" w14:textId="239504D4" w:rsidR="00835368" w:rsidRPr="00EA2E99" w:rsidRDefault="00835368" w:rsidP="00835368">
      <w:pPr>
        <w:pStyle w:val="FootnoteText"/>
        <w:rPr>
          <w:rFonts w:ascii="Arial" w:hAnsi="Arial" w:cs="Arial"/>
          <w:sz w:val="18"/>
          <w:szCs w:val="18"/>
          <w:lang w:val="en-US"/>
        </w:rPr>
      </w:pPr>
      <w:r w:rsidRPr="00EA2E99">
        <w:rPr>
          <w:rStyle w:val="FootnoteReference"/>
          <w:rFonts w:ascii="Arial" w:hAnsi="Arial" w:cs="Arial"/>
          <w:sz w:val="18"/>
          <w:szCs w:val="18"/>
        </w:rPr>
        <w:footnoteRef/>
      </w:r>
      <w:r w:rsidRPr="00EA2E99">
        <w:rPr>
          <w:rFonts w:ascii="Arial" w:hAnsi="Arial" w:cs="Arial"/>
          <w:sz w:val="18"/>
          <w:szCs w:val="18"/>
        </w:rPr>
        <w:t xml:space="preserve"> </w:t>
      </w:r>
      <w:r w:rsidRPr="00EA2E99">
        <w:rPr>
          <w:rFonts w:ascii="Arial" w:hAnsi="Arial" w:cs="Arial"/>
          <w:sz w:val="18"/>
          <w:szCs w:val="18"/>
          <w:lang w:val="en-US"/>
        </w:rPr>
        <w:t>Above</w:t>
      </w:r>
      <w:r w:rsidR="0042679C">
        <w:rPr>
          <w:rFonts w:ascii="Arial" w:hAnsi="Arial" w:cs="Arial"/>
          <w:sz w:val="18"/>
          <w:szCs w:val="18"/>
          <w:lang w:val="en-US"/>
        </w:rPr>
        <w:t xml:space="preserve"> n </w:t>
      </w:r>
      <w:proofErr w:type="gramStart"/>
      <w:r w:rsidR="0042679C">
        <w:rPr>
          <w:rFonts w:ascii="Arial" w:hAnsi="Arial" w:cs="Arial"/>
          <w:sz w:val="18"/>
          <w:szCs w:val="18"/>
          <w:lang w:val="en-US"/>
        </w:rPr>
        <w:t>1</w:t>
      </w:r>
      <w:proofErr w:type="gramEnd"/>
      <w:r w:rsidRPr="00EA2E99">
        <w:rPr>
          <w:rFonts w:ascii="Arial" w:hAnsi="Arial" w:cs="Arial"/>
          <w:sz w:val="18"/>
          <w:szCs w:val="18"/>
          <w:lang w:val="en-US"/>
        </w:rPr>
        <w:t>.</w:t>
      </w:r>
    </w:p>
  </w:footnote>
  <w:footnote w:id="5">
    <w:p w14:paraId="2D28110E" w14:textId="2B28FEA0" w:rsidR="00B2650D" w:rsidRPr="00EA2E99" w:rsidRDefault="00B2650D">
      <w:pPr>
        <w:pStyle w:val="FootnoteText"/>
        <w:rPr>
          <w:rFonts w:ascii="Arial" w:hAnsi="Arial" w:cs="Arial"/>
          <w:sz w:val="18"/>
          <w:szCs w:val="18"/>
          <w:lang w:val="en-US"/>
        </w:rPr>
      </w:pPr>
      <w:r w:rsidRPr="00EA2E99">
        <w:rPr>
          <w:rStyle w:val="FootnoteReference"/>
          <w:rFonts w:ascii="Arial" w:hAnsi="Arial" w:cs="Arial"/>
          <w:sz w:val="18"/>
          <w:szCs w:val="18"/>
        </w:rPr>
        <w:footnoteRef/>
      </w:r>
      <w:r w:rsidRPr="00EA2E99">
        <w:rPr>
          <w:rFonts w:ascii="Arial" w:hAnsi="Arial" w:cs="Arial"/>
          <w:sz w:val="18"/>
          <w:szCs w:val="18"/>
        </w:rPr>
        <w:t xml:space="preserve"> </w:t>
      </w:r>
      <w:r w:rsidRPr="00EA2E99">
        <w:rPr>
          <w:rFonts w:ascii="Arial" w:hAnsi="Arial" w:cs="Arial"/>
          <w:sz w:val="18"/>
          <w:szCs w:val="18"/>
          <w:lang w:val="en-US"/>
        </w:rPr>
        <w:t>Above</w:t>
      </w:r>
      <w:r w:rsidR="0042679C">
        <w:rPr>
          <w:rFonts w:ascii="Arial" w:hAnsi="Arial" w:cs="Arial"/>
          <w:sz w:val="18"/>
          <w:szCs w:val="18"/>
          <w:lang w:val="en-US"/>
        </w:rPr>
        <w:t xml:space="preserve"> n </w:t>
      </w:r>
      <w:proofErr w:type="gramStart"/>
      <w:r w:rsidR="0042679C">
        <w:rPr>
          <w:rFonts w:ascii="Arial" w:hAnsi="Arial" w:cs="Arial"/>
          <w:sz w:val="18"/>
          <w:szCs w:val="18"/>
          <w:lang w:val="en-US"/>
        </w:rPr>
        <w:t>1</w:t>
      </w:r>
      <w:proofErr w:type="gramEnd"/>
      <w:r w:rsidRPr="00EA2E99">
        <w:rPr>
          <w:rFonts w:ascii="Arial" w:hAnsi="Arial" w:cs="Arial"/>
          <w:sz w:val="18"/>
          <w:szCs w:val="18"/>
          <w:lang w:val="en-US"/>
        </w:rPr>
        <w:t xml:space="preserve">. </w:t>
      </w:r>
    </w:p>
  </w:footnote>
  <w:footnote w:id="6">
    <w:p w14:paraId="7290228A" w14:textId="7F004F69" w:rsidR="00CE4A33" w:rsidRPr="00CE4A33" w:rsidRDefault="00CE4A33">
      <w:pPr>
        <w:pStyle w:val="FootnoteText"/>
        <w:rPr>
          <w:lang w:val="en-US"/>
        </w:rPr>
      </w:pPr>
      <w:r>
        <w:rPr>
          <w:rStyle w:val="FootnoteReference"/>
        </w:rPr>
        <w:footnoteRef/>
      </w:r>
      <w:r>
        <w:t xml:space="preserve"> </w:t>
      </w:r>
      <w:r w:rsidRPr="00EA2E99">
        <w:rPr>
          <w:rFonts w:ascii="Arial" w:hAnsi="Arial" w:cs="Arial"/>
          <w:sz w:val="18"/>
          <w:szCs w:val="18"/>
          <w:lang w:val="en-GB"/>
        </w:rPr>
        <w:t xml:space="preserve">In 2012, in </w:t>
      </w:r>
      <w:r w:rsidRPr="00EA2E99">
        <w:rPr>
          <w:rFonts w:ascii="Arial" w:hAnsi="Arial" w:cs="Arial"/>
          <w:i/>
          <w:iCs/>
          <w:sz w:val="18"/>
          <w:szCs w:val="18"/>
          <w:lang w:val="en-GB"/>
        </w:rPr>
        <w:t>Ministry of Health v Atkinson</w:t>
      </w:r>
      <w:r w:rsidRPr="00EA2E99">
        <w:rPr>
          <w:rFonts w:ascii="Arial" w:hAnsi="Arial" w:cs="Arial"/>
          <w:sz w:val="18"/>
          <w:szCs w:val="18"/>
          <w:lang w:val="en-GB"/>
        </w:rPr>
        <w:t xml:space="preserve"> [2012] NZCA 184, the New Zealand Court of Appeal affirmed that the policy of not paying resident family members to provide disability support services to adult disabled family members constituted unjustifiable discrimination </w:t>
      </w:r>
      <w:proofErr w:type="gramStart"/>
      <w:r w:rsidRPr="00EA2E99">
        <w:rPr>
          <w:rFonts w:ascii="Arial" w:hAnsi="Arial" w:cs="Arial"/>
          <w:sz w:val="18"/>
          <w:szCs w:val="18"/>
          <w:lang w:val="en-GB"/>
        </w:rPr>
        <w:t>on the basis of</w:t>
      </w:r>
      <w:proofErr w:type="gramEnd"/>
      <w:r w:rsidRPr="00EA2E99">
        <w:rPr>
          <w:rFonts w:ascii="Arial" w:hAnsi="Arial" w:cs="Arial"/>
          <w:sz w:val="18"/>
          <w:szCs w:val="18"/>
          <w:lang w:val="en-GB"/>
        </w:rPr>
        <w:t xml:space="preserve"> family status. This led to the controversial Public Health and Disability Amendment Act 2013 (Part 4A) then allowed for payment to some family caregivers, but under strict </w:t>
      </w:r>
      <w:proofErr w:type="gramStart"/>
      <w:r w:rsidRPr="00EA2E99">
        <w:rPr>
          <w:rFonts w:ascii="Arial" w:hAnsi="Arial" w:cs="Arial"/>
          <w:sz w:val="18"/>
          <w:szCs w:val="18"/>
          <w:lang w:val="en-GB"/>
        </w:rPr>
        <w:t>conditions which</w:t>
      </w:r>
      <w:proofErr w:type="gramEnd"/>
      <w:r w:rsidRPr="00EA2E99">
        <w:rPr>
          <w:rFonts w:ascii="Arial" w:hAnsi="Arial" w:cs="Arial"/>
          <w:sz w:val="18"/>
          <w:szCs w:val="18"/>
          <w:lang w:val="en-GB"/>
        </w:rPr>
        <w:t xml:space="preserve"> required the disabled person to employ their caregiver. Part 4A </w:t>
      </w:r>
      <w:proofErr w:type="gramStart"/>
      <w:r w:rsidRPr="00EA2E99">
        <w:rPr>
          <w:rFonts w:ascii="Arial" w:hAnsi="Arial" w:cs="Arial"/>
          <w:sz w:val="18"/>
          <w:szCs w:val="18"/>
          <w:lang w:val="en-GB"/>
        </w:rPr>
        <w:t>was repealed</w:t>
      </w:r>
      <w:proofErr w:type="gramEnd"/>
      <w:r w:rsidRPr="00EA2E99">
        <w:rPr>
          <w:rFonts w:ascii="Arial" w:hAnsi="Arial" w:cs="Arial"/>
          <w:sz w:val="18"/>
          <w:szCs w:val="18"/>
          <w:lang w:val="en-GB"/>
        </w:rPr>
        <w:t xml:space="preserve"> in August 2020. Now family carers </w:t>
      </w:r>
      <w:proofErr w:type="gramStart"/>
      <w:r w:rsidRPr="00EA2E99">
        <w:rPr>
          <w:rFonts w:ascii="Arial" w:hAnsi="Arial" w:cs="Arial"/>
          <w:sz w:val="18"/>
          <w:szCs w:val="18"/>
          <w:lang w:val="en-GB"/>
        </w:rPr>
        <w:t>may be paid</w:t>
      </w:r>
      <w:proofErr w:type="gramEnd"/>
      <w:r w:rsidRPr="00EA2E99">
        <w:rPr>
          <w:rFonts w:ascii="Arial" w:hAnsi="Arial" w:cs="Arial"/>
          <w:sz w:val="18"/>
          <w:szCs w:val="18"/>
          <w:lang w:val="en-GB"/>
        </w:rPr>
        <w:t xml:space="preserve"> under the Individualised Funding model, which also requires a disabled person to employ their carer.</w:t>
      </w:r>
    </w:p>
  </w:footnote>
  <w:footnote w:id="7">
    <w:p w14:paraId="651855F4" w14:textId="09D1CB65" w:rsidR="00A03DD5" w:rsidRPr="00EA2E99" w:rsidRDefault="00A03DD5" w:rsidP="00A03DD5">
      <w:pPr>
        <w:pStyle w:val="FootnoteText"/>
        <w:rPr>
          <w:rFonts w:ascii="Arial" w:hAnsi="Arial" w:cs="Arial"/>
          <w:sz w:val="18"/>
          <w:szCs w:val="18"/>
          <w:lang w:val="en-GB"/>
        </w:rPr>
      </w:pPr>
      <w:r w:rsidRPr="00EA2E99">
        <w:rPr>
          <w:rStyle w:val="FootnoteReference"/>
          <w:rFonts w:ascii="Arial" w:hAnsi="Arial" w:cs="Arial"/>
          <w:sz w:val="18"/>
          <w:szCs w:val="18"/>
        </w:rPr>
        <w:footnoteRef/>
      </w:r>
      <w:r w:rsidRPr="00EA2E99">
        <w:rPr>
          <w:rFonts w:ascii="Arial" w:hAnsi="Arial" w:cs="Arial"/>
          <w:sz w:val="18"/>
          <w:szCs w:val="18"/>
        </w:rPr>
        <w:t xml:space="preserve"> </w:t>
      </w:r>
      <w:r w:rsidRPr="00EA2E99">
        <w:rPr>
          <w:rFonts w:ascii="Arial" w:hAnsi="Arial" w:cs="Arial"/>
          <w:sz w:val="18"/>
          <w:szCs w:val="18"/>
          <w:lang w:val="en-US"/>
        </w:rPr>
        <w:t xml:space="preserve">Committee on the Rights of Persons with Disabilities, </w:t>
      </w:r>
      <w:r w:rsidRPr="00EA2E99">
        <w:rPr>
          <w:rFonts w:ascii="Arial" w:hAnsi="Arial" w:cs="Arial"/>
          <w:sz w:val="18"/>
          <w:szCs w:val="18"/>
          <w:lang w:val="en-GB"/>
        </w:rPr>
        <w:t>General comment No. 6 (2018) on equality and non-discrimination, CRPD/C/GC/6, 26 April 2018 at [47]</w:t>
      </w:r>
      <w:r w:rsidR="004557A0" w:rsidRPr="00EA2E99">
        <w:rPr>
          <w:rFonts w:ascii="Arial" w:hAnsi="Arial" w:cs="Arial"/>
          <w:sz w:val="18"/>
          <w:szCs w:val="18"/>
          <w:lang w:val="en-GB"/>
        </w:rPr>
        <w:t xml:space="preserve">. </w:t>
      </w:r>
      <w:proofErr w:type="gramStart"/>
      <w:r w:rsidR="004557A0" w:rsidRPr="00EA2E99">
        <w:rPr>
          <w:rFonts w:ascii="Arial" w:hAnsi="Arial" w:cs="Arial"/>
          <w:sz w:val="18"/>
          <w:szCs w:val="18"/>
          <w:lang w:val="en-GB"/>
        </w:rPr>
        <w:t>General Comment No 1 on Article 12 defines legal capacity as including the capacity to be a ‘holder of rights’, entitling ‘the person to full protection of his or her rights by the legal system’, and the capacity to be ‘an actor under law’, recognised ‘as an agent with the power to engage in transactions’ and ‘in general to create, modify or end legal relationships’</w:t>
      </w:r>
      <w:r w:rsidR="00976C6B">
        <w:rPr>
          <w:rFonts w:ascii="Arial" w:hAnsi="Arial" w:cs="Arial"/>
          <w:sz w:val="18"/>
          <w:szCs w:val="18"/>
          <w:lang w:val="en-GB"/>
        </w:rPr>
        <w:t xml:space="preserve">: </w:t>
      </w:r>
      <w:r w:rsidR="00976C6B" w:rsidRPr="00EA2E99">
        <w:rPr>
          <w:rFonts w:ascii="Arial" w:hAnsi="Arial" w:cs="Arial"/>
          <w:sz w:val="18"/>
          <w:szCs w:val="18"/>
          <w:lang w:val="en-US"/>
        </w:rPr>
        <w:t xml:space="preserve">Committee on the Rights of Persons with Disabilities, </w:t>
      </w:r>
      <w:r w:rsidR="00976C6B" w:rsidRPr="00EA2E99">
        <w:rPr>
          <w:rFonts w:ascii="Arial" w:hAnsi="Arial" w:cs="Arial"/>
          <w:sz w:val="18"/>
          <w:szCs w:val="18"/>
          <w:lang w:val="en-GB"/>
        </w:rPr>
        <w:t>General comment No. 1 (2014)</w:t>
      </w:r>
      <w:r w:rsidR="00976C6B" w:rsidRPr="00EA2E99">
        <w:rPr>
          <w:rFonts w:ascii="Arial" w:hAnsi="Arial" w:cs="Arial"/>
          <w:i/>
          <w:iCs/>
          <w:sz w:val="18"/>
          <w:szCs w:val="18"/>
          <w:lang w:val="en-GB"/>
        </w:rPr>
        <w:t xml:space="preserve"> Article 12: Equal Recognition before the Law </w:t>
      </w:r>
      <w:r w:rsidR="00976C6B" w:rsidRPr="00EA2E99">
        <w:rPr>
          <w:rFonts w:ascii="Arial" w:hAnsi="Arial" w:cs="Arial"/>
          <w:sz w:val="18"/>
          <w:szCs w:val="18"/>
          <w:lang w:val="en-GB"/>
        </w:rPr>
        <w:t>CRPD/C/GC/1, 19 May 2014</w:t>
      </w:r>
      <w:r w:rsidR="003E06D7">
        <w:rPr>
          <w:rFonts w:ascii="Arial" w:hAnsi="Arial" w:cs="Arial"/>
          <w:sz w:val="18"/>
          <w:szCs w:val="18"/>
          <w:lang w:val="en-GB"/>
        </w:rPr>
        <w:t>, at [12].</w:t>
      </w:r>
      <w:proofErr w:type="gramEnd"/>
    </w:p>
  </w:footnote>
  <w:footnote w:id="8">
    <w:p w14:paraId="3920102A" w14:textId="460EB84F" w:rsidR="00BF1F7B" w:rsidRPr="00EA2E99" w:rsidRDefault="00BF1F7B" w:rsidP="00BF1F7B">
      <w:pPr>
        <w:pStyle w:val="FootnoteText"/>
        <w:rPr>
          <w:rFonts w:ascii="Arial" w:hAnsi="Arial" w:cs="Arial"/>
          <w:sz w:val="18"/>
          <w:szCs w:val="18"/>
          <w:lang w:val="en-US"/>
        </w:rPr>
      </w:pPr>
      <w:r w:rsidRPr="00EA2E99">
        <w:rPr>
          <w:rStyle w:val="FootnoteReference"/>
          <w:rFonts w:ascii="Arial" w:hAnsi="Arial" w:cs="Arial"/>
          <w:sz w:val="18"/>
          <w:szCs w:val="18"/>
        </w:rPr>
        <w:footnoteRef/>
      </w:r>
      <w:r w:rsidRPr="00EA2E99">
        <w:rPr>
          <w:rFonts w:ascii="Arial" w:hAnsi="Arial" w:cs="Arial"/>
          <w:sz w:val="18"/>
          <w:szCs w:val="18"/>
        </w:rPr>
        <w:t xml:space="preserve"> The Committee’s General Comment No 1 on article 12 makes this clear, providing that States Parties must “provide persons with disabilities access to the support necessary to enable them to make decisions that have legal effect</w:t>
      </w:r>
      <w:r w:rsidR="00976C6B">
        <w:rPr>
          <w:rFonts w:ascii="Arial" w:hAnsi="Arial" w:cs="Arial"/>
          <w:sz w:val="18"/>
          <w:szCs w:val="18"/>
        </w:rPr>
        <w:t xml:space="preserve">, </w:t>
      </w:r>
      <w:r w:rsidRPr="00EA2E99">
        <w:rPr>
          <w:rFonts w:ascii="Arial" w:hAnsi="Arial" w:cs="Arial"/>
          <w:sz w:val="18"/>
          <w:szCs w:val="18"/>
          <w:lang w:val="en-GB"/>
        </w:rPr>
        <w:t>at [16]</w:t>
      </w:r>
      <w:r w:rsidR="004D59BC">
        <w:rPr>
          <w:rFonts w:ascii="Arial" w:hAnsi="Arial" w:cs="Arial"/>
          <w:sz w:val="18"/>
          <w:szCs w:val="18"/>
          <w:lang w:val="en-GB"/>
        </w:rPr>
        <w:t>.</w:t>
      </w:r>
    </w:p>
  </w:footnote>
  <w:footnote w:id="9">
    <w:p w14:paraId="6EDC024C" w14:textId="77777777" w:rsidR="00B24B20" w:rsidRPr="00EA2E99" w:rsidRDefault="00B24B20" w:rsidP="00B24B20">
      <w:pPr>
        <w:pStyle w:val="FootnoteText"/>
        <w:jc w:val="both"/>
        <w:rPr>
          <w:rFonts w:ascii="Arial" w:hAnsi="Arial" w:cs="Arial"/>
          <w:sz w:val="18"/>
          <w:szCs w:val="18"/>
        </w:rPr>
      </w:pPr>
      <w:r w:rsidRPr="00EA2E99">
        <w:rPr>
          <w:rStyle w:val="FootnoteReference"/>
          <w:rFonts w:ascii="Arial" w:hAnsi="Arial" w:cs="Arial"/>
          <w:sz w:val="18"/>
          <w:szCs w:val="18"/>
        </w:rPr>
        <w:footnoteRef/>
      </w:r>
      <w:r w:rsidRPr="00EA2E99">
        <w:rPr>
          <w:rFonts w:ascii="Arial" w:hAnsi="Arial" w:cs="Arial"/>
          <w:sz w:val="18"/>
          <w:szCs w:val="18"/>
        </w:rPr>
        <w:t xml:space="preserve"> </w:t>
      </w:r>
      <w:r w:rsidRPr="00EA2E99">
        <w:rPr>
          <w:rFonts w:ascii="Arial" w:hAnsi="Arial" w:cs="Arial"/>
          <w:i/>
          <w:iCs/>
          <w:sz w:val="18"/>
          <w:szCs w:val="18"/>
          <w:lang w:val="en-US"/>
        </w:rPr>
        <w:t xml:space="preserve">Committee on the Rights of Persons with Disabilities, </w:t>
      </w:r>
      <w:r w:rsidRPr="00EA2E99">
        <w:rPr>
          <w:rFonts w:ascii="Arial" w:hAnsi="Arial" w:cs="Arial"/>
          <w:i/>
          <w:iCs/>
          <w:sz w:val="18"/>
          <w:szCs w:val="18"/>
          <w:lang w:val="en-GB"/>
        </w:rPr>
        <w:t>General comment No. 1 on Article 12: equal recognition before the law</w:t>
      </w:r>
      <w:r w:rsidRPr="00EA2E99">
        <w:rPr>
          <w:rFonts w:ascii="Arial" w:hAnsi="Arial" w:cs="Arial"/>
          <w:sz w:val="18"/>
          <w:szCs w:val="18"/>
          <w:lang w:val="en-GB"/>
        </w:rPr>
        <w:t xml:space="preserve"> UN Doc CRPD/C/GC/1 (19 May 2014) </w:t>
      </w:r>
      <w:r w:rsidRPr="00EA2E99">
        <w:rPr>
          <w:rFonts w:ascii="Arial" w:hAnsi="Arial" w:cs="Arial"/>
          <w:sz w:val="18"/>
          <w:szCs w:val="18"/>
          <w:lang w:val="mi-NZ"/>
        </w:rPr>
        <w:t>at [29].</w:t>
      </w:r>
    </w:p>
  </w:footnote>
  <w:footnote w:id="10">
    <w:p w14:paraId="7A32487E" w14:textId="121554A6" w:rsidR="001B4D2B" w:rsidRPr="00EA2E99" w:rsidRDefault="001B4D2B" w:rsidP="001B4D2B">
      <w:pPr>
        <w:pStyle w:val="FootnoteText"/>
        <w:jc w:val="both"/>
        <w:rPr>
          <w:rFonts w:ascii="Arial" w:hAnsi="Arial" w:cs="Arial"/>
          <w:sz w:val="18"/>
          <w:szCs w:val="18"/>
        </w:rPr>
      </w:pPr>
      <w:r w:rsidRPr="00EA2E99">
        <w:rPr>
          <w:rStyle w:val="FootnoteReference"/>
          <w:rFonts w:ascii="Arial" w:hAnsi="Arial" w:cs="Arial"/>
          <w:sz w:val="18"/>
          <w:szCs w:val="18"/>
        </w:rPr>
        <w:footnoteRef/>
      </w:r>
      <w:r w:rsidRPr="00EA2E99">
        <w:rPr>
          <w:rFonts w:ascii="Arial" w:hAnsi="Arial" w:cs="Arial"/>
          <w:sz w:val="18"/>
          <w:szCs w:val="18"/>
        </w:rPr>
        <w:t xml:space="preserve"> </w:t>
      </w:r>
      <w:r w:rsidR="0014374A">
        <w:rPr>
          <w:rFonts w:ascii="Arial" w:hAnsi="Arial" w:cs="Arial"/>
          <w:sz w:val="18"/>
          <w:szCs w:val="18"/>
          <w:lang w:val="en-GB"/>
        </w:rPr>
        <w:t>A</w:t>
      </w:r>
      <w:r w:rsidRPr="00EA2E99">
        <w:rPr>
          <w:rFonts w:ascii="Arial" w:hAnsi="Arial" w:cs="Arial"/>
          <w:sz w:val="18"/>
          <w:szCs w:val="18"/>
          <w:lang w:val="en-GB"/>
        </w:rPr>
        <w:t xml:space="preserve">t </w:t>
      </w:r>
      <w:r w:rsidRPr="00EA2E99">
        <w:rPr>
          <w:rFonts w:ascii="Arial" w:hAnsi="Arial" w:cs="Arial"/>
          <w:sz w:val="18"/>
          <w:szCs w:val="18"/>
          <w:lang w:val="mi-NZ"/>
        </w:rPr>
        <w:t>[20].</w:t>
      </w:r>
    </w:p>
  </w:footnote>
  <w:footnote w:id="11">
    <w:p w14:paraId="044C2E75" w14:textId="07318625" w:rsidR="00984376" w:rsidRPr="00EA2E99" w:rsidRDefault="00984376" w:rsidP="00984376">
      <w:pPr>
        <w:pStyle w:val="FootnoteText"/>
        <w:jc w:val="both"/>
        <w:rPr>
          <w:rFonts w:ascii="Arial" w:hAnsi="Arial" w:cs="Arial"/>
          <w:sz w:val="18"/>
          <w:szCs w:val="18"/>
        </w:rPr>
      </w:pPr>
      <w:r w:rsidRPr="00EA2E99">
        <w:rPr>
          <w:rStyle w:val="FootnoteReference"/>
          <w:rFonts w:ascii="Arial" w:hAnsi="Arial" w:cs="Arial"/>
          <w:sz w:val="18"/>
          <w:szCs w:val="18"/>
        </w:rPr>
        <w:footnoteRef/>
      </w:r>
      <w:r w:rsidRPr="00EA2E99">
        <w:rPr>
          <w:rFonts w:ascii="Arial" w:hAnsi="Arial" w:cs="Arial"/>
          <w:sz w:val="18"/>
          <w:szCs w:val="18"/>
        </w:rPr>
        <w:t xml:space="preserve"> </w:t>
      </w:r>
      <w:r w:rsidRPr="00EA2E99">
        <w:rPr>
          <w:rFonts w:ascii="Arial" w:hAnsi="Arial" w:cs="Arial"/>
          <w:i/>
          <w:sz w:val="18"/>
          <w:szCs w:val="18"/>
        </w:rPr>
        <w:t>Report of the Special Rapporteur on the rights of persons with disabilities</w:t>
      </w:r>
      <w:r w:rsidRPr="00EA2E99">
        <w:rPr>
          <w:rFonts w:ascii="Arial" w:hAnsi="Arial" w:cs="Arial"/>
          <w:sz w:val="18"/>
          <w:szCs w:val="18"/>
        </w:rPr>
        <w:t xml:space="preserve"> UN Doc A/HRC/31/6</w:t>
      </w:r>
      <w:r w:rsidR="00483E66">
        <w:rPr>
          <w:rFonts w:ascii="Arial" w:hAnsi="Arial" w:cs="Arial"/>
          <w:sz w:val="18"/>
          <w:szCs w:val="18"/>
        </w:rPr>
        <w:t>2</w:t>
      </w:r>
      <w:r w:rsidRPr="00EA2E99">
        <w:rPr>
          <w:rFonts w:ascii="Arial" w:hAnsi="Arial" w:cs="Arial"/>
          <w:sz w:val="18"/>
          <w:szCs w:val="18"/>
        </w:rPr>
        <w:t xml:space="preserve"> (12 January 2016) at </w:t>
      </w:r>
      <w:r w:rsidR="003D1186">
        <w:rPr>
          <w:rFonts w:ascii="Arial" w:hAnsi="Arial" w:cs="Arial"/>
          <w:sz w:val="18"/>
          <w:szCs w:val="18"/>
        </w:rPr>
        <w:t xml:space="preserve">[13], </w:t>
      </w:r>
      <w:r w:rsidRPr="00EA2E99">
        <w:rPr>
          <w:rFonts w:ascii="Arial" w:hAnsi="Arial" w:cs="Arial"/>
          <w:sz w:val="18"/>
          <w:szCs w:val="18"/>
        </w:rPr>
        <w:t>[1</w:t>
      </w:r>
      <w:r w:rsidR="00483E66">
        <w:rPr>
          <w:rFonts w:ascii="Arial" w:hAnsi="Arial" w:cs="Arial"/>
          <w:sz w:val="18"/>
          <w:szCs w:val="18"/>
        </w:rPr>
        <w:t>5</w:t>
      </w:r>
      <w:r w:rsidRPr="00EA2E99">
        <w:rPr>
          <w:rFonts w:ascii="Arial" w:hAnsi="Arial" w:cs="Arial"/>
          <w:sz w:val="18"/>
          <w:szCs w:val="18"/>
        </w:rPr>
        <w:t xml:space="preserve">]. </w:t>
      </w:r>
    </w:p>
  </w:footnote>
  <w:footnote w:id="12">
    <w:p w14:paraId="799EF769" w14:textId="2DEFA170" w:rsidR="00984376" w:rsidRPr="00EA2E99" w:rsidRDefault="00984376" w:rsidP="00984376">
      <w:pPr>
        <w:pStyle w:val="FootnoteText"/>
        <w:jc w:val="both"/>
        <w:rPr>
          <w:rFonts w:ascii="Arial" w:hAnsi="Arial" w:cs="Arial"/>
          <w:sz w:val="18"/>
          <w:szCs w:val="18"/>
        </w:rPr>
      </w:pPr>
      <w:r w:rsidRPr="00EA2E99">
        <w:rPr>
          <w:rStyle w:val="FootnoteReference"/>
          <w:rFonts w:ascii="Arial" w:hAnsi="Arial" w:cs="Arial"/>
          <w:sz w:val="18"/>
          <w:szCs w:val="18"/>
        </w:rPr>
        <w:footnoteRef/>
      </w:r>
      <w:r w:rsidRPr="00EA2E99">
        <w:rPr>
          <w:rFonts w:ascii="Arial" w:hAnsi="Arial" w:cs="Arial"/>
          <w:sz w:val="18"/>
          <w:szCs w:val="18"/>
        </w:rPr>
        <w:t xml:space="preserve"> </w:t>
      </w:r>
      <w:r w:rsidR="0014374A">
        <w:rPr>
          <w:rFonts w:ascii="Arial" w:hAnsi="Arial" w:cs="Arial"/>
          <w:iCs/>
          <w:sz w:val="18"/>
          <w:szCs w:val="18"/>
        </w:rPr>
        <w:t>At</w:t>
      </w:r>
      <w:r w:rsidRPr="00EA2E99">
        <w:rPr>
          <w:rFonts w:ascii="Arial" w:hAnsi="Arial" w:cs="Arial"/>
          <w:sz w:val="18"/>
          <w:szCs w:val="18"/>
        </w:rPr>
        <w:t xml:space="preserve"> [75].</w:t>
      </w:r>
    </w:p>
  </w:footnote>
  <w:footnote w:id="13">
    <w:p w14:paraId="6286627A" w14:textId="37E78B93" w:rsidR="00984376" w:rsidRPr="00EA2E99" w:rsidRDefault="00984376" w:rsidP="00984376">
      <w:pPr>
        <w:pStyle w:val="FootnoteText"/>
        <w:jc w:val="both"/>
        <w:rPr>
          <w:rFonts w:ascii="Arial" w:hAnsi="Arial" w:cs="Arial"/>
          <w:sz w:val="18"/>
          <w:szCs w:val="18"/>
        </w:rPr>
      </w:pPr>
      <w:r w:rsidRPr="00EA2E99">
        <w:rPr>
          <w:rStyle w:val="FootnoteReference"/>
          <w:rFonts w:ascii="Arial" w:hAnsi="Arial" w:cs="Arial"/>
          <w:sz w:val="18"/>
          <w:szCs w:val="18"/>
        </w:rPr>
        <w:footnoteRef/>
      </w:r>
      <w:r w:rsidRPr="00EA2E99">
        <w:rPr>
          <w:rFonts w:ascii="Arial" w:hAnsi="Arial" w:cs="Arial"/>
          <w:sz w:val="18"/>
          <w:szCs w:val="18"/>
        </w:rPr>
        <w:t xml:space="preserve"> </w:t>
      </w:r>
      <w:r w:rsidR="0014374A">
        <w:rPr>
          <w:rFonts w:ascii="Arial" w:hAnsi="Arial" w:cs="Arial"/>
          <w:sz w:val="18"/>
          <w:szCs w:val="18"/>
        </w:rPr>
        <w:t>At</w:t>
      </w:r>
      <w:r w:rsidRPr="00EA2E99">
        <w:rPr>
          <w:rFonts w:ascii="Arial" w:hAnsi="Arial" w:cs="Arial"/>
          <w:sz w:val="18"/>
          <w:szCs w:val="18"/>
        </w:rPr>
        <w:t xml:space="preserve"> [76].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3CBEF" w14:textId="77777777" w:rsidR="003B58B6" w:rsidRDefault="003B58B6">
    <w:pPr>
      <w:pStyle w:val="Header"/>
      <w:jc w:val="center"/>
    </w:pPr>
  </w:p>
  <w:p w14:paraId="23233F8E" w14:textId="77777777" w:rsidR="00AC1B7E" w:rsidRDefault="00AC1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ABDF8" w14:textId="77777777" w:rsidR="003B58B6" w:rsidRDefault="003B58B6">
    <w:pPr>
      <w:pStyle w:val="Header"/>
    </w:pPr>
  </w:p>
  <w:p w14:paraId="09E6BA20" w14:textId="77777777" w:rsidR="003B58B6" w:rsidRDefault="003B58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552"/>
    <w:multiLevelType w:val="hybridMultilevel"/>
    <w:tmpl w:val="D9B0D37C"/>
    <w:lvl w:ilvl="0" w:tplc="EE62CDC6">
      <w:start w:val="1"/>
      <w:numFmt w:val="decimal"/>
      <w:lvlText w:val="%1."/>
      <w:lvlJc w:val="left"/>
      <w:pPr>
        <w:ind w:left="786" w:hanging="360"/>
      </w:pPr>
      <w:rPr>
        <w:rFonts w:ascii="Times New Roman" w:hAnsi="Times New Roman" w:cs="Times New Roman" w:hint="default"/>
        <w:b w:val="0"/>
        <w:sz w:val="22"/>
        <w:szCs w:val="22"/>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6383CCD"/>
    <w:multiLevelType w:val="hybridMultilevel"/>
    <w:tmpl w:val="789A3030"/>
    <w:lvl w:ilvl="0" w:tplc="E6CCD8F2">
      <w:start w:val="1"/>
      <w:numFmt w:val="decimal"/>
      <w:lvlText w:val="%1."/>
      <w:lvlJc w:val="left"/>
      <w:pPr>
        <w:ind w:left="1070" w:hanging="360"/>
      </w:pPr>
      <w:rPr>
        <w:rFonts w:hint="default"/>
        <w:b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8E01903"/>
    <w:multiLevelType w:val="hybridMultilevel"/>
    <w:tmpl w:val="4D0C3E82"/>
    <w:lvl w:ilvl="0" w:tplc="F5A2FACC">
      <w:start w:val="1"/>
      <w:numFmt w:val="decimal"/>
      <w:lvlText w:val="%1."/>
      <w:lvlJc w:val="left"/>
      <w:pPr>
        <w:ind w:left="2160" w:hanging="360"/>
      </w:pPr>
      <w:rPr>
        <w:rFonts w:hint="default"/>
        <w:b w:val="0"/>
        <w:bCs w:val="0"/>
        <w:i w:val="0"/>
        <w:iCs w:val="0"/>
      </w:rPr>
    </w:lvl>
    <w:lvl w:ilvl="1" w:tplc="5100E98E">
      <w:start w:val="1"/>
      <w:numFmt w:val="lowerLetter"/>
      <w:lvlText w:val="(%2)"/>
      <w:lvlJc w:val="left"/>
      <w:pPr>
        <w:ind w:left="2880" w:hanging="360"/>
      </w:pPr>
      <w:rPr>
        <w:rFonts w:ascii="Arial" w:eastAsiaTheme="minorHAnsi" w:hAnsi="Arial" w:cs="Arial"/>
      </w:rPr>
    </w:lvl>
    <w:lvl w:ilvl="2" w:tplc="1409001B">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3" w15:restartNumberingAfterBreak="0">
    <w:nsid w:val="0DBC16FE"/>
    <w:multiLevelType w:val="hybridMultilevel"/>
    <w:tmpl w:val="921EE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44F41"/>
    <w:multiLevelType w:val="hybridMultilevel"/>
    <w:tmpl w:val="A4003A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96F67D8"/>
    <w:multiLevelType w:val="hybridMultilevel"/>
    <w:tmpl w:val="CD945FDA"/>
    <w:lvl w:ilvl="0" w:tplc="1A7A28F6">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1A630C2B"/>
    <w:multiLevelType w:val="hybridMultilevel"/>
    <w:tmpl w:val="0E9E2F3A"/>
    <w:lvl w:ilvl="0" w:tplc="FFFFFFFF">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127C4F"/>
    <w:multiLevelType w:val="hybridMultilevel"/>
    <w:tmpl w:val="43BC10AA"/>
    <w:lvl w:ilvl="0" w:tplc="5F20BFD2">
      <w:start w:val="1"/>
      <w:numFmt w:val="decimal"/>
      <w:lvlText w:val="%1."/>
      <w:lvlJc w:val="left"/>
      <w:pPr>
        <w:ind w:left="720" w:hanging="360"/>
      </w:pPr>
      <w:rPr>
        <w:rFonts w:ascii="Arial" w:hAnsi="Arial" w:cs="Arial" w:hint="default"/>
        <w:i w:val="0"/>
        <w:iCs w:val="0"/>
        <w:sz w:val="22"/>
        <w:szCs w:val="22"/>
        <w:vertAlign w:val="baseline"/>
      </w:rPr>
    </w:lvl>
    <w:lvl w:ilvl="1" w:tplc="BBEAB43C">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80766"/>
    <w:multiLevelType w:val="hybridMultilevel"/>
    <w:tmpl w:val="A9022D24"/>
    <w:lvl w:ilvl="0" w:tplc="EE667710">
      <w:start w:val="1"/>
      <w:numFmt w:val="decimal"/>
      <w:lvlText w:val="%1."/>
      <w:lvlJc w:val="left"/>
      <w:pPr>
        <w:ind w:left="360" w:hanging="360"/>
      </w:pPr>
      <w:rPr>
        <w:rFonts w:hint="default"/>
        <w:b w:val="0"/>
        <w:vertAlign w:val="baseline"/>
      </w:rPr>
    </w:lvl>
    <w:lvl w:ilvl="1" w:tplc="14090019">
      <w:start w:val="1"/>
      <w:numFmt w:val="lowerLetter"/>
      <w:lvlText w:val="%2."/>
      <w:lvlJc w:val="left"/>
      <w:pPr>
        <w:ind w:left="1297" w:hanging="360"/>
      </w:pPr>
    </w:lvl>
    <w:lvl w:ilvl="2" w:tplc="1409001B" w:tentative="1">
      <w:start w:val="1"/>
      <w:numFmt w:val="lowerRoman"/>
      <w:lvlText w:val="%3."/>
      <w:lvlJc w:val="right"/>
      <w:pPr>
        <w:ind w:left="2017" w:hanging="180"/>
      </w:pPr>
    </w:lvl>
    <w:lvl w:ilvl="3" w:tplc="1409000F" w:tentative="1">
      <w:start w:val="1"/>
      <w:numFmt w:val="decimal"/>
      <w:lvlText w:val="%4."/>
      <w:lvlJc w:val="left"/>
      <w:pPr>
        <w:ind w:left="2737" w:hanging="360"/>
      </w:pPr>
    </w:lvl>
    <w:lvl w:ilvl="4" w:tplc="14090019" w:tentative="1">
      <w:start w:val="1"/>
      <w:numFmt w:val="lowerLetter"/>
      <w:lvlText w:val="%5."/>
      <w:lvlJc w:val="left"/>
      <w:pPr>
        <w:ind w:left="3457" w:hanging="360"/>
      </w:pPr>
    </w:lvl>
    <w:lvl w:ilvl="5" w:tplc="1409001B" w:tentative="1">
      <w:start w:val="1"/>
      <w:numFmt w:val="lowerRoman"/>
      <w:lvlText w:val="%6."/>
      <w:lvlJc w:val="right"/>
      <w:pPr>
        <w:ind w:left="4177" w:hanging="180"/>
      </w:pPr>
    </w:lvl>
    <w:lvl w:ilvl="6" w:tplc="1409000F" w:tentative="1">
      <w:start w:val="1"/>
      <w:numFmt w:val="decimal"/>
      <w:lvlText w:val="%7."/>
      <w:lvlJc w:val="left"/>
      <w:pPr>
        <w:ind w:left="4897" w:hanging="360"/>
      </w:pPr>
    </w:lvl>
    <w:lvl w:ilvl="7" w:tplc="14090019" w:tentative="1">
      <w:start w:val="1"/>
      <w:numFmt w:val="lowerLetter"/>
      <w:lvlText w:val="%8."/>
      <w:lvlJc w:val="left"/>
      <w:pPr>
        <w:ind w:left="5617" w:hanging="360"/>
      </w:pPr>
    </w:lvl>
    <w:lvl w:ilvl="8" w:tplc="1409001B" w:tentative="1">
      <w:start w:val="1"/>
      <w:numFmt w:val="lowerRoman"/>
      <w:lvlText w:val="%9."/>
      <w:lvlJc w:val="right"/>
      <w:pPr>
        <w:ind w:left="6337" w:hanging="180"/>
      </w:pPr>
    </w:lvl>
  </w:abstractNum>
  <w:abstractNum w:abstractNumId="9" w15:restartNumberingAfterBreak="0">
    <w:nsid w:val="271F108E"/>
    <w:multiLevelType w:val="hybridMultilevel"/>
    <w:tmpl w:val="13A60EF0"/>
    <w:lvl w:ilvl="0" w:tplc="5F20BFD2">
      <w:start w:val="1"/>
      <w:numFmt w:val="decimal"/>
      <w:lvlText w:val="%1."/>
      <w:lvlJc w:val="left"/>
      <w:pPr>
        <w:ind w:left="720" w:hanging="360"/>
      </w:pPr>
      <w:rPr>
        <w:rFonts w:ascii="Arial" w:hAnsi="Arial" w:cs="Arial" w:hint="default"/>
        <w:i w:val="0"/>
        <w:iCs w:val="0"/>
        <w:sz w:val="22"/>
        <w:szCs w:val="22"/>
        <w:vertAlign w:val="baseline"/>
      </w:rPr>
    </w:lvl>
    <w:lvl w:ilvl="1" w:tplc="04090019">
      <w:start w:val="1"/>
      <w:numFmt w:val="lowerLetter"/>
      <w:lvlText w:val="%2."/>
      <w:lvlJc w:val="left"/>
      <w:pPr>
        <w:ind w:left="1440" w:hanging="360"/>
      </w:pPr>
    </w:lvl>
    <w:lvl w:ilvl="2" w:tplc="72C44ECE">
      <w:start w:val="14"/>
      <w:numFmt w:val="bullet"/>
      <w:lvlText w:val="-"/>
      <w:lvlJc w:val="left"/>
      <w:pPr>
        <w:ind w:left="2340" w:hanging="360"/>
      </w:pPr>
      <w:rPr>
        <w:rFonts w:ascii="Arial" w:eastAsiaTheme="minorEastAsia"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53238"/>
    <w:multiLevelType w:val="hybridMultilevel"/>
    <w:tmpl w:val="A95CD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1A5C38"/>
    <w:multiLevelType w:val="multilevel"/>
    <w:tmpl w:val="2870AD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9E1F66"/>
    <w:multiLevelType w:val="hybridMultilevel"/>
    <w:tmpl w:val="E1842778"/>
    <w:lvl w:ilvl="0" w:tplc="BF4EA01C">
      <w:start w:val="1"/>
      <w:numFmt w:val="lowerLetter"/>
      <w:lvlText w:val="%1."/>
      <w:lvlJc w:val="left"/>
      <w:pPr>
        <w:ind w:left="1080" w:hanging="360"/>
      </w:pPr>
      <w:rPr>
        <w:rFonts w:hint="default"/>
        <w:color w:val="000000" w:themeColor="text1"/>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3" w15:restartNumberingAfterBreak="0">
    <w:nsid w:val="3D8018F6"/>
    <w:multiLevelType w:val="hybridMultilevel"/>
    <w:tmpl w:val="E10E949E"/>
    <w:lvl w:ilvl="0" w:tplc="2FE4BA54">
      <w:start w:val="1"/>
      <w:numFmt w:val="decimal"/>
      <w:lvlText w:val="%1."/>
      <w:lvlJc w:val="left"/>
      <w:pPr>
        <w:ind w:left="2160" w:hanging="360"/>
      </w:pPr>
      <w:rPr>
        <w:rFonts w:ascii="Arial" w:hAnsi="Arial" w:cs="Arial" w:hint="default"/>
        <w:b w:val="0"/>
        <w:bCs w:val="0"/>
        <w:i w:val="0"/>
        <w:iCs w:val="0"/>
      </w:rPr>
    </w:lvl>
    <w:lvl w:ilvl="1" w:tplc="0CAEEAD2">
      <w:start w:val="1"/>
      <w:numFmt w:val="lowerLetter"/>
      <w:lvlText w:val="(%2)"/>
      <w:lvlJc w:val="left"/>
      <w:pPr>
        <w:ind w:left="2880" w:hanging="360"/>
      </w:pPr>
      <w:rPr>
        <w:rFonts w:ascii="Arial" w:eastAsiaTheme="minorHAnsi" w:hAnsi="Arial" w:cs="Arial"/>
      </w:rPr>
    </w:lvl>
    <w:lvl w:ilvl="2" w:tplc="1409001B">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14" w15:restartNumberingAfterBreak="0">
    <w:nsid w:val="3FE44AF5"/>
    <w:multiLevelType w:val="hybridMultilevel"/>
    <w:tmpl w:val="A2B219BA"/>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5" w15:restartNumberingAfterBreak="0">
    <w:nsid w:val="400C4D7F"/>
    <w:multiLevelType w:val="hybridMultilevel"/>
    <w:tmpl w:val="ABB6F66C"/>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6" w15:restartNumberingAfterBreak="0">
    <w:nsid w:val="403C77BC"/>
    <w:multiLevelType w:val="multilevel"/>
    <w:tmpl w:val="0D78FD42"/>
    <w:lvl w:ilvl="0">
      <w:start w:val="1"/>
      <w:numFmt w:val="decimal"/>
      <w:pStyle w:val="Heading1"/>
      <w:lvlText w:val="%1."/>
      <w:lvlJc w:val="left"/>
      <w:pPr>
        <w:tabs>
          <w:tab w:val="num" w:pos="850"/>
        </w:tabs>
        <w:ind w:left="850" w:hanging="850"/>
      </w:pPr>
      <w:rPr>
        <w:rFonts w:ascii="Arial" w:hAnsi="Arial" w:cs="Arial" w:hint="default"/>
        <w:b w:val="0"/>
        <w:i w:val="0"/>
        <w:caps w:val="0"/>
        <w:strike w:val="0"/>
        <w:dstrike w:val="0"/>
        <w:vanish w:val="0"/>
        <w:color w:val="auto"/>
        <w:kern w:val="28"/>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tabs>
          <w:tab w:val="num" w:pos="1701"/>
        </w:tabs>
        <w:ind w:left="1701" w:hanging="851"/>
      </w:pPr>
      <w:rPr>
        <w:rFonts w:ascii="Arial" w:hAnsi="Arial" w:cs="Arial" w:hint="default"/>
        <w:b w:val="0"/>
        <w:i w:val="0"/>
        <w:caps w:val="0"/>
        <w:strike w:val="0"/>
        <w:dstrike w:val="0"/>
        <w:vanish w:val="0"/>
        <w:color w:val="auto"/>
        <w:kern w:val="28"/>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2551"/>
        </w:tabs>
        <w:ind w:left="2551" w:hanging="850"/>
      </w:pPr>
      <w:rPr>
        <w:rFonts w:ascii="Arial" w:hAnsi="Arial" w:cs="Arial"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pStyle w:val="Heading4"/>
      <w:lvlText w:val="(%4)"/>
      <w:lvlJc w:val="left"/>
      <w:pPr>
        <w:tabs>
          <w:tab w:val="num" w:pos="3402"/>
        </w:tabs>
        <w:ind w:left="3402" w:hanging="851"/>
      </w:pPr>
      <w:rPr>
        <w:rFonts w:ascii="Arial" w:hAnsi="Arial" w:cs="Arial"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lvlText w:val=""/>
      <w:lvlJc w:val="left"/>
      <w:pPr>
        <w:tabs>
          <w:tab w:val="num" w:pos="3402"/>
        </w:tabs>
        <w:ind w:left="3402" w:firstLine="0"/>
      </w:pPr>
      <w:rPr>
        <w:rFonts w:ascii="Arial" w:hAnsi="Arial" w:cs="Arial"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w:hAnsi="Arial" w:cs="Arial"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w:hAnsi="Arial" w:cs="Arial"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w:hAnsi="Arial" w:cs="Arial"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w:hAnsi="Arial" w:cs="Arial"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3D86962"/>
    <w:multiLevelType w:val="hybridMultilevel"/>
    <w:tmpl w:val="3F94A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C3A08D1"/>
    <w:multiLevelType w:val="multilevel"/>
    <w:tmpl w:val="D29E9CA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11258E3"/>
    <w:multiLevelType w:val="hybridMultilevel"/>
    <w:tmpl w:val="74FC75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5E57C1B"/>
    <w:multiLevelType w:val="hybridMultilevel"/>
    <w:tmpl w:val="DFB4871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1" w15:restartNumberingAfterBreak="0">
    <w:nsid w:val="56391230"/>
    <w:multiLevelType w:val="hybridMultilevel"/>
    <w:tmpl w:val="C7F6A760"/>
    <w:lvl w:ilvl="0" w:tplc="524ED894">
      <w:start w:val="1"/>
      <w:numFmt w:val="lowerLetter"/>
      <w:lvlText w:val="%1."/>
      <w:lvlJc w:val="left"/>
      <w:pPr>
        <w:ind w:left="1429" w:hanging="360"/>
      </w:pPr>
      <w:rPr>
        <w:rFonts w:ascii="Arial" w:hAnsi="Arial" w:cs="Arial" w:hint="default"/>
        <w:sz w:val="22"/>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22" w15:restartNumberingAfterBreak="0">
    <w:nsid w:val="576E6676"/>
    <w:multiLevelType w:val="hybridMultilevel"/>
    <w:tmpl w:val="77C43E6A"/>
    <w:lvl w:ilvl="0" w:tplc="31944A5E">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3" w15:restartNumberingAfterBreak="0">
    <w:nsid w:val="5B4E06DA"/>
    <w:multiLevelType w:val="hybridMultilevel"/>
    <w:tmpl w:val="9E605BE2"/>
    <w:lvl w:ilvl="0" w:tplc="86864AEC">
      <w:start w:val="1"/>
      <w:numFmt w:val="lowerLetter"/>
      <w:lvlText w:val="%1."/>
      <w:lvlJc w:val="left"/>
      <w:pPr>
        <w:ind w:left="1080" w:hanging="360"/>
      </w:pPr>
      <w:rPr>
        <w:rFonts w:eastAsia="Times New Roman" w:cs="Times New Roman" w:hint="default"/>
        <w:b/>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4" w15:restartNumberingAfterBreak="0">
    <w:nsid w:val="5CFB6536"/>
    <w:multiLevelType w:val="hybridMultilevel"/>
    <w:tmpl w:val="0FA8EB9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5" w15:restartNumberingAfterBreak="0">
    <w:nsid w:val="5E3C6622"/>
    <w:multiLevelType w:val="multilevel"/>
    <w:tmpl w:val="30E08F3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66DE191D"/>
    <w:multiLevelType w:val="hybridMultilevel"/>
    <w:tmpl w:val="0E9E2F3A"/>
    <w:lvl w:ilvl="0" w:tplc="FFFFFFFF">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895A3E"/>
    <w:multiLevelType w:val="hybridMultilevel"/>
    <w:tmpl w:val="E10E949E"/>
    <w:lvl w:ilvl="0" w:tplc="2FE4BA54">
      <w:start w:val="1"/>
      <w:numFmt w:val="decimal"/>
      <w:lvlText w:val="%1."/>
      <w:lvlJc w:val="left"/>
      <w:pPr>
        <w:ind w:left="2160" w:hanging="360"/>
      </w:pPr>
      <w:rPr>
        <w:rFonts w:ascii="Arial" w:hAnsi="Arial" w:cs="Arial" w:hint="default"/>
        <w:b w:val="0"/>
        <w:bCs w:val="0"/>
        <w:i w:val="0"/>
        <w:iCs w:val="0"/>
      </w:rPr>
    </w:lvl>
    <w:lvl w:ilvl="1" w:tplc="0CAEEAD2">
      <w:start w:val="1"/>
      <w:numFmt w:val="lowerLetter"/>
      <w:lvlText w:val="(%2)"/>
      <w:lvlJc w:val="left"/>
      <w:pPr>
        <w:ind w:left="2880" w:hanging="360"/>
      </w:pPr>
      <w:rPr>
        <w:rFonts w:ascii="Arial" w:eastAsiaTheme="minorHAnsi" w:hAnsi="Arial" w:cs="Arial"/>
      </w:rPr>
    </w:lvl>
    <w:lvl w:ilvl="2" w:tplc="1409001B">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28" w15:restartNumberingAfterBreak="0">
    <w:nsid w:val="74CB5BBD"/>
    <w:multiLevelType w:val="hybridMultilevel"/>
    <w:tmpl w:val="E10E949E"/>
    <w:lvl w:ilvl="0" w:tplc="2FE4BA54">
      <w:start w:val="1"/>
      <w:numFmt w:val="decimal"/>
      <w:lvlText w:val="%1."/>
      <w:lvlJc w:val="left"/>
      <w:pPr>
        <w:ind w:left="2160" w:hanging="360"/>
      </w:pPr>
      <w:rPr>
        <w:rFonts w:ascii="Arial" w:hAnsi="Arial" w:cs="Arial" w:hint="default"/>
        <w:b w:val="0"/>
        <w:bCs w:val="0"/>
        <w:i w:val="0"/>
        <w:iCs w:val="0"/>
      </w:rPr>
    </w:lvl>
    <w:lvl w:ilvl="1" w:tplc="0CAEEAD2">
      <w:start w:val="1"/>
      <w:numFmt w:val="lowerLetter"/>
      <w:lvlText w:val="(%2)"/>
      <w:lvlJc w:val="left"/>
      <w:pPr>
        <w:ind w:left="2880" w:hanging="360"/>
      </w:pPr>
      <w:rPr>
        <w:rFonts w:ascii="Arial" w:eastAsiaTheme="minorHAnsi" w:hAnsi="Arial" w:cs="Arial"/>
      </w:rPr>
    </w:lvl>
    <w:lvl w:ilvl="2" w:tplc="1409001B">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29" w15:restartNumberingAfterBreak="0">
    <w:nsid w:val="75BF5ED3"/>
    <w:multiLevelType w:val="multilevel"/>
    <w:tmpl w:val="30E08F3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786A4DBA"/>
    <w:multiLevelType w:val="hybridMultilevel"/>
    <w:tmpl w:val="3992F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2"/>
  </w:num>
  <w:num w:numId="4">
    <w:abstractNumId w:val="22"/>
  </w:num>
  <w:num w:numId="5">
    <w:abstractNumId w:val="23"/>
  </w:num>
  <w:num w:numId="6">
    <w:abstractNumId w:val="0"/>
  </w:num>
  <w:num w:numId="7">
    <w:abstractNumId w:val="14"/>
  </w:num>
  <w:num w:numId="8">
    <w:abstractNumId w:val="19"/>
  </w:num>
  <w:num w:numId="9">
    <w:abstractNumId w:val="20"/>
  </w:num>
  <w:num w:numId="10">
    <w:abstractNumId w:val="24"/>
  </w:num>
  <w:num w:numId="11">
    <w:abstractNumId w:val="15"/>
  </w:num>
  <w:num w:numId="12">
    <w:abstractNumId w:val="21"/>
  </w:num>
  <w:num w:numId="13">
    <w:abstractNumId w:val="1"/>
  </w:num>
  <w:num w:numId="14">
    <w:abstractNumId w:val="10"/>
  </w:num>
  <w:num w:numId="15">
    <w:abstractNumId w:val="4"/>
  </w:num>
  <w:num w:numId="16">
    <w:abstractNumId w:val="25"/>
  </w:num>
  <w:num w:numId="17">
    <w:abstractNumId w:val="18"/>
  </w:num>
  <w:num w:numId="18">
    <w:abstractNumId w:val="29"/>
  </w:num>
  <w:num w:numId="19">
    <w:abstractNumId w:val="17"/>
  </w:num>
  <w:num w:numId="20">
    <w:abstractNumId w:val="30"/>
  </w:num>
  <w:num w:numId="21">
    <w:abstractNumId w:val="7"/>
  </w:num>
  <w:num w:numId="22">
    <w:abstractNumId w:val="3"/>
  </w:num>
  <w:num w:numId="23">
    <w:abstractNumId w:val="16"/>
  </w:num>
  <w:num w:numId="24">
    <w:abstractNumId w:val="11"/>
  </w:num>
  <w:num w:numId="25">
    <w:abstractNumId w:val="6"/>
  </w:num>
  <w:num w:numId="26">
    <w:abstractNumId w:val="28"/>
  </w:num>
  <w:num w:numId="27">
    <w:abstractNumId w:val="27"/>
  </w:num>
  <w:num w:numId="28">
    <w:abstractNumId w:val="13"/>
  </w:num>
  <w:num w:numId="29">
    <w:abstractNumId w:val="2"/>
  </w:num>
  <w:num w:numId="30">
    <w:abstractNumId w:val="9"/>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47"/>
    <w:rsid w:val="00000D38"/>
    <w:rsid w:val="00002E18"/>
    <w:rsid w:val="000069C3"/>
    <w:rsid w:val="00011C28"/>
    <w:rsid w:val="0001215F"/>
    <w:rsid w:val="0001341C"/>
    <w:rsid w:val="00013E99"/>
    <w:rsid w:val="000152F3"/>
    <w:rsid w:val="00015CD7"/>
    <w:rsid w:val="0001659E"/>
    <w:rsid w:val="0002015D"/>
    <w:rsid w:val="00020D53"/>
    <w:rsid w:val="00023F0F"/>
    <w:rsid w:val="00026A7E"/>
    <w:rsid w:val="00030257"/>
    <w:rsid w:val="00031CED"/>
    <w:rsid w:val="0003310D"/>
    <w:rsid w:val="00036AFB"/>
    <w:rsid w:val="00037347"/>
    <w:rsid w:val="000406FC"/>
    <w:rsid w:val="00041031"/>
    <w:rsid w:val="00047B06"/>
    <w:rsid w:val="00050DFD"/>
    <w:rsid w:val="00053A14"/>
    <w:rsid w:val="000558F9"/>
    <w:rsid w:val="00056AF5"/>
    <w:rsid w:val="000576D4"/>
    <w:rsid w:val="00057A26"/>
    <w:rsid w:val="00061248"/>
    <w:rsid w:val="00061D38"/>
    <w:rsid w:val="000639FA"/>
    <w:rsid w:val="00063F4C"/>
    <w:rsid w:val="00070B7B"/>
    <w:rsid w:val="00072BDD"/>
    <w:rsid w:val="000736B9"/>
    <w:rsid w:val="00074192"/>
    <w:rsid w:val="00074205"/>
    <w:rsid w:val="00077CE7"/>
    <w:rsid w:val="000824B7"/>
    <w:rsid w:val="00082990"/>
    <w:rsid w:val="00083453"/>
    <w:rsid w:val="0008371C"/>
    <w:rsid w:val="000848FB"/>
    <w:rsid w:val="0009044D"/>
    <w:rsid w:val="00093CA1"/>
    <w:rsid w:val="00093D13"/>
    <w:rsid w:val="00094D4B"/>
    <w:rsid w:val="00094E88"/>
    <w:rsid w:val="0009517E"/>
    <w:rsid w:val="000A092D"/>
    <w:rsid w:val="000A1313"/>
    <w:rsid w:val="000A26F9"/>
    <w:rsid w:val="000A2919"/>
    <w:rsid w:val="000A3DC1"/>
    <w:rsid w:val="000B0344"/>
    <w:rsid w:val="000B1203"/>
    <w:rsid w:val="000B64F0"/>
    <w:rsid w:val="000C0DD1"/>
    <w:rsid w:val="000C403C"/>
    <w:rsid w:val="000D052D"/>
    <w:rsid w:val="000D2ECA"/>
    <w:rsid w:val="000E365B"/>
    <w:rsid w:val="000E3917"/>
    <w:rsid w:val="000E3DFE"/>
    <w:rsid w:val="000F3AF7"/>
    <w:rsid w:val="000F53A3"/>
    <w:rsid w:val="00104CB0"/>
    <w:rsid w:val="001063F8"/>
    <w:rsid w:val="00107674"/>
    <w:rsid w:val="00111759"/>
    <w:rsid w:val="00111BCB"/>
    <w:rsid w:val="00117490"/>
    <w:rsid w:val="0012157E"/>
    <w:rsid w:val="0012187D"/>
    <w:rsid w:val="00125C16"/>
    <w:rsid w:val="001322FC"/>
    <w:rsid w:val="00136F6E"/>
    <w:rsid w:val="00141655"/>
    <w:rsid w:val="001426EC"/>
    <w:rsid w:val="00143309"/>
    <w:rsid w:val="0014374A"/>
    <w:rsid w:val="001453D8"/>
    <w:rsid w:val="00146125"/>
    <w:rsid w:val="001470FF"/>
    <w:rsid w:val="00151655"/>
    <w:rsid w:val="001547D5"/>
    <w:rsid w:val="00154F1C"/>
    <w:rsid w:val="00161225"/>
    <w:rsid w:val="001646B0"/>
    <w:rsid w:val="001650DA"/>
    <w:rsid w:val="00166BA0"/>
    <w:rsid w:val="00167C6B"/>
    <w:rsid w:val="00171D6C"/>
    <w:rsid w:val="00175D11"/>
    <w:rsid w:val="00176012"/>
    <w:rsid w:val="00176FC5"/>
    <w:rsid w:val="001774A7"/>
    <w:rsid w:val="00182949"/>
    <w:rsid w:val="0018386E"/>
    <w:rsid w:val="00192FE6"/>
    <w:rsid w:val="00193C29"/>
    <w:rsid w:val="00195FD0"/>
    <w:rsid w:val="00196C0F"/>
    <w:rsid w:val="001978FB"/>
    <w:rsid w:val="00197AA8"/>
    <w:rsid w:val="001A0400"/>
    <w:rsid w:val="001A62E2"/>
    <w:rsid w:val="001A785B"/>
    <w:rsid w:val="001B0C53"/>
    <w:rsid w:val="001B4AA1"/>
    <w:rsid w:val="001B4BEB"/>
    <w:rsid w:val="001B4D21"/>
    <w:rsid w:val="001B4D2B"/>
    <w:rsid w:val="001B5026"/>
    <w:rsid w:val="001B544E"/>
    <w:rsid w:val="001B5E3A"/>
    <w:rsid w:val="001B7362"/>
    <w:rsid w:val="001B78B4"/>
    <w:rsid w:val="001C0CB5"/>
    <w:rsid w:val="001C289B"/>
    <w:rsid w:val="001C3559"/>
    <w:rsid w:val="001D1FF7"/>
    <w:rsid w:val="001D2A41"/>
    <w:rsid w:val="001D6A73"/>
    <w:rsid w:val="001E2AE0"/>
    <w:rsid w:val="001E68CF"/>
    <w:rsid w:val="001E6CE7"/>
    <w:rsid w:val="001E6D03"/>
    <w:rsid w:val="001F1EB3"/>
    <w:rsid w:val="001F7F91"/>
    <w:rsid w:val="00201ED4"/>
    <w:rsid w:val="00203354"/>
    <w:rsid w:val="00205D28"/>
    <w:rsid w:val="00210F43"/>
    <w:rsid w:val="00215568"/>
    <w:rsid w:val="0022202B"/>
    <w:rsid w:val="00227A2C"/>
    <w:rsid w:val="0023038A"/>
    <w:rsid w:val="00230717"/>
    <w:rsid w:val="00232E68"/>
    <w:rsid w:val="00240842"/>
    <w:rsid w:val="00240A2A"/>
    <w:rsid w:val="00242140"/>
    <w:rsid w:val="00244C5F"/>
    <w:rsid w:val="00244F49"/>
    <w:rsid w:val="00246538"/>
    <w:rsid w:val="002507A0"/>
    <w:rsid w:val="00250B6B"/>
    <w:rsid w:val="0025210B"/>
    <w:rsid w:val="00253A02"/>
    <w:rsid w:val="00255B2F"/>
    <w:rsid w:val="002603E9"/>
    <w:rsid w:val="00262E38"/>
    <w:rsid w:val="002646D7"/>
    <w:rsid w:val="00266966"/>
    <w:rsid w:val="00267901"/>
    <w:rsid w:val="0027227C"/>
    <w:rsid w:val="002727F3"/>
    <w:rsid w:val="002751F4"/>
    <w:rsid w:val="00276E1E"/>
    <w:rsid w:val="00277E56"/>
    <w:rsid w:val="00280F2D"/>
    <w:rsid w:val="00281A8E"/>
    <w:rsid w:val="00287279"/>
    <w:rsid w:val="00290077"/>
    <w:rsid w:val="00291461"/>
    <w:rsid w:val="00291852"/>
    <w:rsid w:val="00292D98"/>
    <w:rsid w:val="0029653A"/>
    <w:rsid w:val="002A3355"/>
    <w:rsid w:val="002A3B5F"/>
    <w:rsid w:val="002A5958"/>
    <w:rsid w:val="002B6C74"/>
    <w:rsid w:val="002B7852"/>
    <w:rsid w:val="002C072C"/>
    <w:rsid w:val="002C16C6"/>
    <w:rsid w:val="002C2508"/>
    <w:rsid w:val="002C28A0"/>
    <w:rsid w:val="002C7B27"/>
    <w:rsid w:val="002D57F7"/>
    <w:rsid w:val="002D58E4"/>
    <w:rsid w:val="002E226B"/>
    <w:rsid w:val="002E5DD4"/>
    <w:rsid w:val="002F170A"/>
    <w:rsid w:val="002F17BD"/>
    <w:rsid w:val="002F3E12"/>
    <w:rsid w:val="002F40EA"/>
    <w:rsid w:val="002F5F85"/>
    <w:rsid w:val="002F6385"/>
    <w:rsid w:val="00300CA1"/>
    <w:rsid w:val="00300E70"/>
    <w:rsid w:val="00301EE3"/>
    <w:rsid w:val="003055EF"/>
    <w:rsid w:val="00305BFF"/>
    <w:rsid w:val="00305DBC"/>
    <w:rsid w:val="003108FC"/>
    <w:rsid w:val="00311624"/>
    <w:rsid w:val="00312FE2"/>
    <w:rsid w:val="00314ECC"/>
    <w:rsid w:val="003177DF"/>
    <w:rsid w:val="00317F26"/>
    <w:rsid w:val="0032104C"/>
    <w:rsid w:val="0032228F"/>
    <w:rsid w:val="003343A0"/>
    <w:rsid w:val="00337285"/>
    <w:rsid w:val="00337D45"/>
    <w:rsid w:val="00340019"/>
    <w:rsid w:val="0034095C"/>
    <w:rsid w:val="00340AA7"/>
    <w:rsid w:val="003449AE"/>
    <w:rsid w:val="00345E82"/>
    <w:rsid w:val="00353622"/>
    <w:rsid w:val="003603BF"/>
    <w:rsid w:val="00366479"/>
    <w:rsid w:val="003725F9"/>
    <w:rsid w:val="00373691"/>
    <w:rsid w:val="003750F6"/>
    <w:rsid w:val="00377FDF"/>
    <w:rsid w:val="0038045A"/>
    <w:rsid w:val="00380472"/>
    <w:rsid w:val="003815DD"/>
    <w:rsid w:val="003820A5"/>
    <w:rsid w:val="00385C98"/>
    <w:rsid w:val="00386D8A"/>
    <w:rsid w:val="0039095A"/>
    <w:rsid w:val="003935A8"/>
    <w:rsid w:val="00394621"/>
    <w:rsid w:val="00394E9F"/>
    <w:rsid w:val="00395C0F"/>
    <w:rsid w:val="003960C3"/>
    <w:rsid w:val="003962F9"/>
    <w:rsid w:val="003A559B"/>
    <w:rsid w:val="003A6E31"/>
    <w:rsid w:val="003A7131"/>
    <w:rsid w:val="003B017D"/>
    <w:rsid w:val="003B0300"/>
    <w:rsid w:val="003B05E7"/>
    <w:rsid w:val="003B0DE4"/>
    <w:rsid w:val="003B58B6"/>
    <w:rsid w:val="003B5F2F"/>
    <w:rsid w:val="003B62C7"/>
    <w:rsid w:val="003B7635"/>
    <w:rsid w:val="003C07C3"/>
    <w:rsid w:val="003C1D21"/>
    <w:rsid w:val="003C51B0"/>
    <w:rsid w:val="003D0A70"/>
    <w:rsid w:val="003D1186"/>
    <w:rsid w:val="003D53B9"/>
    <w:rsid w:val="003E04B5"/>
    <w:rsid w:val="003E06D7"/>
    <w:rsid w:val="003E4779"/>
    <w:rsid w:val="003F321E"/>
    <w:rsid w:val="003F4A61"/>
    <w:rsid w:val="003F637C"/>
    <w:rsid w:val="00400638"/>
    <w:rsid w:val="0040297F"/>
    <w:rsid w:val="004060DB"/>
    <w:rsid w:val="00410D0A"/>
    <w:rsid w:val="004163A3"/>
    <w:rsid w:val="004204C8"/>
    <w:rsid w:val="00424A46"/>
    <w:rsid w:val="00425C07"/>
    <w:rsid w:val="0042677F"/>
    <w:rsid w:val="0042679C"/>
    <w:rsid w:val="00426A5E"/>
    <w:rsid w:val="00430DC6"/>
    <w:rsid w:val="00431D1E"/>
    <w:rsid w:val="004345B8"/>
    <w:rsid w:val="00437228"/>
    <w:rsid w:val="00444095"/>
    <w:rsid w:val="00450E46"/>
    <w:rsid w:val="0045123C"/>
    <w:rsid w:val="00451AEA"/>
    <w:rsid w:val="00453CDC"/>
    <w:rsid w:val="0045477C"/>
    <w:rsid w:val="00454DA7"/>
    <w:rsid w:val="004557A0"/>
    <w:rsid w:val="00455AD1"/>
    <w:rsid w:val="00460725"/>
    <w:rsid w:val="0046374F"/>
    <w:rsid w:val="0046526C"/>
    <w:rsid w:val="00465B2B"/>
    <w:rsid w:val="00470403"/>
    <w:rsid w:val="00471A06"/>
    <w:rsid w:val="0047363B"/>
    <w:rsid w:val="00475740"/>
    <w:rsid w:val="00475EEE"/>
    <w:rsid w:val="004801CC"/>
    <w:rsid w:val="00480863"/>
    <w:rsid w:val="00480C43"/>
    <w:rsid w:val="00481D71"/>
    <w:rsid w:val="00483BCC"/>
    <w:rsid w:val="00483E66"/>
    <w:rsid w:val="00487726"/>
    <w:rsid w:val="0049286A"/>
    <w:rsid w:val="00497556"/>
    <w:rsid w:val="004A1120"/>
    <w:rsid w:val="004A3098"/>
    <w:rsid w:val="004A3CFA"/>
    <w:rsid w:val="004A4024"/>
    <w:rsid w:val="004A41B0"/>
    <w:rsid w:val="004B36A1"/>
    <w:rsid w:val="004B6B14"/>
    <w:rsid w:val="004C4B37"/>
    <w:rsid w:val="004C631F"/>
    <w:rsid w:val="004C7E4B"/>
    <w:rsid w:val="004D1970"/>
    <w:rsid w:val="004D269E"/>
    <w:rsid w:val="004D2F92"/>
    <w:rsid w:val="004D59BC"/>
    <w:rsid w:val="004E2059"/>
    <w:rsid w:val="004E312F"/>
    <w:rsid w:val="004E318A"/>
    <w:rsid w:val="004E3EA6"/>
    <w:rsid w:val="004F015A"/>
    <w:rsid w:val="004F0BF4"/>
    <w:rsid w:val="004F2026"/>
    <w:rsid w:val="00500C9D"/>
    <w:rsid w:val="00505F76"/>
    <w:rsid w:val="00506413"/>
    <w:rsid w:val="00506607"/>
    <w:rsid w:val="0050773E"/>
    <w:rsid w:val="00511697"/>
    <w:rsid w:val="00511ADA"/>
    <w:rsid w:val="00514306"/>
    <w:rsid w:val="00520161"/>
    <w:rsid w:val="00521A58"/>
    <w:rsid w:val="00521DEB"/>
    <w:rsid w:val="00522501"/>
    <w:rsid w:val="0053024E"/>
    <w:rsid w:val="00532096"/>
    <w:rsid w:val="0053211A"/>
    <w:rsid w:val="00532695"/>
    <w:rsid w:val="00535EFD"/>
    <w:rsid w:val="005363AD"/>
    <w:rsid w:val="00536CC2"/>
    <w:rsid w:val="00536E74"/>
    <w:rsid w:val="00537577"/>
    <w:rsid w:val="0055006E"/>
    <w:rsid w:val="005530BF"/>
    <w:rsid w:val="005536A0"/>
    <w:rsid w:val="005574BB"/>
    <w:rsid w:val="0056321E"/>
    <w:rsid w:val="005736FA"/>
    <w:rsid w:val="00574176"/>
    <w:rsid w:val="00574A0F"/>
    <w:rsid w:val="00576332"/>
    <w:rsid w:val="0058297A"/>
    <w:rsid w:val="005855E0"/>
    <w:rsid w:val="0058650F"/>
    <w:rsid w:val="0059065D"/>
    <w:rsid w:val="00590EF9"/>
    <w:rsid w:val="00595312"/>
    <w:rsid w:val="005A3B9C"/>
    <w:rsid w:val="005A65FC"/>
    <w:rsid w:val="005B108F"/>
    <w:rsid w:val="005B2244"/>
    <w:rsid w:val="005B4CD8"/>
    <w:rsid w:val="005B5B42"/>
    <w:rsid w:val="005B65E9"/>
    <w:rsid w:val="005C4945"/>
    <w:rsid w:val="005D257E"/>
    <w:rsid w:val="005E72C8"/>
    <w:rsid w:val="005F46A0"/>
    <w:rsid w:val="005F5845"/>
    <w:rsid w:val="006018B4"/>
    <w:rsid w:val="006018D3"/>
    <w:rsid w:val="00603179"/>
    <w:rsid w:val="006032F5"/>
    <w:rsid w:val="00604ACC"/>
    <w:rsid w:val="00606836"/>
    <w:rsid w:val="006071EE"/>
    <w:rsid w:val="006106E6"/>
    <w:rsid w:val="00610D2D"/>
    <w:rsid w:val="00611A8D"/>
    <w:rsid w:val="00612CEE"/>
    <w:rsid w:val="00613128"/>
    <w:rsid w:val="006157F5"/>
    <w:rsid w:val="00616845"/>
    <w:rsid w:val="006263A0"/>
    <w:rsid w:val="006312FA"/>
    <w:rsid w:val="00631302"/>
    <w:rsid w:val="00634135"/>
    <w:rsid w:val="006372C7"/>
    <w:rsid w:val="00642BAB"/>
    <w:rsid w:val="00644292"/>
    <w:rsid w:val="00645B30"/>
    <w:rsid w:val="00655798"/>
    <w:rsid w:val="00665F5F"/>
    <w:rsid w:val="00667166"/>
    <w:rsid w:val="0067708C"/>
    <w:rsid w:val="00677A52"/>
    <w:rsid w:val="00684376"/>
    <w:rsid w:val="00684540"/>
    <w:rsid w:val="0068458B"/>
    <w:rsid w:val="00693B24"/>
    <w:rsid w:val="006942B3"/>
    <w:rsid w:val="006A0F1C"/>
    <w:rsid w:val="006A7334"/>
    <w:rsid w:val="006A76CE"/>
    <w:rsid w:val="006A7B1F"/>
    <w:rsid w:val="006B06BB"/>
    <w:rsid w:val="006B0FE7"/>
    <w:rsid w:val="006B34DC"/>
    <w:rsid w:val="006B3EC4"/>
    <w:rsid w:val="006B4FDE"/>
    <w:rsid w:val="006B524B"/>
    <w:rsid w:val="006C11D1"/>
    <w:rsid w:val="006C3DE7"/>
    <w:rsid w:val="006C3F35"/>
    <w:rsid w:val="006C4E5E"/>
    <w:rsid w:val="006C70F9"/>
    <w:rsid w:val="006C7DFA"/>
    <w:rsid w:val="006D5701"/>
    <w:rsid w:val="006D7A50"/>
    <w:rsid w:val="006E09E8"/>
    <w:rsid w:val="006E26DE"/>
    <w:rsid w:val="006E51CD"/>
    <w:rsid w:val="006E5D8C"/>
    <w:rsid w:val="006E61CA"/>
    <w:rsid w:val="006E78D6"/>
    <w:rsid w:val="006E7963"/>
    <w:rsid w:val="006F040C"/>
    <w:rsid w:val="006F3419"/>
    <w:rsid w:val="006F60F1"/>
    <w:rsid w:val="00700E35"/>
    <w:rsid w:val="00703D05"/>
    <w:rsid w:val="0070482D"/>
    <w:rsid w:val="00705523"/>
    <w:rsid w:val="007103E8"/>
    <w:rsid w:val="00713B7C"/>
    <w:rsid w:val="00714A9F"/>
    <w:rsid w:val="00717207"/>
    <w:rsid w:val="00717A48"/>
    <w:rsid w:val="0072083B"/>
    <w:rsid w:val="00724BA3"/>
    <w:rsid w:val="00725404"/>
    <w:rsid w:val="00730F25"/>
    <w:rsid w:val="007329E6"/>
    <w:rsid w:val="0073450E"/>
    <w:rsid w:val="0074097D"/>
    <w:rsid w:val="007442E6"/>
    <w:rsid w:val="007445B2"/>
    <w:rsid w:val="0075072E"/>
    <w:rsid w:val="007508FD"/>
    <w:rsid w:val="00752121"/>
    <w:rsid w:val="00753599"/>
    <w:rsid w:val="007557F5"/>
    <w:rsid w:val="00756D8A"/>
    <w:rsid w:val="00761D5F"/>
    <w:rsid w:val="00762B64"/>
    <w:rsid w:val="00767079"/>
    <w:rsid w:val="00772326"/>
    <w:rsid w:val="007738A9"/>
    <w:rsid w:val="0078167B"/>
    <w:rsid w:val="007823D1"/>
    <w:rsid w:val="00783E51"/>
    <w:rsid w:val="007847F3"/>
    <w:rsid w:val="00784FDA"/>
    <w:rsid w:val="007877A4"/>
    <w:rsid w:val="007902BA"/>
    <w:rsid w:val="00792B82"/>
    <w:rsid w:val="00793FCB"/>
    <w:rsid w:val="007951B2"/>
    <w:rsid w:val="007A0DBB"/>
    <w:rsid w:val="007A185A"/>
    <w:rsid w:val="007A46AE"/>
    <w:rsid w:val="007A5447"/>
    <w:rsid w:val="007B5512"/>
    <w:rsid w:val="007C113D"/>
    <w:rsid w:val="007C1BE3"/>
    <w:rsid w:val="007C1E02"/>
    <w:rsid w:val="007C357F"/>
    <w:rsid w:val="007C3BEC"/>
    <w:rsid w:val="007C3E73"/>
    <w:rsid w:val="007C6CBE"/>
    <w:rsid w:val="007C7A66"/>
    <w:rsid w:val="007D0BDD"/>
    <w:rsid w:val="007D43B4"/>
    <w:rsid w:val="007D58DE"/>
    <w:rsid w:val="007D6390"/>
    <w:rsid w:val="007D69D9"/>
    <w:rsid w:val="007D718E"/>
    <w:rsid w:val="007D7212"/>
    <w:rsid w:val="007E0C6F"/>
    <w:rsid w:val="007E2993"/>
    <w:rsid w:val="007F0E67"/>
    <w:rsid w:val="007F1EB2"/>
    <w:rsid w:val="007F4C0D"/>
    <w:rsid w:val="007F5F36"/>
    <w:rsid w:val="007F639D"/>
    <w:rsid w:val="008038FD"/>
    <w:rsid w:val="0081769A"/>
    <w:rsid w:val="00817F58"/>
    <w:rsid w:val="008209B3"/>
    <w:rsid w:val="00823063"/>
    <w:rsid w:val="008248DB"/>
    <w:rsid w:val="00824B22"/>
    <w:rsid w:val="0082660C"/>
    <w:rsid w:val="008310A4"/>
    <w:rsid w:val="00832939"/>
    <w:rsid w:val="00833B00"/>
    <w:rsid w:val="00834038"/>
    <w:rsid w:val="00835368"/>
    <w:rsid w:val="0083565C"/>
    <w:rsid w:val="00837B75"/>
    <w:rsid w:val="00841086"/>
    <w:rsid w:val="0084158F"/>
    <w:rsid w:val="00842CF4"/>
    <w:rsid w:val="00845784"/>
    <w:rsid w:val="00847BB1"/>
    <w:rsid w:val="00847CF3"/>
    <w:rsid w:val="00854992"/>
    <w:rsid w:val="0085522F"/>
    <w:rsid w:val="00855C46"/>
    <w:rsid w:val="00857695"/>
    <w:rsid w:val="00857B71"/>
    <w:rsid w:val="00860850"/>
    <w:rsid w:val="00861017"/>
    <w:rsid w:val="00861B79"/>
    <w:rsid w:val="008641B5"/>
    <w:rsid w:val="00866354"/>
    <w:rsid w:val="00867566"/>
    <w:rsid w:val="00867C74"/>
    <w:rsid w:val="008721BA"/>
    <w:rsid w:val="00872A47"/>
    <w:rsid w:val="0087316B"/>
    <w:rsid w:val="008760E6"/>
    <w:rsid w:val="00881570"/>
    <w:rsid w:val="008829B5"/>
    <w:rsid w:val="00883333"/>
    <w:rsid w:val="00885CCE"/>
    <w:rsid w:val="00886611"/>
    <w:rsid w:val="00891506"/>
    <w:rsid w:val="0089417E"/>
    <w:rsid w:val="008945FD"/>
    <w:rsid w:val="00895E08"/>
    <w:rsid w:val="008A0EE9"/>
    <w:rsid w:val="008A13CC"/>
    <w:rsid w:val="008A153B"/>
    <w:rsid w:val="008A5413"/>
    <w:rsid w:val="008A635F"/>
    <w:rsid w:val="008A6CD8"/>
    <w:rsid w:val="008B1575"/>
    <w:rsid w:val="008B2BED"/>
    <w:rsid w:val="008B576B"/>
    <w:rsid w:val="008B5A5A"/>
    <w:rsid w:val="008B5AED"/>
    <w:rsid w:val="008B5B64"/>
    <w:rsid w:val="008C03A5"/>
    <w:rsid w:val="008C1C00"/>
    <w:rsid w:val="008C2D6B"/>
    <w:rsid w:val="008C4149"/>
    <w:rsid w:val="008C47B9"/>
    <w:rsid w:val="008C6B5A"/>
    <w:rsid w:val="008C6CF7"/>
    <w:rsid w:val="008D035E"/>
    <w:rsid w:val="008D1049"/>
    <w:rsid w:val="008D31AE"/>
    <w:rsid w:val="008E0648"/>
    <w:rsid w:val="008E2543"/>
    <w:rsid w:val="008E3561"/>
    <w:rsid w:val="008E7544"/>
    <w:rsid w:val="008F0445"/>
    <w:rsid w:val="008F09E9"/>
    <w:rsid w:val="008F1738"/>
    <w:rsid w:val="008F32A1"/>
    <w:rsid w:val="008F4283"/>
    <w:rsid w:val="008F56A2"/>
    <w:rsid w:val="009009CC"/>
    <w:rsid w:val="00900A6D"/>
    <w:rsid w:val="009061D6"/>
    <w:rsid w:val="00906DF6"/>
    <w:rsid w:val="00910650"/>
    <w:rsid w:val="009115D7"/>
    <w:rsid w:val="009133A5"/>
    <w:rsid w:val="00913D6B"/>
    <w:rsid w:val="009165AA"/>
    <w:rsid w:val="00916873"/>
    <w:rsid w:val="00917810"/>
    <w:rsid w:val="00921378"/>
    <w:rsid w:val="00921948"/>
    <w:rsid w:val="00921CF7"/>
    <w:rsid w:val="00921F77"/>
    <w:rsid w:val="0092216F"/>
    <w:rsid w:val="00925236"/>
    <w:rsid w:val="00925DB1"/>
    <w:rsid w:val="00930B0B"/>
    <w:rsid w:val="00935540"/>
    <w:rsid w:val="00935E49"/>
    <w:rsid w:val="009369A5"/>
    <w:rsid w:val="00936C57"/>
    <w:rsid w:val="0094046D"/>
    <w:rsid w:val="0094626E"/>
    <w:rsid w:val="00951535"/>
    <w:rsid w:val="00952396"/>
    <w:rsid w:val="009546FE"/>
    <w:rsid w:val="009550B3"/>
    <w:rsid w:val="00955F4C"/>
    <w:rsid w:val="00956D06"/>
    <w:rsid w:val="0096033C"/>
    <w:rsid w:val="00962777"/>
    <w:rsid w:val="00964776"/>
    <w:rsid w:val="00964CDA"/>
    <w:rsid w:val="00971CC8"/>
    <w:rsid w:val="00975AA1"/>
    <w:rsid w:val="00975D7A"/>
    <w:rsid w:val="00976C6B"/>
    <w:rsid w:val="00977EA6"/>
    <w:rsid w:val="00980085"/>
    <w:rsid w:val="00983809"/>
    <w:rsid w:val="00984376"/>
    <w:rsid w:val="00985B9A"/>
    <w:rsid w:val="00993905"/>
    <w:rsid w:val="00993BF9"/>
    <w:rsid w:val="00994F6C"/>
    <w:rsid w:val="00995AE3"/>
    <w:rsid w:val="009A06A0"/>
    <w:rsid w:val="009A236C"/>
    <w:rsid w:val="009A4CF7"/>
    <w:rsid w:val="009A6ED8"/>
    <w:rsid w:val="009A713D"/>
    <w:rsid w:val="009A74C4"/>
    <w:rsid w:val="009A7A98"/>
    <w:rsid w:val="009B1958"/>
    <w:rsid w:val="009B6CBF"/>
    <w:rsid w:val="009C1B91"/>
    <w:rsid w:val="009C264C"/>
    <w:rsid w:val="009C3C1C"/>
    <w:rsid w:val="009C5D39"/>
    <w:rsid w:val="009C60A2"/>
    <w:rsid w:val="009D21D4"/>
    <w:rsid w:val="009D30C0"/>
    <w:rsid w:val="009D5BF3"/>
    <w:rsid w:val="009D71CE"/>
    <w:rsid w:val="009E07B4"/>
    <w:rsid w:val="009E0BE4"/>
    <w:rsid w:val="009E116D"/>
    <w:rsid w:val="009E6795"/>
    <w:rsid w:val="009E797D"/>
    <w:rsid w:val="009F09B0"/>
    <w:rsid w:val="00A004A0"/>
    <w:rsid w:val="00A01576"/>
    <w:rsid w:val="00A03DD5"/>
    <w:rsid w:val="00A0448C"/>
    <w:rsid w:val="00A065A7"/>
    <w:rsid w:val="00A06A0B"/>
    <w:rsid w:val="00A12DE9"/>
    <w:rsid w:val="00A14808"/>
    <w:rsid w:val="00A15E3D"/>
    <w:rsid w:val="00A15F4C"/>
    <w:rsid w:val="00A1619D"/>
    <w:rsid w:val="00A16415"/>
    <w:rsid w:val="00A2049F"/>
    <w:rsid w:val="00A21180"/>
    <w:rsid w:val="00A22AEA"/>
    <w:rsid w:val="00A23D47"/>
    <w:rsid w:val="00A26505"/>
    <w:rsid w:val="00A26B81"/>
    <w:rsid w:val="00A304C5"/>
    <w:rsid w:val="00A33518"/>
    <w:rsid w:val="00A337BE"/>
    <w:rsid w:val="00A33E63"/>
    <w:rsid w:val="00A34455"/>
    <w:rsid w:val="00A36EA3"/>
    <w:rsid w:val="00A40879"/>
    <w:rsid w:val="00A5071F"/>
    <w:rsid w:val="00A524FB"/>
    <w:rsid w:val="00A52CFC"/>
    <w:rsid w:val="00A53C1E"/>
    <w:rsid w:val="00A54DF6"/>
    <w:rsid w:val="00A6092F"/>
    <w:rsid w:val="00A6337E"/>
    <w:rsid w:val="00A638A4"/>
    <w:rsid w:val="00A64358"/>
    <w:rsid w:val="00A6558E"/>
    <w:rsid w:val="00A7100D"/>
    <w:rsid w:val="00A8013E"/>
    <w:rsid w:val="00A83F58"/>
    <w:rsid w:val="00A84F40"/>
    <w:rsid w:val="00A85954"/>
    <w:rsid w:val="00A87B1B"/>
    <w:rsid w:val="00A935AA"/>
    <w:rsid w:val="00A976CB"/>
    <w:rsid w:val="00A978E4"/>
    <w:rsid w:val="00AA00B3"/>
    <w:rsid w:val="00AA0BCD"/>
    <w:rsid w:val="00AB1969"/>
    <w:rsid w:val="00AC1B7E"/>
    <w:rsid w:val="00AC2772"/>
    <w:rsid w:val="00AC519A"/>
    <w:rsid w:val="00AC5770"/>
    <w:rsid w:val="00AC58F5"/>
    <w:rsid w:val="00AD31DC"/>
    <w:rsid w:val="00AD5D9C"/>
    <w:rsid w:val="00AD6F66"/>
    <w:rsid w:val="00AD7411"/>
    <w:rsid w:val="00AD790A"/>
    <w:rsid w:val="00AE01FC"/>
    <w:rsid w:val="00AE336F"/>
    <w:rsid w:val="00AE3DA3"/>
    <w:rsid w:val="00AE43A9"/>
    <w:rsid w:val="00AE6BCF"/>
    <w:rsid w:val="00AF2AA1"/>
    <w:rsid w:val="00AF2B5D"/>
    <w:rsid w:val="00AF4331"/>
    <w:rsid w:val="00AF513F"/>
    <w:rsid w:val="00AF5CC2"/>
    <w:rsid w:val="00AF6226"/>
    <w:rsid w:val="00AF674F"/>
    <w:rsid w:val="00B020CD"/>
    <w:rsid w:val="00B06E51"/>
    <w:rsid w:val="00B07A48"/>
    <w:rsid w:val="00B07BEB"/>
    <w:rsid w:val="00B07E27"/>
    <w:rsid w:val="00B14960"/>
    <w:rsid w:val="00B15D01"/>
    <w:rsid w:val="00B16515"/>
    <w:rsid w:val="00B20A4A"/>
    <w:rsid w:val="00B2263E"/>
    <w:rsid w:val="00B240D4"/>
    <w:rsid w:val="00B24B20"/>
    <w:rsid w:val="00B2650D"/>
    <w:rsid w:val="00B31275"/>
    <w:rsid w:val="00B31790"/>
    <w:rsid w:val="00B327BB"/>
    <w:rsid w:val="00B34E03"/>
    <w:rsid w:val="00B45ACC"/>
    <w:rsid w:val="00B45F65"/>
    <w:rsid w:val="00B46A8F"/>
    <w:rsid w:val="00B5063E"/>
    <w:rsid w:val="00B50DA0"/>
    <w:rsid w:val="00B50E20"/>
    <w:rsid w:val="00B522B7"/>
    <w:rsid w:val="00B522D8"/>
    <w:rsid w:val="00B5671D"/>
    <w:rsid w:val="00B633BE"/>
    <w:rsid w:val="00B71D5B"/>
    <w:rsid w:val="00B72B41"/>
    <w:rsid w:val="00B86780"/>
    <w:rsid w:val="00B8714E"/>
    <w:rsid w:val="00B9042B"/>
    <w:rsid w:val="00B92533"/>
    <w:rsid w:val="00BA07A6"/>
    <w:rsid w:val="00BA0F85"/>
    <w:rsid w:val="00BA3C76"/>
    <w:rsid w:val="00BA4AB2"/>
    <w:rsid w:val="00BB1536"/>
    <w:rsid w:val="00BB2EB3"/>
    <w:rsid w:val="00BB3A55"/>
    <w:rsid w:val="00BB480D"/>
    <w:rsid w:val="00BB4973"/>
    <w:rsid w:val="00BC0757"/>
    <w:rsid w:val="00BC4D78"/>
    <w:rsid w:val="00BC5D75"/>
    <w:rsid w:val="00BC711C"/>
    <w:rsid w:val="00BD3BA2"/>
    <w:rsid w:val="00BD3E43"/>
    <w:rsid w:val="00BD4DA2"/>
    <w:rsid w:val="00BD52C9"/>
    <w:rsid w:val="00BD5B77"/>
    <w:rsid w:val="00BD6CAF"/>
    <w:rsid w:val="00BD793E"/>
    <w:rsid w:val="00BE32D6"/>
    <w:rsid w:val="00BE4C63"/>
    <w:rsid w:val="00BE4F4C"/>
    <w:rsid w:val="00BE542A"/>
    <w:rsid w:val="00BE65D9"/>
    <w:rsid w:val="00BE777B"/>
    <w:rsid w:val="00BF1F7B"/>
    <w:rsid w:val="00BF2ADB"/>
    <w:rsid w:val="00BF3686"/>
    <w:rsid w:val="00BF47E9"/>
    <w:rsid w:val="00BF5D51"/>
    <w:rsid w:val="00BF67A4"/>
    <w:rsid w:val="00C008DE"/>
    <w:rsid w:val="00C04BDD"/>
    <w:rsid w:val="00C11B85"/>
    <w:rsid w:val="00C16D94"/>
    <w:rsid w:val="00C1782A"/>
    <w:rsid w:val="00C20122"/>
    <w:rsid w:val="00C22C9A"/>
    <w:rsid w:val="00C26AD3"/>
    <w:rsid w:val="00C30806"/>
    <w:rsid w:val="00C30D11"/>
    <w:rsid w:val="00C31490"/>
    <w:rsid w:val="00C322F6"/>
    <w:rsid w:val="00C347CE"/>
    <w:rsid w:val="00C35D7E"/>
    <w:rsid w:val="00C37D1A"/>
    <w:rsid w:val="00C47CFA"/>
    <w:rsid w:val="00C47D99"/>
    <w:rsid w:val="00C503A0"/>
    <w:rsid w:val="00C50A02"/>
    <w:rsid w:val="00C520D0"/>
    <w:rsid w:val="00C529B2"/>
    <w:rsid w:val="00C55C1A"/>
    <w:rsid w:val="00C560AF"/>
    <w:rsid w:val="00C60522"/>
    <w:rsid w:val="00C6333C"/>
    <w:rsid w:val="00C742F2"/>
    <w:rsid w:val="00C74C31"/>
    <w:rsid w:val="00C77592"/>
    <w:rsid w:val="00C77F81"/>
    <w:rsid w:val="00C804A0"/>
    <w:rsid w:val="00C9299D"/>
    <w:rsid w:val="00C96CB7"/>
    <w:rsid w:val="00C973A5"/>
    <w:rsid w:val="00CA02DE"/>
    <w:rsid w:val="00CA2C71"/>
    <w:rsid w:val="00CA6A61"/>
    <w:rsid w:val="00CB17B7"/>
    <w:rsid w:val="00CB3E81"/>
    <w:rsid w:val="00CB4D60"/>
    <w:rsid w:val="00CB5261"/>
    <w:rsid w:val="00CB7BA3"/>
    <w:rsid w:val="00CC42C7"/>
    <w:rsid w:val="00CD0805"/>
    <w:rsid w:val="00CD119A"/>
    <w:rsid w:val="00CD1997"/>
    <w:rsid w:val="00CD1AEE"/>
    <w:rsid w:val="00CD5113"/>
    <w:rsid w:val="00CD54CB"/>
    <w:rsid w:val="00CD632B"/>
    <w:rsid w:val="00CD6405"/>
    <w:rsid w:val="00CD66C8"/>
    <w:rsid w:val="00CD7064"/>
    <w:rsid w:val="00CE0791"/>
    <w:rsid w:val="00CE4A33"/>
    <w:rsid w:val="00CE744D"/>
    <w:rsid w:val="00CF07E6"/>
    <w:rsid w:val="00CF19C3"/>
    <w:rsid w:val="00CF402E"/>
    <w:rsid w:val="00CF521E"/>
    <w:rsid w:val="00D04381"/>
    <w:rsid w:val="00D05712"/>
    <w:rsid w:val="00D0613D"/>
    <w:rsid w:val="00D068D1"/>
    <w:rsid w:val="00D06FD1"/>
    <w:rsid w:val="00D10724"/>
    <w:rsid w:val="00D11A3A"/>
    <w:rsid w:val="00D11F95"/>
    <w:rsid w:val="00D171B4"/>
    <w:rsid w:val="00D223CA"/>
    <w:rsid w:val="00D2289D"/>
    <w:rsid w:val="00D23C56"/>
    <w:rsid w:val="00D269D6"/>
    <w:rsid w:val="00D26AC7"/>
    <w:rsid w:val="00D27AB3"/>
    <w:rsid w:val="00D31DD4"/>
    <w:rsid w:val="00D33B27"/>
    <w:rsid w:val="00D34E4D"/>
    <w:rsid w:val="00D35EF0"/>
    <w:rsid w:val="00D37265"/>
    <w:rsid w:val="00D3772E"/>
    <w:rsid w:val="00D420BF"/>
    <w:rsid w:val="00D428F7"/>
    <w:rsid w:val="00D42D9B"/>
    <w:rsid w:val="00D45FBE"/>
    <w:rsid w:val="00D47227"/>
    <w:rsid w:val="00D47B49"/>
    <w:rsid w:val="00D52DCC"/>
    <w:rsid w:val="00D5343E"/>
    <w:rsid w:val="00D555D0"/>
    <w:rsid w:val="00D57EED"/>
    <w:rsid w:val="00D60239"/>
    <w:rsid w:val="00D60FF2"/>
    <w:rsid w:val="00D61356"/>
    <w:rsid w:val="00D6505B"/>
    <w:rsid w:val="00D65279"/>
    <w:rsid w:val="00D67DAF"/>
    <w:rsid w:val="00D71385"/>
    <w:rsid w:val="00D83F92"/>
    <w:rsid w:val="00D845F6"/>
    <w:rsid w:val="00D85B71"/>
    <w:rsid w:val="00D92409"/>
    <w:rsid w:val="00D9265A"/>
    <w:rsid w:val="00D92EA9"/>
    <w:rsid w:val="00D93402"/>
    <w:rsid w:val="00D94117"/>
    <w:rsid w:val="00DA04F7"/>
    <w:rsid w:val="00DA0A2E"/>
    <w:rsid w:val="00DA1EB1"/>
    <w:rsid w:val="00DA2419"/>
    <w:rsid w:val="00DA5584"/>
    <w:rsid w:val="00DA63A9"/>
    <w:rsid w:val="00DA72F2"/>
    <w:rsid w:val="00DB07D8"/>
    <w:rsid w:val="00DB0D8D"/>
    <w:rsid w:val="00DB3736"/>
    <w:rsid w:val="00DB62B4"/>
    <w:rsid w:val="00DC7682"/>
    <w:rsid w:val="00DD032A"/>
    <w:rsid w:val="00DD5090"/>
    <w:rsid w:val="00DD574C"/>
    <w:rsid w:val="00DD5786"/>
    <w:rsid w:val="00DD61C5"/>
    <w:rsid w:val="00DD686E"/>
    <w:rsid w:val="00DE1243"/>
    <w:rsid w:val="00DE1D49"/>
    <w:rsid w:val="00DE7116"/>
    <w:rsid w:val="00DF1F2C"/>
    <w:rsid w:val="00DF375B"/>
    <w:rsid w:val="00DF6D7F"/>
    <w:rsid w:val="00E02BC5"/>
    <w:rsid w:val="00E11FDF"/>
    <w:rsid w:val="00E12294"/>
    <w:rsid w:val="00E136E9"/>
    <w:rsid w:val="00E13B78"/>
    <w:rsid w:val="00E15638"/>
    <w:rsid w:val="00E16084"/>
    <w:rsid w:val="00E21BED"/>
    <w:rsid w:val="00E252EA"/>
    <w:rsid w:val="00E31225"/>
    <w:rsid w:val="00E34605"/>
    <w:rsid w:val="00E35187"/>
    <w:rsid w:val="00E41550"/>
    <w:rsid w:val="00E42015"/>
    <w:rsid w:val="00E42864"/>
    <w:rsid w:val="00E46A50"/>
    <w:rsid w:val="00E471F1"/>
    <w:rsid w:val="00E52917"/>
    <w:rsid w:val="00E5357A"/>
    <w:rsid w:val="00E56923"/>
    <w:rsid w:val="00E56948"/>
    <w:rsid w:val="00E60830"/>
    <w:rsid w:val="00E63EC5"/>
    <w:rsid w:val="00E65F4C"/>
    <w:rsid w:val="00E67264"/>
    <w:rsid w:val="00E706FA"/>
    <w:rsid w:val="00E735B7"/>
    <w:rsid w:val="00E8308C"/>
    <w:rsid w:val="00E8458F"/>
    <w:rsid w:val="00E87A4F"/>
    <w:rsid w:val="00E9173D"/>
    <w:rsid w:val="00E959DC"/>
    <w:rsid w:val="00EA2646"/>
    <w:rsid w:val="00EA2B25"/>
    <w:rsid w:val="00EA2E99"/>
    <w:rsid w:val="00EA3C5A"/>
    <w:rsid w:val="00EA3C98"/>
    <w:rsid w:val="00EA69ED"/>
    <w:rsid w:val="00EB2F46"/>
    <w:rsid w:val="00EB30E0"/>
    <w:rsid w:val="00EB3765"/>
    <w:rsid w:val="00EB56B8"/>
    <w:rsid w:val="00EB638D"/>
    <w:rsid w:val="00EC2FAC"/>
    <w:rsid w:val="00EC34BB"/>
    <w:rsid w:val="00EC4464"/>
    <w:rsid w:val="00EC5D92"/>
    <w:rsid w:val="00EC6699"/>
    <w:rsid w:val="00EC77D1"/>
    <w:rsid w:val="00ED30E8"/>
    <w:rsid w:val="00EE04BD"/>
    <w:rsid w:val="00EE5A5D"/>
    <w:rsid w:val="00EE6C36"/>
    <w:rsid w:val="00EF1398"/>
    <w:rsid w:val="00EF1851"/>
    <w:rsid w:val="00EF2483"/>
    <w:rsid w:val="00EF401A"/>
    <w:rsid w:val="00EF6D41"/>
    <w:rsid w:val="00EF70FE"/>
    <w:rsid w:val="00EF775B"/>
    <w:rsid w:val="00F039D0"/>
    <w:rsid w:val="00F1315B"/>
    <w:rsid w:val="00F20B9F"/>
    <w:rsid w:val="00F211DE"/>
    <w:rsid w:val="00F21CCA"/>
    <w:rsid w:val="00F23CEC"/>
    <w:rsid w:val="00F23F90"/>
    <w:rsid w:val="00F2749C"/>
    <w:rsid w:val="00F27F28"/>
    <w:rsid w:val="00F324AF"/>
    <w:rsid w:val="00F433AE"/>
    <w:rsid w:val="00F443E0"/>
    <w:rsid w:val="00F45489"/>
    <w:rsid w:val="00F52277"/>
    <w:rsid w:val="00F542F4"/>
    <w:rsid w:val="00F56C99"/>
    <w:rsid w:val="00F6039F"/>
    <w:rsid w:val="00F62A1E"/>
    <w:rsid w:val="00F63206"/>
    <w:rsid w:val="00F63B5E"/>
    <w:rsid w:val="00F72294"/>
    <w:rsid w:val="00F727A7"/>
    <w:rsid w:val="00F730D4"/>
    <w:rsid w:val="00F73DBC"/>
    <w:rsid w:val="00F77B5B"/>
    <w:rsid w:val="00F80E0E"/>
    <w:rsid w:val="00F81231"/>
    <w:rsid w:val="00F8337B"/>
    <w:rsid w:val="00F83F55"/>
    <w:rsid w:val="00F86BFF"/>
    <w:rsid w:val="00F95252"/>
    <w:rsid w:val="00F974E9"/>
    <w:rsid w:val="00FA30A7"/>
    <w:rsid w:val="00FA444D"/>
    <w:rsid w:val="00FA5555"/>
    <w:rsid w:val="00FB033F"/>
    <w:rsid w:val="00FB155A"/>
    <w:rsid w:val="00FC1341"/>
    <w:rsid w:val="00FC1C15"/>
    <w:rsid w:val="00FC7AC8"/>
    <w:rsid w:val="00FD5D27"/>
    <w:rsid w:val="00FD7BCE"/>
    <w:rsid w:val="00FE12D4"/>
    <w:rsid w:val="00FE25EA"/>
    <w:rsid w:val="00FE3773"/>
    <w:rsid w:val="00FE59C5"/>
    <w:rsid w:val="00FE5BB9"/>
    <w:rsid w:val="00FF570A"/>
    <w:rsid w:val="04BC2556"/>
    <w:rsid w:val="074DB1ED"/>
    <w:rsid w:val="0AB7B47C"/>
    <w:rsid w:val="110C27C0"/>
    <w:rsid w:val="1428AF94"/>
    <w:rsid w:val="143D951E"/>
    <w:rsid w:val="162E8CBF"/>
    <w:rsid w:val="172CC811"/>
    <w:rsid w:val="180F0AD2"/>
    <w:rsid w:val="1A06A6FD"/>
    <w:rsid w:val="1BCD15C1"/>
    <w:rsid w:val="1E7FCA20"/>
    <w:rsid w:val="1EE3D33F"/>
    <w:rsid w:val="1FF51E4A"/>
    <w:rsid w:val="20515A02"/>
    <w:rsid w:val="234C9B74"/>
    <w:rsid w:val="24246923"/>
    <w:rsid w:val="2982D833"/>
    <w:rsid w:val="299D1AAA"/>
    <w:rsid w:val="2D0447D4"/>
    <w:rsid w:val="2E134BA0"/>
    <w:rsid w:val="330BE264"/>
    <w:rsid w:val="35AC046D"/>
    <w:rsid w:val="361EC180"/>
    <w:rsid w:val="36F2E23B"/>
    <w:rsid w:val="3A4C78B7"/>
    <w:rsid w:val="4240AE37"/>
    <w:rsid w:val="48D88140"/>
    <w:rsid w:val="4BEAF42F"/>
    <w:rsid w:val="4E520A79"/>
    <w:rsid w:val="517DB79B"/>
    <w:rsid w:val="5245F831"/>
    <w:rsid w:val="538A54D5"/>
    <w:rsid w:val="55BA37C6"/>
    <w:rsid w:val="5EDB4EBE"/>
    <w:rsid w:val="61A263DE"/>
    <w:rsid w:val="630962C8"/>
    <w:rsid w:val="698B5CB3"/>
    <w:rsid w:val="69DA8C44"/>
    <w:rsid w:val="6B7B169F"/>
    <w:rsid w:val="6F4B0036"/>
    <w:rsid w:val="764AAD45"/>
    <w:rsid w:val="77E77360"/>
    <w:rsid w:val="786680D7"/>
    <w:rsid w:val="78C46E9D"/>
    <w:rsid w:val="79D9C61E"/>
    <w:rsid w:val="7AB2E12D"/>
    <w:rsid w:val="7C3FE914"/>
    <w:rsid w:val="7C41E1BE"/>
    <w:rsid w:val="7D004D9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2507C4"/>
  <w15:docId w15:val="{D518E89E-693D-4117-A243-4FFF237A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A47"/>
    <w:rPr>
      <w:rFonts w:eastAsiaTheme="minorEastAsia"/>
    </w:rPr>
  </w:style>
  <w:style w:type="paragraph" w:styleId="Heading1">
    <w:name w:val="heading 1"/>
    <w:basedOn w:val="Normal"/>
    <w:link w:val="Heading1Char"/>
    <w:qFormat/>
    <w:rsid w:val="0089417E"/>
    <w:pPr>
      <w:numPr>
        <w:numId w:val="23"/>
      </w:numPr>
      <w:spacing w:before="240" w:after="0" w:line="240" w:lineRule="auto"/>
      <w:jc w:val="both"/>
      <w:outlineLvl w:val="0"/>
    </w:pPr>
    <w:rPr>
      <w:rFonts w:ascii="Arial" w:eastAsia="Times New Roman" w:hAnsi="Arial" w:cs="Arial"/>
      <w:kern w:val="28"/>
      <w:sz w:val="21"/>
    </w:rPr>
  </w:style>
  <w:style w:type="paragraph" w:styleId="Heading2">
    <w:name w:val="heading 2"/>
    <w:basedOn w:val="Normal"/>
    <w:link w:val="Heading2Char"/>
    <w:qFormat/>
    <w:rsid w:val="0089417E"/>
    <w:pPr>
      <w:numPr>
        <w:ilvl w:val="1"/>
        <w:numId w:val="23"/>
      </w:numPr>
      <w:spacing w:before="240" w:after="0" w:line="240" w:lineRule="auto"/>
      <w:jc w:val="both"/>
      <w:outlineLvl w:val="1"/>
    </w:pPr>
    <w:rPr>
      <w:rFonts w:ascii="Arial" w:eastAsia="Times New Roman" w:hAnsi="Arial" w:cs="Arial"/>
      <w:sz w:val="21"/>
    </w:rPr>
  </w:style>
  <w:style w:type="paragraph" w:styleId="Heading3">
    <w:name w:val="heading 3"/>
    <w:basedOn w:val="Normal"/>
    <w:link w:val="Heading3Char"/>
    <w:qFormat/>
    <w:rsid w:val="0089417E"/>
    <w:pPr>
      <w:numPr>
        <w:ilvl w:val="2"/>
        <w:numId w:val="23"/>
      </w:numPr>
      <w:spacing w:before="240" w:after="0" w:line="240" w:lineRule="auto"/>
      <w:jc w:val="both"/>
      <w:outlineLvl w:val="2"/>
    </w:pPr>
    <w:rPr>
      <w:rFonts w:ascii="Arial" w:eastAsia="Times New Roman" w:hAnsi="Arial" w:cs="Arial"/>
      <w:sz w:val="21"/>
    </w:rPr>
  </w:style>
  <w:style w:type="paragraph" w:styleId="Heading4">
    <w:name w:val="heading 4"/>
    <w:basedOn w:val="Normal"/>
    <w:link w:val="Heading4Char"/>
    <w:qFormat/>
    <w:rsid w:val="0089417E"/>
    <w:pPr>
      <w:numPr>
        <w:ilvl w:val="3"/>
        <w:numId w:val="23"/>
      </w:numPr>
      <w:spacing w:before="240" w:after="0" w:line="240" w:lineRule="auto"/>
      <w:jc w:val="both"/>
      <w:outlineLvl w:val="3"/>
    </w:pPr>
    <w:rPr>
      <w:rFonts w:ascii="Arial" w:eastAsia="Times New Roman" w:hAnsi="Arial" w:cs="Arial"/>
      <w:sz w:val="21"/>
    </w:rPr>
  </w:style>
  <w:style w:type="paragraph" w:styleId="Heading5">
    <w:name w:val="heading 5"/>
    <w:basedOn w:val="Normal"/>
    <w:link w:val="Heading5Char"/>
    <w:qFormat/>
    <w:rsid w:val="0089417E"/>
    <w:pPr>
      <w:numPr>
        <w:ilvl w:val="4"/>
        <w:numId w:val="23"/>
      </w:numPr>
      <w:spacing w:before="240" w:after="0" w:line="240" w:lineRule="auto"/>
      <w:jc w:val="both"/>
      <w:outlineLvl w:val="4"/>
    </w:pPr>
    <w:rPr>
      <w:rFonts w:ascii="Arial" w:eastAsia="Times New Roman" w:hAnsi="Arial" w:cs="Arial"/>
      <w:sz w:val="21"/>
    </w:rPr>
  </w:style>
  <w:style w:type="paragraph" w:styleId="Heading6">
    <w:name w:val="heading 6"/>
    <w:basedOn w:val="Normal"/>
    <w:link w:val="Heading6Char"/>
    <w:qFormat/>
    <w:rsid w:val="0089417E"/>
    <w:pPr>
      <w:numPr>
        <w:ilvl w:val="5"/>
        <w:numId w:val="23"/>
      </w:numPr>
      <w:spacing w:before="240" w:after="0" w:line="240" w:lineRule="auto"/>
      <w:jc w:val="both"/>
      <w:outlineLvl w:val="5"/>
    </w:pPr>
    <w:rPr>
      <w:rFonts w:ascii="Arial" w:eastAsia="Times New Roman" w:hAnsi="Arial" w:cs="Arial"/>
      <w:sz w:val="21"/>
    </w:rPr>
  </w:style>
  <w:style w:type="paragraph" w:styleId="Heading7">
    <w:name w:val="heading 7"/>
    <w:basedOn w:val="Normal"/>
    <w:link w:val="Heading7Char"/>
    <w:qFormat/>
    <w:rsid w:val="0089417E"/>
    <w:pPr>
      <w:numPr>
        <w:ilvl w:val="6"/>
        <w:numId w:val="23"/>
      </w:numPr>
      <w:spacing w:before="240" w:after="0" w:line="240" w:lineRule="auto"/>
      <w:jc w:val="both"/>
      <w:outlineLvl w:val="6"/>
    </w:pPr>
    <w:rPr>
      <w:rFonts w:ascii="Arial" w:eastAsia="Times New Roman" w:hAnsi="Arial" w:cs="Arial"/>
      <w:sz w:val="21"/>
    </w:rPr>
  </w:style>
  <w:style w:type="paragraph" w:styleId="Heading8">
    <w:name w:val="heading 8"/>
    <w:basedOn w:val="Normal"/>
    <w:link w:val="Heading8Char"/>
    <w:qFormat/>
    <w:rsid w:val="0089417E"/>
    <w:pPr>
      <w:numPr>
        <w:ilvl w:val="7"/>
        <w:numId w:val="23"/>
      </w:numPr>
      <w:spacing w:before="240" w:after="0" w:line="240" w:lineRule="auto"/>
      <w:jc w:val="both"/>
      <w:outlineLvl w:val="7"/>
    </w:pPr>
    <w:rPr>
      <w:rFonts w:ascii="Arial" w:eastAsia="Times New Roman" w:hAnsi="Arial" w:cs="Arial"/>
      <w:sz w:val="21"/>
    </w:rPr>
  </w:style>
  <w:style w:type="paragraph" w:styleId="Heading9">
    <w:name w:val="heading 9"/>
    <w:basedOn w:val="Normal"/>
    <w:link w:val="Heading9Char"/>
    <w:qFormat/>
    <w:rsid w:val="0089417E"/>
    <w:pPr>
      <w:numPr>
        <w:ilvl w:val="8"/>
        <w:numId w:val="23"/>
      </w:numPr>
      <w:spacing w:before="240" w:after="0" w:line="240" w:lineRule="auto"/>
      <w:jc w:val="both"/>
      <w:outlineLvl w:val="8"/>
    </w:pPr>
    <w:rPr>
      <w:rFonts w:ascii="Arial" w:eastAsia="Times New Roman" w:hAnsi="Arial" w:cs="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A47"/>
    <w:pPr>
      <w:ind w:left="720"/>
      <w:contextualSpacing/>
    </w:pPr>
  </w:style>
  <w:style w:type="paragraph" w:styleId="FootnoteText">
    <w:name w:val="footnote text"/>
    <w:aliases w:val="5_G,Char,Note de bas de page2,Текст сноски Знак,Footnote Text Char1 Char,Footnote Text Char Char Char,Footnote Text Char Char Char Char Char Char Char Char Char Char Char,Footnote Text Char Char Char Char Char Char Char Char, Char,FA Fu"/>
    <w:basedOn w:val="Normal"/>
    <w:link w:val="FootnoteTextChar"/>
    <w:uiPriority w:val="99"/>
    <w:unhideWhenUsed/>
    <w:qFormat/>
    <w:rsid w:val="00872A47"/>
    <w:pPr>
      <w:spacing w:after="0" w:line="240" w:lineRule="auto"/>
    </w:pPr>
    <w:rPr>
      <w:sz w:val="20"/>
      <w:szCs w:val="20"/>
    </w:rPr>
  </w:style>
  <w:style w:type="character" w:customStyle="1" w:styleId="FootnoteTextChar">
    <w:name w:val="Footnote Text Char"/>
    <w:aliases w:val="5_G Char,Char Char,Note de bas de page2 Char,Текст сноски Знак Char,Footnote Text Char1 Char Char,Footnote Text Char Char Char Char,Footnote Text Char Char Char Char Char Char Char Char Char Char Char Char, Char Char,FA Fu Char"/>
    <w:basedOn w:val="DefaultParagraphFont"/>
    <w:link w:val="FootnoteText"/>
    <w:uiPriority w:val="99"/>
    <w:rsid w:val="00872A47"/>
    <w:rPr>
      <w:rFonts w:eastAsiaTheme="minorEastAsia"/>
      <w:sz w:val="20"/>
      <w:szCs w:val="20"/>
    </w:rPr>
  </w:style>
  <w:style w:type="character" w:styleId="FootnoteReference">
    <w:name w:val="footnote reference"/>
    <w:aliases w:val="4_G,Footnote Refernece,Footnote number,Footnotes refss,16 Point,Superscript 6 Point"/>
    <w:basedOn w:val="DefaultParagraphFont"/>
    <w:uiPriority w:val="99"/>
    <w:unhideWhenUsed/>
    <w:qFormat/>
    <w:rsid w:val="00872A47"/>
    <w:rPr>
      <w:vertAlign w:val="superscript"/>
    </w:rPr>
  </w:style>
  <w:style w:type="paragraph" w:styleId="BalloonText">
    <w:name w:val="Balloon Text"/>
    <w:basedOn w:val="Normal"/>
    <w:link w:val="BalloonTextChar"/>
    <w:uiPriority w:val="99"/>
    <w:semiHidden/>
    <w:unhideWhenUsed/>
    <w:rsid w:val="00532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096"/>
    <w:rPr>
      <w:rFonts w:ascii="Segoe UI" w:eastAsiaTheme="minorEastAsia" w:hAnsi="Segoe UI" w:cs="Segoe UI"/>
      <w:sz w:val="18"/>
      <w:szCs w:val="18"/>
    </w:rPr>
  </w:style>
  <w:style w:type="paragraph" w:customStyle="1" w:styleId="Default">
    <w:name w:val="Default"/>
    <w:rsid w:val="00400638"/>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2D58E4"/>
    <w:rPr>
      <w:i/>
      <w:iCs/>
    </w:rPr>
  </w:style>
  <w:style w:type="character" w:styleId="Hyperlink">
    <w:name w:val="Hyperlink"/>
    <w:basedOn w:val="DefaultParagraphFont"/>
    <w:uiPriority w:val="99"/>
    <w:unhideWhenUsed/>
    <w:rsid w:val="002D58E4"/>
    <w:rPr>
      <w:color w:val="0563C1" w:themeColor="hyperlink"/>
      <w:u w:val="single"/>
    </w:rPr>
  </w:style>
  <w:style w:type="character" w:styleId="CommentReference">
    <w:name w:val="annotation reference"/>
    <w:basedOn w:val="DefaultParagraphFont"/>
    <w:uiPriority w:val="99"/>
    <w:semiHidden/>
    <w:unhideWhenUsed/>
    <w:rsid w:val="003B017D"/>
    <w:rPr>
      <w:sz w:val="16"/>
      <w:szCs w:val="16"/>
    </w:rPr>
  </w:style>
  <w:style w:type="paragraph" w:styleId="CommentText">
    <w:name w:val="annotation text"/>
    <w:basedOn w:val="Normal"/>
    <w:link w:val="CommentTextChar"/>
    <w:uiPriority w:val="99"/>
    <w:unhideWhenUsed/>
    <w:rsid w:val="003B017D"/>
    <w:pPr>
      <w:spacing w:line="240" w:lineRule="auto"/>
    </w:pPr>
    <w:rPr>
      <w:sz w:val="20"/>
      <w:szCs w:val="20"/>
    </w:rPr>
  </w:style>
  <w:style w:type="character" w:customStyle="1" w:styleId="CommentTextChar">
    <w:name w:val="Comment Text Char"/>
    <w:basedOn w:val="DefaultParagraphFont"/>
    <w:link w:val="CommentText"/>
    <w:uiPriority w:val="99"/>
    <w:rsid w:val="003B017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B017D"/>
    <w:rPr>
      <w:b/>
      <w:bCs/>
    </w:rPr>
  </w:style>
  <w:style w:type="character" w:customStyle="1" w:styleId="CommentSubjectChar">
    <w:name w:val="Comment Subject Char"/>
    <w:basedOn w:val="CommentTextChar"/>
    <w:link w:val="CommentSubject"/>
    <w:uiPriority w:val="99"/>
    <w:semiHidden/>
    <w:rsid w:val="003B017D"/>
    <w:rPr>
      <w:rFonts w:eastAsiaTheme="minorEastAsia"/>
      <w:b/>
      <w:bCs/>
      <w:sz w:val="20"/>
      <w:szCs w:val="20"/>
    </w:rPr>
  </w:style>
  <w:style w:type="character" w:customStyle="1" w:styleId="CorisITALIC">
    <w:name w:val="Coris ITALIC"/>
    <w:uiPriority w:val="99"/>
    <w:rsid w:val="00921CF7"/>
    <w:rPr>
      <w:rFonts w:ascii="CorisMacron Italic" w:hAnsi="CorisMacron Italic" w:cs="CorisMacron Italic"/>
      <w:i/>
      <w:iCs/>
    </w:rPr>
  </w:style>
  <w:style w:type="paragraph" w:styleId="Header">
    <w:name w:val="header"/>
    <w:basedOn w:val="Normal"/>
    <w:link w:val="HeaderChar"/>
    <w:uiPriority w:val="99"/>
    <w:unhideWhenUsed/>
    <w:rsid w:val="00921C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CF7"/>
    <w:rPr>
      <w:rFonts w:eastAsiaTheme="minorEastAsia"/>
    </w:rPr>
  </w:style>
  <w:style w:type="paragraph" w:styleId="Footer">
    <w:name w:val="footer"/>
    <w:basedOn w:val="Normal"/>
    <w:link w:val="FooterChar"/>
    <w:uiPriority w:val="99"/>
    <w:unhideWhenUsed/>
    <w:rsid w:val="00921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CF7"/>
    <w:rPr>
      <w:rFonts w:eastAsiaTheme="minorEastAsia"/>
    </w:rPr>
  </w:style>
  <w:style w:type="character" w:styleId="Strong">
    <w:name w:val="Strong"/>
    <w:basedOn w:val="DefaultParagraphFont"/>
    <w:uiPriority w:val="22"/>
    <w:qFormat/>
    <w:rsid w:val="00D92409"/>
    <w:rPr>
      <w:b/>
      <w:bCs/>
    </w:rPr>
  </w:style>
  <w:style w:type="character" w:customStyle="1" w:styleId="Mention">
    <w:name w:val="Mention"/>
    <w:basedOn w:val="DefaultParagraphFont"/>
    <w:uiPriority w:val="99"/>
    <w:semiHidden/>
    <w:unhideWhenUsed/>
    <w:rsid w:val="00AC2772"/>
    <w:rPr>
      <w:color w:val="2B579A"/>
      <w:shd w:val="clear" w:color="auto" w:fill="E6E6E6"/>
    </w:rPr>
  </w:style>
  <w:style w:type="paragraph" w:styleId="NormalWeb">
    <w:name w:val="Normal (Web)"/>
    <w:basedOn w:val="Normal"/>
    <w:uiPriority w:val="99"/>
    <w:unhideWhenUsed/>
    <w:rsid w:val="0038045A"/>
    <w:pPr>
      <w:spacing w:before="100" w:beforeAutospacing="1" w:after="100" w:afterAutospacing="1" w:line="240" w:lineRule="auto"/>
    </w:pPr>
    <w:rPr>
      <w:rFonts w:ascii="Times New Roman" w:eastAsiaTheme="minorHAnsi" w:hAnsi="Times New Roman" w:cs="Times New Roman"/>
      <w:sz w:val="24"/>
      <w:szCs w:val="24"/>
      <w:lang w:val="en-US"/>
    </w:rPr>
  </w:style>
  <w:style w:type="character" w:customStyle="1" w:styleId="Heading1Char">
    <w:name w:val="Heading 1 Char"/>
    <w:basedOn w:val="DefaultParagraphFont"/>
    <w:link w:val="Heading1"/>
    <w:rsid w:val="0089417E"/>
    <w:rPr>
      <w:rFonts w:ascii="Arial" w:eastAsia="Times New Roman" w:hAnsi="Arial" w:cs="Arial"/>
      <w:kern w:val="28"/>
      <w:sz w:val="21"/>
    </w:rPr>
  </w:style>
  <w:style w:type="character" w:customStyle="1" w:styleId="Heading2Char">
    <w:name w:val="Heading 2 Char"/>
    <w:basedOn w:val="DefaultParagraphFont"/>
    <w:link w:val="Heading2"/>
    <w:rsid w:val="0089417E"/>
    <w:rPr>
      <w:rFonts w:ascii="Arial" w:eastAsia="Times New Roman" w:hAnsi="Arial" w:cs="Arial"/>
      <w:sz w:val="21"/>
    </w:rPr>
  </w:style>
  <w:style w:type="character" w:customStyle="1" w:styleId="Heading3Char">
    <w:name w:val="Heading 3 Char"/>
    <w:basedOn w:val="DefaultParagraphFont"/>
    <w:link w:val="Heading3"/>
    <w:rsid w:val="0089417E"/>
    <w:rPr>
      <w:rFonts w:ascii="Arial" w:eastAsia="Times New Roman" w:hAnsi="Arial" w:cs="Arial"/>
      <w:sz w:val="21"/>
    </w:rPr>
  </w:style>
  <w:style w:type="character" w:customStyle="1" w:styleId="Heading4Char">
    <w:name w:val="Heading 4 Char"/>
    <w:basedOn w:val="DefaultParagraphFont"/>
    <w:link w:val="Heading4"/>
    <w:rsid w:val="0089417E"/>
    <w:rPr>
      <w:rFonts w:ascii="Arial" w:eastAsia="Times New Roman" w:hAnsi="Arial" w:cs="Arial"/>
      <w:sz w:val="21"/>
    </w:rPr>
  </w:style>
  <w:style w:type="character" w:customStyle="1" w:styleId="Heading5Char">
    <w:name w:val="Heading 5 Char"/>
    <w:basedOn w:val="DefaultParagraphFont"/>
    <w:link w:val="Heading5"/>
    <w:rsid w:val="0089417E"/>
    <w:rPr>
      <w:rFonts w:ascii="Arial" w:eastAsia="Times New Roman" w:hAnsi="Arial" w:cs="Arial"/>
      <w:sz w:val="21"/>
    </w:rPr>
  </w:style>
  <w:style w:type="character" w:customStyle="1" w:styleId="Heading6Char">
    <w:name w:val="Heading 6 Char"/>
    <w:basedOn w:val="DefaultParagraphFont"/>
    <w:link w:val="Heading6"/>
    <w:rsid w:val="0089417E"/>
    <w:rPr>
      <w:rFonts w:ascii="Arial" w:eastAsia="Times New Roman" w:hAnsi="Arial" w:cs="Arial"/>
      <w:sz w:val="21"/>
    </w:rPr>
  </w:style>
  <w:style w:type="character" w:customStyle="1" w:styleId="Heading7Char">
    <w:name w:val="Heading 7 Char"/>
    <w:basedOn w:val="DefaultParagraphFont"/>
    <w:link w:val="Heading7"/>
    <w:rsid w:val="0089417E"/>
    <w:rPr>
      <w:rFonts w:ascii="Arial" w:eastAsia="Times New Roman" w:hAnsi="Arial" w:cs="Arial"/>
      <w:sz w:val="21"/>
    </w:rPr>
  </w:style>
  <w:style w:type="character" w:customStyle="1" w:styleId="Heading8Char">
    <w:name w:val="Heading 8 Char"/>
    <w:basedOn w:val="DefaultParagraphFont"/>
    <w:link w:val="Heading8"/>
    <w:rsid w:val="0089417E"/>
    <w:rPr>
      <w:rFonts w:ascii="Arial" w:eastAsia="Times New Roman" w:hAnsi="Arial" w:cs="Arial"/>
      <w:sz w:val="21"/>
    </w:rPr>
  </w:style>
  <w:style w:type="character" w:customStyle="1" w:styleId="Heading9Char">
    <w:name w:val="Heading 9 Char"/>
    <w:basedOn w:val="DefaultParagraphFont"/>
    <w:link w:val="Heading9"/>
    <w:rsid w:val="0089417E"/>
    <w:rPr>
      <w:rFonts w:ascii="Arial" w:eastAsia="Times New Roman" w:hAnsi="Arial" w:cs="Arial"/>
      <w:sz w:val="21"/>
    </w:rPr>
  </w:style>
  <w:style w:type="character" w:customStyle="1" w:styleId="eop">
    <w:name w:val="eop"/>
    <w:basedOn w:val="DefaultParagraphFont"/>
    <w:rsid w:val="001B544E"/>
  </w:style>
  <w:style w:type="paragraph" w:customStyle="1" w:styleId="example-2">
    <w:name w:val="example-2"/>
    <w:basedOn w:val="Normal"/>
    <w:rsid w:val="00CB17B7"/>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italics">
    <w:name w:val="italics"/>
    <w:basedOn w:val="DefaultParagraphFont"/>
    <w:rsid w:val="00CB17B7"/>
  </w:style>
  <w:style w:type="paragraph" w:styleId="NoSpacing">
    <w:name w:val="No Spacing"/>
    <w:uiPriority w:val="1"/>
    <w:qFormat/>
    <w:rsid w:val="00BF5D51"/>
    <w:pPr>
      <w:spacing w:after="0" w:line="240" w:lineRule="auto"/>
    </w:pPr>
  </w:style>
  <w:style w:type="paragraph" w:styleId="Revision">
    <w:name w:val="Revision"/>
    <w:hidden/>
    <w:uiPriority w:val="99"/>
    <w:semiHidden/>
    <w:rsid w:val="00DB0D8D"/>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34582">
      <w:bodyDiv w:val="1"/>
      <w:marLeft w:val="0"/>
      <w:marRight w:val="0"/>
      <w:marTop w:val="0"/>
      <w:marBottom w:val="0"/>
      <w:divBdr>
        <w:top w:val="none" w:sz="0" w:space="0" w:color="auto"/>
        <w:left w:val="none" w:sz="0" w:space="0" w:color="auto"/>
        <w:bottom w:val="none" w:sz="0" w:space="0" w:color="auto"/>
        <w:right w:val="none" w:sz="0" w:space="0" w:color="auto"/>
      </w:divBdr>
    </w:div>
    <w:div w:id="197355416">
      <w:bodyDiv w:val="1"/>
      <w:marLeft w:val="0"/>
      <w:marRight w:val="0"/>
      <w:marTop w:val="0"/>
      <w:marBottom w:val="0"/>
      <w:divBdr>
        <w:top w:val="none" w:sz="0" w:space="0" w:color="auto"/>
        <w:left w:val="none" w:sz="0" w:space="0" w:color="auto"/>
        <w:bottom w:val="none" w:sz="0" w:space="0" w:color="auto"/>
        <w:right w:val="none" w:sz="0" w:space="0" w:color="auto"/>
      </w:divBdr>
      <w:divsChild>
        <w:div w:id="1900750337">
          <w:marLeft w:val="0"/>
          <w:marRight w:val="0"/>
          <w:marTop w:val="0"/>
          <w:marBottom w:val="0"/>
          <w:divBdr>
            <w:top w:val="none" w:sz="0" w:space="0" w:color="auto"/>
            <w:left w:val="none" w:sz="0" w:space="0" w:color="auto"/>
            <w:bottom w:val="none" w:sz="0" w:space="0" w:color="auto"/>
            <w:right w:val="none" w:sz="0" w:space="0" w:color="auto"/>
          </w:divBdr>
          <w:divsChild>
            <w:div w:id="1598513929">
              <w:marLeft w:val="0"/>
              <w:marRight w:val="0"/>
              <w:marTop w:val="0"/>
              <w:marBottom w:val="0"/>
              <w:divBdr>
                <w:top w:val="none" w:sz="0" w:space="0" w:color="auto"/>
                <w:left w:val="none" w:sz="0" w:space="0" w:color="auto"/>
                <w:bottom w:val="none" w:sz="0" w:space="0" w:color="auto"/>
                <w:right w:val="none" w:sz="0" w:space="0" w:color="auto"/>
              </w:divBdr>
            </w:div>
            <w:div w:id="1800225902">
              <w:marLeft w:val="0"/>
              <w:marRight w:val="0"/>
              <w:marTop w:val="0"/>
              <w:marBottom w:val="0"/>
              <w:divBdr>
                <w:top w:val="none" w:sz="0" w:space="0" w:color="auto"/>
                <w:left w:val="none" w:sz="0" w:space="0" w:color="auto"/>
                <w:bottom w:val="none" w:sz="0" w:space="0" w:color="auto"/>
                <w:right w:val="none" w:sz="0" w:space="0" w:color="auto"/>
              </w:divBdr>
            </w:div>
            <w:div w:id="205195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24133">
      <w:bodyDiv w:val="1"/>
      <w:marLeft w:val="0"/>
      <w:marRight w:val="0"/>
      <w:marTop w:val="0"/>
      <w:marBottom w:val="0"/>
      <w:divBdr>
        <w:top w:val="none" w:sz="0" w:space="0" w:color="auto"/>
        <w:left w:val="none" w:sz="0" w:space="0" w:color="auto"/>
        <w:bottom w:val="none" w:sz="0" w:space="0" w:color="auto"/>
        <w:right w:val="none" w:sz="0" w:space="0" w:color="auto"/>
      </w:divBdr>
    </w:div>
    <w:div w:id="564336722">
      <w:bodyDiv w:val="1"/>
      <w:marLeft w:val="0"/>
      <w:marRight w:val="0"/>
      <w:marTop w:val="0"/>
      <w:marBottom w:val="0"/>
      <w:divBdr>
        <w:top w:val="none" w:sz="0" w:space="0" w:color="auto"/>
        <w:left w:val="none" w:sz="0" w:space="0" w:color="auto"/>
        <w:bottom w:val="none" w:sz="0" w:space="0" w:color="auto"/>
        <w:right w:val="none" w:sz="0" w:space="0" w:color="auto"/>
      </w:divBdr>
    </w:div>
    <w:div w:id="737753573">
      <w:bodyDiv w:val="1"/>
      <w:marLeft w:val="0"/>
      <w:marRight w:val="0"/>
      <w:marTop w:val="0"/>
      <w:marBottom w:val="0"/>
      <w:divBdr>
        <w:top w:val="none" w:sz="0" w:space="0" w:color="auto"/>
        <w:left w:val="none" w:sz="0" w:space="0" w:color="auto"/>
        <w:bottom w:val="none" w:sz="0" w:space="0" w:color="auto"/>
        <w:right w:val="none" w:sz="0" w:space="0" w:color="auto"/>
      </w:divBdr>
    </w:div>
    <w:div w:id="899559833">
      <w:bodyDiv w:val="1"/>
      <w:marLeft w:val="0"/>
      <w:marRight w:val="0"/>
      <w:marTop w:val="0"/>
      <w:marBottom w:val="0"/>
      <w:divBdr>
        <w:top w:val="none" w:sz="0" w:space="0" w:color="auto"/>
        <w:left w:val="none" w:sz="0" w:space="0" w:color="auto"/>
        <w:bottom w:val="none" w:sz="0" w:space="0" w:color="auto"/>
        <w:right w:val="none" w:sz="0" w:space="0" w:color="auto"/>
      </w:divBdr>
    </w:div>
    <w:div w:id="1167864329">
      <w:bodyDiv w:val="1"/>
      <w:marLeft w:val="0"/>
      <w:marRight w:val="0"/>
      <w:marTop w:val="0"/>
      <w:marBottom w:val="0"/>
      <w:divBdr>
        <w:top w:val="none" w:sz="0" w:space="0" w:color="auto"/>
        <w:left w:val="none" w:sz="0" w:space="0" w:color="auto"/>
        <w:bottom w:val="none" w:sz="0" w:space="0" w:color="auto"/>
        <w:right w:val="none" w:sz="0" w:space="0" w:color="auto"/>
      </w:divBdr>
    </w:div>
    <w:div w:id="1191650039">
      <w:bodyDiv w:val="1"/>
      <w:marLeft w:val="0"/>
      <w:marRight w:val="0"/>
      <w:marTop w:val="0"/>
      <w:marBottom w:val="0"/>
      <w:divBdr>
        <w:top w:val="none" w:sz="0" w:space="0" w:color="auto"/>
        <w:left w:val="none" w:sz="0" w:space="0" w:color="auto"/>
        <w:bottom w:val="none" w:sz="0" w:space="0" w:color="auto"/>
        <w:right w:val="none" w:sz="0" w:space="0" w:color="auto"/>
      </w:divBdr>
      <w:divsChild>
        <w:div w:id="184172183">
          <w:marLeft w:val="0"/>
          <w:marRight w:val="0"/>
          <w:marTop w:val="0"/>
          <w:marBottom w:val="0"/>
          <w:divBdr>
            <w:top w:val="none" w:sz="0" w:space="0" w:color="auto"/>
            <w:left w:val="none" w:sz="0" w:space="0" w:color="auto"/>
            <w:bottom w:val="none" w:sz="0" w:space="0" w:color="auto"/>
            <w:right w:val="none" w:sz="0" w:space="0" w:color="auto"/>
          </w:divBdr>
        </w:div>
        <w:div w:id="1240214933">
          <w:marLeft w:val="0"/>
          <w:marRight w:val="0"/>
          <w:marTop w:val="0"/>
          <w:marBottom w:val="0"/>
          <w:divBdr>
            <w:top w:val="none" w:sz="0" w:space="0" w:color="auto"/>
            <w:left w:val="none" w:sz="0" w:space="0" w:color="auto"/>
            <w:bottom w:val="none" w:sz="0" w:space="0" w:color="auto"/>
            <w:right w:val="none" w:sz="0" w:space="0" w:color="auto"/>
          </w:divBdr>
        </w:div>
        <w:div w:id="1436485306">
          <w:marLeft w:val="0"/>
          <w:marRight w:val="0"/>
          <w:marTop w:val="0"/>
          <w:marBottom w:val="0"/>
          <w:divBdr>
            <w:top w:val="none" w:sz="0" w:space="0" w:color="auto"/>
            <w:left w:val="none" w:sz="0" w:space="0" w:color="auto"/>
            <w:bottom w:val="none" w:sz="0" w:space="0" w:color="auto"/>
            <w:right w:val="none" w:sz="0" w:space="0" w:color="auto"/>
          </w:divBdr>
        </w:div>
      </w:divsChild>
    </w:div>
    <w:div w:id="1228305065">
      <w:bodyDiv w:val="1"/>
      <w:marLeft w:val="0"/>
      <w:marRight w:val="0"/>
      <w:marTop w:val="0"/>
      <w:marBottom w:val="0"/>
      <w:divBdr>
        <w:top w:val="none" w:sz="0" w:space="0" w:color="auto"/>
        <w:left w:val="none" w:sz="0" w:space="0" w:color="auto"/>
        <w:bottom w:val="none" w:sz="0" w:space="0" w:color="auto"/>
        <w:right w:val="none" w:sz="0" w:space="0" w:color="auto"/>
      </w:divBdr>
    </w:div>
    <w:div w:id="1253707090">
      <w:bodyDiv w:val="1"/>
      <w:marLeft w:val="0"/>
      <w:marRight w:val="0"/>
      <w:marTop w:val="0"/>
      <w:marBottom w:val="0"/>
      <w:divBdr>
        <w:top w:val="none" w:sz="0" w:space="0" w:color="auto"/>
        <w:left w:val="none" w:sz="0" w:space="0" w:color="auto"/>
        <w:bottom w:val="none" w:sz="0" w:space="0" w:color="auto"/>
        <w:right w:val="none" w:sz="0" w:space="0" w:color="auto"/>
      </w:divBdr>
      <w:divsChild>
        <w:div w:id="124550531">
          <w:marLeft w:val="0"/>
          <w:marRight w:val="0"/>
          <w:marTop w:val="0"/>
          <w:marBottom w:val="0"/>
          <w:divBdr>
            <w:top w:val="none" w:sz="0" w:space="0" w:color="auto"/>
            <w:left w:val="none" w:sz="0" w:space="0" w:color="auto"/>
            <w:bottom w:val="none" w:sz="0" w:space="0" w:color="auto"/>
            <w:right w:val="none" w:sz="0" w:space="0" w:color="auto"/>
          </w:divBdr>
        </w:div>
        <w:div w:id="1390297822">
          <w:marLeft w:val="0"/>
          <w:marRight w:val="0"/>
          <w:marTop w:val="0"/>
          <w:marBottom w:val="0"/>
          <w:divBdr>
            <w:top w:val="none" w:sz="0" w:space="0" w:color="auto"/>
            <w:left w:val="none" w:sz="0" w:space="0" w:color="auto"/>
            <w:bottom w:val="none" w:sz="0" w:space="0" w:color="auto"/>
            <w:right w:val="none" w:sz="0" w:space="0" w:color="auto"/>
          </w:divBdr>
        </w:div>
        <w:div w:id="1527719538">
          <w:marLeft w:val="0"/>
          <w:marRight w:val="0"/>
          <w:marTop w:val="0"/>
          <w:marBottom w:val="0"/>
          <w:divBdr>
            <w:top w:val="none" w:sz="0" w:space="0" w:color="auto"/>
            <w:left w:val="none" w:sz="0" w:space="0" w:color="auto"/>
            <w:bottom w:val="none" w:sz="0" w:space="0" w:color="auto"/>
            <w:right w:val="none" w:sz="0" w:space="0" w:color="auto"/>
          </w:divBdr>
        </w:div>
        <w:div w:id="2105295230">
          <w:marLeft w:val="0"/>
          <w:marRight w:val="0"/>
          <w:marTop w:val="0"/>
          <w:marBottom w:val="0"/>
          <w:divBdr>
            <w:top w:val="none" w:sz="0" w:space="0" w:color="auto"/>
            <w:left w:val="none" w:sz="0" w:space="0" w:color="auto"/>
            <w:bottom w:val="none" w:sz="0" w:space="0" w:color="auto"/>
            <w:right w:val="none" w:sz="0" w:space="0" w:color="auto"/>
          </w:divBdr>
        </w:div>
      </w:divsChild>
    </w:div>
    <w:div w:id="1533106612">
      <w:bodyDiv w:val="1"/>
      <w:marLeft w:val="0"/>
      <w:marRight w:val="0"/>
      <w:marTop w:val="0"/>
      <w:marBottom w:val="0"/>
      <w:divBdr>
        <w:top w:val="none" w:sz="0" w:space="0" w:color="auto"/>
        <w:left w:val="none" w:sz="0" w:space="0" w:color="auto"/>
        <w:bottom w:val="none" w:sz="0" w:space="0" w:color="auto"/>
        <w:right w:val="none" w:sz="0" w:space="0" w:color="auto"/>
      </w:divBdr>
    </w:div>
    <w:div w:id="208602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6A6F5F0E5872D4FBC99FF82404852FC" ma:contentTypeVersion="40" ma:contentTypeDescription="Create a new document." ma:contentTypeScope="" ma:versionID="df2a7eb2e8f2faa03aea5767bab189cb">
  <xsd:schema xmlns:xsd="http://www.w3.org/2001/XMLSchema" xmlns:xs="http://www.w3.org/2001/XMLSchema" xmlns:p="http://schemas.microsoft.com/office/2006/metadata/properties" xmlns:ns2="14bf6e64-41b1-4008-8b31-81e768f35d2f" xmlns:ns3="0a28ad9b-b50f-45c7-9909-b90a4cda4617" xmlns:ns4="7fa524cd-5488-4231-a774-088743c0689c" targetNamespace="http://schemas.microsoft.com/office/2006/metadata/properties" ma:root="true" ma:fieldsID="efcebeb053ee7262202a05e83336fcd2" ns2:_="" ns3:_="" ns4:_="">
    <xsd:import namespace="14bf6e64-41b1-4008-8b31-81e768f35d2f"/>
    <xsd:import namespace="0a28ad9b-b50f-45c7-9909-b90a4cda4617"/>
    <xsd:import namespace="7fa524cd-5488-4231-a774-088743c0689c"/>
    <xsd:element name="properties">
      <xsd:complexType>
        <xsd:sequence>
          <xsd:element name="documentManagement">
            <xsd:complexType>
              <xsd:all>
                <xsd:element ref="ns2:_dlc_DocId" minOccurs="0"/>
                <xsd:element ref="ns2:_dlc_DocIdUrl" minOccurs="0"/>
                <xsd:element ref="ns2:_dlc_DocIdPersistId" minOccurs="0"/>
                <xsd:element ref="ns2:FinancialYear" minOccurs="0"/>
                <xsd:element ref="ns3:SharedWithUsers" minOccurs="0"/>
                <xsd:element ref="ns3:SharedWithDetails" minOccurs="0"/>
                <xsd:element ref="ns2:i0f84bba906045b4af568ee102a52dcb" minOccurs="0"/>
                <xsd:element ref="ns2:TaxCatchAll" minOccurs="0"/>
                <xsd:element ref="ns4:MediaServiceMetadata" minOccurs="0"/>
                <xsd:element ref="ns4:MediaServiceFastMetadata" minOccurs="0"/>
                <xsd:element ref="ns4:MediaServiceAutoTags" minOccurs="0"/>
                <xsd:element ref="ns4:MediaServiceEventHashCode" minOccurs="0"/>
                <xsd:element ref="ns4:MediaServiceGenerationTime" minOccurs="0"/>
                <xsd:element ref="ns4:MediaServiceDateTaken"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f6e64-41b1-4008-8b31-81e768f35d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nancialYear" ma:index="11" nillable="true" ma:displayName="Financial Year" ma:description="Financial Year" ma:format="Dropdown" ma:internalName="FinancialYear">
      <xsd:simpleType>
        <xsd:restriction base="dms:Choice">
          <xsd:enumeration value="2000-01"/>
          <xsd:enumeration value="2001-02"/>
          <xsd:enumeration value="2002-03"/>
          <xsd:enumeration value="2003-04"/>
          <xsd:enumeration value="2004-05"/>
          <xsd:enumeration value="2005-06"/>
          <xsd:enumeration value="2006-07"/>
          <xsd:enumeration value="2007-08"/>
          <xsd:enumeration value="2008-09"/>
          <xsd:enumeration value="2009-10"/>
          <xsd:enumeration value="2010-11"/>
          <xsd:enumeration value="2011-12"/>
          <xsd:enumeration value="2012-13"/>
          <xsd:enumeration value="2013-14"/>
          <xsd:enumeration value="2014-15"/>
          <xsd:enumeration value="2015-16"/>
          <xsd:enumeration value="2016-17"/>
          <xsd:enumeration value="2017-18"/>
          <xsd:enumeration value="2018-19"/>
          <xsd:enumeration value="2019-20"/>
        </xsd:restriction>
      </xsd:simpleType>
    </xsd:element>
    <xsd:element name="i0f84bba906045b4af568ee102a52dcb" ma:index="15" nillable="true" ma:taxonomy="true" ma:internalName="i0f84bba906045b4af568ee102a52dcb" ma:taxonomyFieldName="RevIMBCS" ma:displayName="HRC Taxonomy" ma:indexed="true" ma:readOnly="false" ma:default="340;#International Monitoring ＆ Submissions|2a22f43d-b086-4b03-9efa-1cfb9a62dde0" ma:fieldId="{20f84bba-9060-45b4-af56-8ee102a52dcb}" ma:sspId="b81e6a3b-7119-479f-a0a1-d1ace2e3d91a" ma:termSetId="b5c58978-aacf-4d49-9597-114f1244351d" ma:anchorId="95e39927-8a8a-49bd-969d-d6280031797e" ma:open="false" ma:isKeyword="false">
      <xsd:complexType>
        <xsd:sequence>
          <xsd:element ref="pc:Terms" minOccurs="0" maxOccurs="1"/>
        </xsd:sequence>
      </xsd:complexType>
    </xsd:element>
    <xsd:element name="TaxCatchAll" ma:index="16" nillable="true" ma:displayName="Taxonomy Catch All Column" ma:description="" ma:hidden="true" ma:list="{e98d8594-ac13-4827-9ccc-f6e688be706a}" ma:internalName="TaxCatchAll" ma:showField="CatchAllData" ma:web="14bf6e64-41b1-4008-8b31-81e768f35d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28ad9b-b50f-45c7-9909-b90a4cda4617"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a524cd-5488-4231-a774-088743c0689c"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Tags" ma:index="19" nillable="true" ma:displayName="MediaServiceAutoTags" ma:internalName="MediaServiceAutoTags"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B8625-4292-433D-8254-0F1646A1FC90}">
  <ds:schemaRefs>
    <ds:schemaRef ds:uri="7fa524cd-5488-4231-a774-088743c0689c"/>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0a28ad9b-b50f-45c7-9909-b90a4cda4617"/>
    <ds:schemaRef ds:uri="http://schemas.microsoft.com/office/2006/metadata/properties"/>
    <ds:schemaRef ds:uri="14bf6e64-41b1-4008-8b31-81e768f35d2f"/>
    <ds:schemaRef ds:uri="http://www.w3.org/XML/1998/namespace"/>
    <ds:schemaRef ds:uri="http://purl.org/dc/dcmitype/"/>
  </ds:schemaRefs>
</ds:datastoreItem>
</file>

<file path=customXml/itemProps2.xml><?xml version="1.0" encoding="utf-8"?>
<ds:datastoreItem xmlns:ds="http://schemas.openxmlformats.org/officeDocument/2006/customXml" ds:itemID="{40533357-7806-4878-9759-29FB075C735A}">
  <ds:schemaRefs>
    <ds:schemaRef ds:uri="http://schemas.microsoft.com/sharepoint/v3/contenttype/forms"/>
  </ds:schemaRefs>
</ds:datastoreItem>
</file>

<file path=customXml/itemProps3.xml><?xml version="1.0" encoding="utf-8"?>
<ds:datastoreItem xmlns:ds="http://schemas.openxmlformats.org/officeDocument/2006/customXml" ds:itemID="{4F6324A3-B209-4B34-8EBF-D2BFD07D2F53}"/>
</file>

<file path=customXml/itemProps4.xml><?xml version="1.0" encoding="utf-8"?>
<ds:datastoreItem xmlns:ds="http://schemas.openxmlformats.org/officeDocument/2006/customXml" ds:itemID="{6525D59A-36F6-4B4A-921B-46BCC249B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f6e64-41b1-4008-8b31-81e768f35d2f"/>
    <ds:schemaRef ds:uri="0a28ad9b-b50f-45c7-9909-b90a4cda4617"/>
    <ds:schemaRef ds:uri="7fa524cd-5488-4231-a774-088743c06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BCF5E5-8915-462C-A6AA-EFAE64FE0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1354</Words>
  <Characters>7718</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Anderson-Bidois</dc:creator>
  <cp:keywords/>
  <cp:lastModifiedBy>Janna Iskakova</cp:lastModifiedBy>
  <cp:revision>2</cp:revision>
  <cp:lastPrinted>2017-07-07T02:24:00Z</cp:lastPrinted>
  <dcterms:created xsi:type="dcterms:W3CDTF">2021-03-15T10:09:00Z</dcterms:created>
  <dcterms:modified xsi:type="dcterms:W3CDTF">2021-03-15T10:09:00Z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_dlc_DocIdItemGuid">
    <vt:lpwstr>6aedfb22-bdcd-4756-bb3d-630a9d862677</vt:lpwstr>
  </property>
  <property fmtid="{D5CDD505-2E9C-101B-9397-08002B2CF9AE}" pid="4" name="RevIMBCS">
    <vt:lpwstr>6;#Unclassified|0a70c7e4-690b-4f4f-aaca-5c28ddafd865</vt:lpwstr>
  </property>
</Properties>
</file>