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4E40F" w14:textId="1409D650" w:rsidR="00405286" w:rsidRPr="00982F04" w:rsidRDefault="00C03AD9" w:rsidP="00405286">
      <w:pPr>
        <w:jc w:val="center"/>
        <w:rPr>
          <w:rFonts w:ascii="Calibri" w:hAnsi="Calibri"/>
          <w:b/>
          <w:lang w:val="en-GB"/>
        </w:rPr>
      </w:pPr>
      <w:bookmarkStart w:id="0" w:name="_GoBack"/>
      <w:bookmarkEnd w:id="0"/>
      <w:r w:rsidRPr="00982F04">
        <w:rPr>
          <w:rFonts w:ascii="Calibri" w:hAnsi="Calibri"/>
          <w:b/>
          <w:lang w:val="en-GB"/>
        </w:rPr>
        <w:t>General Discussion on the Right of Persons with Disabilities to Work and E</w:t>
      </w:r>
      <w:r w:rsidR="00405286" w:rsidRPr="00982F04">
        <w:rPr>
          <w:rFonts w:ascii="Calibri" w:hAnsi="Calibri"/>
          <w:b/>
          <w:lang w:val="en-GB"/>
        </w:rPr>
        <w:t>mployment</w:t>
      </w:r>
    </w:p>
    <w:p w14:paraId="47E0AD81" w14:textId="5BC8A356" w:rsidR="001F6F20" w:rsidRPr="00982F04" w:rsidRDefault="001F6F20" w:rsidP="00405286">
      <w:pPr>
        <w:jc w:val="center"/>
        <w:rPr>
          <w:rFonts w:ascii="Calibri" w:hAnsi="Calibri"/>
          <w:b/>
          <w:lang w:val="en-GB"/>
        </w:rPr>
      </w:pPr>
      <w:r w:rsidRPr="00982F04">
        <w:rPr>
          <w:rFonts w:ascii="Calibri" w:hAnsi="Calibri"/>
          <w:b/>
          <w:lang w:val="en-GB"/>
        </w:rPr>
        <w:t>22</w:t>
      </w:r>
      <w:r w:rsidR="002D4937" w:rsidRPr="00982F04">
        <w:rPr>
          <w:rFonts w:ascii="Calibri" w:hAnsi="Calibri"/>
          <w:b/>
          <w:lang w:val="en-GB"/>
        </w:rPr>
        <w:t xml:space="preserve"> and 24</w:t>
      </w:r>
      <w:r w:rsidRPr="00982F04">
        <w:rPr>
          <w:rFonts w:ascii="Calibri" w:hAnsi="Calibri"/>
          <w:b/>
          <w:lang w:val="en-GB"/>
        </w:rPr>
        <w:t xml:space="preserve"> March 2021</w:t>
      </w:r>
    </w:p>
    <w:p w14:paraId="7932F65A" w14:textId="77777777" w:rsidR="00405286" w:rsidRPr="00982F04" w:rsidRDefault="00405286">
      <w:pPr>
        <w:rPr>
          <w:rFonts w:ascii="Calibri" w:hAnsi="Calibri"/>
          <w:b/>
          <w:lang w:val="en-GB"/>
        </w:rPr>
      </w:pPr>
    </w:p>
    <w:p w14:paraId="35029970" w14:textId="2EB11D95" w:rsidR="00405286" w:rsidRPr="00982F04" w:rsidRDefault="002D4937" w:rsidP="00581E8E">
      <w:pPr>
        <w:jc w:val="center"/>
        <w:rPr>
          <w:rFonts w:ascii="Calibri" w:hAnsi="Calibri"/>
          <w:b/>
          <w:lang w:val="en-GB"/>
        </w:rPr>
      </w:pPr>
      <w:r w:rsidRPr="00982F04">
        <w:rPr>
          <w:rFonts w:ascii="Calibri" w:hAnsi="Calibri"/>
          <w:b/>
          <w:lang w:val="en-GB"/>
        </w:rPr>
        <w:t>Written submission</w:t>
      </w:r>
      <w:r w:rsidR="00405286" w:rsidRPr="00982F04">
        <w:rPr>
          <w:rFonts w:ascii="Calibri" w:hAnsi="Calibri"/>
          <w:b/>
          <w:lang w:val="en-GB"/>
        </w:rPr>
        <w:t xml:space="preserve"> of Mental Health Europe (MHE)</w:t>
      </w:r>
    </w:p>
    <w:p w14:paraId="549E6D94" w14:textId="77777777" w:rsidR="00581E8E" w:rsidRPr="00982F04" w:rsidRDefault="00581E8E" w:rsidP="00581E8E">
      <w:pPr>
        <w:jc w:val="center"/>
        <w:rPr>
          <w:rFonts w:ascii="Calibri" w:hAnsi="Calibri"/>
          <w:lang w:val="en-GB"/>
        </w:rPr>
      </w:pPr>
    </w:p>
    <w:p w14:paraId="3321DC06" w14:textId="77777777" w:rsidR="00405286" w:rsidRPr="00982F04" w:rsidRDefault="00405286">
      <w:pPr>
        <w:rPr>
          <w:rFonts w:ascii="Calibri" w:hAnsi="Calibri"/>
          <w:lang w:val="en-GB"/>
        </w:rPr>
      </w:pPr>
    </w:p>
    <w:p w14:paraId="12105DD0" w14:textId="23324AAE" w:rsidR="001A0B03" w:rsidRPr="00982F04" w:rsidRDefault="00572332" w:rsidP="00EE74A6">
      <w:pPr>
        <w:spacing w:line="276" w:lineRule="auto"/>
        <w:jc w:val="both"/>
        <w:rPr>
          <w:rFonts w:ascii="Calibri" w:hAnsi="Calibri"/>
          <w:i/>
          <w:u w:val="single"/>
          <w:lang w:val="en-GB"/>
        </w:rPr>
      </w:pPr>
      <w:r w:rsidRPr="00982F04">
        <w:rPr>
          <w:rFonts w:ascii="Calibri" w:hAnsi="Calibri"/>
          <w:i/>
          <w:u w:val="single"/>
          <w:lang w:val="en-GB"/>
        </w:rPr>
        <w:t>About Mental Health Europe</w:t>
      </w:r>
    </w:p>
    <w:p w14:paraId="65A1BF37" w14:textId="77777777" w:rsidR="004B6D40" w:rsidRPr="00982F04" w:rsidRDefault="004B6D40" w:rsidP="00EE74A6">
      <w:pPr>
        <w:spacing w:line="276" w:lineRule="auto"/>
        <w:jc w:val="both"/>
        <w:rPr>
          <w:rFonts w:ascii="Calibri" w:hAnsi="Calibri"/>
          <w:lang w:val="en-GB"/>
        </w:rPr>
      </w:pPr>
    </w:p>
    <w:p w14:paraId="3267AEB5" w14:textId="048CCBA8" w:rsidR="00C00201" w:rsidRPr="00982F04" w:rsidRDefault="002F2E47" w:rsidP="00EE74A6">
      <w:pPr>
        <w:spacing w:line="276" w:lineRule="auto"/>
        <w:jc w:val="both"/>
        <w:rPr>
          <w:rFonts w:ascii="Calibri" w:hAnsi="Calibri"/>
          <w:lang w:val="en-GB"/>
        </w:rPr>
      </w:pPr>
      <w:hyperlink r:id="rId8" w:history="1">
        <w:r w:rsidR="001A0B03" w:rsidRPr="00982F04">
          <w:rPr>
            <w:rStyle w:val="Hyperlink"/>
            <w:rFonts w:ascii="Calibri" w:hAnsi="Calibri"/>
            <w:lang w:val="en-GB"/>
          </w:rPr>
          <w:t>Mental Health Europe</w:t>
        </w:r>
      </w:hyperlink>
      <w:r w:rsidR="001A0B03" w:rsidRPr="00982F04">
        <w:rPr>
          <w:rFonts w:ascii="Calibri" w:hAnsi="Calibri"/>
          <w:lang w:val="en-GB"/>
        </w:rPr>
        <w:t xml:space="preserve"> (MHE) is the largest independent European non-governmental network working in the field of mental health. We are committed to the promotion of positive mental health, the prevention of mental distress and improvement of care. We advocate for social inclusion and the protection of the rights of (ex)users of mental health services, persons with psychosocial disabilities, their families and carers. We also raise awareness to end mental health stigma and discrimination. For a better understanding of the essence of our work, check our </w:t>
      </w:r>
      <w:hyperlink r:id="rId9" w:history="1">
        <w:r w:rsidR="001A0B03" w:rsidRPr="00982F04">
          <w:rPr>
            <w:rStyle w:val="Hyperlink"/>
            <w:rFonts w:ascii="Calibri" w:hAnsi="Calibri"/>
            <w:lang w:val="en-GB"/>
          </w:rPr>
          <w:t>Mental Health Europe explained</w:t>
        </w:r>
      </w:hyperlink>
      <w:r w:rsidR="001A0B03" w:rsidRPr="00982F04">
        <w:rPr>
          <w:rFonts w:ascii="Calibri" w:hAnsi="Calibri"/>
          <w:lang w:val="en-GB"/>
        </w:rPr>
        <w:t xml:space="preserve"> page and </w:t>
      </w:r>
      <w:hyperlink r:id="rId10" w:history="1">
        <w:r w:rsidR="001A0B03" w:rsidRPr="00982F04">
          <w:rPr>
            <w:rStyle w:val="Hyperlink"/>
            <w:rFonts w:ascii="Calibri" w:hAnsi="Calibri"/>
            <w:lang w:val="en-GB"/>
          </w:rPr>
          <w:t>our introductory video</w:t>
        </w:r>
      </w:hyperlink>
      <w:r w:rsidR="001A0B03" w:rsidRPr="00982F04">
        <w:rPr>
          <w:rFonts w:ascii="Calibri" w:hAnsi="Calibri"/>
          <w:lang w:val="en-GB"/>
        </w:rPr>
        <w:t>.</w:t>
      </w:r>
    </w:p>
    <w:p w14:paraId="5B67C48F" w14:textId="77777777" w:rsidR="001A0B03" w:rsidRPr="00982F04" w:rsidRDefault="001A0B03" w:rsidP="00EE74A6">
      <w:pPr>
        <w:spacing w:line="276" w:lineRule="auto"/>
        <w:jc w:val="both"/>
        <w:rPr>
          <w:rFonts w:ascii="Calibri" w:hAnsi="Calibri"/>
          <w:lang w:val="en-GB"/>
        </w:rPr>
      </w:pPr>
    </w:p>
    <w:p w14:paraId="5B71DB0C" w14:textId="77777777" w:rsidR="004B6D40" w:rsidRPr="00982F04" w:rsidRDefault="004B6D40" w:rsidP="00EE74A6">
      <w:pPr>
        <w:spacing w:line="276" w:lineRule="auto"/>
        <w:jc w:val="both"/>
        <w:rPr>
          <w:rFonts w:ascii="Calibri" w:hAnsi="Calibri"/>
          <w:lang w:val="en-GB"/>
        </w:rPr>
      </w:pPr>
    </w:p>
    <w:p w14:paraId="36EC8980" w14:textId="3B4F0947" w:rsidR="001A0B03" w:rsidRPr="00982F04" w:rsidRDefault="001A0B03" w:rsidP="00EE74A6">
      <w:pPr>
        <w:spacing w:line="276" w:lineRule="auto"/>
        <w:jc w:val="both"/>
        <w:rPr>
          <w:rFonts w:ascii="Calibri" w:hAnsi="Calibri"/>
          <w:i/>
          <w:u w:val="single"/>
          <w:lang w:val="en-GB"/>
        </w:rPr>
      </w:pPr>
      <w:r w:rsidRPr="00982F04">
        <w:rPr>
          <w:rFonts w:ascii="Calibri" w:hAnsi="Calibri"/>
          <w:i/>
          <w:u w:val="single"/>
          <w:lang w:val="en-GB"/>
        </w:rPr>
        <w:t>The Right to Work and Emplo</w:t>
      </w:r>
      <w:r w:rsidR="002A1D38" w:rsidRPr="00982F04">
        <w:rPr>
          <w:rFonts w:ascii="Calibri" w:hAnsi="Calibri"/>
          <w:i/>
          <w:u w:val="single"/>
          <w:lang w:val="en-GB"/>
        </w:rPr>
        <w:t>yment from the Perspective of P</w:t>
      </w:r>
      <w:r w:rsidRPr="00982F04">
        <w:rPr>
          <w:rFonts w:ascii="Calibri" w:hAnsi="Calibri"/>
          <w:i/>
          <w:u w:val="single"/>
          <w:lang w:val="en-GB"/>
        </w:rPr>
        <w:t xml:space="preserve">sychosocial </w:t>
      </w:r>
      <w:r w:rsidR="002A1D38" w:rsidRPr="00982F04">
        <w:rPr>
          <w:rFonts w:ascii="Calibri" w:hAnsi="Calibri"/>
          <w:i/>
          <w:u w:val="single"/>
          <w:lang w:val="en-GB"/>
        </w:rPr>
        <w:t>D</w:t>
      </w:r>
      <w:r w:rsidR="00453CBD" w:rsidRPr="00982F04">
        <w:rPr>
          <w:rFonts w:ascii="Calibri" w:hAnsi="Calibri"/>
          <w:i/>
          <w:u w:val="single"/>
          <w:lang w:val="en-GB"/>
        </w:rPr>
        <w:t>isability</w:t>
      </w:r>
    </w:p>
    <w:p w14:paraId="09318430" w14:textId="77777777" w:rsidR="004B6D40" w:rsidRPr="00982F04" w:rsidRDefault="004B6D40" w:rsidP="00EE74A6">
      <w:pPr>
        <w:spacing w:line="276" w:lineRule="auto"/>
        <w:jc w:val="both"/>
        <w:rPr>
          <w:rFonts w:ascii="Calibri" w:hAnsi="Calibri"/>
          <w:lang w:val="en-GB"/>
        </w:rPr>
      </w:pPr>
    </w:p>
    <w:p w14:paraId="6D2068EB" w14:textId="77777777" w:rsidR="008B3E14" w:rsidRPr="00982F04" w:rsidRDefault="00F234CD" w:rsidP="00EE74A6">
      <w:pPr>
        <w:spacing w:line="276" w:lineRule="auto"/>
        <w:jc w:val="both"/>
        <w:rPr>
          <w:rFonts w:ascii="Calibri" w:hAnsi="Calibri"/>
          <w:lang w:val="en-GB"/>
        </w:rPr>
      </w:pPr>
      <w:r w:rsidRPr="00982F04">
        <w:rPr>
          <w:rFonts w:ascii="Calibri" w:hAnsi="Calibri"/>
          <w:lang w:val="en-GB"/>
        </w:rPr>
        <w:t>Work is central to the life and identity of m</w:t>
      </w:r>
      <w:r w:rsidR="00126406" w:rsidRPr="00982F04">
        <w:rPr>
          <w:rFonts w:ascii="Calibri" w:hAnsi="Calibri"/>
          <w:lang w:val="en-GB"/>
        </w:rPr>
        <w:t>any people: it provides a source of income and the possib</w:t>
      </w:r>
      <w:r w:rsidR="00975BFF" w:rsidRPr="00982F04">
        <w:rPr>
          <w:rFonts w:ascii="Calibri" w:hAnsi="Calibri"/>
          <w:lang w:val="en-GB"/>
        </w:rPr>
        <w:t xml:space="preserve">ility to contribute to society. For </w:t>
      </w:r>
      <w:r w:rsidR="00735160" w:rsidRPr="00982F04">
        <w:rPr>
          <w:rFonts w:ascii="Calibri" w:hAnsi="Calibri"/>
          <w:lang w:val="en-GB"/>
        </w:rPr>
        <w:t>people with ps</w:t>
      </w:r>
      <w:r w:rsidR="002160E9" w:rsidRPr="00982F04">
        <w:rPr>
          <w:rFonts w:ascii="Calibri" w:hAnsi="Calibri"/>
          <w:lang w:val="en-GB"/>
        </w:rPr>
        <w:t>ychosocial disabilities, work</w:t>
      </w:r>
      <w:r w:rsidR="00735160" w:rsidRPr="00982F04">
        <w:rPr>
          <w:rFonts w:ascii="Calibri" w:hAnsi="Calibri"/>
          <w:lang w:val="en-GB"/>
        </w:rPr>
        <w:t xml:space="preserve"> is not </w:t>
      </w:r>
      <w:r w:rsidR="00513F6A" w:rsidRPr="00982F04">
        <w:rPr>
          <w:rFonts w:ascii="Calibri" w:hAnsi="Calibri"/>
          <w:lang w:val="en-GB"/>
        </w:rPr>
        <w:t>only</w:t>
      </w:r>
      <w:r w:rsidR="00735160" w:rsidRPr="00982F04">
        <w:rPr>
          <w:rFonts w:ascii="Calibri" w:hAnsi="Calibri"/>
          <w:lang w:val="en-GB"/>
        </w:rPr>
        <w:t xml:space="preserve"> a right</w:t>
      </w:r>
      <w:r w:rsidR="00975BFF" w:rsidRPr="00982F04">
        <w:rPr>
          <w:rFonts w:ascii="Calibri" w:hAnsi="Calibri"/>
          <w:lang w:val="en-GB"/>
        </w:rPr>
        <w:t xml:space="preserve"> they should be granted on an equal basis with others</w:t>
      </w:r>
      <w:r w:rsidR="003B5335" w:rsidRPr="00982F04">
        <w:rPr>
          <w:rFonts w:ascii="Calibri" w:hAnsi="Calibri"/>
          <w:lang w:val="en-GB"/>
        </w:rPr>
        <w:t xml:space="preserve"> to be included in society</w:t>
      </w:r>
      <w:r w:rsidR="00735160" w:rsidRPr="00982F04">
        <w:rPr>
          <w:rFonts w:ascii="Calibri" w:hAnsi="Calibri"/>
          <w:lang w:val="en-GB"/>
        </w:rPr>
        <w:t xml:space="preserve">, but </w:t>
      </w:r>
      <w:r w:rsidR="00975BFF" w:rsidRPr="00982F04">
        <w:rPr>
          <w:rFonts w:ascii="Calibri" w:hAnsi="Calibri"/>
          <w:lang w:val="en-GB"/>
        </w:rPr>
        <w:t>it can also be an important step on the road to recovery</w:t>
      </w:r>
      <w:r w:rsidR="00735160" w:rsidRPr="00982F04">
        <w:rPr>
          <w:rFonts w:ascii="Calibri" w:hAnsi="Calibri"/>
          <w:lang w:val="en-GB"/>
        </w:rPr>
        <w:t>.</w:t>
      </w:r>
    </w:p>
    <w:p w14:paraId="4BA8EBCB" w14:textId="77777777" w:rsidR="004B6D40" w:rsidRPr="00982F04" w:rsidRDefault="004B6D40" w:rsidP="00EE74A6">
      <w:pPr>
        <w:spacing w:line="276" w:lineRule="auto"/>
        <w:jc w:val="both"/>
        <w:rPr>
          <w:rFonts w:ascii="Calibri" w:hAnsi="Calibri"/>
          <w:lang w:val="en-GB"/>
        </w:rPr>
      </w:pPr>
    </w:p>
    <w:p w14:paraId="224DC88E" w14:textId="46BD2351" w:rsidR="003B5335" w:rsidRPr="00982F04" w:rsidRDefault="00DD0A1C" w:rsidP="00EE74A6">
      <w:pPr>
        <w:spacing w:line="276" w:lineRule="auto"/>
        <w:jc w:val="both"/>
        <w:rPr>
          <w:rFonts w:ascii="Calibri" w:hAnsi="Calibri"/>
          <w:lang w:val="en-GB"/>
        </w:rPr>
      </w:pPr>
      <w:r w:rsidRPr="00982F04">
        <w:rPr>
          <w:rFonts w:ascii="Calibri" w:hAnsi="Calibri"/>
          <w:lang w:val="en-GB"/>
        </w:rPr>
        <w:t>The process of recovery for persons wit</w:t>
      </w:r>
      <w:r w:rsidR="00F50D8A" w:rsidRPr="00982F04">
        <w:rPr>
          <w:rFonts w:ascii="Calibri" w:hAnsi="Calibri"/>
          <w:lang w:val="en-GB"/>
        </w:rPr>
        <w:t xml:space="preserve">h psychosocial disabilities is deeply personal and unique: </w:t>
      </w:r>
      <w:r w:rsidR="00C57C0D" w:rsidRPr="00982F04">
        <w:rPr>
          <w:rFonts w:ascii="Calibri" w:hAnsi="Calibri"/>
          <w:lang w:val="en-GB"/>
        </w:rPr>
        <w:t xml:space="preserve">there </w:t>
      </w:r>
      <w:r w:rsidR="001F4D1E">
        <w:rPr>
          <w:rFonts w:ascii="Calibri" w:hAnsi="Calibri"/>
          <w:lang w:val="en-GB"/>
        </w:rPr>
        <w:t>is no standard formula for</w:t>
      </w:r>
      <w:r w:rsidR="00C57C0D" w:rsidRPr="00982F04">
        <w:rPr>
          <w:rFonts w:ascii="Calibri" w:hAnsi="Calibri"/>
          <w:lang w:val="en-GB"/>
        </w:rPr>
        <w:t xml:space="preserve"> recovery as the process can change from one person to </w:t>
      </w:r>
      <w:r w:rsidR="001D196F">
        <w:rPr>
          <w:rFonts w:ascii="Calibri" w:hAnsi="Calibri"/>
          <w:lang w:val="en-GB"/>
        </w:rPr>
        <w:t>the other</w:t>
      </w:r>
      <w:r w:rsidR="00C57C0D" w:rsidRPr="00982F04">
        <w:rPr>
          <w:rFonts w:ascii="Calibri" w:hAnsi="Calibri"/>
          <w:lang w:val="en-GB"/>
        </w:rPr>
        <w:t>. Recovery</w:t>
      </w:r>
      <w:r w:rsidR="00F50D8A" w:rsidRPr="00982F04">
        <w:rPr>
          <w:rFonts w:ascii="Calibri" w:hAnsi="Calibri"/>
          <w:lang w:val="en-GB"/>
        </w:rPr>
        <w:t xml:space="preserve"> is not about curing the medical symptoms of </w:t>
      </w:r>
      <w:r w:rsidR="00F374BC">
        <w:rPr>
          <w:rFonts w:ascii="Calibri" w:hAnsi="Calibri"/>
          <w:lang w:val="en-GB"/>
        </w:rPr>
        <w:t>a</w:t>
      </w:r>
      <w:r w:rsidR="00F50D8A" w:rsidRPr="00982F04">
        <w:rPr>
          <w:rFonts w:ascii="Calibri" w:hAnsi="Calibri"/>
          <w:lang w:val="en-GB"/>
        </w:rPr>
        <w:t xml:space="preserve"> psychosocial impairment, but </w:t>
      </w:r>
      <w:r w:rsidR="00C57C0D" w:rsidRPr="00982F04">
        <w:rPr>
          <w:rFonts w:ascii="Calibri" w:hAnsi="Calibri"/>
          <w:lang w:val="en-GB"/>
        </w:rPr>
        <w:t>finding a way to live a satisfying</w:t>
      </w:r>
      <w:r w:rsidR="00F77669" w:rsidRPr="00982F04">
        <w:rPr>
          <w:rFonts w:ascii="Calibri" w:hAnsi="Calibri"/>
          <w:lang w:val="en-GB"/>
        </w:rPr>
        <w:t>, hopeful and contributing life with no restrictions or discrimination from societal barrier.</w:t>
      </w:r>
      <w:r w:rsidR="00E614B3" w:rsidRPr="00982F04">
        <w:rPr>
          <w:rFonts w:ascii="Calibri" w:hAnsi="Calibri"/>
          <w:lang w:val="en-GB"/>
        </w:rPr>
        <w:t xml:space="preserve"> Recovery is also about cooperation and collaboration with others: these can be supportive peers or professional relationships, family connections or close friendships. What works well is people working together in partnership towards a common goal, sharing knowledge, expertise and learning from each other.</w:t>
      </w:r>
    </w:p>
    <w:p w14:paraId="2A6ABA17" w14:textId="77777777" w:rsidR="004B6D40" w:rsidRPr="00982F04" w:rsidRDefault="004B6D40" w:rsidP="00EE74A6">
      <w:pPr>
        <w:spacing w:line="276" w:lineRule="auto"/>
        <w:jc w:val="both"/>
        <w:rPr>
          <w:rFonts w:ascii="Calibri" w:hAnsi="Calibri"/>
          <w:lang w:val="en-GB"/>
        </w:rPr>
      </w:pPr>
    </w:p>
    <w:p w14:paraId="757EDDF8" w14:textId="78936731" w:rsidR="00E614B3" w:rsidRPr="00982F04" w:rsidRDefault="00E614B3" w:rsidP="00EE74A6">
      <w:pPr>
        <w:spacing w:line="276" w:lineRule="auto"/>
        <w:jc w:val="both"/>
        <w:rPr>
          <w:rFonts w:ascii="Calibri" w:hAnsi="Calibri"/>
          <w:lang w:val="en-GB"/>
        </w:rPr>
      </w:pPr>
      <w:r w:rsidRPr="00982F04">
        <w:rPr>
          <w:rFonts w:ascii="Calibri" w:hAnsi="Calibri"/>
          <w:lang w:val="en-GB"/>
        </w:rPr>
        <w:lastRenderedPageBreak/>
        <w:t>The right to work and employment for persons with psychosocial disabilities should therefore be understood and fit into this broader framework</w:t>
      </w:r>
      <w:r w:rsidR="008B3E14" w:rsidRPr="00982F04">
        <w:rPr>
          <w:rFonts w:ascii="Calibri" w:hAnsi="Calibri"/>
          <w:lang w:val="en-GB"/>
        </w:rPr>
        <w:t xml:space="preserve"> where all the stakeholders involved </w:t>
      </w:r>
      <w:r w:rsidR="00EB0A02" w:rsidRPr="00982F04">
        <w:rPr>
          <w:rFonts w:ascii="Calibri" w:hAnsi="Calibri"/>
          <w:lang w:val="en-GB"/>
        </w:rPr>
        <w:t>undiscriminatingly join force to fruitfully contribute to the recovery process of the individual.</w:t>
      </w:r>
    </w:p>
    <w:p w14:paraId="49EACA32" w14:textId="6A76DAF2" w:rsidR="00EB0A02" w:rsidRPr="00982F04" w:rsidRDefault="00EB0A02" w:rsidP="00EE74A6">
      <w:pPr>
        <w:spacing w:line="276" w:lineRule="auto"/>
        <w:jc w:val="both"/>
        <w:rPr>
          <w:rFonts w:ascii="Calibri" w:hAnsi="Calibri"/>
          <w:lang w:val="en-GB"/>
        </w:rPr>
      </w:pPr>
      <w:r w:rsidRPr="00982F04">
        <w:rPr>
          <w:rFonts w:ascii="Calibri" w:hAnsi="Calibri"/>
          <w:lang w:val="en-GB"/>
        </w:rPr>
        <w:t xml:space="preserve">For more information on the topic, see </w:t>
      </w:r>
      <w:hyperlink r:id="rId11" w:history="1">
        <w:r w:rsidRPr="00982F04">
          <w:rPr>
            <w:rStyle w:val="Hyperlink"/>
            <w:rFonts w:ascii="Calibri" w:hAnsi="Calibri"/>
            <w:lang w:val="en-GB"/>
          </w:rPr>
          <w:t>MHE’s Short Guide to Personal Recovery in Mental Health</w:t>
        </w:r>
      </w:hyperlink>
      <w:r w:rsidRPr="00982F04">
        <w:rPr>
          <w:rFonts w:ascii="Calibri" w:hAnsi="Calibri"/>
          <w:lang w:val="en-GB"/>
        </w:rPr>
        <w:t>.</w:t>
      </w:r>
    </w:p>
    <w:p w14:paraId="5DDA2B56" w14:textId="77777777" w:rsidR="00F11355" w:rsidRPr="00982F04" w:rsidRDefault="00F11355" w:rsidP="00EE74A6">
      <w:pPr>
        <w:spacing w:line="276" w:lineRule="auto"/>
        <w:jc w:val="both"/>
        <w:rPr>
          <w:rFonts w:ascii="Calibri" w:hAnsi="Calibri"/>
          <w:lang w:val="en-GB"/>
        </w:rPr>
      </w:pPr>
    </w:p>
    <w:p w14:paraId="15BD5783" w14:textId="1BD30B31" w:rsidR="00F11355" w:rsidRPr="00982F04" w:rsidRDefault="00F11355" w:rsidP="00EE74A6">
      <w:pPr>
        <w:spacing w:line="276" w:lineRule="auto"/>
        <w:jc w:val="both"/>
        <w:rPr>
          <w:rFonts w:ascii="Calibri" w:hAnsi="Calibri"/>
          <w:i/>
          <w:u w:val="single"/>
          <w:lang w:val="en-GB"/>
        </w:rPr>
      </w:pPr>
      <w:r w:rsidRPr="00982F04">
        <w:rPr>
          <w:rFonts w:ascii="Calibri" w:hAnsi="Calibri"/>
          <w:i/>
          <w:u w:val="single"/>
          <w:lang w:val="en-GB"/>
        </w:rPr>
        <w:t>The Barriers to Work and Employment for Persons with Psychosocial Disabilities</w:t>
      </w:r>
    </w:p>
    <w:p w14:paraId="39ED3B45" w14:textId="77777777" w:rsidR="004B6D40" w:rsidRPr="00982F04" w:rsidRDefault="004B6D40" w:rsidP="00F33F33">
      <w:pPr>
        <w:spacing w:line="276" w:lineRule="auto"/>
        <w:jc w:val="both"/>
        <w:rPr>
          <w:rFonts w:ascii="Calibri" w:hAnsi="Calibri"/>
          <w:lang w:val="en-GB"/>
        </w:rPr>
      </w:pPr>
    </w:p>
    <w:p w14:paraId="2C33A148" w14:textId="5096888D" w:rsidR="00311DA1" w:rsidRPr="00982F04" w:rsidRDefault="00C14881" w:rsidP="00F33F33">
      <w:pPr>
        <w:spacing w:line="276" w:lineRule="auto"/>
        <w:jc w:val="both"/>
        <w:rPr>
          <w:rFonts w:ascii="Calibri" w:hAnsi="Calibri"/>
          <w:lang w:val="en-GB"/>
        </w:rPr>
      </w:pPr>
      <w:r w:rsidRPr="00982F04">
        <w:rPr>
          <w:rFonts w:ascii="Calibri" w:hAnsi="Calibri"/>
          <w:lang w:val="en-GB"/>
        </w:rPr>
        <w:t xml:space="preserve">The levels of employment of persons with disabilities remain </w:t>
      </w:r>
      <w:r w:rsidR="00F33F33" w:rsidRPr="00982F04">
        <w:rPr>
          <w:rFonts w:ascii="Calibri" w:hAnsi="Calibri"/>
          <w:lang w:val="en-GB"/>
        </w:rPr>
        <w:t>low</w:t>
      </w:r>
      <w:r w:rsidR="00E84978" w:rsidRPr="00982F04">
        <w:rPr>
          <w:rFonts w:ascii="Calibri" w:hAnsi="Calibri"/>
          <w:lang w:val="en-GB"/>
        </w:rPr>
        <w:t xml:space="preserve"> due to persisting societal barriers</w:t>
      </w:r>
      <w:r w:rsidR="00F33F33" w:rsidRPr="00982F04">
        <w:rPr>
          <w:rFonts w:ascii="Calibri" w:hAnsi="Calibri"/>
          <w:lang w:val="en-GB"/>
        </w:rPr>
        <w:t>. In the case of the European Union (EU), for instance, only 50.8% of persons with disabilities are in employment, compared to 74.8% for persons without disabilities</w:t>
      </w:r>
      <w:r w:rsidR="00142E5A" w:rsidRPr="00982F04">
        <w:rPr>
          <w:rFonts w:ascii="Calibri" w:hAnsi="Calibri"/>
          <w:lang w:val="en-GB"/>
        </w:rPr>
        <w:t>.</w:t>
      </w:r>
      <w:r w:rsidR="00142E5A" w:rsidRPr="00982F04">
        <w:rPr>
          <w:rStyle w:val="EndnoteReference"/>
          <w:rFonts w:ascii="Calibri" w:hAnsi="Calibri"/>
          <w:lang w:val="en-GB"/>
        </w:rPr>
        <w:endnoteReference w:id="1"/>
      </w:r>
      <w:r w:rsidR="00142E5A" w:rsidRPr="00982F04">
        <w:rPr>
          <w:rFonts w:ascii="Calibri" w:hAnsi="Calibri"/>
          <w:lang w:val="en-GB"/>
        </w:rPr>
        <w:t xml:space="preserve"> This data concern</w:t>
      </w:r>
      <w:r w:rsidR="00E84978" w:rsidRPr="00982F04">
        <w:rPr>
          <w:rFonts w:ascii="Calibri" w:hAnsi="Calibri"/>
          <w:lang w:val="en-GB"/>
        </w:rPr>
        <w:t>s</w:t>
      </w:r>
      <w:r w:rsidR="00142E5A" w:rsidRPr="00982F04">
        <w:rPr>
          <w:rFonts w:ascii="Calibri" w:hAnsi="Calibri"/>
          <w:lang w:val="en-GB"/>
        </w:rPr>
        <w:t xml:space="preserve"> the employment situation before the coronavirus pandemic and do</w:t>
      </w:r>
      <w:r w:rsidR="000B3AA0">
        <w:rPr>
          <w:rFonts w:ascii="Calibri" w:hAnsi="Calibri"/>
          <w:lang w:val="en-GB"/>
        </w:rPr>
        <w:t>es</w:t>
      </w:r>
      <w:r w:rsidR="00142E5A" w:rsidRPr="00982F04">
        <w:rPr>
          <w:rFonts w:ascii="Calibri" w:hAnsi="Calibri"/>
          <w:lang w:val="en-GB"/>
        </w:rPr>
        <w:t xml:space="preserve"> not </w:t>
      </w:r>
      <w:r w:rsidR="00DA7E2D" w:rsidRPr="00982F04">
        <w:rPr>
          <w:rFonts w:ascii="Calibri" w:hAnsi="Calibri"/>
          <w:lang w:val="en-GB"/>
        </w:rPr>
        <w:t>include persons with disa</w:t>
      </w:r>
      <w:r w:rsidR="009F0E9A" w:rsidRPr="00982F04">
        <w:rPr>
          <w:rFonts w:ascii="Calibri" w:hAnsi="Calibri"/>
          <w:lang w:val="en-GB"/>
        </w:rPr>
        <w:t>bilities living in institutions, suggesting that the unemployment levels of persons with disabilities might be even higher.</w:t>
      </w:r>
      <w:r w:rsidR="009B3436" w:rsidRPr="00982F04">
        <w:rPr>
          <w:rFonts w:ascii="Calibri" w:hAnsi="Calibri"/>
          <w:lang w:val="en-GB"/>
        </w:rPr>
        <w:t xml:space="preserve"> Additionally, </w:t>
      </w:r>
      <w:r w:rsidR="002A0E72" w:rsidRPr="00982F04">
        <w:rPr>
          <w:rFonts w:ascii="Calibri" w:hAnsi="Calibri"/>
          <w:lang w:val="en-GB"/>
        </w:rPr>
        <w:t xml:space="preserve">as statistics are not disaggregated by disability, </w:t>
      </w:r>
      <w:r w:rsidR="009B3436" w:rsidRPr="00982F04">
        <w:rPr>
          <w:rFonts w:ascii="Calibri" w:hAnsi="Calibri"/>
          <w:lang w:val="en-GB"/>
        </w:rPr>
        <w:t>the</w:t>
      </w:r>
      <w:r w:rsidR="00311DA1" w:rsidRPr="00982F04">
        <w:rPr>
          <w:rFonts w:ascii="Calibri" w:hAnsi="Calibri"/>
          <w:lang w:val="en-GB"/>
        </w:rPr>
        <w:t xml:space="preserve"> exact</w:t>
      </w:r>
      <w:r w:rsidR="009B3436" w:rsidRPr="00982F04">
        <w:rPr>
          <w:rFonts w:ascii="Calibri" w:hAnsi="Calibri"/>
          <w:lang w:val="en-GB"/>
        </w:rPr>
        <w:t xml:space="preserve"> rates of employment for people with psychosocial disabilities are </w:t>
      </w:r>
      <w:r w:rsidR="00311DA1" w:rsidRPr="00982F04">
        <w:rPr>
          <w:rFonts w:ascii="Calibri" w:hAnsi="Calibri"/>
          <w:lang w:val="en-GB"/>
        </w:rPr>
        <w:t>unknown</w:t>
      </w:r>
      <w:r w:rsidR="00E84978" w:rsidRPr="00982F04">
        <w:rPr>
          <w:rFonts w:ascii="Calibri" w:hAnsi="Calibri"/>
          <w:lang w:val="en-GB"/>
        </w:rPr>
        <w:t>.</w:t>
      </w:r>
    </w:p>
    <w:p w14:paraId="5D078CB9" w14:textId="77777777" w:rsidR="004B6D40" w:rsidRPr="00982F04" w:rsidRDefault="004B6D40" w:rsidP="00F33F33">
      <w:pPr>
        <w:spacing w:line="276" w:lineRule="auto"/>
        <w:jc w:val="both"/>
        <w:rPr>
          <w:rFonts w:ascii="Calibri" w:hAnsi="Calibri"/>
          <w:lang w:val="en-GB"/>
        </w:rPr>
      </w:pPr>
    </w:p>
    <w:p w14:paraId="06AEB40D" w14:textId="51C2AED9" w:rsidR="002C1F6A" w:rsidRPr="00982F04" w:rsidRDefault="00E84978" w:rsidP="00EE74A6">
      <w:pPr>
        <w:spacing w:line="276" w:lineRule="auto"/>
        <w:jc w:val="both"/>
        <w:rPr>
          <w:rFonts w:ascii="Calibri" w:hAnsi="Calibri"/>
          <w:lang w:val="en-GB"/>
        </w:rPr>
      </w:pPr>
      <w:r w:rsidRPr="00982F04">
        <w:rPr>
          <w:rFonts w:ascii="Calibri" w:hAnsi="Calibri"/>
          <w:lang w:val="en-GB"/>
        </w:rPr>
        <w:t>Yet,</w:t>
      </w:r>
      <w:r w:rsidR="005E2F45" w:rsidRPr="00982F04">
        <w:rPr>
          <w:rFonts w:ascii="Calibri" w:hAnsi="Calibri"/>
          <w:lang w:val="en-GB"/>
        </w:rPr>
        <w:t xml:space="preserve"> significant barriers for people with psychosocial disabilities who wish to enter the labour market</w:t>
      </w:r>
      <w:r w:rsidRPr="00982F04">
        <w:rPr>
          <w:rFonts w:ascii="Calibri" w:hAnsi="Calibri"/>
          <w:lang w:val="en-GB"/>
        </w:rPr>
        <w:t xml:space="preserve"> remain</w:t>
      </w:r>
      <w:r w:rsidR="005E2F45" w:rsidRPr="00982F04">
        <w:rPr>
          <w:rFonts w:ascii="Calibri" w:hAnsi="Calibri"/>
          <w:lang w:val="en-GB"/>
        </w:rPr>
        <w:t>.</w:t>
      </w:r>
      <w:r w:rsidR="00FC62D2" w:rsidRPr="00982F04">
        <w:rPr>
          <w:rFonts w:ascii="Calibri" w:hAnsi="Calibri"/>
          <w:lang w:val="en-GB"/>
        </w:rPr>
        <w:t xml:space="preserve"> Stigma and the misconception of being “unfit” to work </w:t>
      </w:r>
      <w:r w:rsidRPr="00982F04">
        <w:rPr>
          <w:rFonts w:ascii="Calibri" w:hAnsi="Calibri"/>
          <w:lang w:val="en-GB"/>
        </w:rPr>
        <w:t>is one of the</w:t>
      </w:r>
      <w:r w:rsidR="00FC62D2" w:rsidRPr="00982F04">
        <w:rPr>
          <w:rFonts w:ascii="Calibri" w:hAnsi="Calibri"/>
          <w:lang w:val="en-GB"/>
        </w:rPr>
        <w:t xml:space="preserve"> pervasive challenges that people with psychosocial disabilities encounter in </w:t>
      </w:r>
      <w:r w:rsidR="002C1F6A" w:rsidRPr="00982F04">
        <w:rPr>
          <w:rFonts w:ascii="Calibri" w:hAnsi="Calibri"/>
          <w:lang w:val="en-GB"/>
        </w:rPr>
        <w:t>the workplace.</w:t>
      </w:r>
      <w:r w:rsidR="00E566BD" w:rsidRPr="00982F04">
        <w:rPr>
          <w:rFonts w:ascii="Calibri" w:hAnsi="Calibri"/>
          <w:lang w:val="en-GB"/>
        </w:rPr>
        <w:t xml:space="preserve"> </w:t>
      </w:r>
      <w:r w:rsidR="00961191" w:rsidRPr="00982F04">
        <w:rPr>
          <w:rFonts w:ascii="Calibri" w:hAnsi="Calibri"/>
          <w:lang w:val="en-GB"/>
        </w:rPr>
        <w:t>C</w:t>
      </w:r>
      <w:r w:rsidR="00E566BD" w:rsidRPr="00982F04">
        <w:rPr>
          <w:rFonts w:ascii="Calibri" w:hAnsi="Calibri"/>
          <w:lang w:val="en-GB"/>
        </w:rPr>
        <w:t>onsequently, these barriers lead to fear of repercussions and unfair treatment, which prevent people w</w:t>
      </w:r>
      <w:r w:rsidR="00E82166" w:rsidRPr="00982F04">
        <w:rPr>
          <w:rFonts w:ascii="Calibri" w:hAnsi="Calibri"/>
          <w:lang w:val="en-GB"/>
        </w:rPr>
        <w:t>ith psychosocial disabilities from disclosing</w:t>
      </w:r>
      <w:r w:rsidR="00E566BD" w:rsidRPr="00982F04">
        <w:rPr>
          <w:rFonts w:ascii="Calibri" w:hAnsi="Calibri"/>
          <w:lang w:val="en-GB"/>
        </w:rPr>
        <w:t xml:space="preserve"> their status and request</w:t>
      </w:r>
      <w:r w:rsidR="00E82166" w:rsidRPr="00982F04">
        <w:rPr>
          <w:rFonts w:ascii="Calibri" w:hAnsi="Calibri"/>
          <w:lang w:val="en-GB"/>
        </w:rPr>
        <w:t>ing</w:t>
      </w:r>
      <w:r w:rsidR="00E566BD" w:rsidRPr="00982F04">
        <w:rPr>
          <w:rFonts w:ascii="Calibri" w:hAnsi="Calibri"/>
          <w:lang w:val="en-GB"/>
        </w:rPr>
        <w:t xml:space="preserve"> reasonable accommodations.</w:t>
      </w:r>
    </w:p>
    <w:p w14:paraId="05AE7A10" w14:textId="77777777" w:rsidR="004B6D40" w:rsidRPr="00982F04" w:rsidRDefault="004B6D40" w:rsidP="00EE74A6">
      <w:pPr>
        <w:spacing w:line="276" w:lineRule="auto"/>
        <w:jc w:val="both"/>
        <w:rPr>
          <w:rFonts w:ascii="Calibri" w:hAnsi="Calibri"/>
          <w:lang w:val="en-GB"/>
        </w:rPr>
      </w:pPr>
    </w:p>
    <w:p w14:paraId="773DFFC8" w14:textId="7D9FFD9F" w:rsidR="002C1F6A" w:rsidRPr="00982F04" w:rsidRDefault="008E707C" w:rsidP="00EE74A6">
      <w:pPr>
        <w:spacing w:line="276" w:lineRule="auto"/>
        <w:jc w:val="both"/>
        <w:rPr>
          <w:rFonts w:ascii="Calibri" w:hAnsi="Calibri"/>
          <w:lang w:val="en-GB"/>
        </w:rPr>
      </w:pPr>
      <w:r w:rsidRPr="00982F04">
        <w:rPr>
          <w:rFonts w:ascii="Calibri" w:hAnsi="Calibri"/>
          <w:lang w:val="en-GB"/>
        </w:rPr>
        <w:t xml:space="preserve">Another barrier for persons with psychosocial disabilities </w:t>
      </w:r>
      <w:r w:rsidR="00A5103B" w:rsidRPr="00982F04">
        <w:rPr>
          <w:rFonts w:ascii="Calibri" w:hAnsi="Calibri"/>
          <w:lang w:val="en-GB"/>
        </w:rPr>
        <w:t xml:space="preserve">to </w:t>
      </w:r>
      <w:r w:rsidR="000E74BC" w:rsidRPr="00982F04">
        <w:rPr>
          <w:rFonts w:ascii="Calibri" w:hAnsi="Calibri"/>
          <w:lang w:val="en-GB"/>
        </w:rPr>
        <w:t>the</w:t>
      </w:r>
      <w:r w:rsidR="00A5103B" w:rsidRPr="00982F04">
        <w:rPr>
          <w:rFonts w:ascii="Calibri" w:hAnsi="Calibri"/>
          <w:lang w:val="en-GB"/>
        </w:rPr>
        <w:t xml:space="preserve"> full enjoyment of the</w:t>
      </w:r>
      <w:r w:rsidR="000E74BC" w:rsidRPr="00982F04">
        <w:rPr>
          <w:rFonts w:ascii="Calibri" w:hAnsi="Calibri"/>
          <w:lang w:val="en-GB"/>
        </w:rPr>
        <w:t>ir</w:t>
      </w:r>
      <w:r w:rsidR="00A5103B" w:rsidRPr="00982F04">
        <w:rPr>
          <w:rFonts w:ascii="Calibri" w:hAnsi="Calibri"/>
          <w:lang w:val="en-GB"/>
        </w:rPr>
        <w:t xml:space="preserve"> right to work and employment </w:t>
      </w:r>
      <w:r w:rsidRPr="00982F04">
        <w:rPr>
          <w:rFonts w:ascii="Calibri" w:hAnsi="Calibri"/>
          <w:lang w:val="en-GB"/>
        </w:rPr>
        <w:t xml:space="preserve">can be the </w:t>
      </w:r>
      <w:r w:rsidR="000935A9" w:rsidRPr="00982F04">
        <w:rPr>
          <w:rFonts w:ascii="Calibri" w:hAnsi="Calibri"/>
          <w:lang w:val="en-GB"/>
        </w:rPr>
        <w:t>way</w:t>
      </w:r>
      <w:r w:rsidRPr="00982F04">
        <w:rPr>
          <w:rFonts w:ascii="Calibri" w:hAnsi="Calibri"/>
          <w:lang w:val="en-GB"/>
        </w:rPr>
        <w:t xml:space="preserve"> </w:t>
      </w:r>
      <w:r w:rsidR="000935A9" w:rsidRPr="00982F04">
        <w:rPr>
          <w:rFonts w:ascii="Calibri" w:hAnsi="Calibri"/>
          <w:lang w:val="en-GB"/>
        </w:rPr>
        <w:t xml:space="preserve">their </w:t>
      </w:r>
      <w:r w:rsidRPr="00982F04">
        <w:rPr>
          <w:rFonts w:ascii="Calibri" w:hAnsi="Calibri"/>
          <w:lang w:val="en-GB"/>
        </w:rPr>
        <w:t xml:space="preserve">disability </w:t>
      </w:r>
      <w:r w:rsidR="000935A9" w:rsidRPr="00982F04">
        <w:rPr>
          <w:rFonts w:ascii="Calibri" w:hAnsi="Calibri"/>
          <w:lang w:val="en-GB"/>
        </w:rPr>
        <w:t xml:space="preserve">is recognised </w:t>
      </w:r>
      <w:r w:rsidR="00B62F40">
        <w:rPr>
          <w:rFonts w:ascii="Calibri" w:hAnsi="Calibri"/>
          <w:lang w:val="en-GB"/>
        </w:rPr>
        <w:t xml:space="preserve">and assessed </w:t>
      </w:r>
      <w:r w:rsidR="000935A9" w:rsidRPr="00982F04">
        <w:rPr>
          <w:rFonts w:ascii="Calibri" w:hAnsi="Calibri"/>
          <w:lang w:val="en-GB"/>
        </w:rPr>
        <w:t>in national legislation</w:t>
      </w:r>
      <w:r w:rsidRPr="00982F04">
        <w:rPr>
          <w:rFonts w:ascii="Calibri" w:hAnsi="Calibri"/>
          <w:lang w:val="en-GB"/>
        </w:rPr>
        <w:t>.</w:t>
      </w:r>
      <w:r w:rsidR="00CF6615" w:rsidRPr="00982F04">
        <w:rPr>
          <w:rFonts w:ascii="Calibri" w:hAnsi="Calibri"/>
          <w:lang w:val="en-GB"/>
        </w:rPr>
        <w:t xml:space="preserve"> Definition</w:t>
      </w:r>
      <w:r w:rsidR="00265D48" w:rsidRPr="00982F04">
        <w:rPr>
          <w:rFonts w:ascii="Calibri" w:hAnsi="Calibri"/>
          <w:lang w:val="en-GB"/>
        </w:rPr>
        <w:t>s</w:t>
      </w:r>
      <w:r w:rsidR="00CF6615" w:rsidRPr="00982F04">
        <w:rPr>
          <w:rFonts w:ascii="Calibri" w:hAnsi="Calibri"/>
          <w:lang w:val="en-GB"/>
        </w:rPr>
        <w:t xml:space="preserve"> of psychosocial disabilities rema</w:t>
      </w:r>
      <w:r w:rsidR="00DD4B3D" w:rsidRPr="00982F04">
        <w:rPr>
          <w:rFonts w:ascii="Calibri" w:hAnsi="Calibri"/>
          <w:lang w:val="en-GB"/>
        </w:rPr>
        <w:t>in n</w:t>
      </w:r>
      <w:r w:rsidR="002208A6" w:rsidRPr="00982F04">
        <w:rPr>
          <w:rFonts w:ascii="Calibri" w:hAnsi="Calibri"/>
          <w:lang w:val="en-GB"/>
        </w:rPr>
        <w:t xml:space="preserve">arrow, </w:t>
      </w:r>
      <w:r w:rsidR="00DD4B3D" w:rsidRPr="00982F04">
        <w:rPr>
          <w:rFonts w:ascii="Calibri" w:hAnsi="Calibri"/>
          <w:lang w:val="en-GB"/>
        </w:rPr>
        <w:t>over-medicalised</w:t>
      </w:r>
      <w:r w:rsidR="002208A6" w:rsidRPr="00982F04">
        <w:rPr>
          <w:rFonts w:ascii="Calibri" w:hAnsi="Calibri"/>
          <w:lang w:val="en-GB"/>
        </w:rPr>
        <w:t xml:space="preserve"> or non-existent. </w:t>
      </w:r>
      <w:r w:rsidR="004515C1" w:rsidRPr="00982F04">
        <w:rPr>
          <w:rFonts w:ascii="Calibri" w:hAnsi="Calibri"/>
          <w:lang w:val="en-GB"/>
        </w:rPr>
        <w:t>The continuous prevale</w:t>
      </w:r>
      <w:r w:rsidR="004050BC" w:rsidRPr="00982F04">
        <w:rPr>
          <w:rFonts w:ascii="Calibri" w:hAnsi="Calibri"/>
          <w:lang w:val="en-GB"/>
        </w:rPr>
        <w:t xml:space="preserve">nce of the bio-medical model </w:t>
      </w:r>
      <w:r w:rsidR="001113B7" w:rsidRPr="00982F04">
        <w:rPr>
          <w:rFonts w:ascii="Calibri" w:hAnsi="Calibri"/>
          <w:lang w:val="en-GB"/>
        </w:rPr>
        <w:t>frame</w:t>
      </w:r>
      <w:r w:rsidR="004050BC" w:rsidRPr="00982F04">
        <w:rPr>
          <w:rFonts w:ascii="Calibri" w:hAnsi="Calibri"/>
          <w:lang w:val="en-GB"/>
        </w:rPr>
        <w:t>s</w:t>
      </w:r>
      <w:r w:rsidR="001113B7" w:rsidRPr="00982F04">
        <w:rPr>
          <w:rFonts w:ascii="Calibri" w:hAnsi="Calibri"/>
          <w:lang w:val="en-GB"/>
        </w:rPr>
        <w:t xml:space="preserve"> and </w:t>
      </w:r>
      <w:r w:rsidR="004050BC" w:rsidRPr="00982F04">
        <w:rPr>
          <w:rFonts w:ascii="Calibri" w:hAnsi="Calibri"/>
          <w:lang w:val="en-GB"/>
        </w:rPr>
        <w:t>interprets</w:t>
      </w:r>
      <w:r w:rsidR="001113B7" w:rsidRPr="00982F04">
        <w:rPr>
          <w:rFonts w:ascii="Calibri" w:hAnsi="Calibri"/>
          <w:lang w:val="en-GB"/>
        </w:rPr>
        <w:t xml:space="preserve"> </w:t>
      </w:r>
      <w:r w:rsidR="00B37AEE" w:rsidRPr="00982F04">
        <w:rPr>
          <w:rFonts w:ascii="Calibri" w:hAnsi="Calibri"/>
          <w:lang w:val="en-GB"/>
        </w:rPr>
        <w:t>mental impairments</w:t>
      </w:r>
      <w:r w:rsidR="00AC73F0" w:rsidRPr="00982F04">
        <w:rPr>
          <w:rFonts w:ascii="Calibri" w:hAnsi="Calibri"/>
          <w:lang w:val="en-GB"/>
        </w:rPr>
        <w:t xml:space="preserve"> as a series of symptoms to cure </w:t>
      </w:r>
      <w:r w:rsidR="00B37AEE" w:rsidRPr="00982F04">
        <w:rPr>
          <w:rFonts w:ascii="Calibri" w:hAnsi="Calibri"/>
          <w:lang w:val="en-GB"/>
        </w:rPr>
        <w:t xml:space="preserve">and psychosocial disability as an illness to </w:t>
      </w:r>
      <w:r w:rsidR="004050BC" w:rsidRPr="00982F04">
        <w:rPr>
          <w:rFonts w:ascii="Calibri" w:hAnsi="Calibri"/>
          <w:lang w:val="en-GB"/>
        </w:rPr>
        <w:t xml:space="preserve">treat. This approach hinders the understanding of mental </w:t>
      </w:r>
      <w:r w:rsidR="00825776">
        <w:rPr>
          <w:rFonts w:ascii="Calibri" w:hAnsi="Calibri"/>
          <w:lang w:val="en-GB"/>
        </w:rPr>
        <w:t>health</w:t>
      </w:r>
      <w:r w:rsidR="004050BC" w:rsidRPr="00982F04">
        <w:rPr>
          <w:rFonts w:ascii="Calibri" w:hAnsi="Calibri"/>
          <w:lang w:val="en-GB"/>
        </w:rPr>
        <w:t xml:space="preserve"> as a wide spect</w:t>
      </w:r>
      <w:r w:rsidR="004B6D40" w:rsidRPr="00982F04">
        <w:rPr>
          <w:rFonts w:ascii="Calibri" w:hAnsi="Calibri"/>
          <w:lang w:val="en-GB"/>
        </w:rPr>
        <w:t>rum of experiences and feelings</w:t>
      </w:r>
      <w:r w:rsidR="00825776">
        <w:rPr>
          <w:rFonts w:ascii="Calibri" w:hAnsi="Calibri"/>
          <w:lang w:val="en-GB"/>
        </w:rPr>
        <w:t>,</w:t>
      </w:r>
      <w:r w:rsidR="004B6D40" w:rsidRPr="00982F04">
        <w:rPr>
          <w:rFonts w:ascii="Calibri" w:hAnsi="Calibri"/>
          <w:lang w:val="en-GB"/>
        </w:rPr>
        <w:t xml:space="preserve"> and</w:t>
      </w:r>
      <w:r w:rsidR="004050BC" w:rsidRPr="00982F04">
        <w:rPr>
          <w:rFonts w:ascii="Calibri" w:hAnsi="Calibri"/>
          <w:lang w:val="en-GB"/>
        </w:rPr>
        <w:t xml:space="preserve"> do</w:t>
      </w:r>
      <w:r w:rsidR="004B6D40" w:rsidRPr="00982F04">
        <w:rPr>
          <w:rFonts w:ascii="Calibri" w:hAnsi="Calibri"/>
          <w:lang w:val="en-GB"/>
        </w:rPr>
        <w:t>es</w:t>
      </w:r>
      <w:r w:rsidR="004050BC" w:rsidRPr="00982F04">
        <w:rPr>
          <w:rFonts w:ascii="Calibri" w:hAnsi="Calibri"/>
          <w:lang w:val="en-GB"/>
        </w:rPr>
        <w:t xml:space="preserve"> not take into account the external barriers</w:t>
      </w:r>
      <w:r w:rsidR="004B6D40" w:rsidRPr="00982F04">
        <w:rPr>
          <w:rFonts w:ascii="Calibri" w:hAnsi="Calibri"/>
          <w:lang w:val="en-GB"/>
        </w:rPr>
        <w:t xml:space="preserve"> that might cause distress</w:t>
      </w:r>
      <w:r w:rsidR="00825776">
        <w:rPr>
          <w:rFonts w:ascii="Calibri" w:hAnsi="Calibri"/>
          <w:lang w:val="en-GB"/>
        </w:rPr>
        <w:t xml:space="preserve"> and mental impairments</w:t>
      </w:r>
      <w:r w:rsidR="004B6D40" w:rsidRPr="00982F04">
        <w:rPr>
          <w:rFonts w:ascii="Calibri" w:hAnsi="Calibri"/>
          <w:lang w:val="en-GB"/>
        </w:rPr>
        <w:t>. The bio-medical approach implies</w:t>
      </w:r>
      <w:r w:rsidR="004050BC" w:rsidRPr="00982F04">
        <w:rPr>
          <w:rFonts w:ascii="Calibri" w:hAnsi="Calibri"/>
          <w:lang w:val="en-GB"/>
        </w:rPr>
        <w:t xml:space="preserve"> that the variety of experiences of a person can be reduced to a disease or illness that should be </w:t>
      </w:r>
      <w:r w:rsidR="004B6D40" w:rsidRPr="00982F04">
        <w:rPr>
          <w:rFonts w:ascii="Calibri" w:hAnsi="Calibri"/>
          <w:lang w:val="en-GB"/>
        </w:rPr>
        <w:t xml:space="preserve">solely </w:t>
      </w:r>
      <w:r w:rsidR="004050BC" w:rsidRPr="00982F04">
        <w:rPr>
          <w:rFonts w:ascii="Calibri" w:hAnsi="Calibri"/>
          <w:lang w:val="en-GB"/>
        </w:rPr>
        <w:t>cured medically.</w:t>
      </w:r>
      <w:r w:rsidR="004B6D40" w:rsidRPr="00982F04">
        <w:rPr>
          <w:rFonts w:ascii="Calibri" w:hAnsi="Calibri"/>
          <w:lang w:val="en-GB"/>
        </w:rPr>
        <w:t xml:space="preserve"> </w:t>
      </w:r>
      <w:r w:rsidR="002208A6" w:rsidRPr="00982F04">
        <w:rPr>
          <w:rFonts w:ascii="Calibri" w:hAnsi="Calibri"/>
          <w:lang w:val="en-GB"/>
        </w:rPr>
        <w:t>Such definition</w:t>
      </w:r>
      <w:r w:rsidR="00892032" w:rsidRPr="00982F04">
        <w:rPr>
          <w:rFonts w:ascii="Calibri" w:hAnsi="Calibri"/>
          <w:lang w:val="en-GB"/>
        </w:rPr>
        <w:t>s</w:t>
      </w:r>
      <w:r w:rsidR="00AE0B2D" w:rsidRPr="00982F04">
        <w:rPr>
          <w:rFonts w:ascii="Calibri" w:hAnsi="Calibri"/>
          <w:lang w:val="en-GB"/>
        </w:rPr>
        <w:t xml:space="preserve"> are </w:t>
      </w:r>
      <w:r w:rsidR="002208A6" w:rsidRPr="00982F04">
        <w:rPr>
          <w:rFonts w:ascii="Calibri" w:hAnsi="Calibri"/>
          <w:lang w:val="en-GB"/>
        </w:rPr>
        <w:t>incompatible</w:t>
      </w:r>
      <w:r w:rsidR="00AE0B2D" w:rsidRPr="00982F04">
        <w:rPr>
          <w:rFonts w:ascii="Calibri" w:hAnsi="Calibri"/>
          <w:lang w:val="en-GB"/>
        </w:rPr>
        <w:t xml:space="preserve"> with </w:t>
      </w:r>
      <w:r w:rsidR="00DD4B3D" w:rsidRPr="00982F04">
        <w:rPr>
          <w:rFonts w:ascii="Calibri" w:hAnsi="Calibri"/>
          <w:lang w:val="en-GB"/>
        </w:rPr>
        <w:t>the U</w:t>
      </w:r>
      <w:r w:rsidR="006933A6" w:rsidRPr="00982F04">
        <w:rPr>
          <w:rFonts w:ascii="Calibri" w:hAnsi="Calibri"/>
          <w:lang w:val="en-GB"/>
        </w:rPr>
        <w:t xml:space="preserve">nited </w:t>
      </w:r>
      <w:r w:rsidR="00DD4B3D" w:rsidRPr="00982F04">
        <w:rPr>
          <w:rFonts w:ascii="Calibri" w:hAnsi="Calibri"/>
          <w:lang w:val="en-GB"/>
        </w:rPr>
        <w:t>N</w:t>
      </w:r>
      <w:r w:rsidR="006933A6" w:rsidRPr="00982F04">
        <w:rPr>
          <w:rFonts w:ascii="Calibri" w:hAnsi="Calibri"/>
          <w:lang w:val="en-GB"/>
        </w:rPr>
        <w:t xml:space="preserve">ations </w:t>
      </w:r>
      <w:r w:rsidR="00DD4B3D" w:rsidRPr="00982F04">
        <w:rPr>
          <w:rFonts w:ascii="Calibri" w:hAnsi="Calibri"/>
          <w:lang w:val="en-GB"/>
        </w:rPr>
        <w:t>C</w:t>
      </w:r>
      <w:r w:rsidR="006933A6" w:rsidRPr="00982F04">
        <w:rPr>
          <w:rFonts w:ascii="Calibri" w:hAnsi="Calibri"/>
          <w:lang w:val="en-GB"/>
        </w:rPr>
        <w:t xml:space="preserve">onvention on the </w:t>
      </w:r>
      <w:r w:rsidR="00DD4B3D" w:rsidRPr="00982F04">
        <w:rPr>
          <w:rFonts w:ascii="Calibri" w:hAnsi="Calibri"/>
          <w:lang w:val="en-GB"/>
        </w:rPr>
        <w:t>R</w:t>
      </w:r>
      <w:r w:rsidR="006933A6" w:rsidRPr="00982F04">
        <w:rPr>
          <w:rFonts w:ascii="Calibri" w:hAnsi="Calibri"/>
          <w:lang w:val="en-GB"/>
        </w:rPr>
        <w:t xml:space="preserve">ights of </w:t>
      </w:r>
      <w:r w:rsidR="00DD4B3D" w:rsidRPr="00982F04">
        <w:rPr>
          <w:rFonts w:ascii="Calibri" w:hAnsi="Calibri"/>
          <w:lang w:val="en-GB"/>
        </w:rPr>
        <w:t>P</w:t>
      </w:r>
      <w:r w:rsidR="006933A6" w:rsidRPr="00982F04">
        <w:rPr>
          <w:rFonts w:ascii="Calibri" w:hAnsi="Calibri"/>
          <w:lang w:val="en-GB"/>
        </w:rPr>
        <w:t xml:space="preserve">ersons with </w:t>
      </w:r>
      <w:r w:rsidR="00DD4B3D" w:rsidRPr="00982F04">
        <w:rPr>
          <w:rFonts w:ascii="Calibri" w:hAnsi="Calibri"/>
          <w:lang w:val="en-GB"/>
        </w:rPr>
        <w:t>D</w:t>
      </w:r>
      <w:r w:rsidR="006933A6" w:rsidRPr="00982F04">
        <w:rPr>
          <w:rFonts w:ascii="Calibri" w:hAnsi="Calibri"/>
          <w:lang w:val="en-GB"/>
        </w:rPr>
        <w:t>isabilities (UN CRPD)</w:t>
      </w:r>
      <w:r w:rsidR="00AE0B2D" w:rsidRPr="00982F04">
        <w:rPr>
          <w:rFonts w:ascii="Calibri" w:hAnsi="Calibri"/>
          <w:lang w:val="en-GB"/>
        </w:rPr>
        <w:t xml:space="preserve"> </w:t>
      </w:r>
      <w:r w:rsidR="002208A6" w:rsidRPr="00982F04">
        <w:rPr>
          <w:rFonts w:ascii="Calibri" w:hAnsi="Calibri"/>
          <w:lang w:val="en-GB"/>
        </w:rPr>
        <w:t>as they</w:t>
      </w:r>
      <w:r w:rsidR="00AE0B2D" w:rsidRPr="00982F04">
        <w:rPr>
          <w:rFonts w:ascii="Calibri" w:hAnsi="Calibri"/>
          <w:lang w:val="en-GB"/>
        </w:rPr>
        <w:t xml:space="preserve"> predominantly focus on the functional evaluation of </w:t>
      </w:r>
      <w:r w:rsidR="004B6D40" w:rsidRPr="00982F04">
        <w:rPr>
          <w:rFonts w:ascii="Calibri" w:hAnsi="Calibri"/>
          <w:lang w:val="en-GB"/>
        </w:rPr>
        <w:t xml:space="preserve">the </w:t>
      </w:r>
      <w:r w:rsidR="00AE0B2D" w:rsidRPr="00982F04">
        <w:rPr>
          <w:rFonts w:ascii="Calibri" w:hAnsi="Calibri"/>
          <w:lang w:val="en-GB"/>
        </w:rPr>
        <w:t xml:space="preserve">capabilities </w:t>
      </w:r>
      <w:r w:rsidR="004B6D40" w:rsidRPr="00982F04">
        <w:rPr>
          <w:rFonts w:ascii="Calibri" w:hAnsi="Calibri"/>
          <w:lang w:val="en-GB"/>
        </w:rPr>
        <w:t xml:space="preserve">of a person </w:t>
      </w:r>
      <w:r w:rsidR="00AE0B2D" w:rsidRPr="00982F04">
        <w:rPr>
          <w:rFonts w:ascii="Calibri" w:hAnsi="Calibri"/>
          <w:lang w:val="en-GB"/>
        </w:rPr>
        <w:t xml:space="preserve">rather than </w:t>
      </w:r>
      <w:r w:rsidR="00892032" w:rsidRPr="00982F04">
        <w:rPr>
          <w:rFonts w:ascii="Calibri" w:hAnsi="Calibri"/>
          <w:lang w:val="en-GB"/>
        </w:rPr>
        <w:t xml:space="preserve">the </w:t>
      </w:r>
      <w:r w:rsidR="00AE0B2D" w:rsidRPr="00982F04">
        <w:rPr>
          <w:rFonts w:ascii="Calibri" w:hAnsi="Calibri"/>
          <w:lang w:val="en-GB"/>
        </w:rPr>
        <w:t>needs and barriers faced by individuals</w:t>
      </w:r>
      <w:r w:rsidR="00DD4B3D" w:rsidRPr="00982F04">
        <w:rPr>
          <w:rFonts w:ascii="Calibri" w:hAnsi="Calibri"/>
          <w:lang w:val="en-GB"/>
        </w:rPr>
        <w:t>.</w:t>
      </w:r>
      <w:r w:rsidR="00BD01E1" w:rsidRPr="00982F04">
        <w:rPr>
          <w:rFonts w:ascii="Calibri" w:hAnsi="Calibri"/>
          <w:lang w:val="en-GB"/>
        </w:rPr>
        <w:t xml:space="preserve"> </w:t>
      </w:r>
      <w:r w:rsidR="00AE0B2D" w:rsidRPr="00982F04">
        <w:rPr>
          <w:rFonts w:ascii="Calibri" w:hAnsi="Calibri"/>
          <w:lang w:val="en-GB"/>
        </w:rPr>
        <w:t>In addition, u</w:t>
      </w:r>
      <w:r w:rsidR="00BD01E1" w:rsidRPr="00982F04">
        <w:rPr>
          <w:rFonts w:ascii="Calibri" w:hAnsi="Calibri"/>
          <w:lang w:val="en-GB"/>
        </w:rPr>
        <w:t xml:space="preserve">nclear or </w:t>
      </w:r>
      <w:r w:rsidR="00F16EAE" w:rsidRPr="00982F04">
        <w:rPr>
          <w:rFonts w:ascii="Calibri" w:hAnsi="Calibri"/>
          <w:lang w:val="en-GB"/>
        </w:rPr>
        <w:t>medical definition</w:t>
      </w:r>
      <w:r w:rsidR="00892032" w:rsidRPr="00982F04">
        <w:rPr>
          <w:rFonts w:ascii="Calibri" w:hAnsi="Calibri"/>
          <w:lang w:val="en-GB"/>
        </w:rPr>
        <w:t>s</w:t>
      </w:r>
      <w:r w:rsidR="005D4531" w:rsidRPr="00982F04">
        <w:rPr>
          <w:rFonts w:ascii="Calibri" w:hAnsi="Calibri"/>
          <w:lang w:val="en-GB"/>
        </w:rPr>
        <w:t xml:space="preserve"> of disability</w:t>
      </w:r>
      <w:r w:rsidR="00F16EAE" w:rsidRPr="00982F04">
        <w:rPr>
          <w:rFonts w:ascii="Calibri" w:hAnsi="Calibri"/>
          <w:lang w:val="en-GB"/>
        </w:rPr>
        <w:t xml:space="preserve"> </w:t>
      </w:r>
      <w:r w:rsidR="00560A52">
        <w:rPr>
          <w:rFonts w:ascii="Calibri" w:hAnsi="Calibri"/>
          <w:lang w:val="en-GB"/>
        </w:rPr>
        <w:t>have assessments that</w:t>
      </w:r>
      <w:r w:rsidR="00F16EAE" w:rsidRPr="00982F04">
        <w:rPr>
          <w:rFonts w:ascii="Calibri" w:hAnsi="Calibri"/>
          <w:lang w:val="en-GB"/>
        </w:rPr>
        <w:t xml:space="preserve"> require proof of impairment or duration of impairment</w:t>
      </w:r>
      <w:r w:rsidR="00CE4BE7" w:rsidRPr="00982F04">
        <w:rPr>
          <w:rFonts w:ascii="Calibri" w:hAnsi="Calibri"/>
          <w:lang w:val="en-GB"/>
        </w:rPr>
        <w:t>, which can be harder to prove for people w</w:t>
      </w:r>
      <w:r w:rsidR="00892032" w:rsidRPr="00982F04">
        <w:rPr>
          <w:rFonts w:ascii="Calibri" w:hAnsi="Calibri"/>
          <w:lang w:val="en-GB"/>
        </w:rPr>
        <w:t>ith psychosocial disabilities since</w:t>
      </w:r>
      <w:r w:rsidR="00CE4BE7" w:rsidRPr="00982F04">
        <w:rPr>
          <w:rFonts w:ascii="Calibri" w:hAnsi="Calibri"/>
          <w:lang w:val="en-GB"/>
        </w:rPr>
        <w:t xml:space="preserve"> their impairment is not visible and </w:t>
      </w:r>
      <w:r w:rsidR="00560A52">
        <w:rPr>
          <w:rFonts w:ascii="Calibri" w:hAnsi="Calibri"/>
          <w:lang w:val="en-GB"/>
        </w:rPr>
        <w:t>the assessment</w:t>
      </w:r>
      <w:r w:rsidR="00954C63" w:rsidRPr="00982F04">
        <w:rPr>
          <w:rFonts w:ascii="Calibri" w:hAnsi="Calibri"/>
          <w:lang w:val="en-GB"/>
        </w:rPr>
        <w:t xml:space="preserve"> can be subjective</w:t>
      </w:r>
      <w:r w:rsidR="004B6D40" w:rsidRPr="00982F04">
        <w:rPr>
          <w:rFonts w:ascii="Calibri" w:hAnsi="Calibri"/>
          <w:lang w:val="en-GB"/>
        </w:rPr>
        <w:t xml:space="preserve"> and narrow for the reasons explained above</w:t>
      </w:r>
      <w:r w:rsidR="00954C63" w:rsidRPr="00982F04">
        <w:rPr>
          <w:rFonts w:ascii="Calibri" w:hAnsi="Calibri"/>
          <w:lang w:val="en-GB"/>
        </w:rPr>
        <w:t>.</w:t>
      </w:r>
    </w:p>
    <w:p w14:paraId="705DCCDF" w14:textId="77777777" w:rsidR="006A6011" w:rsidRPr="00982F04" w:rsidRDefault="006A6011" w:rsidP="00EE74A6">
      <w:pPr>
        <w:spacing w:line="276" w:lineRule="auto"/>
        <w:jc w:val="both"/>
        <w:rPr>
          <w:rFonts w:ascii="Calibri" w:hAnsi="Calibri"/>
          <w:lang w:val="en-GB"/>
        </w:rPr>
      </w:pPr>
    </w:p>
    <w:p w14:paraId="0AB38A90" w14:textId="288B7BEA" w:rsidR="006A6011" w:rsidRPr="00982F04" w:rsidRDefault="00FA61DF" w:rsidP="00EE74A6">
      <w:pPr>
        <w:spacing w:line="276" w:lineRule="auto"/>
        <w:jc w:val="both"/>
        <w:rPr>
          <w:rFonts w:ascii="Calibri" w:hAnsi="Calibri"/>
          <w:lang w:val="en-GB"/>
        </w:rPr>
      </w:pPr>
      <w:r w:rsidRPr="00982F04">
        <w:rPr>
          <w:rFonts w:ascii="Calibri" w:hAnsi="Calibri"/>
          <w:lang w:val="en-GB"/>
        </w:rPr>
        <w:t xml:space="preserve">Finally, </w:t>
      </w:r>
      <w:r w:rsidR="00CA7A11" w:rsidRPr="00982F04">
        <w:rPr>
          <w:rFonts w:ascii="Calibri" w:hAnsi="Calibri"/>
          <w:lang w:val="en-GB"/>
        </w:rPr>
        <w:t>another significant aspect hindering the right to work and employment of persons with psychosocial disabilities is the denial of legal capacity. This can limit</w:t>
      </w:r>
      <w:r w:rsidR="00C61C02">
        <w:rPr>
          <w:rFonts w:ascii="Calibri" w:hAnsi="Calibri"/>
          <w:lang w:val="en-GB"/>
        </w:rPr>
        <w:t xml:space="preserve"> and prohibit the possibility for</w:t>
      </w:r>
      <w:r w:rsidR="00CA7A11" w:rsidRPr="00982F04">
        <w:rPr>
          <w:rFonts w:ascii="Calibri" w:hAnsi="Calibri"/>
          <w:lang w:val="en-GB"/>
        </w:rPr>
        <w:t xml:space="preserve"> an individual </w:t>
      </w:r>
      <w:r w:rsidRPr="00982F04">
        <w:rPr>
          <w:rFonts w:ascii="Calibri" w:hAnsi="Calibri"/>
          <w:lang w:val="en-GB"/>
        </w:rPr>
        <w:t>to enter in contracts or</w:t>
      </w:r>
      <w:r w:rsidR="00CA7A11" w:rsidRPr="00982F04">
        <w:rPr>
          <w:rFonts w:ascii="Calibri" w:hAnsi="Calibri"/>
          <w:lang w:val="en-GB"/>
        </w:rPr>
        <w:t xml:space="preserve"> start their own business. </w:t>
      </w:r>
      <w:r w:rsidR="00C61C02">
        <w:rPr>
          <w:rFonts w:ascii="Calibri" w:hAnsi="Calibri"/>
          <w:lang w:val="en-GB"/>
        </w:rPr>
        <w:t>Legal capacity deprivation</w:t>
      </w:r>
      <w:r w:rsidR="00CA7A11" w:rsidRPr="00982F04">
        <w:rPr>
          <w:rFonts w:ascii="Calibri" w:hAnsi="Calibri"/>
          <w:lang w:val="en-GB"/>
        </w:rPr>
        <w:t xml:space="preserve"> is a</w:t>
      </w:r>
      <w:r w:rsidRPr="00982F04">
        <w:rPr>
          <w:rFonts w:ascii="Calibri" w:hAnsi="Calibri"/>
          <w:lang w:val="en-GB"/>
        </w:rPr>
        <w:t xml:space="preserve"> </w:t>
      </w:r>
      <w:r w:rsidR="00C61C02">
        <w:rPr>
          <w:rFonts w:ascii="Calibri" w:hAnsi="Calibri"/>
          <w:lang w:val="en-GB"/>
        </w:rPr>
        <w:t>major</w:t>
      </w:r>
      <w:r w:rsidR="00CA7A11" w:rsidRPr="00982F04">
        <w:rPr>
          <w:rFonts w:ascii="Calibri" w:hAnsi="Calibri"/>
          <w:lang w:val="en-GB"/>
        </w:rPr>
        <w:t xml:space="preserve"> barrier</w:t>
      </w:r>
      <w:r w:rsidRPr="00982F04">
        <w:rPr>
          <w:rFonts w:ascii="Calibri" w:hAnsi="Calibri"/>
          <w:lang w:val="en-GB"/>
        </w:rPr>
        <w:t xml:space="preserve"> to </w:t>
      </w:r>
      <w:r w:rsidR="00CA7A11" w:rsidRPr="00982F04">
        <w:rPr>
          <w:rFonts w:ascii="Calibri" w:hAnsi="Calibri"/>
          <w:lang w:val="en-GB"/>
        </w:rPr>
        <w:t xml:space="preserve">employment and </w:t>
      </w:r>
      <w:r w:rsidRPr="00982F04">
        <w:rPr>
          <w:rFonts w:ascii="Calibri" w:hAnsi="Calibri"/>
          <w:lang w:val="en-GB"/>
        </w:rPr>
        <w:t>self</w:t>
      </w:r>
      <w:r w:rsidR="00CA7A11" w:rsidRPr="00982F04">
        <w:rPr>
          <w:rFonts w:ascii="Calibri" w:hAnsi="Calibri"/>
          <w:lang w:val="en-GB"/>
        </w:rPr>
        <w:t>-</w:t>
      </w:r>
      <w:r w:rsidRPr="00982F04">
        <w:rPr>
          <w:rFonts w:ascii="Calibri" w:hAnsi="Calibri"/>
          <w:lang w:val="en-GB"/>
        </w:rPr>
        <w:t xml:space="preserve">employment, </w:t>
      </w:r>
      <w:r w:rsidR="00CA7A11" w:rsidRPr="00982F04">
        <w:rPr>
          <w:rFonts w:ascii="Calibri" w:hAnsi="Calibri"/>
          <w:lang w:val="en-GB"/>
        </w:rPr>
        <w:t xml:space="preserve">as well as </w:t>
      </w:r>
      <w:r w:rsidRPr="00982F04">
        <w:rPr>
          <w:rFonts w:ascii="Calibri" w:hAnsi="Calibri"/>
          <w:lang w:val="en-GB"/>
        </w:rPr>
        <w:t>entrepreneurship, the development of cooperatives and the starting of</w:t>
      </w:r>
      <w:r w:rsidR="00CA7A11" w:rsidRPr="00982F04">
        <w:rPr>
          <w:rFonts w:ascii="Calibri" w:hAnsi="Calibri"/>
          <w:lang w:val="en-GB"/>
        </w:rPr>
        <w:t xml:space="preserve"> businesses. The full and adequate implementation of Article 27 cannot therefore ignore the implementation of Article 12 </w:t>
      </w:r>
      <w:r w:rsidR="0039495C" w:rsidRPr="00982F04">
        <w:rPr>
          <w:rFonts w:ascii="Calibri" w:hAnsi="Calibri"/>
          <w:lang w:val="en-GB"/>
        </w:rPr>
        <w:t>of the UN CRPD</w:t>
      </w:r>
      <w:r w:rsidR="009A2BB5" w:rsidRPr="00982F04">
        <w:rPr>
          <w:rFonts w:ascii="Calibri" w:hAnsi="Calibri"/>
          <w:lang w:val="en-GB"/>
        </w:rPr>
        <w:t xml:space="preserve"> and the establishment of supported-decision making schemes</w:t>
      </w:r>
      <w:r w:rsidR="00857129" w:rsidRPr="00982F04">
        <w:rPr>
          <w:rFonts w:ascii="Calibri" w:hAnsi="Calibri"/>
          <w:lang w:val="en-GB"/>
        </w:rPr>
        <w:t xml:space="preserve"> </w:t>
      </w:r>
      <w:r w:rsidR="009A2BB5" w:rsidRPr="00982F04">
        <w:rPr>
          <w:rFonts w:ascii="Calibri" w:hAnsi="Calibri"/>
          <w:lang w:val="en-GB"/>
        </w:rPr>
        <w:t xml:space="preserve">that break down barriers </w:t>
      </w:r>
      <w:r w:rsidR="00857129" w:rsidRPr="00982F04">
        <w:rPr>
          <w:rFonts w:ascii="Calibri" w:hAnsi="Calibri"/>
          <w:lang w:val="en-GB"/>
        </w:rPr>
        <w:t>faced by</w:t>
      </w:r>
      <w:r w:rsidR="009A2BB5" w:rsidRPr="00982F04">
        <w:rPr>
          <w:rFonts w:ascii="Calibri" w:hAnsi="Calibri"/>
          <w:lang w:val="en-GB"/>
        </w:rPr>
        <w:t xml:space="preserve"> people with psychosocial disabilities</w:t>
      </w:r>
      <w:r w:rsidR="0039495C" w:rsidRPr="00982F04">
        <w:rPr>
          <w:rFonts w:ascii="Calibri" w:hAnsi="Calibri"/>
          <w:lang w:val="en-GB"/>
        </w:rPr>
        <w:t>. Until legislations and policies will continue foreseeing the deprivation of legal capacity, persons with psychosocial disabilities will never be fully equal before the law and the full enjoyment of</w:t>
      </w:r>
      <w:r w:rsidR="00C747AD">
        <w:rPr>
          <w:rFonts w:ascii="Calibri" w:hAnsi="Calibri"/>
          <w:lang w:val="en-GB"/>
        </w:rPr>
        <w:t xml:space="preserve"> any of</w:t>
      </w:r>
      <w:r w:rsidR="0039495C" w:rsidRPr="00982F04">
        <w:rPr>
          <w:rFonts w:ascii="Calibri" w:hAnsi="Calibri"/>
          <w:lang w:val="en-GB"/>
        </w:rPr>
        <w:t xml:space="preserve"> their rights will</w:t>
      </w:r>
      <w:r w:rsidR="00857129" w:rsidRPr="00982F04">
        <w:rPr>
          <w:rFonts w:ascii="Calibri" w:hAnsi="Calibri"/>
          <w:lang w:val="en-GB"/>
        </w:rPr>
        <w:t xml:space="preserve"> always</w:t>
      </w:r>
      <w:r w:rsidR="0039495C" w:rsidRPr="00982F04">
        <w:rPr>
          <w:rFonts w:ascii="Calibri" w:hAnsi="Calibri"/>
          <w:lang w:val="en-GB"/>
        </w:rPr>
        <w:t xml:space="preserve"> remain limited.</w:t>
      </w:r>
    </w:p>
    <w:p w14:paraId="24D77182" w14:textId="77777777" w:rsidR="006A6011" w:rsidRPr="00982F04" w:rsidRDefault="006A6011" w:rsidP="00EE74A6">
      <w:pPr>
        <w:spacing w:line="276" w:lineRule="auto"/>
        <w:jc w:val="both"/>
        <w:rPr>
          <w:rFonts w:ascii="Calibri" w:hAnsi="Calibri"/>
          <w:lang w:val="en-GB"/>
        </w:rPr>
      </w:pPr>
    </w:p>
    <w:p w14:paraId="585F5219" w14:textId="77777777" w:rsidR="005E1AA1" w:rsidRPr="00982F04" w:rsidRDefault="005E1AA1" w:rsidP="00EE74A6">
      <w:pPr>
        <w:spacing w:line="276" w:lineRule="auto"/>
        <w:jc w:val="both"/>
        <w:rPr>
          <w:rFonts w:ascii="Calibri" w:hAnsi="Calibri"/>
          <w:lang w:val="en-GB"/>
        </w:rPr>
      </w:pPr>
    </w:p>
    <w:p w14:paraId="36FCAE35" w14:textId="21933DE2" w:rsidR="00723A45" w:rsidRPr="00982F04" w:rsidRDefault="00C611EA" w:rsidP="00EE74A6">
      <w:pPr>
        <w:spacing w:line="276" w:lineRule="auto"/>
        <w:jc w:val="both"/>
        <w:rPr>
          <w:rFonts w:ascii="Calibri" w:hAnsi="Calibri"/>
          <w:i/>
          <w:u w:val="single"/>
          <w:lang w:val="en-GB"/>
        </w:rPr>
      </w:pPr>
      <w:r w:rsidRPr="00982F04">
        <w:rPr>
          <w:rFonts w:ascii="Calibri" w:hAnsi="Calibri"/>
          <w:i/>
          <w:u w:val="single"/>
          <w:lang w:val="en-GB"/>
        </w:rPr>
        <w:t>The Impact of the Coronavirus Pandemic on Mental Health and its Consequences on Psychosocial Impairments</w:t>
      </w:r>
    </w:p>
    <w:p w14:paraId="5BDD7CC5" w14:textId="77777777" w:rsidR="005E1AA1" w:rsidRPr="00982F04" w:rsidRDefault="005E1AA1" w:rsidP="00EE74A6">
      <w:pPr>
        <w:spacing w:line="276" w:lineRule="auto"/>
        <w:jc w:val="both"/>
        <w:rPr>
          <w:rFonts w:ascii="Calibri" w:hAnsi="Calibri"/>
          <w:lang w:val="en-GB"/>
        </w:rPr>
      </w:pPr>
    </w:p>
    <w:p w14:paraId="16B40704" w14:textId="185DA046" w:rsidR="00723A45" w:rsidRPr="00982F04" w:rsidRDefault="005E1AA1" w:rsidP="00EE74A6">
      <w:pPr>
        <w:spacing w:line="276" w:lineRule="auto"/>
        <w:jc w:val="both"/>
        <w:rPr>
          <w:rFonts w:ascii="Calibri" w:hAnsi="Calibri"/>
          <w:lang w:val="en-GB"/>
        </w:rPr>
      </w:pPr>
      <w:r w:rsidRPr="00982F04">
        <w:rPr>
          <w:rFonts w:ascii="Calibri" w:hAnsi="Calibri"/>
          <w:lang w:val="en-GB"/>
        </w:rPr>
        <w:t>O</w:t>
      </w:r>
      <w:r w:rsidR="00DF105C" w:rsidRPr="00982F04">
        <w:rPr>
          <w:rFonts w:ascii="Calibri" w:hAnsi="Calibri"/>
          <w:lang w:val="en-GB"/>
        </w:rPr>
        <w:t xml:space="preserve">ne of the consequences of the pandemic is </w:t>
      </w:r>
      <w:r w:rsidR="00E56AAE" w:rsidRPr="00982F04">
        <w:rPr>
          <w:rFonts w:ascii="Calibri" w:hAnsi="Calibri"/>
          <w:lang w:val="en-GB"/>
        </w:rPr>
        <w:t xml:space="preserve">the </w:t>
      </w:r>
      <w:r w:rsidR="00DF105C" w:rsidRPr="00982F04">
        <w:rPr>
          <w:rFonts w:ascii="Calibri" w:hAnsi="Calibri"/>
          <w:lang w:val="en-GB"/>
        </w:rPr>
        <w:t xml:space="preserve">elevated levels of unemployment </w:t>
      </w:r>
      <w:r w:rsidR="00475F53">
        <w:rPr>
          <w:rFonts w:ascii="Calibri" w:hAnsi="Calibri"/>
          <w:lang w:val="en-GB"/>
        </w:rPr>
        <w:t xml:space="preserve">and the general impact that COVID-19 is having and will continue having on mental health related to work and employment. This is particularly relevant for </w:t>
      </w:r>
      <w:r w:rsidR="000A7E88" w:rsidRPr="00982F04">
        <w:rPr>
          <w:rFonts w:ascii="Calibri" w:hAnsi="Calibri"/>
          <w:lang w:val="en-GB"/>
        </w:rPr>
        <w:t xml:space="preserve">young people with </w:t>
      </w:r>
      <w:r w:rsidR="00EF2DE5" w:rsidRPr="00982F04">
        <w:rPr>
          <w:rFonts w:ascii="Calibri" w:hAnsi="Calibri"/>
          <w:lang w:val="en-GB"/>
        </w:rPr>
        <w:t xml:space="preserve">and without </w:t>
      </w:r>
      <w:r w:rsidR="000A7E88" w:rsidRPr="00982F04">
        <w:rPr>
          <w:rFonts w:ascii="Calibri" w:hAnsi="Calibri"/>
          <w:lang w:val="en-GB"/>
        </w:rPr>
        <w:t xml:space="preserve">disabilities, </w:t>
      </w:r>
      <w:r w:rsidR="009A5AAE">
        <w:rPr>
          <w:rFonts w:ascii="Calibri" w:hAnsi="Calibri"/>
          <w:lang w:val="en-GB"/>
        </w:rPr>
        <w:t>as unemployment and job insecurity</w:t>
      </w:r>
      <w:r w:rsidR="000A7E88" w:rsidRPr="00982F04">
        <w:rPr>
          <w:rFonts w:ascii="Calibri" w:hAnsi="Calibri"/>
          <w:lang w:val="en-GB"/>
        </w:rPr>
        <w:t xml:space="preserve"> can lead to the development of psychosocial disabilities that can last a lifetime. </w:t>
      </w:r>
      <w:r w:rsidR="002D1DB4">
        <w:rPr>
          <w:rFonts w:ascii="Calibri" w:hAnsi="Calibri"/>
          <w:lang w:val="en-GB"/>
        </w:rPr>
        <w:t>In</w:t>
      </w:r>
      <w:r w:rsidR="002D1DB4" w:rsidRPr="002D1DB4">
        <w:rPr>
          <w:rFonts w:ascii="Calibri" w:hAnsi="Calibri"/>
          <w:lang w:val="en-GB"/>
        </w:rPr>
        <w:t xml:space="preserve"> the EU, </w:t>
      </w:r>
      <w:r w:rsidR="002D1DB4">
        <w:rPr>
          <w:rFonts w:ascii="Calibri" w:hAnsi="Calibri"/>
          <w:lang w:val="en-GB"/>
        </w:rPr>
        <w:t xml:space="preserve">for instance, evidence shows that </w:t>
      </w:r>
      <w:r w:rsidR="002D1DB4" w:rsidRPr="002D1DB4">
        <w:rPr>
          <w:rFonts w:ascii="Calibri" w:hAnsi="Calibri"/>
          <w:lang w:val="en-GB"/>
        </w:rPr>
        <w:t xml:space="preserve">youth unemployment is rising four times </w:t>
      </w:r>
      <w:r w:rsidR="002D1DB4">
        <w:rPr>
          <w:rFonts w:ascii="Calibri" w:hAnsi="Calibri"/>
          <w:lang w:val="en-GB"/>
        </w:rPr>
        <w:t>faster</w:t>
      </w:r>
      <w:r w:rsidR="002D1DB4" w:rsidRPr="002D1DB4">
        <w:rPr>
          <w:rFonts w:ascii="Calibri" w:hAnsi="Calibri"/>
          <w:lang w:val="en-GB"/>
        </w:rPr>
        <w:t xml:space="preserve"> than the general rate.</w:t>
      </w:r>
      <w:r w:rsidR="002D1DB4">
        <w:rPr>
          <w:rStyle w:val="EndnoteReference"/>
          <w:rFonts w:ascii="Calibri" w:hAnsi="Calibri"/>
          <w:lang w:val="en-GB"/>
        </w:rPr>
        <w:endnoteReference w:id="2"/>
      </w:r>
      <w:r w:rsidR="002D1DB4">
        <w:rPr>
          <w:rFonts w:ascii="Calibri" w:hAnsi="Calibri"/>
          <w:lang w:val="en-GB"/>
        </w:rPr>
        <w:t xml:space="preserve"> </w:t>
      </w:r>
      <w:r w:rsidR="002F09B3">
        <w:rPr>
          <w:rFonts w:ascii="Calibri" w:hAnsi="Calibri"/>
          <w:lang w:val="en-GB"/>
        </w:rPr>
        <w:t xml:space="preserve">Since mental impairments </w:t>
      </w:r>
      <w:r w:rsidR="000B658E">
        <w:rPr>
          <w:rFonts w:ascii="Calibri" w:hAnsi="Calibri"/>
          <w:lang w:val="en-GB"/>
        </w:rPr>
        <w:t xml:space="preserve">and psychosocial disabilities </w:t>
      </w:r>
      <w:r w:rsidR="002F09B3">
        <w:rPr>
          <w:rFonts w:ascii="Calibri" w:hAnsi="Calibri"/>
          <w:lang w:val="en-GB"/>
        </w:rPr>
        <w:t xml:space="preserve">can </w:t>
      </w:r>
      <w:r w:rsidR="000B658E">
        <w:rPr>
          <w:rFonts w:ascii="Calibri" w:hAnsi="Calibri"/>
          <w:lang w:val="en-GB"/>
        </w:rPr>
        <w:t xml:space="preserve">be </w:t>
      </w:r>
      <w:r w:rsidR="002F09B3" w:rsidRPr="002F09B3">
        <w:rPr>
          <w:rFonts w:ascii="Calibri" w:hAnsi="Calibri"/>
          <w:lang w:val="en-GB"/>
        </w:rPr>
        <w:t>determined by fac</w:t>
      </w:r>
      <w:r w:rsidR="002F09B3">
        <w:rPr>
          <w:rFonts w:ascii="Calibri" w:hAnsi="Calibri"/>
          <w:lang w:val="en-GB"/>
        </w:rPr>
        <w:t xml:space="preserve">tors like employment and income, it can be predicted that higher levels of unemployment and barriers to transition into the labour market </w:t>
      </w:r>
      <w:r w:rsidR="002F09B3" w:rsidRPr="002F09B3">
        <w:rPr>
          <w:rFonts w:ascii="Calibri" w:hAnsi="Calibri"/>
          <w:lang w:val="en-GB"/>
        </w:rPr>
        <w:t xml:space="preserve">will </w:t>
      </w:r>
      <w:r w:rsidR="002F09B3">
        <w:rPr>
          <w:rFonts w:ascii="Calibri" w:hAnsi="Calibri"/>
          <w:lang w:val="en-GB"/>
        </w:rPr>
        <w:t>have</w:t>
      </w:r>
      <w:r w:rsidR="002F09B3" w:rsidRPr="002F09B3">
        <w:rPr>
          <w:rFonts w:ascii="Calibri" w:hAnsi="Calibri"/>
          <w:lang w:val="en-GB"/>
        </w:rPr>
        <w:t xml:space="preserve"> long-term </w:t>
      </w:r>
      <w:r w:rsidR="000B658E">
        <w:rPr>
          <w:rFonts w:ascii="Calibri" w:hAnsi="Calibri"/>
          <w:lang w:val="en-GB"/>
        </w:rPr>
        <w:t>effects on the well-being of a whole generation</w:t>
      </w:r>
      <w:r w:rsidR="002F09B3" w:rsidRPr="002F09B3">
        <w:rPr>
          <w:rFonts w:ascii="Calibri" w:hAnsi="Calibri"/>
          <w:lang w:val="en-GB"/>
        </w:rPr>
        <w:t>.</w:t>
      </w:r>
      <w:r w:rsidR="002F09B3">
        <w:rPr>
          <w:rFonts w:ascii="Calibri" w:hAnsi="Calibri"/>
          <w:lang w:val="en-GB"/>
        </w:rPr>
        <w:t xml:space="preserve"> </w:t>
      </w:r>
      <w:r w:rsidR="000A7E88" w:rsidRPr="00982F04">
        <w:rPr>
          <w:rFonts w:ascii="Calibri" w:hAnsi="Calibri"/>
          <w:lang w:val="en-GB"/>
        </w:rPr>
        <w:t>For this reason, MHE believe</w:t>
      </w:r>
      <w:r w:rsidR="008261FC" w:rsidRPr="00982F04">
        <w:rPr>
          <w:rFonts w:ascii="Calibri" w:hAnsi="Calibri"/>
          <w:lang w:val="en-GB"/>
        </w:rPr>
        <w:t>s</w:t>
      </w:r>
      <w:r w:rsidR="000A7E88" w:rsidRPr="00982F04">
        <w:rPr>
          <w:rFonts w:ascii="Calibri" w:hAnsi="Calibri"/>
          <w:lang w:val="en-GB"/>
        </w:rPr>
        <w:t xml:space="preserve"> that the General Comment on Article 27 should take a proactive approach to ensure</w:t>
      </w:r>
      <w:r w:rsidR="00DF105C" w:rsidRPr="00982F04">
        <w:rPr>
          <w:rFonts w:ascii="Calibri" w:hAnsi="Calibri"/>
          <w:lang w:val="en-GB"/>
        </w:rPr>
        <w:t xml:space="preserve"> </w:t>
      </w:r>
      <w:r w:rsidR="000A7E88" w:rsidRPr="00982F04">
        <w:rPr>
          <w:rFonts w:ascii="Calibri" w:hAnsi="Calibri"/>
          <w:lang w:val="en-GB"/>
        </w:rPr>
        <w:t xml:space="preserve">that </w:t>
      </w:r>
      <w:r w:rsidR="00B039DD">
        <w:rPr>
          <w:rFonts w:ascii="Calibri" w:hAnsi="Calibri"/>
          <w:lang w:val="en-GB"/>
        </w:rPr>
        <w:t>young people with and without disabilities are</w:t>
      </w:r>
      <w:r w:rsidR="000A7E88" w:rsidRPr="00982F04">
        <w:rPr>
          <w:rFonts w:ascii="Calibri" w:hAnsi="Calibri"/>
          <w:lang w:val="en-GB"/>
        </w:rPr>
        <w:t xml:space="preserve"> not left behind</w:t>
      </w:r>
      <w:r w:rsidR="00B039DD">
        <w:rPr>
          <w:rFonts w:ascii="Calibri" w:hAnsi="Calibri"/>
          <w:lang w:val="en-GB"/>
        </w:rPr>
        <w:t xml:space="preserve"> and that receive</w:t>
      </w:r>
      <w:r w:rsidR="008261FC" w:rsidRPr="00982F04">
        <w:rPr>
          <w:rFonts w:ascii="Calibri" w:hAnsi="Calibri"/>
          <w:lang w:val="en-GB"/>
        </w:rPr>
        <w:t xml:space="preserve"> tailored support and mentoring to </w:t>
      </w:r>
      <w:r w:rsidR="00F10666">
        <w:rPr>
          <w:rFonts w:ascii="Calibri" w:hAnsi="Calibri"/>
          <w:lang w:val="en-GB"/>
        </w:rPr>
        <w:t>face the current adversities when</w:t>
      </w:r>
      <w:r w:rsidR="00E56AAE" w:rsidRPr="00982F04">
        <w:rPr>
          <w:rFonts w:ascii="Calibri" w:hAnsi="Calibri"/>
          <w:lang w:val="en-GB"/>
        </w:rPr>
        <w:t xml:space="preserve"> enter</w:t>
      </w:r>
      <w:r w:rsidR="00F10666">
        <w:rPr>
          <w:rFonts w:ascii="Calibri" w:hAnsi="Calibri"/>
          <w:lang w:val="en-GB"/>
        </w:rPr>
        <w:t>ing</w:t>
      </w:r>
      <w:r w:rsidR="00542086" w:rsidRPr="00982F04">
        <w:rPr>
          <w:rFonts w:ascii="Calibri" w:hAnsi="Calibri"/>
          <w:lang w:val="en-GB"/>
        </w:rPr>
        <w:t xml:space="preserve"> </w:t>
      </w:r>
      <w:r w:rsidR="00B039DD">
        <w:rPr>
          <w:rFonts w:ascii="Calibri" w:hAnsi="Calibri"/>
          <w:lang w:val="en-GB"/>
        </w:rPr>
        <w:t>and remain</w:t>
      </w:r>
      <w:r w:rsidR="00F10666">
        <w:rPr>
          <w:rFonts w:ascii="Calibri" w:hAnsi="Calibri"/>
          <w:lang w:val="en-GB"/>
        </w:rPr>
        <w:t>ing</w:t>
      </w:r>
      <w:r w:rsidR="00B039DD">
        <w:rPr>
          <w:rFonts w:ascii="Calibri" w:hAnsi="Calibri"/>
          <w:lang w:val="en-GB"/>
        </w:rPr>
        <w:t xml:space="preserve"> in </w:t>
      </w:r>
      <w:r w:rsidR="00542086" w:rsidRPr="00982F04">
        <w:rPr>
          <w:rFonts w:ascii="Calibri" w:hAnsi="Calibri"/>
          <w:lang w:val="en-GB"/>
        </w:rPr>
        <w:t>the labour market. We cannot afford to wait for the pandemic to pass or for young people to develop severe psychosocial impairments to receive the support that they need.</w:t>
      </w:r>
    </w:p>
    <w:p w14:paraId="172B16DC" w14:textId="77777777" w:rsidR="00246205" w:rsidRPr="00982F04" w:rsidRDefault="00246205" w:rsidP="00EE74A6">
      <w:pPr>
        <w:spacing w:line="276" w:lineRule="auto"/>
        <w:jc w:val="both"/>
        <w:rPr>
          <w:rFonts w:ascii="Calibri" w:hAnsi="Calibri"/>
          <w:lang w:val="en-GB"/>
        </w:rPr>
      </w:pPr>
    </w:p>
    <w:p w14:paraId="5DA60704" w14:textId="77777777" w:rsidR="00ED19A7" w:rsidRPr="00982F04" w:rsidRDefault="00ED19A7" w:rsidP="00EE74A6">
      <w:pPr>
        <w:spacing w:line="276" w:lineRule="auto"/>
        <w:jc w:val="both"/>
        <w:rPr>
          <w:rFonts w:ascii="Calibri" w:hAnsi="Calibri"/>
          <w:lang w:val="en-GB"/>
        </w:rPr>
      </w:pPr>
    </w:p>
    <w:p w14:paraId="6B18BE73" w14:textId="0DA61750" w:rsidR="00246205" w:rsidRPr="00982F04" w:rsidRDefault="00246205" w:rsidP="00EE74A6">
      <w:pPr>
        <w:spacing w:line="276" w:lineRule="auto"/>
        <w:jc w:val="both"/>
        <w:rPr>
          <w:rFonts w:ascii="Calibri" w:hAnsi="Calibri"/>
          <w:i/>
          <w:u w:val="single"/>
          <w:lang w:val="en-GB"/>
        </w:rPr>
      </w:pPr>
      <w:r w:rsidRPr="00982F04">
        <w:rPr>
          <w:rFonts w:ascii="Calibri" w:hAnsi="Calibri"/>
          <w:i/>
          <w:u w:val="single"/>
          <w:lang w:val="en-GB"/>
        </w:rPr>
        <w:t>Support to Work and Employment for Persons with Psychosocial Disabilities</w:t>
      </w:r>
    </w:p>
    <w:p w14:paraId="2F4F3B63" w14:textId="77777777" w:rsidR="00246205" w:rsidRPr="00982F04" w:rsidRDefault="00246205" w:rsidP="00EE74A6">
      <w:pPr>
        <w:spacing w:line="276" w:lineRule="auto"/>
        <w:jc w:val="both"/>
        <w:rPr>
          <w:rFonts w:ascii="Calibri" w:hAnsi="Calibri"/>
          <w:lang w:val="en-GB"/>
        </w:rPr>
      </w:pPr>
    </w:p>
    <w:p w14:paraId="113D8804" w14:textId="5CB7D8DA" w:rsidR="00542086" w:rsidRPr="00982F04" w:rsidRDefault="00D77C1A" w:rsidP="00EE74A6">
      <w:pPr>
        <w:spacing w:line="276" w:lineRule="auto"/>
        <w:jc w:val="both"/>
        <w:rPr>
          <w:rFonts w:ascii="Calibri" w:hAnsi="Calibri"/>
          <w:lang w:val="en-GB"/>
        </w:rPr>
      </w:pPr>
      <w:r w:rsidRPr="00982F04">
        <w:rPr>
          <w:rFonts w:ascii="Calibri" w:hAnsi="Calibri"/>
          <w:lang w:val="en-GB"/>
        </w:rPr>
        <w:lastRenderedPageBreak/>
        <w:t xml:space="preserve">There has been an evolution in the types of supported employment for people with psychosocial disabilities in Europe. In the past sheltered workshops were the norm and these settings helped many to earn experience as well as a living. However, sheltered work is often segregated and provides poor quality and repetitive tasks, which is not in line with </w:t>
      </w:r>
      <w:r w:rsidR="0014720F" w:rsidRPr="00982F04">
        <w:rPr>
          <w:rFonts w:ascii="Calibri" w:hAnsi="Calibri"/>
          <w:lang w:val="en-GB"/>
        </w:rPr>
        <w:t>the UN CRPD</w:t>
      </w:r>
      <w:r w:rsidRPr="00982F04">
        <w:rPr>
          <w:rFonts w:ascii="Calibri" w:hAnsi="Calibri"/>
          <w:lang w:val="en-GB"/>
        </w:rPr>
        <w:t xml:space="preserve"> as it does not aim to ensure access to inclusive employment in the community.</w:t>
      </w:r>
      <w:r w:rsidR="0014720F" w:rsidRPr="00982F04">
        <w:rPr>
          <w:rFonts w:ascii="Calibri" w:hAnsi="Calibri"/>
          <w:lang w:val="en-GB"/>
        </w:rPr>
        <w:t xml:space="preserve"> The interpretation of Article 27 should therefore also include the importance of transitioning away from </w:t>
      </w:r>
      <w:r w:rsidRPr="00982F04">
        <w:rPr>
          <w:rFonts w:ascii="Calibri" w:hAnsi="Calibri"/>
          <w:lang w:val="en-GB"/>
        </w:rPr>
        <w:t>sheltered work towards inclusive work in the open labour market</w:t>
      </w:r>
      <w:r w:rsidR="0014720F" w:rsidRPr="00982F04">
        <w:rPr>
          <w:rFonts w:ascii="Calibri" w:hAnsi="Calibri"/>
          <w:lang w:val="en-GB"/>
        </w:rPr>
        <w:t>.</w:t>
      </w:r>
    </w:p>
    <w:p w14:paraId="16C34842" w14:textId="77777777" w:rsidR="0014720F" w:rsidRPr="00982F04" w:rsidRDefault="0014720F" w:rsidP="00EE74A6">
      <w:pPr>
        <w:spacing w:line="276" w:lineRule="auto"/>
        <w:jc w:val="both"/>
        <w:rPr>
          <w:rFonts w:ascii="Calibri" w:hAnsi="Calibri"/>
          <w:lang w:val="en-GB"/>
        </w:rPr>
      </w:pPr>
    </w:p>
    <w:p w14:paraId="1D89C14A" w14:textId="5104525F" w:rsidR="00982F04" w:rsidRPr="00982F04" w:rsidRDefault="003E08EF" w:rsidP="00982F04">
      <w:pPr>
        <w:spacing w:line="276" w:lineRule="auto"/>
        <w:jc w:val="both"/>
        <w:rPr>
          <w:rFonts w:ascii="Calibri" w:hAnsi="Calibri"/>
          <w:lang w:val="en-GB"/>
        </w:rPr>
      </w:pPr>
      <w:r w:rsidRPr="00982F04">
        <w:rPr>
          <w:rFonts w:ascii="Calibri" w:hAnsi="Calibri"/>
          <w:lang w:val="en-GB"/>
        </w:rPr>
        <w:t>While vocational training and transitional employment are sometimes seen as potential means to support an individual to enter the labour market,</w:t>
      </w:r>
      <w:r w:rsidR="00777F49" w:rsidRPr="00982F04">
        <w:rPr>
          <w:rStyle w:val="EndnoteReference"/>
          <w:rFonts w:ascii="Calibri" w:hAnsi="Calibri"/>
          <w:lang w:val="en-GB"/>
        </w:rPr>
        <w:endnoteReference w:id="3"/>
      </w:r>
      <w:r w:rsidR="00777F49" w:rsidRPr="00982F04">
        <w:rPr>
          <w:rFonts w:ascii="Calibri" w:hAnsi="Calibri"/>
          <w:lang w:val="en-GB"/>
        </w:rPr>
        <w:t xml:space="preserve"> </w:t>
      </w:r>
      <w:r w:rsidRPr="00982F04">
        <w:rPr>
          <w:rFonts w:ascii="Calibri" w:hAnsi="Calibri"/>
          <w:lang w:val="en-GB"/>
        </w:rPr>
        <w:t>the most efficient and impactful approach to meaningfully support a person with psychosocial disabilities to enter and remain in the labour market is the “place and train” model or Individual Placement and Support (IPS).</w:t>
      </w:r>
      <w:r w:rsidR="00982F04" w:rsidRPr="00982F04">
        <w:rPr>
          <w:rFonts w:ascii="Calibri" w:hAnsi="Calibri"/>
          <w:lang w:val="en-GB"/>
        </w:rPr>
        <w:t xml:space="preserve"> This method works by placing someone in employment and then supporting and training them in an inclusive work environment. For people with psychosocial disabilities wishing to enter or return to the open labour market, this type of method has shown the best results in getting people into employment as well as for the duration of employment and levels of pay.</w:t>
      </w:r>
      <w:r w:rsidR="009F28D1">
        <w:rPr>
          <w:rStyle w:val="EndnoteReference"/>
          <w:rFonts w:ascii="Calibri" w:hAnsi="Calibri"/>
          <w:lang w:val="en-GB"/>
        </w:rPr>
        <w:endnoteReference w:id="4"/>
      </w:r>
      <w:r w:rsidR="00982F04" w:rsidRPr="00982F04">
        <w:rPr>
          <w:rFonts w:ascii="Calibri" w:hAnsi="Calibri"/>
          <w:lang w:val="en-GB"/>
        </w:rPr>
        <w:t xml:space="preserve"> It has also been shown not to increase readmissions to hospital.</w:t>
      </w:r>
      <w:r w:rsidR="000D6CBE">
        <w:rPr>
          <w:rStyle w:val="EndnoteReference"/>
          <w:rFonts w:ascii="Calibri" w:hAnsi="Calibri"/>
          <w:lang w:val="en-GB"/>
        </w:rPr>
        <w:endnoteReference w:id="5"/>
      </w:r>
    </w:p>
    <w:p w14:paraId="14070AF9" w14:textId="706B432F" w:rsidR="0014720F" w:rsidRPr="00982F04" w:rsidRDefault="0014720F" w:rsidP="00EE74A6">
      <w:pPr>
        <w:spacing w:line="276" w:lineRule="auto"/>
        <w:jc w:val="both"/>
        <w:rPr>
          <w:rFonts w:ascii="Calibri" w:hAnsi="Calibri"/>
          <w:lang w:val="en-GB"/>
        </w:rPr>
      </w:pPr>
    </w:p>
    <w:p w14:paraId="6D3CBBE2" w14:textId="4A1D87E6" w:rsidR="0014720F" w:rsidRPr="00982F04" w:rsidRDefault="00257535" w:rsidP="00EE74A6">
      <w:pPr>
        <w:spacing w:line="276" w:lineRule="auto"/>
        <w:jc w:val="both"/>
        <w:rPr>
          <w:rFonts w:ascii="Calibri" w:hAnsi="Calibri"/>
          <w:lang w:val="en-GB"/>
        </w:rPr>
      </w:pPr>
      <w:r>
        <w:rPr>
          <w:rFonts w:ascii="Calibri" w:hAnsi="Calibri"/>
          <w:lang w:val="en-GB"/>
        </w:rPr>
        <w:t xml:space="preserve">For more information on IPS and other good practices to support people with psychosocial disabilities in entering and remaining into the labour market, see </w:t>
      </w:r>
      <w:hyperlink r:id="rId12" w:history="1">
        <w:r w:rsidRPr="00257535">
          <w:rPr>
            <w:rStyle w:val="Hyperlink"/>
            <w:rFonts w:ascii="Calibri" w:hAnsi="Calibri"/>
            <w:lang w:val="en-GB"/>
          </w:rPr>
          <w:t>MHE’s Toolkit on Article 27 of the UN CRPD</w:t>
        </w:r>
      </w:hyperlink>
      <w:r>
        <w:rPr>
          <w:rFonts w:ascii="Calibri" w:hAnsi="Calibri"/>
          <w:lang w:val="en-GB"/>
        </w:rPr>
        <w:t>.</w:t>
      </w:r>
    </w:p>
    <w:p w14:paraId="4E00CD9A" w14:textId="77777777" w:rsidR="0014720F" w:rsidRDefault="0014720F" w:rsidP="00EE74A6">
      <w:pPr>
        <w:spacing w:line="276" w:lineRule="auto"/>
        <w:jc w:val="both"/>
        <w:rPr>
          <w:rFonts w:ascii="Calibri" w:hAnsi="Calibri"/>
          <w:lang w:val="en-GB"/>
        </w:rPr>
      </w:pPr>
    </w:p>
    <w:p w14:paraId="3A07663B" w14:textId="77777777" w:rsidR="00C332F2" w:rsidRDefault="00C332F2" w:rsidP="00EE74A6">
      <w:pPr>
        <w:spacing w:line="276" w:lineRule="auto"/>
        <w:jc w:val="both"/>
        <w:rPr>
          <w:rFonts w:ascii="Calibri" w:hAnsi="Calibri"/>
          <w:lang w:val="en-GB"/>
        </w:rPr>
      </w:pPr>
    </w:p>
    <w:p w14:paraId="3E134D60" w14:textId="5FF648E3" w:rsidR="00F3524B" w:rsidRPr="0049439D" w:rsidRDefault="0049439D" w:rsidP="00EE74A6">
      <w:pPr>
        <w:spacing w:line="276" w:lineRule="auto"/>
        <w:jc w:val="both"/>
        <w:rPr>
          <w:rFonts w:ascii="Calibri" w:hAnsi="Calibri"/>
          <w:i/>
          <w:u w:val="single"/>
          <w:lang w:val="en-GB"/>
        </w:rPr>
      </w:pPr>
      <w:r w:rsidRPr="0049439D">
        <w:rPr>
          <w:rFonts w:ascii="Calibri" w:hAnsi="Calibri"/>
          <w:i/>
          <w:u w:val="single"/>
          <w:lang w:val="en-GB"/>
        </w:rPr>
        <w:t>MHE’s recommendations on the General Comment on Article 27</w:t>
      </w:r>
    </w:p>
    <w:p w14:paraId="00BFFA69" w14:textId="77777777" w:rsidR="0049439D" w:rsidRDefault="0049439D" w:rsidP="00EE74A6">
      <w:pPr>
        <w:spacing w:line="276" w:lineRule="auto"/>
        <w:jc w:val="both"/>
        <w:rPr>
          <w:rFonts w:ascii="Calibri" w:hAnsi="Calibri"/>
          <w:lang w:val="en-GB"/>
        </w:rPr>
      </w:pPr>
    </w:p>
    <w:p w14:paraId="48E9AC2A" w14:textId="089A6408" w:rsidR="00C332F2" w:rsidRDefault="00F37DB3" w:rsidP="00EE74A6">
      <w:pPr>
        <w:spacing w:line="276" w:lineRule="auto"/>
        <w:jc w:val="both"/>
        <w:rPr>
          <w:rFonts w:ascii="Calibri" w:hAnsi="Calibri"/>
          <w:lang w:val="en-GB"/>
        </w:rPr>
      </w:pPr>
      <w:r>
        <w:rPr>
          <w:rFonts w:ascii="Calibri" w:hAnsi="Calibri"/>
          <w:lang w:val="en-GB"/>
        </w:rPr>
        <w:t>Taking into account the barriers and solutions on</w:t>
      </w:r>
      <w:r w:rsidR="00C7444F">
        <w:rPr>
          <w:rFonts w:ascii="Calibri" w:hAnsi="Calibri"/>
          <w:lang w:val="en-GB"/>
        </w:rPr>
        <w:t xml:space="preserve"> the right to</w:t>
      </w:r>
      <w:r>
        <w:rPr>
          <w:rFonts w:ascii="Calibri" w:hAnsi="Calibri"/>
          <w:lang w:val="en-GB"/>
        </w:rPr>
        <w:t xml:space="preserve"> work and employment for persons with psychosocial disabilities, the General Comment on Article 27 should:</w:t>
      </w:r>
    </w:p>
    <w:p w14:paraId="34F4F56E" w14:textId="22082778" w:rsidR="00083F25" w:rsidRDefault="0071461B" w:rsidP="00083F25">
      <w:pPr>
        <w:pStyle w:val="ListParagraph"/>
        <w:numPr>
          <w:ilvl w:val="0"/>
          <w:numId w:val="2"/>
        </w:numPr>
        <w:spacing w:line="276" w:lineRule="auto"/>
        <w:jc w:val="both"/>
        <w:rPr>
          <w:rFonts w:ascii="Calibri" w:hAnsi="Calibri"/>
          <w:lang w:val="en-GB"/>
        </w:rPr>
      </w:pPr>
      <w:r>
        <w:rPr>
          <w:rFonts w:ascii="Calibri" w:hAnsi="Calibri"/>
          <w:lang w:val="en-GB"/>
        </w:rPr>
        <w:t>Include</w:t>
      </w:r>
      <w:r w:rsidR="004B4B87">
        <w:rPr>
          <w:rFonts w:ascii="Calibri" w:hAnsi="Calibri"/>
          <w:lang w:val="en-GB"/>
        </w:rPr>
        <w:t xml:space="preserve">, under the obligations of </w:t>
      </w:r>
      <w:r w:rsidR="00C67B98">
        <w:rPr>
          <w:rFonts w:ascii="Calibri" w:hAnsi="Calibri"/>
          <w:lang w:val="en-GB"/>
        </w:rPr>
        <w:t>State</w:t>
      </w:r>
      <w:r w:rsidR="007F19E3">
        <w:rPr>
          <w:rFonts w:ascii="Calibri" w:hAnsi="Calibri"/>
          <w:lang w:val="en-GB"/>
        </w:rPr>
        <w:t>s</w:t>
      </w:r>
      <w:r w:rsidR="00BD250D">
        <w:rPr>
          <w:rFonts w:ascii="Calibri" w:hAnsi="Calibri"/>
          <w:lang w:val="en-GB"/>
        </w:rPr>
        <w:t xml:space="preserve"> Parties, </w:t>
      </w:r>
      <w:r w:rsidR="00C7444F">
        <w:rPr>
          <w:rFonts w:ascii="Calibri" w:hAnsi="Calibri"/>
          <w:lang w:val="en-GB"/>
        </w:rPr>
        <w:t>the implementation of</w:t>
      </w:r>
      <w:r>
        <w:rPr>
          <w:rFonts w:ascii="Calibri" w:hAnsi="Calibri"/>
          <w:lang w:val="en-GB"/>
        </w:rPr>
        <w:t xml:space="preserve"> specific measures to address the barriers faced by people wit</w:t>
      </w:r>
      <w:r w:rsidR="001B396C">
        <w:rPr>
          <w:rFonts w:ascii="Calibri" w:hAnsi="Calibri"/>
          <w:lang w:val="en-GB"/>
        </w:rPr>
        <w:t xml:space="preserve">h psychosocial disabilities, </w:t>
      </w:r>
      <w:r w:rsidR="00F96B49">
        <w:rPr>
          <w:rFonts w:ascii="Calibri" w:hAnsi="Calibri"/>
          <w:lang w:val="en-GB"/>
        </w:rPr>
        <w:t>in particular</w:t>
      </w:r>
      <w:r w:rsidR="001B396C">
        <w:rPr>
          <w:rFonts w:ascii="Calibri" w:hAnsi="Calibri"/>
          <w:lang w:val="en-GB"/>
        </w:rPr>
        <w:t xml:space="preserve"> stigma and misconception. These </w:t>
      </w:r>
      <w:r w:rsidR="007B08E9">
        <w:rPr>
          <w:rFonts w:ascii="Calibri" w:hAnsi="Calibri"/>
          <w:lang w:val="en-GB"/>
        </w:rPr>
        <w:t xml:space="preserve">measures may include – but are not limited to – </w:t>
      </w:r>
      <w:r w:rsidR="00083F25" w:rsidRPr="00083F25">
        <w:rPr>
          <w:rFonts w:ascii="Calibri" w:hAnsi="Calibri"/>
          <w:lang w:val="en-GB"/>
        </w:rPr>
        <w:t xml:space="preserve">programmes tackling </w:t>
      </w:r>
      <w:r w:rsidR="0082656F">
        <w:rPr>
          <w:rFonts w:ascii="Calibri" w:hAnsi="Calibri"/>
          <w:lang w:val="en-GB"/>
        </w:rPr>
        <w:t xml:space="preserve">mental health </w:t>
      </w:r>
      <w:r w:rsidR="00083F25" w:rsidRPr="00083F25">
        <w:rPr>
          <w:rFonts w:ascii="Calibri" w:hAnsi="Calibri"/>
          <w:lang w:val="en-GB"/>
        </w:rPr>
        <w:t>stigmatisation and awareness-raising campaigns</w:t>
      </w:r>
      <w:r w:rsidR="007B08E9">
        <w:rPr>
          <w:rFonts w:ascii="Calibri" w:hAnsi="Calibri"/>
          <w:lang w:val="en-GB"/>
        </w:rPr>
        <w:t>, as well as programmes and policies to support people with disabilities, including persons with psychosocial disabilities, to enter and remain in the labour market;</w:t>
      </w:r>
    </w:p>
    <w:p w14:paraId="6EFF0A6B" w14:textId="493F8CF4" w:rsidR="00FC2DAD" w:rsidRDefault="00FC2DAD" w:rsidP="00083F25">
      <w:pPr>
        <w:pStyle w:val="ListParagraph"/>
        <w:numPr>
          <w:ilvl w:val="0"/>
          <w:numId w:val="2"/>
        </w:numPr>
        <w:spacing w:line="276" w:lineRule="auto"/>
        <w:jc w:val="both"/>
        <w:rPr>
          <w:rFonts w:ascii="Calibri" w:hAnsi="Calibri"/>
          <w:lang w:val="en-GB"/>
        </w:rPr>
      </w:pPr>
      <w:r>
        <w:rPr>
          <w:rFonts w:ascii="Calibri" w:hAnsi="Calibri"/>
          <w:lang w:val="en-GB"/>
        </w:rPr>
        <w:t>Remind States Parties that the recognition and assessment of disability, in particular psychosocial disability, must move away from a bio-medical approach and have human rights compliant criteria;</w:t>
      </w:r>
    </w:p>
    <w:p w14:paraId="57BB97B7" w14:textId="275FF708" w:rsidR="00B21784" w:rsidRPr="00083F25" w:rsidRDefault="00B21784" w:rsidP="00083F25">
      <w:pPr>
        <w:pStyle w:val="ListParagraph"/>
        <w:numPr>
          <w:ilvl w:val="0"/>
          <w:numId w:val="2"/>
        </w:numPr>
        <w:spacing w:line="276" w:lineRule="auto"/>
        <w:jc w:val="both"/>
        <w:rPr>
          <w:rFonts w:ascii="Calibri" w:hAnsi="Calibri"/>
          <w:lang w:val="en-GB"/>
        </w:rPr>
      </w:pPr>
      <w:r>
        <w:rPr>
          <w:rFonts w:ascii="Calibri" w:hAnsi="Calibri"/>
          <w:lang w:val="en-GB"/>
        </w:rPr>
        <w:lastRenderedPageBreak/>
        <w:t xml:space="preserve">Stress that the right to work and employment cannot be fully achieved without the adequate implementation of Article 12 and reaffirm States Parties’ obligations in </w:t>
      </w:r>
      <w:r w:rsidR="0091495C">
        <w:rPr>
          <w:rFonts w:ascii="Calibri" w:hAnsi="Calibri"/>
          <w:lang w:val="en-GB"/>
        </w:rPr>
        <w:t xml:space="preserve">“refrain[ing] from any action that deprives persons with disabilities </w:t>
      </w:r>
      <w:r w:rsidR="00B976E1">
        <w:rPr>
          <w:rFonts w:ascii="Calibri" w:hAnsi="Calibri"/>
          <w:lang w:val="en-GB"/>
        </w:rPr>
        <w:t xml:space="preserve">of </w:t>
      </w:r>
      <w:r w:rsidR="0091495C">
        <w:rPr>
          <w:rFonts w:ascii="Calibri" w:hAnsi="Calibri"/>
          <w:lang w:val="en-GB"/>
        </w:rPr>
        <w:t xml:space="preserve">the right to equal </w:t>
      </w:r>
      <w:r w:rsidR="0091495C" w:rsidRPr="0091495C">
        <w:rPr>
          <w:rFonts w:ascii="Calibri" w:hAnsi="Calibri"/>
          <w:lang w:val="en-GB"/>
        </w:rPr>
        <w:t>recognition before the law</w:t>
      </w:r>
      <w:r w:rsidR="0091495C">
        <w:rPr>
          <w:rFonts w:ascii="Calibri" w:hAnsi="Calibri"/>
          <w:lang w:val="en-GB"/>
        </w:rPr>
        <w:t>”</w:t>
      </w:r>
      <w:r w:rsidR="0091495C">
        <w:rPr>
          <w:rStyle w:val="EndnoteReference"/>
          <w:rFonts w:ascii="Calibri" w:hAnsi="Calibri"/>
          <w:lang w:val="en-GB"/>
        </w:rPr>
        <w:endnoteReference w:id="6"/>
      </w:r>
      <w:r w:rsidR="00A02D5D">
        <w:rPr>
          <w:rFonts w:ascii="Calibri" w:hAnsi="Calibri"/>
          <w:lang w:val="en-GB"/>
        </w:rPr>
        <w:t>, including by replacing</w:t>
      </w:r>
      <w:r w:rsidR="00A02D5D" w:rsidRPr="00A02D5D">
        <w:rPr>
          <w:rFonts w:ascii="Calibri" w:hAnsi="Calibri"/>
          <w:lang w:val="en-GB"/>
        </w:rPr>
        <w:t xml:space="preserve"> </w:t>
      </w:r>
      <w:r w:rsidR="00A02D5D">
        <w:rPr>
          <w:rFonts w:ascii="Calibri" w:hAnsi="Calibri"/>
          <w:lang w:val="en-GB"/>
        </w:rPr>
        <w:t>substitute</w:t>
      </w:r>
      <w:r w:rsidR="00A02D5D" w:rsidRPr="00A02D5D">
        <w:rPr>
          <w:rFonts w:ascii="Calibri" w:hAnsi="Calibri"/>
          <w:lang w:val="en-GB"/>
        </w:rPr>
        <w:t xml:space="preserve"> decision-making </w:t>
      </w:r>
      <w:r w:rsidR="00A02D5D">
        <w:rPr>
          <w:rFonts w:ascii="Calibri" w:hAnsi="Calibri"/>
          <w:lang w:val="en-GB"/>
        </w:rPr>
        <w:t>regimes with</w:t>
      </w:r>
      <w:r w:rsidR="00A02D5D" w:rsidRPr="00A02D5D">
        <w:rPr>
          <w:rFonts w:ascii="Calibri" w:hAnsi="Calibri"/>
          <w:lang w:val="en-GB"/>
        </w:rPr>
        <w:t xml:space="preserve"> supported decision-making</w:t>
      </w:r>
      <w:r w:rsidR="007E2F09">
        <w:rPr>
          <w:rFonts w:ascii="Calibri" w:hAnsi="Calibri"/>
          <w:lang w:val="en-GB"/>
        </w:rPr>
        <w:t>;</w:t>
      </w:r>
    </w:p>
    <w:p w14:paraId="0B6AEDCE" w14:textId="4CFEFDF4" w:rsidR="00FC2DAD" w:rsidRPr="00F4625A" w:rsidRDefault="00FC2DAD" w:rsidP="00FC2DAD">
      <w:pPr>
        <w:pStyle w:val="ListParagraph"/>
        <w:numPr>
          <w:ilvl w:val="0"/>
          <w:numId w:val="2"/>
        </w:numPr>
        <w:spacing w:line="276" w:lineRule="auto"/>
        <w:jc w:val="both"/>
        <w:rPr>
          <w:rFonts w:ascii="Calibri" w:hAnsi="Calibri"/>
          <w:lang w:val="en-GB"/>
        </w:rPr>
      </w:pPr>
      <w:r>
        <w:rPr>
          <w:rFonts w:ascii="Calibri" w:hAnsi="Calibri"/>
          <w:lang w:val="en-GB"/>
        </w:rPr>
        <w:t>Take a proactive approach in the guideline provided to ensure that the interpretation of Article 27 includes measures to prevent the raise of mental impairments</w:t>
      </w:r>
      <w:r w:rsidR="00BD2DE6">
        <w:rPr>
          <w:rFonts w:ascii="Calibri" w:hAnsi="Calibri"/>
          <w:lang w:val="en-GB"/>
        </w:rPr>
        <w:t xml:space="preserve"> related to work and employment</w:t>
      </w:r>
      <w:r>
        <w:rPr>
          <w:rFonts w:ascii="Calibri" w:hAnsi="Calibri"/>
          <w:lang w:val="en-GB"/>
        </w:rPr>
        <w:t xml:space="preserve">. This is particularly urgent at the moment given the negative impact of the coronavirus pandemic on individuals, specifically </w:t>
      </w:r>
      <w:r w:rsidR="00C676C6">
        <w:rPr>
          <w:rFonts w:ascii="Calibri" w:hAnsi="Calibri"/>
          <w:lang w:val="en-GB"/>
        </w:rPr>
        <w:t>on</w:t>
      </w:r>
      <w:r>
        <w:rPr>
          <w:rFonts w:ascii="Calibri" w:hAnsi="Calibri"/>
          <w:lang w:val="en-GB"/>
        </w:rPr>
        <w:t xml:space="preserve"> young people;</w:t>
      </w:r>
    </w:p>
    <w:p w14:paraId="47F8EC4E" w14:textId="18CBA921" w:rsidR="0071461B" w:rsidRDefault="008D5A98" w:rsidP="00083F25">
      <w:pPr>
        <w:pStyle w:val="ListParagraph"/>
        <w:numPr>
          <w:ilvl w:val="0"/>
          <w:numId w:val="2"/>
        </w:numPr>
        <w:spacing w:line="276" w:lineRule="auto"/>
        <w:jc w:val="both"/>
        <w:rPr>
          <w:rFonts w:ascii="Calibri" w:hAnsi="Calibri"/>
          <w:lang w:val="en-GB"/>
        </w:rPr>
      </w:pPr>
      <w:r>
        <w:rPr>
          <w:rFonts w:ascii="Calibri" w:hAnsi="Calibri"/>
          <w:lang w:val="en-GB"/>
        </w:rPr>
        <w:t xml:space="preserve">Specify that, among the various types of supported employment, the place and train model or IPS is the one showing </w:t>
      </w:r>
      <w:r w:rsidR="00C7444F">
        <w:rPr>
          <w:rFonts w:ascii="Calibri" w:hAnsi="Calibri"/>
          <w:lang w:val="en-GB"/>
        </w:rPr>
        <w:t>the most</w:t>
      </w:r>
      <w:r>
        <w:rPr>
          <w:rFonts w:ascii="Calibri" w:hAnsi="Calibri"/>
          <w:lang w:val="en-GB"/>
        </w:rPr>
        <w:t xml:space="preserve"> benefits</w:t>
      </w:r>
      <w:r w:rsidR="00F96B49">
        <w:rPr>
          <w:rFonts w:ascii="Calibri" w:hAnsi="Calibri"/>
          <w:lang w:val="en-GB"/>
        </w:rPr>
        <w:t xml:space="preserve"> and results. States Parties should be encouraged to implement this </w:t>
      </w:r>
      <w:r w:rsidR="004149DC">
        <w:rPr>
          <w:rFonts w:ascii="Calibri" w:hAnsi="Calibri"/>
          <w:lang w:val="en-GB"/>
        </w:rPr>
        <w:t>approach</w:t>
      </w:r>
      <w:r w:rsidR="00F96B49">
        <w:rPr>
          <w:rFonts w:ascii="Calibri" w:hAnsi="Calibri"/>
          <w:lang w:val="en-GB"/>
        </w:rPr>
        <w:t xml:space="preserve"> and provide the necessar</w:t>
      </w:r>
      <w:r w:rsidR="00FC2DAD">
        <w:rPr>
          <w:rFonts w:ascii="Calibri" w:hAnsi="Calibri"/>
          <w:lang w:val="en-GB"/>
        </w:rPr>
        <w:t>y resources for its application</w:t>
      </w:r>
      <w:r w:rsidR="003770B8">
        <w:rPr>
          <w:rFonts w:ascii="Calibri" w:hAnsi="Calibri"/>
          <w:lang w:val="en-GB"/>
        </w:rPr>
        <w:t>.</w:t>
      </w:r>
    </w:p>
    <w:p w14:paraId="477EB314" w14:textId="77777777" w:rsidR="00C332F2" w:rsidRPr="00982F04" w:rsidRDefault="00C332F2" w:rsidP="00EE74A6">
      <w:pPr>
        <w:spacing w:line="276" w:lineRule="auto"/>
        <w:jc w:val="both"/>
        <w:rPr>
          <w:rFonts w:ascii="Calibri" w:hAnsi="Calibri"/>
          <w:lang w:val="en-GB"/>
        </w:rPr>
      </w:pPr>
    </w:p>
    <w:p w14:paraId="0FDC7A92" w14:textId="0F83BCF1" w:rsidR="0014720F" w:rsidRDefault="00A06165" w:rsidP="00EE74A6">
      <w:pPr>
        <w:spacing w:line="276" w:lineRule="auto"/>
        <w:jc w:val="both"/>
        <w:rPr>
          <w:rFonts w:ascii="Calibri" w:hAnsi="Calibri"/>
          <w:i/>
          <w:u w:val="single"/>
          <w:lang w:val="en-GB"/>
        </w:rPr>
      </w:pPr>
      <w:r w:rsidRPr="00813914">
        <w:rPr>
          <w:rFonts w:ascii="Calibri" w:hAnsi="Calibri"/>
          <w:i/>
          <w:u w:val="single"/>
          <w:lang w:val="en-GB"/>
        </w:rPr>
        <w:t>Additional resources</w:t>
      </w:r>
    </w:p>
    <w:p w14:paraId="540451CE" w14:textId="77777777" w:rsidR="000B73D4" w:rsidRDefault="000B73D4" w:rsidP="00EE74A6">
      <w:pPr>
        <w:spacing w:line="276" w:lineRule="auto"/>
        <w:jc w:val="both"/>
        <w:rPr>
          <w:rFonts w:ascii="Calibri" w:hAnsi="Calibri"/>
          <w:lang w:val="en-GB"/>
        </w:rPr>
      </w:pPr>
    </w:p>
    <w:p w14:paraId="54519C3E" w14:textId="5DA9BEA9" w:rsidR="009117AE" w:rsidRPr="000B73D4" w:rsidRDefault="000B73D4" w:rsidP="00EE74A6">
      <w:pPr>
        <w:spacing w:line="276" w:lineRule="auto"/>
        <w:jc w:val="both"/>
        <w:rPr>
          <w:rFonts w:ascii="Calibri" w:hAnsi="Calibri"/>
          <w:lang w:val="en-GB"/>
        </w:rPr>
      </w:pPr>
      <w:r>
        <w:rPr>
          <w:rFonts w:ascii="Calibri" w:hAnsi="Calibri"/>
          <w:lang w:val="en-GB"/>
        </w:rPr>
        <w:t>While thanking and appreciating the possibility of sending our input to feed into the general discussion on Article 27</w:t>
      </w:r>
      <w:r w:rsidR="009117AE" w:rsidRPr="000B73D4">
        <w:rPr>
          <w:rFonts w:ascii="Calibri" w:hAnsi="Calibri"/>
          <w:lang w:val="en-GB"/>
        </w:rPr>
        <w:t>, this written contribution should be considered as a summary of the extensive body of work done by MHE on the above-mentioned topics over the years. For more information, including good practices and concrete examples, please refer to the following material:</w:t>
      </w:r>
    </w:p>
    <w:p w14:paraId="42E9CE39" w14:textId="2912C9BF" w:rsidR="00A06165" w:rsidRDefault="00A06165" w:rsidP="00EE74A6">
      <w:pPr>
        <w:pStyle w:val="ListParagraph"/>
        <w:numPr>
          <w:ilvl w:val="0"/>
          <w:numId w:val="1"/>
        </w:numPr>
        <w:spacing w:line="276" w:lineRule="auto"/>
        <w:jc w:val="both"/>
        <w:rPr>
          <w:rFonts w:ascii="Calibri" w:hAnsi="Calibri"/>
          <w:lang w:val="en-GB"/>
        </w:rPr>
      </w:pPr>
      <w:r w:rsidRPr="004D62A9">
        <w:rPr>
          <w:rFonts w:ascii="Calibri" w:hAnsi="Calibri"/>
          <w:lang w:val="en-GB"/>
        </w:rPr>
        <w:t>MHE’s Toolkit on Article 27 of the UN CRPD</w:t>
      </w:r>
      <w:r w:rsidR="004D62A9">
        <w:rPr>
          <w:rFonts w:ascii="Calibri" w:hAnsi="Calibri"/>
          <w:lang w:val="en-GB"/>
        </w:rPr>
        <w:t xml:space="preserve">: </w:t>
      </w:r>
      <w:hyperlink r:id="rId13" w:history="1">
        <w:r w:rsidR="004D62A9" w:rsidRPr="000C11DB">
          <w:rPr>
            <w:rStyle w:val="Hyperlink"/>
            <w:rFonts w:ascii="Calibri" w:hAnsi="Calibri"/>
            <w:lang w:val="en-GB"/>
          </w:rPr>
          <w:t>https://www.mhe-sme.org/library/toolkit-on-article-27-of-the-uncrpd/</w:t>
        </w:r>
      </w:hyperlink>
      <w:r w:rsidR="004D62A9">
        <w:rPr>
          <w:rFonts w:ascii="Calibri" w:hAnsi="Calibri"/>
          <w:lang w:val="en-GB"/>
        </w:rPr>
        <w:t>;</w:t>
      </w:r>
    </w:p>
    <w:p w14:paraId="1856DC8D" w14:textId="1778BA93" w:rsidR="0014720F" w:rsidRDefault="00A06165" w:rsidP="00EE74A6">
      <w:pPr>
        <w:pStyle w:val="ListParagraph"/>
        <w:numPr>
          <w:ilvl w:val="0"/>
          <w:numId w:val="1"/>
        </w:numPr>
        <w:spacing w:line="276" w:lineRule="auto"/>
        <w:jc w:val="both"/>
        <w:rPr>
          <w:rFonts w:ascii="Calibri" w:hAnsi="Calibri"/>
          <w:lang w:val="en-GB"/>
        </w:rPr>
      </w:pPr>
      <w:r w:rsidRPr="004D62A9">
        <w:rPr>
          <w:rFonts w:ascii="Calibri" w:hAnsi="Calibri"/>
          <w:lang w:val="en-GB"/>
        </w:rPr>
        <w:t>MHE’s Short Guide to Personal Recovery in Mental Health</w:t>
      </w:r>
      <w:r w:rsidR="004D62A9">
        <w:rPr>
          <w:rFonts w:ascii="Calibri" w:hAnsi="Calibri"/>
          <w:lang w:val="en-GB"/>
        </w:rPr>
        <w:t xml:space="preserve">: </w:t>
      </w:r>
      <w:hyperlink r:id="rId14" w:history="1">
        <w:r w:rsidR="004D62A9" w:rsidRPr="000C11DB">
          <w:rPr>
            <w:rStyle w:val="Hyperlink"/>
            <w:rFonts w:ascii="Calibri" w:hAnsi="Calibri"/>
            <w:lang w:val="en-GB"/>
          </w:rPr>
          <w:t>https://www.mhe-sme.org/guide-to-personal-recovery/</w:t>
        </w:r>
      </w:hyperlink>
      <w:r w:rsidR="004D62A9">
        <w:rPr>
          <w:rFonts w:ascii="Calibri" w:hAnsi="Calibri"/>
          <w:lang w:val="en-GB"/>
        </w:rPr>
        <w:t>;</w:t>
      </w:r>
    </w:p>
    <w:p w14:paraId="5574A202" w14:textId="3D99E777" w:rsidR="00A06165" w:rsidRPr="004D62A9" w:rsidRDefault="00A06165" w:rsidP="004D62A9">
      <w:pPr>
        <w:pStyle w:val="ListParagraph"/>
        <w:numPr>
          <w:ilvl w:val="0"/>
          <w:numId w:val="1"/>
        </w:numPr>
        <w:spacing w:line="276" w:lineRule="auto"/>
        <w:jc w:val="both"/>
        <w:rPr>
          <w:rFonts w:ascii="Calibri" w:hAnsi="Calibri"/>
          <w:lang w:val="en-GB"/>
        </w:rPr>
      </w:pPr>
      <w:r>
        <w:rPr>
          <w:rFonts w:ascii="Calibri" w:hAnsi="Calibri"/>
          <w:lang w:val="en-GB"/>
        </w:rPr>
        <w:t>MHE’s</w:t>
      </w:r>
      <w:r w:rsidR="004D62A9">
        <w:rPr>
          <w:rFonts w:ascii="Calibri" w:hAnsi="Calibri"/>
          <w:lang w:val="en-GB"/>
        </w:rPr>
        <w:t xml:space="preserve"> report on Implementing S</w:t>
      </w:r>
      <w:r w:rsidR="004D62A9" w:rsidRPr="004D62A9">
        <w:rPr>
          <w:rFonts w:ascii="Calibri" w:hAnsi="Calibri"/>
          <w:lang w:val="en-GB"/>
        </w:rPr>
        <w:t>upported</w:t>
      </w:r>
      <w:r w:rsidR="004D62A9">
        <w:rPr>
          <w:rFonts w:ascii="Calibri" w:hAnsi="Calibri"/>
          <w:lang w:val="en-GB"/>
        </w:rPr>
        <w:t xml:space="preserve"> Decision-M</w:t>
      </w:r>
      <w:r w:rsidR="004D62A9" w:rsidRPr="004D62A9">
        <w:rPr>
          <w:rFonts w:ascii="Calibri" w:hAnsi="Calibri"/>
          <w:lang w:val="en-GB"/>
        </w:rPr>
        <w:t>aking</w:t>
      </w:r>
      <w:r w:rsidR="004D62A9">
        <w:rPr>
          <w:rFonts w:ascii="Calibri" w:hAnsi="Calibri"/>
          <w:lang w:val="en-GB"/>
        </w:rPr>
        <w:t xml:space="preserve"> (done in collaboration with the European Network of Human Rights Institutions - ENNHRI): </w:t>
      </w:r>
      <w:hyperlink r:id="rId15" w:history="1">
        <w:r w:rsidR="004D62A9" w:rsidRPr="000C11DB">
          <w:rPr>
            <w:rStyle w:val="Hyperlink"/>
            <w:rFonts w:ascii="Calibri" w:hAnsi="Calibri"/>
            <w:lang w:val="en-GB"/>
          </w:rPr>
          <w:t>https://www.mhe-sme.org/implementing-supported-decision-making/</w:t>
        </w:r>
      </w:hyperlink>
      <w:r w:rsidR="009117AE">
        <w:rPr>
          <w:rFonts w:ascii="Calibri" w:hAnsi="Calibri"/>
          <w:lang w:val="en-GB"/>
        </w:rPr>
        <w:t>.</w:t>
      </w:r>
    </w:p>
    <w:p w14:paraId="5757D8D3" w14:textId="77777777" w:rsidR="0014720F" w:rsidRPr="00982F04" w:rsidRDefault="0014720F" w:rsidP="00EE74A6">
      <w:pPr>
        <w:spacing w:line="276" w:lineRule="auto"/>
        <w:jc w:val="both"/>
        <w:rPr>
          <w:rFonts w:ascii="Calibri" w:hAnsi="Calibri"/>
          <w:lang w:val="en-GB"/>
        </w:rPr>
      </w:pPr>
    </w:p>
    <w:p w14:paraId="29C18FAA" w14:textId="25B585B0" w:rsidR="00513F6A" w:rsidRPr="00982F04" w:rsidRDefault="00513F6A" w:rsidP="00251F0C">
      <w:pPr>
        <w:spacing w:line="276" w:lineRule="auto"/>
        <w:jc w:val="both"/>
        <w:rPr>
          <w:rFonts w:ascii="Calibri" w:hAnsi="Calibri"/>
          <w:lang w:val="en-GB"/>
        </w:rPr>
      </w:pPr>
    </w:p>
    <w:sectPr w:rsidR="00513F6A" w:rsidRPr="00982F04" w:rsidSect="008C389F">
      <w:footerReference w:type="even" r:id="rId16"/>
      <w:footerReference w:type="default" r:id="rId1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3BE79" w14:textId="77777777" w:rsidR="00061D3E" w:rsidRDefault="00061D3E" w:rsidP="001816A6">
      <w:r>
        <w:separator/>
      </w:r>
    </w:p>
  </w:endnote>
  <w:endnote w:type="continuationSeparator" w:id="0">
    <w:p w14:paraId="5A54DBBC" w14:textId="77777777" w:rsidR="00061D3E" w:rsidRDefault="00061D3E" w:rsidP="001816A6">
      <w:r>
        <w:continuationSeparator/>
      </w:r>
    </w:p>
  </w:endnote>
  <w:endnote w:id="1">
    <w:p w14:paraId="507BA65D" w14:textId="601681C2" w:rsidR="00142E5A" w:rsidRPr="002D1DB4" w:rsidRDefault="00142E5A" w:rsidP="00DA7E2D">
      <w:pPr>
        <w:pStyle w:val="EndnoteText"/>
        <w:rPr>
          <w:rFonts w:ascii="Calibri" w:hAnsi="Calibri"/>
          <w:sz w:val="22"/>
          <w:szCs w:val="22"/>
          <w:lang w:val="en-GB"/>
        </w:rPr>
      </w:pPr>
      <w:r w:rsidRPr="002D1DB4">
        <w:rPr>
          <w:rStyle w:val="EndnoteReference"/>
          <w:rFonts w:ascii="Calibri" w:hAnsi="Calibri"/>
          <w:sz w:val="22"/>
          <w:szCs w:val="22"/>
          <w:lang w:val="en-GB"/>
        </w:rPr>
        <w:endnoteRef/>
      </w:r>
      <w:r w:rsidRPr="002D1DB4">
        <w:rPr>
          <w:rFonts w:ascii="Calibri" w:hAnsi="Calibri"/>
          <w:sz w:val="22"/>
          <w:szCs w:val="22"/>
          <w:lang w:val="en-GB"/>
        </w:rPr>
        <w:t xml:space="preserve"> European Disability Forum (EDF), </w:t>
      </w:r>
      <w:r w:rsidRPr="003129F7">
        <w:rPr>
          <w:rFonts w:ascii="Calibri" w:hAnsi="Calibri"/>
          <w:i/>
          <w:sz w:val="22"/>
          <w:szCs w:val="22"/>
          <w:lang w:val="en-GB"/>
        </w:rPr>
        <w:t>Poverty and Social Exclusion of Persons with Disabilities</w:t>
      </w:r>
      <w:r w:rsidR="00DA7E2D" w:rsidRPr="003129F7">
        <w:rPr>
          <w:rFonts w:ascii="Calibri" w:hAnsi="Calibri"/>
          <w:i/>
          <w:sz w:val="22"/>
          <w:szCs w:val="22"/>
          <w:lang w:val="en-GB"/>
        </w:rPr>
        <w:t>: European Human Rights Report</w:t>
      </w:r>
      <w:r w:rsidR="00DA7E2D" w:rsidRPr="002D1DB4">
        <w:rPr>
          <w:rFonts w:ascii="Calibri" w:hAnsi="Calibri"/>
          <w:sz w:val="22"/>
          <w:szCs w:val="22"/>
          <w:lang w:val="en-GB"/>
        </w:rPr>
        <w:t xml:space="preserve">, Issue 4 (2020), available at </w:t>
      </w:r>
      <w:hyperlink r:id="rId1" w:history="1">
        <w:r w:rsidR="00DA7E2D" w:rsidRPr="002D1DB4">
          <w:rPr>
            <w:rStyle w:val="Hyperlink"/>
            <w:rFonts w:ascii="Calibri" w:hAnsi="Calibri"/>
            <w:sz w:val="22"/>
            <w:szCs w:val="22"/>
            <w:lang w:val="en-GB"/>
          </w:rPr>
          <w:t>https://www.edf-feph.org/publications/european-human-rights-report/</w:t>
        </w:r>
      </w:hyperlink>
      <w:r w:rsidR="00DA7E2D" w:rsidRPr="002D1DB4">
        <w:rPr>
          <w:rFonts w:ascii="Calibri" w:hAnsi="Calibri"/>
          <w:sz w:val="22"/>
          <w:szCs w:val="22"/>
          <w:lang w:val="en-GB"/>
        </w:rPr>
        <w:t>.</w:t>
      </w:r>
    </w:p>
  </w:endnote>
  <w:endnote w:id="2">
    <w:p w14:paraId="3BAB80E6" w14:textId="375F43D6" w:rsidR="002D1DB4" w:rsidRPr="002D1DB4" w:rsidRDefault="002D1DB4">
      <w:pPr>
        <w:pStyle w:val="EndnoteText"/>
        <w:rPr>
          <w:b/>
          <w:bCs/>
        </w:rPr>
      </w:pPr>
      <w:r w:rsidRPr="002D1DB4">
        <w:rPr>
          <w:rStyle w:val="EndnoteReference"/>
          <w:rFonts w:ascii="Calibri" w:hAnsi="Calibri"/>
          <w:sz w:val="22"/>
          <w:szCs w:val="22"/>
          <w:lang w:val="en-GB"/>
        </w:rPr>
        <w:endnoteRef/>
      </w:r>
      <w:r w:rsidRPr="002D1DB4">
        <w:rPr>
          <w:rFonts w:ascii="Calibri" w:hAnsi="Calibri"/>
          <w:sz w:val="22"/>
          <w:szCs w:val="22"/>
          <w:lang w:val="en-GB"/>
        </w:rPr>
        <w:t xml:space="preserve"> International Labour Organisation, European Youth Forum et al., </w:t>
      </w:r>
      <w:r w:rsidRPr="003129F7">
        <w:rPr>
          <w:rFonts w:ascii="Calibri" w:hAnsi="Calibri"/>
          <w:bCs/>
          <w:i/>
          <w:sz w:val="22"/>
          <w:szCs w:val="22"/>
          <w:lang w:val="en-GB"/>
        </w:rPr>
        <w:t>Youth &amp; Covid-19: Impacts on Jobs, Education, Rights and Mental Wellbeing</w:t>
      </w:r>
      <w:r w:rsidRPr="002D1DB4">
        <w:rPr>
          <w:rFonts w:ascii="Calibri" w:hAnsi="Calibri"/>
          <w:bCs/>
          <w:sz w:val="22"/>
          <w:szCs w:val="22"/>
          <w:lang w:val="en-GB"/>
        </w:rPr>
        <w:t xml:space="preserve"> (2020), available at </w:t>
      </w:r>
      <w:hyperlink r:id="rId2" w:history="1">
        <w:r w:rsidRPr="002D1DB4">
          <w:rPr>
            <w:rStyle w:val="Hyperlink"/>
            <w:rFonts w:ascii="Calibri" w:hAnsi="Calibri"/>
            <w:bCs/>
            <w:sz w:val="22"/>
            <w:szCs w:val="22"/>
            <w:lang w:val="en-GB"/>
          </w:rPr>
          <w:t>https://www.youthforum.org/youth-covid-19-impacts-jobs-education-rights-and-mental-wellbeing</w:t>
        </w:r>
      </w:hyperlink>
      <w:r w:rsidRPr="002D1DB4">
        <w:rPr>
          <w:rFonts w:ascii="Calibri" w:hAnsi="Calibri"/>
          <w:bCs/>
          <w:sz w:val="22"/>
          <w:szCs w:val="22"/>
          <w:lang w:val="en-GB"/>
        </w:rPr>
        <w:t>.</w:t>
      </w:r>
    </w:p>
  </w:endnote>
  <w:endnote w:id="3">
    <w:p w14:paraId="205795EA" w14:textId="4C70D249" w:rsidR="00777F49" w:rsidRPr="0091495C" w:rsidRDefault="00777F49">
      <w:pPr>
        <w:pStyle w:val="EndnoteText"/>
        <w:rPr>
          <w:rFonts w:ascii="Calibri" w:hAnsi="Calibri"/>
          <w:sz w:val="22"/>
          <w:szCs w:val="22"/>
          <w:lang w:val="en-GB"/>
        </w:rPr>
      </w:pPr>
      <w:r w:rsidRPr="0091495C">
        <w:rPr>
          <w:rStyle w:val="EndnoteReference"/>
          <w:rFonts w:ascii="Calibri" w:hAnsi="Calibri"/>
          <w:sz w:val="22"/>
          <w:szCs w:val="22"/>
          <w:lang w:val="en-GB"/>
        </w:rPr>
        <w:endnoteRef/>
      </w:r>
      <w:r w:rsidRPr="0091495C">
        <w:rPr>
          <w:rFonts w:ascii="Calibri" w:hAnsi="Calibri"/>
          <w:sz w:val="22"/>
          <w:szCs w:val="22"/>
          <w:lang w:val="en-GB"/>
        </w:rPr>
        <w:t xml:space="preserve"> For more information on vocational training and transitional employment, see MHE’s Toolkit on Article 27 of the UN CRPD, available at </w:t>
      </w:r>
      <w:hyperlink r:id="rId3" w:history="1">
        <w:r w:rsidRPr="0091495C">
          <w:rPr>
            <w:rStyle w:val="Hyperlink"/>
            <w:rFonts w:ascii="Calibri" w:hAnsi="Calibri"/>
            <w:sz w:val="22"/>
            <w:szCs w:val="22"/>
            <w:lang w:val="en-GB"/>
          </w:rPr>
          <w:t>https://www.mhe-sme.org/library/toolkit-on-article-27-of-the-uncrpd/</w:t>
        </w:r>
      </w:hyperlink>
      <w:r w:rsidRPr="0091495C">
        <w:rPr>
          <w:rFonts w:ascii="Calibri" w:hAnsi="Calibri"/>
          <w:sz w:val="22"/>
          <w:szCs w:val="22"/>
          <w:lang w:val="en-GB"/>
        </w:rPr>
        <w:t>.</w:t>
      </w:r>
    </w:p>
  </w:endnote>
  <w:endnote w:id="4">
    <w:p w14:paraId="491B274A" w14:textId="17C6A4EE" w:rsidR="009F28D1" w:rsidRPr="0091495C" w:rsidRDefault="009F28D1">
      <w:pPr>
        <w:pStyle w:val="EndnoteText"/>
        <w:rPr>
          <w:rFonts w:ascii="Calibri" w:hAnsi="Calibri"/>
          <w:sz w:val="22"/>
          <w:szCs w:val="22"/>
          <w:lang w:val="en-GB"/>
        </w:rPr>
      </w:pPr>
      <w:r w:rsidRPr="0091495C">
        <w:rPr>
          <w:rStyle w:val="EndnoteReference"/>
          <w:rFonts w:ascii="Calibri" w:hAnsi="Calibri"/>
          <w:sz w:val="22"/>
          <w:szCs w:val="22"/>
          <w:lang w:val="en-GB"/>
        </w:rPr>
        <w:endnoteRef/>
      </w:r>
      <w:r w:rsidRPr="0091495C">
        <w:rPr>
          <w:rFonts w:ascii="Calibri" w:hAnsi="Calibri"/>
          <w:sz w:val="22"/>
          <w:szCs w:val="22"/>
          <w:lang w:val="en-GB"/>
        </w:rPr>
        <w:t xml:space="preserve"> </w:t>
      </w:r>
      <w:r w:rsidR="000E3D95" w:rsidRPr="0091495C">
        <w:rPr>
          <w:rFonts w:ascii="Calibri" w:hAnsi="Calibri"/>
          <w:sz w:val="22"/>
          <w:szCs w:val="22"/>
          <w:lang w:val="en-GB"/>
        </w:rPr>
        <w:t xml:space="preserve">Hoffmann et al., </w:t>
      </w:r>
      <w:r w:rsidR="000E3D95" w:rsidRPr="0091495C">
        <w:rPr>
          <w:rFonts w:ascii="Calibri" w:hAnsi="Calibri"/>
          <w:i/>
          <w:sz w:val="22"/>
          <w:szCs w:val="22"/>
          <w:lang w:val="en-GB"/>
        </w:rPr>
        <w:t>Long-term effectiveness of supported employment: 5-year follow-up of a randomized controlled trial</w:t>
      </w:r>
      <w:r w:rsidR="000E3D95" w:rsidRPr="0091495C">
        <w:rPr>
          <w:rFonts w:ascii="Calibri" w:hAnsi="Calibri"/>
          <w:sz w:val="22"/>
          <w:szCs w:val="22"/>
          <w:lang w:val="en-GB"/>
        </w:rPr>
        <w:t xml:space="preserve"> in the American Journal of Psychiatry (2014)</w:t>
      </w:r>
      <w:r w:rsidR="003129F7">
        <w:rPr>
          <w:rFonts w:ascii="Calibri" w:hAnsi="Calibri"/>
          <w:sz w:val="22"/>
          <w:szCs w:val="22"/>
          <w:lang w:val="en-GB"/>
        </w:rPr>
        <w:t>,</w:t>
      </w:r>
      <w:r w:rsidR="0040792F" w:rsidRPr="0091495C">
        <w:rPr>
          <w:rFonts w:ascii="Calibri" w:hAnsi="Calibri"/>
          <w:sz w:val="22"/>
          <w:szCs w:val="22"/>
          <w:lang w:val="en-GB"/>
        </w:rPr>
        <w:t xml:space="preserve"> available at </w:t>
      </w:r>
      <w:hyperlink r:id="rId4" w:history="1">
        <w:r w:rsidR="0040792F" w:rsidRPr="0091495C">
          <w:rPr>
            <w:rStyle w:val="Hyperlink"/>
            <w:rFonts w:ascii="Calibri" w:hAnsi="Calibri"/>
            <w:sz w:val="22"/>
            <w:szCs w:val="22"/>
            <w:lang w:val="en-GB"/>
          </w:rPr>
          <w:t>https://doi.org/10.1176/appi.ajp.2014.13070857</w:t>
        </w:r>
      </w:hyperlink>
      <w:r w:rsidR="0040792F" w:rsidRPr="0091495C">
        <w:rPr>
          <w:rFonts w:ascii="Calibri" w:hAnsi="Calibri"/>
          <w:sz w:val="22"/>
          <w:szCs w:val="22"/>
          <w:lang w:val="en-GB"/>
        </w:rPr>
        <w:t>.</w:t>
      </w:r>
    </w:p>
  </w:endnote>
  <w:endnote w:id="5">
    <w:p w14:paraId="2DD8E419" w14:textId="5FE6F18A" w:rsidR="000D6CBE" w:rsidRPr="0091495C" w:rsidRDefault="000D6CBE">
      <w:pPr>
        <w:pStyle w:val="EndnoteText"/>
        <w:rPr>
          <w:rFonts w:ascii="Calibri" w:hAnsi="Calibri"/>
          <w:sz w:val="22"/>
          <w:szCs w:val="22"/>
          <w:lang w:val="en-GB"/>
        </w:rPr>
      </w:pPr>
      <w:r w:rsidRPr="0091495C">
        <w:rPr>
          <w:rStyle w:val="EndnoteReference"/>
          <w:rFonts w:ascii="Calibri" w:hAnsi="Calibri"/>
          <w:sz w:val="22"/>
          <w:szCs w:val="22"/>
          <w:lang w:val="en-GB"/>
        </w:rPr>
        <w:endnoteRef/>
      </w:r>
      <w:r w:rsidRPr="0091495C">
        <w:rPr>
          <w:rFonts w:ascii="Calibri" w:hAnsi="Calibri"/>
          <w:sz w:val="22"/>
          <w:szCs w:val="22"/>
          <w:lang w:val="en-GB"/>
        </w:rPr>
        <w:t xml:space="preserve"> </w:t>
      </w:r>
      <w:r w:rsidR="00ED75C0" w:rsidRPr="0091495C">
        <w:rPr>
          <w:rFonts w:ascii="Calibri" w:hAnsi="Calibri"/>
          <w:sz w:val="22"/>
          <w:szCs w:val="22"/>
          <w:lang w:val="en-GB"/>
        </w:rPr>
        <w:t>Ibid.</w:t>
      </w:r>
    </w:p>
  </w:endnote>
  <w:endnote w:id="6">
    <w:p w14:paraId="65425599" w14:textId="18D0052C" w:rsidR="0091495C" w:rsidRPr="0091495C" w:rsidRDefault="0091495C" w:rsidP="0091495C">
      <w:pPr>
        <w:rPr>
          <w:rFonts w:ascii="Calibri" w:eastAsia="Times New Roman" w:hAnsi="Calibri" w:cs="Times New Roman"/>
          <w:sz w:val="22"/>
          <w:szCs w:val="22"/>
          <w:lang w:val="en-GB"/>
        </w:rPr>
      </w:pPr>
      <w:r w:rsidRPr="0091495C">
        <w:rPr>
          <w:rStyle w:val="EndnoteReference"/>
          <w:rFonts w:ascii="Calibri" w:hAnsi="Calibri"/>
          <w:sz w:val="22"/>
          <w:szCs w:val="22"/>
          <w:lang w:val="en-GB"/>
        </w:rPr>
        <w:endnoteRef/>
      </w:r>
      <w:r w:rsidRPr="0091495C">
        <w:rPr>
          <w:rFonts w:ascii="Calibri" w:hAnsi="Calibri"/>
          <w:sz w:val="22"/>
          <w:szCs w:val="22"/>
          <w:lang w:val="en-GB"/>
        </w:rPr>
        <w:t xml:space="preserve"> Committee on the Rights of Persons with Disabilities, </w:t>
      </w:r>
      <w:r w:rsidR="005F4316">
        <w:rPr>
          <w:rFonts w:ascii="Calibri" w:hAnsi="Calibri"/>
          <w:i/>
          <w:sz w:val="22"/>
          <w:szCs w:val="22"/>
          <w:lang w:val="en-GB"/>
        </w:rPr>
        <w:t>General C</w:t>
      </w:r>
      <w:r w:rsidRPr="005F4316">
        <w:rPr>
          <w:rFonts w:ascii="Calibri" w:hAnsi="Calibri"/>
          <w:i/>
          <w:sz w:val="22"/>
          <w:szCs w:val="22"/>
          <w:lang w:val="en-GB"/>
        </w:rPr>
        <w:t xml:space="preserve">omment No. 1, </w:t>
      </w:r>
      <w:r w:rsidR="005F4316">
        <w:rPr>
          <w:rFonts w:ascii="Calibri" w:hAnsi="Calibri"/>
          <w:i/>
          <w:sz w:val="22"/>
          <w:szCs w:val="22"/>
          <w:lang w:val="en-GB"/>
        </w:rPr>
        <w:t>Article 12: Equal Recognition before the L</w:t>
      </w:r>
      <w:r w:rsidRPr="005F4316">
        <w:rPr>
          <w:rFonts w:ascii="Calibri" w:hAnsi="Calibri"/>
          <w:i/>
          <w:sz w:val="22"/>
          <w:szCs w:val="22"/>
          <w:lang w:val="en-GB"/>
        </w:rPr>
        <w:t>aw</w:t>
      </w:r>
      <w:r w:rsidRPr="0091495C">
        <w:rPr>
          <w:rFonts w:ascii="Calibri" w:hAnsi="Calibri"/>
          <w:sz w:val="22"/>
          <w:szCs w:val="22"/>
          <w:lang w:val="en-GB"/>
        </w:rPr>
        <w:t xml:space="preserve"> (2014)</w:t>
      </w:r>
      <w:r w:rsidR="006B3DE4">
        <w:rPr>
          <w:rFonts w:ascii="Calibri" w:hAnsi="Calibri"/>
          <w:sz w:val="22"/>
          <w:szCs w:val="22"/>
          <w:lang w:val="en-GB"/>
        </w:rPr>
        <w:t>,</w:t>
      </w:r>
      <w:r w:rsidRPr="0091495C">
        <w:rPr>
          <w:rFonts w:ascii="Calibri" w:hAnsi="Calibri"/>
          <w:sz w:val="22"/>
          <w:szCs w:val="22"/>
          <w:lang w:val="en-GB"/>
        </w:rPr>
        <w:t xml:space="preserve"> available at </w:t>
      </w:r>
      <w:hyperlink r:id="rId5" w:history="1">
        <w:r w:rsidRPr="0091495C">
          <w:rPr>
            <w:rStyle w:val="Hyperlink"/>
            <w:rFonts w:ascii="Calibri" w:hAnsi="Calibri"/>
            <w:sz w:val="22"/>
            <w:szCs w:val="22"/>
            <w:lang w:val="en-GB"/>
          </w:rPr>
          <w:t>https://www.ohchr.org/EN/HRBodies/CRPD/Pages/GC.aspx</w:t>
        </w:r>
      </w:hyperlink>
      <w:r w:rsidRPr="0091495C">
        <w:rPr>
          <w:rFonts w:ascii="Calibri" w:hAnsi="Calibri"/>
          <w:sz w:val="22"/>
          <w:szCs w:val="22"/>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F748" w14:textId="77777777" w:rsidR="001816A6" w:rsidRDefault="001816A6" w:rsidP="00C5383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8A6F56" w14:textId="77777777" w:rsidR="001816A6" w:rsidRDefault="001816A6" w:rsidP="001816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40E5" w14:textId="5264F86C" w:rsidR="001816A6" w:rsidRPr="00901AC9" w:rsidRDefault="001816A6" w:rsidP="00C53831">
    <w:pPr>
      <w:pStyle w:val="Footer"/>
      <w:framePr w:wrap="none" w:vAnchor="text" w:hAnchor="margin" w:xAlign="right" w:y="1"/>
      <w:rPr>
        <w:rStyle w:val="PageNumber"/>
        <w:rFonts w:ascii="Calibri" w:hAnsi="Calibri"/>
        <w:sz w:val="22"/>
        <w:szCs w:val="22"/>
      </w:rPr>
    </w:pPr>
    <w:r w:rsidRPr="00901AC9">
      <w:rPr>
        <w:rStyle w:val="PageNumber"/>
        <w:rFonts w:ascii="Calibri" w:hAnsi="Calibri"/>
        <w:sz w:val="22"/>
        <w:szCs w:val="22"/>
      </w:rPr>
      <w:fldChar w:fldCharType="begin"/>
    </w:r>
    <w:r w:rsidRPr="00901AC9">
      <w:rPr>
        <w:rStyle w:val="PageNumber"/>
        <w:rFonts w:ascii="Calibri" w:hAnsi="Calibri"/>
        <w:sz w:val="22"/>
        <w:szCs w:val="22"/>
      </w:rPr>
      <w:instrText xml:space="preserve">PAGE  </w:instrText>
    </w:r>
    <w:r w:rsidRPr="00901AC9">
      <w:rPr>
        <w:rStyle w:val="PageNumber"/>
        <w:rFonts w:ascii="Calibri" w:hAnsi="Calibri"/>
        <w:sz w:val="22"/>
        <w:szCs w:val="22"/>
      </w:rPr>
      <w:fldChar w:fldCharType="separate"/>
    </w:r>
    <w:r w:rsidR="002F2E47">
      <w:rPr>
        <w:rStyle w:val="PageNumber"/>
        <w:rFonts w:ascii="Calibri" w:hAnsi="Calibri"/>
        <w:noProof/>
        <w:sz w:val="22"/>
        <w:szCs w:val="22"/>
      </w:rPr>
      <w:t>1</w:t>
    </w:r>
    <w:r w:rsidRPr="00901AC9">
      <w:rPr>
        <w:rStyle w:val="PageNumber"/>
        <w:rFonts w:ascii="Calibri" w:hAnsi="Calibri"/>
        <w:sz w:val="22"/>
        <w:szCs w:val="22"/>
      </w:rPr>
      <w:fldChar w:fldCharType="end"/>
    </w:r>
  </w:p>
  <w:p w14:paraId="33AEC48E" w14:textId="77777777" w:rsidR="001816A6" w:rsidRPr="00901AC9" w:rsidRDefault="001816A6" w:rsidP="001816A6">
    <w:pPr>
      <w:pStyle w:val="Footer"/>
      <w:ind w:right="360"/>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93CA7" w14:textId="77777777" w:rsidR="00061D3E" w:rsidRDefault="00061D3E" w:rsidP="001816A6">
      <w:r>
        <w:separator/>
      </w:r>
    </w:p>
  </w:footnote>
  <w:footnote w:type="continuationSeparator" w:id="0">
    <w:p w14:paraId="72AECF0C" w14:textId="77777777" w:rsidR="00061D3E" w:rsidRDefault="00061D3E" w:rsidP="00181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F073B"/>
    <w:multiLevelType w:val="hybridMultilevel"/>
    <w:tmpl w:val="04745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D062AE"/>
    <w:multiLevelType w:val="hybridMultilevel"/>
    <w:tmpl w:val="D464A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60"/>
    <w:rsid w:val="00061D3E"/>
    <w:rsid w:val="00083F25"/>
    <w:rsid w:val="000935A9"/>
    <w:rsid w:val="000A7E88"/>
    <w:rsid w:val="000B3AA0"/>
    <w:rsid w:val="000B658E"/>
    <w:rsid w:val="000B73D4"/>
    <w:rsid w:val="000D6CBE"/>
    <w:rsid w:val="000E3D95"/>
    <w:rsid w:val="000E74BC"/>
    <w:rsid w:val="001113B7"/>
    <w:rsid w:val="00126406"/>
    <w:rsid w:val="00133359"/>
    <w:rsid w:val="00142E5A"/>
    <w:rsid w:val="0014720F"/>
    <w:rsid w:val="001816A6"/>
    <w:rsid w:val="001A0B03"/>
    <w:rsid w:val="001A5991"/>
    <w:rsid w:val="001B396C"/>
    <w:rsid w:val="001D196F"/>
    <w:rsid w:val="001F4D1E"/>
    <w:rsid w:val="001F6F20"/>
    <w:rsid w:val="002160E9"/>
    <w:rsid w:val="002208A6"/>
    <w:rsid w:val="00246205"/>
    <w:rsid w:val="00251F0C"/>
    <w:rsid w:val="00257535"/>
    <w:rsid w:val="00265D48"/>
    <w:rsid w:val="002A0E72"/>
    <w:rsid w:val="002A1D38"/>
    <w:rsid w:val="002C1F6A"/>
    <w:rsid w:val="002C26F4"/>
    <w:rsid w:val="002D1DB4"/>
    <w:rsid w:val="002D4937"/>
    <w:rsid w:val="002F09B3"/>
    <w:rsid w:val="002F2E47"/>
    <w:rsid w:val="00311DA1"/>
    <w:rsid w:val="003129F7"/>
    <w:rsid w:val="003770B8"/>
    <w:rsid w:val="003861C9"/>
    <w:rsid w:val="0039495C"/>
    <w:rsid w:val="003A6792"/>
    <w:rsid w:val="003B5335"/>
    <w:rsid w:val="003E08EF"/>
    <w:rsid w:val="004050BC"/>
    <w:rsid w:val="00405286"/>
    <w:rsid w:val="0040792F"/>
    <w:rsid w:val="004149DC"/>
    <w:rsid w:val="004322E6"/>
    <w:rsid w:val="004515C1"/>
    <w:rsid w:val="00453CBD"/>
    <w:rsid w:val="00475F53"/>
    <w:rsid w:val="0049419A"/>
    <w:rsid w:val="0049439D"/>
    <w:rsid w:val="004B4B87"/>
    <w:rsid w:val="004B6D40"/>
    <w:rsid w:val="004D62A9"/>
    <w:rsid w:val="004F1EDF"/>
    <w:rsid w:val="004F647D"/>
    <w:rsid w:val="00513F6A"/>
    <w:rsid w:val="0054011E"/>
    <w:rsid w:val="00542086"/>
    <w:rsid w:val="00560A52"/>
    <w:rsid w:val="00572332"/>
    <w:rsid w:val="00581E8E"/>
    <w:rsid w:val="005962E3"/>
    <w:rsid w:val="005D4531"/>
    <w:rsid w:val="005E1AA1"/>
    <w:rsid w:val="005E2F45"/>
    <w:rsid w:val="005F4316"/>
    <w:rsid w:val="006933A6"/>
    <w:rsid w:val="006A6011"/>
    <w:rsid w:val="006B3DE4"/>
    <w:rsid w:val="0071461B"/>
    <w:rsid w:val="00723A45"/>
    <w:rsid w:val="00735160"/>
    <w:rsid w:val="00777F49"/>
    <w:rsid w:val="0078199C"/>
    <w:rsid w:val="007B0129"/>
    <w:rsid w:val="007B08E9"/>
    <w:rsid w:val="007B6B6E"/>
    <w:rsid w:val="007E2F09"/>
    <w:rsid w:val="007F19E3"/>
    <w:rsid w:val="00813914"/>
    <w:rsid w:val="00825776"/>
    <w:rsid w:val="008261FC"/>
    <w:rsid w:val="0082656F"/>
    <w:rsid w:val="0083385A"/>
    <w:rsid w:val="00857129"/>
    <w:rsid w:val="00876985"/>
    <w:rsid w:val="00885F83"/>
    <w:rsid w:val="00892032"/>
    <w:rsid w:val="008B3E14"/>
    <w:rsid w:val="008C389F"/>
    <w:rsid w:val="008D44BF"/>
    <w:rsid w:val="008D5A98"/>
    <w:rsid w:val="008E707C"/>
    <w:rsid w:val="00901AC9"/>
    <w:rsid w:val="009117AE"/>
    <w:rsid w:val="0091495C"/>
    <w:rsid w:val="009263F8"/>
    <w:rsid w:val="00930D10"/>
    <w:rsid w:val="00954C63"/>
    <w:rsid w:val="00961191"/>
    <w:rsid w:val="00975BFF"/>
    <w:rsid w:val="00982F04"/>
    <w:rsid w:val="009A2BB5"/>
    <w:rsid w:val="009A5AAE"/>
    <w:rsid w:val="009B16C7"/>
    <w:rsid w:val="009B3436"/>
    <w:rsid w:val="009F0E9A"/>
    <w:rsid w:val="009F28D1"/>
    <w:rsid w:val="009F78F9"/>
    <w:rsid w:val="00A02D5D"/>
    <w:rsid w:val="00A06165"/>
    <w:rsid w:val="00A5103B"/>
    <w:rsid w:val="00AC73F0"/>
    <w:rsid w:val="00AE0B2D"/>
    <w:rsid w:val="00B039DD"/>
    <w:rsid w:val="00B21784"/>
    <w:rsid w:val="00B37AEE"/>
    <w:rsid w:val="00B62F40"/>
    <w:rsid w:val="00B976E1"/>
    <w:rsid w:val="00BD01E1"/>
    <w:rsid w:val="00BD250D"/>
    <w:rsid w:val="00BD2DE6"/>
    <w:rsid w:val="00C00201"/>
    <w:rsid w:val="00C03AD9"/>
    <w:rsid w:val="00C14881"/>
    <w:rsid w:val="00C332F2"/>
    <w:rsid w:val="00C33B2F"/>
    <w:rsid w:val="00C57C0D"/>
    <w:rsid w:val="00C611EA"/>
    <w:rsid w:val="00C61C02"/>
    <w:rsid w:val="00C676C6"/>
    <w:rsid w:val="00C67B98"/>
    <w:rsid w:val="00C7444F"/>
    <w:rsid w:val="00C747AD"/>
    <w:rsid w:val="00CA7A11"/>
    <w:rsid w:val="00CE4BE7"/>
    <w:rsid w:val="00CF437D"/>
    <w:rsid w:val="00CF6615"/>
    <w:rsid w:val="00D77C06"/>
    <w:rsid w:val="00D77C1A"/>
    <w:rsid w:val="00D86916"/>
    <w:rsid w:val="00DA0713"/>
    <w:rsid w:val="00DA7E2D"/>
    <w:rsid w:val="00DD0A1C"/>
    <w:rsid w:val="00DD4B3D"/>
    <w:rsid w:val="00DE76CE"/>
    <w:rsid w:val="00DF105C"/>
    <w:rsid w:val="00DF6BE5"/>
    <w:rsid w:val="00E12E31"/>
    <w:rsid w:val="00E566BD"/>
    <w:rsid w:val="00E56AAE"/>
    <w:rsid w:val="00E614B3"/>
    <w:rsid w:val="00E82166"/>
    <w:rsid w:val="00E84978"/>
    <w:rsid w:val="00EB0A02"/>
    <w:rsid w:val="00ED19A7"/>
    <w:rsid w:val="00ED75C0"/>
    <w:rsid w:val="00EE74A6"/>
    <w:rsid w:val="00EF2DE5"/>
    <w:rsid w:val="00F10666"/>
    <w:rsid w:val="00F11355"/>
    <w:rsid w:val="00F16EAE"/>
    <w:rsid w:val="00F234CD"/>
    <w:rsid w:val="00F2547C"/>
    <w:rsid w:val="00F33F33"/>
    <w:rsid w:val="00F3524B"/>
    <w:rsid w:val="00F374BC"/>
    <w:rsid w:val="00F37DB3"/>
    <w:rsid w:val="00F4625A"/>
    <w:rsid w:val="00F50D8A"/>
    <w:rsid w:val="00F77669"/>
    <w:rsid w:val="00F96B49"/>
    <w:rsid w:val="00FA417F"/>
    <w:rsid w:val="00FA61DF"/>
    <w:rsid w:val="00FB4A8E"/>
    <w:rsid w:val="00FC2DAD"/>
    <w:rsid w:val="00FC62D2"/>
    <w:rsid w:val="00FD658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A0E7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1D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6A"/>
    <w:rPr>
      <w:color w:val="0000FF" w:themeColor="hyperlink"/>
      <w:u w:val="single"/>
    </w:rPr>
  </w:style>
  <w:style w:type="character" w:customStyle="1" w:styleId="apple-converted-space">
    <w:name w:val="apple-converted-space"/>
    <w:basedOn w:val="DefaultParagraphFont"/>
    <w:rsid w:val="00DF105C"/>
  </w:style>
  <w:style w:type="paragraph" w:styleId="Footer">
    <w:name w:val="footer"/>
    <w:basedOn w:val="Normal"/>
    <w:link w:val="FooterChar"/>
    <w:uiPriority w:val="99"/>
    <w:unhideWhenUsed/>
    <w:rsid w:val="001816A6"/>
    <w:pPr>
      <w:tabs>
        <w:tab w:val="center" w:pos="4819"/>
        <w:tab w:val="right" w:pos="9638"/>
      </w:tabs>
    </w:pPr>
  </w:style>
  <w:style w:type="character" w:customStyle="1" w:styleId="FooterChar">
    <w:name w:val="Footer Char"/>
    <w:basedOn w:val="DefaultParagraphFont"/>
    <w:link w:val="Footer"/>
    <w:uiPriority w:val="99"/>
    <w:rsid w:val="001816A6"/>
  </w:style>
  <w:style w:type="character" w:styleId="PageNumber">
    <w:name w:val="page number"/>
    <w:basedOn w:val="DefaultParagraphFont"/>
    <w:uiPriority w:val="99"/>
    <w:semiHidden/>
    <w:unhideWhenUsed/>
    <w:rsid w:val="001816A6"/>
  </w:style>
  <w:style w:type="paragraph" w:styleId="Header">
    <w:name w:val="header"/>
    <w:basedOn w:val="Normal"/>
    <w:link w:val="HeaderChar"/>
    <w:uiPriority w:val="99"/>
    <w:unhideWhenUsed/>
    <w:rsid w:val="001816A6"/>
    <w:pPr>
      <w:tabs>
        <w:tab w:val="center" w:pos="4819"/>
        <w:tab w:val="right" w:pos="9638"/>
      </w:tabs>
    </w:pPr>
  </w:style>
  <w:style w:type="character" w:customStyle="1" w:styleId="HeaderChar">
    <w:name w:val="Header Char"/>
    <w:basedOn w:val="DefaultParagraphFont"/>
    <w:link w:val="Header"/>
    <w:uiPriority w:val="99"/>
    <w:rsid w:val="001816A6"/>
  </w:style>
  <w:style w:type="paragraph" w:styleId="FootnoteText">
    <w:name w:val="footnote text"/>
    <w:basedOn w:val="Normal"/>
    <w:link w:val="FootnoteTextChar"/>
    <w:uiPriority w:val="99"/>
    <w:unhideWhenUsed/>
    <w:rsid w:val="00142E5A"/>
  </w:style>
  <w:style w:type="character" w:customStyle="1" w:styleId="FootnoteTextChar">
    <w:name w:val="Footnote Text Char"/>
    <w:basedOn w:val="DefaultParagraphFont"/>
    <w:link w:val="FootnoteText"/>
    <w:uiPriority w:val="99"/>
    <w:rsid w:val="00142E5A"/>
  </w:style>
  <w:style w:type="character" w:styleId="FootnoteReference">
    <w:name w:val="footnote reference"/>
    <w:basedOn w:val="DefaultParagraphFont"/>
    <w:uiPriority w:val="99"/>
    <w:unhideWhenUsed/>
    <w:rsid w:val="00142E5A"/>
    <w:rPr>
      <w:vertAlign w:val="superscript"/>
    </w:rPr>
  </w:style>
  <w:style w:type="paragraph" w:styleId="EndnoteText">
    <w:name w:val="endnote text"/>
    <w:basedOn w:val="Normal"/>
    <w:link w:val="EndnoteTextChar"/>
    <w:uiPriority w:val="99"/>
    <w:unhideWhenUsed/>
    <w:rsid w:val="00142E5A"/>
  </w:style>
  <w:style w:type="character" w:customStyle="1" w:styleId="EndnoteTextChar">
    <w:name w:val="Endnote Text Char"/>
    <w:basedOn w:val="DefaultParagraphFont"/>
    <w:link w:val="EndnoteText"/>
    <w:uiPriority w:val="99"/>
    <w:rsid w:val="00142E5A"/>
  </w:style>
  <w:style w:type="character" w:styleId="EndnoteReference">
    <w:name w:val="endnote reference"/>
    <w:basedOn w:val="DefaultParagraphFont"/>
    <w:uiPriority w:val="99"/>
    <w:unhideWhenUsed/>
    <w:rsid w:val="00142E5A"/>
    <w:rPr>
      <w:vertAlign w:val="superscript"/>
    </w:rPr>
  </w:style>
  <w:style w:type="paragraph" w:styleId="ListParagraph">
    <w:name w:val="List Paragraph"/>
    <w:basedOn w:val="Normal"/>
    <w:uiPriority w:val="34"/>
    <w:qFormat/>
    <w:rsid w:val="00A06165"/>
    <w:pPr>
      <w:ind w:left="720"/>
      <w:contextualSpacing/>
    </w:pPr>
  </w:style>
  <w:style w:type="character" w:styleId="FollowedHyperlink">
    <w:name w:val="FollowedHyperlink"/>
    <w:basedOn w:val="DefaultParagraphFont"/>
    <w:uiPriority w:val="99"/>
    <w:semiHidden/>
    <w:unhideWhenUsed/>
    <w:rsid w:val="004D62A9"/>
    <w:rPr>
      <w:color w:val="800080" w:themeColor="followedHyperlink"/>
      <w:u w:val="single"/>
    </w:rPr>
  </w:style>
  <w:style w:type="character" w:customStyle="1" w:styleId="Heading2Char">
    <w:name w:val="Heading 2 Char"/>
    <w:basedOn w:val="DefaultParagraphFont"/>
    <w:link w:val="Heading2"/>
    <w:uiPriority w:val="9"/>
    <w:semiHidden/>
    <w:rsid w:val="002D1DB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2862">
      <w:bodyDiv w:val="1"/>
      <w:marLeft w:val="0"/>
      <w:marRight w:val="0"/>
      <w:marTop w:val="0"/>
      <w:marBottom w:val="0"/>
      <w:divBdr>
        <w:top w:val="none" w:sz="0" w:space="0" w:color="auto"/>
        <w:left w:val="none" w:sz="0" w:space="0" w:color="auto"/>
        <w:bottom w:val="none" w:sz="0" w:space="0" w:color="auto"/>
        <w:right w:val="none" w:sz="0" w:space="0" w:color="auto"/>
      </w:divBdr>
    </w:div>
    <w:div w:id="114907795">
      <w:bodyDiv w:val="1"/>
      <w:marLeft w:val="0"/>
      <w:marRight w:val="0"/>
      <w:marTop w:val="0"/>
      <w:marBottom w:val="0"/>
      <w:divBdr>
        <w:top w:val="none" w:sz="0" w:space="0" w:color="auto"/>
        <w:left w:val="none" w:sz="0" w:space="0" w:color="auto"/>
        <w:bottom w:val="none" w:sz="0" w:space="0" w:color="auto"/>
        <w:right w:val="none" w:sz="0" w:space="0" w:color="auto"/>
      </w:divBdr>
    </w:div>
    <w:div w:id="129177269">
      <w:bodyDiv w:val="1"/>
      <w:marLeft w:val="0"/>
      <w:marRight w:val="0"/>
      <w:marTop w:val="0"/>
      <w:marBottom w:val="0"/>
      <w:divBdr>
        <w:top w:val="none" w:sz="0" w:space="0" w:color="auto"/>
        <w:left w:val="none" w:sz="0" w:space="0" w:color="auto"/>
        <w:bottom w:val="none" w:sz="0" w:space="0" w:color="auto"/>
        <w:right w:val="none" w:sz="0" w:space="0" w:color="auto"/>
      </w:divBdr>
    </w:div>
    <w:div w:id="270284153">
      <w:bodyDiv w:val="1"/>
      <w:marLeft w:val="0"/>
      <w:marRight w:val="0"/>
      <w:marTop w:val="0"/>
      <w:marBottom w:val="0"/>
      <w:divBdr>
        <w:top w:val="none" w:sz="0" w:space="0" w:color="auto"/>
        <w:left w:val="none" w:sz="0" w:space="0" w:color="auto"/>
        <w:bottom w:val="none" w:sz="0" w:space="0" w:color="auto"/>
        <w:right w:val="none" w:sz="0" w:space="0" w:color="auto"/>
      </w:divBdr>
    </w:div>
    <w:div w:id="281807073">
      <w:bodyDiv w:val="1"/>
      <w:marLeft w:val="0"/>
      <w:marRight w:val="0"/>
      <w:marTop w:val="0"/>
      <w:marBottom w:val="0"/>
      <w:divBdr>
        <w:top w:val="none" w:sz="0" w:space="0" w:color="auto"/>
        <w:left w:val="none" w:sz="0" w:space="0" w:color="auto"/>
        <w:bottom w:val="none" w:sz="0" w:space="0" w:color="auto"/>
        <w:right w:val="none" w:sz="0" w:space="0" w:color="auto"/>
      </w:divBdr>
    </w:div>
    <w:div w:id="330525633">
      <w:bodyDiv w:val="1"/>
      <w:marLeft w:val="0"/>
      <w:marRight w:val="0"/>
      <w:marTop w:val="0"/>
      <w:marBottom w:val="0"/>
      <w:divBdr>
        <w:top w:val="none" w:sz="0" w:space="0" w:color="auto"/>
        <w:left w:val="none" w:sz="0" w:space="0" w:color="auto"/>
        <w:bottom w:val="none" w:sz="0" w:space="0" w:color="auto"/>
        <w:right w:val="none" w:sz="0" w:space="0" w:color="auto"/>
      </w:divBdr>
    </w:div>
    <w:div w:id="340621154">
      <w:bodyDiv w:val="1"/>
      <w:marLeft w:val="0"/>
      <w:marRight w:val="0"/>
      <w:marTop w:val="0"/>
      <w:marBottom w:val="0"/>
      <w:divBdr>
        <w:top w:val="none" w:sz="0" w:space="0" w:color="auto"/>
        <w:left w:val="none" w:sz="0" w:space="0" w:color="auto"/>
        <w:bottom w:val="none" w:sz="0" w:space="0" w:color="auto"/>
        <w:right w:val="none" w:sz="0" w:space="0" w:color="auto"/>
      </w:divBdr>
    </w:div>
    <w:div w:id="371656922">
      <w:bodyDiv w:val="1"/>
      <w:marLeft w:val="0"/>
      <w:marRight w:val="0"/>
      <w:marTop w:val="0"/>
      <w:marBottom w:val="0"/>
      <w:divBdr>
        <w:top w:val="none" w:sz="0" w:space="0" w:color="auto"/>
        <w:left w:val="none" w:sz="0" w:space="0" w:color="auto"/>
        <w:bottom w:val="none" w:sz="0" w:space="0" w:color="auto"/>
        <w:right w:val="none" w:sz="0" w:space="0" w:color="auto"/>
      </w:divBdr>
      <w:divsChild>
        <w:div w:id="281233233">
          <w:marLeft w:val="0"/>
          <w:marRight w:val="0"/>
          <w:marTop w:val="0"/>
          <w:marBottom w:val="0"/>
          <w:divBdr>
            <w:top w:val="none" w:sz="0" w:space="0" w:color="auto"/>
            <w:left w:val="none" w:sz="0" w:space="0" w:color="auto"/>
            <w:bottom w:val="none" w:sz="0" w:space="0" w:color="auto"/>
            <w:right w:val="none" w:sz="0" w:space="0" w:color="auto"/>
          </w:divBdr>
        </w:div>
      </w:divsChild>
    </w:div>
    <w:div w:id="387580250">
      <w:bodyDiv w:val="1"/>
      <w:marLeft w:val="0"/>
      <w:marRight w:val="0"/>
      <w:marTop w:val="0"/>
      <w:marBottom w:val="0"/>
      <w:divBdr>
        <w:top w:val="none" w:sz="0" w:space="0" w:color="auto"/>
        <w:left w:val="none" w:sz="0" w:space="0" w:color="auto"/>
        <w:bottom w:val="none" w:sz="0" w:space="0" w:color="auto"/>
        <w:right w:val="none" w:sz="0" w:space="0" w:color="auto"/>
      </w:divBdr>
    </w:div>
    <w:div w:id="486284045">
      <w:bodyDiv w:val="1"/>
      <w:marLeft w:val="0"/>
      <w:marRight w:val="0"/>
      <w:marTop w:val="0"/>
      <w:marBottom w:val="0"/>
      <w:divBdr>
        <w:top w:val="none" w:sz="0" w:space="0" w:color="auto"/>
        <w:left w:val="none" w:sz="0" w:space="0" w:color="auto"/>
        <w:bottom w:val="none" w:sz="0" w:space="0" w:color="auto"/>
        <w:right w:val="none" w:sz="0" w:space="0" w:color="auto"/>
      </w:divBdr>
    </w:div>
    <w:div w:id="525219308">
      <w:bodyDiv w:val="1"/>
      <w:marLeft w:val="0"/>
      <w:marRight w:val="0"/>
      <w:marTop w:val="0"/>
      <w:marBottom w:val="0"/>
      <w:divBdr>
        <w:top w:val="none" w:sz="0" w:space="0" w:color="auto"/>
        <w:left w:val="none" w:sz="0" w:space="0" w:color="auto"/>
        <w:bottom w:val="none" w:sz="0" w:space="0" w:color="auto"/>
        <w:right w:val="none" w:sz="0" w:space="0" w:color="auto"/>
      </w:divBdr>
    </w:div>
    <w:div w:id="589657955">
      <w:bodyDiv w:val="1"/>
      <w:marLeft w:val="0"/>
      <w:marRight w:val="0"/>
      <w:marTop w:val="0"/>
      <w:marBottom w:val="0"/>
      <w:divBdr>
        <w:top w:val="none" w:sz="0" w:space="0" w:color="auto"/>
        <w:left w:val="none" w:sz="0" w:space="0" w:color="auto"/>
        <w:bottom w:val="none" w:sz="0" w:space="0" w:color="auto"/>
        <w:right w:val="none" w:sz="0" w:space="0" w:color="auto"/>
      </w:divBdr>
    </w:div>
    <w:div w:id="648555860">
      <w:bodyDiv w:val="1"/>
      <w:marLeft w:val="0"/>
      <w:marRight w:val="0"/>
      <w:marTop w:val="0"/>
      <w:marBottom w:val="0"/>
      <w:divBdr>
        <w:top w:val="none" w:sz="0" w:space="0" w:color="auto"/>
        <w:left w:val="none" w:sz="0" w:space="0" w:color="auto"/>
        <w:bottom w:val="none" w:sz="0" w:space="0" w:color="auto"/>
        <w:right w:val="none" w:sz="0" w:space="0" w:color="auto"/>
      </w:divBdr>
    </w:div>
    <w:div w:id="736435380">
      <w:bodyDiv w:val="1"/>
      <w:marLeft w:val="0"/>
      <w:marRight w:val="0"/>
      <w:marTop w:val="0"/>
      <w:marBottom w:val="0"/>
      <w:divBdr>
        <w:top w:val="none" w:sz="0" w:space="0" w:color="auto"/>
        <w:left w:val="none" w:sz="0" w:space="0" w:color="auto"/>
        <w:bottom w:val="none" w:sz="0" w:space="0" w:color="auto"/>
        <w:right w:val="none" w:sz="0" w:space="0" w:color="auto"/>
      </w:divBdr>
    </w:div>
    <w:div w:id="795370777">
      <w:bodyDiv w:val="1"/>
      <w:marLeft w:val="0"/>
      <w:marRight w:val="0"/>
      <w:marTop w:val="0"/>
      <w:marBottom w:val="0"/>
      <w:divBdr>
        <w:top w:val="none" w:sz="0" w:space="0" w:color="auto"/>
        <w:left w:val="none" w:sz="0" w:space="0" w:color="auto"/>
        <w:bottom w:val="none" w:sz="0" w:space="0" w:color="auto"/>
        <w:right w:val="none" w:sz="0" w:space="0" w:color="auto"/>
      </w:divBdr>
    </w:div>
    <w:div w:id="808283787">
      <w:bodyDiv w:val="1"/>
      <w:marLeft w:val="0"/>
      <w:marRight w:val="0"/>
      <w:marTop w:val="0"/>
      <w:marBottom w:val="0"/>
      <w:divBdr>
        <w:top w:val="none" w:sz="0" w:space="0" w:color="auto"/>
        <w:left w:val="none" w:sz="0" w:space="0" w:color="auto"/>
        <w:bottom w:val="none" w:sz="0" w:space="0" w:color="auto"/>
        <w:right w:val="none" w:sz="0" w:space="0" w:color="auto"/>
      </w:divBdr>
    </w:div>
    <w:div w:id="822703318">
      <w:bodyDiv w:val="1"/>
      <w:marLeft w:val="0"/>
      <w:marRight w:val="0"/>
      <w:marTop w:val="0"/>
      <w:marBottom w:val="0"/>
      <w:divBdr>
        <w:top w:val="none" w:sz="0" w:space="0" w:color="auto"/>
        <w:left w:val="none" w:sz="0" w:space="0" w:color="auto"/>
        <w:bottom w:val="none" w:sz="0" w:space="0" w:color="auto"/>
        <w:right w:val="none" w:sz="0" w:space="0" w:color="auto"/>
      </w:divBdr>
    </w:div>
    <w:div w:id="952635491">
      <w:bodyDiv w:val="1"/>
      <w:marLeft w:val="0"/>
      <w:marRight w:val="0"/>
      <w:marTop w:val="0"/>
      <w:marBottom w:val="0"/>
      <w:divBdr>
        <w:top w:val="none" w:sz="0" w:space="0" w:color="auto"/>
        <w:left w:val="none" w:sz="0" w:space="0" w:color="auto"/>
        <w:bottom w:val="none" w:sz="0" w:space="0" w:color="auto"/>
        <w:right w:val="none" w:sz="0" w:space="0" w:color="auto"/>
      </w:divBdr>
    </w:div>
    <w:div w:id="967468531">
      <w:bodyDiv w:val="1"/>
      <w:marLeft w:val="0"/>
      <w:marRight w:val="0"/>
      <w:marTop w:val="0"/>
      <w:marBottom w:val="0"/>
      <w:divBdr>
        <w:top w:val="none" w:sz="0" w:space="0" w:color="auto"/>
        <w:left w:val="none" w:sz="0" w:space="0" w:color="auto"/>
        <w:bottom w:val="none" w:sz="0" w:space="0" w:color="auto"/>
        <w:right w:val="none" w:sz="0" w:space="0" w:color="auto"/>
      </w:divBdr>
    </w:div>
    <w:div w:id="1059128088">
      <w:bodyDiv w:val="1"/>
      <w:marLeft w:val="0"/>
      <w:marRight w:val="0"/>
      <w:marTop w:val="0"/>
      <w:marBottom w:val="0"/>
      <w:divBdr>
        <w:top w:val="none" w:sz="0" w:space="0" w:color="auto"/>
        <w:left w:val="none" w:sz="0" w:space="0" w:color="auto"/>
        <w:bottom w:val="none" w:sz="0" w:space="0" w:color="auto"/>
        <w:right w:val="none" w:sz="0" w:space="0" w:color="auto"/>
      </w:divBdr>
    </w:div>
    <w:div w:id="1106386339">
      <w:bodyDiv w:val="1"/>
      <w:marLeft w:val="0"/>
      <w:marRight w:val="0"/>
      <w:marTop w:val="0"/>
      <w:marBottom w:val="0"/>
      <w:divBdr>
        <w:top w:val="none" w:sz="0" w:space="0" w:color="auto"/>
        <w:left w:val="none" w:sz="0" w:space="0" w:color="auto"/>
        <w:bottom w:val="none" w:sz="0" w:space="0" w:color="auto"/>
        <w:right w:val="none" w:sz="0" w:space="0" w:color="auto"/>
      </w:divBdr>
    </w:div>
    <w:div w:id="1210338626">
      <w:bodyDiv w:val="1"/>
      <w:marLeft w:val="0"/>
      <w:marRight w:val="0"/>
      <w:marTop w:val="0"/>
      <w:marBottom w:val="0"/>
      <w:divBdr>
        <w:top w:val="none" w:sz="0" w:space="0" w:color="auto"/>
        <w:left w:val="none" w:sz="0" w:space="0" w:color="auto"/>
        <w:bottom w:val="none" w:sz="0" w:space="0" w:color="auto"/>
        <w:right w:val="none" w:sz="0" w:space="0" w:color="auto"/>
      </w:divBdr>
    </w:div>
    <w:div w:id="1343513672">
      <w:bodyDiv w:val="1"/>
      <w:marLeft w:val="0"/>
      <w:marRight w:val="0"/>
      <w:marTop w:val="0"/>
      <w:marBottom w:val="0"/>
      <w:divBdr>
        <w:top w:val="none" w:sz="0" w:space="0" w:color="auto"/>
        <w:left w:val="none" w:sz="0" w:space="0" w:color="auto"/>
        <w:bottom w:val="none" w:sz="0" w:space="0" w:color="auto"/>
        <w:right w:val="none" w:sz="0" w:space="0" w:color="auto"/>
      </w:divBdr>
    </w:div>
    <w:div w:id="1366902492">
      <w:bodyDiv w:val="1"/>
      <w:marLeft w:val="0"/>
      <w:marRight w:val="0"/>
      <w:marTop w:val="0"/>
      <w:marBottom w:val="0"/>
      <w:divBdr>
        <w:top w:val="none" w:sz="0" w:space="0" w:color="auto"/>
        <w:left w:val="none" w:sz="0" w:space="0" w:color="auto"/>
        <w:bottom w:val="none" w:sz="0" w:space="0" w:color="auto"/>
        <w:right w:val="none" w:sz="0" w:space="0" w:color="auto"/>
      </w:divBdr>
    </w:div>
    <w:div w:id="1379550689">
      <w:bodyDiv w:val="1"/>
      <w:marLeft w:val="0"/>
      <w:marRight w:val="0"/>
      <w:marTop w:val="0"/>
      <w:marBottom w:val="0"/>
      <w:divBdr>
        <w:top w:val="none" w:sz="0" w:space="0" w:color="auto"/>
        <w:left w:val="none" w:sz="0" w:space="0" w:color="auto"/>
        <w:bottom w:val="none" w:sz="0" w:space="0" w:color="auto"/>
        <w:right w:val="none" w:sz="0" w:space="0" w:color="auto"/>
      </w:divBdr>
    </w:div>
    <w:div w:id="1382485364">
      <w:bodyDiv w:val="1"/>
      <w:marLeft w:val="0"/>
      <w:marRight w:val="0"/>
      <w:marTop w:val="0"/>
      <w:marBottom w:val="0"/>
      <w:divBdr>
        <w:top w:val="none" w:sz="0" w:space="0" w:color="auto"/>
        <w:left w:val="none" w:sz="0" w:space="0" w:color="auto"/>
        <w:bottom w:val="none" w:sz="0" w:space="0" w:color="auto"/>
        <w:right w:val="none" w:sz="0" w:space="0" w:color="auto"/>
      </w:divBdr>
    </w:div>
    <w:div w:id="1417750950">
      <w:bodyDiv w:val="1"/>
      <w:marLeft w:val="0"/>
      <w:marRight w:val="0"/>
      <w:marTop w:val="0"/>
      <w:marBottom w:val="0"/>
      <w:divBdr>
        <w:top w:val="none" w:sz="0" w:space="0" w:color="auto"/>
        <w:left w:val="none" w:sz="0" w:space="0" w:color="auto"/>
        <w:bottom w:val="none" w:sz="0" w:space="0" w:color="auto"/>
        <w:right w:val="none" w:sz="0" w:space="0" w:color="auto"/>
      </w:divBdr>
    </w:div>
    <w:div w:id="1526821742">
      <w:bodyDiv w:val="1"/>
      <w:marLeft w:val="0"/>
      <w:marRight w:val="0"/>
      <w:marTop w:val="0"/>
      <w:marBottom w:val="0"/>
      <w:divBdr>
        <w:top w:val="none" w:sz="0" w:space="0" w:color="auto"/>
        <w:left w:val="none" w:sz="0" w:space="0" w:color="auto"/>
        <w:bottom w:val="none" w:sz="0" w:space="0" w:color="auto"/>
        <w:right w:val="none" w:sz="0" w:space="0" w:color="auto"/>
      </w:divBdr>
    </w:div>
    <w:div w:id="1576863711">
      <w:bodyDiv w:val="1"/>
      <w:marLeft w:val="0"/>
      <w:marRight w:val="0"/>
      <w:marTop w:val="0"/>
      <w:marBottom w:val="0"/>
      <w:divBdr>
        <w:top w:val="none" w:sz="0" w:space="0" w:color="auto"/>
        <w:left w:val="none" w:sz="0" w:space="0" w:color="auto"/>
        <w:bottom w:val="none" w:sz="0" w:space="0" w:color="auto"/>
        <w:right w:val="none" w:sz="0" w:space="0" w:color="auto"/>
      </w:divBdr>
    </w:div>
    <w:div w:id="1657344508">
      <w:bodyDiv w:val="1"/>
      <w:marLeft w:val="0"/>
      <w:marRight w:val="0"/>
      <w:marTop w:val="0"/>
      <w:marBottom w:val="0"/>
      <w:divBdr>
        <w:top w:val="none" w:sz="0" w:space="0" w:color="auto"/>
        <w:left w:val="none" w:sz="0" w:space="0" w:color="auto"/>
        <w:bottom w:val="none" w:sz="0" w:space="0" w:color="auto"/>
        <w:right w:val="none" w:sz="0" w:space="0" w:color="auto"/>
      </w:divBdr>
    </w:div>
    <w:div w:id="1707485031">
      <w:bodyDiv w:val="1"/>
      <w:marLeft w:val="0"/>
      <w:marRight w:val="0"/>
      <w:marTop w:val="0"/>
      <w:marBottom w:val="0"/>
      <w:divBdr>
        <w:top w:val="none" w:sz="0" w:space="0" w:color="auto"/>
        <w:left w:val="none" w:sz="0" w:space="0" w:color="auto"/>
        <w:bottom w:val="none" w:sz="0" w:space="0" w:color="auto"/>
        <w:right w:val="none" w:sz="0" w:space="0" w:color="auto"/>
      </w:divBdr>
    </w:div>
    <w:div w:id="1845197274">
      <w:bodyDiv w:val="1"/>
      <w:marLeft w:val="0"/>
      <w:marRight w:val="0"/>
      <w:marTop w:val="0"/>
      <w:marBottom w:val="0"/>
      <w:divBdr>
        <w:top w:val="none" w:sz="0" w:space="0" w:color="auto"/>
        <w:left w:val="none" w:sz="0" w:space="0" w:color="auto"/>
        <w:bottom w:val="none" w:sz="0" w:space="0" w:color="auto"/>
        <w:right w:val="none" w:sz="0" w:space="0" w:color="auto"/>
      </w:divBdr>
    </w:div>
    <w:div w:id="1936209479">
      <w:bodyDiv w:val="1"/>
      <w:marLeft w:val="0"/>
      <w:marRight w:val="0"/>
      <w:marTop w:val="0"/>
      <w:marBottom w:val="0"/>
      <w:divBdr>
        <w:top w:val="none" w:sz="0" w:space="0" w:color="auto"/>
        <w:left w:val="none" w:sz="0" w:space="0" w:color="auto"/>
        <w:bottom w:val="none" w:sz="0" w:space="0" w:color="auto"/>
        <w:right w:val="none" w:sz="0" w:space="0" w:color="auto"/>
      </w:divBdr>
    </w:div>
    <w:div w:id="1957562094">
      <w:bodyDiv w:val="1"/>
      <w:marLeft w:val="0"/>
      <w:marRight w:val="0"/>
      <w:marTop w:val="0"/>
      <w:marBottom w:val="0"/>
      <w:divBdr>
        <w:top w:val="none" w:sz="0" w:space="0" w:color="auto"/>
        <w:left w:val="none" w:sz="0" w:space="0" w:color="auto"/>
        <w:bottom w:val="none" w:sz="0" w:space="0" w:color="auto"/>
        <w:right w:val="none" w:sz="0" w:space="0" w:color="auto"/>
      </w:divBdr>
    </w:div>
    <w:div w:id="2036223652">
      <w:bodyDiv w:val="1"/>
      <w:marLeft w:val="0"/>
      <w:marRight w:val="0"/>
      <w:marTop w:val="0"/>
      <w:marBottom w:val="0"/>
      <w:divBdr>
        <w:top w:val="none" w:sz="0" w:space="0" w:color="auto"/>
        <w:left w:val="none" w:sz="0" w:space="0" w:color="auto"/>
        <w:bottom w:val="none" w:sz="0" w:space="0" w:color="auto"/>
        <w:right w:val="none" w:sz="0" w:space="0" w:color="auto"/>
      </w:divBdr>
    </w:div>
    <w:div w:id="20681868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e-sme.org/" TargetMode="External"/><Relationship Id="rId13" Type="http://schemas.openxmlformats.org/officeDocument/2006/relationships/hyperlink" Target="https://www.mhe-sme.org/library/toolkit-on-article-27-of-the-uncrpd/"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mhe-sme.org/wp-content/uploads/2017/09/Toolkit-on-article-27-of-the-UNCRPD.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e-sme.org/guide-to-personal-recovery/" TargetMode="External"/><Relationship Id="rId5" Type="http://schemas.openxmlformats.org/officeDocument/2006/relationships/webSettings" Target="webSettings.xml"/><Relationship Id="rId15" Type="http://schemas.openxmlformats.org/officeDocument/2006/relationships/hyperlink" Target="https://www.mhe-sme.org/implementing-supported-decision-making/" TargetMode="External"/><Relationship Id="rId10" Type="http://schemas.openxmlformats.org/officeDocument/2006/relationships/hyperlink" Target="https://www.mhe-sme.org/mental-health-europe-explain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e-sme.org/mental-health-europe-explained/" TargetMode="External"/><Relationship Id="rId14" Type="http://schemas.openxmlformats.org/officeDocument/2006/relationships/hyperlink" Target="https://www.mhe-sme.org/guide-to-personal-recovery/" TargetMode="External"/><Relationship Id="rId22"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s://www.mhe-sme.org/library/toolkit-on-article-27-of-the-uncrpd/" TargetMode="External"/><Relationship Id="rId2" Type="http://schemas.openxmlformats.org/officeDocument/2006/relationships/hyperlink" Target="https://www.youthforum.org/youth-covid-19-impacts-jobs-education-rights-and-mental-wellbeing" TargetMode="External"/><Relationship Id="rId1" Type="http://schemas.openxmlformats.org/officeDocument/2006/relationships/hyperlink" Target="https://www.edf-feph.org/publications/european-human-rights-report/" TargetMode="External"/><Relationship Id="rId5" Type="http://schemas.openxmlformats.org/officeDocument/2006/relationships/hyperlink" Target="https://www.ohchr.org/EN/HRBodies/CRPD/Pages/GC.aspx" TargetMode="External"/><Relationship Id="rId4" Type="http://schemas.openxmlformats.org/officeDocument/2006/relationships/hyperlink" Target="https://doi.org/10.1176/appi.ajp.2014.1307085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0A1EDF-B8AB-46B7-A1A7-358AAD156374}">
  <ds:schemaRefs>
    <ds:schemaRef ds:uri="http://schemas.openxmlformats.org/officeDocument/2006/bibliography"/>
  </ds:schemaRefs>
</ds:datastoreItem>
</file>

<file path=customXml/itemProps2.xml><?xml version="1.0" encoding="utf-8"?>
<ds:datastoreItem xmlns:ds="http://schemas.openxmlformats.org/officeDocument/2006/customXml" ds:itemID="{CD953C93-BE22-49F7-A0A2-FA5593A30A0A}"/>
</file>

<file path=customXml/itemProps3.xml><?xml version="1.0" encoding="utf-8"?>
<ds:datastoreItem xmlns:ds="http://schemas.openxmlformats.org/officeDocument/2006/customXml" ds:itemID="{E4A63EA8-6DB3-402C-A793-59E03BB38F7B}"/>
</file>

<file path=customXml/itemProps4.xml><?xml version="1.0" encoding="utf-8"?>
<ds:datastoreItem xmlns:ds="http://schemas.openxmlformats.org/officeDocument/2006/customXml" ds:itemID="{0286B33E-47B1-450C-A530-8495DCBD53BC}"/>
</file>

<file path=docProps/app.xml><?xml version="1.0" encoding="utf-8"?>
<Properties xmlns="http://schemas.openxmlformats.org/officeDocument/2006/extended-properties" xmlns:vt="http://schemas.openxmlformats.org/officeDocument/2006/docPropsVTypes">
  <Template>Normal.dotm</Template>
  <TotalTime>1</TotalTime>
  <Pages>5</Pages>
  <Words>1835</Words>
  <Characters>10464</Characters>
  <Application>Microsoft Office Word</Application>
  <DocSecurity>4</DocSecurity>
  <Lines>87</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Janna Iskakova</cp:lastModifiedBy>
  <cp:revision>2</cp:revision>
  <dcterms:created xsi:type="dcterms:W3CDTF">2021-03-15T17:35:00Z</dcterms:created>
  <dcterms:modified xsi:type="dcterms:W3CDTF">2021-03-15T17:35:00Z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