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BE4CB" w14:textId="77777777" w:rsidR="00D46304" w:rsidRPr="00D46304" w:rsidRDefault="00D46304" w:rsidP="00D46304">
      <w:pPr>
        <w:spacing w:afterLines="120" w:after="288"/>
        <w:jc w:val="center"/>
        <w:rPr>
          <w:b/>
          <w:bCs/>
          <w:sz w:val="28"/>
          <w:szCs w:val="28"/>
          <w:lang w:eastAsia="en-US"/>
        </w:rPr>
      </w:pPr>
      <w:bookmarkStart w:id="0" w:name="_GoBack"/>
      <w:bookmarkEnd w:id="0"/>
      <w:r>
        <w:rPr>
          <w:rStyle w:val="Strong"/>
          <w:rFonts w:ascii="Verdana" w:hAnsi="Verdana"/>
          <w:color w:val="000000"/>
          <w:sz w:val="19"/>
          <w:szCs w:val="19"/>
          <w:shd w:val="clear" w:color="auto" w:fill="FFFFFF"/>
        </w:rPr>
        <w:t>CRPD General discussion on Art.27</w:t>
      </w:r>
    </w:p>
    <w:p w14:paraId="23F92EE2" w14:textId="77777777" w:rsidR="00D827BD" w:rsidRDefault="00D8256B" w:rsidP="00D827BD">
      <w:pPr>
        <w:jc w:val="center"/>
        <w:rPr>
          <w:rStyle w:val="Emphasis"/>
          <w:rFonts w:ascii="Verdana" w:hAnsi="Verdana"/>
          <w:b/>
          <w:bCs/>
          <w:i w:val="0"/>
          <w:iCs w:val="0"/>
          <w:color w:val="000000"/>
          <w:sz w:val="19"/>
          <w:szCs w:val="19"/>
          <w:shd w:val="clear" w:color="auto" w:fill="FFFFFF"/>
        </w:rPr>
      </w:pPr>
      <w:r>
        <w:rPr>
          <w:rStyle w:val="Emphasis"/>
          <w:rFonts w:ascii="Verdana" w:hAnsi="Verdana"/>
          <w:b/>
          <w:bCs/>
          <w:color w:val="000000"/>
          <w:sz w:val="19"/>
          <w:szCs w:val="19"/>
          <w:shd w:val="clear" w:color="auto" w:fill="FFFFFF"/>
        </w:rPr>
        <w:t xml:space="preserve">CRPD </w:t>
      </w:r>
      <w:r w:rsidRPr="00D46304">
        <w:rPr>
          <w:rStyle w:val="Emphasis"/>
          <w:rFonts w:ascii="Verdana" w:hAnsi="Verdana"/>
          <w:b/>
          <w:bCs/>
          <w:color w:val="000000"/>
          <w:sz w:val="19"/>
          <w:szCs w:val="19"/>
          <w:shd w:val="clear" w:color="auto" w:fill="FFFFFF"/>
        </w:rPr>
        <w:t xml:space="preserve">General Comment on the right of persons with disabilities to work and </w:t>
      </w:r>
      <w:r w:rsidRPr="00D827BD">
        <w:rPr>
          <w:rStyle w:val="Emphasis"/>
          <w:rFonts w:ascii="Verdana" w:hAnsi="Verdana"/>
          <w:b/>
          <w:bCs/>
          <w:i w:val="0"/>
          <w:iCs w:val="0"/>
          <w:color w:val="000000"/>
          <w:sz w:val="19"/>
          <w:szCs w:val="19"/>
          <w:shd w:val="clear" w:color="auto" w:fill="FFFFFF"/>
        </w:rPr>
        <w:t>employment</w:t>
      </w:r>
    </w:p>
    <w:p w14:paraId="6D905A87" w14:textId="77777777" w:rsidR="00D827BD" w:rsidRDefault="00D827BD" w:rsidP="00D827BD">
      <w:pPr>
        <w:jc w:val="center"/>
        <w:rPr>
          <w:rStyle w:val="Emphasis"/>
          <w:rFonts w:ascii="Verdana" w:hAnsi="Verdana"/>
          <w:b/>
          <w:bCs/>
          <w:i w:val="0"/>
          <w:iCs w:val="0"/>
          <w:color w:val="000000"/>
          <w:sz w:val="19"/>
          <w:szCs w:val="19"/>
          <w:shd w:val="clear" w:color="auto" w:fill="FFFFFF"/>
        </w:rPr>
      </w:pPr>
    </w:p>
    <w:p w14:paraId="47462176" w14:textId="55EDE4A1" w:rsidR="00D8256B" w:rsidRPr="00D827BD" w:rsidRDefault="00D827BD" w:rsidP="00D827BD">
      <w:pPr>
        <w:jc w:val="center"/>
        <w:rPr>
          <w:rStyle w:val="Emphasis"/>
          <w:b/>
          <w:bCs/>
          <w:i w:val="0"/>
          <w:iCs w:val="0"/>
          <w:lang w:val="en-CA"/>
        </w:rPr>
      </w:pPr>
      <w:r w:rsidRPr="00D827BD">
        <w:rPr>
          <w:b/>
          <w:bCs/>
          <w:lang w:val="en-CA"/>
        </w:rPr>
        <w:t xml:space="preserve">15 </w:t>
      </w:r>
      <w:r w:rsidRPr="004B3B06">
        <w:rPr>
          <w:b/>
          <w:bCs/>
          <w:lang w:val="en-CA"/>
        </w:rPr>
        <w:t>March 2021</w:t>
      </w:r>
    </w:p>
    <w:p w14:paraId="113B3445" w14:textId="77777777" w:rsidR="000C429E" w:rsidRPr="004B3B06" w:rsidRDefault="000C429E" w:rsidP="000C429E">
      <w:pPr>
        <w:jc w:val="center"/>
        <w:rPr>
          <w:b/>
          <w:bCs/>
          <w:lang w:val="en-CA"/>
        </w:rPr>
      </w:pPr>
      <w:r w:rsidRPr="004B3B06">
        <w:rPr>
          <w:b/>
          <w:bCs/>
          <w:lang w:val="en-CA"/>
        </w:rPr>
        <w:t>Landmine and Cluster Munition Monitor</w:t>
      </w:r>
    </w:p>
    <w:p w14:paraId="435DE76D" w14:textId="77777777" w:rsidR="00D75E3B" w:rsidRPr="0077270E" w:rsidRDefault="00D75E3B" w:rsidP="00FB2114"/>
    <w:p w14:paraId="0294276A" w14:textId="2CE9AEEC" w:rsidR="00FB2114" w:rsidRDefault="00D8256B" w:rsidP="00FB2114">
      <w:pPr>
        <w:pBdr>
          <w:bottom w:val="single" w:sz="12" w:space="1" w:color="auto"/>
        </w:pBdr>
        <w:rPr>
          <w:lang w:val="en-CA"/>
        </w:rPr>
      </w:pPr>
      <w:r w:rsidRPr="00D8256B">
        <w:rPr>
          <w:lang w:val="en-CA"/>
        </w:rPr>
        <w:t>Landmine and Cluster Munition Monitor</w:t>
      </w:r>
      <w:r>
        <w:rPr>
          <w:lang w:val="en-CA"/>
        </w:rPr>
        <w:t xml:space="preserve"> Impact Research Team </w:t>
      </w:r>
      <w:r w:rsidR="008E6A0C">
        <w:rPr>
          <w:lang w:val="en-CA"/>
        </w:rPr>
        <w:t>with</w:t>
      </w:r>
      <w:r w:rsidRPr="00D8256B">
        <w:rPr>
          <w:lang w:val="en-CA"/>
        </w:rPr>
        <w:t xml:space="preserve"> Marianne Schulze</w:t>
      </w:r>
    </w:p>
    <w:p w14:paraId="21F05BC8" w14:textId="77777777" w:rsidR="00D8256B" w:rsidRDefault="00D8256B" w:rsidP="00FB2114">
      <w:pPr>
        <w:pBdr>
          <w:bottom w:val="single" w:sz="12" w:space="1" w:color="auto"/>
        </w:pBdr>
        <w:rPr>
          <w:lang w:val="en-CA"/>
        </w:rPr>
      </w:pPr>
    </w:p>
    <w:p w14:paraId="0DF41D20" w14:textId="690E0B8C" w:rsidR="00FF6E83" w:rsidRDefault="00FF6E83" w:rsidP="002B6F72">
      <w:pPr>
        <w:shd w:val="clear" w:color="auto" w:fill="FFFFFF"/>
        <w:rPr>
          <w:rFonts w:eastAsia="Times New Roman"/>
          <w:color w:val="222222"/>
          <w:lang w:eastAsia="en-US"/>
        </w:rPr>
      </w:pPr>
    </w:p>
    <w:p w14:paraId="11F91EB5" w14:textId="156D6294" w:rsidR="000045E7" w:rsidRDefault="004B3B06" w:rsidP="004B3B06">
      <w:pPr>
        <w:rPr>
          <w:rFonts w:eastAsia="Times New Roman"/>
          <w:color w:val="222222"/>
          <w:lang w:eastAsia="en-US"/>
        </w:rPr>
      </w:pPr>
      <w:r w:rsidRPr="004B3B06">
        <w:t xml:space="preserve">The </w:t>
      </w:r>
      <w:r w:rsidRPr="004B3B06">
        <w:rPr>
          <w:b/>
        </w:rPr>
        <w:t>Landmine and Cluster Munition Monitor*</w:t>
      </w:r>
      <w:r w:rsidRPr="004B3B06">
        <w:t xml:space="preserve"> </w:t>
      </w:r>
      <w:r w:rsidR="008E6A0C">
        <w:t xml:space="preserve">thematic </w:t>
      </w:r>
      <w:r w:rsidRPr="004B3B06">
        <w:t>research team on Impact, including casualties and equal access to comprehensive rehabilitation</w:t>
      </w:r>
      <w:r w:rsidR="003C41B4">
        <w:t>,</w:t>
      </w:r>
      <w:r w:rsidRPr="004B3B06">
        <w:t xml:space="preserve"> would </w:t>
      </w:r>
      <w:r w:rsidR="000045E7" w:rsidRPr="004B3B06">
        <w:rPr>
          <w:rFonts w:eastAsia="Times New Roman"/>
          <w:color w:val="222222"/>
          <w:lang w:eastAsia="en-US"/>
        </w:rPr>
        <w:t xml:space="preserve">like to raise the following issues on </w:t>
      </w:r>
      <w:r w:rsidR="003C41B4">
        <w:rPr>
          <w:rFonts w:eastAsia="Times New Roman"/>
          <w:color w:val="222222"/>
          <w:lang w:eastAsia="en-US"/>
        </w:rPr>
        <w:t xml:space="preserve">the </w:t>
      </w:r>
      <w:r w:rsidR="000045E7" w:rsidRPr="004B3B06">
        <w:rPr>
          <w:rFonts w:eastAsia="Times New Roman"/>
          <w:color w:val="222222"/>
          <w:lang w:eastAsia="en-US"/>
        </w:rPr>
        <w:t>employment of persons with disabilities</w:t>
      </w:r>
      <w:r w:rsidR="003C41B4">
        <w:rPr>
          <w:rFonts w:eastAsia="Times New Roman"/>
          <w:color w:val="222222"/>
          <w:lang w:eastAsia="en-US"/>
        </w:rPr>
        <w:t xml:space="preserve"> and </w:t>
      </w:r>
      <w:r w:rsidR="003C41B4" w:rsidRPr="00D75E3B">
        <w:rPr>
          <w:color w:val="000000" w:themeColor="text1"/>
        </w:rPr>
        <w:t xml:space="preserve">Convention on the Rights of Persons with Disabilities </w:t>
      </w:r>
      <w:r w:rsidR="003C41B4">
        <w:rPr>
          <w:color w:val="000000" w:themeColor="text1"/>
        </w:rPr>
        <w:t>(CRPD) Article 27,</w:t>
      </w:r>
      <w:r w:rsidR="000E24E6" w:rsidRPr="004B3B06">
        <w:rPr>
          <w:rFonts w:eastAsia="Times New Roman"/>
          <w:color w:val="222222"/>
          <w:lang w:eastAsia="en-US"/>
        </w:rPr>
        <w:t xml:space="preserve"> based on finding</w:t>
      </w:r>
      <w:r w:rsidR="003C41B4">
        <w:rPr>
          <w:rFonts w:eastAsia="Times New Roman"/>
          <w:color w:val="222222"/>
          <w:lang w:eastAsia="en-US"/>
        </w:rPr>
        <w:t>s</w:t>
      </w:r>
      <w:r w:rsidR="000E24E6" w:rsidRPr="004B3B06">
        <w:rPr>
          <w:rFonts w:eastAsia="Times New Roman"/>
          <w:color w:val="222222"/>
          <w:lang w:eastAsia="en-US"/>
        </w:rPr>
        <w:t xml:space="preserve"> drawn from multi-year reporting</w:t>
      </w:r>
      <w:r w:rsidR="000045E7" w:rsidRPr="004B3B06">
        <w:rPr>
          <w:rFonts w:eastAsia="Times New Roman"/>
          <w:color w:val="222222"/>
          <w:lang w:eastAsia="en-US"/>
        </w:rPr>
        <w:t>:</w:t>
      </w:r>
    </w:p>
    <w:p w14:paraId="02266856" w14:textId="77777777" w:rsidR="007008C9" w:rsidRDefault="007008C9" w:rsidP="002B6F72">
      <w:pPr>
        <w:shd w:val="clear" w:color="auto" w:fill="FFFFFF"/>
        <w:rPr>
          <w:rFonts w:eastAsia="Times New Roman"/>
          <w:color w:val="222222"/>
          <w:lang w:eastAsia="en-US"/>
        </w:rPr>
      </w:pPr>
    </w:p>
    <w:p w14:paraId="4BE5BADF" w14:textId="4E10CD44" w:rsidR="000045E7" w:rsidRDefault="000045E7" w:rsidP="00E90BB3">
      <w:pPr>
        <w:pStyle w:val="ListParagraph"/>
        <w:numPr>
          <w:ilvl w:val="0"/>
          <w:numId w:val="10"/>
        </w:numPr>
        <w:shd w:val="clear" w:color="auto" w:fill="FFFFFF"/>
        <w:rPr>
          <w:rFonts w:eastAsia="Times New Roman"/>
          <w:color w:val="222222"/>
          <w:lang w:eastAsia="en-US"/>
        </w:rPr>
      </w:pPr>
      <w:r>
        <w:rPr>
          <w:rFonts w:eastAsia="Times New Roman"/>
          <w:color w:val="222222"/>
          <w:lang w:eastAsia="en-US"/>
        </w:rPr>
        <w:t>Unemployment and lack of support for existing skills</w:t>
      </w:r>
      <w:r w:rsidR="0062251B">
        <w:rPr>
          <w:rFonts w:eastAsia="Times New Roman"/>
          <w:color w:val="222222"/>
          <w:lang w:eastAsia="en-US"/>
        </w:rPr>
        <w:t xml:space="preserve">, </w:t>
      </w:r>
      <w:r w:rsidR="0062251B">
        <w:t xml:space="preserve">as well as opportunities for relevant and market-demanded vocational and skills training, local </w:t>
      </w:r>
      <w:r w:rsidR="0062251B" w:rsidRPr="00ED1F5D">
        <w:rPr>
          <w:rStyle w:val="Emphasis"/>
          <w:i w:val="0"/>
          <w:iCs w:val="0"/>
        </w:rPr>
        <w:t>employment</w:t>
      </w:r>
      <w:r w:rsidR="0062251B" w:rsidRPr="00ED1F5D">
        <w:rPr>
          <w:rStyle w:val="acopre"/>
          <w:i/>
        </w:rPr>
        <w:t xml:space="preserve"> </w:t>
      </w:r>
      <w:r w:rsidR="0062251B">
        <w:rPr>
          <w:rStyle w:val="acopre"/>
        </w:rPr>
        <w:t xml:space="preserve">initiatives, and other </w:t>
      </w:r>
      <w:r w:rsidR="0062251B" w:rsidRPr="00095E6C">
        <w:rPr>
          <w:rStyle w:val="Emphasis"/>
          <w:i w:val="0"/>
          <w:iCs w:val="0"/>
        </w:rPr>
        <w:t>livelihood</w:t>
      </w:r>
      <w:r w:rsidR="0062251B">
        <w:rPr>
          <w:rStyle w:val="acopre"/>
        </w:rPr>
        <w:t xml:space="preserve"> activities</w:t>
      </w:r>
      <w:r>
        <w:rPr>
          <w:rFonts w:eastAsia="Times New Roman"/>
          <w:color w:val="222222"/>
          <w:lang w:eastAsia="en-US"/>
        </w:rPr>
        <w:t xml:space="preserve"> are highest in rural</w:t>
      </w:r>
      <w:r w:rsidR="007008C9">
        <w:rPr>
          <w:rFonts w:eastAsia="Times New Roman"/>
          <w:color w:val="222222"/>
          <w:lang w:eastAsia="en-US"/>
        </w:rPr>
        <w:t xml:space="preserve"> &amp; remote</w:t>
      </w:r>
      <w:r>
        <w:rPr>
          <w:rFonts w:eastAsia="Times New Roman"/>
          <w:color w:val="222222"/>
          <w:lang w:eastAsia="en-US"/>
        </w:rPr>
        <w:t xml:space="preserve"> areas; </w:t>
      </w:r>
      <w:r w:rsidR="003D55CD">
        <w:rPr>
          <w:rFonts w:eastAsia="Times New Roman"/>
          <w:color w:val="222222"/>
          <w:lang w:eastAsia="en-US"/>
        </w:rPr>
        <w:t xml:space="preserve">close consultation with persons with disabilities and </w:t>
      </w:r>
      <w:r>
        <w:rPr>
          <w:rFonts w:eastAsia="Times New Roman"/>
          <w:color w:val="222222"/>
          <w:lang w:eastAsia="en-US"/>
        </w:rPr>
        <w:t>community-based services in rural</w:t>
      </w:r>
      <w:r w:rsidR="007008C9">
        <w:rPr>
          <w:rFonts w:eastAsia="Times New Roman"/>
          <w:color w:val="222222"/>
          <w:lang w:eastAsia="en-US"/>
        </w:rPr>
        <w:t xml:space="preserve"> &amp;</w:t>
      </w:r>
      <w:r w:rsidR="00621FE2">
        <w:rPr>
          <w:rFonts w:eastAsia="Times New Roman"/>
          <w:color w:val="222222"/>
          <w:lang w:eastAsia="en-US"/>
        </w:rPr>
        <w:t xml:space="preserve"> </w:t>
      </w:r>
      <w:r w:rsidR="007008C9">
        <w:rPr>
          <w:rFonts w:eastAsia="Times New Roman"/>
          <w:color w:val="222222"/>
          <w:lang w:eastAsia="en-US"/>
        </w:rPr>
        <w:t>remote</w:t>
      </w:r>
      <w:r>
        <w:rPr>
          <w:rFonts w:eastAsia="Times New Roman"/>
          <w:color w:val="222222"/>
          <w:lang w:eastAsia="en-US"/>
        </w:rPr>
        <w:t xml:space="preserve"> areas are paramount </w:t>
      </w:r>
    </w:p>
    <w:p w14:paraId="02FB0A4C" w14:textId="77777777" w:rsidR="007008C9" w:rsidRDefault="007008C9" w:rsidP="007008C9">
      <w:pPr>
        <w:pStyle w:val="ListParagraph"/>
        <w:shd w:val="clear" w:color="auto" w:fill="FFFFFF"/>
        <w:rPr>
          <w:rFonts w:eastAsia="Times New Roman"/>
          <w:color w:val="222222"/>
          <w:lang w:eastAsia="en-US"/>
        </w:rPr>
      </w:pPr>
    </w:p>
    <w:p w14:paraId="4636A3B9" w14:textId="455A77E0" w:rsidR="0062251B" w:rsidRPr="0062251B" w:rsidRDefault="00977243" w:rsidP="0062251B">
      <w:pPr>
        <w:pStyle w:val="ListParagraph"/>
        <w:numPr>
          <w:ilvl w:val="0"/>
          <w:numId w:val="10"/>
        </w:numPr>
        <w:rPr>
          <w:rFonts w:eastAsia="Times New Roman"/>
          <w:color w:val="222222"/>
          <w:lang w:eastAsia="en-US"/>
        </w:rPr>
      </w:pPr>
      <w:r w:rsidRPr="0062251B">
        <w:rPr>
          <w:rFonts w:eastAsia="Times New Roman"/>
          <w:color w:val="222222"/>
          <w:lang w:eastAsia="en-US"/>
        </w:rPr>
        <w:t>Labor</w:t>
      </w:r>
      <w:r w:rsidR="0062251B" w:rsidRPr="0062251B">
        <w:rPr>
          <w:rFonts w:eastAsia="Times New Roman"/>
          <w:color w:val="222222"/>
          <w:lang w:eastAsia="en-US"/>
        </w:rPr>
        <w:t xml:space="preserve"> exploitation and sub-forms thereof are a pressing concern, particularly those placing </w:t>
      </w:r>
      <w:r>
        <w:rPr>
          <w:rFonts w:eastAsia="Times New Roman"/>
          <w:color w:val="222222"/>
          <w:lang w:eastAsia="en-US"/>
        </w:rPr>
        <w:t xml:space="preserve">marginalized </w:t>
      </w:r>
      <w:r w:rsidR="0062251B" w:rsidRPr="0062251B">
        <w:rPr>
          <w:rFonts w:eastAsia="Times New Roman"/>
          <w:color w:val="222222"/>
          <w:lang w:eastAsia="en-US"/>
        </w:rPr>
        <w:t>children</w:t>
      </w:r>
      <w:r w:rsidR="00902F85">
        <w:rPr>
          <w:rFonts w:eastAsia="Times New Roman"/>
          <w:color w:val="222222"/>
          <w:lang w:eastAsia="en-US"/>
        </w:rPr>
        <w:t>, including children with disabilities,</w:t>
      </w:r>
      <w:r w:rsidR="0062251B" w:rsidRPr="0062251B">
        <w:rPr>
          <w:rFonts w:eastAsia="Times New Roman"/>
          <w:color w:val="222222"/>
          <w:lang w:eastAsia="en-US"/>
        </w:rPr>
        <w:t xml:space="preserve"> at high risk of sustaining injuries and impairments </w:t>
      </w:r>
    </w:p>
    <w:p w14:paraId="73C6C0A6" w14:textId="77777777" w:rsidR="007008C9" w:rsidRPr="007008C9" w:rsidRDefault="007008C9" w:rsidP="007008C9">
      <w:pPr>
        <w:shd w:val="clear" w:color="auto" w:fill="FFFFFF"/>
        <w:rPr>
          <w:rFonts w:eastAsia="Times New Roman"/>
          <w:color w:val="222222"/>
          <w:lang w:eastAsia="en-US"/>
        </w:rPr>
      </w:pPr>
    </w:p>
    <w:p w14:paraId="49F14117" w14:textId="404DAF71" w:rsidR="0062251B" w:rsidRPr="0062251B" w:rsidRDefault="0062251B" w:rsidP="0062251B">
      <w:pPr>
        <w:pStyle w:val="ListParagraph"/>
        <w:numPr>
          <w:ilvl w:val="0"/>
          <w:numId w:val="10"/>
        </w:numPr>
        <w:rPr>
          <w:rFonts w:eastAsia="Times New Roman"/>
          <w:color w:val="222222"/>
          <w:lang w:eastAsia="en-US"/>
        </w:rPr>
      </w:pPr>
      <w:r w:rsidRPr="0062251B">
        <w:rPr>
          <w:rFonts w:eastAsia="Times New Roman"/>
          <w:color w:val="222222"/>
          <w:lang w:eastAsia="en-US"/>
        </w:rPr>
        <w:t>Violence protection measures are crucial in all contexts, but particularly where inconsistencies with decent work standards or the principles of a right to remedy may contribute to a potential expan</w:t>
      </w:r>
      <w:r w:rsidR="00F0792E">
        <w:rPr>
          <w:rFonts w:eastAsia="Times New Roman"/>
          <w:color w:val="222222"/>
          <w:lang w:eastAsia="en-US"/>
        </w:rPr>
        <w:t>sion</w:t>
      </w:r>
      <w:r w:rsidRPr="0062251B">
        <w:rPr>
          <w:rFonts w:eastAsia="Times New Roman"/>
          <w:color w:val="222222"/>
          <w:lang w:eastAsia="en-US"/>
        </w:rPr>
        <w:t xml:space="preserve"> of harm</w:t>
      </w:r>
    </w:p>
    <w:p w14:paraId="51A2E299" w14:textId="77777777" w:rsidR="007008C9" w:rsidRPr="007008C9" w:rsidRDefault="007008C9" w:rsidP="007008C9">
      <w:pPr>
        <w:shd w:val="clear" w:color="auto" w:fill="FFFFFF"/>
        <w:rPr>
          <w:rFonts w:eastAsia="Times New Roman"/>
          <w:color w:val="222222"/>
          <w:lang w:eastAsia="en-US"/>
        </w:rPr>
      </w:pPr>
    </w:p>
    <w:p w14:paraId="76818DA5" w14:textId="1AE47146" w:rsidR="00B37BE2" w:rsidRDefault="00B37BE2" w:rsidP="00B37BE2">
      <w:pPr>
        <w:pStyle w:val="ListParagraph"/>
        <w:numPr>
          <w:ilvl w:val="0"/>
          <w:numId w:val="10"/>
        </w:numPr>
        <w:shd w:val="clear" w:color="auto" w:fill="FFFFFF"/>
        <w:rPr>
          <w:rFonts w:eastAsia="Times New Roman"/>
          <w:color w:val="222222"/>
          <w:lang w:eastAsia="en-US"/>
        </w:rPr>
      </w:pPr>
      <w:r>
        <w:rPr>
          <w:rFonts w:eastAsia="Times New Roman"/>
          <w:color w:val="222222"/>
          <w:lang w:eastAsia="en-US"/>
        </w:rPr>
        <w:t>Lack of data on the work</w:t>
      </w:r>
      <w:r w:rsidR="004A32DB">
        <w:rPr>
          <w:rFonts w:eastAsia="Times New Roman"/>
          <w:color w:val="222222"/>
          <w:lang w:eastAsia="en-US"/>
        </w:rPr>
        <w:t>, employmen</w:t>
      </w:r>
      <w:r w:rsidR="00002038">
        <w:rPr>
          <w:rFonts w:eastAsia="Times New Roman"/>
          <w:color w:val="222222"/>
          <w:lang w:eastAsia="en-US"/>
        </w:rPr>
        <w:t>t in conflict and post-conflict settings,</w:t>
      </w:r>
      <w:r w:rsidR="00377207">
        <w:rPr>
          <w:rFonts w:eastAsia="Times New Roman"/>
          <w:color w:val="222222"/>
          <w:lang w:eastAsia="en-US"/>
        </w:rPr>
        <w:t xml:space="preserve"> and </w:t>
      </w:r>
      <w:r w:rsidR="004A32DB">
        <w:rPr>
          <w:rFonts w:eastAsia="Times New Roman"/>
          <w:color w:val="222222"/>
          <w:lang w:eastAsia="en-US"/>
        </w:rPr>
        <w:t xml:space="preserve">also </w:t>
      </w:r>
      <w:r w:rsidR="00002038">
        <w:rPr>
          <w:rFonts w:eastAsia="Times New Roman"/>
          <w:color w:val="222222"/>
          <w:lang w:eastAsia="en-US"/>
        </w:rPr>
        <w:t>on</w:t>
      </w:r>
      <w:r w:rsidR="00142BE9">
        <w:rPr>
          <w:rFonts w:eastAsia="Times New Roman"/>
          <w:color w:val="222222"/>
          <w:lang w:eastAsia="en-US"/>
        </w:rPr>
        <w:t xml:space="preserve"> </w:t>
      </w:r>
      <w:r>
        <w:rPr>
          <w:rFonts w:eastAsia="Times New Roman"/>
          <w:color w:val="222222"/>
          <w:lang w:eastAsia="en-US"/>
        </w:rPr>
        <w:t xml:space="preserve">related risks to persons with disabilities including children, requires </w:t>
      </w:r>
      <w:r w:rsidR="007008C9">
        <w:rPr>
          <w:rFonts w:eastAsia="Times New Roman"/>
          <w:color w:val="222222"/>
          <w:lang w:eastAsia="en-US"/>
        </w:rPr>
        <w:t xml:space="preserve">action </w:t>
      </w:r>
      <w:r>
        <w:rPr>
          <w:rFonts w:eastAsia="Times New Roman"/>
          <w:color w:val="222222"/>
          <w:lang w:eastAsia="en-US"/>
        </w:rPr>
        <w:t xml:space="preserve"> </w:t>
      </w:r>
    </w:p>
    <w:p w14:paraId="25A6F73C" w14:textId="194D7240" w:rsidR="000045E7" w:rsidRPr="003D55CD" w:rsidRDefault="000045E7" w:rsidP="003D55CD">
      <w:pPr>
        <w:shd w:val="clear" w:color="auto" w:fill="FFFFFF"/>
        <w:rPr>
          <w:rFonts w:eastAsia="Times New Roman"/>
          <w:color w:val="222222"/>
          <w:lang w:eastAsia="en-US"/>
        </w:rPr>
      </w:pPr>
    </w:p>
    <w:p w14:paraId="199EF4EA" w14:textId="77777777" w:rsidR="007008C9" w:rsidRDefault="007008C9" w:rsidP="002B6F72">
      <w:pPr>
        <w:shd w:val="clear" w:color="auto" w:fill="FFFFFF"/>
        <w:rPr>
          <w:rFonts w:eastAsia="Times New Roman"/>
          <w:color w:val="222222"/>
          <w:lang w:eastAsia="en-US"/>
        </w:rPr>
      </w:pPr>
    </w:p>
    <w:p w14:paraId="4DF4A263" w14:textId="67A4BA40" w:rsidR="00F66FC3" w:rsidRPr="00F66FC3" w:rsidRDefault="00F66FC3" w:rsidP="002B6F72">
      <w:pPr>
        <w:shd w:val="clear" w:color="auto" w:fill="FFFFFF"/>
        <w:rPr>
          <w:rFonts w:eastAsia="Times New Roman"/>
          <w:b/>
          <w:color w:val="222222"/>
          <w:lang w:eastAsia="en-US"/>
        </w:rPr>
      </w:pPr>
      <w:r w:rsidRPr="00F66FC3">
        <w:rPr>
          <w:rFonts w:eastAsia="Times New Roman"/>
          <w:b/>
          <w:color w:val="222222"/>
          <w:lang w:eastAsia="en-US"/>
        </w:rPr>
        <w:t xml:space="preserve">1. </w:t>
      </w:r>
      <w:r w:rsidR="00E90BB3">
        <w:rPr>
          <w:rFonts w:eastAsia="Times New Roman"/>
          <w:b/>
          <w:color w:val="222222"/>
          <w:lang w:eastAsia="en-US"/>
        </w:rPr>
        <w:t>C</w:t>
      </w:r>
      <w:r w:rsidRPr="00F66FC3">
        <w:rPr>
          <w:rFonts w:eastAsia="Times New Roman"/>
          <w:b/>
          <w:color w:val="222222"/>
          <w:lang w:eastAsia="en-US"/>
        </w:rPr>
        <w:t xml:space="preserve">ommunity-based vocational </w:t>
      </w:r>
      <w:r w:rsidR="00E90BB3">
        <w:rPr>
          <w:rFonts w:eastAsia="Times New Roman"/>
          <w:b/>
          <w:color w:val="222222"/>
          <w:lang w:eastAsia="en-US"/>
        </w:rPr>
        <w:t>and</w:t>
      </w:r>
      <w:r w:rsidRPr="00F66FC3">
        <w:rPr>
          <w:rFonts w:eastAsia="Times New Roman"/>
          <w:b/>
          <w:color w:val="222222"/>
          <w:lang w:eastAsia="en-US"/>
        </w:rPr>
        <w:t xml:space="preserve"> employment opportunities in rural</w:t>
      </w:r>
      <w:r w:rsidR="005252AF">
        <w:rPr>
          <w:rFonts w:eastAsia="Times New Roman"/>
          <w:b/>
          <w:color w:val="222222"/>
          <w:lang w:eastAsia="en-US"/>
        </w:rPr>
        <w:t xml:space="preserve"> and remote</w:t>
      </w:r>
      <w:r w:rsidRPr="00F66FC3">
        <w:rPr>
          <w:rFonts w:eastAsia="Times New Roman"/>
          <w:b/>
          <w:color w:val="222222"/>
          <w:lang w:eastAsia="en-US"/>
        </w:rPr>
        <w:t xml:space="preserve"> areas </w:t>
      </w:r>
    </w:p>
    <w:p w14:paraId="1D36BDA6" w14:textId="77777777" w:rsidR="008800BC" w:rsidRDefault="008800BC" w:rsidP="002B6F72">
      <w:pPr>
        <w:shd w:val="clear" w:color="auto" w:fill="FFFFFF"/>
        <w:rPr>
          <w:rFonts w:eastAsia="Times New Roman"/>
          <w:color w:val="222222"/>
          <w:lang w:eastAsia="en-US"/>
        </w:rPr>
      </w:pPr>
    </w:p>
    <w:p w14:paraId="4C929048" w14:textId="1940D8D2" w:rsidR="008800BC" w:rsidRPr="008800BC" w:rsidRDefault="005626AC" w:rsidP="002B6F72">
      <w:pPr>
        <w:shd w:val="clear" w:color="auto" w:fill="FFFFFF"/>
      </w:pPr>
      <w:r>
        <w:t>The importance of community-based inclusio</w:t>
      </w:r>
      <w:r w:rsidR="006C3C9C">
        <w:t xml:space="preserve">n (Art 24/3, 26/1 &amp; 19 CRPD) is particularly challenging to achieve in the rural and remote areas affected by humanitarian disasters: </w:t>
      </w:r>
      <w:r w:rsidR="008800BC">
        <w:t>“</w:t>
      </w:r>
      <w:r w:rsidR="008800BC" w:rsidRPr="008800BC">
        <w:t>States should take measures to ensure that persons with disabilities have adequate support to rebuild their lives and livelihoods in post-disaster and post-conflict situations. Temporary and permanent employment opportunities should be provided, together with vocational training</w:t>
      </w:r>
      <w:r w:rsidR="00E90BB3">
        <w:t>.</w:t>
      </w:r>
      <w:r w:rsidR="008800BC">
        <w:t>”</w:t>
      </w:r>
      <w:r w:rsidR="008800BC">
        <w:rPr>
          <w:rStyle w:val="FootnoteReference"/>
        </w:rPr>
        <w:footnoteReference w:id="1"/>
      </w:r>
      <w:r w:rsidR="008800BC">
        <w:t xml:space="preserve"> </w:t>
      </w:r>
    </w:p>
    <w:p w14:paraId="371C5DCB" w14:textId="77777777" w:rsidR="008800BC" w:rsidRDefault="008800BC" w:rsidP="002B6F72">
      <w:pPr>
        <w:shd w:val="clear" w:color="auto" w:fill="FFFFFF"/>
      </w:pPr>
    </w:p>
    <w:p w14:paraId="5394F717" w14:textId="4CCE198E" w:rsidR="005252AF" w:rsidRPr="004B3B06" w:rsidRDefault="005252AF" w:rsidP="002B6F72">
      <w:pPr>
        <w:shd w:val="clear" w:color="auto" w:fill="FFFFFF"/>
      </w:pPr>
      <w:r>
        <w:t xml:space="preserve">Persons with disabilities in </w:t>
      </w:r>
      <w:r w:rsidRPr="00B116BC">
        <w:t>rural and remote areas</w:t>
      </w:r>
      <w:r>
        <w:t xml:space="preserve"> depend on vocational training</w:t>
      </w:r>
      <w:r w:rsidR="001C696F">
        <w:t>, which</w:t>
      </w:r>
      <w:r>
        <w:t xml:space="preserve"> respond</w:t>
      </w:r>
      <w:r w:rsidR="001C696F">
        <w:t>s</w:t>
      </w:r>
      <w:r>
        <w:t xml:space="preserve"> to limited educational opportunities and the </w:t>
      </w:r>
      <w:r w:rsidR="003C41B4">
        <w:t>effect</w:t>
      </w:r>
      <w:r>
        <w:t xml:space="preserve"> of discrimination and other forms of social exclusion, which </w:t>
      </w:r>
      <w:r w:rsidR="001C696F">
        <w:t xml:space="preserve">may </w:t>
      </w:r>
      <w:r w:rsidR="003C41B4">
        <w:t>influence</w:t>
      </w:r>
      <w:r>
        <w:t xml:space="preserve"> their willingness to engage. Landmine survivors and others with mental trauma may require</w:t>
      </w:r>
      <w:r w:rsidR="007008C9">
        <w:t xml:space="preserve"> additional support, including</w:t>
      </w:r>
      <w:r w:rsidR="001C696F">
        <w:t xml:space="preserve"> through</w:t>
      </w:r>
      <w:r w:rsidR="007008C9">
        <w:t xml:space="preserve"> peer</w:t>
      </w:r>
      <w:r w:rsidR="001C696F">
        <w:t>s</w:t>
      </w:r>
      <w:r w:rsidR="007008C9">
        <w:t xml:space="preserve"> (Art 26 CRPD/</w:t>
      </w:r>
      <w:r w:rsidR="002054DF">
        <w:t xml:space="preserve"> Art 5.1 CRPD</w:t>
      </w:r>
      <w:r w:rsidR="007008C9">
        <w:t xml:space="preserve">). </w:t>
      </w:r>
      <w:r w:rsidR="001C696F">
        <w:t xml:space="preserve">The Landmine and Cluster Munition Monitor’s research shows clearly that opportunities </w:t>
      </w:r>
      <w:r w:rsidR="00344B9A">
        <w:t xml:space="preserve">for relevant vocational training and other </w:t>
      </w:r>
      <w:r w:rsidR="0062251B">
        <w:t xml:space="preserve">economic inclusion initiatives and </w:t>
      </w:r>
      <w:r w:rsidR="00344B9A">
        <w:t xml:space="preserve">support </w:t>
      </w:r>
      <w:r w:rsidR="001C696F">
        <w:t xml:space="preserve">in rural and remote areas are frequently lacking, thus </w:t>
      </w:r>
      <w:r w:rsidR="002C77D7">
        <w:t xml:space="preserve">disabling victims </w:t>
      </w:r>
      <w:r w:rsidR="002C77D7" w:rsidRPr="004B3B06">
        <w:t xml:space="preserve">in reaching </w:t>
      </w:r>
      <w:r w:rsidR="003C41B4" w:rsidRPr="004B3B06">
        <w:t>essential</w:t>
      </w:r>
      <w:r w:rsidR="002C77D7" w:rsidRPr="004B3B06">
        <w:t xml:space="preserve"> socio-economic opportunities. </w:t>
      </w:r>
      <w:r w:rsidRPr="004B3B06">
        <w:t xml:space="preserve"> </w:t>
      </w:r>
    </w:p>
    <w:p w14:paraId="25C69056" w14:textId="77777777" w:rsidR="001C696F" w:rsidRPr="004B3B06" w:rsidRDefault="001C696F" w:rsidP="002B6F72">
      <w:pPr>
        <w:shd w:val="clear" w:color="auto" w:fill="FFFFFF"/>
      </w:pPr>
    </w:p>
    <w:p w14:paraId="55E3B6EF" w14:textId="37F479A6" w:rsidR="005C40C1" w:rsidRPr="004B3B06" w:rsidRDefault="001C696F" w:rsidP="001C696F">
      <w:pPr>
        <w:shd w:val="clear" w:color="auto" w:fill="FFFFFF"/>
        <w:rPr>
          <w:color w:val="000000" w:themeColor="text1"/>
        </w:rPr>
      </w:pPr>
      <w:r w:rsidRPr="004B3B06">
        <w:t xml:space="preserve">In addition to the great importance of rural and remote offerings, there are indirect challenges, which emerge as a result of </w:t>
      </w:r>
      <w:r w:rsidR="0062251B" w:rsidRPr="004B3B06">
        <w:t>the reverberating effects of conflict and state fragility.</w:t>
      </w:r>
      <w:r w:rsidR="004B3B06" w:rsidRPr="004B3B06">
        <w:rPr>
          <w:rStyle w:val="FootnoteReference"/>
          <w:color w:val="000000" w:themeColor="text1"/>
        </w:rPr>
        <w:footnoteReference w:id="2"/>
      </w:r>
      <w:r w:rsidR="0062251B" w:rsidRPr="004B3B06">
        <w:t xml:space="preserve"> These include</w:t>
      </w:r>
      <w:r w:rsidR="003C41B4">
        <w:t>:</w:t>
      </w:r>
      <w:r w:rsidR="0062251B" w:rsidRPr="004B3B06">
        <w:t xml:space="preserve"> ongoing insecurity and/or</w:t>
      </w:r>
      <w:r w:rsidR="003C41B4">
        <w:t xml:space="preserve"> </w:t>
      </w:r>
      <w:r w:rsidR="0062251B" w:rsidRPr="004B3B06">
        <w:t>violence, lack of access to justice and the absence of effective, accountable, and inclusive institutions, as austerity policies</w:t>
      </w:r>
      <w:r w:rsidR="003C41B4">
        <w:t>;</w:t>
      </w:r>
      <w:r w:rsidR="0062251B" w:rsidRPr="004B3B06">
        <w:rPr>
          <w:rStyle w:val="FootnoteReference"/>
        </w:rPr>
        <w:footnoteReference w:id="3"/>
      </w:r>
      <w:r w:rsidR="0062251B" w:rsidRPr="004B3B06">
        <w:t xml:space="preserve"> and well as land grabs</w:t>
      </w:r>
      <w:r w:rsidR="0062251B" w:rsidRPr="004B3B06">
        <w:rPr>
          <w:rStyle w:val="FootnoteReference"/>
        </w:rPr>
        <w:footnoteReference w:id="4"/>
      </w:r>
      <w:r w:rsidR="0062251B" w:rsidRPr="004B3B06">
        <w:t xml:space="preserve"> </w:t>
      </w:r>
      <w:r w:rsidRPr="004B3B06">
        <w:t>mainly through large-scale land acquisitions often result in the loss of community-based services, including socio-economic programs and offices of organizations of persons with disabilities</w:t>
      </w:r>
      <w:r w:rsidR="00E86A98" w:rsidRPr="004B3B06">
        <w:rPr>
          <w:color w:val="000000" w:themeColor="text1"/>
        </w:rPr>
        <w:t>.</w:t>
      </w:r>
      <w:r w:rsidR="004B3B06" w:rsidRPr="004B3B06">
        <w:rPr>
          <w:rStyle w:val="FootnoteReference"/>
        </w:rPr>
        <w:t xml:space="preserve"> </w:t>
      </w:r>
      <w:r w:rsidR="004B3B06" w:rsidRPr="004B3B06">
        <w:rPr>
          <w:rStyle w:val="FootnoteReference"/>
        </w:rPr>
        <w:footnoteReference w:id="5"/>
      </w:r>
    </w:p>
    <w:p w14:paraId="6CBEC7CF" w14:textId="6E044A1B" w:rsidR="00E86A98" w:rsidRPr="004B3B06" w:rsidRDefault="00E86A98" w:rsidP="00E86A98">
      <w:pPr>
        <w:pStyle w:val="Default"/>
        <w:rPr>
          <w:color w:val="000000" w:themeColor="text1"/>
        </w:rPr>
      </w:pPr>
    </w:p>
    <w:p w14:paraId="44704C9E" w14:textId="69687F1B" w:rsidR="00AA1576" w:rsidRDefault="00454686" w:rsidP="00E86A98">
      <w:r w:rsidRPr="004B3B06">
        <w:t>Resourcing for employment initiatives in rural</w:t>
      </w:r>
      <w:r w:rsidR="00AA1576" w:rsidRPr="004B3B06">
        <w:t xml:space="preserve"> and remote</w:t>
      </w:r>
      <w:r w:rsidRPr="004B3B06">
        <w:t xml:space="preserve"> areas affected by conflict and landmines remains scar</w:t>
      </w:r>
      <w:r w:rsidR="00AA1576" w:rsidRPr="004B3B06">
        <w:t>c</w:t>
      </w:r>
      <w:r w:rsidRPr="004B3B06">
        <w:t xml:space="preserve">e. </w:t>
      </w:r>
      <w:r w:rsidR="003C41B4">
        <w:t>I</w:t>
      </w:r>
      <w:r w:rsidRPr="004B3B06">
        <w:t xml:space="preserve">n many countries, legal systems intended to </w:t>
      </w:r>
      <w:r w:rsidRPr="004B3B06">
        <w:lastRenderedPageBreak/>
        <w:t>implement quotas for the employment</w:t>
      </w:r>
      <w:r w:rsidRPr="00C925FC">
        <w:t xml:space="preserve"> of persons with disabilities in large organizations and corporation</w:t>
      </w:r>
      <w:r w:rsidR="00EE5C3B" w:rsidRPr="00C925FC">
        <w:t>s</w:t>
      </w:r>
      <w:r w:rsidR="00AA1576">
        <w:t xml:space="preserve"> </w:t>
      </w:r>
      <w:r w:rsidR="00617CE6">
        <w:t xml:space="preserve">in </w:t>
      </w:r>
      <w:r w:rsidR="00AA1576">
        <w:t>urban areas</w:t>
      </w:r>
      <w:r w:rsidR="003C41B4">
        <w:t xml:space="preserve">. These were </w:t>
      </w:r>
      <w:r w:rsidRPr="00C925FC">
        <w:t>inaccessible to people in remote</w:t>
      </w:r>
      <w:r w:rsidR="00AA1576">
        <w:t xml:space="preserve"> and rural</w:t>
      </w:r>
      <w:r w:rsidRPr="00C925FC">
        <w:t xml:space="preserve"> areas, did not come close to fulfilling their minimum objectives. In such cases </w:t>
      </w:r>
      <w:r w:rsidR="00EE5C3B" w:rsidRPr="00C925FC">
        <w:t>of non-fulfillment</w:t>
      </w:r>
      <w:r w:rsidR="00AA1576">
        <w:t>,</w:t>
      </w:r>
      <w:r w:rsidR="00EE5C3B" w:rsidRPr="00C925FC">
        <w:t xml:space="preserve"> </w:t>
      </w:r>
      <w:r w:rsidRPr="00C925FC">
        <w:t xml:space="preserve">penalties </w:t>
      </w:r>
      <w:r w:rsidR="00EE5C3B" w:rsidRPr="00C925FC">
        <w:t xml:space="preserve">can </w:t>
      </w:r>
      <w:r w:rsidRPr="00C925FC">
        <w:t xml:space="preserve">apply to those that do not </w:t>
      </w:r>
      <w:r w:rsidR="00AA1576" w:rsidRPr="00C925FC">
        <w:t>fulfill</w:t>
      </w:r>
      <w:r w:rsidRPr="00C925FC">
        <w:t xml:space="preserve"> the </w:t>
      </w:r>
      <w:r w:rsidR="003C41B4">
        <w:t>quota requirements</w:t>
      </w:r>
      <w:r w:rsidRPr="00C925FC">
        <w:t xml:space="preserve">. </w:t>
      </w:r>
    </w:p>
    <w:p w14:paraId="628FF39A" w14:textId="77777777" w:rsidR="00515661" w:rsidRDefault="00515661" w:rsidP="00E86A98"/>
    <w:p w14:paraId="3754D9E0" w14:textId="7A1DAAE4" w:rsidR="00E86A98" w:rsidRPr="00C925FC" w:rsidRDefault="00454686" w:rsidP="00E86A98">
      <w:r w:rsidRPr="00C925FC">
        <w:t>The Monitor has noted recommendations discussed in Thailand, that part of the monies collected as penalties be transferred to appropriate rural</w:t>
      </w:r>
      <w:r w:rsidR="00AA1576">
        <w:t xml:space="preserve"> and remote</w:t>
      </w:r>
      <w:r w:rsidRPr="00C925FC">
        <w:t xml:space="preserve"> initiatives for economic inclusion</w:t>
      </w:r>
      <w:r w:rsidR="0062251B">
        <w:t>,</w:t>
      </w:r>
      <w:r w:rsidR="00EE5C3B" w:rsidRPr="00C925FC">
        <w:t xml:space="preserve"> therefore </w:t>
      </w:r>
      <w:r w:rsidR="0062251B" w:rsidRPr="00C925FC">
        <w:t>distribut</w:t>
      </w:r>
      <w:r w:rsidR="0062251B">
        <w:t xml:space="preserve">ing </w:t>
      </w:r>
      <w:r w:rsidR="00AA1576">
        <w:t>the benefits of quota policy</w:t>
      </w:r>
      <w:r w:rsidR="00EE5C3B" w:rsidRPr="00C925FC">
        <w:t xml:space="preserve"> measures beyond cities</w:t>
      </w:r>
      <w:r w:rsidRPr="00C925FC">
        <w:t xml:space="preserve">. </w:t>
      </w:r>
    </w:p>
    <w:p w14:paraId="71583EAD" w14:textId="77777777" w:rsidR="00137839" w:rsidRDefault="00137839" w:rsidP="00E86A98">
      <w:pPr>
        <w:pStyle w:val="Default"/>
        <w:rPr>
          <w:color w:val="FF0000"/>
        </w:rPr>
      </w:pPr>
    </w:p>
    <w:p w14:paraId="18A42F98" w14:textId="5BC87713" w:rsidR="00B116BC" w:rsidRDefault="00B116BC" w:rsidP="00E86A98">
      <w:pPr>
        <w:pStyle w:val="Default"/>
        <w:rPr>
          <w:color w:val="auto"/>
          <w:lang w:val="en-CA"/>
        </w:rPr>
      </w:pPr>
      <w:r w:rsidRPr="00B116BC">
        <w:rPr>
          <w:color w:val="auto"/>
          <w:lang w:val="en-CA"/>
        </w:rPr>
        <w:t xml:space="preserve">Suggestions: </w:t>
      </w:r>
    </w:p>
    <w:p w14:paraId="348D0B6A" w14:textId="16C0191C" w:rsidR="00B116BC" w:rsidRDefault="00B116BC" w:rsidP="00B116BC">
      <w:pPr>
        <w:pStyle w:val="Default"/>
        <w:numPr>
          <w:ilvl w:val="0"/>
          <w:numId w:val="13"/>
        </w:numPr>
        <w:rPr>
          <w:color w:val="auto"/>
          <w:lang w:val="en-CA"/>
        </w:rPr>
      </w:pPr>
      <w:r>
        <w:rPr>
          <w:color w:val="auto"/>
          <w:lang w:val="en-CA"/>
        </w:rPr>
        <w:t xml:space="preserve">Strengthen emphasis on rural and remote </w:t>
      </w:r>
      <w:r w:rsidR="00515661">
        <w:rPr>
          <w:color w:val="auto"/>
          <w:lang w:val="en-CA"/>
        </w:rPr>
        <w:t xml:space="preserve">opportunities for vocational and employment opportunities </w:t>
      </w:r>
    </w:p>
    <w:p w14:paraId="47815022" w14:textId="1B1E728F" w:rsidR="00515661" w:rsidRPr="00B116BC" w:rsidRDefault="00515661" w:rsidP="00B116BC">
      <w:pPr>
        <w:pStyle w:val="Default"/>
        <w:numPr>
          <w:ilvl w:val="0"/>
          <w:numId w:val="13"/>
        </w:numPr>
        <w:rPr>
          <w:color w:val="auto"/>
          <w:lang w:val="en-CA"/>
        </w:rPr>
      </w:pPr>
      <w:r>
        <w:rPr>
          <w:color w:val="auto"/>
          <w:lang w:val="en-CA"/>
        </w:rPr>
        <w:t xml:space="preserve">Explore </w:t>
      </w:r>
      <w:r w:rsidR="00BA67D3">
        <w:rPr>
          <w:color w:val="auto"/>
          <w:lang w:val="en-CA"/>
        </w:rPr>
        <w:t xml:space="preserve">means to address </w:t>
      </w:r>
      <w:r>
        <w:rPr>
          <w:color w:val="auto"/>
          <w:lang w:val="en-CA"/>
        </w:rPr>
        <w:t>the impact of indirect challenges, particularly</w:t>
      </w:r>
      <w:r w:rsidR="00CA3985">
        <w:rPr>
          <w:color w:val="auto"/>
          <w:lang w:val="en-CA"/>
        </w:rPr>
        <w:t xml:space="preserve"> insecurity, austerity, and</w:t>
      </w:r>
      <w:r>
        <w:rPr>
          <w:color w:val="auto"/>
          <w:lang w:val="en-CA"/>
        </w:rPr>
        <w:t xml:space="preserve"> land grabs</w:t>
      </w:r>
      <w:r w:rsidR="00F0792E">
        <w:rPr>
          <w:color w:val="auto"/>
          <w:lang w:val="en-CA"/>
        </w:rPr>
        <w:t>,</w:t>
      </w:r>
      <w:r>
        <w:rPr>
          <w:color w:val="auto"/>
          <w:lang w:val="en-CA"/>
        </w:rPr>
        <w:t xml:space="preserve"> </w:t>
      </w:r>
      <w:r w:rsidR="00BA67D3">
        <w:rPr>
          <w:color w:val="auto"/>
          <w:lang w:val="en-CA"/>
        </w:rPr>
        <w:t>including through</w:t>
      </w:r>
      <w:r w:rsidR="003D55CD">
        <w:rPr>
          <w:color w:val="auto"/>
          <w:lang w:val="en-CA"/>
        </w:rPr>
        <w:t xml:space="preserve"> safe consultations with persons with disabilities</w:t>
      </w:r>
    </w:p>
    <w:p w14:paraId="6DC28DD8" w14:textId="77777777" w:rsidR="00B116BC" w:rsidRPr="007B5BF5" w:rsidRDefault="00B116BC" w:rsidP="00E86A98">
      <w:pPr>
        <w:pStyle w:val="Default"/>
        <w:rPr>
          <w:color w:val="FF0000"/>
        </w:rPr>
      </w:pPr>
    </w:p>
    <w:p w14:paraId="71E74ABB" w14:textId="77777777" w:rsidR="005252AF" w:rsidRDefault="005252AF" w:rsidP="002B6F72">
      <w:pPr>
        <w:shd w:val="clear" w:color="auto" w:fill="FFFFFF"/>
        <w:rPr>
          <w:rFonts w:eastAsia="Times New Roman"/>
          <w:color w:val="222222"/>
          <w:sz w:val="22"/>
          <w:szCs w:val="22"/>
          <w:lang w:eastAsia="en-US"/>
        </w:rPr>
      </w:pPr>
    </w:p>
    <w:p w14:paraId="27F7361E" w14:textId="5A360B63" w:rsidR="005252AF" w:rsidRPr="005252AF" w:rsidRDefault="005252AF" w:rsidP="005252AF">
      <w:pPr>
        <w:shd w:val="clear" w:color="auto" w:fill="FFFFFF"/>
        <w:rPr>
          <w:rFonts w:eastAsia="Times New Roman"/>
          <w:b/>
          <w:color w:val="222222"/>
          <w:lang w:eastAsia="en-US"/>
        </w:rPr>
      </w:pPr>
      <w:r w:rsidRPr="005252AF">
        <w:rPr>
          <w:rFonts w:eastAsia="Times New Roman"/>
          <w:b/>
          <w:color w:val="222222"/>
          <w:lang w:eastAsia="en-US"/>
        </w:rPr>
        <w:t xml:space="preserve">2. </w:t>
      </w:r>
      <w:proofErr w:type="spellStart"/>
      <w:r w:rsidRPr="005252AF">
        <w:rPr>
          <w:rFonts w:eastAsia="Times New Roman"/>
          <w:b/>
          <w:color w:val="222222"/>
          <w:lang w:eastAsia="en-US"/>
        </w:rPr>
        <w:t>Labour</w:t>
      </w:r>
      <w:proofErr w:type="spellEnd"/>
      <w:r w:rsidRPr="005252AF">
        <w:rPr>
          <w:rFonts w:eastAsia="Times New Roman"/>
          <w:b/>
          <w:color w:val="222222"/>
          <w:lang w:eastAsia="en-US"/>
        </w:rPr>
        <w:t xml:space="preserve"> exploitation and sub-forms thereof are a pressing concern, particularly children are at high risk</w:t>
      </w:r>
    </w:p>
    <w:p w14:paraId="00B46EC9" w14:textId="0FD960AE" w:rsidR="005252AF" w:rsidRDefault="005252AF" w:rsidP="002B6F72">
      <w:pPr>
        <w:shd w:val="clear" w:color="auto" w:fill="FFFFFF"/>
        <w:rPr>
          <w:rFonts w:eastAsia="Times New Roman"/>
          <w:color w:val="222222"/>
          <w:sz w:val="22"/>
          <w:szCs w:val="22"/>
          <w:lang w:eastAsia="en-US"/>
        </w:rPr>
      </w:pPr>
    </w:p>
    <w:p w14:paraId="029DB00F" w14:textId="01664350" w:rsidR="005357EF" w:rsidRDefault="005626AC" w:rsidP="006C3C9C">
      <w:pPr>
        <w:shd w:val="clear" w:color="auto" w:fill="FFFFFF"/>
        <w:rPr>
          <w:lang w:val="en-CA"/>
        </w:rPr>
      </w:pPr>
      <w:r w:rsidRPr="005626AC">
        <w:rPr>
          <w:lang w:val="en-CA" w:eastAsia="ja-JP"/>
        </w:rPr>
        <w:t xml:space="preserve">In its General </w:t>
      </w:r>
      <w:r w:rsidR="00E86A98" w:rsidRPr="005626AC">
        <w:rPr>
          <w:lang w:val="en-CA" w:eastAsia="ja-JP"/>
        </w:rPr>
        <w:t>Comment No. 9 on “The rights of children with disabilities</w:t>
      </w:r>
      <w:r w:rsidR="00F0792E">
        <w:rPr>
          <w:lang w:val="en-CA" w:eastAsia="ja-JP"/>
        </w:rPr>
        <w:t>,”</w:t>
      </w:r>
      <w:r w:rsidR="00E86A98" w:rsidRPr="005626AC">
        <w:rPr>
          <w:lang w:val="en-CA" w:eastAsia="ja-JP"/>
        </w:rPr>
        <w:t xml:space="preserve"> the</w:t>
      </w:r>
      <w:r>
        <w:rPr>
          <w:lang w:val="en-CA" w:eastAsia="ja-JP"/>
        </w:rPr>
        <w:t xml:space="preserve"> Child Rights</w:t>
      </w:r>
      <w:r w:rsidR="00E86A98" w:rsidRPr="005626AC">
        <w:rPr>
          <w:lang w:val="en-CA" w:eastAsia="ja-JP"/>
        </w:rPr>
        <w:t xml:space="preserve"> Committee</w:t>
      </w:r>
      <w:r w:rsidR="00E86A98" w:rsidRPr="00386404">
        <w:rPr>
          <w:lang w:val="en-CA" w:eastAsia="ja-JP"/>
        </w:rPr>
        <w:t xml:space="preserve"> emphasizes that children with disabilities are particularly vulnerable to different forms of economic exploitation, </w:t>
      </w:r>
      <w:r w:rsidR="00E86A98" w:rsidRPr="00AA1576">
        <w:rPr>
          <w:lang w:val="en-CA" w:eastAsia="ja-JP"/>
        </w:rPr>
        <w:t xml:space="preserve">including the “worst </w:t>
      </w:r>
      <w:r w:rsidR="00E86A98" w:rsidRPr="00AA1576">
        <w:rPr>
          <w:lang w:val="en-CA" w:eastAsia="ja-JP"/>
        </w:rPr>
        <w:lastRenderedPageBreak/>
        <w:t>forms of child labour</w:t>
      </w:r>
      <w:r w:rsidR="00F0792E">
        <w:rPr>
          <w:lang w:val="en-CA" w:eastAsia="ja-JP"/>
        </w:rPr>
        <w:t>,”</w:t>
      </w:r>
      <w:r w:rsidR="00E86A98" w:rsidRPr="00AA1576">
        <w:rPr>
          <w:lang w:val="en-CA" w:eastAsia="ja-JP"/>
        </w:rPr>
        <w:t xml:space="preserve"> as well as drug trafficking and begging.</w:t>
      </w:r>
      <w:r w:rsidRPr="00AA1576">
        <w:rPr>
          <w:rStyle w:val="FootnoteReference"/>
          <w:lang w:val="en-CA" w:eastAsia="ja-JP"/>
        </w:rPr>
        <w:footnoteReference w:id="6"/>
      </w:r>
      <w:r w:rsidR="00E86A98" w:rsidRPr="00AA1576">
        <w:rPr>
          <w:lang w:val="en-CA" w:eastAsia="ja-JP"/>
        </w:rPr>
        <w:t xml:space="preserve"> </w:t>
      </w:r>
      <w:r w:rsidR="005252AF" w:rsidRPr="00AA1576">
        <w:t>T</w:t>
      </w:r>
      <w:r w:rsidR="005252AF">
        <w:t xml:space="preserve">he collection of scrap metal and explosives is a risk activity recorded in both rural and urban areas. </w:t>
      </w:r>
      <w:r w:rsidR="0062251B">
        <w:t>Particularly for poorer, marginalized households, s</w:t>
      </w:r>
      <w:r w:rsidR="005252AF">
        <w:t xml:space="preserve">crap metal collection has been a common practice for income generation, as is the deliberate engagement with </w:t>
      </w:r>
      <w:r w:rsidR="00986040">
        <w:t>landmines and other explosive remnants of war (ERW)</w:t>
      </w:r>
      <w:r w:rsidR="005252AF">
        <w:t>.</w:t>
      </w:r>
      <w:r w:rsidR="008A5E11">
        <w:rPr>
          <w:rStyle w:val="FootnoteReference"/>
        </w:rPr>
        <w:footnoteReference w:id="7"/>
      </w:r>
      <w:r w:rsidR="005252AF">
        <w:t xml:space="preserve"> </w:t>
      </w:r>
      <w:r w:rsidR="005252AF">
        <w:rPr>
          <w:lang w:val="en-CA"/>
        </w:rPr>
        <w:t>Numerous obligations enshrine the prohibition of child</w:t>
      </w:r>
      <w:r w:rsidR="005357EF">
        <w:rPr>
          <w:lang w:val="en-CA"/>
        </w:rPr>
        <w:t xml:space="preserve"> labor, most prominently Art 32</w:t>
      </w:r>
      <w:r w:rsidR="005252AF">
        <w:rPr>
          <w:lang w:val="en-CA"/>
        </w:rPr>
        <w:t xml:space="preserve"> CRC. </w:t>
      </w:r>
    </w:p>
    <w:p w14:paraId="712F656C" w14:textId="77777777" w:rsidR="005357EF" w:rsidRDefault="005357EF" w:rsidP="006C3C9C">
      <w:pPr>
        <w:shd w:val="clear" w:color="auto" w:fill="FFFFFF"/>
        <w:rPr>
          <w:lang w:val="en-CA"/>
        </w:rPr>
      </w:pPr>
    </w:p>
    <w:p w14:paraId="48145901" w14:textId="2ECCC078" w:rsidR="00CB1658" w:rsidRDefault="007D2742" w:rsidP="006C3C9C">
      <w:pPr>
        <w:shd w:val="clear" w:color="auto" w:fill="FFFFFF"/>
        <w:rPr>
          <w:lang w:val="en-CA"/>
        </w:rPr>
      </w:pPr>
      <w:r>
        <w:rPr>
          <w:lang w:val="en-CA"/>
        </w:rPr>
        <w:t>C</w:t>
      </w:r>
      <w:r w:rsidR="005252AF">
        <w:rPr>
          <w:lang w:val="en-CA"/>
        </w:rPr>
        <w:t xml:space="preserve">hildren are </w:t>
      </w:r>
      <w:r w:rsidR="0062251B">
        <w:rPr>
          <w:lang w:val="en-CA"/>
        </w:rPr>
        <w:t xml:space="preserve">still </w:t>
      </w:r>
      <w:r w:rsidR="00986040">
        <w:rPr>
          <w:lang w:val="en-CA"/>
        </w:rPr>
        <w:t xml:space="preserve">either </w:t>
      </w:r>
      <w:r w:rsidR="005252AF">
        <w:rPr>
          <w:lang w:val="en-CA"/>
        </w:rPr>
        <w:t>tasked with</w:t>
      </w:r>
      <w:r w:rsidR="008A5E11">
        <w:rPr>
          <w:lang w:val="en-CA"/>
        </w:rPr>
        <w:t xml:space="preserve"> or otherwise engage</w:t>
      </w:r>
      <w:r w:rsidR="00F0792E">
        <w:rPr>
          <w:lang w:val="en-CA"/>
        </w:rPr>
        <w:t>d</w:t>
      </w:r>
      <w:r w:rsidR="008A5E11">
        <w:rPr>
          <w:lang w:val="en-CA"/>
        </w:rPr>
        <w:t xml:space="preserve"> in</w:t>
      </w:r>
      <w:r w:rsidR="005252AF">
        <w:rPr>
          <w:lang w:val="en-CA"/>
        </w:rPr>
        <w:t xml:space="preserve"> collecting scrap metal, which amounts </w:t>
      </w:r>
      <w:r w:rsidR="005252AF" w:rsidRPr="008A5E11">
        <w:rPr>
          <w:lang w:val="en-CA"/>
        </w:rPr>
        <w:t xml:space="preserve">to exploitation and puts them at high risk of exposure to </w:t>
      </w:r>
      <w:r w:rsidR="00986040" w:rsidRPr="008A5E11">
        <w:rPr>
          <w:lang w:val="en-CA"/>
        </w:rPr>
        <w:t>ERW</w:t>
      </w:r>
      <w:r w:rsidR="0062251B">
        <w:rPr>
          <w:lang w:val="en-CA"/>
        </w:rPr>
        <w:t xml:space="preserve">. </w:t>
      </w:r>
      <w:r>
        <w:rPr>
          <w:lang w:val="en-CA"/>
        </w:rPr>
        <w:t>This state of affairs can be encouraged by supply</w:t>
      </w:r>
      <w:r>
        <w:t xml:space="preserve"> chains that ignore, or encourage and endorse, these methods.</w:t>
      </w:r>
      <w:r>
        <w:rPr>
          <w:lang w:val="en-CA"/>
        </w:rPr>
        <w:t xml:space="preserve">  Such engagement</w:t>
      </w:r>
      <w:r w:rsidR="005252AF" w:rsidRPr="008A5E11">
        <w:rPr>
          <w:lang w:val="en-CA"/>
        </w:rPr>
        <w:t xml:space="preserve"> can cause </w:t>
      </w:r>
      <w:r w:rsidR="00F0792E">
        <w:rPr>
          <w:lang w:val="en-CA"/>
        </w:rPr>
        <w:t>significan</w:t>
      </w:r>
      <w:r w:rsidR="005252AF" w:rsidRPr="008A5E11">
        <w:rPr>
          <w:lang w:val="en-CA"/>
        </w:rPr>
        <w:t xml:space="preserve">t physical and mental harm, frequently resulting in impairments and disability. </w:t>
      </w:r>
      <w:r w:rsidR="008A5E11" w:rsidRPr="008A5E11">
        <w:rPr>
          <w:lang w:val="en-CA"/>
        </w:rPr>
        <w:t xml:space="preserve">Herding and other rural and domestic tasks that fall to persons with limited education opportunities and social marginalization can also introduce the risk of interaction with mines and ERW. </w:t>
      </w:r>
      <w:r w:rsidR="005252AF" w:rsidRPr="008A5E11">
        <w:rPr>
          <w:lang w:val="en-CA"/>
        </w:rPr>
        <w:t>A thorough</w:t>
      </w:r>
      <w:r w:rsidR="00986040" w:rsidRPr="008A5E11">
        <w:rPr>
          <w:lang w:val="en-CA"/>
        </w:rPr>
        <w:t xml:space="preserve"> and </w:t>
      </w:r>
      <w:r w:rsidR="005252AF" w:rsidRPr="008A5E11">
        <w:rPr>
          <w:lang w:val="en-CA"/>
        </w:rPr>
        <w:t xml:space="preserve">holistic </w:t>
      </w:r>
      <w:r w:rsidR="00986040" w:rsidRPr="008A5E11">
        <w:rPr>
          <w:lang w:val="en-CA"/>
        </w:rPr>
        <w:t>examination</w:t>
      </w:r>
      <w:r w:rsidR="005252AF">
        <w:rPr>
          <w:lang w:val="en-CA"/>
        </w:rPr>
        <w:t xml:space="preserve"> of the nexus of disability and employment</w:t>
      </w:r>
      <w:r w:rsidR="00F0792E">
        <w:rPr>
          <w:lang w:val="en-CA"/>
        </w:rPr>
        <w:t>, therefore,</w:t>
      </w:r>
      <w:r w:rsidR="005252AF">
        <w:rPr>
          <w:lang w:val="en-CA"/>
        </w:rPr>
        <w:t xml:space="preserve"> has to make the link between </w:t>
      </w:r>
      <w:r w:rsidR="00F0792E">
        <w:rPr>
          <w:lang w:val="en-CA"/>
        </w:rPr>
        <w:t xml:space="preserve">the </w:t>
      </w:r>
      <w:r w:rsidR="005252AF">
        <w:rPr>
          <w:lang w:val="en-CA"/>
        </w:rPr>
        <w:t xml:space="preserve">exploitation of children and the </w:t>
      </w:r>
      <w:r w:rsidR="005252AF" w:rsidRPr="005626AC">
        <w:rPr>
          <w:lang w:val="en-CA"/>
        </w:rPr>
        <w:t>prevention</w:t>
      </w:r>
      <w:r w:rsidR="005252AF">
        <w:rPr>
          <w:lang w:val="en-CA"/>
        </w:rPr>
        <w:t xml:space="preserve"> of impairments.</w:t>
      </w:r>
      <w:r w:rsidR="005626AC">
        <w:rPr>
          <w:rStyle w:val="FootnoteReference"/>
          <w:lang w:val="en-CA"/>
        </w:rPr>
        <w:footnoteReference w:id="8"/>
      </w:r>
      <w:r w:rsidR="005252AF">
        <w:rPr>
          <w:lang w:val="en-CA"/>
        </w:rPr>
        <w:t xml:space="preserve"> </w:t>
      </w:r>
    </w:p>
    <w:p w14:paraId="617F5D6E" w14:textId="77777777" w:rsidR="00CB1658" w:rsidRDefault="00CB1658" w:rsidP="006C3C9C">
      <w:pPr>
        <w:shd w:val="clear" w:color="auto" w:fill="FFFFFF"/>
        <w:rPr>
          <w:lang w:val="en-CA"/>
        </w:rPr>
      </w:pPr>
    </w:p>
    <w:p w14:paraId="00D7B47D" w14:textId="28C8CE84" w:rsidR="005252AF" w:rsidRPr="005357EF" w:rsidRDefault="008A5E11" w:rsidP="006C3C9C">
      <w:pPr>
        <w:shd w:val="clear" w:color="auto" w:fill="FFFFFF"/>
        <w:rPr>
          <w:lang w:val="en-CA"/>
        </w:rPr>
      </w:pPr>
      <w:r>
        <w:rPr>
          <w:lang w:val="en-CA"/>
        </w:rPr>
        <w:t xml:space="preserve">In accordance </w:t>
      </w:r>
      <w:r w:rsidRPr="00926E3A">
        <w:rPr>
          <w:lang w:val="en-CA"/>
        </w:rPr>
        <w:t>with Art</w:t>
      </w:r>
      <w:r w:rsidR="00363269">
        <w:rPr>
          <w:lang w:val="en-CA"/>
        </w:rPr>
        <w:t>icle</w:t>
      </w:r>
      <w:r w:rsidRPr="00926E3A">
        <w:rPr>
          <w:lang w:val="en-CA"/>
        </w:rPr>
        <w:t xml:space="preserve"> 11</w:t>
      </w:r>
      <w:r w:rsidR="00363269">
        <w:rPr>
          <w:lang w:val="en-CA"/>
        </w:rPr>
        <w:t xml:space="preserve"> </w:t>
      </w:r>
      <w:r w:rsidRPr="00926E3A">
        <w:rPr>
          <w:lang w:val="en-CA"/>
        </w:rPr>
        <w:t>CRPD on situations of risk,</w:t>
      </w:r>
      <w:r w:rsidR="00DD3037" w:rsidRPr="00926E3A">
        <w:rPr>
          <w:lang w:val="en-CA"/>
        </w:rPr>
        <w:t xml:space="preserve"> all relevant protection measures available under both </w:t>
      </w:r>
      <w:r w:rsidR="0090033D">
        <w:rPr>
          <w:lang w:val="en-CA"/>
        </w:rPr>
        <w:t xml:space="preserve">international </w:t>
      </w:r>
      <w:r w:rsidR="00B22CAB">
        <w:rPr>
          <w:lang w:val="en-CA"/>
        </w:rPr>
        <w:t xml:space="preserve">humanitarian law and human rights </w:t>
      </w:r>
      <w:r w:rsidR="00CB1658" w:rsidRPr="00CB1658">
        <w:rPr>
          <w:lang w:val="en-CA"/>
        </w:rPr>
        <w:t>law</w:t>
      </w:r>
      <w:r w:rsidR="00DD3037" w:rsidRPr="00926E3A">
        <w:rPr>
          <w:lang w:val="en-CA"/>
        </w:rPr>
        <w:t>,</w:t>
      </w:r>
      <w:r w:rsidRPr="00926E3A">
        <w:rPr>
          <w:lang w:val="en-CA"/>
        </w:rPr>
        <w:t xml:space="preserve"> </w:t>
      </w:r>
      <w:r w:rsidR="00DD3037" w:rsidRPr="00926E3A">
        <w:rPr>
          <w:lang w:val="en-CA"/>
        </w:rPr>
        <w:t>including risk education</w:t>
      </w:r>
      <w:r w:rsidR="0062251B">
        <w:rPr>
          <w:lang w:val="en-CA"/>
        </w:rPr>
        <w:t>, appropriate l</w:t>
      </w:r>
      <w:r w:rsidR="0062251B" w:rsidRPr="0062251B">
        <w:rPr>
          <w:lang w:val="en-CA"/>
        </w:rPr>
        <w:t>egal protections in terms of regulation</w:t>
      </w:r>
      <w:r w:rsidR="0062251B">
        <w:rPr>
          <w:lang w:val="en-CA"/>
        </w:rPr>
        <w:t xml:space="preserve">, and </w:t>
      </w:r>
      <w:r w:rsidR="0062251B" w:rsidRPr="00926E3A">
        <w:rPr>
          <w:lang w:val="en-CA"/>
        </w:rPr>
        <w:t>awareness</w:t>
      </w:r>
      <w:r w:rsidR="00F0792E">
        <w:rPr>
          <w:lang w:val="en-CA"/>
        </w:rPr>
        <w:t>-</w:t>
      </w:r>
      <w:r w:rsidR="0062251B">
        <w:rPr>
          <w:lang w:val="en-CA"/>
        </w:rPr>
        <w:t xml:space="preserve">raising of both hazards and rights, </w:t>
      </w:r>
      <w:r w:rsidR="00DD3037" w:rsidRPr="00926E3A">
        <w:rPr>
          <w:lang w:val="en-CA"/>
        </w:rPr>
        <w:t>should apply to work, employment and subsistence activities in which persons with disabilities are</w:t>
      </w:r>
      <w:r w:rsidR="00DD3037" w:rsidRPr="00DD3037">
        <w:rPr>
          <w:lang w:val="en-CA"/>
        </w:rPr>
        <w:t xml:space="preserve"> engaged. </w:t>
      </w:r>
      <w:r w:rsidR="00F0792E">
        <w:rPr>
          <w:lang w:val="en-CA"/>
        </w:rPr>
        <w:t>Following</w:t>
      </w:r>
      <w:r w:rsidR="00DD3037" w:rsidRPr="00DD3037">
        <w:rPr>
          <w:lang w:val="en-CA"/>
        </w:rPr>
        <w:t xml:space="preserve"> </w:t>
      </w:r>
      <w:r w:rsidR="00CB1658">
        <w:rPr>
          <w:lang w:val="en-CA"/>
        </w:rPr>
        <w:t>the</w:t>
      </w:r>
      <w:r w:rsidR="00DD3037" w:rsidRPr="00DD3037">
        <w:rPr>
          <w:lang w:val="en-CA"/>
        </w:rPr>
        <w:t xml:space="preserve"> Inter-Agency Standing Committee (IASC) released guidelines on the inclusion of persons with disabilities in humanitarian action (</w:t>
      </w:r>
      <w:r w:rsidR="00926E3A">
        <w:rPr>
          <w:lang w:val="en-CA"/>
        </w:rPr>
        <w:t xml:space="preserve">November </w:t>
      </w:r>
      <w:r w:rsidR="00DD3037" w:rsidRPr="00DD3037">
        <w:rPr>
          <w:lang w:val="en-CA"/>
        </w:rPr>
        <w:t>2019), and UN Security Council Resolution 2475</w:t>
      </w:r>
      <w:r w:rsidR="00926E3A">
        <w:rPr>
          <w:lang w:val="en-CA"/>
        </w:rPr>
        <w:t xml:space="preserve"> </w:t>
      </w:r>
      <w:r w:rsidR="00DD3037" w:rsidRPr="00DD3037">
        <w:rPr>
          <w:lang w:val="en-CA"/>
        </w:rPr>
        <w:t>(</w:t>
      </w:r>
      <w:r w:rsidR="00926E3A">
        <w:rPr>
          <w:lang w:val="en-CA"/>
        </w:rPr>
        <w:t xml:space="preserve">June </w:t>
      </w:r>
      <w:r w:rsidR="00DD3037" w:rsidRPr="00DD3037">
        <w:rPr>
          <w:lang w:val="en-CA"/>
        </w:rPr>
        <w:t>2019)</w:t>
      </w:r>
      <w:r w:rsidR="00F0792E">
        <w:rPr>
          <w:lang w:val="en-CA"/>
        </w:rPr>
        <w:t>,</w:t>
      </w:r>
      <w:r w:rsidR="00DD3037" w:rsidRPr="00DD3037">
        <w:rPr>
          <w:lang w:val="en-CA"/>
        </w:rPr>
        <w:t xml:space="preserve"> </w:t>
      </w:r>
      <w:r w:rsidR="00CB1658">
        <w:rPr>
          <w:lang w:val="en-CA"/>
        </w:rPr>
        <w:t>which</w:t>
      </w:r>
      <w:r w:rsidR="00F46565">
        <w:rPr>
          <w:lang w:val="en-CA"/>
        </w:rPr>
        <w:t xml:space="preserve"> </w:t>
      </w:r>
      <w:r w:rsidR="0062251B">
        <w:rPr>
          <w:lang w:val="en-CA"/>
        </w:rPr>
        <w:t>direct</w:t>
      </w:r>
      <w:r w:rsidR="00CB1658">
        <w:rPr>
          <w:lang w:val="en-CA"/>
        </w:rPr>
        <w:t xml:space="preserve"> states </w:t>
      </w:r>
      <w:r w:rsidR="0062251B">
        <w:rPr>
          <w:lang w:val="en-CA"/>
        </w:rPr>
        <w:t>to</w:t>
      </w:r>
      <w:r w:rsidR="0062251B" w:rsidRPr="0062251B">
        <w:rPr>
          <w:lang w:val="en-CA"/>
        </w:rPr>
        <w:t xml:space="preserve"> </w:t>
      </w:r>
      <w:r w:rsidR="0062251B">
        <w:rPr>
          <w:lang w:val="en-CA"/>
        </w:rPr>
        <w:t>recognize</w:t>
      </w:r>
      <w:r w:rsidR="00CB1658">
        <w:rPr>
          <w:lang w:val="en-CA"/>
        </w:rPr>
        <w:t xml:space="preserve"> </w:t>
      </w:r>
      <w:r w:rsidR="0062251B">
        <w:rPr>
          <w:lang w:val="en-CA"/>
        </w:rPr>
        <w:t xml:space="preserve">their </w:t>
      </w:r>
      <w:r w:rsidR="00CB1658">
        <w:rPr>
          <w:lang w:val="en-CA"/>
        </w:rPr>
        <w:t xml:space="preserve">responsibility </w:t>
      </w:r>
      <w:r w:rsidR="005E227F">
        <w:rPr>
          <w:lang w:val="en-CA"/>
        </w:rPr>
        <w:t>to take “</w:t>
      </w:r>
      <w:r w:rsidR="00CB1658" w:rsidRPr="00CB1658">
        <w:t>all feasible steps to protect civilians</w:t>
      </w:r>
      <w:r w:rsidR="00F0792E">
        <w:t>,”</w:t>
      </w:r>
      <w:r w:rsidR="00CB1658">
        <w:rPr>
          <w:rFonts w:ascii="Arial" w:hAnsi="Arial" w:cs="Arial"/>
          <w:sz w:val="25"/>
          <w:szCs w:val="25"/>
        </w:rPr>
        <w:t xml:space="preserve"> </w:t>
      </w:r>
      <w:r w:rsidR="00DD3037" w:rsidRPr="00DD3037">
        <w:rPr>
          <w:lang w:val="en-CA"/>
        </w:rPr>
        <w:t>humanitarian assistance and aid</w:t>
      </w:r>
      <w:r w:rsidR="00F46565">
        <w:rPr>
          <w:lang w:val="en-CA"/>
        </w:rPr>
        <w:t>,</w:t>
      </w:r>
      <w:r w:rsidR="00DD3037" w:rsidRPr="00DD3037">
        <w:rPr>
          <w:lang w:val="en-CA"/>
        </w:rPr>
        <w:t xml:space="preserve"> </w:t>
      </w:r>
      <w:r w:rsidR="00F46565">
        <w:rPr>
          <w:lang w:val="en-CA"/>
        </w:rPr>
        <w:t xml:space="preserve">as well as </w:t>
      </w:r>
      <w:r w:rsidR="00DD3037" w:rsidRPr="00DD3037">
        <w:rPr>
          <w:lang w:val="en-CA"/>
        </w:rPr>
        <w:t>post-conflict development assistance including social protection schemes</w:t>
      </w:r>
      <w:r w:rsidR="00F46565">
        <w:rPr>
          <w:lang w:val="en-CA"/>
        </w:rPr>
        <w:t>,</w:t>
      </w:r>
      <w:r w:rsidR="00DD3037" w:rsidRPr="00DD3037">
        <w:rPr>
          <w:lang w:val="en-CA"/>
        </w:rPr>
        <w:t xml:space="preserve"> </w:t>
      </w:r>
      <w:r w:rsidR="00F0792E">
        <w:rPr>
          <w:lang w:val="en-CA"/>
        </w:rPr>
        <w:t xml:space="preserve">states </w:t>
      </w:r>
      <w:r w:rsidR="00DD3037" w:rsidRPr="00DD3037">
        <w:rPr>
          <w:lang w:val="en-CA"/>
        </w:rPr>
        <w:t xml:space="preserve">should safeguard persons with disabilities from encountering mine and ERW </w:t>
      </w:r>
      <w:r w:rsidR="005E227F">
        <w:rPr>
          <w:lang w:val="en-CA"/>
        </w:rPr>
        <w:t xml:space="preserve">risks </w:t>
      </w:r>
      <w:r w:rsidR="00DD3037" w:rsidRPr="00DD3037">
        <w:rPr>
          <w:lang w:val="en-CA"/>
        </w:rPr>
        <w:t>due</w:t>
      </w:r>
      <w:r w:rsidR="005E227F">
        <w:rPr>
          <w:lang w:val="en-CA"/>
        </w:rPr>
        <w:t xml:space="preserve"> to</w:t>
      </w:r>
      <w:r w:rsidR="00DD3037" w:rsidRPr="00DD3037">
        <w:rPr>
          <w:lang w:val="en-CA"/>
        </w:rPr>
        <w:t xml:space="preserve"> </w:t>
      </w:r>
      <w:r w:rsidR="005E227F" w:rsidRPr="00DD3037">
        <w:rPr>
          <w:lang w:val="en-CA"/>
        </w:rPr>
        <w:t>hazard</w:t>
      </w:r>
      <w:r w:rsidR="005E227F">
        <w:rPr>
          <w:lang w:val="en-CA"/>
        </w:rPr>
        <w:t>ous</w:t>
      </w:r>
      <w:r w:rsidR="005E227F" w:rsidRPr="00DD3037">
        <w:rPr>
          <w:lang w:val="en-CA"/>
        </w:rPr>
        <w:t xml:space="preserve"> </w:t>
      </w:r>
      <w:r w:rsidR="005E227F">
        <w:rPr>
          <w:lang w:val="en-CA"/>
        </w:rPr>
        <w:t>working conditions and conflict</w:t>
      </w:r>
      <w:r w:rsidR="00F0792E">
        <w:rPr>
          <w:lang w:val="en-CA"/>
        </w:rPr>
        <w:t>-</w:t>
      </w:r>
      <w:r w:rsidR="005E227F">
        <w:rPr>
          <w:lang w:val="en-CA"/>
        </w:rPr>
        <w:t xml:space="preserve">related </w:t>
      </w:r>
      <w:r w:rsidR="00DD3037" w:rsidRPr="00DD3037">
        <w:rPr>
          <w:lang w:val="en-CA"/>
        </w:rPr>
        <w:t>economic</w:t>
      </w:r>
      <w:r w:rsidR="005E227F">
        <w:rPr>
          <w:lang w:val="en-CA"/>
        </w:rPr>
        <w:t xml:space="preserve"> deprivation</w:t>
      </w:r>
      <w:r w:rsidR="00DD3037" w:rsidRPr="00DD3037">
        <w:t>.</w:t>
      </w:r>
      <w:r w:rsidR="00DD3037" w:rsidRPr="00DD3037">
        <w:rPr>
          <w:rStyle w:val="FootnoteReference"/>
        </w:rPr>
        <w:footnoteReference w:id="9"/>
      </w:r>
    </w:p>
    <w:p w14:paraId="6CDFF71A" w14:textId="77777777" w:rsidR="005252AF" w:rsidRDefault="005252AF" w:rsidP="005252AF">
      <w:pPr>
        <w:rPr>
          <w:lang w:val="en-CA"/>
        </w:rPr>
      </w:pPr>
    </w:p>
    <w:p w14:paraId="67179CC0" w14:textId="1CF2ABCA" w:rsidR="005252AF" w:rsidRPr="005252AF" w:rsidRDefault="005252AF" w:rsidP="005252AF">
      <w:r>
        <w:rPr>
          <w:lang w:val="en-CA"/>
        </w:rPr>
        <w:t>In addition to the prohibition of child labour and exploitation, the importance of the right to education</w:t>
      </w:r>
      <w:r w:rsidR="006C3C9C">
        <w:rPr>
          <w:lang w:val="en-CA"/>
        </w:rPr>
        <w:t>,</w:t>
      </w:r>
      <w:r>
        <w:rPr>
          <w:rStyle w:val="FootnoteReference"/>
          <w:lang w:val="en-CA"/>
        </w:rPr>
        <w:footnoteReference w:id="10"/>
      </w:r>
      <w:r>
        <w:rPr>
          <w:lang w:val="en-CA"/>
        </w:rPr>
        <w:t xml:space="preserve"> specific</w:t>
      </w:r>
      <w:r w:rsidR="005918D7">
        <w:rPr>
          <w:lang w:val="en-CA"/>
        </w:rPr>
        <w:t>ally the</w:t>
      </w:r>
      <w:r>
        <w:rPr>
          <w:lang w:val="en-CA"/>
        </w:rPr>
        <w:t xml:space="preserve"> need to protect girl children and young girls</w:t>
      </w:r>
      <w:r w:rsidR="00285492">
        <w:rPr>
          <w:lang w:val="en-CA"/>
        </w:rPr>
        <w:t>,</w:t>
      </w:r>
      <w:r>
        <w:rPr>
          <w:rStyle w:val="FootnoteReference"/>
          <w:lang w:val="en-CA"/>
        </w:rPr>
        <w:footnoteReference w:id="11"/>
      </w:r>
      <w:r w:rsidR="00285492">
        <w:rPr>
          <w:lang w:val="en-CA"/>
        </w:rPr>
        <w:t xml:space="preserve"> have to </w:t>
      </w:r>
      <w:proofErr w:type="gramStart"/>
      <w:r w:rsidR="00285492">
        <w:rPr>
          <w:lang w:val="en-CA"/>
        </w:rPr>
        <w:t>be emphasized</w:t>
      </w:r>
      <w:proofErr w:type="gramEnd"/>
      <w:r w:rsidR="00285492">
        <w:rPr>
          <w:lang w:val="en-CA"/>
        </w:rPr>
        <w:t>. Likewise, the</w:t>
      </w:r>
      <w:r w:rsidR="006C3C9C">
        <w:rPr>
          <w:lang w:val="en-CA"/>
        </w:rPr>
        <w:t xml:space="preserve"> increased</w:t>
      </w:r>
      <w:r w:rsidR="00285492">
        <w:rPr>
          <w:lang w:val="en-CA"/>
        </w:rPr>
        <w:t xml:space="preserve"> </w:t>
      </w:r>
      <w:r w:rsidR="006C3C9C">
        <w:rPr>
          <w:lang w:val="en-CA"/>
        </w:rPr>
        <w:t>likelihood</w:t>
      </w:r>
      <w:r w:rsidR="00285492">
        <w:rPr>
          <w:lang w:val="en-CA"/>
        </w:rPr>
        <w:t xml:space="preserve"> of children </w:t>
      </w:r>
      <w:r w:rsidR="00285492">
        <w:rPr>
          <w:lang w:val="en-CA"/>
        </w:rPr>
        <w:lastRenderedPageBreak/>
        <w:t>with disabilities to be abused for different forms of economic exploitation</w:t>
      </w:r>
      <w:r w:rsidR="00285492" w:rsidRPr="00AA1576">
        <w:rPr>
          <w:lang w:val="en-CA"/>
        </w:rPr>
        <w:t>, including the “worst forms of child labour</w:t>
      </w:r>
      <w:r w:rsidR="00F0792E">
        <w:rPr>
          <w:lang w:val="en-CA"/>
        </w:rPr>
        <w:t>,</w:t>
      </w:r>
      <w:r w:rsidR="00285492" w:rsidRPr="00AA1576">
        <w:rPr>
          <w:lang w:val="en-CA"/>
        </w:rPr>
        <w:t>” need</w:t>
      </w:r>
      <w:r w:rsidR="00987AA3">
        <w:rPr>
          <w:lang w:val="en-CA"/>
        </w:rPr>
        <w:t>s</w:t>
      </w:r>
      <w:r w:rsidR="00285492" w:rsidRPr="00AA1576">
        <w:rPr>
          <w:lang w:val="en-CA"/>
        </w:rPr>
        <w:t xml:space="preserve"> to be stressed.</w:t>
      </w:r>
      <w:r w:rsidR="00285492" w:rsidRPr="00AA1576">
        <w:rPr>
          <w:rStyle w:val="FootnoteReference"/>
          <w:lang w:val="en-CA"/>
        </w:rPr>
        <w:footnoteReference w:id="12"/>
      </w:r>
      <w:r w:rsidR="00285492">
        <w:rPr>
          <w:lang w:val="en-CA"/>
        </w:rPr>
        <w:t xml:space="preserve"> </w:t>
      </w:r>
      <w:r w:rsidR="005918D7">
        <w:rPr>
          <w:lang w:val="en-CA"/>
        </w:rPr>
        <w:t xml:space="preserve"> </w:t>
      </w:r>
    </w:p>
    <w:p w14:paraId="7EF94EE3" w14:textId="4B86F5EC" w:rsidR="006F043B" w:rsidRDefault="006F043B" w:rsidP="002B6F72">
      <w:pPr>
        <w:shd w:val="clear" w:color="auto" w:fill="FFFFFF"/>
        <w:rPr>
          <w:rFonts w:eastAsia="Times New Roman"/>
          <w:color w:val="222222"/>
          <w:sz w:val="22"/>
          <w:szCs w:val="22"/>
          <w:lang w:eastAsia="en-US"/>
        </w:rPr>
      </w:pPr>
    </w:p>
    <w:p w14:paraId="5C59E6A6" w14:textId="6EDF1362" w:rsidR="00040BE8" w:rsidRDefault="00040BE8" w:rsidP="00040BE8">
      <w:r w:rsidRPr="00DF68D5">
        <w:rPr>
          <w:color w:val="000000"/>
          <w:lang w:val="en-CA" w:eastAsia="ja-JP"/>
        </w:rPr>
        <w:t xml:space="preserve">The Committee </w:t>
      </w:r>
      <w:r>
        <w:rPr>
          <w:color w:val="000000"/>
          <w:lang w:val="en-CA" w:eastAsia="ja-JP"/>
        </w:rPr>
        <w:t xml:space="preserve">on the Rights of </w:t>
      </w:r>
      <w:r w:rsidR="00B116BC">
        <w:rPr>
          <w:color w:val="000000"/>
          <w:lang w:val="en-CA" w:eastAsia="ja-JP"/>
        </w:rPr>
        <w:t>the Child</w:t>
      </w:r>
      <w:r>
        <w:rPr>
          <w:color w:val="000000"/>
          <w:lang w:val="en-CA" w:eastAsia="ja-JP"/>
        </w:rPr>
        <w:t xml:space="preserve"> </w:t>
      </w:r>
      <w:r w:rsidRPr="00DF68D5">
        <w:rPr>
          <w:color w:val="000000"/>
          <w:lang w:val="en-CA" w:eastAsia="ja-JP"/>
        </w:rPr>
        <w:t>has not as yet developed a General</w:t>
      </w:r>
      <w:r>
        <w:rPr>
          <w:color w:val="000000"/>
          <w:lang w:val="en-CA" w:eastAsia="ja-JP"/>
        </w:rPr>
        <w:t xml:space="preserve"> </w:t>
      </w:r>
      <w:r w:rsidRPr="00DF68D5">
        <w:rPr>
          <w:color w:val="000000"/>
          <w:lang w:val="en-CA" w:eastAsia="ja-JP"/>
        </w:rPr>
        <w:t>Comment on article 32, but it has addressed</w:t>
      </w:r>
      <w:r>
        <w:rPr>
          <w:color w:val="000000"/>
          <w:lang w:val="en-CA" w:eastAsia="ja-JP"/>
        </w:rPr>
        <w:t xml:space="preserve"> </w:t>
      </w:r>
      <w:r w:rsidR="00987AA3">
        <w:rPr>
          <w:color w:val="000000"/>
          <w:lang w:val="en-CA" w:eastAsia="ja-JP"/>
        </w:rPr>
        <w:t>s</w:t>
      </w:r>
      <w:r w:rsidRPr="00DF68D5">
        <w:rPr>
          <w:color w:val="000000"/>
          <w:lang w:val="en-CA" w:eastAsia="ja-JP"/>
        </w:rPr>
        <w:t>tate’s obligations in its General Comments No. 4</w:t>
      </w:r>
      <w:r>
        <w:rPr>
          <w:color w:val="000000"/>
          <w:lang w:val="en-CA" w:eastAsia="ja-JP"/>
        </w:rPr>
        <w:t xml:space="preserve"> </w:t>
      </w:r>
      <w:r w:rsidRPr="00DF68D5">
        <w:rPr>
          <w:color w:val="000000"/>
          <w:lang w:val="en-CA" w:eastAsia="ja-JP"/>
        </w:rPr>
        <w:t>on “Adolescent health and development in the</w:t>
      </w:r>
      <w:r>
        <w:rPr>
          <w:color w:val="000000"/>
          <w:lang w:val="en-CA" w:eastAsia="ja-JP"/>
        </w:rPr>
        <w:t xml:space="preserve"> </w:t>
      </w:r>
      <w:r w:rsidRPr="00DF68D5">
        <w:rPr>
          <w:color w:val="000000"/>
          <w:lang w:val="en-CA" w:eastAsia="ja-JP"/>
        </w:rPr>
        <w:t>context of the Convention on the Rights of the</w:t>
      </w:r>
      <w:r>
        <w:rPr>
          <w:color w:val="000000"/>
          <w:lang w:val="en-CA" w:eastAsia="ja-JP"/>
        </w:rPr>
        <w:t xml:space="preserve"> </w:t>
      </w:r>
      <w:r w:rsidRPr="00DF68D5">
        <w:rPr>
          <w:color w:val="000000"/>
          <w:lang w:val="en-CA" w:eastAsia="ja-JP"/>
        </w:rPr>
        <w:t>Child” and No. 7 on “Implementing child rights</w:t>
      </w:r>
      <w:r>
        <w:rPr>
          <w:color w:val="000000"/>
          <w:lang w:val="en-CA" w:eastAsia="ja-JP"/>
        </w:rPr>
        <w:t xml:space="preserve"> </w:t>
      </w:r>
      <w:r w:rsidRPr="00DF68D5">
        <w:rPr>
          <w:color w:val="000000"/>
          <w:lang w:val="en-CA" w:eastAsia="ja-JP"/>
        </w:rPr>
        <w:t xml:space="preserve">in </w:t>
      </w:r>
      <w:r w:rsidRPr="002265A0">
        <w:rPr>
          <w:color w:val="000000"/>
          <w:lang w:val="en-CA" w:eastAsia="ja-JP"/>
        </w:rPr>
        <w:t>early childhood</w:t>
      </w:r>
      <w:r w:rsidR="006C3C9C" w:rsidRPr="002265A0">
        <w:rPr>
          <w:color w:val="000000"/>
          <w:lang w:val="en-CA" w:eastAsia="ja-JP"/>
        </w:rPr>
        <w:t>.</w:t>
      </w:r>
      <w:r w:rsidR="006C3C9C" w:rsidRPr="002265A0">
        <w:rPr>
          <w:rStyle w:val="FootnoteReference"/>
          <w:color w:val="000000"/>
          <w:lang w:val="en-CA" w:eastAsia="ja-JP"/>
        </w:rPr>
        <w:footnoteReference w:id="13"/>
      </w:r>
      <w:r>
        <w:rPr>
          <w:color w:val="000090"/>
          <w:lang w:val="en-CA" w:eastAsia="ja-JP"/>
        </w:rPr>
        <w:t xml:space="preserve"> </w:t>
      </w:r>
    </w:p>
    <w:p w14:paraId="3D544AC8" w14:textId="77777777" w:rsidR="006F043B" w:rsidRDefault="006F043B" w:rsidP="002B6F72">
      <w:pPr>
        <w:shd w:val="clear" w:color="auto" w:fill="FFFFFF"/>
        <w:rPr>
          <w:rFonts w:eastAsia="Times New Roman"/>
          <w:color w:val="222222"/>
          <w:sz w:val="22"/>
          <w:szCs w:val="22"/>
          <w:lang w:eastAsia="en-US"/>
        </w:rPr>
      </w:pPr>
    </w:p>
    <w:p w14:paraId="4E69A589" w14:textId="37577841" w:rsidR="00515661" w:rsidRPr="00515661" w:rsidRDefault="00515661" w:rsidP="002B6F72">
      <w:pPr>
        <w:shd w:val="clear" w:color="auto" w:fill="FFFFFF"/>
        <w:rPr>
          <w:rFonts w:eastAsia="Times New Roman"/>
          <w:color w:val="222222"/>
          <w:lang w:eastAsia="en-US"/>
        </w:rPr>
      </w:pPr>
      <w:r w:rsidRPr="00515661">
        <w:rPr>
          <w:rFonts w:eastAsia="Times New Roman"/>
          <w:color w:val="222222"/>
          <w:lang w:eastAsia="en-US"/>
        </w:rPr>
        <w:t xml:space="preserve">Suggestions: </w:t>
      </w:r>
    </w:p>
    <w:p w14:paraId="1628D3F1" w14:textId="5BB8E89C" w:rsidR="00515661" w:rsidRDefault="00515661" w:rsidP="00515661">
      <w:pPr>
        <w:pStyle w:val="ListParagraph"/>
        <w:numPr>
          <w:ilvl w:val="0"/>
          <w:numId w:val="14"/>
        </w:numPr>
        <w:shd w:val="clear" w:color="auto" w:fill="FFFFFF"/>
        <w:rPr>
          <w:rFonts w:eastAsia="Times New Roman"/>
          <w:color w:val="222222"/>
          <w:lang w:eastAsia="en-US"/>
        </w:rPr>
      </w:pPr>
      <w:r>
        <w:rPr>
          <w:rFonts w:eastAsia="Times New Roman"/>
          <w:color w:val="222222"/>
          <w:lang w:eastAsia="en-US"/>
        </w:rPr>
        <w:t>Include a link to issues of exploitation of children</w:t>
      </w:r>
    </w:p>
    <w:p w14:paraId="5AFDF550" w14:textId="5FC08DC0" w:rsidR="00515661" w:rsidRPr="00515661" w:rsidRDefault="00515661" w:rsidP="00515661">
      <w:pPr>
        <w:pStyle w:val="ListParagraph"/>
        <w:numPr>
          <w:ilvl w:val="0"/>
          <w:numId w:val="14"/>
        </w:numPr>
        <w:shd w:val="clear" w:color="auto" w:fill="FFFFFF"/>
        <w:rPr>
          <w:rFonts w:eastAsia="Times New Roman"/>
          <w:color w:val="222222"/>
          <w:lang w:eastAsia="en-US"/>
        </w:rPr>
      </w:pPr>
      <w:r>
        <w:rPr>
          <w:rFonts w:eastAsia="Times New Roman"/>
          <w:color w:val="222222"/>
          <w:lang w:eastAsia="en-US"/>
        </w:rPr>
        <w:t xml:space="preserve">Strengthen references to situations of risk (Article 11 CRPD) </w:t>
      </w:r>
    </w:p>
    <w:p w14:paraId="72348648" w14:textId="77777777" w:rsidR="005252AF" w:rsidRDefault="005252AF" w:rsidP="002B6F72">
      <w:pPr>
        <w:shd w:val="clear" w:color="auto" w:fill="FFFFFF"/>
        <w:rPr>
          <w:rFonts w:eastAsia="Times New Roman"/>
          <w:color w:val="222222"/>
          <w:sz w:val="22"/>
          <w:szCs w:val="22"/>
          <w:lang w:eastAsia="en-US"/>
        </w:rPr>
      </w:pPr>
    </w:p>
    <w:p w14:paraId="097646C0" w14:textId="50810AD3" w:rsidR="006F043B" w:rsidRPr="006F043B" w:rsidRDefault="006F043B" w:rsidP="006F043B">
      <w:pPr>
        <w:shd w:val="clear" w:color="auto" w:fill="FFFFFF"/>
        <w:rPr>
          <w:rFonts w:eastAsia="Times New Roman"/>
          <w:b/>
          <w:color w:val="222222"/>
          <w:lang w:eastAsia="en-US"/>
        </w:rPr>
      </w:pPr>
      <w:r w:rsidRPr="006F043B">
        <w:rPr>
          <w:rFonts w:eastAsia="Times New Roman"/>
          <w:b/>
          <w:color w:val="222222"/>
          <w:lang w:eastAsia="en-US"/>
        </w:rPr>
        <w:lastRenderedPageBreak/>
        <w:t xml:space="preserve">3. </w:t>
      </w:r>
      <w:r w:rsidR="00040BE8">
        <w:rPr>
          <w:rFonts w:eastAsia="Times New Roman"/>
          <w:b/>
          <w:color w:val="222222"/>
          <w:lang w:eastAsia="en-US"/>
        </w:rPr>
        <w:t>P</w:t>
      </w:r>
      <w:r w:rsidRPr="006F043B">
        <w:rPr>
          <w:rFonts w:eastAsia="Times New Roman"/>
          <w:b/>
          <w:color w:val="222222"/>
          <w:lang w:eastAsia="en-US"/>
        </w:rPr>
        <w:t xml:space="preserve">rotection measures </w:t>
      </w:r>
      <w:r w:rsidR="00040BE8">
        <w:rPr>
          <w:rFonts w:eastAsia="Times New Roman"/>
          <w:b/>
          <w:color w:val="222222"/>
          <w:lang w:eastAsia="en-US"/>
        </w:rPr>
        <w:t xml:space="preserve">and the principles of a right to remedy </w:t>
      </w:r>
      <w:r w:rsidRPr="006F043B">
        <w:rPr>
          <w:rFonts w:eastAsia="Times New Roman"/>
          <w:b/>
          <w:color w:val="222222"/>
          <w:lang w:eastAsia="en-US"/>
        </w:rPr>
        <w:t xml:space="preserve">are of the essence, particularly where inconsistencies with decent work standards may contribute to potential harm </w:t>
      </w:r>
    </w:p>
    <w:p w14:paraId="12B63E1E" w14:textId="77777777" w:rsidR="00342836" w:rsidRDefault="00342836" w:rsidP="001C729E">
      <w:pPr>
        <w:jc w:val="both"/>
        <w:rPr>
          <w:rFonts w:eastAsia="Times New Roman"/>
          <w:color w:val="222222"/>
          <w:lang w:eastAsia="en-US"/>
        </w:rPr>
      </w:pPr>
    </w:p>
    <w:p w14:paraId="05CD2326" w14:textId="5AA5E4B5" w:rsidR="005357EF" w:rsidRDefault="003C38FC" w:rsidP="001C729E">
      <w:pPr>
        <w:jc w:val="both"/>
        <w:rPr>
          <w:rFonts w:eastAsia="Times New Roman"/>
          <w:lang w:eastAsia="en-US"/>
        </w:rPr>
      </w:pPr>
      <w:r>
        <w:rPr>
          <w:rFonts w:eastAsia="Times New Roman"/>
          <w:color w:val="222222"/>
          <w:lang w:eastAsia="en-US"/>
        </w:rPr>
        <w:t>The rehabilitative and potentially reparative nature of opportunities for decent work, return to work, socio-economic inclusion and reintegration</w:t>
      </w:r>
      <w:r w:rsidR="00F0792E">
        <w:rPr>
          <w:rFonts w:eastAsia="Times New Roman"/>
          <w:color w:val="222222"/>
          <w:lang w:eastAsia="en-US"/>
        </w:rPr>
        <w:t>,</w:t>
      </w:r>
      <w:r>
        <w:rPr>
          <w:rFonts w:eastAsia="Times New Roman"/>
          <w:color w:val="222222"/>
          <w:lang w:eastAsia="en-US"/>
        </w:rPr>
        <w:t xml:space="preserve"> </w:t>
      </w:r>
      <w:proofErr w:type="gramStart"/>
      <w:r>
        <w:rPr>
          <w:rFonts w:eastAsia="Times New Roman"/>
          <w:color w:val="222222"/>
          <w:lang w:eastAsia="en-US"/>
        </w:rPr>
        <w:t>should be promoted</w:t>
      </w:r>
      <w:proofErr w:type="gramEnd"/>
      <w:r>
        <w:rPr>
          <w:rFonts w:eastAsia="Times New Roman"/>
          <w:color w:val="222222"/>
          <w:lang w:eastAsia="en-US"/>
        </w:rPr>
        <w:t xml:space="preserve">. </w:t>
      </w:r>
      <w:r w:rsidR="00A63437">
        <w:rPr>
          <w:rFonts w:eastAsia="Times New Roman"/>
          <w:color w:val="222222"/>
          <w:lang w:eastAsia="en-US"/>
        </w:rPr>
        <w:t xml:space="preserve">Safe </w:t>
      </w:r>
      <w:r w:rsidR="001C729E">
        <w:rPr>
          <w:rFonts w:eastAsia="Times New Roman"/>
          <w:color w:val="222222"/>
          <w:lang w:eastAsia="en-US"/>
        </w:rPr>
        <w:t>labor</w:t>
      </w:r>
      <w:r w:rsidR="00A63437">
        <w:rPr>
          <w:rFonts w:eastAsia="Times New Roman"/>
          <w:color w:val="222222"/>
          <w:lang w:eastAsia="en-US"/>
        </w:rPr>
        <w:t xml:space="preserve"> standards </w:t>
      </w:r>
      <w:r w:rsidR="00B351CE">
        <w:rPr>
          <w:rFonts w:eastAsia="Times New Roman"/>
          <w:color w:val="222222"/>
          <w:lang w:eastAsia="en-US"/>
        </w:rPr>
        <w:t xml:space="preserve">and appropriate work environments </w:t>
      </w:r>
      <w:r w:rsidR="00A63437">
        <w:rPr>
          <w:rFonts w:eastAsia="Times New Roman"/>
          <w:color w:val="222222"/>
          <w:lang w:eastAsia="en-US"/>
        </w:rPr>
        <w:t>are relevant to this discussion</w:t>
      </w:r>
      <w:r w:rsidR="00F0792E">
        <w:rPr>
          <w:rFonts w:eastAsia="Times New Roman"/>
          <w:color w:val="222222"/>
          <w:lang w:eastAsia="en-US"/>
        </w:rPr>
        <w:t>,</w:t>
      </w:r>
      <w:r w:rsidR="00A63437">
        <w:rPr>
          <w:rFonts w:eastAsia="Times New Roman"/>
          <w:color w:val="222222"/>
          <w:lang w:eastAsia="en-US"/>
        </w:rPr>
        <w:t xml:space="preserve"> as </w:t>
      </w:r>
      <w:r w:rsidR="00B351CE">
        <w:rPr>
          <w:rFonts w:eastAsia="Times New Roman"/>
          <w:color w:val="222222"/>
          <w:lang w:eastAsia="en-US"/>
        </w:rPr>
        <w:t xml:space="preserve">is </w:t>
      </w:r>
      <w:r w:rsidR="00A63437">
        <w:rPr>
          <w:rFonts w:eastAsia="Times New Roman"/>
          <w:color w:val="222222"/>
          <w:lang w:eastAsia="en-US"/>
        </w:rPr>
        <w:t>the core of humanitarian law: to limit the</w:t>
      </w:r>
      <w:r w:rsidR="00B351CE">
        <w:rPr>
          <w:rFonts w:eastAsia="Times New Roman"/>
          <w:color w:val="222222"/>
          <w:lang w:eastAsia="en-US"/>
        </w:rPr>
        <w:t xml:space="preserve"> death and injury caused by armed violence and conflict and the</w:t>
      </w:r>
      <w:r w:rsidR="00A63437">
        <w:rPr>
          <w:rFonts w:eastAsia="Times New Roman"/>
          <w:color w:val="222222"/>
          <w:lang w:eastAsia="en-US"/>
        </w:rPr>
        <w:t xml:space="preserve"> harm </w:t>
      </w:r>
      <w:r w:rsidR="00B351CE">
        <w:rPr>
          <w:rFonts w:eastAsia="Times New Roman"/>
          <w:color w:val="222222"/>
          <w:lang w:eastAsia="en-US"/>
        </w:rPr>
        <w:t xml:space="preserve">to </w:t>
      </w:r>
      <w:r w:rsidR="00A63437">
        <w:rPr>
          <w:rFonts w:eastAsia="Times New Roman"/>
          <w:color w:val="222222"/>
          <w:lang w:eastAsia="en-US"/>
        </w:rPr>
        <w:t xml:space="preserve">civilians. </w:t>
      </w:r>
      <w:r w:rsidR="00040BE8">
        <w:rPr>
          <w:rFonts w:eastAsia="Times New Roman"/>
          <w:color w:val="222222"/>
          <w:lang w:eastAsia="en-US"/>
        </w:rPr>
        <w:t xml:space="preserve">Also relevant are the </w:t>
      </w:r>
      <w:r w:rsidR="00040BE8" w:rsidRPr="00040BE8">
        <w:rPr>
          <w:rFonts w:eastAsia="Times New Roman"/>
          <w:color w:val="222222"/>
          <w:lang w:eastAsia="en-US"/>
        </w:rPr>
        <w:t>Basic Principles and Guidelines on the Right to a Remedy and Reparation for Victims of Gross Violations of International Human Rights Law and Serious Violations of International Humanitarian L</w:t>
      </w:r>
      <w:r w:rsidR="00040BE8" w:rsidRPr="001C729E">
        <w:rPr>
          <w:rFonts w:eastAsia="Times New Roman"/>
          <w:color w:val="222222"/>
          <w:lang w:eastAsia="en-US"/>
        </w:rPr>
        <w:t>aw</w:t>
      </w:r>
      <w:r w:rsidR="00F572E7">
        <w:rPr>
          <w:rFonts w:eastAsia="Times New Roman"/>
          <w:color w:val="222222"/>
          <w:lang w:eastAsia="en-US"/>
        </w:rPr>
        <w:t>.</w:t>
      </w:r>
      <w:r w:rsidR="00AC6178" w:rsidRPr="001C729E">
        <w:rPr>
          <w:rStyle w:val="FootnoteReference"/>
          <w:rFonts w:eastAsia="Times New Roman"/>
          <w:lang w:eastAsia="en-US"/>
        </w:rPr>
        <w:footnoteReference w:id="14"/>
      </w:r>
      <w:r w:rsidR="00AC6178">
        <w:rPr>
          <w:rFonts w:eastAsia="Times New Roman"/>
          <w:lang w:eastAsia="en-US"/>
        </w:rPr>
        <w:t xml:space="preserve"> </w:t>
      </w:r>
    </w:p>
    <w:p w14:paraId="49C2C6CB" w14:textId="77777777" w:rsidR="005357EF" w:rsidRDefault="005357EF" w:rsidP="001C729E">
      <w:pPr>
        <w:jc w:val="both"/>
        <w:rPr>
          <w:rFonts w:eastAsia="Times New Roman"/>
          <w:lang w:eastAsia="en-US"/>
        </w:rPr>
      </w:pPr>
    </w:p>
    <w:p w14:paraId="09135D6A" w14:textId="124CC870" w:rsidR="00A4155F" w:rsidRDefault="001C729E" w:rsidP="001C729E">
      <w:pPr>
        <w:jc w:val="both"/>
        <w:rPr>
          <w:rFonts w:eastAsia="Times New Roman"/>
          <w:lang w:eastAsia="en-US"/>
        </w:rPr>
      </w:pPr>
      <w:r>
        <w:rPr>
          <w:rFonts w:eastAsia="Times New Roman"/>
          <w:color w:val="222222"/>
          <w:lang w:eastAsia="en-US"/>
        </w:rPr>
        <w:t xml:space="preserve">The Basic Principles, </w:t>
      </w:r>
      <w:r w:rsidR="00040BE8" w:rsidRPr="001C729E">
        <w:rPr>
          <w:rFonts w:eastAsia="Times New Roman"/>
          <w:color w:val="222222"/>
          <w:lang w:eastAsia="en-US"/>
        </w:rPr>
        <w:t>which recognize</w:t>
      </w:r>
      <w:r>
        <w:rPr>
          <w:rFonts w:eastAsia="Times New Roman"/>
          <w:color w:val="222222"/>
          <w:lang w:eastAsia="en-US"/>
        </w:rPr>
        <w:t xml:space="preserve"> remedy for individual and collective harms</w:t>
      </w:r>
      <w:r w:rsidR="00F0792E">
        <w:rPr>
          <w:rFonts w:eastAsia="Times New Roman"/>
          <w:color w:val="222222"/>
          <w:lang w:eastAsia="en-US"/>
        </w:rPr>
        <w:t>,</w:t>
      </w:r>
      <w:r>
        <w:rPr>
          <w:rFonts w:eastAsia="Times New Roman"/>
          <w:color w:val="222222"/>
          <w:lang w:eastAsia="en-US"/>
        </w:rPr>
        <w:t xml:space="preserve"> establish that</w:t>
      </w:r>
      <w:r w:rsidR="00040BE8" w:rsidRPr="001C729E">
        <w:rPr>
          <w:rFonts w:eastAsia="Times New Roman"/>
          <w:color w:val="222222"/>
          <w:lang w:eastAsia="en-US"/>
        </w:rPr>
        <w:t xml:space="preserve"> </w:t>
      </w:r>
      <w:r w:rsidR="00B57FA3">
        <w:rPr>
          <w:rFonts w:eastAsia="Times New Roman"/>
          <w:color w:val="222222"/>
          <w:lang w:eastAsia="en-US"/>
        </w:rPr>
        <w:t xml:space="preserve">in </w:t>
      </w:r>
      <w:r w:rsidR="00040BE8" w:rsidRPr="001C729E">
        <w:rPr>
          <w:rFonts w:eastAsia="Times New Roman"/>
          <w:color w:val="222222"/>
          <w:lang w:eastAsia="en-US"/>
        </w:rPr>
        <w:t>the process of redress</w:t>
      </w:r>
      <w:r w:rsidR="003C38FC">
        <w:rPr>
          <w:rFonts w:eastAsia="Times New Roman"/>
          <w:color w:val="222222"/>
          <w:lang w:eastAsia="en-US"/>
        </w:rPr>
        <w:t>,</w:t>
      </w:r>
      <w:r w:rsidR="00040BE8" w:rsidRPr="001C729E">
        <w:rPr>
          <w:rFonts w:eastAsia="Times New Roman"/>
          <w:color w:val="222222"/>
          <w:lang w:eastAsia="en-US"/>
        </w:rPr>
        <w:t xml:space="preserve"> </w:t>
      </w:r>
      <w:r w:rsidR="003C38FC">
        <w:rPr>
          <w:rFonts w:eastAsia="Times New Roman"/>
          <w:color w:val="222222"/>
          <w:lang w:eastAsia="en-US"/>
        </w:rPr>
        <w:t>‘s</w:t>
      </w:r>
      <w:r w:rsidR="00040BE8" w:rsidRPr="001C729E">
        <w:rPr>
          <w:rFonts w:eastAsia="Times New Roman"/>
          <w:color w:val="222222"/>
          <w:lang w:eastAsia="en-US"/>
        </w:rPr>
        <w:t>atisfaction</w:t>
      </w:r>
      <w:r w:rsidR="003C38FC">
        <w:rPr>
          <w:rFonts w:eastAsia="Times New Roman"/>
          <w:color w:val="222222"/>
          <w:lang w:eastAsia="en-US"/>
        </w:rPr>
        <w:t>’</w:t>
      </w:r>
      <w:r w:rsidR="00040BE8" w:rsidRPr="001C729E">
        <w:rPr>
          <w:rFonts w:eastAsia="Times New Roman"/>
          <w:color w:val="222222"/>
          <w:lang w:eastAsia="en-US"/>
        </w:rPr>
        <w:t xml:space="preserve"> </w:t>
      </w:r>
      <w:r w:rsidRPr="001C729E">
        <w:rPr>
          <w:rFonts w:eastAsia="Times New Roman"/>
          <w:color w:val="222222"/>
          <w:lang w:eastAsia="en-US"/>
        </w:rPr>
        <w:t>includ</w:t>
      </w:r>
      <w:r>
        <w:rPr>
          <w:rFonts w:eastAsia="Times New Roman"/>
          <w:color w:val="222222"/>
          <w:lang w:eastAsia="en-US"/>
        </w:rPr>
        <w:t>es</w:t>
      </w:r>
      <w:r w:rsidRPr="001C729E">
        <w:rPr>
          <w:rFonts w:eastAsia="Times New Roman"/>
          <w:color w:val="222222"/>
          <w:lang w:eastAsia="en-US"/>
        </w:rPr>
        <w:t xml:space="preserve"> e</w:t>
      </w:r>
      <w:r w:rsidR="00040BE8" w:rsidRPr="001C729E">
        <w:rPr>
          <w:rFonts w:eastAsia="Times New Roman"/>
          <w:color w:val="222222"/>
          <w:lang w:eastAsia="en-US"/>
        </w:rPr>
        <w:t xml:space="preserve">ffective </w:t>
      </w:r>
      <w:r w:rsidR="00040BE8" w:rsidRPr="001C729E">
        <w:rPr>
          <w:rFonts w:eastAsia="Times New Roman"/>
          <w:lang w:eastAsia="en-US"/>
        </w:rPr>
        <w:t>measures aimed at the cessation of continuing violations (22a)</w:t>
      </w:r>
      <w:r w:rsidRPr="001C729E">
        <w:rPr>
          <w:rFonts w:eastAsia="Times New Roman"/>
          <w:lang w:eastAsia="en-US"/>
        </w:rPr>
        <w:t xml:space="preserve"> </w:t>
      </w:r>
      <w:r>
        <w:rPr>
          <w:rFonts w:eastAsia="Times New Roman"/>
          <w:lang w:eastAsia="en-US"/>
        </w:rPr>
        <w:t>a</w:t>
      </w:r>
      <w:r w:rsidR="00F0792E">
        <w:rPr>
          <w:rFonts w:eastAsia="Times New Roman"/>
          <w:lang w:eastAsia="en-US"/>
        </w:rPr>
        <w:t>nd</w:t>
      </w:r>
      <w:r>
        <w:rPr>
          <w:rFonts w:eastAsia="Times New Roman"/>
          <w:lang w:eastAsia="en-US"/>
        </w:rPr>
        <w:t xml:space="preserve"> </w:t>
      </w:r>
      <w:r w:rsidR="003C38FC">
        <w:rPr>
          <w:rFonts w:eastAsia="Times New Roman"/>
          <w:lang w:eastAsia="en-US"/>
        </w:rPr>
        <w:t>‘</w:t>
      </w:r>
      <w:r>
        <w:rPr>
          <w:rFonts w:eastAsia="Times New Roman"/>
          <w:lang w:eastAsia="en-US"/>
        </w:rPr>
        <w:t>g</w:t>
      </w:r>
      <w:r w:rsidRPr="001C729E">
        <w:rPr>
          <w:rFonts w:eastAsia="Times New Roman"/>
          <w:lang w:eastAsia="en-US"/>
        </w:rPr>
        <w:t>uarantees of non-repetition</w:t>
      </w:r>
      <w:r w:rsidR="003C38FC">
        <w:rPr>
          <w:rFonts w:eastAsia="Times New Roman"/>
          <w:lang w:eastAsia="en-US"/>
        </w:rPr>
        <w:t>’</w:t>
      </w:r>
      <w:r w:rsidRPr="001C729E">
        <w:rPr>
          <w:rFonts w:eastAsia="Times New Roman"/>
          <w:lang w:eastAsia="en-US"/>
        </w:rPr>
        <w:t xml:space="preserve"> (23</w:t>
      </w:r>
      <w:r w:rsidRPr="001C729E">
        <w:t>)</w:t>
      </w:r>
      <w:r w:rsidRPr="001C729E">
        <w:rPr>
          <w:rFonts w:eastAsia="Times New Roman"/>
          <w:lang w:eastAsia="en-US"/>
        </w:rPr>
        <w:t>.</w:t>
      </w:r>
      <w:r w:rsidR="00AC6178">
        <w:rPr>
          <w:rStyle w:val="FootnoteReference"/>
          <w:rFonts w:eastAsia="Times New Roman"/>
          <w:lang w:eastAsia="en-US"/>
        </w:rPr>
        <w:footnoteReference w:id="15"/>
      </w:r>
      <w:r w:rsidR="00A4155F">
        <w:rPr>
          <w:rFonts w:eastAsia="Times New Roman"/>
          <w:lang w:eastAsia="en-US"/>
        </w:rPr>
        <w:t xml:space="preserve"> </w:t>
      </w:r>
      <w:r w:rsidR="008B6361">
        <w:rPr>
          <w:rFonts w:eastAsia="Times New Roman"/>
          <w:lang w:eastAsia="en-US"/>
        </w:rPr>
        <w:t xml:space="preserve"> </w:t>
      </w:r>
      <w:r w:rsidR="00A4155F">
        <w:rPr>
          <w:rFonts w:eastAsia="Times New Roman"/>
          <w:lang w:eastAsia="en-US"/>
        </w:rPr>
        <w:t>These principles a</w:t>
      </w:r>
      <w:r w:rsidR="005357EF">
        <w:rPr>
          <w:rFonts w:eastAsia="Times New Roman"/>
          <w:lang w:eastAsia="en-US"/>
        </w:rPr>
        <w:t xml:space="preserve">re commensurate with </w:t>
      </w:r>
      <w:r w:rsidR="00647AB2">
        <w:rPr>
          <w:rFonts w:eastAsia="Times New Roman"/>
          <w:lang w:eastAsia="en-US"/>
        </w:rPr>
        <w:t xml:space="preserve">recognizing </w:t>
      </w:r>
      <w:r w:rsidR="00647AB2">
        <w:t>respect for the inherent dignity</w:t>
      </w:r>
      <w:r w:rsidR="00647AB2">
        <w:rPr>
          <w:rFonts w:eastAsia="Times New Roman"/>
          <w:lang w:eastAsia="en-US"/>
        </w:rPr>
        <w:t xml:space="preserve"> </w:t>
      </w:r>
      <w:r w:rsidR="005357EF">
        <w:rPr>
          <w:rFonts w:eastAsia="Times New Roman"/>
          <w:lang w:eastAsia="en-US"/>
        </w:rPr>
        <w:t>Article 16/</w:t>
      </w:r>
      <w:r w:rsidR="00A4155F">
        <w:rPr>
          <w:rFonts w:eastAsia="Times New Roman"/>
          <w:lang w:eastAsia="en-US"/>
        </w:rPr>
        <w:t>4 CRPD</w:t>
      </w:r>
      <w:r w:rsidR="005357EF">
        <w:rPr>
          <w:rFonts w:eastAsia="Times New Roman"/>
          <w:lang w:eastAsia="en-US"/>
        </w:rPr>
        <w:t xml:space="preserve"> on recovery in response to violence;</w:t>
      </w:r>
      <w:r w:rsidR="008E55BB">
        <w:rPr>
          <w:rStyle w:val="FootnoteReference"/>
          <w:rFonts w:eastAsia="Times New Roman"/>
          <w:lang w:eastAsia="en-US"/>
        </w:rPr>
        <w:footnoteReference w:id="16"/>
      </w:r>
      <w:r w:rsidR="00A4155F">
        <w:rPr>
          <w:rFonts w:eastAsia="Times New Roman"/>
          <w:lang w:eastAsia="en-US"/>
        </w:rPr>
        <w:t xml:space="preserve"> while </w:t>
      </w:r>
      <w:r w:rsidR="00647AB2">
        <w:rPr>
          <w:rFonts w:eastAsia="Times New Roman"/>
          <w:lang w:eastAsia="en-US"/>
        </w:rPr>
        <w:t>a</w:t>
      </w:r>
      <w:r w:rsidR="003C289D">
        <w:rPr>
          <w:rFonts w:eastAsia="Times New Roman"/>
          <w:lang w:eastAsia="en-US"/>
        </w:rPr>
        <w:t>ppropriate</w:t>
      </w:r>
      <w:r w:rsidR="00647AB2">
        <w:rPr>
          <w:rFonts w:eastAsia="Times New Roman"/>
          <w:lang w:eastAsia="en-US"/>
        </w:rPr>
        <w:t xml:space="preserve"> </w:t>
      </w:r>
      <w:r w:rsidR="003C289D">
        <w:rPr>
          <w:rFonts w:eastAsia="Times New Roman"/>
          <w:lang w:eastAsia="en-US"/>
        </w:rPr>
        <w:t xml:space="preserve">to </w:t>
      </w:r>
      <w:r w:rsidR="00647AB2">
        <w:rPr>
          <w:rFonts w:eastAsia="Times New Roman"/>
          <w:lang w:eastAsia="en-US"/>
        </w:rPr>
        <w:t xml:space="preserve">the understanding </w:t>
      </w:r>
      <w:r w:rsidR="00A4155F">
        <w:rPr>
          <w:rFonts w:eastAsia="Times New Roman"/>
          <w:lang w:eastAsia="en-US"/>
        </w:rPr>
        <w:t xml:space="preserve">disability </w:t>
      </w:r>
      <w:r w:rsidR="00056BD7">
        <w:rPr>
          <w:rFonts w:eastAsia="Times New Roman"/>
          <w:lang w:eastAsia="en-US"/>
        </w:rPr>
        <w:t>a</w:t>
      </w:r>
      <w:r w:rsidR="00A4155F">
        <w:rPr>
          <w:rFonts w:eastAsia="Times New Roman"/>
          <w:lang w:eastAsia="en-US"/>
        </w:rPr>
        <w:t>s an interaction</w:t>
      </w:r>
      <w:r w:rsidR="005357EF">
        <w:rPr>
          <w:rFonts w:eastAsia="Times New Roman"/>
          <w:lang w:eastAsia="en-US"/>
        </w:rPr>
        <w:t xml:space="preserve"> </w:t>
      </w:r>
      <w:r w:rsidR="00056BD7">
        <w:rPr>
          <w:rFonts w:eastAsia="Times New Roman"/>
          <w:color w:val="222222"/>
          <w:lang w:eastAsia="en-US"/>
        </w:rPr>
        <w:t xml:space="preserve">between </w:t>
      </w:r>
      <w:r w:rsidR="00056BD7" w:rsidRPr="00056BD7">
        <w:rPr>
          <w:rFonts w:eastAsia="Times New Roman"/>
          <w:color w:val="222222"/>
          <w:lang w:eastAsia="en-US"/>
        </w:rPr>
        <w:t xml:space="preserve">long-term impairments </w:t>
      </w:r>
      <w:r w:rsidR="00056BD7">
        <w:rPr>
          <w:rFonts w:eastAsia="Times New Roman"/>
          <w:color w:val="222222"/>
          <w:lang w:eastAsia="en-US"/>
        </w:rPr>
        <w:t>and</w:t>
      </w:r>
      <w:r w:rsidR="00056BD7" w:rsidRPr="00056BD7">
        <w:rPr>
          <w:rFonts w:eastAsia="Times New Roman"/>
          <w:color w:val="222222"/>
          <w:lang w:eastAsia="en-US"/>
        </w:rPr>
        <w:t xml:space="preserve"> barriers </w:t>
      </w:r>
      <w:r w:rsidR="00056BD7">
        <w:rPr>
          <w:rFonts w:eastAsia="Times New Roman"/>
          <w:color w:val="222222"/>
          <w:lang w:eastAsia="en-US"/>
        </w:rPr>
        <w:t>that</w:t>
      </w:r>
      <w:r w:rsidR="00056BD7" w:rsidRPr="00056BD7">
        <w:rPr>
          <w:rFonts w:eastAsia="Times New Roman"/>
          <w:color w:val="222222"/>
          <w:lang w:eastAsia="en-US"/>
        </w:rPr>
        <w:t xml:space="preserve"> hinder participation in society</w:t>
      </w:r>
      <w:r w:rsidR="00647AB2">
        <w:rPr>
          <w:rFonts w:eastAsia="Times New Roman"/>
          <w:color w:val="222222"/>
          <w:lang w:eastAsia="en-US"/>
        </w:rPr>
        <w:t xml:space="preserve"> </w:t>
      </w:r>
      <w:r w:rsidR="00647AB2">
        <w:rPr>
          <w:rFonts w:eastAsia="Times New Roman"/>
          <w:lang w:eastAsia="en-US"/>
        </w:rPr>
        <w:t>(PP(e); Art 1, CRPD)</w:t>
      </w:r>
      <w:r w:rsidR="003C289D">
        <w:rPr>
          <w:rFonts w:eastAsia="Times New Roman"/>
          <w:color w:val="222222"/>
          <w:lang w:eastAsia="en-US"/>
        </w:rPr>
        <w:t xml:space="preserve">. Both impairments and barriers </w:t>
      </w:r>
      <w:r w:rsidR="00056BD7">
        <w:rPr>
          <w:rFonts w:eastAsia="Times New Roman"/>
          <w:color w:val="222222"/>
          <w:lang w:eastAsia="en-US"/>
        </w:rPr>
        <w:t xml:space="preserve">also </w:t>
      </w:r>
      <w:r w:rsidR="003C289D">
        <w:rPr>
          <w:rFonts w:eastAsia="Times New Roman"/>
          <w:color w:val="222222"/>
          <w:lang w:eastAsia="en-US"/>
        </w:rPr>
        <w:t xml:space="preserve">being among the consequences </w:t>
      </w:r>
      <w:r w:rsidR="00056BD7">
        <w:rPr>
          <w:rFonts w:eastAsia="Times New Roman"/>
          <w:color w:val="222222"/>
          <w:lang w:eastAsia="en-US"/>
        </w:rPr>
        <w:t>of the use of prohibited weapons.</w:t>
      </w:r>
    </w:p>
    <w:p w14:paraId="0B717F6E" w14:textId="77777777" w:rsidR="008B6361" w:rsidRDefault="008B6361" w:rsidP="001C729E">
      <w:pPr>
        <w:jc w:val="both"/>
        <w:rPr>
          <w:rFonts w:eastAsia="Times New Roman"/>
          <w:lang w:eastAsia="en-US"/>
        </w:rPr>
      </w:pPr>
    </w:p>
    <w:p w14:paraId="1F7E6B2A" w14:textId="44C05EA9" w:rsidR="008B6361" w:rsidRDefault="008B6361" w:rsidP="008B6361">
      <w:pPr>
        <w:jc w:val="both"/>
        <w:rPr>
          <w:rFonts w:eastAsia="Times New Roman"/>
          <w:color w:val="222222"/>
          <w:lang w:eastAsia="en-US"/>
        </w:rPr>
      </w:pPr>
      <w:r>
        <w:rPr>
          <w:rFonts w:eastAsia="Times New Roman"/>
          <w:color w:val="222222"/>
          <w:lang w:eastAsia="en-US"/>
        </w:rPr>
        <w:t xml:space="preserve">The nexus of disability and employment also plays out in initiatives that organize, encourage or promote, work for </w:t>
      </w:r>
      <w:proofErr w:type="gramStart"/>
      <w:r>
        <w:rPr>
          <w:rFonts w:eastAsia="Times New Roman"/>
          <w:color w:val="222222"/>
          <w:lang w:eastAsia="en-US"/>
        </w:rPr>
        <w:t>employers which</w:t>
      </w:r>
      <w:proofErr w:type="gramEnd"/>
      <w:r>
        <w:rPr>
          <w:rFonts w:eastAsia="Times New Roman"/>
          <w:color w:val="222222"/>
          <w:lang w:eastAsia="en-US"/>
        </w:rPr>
        <w:t xml:space="preserve"> create weapons or other products violating human rights or the principles limiting the impact of armed conflict or otherwise causing harm to civilians or u</w:t>
      </w:r>
      <w:r w:rsidR="00F0792E">
        <w:rPr>
          <w:rFonts w:eastAsia="Times New Roman"/>
          <w:color w:val="222222"/>
          <w:lang w:eastAsia="en-US"/>
        </w:rPr>
        <w:t>n</w:t>
      </w:r>
      <w:r>
        <w:rPr>
          <w:rFonts w:eastAsia="Times New Roman"/>
          <w:color w:val="222222"/>
          <w:lang w:eastAsia="en-US"/>
        </w:rPr>
        <w:t>n</w:t>
      </w:r>
      <w:r w:rsidR="00F0792E">
        <w:rPr>
          <w:rFonts w:eastAsia="Times New Roman"/>
          <w:color w:val="222222"/>
          <w:lang w:eastAsia="en-US"/>
        </w:rPr>
        <w:t>ecess</w:t>
      </w:r>
      <w:r>
        <w:rPr>
          <w:rFonts w:eastAsia="Times New Roman"/>
          <w:color w:val="222222"/>
          <w:lang w:eastAsia="en-US"/>
        </w:rPr>
        <w:t>a</w:t>
      </w:r>
      <w:r w:rsidR="00F0792E">
        <w:rPr>
          <w:rFonts w:eastAsia="Times New Roman"/>
          <w:color w:val="222222"/>
          <w:lang w:eastAsia="en-US"/>
        </w:rPr>
        <w:t>r</w:t>
      </w:r>
      <w:r>
        <w:rPr>
          <w:rFonts w:eastAsia="Times New Roman"/>
          <w:color w:val="222222"/>
          <w:lang w:eastAsia="en-US"/>
        </w:rPr>
        <w:t>y suffering. The nexus also plays out in work that consists in the production of goods, which in their making and/or in their use involves risks that are highly likely to cause harm and therewith impairments.</w:t>
      </w:r>
      <w:r>
        <w:rPr>
          <w:rStyle w:val="FootnoteReference"/>
          <w:rFonts w:eastAsia="Times New Roman"/>
          <w:color w:val="222222"/>
          <w:lang w:eastAsia="en-US"/>
        </w:rPr>
        <w:footnoteReference w:id="17"/>
      </w:r>
      <w:r>
        <w:rPr>
          <w:rFonts w:eastAsia="Times New Roman"/>
          <w:color w:val="222222"/>
          <w:lang w:eastAsia="en-US"/>
        </w:rPr>
        <w:t xml:space="preserve"> </w:t>
      </w:r>
    </w:p>
    <w:p w14:paraId="1007B22C" w14:textId="77777777" w:rsidR="008B6361" w:rsidRDefault="008B6361" w:rsidP="001C729E">
      <w:pPr>
        <w:jc w:val="both"/>
        <w:rPr>
          <w:rFonts w:eastAsia="Times New Roman"/>
          <w:lang w:eastAsia="en-US"/>
        </w:rPr>
      </w:pPr>
    </w:p>
    <w:p w14:paraId="7BD9C052" w14:textId="0A378C22" w:rsidR="00B37BE2" w:rsidRDefault="00515661" w:rsidP="001C729E">
      <w:pPr>
        <w:jc w:val="both"/>
        <w:rPr>
          <w:rFonts w:eastAsia="Times New Roman"/>
          <w:lang w:eastAsia="en-US"/>
        </w:rPr>
      </w:pPr>
      <w:r>
        <w:rPr>
          <w:rFonts w:eastAsia="Times New Roman"/>
          <w:lang w:eastAsia="en-US"/>
        </w:rPr>
        <w:t xml:space="preserve">Suggestions </w:t>
      </w:r>
    </w:p>
    <w:p w14:paraId="53EFAFC3" w14:textId="1C3242EE" w:rsidR="00342836" w:rsidRDefault="00B37963" w:rsidP="00515661">
      <w:pPr>
        <w:pStyle w:val="ListParagraph"/>
        <w:numPr>
          <w:ilvl w:val="0"/>
          <w:numId w:val="15"/>
        </w:numPr>
        <w:jc w:val="both"/>
        <w:rPr>
          <w:rFonts w:eastAsia="Times New Roman"/>
          <w:lang w:eastAsia="en-US"/>
        </w:rPr>
      </w:pPr>
      <w:r>
        <w:rPr>
          <w:rFonts w:eastAsia="Times New Roman"/>
          <w:lang w:eastAsia="en-US"/>
        </w:rPr>
        <w:t>Promote s</w:t>
      </w:r>
      <w:r w:rsidRPr="00665F04">
        <w:rPr>
          <w:rFonts w:eastAsia="Times New Roman"/>
          <w:lang w:eastAsia="en-US"/>
        </w:rPr>
        <w:t xml:space="preserve">afe labor standards and </w:t>
      </w:r>
      <w:r w:rsidR="008B6361">
        <w:rPr>
          <w:rFonts w:eastAsia="Times New Roman"/>
          <w:lang w:eastAsia="en-US"/>
        </w:rPr>
        <w:t xml:space="preserve">ensure </w:t>
      </w:r>
      <w:r w:rsidRPr="00665F04">
        <w:rPr>
          <w:rFonts w:eastAsia="Times New Roman"/>
          <w:lang w:eastAsia="en-US"/>
        </w:rPr>
        <w:t>appropriate work environments</w:t>
      </w:r>
    </w:p>
    <w:p w14:paraId="4F3E5F21" w14:textId="22F13D90" w:rsidR="008B6361" w:rsidRPr="00515661" w:rsidRDefault="008B6361" w:rsidP="00515661">
      <w:pPr>
        <w:pStyle w:val="ListParagraph"/>
        <w:numPr>
          <w:ilvl w:val="0"/>
          <w:numId w:val="15"/>
        </w:numPr>
        <w:jc w:val="both"/>
        <w:rPr>
          <w:rFonts w:eastAsia="Times New Roman"/>
          <w:lang w:eastAsia="en-US"/>
        </w:rPr>
      </w:pPr>
      <w:r>
        <w:rPr>
          <w:rFonts w:eastAsia="Times New Roman"/>
          <w:lang w:eastAsia="en-US"/>
        </w:rPr>
        <w:t>Remove hazards from the communities and spaces of employment</w:t>
      </w:r>
    </w:p>
    <w:p w14:paraId="3054C854" w14:textId="77777777" w:rsidR="00515661" w:rsidRDefault="00515661" w:rsidP="001C729E">
      <w:pPr>
        <w:jc w:val="both"/>
        <w:rPr>
          <w:rFonts w:eastAsia="Times New Roman"/>
          <w:lang w:eastAsia="en-US"/>
        </w:rPr>
      </w:pPr>
    </w:p>
    <w:p w14:paraId="6BB415FA" w14:textId="76BC1253" w:rsidR="00B37BE2" w:rsidRPr="00B37BE2" w:rsidRDefault="00B37BE2" w:rsidP="001C729E">
      <w:pPr>
        <w:jc w:val="both"/>
        <w:rPr>
          <w:rFonts w:eastAsia="Times New Roman"/>
          <w:b/>
          <w:lang w:eastAsia="en-US"/>
        </w:rPr>
      </w:pPr>
      <w:r w:rsidRPr="00B37BE2">
        <w:rPr>
          <w:rFonts w:eastAsia="Times New Roman"/>
          <w:b/>
          <w:lang w:eastAsia="en-US"/>
        </w:rPr>
        <w:t xml:space="preserve">4. Lack of data </w:t>
      </w:r>
    </w:p>
    <w:p w14:paraId="24949B30" w14:textId="77777777" w:rsidR="000045E7" w:rsidRDefault="000045E7" w:rsidP="002B6F72">
      <w:pPr>
        <w:shd w:val="clear" w:color="auto" w:fill="FFFFFF"/>
        <w:rPr>
          <w:rFonts w:eastAsia="Times New Roman"/>
          <w:color w:val="222222"/>
          <w:lang w:eastAsia="en-US"/>
        </w:rPr>
      </w:pPr>
    </w:p>
    <w:p w14:paraId="75E94DF6" w14:textId="08D5B377" w:rsidR="00AA1576" w:rsidRDefault="003166CC" w:rsidP="00FB2114">
      <w:r w:rsidRPr="008E55BB">
        <w:t xml:space="preserve">In most </w:t>
      </w:r>
      <w:r w:rsidR="00E96318">
        <w:t>landmine and cluster munition</w:t>
      </w:r>
      <w:r w:rsidR="00F0792E">
        <w:t>-</w:t>
      </w:r>
      <w:r w:rsidR="00E96318">
        <w:t>affected countries</w:t>
      </w:r>
      <w:r w:rsidR="00F0792E">
        <w:t>,</w:t>
      </w:r>
      <w:r w:rsidR="00E96318">
        <w:t xml:space="preserve"> </w:t>
      </w:r>
      <w:r w:rsidR="00F0792E">
        <w:t>t</w:t>
      </w:r>
      <w:r w:rsidRPr="008E55BB">
        <w:t xml:space="preserve">here is a lack of </w:t>
      </w:r>
      <w:r w:rsidRPr="00FF09D2">
        <w:t xml:space="preserve">statistics </w:t>
      </w:r>
      <w:r w:rsidRPr="008E55BB">
        <w:t xml:space="preserve">on access by persons with disabilities to </w:t>
      </w:r>
      <w:r w:rsidR="00B116BC">
        <w:t xml:space="preserve">employment and vocational </w:t>
      </w:r>
      <w:r w:rsidRPr="008E55BB">
        <w:t>opportunities.</w:t>
      </w:r>
      <w:r w:rsidR="008E55BB">
        <w:t xml:space="preserve"> </w:t>
      </w:r>
      <w:r w:rsidR="008E55BB" w:rsidRPr="005252AF">
        <w:t xml:space="preserve">In contrast, in Croatia, the state employment service records the number of registered persons with disabilities, including how many are mine and ERW survivors. </w:t>
      </w:r>
      <w:r w:rsidR="00497236">
        <w:t>Appropriate secure sharing of disaggregated</w:t>
      </w:r>
      <w:r w:rsidR="003228C9">
        <w:t xml:space="preserve"> data on </w:t>
      </w:r>
      <w:r w:rsidR="00497236">
        <w:t xml:space="preserve">the </w:t>
      </w:r>
      <w:r w:rsidR="003228C9">
        <w:t xml:space="preserve">employment </w:t>
      </w:r>
      <w:r w:rsidR="00497236">
        <w:t xml:space="preserve">on work needs of </w:t>
      </w:r>
      <w:r w:rsidR="003228C9">
        <w:t>persons with disabilities</w:t>
      </w:r>
      <w:r w:rsidR="00497236">
        <w:t xml:space="preserve"> can</w:t>
      </w:r>
      <w:r w:rsidR="003228C9">
        <w:t xml:space="preserve"> </w:t>
      </w:r>
      <w:r w:rsidR="00497236">
        <w:t>incorporate</w:t>
      </w:r>
      <w:r w:rsidR="003228C9">
        <w:t xml:space="preserve"> information collected by various </w:t>
      </w:r>
      <w:r w:rsidR="00497236">
        <w:t xml:space="preserve">responsible </w:t>
      </w:r>
      <w:r w:rsidR="003228C9">
        <w:t>ministries</w:t>
      </w:r>
      <w:r w:rsidR="00497236">
        <w:t xml:space="preserve"> and</w:t>
      </w:r>
      <w:r w:rsidR="003228C9">
        <w:t xml:space="preserve"> government departments</w:t>
      </w:r>
      <w:r w:rsidR="00F0792E">
        <w:t>,</w:t>
      </w:r>
      <w:r w:rsidR="003228C9">
        <w:t xml:space="preserve"> including mine action </w:t>
      </w:r>
      <w:r w:rsidR="00497236">
        <w:t>centers</w:t>
      </w:r>
      <w:r w:rsidR="003228C9">
        <w:t xml:space="preserve">, national associations of persons with disabilities, </w:t>
      </w:r>
      <w:r w:rsidR="00497236">
        <w:t>and survivors’ networks.</w:t>
      </w:r>
    </w:p>
    <w:p w14:paraId="62FB688D" w14:textId="77777777" w:rsidR="00FF09D2" w:rsidRDefault="00FF09D2" w:rsidP="00FB2114">
      <w:pPr>
        <w:rPr>
          <w:color w:val="FF0000"/>
        </w:rPr>
      </w:pPr>
    </w:p>
    <w:p w14:paraId="1FB24F5F" w14:textId="77777777" w:rsidR="00B37BE2" w:rsidRDefault="00B37BE2">
      <w:pPr>
        <w:rPr>
          <w:b/>
        </w:rPr>
      </w:pPr>
      <w:r w:rsidRPr="00B37BE2">
        <w:rPr>
          <w:b/>
        </w:rPr>
        <w:t xml:space="preserve">Possible next steps </w:t>
      </w:r>
      <w:r>
        <w:rPr>
          <w:b/>
        </w:rPr>
        <w:t xml:space="preserve">on inter-sectional issues </w:t>
      </w:r>
    </w:p>
    <w:p w14:paraId="6D4124A3" w14:textId="77777777" w:rsidR="00B37BE2" w:rsidRDefault="00B37BE2"/>
    <w:p w14:paraId="77277E31" w14:textId="2C689D06" w:rsidR="00B37BE2" w:rsidRDefault="00157567">
      <w:r>
        <w:t xml:space="preserve">The importance of preventing the exploitation of children </w:t>
      </w:r>
      <w:r w:rsidR="00665F04">
        <w:t>m</w:t>
      </w:r>
      <w:r w:rsidR="003408EC">
        <w:t xml:space="preserve">ay warrant further exploration, in cooperation with the Child Rights Committee. </w:t>
      </w:r>
    </w:p>
    <w:p w14:paraId="21B32071" w14:textId="77777777" w:rsidR="00D12CF5" w:rsidRDefault="00D12CF5"/>
    <w:p w14:paraId="208BC514" w14:textId="1F41C5B9" w:rsidR="000045E7" w:rsidRDefault="00D12CF5" w:rsidP="00DE7D31">
      <w:r>
        <w:t xml:space="preserve">The impact of austerity measures on the space(s) of persons with disabilities may warrant further exploration in cooperation with the </w:t>
      </w:r>
      <w:r w:rsidR="00F75CF4">
        <w:t>Committee on Economic, Social and Cultural Rights</w:t>
      </w:r>
      <w:r>
        <w:t xml:space="preserve">. </w:t>
      </w:r>
    </w:p>
    <w:p w14:paraId="394B14C3" w14:textId="10684C6B" w:rsidR="004B3B06" w:rsidRDefault="004B3B06" w:rsidP="00DE7D31"/>
    <w:p w14:paraId="0C48549B" w14:textId="7098FD2A" w:rsidR="004B3B06" w:rsidRDefault="004B3B06" w:rsidP="00DE7D31">
      <w:r>
        <w:t>-----</w:t>
      </w:r>
    </w:p>
    <w:p w14:paraId="4B9B9AFB" w14:textId="2B956713" w:rsidR="004B3B06" w:rsidRDefault="004B3B06" w:rsidP="00DE7D31"/>
    <w:p w14:paraId="2300AF6E" w14:textId="20F3C9F3" w:rsidR="004B3B06" w:rsidRDefault="004B3B06" w:rsidP="004B3B06">
      <w:pPr>
        <w:shd w:val="clear" w:color="auto" w:fill="FFFFFF"/>
        <w:rPr>
          <w:rFonts w:eastAsia="Times New Roman"/>
          <w:color w:val="000000" w:themeColor="text1"/>
          <w:lang w:eastAsia="en-US"/>
        </w:rPr>
      </w:pPr>
      <w:r>
        <w:rPr>
          <w:rFonts w:eastAsia="Times New Roman"/>
          <w:color w:val="222222"/>
          <w:lang w:eastAsia="en-US"/>
        </w:rPr>
        <w:t xml:space="preserve">* </w:t>
      </w:r>
      <w:r w:rsidRPr="00FF6E83">
        <w:rPr>
          <w:rFonts w:eastAsia="Times New Roman"/>
          <w:color w:val="222222"/>
          <w:lang w:eastAsia="en-US"/>
        </w:rPr>
        <w:t>The </w:t>
      </w:r>
      <w:r w:rsidRPr="00FF6E83">
        <w:rPr>
          <w:rFonts w:eastAsia="Times New Roman"/>
          <w:i/>
          <w:iCs/>
          <w:color w:val="222222"/>
          <w:lang w:eastAsia="en-US"/>
        </w:rPr>
        <w:t>Landmine and Cluster Munition Monitor</w:t>
      </w:r>
      <w:r w:rsidRPr="00FF6E83">
        <w:rPr>
          <w:rFonts w:eastAsia="Times New Roman"/>
          <w:color w:val="222222"/>
          <w:lang w:eastAsia="en-US"/>
        </w:rPr>
        <w:t> </w:t>
      </w:r>
      <w:r>
        <w:rPr>
          <w:rFonts w:eastAsia="Times New Roman"/>
          <w:color w:val="222222"/>
          <w:lang w:eastAsia="en-US"/>
        </w:rPr>
        <w:t xml:space="preserve">of the </w:t>
      </w:r>
      <w:r w:rsidRPr="00B37963">
        <w:rPr>
          <w:rFonts w:eastAsia="Times New Roman"/>
          <w:color w:val="222222"/>
          <w:lang w:eastAsia="en-US"/>
        </w:rPr>
        <w:t>International Campaign to Ban Landmines and the Cluster Munition Coalition</w:t>
      </w:r>
      <w:r>
        <w:rPr>
          <w:rFonts w:eastAsia="Times New Roman"/>
          <w:color w:val="222222"/>
          <w:lang w:eastAsia="en-US"/>
        </w:rPr>
        <w:t xml:space="preserve"> (ICBL-CMC) </w:t>
      </w:r>
      <w:r w:rsidRPr="00FF6E83">
        <w:rPr>
          <w:rFonts w:eastAsia="Times New Roman"/>
          <w:color w:val="222222"/>
          <w:lang w:eastAsia="en-US"/>
        </w:rPr>
        <w:t xml:space="preserve">provides research on the </w:t>
      </w:r>
      <w:r w:rsidRPr="00A36A65">
        <w:rPr>
          <w:rFonts w:eastAsia="Times New Roman"/>
          <w:color w:val="000000" w:themeColor="text1"/>
          <w:lang w:eastAsia="en-US"/>
        </w:rPr>
        <w:t xml:space="preserve">impact of prohibited weapons </w:t>
      </w:r>
      <w:r>
        <w:rPr>
          <w:rFonts w:eastAsia="Times New Roman"/>
          <w:color w:val="000000" w:themeColor="text1"/>
          <w:lang w:eastAsia="en-US"/>
        </w:rPr>
        <w:t xml:space="preserve">(mines and cluster munitions) </w:t>
      </w:r>
      <w:r w:rsidRPr="00A36A65">
        <w:rPr>
          <w:rFonts w:eastAsia="Times New Roman"/>
          <w:color w:val="000000" w:themeColor="text1"/>
          <w:lang w:eastAsia="en-US"/>
        </w:rPr>
        <w:t xml:space="preserve">and </w:t>
      </w:r>
      <w:r>
        <w:rPr>
          <w:rFonts w:eastAsia="Times New Roman"/>
          <w:color w:val="000000" w:themeColor="text1"/>
          <w:lang w:eastAsia="en-US"/>
        </w:rPr>
        <w:t xml:space="preserve">similar </w:t>
      </w:r>
      <w:r w:rsidRPr="00A36A65">
        <w:rPr>
          <w:rFonts w:eastAsia="Times New Roman"/>
          <w:color w:val="000000" w:themeColor="text1"/>
          <w:lang w:eastAsia="en-US"/>
        </w:rPr>
        <w:t>explosive remnants of war</w:t>
      </w:r>
      <w:r>
        <w:rPr>
          <w:rFonts w:eastAsia="Times New Roman"/>
          <w:color w:val="000000" w:themeColor="text1"/>
          <w:lang w:eastAsia="en-US"/>
        </w:rPr>
        <w:t xml:space="preserve"> (ERW)</w:t>
      </w:r>
      <w:r w:rsidRPr="00A36A65">
        <w:rPr>
          <w:rFonts w:eastAsia="Times New Roman"/>
          <w:color w:val="000000" w:themeColor="text1"/>
          <w:lang w:eastAsia="en-US"/>
        </w:rPr>
        <w:t xml:space="preserve"> since 1999. In particular, </w:t>
      </w:r>
      <w:r>
        <w:rPr>
          <w:rFonts w:eastAsia="Times New Roman"/>
          <w:color w:val="000000" w:themeColor="text1"/>
          <w:lang w:eastAsia="en-US"/>
        </w:rPr>
        <w:t>the Monitor</w:t>
      </w:r>
      <w:r w:rsidRPr="00A36A65">
        <w:rPr>
          <w:rFonts w:eastAsia="Times New Roman"/>
          <w:color w:val="000000" w:themeColor="text1"/>
          <w:lang w:eastAsia="en-US"/>
        </w:rPr>
        <w:t xml:space="preserve"> examine</w:t>
      </w:r>
      <w:r>
        <w:rPr>
          <w:rFonts w:eastAsia="Times New Roman"/>
          <w:color w:val="000000" w:themeColor="text1"/>
          <w:lang w:eastAsia="en-US"/>
        </w:rPr>
        <w:t>s</w:t>
      </w:r>
      <w:r w:rsidRPr="00A36A65">
        <w:rPr>
          <w:rFonts w:eastAsia="Times New Roman"/>
          <w:color w:val="000000" w:themeColor="text1"/>
          <w:lang w:eastAsia="en-US"/>
        </w:rPr>
        <w:t xml:space="preserve"> the</w:t>
      </w:r>
      <w:r>
        <w:rPr>
          <w:rFonts w:eastAsia="Times New Roman"/>
          <w:color w:val="000000" w:themeColor="text1"/>
          <w:lang w:eastAsia="en-US"/>
        </w:rPr>
        <w:t xml:space="preserve"> implementation of the </w:t>
      </w:r>
      <w:r w:rsidRPr="00D75E3B">
        <w:rPr>
          <w:color w:val="000000" w:themeColor="text1"/>
        </w:rPr>
        <w:t>Mine Ban Treaty</w:t>
      </w:r>
      <w:r w:rsidRPr="00A36A65">
        <w:rPr>
          <w:rFonts w:eastAsia="Times New Roman"/>
          <w:color w:val="000000" w:themeColor="text1"/>
          <w:lang w:eastAsia="en-US"/>
        </w:rPr>
        <w:t xml:space="preserve"> </w:t>
      </w:r>
      <w:r>
        <w:rPr>
          <w:rFonts w:eastAsia="Times New Roman"/>
          <w:color w:val="000000" w:themeColor="text1"/>
          <w:lang w:eastAsia="en-US"/>
        </w:rPr>
        <w:t xml:space="preserve">and </w:t>
      </w:r>
      <w:r w:rsidRPr="00D75E3B">
        <w:rPr>
          <w:color w:val="000000" w:themeColor="text1"/>
        </w:rPr>
        <w:t>Convention on Cluster Munitions</w:t>
      </w:r>
      <w:r>
        <w:rPr>
          <w:color w:val="000000" w:themeColor="text1"/>
        </w:rPr>
        <w:t xml:space="preserve"> and </w:t>
      </w:r>
      <w:r w:rsidRPr="00A36A65">
        <w:rPr>
          <w:rFonts w:eastAsia="Times New Roman"/>
          <w:color w:val="000000" w:themeColor="text1"/>
          <w:lang w:eastAsia="en-US"/>
        </w:rPr>
        <w:t xml:space="preserve">measures available to survivors, persons with disabilities, and other people with similar needs for the fulfillment of their rights in up to 70 countries affected by these impacts. </w:t>
      </w:r>
    </w:p>
    <w:p w14:paraId="6C56D371" w14:textId="77777777" w:rsidR="004B3B06" w:rsidRDefault="004B3B06" w:rsidP="004B3B06">
      <w:pPr>
        <w:shd w:val="clear" w:color="auto" w:fill="FFFFFF"/>
        <w:rPr>
          <w:rFonts w:eastAsia="Times New Roman"/>
          <w:color w:val="000000" w:themeColor="text1"/>
          <w:lang w:eastAsia="en-US"/>
        </w:rPr>
      </w:pPr>
    </w:p>
    <w:p w14:paraId="4AAB73B5" w14:textId="67E27BAF" w:rsidR="00783661" w:rsidRDefault="003C41B4" w:rsidP="00783661">
      <w:pPr>
        <w:autoSpaceDE w:val="0"/>
        <w:autoSpaceDN w:val="0"/>
        <w:adjustRightInd w:val="0"/>
        <w:rPr>
          <w:lang w:eastAsia="ja-JP"/>
        </w:rPr>
      </w:pPr>
      <w:r>
        <w:rPr>
          <w:bCs/>
          <w:lang w:eastAsia="ja-JP"/>
        </w:rPr>
        <w:t>The ICBL-CMC adopted updated guidelines</w:t>
      </w:r>
      <w:r w:rsidR="00783661" w:rsidRPr="008E6E58">
        <w:rPr>
          <w:bCs/>
          <w:lang w:eastAsia="ja-JP"/>
        </w:rPr>
        <w:t xml:space="preserve"> in January 2021</w:t>
      </w:r>
      <w:r w:rsidR="00783661">
        <w:rPr>
          <w:bCs/>
          <w:lang w:eastAsia="ja-JP"/>
        </w:rPr>
        <w:t>.</w:t>
      </w:r>
      <w:r w:rsidR="00783661" w:rsidRPr="00877594">
        <w:rPr>
          <w:rStyle w:val="FootnoteReference"/>
          <w:bCs/>
          <w:lang w:eastAsia="ja-JP"/>
        </w:rPr>
        <w:t xml:space="preserve"> </w:t>
      </w:r>
      <w:r w:rsidR="00783661">
        <w:rPr>
          <w:rStyle w:val="FootnoteReference"/>
          <w:bCs/>
          <w:lang w:eastAsia="ja-JP"/>
        </w:rPr>
        <w:footnoteReference w:id="18"/>
      </w:r>
      <w:r w:rsidR="00783661" w:rsidRPr="008E6E58">
        <w:rPr>
          <w:bCs/>
          <w:lang w:eastAsia="ja-JP"/>
        </w:rPr>
        <w:t xml:space="preserve"> </w:t>
      </w:r>
      <w:r w:rsidR="00783661">
        <w:rPr>
          <w:bCs/>
          <w:lang w:eastAsia="ja-JP"/>
        </w:rPr>
        <w:t xml:space="preserve">Consistent with </w:t>
      </w:r>
      <w:r w:rsidR="00783661" w:rsidRPr="008E6E58">
        <w:rPr>
          <w:bCs/>
          <w:lang w:eastAsia="ja-JP"/>
        </w:rPr>
        <w:t>ICBL</w:t>
      </w:r>
      <w:r w:rsidR="00783661">
        <w:rPr>
          <w:bCs/>
          <w:lang w:eastAsia="ja-JP"/>
        </w:rPr>
        <w:t>-</w:t>
      </w:r>
      <w:r w:rsidR="00783661" w:rsidRPr="008E6E58">
        <w:rPr>
          <w:bCs/>
          <w:lang w:eastAsia="ja-JP"/>
        </w:rPr>
        <w:t xml:space="preserve">CMC </w:t>
      </w:r>
      <w:r w:rsidR="00783661">
        <w:rPr>
          <w:bCs/>
          <w:lang w:eastAsia="ja-JP"/>
        </w:rPr>
        <w:t>multi-year strategic planning and the principles of the CRPD (Art 27),</w:t>
      </w:r>
      <w:r w:rsidR="00783661" w:rsidRPr="008E6E58">
        <w:rPr>
          <w:bCs/>
          <w:lang w:eastAsia="ja-JP"/>
        </w:rPr>
        <w:t xml:space="preserve"> </w:t>
      </w:r>
      <w:r w:rsidR="00783661">
        <w:rPr>
          <w:bCs/>
          <w:lang w:eastAsia="ja-JP"/>
        </w:rPr>
        <w:t>the guidelines include</w:t>
      </w:r>
      <w:r w:rsidR="00783661" w:rsidRPr="008E6E58">
        <w:rPr>
          <w:bCs/>
          <w:lang w:eastAsia="ja-JP"/>
        </w:rPr>
        <w:t xml:space="preserve"> recognition of the need for </w:t>
      </w:r>
      <w:r w:rsidR="00783661">
        <w:rPr>
          <w:bCs/>
          <w:lang w:eastAsia="ja-JP"/>
        </w:rPr>
        <w:t>f</w:t>
      </w:r>
      <w:r w:rsidR="00783661" w:rsidRPr="008E6E58">
        <w:rPr>
          <w:bCs/>
          <w:lang w:eastAsia="ja-JP"/>
        </w:rPr>
        <w:t xml:space="preserve">ull socio-economic inclusion: </w:t>
      </w:r>
      <w:r w:rsidR="00783661" w:rsidRPr="008E6E58">
        <w:rPr>
          <w:lang w:eastAsia="ja-JP"/>
        </w:rPr>
        <w:t>the right to access social and economic inclusion services, such as access to education, capacity-building, employment referral services, microfinance institutions,</w:t>
      </w:r>
      <w:r w:rsidR="00783661" w:rsidRPr="008E6E58">
        <w:rPr>
          <w:bCs/>
          <w:lang w:eastAsia="ja-JP"/>
        </w:rPr>
        <w:t xml:space="preserve"> </w:t>
      </w:r>
      <w:r w:rsidR="00783661" w:rsidRPr="008E6E58">
        <w:rPr>
          <w:lang w:eastAsia="ja-JP"/>
        </w:rPr>
        <w:t xml:space="preserve">business development services, rural development and social protection programs, including in </w:t>
      </w:r>
      <w:r w:rsidR="00783661" w:rsidRPr="007008C9">
        <w:rPr>
          <w:b/>
          <w:lang w:eastAsia="ja-JP"/>
        </w:rPr>
        <w:t>rural and remote</w:t>
      </w:r>
      <w:r w:rsidR="00783661" w:rsidRPr="008E6E58">
        <w:rPr>
          <w:lang w:eastAsia="ja-JP"/>
        </w:rPr>
        <w:t xml:space="preserve"> areas.</w:t>
      </w:r>
    </w:p>
    <w:p w14:paraId="2919CD9B" w14:textId="77777777" w:rsidR="00783661" w:rsidRPr="00D46304" w:rsidRDefault="00783661" w:rsidP="00783661">
      <w:pPr>
        <w:autoSpaceDE w:val="0"/>
        <w:autoSpaceDN w:val="0"/>
        <w:adjustRightInd w:val="0"/>
        <w:rPr>
          <w:bCs/>
          <w:lang w:eastAsia="ja-JP"/>
        </w:rPr>
      </w:pPr>
    </w:p>
    <w:p w14:paraId="59FA9700" w14:textId="5D8C7268" w:rsidR="004B3B06" w:rsidRDefault="004B3B06" w:rsidP="004B3B06">
      <w:pPr>
        <w:rPr>
          <w:color w:val="000000" w:themeColor="text1"/>
        </w:rPr>
      </w:pPr>
      <w:r w:rsidRPr="00D75E3B">
        <w:rPr>
          <w:color w:val="000000" w:themeColor="text1"/>
        </w:rPr>
        <w:lastRenderedPageBreak/>
        <w:t>The Mine Ban Treaty</w:t>
      </w:r>
      <w:r>
        <w:rPr>
          <w:color w:val="000000" w:themeColor="text1"/>
        </w:rPr>
        <w:t xml:space="preserve"> (1997)</w:t>
      </w:r>
      <w:r>
        <w:rPr>
          <w:rStyle w:val="FootnoteReference"/>
          <w:color w:val="000000" w:themeColor="text1"/>
        </w:rPr>
        <w:footnoteRef/>
      </w:r>
      <w:r w:rsidRPr="00D75E3B">
        <w:rPr>
          <w:color w:val="000000" w:themeColor="text1"/>
        </w:rPr>
        <w:t xml:space="preserve"> is the first disarmament or humanitarian law treaty in which States Parties committed to provid</w:t>
      </w:r>
      <w:r w:rsidR="003C41B4">
        <w:rPr>
          <w:color w:val="000000" w:themeColor="text1"/>
        </w:rPr>
        <w:t>ing</w:t>
      </w:r>
      <w:r w:rsidRPr="00D75E3B">
        <w:rPr>
          <w:color w:val="000000" w:themeColor="text1"/>
        </w:rPr>
        <w:t xml:space="preserve"> “assistance for the care and rehabilitation, including the social and economic reintegration” </w:t>
      </w:r>
      <w:r>
        <w:rPr>
          <w:color w:val="000000" w:themeColor="text1"/>
        </w:rPr>
        <w:t xml:space="preserve">(Art 6/1) </w:t>
      </w:r>
      <w:r w:rsidRPr="00D75E3B">
        <w:rPr>
          <w:color w:val="000000" w:themeColor="text1"/>
        </w:rPr>
        <w:t>of those people harmed by a specific type of weapon.</w:t>
      </w:r>
      <w:r w:rsidRPr="00D75E3B">
        <w:rPr>
          <w:rStyle w:val="FootnoteReference"/>
          <w:color w:val="000000" w:themeColor="text1"/>
        </w:rPr>
        <w:footnoteRef/>
      </w:r>
      <w:r w:rsidRPr="00D75E3B">
        <w:rPr>
          <w:color w:val="000000" w:themeColor="text1"/>
        </w:rPr>
        <w:t xml:space="preserve"> In practice</w:t>
      </w:r>
      <w:r w:rsidR="003C41B4">
        <w:rPr>
          <w:color w:val="000000" w:themeColor="text1"/>
        </w:rPr>
        <w:t>,</w:t>
      </w:r>
      <w:r w:rsidRPr="00D75E3B">
        <w:rPr>
          <w:color w:val="000000" w:themeColor="text1"/>
        </w:rPr>
        <w:t xml:space="preserve"> this “assistance” addresses the overlapping and interconnected needs of persons with disabilities, including survivors of landmines, cluster munitions, ERW, and other weapons, as well as people in their communities with similar requirements for assistance.</w:t>
      </w:r>
    </w:p>
    <w:p w14:paraId="6CAD5E5A" w14:textId="376CFF9D" w:rsidR="00D46304" w:rsidRPr="00783661" w:rsidRDefault="004B3B06" w:rsidP="00783661">
      <w:pPr>
        <w:pStyle w:val="NormalWeb"/>
        <w:rPr>
          <w:color w:val="000000" w:themeColor="text1"/>
        </w:rPr>
      </w:pPr>
      <w:r w:rsidRPr="00D75E3B">
        <w:rPr>
          <w:color w:val="000000" w:themeColor="text1"/>
        </w:rPr>
        <w:t>The Convention on Cluster Munitions</w:t>
      </w:r>
      <w:r>
        <w:rPr>
          <w:color w:val="000000" w:themeColor="text1"/>
        </w:rPr>
        <w:t xml:space="preserve"> (2008)</w:t>
      </w:r>
      <w:r w:rsidRPr="00D75E3B">
        <w:rPr>
          <w:color w:val="000000" w:themeColor="text1"/>
        </w:rPr>
        <w:t xml:space="preserve"> make</w:t>
      </w:r>
      <w:r>
        <w:rPr>
          <w:color w:val="000000" w:themeColor="text1"/>
        </w:rPr>
        <w:t>s</w:t>
      </w:r>
      <w:r w:rsidRPr="00D75E3B">
        <w:rPr>
          <w:color w:val="000000" w:themeColor="text1"/>
        </w:rPr>
        <w:t xml:space="preserve"> the provision of assistance to </w:t>
      </w:r>
      <w:r>
        <w:rPr>
          <w:color w:val="000000" w:themeColor="text1"/>
        </w:rPr>
        <w:t>survivors</w:t>
      </w:r>
      <w:r w:rsidRPr="00D75E3B">
        <w:rPr>
          <w:color w:val="000000" w:themeColor="text1"/>
        </w:rPr>
        <w:t xml:space="preserve"> a formal requirement for all States Parties. It reflects the </w:t>
      </w:r>
      <w:r>
        <w:rPr>
          <w:color w:val="000000" w:themeColor="text1"/>
        </w:rPr>
        <w:t xml:space="preserve">CRPD </w:t>
      </w:r>
      <w:r w:rsidRPr="00D75E3B">
        <w:rPr>
          <w:color w:val="000000" w:themeColor="text1"/>
        </w:rPr>
        <w:t>general principle prohibiting “discrimination of any kind on the basis of disability”</w:t>
      </w:r>
      <w:bookmarkStart w:id="1" w:name="ftnref30"/>
      <w:bookmarkEnd w:id="1"/>
      <w:r w:rsidRPr="00D75E3B">
        <w:rPr>
          <w:color w:val="000000" w:themeColor="text1"/>
        </w:rPr>
        <w:t xml:space="preserve"> </w:t>
      </w:r>
      <w:r>
        <w:rPr>
          <w:color w:val="000000" w:themeColor="text1"/>
        </w:rPr>
        <w:t>and</w:t>
      </w:r>
      <w:r w:rsidRPr="00D75E3B">
        <w:rPr>
          <w:color w:val="000000" w:themeColor="text1"/>
        </w:rPr>
        <w:t xml:space="preserve"> highlights its close relationship with the CRPD</w:t>
      </w:r>
      <w:r>
        <w:rPr>
          <w:color w:val="000000" w:themeColor="text1"/>
        </w:rPr>
        <w:t xml:space="preserve"> in the preamble</w:t>
      </w:r>
      <w:r w:rsidRPr="00D75E3B">
        <w:rPr>
          <w:color w:val="000000" w:themeColor="text1"/>
        </w:rPr>
        <w:t>.</w:t>
      </w:r>
      <w:bookmarkStart w:id="2" w:name="ftnref31"/>
      <w:bookmarkEnd w:id="2"/>
    </w:p>
    <w:p w14:paraId="1DA02037" w14:textId="77777777" w:rsidR="004B3B06" w:rsidRPr="00E053E1" w:rsidRDefault="004B3B06" w:rsidP="00DE7D31"/>
    <w:sectPr w:rsidR="004B3B06" w:rsidRPr="00E053E1" w:rsidSect="00B5123C">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70CF" w14:textId="77777777" w:rsidR="008E0324" w:rsidRDefault="008E0324" w:rsidP="00DF68D5">
      <w:r>
        <w:separator/>
      </w:r>
    </w:p>
  </w:endnote>
  <w:endnote w:type="continuationSeparator" w:id="0">
    <w:p w14:paraId="05344001" w14:textId="77777777" w:rsidR="008E0324" w:rsidRDefault="008E0324" w:rsidP="00DF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0FAD" w14:textId="77777777" w:rsidR="008E0324" w:rsidRDefault="008E0324" w:rsidP="00DF68D5">
      <w:r>
        <w:separator/>
      </w:r>
    </w:p>
  </w:footnote>
  <w:footnote w:type="continuationSeparator" w:id="0">
    <w:p w14:paraId="559EEE18" w14:textId="77777777" w:rsidR="008E0324" w:rsidRDefault="008E0324" w:rsidP="00DF68D5">
      <w:r>
        <w:continuationSeparator/>
      </w:r>
    </w:p>
  </w:footnote>
  <w:footnote w:id="1">
    <w:p w14:paraId="41D4CDE5" w14:textId="77777777" w:rsidR="00B116BC" w:rsidRPr="00824C8F" w:rsidRDefault="00B116BC" w:rsidP="00D12CF5">
      <w:pPr>
        <w:rPr>
          <w:bCs/>
          <w:sz w:val="22"/>
          <w:szCs w:val="22"/>
        </w:rPr>
      </w:pPr>
      <w:r w:rsidRPr="00824C8F">
        <w:rPr>
          <w:rStyle w:val="FootnoteReference"/>
          <w:sz w:val="22"/>
          <w:szCs w:val="22"/>
        </w:rPr>
        <w:footnoteRef/>
      </w:r>
      <w:r w:rsidRPr="00824C8F">
        <w:rPr>
          <w:sz w:val="22"/>
          <w:szCs w:val="22"/>
        </w:rPr>
        <w:t xml:space="preserve"> OHCHR, </w:t>
      </w:r>
      <w:r w:rsidRPr="00824C8F">
        <w:rPr>
          <w:bCs/>
          <w:sz w:val="22"/>
          <w:szCs w:val="22"/>
        </w:rPr>
        <w:t xml:space="preserve">Thematic study on the rights of persons with disabilities under article 11 of the Convention on the Rights of Persons with Disabilities, on situations of risk and humanitarian emergencies A/HRC/31/30, Para 39. </w:t>
      </w:r>
    </w:p>
    <w:p w14:paraId="19099675" w14:textId="1BEB9ABE" w:rsidR="00B116BC" w:rsidRPr="004B3B06" w:rsidRDefault="00B116BC" w:rsidP="00D12CF5">
      <w:pPr>
        <w:rPr>
          <w:sz w:val="22"/>
          <w:szCs w:val="22"/>
          <w:lang w:val="en-CA"/>
        </w:rPr>
      </w:pPr>
      <w:r w:rsidRPr="00824C8F">
        <w:rPr>
          <w:bCs/>
          <w:sz w:val="22"/>
          <w:szCs w:val="22"/>
        </w:rPr>
        <w:t xml:space="preserve">Also, </w:t>
      </w:r>
      <w:r w:rsidRPr="00824C8F">
        <w:rPr>
          <w:sz w:val="22"/>
          <w:szCs w:val="22"/>
          <w:lang w:val="en-CA"/>
        </w:rPr>
        <w:t xml:space="preserve">SC Resolution 2475 on persons with disabilities in conflict and humanitarian crises highlights </w:t>
      </w:r>
      <w:r w:rsidRPr="004B3B06">
        <w:rPr>
          <w:sz w:val="22"/>
          <w:szCs w:val="22"/>
          <w:lang w:val="en-CA"/>
        </w:rPr>
        <w:t xml:space="preserve">the impact of war on persons with disabilities.  </w:t>
      </w:r>
    </w:p>
  </w:footnote>
  <w:footnote w:id="2">
    <w:p w14:paraId="595765F1" w14:textId="77777777" w:rsidR="004B3B06" w:rsidRPr="004B3B06" w:rsidRDefault="004B3B06" w:rsidP="004B3B06">
      <w:pPr>
        <w:pStyle w:val="NormalWeb"/>
        <w:spacing w:before="0" w:beforeAutospacing="0" w:after="0" w:afterAutospacing="0"/>
        <w:rPr>
          <w:sz w:val="22"/>
          <w:szCs w:val="22"/>
        </w:rPr>
      </w:pPr>
      <w:r w:rsidRPr="004B3B06">
        <w:rPr>
          <w:rStyle w:val="FootnoteReference"/>
          <w:sz w:val="22"/>
          <w:szCs w:val="22"/>
        </w:rPr>
        <w:footnoteRef/>
      </w:r>
      <w:r w:rsidRPr="004B3B06">
        <w:rPr>
          <w:sz w:val="22"/>
          <w:szCs w:val="22"/>
        </w:rPr>
        <w:t xml:space="preserve"> For example, in Cambodia, one of the last remaining vocational training centers, the long-established </w:t>
      </w:r>
      <w:proofErr w:type="spellStart"/>
      <w:r w:rsidRPr="004B3B06">
        <w:rPr>
          <w:sz w:val="22"/>
          <w:szCs w:val="22"/>
        </w:rPr>
        <w:t>Banteay</w:t>
      </w:r>
      <w:proofErr w:type="spellEnd"/>
      <w:r w:rsidRPr="004B3B06">
        <w:rPr>
          <w:sz w:val="22"/>
          <w:szCs w:val="22"/>
        </w:rPr>
        <w:t xml:space="preserve"> </w:t>
      </w:r>
      <w:proofErr w:type="spellStart"/>
      <w:r w:rsidRPr="004B3B06">
        <w:rPr>
          <w:sz w:val="22"/>
          <w:szCs w:val="22"/>
        </w:rPr>
        <w:t>Prieb</w:t>
      </w:r>
      <w:proofErr w:type="spellEnd"/>
      <w:r w:rsidRPr="004B3B06">
        <w:rPr>
          <w:sz w:val="22"/>
          <w:szCs w:val="22"/>
        </w:rPr>
        <w:t xml:space="preserve"> center near Phnom Penh, run by Jesuit Refugee Service, serves an increasing range of persons with disabilities and includes a wheelchair production facility and a farm project for training and income generation. Without communicating in advance to the </w:t>
      </w:r>
      <w:proofErr w:type="spellStart"/>
      <w:r w:rsidRPr="004B3B06">
        <w:rPr>
          <w:sz w:val="22"/>
          <w:szCs w:val="22"/>
        </w:rPr>
        <w:t>Banteay</w:t>
      </w:r>
      <w:proofErr w:type="spellEnd"/>
      <w:r w:rsidRPr="004B3B06">
        <w:rPr>
          <w:sz w:val="22"/>
          <w:szCs w:val="22"/>
        </w:rPr>
        <w:t xml:space="preserve"> </w:t>
      </w:r>
      <w:proofErr w:type="spellStart"/>
      <w:r w:rsidRPr="004B3B06">
        <w:rPr>
          <w:sz w:val="22"/>
          <w:szCs w:val="22"/>
        </w:rPr>
        <w:t>Prieb</w:t>
      </w:r>
      <w:proofErr w:type="spellEnd"/>
      <w:r w:rsidRPr="004B3B06">
        <w:rPr>
          <w:sz w:val="22"/>
          <w:szCs w:val="22"/>
        </w:rPr>
        <w:t xml:space="preserve"> center, the Ministry of Social Affairs, Veterans &amp; Youth Rehabilitation and the Disability Action Council announced a plan in July 2019 to use the land of the center to house several other departments and NGOs, by demolishing existing infrastructure and constructing new premises. The building works were being undertaken without providing an alternative temporary location for the existing vocational training center to operate. The center was forced to halt student intake for 2020.</w:t>
      </w:r>
    </w:p>
  </w:footnote>
  <w:footnote w:id="3">
    <w:p w14:paraId="17DFB99F" w14:textId="77777777" w:rsidR="0062251B" w:rsidRPr="004B3B06" w:rsidRDefault="0062251B" w:rsidP="0062251B">
      <w:pPr>
        <w:pStyle w:val="FootnoteText"/>
        <w:rPr>
          <w:sz w:val="22"/>
          <w:szCs w:val="22"/>
          <w:lang w:val="de-DE"/>
        </w:rPr>
      </w:pPr>
      <w:r w:rsidRPr="004B3B06">
        <w:rPr>
          <w:rStyle w:val="FootnoteReference"/>
          <w:sz w:val="22"/>
          <w:szCs w:val="22"/>
        </w:rPr>
        <w:footnoteRef/>
      </w:r>
      <w:r w:rsidRPr="004B3B06">
        <w:rPr>
          <w:sz w:val="22"/>
          <w:szCs w:val="22"/>
        </w:rPr>
        <w:t xml:space="preserve"> </w:t>
      </w:r>
      <w:r w:rsidRPr="004B3B06">
        <w:rPr>
          <w:sz w:val="22"/>
          <w:szCs w:val="22"/>
          <w:lang w:val="de-DE"/>
        </w:rPr>
        <w:t xml:space="preserve">E.g., </w:t>
      </w:r>
      <w:r w:rsidRPr="004B3B06">
        <w:rPr>
          <w:sz w:val="22"/>
          <w:szCs w:val="22"/>
        </w:rPr>
        <w:t xml:space="preserve">Nolan, Economic &amp; Social Rights after the Global Financial Crisis (2014). </w:t>
      </w:r>
    </w:p>
  </w:footnote>
  <w:footnote w:id="4">
    <w:p w14:paraId="33C6ED14" w14:textId="4122E9B4" w:rsidR="0062251B" w:rsidRPr="00824C8F" w:rsidRDefault="0062251B" w:rsidP="00F75CF4">
      <w:pPr>
        <w:pStyle w:val="FootnoteText"/>
        <w:rPr>
          <w:sz w:val="22"/>
          <w:szCs w:val="22"/>
          <w:lang w:val="de-DE"/>
        </w:rPr>
      </w:pPr>
      <w:r w:rsidRPr="004B3B06">
        <w:rPr>
          <w:rStyle w:val="FootnoteReference"/>
          <w:sz w:val="22"/>
          <w:szCs w:val="22"/>
        </w:rPr>
        <w:footnoteRef/>
      </w:r>
      <w:r w:rsidRPr="004B3B06">
        <w:rPr>
          <w:sz w:val="22"/>
          <w:szCs w:val="22"/>
        </w:rPr>
        <w:t xml:space="preserve"> </w:t>
      </w:r>
      <w:r w:rsidRPr="004B3B06">
        <w:rPr>
          <w:sz w:val="22"/>
          <w:szCs w:val="22"/>
          <w:lang w:val="de-DE"/>
        </w:rPr>
        <w:t xml:space="preserve">See, </w:t>
      </w:r>
      <w:r w:rsidR="00F75CF4" w:rsidRPr="004B3B06">
        <w:rPr>
          <w:sz w:val="22"/>
          <w:szCs w:val="22"/>
          <w:lang w:val="de-DE"/>
        </w:rPr>
        <w:t>Committee on Economic, Social and Cultural Rights</w:t>
      </w:r>
      <w:r w:rsidRPr="004B3B06">
        <w:rPr>
          <w:sz w:val="22"/>
          <w:szCs w:val="22"/>
          <w:lang w:val="de-DE"/>
        </w:rPr>
        <w:t xml:space="preserve"> Committee, General</w:t>
      </w:r>
      <w:r w:rsidRPr="00824C8F">
        <w:rPr>
          <w:sz w:val="22"/>
          <w:szCs w:val="22"/>
          <w:lang w:val="de-DE"/>
        </w:rPr>
        <w:t xml:space="preserve"> Comment 4 Right to Adequate Housing, Para 8; General Comment 7 Right to Adequate Housing: Evictions. </w:t>
      </w:r>
    </w:p>
  </w:footnote>
  <w:footnote w:id="5">
    <w:p w14:paraId="6008490B" w14:textId="77777777" w:rsidR="004B3B06" w:rsidRDefault="004B3B06" w:rsidP="004B3B06">
      <w:pPr>
        <w:pStyle w:val="FootnoteText"/>
      </w:pPr>
      <w:r>
        <w:rPr>
          <w:rStyle w:val="FootnoteReference"/>
        </w:rPr>
        <w:footnoteRef/>
      </w:r>
      <w:r>
        <w:t xml:space="preserve"> See for example: Landmine and Cluster Munition Monitor, </w:t>
      </w:r>
      <w:r w:rsidRPr="00B37963">
        <w:t>Fragile situations, conflict and victim assistance, May 2016, www.the-monitor.org/media/2333167/VA_Fragile-Situations-18-May-16-_print-X-1-.PDF</w:t>
      </w:r>
      <w:r>
        <w:t>.</w:t>
      </w:r>
    </w:p>
  </w:footnote>
  <w:footnote w:id="6">
    <w:p w14:paraId="42748E2D" w14:textId="2740A43C" w:rsidR="00B116BC" w:rsidRPr="00F46565" w:rsidRDefault="00B116BC" w:rsidP="00D12CF5">
      <w:pPr>
        <w:pStyle w:val="FootnoteText"/>
        <w:rPr>
          <w:sz w:val="22"/>
          <w:szCs w:val="22"/>
          <w:lang w:val="de-DE"/>
        </w:rPr>
      </w:pPr>
      <w:r w:rsidRPr="00F46565">
        <w:rPr>
          <w:rStyle w:val="FootnoteReference"/>
          <w:sz w:val="22"/>
          <w:szCs w:val="22"/>
        </w:rPr>
        <w:footnoteRef/>
      </w:r>
      <w:r w:rsidRPr="00F46565">
        <w:rPr>
          <w:sz w:val="22"/>
          <w:szCs w:val="22"/>
        </w:rPr>
        <w:t xml:space="preserve"> </w:t>
      </w:r>
      <w:r w:rsidRPr="00F46565">
        <w:rPr>
          <w:sz w:val="22"/>
          <w:szCs w:val="22"/>
          <w:lang w:val="de-DE"/>
        </w:rPr>
        <w:t>The Committee accordingly recommends</w:t>
      </w:r>
      <w:r w:rsidRPr="00F46565">
        <w:rPr>
          <w:sz w:val="22"/>
          <w:szCs w:val="22"/>
          <w:lang w:val="en-CA" w:eastAsia="ja-JP"/>
        </w:rPr>
        <w:t xml:space="preserve"> ratification of ILO Conventions (No.138) and (No.182) and urges States in the implementation of these Conventions to pay special attention to the vulnerability and needs of children with disabilities (CRC/C/GC/9, para. 75).  </w:t>
      </w:r>
    </w:p>
  </w:footnote>
  <w:footnote w:id="7">
    <w:p w14:paraId="613D5354" w14:textId="7060A220" w:rsidR="00B116BC" w:rsidRPr="005C3616" w:rsidRDefault="00B116BC" w:rsidP="008A5E11">
      <w:pPr>
        <w:rPr>
          <w:color w:val="00B0F0"/>
          <w:sz w:val="22"/>
          <w:szCs w:val="22"/>
          <w:lang w:val="en-CA"/>
        </w:rPr>
      </w:pPr>
      <w:r w:rsidRPr="005C3616">
        <w:rPr>
          <w:rStyle w:val="FootnoteReference"/>
          <w:sz w:val="22"/>
          <w:szCs w:val="22"/>
        </w:rPr>
        <w:footnoteRef/>
      </w:r>
      <w:r w:rsidRPr="005C3616">
        <w:rPr>
          <w:sz w:val="22"/>
          <w:szCs w:val="22"/>
        </w:rPr>
        <w:t xml:space="preserve"> Scrap metal collection has been a common practice in Lao PDR for income generation, and is still reported in some areas, such as in the north of the country. The deliberate engagement with ERW, including submunitions, for income generation is also reported in other States Parties, including Afghanistan and Cambodia. </w:t>
      </w:r>
    </w:p>
  </w:footnote>
  <w:footnote w:id="8">
    <w:p w14:paraId="49FE3FC8" w14:textId="1ADD487A" w:rsidR="00B116BC" w:rsidRPr="00F46565" w:rsidRDefault="00B116BC" w:rsidP="00D12CF5">
      <w:pPr>
        <w:pStyle w:val="FootnoteText"/>
        <w:rPr>
          <w:sz w:val="22"/>
          <w:szCs w:val="22"/>
          <w:lang w:val="de-DE"/>
        </w:rPr>
      </w:pPr>
      <w:r w:rsidRPr="00F46565">
        <w:rPr>
          <w:rStyle w:val="FootnoteReference"/>
          <w:sz w:val="22"/>
          <w:szCs w:val="22"/>
        </w:rPr>
        <w:footnoteRef/>
      </w:r>
      <w:r w:rsidRPr="00F46565">
        <w:rPr>
          <w:sz w:val="22"/>
          <w:szCs w:val="22"/>
        </w:rPr>
        <w:t xml:space="preserve"> In recent years ICBL-CMC members and others engaged in the field have highlighted the need for disaggregated data on disabilities prior to landmine and ERW incidents as such data is not collected or available. </w:t>
      </w:r>
      <w:proofErr w:type="gramStart"/>
      <w:r w:rsidRPr="00F46565">
        <w:rPr>
          <w:sz w:val="22"/>
          <w:szCs w:val="22"/>
        </w:rPr>
        <w:t>Therefore</w:t>
      </w:r>
      <w:proofErr w:type="gramEnd"/>
      <w:r w:rsidRPr="00F46565">
        <w:rPr>
          <w:sz w:val="22"/>
          <w:szCs w:val="22"/>
        </w:rPr>
        <w:t xml:space="preserve"> the relation between disability, marginalization, and risk is not established systematically beyond the substantial anecdotal evidence existing from field experience and media reporting.</w:t>
      </w:r>
    </w:p>
  </w:footnote>
  <w:footnote w:id="9">
    <w:p w14:paraId="5355EC49" w14:textId="5DC87A17" w:rsidR="00B116BC" w:rsidRPr="00525183" w:rsidRDefault="00B116BC">
      <w:pPr>
        <w:pStyle w:val="FootnoteText"/>
        <w:rPr>
          <w:sz w:val="22"/>
          <w:szCs w:val="22"/>
        </w:rPr>
      </w:pPr>
      <w:r w:rsidRPr="00F46565">
        <w:rPr>
          <w:rStyle w:val="FootnoteReference"/>
          <w:sz w:val="22"/>
          <w:szCs w:val="22"/>
        </w:rPr>
        <w:footnoteRef/>
      </w:r>
      <w:r w:rsidRPr="00F46565">
        <w:rPr>
          <w:sz w:val="22"/>
          <w:szCs w:val="22"/>
        </w:rPr>
        <w:t xml:space="preserve"> Also relevant: Mine Ban Treaty Oslo Action Plan, Action #40.</w:t>
      </w:r>
    </w:p>
  </w:footnote>
  <w:footnote w:id="10">
    <w:p w14:paraId="5F21D69A" w14:textId="773E8536" w:rsidR="00B116BC" w:rsidRPr="00D12CF5" w:rsidRDefault="00B116BC" w:rsidP="00D12CF5">
      <w:pPr>
        <w:widowControl w:val="0"/>
        <w:autoSpaceDE w:val="0"/>
        <w:autoSpaceDN w:val="0"/>
        <w:adjustRightInd w:val="0"/>
        <w:rPr>
          <w:sz w:val="22"/>
          <w:szCs w:val="22"/>
          <w:lang w:val="en-CA" w:eastAsia="ja-JP"/>
        </w:rPr>
      </w:pPr>
      <w:r w:rsidRPr="00D12CF5">
        <w:rPr>
          <w:rStyle w:val="FootnoteReference"/>
          <w:sz w:val="22"/>
          <w:szCs w:val="22"/>
        </w:rPr>
        <w:footnoteRef/>
      </w:r>
      <w:r w:rsidRPr="00D12CF5">
        <w:rPr>
          <w:sz w:val="22"/>
          <w:szCs w:val="22"/>
        </w:rPr>
        <w:t xml:space="preserve"> </w:t>
      </w:r>
      <w:r w:rsidRPr="00D12CF5">
        <w:rPr>
          <w:sz w:val="22"/>
          <w:szCs w:val="22"/>
          <w:lang w:val="en-CA" w:eastAsia="ja-JP"/>
        </w:rPr>
        <w:t>“States Parties have an obligation to ensure that communities and families are not dependent on child labour. The Committee especially affirms the importance of education in eliminating child labour and the obligations set out in article 7(2) of the Worst Forms of Child Labour Convention, 1999 (No.182).” (Committee on Economic, Social and Cultural Rights, General</w:t>
      </w:r>
    </w:p>
    <w:p w14:paraId="583E17BE" w14:textId="1395B341" w:rsidR="00B116BC" w:rsidRPr="00D12CF5" w:rsidRDefault="00B116BC" w:rsidP="00D12CF5">
      <w:pPr>
        <w:widowControl w:val="0"/>
        <w:autoSpaceDE w:val="0"/>
        <w:autoSpaceDN w:val="0"/>
        <w:adjustRightInd w:val="0"/>
        <w:rPr>
          <w:sz w:val="22"/>
          <w:szCs w:val="22"/>
          <w:lang w:val="en-CA" w:eastAsia="ja-JP"/>
        </w:rPr>
      </w:pPr>
      <w:r w:rsidRPr="00D12CF5">
        <w:rPr>
          <w:sz w:val="22"/>
          <w:szCs w:val="22"/>
          <w:lang w:val="en-CA" w:eastAsia="ja-JP"/>
        </w:rPr>
        <w:t xml:space="preserve">Comment No. 13, 1999, HRI/GEN/1/Rev.8, para. 55, p. 82). </w:t>
      </w:r>
    </w:p>
  </w:footnote>
  <w:footnote w:id="11">
    <w:p w14:paraId="3BB9047E" w14:textId="1EAF6ED0" w:rsidR="00B116BC" w:rsidRPr="00D12CF5" w:rsidRDefault="00B116BC" w:rsidP="00D12CF5">
      <w:pPr>
        <w:widowControl w:val="0"/>
        <w:autoSpaceDE w:val="0"/>
        <w:autoSpaceDN w:val="0"/>
        <w:adjustRightInd w:val="0"/>
        <w:rPr>
          <w:sz w:val="22"/>
          <w:szCs w:val="22"/>
          <w:lang w:val="en-CA" w:eastAsia="ja-JP"/>
        </w:rPr>
      </w:pPr>
      <w:r w:rsidRPr="00D12CF5">
        <w:rPr>
          <w:rStyle w:val="FootnoteReference"/>
          <w:sz w:val="22"/>
          <w:szCs w:val="22"/>
        </w:rPr>
        <w:footnoteRef/>
      </w:r>
      <w:r w:rsidRPr="00D12CF5">
        <w:rPr>
          <w:sz w:val="22"/>
          <w:szCs w:val="22"/>
        </w:rPr>
        <w:t xml:space="preserve"> </w:t>
      </w:r>
      <w:r w:rsidRPr="00D12CF5">
        <w:rPr>
          <w:sz w:val="22"/>
          <w:szCs w:val="22"/>
          <w:lang w:val="en-CA" w:eastAsia="ja-JP"/>
        </w:rPr>
        <w:t xml:space="preserve">“Eliminate the economic exploitation of child labour and protect young girls at work,” </w:t>
      </w:r>
    </w:p>
    <w:p w14:paraId="6D408D47" w14:textId="3C140D88" w:rsidR="00B116BC" w:rsidRPr="00D12CF5" w:rsidRDefault="00B116BC" w:rsidP="00D12CF5">
      <w:pPr>
        <w:widowControl w:val="0"/>
        <w:autoSpaceDE w:val="0"/>
        <w:autoSpaceDN w:val="0"/>
        <w:adjustRightInd w:val="0"/>
        <w:rPr>
          <w:sz w:val="22"/>
          <w:szCs w:val="22"/>
          <w:lang w:val="en-CA" w:eastAsia="ja-JP"/>
        </w:rPr>
      </w:pPr>
      <w:r w:rsidRPr="00D12CF5">
        <w:rPr>
          <w:sz w:val="22"/>
          <w:szCs w:val="22"/>
          <w:lang w:val="en-CA" w:eastAsia="ja-JP"/>
        </w:rPr>
        <w:t>Report of the Fourth World Conference on Women, September 1995, A/CONF.177/20, Platform for Action, paras. 263 and 282).</w:t>
      </w:r>
    </w:p>
  </w:footnote>
  <w:footnote w:id="12">
    <w:p w14:paraId="50771EEC" w14:textId="3E70C0F6" w:rsidR="00B116BC" w:rsidRPr="00D12CF5" w:rsidRDefault="00B116BC" w:rsidP="00D12CF5">
      <w:pPr>
        <w:pStyle w:val="FootnoteText"/>
        <w:rPr>
          <w:sz w:val="22"/>
          <w:szCs w:val="22"/>
          <w:lang w:val="de-DE"/>
        </w:rPr>
      </w:pPr>
      <w:r w:rsidRPr="00D12CF5">
        <w:rPr>
          <w:rStyle w:val="FootnoteReference"/>
          <w:sz w:val="22"/>
          <w:szCs w:val="22"/>
        </w:rPr>
        <w:footnoteRef/>
      </w:r>
      <w:r w:rsidRPr="00D12CF5">
        <w:rPr>
          <w:sz w:val="22"/>
          <w:szCs w:val="22"/>
        </w:rPr>
        <w:t xml:space="preserve"> CRC General Comment 9, Children with Disabilities; </w:t>
      </w:r>
      <w:r w:rsidRPr="00D12CF5">
        <w:rPr>
          <w:sz w:val="22"/>
          <w:szCs w:val="22"/>
          <w:lang w:val="en-CA" w:eastAsia="ja-JP"/>
        </w:rPr>
        <w:t>CRC/C/GC/9, para. 75.</w:t>
      </w:r>
    </w:p>
  </w:footnote>
  <w:footnote w:id="13">
    <w:p w14:paraId="38A482FF" w14:textId="347175B9" w:rsidR="00B116BC" w:rsidRPr="00D12CF5" w:rsidRDefault="00B116BC" w:rsidP="00D12CF5">
      <w:pPr>
        <w:rPr>
          <w:sz w:val="22"/>
          <w:szCs w:val="22"/>
        </w:rPr>
      </w:pPr>
      <w:r w:rsidRPr="00D12CF5">
        <w:rPr>
          <w:rStyle w:val="FootnoteReference"/>
          <w:sz w:val="22"/>
          <w:szCs w:val="22"/>
        </w:rPr>
        <w:footnoteRef/>
      </w:r>
      <w:r w:rsidRPr="00D12CF5">
        <w:rPr>
          <w:sz w:val="22"/>
          <w:szCs w:val="22"/>
        </w:rPr>
        <w:t xml:space="preserve"> </w:t>
      </w:r>
      <w:r w:rsidRPr="00D12CF5">
        <w:rPr>
          <w:sz w:val="22"/>
          <w:szCs w:val="22"/>
          <w:lang w:val="en-CA" w:eastAsia="ja-JP"/>
        </w:rPr>
        <w:t xml:space="preserve">“During adolescence, an increasing number of young people are leaving school to start working to help support their families or for wages in the formal or informal sector. … The Committee urges States Parties to take all necessary measures to abolish all forms of child labour, starting with the worst forms, to continuously review national regulations on minimum ages for employment with a view to making them compatible with international standards, and to regulate the working environment and conditions for adolescents who are working (in accordance with article 32 of the Convention, as well as ILO Conventions Nos. 138 and 182), so as to ensure that they are fully protected and have access to legal redress mechanisms... To this end, States Parties must notably fulfil the following obligations: … (e) To protect adolescents from all forms of labour which may jeopardize the enjoyment of their rights, notably by abolishing all forms of child labour and by regulating the working environment and conditions in accordance with international standards…” (Committee on the Rights of the Child, General Comment No. 4, 2003, CRC/GC/2003/4, paras. 18 and 39(e)) </w:t>
      </w:r>
    </w:p>
  </w:footnote>
  <w:footnote w:id="14">
    <w:p w14:paraId="1EDEBD7B" w14:textId="77777777" w:rsidR="00B116BC" w:rsidRPr="00D12CF5" w:rsidRDefault="00B116BC" w:rsidP="00D12CF5">
      <w:pPr>
        <w:shd w:val="clear" w:color="auto" w:fill="FFFFFF"/>
        <w:rPr>
          <w:rFonts w:eastAsia="Times New Roman"/>
          <w:sz w:val="22"/>
          <w:szCs w:val="22"/>
          <w:lang w:eastAsia="en-US"/>
        </w:rPr>
      </w:pPr>
      <w:r w:rsidRPr="00D12CF5">
        <w:rPr>
          <w:rStyle w:val="FootnoteReference"/>
          <w:sz w:val="22"/>
          <w:szCs w:val="22"/>
        </w:rPr>
        <w:footnoteRef/>
      </w:r>
      <w:r w:rsidRPr="00D12CF5">
        <w:rPr>
          <w:sz w:val="22"/>
          <w:szCs w:val="22"/>
        </w:rPr>
        <w:t xml:space="preserve"> </w:t>
      </w:r>
      <w:r w:rsidRPr="00D12CF5">
        <w:rPr>
          <w:rFonts w:eastAsia="Times New Roman"/>
          <w:sz w:val="22"/>
          <w:szCs w:val="22"/>
          <w:lang w:eastAsia="en-US"/>
        </w:rPr>
        <w:t>Adopted and proclaimed by General Assembly resolution 60/147 of 16 December 2005,</w:t>
      </w:r>
      <w:r w:rsidRPr="00D12CF5">
        <w:rPr>
          <w:sz w:val="22"/>
          <w:szCs w:val="22"/>
        </w:rPr>
        <w:t xml:space="preserve"> </w:t>
      </w:r>
      <w:r w:rsidRPr="00D12CF5">
        <w:rPr>
          <w:rFonts w:eastAsia="Times New Roman"/>
          <w:sz w:val="22"/>
          <w:szCs w:val="22"/>
          <w:lang w:eastAsia="en-US"/>
        </w:rPr>
        <w:t>https://www.ohchr.org/en/professionalinterest/pages/remedyandreparation.aspx.</w:t>
      </w:r>
    </w:p>
  </w:footnote>
  <w:footnote w:id="15">
    <w:p w14:paraId="1ADE70B7" w14:textId="120C3BF2" w:rsidR="00B116BC" w:rsidRPr="00D12CF5" w:rsidRDefault="00B116BC" w:rsidP="00D12CF5">
      <w:pPr>
        <w:pStyle w:val="FootnoteText"/>
        <w:rPr>
          <w:sz w:val="22"/>
          <w:szCs w:val="22"/>
        </w:rPr>
      </w:pPr>
      <w:r w:rsidRPr="00D12CF5">
        <w:rPr>
          <w:rStyle w:val="FootnoteReference"/>
          <w:sz w:val="22"/>
          <w:szCs w:val="22"/>
        </w:rPr>
        <w:footnoteRef/>
      </w:r>
      <w:r w:rsidRPr="00D12CF5">
        <w:rPr>
          <w:sz w:val="22"/>
          <w:szCs w:val="22"/>
        </w:rPr>
        <w:t xml:space="preserve"> </w:t>
      </w:r>
      <w:r w:rsidRPr="00D12CF5">
        <w:rPr>
          <w:rFonts w:eastAsia="Times New Roman"/>
          <w:sz w:val="22"/>
          <w:szCs w:val="22"/>
          <w:lang w:eastAsia="en-US"/>
        </w:rPr>
        <w:t xml:space="preserve">The definition of victims of violations in the Basic Principles </w:t>
      </w:r>
      <w:proofErr w:type="gramStart"/>
      <w:r w:rsidRPr="00D12CF5">
        <w:rPr>
          <w:rFonts w:eastAsia="Times New Roman"/>
          <w:sz w:val="22"/>
          <w:szCs w:val="22"/>
          <w:lang w:eastAsia="en-US"/>
        </w:rPr>
        <w:t>is closely related</w:t>
      </w:r>
      <w:proofErr w:type="gramEnd"/>
      <w:r w:rsidRPr="00D12CF5">
        <w:rPr>
          <w:rFonts w:eastAsia="Times New Roman"/>
          <w:sz w:val="22"/>
          <w:szCs w:val="22"/>
          <w:lang w:eastAsia="en-US"/>
        </w:rPr>
        <w:t xml:space="preserve"> to the definitions used in the Mine Ban Treaty and Convention on Cluster Munitions as </w:t>
      </w:r>
      <w:r w:rsidRPr="00D12CF5">
        <w:rPr>
          <w:sz w:val="22"/>
          <w:szCs w:val="22"/>
        </w:rPr>
        <w:t>persons who individually or collectively suffered harm, including physical or mental injury, emotional suffering, economic loss or impairment of their rights.</w:t>
      </w:r>
    </w:p>
  </w:footnote>
  <w:footnote w:id="16">
    <w:p w14:paraId="5835C7C4" w14:textId="53CB0A8C" w:rsidR="00B116BC" w:rsidRPr="008E55BB" w:rsidRDefault="00B116BC" w:rsidP="00D12CF5">
      <w:pPr>
        <w:pStyle w:val="FootnoteText"/>
        <w:rPr>
          <w:lang w:val="de-DE"/>
        </w:rPr>
      </w:pPr>
      <w:r w:rsidRPr="00D12CF5">
        <w:rPr>
          <w:rStyle w:val="FootnoteReference"/>
          <w:sz w:val="22"/>
          <w:szCs w:val="22"/>
        </w:rPr>
        <w:footnoteRef/>
      </w:r>
      <w:r w:rsidRPr="00D12CF5">
        <w:rPr>
          <w:sz w:val="22"/>
          <w:szCs w:val="22"/>
        </w:rPr>
        <w:t xml:space="preserve"> </w:t>
      </w:r>
      <w:r w:rsidRPr="00D12CF5">
        <w:rPr>
          <w:sz w:val="22"/>
          <w:szCs w:val="22"/>
          <w:lang w:val="de-DE"/>
        </w:rPr>
        <w:t>See also Rule 8/4 Standard Rules on the Equalization of Opportunities of Persons with Disabilities A/RES/48/96.</w:t>
      </w:r>
      <w:r>
        <w:rPr>
          <w:lang w:val="de-DE"/>
        </w:rPr>
        <w:t xml:space="preserve"> </w:t>
      </w:r>
    </w:p>
  </w:footnote>
  <w:footnote w:id="17">
    <w:p w14:paraId="4FE1E4A0" w14:textId="77777777" w:rsidR="008B6361" w:rsidRDefault="008B6361" w:rsidP="008B6361">
      <w:pPr>
        <w:pStyle w:val="FootnoteText"/>
      </w:pPr>
      <w:r>
        <w:rPr>
          <w:rStyle w:val="FootnoteReference"/>
        </w:rPr>
        <w:footnoteRef/>
      </w:r>
      <w:r>
        <w:t xml:space="preserve"> See for example Stop Explosive Investments, and the work toward total disinvestment </w:t>
      </w:r>
      <w:r w:rsidRPr="00F572E7">
        <w:t>investments in cluster munition producers</w:t>
      </w:r>
      <w:r>
        <w:t xml:space="preserve">, </w:t>
      </w:r>
      <w:r w:rsidRPr="00F572E7">
        <w:t>https://stopexplosiveinvestments.org</w:t>
      </w:r>
      <w:r>
        <w:t>.</w:t>
      </w:r>
    </w:p>
  </w:footnote>
  <w:footnote w:id="18">
    <w:p w14:paraId="2E82D593" w14:textId="77777777" w:rsidR="00783661" w:rsidRPr="00D12CF5" w:rsidRDefault="00783661" w:rsidP="00783661">
      <w:pPr>
        <w:pStyle w:val="FootnoteText"/>
        <w:rPr>
          <w:sz w:val="22"/>
          <w:szCs w:val="22"/>
        </w:rPr>
      </w:pPr>
      <w:r w:rsidRPr="00D12CF5">
        <w:rPr>
          <w:rStyle w:val="FootnoteReference"/>
          <w:sz w:val="22"/>
          <w:szCs w:val="22"/>
        </w:rPr>
        <w:footnoteRef/>
      </w:r>
      <w:r w:rsidRPr="00D12CF5">
        <w:rPr>
          <w:sz w:val="22"/>
          <w:szCs w:val="22"/>
        </w:rPr>
        <w:t xml:space="preserve"> ICBL-CMC Guiding Principles </w:t>
      </w:r>
      <w:r>
        <w:rPr>
          <w:sz w:val="22"/>
          <w:szCs w:val="22"/>
        </w:rPr>
        <w:t>f</w:t>
      </w:r>
      <w:r w:rsidRPr="00D12CF5">
        <w:rPr>
          <w:sz w:val="22"/>
          <w:szCs w:val="22"/>
        </w:rPr>
        <w:t xml:space="preserve">or Victim Assistance, </w:t>
      </w:r>
      <w:hyperlink r:id="rId1" w:history="1">
        <w:r w:rsidRPr="00D12CF5">
          <w:rPr>
            <w:rStyle w:val="Hyperlink"/>
            <w:color w:val="auto"/>
            <w:sz w:val="22"/>
            <w:szCs w:val="22"/>
          </w:rPr>
          <w:t>http://www.icbl.org/en-gb/resources/guiding-principles-for-victim-assistance.aspx</w:t>
        </w:r>
      </w:hyperlink>
      <w:r w:rsidRPr="00D12CF5">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AD2"/>
    <w:multiLevelType w:val="hybridMultilevel"/>
    <w:tmpl w:val="70781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A3474"/>
    <w:multiLevelType w:val="hybridMultilevel"/>
    <w:tmpl w:val="F29CDE78"/>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08FE1F58"/>
    <w:multiLevelType w:val="hybridMultilevel"/>
    <w:tmpl w:val="75440BB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9841C4D"/>
    <w:multiLevelType w:val="hybridMultilevel"/>
    <w:tmpl w:val="53D6C57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140CB"/>
    <w:multiLevelType w:val="hybridMultilevel"/>
    <w:tmpl w:val="205477D6"/>
    <w:lvl w:ilvl="0" w:tplc="63868A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8432D"/>
    <w:multiLevelType w:val="hybridMultilevel"/>
    <w:tmpl w:val="B6A69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A8563B"/>
    <w:multiLevelType w:val="hybridMultilevel"/>
    <w:tmpl w:val="9FB44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B90AC1"/>
    <w:multiLevelType w:val="hybridMultilevel"/>
    <w:tmpl w:val="5EE278C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3E5282"/>
    <w:multiLevelType w:val="hybridMultilevel"/>
    <w:tmpl w:val="FC223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A347DA"/>
    <w:multiLevelType w:val="hybridMultilevel"/>
    <w:tmpl w:val="60586E8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82A0C51"/>
    <w:multiLevelType w:val="hybridMultilevel"/>
    <w:tmpl w:val="80941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7843E3"/>
    <w:multiLevelType w:val="hybridMultilevel"/>
    <w:tmpl w:val="53D6C57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7B78EA"/>
    <w:multiLevelType w:val="hybridMultilevel"/>
    <w:tmpl w:val="67E665E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C4F6296"/>
    <w:multiLevelType w:val="hybridMultilevel"/>
    <w:tmpl w:val="AB7C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06C72"/>
    <w:multiLevelType w:val="hybridMultilevel"/>
    <w:tmpl w:val="53D6C57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2"/>
  </w:num>
  <w:num w:numId="5">
    <w:abstractNumId w:val="1"/>
  </w:num>
  <w:num w:numId="6">
    <w:abstractNumId w:val="7"/>
  </w:num>
  <w:num w:numId="7">
    <w:abstractNumId w:val="9"/>
  </w:num>
  <w:num w:numId="8">
    <w:abstractNumId w:val="2"/>
  </w:num>
  <w:num w:numId="9">
    <w:abstractNumId w:val="8"/>
  </w:num>
  <w:num w:numId="10">
    <w:abstractNumId w:val="11"/>
  </w:num>
  <w:num w:numId="11">
    <w:abstractNumId w:val="14"/>
  </w:num>
  <w:num w:numId="12">
    <w:abstractNumId w:val="3"/>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31"/>
    <w:rsid w:val="00002038"/>
    <w:rsid w:val="000045E7"/>
    <w:rsid w:val="00010A76"/>
    <w:rsid w:val="000147F5"/>
    <w:rsid w:val="00040BE8"/>
    <w:rsid w:val="00056BD7"/>
    <w:rsid w:val="00082428"/>
    <w:rsid w:val="000C0A78"/>
    <w:rsid w:val="000C429E"/>
    <w:rsid w:val="000C5C98"/>
    <w:rsid w:val="000E24E6"/>
    <w:rsid w:val="00125918"/>
    <w:rsid w:val="00137839"/>
    <w:rsid w:val="00142BE9"/>
    <w:rsid w:val="00157567"/>
    <w:rsid w:val="00162C0E"/>
    <w:rsid w:val="001900EF"/>
    <w:rsid w:val="00195751"/>
    <w:rsid w:val="001B486E"/>
    <w:rsid w:val="001B4ECD"/>
    <w:rsid w:val="001B555D"/>
    <w:rsid w:val="001C696F"/>
    <w:rsid w:val="001C729E"/>
    <w:rsid w:val="001D2113"/>
    <w:rsid w:val="001E0590"/>
    <w:rsid w:val="002054DF"/>
    <w:rsid w:val="00205E44"/>
    <w:rsid w:val="0021113B"/>
    <w:rsid w:val="002265A0"/>
    <w:rsid w:val="002379FB"/>
    <w:rsid w:val="00285492"/>
    <w:rsid w:val="00290A5B"/>
    <w:rsid w:val="002B6F72"/>
    <w:rsid w:val="002C50CC"/>
    <w:rsid w:val="002C77D7"/>
    <w:rsid w:val="002E0644"/>
    <w:rsid w:val="003166CC"/>
    <w:rsid w:val="003228C9"/>
    <w:rsid w:val="003408EC"/>
    <w:rsid w:val="00342836"/>
    <w:rsid w:val="00344B9A"/>
    <w:rsid w:val="00363269"/>
    <w:rsid w:val="00377207"/>
    <w:rsid w:val="00377C29"/>
    <w:rsid w:val="00386404"/>
    <w:rsid w:val="003C289D"/>
    <w:rsid w:val="003C38FC"/>
    <w:rsid w:val="003C41B4"/>
    <w:rsid w:val="003D55CD"/>
    <w:rsid w:val="00454686"/>
    <w:rsid w:val="004555EF"/>
    <w:rsid w:val="00467CF1"/>
    <w:rsid w:val="004703D8"/>
    <w:rsid w:val="0048040A"/>
    <w:rsid w:val="004926D5"/>
    <w:rsid w:val="00497236"/>
    <w:rsid w:val="004A32DB"/>
    <w:rsid w:val="004A66CF"/>
    <w:rsid w:val="004B3B06"/>
    <w:rsid w:val="00515661"/>
    <w:rsid w:val="00525183"/>
    <w:rsid w:val="005252AF"/>
    <w:rsid w:val="005357EF"/>
    <w:rsid w:val="00540AEA"/>
    <w:rsid w:val="00555408"/>
    <w:rsid w:val="005626AC"/>
    <w:rsid w:val="005825CF"/>
    <w:rsid w:val="005918D7"/>
    <w:rsid w:val="005C3616"/>
    <w:rsid w:val="005C40C1"/>
    <w:rsid w:val="005E0F0D"/>
    <w:rsid w:val="005E227F"/>
    <w:rsid w:val="005F4C3E"/>
    <w:rsid w:val="006023AF"/>
    <w:rsid w:val="00617CE6"/>
    <w:rsid w:val="00621FE2"/>
    <w:rsid w:val="0062251B"/>
    <w:rsid w:val="00647AB2"/>
    <w:rsid w:val="00665F04"/>
    <w:rsid w:val="006B0A46"/>
    <w:rsid w:val="006C3C9C"/>
    <w:rsid w:val="006C7B82"/>
    <w:rsid w:val="006F043B"/>
    <w:rsid w:val="007008C9"/>
    <w:rsid w:val="0071157C"/>
    <w:rsid w:val="007128FF"/>
    <w:rsid w:val="00764DD3"/>
    <w:rsid w:val="0077270E"/>
    <w:rsid w:val="00783661"/>
    <w:rsid w:val="007B5BF5"/>
    <w:rsid w:val="007D2742"/>
    <w:rsid w:val="007E3CD7"/>
    <w:rsid w:val="007E5EEA"/>
    <w:rsid w:val="008112A3"/>
    <w:rsid w:val="00824C8F"/>
    <w:rsid w:val="00824F47"/>
    <w:rsid w:val="00877594"/>
    <w:rsid w:val="008800BC"/>
    <w:rsid w:val="008A5E11"/>
    <w:rsid w:val="008B6361"/>
    <w:rsid w:val="008E0324"/>
    <w:rsid w:val="008E55BB"/>
    <w:rsid w:val="008E6A0C"/>
    <w:rsid w:val="008E6E58"/>
    <w:rsid w:val="0090033D"/>
    <w:rsid w:val="00902F85"/>
    <w:rsid w:val="00926E3A"/>
    <w:rsid w:val="00963D62"/>
    <w:rsid w:val="00977243"/>
    <w:rsid w:val="00986040"/>
    <w:rsid w:val="00987AA3"/>
    <w:rsid w:val="00994992"/>
    <w:rsid w:val="009C3788"/>
    <w:rsid w:val="009D4C53"/>
    <w:rsid w:val="00A00C62"/>
    <w:rsid w:val="00A022C6"/>
    <w:rsid w:val="00A204D1"/>
    <w:rsid w:val="00A3257E"/>
    <w:rsid w:val="00A36A65"/>
    <w:rsid w:val="00A37E10"/>
    <w:rsid w:val="00A4155F"/>
    <w:rsid w:val="00A427CD"/>
    <w:rsid w:val="00A63437"/>
    <w:rsid w:val="00AA1576"/>
    <w:rsid w:val="00AA318D"/>
    <w:rsid w:val="00AC6178"/>
    <w:rsid w:val="00B116BC"/>
    <w:rsid w:val="00B22CAB"/>
    <w:rsid w:val="00B32A4A"/>
    <w:rsid w:val="00B351CE"/>
    <w:rsid w:val="00B37963"/>
    <w:rsid w:val="00B37BE2"/>
    <w:rsid w:val="00B5123C"/>
    <w:rsid w:val="00B57FA3"/>
    <w:rsid w:val="00BA67D3"/>
    <w:rsid w:val="00BC0C3A"/>
    <w:rsid w:val="00BC7087"/>
    <w:rsid w:val="00BC7281"/>
    <w:rsid w:val="00BE711B"/>
    <w:rsid w:val="00C628ED"/>
    <w:rsid w:val="00C666E1"/>
    <w:rsid w:val="00C925FC"/>
    <w:rsid w:val="00CA298E"/>
    <w:rsid w:val="00CA3985"/>
    <w:rsid w:val="00CB1658"/>
    <w:rsid w:val="00CE7BB6"/>
    <w:rsid w:val="00D12CF5"/>
    <w:rsid w:val="00D4067B"/>
    <w:rsid w:val="00D46304"/>
    <w:rsid w:val="00D5121E"/>
    <w:rsid w:val="00D57CA9"/>
    <w:rsid w:val="00D75E3B"/>
    <w:rsid w:val="00D8256B"/>
    <w:rsid w:val="00D827BD"/>
    <w:rsid w:val="00D927DF"/>
    <w:rsid w:val="00DB609D"/>
    <w:rsid w:val="00DD3037"/>
    <w:rsid w:val="00DE4B9F"/>
    <w:rsid w:val="00DE7D31"/>
    <w:rsid w:val="00DF62BD"/>
    <w:rsid w:val="00DF68D5"/>
    <w:rsid w:val="00E053E1"/>
    <w:rsid w:val="00E37F12"/>
    <w:rsid w:val="00E5618E"/>
    <w:rsid w:val="00E86A98"/>
    <w:rsid w:val="00E90BB3"/>
    <w:rsid w:val="00E96318"/>
    <w:rsid w:val="00EE4C89"/>
    <w:rsid w:val="00EE5C3B"/>
    <w:rsid w:val="00F0792E"/>
    <w:rsid w:val="00F23CEF"/>
    <w:rsid w:val="00F46565"/>
    <w:rsid w:val="00F572E7"/>
    <w:rsid w:val="00F66FC3"/>
    <w:rsid w:val="00F75CF4"/>
    <w:rsid w:val="00F82263"/>
    <w:rsid w:val="00FB2114"/>
    <w:rsid w:val="00FF09D2"/>
    <w:rsid w:val="00FF1AB9"/>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F684D1"/>
  <w14:defaultImageDpi w14:val="330"/>
  <w15:docId w15:val="{7D1950C6-B65B-4DC8-B809-DA823026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BC6"/>
    <w:rPr>
      <w:rFonts w:ascii="Lucida Grande" w:hAnsi="Lucida Grande"/>
      <w:sz w:val="18"/>
      <w:szCs w:val="18"/>
    </w:rPr>
  </w:style>
  <w:style w:type="paragraph" w:styleId="ListParagraph">
    <w:name w:val="List Paragraph"/>
    <w:basedOn w:val="Normal"/>
    <w:uiPriority w:val="34"/>
    <w:qFormat/>
    <w:rsid w:val="002E0644"/>
    <w:pPr>
      <w:ind w:left="720"/>
      <w:contextualSpacing/>
    </w:pPr>
  </w:style>
  <w:style w:type="paragraph" w:styleId="FootnoteText">
    <w:name w:val="footnote text"/>
    <w:basedOn w:val="Normal"/>
    <w:link w:val="FootnoteTextChar"/>
    <w:uiPriority w:val="99"/>
    <w:unhideWhenUsed/>
    <w:rsid w:val="00DF68D5"/>
  </w:style>
  <w:style w:type="character" w:customStyle="1" w:styleId="FootnoteTextChar">
    <w:name w:val="Footnote Text Char"/>
    <w:basedOn w:val="DefaultParagraphFont"/>
    <w:link w:val="FootnoteText"/>
    <w:uiPriority w:val="99"/>
    <w:rsid w:val="00DF68D5"/>
    <w:rPr>
      <w:sz w:val="24"/>
      <w:szCs w:val="24"/>
      <w:lang w:eastAsia="de-DE"/>
    </w:rPr>
  </w:style>
  <w:style w:type="character" w:styleId="FootnoteReference">
    <w:name w:val="footnote reference"/>
    <w:basedOn w:val="DefaultParagraphFont"/>
    <w:uiPriority w:val="99"/>
    <w:unhideWhenUsed/>
    <w:rsid w:val="00DF68D5"/>
    <w:rPr>
      <w:vertAlign w:val="superscript"/>
    </w:rPr>
  </w:style>
  <w:style w:type="character" w:styleId="Hyperlink">
    <w:name w:val="Hyperlink"/>
    <w:basedOn w:val="DefaultParagraphFont"/>
    <w:uiPriority w:val="99"/>
    <w:unhideWhenUsed/>
    <w:rsid w:val="004555EF"/>
    <w:rPr>
      <w:color w:val="0000FF"/>
      <w:u w:val="single"/>
    </w:rPr>
  </w:style>
  <w:style w:type="character" w:customStyle="1" w:styleId="UnresolvedMention1">
    <w:name w:val="Unresolved Mention1"/>
    <w:basedOn w:val="DefaultParagraphFont"/>
    <w:uiPriority w:val="99"/>
    <w:semiHidden/>
    <w:unhideWhenUsed/>
    <w:rsid w:val="00E37F12"/>
    <w:rPr>
      <w:color w:val="605E5C"/>
      <w:shd w:val="clear" w:color="auto" w:fill="E1DFDD"/>
    </w:rPr>
  </w:style>
  <w:style w:type="paragraph" w:styleId="NormalWeb">
    <w:name w:val="Normal (Web)"/>
    <w:basedOn w:val="Normal"/>
    <w:uiPriority w:val="99"/>
    <w:unhideWhenUsed/>
    <w:rsid w:val="00E37F12"/>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E37F12"/>
    <w:rPr>
      <w:i/>
      <w:iCs/>
    </w:rPr>
  </w:style>
  <w:style w:type="character" w:customStyle="1" w:styleId="highlight">
    <w:name w:val="highlight"/>
    <w:basedOn w:val="DefaultParagraphFont"/>
    <w:rsid w:val="00A3257E"/>
  </w:style>
  <w:style w:type="paragraph" w:customStyle="1" w:styleId="Default">
    <w:name w:val="Default"/>
    <w:rsid w:val="008800BC"/>
    <w:pPr>
      <w:widowControl w:val="0"/>
      <w:autoSpaceDE w:val="0"/>
      <w:autoSpaceDN w:val="0"/>
      <w:adjustRightInd w:val="0"/>
    </w:pPr>
    <w:rPr>
      <w:color w:val="000000"/>
      <w:sz w:val="24"/>
      <w:szCs w:val="24"/>
      <w:lang w:val="de-DE"/>
    </w:rPr>
  </w:style>
  <w:style w:type="character" w:styleId="CommentReference">
    <w:name w:val="annotation reference"/>
    <w:basedOn w:val="DefaultParagraphFont"/>
    <w:uiPriority w:val="99"/>
    <w:semiHidden/>
    <w:unhideWhenUsed/>
    <w:rsid w:val="0021113B"/>
    <w:rPr>
      <w:sz w:val="16"/>
      <w:szCs w:val="16"/>
    </w:rPr>
  </w:style>
  <w:style w:type="paragraph" w:styleId="CommentText">
    <w:name w:val="annotation text"/>
    <w:basedOn w:val="Normal"/>
    <w:link w:val="CommentTextChar"/>
    <w:uiPriority w:val="99"/>
    <w:semiHidden/>
    <w:unhideWhenUsed/>
    <w:rsid w:val="0021113B"/>
    <w:rPr>
      <w:sz w:val="20"/>
      <w:szCs w:val="20"/>
    </w:rPr>
  </w:style>
  <w:style w:type="character" w:customStyle="1" w:styleId="CommentTextChar">
    <w:name w:val="Comment Text Char"/>
    <w:basedOn w:val="DefaultParagraphFont"/>
    <w:link w:val="CommentText"/>
    <w:uiPriority w:val="99"/>
    <w:semiHidden/>
    <w:rsid w:val="0021113B"/>
    <w:rPr>
      <w:lang w:eastAsia="de-DE"/>
    </w:rPr>
  </w:style>
  <w:style w:type="paragraph" w:styleId="CommentSubject">
    <w:name w:val="annotation subject"/>
    <w:basedOn w:val="CommentText"/>
    <w:next w:val="CommentText"/>
    <w:link w:val="CommentSubjectChar"/>
    <w:uiPriority w:val="99"/>
    <w:semiHidden/>
    <w:unhideWhenUsed/>
    <w:rsid w:val="0021113B"/>
    <w:rPr>
      <w:b/>
      <w:bCs/>
    </w:rPr>
  </w:style>
  <w:style w:type="character" w:customStyle="1" w:styleId="CommentSubjectChar">
    <w:name w:val="Comment Subject Char"/>
    <w:basedOn w:val="CommentTextChar"/>
    <w:link w:val="CommentSubject"/>
    <w:uiPriority w:val="99"/>
    <w:semiHidden/>
    <w:rsid w:val="0021113B"/>
    <w:rPr>
      <w:b/>
      <w:bCs/>
      <w:lang w:eastAsia="de-DE"/>
    </w:rPr>
  </w:style>
  <w:style w:type="character" w:customStyle="1" w:styleId="UnresolvedMention2">
    <w:name w:val="Unresolved Mention2"/>
    <w:basedOn w:val="DefaultParagraphFont"/>
    <w:uiPriority w:val="99"/>
    <w:semiHidden/>
    <w:unhideWhenUsed/>
    <w:rsid w:val="008E6E58"/>
    <w:rPr>
      <w:color w:val="605E5C"/>
      <w:shd w:val="clear" w:color="auto" w:fill="E1DFDD"/>
    </w:rPr>
  </w:style>
  <w:style w:type="paragraph" w:styleId="Revision">
    <w:name w:val="Revision"/>
    <w:hidden/>
    <w:uiPriority w:val="99"/>
    <w:semiHidden/>
    <w:rsid w:val="005C40C1"/>
    <w:rPr>
      <w:sz w:val="24"/>
      <w:szCs w:val="24"/>
      <w:lang w:eastAsia="de-DE"/>
    </w:rPr>
  </w:style>
  <w:style w:type="character" w:customStyle="1" w:styleId="acopre">
    <w:name w:val="acopre"/>
    <w:basedOn w:val="DefaultParagraphFont"/>
    <w:rsid w:val="0062251B"/>
  </w:style>
  <w:style w:type="paragraph" w:styleId="EndnoteText">
    <w:name w:val="endnote text"/>
    <w:basedOn w:val="Normal"/>
    <w:link w:val="EndnoteTextChar"/>
    <w:uiPriority w:val="99"/>
    <w:semiHidden/>
    <w:unhideWhenUsed/>
    <w:rsid w:val="004B3B06"/>
    <w:rPr>
      <w:rFonts w:ascii="Cambria" w:eastAsia="Cambria" w:hAnsi="Cambria" w:cs="Arial"/>
      <w:lang w:val="en-AU" w:eastAsia="en-US"/>
    </w:rPr>
  </w:style>
  <w:style w:type="character" w:customStyle="1" w:styleId="EndnoteTextChar">
    <w:name w:val="Endnote Text Char"/>
    <w:basedOn w:val="DefaultParagraphFont"/>
    <w:link w:val="EndnoteText"/>
    <w:uiPriority w:val="99"/>
    <w:semiHidden/>
    <w:rsid w:val="004B3B06"/>
    <w:rPr>
      <w:rFonts w:ascii="Cambria" w:eastAsia="Cambria" w:hAnsi="Cambria" w:cs="Arial"/>
      <w:sz w:val="24"/>
      <w:szCs w:val="24"/>
      <w:lang w:val="en-AU" w:eastAsia="en-US"/>
    </w:rPr>
  </w:style>
  <w:style w:type="character" w:styleId="EndnoteReference">
    <w:name w:val="endnote reference"/>
    <w:uiPriority w:val="99"/>
    <w:semiHidden/>
    <w:unhideWhenUsed/>
    <w:rsid w:val="004B3B06"/>
    <w:rPr>
      <w:vertAlign w:val="superscript"/>
    </w:rPr>
  </w:style>
  <w:style w:type="character" w:styleId="Strong">
    <w:name w:val="Strong"/>
    <w:basedOn w:val="DefaultParagraphFont"/>
    <w:uiPriority w:val="22"/>
    <w:qFormat/>
    <w:rsid w:val="004B3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1063">
      <w:bodyDiv w:val="1"/>
      <w:marLeft w:val="0"/>
      <w:marRight w:val="0"/>
      <w:marTop w:val="0"/>
      <w:marBottom w:val="0"/>
      <w:divBdr>
        <w:top w:val="none" w:sz="0" w:space="0" w:color="auto"/>
        <w:left w:val="none" w:sz="0" w:space="0" w:color="auto"/>
        <w:bottom w:val="none" w:sz="0" w:space="0" w:color="auto"/>
        <w:right w:val="none" w:sz="0" w:space="0" w:color="auto"/>
      </w:divBdr>
    </w:div>
    <w:div w:id="160434033">
      <w:bodyDiv w:val="1"/>
      <w:marLeft w:val="0"/>
      <w:marRight w:val="0"/>
      <w:marTop w:val="0"/>
      <w:marBottom w:val="0"/>
      <w:divBdr>
        <w:top w:val="none" w:sz="0" w:space="0" w:color="auto"/>
        <w:left w:val="none" w:sz="0" w:space="0" w:color="auto"/>
        <w:bottom w:val="none" w:sz="0" w:space="0" w:color="auto"/>
        <w:right w:val="none" w:sz="0" w:space="0" w:color="auto"/>
      </w:divBdr>
    </w:div>
    <w:div w:id="436830062">
      <w:bodyDiv w:val="1"/>
      <w:marLeft w:val="0"/>
      <w:marRight w:val="0"/>
      <w:marTop w:val="0"/>
      <w:marBottom w:val="0"/>
      <w:divBdr>
        <w:top w:val="none" w:sz="0" w:space="0" w:color="auto"/>
        <w:left w:val="none" w:sz="0" w:space="0" w:color="auto"/>
        <w:bottom w:val="none" w:sz="0" w:space="0" w:color="auto"/>
        <w:right w:val="none" w:sz="0" w:space="0" w:color="auto"/>
      </w:divBdr>
    </w:div>
    <w:div w:id="1107506504">
      <w:bodyDiv w:val="1"/>
      <w:marLeft w:val="0"/>
      <w:marRight w:val="0"/>
      <w:marTop w:val="0"/>
      <w:marBottom w:val="0"/>
      <w:divBdr>
        <w:top w:val="none" w:sz="0" w:space="0" w:color="auto"/>
        <w:left w:val="none" w:sz="0" w:space="0" w:color="auto"/>
        <w:bottom w:val="none" w:sz="0" w:space="0" w:color="auto"/>
        <w:right w:val="none" w:sz="0" w:space="0" w:color="auto"/>
      </w:divBdr>
    </w:div>
    <w:div w:id="1974672064">
      <w:bodyDiv w:val="1"/>
      <w:marLeft w:val="0"/>
      <w:marRight w:val="0"/>
      <w:marTop w:val="0"/>
      <w:marBottom w:val="0"/>
      <w:divBdr>
        <w:top w:val="none" w:sz="0" w:space="0" w:color="auto"/>
        <w:left w:val="none" w:sz="0" w:space="0" w:color="auto"/>
        <w:bottom w:val="none" w:sz="0" w:space="0" w:color="auto"/>
        <w:right w:val="none" w:sz="0" w:space="0" w:color="auto"/>
      </w:divBdr>
    </w:div>
    <w:div w:id="210445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icbl.org/en-gb/resources/guiding-principles-for-victim-assistance.asp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B64B5F-9CA4-4BF5-85FA-DBFF275A7A1C}"/>
</file>

<file path=customXml/itemProps2.xml><?xml version="1.0" encoding="utf-8"?>
<ds:datastoreItem xmlns:ds="http://schemas.openxmlformats.org/officeDocument/2006/customXml" ds:itemID="{C66D054E-9785-4629-B8F7-C907473242B8}"/>
</file>

<file path=customXml/itemProps3.xml><?xml version="1.0" encoding="utf-8"?>
<ds:datastoreItem xmlns:ds="http://schemas.openxmlformats.org/officeDocument/2006/customXml" ds:itemID="{20FFE4A1-ED66-4CCC-AF25-79913A16EC3D}"/>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11178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human rights consultant</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schulze</dc:creator>
  <cp:keywords/>
  <dc:description/>
  <cp:lastModifiedBy>Janna Iskakova</cp:lastModifiedBy>
  <cp:revision>2</cp:revision>
  <cp:lastPrinted>2021-03-15T12:00:00Z</cp:lastPrinted>
  <dcterms:created xsi:type="dcterms:W3CDTF">2021-03-15T14:28:00Z</dcterms:created>
  <dcterms:modified xsi:type="dcterms:W3CDTF">2021-03-15T14:28:00Z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