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02C46" w14:textId="77777777" w:rsidR="006A26AD" w:rsidRDefault="00964680">
      <w:pPr>
        <w:jc w:val="center"/>
        <w:rPr>
          <w:rFonts w:ascii="Lato" w:hAnsi="Lato"/>
          <w:b/>
          <w:sz w:val="24"/>
          <w:szCs w:val="24"/>
          <w:lang w:val="en-GB"/>
        </w:rPr>
      </w:pPr>
      <w:r w:rsidRPr="00672944">
        <w:rPr>
          <w:rFonts w:ascii="Lato" w:hAnsi="Lato"/>
          <w:b/>
          <w:sz w:val="24"/>
          <w:szCs w:val="24"/>
          <w:lang w:val="en-GB"/>
        </w:rPr>
        <w:t>Written submission relating to the Outline</w:t>
      </w:r>
      <w:r w:rsidR="008843F8" w:rsidRPr="00672944">
        <w:rPr>
          <w:rFonts w:ascii="Lato" w:hAnsi="Lato"/>
          <w:b/>
          <w:sz w:val="24"/>
          <w:szCs w:val="24"/>
          <w:lang w:val="en-GB"/>
        </w:rPr>
        <w:t xml:space="preserve"> </w:t>
      </w:r>
      <w:r w:rsidRPr="00672944">
        <w:rPr>
          <w:rFonts w:ascii="Lato" w:hAnsi="Lato"/>
          <w:b/>
          <w:sz w:val="24"/>
          <w:szCs w:val="24"/>
          <w:lang w:val="en-GB"/>
        </w:rPr>
        <w:t xml:space="preserve">of the General Comment </w:t>
      </w:r>
    </w:p>
    <w:p w14:paraId="5D8FB6D5" w14:textId="2E157F44" w:rsidR="00F357FE" w:rsidRPr="00672944" w:rsidRDefault="00964680">
      <w:pPr>
        <w:jc w:val="center"/>
        <w:rPr>
          <w:rFonts w:ascii="Lato" w:hAnsi="Lato"/>
          <w:b/>
          <w:sz w:val="24"/>
          <w:szCs w:val="24"/>
          <w:lang w:val="en-GB"/>
        </w:rPr>
      </w:pPr>
      <w:r w:rsidRPr="00672944">
        <w:rPr>
          <w:rFonts w:ascii="Lato" w:hAnsi="Lato"/>
          <w:b/>
          <w:sz w:val="24"/>
          <w:szCs w:val="24"/>
          <w:lang w:val="en-GB"/>
        </w:rPr>
        <w:t xml:space="preserve">on article </w:t>
      </w:r>
      <w:r w:rsidR="00BB36CD" w:rsidRPr="00672944">
        <w:rPr>
          <w:rFonts w:ascii="Lato" w:hAnsi="Lato"/>
          <w:b/>
          <w:sz w:val="24"/>
          <w:szCs w:val="24"/>
          <w:lang w:val="en-GB"/>
        </w:rPr>
        <w:t>27</w:t>
      </w:r>
      <w:r w:rsidRPr="00672944">
        <w:rPr>
          <w:rFonts w:ascii="Lato" w:hAnsi="Lato"/>
          <w:b/>
          <w:sz w:val="24"/>
          <w:szCs w:val="24"/>
          <w:lang w:val="en-GB"/>
        </w:rPr>
        <w:t xml:space="preserve"> </w:t>
      </w:r>
      <w:r w:rsidR="00BB36CD" w:rsidRPr="00672944">
        <w:rPr>
          <w:rFonts w:ascii="Lato" w:hAnsi="Lato"/>
          <w:b/>
          <w:sz w:val="24"/>
          <w:szCs w:val="24"/>
          <w:lang w:val="en-GB"/>
        </w:rPr>
        <w:t>of the CRPD (the right to work and employment)</w:t>
      </w:r>
    </w:p>
    <w:p w14:paraId="6D65FA71" w14:textId="77777777" w:rsidR="00F357FE" w:rsidRPr="00672944" w:rsidRDefault="00964680">
      <w:pPr>
        <w:jc w:val="both"/>
        <w:rPr>
          <w:rFonts w:ascii="Lato" w:hAnsi="Lato"/>
          <w:b/>
          <w:sz w:val="24"/>
          <w:szCs w:val="24"/>
          <w:lang w:val="en-GB"/>
        </w:rPr>
      </w:pPr>
      <w:r w:rsidRPr="00672944">
        <w:rPr>
          <w:rFonts w:ascii="Lato" w:hAnsi="Lato"/>
          <w:b/>
          <w:sz w:val="24"/>
          <w:szCs w:val="24"/>
          <w:lang w:val="en-GB"/>
        </w:rPr>
        <w:t xml:space="preserve"> </w:t>
      </w:r>
    </w:p>
    <w:p w14:paraId="7C45C4EC" w14:textId="659FB0FA" w:rsidR="00F357FE" w:rsidRPr="00672944" w:rsidRDefault="00BB36CD">
      <w:pPr>
        <w:spacing w:before="120"/>
        <w:jc w:val="right"/>
        <w:rPr>
          <w:rFonts w:ascii="Lato" w:hAnsi="Lato"/>
          <w:sz w:val="24"/>
          <w:szCs w:val="24"/>
          <w:lang w:val="en-GB"/>
        </w:rPr>
      </w:pPr>
      <w:r w:rsidRPr="00672944">
        <w:rPr>
          <w:rFonts w:ascii="Lato" w:hAnsi="Lato"/>
          <w:sz w:val="24"/>
          <w:szCs w:val="24"/>
          <w:lang w:val="en-GB"/>
        </w:rPr>
        <w:t>15 March 2021</w:t>
      </w:r>
    </w:p>
    <w:p w14:paraId="764DE246" w14:textId="24EE8A99" w:rsidR="00817BAF" w:rsidRPr="00817BAF" w:rsidRDefault="00964680" w:rsidP="00817BAF">
      <w:pPr>
        <w:spacing w:before="120"/>
        <w:jc w:val="both"/>
        <w:rPr>
          <w:rFonts w:ascii="Lato" w:hAnsi="Lato"/>
          <w:spacing w:val="-2"/>
          <w:sz w:val="24"/>
          <w:szCs w:val="24"/>
          <w:lang w:val="en-GB"/>
        </w:rPr>
      </w:pPr>
      <w:r w:rsidRPr="00672944">
        <w:rPr>
          <w:rFonts w:ascii="Lato" w:hAnsi="Lato"/>
          <w:sz w:val="24"/>
          <w:szCs w:val="24"/>
          <w:lang w:val="en-GB"/>
        </w:rPr>
        <w:t xml:space="preserve"> </w:t>
      </w:r>
      <w:r w:rsidRPr="00672944">
        <w:rPr>
          <w:rFonts w:ascii="Lato" w:hAnsi="Lato"/>
          <w:spacing w:val="-2"/>
          <w:sz w:val="24"/>
          <w:szCs w:val="24"/>
          <w:lang w:val="en-GB"/>
        </w:rPr>
        <w:t xml:space="preserve">These comments </w:t>
      </w:r>
      <w:r w:rsidR="00817BAF">
        <w:rPr>
          <w:rFonts w:ascii="Lato" w:hAnsi="Lato"/>
          <w:spacing w:val="-2"/>
          <w:sz w:val="24"/>
          <w:szCs w:val="24"/>
          <w:lang w:val="en-GB"/>
        </w:rPr>
        <w:t>have been</w:t>
      </w:r>
      <w:r w:rsidRPr="00672944">
        <w:rPr>
          <w:rFonts w:ascii="Lato" w:hAnsi="Lato"/>
          <w:spacing w:val="-2"/>
          <w:sz w:val="24"/>
          <w:szCs w:val="24"/>
          <w:lang w:val="en-GB"/>
        </w:rPr>
        <w:t xml:space="preserve"> prepared by the </w:t>
      </w:r>
      <w:bookmarkStart w:id="0" w:name="_GoBack"/>
      <w:r w:rsidRPr="008573E6">
        <w:rPr>
          <w:rFonts w:ascii="Lato" w:hAnsi="Lato"/>
          <w:b/>
          <w:bCs/>
          <w:spacing w:val="-2"/>
          <w:sz w:val="24"/>
          <w:szCs w:val="24"/>
          <w:lang w:val="en-GB"/>
        </w:rPr>
        <w:t xml:space="preserve">International Lesbian, Gay, </w:t>
      </w:r>
      <w:r w:rsidR="00844F3C">
        <w:rPr>
          <w:rFonts w:ascii="Lato" w:hAnsi="Lato"/>
          <w:b/>
          <w:bCs/>
          <w:spacing w:val="-2"/>
          <w:sz w:val="24"/>
          <w:szCs w:val="24"/>
          <w:lang w:val="en-GB"/>
        </w:rPr>
        <w:t xml:space="preserve">Bisexual, </w:t>
      </w:r>
      <w:r w:rsidRPr="008573E6">
        <w:rPr>
          <w:rFonts w:ascii="Lato" w:hAnsi="Lato"/>
          <w:b/>
          <w:bCs/>
          <w:spacing w:val="-2"/>
          <w:sz w:val="24"/>
          <w:szCs w:val="24"/>
          <w:lang w:val="en-GB"/>
        </w:rPr>
        <w:t xml:space="preserve">Trans and Intersex </w:t>
      </w:r>
      <w:r w:rsidRPr="008573E6">
        <w:rPr>
          <w:rFonts w:ascii="Lato" w:hAnsi="Lato"/>
          <w:b/>
          <w:bCs/>
          <w:spacing w:val="-2"/>
          <w:sz w:val="24"/>
          <w:szCs w:val="24"/>
          <w:highlight w:val="white"/>
          <w:lang w:val="en-GB"/>
        </w:rPr>
        <w:t>Association (ILGA</w:t>
      </w:r>
      <w:r w:rsidR="006A26AD" w:rsidRPr="008573E6">
        <w:rPr>
          <w:rFonts w:ascii="Lato" w:hAnsi="Lato"/>
          <w:b/>
          <w:bCs/>
          <w:spacing w:val="-2"/>
          <w:sz w:val="24"/>
          <w:szCs w:val="24"/>
          <w:highlight w:val="white"/>
          <w:lang w:val="en-GB"/>
        </w:rPr>
        <w:t xml:space="preserve"> World</w:t>
      </w:r>
      <w:r w:rsidRPr="008573E6">
        <w:rPr>
          <w:rFonts w:ascii="Lato" w:hAnsi="Lato"/>
          <w:b/>
          <w:bCs/>
          <w:spacing w:val="-2"/>
          <w:sz w:val="24"/>
          <w:szCs w:val="24"/>
          <w:highlight w:val="white"/>
          <w:lang w:val="en-GB"/>
        </w:rPr>
        <w:t>)</w:t>
      </w:r>
      <w:bookmarkEnd w:id="0"/>
      <w:r w:rsidRPr="00672944">
        <w:rPr>
          <w:rFonts w:ascii="Lato" w:hAnsi="Lato"/>
          <w:spacing w:val="-2"/>
          <w:sz w:val="24"/>
          <w:szCs w:val="24"/>
          <w:highlight w:val="white"/>
          <w:lang w:val="en-GB"/>
        </w:rPr>
        <w:t>.</w:t>
      </w:r>
      <w:r w:rsidR="00817BAF">
        <w:rPr>
          <w:rFonts w:ascii="Lato" w:hAnsi="Lato"/>
          <w:spacing w:val="-2"/>
          <w:sz w:val="24"/>
          <w:szCs w:val="24"/>
          <w:highlight w:val="white"/>
          <w:lang w:val="en-GB"/>
        </w:rPr>
        <w:t xml:space="preserve"> Valuable comments and suggestions to the submission phave been rovided by </w:t>
      </w:r>
      <w:r w:rsidR="00817BAF" w:rsidRPr="00817BAF">
        <w:rPr>
          <w:rFonts w:ascii="Lato" w:hAnsi="Lato"/>
          <w:spacing w:val="-2"/>
          <w:sz w:val="24"/>
          <w:szCs w:val="24"/>
          <w:lang w:val="en-GB"/>
        </w:rPr>
        <w:t>Gurchaten Sandhu: ILO – Programme Support Officer.</w:t>
      </w:r>
    </w:p>
    <w:p w14:paraId="38B603AD" w14:textId="5FF8C554" w:rsidR="00F357FE" w:rsidRDefault="00964680">
      <w:pPr>
        <w:spacing w:before="120"/>
        <w:jc w:val="both"/>
        <w:rPr>
          <w:rFonts w:ascii="Lato" w:hAnsi="Lato"/>
          <w:sz w:val="24"/>
          <w:szCs w:val="24"/>
          <w:lang w:val="en-GB"/>
        </w:rPr>
      </w:pPr>
      <w:r w:rsidRPr="00672944">
        <w:rPr>
          <w:rFonts w:ascii="Lato" w:hAnsi="Lato"/>
          <w:sz w:val="24"/>
          <w:szCs w:val="24"/>
          <w:lang w:val="en-GB"/>
        </w:rPr>
        <w:t xml:space="preserve">The purpose of this document is </w:t>
      </w:r>
      <w:r w:rsidR="00F7060C">
        <w:rPr>
          <w:rFonts w:ascii="Lato" w:hAnsi="Lato"/>
          <w:sz w:val="24"/>
          <w:szCs w:val="24"/>
          <w:lang w:val="en-GB"/>
        </w:rPr>
        <w:t xml:space="preserve">to </w:t>
      </w:r>
      <w:r w:rsidRPr="00672944">
        <w:rPr>
          <w:rFonts w:ascii="Lato" w:hAnsi="Lato"/>
          <w:sz w:val="24"/>
          <w:szCs w:val="24"/>
          <w:lang w:val="en-GB"/>
        </w:rPr>
        <w:t xml:space="preserve">suggest specific proposals for the CRPD draft General Comment on article </w:t>
      </w:r>
      <w:r w:rsidR="00E211E0" w:rsidRPr="00672944">
        <w:rPr>
          <w:rFonts w:ascii="Lato" w:hAnsi="Lato"/>
          <w:sz w:val="24"/>
          <w:szCs w:val="24"/>
          <w:lang w:val="en-GB"/>
        </w:rPr>
        <w:t>27</w:t>
      </w:r>
      <w:r w:rsidRPr="00672944">
        <w:rPr>
          <w:rFonts w:ascii="Lato" w:hAnsi="Lato"/>
          <w:sz w:val="24"/>
          <w:szCs w:val="24"/>
          <w:lang w:val="en-GB"/>
        </w:rPr>
        <w:t xml:space="preserve"> to reflect experiences of lesbian, gay, bisexual, trans</w:t>
      </w:r>
      <w:r w:rsidR="006A26AD">
        <w:rPr>
          <w:rFonts w:ascii="Lato" w:hAnsi="Lato"/>
          <w:sz w:val="24"/>
          <w:szCs w:val="24"/>
          <w:lang w:val="en-GB"/>
        </w:rPr>
        <w:t xml:space="preserve"> </w:t>
      </w:r>
      <w:r w:rsidRPr="00672944">
        <w:rPr>
          <w:rFonts w:ascii="Lato" w:hAnsi="Lato"/>
          <w:sz w:val="24"/>
          <w:szCs w:val="24"/>
          <w:lang w:val="en-GB"/>
        </w:rPr>
        <w:t>and intersex (LGBTI) persons</w:t>
      </w:r>
      <w:r w:rsidR="00F7060C">
        <w:rPr>
          <w:rFonts w:ascii="Lato" w:hAnsi="Lato"/>
          <w:sz w:val="24"/>
          <w:szCs w:val="24"/>
          <w:lang w:val="en-GB"/>
        </w:rPr>
        <w:t xml:space="preserve"> </w:t>
      </w:r>
      <w:r w:rsidR="006A26AD">
        <w:rPr>
          <w:rFonts w:ascii="Lato" w:hAnsi="Lato"/>
          <w:sz w:val="24"/>
          <w:szCs w:val="24"/>
          <w:lang w:val="en-GB"/>
        </w:rPr>
        <w:t>in</w:t>
      </w:r>
      <w:r w:rsidR="00844F3C">
        <w:rPr>
          <w:rFonts w:ascii="Lato" w:hAnsi="Lato"/>
          <w:sz w:val="24"/>
          <w:szCs w:val="24"/>
          <w:lang w:val="en-GB"/>
        </w:rPr>
        <w:t xml:space="preserve"> work and</w:t>
      </w:r>
      <w:r w:rsidR="006A26AD">
        <w:rPr>
          <w:rFonts w:ascii="Lato" w:hAnsi="Lato"/>
          <w:sz w:val="24"/>
          <w:szCs w:val="24"/>
          <w:lang w:val="en-GB"/>
        </w:rPr>
        <w:t xml:space="preserve"> employment. These experiences are formed on the intersection of </w:t>
      </w:r>
      <w:r w:rsidR="00F7060C" w:rsidRPr="00672944">
        <w:rPr>
          <w:rFonts w:ascii="Lato" w:hAnsi="Lato"/>
          <w:sz w:val="24"/>
          <w:szCs w:val="24"/>
          <w:lang w:val="en-GB"/>
        </w:rPr>
        <w:t xml:space="preserve">both </w:t>
      </w:r>
      <w:r w:rsidR="006A26AD">
        <w:rPr>
          <w:rFonts w:ascii="Lato" w:hAnsi="Lato"/>
          <w:sz w:val="24"/>
          <w:szCs w:val="24"/>
          <w:lang w:val="en-GB"/>
        </w:rPr>
        <w:t xml:space="preserve">ableism and prejudices against LGBTI persons; LGBTI persons with disabilities thus face intersectional discrimination in work and employment on the basis of their </w:t>
      </w:r>
      <w:r w:rsidR="00F7060C" w:rsidRPr="00672944">
        <w:rPr>
          <w:rFonts w:ascii="Lato" w:hAnsi="Lato"/>
          <w:sz w:val="24"/>
          <w:szCs w:val="24"/>
          <w:lang w:val="en-GB"/>
        </w:rPr>
        <w:t>disabilities and sexual orientation, gender identity</w:t>
      </w:r>
      <w:r w:rsidR="006A26AD">
        <w:rPr>
          <w:rFonts w:ascii="Lato" w:hAnsi="Lato"/>
          <w:sz w:val="24"/>
          <w:szCs w:val="24"/>
          <w:lang w:val="en-GB"/>
        </w:rPr>
        <w:t>, gender</w:t>
      </w:r>
      <w:r w:rsidR="00F7060C" w:rsidRPr="00672944">
        <w:rPr>
          <w:rFonts w:ascii="Lato" w:hAnsi="Lato"/>
          <w:sz w:val="24"/>
          <w:szCs w:val="24"/>
          <w:lang w:val="en-GB"/>
        </w:rPr>
        <w:t xml:space="preserve"> expression and/or sex characteristics (SOGIESC)</w:t>
      </w:r>
      <w:r w:rsidR="00F7060C">
        <w:rPr>
          <w:rFonts w:ascii="Lato" w:hAnsi="Lato"/>
          <w:sz w:val="24"/>
          <w:szCs w:val="24"/>
          <w:lang w:val="en-GB"/>
        </w:rPr>
        <w:t>.</w:t>
      </w:r>
    </w:p>
    <w:p w14:paraId="49EE3B43" w14:textId="4CD3F0BC" w:rsidR="00A51B13" w:rsidRDefault="00A51B13">
      <w:pPr>
        <w:spacing w:before="120"/>
        <w:jc w:val="both"/>
        <w:rPr>
          <w:rFonts w:ascii="Lato" w:hAnsi="Lato"/>
          <w:sz w:val="24"/>
          <w:szCs w:val="24"/>
          <w:lang w:val="en-GB"/>
        </w:rPr>
      </w:pPr>
    </w:p>
    <w:p w14:paraId="79C73B87" w14:textId="5CFFC3F2" w:rsidR="005A7C48" w:rsidRPr="005A7C48" w:rsidRDefault="005A7C48" w:rsidP="005A7C48">
      <w:pPr>
        <w:spacing w:before="120"/>
        <w:jc w:val="center"/>
        <w:rPr>
          <w:rFonts w:ascii="Lato" w:hAnsi="Lato"/>
          <w:b/>
          <w:bCs/>
          <w:sz w:val="24"/>
          <w:szCs w:val="24"/>
          <w:lang w:val="en-GB"/>
        </w:rPr>
      </w:pPr>
      <w:r w:rsidRPr="005A7C48">
        <w:rPr>
          <w:rFonts w:ascii="Lato" w:hAnsi="Lato"/>
          <w:b/>
          <w:bCs/>
          <w:sz w:val="24"/>
          <w:szCs w:val="24"/>
          <w:lang w:val="en-GB"/>
        </w:rPr>
        <w:t>Table of Contents</w:t>
      </w:r>
    </w:p>
    <w:p w14:paraId="2748DF39" w14:textId="78AE7CA8" w:rsidR="00F4279E" w:rsidRPr="00F4279E" w:rsidRDefault="005A7C48">
      <w:pPr>
        <w:pStyle w:val="TOC1"/>
        <w:tabs>
          <w:tab w:val="right" w:leader="dot" w:pos="9019"/>
        </w:tabs>
        <w:rPr>
          <w:rFonts w:ascii="Lato" w:eastAsiaTheme="minorEastAsia" w:hAnsi="Lato" w:cstheme="minorBidi"/>
          <w:b w:val="0"/>
          <w:bCs w:val="0"/>
          <w:i w:val="0"/>
          <w:iCs w:val="0"/>
          <w:noProof/>
          <w:color w:val="auto"/>
          <w:lang w:eastAsia="en-GB"/>
        </w:rPr>
      </w:pPr>
      <w:r w:rsidRPr="00F4279E">
        <w:rPr>
          <w:rFonts w:ascii="Lato" w:hAnsi="Lato"/>
          <w:b w:val="0"/>
          <w:bCs w:val="0"/>
          <w:i w:val="0"/>
          <w:iCs w:val="0"/>
          <w:lang w:val="en-GB"/>
        </w:rPr>
        <w:fldChar w:fldCharType="begin"/>
      </w:r>
      <w:r w:rsidRPr="00F4279E">
        <w:rPr>
          <w:rFonts w:ascii="Lato" w:hAnsi="Lato"/>
          <w:b w:val="0"/>
          <w:bCs w:val="0"/>
          <w:i w:val="0"/>
          <w:iCs w:val="0"/>
          <w:lang w:val="en-GB"/>
        </w:rPr>
        <w:instrText xml:space="preserve"> TOC \o "1-4" \h \z \u </w:instrText>
      </w:r>
      <w:r w:rsidRPr="00F4279E">
        <w:rPr>
          <w:rFonts w:ascii="Lato" w:hAnsi="Lato"/>
          <w:b w:val="0"/>
          <w:bCs w:val="0"/>
          <w:i w:val="0"/>
          <w:iCs w:val="0"/>
          <w:lang w:val="en-GB"/>
        </w:rPr>
        <w:fldChar w:fldCharType="separate"/>
      </w:r>
      <w:hyperlink w:anchor="_Toc66739577" w:history="1">
        <w:r w:rsidR="00F4279E" w:rsidRPr="00F4279E">
          <w:rPr>
            <w:rStyle w:val="Hyperlink"/>
            <w:rFonts w:ascii="Lato" w:hAnsi="Lato"/>
            <w:b w:val="0"/>
            <w:bCs w:val="0"/>
            <w:i w:val="0"/>
            <w:iCs w:val="0"/>
            <w:noProof/>
            <w:lang w:val="en-GB"/>
          </w:rPr>
          <w:t>1. Introduction</w:t>
        </w:r>
        <w:r w:rsidR="00F4279E" w:rsidRPr="00F4279E">
          <w:rPr>
            <w:rFonts w:ascii="Lato" w:hAnsi="Lato"/>
            <w:b w:val="0"/>
            <w:bCs w:val="0"/>
            <w:i w:val="0"/>
            <w:iCs w:val="0"/>
            <w:noProof/>
            <w:webHidden/>
          </w:rPr>
          <w:tab/>
        </w:r>
        <w:r w:rsidR="00F4279E" w:rsidRPr="00F4279E">
          <w:rPr>
            <w:rFonts w:ascii="Lato" w:hAnsi="Lato"/>
            <w:b w:val="0"/>
            <w:bCs w:val="0"/>
            <w:i w:val="0"/>
            <w:iCs w:val="0"/>
            <w:noProof/>
            <w:webHidden/>
          </w:rPr>
          <w:fldChar w:fldCharType="begin"/>
        </w:r>
        <w:r w:rsidR="00F4279E" w:rsidRPr="00F4279E">
          <w:rPr>
            <w:rFonts w:ascii="Lato" w:hAnsi="Lato"/>
            <w:b w:val="0"/>
            <w:bCs w:val="0"/>
            <w:i w:val="0"/>
            <w:iCs w:val="0"/>
            <w:noProof/>
            <w:webHidden/>
          </w:rPr>
          <w:instrText xml:space="preserve"> PAGEREF _Toc66739577 \h </w:instrText>
        </w:r>
        <w:r w:rsidR="00F4279E" w:rsidRPr="00F4279E">
          <w:rPr>
            <w:rFonts w:ascii="Lato" w:hAnsi="Lato"/>
            <w:b w:val="0"/>
            <w:bCs w:val="0"/>
            <w:i w:val="0"/>
            <w:iCs w:val="0"/>
            <w:noProof/>
            <w:webHidden/>
          </w:rPr>
        </w:r>
        <w:r w:rsidR="00F4279E" w:rsidRPr="00F4279E">
          <w:rPr>
            <w:rFonts w:ascii="Lato" w:hAnsi="Lato"/>
            <w:b w:val="0"/>
            <w:bCs w:val="0"/>
            <w:i w:val="0"/>
            <w:iCs w:val="0"/>
            <w:noProof/>
            <w:webHidden/>
          </w:rPr>
          <w:fldChar w:fldCharType="separate"/>
        </w:r>
        <w:r w:rsidR="00F4279E" w:rsidRPr="00F4279E">
          <w:rPr>
            <w:rFonts w:ascii="Lato" w:hAnsi="Lato"/>
            <w:b w:val="0"/>
            <w:bCs w:val="0"/>
            <w:i w:val="0"/>
            <w:iCs w:val="0"/>
            <w:noProof/>
            <w:webHidden/>
          </w:rPr>
          <w:t>3</w:t>
        </w:r>
        <w:r w:rsidR="00F4279E" w:rsidRPr="00F4279E">
          <w:rPr>
            <w:rFonts w:ascii="Lato" w:hAnsi="Lato"/>
            <w:b w:val="0"/>
            <w:bCs w:val="0"/>
            <w:i w:val="0"/>
            <w:iCs w:val="0"/>
            <w:noProof/>
            <w:webHidden/>
          </w:rPr>
          <w:fldChar w:fldCharType="end"/>
        </w:r>
      </w:hyperlink>
    </w:p>
    <w:p w14:paraId="31A84CDF" w14:textId="72EFA15A" w:rsidR="00F4279E" w:rsidRPr="00F4279E" w:rsidRDefault="00DA74BE">
      <w:pPr>
        <w:pStyle w:val="TOC1"/>
        <w:tabs>
          <w:tab w:val="right" w:leader="dot" w:pos="9019"/>
        </w:tabs>
        <w:rPr>
          <w:rFonts w:ascii="Lato" w:eastAsiaTheme="minorEastAsia" w:hAnsi="Lato" w:cstheme="minorBidi"/>
          <w:b w:val="0"/>
          <w:bCs w:val="0"/>
          <w:i w:val="0"/>
          <w:iCs w:val="0"/>
          <w:noProof/>
          <w:color w:val="auto"/>
          <w:lang w:eastAsia="en-GB"/>
        </w:rPr>
      </w:pPr>
      <w:hyperlink w:anchor="_Toc66739578" w:history="1">
        <w:r w:rsidR="00F4279E" w:rsidRPr="00F4279E">
          <w:rPr>
            <w:rStyle w:val="Hyperlink"/>
            <w:rFonts w:ascii="Lato" w:hAnsi="Lato"/>
            <w:b w:val="0"/>
            <w:bCs w:val="0"/>
            <w:i w:val="0"/>
            <w:iCs w:val="0"/>
            <w:noProof/>
            <w:lang w:val="en-GB"/>
          </w:rPr>
          <w:t>2. Normative Content</w:t>
        </w:r>
        <w:r w:rsidR="00F4279E" w:rsidRPr="00F4279E">
          <w:rPr>
            <w:rFonts w:ascii="Lato" w:hAnsi="Lato"/>
            <w:b w:val="0"/>
            <w:bCs w:val="0"/>
            <w:i w:val="0"/>
            <w:iCs w:val="0"/>
            <w:noProof/>
            <w:webHidden/>
          </w:rPr>
          <w:tab/>
        </w:r>
        <w:r w:rsidR="00F4279E" w:rsidRPr="00F4279E">
          <w:rPr>
            <w:rFonts w:ascii="Lato" w:hAnsi="Lato"/>
            <w:b w:val="0"/>
            <w:bCs w:val="0"/>
            <w:i w:val="0"/>
            <w:iCs w:val="0"/>
            <w:noProof/>
            <w:webHidden/>
          </w:rPr>
          <w:fldChar w:fldCharType="begin"/>
        </w:r>
        <w:r w:rsidR="00F4279E" w:rsidRPr="00F4279E">
          <w:rPr>
            <w:rFonts w:ascii="Lato" w:hAnsi="Lato"/>
            <w:b w:val="0"/>
            <w:bCs w:val="0"/>
            <w:i w:val="0"/>
            <w:iCs w:val="0"/>
            <w:noProof/>
            <w:webHidden/>
          </w:rPr>
          <w:instrText xml:space="preserve"> PAGEREF _Toc66739578 \h </w:instrText>
        </w:r>
        <w:r w:rsidR="00F4279E" w:rsidRPr="00F4279E">
          <w:rPr>
            <w:rFonts w:ascii="Lato" w:hAnsi="Lato"/>
            <w:b w:val="0"/>
            <w:bCs w:val="0"/>
            <w:i w:val="0"/>
            <w:iCs w:val="0"/>
            <w:noProof/>
            <w:webHidden/>
          </w:rPr>
        </w:r>
        <w:r w:rsidR="00F4279E" w:rsidRPr="00F4279E">
          <w:rPr>
            <w:rFonts w:ascii="Lato" w:hAnsi="Lato"/>
            <w:b w:val="0"/>
            <w:bCs w:val="0"/>
            <w:i w:val="0"/>
            <w:iCs w:val="0"/>
            <w:noProof/>
            <w:webHidden/>
          </w:rPr>
          <w:fldChar w:fldCharType="separate"/>
        </w:r>
        <w:r w:rsidR="00F4279E" w:rsidRPr="00F4279E">
          <w:rPr>
            <w:rFonts w:ascii="Lato" w:hAnsi="Lato"/>
            <w:b w:val="0"/>
            <w:bCs w:val="0"/>
            <w:i w:val="0"/>
            <w:iCs w:val="0"/>
            <w:noProof/>
            <w:webHidden/>
          </w:rPr>
          <w:t>4</w:t>
        </w:r>
        <w:r w:rsidR="00F4279E" w:rsidRPr="00F4279E">
          <w:rPr>
            <w:rFonts w:ascii="Lato" w:hAnsi="Lato"/>
            <w:b w:val="0"/>
            <w:bCs w:val="0"/>
            <w:i w:val="0"/>
            <w:iCs w:val="0"/>
            <w:noProof/>
            <w:webHidden/>
          </w:rPr>
          <w:fldChar w:fldCharType="end"/>
        </w:r>
      </w:hyperlink>
    </w:p>
    <w:p w14:paraId="4B08F4B8" w14:textId="4A613068" w:rsidR="00F4279E" w:rsidRPr="00F4279E" w:rsidRDefault="00DA74BE" w:rsidP="00F4279E">
      <w:pPr>
        <w:pStyle w:val="TOC2"/>
        <w:tabs>
          <w:tab w:val="right" w:leader="dot" w:pos="9019"/>
        </w:tabs>
        <w:rPr>
          <w:rFonts w:ascii="Lato" w:eastAsiaTheme="minorEastAsia" w:hAnsi="Lato" w:cstheme="minorBidi"/>
          <w:b w:val="0"/>
          <w:bCs w:val="0"/>
          <w:noProof/>
          <w:color w:val="auto"/>
          <w:sz w:val="24"/>
          <w:szCs w:val="24"/>
          <w:lang w:eastAsia="en-GB"/>
        </w:rPr>
      </w:pPr>
      <w:hyperlink w:anchor="_Toc66739579" w:history="1">
        <w:r w:rsidR="00F4279E" w:rsidRPr="00F4279E">
          <w:rPr>
            <w:rStyle w:val="Hyperlink"/>
            <w:rFonts w:ascii="Lato" w:hAnsi="Lato"/>
            <w:b w:val="0"/>
            <w:bCs w:val="0"/>
            <w:noProof/>
            <w:lang w:val="en-GB"/>
          </w:rPr>
          <w:t>Comments to para 2 (a) (II) of the Outline–</w:t>
        </w:r>
      </w:hyperlink>
      <w:hyperlink w:anchor="_Toc66739580" w:history="1">
        <w:r w:rsidR="00F4279E" w:rsidRPr="00F4279E">
          <w:rPr>
            <w:rStyle w:val="Hyperlink"/>
            <w:rFonts w:ascii="Lato" w:hAnsi="Lato"/>
            <w:b w:val="0"/>
            <w:bCs w:val="0"/>
            <w:noProof/>
            <w:lang w:val="en-GB"/>
          </w:rPr>
          <w:t>Article 27.1 (a): Discrimination in the workplace, including workplace segregation</w:t>
        </w:r>
        <w:r w:rsidR="00F4279E" w:rsidRPr="00F4279E">
          <w:rPr>
            <w:rFonts w:ascii="Lato" w:hAnsi="Lato"/>
            <w:b w:val="0"/>
            <w:bCs w:val="0"/>
            <w:noProof/>
            <w:webHidden/>
          </w:rPr>
          <w:tab/>
        </w:r>
        <w:r w:rsidR="00F4279E" w:rsidRPr="00F4279E">
          <w:rPr>
            <w:rFonts w:ascii="Lato" w:hAnsi="Lato"/>
            <w:b w:val="0"/>
            <w:bCs w:val="0"/>
            <w:noProof/>
            <w:webHidden/>
          </w:rPr>
          <w:fldChar w:fldCharType="begin"/>
        </w:r>
        <w:r w:rsidR="00F4279E" w:rsidRPr="00F4279E">
          <w:rPr>
            <w:rFonts w:ascii="Lato" w:hAnsi="Lato"/>
            <w:b w:val="0"/>
            <w:bCs w:val="0"/>
            <w:noProof/>
            <w:webHidden/>
          </w:rPr>
          <w:instrText xml:space="preserve"> PAGEREF _Toc66739580 \h </w:instrText>
        </w:r>
        <w:r w:rsidR="00F4279E" w:rsidRPr="00F4279E">
          <w:rPr>
            <w:rFonts w:ascii="Lato" w:hAnsi="Lato"/>
            <w:b w:val="0"/>
            <w:bCs w:val="0"/>
            <w:noProof/>
            <w:webHidden/>
          </w:rPr>
        </w:r>
        <w:r w:rsidR="00F4279E" w:rsidRPr="00F4279E">
          <w:rPr>
            <w:rFonts w:ascii="Lato" w:hAnsi="Lato"/>
            <w:b w:val="0"/>
            <w:bCs w:val="0"/>
            <w:noProof/>
            <w:webHidden/>
          </w:rPr>
          <w:fldChar w:fldCharType="separate"/>
        </w:r>
        <w:r w:rsidR="00F4279E" w:rsidRPr="00F4279E">
          <w:rPr>
            <w:rFonts w:ascii="Lato" w:hAnsi="Lato"/>
            <w:b w:val="0"/>
            <w:bCs w:val="0"/>
            <w:noProof/>
            <w:webHidden/>
          </w:rPr>
          <w:t>4</w:t>
        </w:r>
        <w:r w:rsidR="00F4279E" w:rsidRPr="00F4279E">
          <w:rPr>
            <w:rFonts w:ascii="Lato" w:hAnsi="Lato"/>
            <w:b w:val="0"/>
            <w:bCs w:val="0"/>
            <w:noProof/>
            <w:webHidden/>
          </w:rPr>
          <w:fldChar w:fldCharType="end"/>
        </w:r>
      </w:hyperlink>
    </w:p>
    <w:p w14:paraId="0C4EACA3" w14:textId="61FD024B" w:rsidR="00F4279E" w:rsidRPr="00F4279E" w:rsidRDefault="00DA74BE" w:rsidP="00F4279E">
      <w:pPr>
        <w:pStyle w:val="TOC2"/>
        <w:tabs>
          <w:tab w:val="right" w:leader="dot" w:pos="9019"/>
        </w:tabs>
        <w:rPr>
          <w:rFonts w:ascii="Lato" w:eastAsiaTheme="minorEastAsia" w:hAnsi="Lato" w:cstheme="minorBidi"/>
          <w:b w:val="0"/>
          <w:bCs w:val="0"/>
          <w:noProof/>
          <w:color w:val="auto"/>
          <w:sz w:val="24"/>
          <w:szCs w:val="24"/>
          <w:lang w:eastAsia="en-GB"/>
        </w:rPr>
      </w:pPr>
      <w:hyperlink w:anchor="_Toc66739581" w:history="1">
        <w:r w:rsidR="00F4279E" w:rsidRPr="00F4279E">
          <w:rPr>
            <w:rStyle w:val="Hyperlink"/>
            <w:rFonts w:ascii="Lato" w:hAnsi="Lato"/>
            <w:b w:val="0"/>
            <w:bCs w:val="0"/>
            <w:noProof/>
            <w:lang w:val="en-GB"/>
          </w:rPr>
          <w:t>Comments to para 2 (a) (III) of the Outline–</w:t>
        </w:r>
      </w:hyperlink>
      <w:hyperlink w:anchor="_Toc66739582" w:history="1">
        <w:r w:rsidR="00F4279E" w:rsidRPr="00F4279E">
          <w:rPr>
            <w:rStyle w:val="Hyperlink"/>
            <w:rFonts w:ascii="Lato" w:hAnsi="Lato"/>
            <w:b w:val="0"/>
            <w:bCs w:val="0"/>
            <w:noProof/>
            <w:lang w:val="en-GB"/>
          </w:rPr>
          <w:t>Article 27 (b): The right to equal remuneration for work of equal value</w:t>
        </w:r>
        <w:r w:rsidR="00F4279E" w:rsidRPr="00F4279E">
          <w:rPr>
            <w:rFonts w:ascii="Lato" w:hAnsi="Lato"/>
            <w:b w:val="0"/>
            <w:bCs w:val="0"/>
            <w:noProof/>
            <w:webHidden/>
          </w:rPr>
          <w:tab/>
        </w:r>
        <w:r w:rsidR="00F4279E" w:rsidRPr="00F4279E">
          <w:rPr>
            <w:rFonts w:ascii="Lato" w:hAnsi="Lato"/>
            <w:b w:val="0"/>
            <w:bCs w:val="0"/>
            <w:noProof/>
            <w:webHidden/>
          </w:rPr>
          <w:fldChar w:fldCharType="begin"/>
        </w:r>
        <w:r w:rsidR="00F4279E" w:rsidRPr="00F4279E">
          <w:rPr>
            <w:rFonts w:ascii="Lato" w:hAnsi="Lato"/>
            <w:b w:val="0"/>
            <w:bCs w:val="0"/>
            <w:noProof/>
            <w:webHidden/>
          </w:rPr>
          <w:instrText xml:space="preserve"> PAGEREF _Toc66739582 \h </w:instrText>
        </w:r>
        <w:r w:rsidR="00F4279E" w:rsidRPr="00F4279E">
          <w:rPr>
            <w:rFonts w:ascii="Lato" w:hAnsi="Lato"/>
            <w:b w:val="0"/>
            <w:bCs w:val="0"/>
            <w:noProof/>
            <w:webHidden/>
          </w:rPr>
        </w:r>
        <w:r w:rsidR="00F4279E" w:rsidRPr="00F4279E">
          <w:rPr>
            <w:rFonts w:ascii="Lato" w:hAnsi="Lato"/>
            <w:b w:val="0"/>
            <w:bCs w:val="0"/>
            <w:noProof/>
            <w:webHidden/>
          </w:rPr>
          <w:fldChar w:fldCharType="separate"/>
        </w:r>
        <w:r w:rsidR="00F4279E" w:rsidRPr="00F4279E">
          <w:rPr>
            <w:rFonts w:ascii="Lato" w:hAnsi="Lato"/>
            <w:b w:val="0"/>
            <w:bCs w:val="0"/>
            <w:noProof/>
            <w:webHidden/>
          </w:rPr>
          <w:t>4</w:t>
        </w:r>
        <w:r w:rsidR="00F4279E" w:rsidRPr="00F4279E">
          <w:rPr>
            <w:rFonts w:ascii="Lato" w:hAnsi="Lato"/>
            <w:b w:val="0"/>
            <w:bCs w:val="0"/>
            <w:noProof/>
            <w:webHidden/>
          </w:rPr>
          <w:fldChar w:fldCharType="end"/>
        </w:r>
      </w:hyperlink>
    </w:p>
    <w:p w14:paraId="0C47ADEF" w14:textId="4F2F404B" w:rsidR="00F4279E" w:rsidRPr="00F4279E" w:rsidRDefault="00DA74BE" w:rsidP="00F4279E">
      <w:pPr>
        <w:pStyle w:val="TOC2"/>
        <w:tabs>
          <w:tab w:val="right" w:leader="dot" w:pos="9019"/>
        </w:tabs>
        <w:rPr>
          <w:rFonts w:ascii="Lato" w:eastAsiaTheme="minorEastAsia" w:hAnsi="Lato" w:cstheme="minorBidi"/>
          <w:b w:val="0"/>
          <w:bCs w:val="0"/>
          <w:noProof/>
          <w:color w:val="auto"/>
          <w:sz w:val="24"/>
          <w:szCs w:val="24"/>
          <w:lang w:eastAsia="en-GB"/>
        </w:rPr>
      </w:pPr>
      <w:hyperlink w:anchor="_Toc66739583" w:history="1">
        <w:r w:rsidR="00F4279E" w:rsidRPr="00F4279E">
          <w:rPr>
            <w:rStyle w:val="Hyperlink"/>
            <w:rFonts w:ascii="Lato" w:hAnsi="Lato"/>
            <w:b w:val="0"/>
            <w:bCs w:val="0"/>
            <w:noProof/>
            <w:lang w:val="en-GB"/>
          </w:rPr>
          <w:t>Comments to para 2 (a) (V) of the Outline–</w:t>
        </w:r>
      </w:hyperlink>
      <w:hyperlink w:anchor="_Toc66739584" w:history="1">
        <w:r w:rsidR="00F4279E" w:rsidRPr="00F4279E">
          <w:rPr>
            <w:rStyle w:val="Hyperlink"/>
            <w:rFonts w:ascii="Lato" w:hAnsi="Lato"/>
            <w:b w:val="0"/>
            <w:bCs w:val="0"/>
            <w:noProof/>
            <w:lang w:val="en-GB"/>
          </w:rPr>
          <w:t>Article 27 (b) part III: Measures to eliminate discriminatory attitudes and harassment</w:t>
        </w:r>
        <w:r w:rsidR="00F4279E" w:rsidRPr="00F4279E">
          <w:rPr>
            <w:rFonts w:ascii="Lato" w:hAnsi="Lato"/>
            <w:b w:val="0"/>
            <w:bCs w:val="0"/>
            <w:noProof/>
            <w:webHidden/>
          </w:rPr>
          <w:tab/>
        </w:r>
        <w:r w:rsidR="00F4279E" w:rsidRPr="00F4279E">
          <w:rPr>
            <w:rFonts w:ascii="Lato" w:hAnsi="Lato"/>
            <w:b w:val="0"/>
            <w:bCs w:val="0"/>
            <w:noProof/>
            <w:webHidden/>
          </w:rPr>
          <w:fldChar w:fldCharType="begin"/>
        </w:r>
        <w:r w:rsidR="00F4279E" w:rsidRPr="00F4279E">
          <w:rPr>
            <w:rFonts w:ascii="Lato" w:hAnsi="Lato"/>
            <w:b w:val="0"/>
            <w:bCs w:val="0"/>
            <w:noProof/>
            <w:webHidden/>
          </w:rPr>
          <w:instrText xml:space="preserve"> PAGEREF _Toc66739584 \h </w:instrText>
        </w:r>
        <w:r w:rsidR="00F4279E" w:rsidRPr="00F4279E">
          <w:rPr>
            <w:rFonts w:ascii="Lato" w:hAnsi="Lato"/>
            <w:b w:val="0"/>
            <w:bCs w:val="0"/>
            <w:noProof/>
            <w:webHidden/>
          </w:rPr>
        </w:r>
        <w:r w:rsidR="00F4279E" w:rsidRPr="00F4279E">
          <w:rPr>
            <w:rFonts w:ascii="Lato" w:hAnsi="Lato"/>
            <w:b w:val="0"/>
            <w:bCs w:val="0"/>
            <w:noProof/>
            <w:webHidden/>
          </w:rPr>
          <w:fldChar w:fldCharType="separate"/>
        </w:r>
        <w:r w:rsidR="00F4279E" w:rsidRPr="00F4279E">
          <w:rPr>
            <w:rFonts w:ascii="Lato" w:hAnsi="Lato"/>
            <w:b w:val="0"/>
            <w:bCs w:val="0"/>
            <w:noProof/>
            <w:webHidden/>
          </w:rPr>
          <w:t>5</w:t>
        </w:r>
        <w:r w:rsidR="00F4279E" w:rsidRPr="00F4279E">
          <w:rPr>
            <w:rFonts w:ascii="Lato" w:hAnsi="Lato"/>
            <w:b w:val="0"/>
            <w:bCs w:val="0"/>
            <w:noProof/>
            <w:webHidden/>
          </w:rPr>
          <w:fldChar w:fldCharType="end"/>
        </w:r>
      </w:hyperlink>
    </w:p>
    <w:p w14:paraId="52CE7371" w14:textId="59F2DE38" w:rsidR="00F4279E" w:rsidRPr="00F4279E" w:rsidRDefault="00DA74BE" w:rsidP="00F4279E">
      <w:pPr>
        <w:pStyle w:val="TOC2"/>
        <w:tabs>
          <w:tab w:val="right" w:leader="dot" w:pos="9019"/>
        </w:tabs>
        <w:rPr>
          <w:rFonts w:ascii="Lato" w:eastAsiaTheme="minorEastAsia" w:hAnsi="Lato" w:cstheme="minorBidi"/>
          <w:b w:val="0"/>
          <w:bCs w:val="0"/>
          <w:noProof/>
          <w:color w:val="auto"/>
          <w:sz w:val="24"/>
          <w:szCs w:val="24"/>
          <w:lang w:eastAsia="en-GB"/>
        </w:rPr>
      </w:pPr>
      <w:hyperlink w:anchor="_Toc66739585" w:history="1">
        <w:r w:rsidR="00F4279E" w:rsidRPr="00F4279E">
          <w:rPr>
            <w:rStyle w:val="Hyperlink"/>
            <w:rFonts w:ascii="Lato" w:hAnsi="Lato"/>
            <w:b w:val="0"/>
            <w:bCs w:val="0"/>
            <w:noProof/>
            <w:lang w:val="en-GB"/>
          </w:rPr>
          <w:t>Comments to para 2 (a) (VI) of the Outline–</w:t>
        </w:r>
      </w:hyperlink>
      <w:hyperlink w:anchor="_Toc66739586" w:history="1">
        <w:r w:rsidR="00F4279E" w:rsidRPr="00F4279E">
          <w:rPr>
            <w:rStyle w:val="Hyperlink"/>
            <w:rFonts w:ascii="Lato" w:hAnsi="Lato"/>
            <w:b w:val="0"/>
            <w:bCs w:val="0"/>
            <w:noProof/>
          </w:rPr>
          <w:t>Article 27 (c): Labour and trade union rights on an equal basis with others</w:t>
        </w:r>
        <w:r w:rsidR="00F4279E" w:rsidRPr="00F4279E">
          <w:rPr>
            <w:rFonts w:ascii="Lato" w:hAnsi="Lato"/>
            <w:b w:val="0"/>
            <w:bCs w:val="0"/>
            <w:noProof/>
            <w:webHidden/>
          </w:rPr>
          <w:tab/>
        </w:r>
        <w:r w:rsidR="00F4279E" w:rsidRPr="00F4279E">
          <w:rPr>
            <w:rFonts w:ascii="Lato" w:hAnsi="Lato"/>
            <w:b w:val="0"/>
            <w:bCs w:val="0"/>
            <w:noProof/>
            <w:webHidden/>
          </w:rPr>
          <w:fldChar w:fldCharType="begin"/>
        </w:r>
        <w:r w:rsidR="00F4279E" w:rsidRPr="00F4279E">
          <w:rPr>
            <w:rFonts w:ascii="Lato" w:hAnsi="Lato"/>
            <w:b w:val="0"/>
            <w:bCs w:val="0"/>
            <w:noProof/>
            <w:webHidden/>
          </w:rPr>
          <w:instrText xml:space="preserve"> PAGEREF _Toc66739586 \h </w:instrText>
        </w:r>
        <w:r w:rsidR="00F4279E" w:rsidRPr="00F4279E">
          <w:rPr>
            <w:rFonts w:ascii="Lato" w:hAnsi="Lato"/>
            <w:b w:val="0"/>
            <w:bCs w:val="0"/>
            <w:noProof/>
            <w:webHidden/>
          </w:rPr>
        </w:r>
        <w:r w:rsidR="00F4279E" w:rsidRPr="00F4279E">
          <w:rPr>
            <w:rFonts w:ascii="Lato" w:hAnsi="Lato"/>
            <w:b w:val="0"/>
            <w:bCs w:val="0"/>
            <w:noProof/>
            <w:webHidden/>
          </w:rPr>
          <w:fldChar w:fldCharType="separate"/>
        </w:r>
        <w:r w:rsidR="00F4279E" w:rsidRPr="00F4279E">
          <w:rPr>
            <w:rFonts w:ascii="Lato" w:hAnsi="Lato"/>
            <w:b w:val="0"/>
            <w:bCs w:val="0"/>
            <w:noProof/>
            <w:webHidden/>
          </w:rPr>
          <w:t>6</w:t>
        </w:r>
        <w:r w:rsidR="00F4279E" w:rsidRPr="00F4279E">
          <w:rPr>
            <w:rFonts w:ascii="Lato" w:hAnsi="Lato"/>
            <w:b w:val="0"/>
            <w:bCs w:val="0"/>
            <w:noProof/>
            <w:webHidden/>
          </w:rPr>
          <w:fldChar w:fldCharType="end"/>
        </w:r>
      </w:hyperlink>
    </w:p>
    <w:p w14:paraId="20B7E113" w14:textId="51826884" w:rsidR="00F4279E" w:rsidRPr="00F4279E" w:rsidRDefault="00DA74BE" w:rsidP="00F4279E">
      <w:pPr>
        <w:pStyle w:val="TOC2"/>
        <w:tabs>
          <w:tab w:val="right" w:leader="dot" w:pos="9019"/>
        </w:tabs>
        <w:rPr>
          <w:rFonts w:ascii="Lato" w:eastAsiaTheme="minorEastAsia" w:hAnsi="Lato" w:cstheme="minorBidi"/>
          <w:b w:val="0"/>
          <w:bCs w:val="0"/>
          <w:noProof/>
          <w:color w:val="auto"/>
          <w:sz w:val="24"/>
          <w:szCs w:val="24"/>
          <w:lang w:eastAsia="en-GB"/>
        </w:rPr>
      </w:pPr>
      <w:hyperlink w:anchor="_Toc66739587" w:history="1">
        <w:r w:rsidR="00F4279E" w:rsidRPr="00F4279E">
          <w:rPr>
            <w:rStyle w:val="Hyperlink"/>
            <w:rFonts w:ascii="Lato" w:hAnsi="Lato"/>
            <w:b w:val="0"/>
            <w:bCs w:val="0"/>
            <w:noProof/>
            <w:lang w:val="en-GB"/>
          </w:rPr>
          <w:t>Comments to para 2 (a) (VII) of the Outline–</w:t>
        </w:r>
      </w:hyperlink>
      <w:hyperlink w:anchor="_Toc66739588" w:history="1">
        <w:r w:rsidR="00F4279E" w:rsidRPr="00F4279E">
          <w:rPr>
            <w:rStyle w:val="Hyperlink"/>
            <w:rFonts w:ascii="Lato" w:hAnsi="Lato"/>
            <w:b w:val="0"/>
            <w:bCs w:val="0"/>
            <w:noProof/>
          </w:rPr>
          <w:t>Article 27 (d) and (j): Access to inclusive education and inclusive vocational training</w:t>
        </w:r>
        <w:r w:rsidR="00F4279E" w:rsidRPr="00F4279E">
          <w:rPr>
            <w:rFonts w:ascii="Lato" w:hAnsi="Lato"/>
            <w:b w:val="0"/>
            <w:bCs w:val="0"/>
            <w:noProof/>
            <w:webHidden/>
          </w:rPr>
          <w:tab/>
        </w:r>
        <w:r w:rsidR="00F4279E" w:rsidRPr="00F4279E">
          <w:rPr>
            <w:rFonts w:ascii="Lato" w:hAnsi="Lato"/>
            <w:b w:val="0"/>
            <w:bCs w:val="0"/>
            <w:noProof/>
            <w:webHidden/>
          </w:rPr>
          <w:fldChar w:fldCharType="begin"/>
        </w:r>
        <w:r w:rsidR="00F4279E" w:rsidRPr="00F4279E">
          <w:rPr>
            <w:rFonts w:ascii="Lato" w:hAnsi="Lato"/>
            <w:b w:val="0"/>
            <w:bCs w:val="0"/>
            <w:noProof/>
            <w:webHidden/>
          </w:rPr>
          <w:instrText xml:space="preserve"> PAGEREF _Toc66739588 \h </w:instrText>
        </w:r>
        <w:r w:rsidR="00F4279E" w:rsidRPr="00F4279E">
          <w:rPr>
            <w:rFonts w:ascii="Lato" w:hAnsi="Lato"/>
            <w:b w:val="0"/>
            <w:bCs w:val="0"/>
            <w:noProof/>
            <w:webHidden/>
          </w:rPr>
        </w:r>
        <w:r w:rsidR="00F4279E" w:rsidRPr="00F4279E">
          <w:rPr>
            <w:rFonts w:ascii="Lato" w:hAnsi="Lato"/>
            <w:b w:val="0"/>
            <w:bCs w:val="0"/>
            <w:noProof/>
            <w:webHidden/>
          </w:rPr>
          <w:fldChar w:fldCharType="separate"/>
        </w:r>
        <w:r w:rsidR="00F4279E" w:rsidRPr="00F4279E">
          <w:rPr>
            <w:rFonts w:ascii="Lato" w:hAnsi="Lato"/>
            <w:b w:val="0"/>
            <w:bCs w:val="0"/>
            <w:noProof/>
            <w:webHidden/>
          </w:rPr>
          <w:t>6</w:t>
        </w:r>
        <w:r w:rsidR="00F4279E" w:rsidRPr="00F4279E">
          <w:rPr>
            <w:rFonts w:ascii="Lato" w:hAnsi="Lato"/>
            <w:b w:val="0"/>
            <w:bCs w:val="0"/>
            <w:noProof/>
            <w:webHidden/>
          </w:rPr>
          <w:fldChar w:fldCharType="end"/>
        </w:r>
      </w:hyperlink>
    </w:p>
    <w:p w14:paraId="494259A3" w14:textId="6CA26EED" w:rsidR="00F4279E" w:rsidRPr="00F4279E" w:rsidRDefault="00DA74BE">
      <w:pPr>
        <w:pStyle w:val="TOC1"/>
        <w:tabs>
          <w:tab w:val="right" w:leader="dot" w:pos="9019"/>
        </w:tabs>
        <w:rPr>
          <w:rFonts w:ascii="Lato" w:eastAsiaTheme="minorEastAsia" w:hAnsi="Lato" w:cstheme="minorBidi"/>
          <w:b w:val="0"/>
          <w:bCs w:val="0"/>
          <w:i w:val="0"/>
          <w:iCs w:val="0"/>
          <w:noProof/>
          <w:color w:val="auto"/>
          <w:lang w:eastAsia="en-GB"/>
        </w:rPr>
      </w:pPr>
      <w:hyperlink w:anchor="_Toc66739589" w:history="1">
        <w:r w:rsidR="00F4279E" w:rsidRPr="00F4279E">
          <w:rPr>
            <w:rStyle w:val="Hyperlink"/>
            <w:rFonts w:ascii="Lato" w:hAnsi="Lato"/>
            <w:b w:val="0"/>
            <w:bCs w:val="0"/>
            <w:i w:val="0"/>
            <w:iCs w:val="0"/>
            <w:noProof/>
            <w:lang w:val="en-GB"/>
          </w:rPr>
          <w:t>3. State parties’ obligations</w:t>
        </w:r>
        <w:r w:rsidR="00F4279E" w:rsidRPr="00F4279E">
          <w:rPr>
            <w:rFonts w:ascii="Lato" w:hAnsi="Lato"/>
            <w:b w:val="0"/>
            <w:bCs w:val="0"/>
            <w:i w:val="0"/>
            <w:iCs w:val="0"/>
            <w:noProof/>
            <w:webHidden/>
          </w:rPr>
          <w:tab/>
        </w:r>
        <w:r w:rsidR="00F4279E" w:rsidRPr="00F4279E">
          <w:rPr>
            <w:rFonts w:ascii="Lato" w:hAnsi="Lato"/>
            <w:b w:val="0"/>
            <w:bCs w:val="0"/>
            <w:i w:val="0"/>
            <w:iCs w:val="0"/>
            <w:noProof/>
            <w:webHidden/>
          </w:rPr>
          <w:fldChar w:fldCharType="begin"/>
        </w:r>
        <w:r w:rsidR="00F4279E" w:rsidRPr="00F4279E">
          <w:rPr>
            <w:rFonts w:ascii="Lato" w:hAnsi="Lato"/>
            <w:b w:val="0"/>
            <w:bCs w:val="0"/>
            <w:i w:val="0"/>
            <w:iCs w:val="0"/>
            <w:noProof/>
            <w:webHidden/>
          </w:rPr>
          <w:instrText xml:space="preserve"> PAGEREF _Toc66739589 \h </w:instrText>
        </w:r>
        <w:r w:rsidR="00F4279E" w:rsidRPr="00F4279E">
          <w:rPr>
            <w:rFonts w:ascii="Lato" w:hAnsi="Lato"/>
            <w:b w:val="0"/>
            <w:bCs w:val="0"/>
            <w:i w:val="0"/>
            <w:iCs w:val="0"/>
            <w:noProof/>
            <w:webHidden/>
          </w:rPr>
        </w:r>
        <w:r w:rsidR="00F4279E" w:rsidRPr="00F4279E">
          <w:rPr>
            <w:rFonts w:ascii="Lato" w:hAnsi="Lato"/>
            <w:b w:val="0"/>
            <w:bCs w:val="0"/>
            <w:i w:val="0"/>
            <w:iCs w:val="0"/>
            <w:noProof/>
            <w:webHidden/>
          </w:rPr>
          <w:fldChar w:fldCharType="separate"/>
        </w:r>
        <w:r w:rsidR="00F4279E" w:rsidRPr="00F4279E">
          <w:rPr>
            <w:rFonts w:ascii="Lato" w:hAnsi="Lato"/>
            <w:b w:val="0"/>
            <w:bCs w:val="0"/>
            <w:i w:val="0"/>
            <w:iCs w:val="0"/>
            <w:noProof/>
            <w:webHidden/>
          </w:rPr>
          <w:t>7</w:t>
        </w:r>
        <w:r w:rsidR="00F4279E" w:rsidRPr="00F4279E">
          <w:rPr>
            <w:rFonts w:ascii="Lato" w:hAnsi="Lato"/>
            <w:b w:val="0"/>
            <w:bCs w:val="0"/>
            <w:i w:val="0"/>
            <w:iCs w:val="0"/>
            <w:noProof/>
            <w:webHidden/>
          </w:rPr>
          <w:fldChar w:fldCharType="end"/>
        </w:r>
      </w:hyperlink>
    </w:p>
    <w:p w14:paraId="691B894E" w14:textId="6A6C6642" w:rsidR="00F4279E" w:rsidRPr="00F4279E" w:rsidRDefault="00DA74BE" w:rsidP="00F4279E">
      <w:pPr>
        <w:pStyle w:val="TOC2"/>
        <w:tabs>
          <w:tab w:val="right" w:leader="dot" w:pos="9019"/>
        </w:tabs>
        <w:rPr>
          <w:rFonts w:ascii="Lato" w:eastAsiaTheme="minorEastAsia" w:hAnsi="Lato" w:cstheme="minorBidi"/>
          <w:b w:val="0"/>
          <w:bCs w:val="0"/>
          <w:noProof/>
          <w:color w:val="auto"/>
          <w:sz w:val="24"/>
          <w:szCs w:val="24"/>
          <w:lang w:eastAsia="en-GB"/>
        </w:rPr>
      </w:pPr>
      <w:hyperlink w:anchor="_Toc66739590" w:history="1">
        <w:r w:rsidR="00F4279E" w:rsidRPr="00F4279E">
          <w:rPr>
            <w:rStyle w:val="Hyperlink"/>
            <w:rFonts w:ascii="Lato" w:hAnsi="Lato"/>
            <w:b w:val="0"/>
            <w:bCs w:val="0"/>
            <w:noProof/>
            <w:lang w:val="en-GB"/>
          </w:rPr>
          <w:t>Comments to para 3 (b) (I) of the Outline–</w:t>
        </w:r>
      </w:hyperlink>
      <w:hyperlink w:anchor="_Toc66739591" w:history="1">
        <w:r w:rsidR="00F4279E" w:rsidRPr="00F4279E">
          <w:rPr>
            <w:rStyle w:val="Hyperlink"/>
            <w:rFonts w:ascii="Lato" w:hAnsi="Lato"/>
            <w:b w:val="0"/>
            <w:bCs w:val="0"/>
            <w:noProof/>
            <w:lang w:val="en-GB"/>
          </w:rPr>
          <w:t>Non-discrimination, particularly on the basis of disability or multiple grounds</w:t>
        </w:r>
        <w:r w:rsidR="00F4279E" w:rsidRPr="00F4279E">
          <w:rPr>
            <w:rFonts w:ascii="Lato" w:hAnsi="Lato"/>
            <w:b w:val="0"/>
            <w:bCs w:val="0"/>
            <w:noProof/>
            <w:webHidden/>
          </w:rPr>
          <w:tab/>
        </w:r>
        <w:r w:rsidR="00F4279E" w:rsidRPr="00F4279E">
          <w:rPr>
            <w:rFonts w:ascii="Lato" w:hAnsi="Lato"/>
            <w:b w:val="0"/>
            <w:bCs w:val="0"/>
            <w:noProof/>
            <w:webHidden/>
          </w:rPr>
          <w:fldChar w:fldCharType="begin"/>
        </w:r>
        <w:r w:rsidR="00F4279E" w:rsidRPr="00F4279E">
          <w:rPr>
            <w:rFonts w:ascii="Lato" w:hAnsi="Lato"/>
            <w:b w:val="0"/>
            <w:bCs w:val="0"/>
            <w:noProof/>
            <w:webHidden/>
          </w:rPr>
          <w:instrText xml:space="preserve"> PAGEREF _Toc66739591 \h </w:instrText>
        </w:r>
        <w:r w:rsidR="00F4279E" w:rsidRPr="00F4279E">
          <w:rPr>
            <w:rFonts w:ascii="Lato" w:hAnsi="Lato"/>
            <w:b w:val="0"/>
            <w:bCs w:val="0"/>
            <w:noProof/>
            <w:webHidden/>
          </w:rPr>
        </w:r>
        <w:r w:rsidR="00F4279E" w:rsidRPr="00F4279E">
          <w:rPr>
            <w:rFonts w:ascii="Lato" w:hAnsi="Lato"/>
            <w:b w:val="0"/>
            <w:bCs w:val="0"/>
            <w:noProof/>
            <w:webHidden/>
          </w:rPr>
          <w:fldChar w:fldCharType="separate"/>
        </w:r>
        <w:r w:rsidR="00F4279E" w:rsidRPr="00F4279E">
          <w:rPr>
            <w:rFonts w:ascii="Lato" w:hAnsi="Lato"/>
            <w:b w:val="0"/>
            <w:bCs w:val="0"/>
            <w:noProof/>
            <w:webHidden/>
          </w:rPr>
          <w:t>7</w:t>
        </w:r>
        <w:r w:rsidR="00F4279E" w:rsidRPr="00F4279E">
          <w:rPr>
            <w:rFonts w:ascii="Lato" w:hAnsi="Lato"/>
            <w:b w:val="0"/>
            <w:bCs w:val="0"/>
            <w:noProof/>
            <w:webHidden/>
          </w:rPr>
          <w:fldChar w:fldCharType="end"/>
        </w:r>
      </w:hyperlink>
    </w:p>
    <w:p w14:paraId="606F6E7E" w14:textId="21947350" w:rsidR="00F4279E" w:rsidRPr="00F4279E" w:rsidRDefault="00DA74BE">
      <w:pPr>
        <w:pStyle w:val="TOC1"/>
        <w:tabs>
          <w:tab w:val="right" w:leader="dot" w:pos="9019"/>
        </w:tabs>
        <w:rPr>
          <w:rFonts w:ascii="Lato" w:eastAsiaTheme="minorEastAsia" w:hAnsi="Lato" w:cstheme="minorBidi"/>
          <w:b w:val="0"/>
          <w:bCs w:val="0"/>
          <w:i w:val="0"/>
          <w:iCs w:val="0"/>
          <w:noProof/>
          <w:color w:val="auto"/>
          <w:lang w:eastAsia="en-GB"/>
        </w:rPr>
      </w:pPr>
      <w:hyperlink w:anchor="_Toc66739592" w:history="1">
        <w:r w:rsidR="00F4279E" w:rsidRPr="00F4279E">
          <w:rPr>
            <w:rStyle w:val="Hyperlink"/>
            <w:rFonts w:ascii="Lato" w:hAnsi="Lato"/>
            <w:b w:val="0"/>
            <w:bCs w:val="0"/>
            <w:i w:val="0"/>
            <w:iCs w:val="0"/>
            <w:noProof/>
            <w:lang w:val="en-GB"/>
          </w:rPr>
          <w:t>4. Relationship with other provisions of the CRPD</w:t>
        </w:r>
        <w:r w:rsidR="00F4279E" w:rsidRPr="00F4279E">
          <w:rPr>
            <w:rFonts w:ascii="Lato" w:hAnsi="Lato"/>
            <w:b w:val="0"/>
            <w:bCs w:val="0"/>
            <w:i w:val="0"/>
            <w:iCs w:val="0"/>
            <w:noProof/>
            <w:webHidden/>
          </w:rPr>
          <w:tab/>
        </w:r>
        <w:r w:rsidR="00F4279E" w:rsidRPr="00F4279E">
          <w:rPr>
            <w:rFonts w:ascii="Lato" w:hAnsi="Lato"/>
            <w:b w:val="0"/>
            <w:bCs w:val="0"/>
            <w:i w:val="0"/>
            <w:iCs w:val="0"/>
            <w:noProof/>
            <w:webHidden/>
          </w:rPr>
          <w:fldChar w:fldCharType="begin"/>
        </w:r>
        <w:r w:rsidR="00F4279E" w:rsidRPr="00F4279E">
          <w:rPr>
            <w:rFonts w:ascii="Lato" w:hAnsi="Lato"/>
            <w:b w:val="0"/>
            <w:bCs w:val="0"/>
            <w:i w:val="0"/>
            <w:iCs w:val="0"/>
            <w:noProof/>
            <w:webHidden/>
          </w:rPr>
          <w:instrText xml:space="preserve"> PAGEREF _Toc66739592 \h </w:instrText>
        </w:r>
        <w:r w:rsidR="00F4279E" w:rsidRPr="00F4279E">
          <w:rPr>
            <w:rFonts w:ascii="Lato" w:hAnsi="Lato"/>
            <w:b w:val="0"/>
            <w:bCs w:val="0"/>
            <w:i w:val="0"/>
            <w:iCs w:val="0"/>
            <w:noProof/>
            <w:webHidden/>
          </w:rPr>
        </w:r>
        <w:r w:rsidR="00F4279E" w:rsidRPr="00F4279E">
          <w:rPr>
            <w:rFonts w:ascii="Lato" w:hAnsi="Lato"/>
            <w:b w:val="0"/>
            <w:bCs w:val="0"/>
            <w:i w:val="0"/>
            <w:iCs w:val="0"/>
            <w:noProof/>
            <w:webHidden/>
          </w:rPr>
          <w:fldChar w:fldCharType="separate"/>
        </w:r>
        <w:r w:rsidR="00F4279E" w:rsidRPr="00F4279E">
          <w:rPr>
            <w:rFonts w:ascii="Lato" w:hAnsi="Lato"/>
            <w:b w:val="0"/>
            <w:bCs w:val="0"/>
            <w:i w:val="0"/>
            <w:iCs w:val="0"/>
            <w:noProof/>
            <w:webHidden/>
          </w:rPr>
          <w:t>8</w:t>
        </w:r>
        <w:r w:rsidR="00F4279E" w:rsidRPr="00F4279E">
          <w:rPr>
            <w:rFonts w:ascii="Lato" w:hAnsi="Lato"/>
            <w:b w:val="0"/>
            <w:bCs w:val="0"/>
            <w:i w:val="0"/>
            <w:iCs w:val="0"/>
            <w:noProof/>
            <w:webHidden/>
          </w:rPr>
          <w:fldChar w:fldCharType="end"/>
        </w:r>
      </w:hyperlink>
    </w:p>
    <w:p w14:paraId="2DEECCF6" w14:textId="2E98B6A2" w:rsidR="00F4279E" w:rsidRPr="00F4279E" w:rsidRDefault="00DA74BE">
      <w:pPr>
        <w:pStyle w:val="TOC2"/>
        <w:tabs>
          <w:tab w:val="right" w:leader="dot" w:pos="9019"/>
        </w:tabs>
        <w:rPr>
          <w:rFonts w:ascii="Lato" w:eastAsiaTheme="minorEastAsia" w:hAnsi="Lato" w:cstheme="minorBidi"/>
          <w:b w:val="0"/>
          <w:bCs w:val="0"/>
          <w:noProof/>
          <w:color w:val="auto"/>
          <w:sz w:val="24"/>
          <w:szCs w:val="24"/>
          <w:lang w:eastAsia="en-GB"/>
        </w:rPr>
      </w:pPr>
      <w:hyperlink w:anchor="_Toc66739593" w:history="1">
        <w:r w:rsidR="00F4279E" w:rsidRPr="00F4279E">
          <w:rPr>
            <w:rStyle w:val="Hyperlink"/>
            <w:rFonts w:ascii="Lato" w:hAnsi="Lato"/>
            <w:b w:val="0"/>
            <w:bCs w:val="0"/>
            <w:noProof/>
            <w:lang w:val="en-GB"/>
          </w:rPr>
          <w:t>Comments to para 4 of the Outline</w:t>
        </w:r>
        <w:r w:rsidR="00F4279E" w:rsidRPr="00F4279E">
          <w:rPr>
            <w:rFonts w:ascii="Lato" w:hAnsi="Lato"/>
            <w:b w:val="0"/>
            <w:bCs w:val="0"/>
            <w:noProof/>
            <w:webHidden/>
          </w:rPr>
          <w:tab/>
        </w:r>
        <w:r w:rsidR="00F4279E" w:rsidRPr="00F4279E">
          <w:rPr>
            <w:rFonts w:ascii="Lato" w:hAnsi="Lato"/>
            <w:b w:val="0"/>
            <w:bCs w:val="0"/>
            <w:noProof/>
            <w:webHidden/>
          </w:rPr>
          <w:fldChar w:fldCharType="begin"/>
        </w:r>
        <w:r w:rsidR="00F4279E" w:rsidRPr="00F4279E">
          <w:rPr>
            <w:rFonts w:ascii="Lato" w:hAnsi="Lato"/>
            <w:b w:val="0"/>
            <w:bCs w:val="0"/>
            <w:noProof/>
            <w:webHidden/>
          </w:rPr>
          <w:instrText xml:space="preserve"> PAGEREF _Toc66739593 \h </w:instrText>
        </w:r>
        <w:r w:rsidR="00F4279E" w:rsidRPr="00F4279E">
          <w:rPr>
            <w:rFonts w:ascii="Lato" w:hAnsi="Lato"/>
            <w:b w:val="0"/>
            <w:bCs w:val="0"/>
            <w:noProof/>
            <w:webHidden/>
          </w:rPr>
        </w:r>
        <w:r w:rsidR="00F4279E" w:rsidRPr="00F4279E">
          <w:rPr>
            <w:rFonts w:ascii="Lato" w:hAnsi="Lato"/>
            <w:b w:val="0"/>
            <w:bCs w:val="0"/>
            <w:noProof/>
            <w:webHidden/>
          </w:rPr>
          <w:fldChar w:fldCharType="separate"/>
        </w:r>
        <w:r w:rsidR="00F4279E" w:rsidRPr="00F4279E">
          <w:rPr>
            <w:rFonts w:ascii="Lato" w:hAnsi="Lato"/>
            <w:b w:val="0"/>
            <w:bCs w:val="0"/>
            <w:noProof/>
            <w:webHidden/>
          </w:rPr>
          <w:t>8</w:t>
        </w:r>
        <w:r w:rsidR="00F4279E" w:rsidRPr="00F4279E">
          <w:rPr>
            <w:rFonts w:ascii="Lato" w:hAnsi="Lato"/>
            <w:b w:val="0"/>
            <w:bCs w:val="0"/>
            <w:noProof/>
            <w:webHidden/>
          </w:rPr>
          <w:fldChar w:fldCharType="end"/>
        </w:r>
      </w:hyperlink>
    </w:p>
    <w:p w14:paraId="3D39D681" w14:textId="17BEABFB" w:rsidR="00F4279E" w:rsidRPr="00F4279E" w:rsidRDefault="00DA74BE">
      <w:pPr>
        <w:pStyle w:val="TOC3"/>
        <w:tabs>
          <w:tab w:val="right" w:leader="dot" w:pos="9019"/>
        </w:tabs>
        <w:rPr>
          <w:rFonts w:ascii="Lato" w:eastAsiaTheme="minorEastAsia" w:hAnsi="Lato" w:cstheme="minorBidi"/>
          <w:noProof/>
          <w:color w:val="auto"/>
          <w:sz w:val="24"/>
          <w:szCs w:val="24"/>
          <w:lang w:eastAsia="en-GB"/>
        </w:rPr>
      </w:pPr>
      <w:hyperlink w:anchor="_Toc66739594" w:history="1">
        <w:r w:rsidR="00F4279E" w:rsidRPr="00F4279E">
          <w:rPr>
            <w:rStyle w:val="Hyperlink"/>
            <w:rFonts w:ascii="Lato" w:hAnsi="Lato"/>
            <w:noProof/>
            <w:lang w:val="en-GB"/>
          </w:rPr>
          <w:t>Article 8: Awareness-raising</w:t>
        </w:r>
        <w:r w:rsidR="00F4279E" w:rsidRPr="00F4279E">
          <w:rPr>
            <w:rFonts w:ascii="Lato" w:hAnsi="Lato"/>
            <w:noProof/>
            <w:webHidden/>
          </w:rPr>
          <w:tab/>
        </w:r>
        <w:r w:rsidR="00F4279E" w:rsidRPr="00F4279E">
          <w:rPr>
            <w:rFonts w:ascii="Lato" w:hAnsi="Lato"/>
            <w:noProof/>
            <w:webHidden/>
          </w:rPr>
          <w:fldChar w:fldCharType="begin"/>
        </w:r>
        <w:r w:rsidR="00F4279E" w:rsidRPr="00F4279E">
          <w:rPr>
            <w:rFonts w:ascii="Lato" w:hAnsi="Lato"/>
            <w:noProof/>
            <w:webHidden/>
          </w:rPr>
          <w:instrText xml:space="preserve"> PAGEREF _Toc66739594 \h </w:instrText>
        </w:r>
        <w:r w:rsidR="00F4279E" w:rsidRPr="00F4279E">
          <w:rPr>
            <w:rFonts w:ascii="Lato" w:hAnsi="Lato"/>
            <w:noProof/>
            <w:webHidden/>
          </w:rPr>
        </w:r>
        <w:r w:rsidR="00F4279E" w:rsidRPr="00F4279E">
          <w:rPr>
            <w:rFonts w:ascii="Lato" w:hAnsi="Lato"/>
            <w:noProof/>
            <w:webHidden/>
          </w:rPr>
          <w:fldChar w:fldCharType="separate"/>
        </w:r>
        <w:r w:rsidR="00F4279E" w:rsidRPr="00F4279E">
          <w:rPr>
            <w:rFonts w:ascii="Lato" w:hAnsi="Lato"/>
            <w:noProof/>
            <w:webHidden/>
          </w:rPr>
          <w:t>8</w:t>
        </w:r>
        <w:r w:rsidR="00F4279E" w:rsidRPr="00F4279E">
          <w:rPr>
            <w:rFonts w:ascii="Lato" w:hAnsi="Lato"/>
            <w:noProof/>
            <w:webHidden/>
          </w:rPr>
          <w:fldChar w:fldCharType="end"/>
        </w:r>
      </w:hyperlink>
    </w:p>
    <w:p w14:paraId="6EE6E43C" w14:textId="70F3F116" w:rsidR="00F4279E" w:rsidRPr="00F4279E" w:rsidRDefault="00DA74BE">
      <w:pPr>
        <w:pStyle w:val="TOC3"/>
        <w:tabs>
          <w:tab w:val="right" w:leader="dot" w:pos="9019"/>
        </w:tabs>
        <w:rPr>
          <w:rFonts w:ascii="Lato" w:eastAsiaTheme="minorEastAsia" w:hAnsi="Lato" w:cstheme="minorBidi"/>
          <w:noProof/>
          <w:color w:val="auto"/>
          <w:sz w:val="24"/>
          <w:szCs w:val="24"/>
          <w:lang w:eastAsia="en-GB"/>
        </w:rPr>
      </w:pPr>
      <w:hyperlink w:anchor="_Toc66739595" w:history="1">
        <w:r w:rsidR="00F4279E" w:rsidRPr="00F4279E">
          <w:rPr>
            <w:rStyle w:val="Hyperlink"/>
            <w:rFonts w:ascii="Lato" w:hAnsi="Lato"/>
            <w:noProof/>
            <w:lang w:val="en-GB"/>
          </w:rPr>
          <w:t>Article 9: Accessibility</w:t>
        </w:r>
        <w:r w:rsidR="00F4279E" w:rsidRPr="00F4279E">
          <w:rPr>
            <w:rFonts w:ascii="Lato" w:hAnsi="Lato"/>
            <w:noProof/>
            <w:webHidden/>
          </w:rPr>
          <w:tab/>
        </w:r>
        <w:r w:rsidR="00F4279E" w:rsidRPr="00F4279E">
          <w:rPr>
            <w:rFonts w:ascii="Lato" w:hAnsi="Lato"/>
            <w:noProof/>
            <w:webHidden/>
          </w:rPr>
          <w:fldChar w:fldCharType="begin"/>
        </w:r>
        <w:r w:rsidR="00F4279E" w:rsidRPr="00F4279E">
          <w:rPr>
            <w:rFonts w:ascii="Lato" w:hAnsi="Lato"/>
            <w:noProof/>
            <w:webHidden/>
          </w:rPr>
          <w:instrText xml:space="preserve"> PAGEREF _Toc66739595 \h </w:instrText>
        </w:r>
        <w:r w:rsidR="00F4279E" w:rsidRPr="00F4279E">
          <w:rPr>
            <w:rFonts w:ascii="Lato" w:hAnsi="Lato"/>
            <w:noProof/>
            <w:webHidden/>
          </w:rPr>
        </w:r>
        <w:r w:rsidR="00F4279E" w:rsidRPr="00F4279E">
          <w:rPr>
            <w:rFonts w:ascii="Lato" w:hAnsi="Lato"/>
            <w:noProof/>
            <w:webHidden/>
          </w:rPr>
          <w:fldChar w:fldCharType="separate"/>
        </w:r>
        <w:r w:rsidR="00F4279E" w:rsidRPr="00F4279E">
          <w:rPr>
            <w:rFonts w:ascii="Lato" w:hAnsi="Lato"/>
            <w:noProof/>
            <w:webHidden/>
          </w:rPr>
          <w:t>8</w:t>
        </w:r>
        <w:r w:rsidR="00F4279E" w:rsidRPr="00F4279E">
          <w:rPr>
            <w:rFonts w:ascii="Lato" w:hAnsi="Lato"/>
            <w:noProof/>
            <w:webHidden/>
          </w:rPr>
          <w:fldChar w:fldCharType="end"/>
        </w:r>
      </w:hyperlink>
    </w:p>
    <w:p w14:paraId="2ACEB5AE" w14:textId="7CF5D931" w:rsidR="00F4279E" w:rsidRPr="00F4279E" w:rsidRDefault="00DA74BE">
      <w:pPr>
        <w:pStyle w:val="TOC3"/>
        <w:tabs>
          <w:tab w:val="right" w:leader="dot" w:pos="9019"/>
        </w:tabs>
        <w:rPr>
          <w:rFonts w:ascii="Lato" w:eastAsiaTheme="minorEastAsia" w:hAnsi="Lato" w:cstheme="minorBidi"/>
          <w:noProof/>
          <w:color w:val="auto"/>
          <w:sz w:val="24"/>
          <w:szCs w:val="24"/>
          <w:lang w:eastAsia="en-GB"/>
        </w:rPr>
      </w:pPr>
      <w:hyperlink w:anchor="_Toc66739596" w:history="1">
        <w:r w:rsidR="00F4279E" w:rsidRPr="00F4279E">
          <w:rPr>
            <w:rStyle w:val="Hyperlink"/>
            <w:rFonts w:ascii="Lato" w:hAnsi="Lato"/>
            <w:noProof/>
            <w:lang w:val="en-GB"/>
          </w:rPr>
          <w:t>Article 12: Equal recognition before the law</w:t>
        </w:r>
        <w:r w:rsidR="00F4279E" w:rsidRPr="00F4279E">
          <w:rPr>
            <w:rFonts w:ascii="Lato" w:hAnsi="Lato"/>
            <w:noProof/>
            <w:webHidden/>
          </w:rPr>
          <w:tab/>
        </w:r>
        <w:r w:rsidR="00F4279E" w:rsidRPr="00F4279E">
          <w:rPr>
            <w:rFonts w:ascii="Lato" w:hAnsi="Lato"/>
            <w:noProof/>
            <w:webHidden/>
          </w:rPr>
          <w:fldChar w:fldCharType="begin"/>
        </w:r>
        <w:r w:rsidR="00F4279E" w:rsidRPr="00F4279E">
          <w:rPr>
            <w:rFonts w:ascii="Lato" w:hAnsi="Lato"/>
            <w:noProof/>
            <w:webHidden/>
          </w:rPr>
          <w:instrText xml:space="preserve"> PAGEREF _Toc66739596 \h </w:instrText>
        </w:r>
        <w:r w:rsidR="00F4279E" w:rsidRPr="00F4279E">
          <w:rPr>
            <w:rFonts w:ascii="Lato" w:hAnsi="Lato"/>
            <w:noProof/>
            <w:webHidden/>
          </w:rPr>
        </w:r>
        <w:r w:rsidR="00F4279E" w:rsidRPr="00F4279E">
          <w:rPr>
            <w:rFonts w:ascii="Lato" w:hAnsi="Lato"/>
            <w:noProof/>
            <w:webHidden/>
          </w:rPr>
          <w:fldChar w:fldCharType="separate"/>
        </w:r>
        <w:r w:rsidR="00F4279E" w:rsidRPr="00F4279E">
          <w:rPr>
            <w:rFonts w:ascii="Lato" w:hAnsi="Lato"/>
            <w:noProof/>
            <w:webHidden/>
          </w:rPr>
          <w:t>9</w:t>
        </w:r>
        <w:r w:rsidR="00F4279E" w:rsidRPr="00F4279E">
          <w:rPr>
            <w:rFonts w:ascii="Lato" w:hAnsi="Lato"/>
            <w:noProof/>
            <w:webHidden/>
          </w:rPr>
          <w:fldChar w:fldCharType="end"/>
        </w:r>
      </w:hyperlink>
    </w:p>
    <w:p w14:paraId="7868351F" w14:textId="571C8CA2" w:rsidR="005A7C48" w:rsidRPr="00F4279E" w:rsidRDefault="005A7C48">
      <w:pPr>
        <w:spacing w:before="120"/>
        <w:jc w:val="both"/>
        <w:rPr>
          <w:rFonts w:ascii="Lato" w:hAnsi="Lato"/>
          <w:sz w:val="24"/>
          <w:szCs w:val="24"/>
          <w:lang w:val="en-GB"/>
        </w:rPr>
      </w:pPr>
      <w:r w:rsidRPr="00F4279E">
        <w:rPr>
          <w:rFonts w:ascii="Lato" w:hAnsi="Lato"/>
          <w:sz w:val="24"/>
          <w:szCs w:val="24"/>
          <w:lang w:val="en-GB"/>
        </w:rPr>
        <w:fldChar w:fldCharType="end"/>
      </w:r>
    </w:p>
    <w:p w14:paraId="5DEE788A" w14:textId="22C6B967" w:rsidR="00F357FE" w:rsidRPr="00672944" w:rsidRDefault="00152003" w:rsidP="00322199">
      <w:pPr>
        <w:pStyle w:val="Heading1"/>
        <w:pageBreakBefore/>
        <w:jc w:val="center"/>
        <w:rPr>
          <w:lang w:val="en-GB"/>
        </w:rPr>
      </w:pPr>
      <w:bookmarkStart w:id="1" w:name="_Toc66739577"/>
      <w:r>
        <w:rPr>
          <w:lang w:val="en-GB"/>
        </w:rPr>
        <w:lastRenderedPageBreak/>
        <w:t>1</w:t>
      </w:r>
      <w:r w:rsidR="00964680" w:rsidRPr="00672944">
        <w:rPr>
          <w:lang w:val="en-GB"/>
        </w:rPr>
        <w:t>. Introduction</w:t>
      </w:r>
      <w:bookmarkEnd w:id="1"/>
    </w:p>
    <w:p w14:paraId="00A122ED" w14:textId="77777777" w:rsidR="00022BCC" w:rsidRPr="00315904" w:rsidRDefault="00022BCC" w:rsidP="00022BCC">
      <w:pPr>
        <w:spacing w:before="120"/>
        <w:jc w:val="both"/>
        <w:rPr>
          <w:rFonts w:ascii="Lato" w:hAnsi="Lato"/>
          <w:b/>
          <w:bCs/>
          <w:color w:val="auto"/>
          <w:spacing w:val="-2"/>
          <w:sz w:val="24"/>
          <w:szCs w:val="24"/>
          <w:lang w:val="en-GB"/>
        </w:rPr>
      </w:pPr>
      <w:r w:rsidRPr="00315904">
        <w:rPr>
          <w:rFonts w:ascii="Lato" w:hAnsi="Lato"/>
          <w:b/>
          <w:bCs/>
          <w:color w:val="auto"/>
          <w:spacing w:val="-2"/>
          <w:sz w:val="24"/>
          <w:szCs w:val="24"/>
          <w:lang w:val="en-GB"/>
        </w:rPr>
        <w:t xml:space="preserve">Recommendations: </w:t>
      </w:r>
    </w:p>
    <w:p w14:paraId="40C59FBC" w14:textId="2E20D194" w:rsidR="00022BCC" w:rsidRPr="00315904" w:rsidRDefault="00022BCC" w:rsidP="00022BCC">
      <w:pPr>
        <w:pStyle w:val="ListParagraph"/>
        <w:numPr>
          <w:ilvl w:val="0"/>
          <w:numId w:val="1"/>
        </w:numPr>
        <w:spacing w:before="120"/>
        <w:jc w:val="both"/>
        <w:rPr>
          <w:rFonts w:ascii="Lato" w:hAnsi="Lato"/>
          <w:color w:val="auto"/>
          <w:spacing w:val="-2"/>
          <w:sz w:val="24"/>
          <w:szCs w:val="24"/>
          <w:lang w:val="en-GB"/>
        </w:rPr>
      </w:pPr>
      <w:r w:rsidRPr="00315904">
        <w:rPr>
          <w:rFonts w:ascii="Lato" w:hAnsi="Lato"/>
          <w:color w:val="auto"/>
          <w:spacing w:val="-2"/>
          <w:sz w:val="24"/>
          <w:szCs w:val="24"/>
          <w:lang w:val="en-GB"/>
        </w:rPr>
        <w:t xml:space="preserve">Ensure a more systematic and comprehensive inclusion of SOGIESC into the new General </w:t>
      </w:r>
      <w:r w:rsidR="00152003">
        <w:rPr>
          <w:rFonts w:ascii="Lato" w:hAnsi="Lato"/>
          <w:color w:val="auto"/>
          <w:spacing w:val="-2"/>
          <w:sz w:val="24"/>
          <w:szCs w:val="24"/>
          <w:lang w:val="en-GB"/>
        </w:rPr>
        <w:t>c</w:t>
      </w:r>
      <w:r w:rsidRPr="00315904">
        <w:rPr>
          <w:rFonts w:ascii="Lato" w:hAnsi="Lato"/>
          <w:color w:val="auto"/>
          <w:spacing w:val="-2"/>
          <w:sz w:val="24"/>
          <w:szCs w:val="24"/>
          <w:lang w:val="en-GB"/>
        </w:rPr>
        <w:t>omment;</w:t>
      </w:r>
    </w:p>
    <w:p w14:paraId="788DCDA1" w14:textId="7659604D" w:rsidR="00022BCC" w:rsidRPr="00315904" w:rsidRDefault="00022BCC" w:rsidP="00022BCC">
      <w:pPr>
        <w:pStyle w:val="ListParagraph"/>
        <w:numPr>
          <w:ilvl w:val="0"/>
          <w:numId w:val="1"/>
        </w:numPr>
        <w:spacing w:before="120"/>
        <w:jc w:val="both"/>
        <w:rPr>
          <w:rFonts w:ascii="Lato" w:hAnsi="Lato"/>
          <w:color w:val="auto"/>
          <w:spacing w:val="-2"/>
          <w:sz w:val="24"/>
          <w:szCs w:val="24"/>
          <w:lang w:val="en-GB"/>
        </w:rPr>
      </w:pPr>
      <w:r w:rsidRPr="00315904">
        <w:rPr>
          <w:rFonts w:ascii="Lato" w:hAnsi="Lato"/>
          <w:color w:val="auto"/>
          <w:spacing w:val="-2"/>
          <w:sz w:val="24"/>
          <w:szCs w:val="24"/>
          <w:lang w:val="en-GB"/>
        </w:rPr>
        <w:t>Add LGBTI individuals with disabilities to the list of marginalised groups at more risk of discrimination, exclusion, and harassment across different paragraphs of the General Comment</w:t>
      </w:r>
      <w:r>
        <w:rPr>
          <w:rFonts w:ascii="Lato" w:hAnsi="Lato"/>
          <w:color w:val="auto"/>
          <w:spacing w:val="-2"/>
          <w:sz w:val="24"/>
          <w:szCs w:val="24"/>
          <w:lang w:val="en-GB"/>
        </w:rPr>
        <w:t>.</w:t>
      </w:r>
    </w:p>
    <w:p w14:paraId="2B36A216" w14:textId="3E106DE2" w:rsidR="009269C8" w:rsidRPr="008573E6" w:rsidRDefault="009269C8" w:rsidP="00022BCC">
      <w:pPr>
        <w:spacing w:before="240"/>
        <w:jc w:val="both"/>
        <w:rPr>
          <w:rFonts w:ascii="Lato" w:hAnsi="Lato"/>
          <w:b/>
          <w:bCs/>
          <w:color w:val="auto"/>
          <w:sz w:val="24"/>
          <w:szCs w:val="24"/>
          <w:lang w:val="en-GB"/>
        </w:rPr>
      </w:pPr>
      <w:r w:rsidRPr="008573E6">
        <w:rPr>
          <w:rFonts w:ascii="Lato" w:hAnsi="Lato"/>
          <w:b/>
          <w:bCs/>
          <w:color w:val="auto"/>
          <w:sz w:val="24"/>
          <w:szCs w:val="24"/>
          <w:lang w:val="en-GB"/>
        </w:rPr>
        <w:t>Supporting information:</w:t>
      </w:r>
    </w:p>
    <w:p w14:paraId="73B9F697" w14:textId="3B1D3650" w:rsidR="00812468" w:rsidRPr="00672944" w:rsidRDefault="001A101C">
      <w:pPr>
        <w:spacing w:before="120"/>
        <w:jc w:val="both"/>
        <w:rPr>
          <w:rFonts w:ascii="Lato" w:hAnsi="Lato"/>
          <w:color w:val="auto"/>
          <w:sz w:val="24"/>
          <w:szCs w:val="24"/>
          <w:lang w:val="en-GB"/>
        </w:rPr>
      </w:pPr>
      <w:r w:rsidRPr="00672944">
        <w:rPr>
          <w:rFonts w:ascii="Lato" w:hAnsi="Lato"/>
          <w:color w:val="auto"/>
          <w:sz w:val="24"/>
          <w:szCs w:val="24"/>
          <w:lang w:val="en-GB"/>
        </w:rPr>
        <w:t>LGBTI individuals living with disabilities</w:t>
      </w:r>
      <w:r w:rsidR="00015BAD" w:rsidRPr="00672944">
        <w:rPr>
          <w:rFonts w:ascii="Lato" w:hAnsi="Lato"/>
          <w:color w:val="auto"/>
          <w:sz w:val="24"/>
          <w:szCs w:val="24"/>
          <w:lang w:val="en-GB"/>
        </w:rPr>
        <w:t xml:space="preserve"> face</w:t>
      </w:r>
      <w:r w:rsidRPr="00672944">
        <w:rPr>
          <w:rFonts w:ascii="Lato" w:hAnsi="Lato"/>
          <w:color w:val="auto"/>
          <w:sz w:val="24"/>
          <w:szCs w:val="24"/>
          <w:lang w:val="en-GB"/>
        </w:rPr>
        <w:t xml:space="preserve"> aggravated forms of</w:t>
      </w:r>
      <w:r w:rsidR="00015BAD" w:rsidRPr="00672944">
        <w:rPr>
          <w:rFonts w:ascii="Lato" w:hAnsi="Lato"/>
          <w:color w:val="auto"/>
          <w:sz w:val="24"/>
          <w:szCs w:val="24"/>
          <w:lang w:val="en-GB"/>
        </w:rPr>
        <w:t xml:space="preserve"> discrimination because of both their real or perceived SOGIESC and disability</w:t>
      </w:r>
      <w:r w:rsidRPr="00672944">
        <w:rPr>
          <w:rFonts w:ascii="Lato" w:hAnsi="Lato"/>
          <w:color w:val="auto"/>
          <w:sz w:val="24"/>
          <w:szCs w:val="24"/>
          <w:lang w:val="en-GB"/>
        </w:rPr>
        <w:t xml:space="preserve"> which affects their </w:t>
      </w:r>
      <w:r w:rsidR="00C455CA" w:rsidRPr="00672944">
        <w:rPr>
          <w:rFonts w:ascii="Lato" w:hAnsi="Lato"/>
          <w:color w:val="auto"/>
          <w:sz w:val="24"/>
          <w:szCs w:val="24"/>
          <w:lang w:val="en-GB"/>
        </w:rPr>
        <w:t>enjoyment of their right</w:t>
      </w:r>
      <w:r w:rsidRPr="00672944">
        <w:rPr>
          <w:rFonts w:ascii="Lato" w:hAnsi="Lato"/>
          <w:color w:val="auto"/>
          <w:sz w:val="24"/>
          <w:szCs w:val="24"/>
          <w:lang w:val="en-GB"/>
        </w:rPr>
        <w:t xml:space="preserve"> to work and </w:t>
      </w:r>
      <w:r w:rsidR="00C455CA" w:rsidRPr="00672944">
        <w:rPr>
          <w:rFonts w:ascii="Lato" w:hAnsi="Lato"/>
          <w:color w:val="auto"/>
          <w:sz w:val="24"/>
          <w:szCs w:val="24"/>
          <w:lang w:val="en-GB"/>
        </w:rPr>
        <w:t>employment,</w:t>
      </w:r>
      <w:r w:rsidRPr="00672944">
        <w:rPr>
          <w:rFonts w:ascii="Lato" w:hAnsi="Lato"/>
          <w:color w:val="auto"/>
          <w:sz w:val="24"/>
          <w:szCs w:val="24"/>
          <w:lang w:val="en-GB"/>
        </w:rPr>
        <w:t xml:space="preserve"> among other</w:t>
      </w:r>
      <w:r w:rsidR="00C455CA" w:rsidRPr="00672944">
        <w:rPr>
          <w:rFonts w:ascii="Lato" w:hAnsi="Lato"/>
          <w:color w:val="auto"/>
          <w:sz w:val="24"/>
          <w:szCs w:val="24"/>
          <w:lang w:val="en-GB"/>
        </w:rPr>
        <w:t xml:space="preserve">s. </w:t>
      </w:r>
      <w:r w:rsidR="00CB57AD" w:rsidRPr="00672944">
        <w:rPr>
          <w:rFonts w:ascii="Lato" w:hAnsi="Lato"/>
          <w:color w:val="auto"/>
          <w:sz w:val="24"/>
          <w:szCs w:val="24"/>
          <w:lang w:val="en-GB"/>
        </w:rPr>
        <w:t>Indeed, the Preamble of the CRPD Convention itself, while not mentioning SOGIESC explicitly, stressed the problem of multiple or aggravated forms of discrimination experienced by persons with disabilities.</w:t>
      </w:r>
    </w:p>
    <w:p w14:paraId="0AB0C65F" w14:textId="1C2F3C32" w:rsidR="00AB397E" w:rsidRPr="00672944" w:rsidRDefault="00C455CA">
      <w:pPr>
        <w:spacing w:before="120"/>
        <w:jc w:val="both"/>
        <w:rPr>
          <w:rFonts w:ascii="Lato" w:hAnsi="Lato"/>
          <w:color w:val="auto"/>
          <w:sz w:val="24"/>
          <w:szCs w:val="24"/>
          <w:lang w:val="en-GB"/>
        </w:rPr>
      </w:pPr>
      <w:r w:rsidRPr="00672944">
        <w:rPr>
          <w:rFonts w:ascii="Lato" w:hAnsi="Lato"/>
          <w:color w:val="auto"/>
          <w:sz w:val="24"/>
          <w:szCs w:val="24"/>
          <w:lang w:val="en-GB"/>
        </w:rPr>
        <w:t xml:space="preserve">The </w:t>
      </w:r>
      <w:r w:rsidR="00844F3C">
        <w:rPr>
          <w:rFonts w:ascii="Lato" w:hAnsi="Lato"/>
          <w:color w:val="auto"/>
          <w:sz w:val="24"/>
          <w:szCs w:val="24"/>
          <w:lang w:val="en-GB"/>
        </w:rPr>
        <w:t xml:space="preserve">problem of </w:t>
      </w:r>
      <w:r w:rsidRPr="00672944">
        <w:rPr>
          <w:rFonts w:ascii="Lato" w:hAnsi="Lato"/>
          <w:color w:val="auto"/>
          <w:sz w:val="24"/>
          <w:szCs w:val="24"/>
          <w:lang w:val="en-GB"/>
        </w:rPr>
        <w:t>intersectional discrimination</w:t>
      </w:r>
      <w:r w:rsidR="00AB397E" w:rsidRPr="00672944">
        <w:rPr>
          <w:rFonts w:ascii="Lato" w:hAnsi="Lato"/>
          <w:color w:val="auto"/>
          <w:sz w:val="24"/>
          <w:szCs w:val="24"/>
          <w:lang w:val="en-GB"/>
        </w:rPr>
        <w:t xml:space="preserve"> </w:t>
      </w:r>
      <w:r w:rsidRPr="00672944">
        <w:rPr>
          <w:rFonts w:ascii="Lato" w:hAnsi="Lato"/>
          <w:color w:val="auto"/>
          <w:sz w:val="24"/>
          <w:szCs w:val="24"/>
          <w:lang w:val="en-GB"/>
        </w:rPr>
        <w:t>negatively affecting LGBTI individuals with disabilities ha</w:t>
      </w:r>
      <w:r w:rsidR="00844F3C">
        <w:rPr>
          <w:rFonts w:ascii="Lato" w:hAnsi="Lato"/>
          <w:color w:val="auto"/>
          <w:sz w:val="24"/>
          <w:szCs w:val="24"/>
          <w:lang w:val="en-GB"/>
        </w:rPr>
        <w:t>s</w:t>
      </w:r>
      <w:r w:rsidRPr="00672944">
        <w:rPr>
          <w:rFonts w:ascii="Lato" w:hAnsi="Lato"/>
          <w:color w:val="auto"/>
          <w:sz w:val="24"/>
          <w:szCs w:val="24"/>
          <w:lang w:val="en-GB"/>
        </w:rPr>
        <w:t xml:space="preserve"> been raised by different human rights </w:t>
      </w:r>
      <w:r w:rsidR="00844F3C">
        <w:rPr>
          <w:rFonts w:ascii="Lato" w:hAnsi="Lato"/>
          <w:color w:val="auto"/>
          <w:sz w:val="24"/>
          <w:szCs w:val="24"/>
          <w:lang w:val="en-GB"/>
        </w:rPr>
        <w:t xml:space="preserve">bodies. </w:t>
      </w:r>
      <w:r w:rsidRPr="00672944">
        <w:rPr>
          <w:rFonts w:ascii="Lato" w:hAnsi="Lato"/>
          <w:color w:val="auto"/>
          <w:sz w:val="24"/>
          <w:szCs w:val="24"/>
          <w:lang w:val="en-GB"/>
        </w:rPr>
        <w:t>For e</w:t>
      </w:r>
      <w:r w:rsidR="000227F5" w:rsidRPr="00672944">
        <w:rPr>
          <w:rFonts w:ascii="Lato" w:hAnsi="Lato"/>
          <w:color w:val="auto"/>
          <w:sz w:val="24"/>
          <w:szCs w:val="24"/>
          <w:lang w:val="en-GB"/>
        </w:rPr>
        <w:t xml:space="preserve">xample, the </w:t>
      </w:r>
      <w:r w:rsidR="000227F5" w:rsidRPr="008573E6">
        <w:rPr>
          <w:rFonts w:ascii="Lato" w:hAnsi="Lato"/>
          <w:b/>
          <w:bCs/>
          <w:color w:val="auto"/>
          <w:sz w:val="24"/>
          <w:szCs w:val="24"/>
          <w:lang w:val="en-GB"/>
        </w:rPr>
        <w:t>Special Rapporteur on the rights of persons with disabilities</w:t>
      </w:r>
      <w:r w:rsidR="000227F5" w:rsidRPr="00672944">
        <w:rPr>
          <w:rFonts w:ascii="Lato" w:hAnsi="Lato"/>
          <w:color w:val="auto"/>
          <w:sz w:val="24"/>
          <w:szCs w:val="24"/>
          <w:lang w:val="en-GB"/>
        </w:rPr>
        <w:t xml:space="preserve"> </w:t>
      </w:r>
      <w:r w:rsidR="00812468" w:rsidRPr="00672944">
        <w:rPr>
          <w:rFonts w:ascii="Lato" w:hAnsi="Lato"/>
          <w:color w:val="auto"/>
          <w:sz w:val="24"/>
          <w:szCs w:val="24"/>
          <w:lang w:val="en-GB"/>
        </w:rPr>
        <w:t xml:space="preserve">highlighted this problem in </w:t>
      </w:r>
      <w:r w:rsidR="00844F3C">
        <w:rPr>
          <w:rFonts w:ascii="Lato" w:hAnsi="Lato"/>
          <w:color w:val="auto"/>
          <w:sz w:val="24"/>
          <w:szCs w:val="24"/>
          <w:lang w:val="en-GB"/>
        </w:rPr>
        <w:t>he</w:t>
      </w:r>
      <w:r w:rsidR="0096032B" w:rsidRPr="00672944">
        <w:rPr>
          <w:rFonts w:ascii="Lato" w:hAnsi="Lato"/>
          <w:color w:val="auto"/>
          <w:sz w:val="24"/>
          <w:szCs w:val="24"/>
          <w:lang w:val="en-GB"/>
        </w:rPr>
        <w:t>r thematic report</w:t>
      </w:r>
      <w:r w:rsidR="005034CD">
        <w:rPr>
          <w:rFonts w:ascii="Lato" w:hAnsi="Lato"/>
          <w:color w:val="auto"/>
          <w:sz w:val="24"/>
          <w:szCs w:val="24"/>
          <w:lang w:val="en-GB"/>
        </w:rPr>
        <w:t>s</w:t>
      </w:r>
      <w:r w:rsidR="0096032B" w:rsidRPr="00672944">
        <w:rPr>
          <w:rFonts w:ascii="Lato" w:hAnsi="Lato"/>
          <w:color w:val="auto"/>
          <w:sz w:val="24"/>
          <w:szCs w:val="24"/>
          <w:lang w:val="en-GB"/>
        </w:rPr>
        <w:t xml:space="preserve"> and urged states to adopt a multiple and intersectional approach to fulfilling the rights of groups historically discriminated </w:t>
      </w:r>
      <w:r w:rsidR="0096032B" w:rsidRPr="00672944">
        <w:rPr>
          <w:rFonts w:ascii="Lato" w:hAnsi="Lato"/>
          <w:color w:val="auto"/>
          <w:sz w:val="24"/>
          <w:szCs w:val="24"/>
          <w:lang w:val="en-GB"/>
        </w:rPr>
        <w:lastRenderedPageBreak/>
        <w:t>against or disadvantaged</w:t>
      </w:r>
      <w:r w:rsidR="00844F3C">
        <w:rPr>
          <w:rFonts w:ascii="Lato" w:hAnsi="Lato"/>
          <w:color w:val="auto"/>
          <w:sz w:val="24"/>
          <w:szCs w:val="24"/>
          <w:lang w:val="en-GB"/>
        </w:rPr>
        <w:t>,</w:t>
      </w:r>
      <w:r w:rsidR="0096032B" w:rsidRPr="00672944">
        <w:rPr>
          <w:rFonts w:ascii="Lato" w:hAnsi="Lato"/>
          <w:color w:val="auto"/>
          <w:sz w:val="24"/>
          <w:szCs w:val="24"/>
          <w:lang w:val="en-GB"/>
        </w:rPr>
        <w:t xml:space="preserve"> including LGBTI individuals with disabilities</w:t>
      </w:r>
      <w:r w:rsidR="00E375C7">
        <w:rPr>
          <w:rFonts w:ascii="Lato" w:hAnsi="Lato"/>
          <w:color w:val="auto"/>
          <w:sz w:val="24"/>
          <w:szCs w:val="24"/>
          <w:lang w:val="en-GB"/>
        </w:rPr>
        <w:t>.</w:t>
      </w:r>
      <w:r w:rsidR="005034CD">
        <w:rPr>
          <w:rStyle w:val="FootnoteReference"/>
          <w:rFonts w:ascii="Lato" w:hAnsi="Lato"/>
          <w:color w:val="auto"/>
          <w:sz w:val="24"/>
          <w:szCs w:val="24"/>
          <w:lang w:val="en-GB"/>
        </w:rPr>
        <w:footnoteReference w:id="1"/>
      </w:r>
    </w:p>
    <w:p w14:paraId="31AF914A" w14:textId="36653FC4" w:rsidR="00015BAD" w:rsidRPr="00672944" w:rsidRDefault="00AB397E">
      <w:pPr>
        <w:spacing w:before="120"/>
        <w:jc w:val="both"/>
        <w:rPr>
          <w:rFonts w:ascii="Lato" w:hAnsi="Lato"/>
          <w:color w:val="auto"/>
          <w:sz w:val="24"/>
          <w:szCs w:val="24"/>
          <w:lang w:val="en-GB"/>
        </w:rPr>
      </w:pPr>
      <w:r w:rsidRPr="00672944">
        <w:rPr>
          <w:rFonts w:ascii="Lato" w:hAnsi="Lato"/>
          <w:color w:val="auto"/>
          <w:sz w:val="24"/>
          <w:szCs w:val="24"/>
          <w:lang w:val="en-GB"/>
        </w:rPr>
        <w:t>T</w:t>
      </w:r>
      <w:r w:rsidR="00C455CA" w:rsidRPr="00672944">
        <w:rPr>
          <w:rFonts w:ascii="Lato" w:hAnsi="Lato"/>
          <w:color w:val="auto"/>
          <w:sz w:val="24"/>
          <w:szCs w:val="24"/>
          <w:lang w:val="en-GB"/>
        </w:rPr>
        <w:t xml:space="preserve">he </w:t>
      </w:r>
      <w:r w:rsidR="00C455CA" w:rsidRPr="008573E6">
        <w:rPr>
          <w:rFonts w:ascii="Lato" w:hAnsi="Lato"/>
          <w:b/>
          <w:bCs/>
          <w:color w:val="auto"/>
          <w:sz w:val="24"/>
          <w:szCs w:val="24"/>
          <w:lang w:val="en-GB"/>
        </w:rPr>
        <w:t>Independent Expert on sexual orientation and gender identity</w:t>
      </w:r>
      <w:r w:rsidR="004F7391" w:rsidRPr="00672944">
        <w:rPr>
          <w:rFonts w:ascii="Lato" w:hAnsi="Lato"/>
          <w:color w:val="auto"/>
          <w:sz w:val="24"/>
          <w:szCs w:val="24"/>
          <w:lang w:val="en-GB"/>
        </w:rPr>
        <w:t xml:space="preserve"> has</w:t>
      </w:r>
      <w:r w:rsidRPr="00672944">
        <w:rPr>
          <w:rFonts w:ascii="Lato" w:hAnsi="Lato"/>
          <w:color w:val="auto"/>
          <w:sz w:val="24"/>
          <w:szCs w:val="24"/>
          <w:lang w:val="en-GB"/>
        </w:rPr>
        <w:t xml:space="preserve"> also</w:t>
      </w:r>
      <w:r w:rsidR="004F7391" w:rsidRPr="00672944">
        <w:rPr>
          <w:rFonts w:ascii="Lato" w:hAnsi="Lato"/>
          <w:color w:val="auto"/>
          <w:sz w:val="24"/>
          <w:szCs w:val="24"/>
          <w:lang w:val="en-GB"/>
        </w:rPr>
        <w:t xml:space="preserve"> referred to </w:t>
      </w:r>
      <w:r w:rsidRPr="00672944">
        <w:rPr>
          <w:rFonts w:ascii="Lato" w:hAnsi="Lato"/>
          <w:color w:val="auto"/>
          <w:sz w:val="24"/>
          <w:szCs w:val="24"/>
          <w:lang w:val="en-GB"/>
        </w:rPr>
        <w:t>the intersectional discrimination</w:t>
      </w:r>
      <w:r w:rsidR="000227F5" w:rsidRPr="00672944">
        <w:rPr>
          <w:rFonts w:ascii="Lato" w:hAnsi="Lato"/>
          <w:color w:val="auto"/>
          <w:sz w:val="24"/>
          <w:szCs w:val="24"/>
          <w:lang w:val="en-GB"/>
        </w:rPr>
        <w:t xml:space="preserve"> in addition to the</w:t>
      </w:r>
      <w:r w:rsidRPr="00672944">
        <w:rPr>
          <w:rFonts w:ascii="Lato" w:hAnsi="Lato"/>
          <w:color w:val="auto"/>
          <w:sz w:val="24"/>
          <w:szCs w:val="24"/>
          <w:lang w:val="en-GB"/>
        </w:rPr>
        <w:t xml:space="preserve"> social exclusion and barriers to employment </w:t>
      </w:r>
      <w:r w:rsidR="000227F5" w:rsidRPr="00672944">
        <w:rPr>
          <w:rFonts w:ascii="Lato" w:hAnsi="Lato"/>
          <w:color w:val="auto"/>
          <w:sz w:val="24"/>
          <w:szCs w:val="24"/>
          <w:lang w:val="en-GB"/>
        </w:rPr>
        <w:t xml:space="preserve">affecting LGBT individuals with disabilities </w:t>
      </w:r>
      <w:r w:rsidR="004F7391" w:rsidRPr="00672944">
        <w:rPr>
          <w:rFonts w:ascii="Lato" w:hAnsi="Lato"/>
          <w:color w:val="auto"/>
          <w:sz w:val="24"/>
          <w:szCs w:val="24"/>
          <w:lang w:val="en-GB"/>
        </w:rPr>
        <w:t xml:space="preserve">in </w:t>
      </w:r>
      <w:r w:rsidR="00844F3C">
        <w:rPr>
          <w:rFonts w:ascii="Lato" w:hAnsi="Lato"/>
          <w:color w:val="auto"/>
          <w:sz w:val="24"/>
          <w:szCs w:val="24"/>
          <w:lang w:val="en-GB"/>
        </w:rPr>
        <w:t xml:space="preserve">his </w:t>
      </w:r>
      <w:r w:rsidR="004F7391" w:rsidRPr="00672944">
        <w:rPr>
          <w:rFonts w:ascii="Lato" w:hAnsi="Lato"/>
          <w:color w:val="auto"/>
          <w:sz w:val="24"/>
          <w:szCs w:val="24"/>
          <w:lang w:val="en-GB"/>
        </w:rPr>
        <w:t>thematic report</w:t>
      </w:r>
      <w:r w:rsidR="00E375C7">
        <w:rPr>
          <w:rFonts w:ascii="Lato" w:hAnsi="Lato"/>
          <w:color w:val="auto"/>
          <w:sz w:val="24"/>
          <w:szCs w:val="24"/>
          <w:lang w:val="en-GB"/>
        </w:rPr>
        <w:t>.</w:t>
      </w:r>
      <w:r w:rsidR="008B30D9">
        <w:rPr>
          <w:rStyle w:val="FootnoteReference"/>
          <w:rFonts w:ascii="Lato" w:hAnsi="Lato"/>
          <w:color w:val="auto"/>
          <w:sz w:val="24"/>
          <w:szCs w:val="24"/>
          <w:lang w:val="en-GB"/>
        </w:rPr>
        <w:footnoteReference w:id="2"/>
      </w:r>
      <w:r w:rsidR="004F7391" w:rsidRPr="00672944">
        <w:rPr>
          <w:rFonts w:ascii="Lato" w:hAnsi="Lato"/>
          <w:color w:val="auto"/>
          <w:sz w:val="24"/>
          <w:szCs w:val="24"/>
          <w:lang w:val="en-GB"/>
        </w:rPr>
        <w:t xml:space="preserve"> </w:t>
      </w:r>
    </w:p>
    <w:p w14:paraId="43EC878C" w14:textId="5359541F" w:rsidR="00723911" w:rsidRDefault="00015BAD" w:rsidP="0034075F">
      <w:pPr>
        <w:spacing w:before="120"/>
        <w:jc w:val="both"/>
        <w:rPr>
          <w:rFonts w:ascii="Lato" w:hAnsi="Lato"/>
          <w:color w:val="auto"/>
          <w:spacing w:val="-2"/>
          <w:sz w:val="24"/>
          <w:szCs w:val="24"/>
          <w:lang w:val="en-GB"/>
        </w:rPr>
      </w:pPr>
      <w:r w:rsidRPr="00672944">
        <w:rPr>
          <w:rFonts w:ascii="Lato" w:hAnsi="Lato"/>
          <w:color w:val="auto"/>
          <w:spacing w:val="-2"/>
          <w:sz w:val="24"/>
          <w:szCs w:val="24"/>
          <w:lang w:val="en-GB"/>
        </w:rPr>
        <w:t xml:space="preserve">We warmly welcome these developments and firmly believe </w:t>
      </w:r>
      <w:r w:rsidR="0034075F" w:rsidRPr="00672944">
        <w:rPr>
          <w:rFonts w:ascii="Lato" w:hAnsi="Lato"/>
          <w:color w:val="auto"/>
          <w:spacing w:val="-2"/>
          <w:sz w:val="24"/>
          <w:szCs w:val="24"/>
          <w:lang w:val="en-GB"/>
        </w:rPr>
        <w:t>in the importance of a</w:t>
      </w:r>
      <w:r w:rsidRPr="00672944">
        <w:rPr>
          <w:rFonts w:ascii="Lato" w:hAnsi="Lato"/>
          <w:color w:val="auto"/>
          <w:spacing w:val="-2"/>
          <w:sz w:val="24"/>
          <w:szCs w:val="24"/>
          <w:lang w:val="en-GB"/>
        </w:rPr>
        <w:t xml:space="preserve"> more systematic and comprehensive inclusion of a SOGIESC dimension into the new General </w:t>
      </w:r>
      <w:r w:rsidR="00152003">
        <w:rPr>
          <w:rFonts w:ascii="Lato" w:hAnsi="Lato"/>
          <w:color w:val="auto"/>
          <w:spacing w:val="-2"/>
          <w:sz w:val="24"/>
          <w:szCs w:val="24"/>
          <w:lang w:val="en-GB"/>
        </w:rPr>
        <w:t>c</w:t>
      </w:r>
      <w:r w:rsidRPr="00672944">
        <w:rPr>
          <w:rFonts w:ascii="Lato" w:hAnsi="Lato"/>
          <w:color w:val="auto"/>
          <w:spacing w:val="-2"/>
          <w:sz w:val="24"/>
          <w:szCs w:val="24"/>
          <w:lang w:val="en-GB"/>
        </w:rPr>
        <w:t xml:space="preserve">omment on </w:t>
      </w:r>
      <w:r w:rsidR="000227F5" w:rsidRPr="00672944">
        <w:rPr>
          <w:rFonts w:ascii="Lato" w:hAnsi="Lato"/>
          <w:color w:val="auto"/>
          <w:spacing w:val="-2"/>
          <w:sz w:val="24"/>
          <w:szCs w:val="24"/>
          <w:lang w:val="en-GB"/>
        </w:rPr>
        <w:t>the right to work and employment</w:t>
      </w:r>
      <w:r w:rsidR="0034075F" w:rsidRPr="00672944">
        <w:rPr>
          <w:rFonts w:ascii="Lato" w:hAnsi="Lato"/>
          <w:color w:val="auto"/>
          <w:spacing w:val="-2"/>
          <w:sz w:val="24"/>
          <w:szCs w:val="24"/>
          <w:lang w:val="en-GB"/>
        </w:rPr>
        <w:t xml:space="preserve"> as well as adding LGBTI individuals with disabilities to the </w:t>
      </w:r>
      <w:r w:rsidR="00844F3C">
        <w:rPr>
          <w:rFonts w:ascii="Lato" w:hAnsi="Lato"/>
          <w:color w:val="auto"/>
          <w:spacing w:val="-2"/>
          <w:sz w:val="24"/>
          <w:szCs w:val="24"/>
          <w:lang w:val="en-GB"/>
        </w:rPr>
        <w:t xml:space="preserve">list of </w:t>
      </w:r>
      <w:r w:rsidR="00260E59" w:rsidRPr="00672944">
        <w:rPr>
          <w:rFonts w:ascii="Lato" w:hAnsi="Lato"/>
          <w:color w:val="auto"/>
          <w:spacing w:val="-2"/>
          <w:sz w:val="24"/>
          <w:szCs w:val="24"/>
          <w:lang w:val="en-GB"/>
        </w:rPr>
        <w:t xml:space="preserve">marginalised </w:t>
      </w:r>
      <w:r w:rsidR="0034075F" w:rsidRPr="00672944">
        <w:rPr>
          <w:rFonts w:ascii="Lato" w:hAnsi="Lato"/>
          <w:color w:val="auto"/>
          <w:spacing w:val="-2"/>
          <w:sz w:val="24"/>
          <w:szCs w:val="24"/>
          <w:lang w:val="en-GB"/>
        </w:rPr>
        <w:t>groups at more risk of discrimination</w:t>
      </w:r>
      <w:r w:rsidR="00260E59" w:rsidRPr="00672944">
        <w:rPr>
          <w:rFonts w:ascii="Lato" w:hAnsi="Lato"/>
          <w:color w:val="auto"/>
          <w:spacing w:val="-2"/>
          <w:sz w:val="24"/>
          <w:szCs w:val="24"/>
          <w:lang w:val="en-GB"/>
        </w:rPr>
        <w:t xml:space="preserve">, </w:t>
      </w:r>
      <w:r w:rsidR="005C78B8" w:rsidRPr="00672944">
        <w:rPr>
          <w:rFonts w:ascii="Lato" w:hAnsi="Lato"/>
          <w:color w:val="auto"/>
          <w:spacing w:val="-2"/>
          <w:sz w:val="24"/>
          <w:szCs w:val="24"/>
          <w:lang w:val="en-GB"/>
        </w:rPr>
        <w:t>exclusion,</w:t>
      </w:r>
      <w:r w:rsidR="0034075F" w:rsidRPr="00672944">
        <w:rPr>
          <w:rFonts w:ascii="Lato" w:hAnsi="Lato"/>
          <w:color w:val="auto"/>
          <w:spacing w:val="-2"/>
          <w:sz w:val="24"/>
          <w:szCs w:val="24"/>
          <w:lang w:val="en-GB"/>
        </w:rPr>
        <w:t xml:space="preserve"> </w:t>
      </w:r>
      <w:r w:rsidR="00260E59" w:rsidRPr="00672944">
        <w:rPr>
          <w:rFonts w:ascii="Lato" w:hAnsi="Lato"/>
          <w:color w:val="auto"/>
          <w:spacing w:val="-2"/>
          <w:sz w:val="24"/>
          <w:szCs w:val="24"/>
          <w:lang w:val="en-GB"/>
        </w:rPr>
        <w:t xml:space="preserve">and harassment </w:t>
      </w:r>
      <w:r w:rsidR="0034075F" w:rsidRPr="00672944">
        <w:rPr>
          <w:rFonts w:ascii="Lato" w:hAnsi="Lato"/>
          <w:color w:val="auto"/>
          <w:spacing w:val="-2"/>
          <w:sz w:val="24"/>
          <w:szCs w:val="24"/>
          <w:lang w:val="en-GB"/>
        </w:rPr>
        <w:t>(</w:t>
      </w:r>
      <w:r w:rsidR="00844F3C">
        <w:rPr>
          <w:rFonts w:ascii="Lato" w:hAnsi="Lato"/>
          <w:color w:val="auto"/>
          <w:spacing w:val="-2"/>
          <w:sz w:val="24"/>
          <w:szCs w:val="24"/>
          <w:lang w:val="en-GB"/>
        </w:rPr>
        <w:t xml:space="preserve">alongside with </w:t>
      </w:r>
      <w:r w:rsidR="0034075F" w:rsidRPr="00672944">
        <w:rPr>
          <w:rFonts w:ascii="Lato" w:hAnsi="Lato"/>
          <w:color w:val="auto"/>
          <w:spacing w:val="-2"/>
          <w:sz w:val="24"/>
          <w:szCs w:val="24"/>
          <w:lang w:val="en-GB"/>
        </w:rPr>
        <w:t>women, migrants</w:t>
      </w:r>
      <w:r w:rsidR="00260E59" w:rsidRPr="00672944">
        <w:rPr>
          <w:rFonts w:ascii="Lato" w:hAnsi="Lato"/>
          <w:color w:val="auto"/>
          <w:spacing w:val="-2"/>
          <w:sz w:val="24"/>
          <w:szCs w:val="24"/>
          <w:lang w:val="en-GB"/>
        </w:rPr>
        <w:t xml:space="preserve"> and refugees with disabilities) </w:t>
      </w:r>
      <w:r w:rsidR="0034075F" w:rsidRPr="00672944">
        <w:rPr>
          <w:rFonts w:ascii="Lato" w:hAnsi="Lato"/>
          <w:color w:val="auto"/>
          <w:spacing w:val="-2"/>
          <w:sz w:val="24"/>
          <w:szCs w:val="24"/>
          <w:lang w:val="en-GB"/>
        </w:rPr>
        <w:t xml:space="preserve">across different paragraphs of the General </w:t>
      </w:r>
      <w:r w:rsidR="00152003">
        <w:rPr>
          <w:rFonts w:ascii="Lato" w:hAnsi="Lato"/>
          <w:color w:val="auto"/>
          <w:spacing w:val="-2"/>
          <w:sz w:val="24"/>
          <w:szCs w:val="24"/>
          <w:lang w:val="en-GB"/>
        </w:rPr>
        <w:t>c</w:t>
      </w:r>
      <w:r w:rsidR="0034075F" w:rsidRPr="00672944">
        <w:rPr>
          <w:rFonts w:ascii="Lato" w:hAnsi="Lato"/>
          <w:color w:val="auto"/>
          <w:spacing w:val="-2"/>
          <w:sz w:val="24"/>
          <w:szCs w:val="24"/>
          <w:lang w:val="en-GB"/>
        </w:rPr>
        <w:t xml:space="preserve">omment. This </w:t>
      </w:r>
      <w:r w:rsidRPr="00672944">
        <w:rPr>
          <w:rFonts w:ascii="Lato" w:hAnsi="Lato"/>
          <w:color w:val="auto"/>
          <w:spacing w:val="-2"/>
          <w:sz w:val="24"/>
          <w:szCs w:val="24"/>
          <w:lang w:val="en-GB"/>
        </w:rPr>
        <w:t xml:space="preserve">would ensure stronger protection for </w:t>
      </w:r>
      <w:r w:rsidR="009E6BC8" w:rsidRPr="00672944">
        <w:rPr>
          <w:rFonts w:ascii="Lato" w:hAnsi="Lato"/>
          <w:color w:val="auto"/>
          <w:spacing w:val="-2"/>
          <w:sz w:val="24"/>
          <w:szCs w:val="24"/>
          <w:lang w:val="en-GB"/>
        </w:rPr>
        <w:t>LGBTI individuals with disabilities who face intersectional discrimination and structural barriers to work and employment</w:t>
      </w:r>
      <w:r w:rsidR="000227F5" w:rsidRPr="00672944">
        <w:rPr>
          <w:rFonts w:ascii="Lato" w:hAnsi="Lato"/>
          <w:color w:val="auto"/>
          <w:spacing w:val="-2"/>
          <w:sz w:val="24"/>
          <w:szCs w:val="24"/>
          <w:lang w:val="en-GB"/>
        </w:rPr>
        <w:t>.</w:t>
      </w:r>
      <w:r w:rsidR="009E6BC8" w:rsidRPr="00672944">
        <w:rPr>
          <w:rFonts w:ascii="Lato" w:hAnsi="Lato"/>
          <w:color w:val="auto"/>
          <w:spacing w:val="-2"/>
          <w:sz w:val="24"/>
          <w:szCs w:val="24"/>
          <w:lang w:val="en-GB"/>
        </w:rPr>
        <w:t xml:space="preserve"> </w:t>
      </w:r>
    </w:p>
    <w:p w14:paraId="45B80CE1" w14:textId="016454F9" w:rsidR="00015BAD" w:rsidRPr="00C67EB7" w:rsidRDefault="00322199" w:rsidP="00322199">
      <w:pPr>
        <w:pStyle w:val="Heading1"/>
        <w:jc w:val="center"/>
        <w:rPr>
          <w:lang w:val="en-GB"/>
        </w:rPr>
      </w:pPr>
      <w:bookmarkStart w:id="2" w:name="_Toc66739578"/>
      <w:r>
        <w:rPr>
          <w:lang w:val="en-GB"/>
        </w:rPr>
        <w:lastRenderedPageBreak/>
        <w:t>2</w:t>
      </w:r>
      <w:r w:rsidR="00015BAD" w:rsidRPr="00672944">
        <w:rPr>
          <w:lang w:val="en-GB"/>
        </w:rPr>
        <w:t>.</w:t>
      </w:r>
      <w:r w:rsidR="00152003">
        <w:rPr>
          <w:lang w:val="en-GB"/>
        </w:rPr>
        <w:t xml:space="preserve"> </w:t>
      </w:r>
      <w:r w:rsidR="00015BAD" w:rsidRPr="00672944">
        <w:rPr>
          <w:lang w:val="en-GB"/>
        </w:rPr>
        <w:t xml:space="preserve">Normative </w:t>
      </w:r>
      <w:r w:rsidR="00787E17">
        <w:rPr>
          <w:lang w:val="en-GB"/>
        </w:rPr>
        <w:t>Co</w:t>
      </w:r>
      <w:r w:rsidR="00015BAD" w:rsidRPr="00672944">
        <w:rPr>
          <w:lang w:val="en-GB"/>
        </w:rPr>
        <w:t>ntent</w:t>
      </w:r>
      <w:bookmarkEnd w:id="2"/>
    </w:p>
    <w:p w14:paraId="05354753" w14:textId="74C9C2D2" w:rsidR="00152003" w:rsidRPr="00322199" w:rsidRDefault="00015BAD" w:rsidP="00322199">
      <w:pPr>
        <w:pStyle w:val="Heading2"/>
        <w:jc w:val="center"/>
        <w:rPr>
          <w:rFonts w:ascii="Lato" w:hAnsi="Lato"/>
          <w:b/>
          <w:bCs/>
          <w:sz w:val="24"/>
          <w:szCs w:val="24"/>
          <w:lang w:val="en-GB"/>
        </w:rPr>
      </w:pPr>
      <w:bookmarkStart w:id="3" w:name="_Toc66739579"/>
      <w:r w:rsidRPr="00322199">
        <w:rPr>
          <w:rFonts w:ascii="Lato" w:hAnsi="Lato"/>
          <w:b/>
          <w:bCs/>
          <w:sz w:val="24"/>
          <w:szCs w:val="24"/>
          <w:lang w:val="en-GB"/>
        </w:rPr>
        <w:t xml:space="preserve">Comments to para 2 </w:t>
      </w:r>
      <w:r w:rsidR="00152003" w:rsidRPr="00322199">
        <w:rPr>
          <w:rFonts w:ascii="Lato" w:hAnsi="Lato"/>
          <w:b/>
          <w:bCs/>
          <w:sz w:val="24"/>
          <w:szCs w:val="24"/>
          <w:lang w:val="en-GB"/>
        </w:rPr>
        <w:t xml:space="preserve">(a) </w:t>
      </w:r>
      <w:r w:rsidRPr="00322199">
        <w:rPr>
          <w:rFonts w:ascii="Lato" w:hAnsi="Lato"/>
          <w:b/>
          <w:bCs/>
          <w:sz w:val="24"/>
          <w:szCs w:val="24"/>
          <w:lang w:val="en-GB"/>
        </w:rPr>
        <w:t>(</w:t>
      </w:r>
      <w:r w:rsidR="00152003" w:rsidRPr="00322199">
        <w:rPr>
          <w:rFonts w:ascii="Lato" w:hAnsi="Lato"/>
          <w:b/>
          <w:bCs/>
          <w:sz w:val="24"/>
          <w:szCs w:val="24"/>
          <w:lang w:val="en-GB"/>
        </w:rPr>
        <w:t>II</w:t>
      </w:r>
      <w:r w:rsidRPr="00322199">
        <w:rPr>
          <w:rFonts w:ascii="Lato" w:hAnsi="Lato"/>
          <w:b/>
          <w:bCs/>
          <w:sz w:val="24"/>
          <w:szCs w:val="24"/>
          <w:lang w:val="en-GB"/>
        </w:rPr>
        <w:t>) of the Outline –</w:t>
      </w:r>
      <w:bookmarkEnd w:id="3"/>
    </w:p>
    <w:p w14:paraId="48557494" w14:textId="00C17AD5" w:rsidR="008248EF" w:rsidRPr="00322199" w:rsidRDefault="00152003" w:rsidP="00322199">
      <w:pPr>
        <w:pStyle w:val="Heading2"/>
        <w:jc w:val="center"/>
        <w:rPr>
          <w:rFonts w:ascii="Lato" w:hAnsi="Lato"/>
          <w:b/>
          <w:bCs/>
          <w:sz w:val="24"/>
          <w:szCs w:val="24"/>
          <w:lang w:val="en-GB"/>
        </w:rPr>
      </w:pPr>
      <w:bookmarkStart w:id="4" w:name="_Toc66739580"/>
      <w:r w:rsidRPr="00322199">
        <w:rPr>
          <w:rFonts w:ascii="Lato" w:hAnsi="Lato"/>
          <w:b/>
          <w:bCs/>
          <w:sz w:val="24"/>
          <w:szCs w:val="24"/>
          <w:lang w:val="en-GB"/>
        </w:rPr>
        <w:t xml:space="preserve">Article 27.1 (a): </w:t>
      </w:r>
      <w:r w:rsidR="00015BAD" w:rsidRPr="00322199">
        <w:rPr>
          <w:rFonts w:ascii="Lato" w:hAnsi="Lato"/>
          <w:b/>
          <w:bCs/>
          <w:sz w:val="24"/>
          <w:szCs w:val="24"/>
          <w:lang w:val="en-GB"/>
        </w:rPr>
        <w:t xml:space="preserve">Discrimination in the workplace, including workplace </w:t>
      </w:r>
      <w:r w:rsidR="008248EF" w:rsidRPr="00322199">
        <w:rPr>
          <w:rFonts w:ascii="Lato" w:hAnsi="Lato"/>
          <w:b/>
          <w:bCs/>
          <w:sz w:val="24"/>
          <w:szCs w:val="24"/>
          <w:lang w:val="en-GB"/>
        </w:rPr>
        <w:t>segregation</w:t>
      </w:r>
      <w:bookmarkEnd w:id="4"/>
    </w:p>
    <w:p w14:paraId="64D35E04" w14:textId="7B43D784" w:rsidR="00152003" w:rsidRPr="00322199" w:rsidRDefault="005B168B" w:rsidP="00322199">
      <w:pPr>
        <w:pStyle w:val="Heading2"/>
        <w:spacing w:after="0"/>
        <w:contextualSpacing w:val="0"/>
        <w:jc w:val="center"/>
        <w:rPr>
          <w:rFonts w:ascii="Lato" w:hAnsi="Lato"/>
          <w:b/>
          <w:bCs/>
          <w:sz w:val="24"/>
          <w:szCs w:val="24"/>
          <w:lang w:val="en-GB"/>
        </w:rPr>
      </w:pPr>
      <w:bookmarkStart w:id="5" w:name="_Toc66739581"/>
      <w:r w:rsidRPr="00322199">
        <w:rPr>
          <w:rFonts w:ascii="Lato" w:hAnsi="Lato"/>
          <w:b/>
          <w:bCs/>
          <w:sz w:val="24"/>
          <w:szCs w:val="24"/>
          <w:lang w:val="en-GB"/>
        </w:rPr>
        <w:t xml:space="preserve">Comments to para 2 </w:t>
      </w:r>
      <w:r w:rsidR="00152003" w:rsidRPr="00322199">
        <w:rPr>
          <w:rFonts w:ascii="Lato" w:hAnsi="Lato"/>
          <w:b/>
          <w:bCs/>
          <w:sz w:val="24"/>
          <w:szCs w:val="24"/>
          <w:lang w:val="en-GB"/>
        </w:rPr>
        <w:t xml:space="preserve">(a) </w:t>
      </w:r>
      <w:r w:rsidRPr="00322199">
        <w:rPr>
          <w:rFonts w:ascii="Lato" w:hAnsi="Lato"/>
          <w:b/>
          <w:bCs/>
          <w:sz w:val="24"/>
          <w:szCs w:val="24"/>
          <w:lang w:val="en-GB"/>
        </w:rPr>
        <w:t>(</w:t>
      </w:r>
      <w:r w:rsidR="00152003" w:rsidRPr="00322199">
        <w:rPr>
          <w:rFonts w:ascii="Lato" w:hAnsi="Lato"/>
          <w:b/>
          <w:bCs/>
          <w:sz w:val="24"/>
          <w:szCs w:val="24"/>
          <w:lang w:val="en-GB"/>
        </w:rPr>
        <w:t>III</w:t>
      </w:r>
      <w:r w:rsidRPr="00322199">
        <w:rPr>
          <w:rFonts w:ascii="Lato" w:hAnsi="Lato"/>
          <w:b/>
          <w:bCs/>
          <w:sz w:val="24"/>
          <w:szCs w:val="24"/>
          <w:lang w:val="en-GB"/>
        </w:rPr>
        <w:t>) of the Outline –</w:t>
      </w:r>
      <w:bookmarkEnd w:id="5"/>
    </w:p>
    <w:p w14:paraId="256D44D5" w14:textId="74AFCC13" w:rsidR="005B168B" w:rsidRPr="00672944" w:rsidRDefault="00152003" w:rsidP="00322199">
      <w:pPr>
        <w:pStyle w:val="Heading2"/>
        <w:jc w:val="center"/>
        <w:rPr>
          <w:bCs/>
          <w:u w:val="single"/>
          <w:lang w:val="en-GB"/>
        </w:rPr>
      </w:pPr>
      <w:bookmarkStart w:id="6" w:name="_Toc66739582"/>
      <w:r w:rsidRPr="00322199">
        <w:rPr>
          <w:rFonts w:ascii="Lato" w:hAnsi="Lato"/>
          <w:b/>
          <w:bCs/>
          <w:sz w:val="24"/>
          <w:szCs w:val="24"/>
          <w:lang w:val="en-GB"/>
        </w:rPr>
        <w:t xml:space="preserve">Article 27 (b): </w:t>
      </w:r>
      <w:r w:rsidR="00481B5B" w:rsidRPr="00322199">
        <w:rPr>
          <w:rFonts w:ascii="Lato" w:hAnsi="Lato"/>
          <w:b/>
          <w:bCs/>
          <w:sz w:val="24"/>
          <w:szCs w:val="24"/>
          <w:lang w:val="en-GB"/>
        </w:rPr>
        <w:t>T</w:t>
      </w:r>
      <w:r w:rsidR="005B168B" w:rsidRPr="00322199">
        <w:rPr>
          <w:rFonts w:ascii="Lato" w:hAnsi="Lato"/>
          <w:b/>
          <w:bCs/>
          <w:sz w:val="24"/>
          <w:szCs w:val="24"/>
          <w:lang w:val="en-GB"/>
        </w:rPr>
        <w:t>he right to equal remuneration for work of equal value</w:t>
      </w:r>
      <w:bookmarkEnd w:id="6"/>
    </w:p>
    <w:p w14:paraId="464A24A9" w14:textId="77777777" w:rsidR="005B168B" w:rsidRPr="00672944" w:rsidRDefault="005B168B" w:rsidP="00B37AE4">
      <w:pPr>
        <w:spacing w:before="120"/>
        <w:jc w:val="center"/>
        <w:rPr>
          <w:rFonts w:ascii="Lato" w:hAnsi="Lato"/>
          <w:bCs/>
          <w:sz w:val="24"/>
          <w:szCs w:val="24"/>
          <w:u w:val="single"/>
          <w:lang w:val="en-GB"/>
        </w:rPr>
      </w:pPr>
    </w:p>
    <w:p w14:paraId="7B35E96C" w14:textId="51138609" w:rsidR="00022BCC" w:rsidRPr="00315904" w:rsidRDefault="00022BCC" w:rsidP="00022BCC">
      <w:pPr>
        <w:spacing w:before="120"/>
        <w:jc w:val="both"/>
        <w:rPr>
          <w:rFonts w:ascii="Lato" w:hAnsi="Lato"/>
          <w:b/>
          <w:bCs/>
          <w:color w:val="auto"/>
          <w:spacing w:val="-2"/>
          <w:sz w:val="24"/>
          <w:szCs w:val="24"/>
          <w:lang w:val="en-GB"/>
        </w:rPr>
      </w:pPr>
      <w:r w:rsidRPr="00315904">
        <w:rPr>
          <w:rFonts w:ascii="Lato" w:hAnsi="Lato"/>
          <w:b/>
          <w:bCs/>
          <w:color w:val="auto"/>
          <w:spacing w:val="-2"/>
          <w:sz w:val="24"/>
          <w:szCs w:val="24"/>
          <w:lang w:val="en-GB"/>
        </w:rPr>
        <w:t xml:space="preserve">Recommendation: </w:t>
      </w:r>
    </w:p>
    <w:p w14:paraId="5E48DB1B" w14:textId="3DDA2F67" w:rsidR="00022BCC" w:rsidRPr="00315904" w:rsidRDefault="00022BCC" w:rsidP="00022BCC">
      <w:pPr>
        <w:pStyle w:val="ListParagraph"/>
        <w:numPr>
          <w:ilvl w:val="0"/>
          <w:numId w:val="1"/>
        </w:numPr>
        <w:spacing w:before="120"/>
        <w:jc w:val="both"/>
        <w:rPr>
          <w:rFonts w:ascii="Lato" w:hAnsi="Lato"/>
          <w:color w:val="auto"/>
          <w:spacing w:val="-2"/>
          <w:sz w:val="24"/>
          <w:szCs w:val="24"/>
          <w:lang w:val="en-GB"/>
        </w:rPr>
      </w:pPr>
      <w:r>
        <w:rPr>
          <w:rFonts w:ascii="Lato" w:hAnsi="Lato"/>
          <w:color w:val="auto"/>
          <w:spacing w:val="-2"/>
          <w:sz w:val="24"/>
          <w:szCs w:val="24"/>
          <w:lang w:val="en-GB"/>
        </w:rPr>
        <w:t>Explicitly refer to the prevention and prohibition of intersectional discrimination based on disability and SOGIESC in the workplace, including workplace segregation and in relation to remuneration.</w:t>
      </w:r>
    </w:p>
    <w:p w14:paraId="6159C47F" w14:textId="77777777" w:rsidR="009269C8" w:rsidRPr="00315904" w:rsidRDefault="009269C8" w:rsidP="009269C8">
      <w:pPr>
        <w:spacing w:before="240"/>
        <w:jc w:val="both"/>
        <w:rPr>
          <w:rFonts w:ascii="Lato" w:hAnsi="Lato"/>
          <w:b/>
          <w:bCs/>
          <w:color w:val="auto"/>
          <w:sz w:val="24"/>
          <w:szCs w:val="24"/>
          <w:lang w:val="en-GB"/>
        </w:rPr>
      </w:pPr>
      <w:r w:rsidRPr="00315904">
        <w:rPr>
          <w:rFonts w:ascii="Lato" w:hAnsi="Lato"/>
          <w:b/>
          <w:bCs/>
          <w:color w:val="auto"/>
          <w:sz w:val="24"/>
          <w:szCs w:val="24"/>
          <w:lang w:val="en-GB"/>
        </w:rPr>
        <w:t>Supporting information:</w:t>
      </w:r>
    </w:p>
    <w:p w14:paraId="3CBCE955" w14:textId="28F931EC" w:rsidR="00B37AE4" w:rsidRPr="00672944" w:rsidRDefault="00B37AE4">
      <w:pPr>
        <w:spacing w:before="120"/>
        <w:jc w:val="both"/>
        <w:rPr>
          <w:rFonts w:ascii="Lato" w:hAnsi="Lato"/>
          <w:bCs/>
          <w:sz w:val="24"/>
          <w:szCs w:val="24"/>
          <w:lang w:val="en-GB"/>
        </w:rPr>
      </w:pPr>
      <w:r w:rsidRPr="00672944">
        <w:rPr>
          <w:rFonts w:ascii="Lato" w:hAnsi="Lato"/>
          <w:bCs/>
          <w:sz w:val="24"/>
          <w:szCs w:val="24"/>
          <w:lang w:val="en-GB"/>
        </w:rPr>
        <w:t xml:space="preserve">Many LGBTI persons with disabilities experience intersectional discrimination resulting in segregated workplaces, for example sheltered workshops, being the only jobs made available to them. These settings are often exempt from providing equitable pay and employment conditions. They are also employment setting synonymous with poor outcomes with regard to health and safety and equal opportunities </w:t>
      </w:r>
      <w:r w:rsidRPr="00672944">
        <w:rPr>
          <w:rFonts w:ascii="Lato" w:hAnsi="Lato"/>
          <w:bCs/>
          <w:sz w:val="24"/>
          <w:szCs w:val="24"/>
          <w:lang w:val="en-GB"/>
        </w:rPr>
        <w:lastRenderedPageBreak/>
        <w:t xml:space="preserve">and inadequate pathways for the redress of grievances.  </w:t>
      </w:r>
      <w:r w:rsidR="0086217F">
        <w:rPr>
          <w:rFonts w:ascii="Lato" w:hAnsi="Lato"/>
          <w:bCs/>
          <w:sz w:val="24"/>
          <w:szCs w:val="24"/>
          <w:lang w:val="en-GB"/>
        </w:rPr>
        <w:t>Adding to that</w:t>
      </w:r>
      <w:r w:rsidRPr="00672944">
        <w:rPr>
          <w:rFonts w:ascii="Lato" w:hAnsi="Lato"/>
          <w:bCs/>
          <w:sz w:val="24"/>
          <w:szCs w:val="24"/>
          <w:lang w:val="en-GB"/>
        </w:rPr>
        <w:t xml:space="preserve">, it is extremely hard for people to transition from segregated to open employment once they are within that system. </w:t>
      </w:r>
    </w:p>
    <w:p w14:paraId="1B12011A" w14:textId="0AC7F844" w:rsidR="001D451A" w:rsidRPr="00672944" w:rsidRDefault="001D451A" w:rsidP="00B37AE4">
      <w:pPr>
        <w:spacing w:before="120"/>
        <w:jc w:val="both"/>
        <w:rPr>
          <w:rFonts w:ascii="Lato" w:hAnsi="Lato"/>
          <w:bCs/>
          <w:sz w:val="24"/>
          <w:szCs w:val="24"/>
          <w:lang w:val="en-GB"/>
        </w:rPr>
      </w:pPr>
      <w:r w:rsidRPr="00672944">
        <w:rPr>
          <w:rFonts w:ascii="Lato" w:hAnsi="Lato"/>
          <w:bCs/>
          <w:sz w:val="24"/>
          <w:szCs w:val="24"/>
          <w:lang w:val="en-GB"/>
        </w:rPr>
        <w:t xml:space="preserve">Further, and as stated by </w:t>
      </w:r>
      <w:r w:rsidR="006A26AD">
        <w:rPr>
          <w:rFonts w:ascii="Lato" w:hAnsi="Lato"/>
          <w:bCs/>
          <w:sz w:val="24"/>
          <w:szCs w:val="24"/>
          <w:lang w:val="en-GB"/>
        </w:rPr>
        <w:t xml:space="preserve">the </w:t>
      </w:r>
      <w:r w:rsidR="006A26AD" w:rsidRPr="008573E6">
        <w:rPr>
          <w:rFonts w:ascii="Lato" w:hAnsi="Lato"/>
          <w:b/>
          <w:sz w:val="24"/>
          <w:szCs w:val="24"/>
          <w:lang w:val="en-GB"/>
        </w:rPr>
        <w:t>International Labour Organization</w:t>
      </w:r>
      <w:r w:rsidR="006A26AD">
        <w:rPr>
          <w:rFonts w:ascii="Lato" w:hAnsi="Lato"/>
          <w:bCs/>
          <w:sz w:val="24"/>
          <w:szCs w:val="24"/>
          <w:lang w:val="en-GB"/>
        </w:rPr>
        <w:t xml:space="preserve"> (</w:t>
      </w:r>
      <w:r w:rsidRPr="00672944">
        <w:rPr>
          <w:rFonts w:ascii="Lato" w:hAnsi="Lato"/>
          <w:bCs/>
          <w:sz w:val="24"/>
          <w:szCs w:val="24"/>
          <w:lang w:val="en-GB"/>
        </w:rPr>
        <w:t>ILO</w:t>
      </w:r>
      <w:r w:rsidR="006A26AD">
        <w:rPr>
          <w:rFonts w:ascii="Lato" w:hAnsi="Lato"/>
          <w:bCs/>
          <w:sz w:val="24"/>
          <w:szCs w:val="24"/>
          <w:lang w:val="en-GB"/>
        </w:rPr>
        <w:t>)</w:t>
      </w:r>
      <w:r w:rsidRPr="00672944">
        <w:rPr>
          <w:rFonts w:ascii="Lato" w:hAnsi="Lato"/>
          <w:bCs/>
          <w:sz w:val="24"/>
          <w:szCs w:val="24"/>
          <w:lang w:val="en-GB"/>
        </w:rPr>
        <w:t>, although LGBTI workers are equally entitled to the right to be free from discrimination at work, discrimination and prejudice based on SOGIESC impede the recruitment and promotion of the best candidate for the jo</w:t>
      </w:r>
      <w:r w:rsidR="00F540C0" w:rsidRPr="00672944">
        <w:rPr>
          <w:rFonts w:ascii="Lato" w:hAnsi="Lato"/>
          <w:bCs/>
          <w:sz w:val="24"/>
          <w:szCs w:val="24"/>
          <w:lang w:val="en-GB"/>
        </w:rPr>
        <w:t xml:space="preserve">b. </w:t>
      </w:r>
      <w:r w:rsidR="009548FC" w:rsidRPr="00672944">
        <w:rPr>
          <w:rFonts w:ascii="Lato" w:hAnsi="Lato"/>
          <w:bCs/>
          <w:sz w:val="24"/>
          <w:szCs w:val="24"/>
          <w:lang w:val="en-GB"/>
        </w:rPr>
        <w:t>Such</w:t>
      </w:r>
      <w:r w:rsidR="00F540C0" w:rsidRPr="00672944">
        <w:rPr>
          <w:rFonts w:ascii="Lato" w:hAnsi="Lato"/>
          <w:bCs/>
          <w:sz w:val="24"/>
          <w:szCs w:val="24"/>
          <w:lang w:val="en-GB"/>
        </w:rPr>
        <w:t xml:space="preserve"> </w:t>
      </w:r>
      <w:r w:rsidR="009548FC" w:rsidRPr="00672944">
        <w:rPr>
          <w:rFonts w:ascii="Lato" w:hAnsi="Lato"/>
          <w:bCs/>
          <w:sz w:val="24"/>
          <w:szCs w:val="24"/>
          <w:lang w:val="en-GB"/>
        </w:rPr>
        <w:t xml:space="preserve">discrimination and prejudice </w:t>
      </w:r>
      <w:r w:rsidR="00F540C0" w:rsidRPr="00672944">
        <w:rPr>
          <w:rFonts w:ascii="Lato" w:hAnsi="Lato"/>
          <w:bCs/>
          <w:sz w:val="24"/>
          <w:szCs w:val="24"/>
          <w:lang w:val="en-GB"/>
        </w:rPr>
        <w:t>also affect</w:t>
      </w:r>
      <w:r w:rsidR="009548FC" w:rsidRPr="00672944">
        <w:rPr>
          <w:rFonts w:ascii="Lato" w:hAnsi="Lato"/>
          <w:bCs/>
          <w:sz w:val="24"/>
          <w:szCs w:val="24"/>
          <w:lang w:val="en-GB"/>
        </w:rPr>
        <w:t xml:space="preserve"> </w:t>
      </w:r>
      <w:r w:rsidR="00F540C0" w:rsidRPr="00672944">
        <w:rPr>
          <w:rFonts w:ascii="Lato" w:hAnsi="Lato"/>
          <w:bCs/>
          <w:sz w:val="24"/>
          <w:szCs w:val="24"/>
          <w:lang w:val="en-GB"/>
        </w:rPr>
        <w:t>the rights of LGBTI individuals in the workplace</w:t>
      </w:r>
      <w:r w:rsidR="009548FC" w:rsidRPr="00672944">
        <w:rPr>
          <w:rFonts w:ascii="Lato" w:hAnsi="Lato"/>
          <w:bCs/>
          <w:sz w:val="24"/>
          <w:szCs w:val="24"/>
          <w:lang w:val="en-GB"/>
        </w:rPr>
        <w:t>, for example, some employers refrain from extending benefits to the same-sex partners of their employees</w:t>
      </w:r>
      <w:r w:rsidR="00AF1838">
        <w:rPr>
          <w:rStyle w:val="FootnoteReference"/>
          <w:rFonts w:ascii="Lato" w:hAnsi="Lato"/>
          <w:bCs/>
          <w:sz w:val="24"/>
          <w:szCs w:val="24"/>
          <w:lang w:val="en-GB"/>
        </w:rPr>
        <w:footnoteReference w:id="3"/>
      </w:r>
      <w:r w:rsidRPr="00672944">
        <w:rPr>
          <w:rFonts w:ascii="Lato" w:hAnsi="Lato"/>
          <w:bCs/>
          <w:sz w:val="24"/>
          <w:szCs w:val="24"/>
          <w:lang w:val="en-GB"/>
        </w:rPr>
        <w:t>.</w:t>
      </w:r>
      <w:r w:rsidR="003513EA" w:rsidRPr="00672944">
        <w:rPr>
          <w:rFonts w:ascii="Lato" w:hAnsi="Lato"/>
          <w:bCs/>
          <w:sz w:val="24"/>
          <w:szCs w:val="24"/>
          <w:lang w:val="en-GB"/>
        </w:rPr>
        <w:t xml:space="preserve"> </w:t>
      </w:r>
      <w:r w:rsidR="009548FC" w:rsidRPr="00672944">
        <w:rPr>
          <w:rFonts w:ascii="Lato" w:hAnsi="Lato"/>
          <w:bCs/>
          <w:sz w:val="24"/>
          <w:szCs w:val="24"/>
          <w:lang w:val="en-GB"/>
        </w:rPr>
        <w:t>These situations are</w:t>
      </w:r>
      <w:r w:rsidRPr="00672944">
        <w:rPr>
          <w:rFonts w:ascii="Lato" w:hAnsi="Lato"/>
          <w:bCs/>
          <w:sz w:val="24"/>
          <w:szCs w:val="24"/>
          <w:lang w:val="en-GB"/>
        </w:rPr>
        <w:t xml:space="preserve"> </w:t>
      </w:r>
      <w:r w:rsidR="00725EC2" w:rsidRPr="00672944">
        <w:rPr>
          <w:rFonts w:ascii="Lato" w:hAnsi="Lato"/>
          <w:bCs/>
          <w:sz w:val="24"/>
          <w:szCs w:val="24"/>
          <w:lang w:val="en-GB"/>
        </w:rPr>
        <w:t xml:space="preserve">regrettably </w:t>
      </w:r>
      <w:r w:rsidRPr="00672944">
        <w:rPr>
          <w:rFonts w:ascii="Lato" w:hAnsi="Lato"/>
          <w:bCs/>
          <w:sz w:val="24"/>
          <w:szCs w:val="24"/>
          <w:lang w:val="en-GB"/>
        </w:rPr>
        <w:t xml:space="preserve">exacerbated for LGBTI individuals with disabilities who face aggravated and intersectional forms of discrimination based on both their </w:t>
      </w:r>
      <w:r w:rsidR="00453942" w:rsidRPr="00672944">
        <w:rPr>
          <w:rFonts w:ascii="Lato" w:hAnsi="Lato"/>
          <w:bCs/>
          <w:sz w:val="24"/>
          <w:szCs w:val="24"/>
          <w:lang w:val="en-GB"/>
        </w:rPr>
        <w:t>SOGIESC and disability.</w:t>
      </w:r>
      <w:r w:rsidRPr="00672944">
        <w:rPr>
          <w:rFonts w:ascii="Lato" w:hAnsi="Lato"/>
          <w:bCs/>
          <w:sz w:val="24"/>
          <w:szCs w:val="24"/>
          <w:lang w:val="en-GB"/>
        </w:rPr>
        <w:t xml:space="preserve"> </w:t>
      </w:r>
    </w:p>
    <w:p w14:paraId="59742100" w14:textId="2BF9BF78" w:rsidR="00B37AE4" w:rsidRPr="00672944" w:rsidRDefault="00703ACE" w:rsidP="00E237CB">
      <w:pPr>
        <w:spacing w:before="120"/>
        <w:jc w:val="both"/>
        <w:rPr>
          <w:rFonts w:ascii="Lato" w:hAnsi="Lato"/>
          <w:bCs/>
          <w:sz w:val="24"/>
          <w:szCs w:val="24"/>
          <w:lang w:val="en-GB"/>
        </w:rPr>
      </w:pPr>
      <w:r w:rsidRPr="00672944">
        <w:rPr>
          <w:rFonts w:ascii="Lato" w:hAnsi="Lato"/>
          <w:bCs/>
          <w:sz w:val="24"/>
          <w:szCs w:val="24"/>
          <w:lang w:val="en-GB"/>
        </w:rPr>
        <w:t xml:space="preserve">According to </w:t>
      </w:r>
      <w:r w:rsidR="00844F3C">
        <w:rPr>
          <w:rFonts w:ascii="Lato" w:hAnsi="Lato"/>
          <w:bCs/>
          <w:sz w:val="24"/>
          <w:szCs w:val="24"/>
          <w:lang w:val="en-GB"/>
        </w:rPr>
        <w:t xml:space="preserve">an </w:t>
      </w:r>
      <w:r w:rsidRPr="00672944">
        <w:rPr>
          <w:rFonts w:ascii="Lato" w:hAnsi="Lato"/>
          <w:bCs/>
          <w:sz w:val="24"/>
          <w:szCs w:val="24"/>
          <w:lang w:val="en-GB"/>
        </w:rPr>
        <w:t>Australian research, LGBT persons with disabilit</w:t>
      </w:r>
      <w:r w:rsidR="00844F3C">
        <w:rPr>
          <w:rFonts w:ascii="Lato" w:hAnsi="Lato"/>
          <w:bCs/>
          <w:sz w:val="24"/>
          <w:szCs w:val="24"/>
          <w:lang w:val="en-GB"/>
        </w:rPr>
        <w:t>ies</w:t>
      </w:r>
      <w:r w:rsidRPr="00672944">
        <w:rPr>
          <w:rFonts w:ascii="Lato" w:hAnsi="Lato"/>
          <w:bCs/>
          <w:sz w:val="24"/>
          <w:szCs w:val="24"/>
          <w:lang w:val="en-GB"/>
        </w:rPr>
        <w:t xml:space="preserve"> are more likely to have no employment than those without (18.7% versus 4.3%) and less likely to have full employment (31% versus 53%); persons with disabilities or long-term illness tend to have lower incomes than those without.</w:t>
      </w:r>
      <w:r w:rsidRPr="00672944">
        <w:rPr>
          <w:rFonts w:ascii="Lato" w:hAnsi="Lato"/>
          <w:bCs/>
          <w:sz w:val="24"/>
          <w:szCs w:val="24"/>
          <w:vertAlign w:val="superscript"/>
          <w:lang w:val="en-GB"/>
        </w:rPr>
        <w:footnoteReference w:id="4"/>
      </w:r>
      <w:r w:rsidRPr="00672944">
        <w:rPr>
          <w:rFonts w:ascii="Lato" w:hAnsi="Lato"/>
          <w:bCs/>
          <w:sz w:val="24"/>
          <w:szCs w:val="24"/>
          <w:lang w:val="en-GB"/>
        </w:rPr>
        <w:t xml:space="preserve"> </w:t>
      </w:r>
      <w:r w:rsidR="00E375C7">
        <w:rPr>
          <w:rFonts w:ascii="Lato" w:hAnsi="Lato"/>
          <w:bCs/>
          <w:sz w:val="24"/>
          <w:szCs w:val="24"/>
          <w:lang w:val="en-GB"/>
        </w:rPr>
        <w:t>A r</w:t>
      </w:r>
      <w:r w:rsidRPr="00672944">
        <w:rPr>
          <w:rFonts w:ascii="Lato" w:hAnsi="Lato"/>
          <w:bCs/>
          <w:sz w:val="24"/>
          <w:szCs w:val="24"/>
          <w:lang w:val="en-GB"/>
        </w:rPr>
        <w:t xml:space="preserve">esearch conducted in Russia showed that </w:t>
      </w:r>
      <w:r w:rsidRPr="00672944">
        <w:rPr>
          <w:rFonts w:ascii="Lato" w:hAnsi="Lato"/>
          <w:bCs/>
          <w:sz w:val="24"/>
          <w:szCs w:val="24"/>
          <w:lang w:val="en-GB"/>
        </w:rPr>
        <w:lastRenderedPageBreak/>
        <w:t>52.6% of respondents, LGBT persons with disabilities, faced discrimination in labour, and only 26.7% were employed.</w:t>
      </w:r>
      <w:r w:rsidRPr="00672944">
        <w:rPr>
          <w:rFonts w:ascii="Lato" w:hAnsi="Lato"/>
          <w:bCs/>
          <w:sz w:val="24"/>
          <w:szCs w:val="24"/>
          <w:vertAlign w:val="superscript"/>
          <w:lang w:val="en-GB"/>
        </w:rPr>
        <w:footnoteReference w:id="5"/>
      </w:r>
    </w:p>
    <w:p w14:paraId="1817B92E" w14:textId="5995F563" w:rsidR="00E237CB" w:rsidRPr="00672944" w:rsidRDefault="00147CDD" w:rsidP="00E237CB">
      <w:pPr>
        <w:spacing w:before="120"/>
        <w:jc w:val="both"/>
        <w:rPr>
          <w:rFonts w:ascii="Lato" w:hAnsi="Lato"/>
          <w:bCs/>
          <w:sz w:val="24"/>
          <w:szCs w:val="24"/>
          <w:lang w:val="en-GB"/>
        </w:rPr>
      </w:pPr>
      <w:r w:rsidRPr="00672944">
        <w:rPr>
          <w:rFonts w:ascii="Lato" w:hAnsi="Lato"/>
          <w:bCs/>
          <w:sz w:val="24"/>
          <w:szCs w:val="24"/>
          <w:lang w:val="en-GB"/>
        </w:rPr>
        <w:t>A civil society report to the CRPD Committee on Canada described the situation of LGBTI persons with disabilities including the significant discriminatio</w:t>
      </w:r>
      <w:r w:rsidR="007026E6" w:rsidRPr="00672944">
        <w:rPr>
          <w:rFonts w:ascii="Lato" w:hAnsi="Lato"/>
          <w:bCs/>
          <w:sz w:val="24"/>
          <w:szCs w:val="24"/>
          <w:lang w:val="en-GB"/>
        </w:rPr>
        <w:t>n</w:t>
      </w:r>
      <w:r w:rsidR="00F620CC" w:rsidRPr="00672944">
        <w:rPr>
          <w:rFonts w:ascii="Lato" w:hAnsi="Lato"/>
          <w:bCs/>
          <w:sz w:val="24"/>
          <w:szCs w:val="24"/>
          <w:lang w:val="en-GB"/>
        </w:rPr>
        <w:t xml:space="preserve"> and the structural barriers to employment</w:t>
      </w:r>
      <w:r w:rsidR="003F3E3C" w:rsidRPr="00672944">
        <w:rPr>
          <w:rFonts w:ascii="Lato" w:hAnsi="Lato"/>
          <w:bCs/>
          <w:sz w:val="24"/>
          <w:szCs w:val="24"/>
          <w:lang w:val="en-GB"/>
        </w:rPr>
        <w:t xml:space="preserve"> experienced by gender diverse and gender non-binary persons with disabilities</w:t>
      </w:r>
      <w:r w:rsidR="00E375C7">
        <w:rPr>
          <w:rFonts w:ascii="Lato" w:hAnsi="Lato"/>
          <w:bCs/>
          <w:sz w:val="24"/>
          <w:szCs w:val="24"/>
          <w:lang w:val="en-GB"/>
        </w:rPr>
        <w:t>.</w:t>
      </w:r>
      <w:r w:rsidR="00306764">
        <w:rPr>
          <w:rStyle w:val="FootnoteReference"/>
          <w:rFonts w:ascii="Lato" w:hAnsi="Lato"/>
          <w:bCs/>
          <w:sz w:val="24"/>
          <w:szCs w:val="24"/>
          <w:lang w:val="en-GB"/>
        </w:rPr>
        <w:footnoteReference w:id="6"/>
      </w:r>
      <w:r w:rsidR="003F3E3C" w:rsidRPr="00672944">
        <w:rPr>
          <w:rFonts w:ascii="Lato" w:hAnsi="Lato"/>
          <w:bCs/>
          <w:sz w:val="24"/>
          <w:szCs w:val="24"/>
          <w:lang w:val="en-GB"/>
        </w:rPr>
        <w:t xml:space="preserve"> </w:t>
      </w:r>
      <w:r w:rsidR="003F3E3C" w:rsidRPr="00672944">
        <w:rPr>
          <w:rFonts w:ascii="Lato" w:hAnsi="Lato"/>
          <w:sz w:val="24"/>
          <w:szCs w:val="24"/>
        </w:rPr>
        <w:t xml:space="preserve">According to an Ontario-based study by the Trans PULSE Project, </w:t>
      </w:r>
      <w:r w:rsidR="003F3E3C" w:rsidRPr="00672944">
        <w:rPr>
          <w:rFonts w:ascii="Lato" w:hAnsi="Lato"/>
          <w:bCs/>
          <w:sz w:val="24"/>
          <w:szCs w:val="24"/>
          <w:lang w:val="en-GB"/>
        </w:rPr>
        <w:t>18% of trans Ontarians have been turned down for employment and 13% of them have been fired for being trans</w:t>
      </w:r>
      <w:r w:rsidR="00E375C7">
        <w:rPr>
          <w:rFonts w:ascii="Lato" w:hAnsi="Lato"/>
          <w:bCs/>
          <w:sz w:val="24"/>
          <w:szCs w:val="24"/>
          <w:lang w:val="en-GB"/>
        </w:rPr>
        <w:t>.</w:t>
      </w:r>
      <w:r w:rsidR="00306764">
        <w:rPr>
          <w:rStyle w:val="FootnoteReference"/>
          <w:rFonts w:ascii="Lato" w:hAnsi="Lato"/>
          <w:bCs/>
          <w:sz w:val="24"/>
          <w:szCs w:val="24"/>
          <w:lang w:val="en-GB"/>
        </w:rPr>
        <w:footnoteReference w:id="7"/>
      </w:r>
      <w:r w:rsidR="00AD7A14" w:rsidRPr="00672944">
        <w:rPr>
          <w:rFonts w:ascii="Lato" w:hAnsi="Lato"/>
          <w:bCs/>
          <w:sz w:val="24"/>
          <w:szCs w:val="24"/>
          <w:lang w:val="en-GB"/>
        </w:rPr>
        <w:t xml:space="preserve"> Furthermore, nearly half of trans Ontarians are unable to obtain employment references or academic transcripts with their correct name, pronoun, and/or sex designation, reflecting the structural barriers to employment faced by trans individuals with disabilities</w:t>
      </w:r>
      <w:r w:rsidR="00E375C7">
        <w:rPr>
          <w:rFonts w:ascii="Lato" w:hAnsi="Lato"/>
          <w:bCs/>
          <w:sz w:val="24"/>
          <w:szCs w:val="24"/>
          <w:lang w:val="en-GB"/>
        </w:rPr>
        <w:t>.</w:t>
      </w:r>
      <w:r w:rsidR="00306764">
        <w:rPr>
          <w:rStyle w:val="FootnoteReference"/>
          <w:rFonts w:ascii="Lato" w:hAnsi="Lato"/>
          <w:bCs/>
          <w:sz w:val="24"/>
          <w:szCs w:val="24"/>
          <w:lang w:val="en-GB"/>
        </w:rPr>
        <w:footnoteReference w:id="8"/>
      </w:r>
    </w:p>
    <w:p w14:paraId="18019E52" w14:textId="76E51141" w:rsidR="00152003" w:rsidRPr="00322199" w:rsidRDefault="00015BAD" w:rsidP="00322199">
      <w:pPr>
        <w:pStyle w:val="Heading2"/>
        <w:jc w:val="center"/>
        <w:rPr>
          <w:rFonts w:ascii="Lato" w:hAnsi="Lato"/>
          <w:b/>
          <w:bCs/>
          <w:sz w:val="24"/>
          <w:szCs w:val="24"/>
          <w:lang w:val="en-GB"/>
        </w:rPr>
      </w:pPr>
      <w:bookmarkStart w:id="7" w:name="_Toc66739583"/>
      <w:r w:rsidRPr="00322199">
        <w:rPr>
          <w:rFonts w:ascii="Lato" w:hAnsi="Lato"/>
          <w:b/>
          <w:bCs/>
          <w:sz w:val="24"/>
          <w:szCs w:val="24"/>
          <w:lang w:val="en-GB"/>
        </w:rPr>
        <w:lastRenderedPageBreak/>
        <w:t xml:space="preserve">Comments to para </w:t>
      </w:r>
      <w:r w:rsidR="007462BA" w:rsidRPr="00322199">
        <w:rPr>
          <w:rFonts w:ascii="Lato" w:hAnsi="Lato"/>
          <w:b/>
          <w:bCs/>
          <w:sz w:val="24"/>
          <w:szCs w:val="24"/>
          <w:lang w:val="en-GB"/>
        </w:rPr>
        <w:t>2</w:t>
      </w:r>
      <w:r w:rsidR="005A7C48">
        <w:rPr>
          <w:rFonts w:ascii="Lato" w:hAnsi="Lato"/>
          <w:b/>
          <w:bCs/>
          <w:sz w:val="24"/>
          <w:szCs w:val="24"/>
          <w:lang w:val="en-GB"/>
        </w:rPr>
        <w:t xml:space="preserve"> </w:t>
      </w:r>
      <w:r w:rsidR="00152003" w:rsidRPr="00322199">
        <w:rPr>
          <w:rFonts w:ascii="Lato" w:hAnsi="Lato"/>
          <w:b/>
          <w:bCs/>
          <w:sz w:val="24"/>
          <w:szCs w:val="24"/>
          <w:lang w:val="en-GB"/>
        </w:rPr>
        <w:t>(a)</w:t>
      </w:r>
      <w:r w:rsidR="005A7C48">
        <w:rPr>
          <w:rFonts w:ascii="Lato" w:hAnsi="Lato"/>
          <w:b/>
          <w:bCs/>
          <w:sz w:val="24"/>
          <w:szCs w:val="24"/>
          <w:lang w:val="en-GB"/>
        </w:rPr>
        <w:t xml:space="preserve"> </w:t>
      </w:r>
      <w:r w:rsidR="007462BA" w:rsidRPr="00322199">
        <w:rPr>
          <w:rFonts w:ascii="Lato" w:hAnsi="Lato"/>
          <w:b/>
          <w:bCs/>
          <w:sz w:val="24"/>
          <w:szCs w:val="24"/>
          <w:lang w:val="en-GB"/>
        </w:rPr>
        <w:t>(</w:t>
      </w:r>
      <w:r w:rsidR="00152003" w:rsidRPr="00322199">
        <w:rPr>
          <w:rFonts w:ascii="Lato" w:hAnsi="Lato"/>
          <w:b/>
          <w:bCs/>
          <w:sz w:val="24"/>
          <w:szCs w:val="24"/>
          <w:lang w:val="en-GB"/>
        </w:rPr>
        <w:t>V</w:t>
      </w:r>
      <w:r w:rsidR="007462BA" w:rsidRPr="00322199">
        <w:rPr>
          <w:rFonts w:ascii="Lato" w:hAnsi="Lato"/>
          <w:b/>
          <w:bCs/>
          <w:sz w:val="24"/>
          <w:szCs w:val="24"/>
          <w:lang w:val="en-GB"/>
        </w:rPr>
        <w:t>)</w:t>
      </w:r>
      <w:r w:rsidRPr="00322199">
        <w:rPr>
          <w:rFonts w:ascii="Lato" w:hAnsi="Lato"/>
          <w:b/>
          <w:bCs/>
          <w:sz w:val="24"/>
          <w:szCs w:val="24"/>
          <w:lang w:val="en-GB"/>
        </w:rPr>
        <w:t xml:space="preserve"> of the Outline –</w:t>
      </w:r>
      <w:bookmarkEnd w:id="7"/>
    </w:p>
    <w:p w14:paraId="5670B134" w14:textId="28FCAB9E" w:rsidR="00015BAD" w:rsidRPr="00322199" w:rsidRDefault="00152003" w:rsidP="00322199">
      <w:pPr>
        <w:pStyle w:val="Heading2"/>
        <w:jc w:val="center"/>
        <w:rPr>
          <w:rFonts w:ascii="Lato" w:hAnsi="Lato"/>
          <w:b/>
          <w:bCs/>
          <w:sz w:val="24"/>
          <w:szCs w:val="24"/>
          <w:lang w:val="en-GB"/>
        </w:rPr>
      </w:pPr>
      <w:bookmarkStart w:id="8" w:name="_Toc66739584"/>
      <w:r w:rsidRPr="00322199">
        <w:rPr>
          <w:rFonts w:ascii="Lato" w:hAnsi="Lato"/>
          <w:b/>
          <w:bCs/>
          <w:sz w:val="24"/>
          <w:szCs w:val="24"/>
          <w:lang w:val="en-GB"/>
        </w:rPr>
        <w:t xml:space="preserve">Article 27 (b) part III: </w:t>
      </w:r>
      <w:r w:rsidR="007462BA" w:rsidRPr="00322199">
        <w:rPr>
          <w:rFonts w:ascii="Lato" w:hAnsi="Lato"/>
          <w:b/>
          <w:bCs/>
          <w:sz w:val="24"/>
          <w:szCs w:val="24"/>
          <w:lang w:val="en-GB"/>
        </w:rPr>
        <w:t>Measures to eliminate discriminatory attitudes and harassment</w:t>
      </w:r>
      <w:bookmarkEnd w:id="8"/>
    </w:p>
    <w:p w14:paraId="5DD05AAA" w14:textId="1E9487C7" w:rsidR="00022BCC" w:rsidRPr="00152003" w:rsidRDefault="00022BCC" w:rsidP="00152003">
      <w:pPr>
        <w:spacing w:before="120"/>
        <w:jc w:val="both"/>
        <w:rPr>
          <w:rFonts w:ascii="Lato" w:hAnsi="Lato"/>
          <w:b/>
          <w:bCs/>
          <w:color w:val="auto"/>
          <w:spacing w:val="-2"/>
          <w:sz w:val="24"/>
          <w:szCs w:val="24"/>
          <w:lang w:val="en-GB"/>
        </w:rPr>
      </w:pPr>
      <w:r w:rsidRPr="00152003">
        <w:rPr>
          <w:rFonts w:ascii="Lato" w:hAnsi="Lato"/>
          <w:b/>
          <w:bCs/>
          <w:color w:val="auto"/>
          <w:spacing w:val="-2"/>
          <w:sz w:val="24"/>
          <w:szCs w:val="24"/>
          <w:lang w:val="en-GB"/>
        </w:rPr>
        <w:t xml:space="preserve">Recommendations: </w:t>
      </w:r>
    </w:p>
    <w:p w14:paraId="1C920FF1" w14:textId="67BB7C18" w:rsidR="00022BCC" w:rsidRPr="00152003" w:rsidRDefault="00022BCC" w:rsidP="00152003">
      <w:pPr>
        <w:pStyle w:val="ListParagraph"/>
        <w:numPr>
          <w:ilvl w:val="0"/>
          <w:numId w:val="1"/>
        </w:numPr>
        <w:spacing w:before="120"/>
        <w:jc w:val="both"/>
        <w:rPr>
          <w:rFonts w:ascii="Lato" w:hAnsi="Lato"/>
          <w:color w:val="auto"/>
          <w:spacing w:val="-2"/>
          <w:sz w:val="24"/>
          <w:szCs w:val="24"/>
          <w:lang w:val="en-GB"/>
        </w:rPr>
      </w:pPr>
      <w:r w:rsidRPr="00152003">
        <w:rPr>
          <w:rFonts w:ascii="Lato" w:hAnsi="Lato"/>
          <w:sz w:val="24"/>
          <w:szCs w:val="24"/>
          <w:lang w:val="en-GB"/>
        </w:rPr>
        <w:t>Articulate the challenges faced by LGBTI individuals with disabilities in the workplace including their fear of stigma, discrimination, harassment, or violence based on their SOGIESC and disability;</w:t>
      </w:r>
    </w:p>
    <w:p w14:paraId="1D330CCB" w14:textId="2A7A4FDE" w:rsidR="00022BCC" w:rsidRPr="00152003" w:rsidRDefault="00022BCC" w:rsidP="00152003">
      <w:pPr>
        <w:pStyle w:val="ListParagraph"/>
        <w:numPr>
          <w:ilvl w:val="0"/>
          <w:numId w:val="1"/>
        </w:numPr>
        <w:spacing w:before="120"/>
        <w:jc w:val="both"/>
        <w:rPr>
          <w:rFonts w:ascii="Lato" w:hAnsi="Lato"/>
          <w:color w:val="auto"/>
          <w:spacing w:val="-2"/>
          <w:sz w:val="24"/>
          <w:szCs w:val="24"/>
          <w:lang w:val="en-GB"/>
        </w:rPr>
      </w:pPr>
      <w:r w:rsidRPr="00152003">
        <w:rPr>
          <w:rFonts w:ascii="Lato" w:hAnsi="Lato"/>
          <w:sz w:val="24"/>
          <w:szCs w:val="24"/>
          <w:lang w:val="en-GB"/>
        </w:rPr>
        <w:t>Address this problem in the list of measures proposed for States to protect workers at higher risk</w:t>
      </w:r>
      <w:r w:rsidRPr="00152003">
        <w:rPr>
          <w:rFonts w:ascii="Lato" w:hAnsi="Lato"/>
          <w:color w:val="auto"/>
          <w:spacing w:val="-2"/>
          <w:sz w:val="24"/>
          <w:szCs w:val="24"/>
          <w:lang w:val="en-GB"/>
        </w:rPr>
        <w:t>.</w:t>
      </w:r>
    </w:p>
    <w:p w14:paraId="4DBE2CF2" w14:textId="77777777" w:rsidR="009269C8" w:rsidRPr="00315904" w:rsidRDefault="009269C8" w:rsidP="009269C8">
      <w:pPr>
        <w:spacing w:before="240"/>
        <w:jc w:val="both"/>
        <w:rPr>
          <w:rFonts w:ascii="Lato" w:hAnsi="Lato"/>
          <w:b/>
          <w:bCs/>
          <w:color w:val="auto"/>
          <w:sz w:val="24"/>
          <w:szCs w:val="24"/>
          <w:lang w:val="en-GB"/>
        </w:rPr>
      </w:pPr>
      <w:r w:rsidRPr="00152003">
        <w:rPr>
          <w:rFonts w:ascii="Lato" w:hAnsi="Lato"/>
          <w:b/>
          <w:bCs/>
          <w:color w:val="auto"/>
          <w:sz w:val="24"/>
          <w:szCs w:val="24"/>
          <w:lang w:val="en-GB"/>
        </w:rPr>
        <w:t>Supporting information:</w:t>
      </w:r>
    </w:p>
    <w:p w14:paraId="3C4AF540" w14:textId="55710295" w:rsidR="00015BAD" w:rsidRPr="00672944" w:rsidRDefault="00A53D00">
      <w:pPr>
        <w:spacing w:before="120"/>
        <w:jc w:val="both"/>
        <w:rPr>
          <w:rFonts w:ascii="Lato" w:hAnsi="Lato"/>
          <w:sz w:val="24"/>
          <w:szCs w:val="24"/>
          <w:lang w:val="en-GB"/>
        </w:rPr>
      </w:pPr>
      <w:r w:rsidRPr="00672944">
        <w:rPr>
          <w:rFonts w:ascii="Lato" w:hAnsi="Lato"/>
          <w:sz w:val="24"/>
          <w:szCs w:val="24"/>
          <w:lang w:val="en-GB"/>
        </w:rPr>
        <w:t xml:space="preserve">LGBTI persons with disabilities who are able to obtain employment experience heightened rates of violence and harassment in the workplace. According to the </w:t>
      </w:r>
      <w:r w:rsidR="00E375C7">
        <w:rPr>
          <w:rFonts w:ascii="Lato" w:hAnsi="Lato"/>
          <w:sz w:val="24"/>
          <w:szCs w:val="24"/>
          <w:lang w:val="en-GB"/>
        </w:rPr>
        <w:t xml:space="preserve">Canadian </w:t>
      </w:r>
      <w:r w:rsidRPr="00672944">
        <w:rPr>
          <w:rFonts w:ascii="Lato" w:hAnsi="Lato"/>
          <w:sz w:val="24"/>
          <w:szCs w:val="24"/>
          <w:lang w:val="en-GB"/>
        </w:rPr>
        <w:t>civil society report submitted to the CRPD committee mentioned above</w:t>
      </w:r>
      <w:r w:rsidR="00E375C7">
        <w:rPr>
          <w:rFonts w:ascii="Lato" w:hAnsi="Lato"/>
          <w:sz w:val="24"/>
          <w:szCs w:val="24"/>
          <w:lang w:val="en-GB"/>
        </w:rPr>
        <w:t>,</w:t>
      </w:r>
      <w:r w:rsidR="00B47A37">
        <w:rPr>
          <w:rStyle w:val="FootnoteReference"/>
          <w:rFonts w:ascii="Lato" w:hAnsi="Lato"/>
          <w:sz w:val="24"/>
          <w:szCs w:val="24"/>
          <w:lang w:val="en-GB"/>
        </w:rPr>
        <w:footnoteReference w:id="9"/>
      </w:r>
      <w:r w:rsidRPr="00672944">
        <w:rPr>
          <w:rFonts w:ascii="Lato" w:hAnsi="Lato"/>
          <w:sz w:val="24"/>
          <w:szCs w:val="24"/>
          <w:lang w:val="en-GB"/>
        </w:rPr>
        <w:t xml:space="preserve"> approximately 90% of transgender and gender variant employees experience workplace harassment and/or violence stemming from their gender identity and expression, and approximately 47% of LGB workers have experienced workplace harassment and/or violence based on their sexual orientation.</w:t>
      </w:r>
      <w:r w:rsidR="001575FF" w:rsidRPr="00672944">
        <w:rPr>
          <w:rFonts w:ascii="Lato" w:hAnsi="Lato"/>
          <w:sz w:val="24"/>
          <w:szCs w:val="24"/>
          <w:lang w:val="en-GB"/>
        </w:rPr>
        <w:t xml:space="preserve"> </w:t>
      </w:r>
    </w:p>
    <w:p w14:paraId="76795A24" w14:textId="247931B2" w:rsidR="0099484C" w:rsidRDefault="002059C5" w:rsidP="00A53D00">
      <w:pPr>
        <w:spacing w:before="120"/>
        <w:jc w:val="both"/>
        <w:rPr>
          <w:rFonts w:ascii="Lato" w:hAnsi="Lato"/>
          <w:sz w:val="24"/>
          <w:szCs w:val="24"/>
          <w:lang w:val="en-GB"/>
        </w:rPr>
      </w:pPr>
      <w:r w:rsidRPr="00672944">
        <w:rPr>
          <w:rFonts w:ascii="Lato" w:hAnsi="Lato"/>
          <w:sz w:val="24"/>
          <w:szCs w:val="24"/>
          <w:lang w:val="en-GB"/>
        </w:rPr>
        <w:lastRenderedPageBreak/>
        <w:t>A comparative analysis on trans experiences in the E</w:t>
      </w:r>
      <w:r w:rsidR="00E375C7">
        <w:rPr>
          <w:rFonts w:ascii="Lato" w:hAnsi="Lato"/>
          <w:sz w:val="24"/>
          <w:szCs w:val="24"/>
          <w:lang w:val="en-GB"/>
        </w:rPr>
        <w:t xml:space="preserve">uropean </w:t>
      </w:r>
      <w:r w:rsidRPr="00672944">
        <w:rPr>
          <w:rFonts w:ascii="Lato" w:hAnsi="Lato"/>
          <w:sz w:val="24"/>
          <w:szCs w:val="24"/>
          <w:lang w:val="en-GB"/>
        </w:rPr>
        <w:t>U</w:t>
      </w:r>
      <w:r w:rsidR="00E375C7">
        <w:rPr>
          <w:rFonts w:ascii="Lato" w:hAnsi="Lato"/>
          <w:sz w:val="24"/>
          <w:szCs w:val="24"/>
          <w:lang w:val="en-GB"/>
        </w:rPr>
        <w:t>nion</w:t>
      </w:r>
      <w:r w:rsidRPr="00672944">
        <w:rPr>
          <w:rFonts w:ascii="Lato" w:hAnsi="Lato"/>
          <w:sz w:val="24"/>
          <w:szCs w:val="24"/>
          <w:lang w:val="en-GB"/>
        </w:rPr>
        <w:t xml:space="preserve"> showed the widespread transphobia</w:t>
      </w:r>
      <w:r w:rsidR="00020FD0" w:rsidRPr="00672944">
        <w:rPr>
          <w:rFonts w:ascii="Lato" w:hAnsi="Lato"/>
          <w:sz w:val="24"/>
          <w:szCs w:val="24"/>
          <w:lang w:val="en-GB"/>
        </w:rPr>
        <w:t xml:space="preserve"> and hostility towards LGBTI individuals</w:t>
      </w:r>
      <w:r w:rsidRPr="00672944">
        <w:rPr>
          <w:rFonts w:ascii="Lato" w:hAnsi="Lato"/>
          <w:sz w:val="24"/>
          <w:szCs w:val="24"/>
          <w:lang w:val="en-GB"/>
        </w:rPr>
        <w:t xml:space="preserve"> affecting trans individuals in different areas of employment including recruitment as well as their ability to be open about their gender identity at </w:t>
      </w:r>
      <w:r w:rsidR="00EA2334" w:rsidRPr="00672944">
        <w:rPr>
          <w:rFonts w:ascii="Lato" w:hAnsi="Lato"/>
          <w:sz w:val="24"/>
          <w:szCs w:val="24"/>
          <w:lang w:val="en-GB"/>
        </w:rPr>
        <w:t xml:space="preserve">the </w:t>
      </w:r>
      <w:r w:rsidRPr="00672944">
        <w:rPr>
          <w:rFonts w:ascii="Lato" w:hAnsi="Lato"/>
          <w:sz w:val="24"/>
          <w:szCs w:val="24"/>
          <w:lang w:val="en-GB"/>
        </w:rPr>
        <w:t>work</w:t>
      </w:r>
      <w:r w:rsidR="00EA2334" w:rsidRPr="00672944">
        <w:rPr>
          <w:rFonts w:ascii="Lato" w:hAnsi="Lato"/>
          <w:sz w:val="24"/>
          <w:szCs w:val="24"/>
          <w:lang w:val="en-GB"/>
        </w:rPr>
        <w:t>place</w:t>
      </w:r>
      <w:r w:rsidR="00E375C7">
        <w:rPr>
          <w:rFonts w:ascii="Lato" w:hAnsi="Lato"/>
          <w:sz w:val="24"/>
          <w:szCs w:val="24"/>
          <w:lang w:val="en-GB"/>
        </w:rPr>
        <w:t>.</w:t>
      </w:r>
      <w:r w:rsidR="005E2029">
        <w:rPr>
          <w:rStyle w:val="FootnoteReference"/>
          <w:rFonts w:ascii="Lato" w:hAnsi="Lato"/>
          <w:sz w:val="24"/>
          <w:szCs w:val="24"/>
          <w:lang w:val="en-GB"/>
        </w:rPr>
        <w:footnoteReference w:id="10"/>
      </w:r>
      <w:r w:rsidRPr="00672944">
        <w:rPr>
          <w:rFonts w:ascii="Lato" w:hAnsi="Lato"/>
          <w:sz w:val="24"/>
          <w:szCs w:val="24"/>
          <w:lang w:val="en-GB"/>
        </w:rPr>
        <w:t xml:space="preserve"> </w:t>
      </w:r>
    </w:p>
    <w:p w14:paraId="5874395A" w14:textId="26E5D76D" w:rsidR="00B22AD5" w:rsidRPr="00B22AD5" w:rsidRDefault="00B22AD5" w:rsidP="00A53D00">
      <w:pPr>
        <w:spacing w:before="120"/>
        <w:jc w:val="both"/>
        <w:rPr>
          <w:rFonts w:ascii="Lato" w:hAnsi="Lato"/>
          <w:sz w:val="24"/>
          <w:szCs w:val="24"/>
        </w:rPr>
      </w:pPr>
      <w:r>
        <w:rPr>
          <w:rFonts w:ascii="Lato" w:hAnsi="Lato"/>
          <w:sz w:val="24"/>
          <w:szCs w:val="24"/>
        </w:rPr>
        <w:t xml:space="preserve">The ILO Convention </w:t>
      </w:r>
      <w:r w:rsidRPr="00B22AD5">
        <w:rPr>
          <w:rFonts w:ascii="Lato" w:hAnsi="Lato"/>
          <w:sz w:val="24"/>
          <w:szCs w:val="24"/>
        </w:rPr>
        <w:t xml:space="preserve">C190 </w:t>
      </w:r>
      <w:r>
        <w:rPr>
          <w:rFonts w:ascii="Lato" w:hAnsi="Lato"/>
          <w:sz w:val="24"/>
          <w:szCs w:val="24"/>
        </w:rPr>
        <w:t>(</w:t>
      </w:r>
      <w:r w:rsidRPr="00B22AD5">
        <w:rPr>
          <w:rFonts w:ascii="Lato" w:hAnsi="Lato"/>
          <w:sz w:val="24"/>
          <w:szCs w:val="24"/>
        </w:rPr>
        <w:t>Violence and Harassment Convention, 2019</w:t>
      </w:r>
      <w:r>
        <w:rPr>
          <w:rFonts w:ascii="Lato" w:hAnsi="Lato"/>
          <w:sz w:val="24"/>
          <w:szCs w:val="24"/>
        </w:rPr>
        <w:t xml:space="preserve">, </w:t>
      </w:r>
      <w:r w:rsidRPr="00B22AD5">
        <w:rPr>
          <w:rFonts w:ascii="Lato" w:hAnsi="Lato"/>
          <w:sz w:val="24"/>
          <w:szCs w:val="24"/>
        </w:rPr>
        <w:t>No. 190)</w:t>
      </w:r>
      <w:r>
        <w:rPr>
          <w:rFonts w:ascii="Lato" w:hAnsi="Lato"/>
          <w:sz w:val="24"/>
          <w:szCs w:val="24"/>
        </w:rPr>
        <w:t xml:space="preserve"> pays specific attention to gender-based violence and harassment defined as “</w:t>
      </w:r>
      <w:r w:rsidRPr="00B22AD5">
        <w:rPr>
          <w:rFonts w:ascii="Lato" w:hAnsi="Lato"/>
          <w:sz w:val="24"/>
          <w:szCs w:val="24"/>
        </w:rPr>
        <w:t>violence and harassment directed at persons because of their sex or gender, or affecting persons of a particular sex or gender disproportionately, and includes sexual harassment</w:t>
      </w:r>
      <w:r>
        <w:rPr>
          <w:rFonts w:ascii="Lato" w:hAnsi="Lato"/>
          <w:sz w:val="24"/>
          <w:szCs w:val="24"/>
        </w:rPr>
        <w:t xml:space="preserve">” (Art. 1(b)). According to CEDAW General recommendation No. </w:t>
      </w:r>
      <w:r w:rsidRPr="00B22AD5">
        <w:rPr>
          <w:rFonts w:ascii="Lato" w:hAnsi="Lato"/>
          <w:sz w:val="24"/>
          <w:szCs w:val="24"/>
        </w:rPr>
        <w:t>No. 35 on gender-based violence</w:t>
      </w:r>
      <w:r>
        <w:rPr>
          <w:rFonts w:ascii="Lato" w:hAnsi="Lato"/>
          <w:sz w:val="24"/>
          <w:szCs w:val="24"/>
        </w:rPr>
        <w:t xml:space="preserve"> </w:t>
      </w:r>
      <w:r w:rsidRPr="00B22AD5">
        <w:rPr>
          <w:rFonts w:ascii="Lato" w:hAnsi="Lato"/>
          <w:sz w:val="24"/>
          <w:szCs w:val="24"/>
        </w:rPr>
        <w:t>against women, updating general recommendation No. 1</w:t>
      </w:r>
      <w:r>
        <w:rPr>
          <w:rFonts w:ascii="Lato" w:hAnsi="Lato"/>
          <w:sz w:val="24"/>
          <w:szCs w:val="24"/>
        </w:rPr>
        <w:t>9 (</w:t>
      </w:r>
      <w:r w:rsidRPr="00B22AD5">
        <w:rPr>
          <w:rFonts w:ascii="Lato" w:hAnsi="Lato"/>
          <w:sz w:val="24"/>
          <w:szCs w:val="24"/>
        </w:rPr>
        <w:t>CEDAW/C/GC/35</w:t>
      </w:r>
      <w:r>
        <w:rPr>
          <w:rFonts w:ascii="Lato" w:hAnsi="Lato"/>
          <w:sz w:val="24"/>
          <w:szCs w:val="24"/>
        </w:rPr>
        <w:t>), gender-based violence may be aggravated by other factors, such as being lesbian, bisexual, transgender or intersex.</w:t>
      </w:r>
    </w:p>
    <w:p w14:paraId="4F98F7D3" w14:textId="35A98194" w:rsidR="0099484C" w:rsidRPr="00672944" w:rsidRDefault="00B811D3" w:rsidP="00A53D00">
      <w:pPr>
        <w:spacing w:before="120"/>
        <w:jc w:val="both"/>
        <w:rPr>
          <w:rFonts w:ascii="Lato" w:hAnsi="Lato"/>
          <w:sz w:val="24"/>
          <w:szCs w:val="24"/>
          <w:lang w:val="en-GB"/>
        </w:rPr>
      </w:pPr>
      <w:r w:rsidRPr="00672944">
        <w:rPr>
          <w:rFonts w:ascii="Lato" w:hAnsi="Lato"/>
          <w:sz w:val="24"/>
          <w:szCs w:val="24"/>
          <w:lang w:val="en-GB"/>
        </w:rPr>
        <w:t xml:space="preserve">For the above reasons, it is important to articulate the challenges faced by LGBTI individuals with disabilities in the workplace including their fear of stigma, discrimination, </w:t>
      </w:r>
      <w:r w:rsidR="005E2029" w:rsidRPr="00672944">
        <w:rPr>
          <w:rFonts w:ascii="Lato" w:hAnsi="Lato"/>
          <w:sz w:val="24"/>
          <w:szCs w:val="24"/>
          <w:lang w:val="en-GB"/>
        </w:rPr>
        <w:t>harassment,</w:t>
      </w:r>
      <w:r w:rsidRPr="00672944">
        <w:rPr>
          <w:rFonts w:ascii="Lato" w:hAnsi="Lato"/>
          <w:sz w:val="24"/>
          <w:szCs w:val="24"/>
          <w:lang w:val="en-GB"/>
        </w:rPr>
        <w:t xml:space="preserve"> or violence </w:t>
      </w:r>
      <w:r w:rsidR="00553866" w:rsidRPr="00672944">
        <w:rPr>
          <w:rFonts w:ascii="Lato" w:hAnsi="Lato"/>
          <w:sz w:val="24"/>
          <w:szCs w:val="24"/>
          <w:lang w:val="en-GB"/>
        </w:rPr>
        <w:t xml:space="preserve">based on their SOGIESC and disability </w:t>
      </w:r>
      <w:r w:rsidRPr="00672944">
        <w:rPr>
          <w:rFonts w:ascii="Lato" w:hAnsi="Lato"/>
          <w:sz w:val="24"/>
          <w:szCs w:val="24"/>
          <w:lang w:val="en-GB"/>
        </w:rPr>
        <w:t xml:space="preserve">as well as </w:t>
      </w:r>
      <w:r w:rsidR="00E375C7">
        <w:rPr>
          <w:rFonts w:ascii="Lato" w:hAnsi="Lato"/>
          <w:sz w:val="24"/>
          <w:szCs w:val="24"/>
          <w:lang w:val="en-GB"/>
        </w:rPr>
        <w:t xml:space="preserve">to </w:t>
      </w:r>
      <w:r w:rsidR="00553866" w:rsidRPr="00672944">
        <w:rPr>
          <w:rFonts w:ascii="Lato" w:hAnsi="Lato"/>
          <w:sz w:val="24"/>
          <w:szCs w:val="24"/>
          <w:lang w:val="en-GB"/>
        </w:rPr>
        <w:t>address</w:t>
      </w:r>
      <w:r w:rsidRPr="00672944">
        <w:rPr>
          <w:rFonts w:ascii="Lato" w:hAnsi="Lato"/>
          <w:sz w:val="24"/>
          <w:szCs w:val="24"/>
          <w:lang w:val="en-GB"/>
        </w:rPr>
        <w:t xml:space="preserve"> this problem in the list of measures proposed for States to protect workers at higher risk</w:t>
      </w:r>
      <w:r w:rsidR="00553866" w:rsidRPr="00672944">
        <w:rPr>
          <w:rFonts w:ascii="Lato" w:hAnsi="Lato"/>
          <w:sz w:val="24"/>
          <w:szCs w:val="24"/>
          <w:lang w:val="en-GB"/>
        </w:rPr>
        <w:t xml:space="preserve">. </w:t>
      </w:r>
    </w:p>
    <w:p w14:paraId="555AE461" w14:textId="50B3A724" w:rsidR="00B22AD5" w:rsidRPr="00322199" w:rsidRDefault="00B22AD5" w:rsidP="00322199">
      <w:pPr>
        <w:pStyle w:val="Heading2"/>
        <w:jc w:val="center"/>
        <w:rPr>
          <w:rFonts w:ascii="Lato" w:hAnsi="Lato"/>
          <w:b/>
          <w:bCs/>
          <w:sz w:val="24"/>
          <w:szCs w:val="24"/>
          <w:lang w:val="en-GB"/>
        </w:rPr>
      </w:pPr>
      <w:bookmarkStart w:id="9" w:name="_Toc66739585"/>
      <w:r w:rsidRPr="00322199">
        <w:rPr>
          <w:rFonts w:ascii="Lato" w:hAnsi="Lato"/>
          <w:b/>
          <w:bCs/>
          <w:sz w:val="24"/>
          <w:szCs w:val="24"/>
          <w:lang w:val="en-GB"/>
        </w:rPr>
        <w:lastRenderedPageBreak/>
        <w:t xml:space="preserve">Comments to para </w:t>
      </w:r>
      <w:r w:rsidR="00152003" w:rsidRPr="00322199">
        <w:rPr>
          <w:rFonts w:ascii="Lato" w:hAnsi="Lato"/>
          <w:b/>
          <w:bCs/>
          <w:sz w:val="24"/>
          <w:szCs w:val="24"/>
          <w:lang w:val="en-GB"/>
        </w:rPr>
        <w:t>2</w:t>
      </w:r>
      <w:r w:rsidRPr="00322199">
        <w:rPr>
          <w:rFonts w:ascii="Lato" w:hAnsi="Lato"/>
          <w:b/>
          <w:bCs/>
          <w:sz w:val="24"/>
          <w:szCs w:val="24"/>
          <w:lang w:val="en-GB"/>
        </w:rPr>
        <w:t xml:space="preserve"> </w:t>
      </w:r>
      <w:r w:rsidR="00152003" w:rsidRPr="00322199">
        <w:rPr>
          <w:rFonts w:ascii="Lato" w:hAnsi="Lato"/>
          <w:b/>
          <w:bCs/>
          <w:sz w:val="24"/>
          <w:szCs w:val="24"/>
          <w:lang w:val="en-GB"/>
        </w:rPr>
        <w:t>(a)</w:t>
      </w:r>
      <w:r w:rsidRPr="00322199">
        <w:rPr>
          <w:rFonts w:ascii="Lato" w:hAnsi="Lato"/>
          <w:b/>
          <w:bCs/>
          <w:sz w:val="24"/>
          <w:szCs w:val="24"/>
          <w:lang w:val="en-GB"/>
        </w:rPr>
        <w:t xml:space="preserve"> (</w:t>
      </w:r>
      <w:r w:rsidR="00152003" w:rsidRPr="00322199">
        <w:rPr>
          <w:rFonts w:ascii="Lato" w:hAnsi="Lato"/>
          <w:b/>
          <w:bCs/>
          <w:sz w:val="24"/>
          <w:szCs w:val="24"/>
          <w:lang w:val="en-GB"/>
        </w:rPr>
        <w:t>VI</w:t>
      </w:r>
      <w:r w:rsidRPr="00322199">
        <w:rPr>
          <w:rFonts w:ascii="Lato" w:hAnsi="Lato"/>
          <w:b/>
          <w:bCs/>
          <w:sz w:val="24"/>
          <w:szCs w:val="24"/>
          <w:lang w:val="en-GB"/>
        </w:rPr>
        <w:t>) of the Outline –</w:t>
      </w:r>
      <w:bookmarkEnd w:id="9"/>
    </w:p>
    <w:p w14:paraId="443C8280" w14:textId="1BCE5335" w:rsidR="00B22AD5" w:rsidRPr="00322199" w:rsidRDefault="00B22AD5" w:rsidP="00322199">
      <w:pPr>
        <w:pStyle w:val="Heading2"/>
        <w:jc w:val="center"/>
        <w:rPr>
          <w:rFonts w:ascii="Lato" w:hAnsi="Lato"/>
          <w:b/>
          <w:bCs/>
          <w:sz w:val="24"/>
          <w:szCs w:val="24"/>
        </w:rPr>
      </w:pPr>
      <w:bookmarkStart w:id="10" w:name="_Toc66739586"/>
      <w:r w:rsidRPr="00322199">
        <w:rPr>
          <w:rFonts w:ascii="Lato" w:hAnsi="Lato"/>
          <w:b/>
          <w:bCs/>
          <w:sz w:val="24"/>
          <w:szCs w:val="24"/>
        </w:rPr>
        <w:t>Article 27 (c): Labour and trade union rights on an equal basis with others</w:t>
      </w:r>
      <w:bookmarkEnd w:id="10"/>
    </w:p>
    <w:p w14:paraId="60674D6D" w14:textId="77777777" w:rsidR="00B22AD5" w:rsidRPr="00152003" w:rsidRDefault="00B22AD5" w:rsidP="00152003">
      <w:pPr>
        <w:spacing w:before="120"/>
        <w:jc w:val="both"/>
        <w:rPr>
          <w:rFonts w:ascii="Lato" w:hAnsi="Lato"/>
          <w:b/>
          <w:bCs/>
          <w:sz w:val="24"/>
          <w:szCs w:val="24"/>
          <w:lang w:val="en-GB"/>
        </w:rPr>
      </w:pPr>
      <w:r w:rsidRPr="00152003">
        <w:rPr>
          <w:rFonts w:ascii="Lato" w:hAnsi="Lato"/>
          <w:b/>
          <w:bCs/>
          <w:sz w:val="24"/>
          <w:szCs w:val="24"/>
          <w:lang w:val="en-GB"/>
        </w:rPr>
        <w:t>Recommendation:</w:t>
      </w:r>
    </w:p>
    <w:p w14:paraId="76124222" w14:textId="1CAAD5FA" w:rsidR="00B22AD5" w:rsidRPr="00152003" w:rsidRDefault="00152003" w:rsidP="00152003">
      <w:pPr>
        <w:pStyle w:val="ListParagraph"/>
        <w:numPr>
          <w:ilvl w:val="0"/>
          <w:numId w:val="2"/>
        </w:numPr>
        <w:spacing w:before="120"/>
        <w:jc w:val="both"/>
        <w:rPr>
          <w:rFonts w:ascii="Lato" w:hAnsi="Lato"/>
          <w:sz w:val="24"/>
          <w:szCs w:val="24"/>
          <w:lang w:val="en-GB"/>
        </w:rPr>
      </w:pPr>
      <w:r w:rsidRPr="00152003">
        <w:rPr>
          <w:rFonts w:ascii="Lato" w:hAnsi="Lato"/>
          <w:color w:val="auto"/>
          <w:spacing w:val="-2"/>
          <w:sz w:val="24"/>
          <w:szCs w:val="24"/>
          <w:lang w:val="en-GB"/>
        </w:rPr>
        <w:t>Ensure that LGBTI persons with disabilities are able to exercise their labour and trade union rights on an equal basis with others</w:t>
      </w:r>
      <w:r>
        <w:rPr>
          <w:rFonts w:ascii="Lato" w:hAnsi="Lato"/>
          <w:color w:val="auto"/>
          <w:spacing w:val="-2"/>
          <w:sz w:val="24"/>
          <w:szCs w:val="24"/>
          <w:lang w:val="en-GB"/>
        </w:rPr>
        <w:t xml:space="preserve"> and without discrimination based on SOGIESC</w:t>
      </w:r>
      <w:r w:rsidR="00B22AD5" w:rsidRPr="00152003">
        <w:rPr>
          <w:rFonts w:ascii="Lato" w:hAnsi="Lato"/>
          <w:color w:val="auto"/>
          <w:spacing w:val="-2"/>
          <w:sz w:val="24"/>
          <w:szCs w:val="24"/>
          <w:lang w:val="en-GB"/>
        </w:rPr>
        <w:t>.</w:t>
      </w:r>
    </w:p>
    <w:p w14:paraId="35801600" w14:textId="77777777" w:rsidR="00B22AD5" w:rsidRPr="00ED496C" w:rsidRDefault="00B22AD5" w:rsidP="00ED496C">
      <w:pPr>
        <w:spacing w:before="240"/>
        <w:jc w:val="both"/>
        <w:rPr>
          <w:rFonts w:ascii="Lato" w:hAnsi="Lato"/>
          <w:b/>
          <w:bCs/>
          <w:color w:val="auto"/>
          <w:sz w:val="24"/>
          <w:szCs w:val="24"/>
          <w:lang w:val="en-GB"/>
        </w:rPr>
      </w:pPr>
      <w:r w:rsidRPr="00ED496C">
        <w:rPr>
          <w:rFonts w:ascii="Lato" w:hAnsi="Lato"/>
          <w:b/>
          <w:bCs/>
          <w:color w:val="auto"/>
          <w:sz w:val="24"/>
          <w:szCs w:val="24"/>
          <w:lang w:val="en-GB"/>
        </w:rPr>
        <w:t>Supporting information:</w:t>
      </w:r>
    </w:p>
    <w:p w14:paraId="0DD8DD63" w14:textId="1903E811" w:rsidR="00B22AD5" w:rsidRPr="00ED496C" w:rsidRDefault="00ED496C" w:rsidP="00ED496C">
      <w:pPr>
        <w:spacing w:before="120"/>
        <w:jc w:val="both"/>
        <w:rPr>
          <w:rFonts w:ascii="Lato" w:hAnsi="Lato"/>
          <w:sz w:val="24"/>
          <w:szCs w:val="24"/>
        </w:rPr>
      </w:pPr>
      <w:r w:rsidRPr="00ED496C">
        <w:rPr>
          <w:rFonts w:ascii="Lato" w:hAnsi="Lato"/>
          <w:sz w:val="24"/>
          <w:szCs w:val="24"/>
          <w:lang w:val="en-GB"/>
        </w:rPr>
        <w:t>Even though LGBTI persons in general face higher rates of discrimination in employment, they do not have access to labour or trade unions at all (including because of negative prejudices against LGBTI in trade unions) or they are significantly underrepresented there</w:t>
      </w:r>
      <w:r w:rsidR="00B22AD5" w:rsidRPr="00ED496C">
        <w:rPr>
          <w:rFonts w:ascii="Lato" w:hAnsi="Lato"/>
          <w:sz w:val="24"/>
          <w:szCs w:val="24"/>
          <w:lang w:val="en-GB"/>
        </w:rPr>
        <w:t>.</w:t>
      </w:r>
      <w:r w:rsidRPr="00ED496C">
        <w:rPr>
          <w:rStyle w:val="FootnoteReference"/>
          <w:rFonts w:ascii="Lato" w:hAnsi="Lato"/>
          <w:sz w:val="24"/>
          <w:szCs w:val="24"/>
          <w:lang w:val="en-GB"/>
        </w:rPr>
        <w:footnoteReference w:id="11"/>
      </w:r>
      <w:r>
        <w:rPr>
          <w:rFonts w:ascii="Lato" w:hAnsi="Lato"/>
          <w:sz w:val="24"/>
          <w:szCs w:val="24"/>
          <w:lang w:val="en-GB"/>
        </w:rPr>
        <w:t xml:space="preserve"> For LGBTI persons with disabilities, joining labour or trade unions can be even more difficult</w:t>
      </w:r>
      <w:r>
        <w:rPr>
          <w:rFonts w:ascii="Lato" w:hAnsi="Lato"/>
          <w:sz w:val="24"/>
          <w:szCs w:val="24"/>
        </w:rPr>
        <w:t xml:space="preserve"> when LGBTI-friendly unions do not provide accessible platforms, or when accessible platforms are not LGBTI-friendly.</w:t>
      </w:r>
    </w:p>
    <w:p w14:paraId="6F2F27BA" w14:textId="74F75CE5" w:rsidR="00152003" w:rsidRPr="00322199" w:rsidRDefault="00152003" w:rsidP="00322199">
      <w:pPr>
        <w:pStyle w:val="Heading2"/>
        <w:jc w:val="center"/>
        <w:rPr>
          <w:rFonts w:ascii="Lato" w:hAnsi="Lato"/>
          <w:b/>
          <w:bCs/>
          <w:sz w:val="24"/>
          <w:szCs w:val="24"/>
          <w:lang w:val="en-GB"/>
        </w:rPr>
      </w:pPr>
      <w:bookmarkStart w:id="11" w:name="_Toc66739587"/>
      <w:r w:rsidRPr="00322199">
        <w:rPr>
          <w:rFonts w:ascii="Lato" w:hAnsi="Lato"/>
          <w:b/>
          <w:bCs/>
          <w:sz w:val="24"/>
          <w:szCs w:val="24"/>
          <w:lang w:val="en-GB"/>
        </w:rPr>
        <w:lastRenderedPageBreak/>
        <w:t>Comments to para 2 (a) (VII) of the Outline –</w:t>
      </w:r>
      <w:bookmarkEnd w:id="11"/>
    </w:p>
    <w:p w14:paraId="7F13FC88" w14:textId="2A6A37C6" w:rsidR="00152003" w:rsidRPr="00322199" w:rsidRDefault="00152003" w:rsidP="00322199">
      <w:pPr>
        <w:pStyle w:val="Heading2"/>
        <w:jc w:val="center"/>
        <w:rPr>
          <w:rFonts w:ascii="Lato" w:hAnsi="Lato"/>
          <w:b/>
          <w:bCs/>
          <w:sz w:val="24"/>
          <w:szCs w:val="24"/>
        </w:rPr>
      </w:pPr>
      <w:bookmarkStart w:id="12" w:name="_Toc66739588"/>
      <w:r w:rsidRPr="00322199">
        <w:rPr>
          <w:rFonts w:ascii="Lato" w:hAnsi="Lato"/>
          <w:b/>
          <w:bCs/>
          <w:sz w:val="24"/>
          <w:szCs w:val="24"/>
        </w:rPr>
        <w:t>Article 27 (d) and (j): Access to inclusive education and inclusive vocational training</w:t>
      </w:r>
      <w:bookmarkEnd w:id="12"/>
    </w:p>
    <w:p w14:paraId="3CCBF840" w14:textId="290624FE" w:rsidR="00152003" w:rsidRPr="00315904" w:rsidRDefault="00152003" w:rsidP="00406556">
      <w:pPr>
        <w:spacing w:before="120"/>
        <w:jc w:val="both"/>
        <w:rPr>
          <w:rFonts w:ascii="Lato" w:hAnsi="Lato"/>
          <w:b/>
          <w:bCs/>
          <w:sz w:val="24"/>
          <w:szCs w:val="24"/>
          <w:lang w:val="en-GB"/>
        </w:rPr>
      </w:pPr>
      <w:r w:rsidRPr="00315904">
        <w:rPr>
          <w:rFonts w:ascii="Lato" w:hAnsi="Lato"/>
          <w:b/>
          <w:bCs/>
          <w:sz w:val="24"/>
          <w:szCs w:val="24"/>
          <w:lang w:val="en-GB"/>
        </w:rPr>
        <w:t>Recommendation</w:t>
      </w:r>
      <w:r w:rsidR="00406556">
        <w:rPr>
          <w:rFonts w:ascii="Lato" w:hAnsi="Lato"/>
          <w:b/>
          <w:bCs/>
          <w:sz w:val="24"/>
          <w:szCs w:val="24"/>
          <w:lang w:val="en-GB"/>
        </w:rPr>
        <w:t>s</w:t>
      </w:r>
      <w:r w:rsidRPr="00315904">
        <w:rPr>
          <w:rFonts w:ascii="Lato" w:hAnsi="Lato"/>
          <w:b/>
          <w:bCs/>
          <w:sz w:val="24"/>
          <w:szCs w:val="24"/>
          <w:lang w:val="en-GB"/>
        </w:rPr>
        <w:t>:</w:t>
      </w:r>
    </w:p>
    <w:p w14:paraId="77FF790D" w14:textId="0EC4D141" w:rsidR="00152003" w:rsidRPr="00406556" w:rsidRDefault="00152003" w:rsidP="00406556">
      <w:pPr>
        <w:pStyle w:val="ListParagraph"/>
        <w:numPr>
          <w:ilvl w:val="0"/>
          <w:numId w:val="2"/>
        </w:numPr>
        <w:spacing w:before="120"/>
        <w:jc w:val="both"/>
        <w:rPr>
          <w:rFonts w:ascii="Lato" w:hAnsi="Lato"/>
          <w:sz w:val="24"/>
          <w:szCs w:val="24"/>
          <w:lang w:val="en-GB"/>
        </w:rPr>
      </w:pPr>
      <w:r>
        <w:rPr>
          <w:rFonts w:ascii="Lato" w:hAnsi="Lato"/>
          <w:color w:val="auto"/>
          <w:spacing w:val="-2"/>
          <w:sz w:val="24"/>
          <w:szCs w:val="24"/>
          <w:lang w:val="en-GB"/>
        </w:rPr>
        <w:t>Ensure that LGBTI</w:t>
      </w:r>
      <w:r w:rsidRPr="00152003">
        <w:rPr>
          <w:rFonts w:ascii="Lato" w:hAnsi="Lato"/>
          <w:color w:val="auto"/>
          <w:spacing w:val="-2"/>
          <w:sz w:val="24"/>
          <w:szCs w:val="24"/>
          <w:lang w:val="en-GB"/>
        </w:rPr>
        <w:t xml:space="preserve"> persons with disabilities to have effective access to general technical and vocational guidance programmes, placement services and vocational and continuing training</w:t>
      </w:r>
      <w:r w:rsidR="00406556">
        <w:rPr>
          <w:rFonts w:ascii="Lato" w:hAnsi="Lato"/>
          <w:color w:val="auto"/>
          <w:spacing w:val="-2"/>
          <w:sz w:val="24"/>
          <w:szCs w:val="24"/>
          <w:lang w:val="en-GB"/>
        </w:rPr>
        <w:t>, and are not subjected to discrimination based on SOGIESC;</w:t>
      </w:r>
    </w:p>
    <w:p w14:paraId="2F9C73F8" w14:textId="6F54F349" w:rsidR="00406556" w:rsidRPr="00315904" w:rsidRDefault="00406556" w:rsidP="00406556">
      <w:pPr>
        <w:pStyle w:val="ListParagraph"/>
        <w:numPr>
          <w:ilvl w:val="0"/>
          <w:numId w:val="2"/>
        </w:numPr>
        <w:spacing w:before="120"/>
        <w:jc w:val="both"/>
        <w:rPr>
          <w:rFonts w:ascii="Lato" w:hAnsi="Lato"/>
          <w:sz w:val="24"/>
          <w:szCs w:val="24"/>
          <w:lang w:val="en-GB"/>
        </w:rPr>
      </w:pPr>
      <w:r w:rsidRPr="00406556">
        <w:rPr>
          <w:rFonts w:ascii="Lato" w:hAnsi="Lato"/>
          <w:sz w:val="24"/>
          <w:szCs w:val="24"/>
          <w:lang w:val="en-GB"/>
        </w:rPr>
        <w:t xml:space="preserve">Promote the acquisition by </w:t>
      </w:r>
      <w:r>
        <w:rPr>
          <w:rFonts w:ascii="Lato" w:hAnsi="Lato"/>
          <w:sz w:val="24"/>
          <w:szCs w:val="24"/>
          <w:lang w:val="en-GB"/>
        </w:rPr>
        <w:t xml:space="preserve">LGBTI </w:t>
      </w:r>
      <w:r w:rsidRPr="00406556">
        <w:rPr>
          <w:rFonts w:ascii="Lato" w:hAnsi="Lato"/>
          <w:sz w:val="24"/>
          <w:szCs w:val="24"/>
          <w:lang w:val="en-GB"/>
        </w:rPr>
        <w:t>persons with disabilities of work experience in the open labour market</w:t>
      </w:r>
      <w:r>
        <w:rPr>
          <w:rFonts w:ascii="Lato" w:hAnsi="Lato"/>
          <w:sz w:val="24"/>
          <w:szCs w:val="24"/>
          <w:lang w:val="en-GB"/>
        </w:rPr>
        <w:t xml:space="preserve"> without discrimination based on SOGIESC.</w:t>
      </w:r>
    </w:p>
    <w:p w14:paraId="1ED3E4B5" w14:textId="77777777" w:rsidR="00152003" w:rsidRPr="00315904" w:rsidRDefault="00152003" w:rsidP="00406556">
      <w:pPr>
        <w:spacing w:before="240"/>
        <w:jc w:val="both"/>
        <w:rPr>
          <w:rFonts w:ascii="Lato" w:hAnsi="Lato"/>
          <w:b/>
          <w:bCs/>
          <w:color w:val="auto"/>
          <w:sz w:val="24"/>
          <w:szCs w:val="24"/>
          <w:lang w:val="en-GB"/>
        </w:rPr>
      </w:pPr>
      <w:r w:rsidRPr="00315904">
        <w:rPr>
          <w:rFonts w:ascii="Lato" w:hAnsi="Lato"/>
          <w:b/>
          <w:bCs/>
          <w:color w:val="auto"/>
          <w:sz w:val="24"/>
          <w:szCs w:val="24"/>
          <w:lang w:val="en-GB"/>
        </w:rPr>
        <w:t>Supporting information:</w:t>
      </w:r>
    </w:p>
    <w:p w14:paraId="41F9A655" w14:textId="02034281" w:rsidR="00152003" w:rsidRDefault="0027146E" w:rsidP="0027146E">
      <w:pPr>
        <w:spacing w:before="120"/>
        <w:jc w:val="both"/>
        <w:rPr>
          <w:rFonts w:ascii="Lato" w:hAnsi="Lato"/>
          <w:sz w:val="24"/>
          <w:szCs w:val="24"/>
          <w:lang w:val="en-GB"/>
        </w:rPr>
      </w:pPr>
      <w:r w:rsidRPr="0027146E">
        <w:rPr>
          <w:rFonts w:ascii="Lato" w:hAnsi="Lato"/>
          <w:sz w:val="24"/>
          <w:szCs w:val="24"/>
          <w:lang w:val="en-GB"/>
        </w:rPr>
        <w:t>According to different research studies, LGBTI persons with disabilities face multiple discrimination and bullying in educational institutions</w:t>
      </w:r>
      <w:r>
        <w:rPr>
          <w:rFonts w:ascii="Lato" w:hAnsi="Lato"/>
          <w:sz w:val="24"/>
          <w:szCs w:val="24"/>
          <w:lang w:val="en-GB"/>
        </w:rPr>
        <w:t xml:space="preserve"> – both because of their disabilities and their SOGIESC</w:t>
      </w:r>
      <w:r w:rsidR="00152003" w:rsidRPr="0027146E">
        <w:rPr>
          <w:rFonts w:ascii="Lato" w:hAnsi="Lato"/>
          <w:sz w:val="24"/>
          <w:szCs w:val="24"/>
          <w:lang w:val="en-GB"/>
        </w:rPr>
        <w:t>.</w:t>
      </w:r>
    </w:p>
    <w:p w14:paraId="094CAC74" w14:textId="7AB7D7B6" w:rsidR="00BB6531" w:rsidRPr="00BB6531" w:rsidRDefault="00BB6531" w:rsidP="00BB6531">
      <w:pPr>
        <w:spacing w:before="120"/>
        <w:jc w:val="both"/>
        <w:rPr>
          <w:rFonts w:ascii="Lato" w:hAnsi="Lato"/>
          <w:sz w:val="24"/>
          <w:szCs w:val="24"/>
        </w:rPr>
      </w:pPr>
      <w:r w:rsidRPr="00BB6531">
        <w:rPr>
          <w:rFonts w:ascii="Lato" w:hAnsi="Lato"/>
          <w:sz w:val="24"/>
          <w:szCs w:val="24"/>
        </w:rPr>
        <w:t>The Independent Expert on sexual orientation and gender identity pointed out that LGBT persons with disabilities often face intersectional discrimination and barriers to education.</w:t>
      </w:r>
      <w:r w:rsidRPr="00BB6531">
        <w:rPr>
          <w:rFonts w:ascii="Lato" w:hAnsi="Lato"/>
          <w:sz w:val="24"/>
          <w:szCs w:val="24"/>
          <w:vertAlign w:val="superscript"/>
        </w:rPr>
        <w:footnoteReference w:id="12"/>
      </w:r>
      <w:r>
        <w:rPr>
          <w:rFonts w:ascii="Lato" w:hAnsi="Lato"/>
          <w:sz w:val="24"/>
          <w:szCs w:val="24"/>
        </w:rPr>
        <w:t xml:space="preserve"> </w:t>
      </w:r>
      <w:r w:rsidRPr="00BB6531">
        <w:rPr>
          <w:rFonts w:ascii="Lato" w:hAnsi="Lato"/>
          <w:sz w:val="24"/>
          <w:szCs w:val="24"/>
        </w:rPr>
        <w:t>Indeed, LGBTI persons with disabilities face increased risks of school bullying, segrega</w:t>
      </w:r>
      <w:r w:rsidRPr="00BB6531">
        <w:rPr>
          <w:rFonts w:ascii="Lato" w:hAnsi="Lato"/>
          <w:sz w:val="24"/>
          <w:szCs w:val="24"/>
        </w:rPr>
        <w:lastRenderedPageBreak/>
        <w:t>tion in specific schools and difficult access to vocational training programmes.</w:t>
      </w:r>
      <w:r w:rsidRPr="00BB6531">
        <w:rPr>
          <w:rFonts w:ascii="Lato" w:hAnsi="Lato"/>
          <w:sz w:val="24"/>
          <w:szCs w:val="24"/>
          <w:vertAlign w:val="superscript"/>
        </w:rPr>
        <w:footnoteReference w:id="13"/>
      </w:r>
      <w:r w:rsidRPr="00BB6531">
        <w:rPr>
          <w:rFonts w:ascii="Lato" w:hAnsi="Lato"/>
          <w:sz w:val="24"/>
          <w:szCs w:val="24"/>
        </w:rPr>
        <w:t xml:space="preserve"> </w:t>
      </w:r>
      <w:r>
        <w:rPr>
          <w:rFonts w:ascii="Lato" w:hAnsi="Lato"/>
          <w:sz w:val="24"/>
          <w:szCs w:val="24"/>
        </w:rPr>
        <w:t xml:space="preserve">A </w:t>
      </w:r>
      <w:r w:rsidRPr="00BB6531">
        <w:rPr>
          <w:rFonts w:ascii="Lato" w:hAnsi="Lato"/>
          <w:sz w:val="24"/>
          <w:szCs w:val="24"/>
          <w:lang w:val="en-GB"/>
        </w:rPr>
        <w:t>British research has shown that LGBT students with disabilities are more likely to experience homophobic, biphobic and transphobic bullying than non-disabled LGBT students (60% compared to 43%).</w:t>
      </w:r>
      <w:r w:rsidRPr="00BB6531">
        <w:rPr>
          <w:rFonts w:ascii="Lato" w:hAnsi="Lato"/>
          <w:sz w:val="24"/>
          <w:szCs w:val="24"/>
          <w:vertAlign w:val="superscript"/>
          <w:lang w:val="en-GB"/>
        </w:rPr>
        <w:footnoteReference w:id="14"/>
      </w:r>
      <w:r w:rsidRPr="00BB6531">
        <w:rPr>
          <w:rFonts w:ascii="Lato" w:hAnsi="Lato"/>
          <w:sz w:val="24"/>
          <w:szCs w:val="24"/>
        </w:rPr>
        <w:t xml:space="preserve"> </w:t>
      </w:r>
      <w:r w:rsidRPr="00BB6531">
        <w:rPr>
          <w:rFonts w:ascii="Lato" w:hAnsi="Lato"/>
          <w:sz w:val="24"/>
          <w:szCs w:val="24"/>
          <w:lang w:val="en-GB"/>
        </w:rPr>
        <w:t>In the case of intersex students, research in Australia has shown that 18% of 272 survey respondents failed to complete secondary school compared to an average of 2% in the Australian population as a whole.</w:t>
      </w:r>
      <w:r w:rsidRPr="00BB6531">
        <w:rPr>
          <w:rFonts w:ascii="Lato" w:hAnsi="Lato"/>
          <w:sz w:val="24"/>
          <w:szCs w:val="24"/>
          <w:vertAlign w:val="superscript"/>
          <w:lang w:val="en-GB"/>
        </w:rPr>
        <w:footnoteReference w:id="15"/>
      </w:r>
    </w:p>
    <w:p w14:paraId="7CDDACE5" w14:textId="3E752F0D" w:rsidR="00152003" w:rsidRPr="00322199" w:rsidRDefault="00152003" w:rsidP="00322199">
      <w:pPr>
        <w:pStyle w:val="Heading1"/>
        <w:jc w:val="center"/>
        <w:rPr>
          <w:lang w:val="en-GB"/>
        </w:rPr>
      </w:pPr>
      <w:bookmarkStart w:id="13" w:name="_Toc66739589"/>
      <w:r>
        <w:rPr>
          <w:lang w:val="en-GB"/>
        </w:rPr>
        <w:t>3</w:t>
      </w:r>
      <w:r w:rsidRPr="00672944">
        <w:rPr>
          <w:lang w:val="en-GB"/>
        </w:rPr>
        <w:t>.</w:t>
      </w:r>
      <w:r>
        <w:rPr>
          <w:lang w:val="en-GB"/>
        </w:rPr>
        <w:t xml:space="preserve"> State parties’ obligations</w:t>
      </w:r>
      <w:bookmarkEnd w:id="13"/>
    </w:p>
    <w:p w14:paraId="7FC672BD" w14:textId="011C870A" w:rsidR="00152003" w:rsidRPr="00322199" w:rsidRDefault="008F42AF" w:rsidP="00322199">
      <w:pPr>
        <w:pStyle w:val="Heading2"/>
        <w:jc w:val="center"/>
        <w:rPr>
          <w:rFonts w:ascii="Lato" w:hAnsi="Lato"/>
          <w:b/>
          <w:bCs/>
          <w:sz w:val="24"/>
          <w:szCs w:val="24"/>
          <w:lang w:val="en-GB"/>
        </w:rPr>
      </w:pPr>
      <w:bookmarkStart w:id="14" w:name="_Toc66739590"/>
      <w:r w:rsidRPr="00322199">
        <w:rPr>
          <w:rFonts w:ascii="Lato" w:hAnsi="Lato"/>
          <w:b/>
          <w:bCs/>
          <w:sz w:val="24"/>
          <w:szCs w:val="24"/>
          <w:lang w:val="en-GB"/>
        </w:rPr>
        <w:t xml:space="preserve">Comments to para 3 </w:t>
      </w:r>
      <w:r w:rsidR="00152003" w:rsidRPr="00322199">
        <w:rPr>
          <w:rFonts w:ascii="Lato" w:hAnsi="Lato"/>
          <w:b/>
          <w:bCs/>
          <w:sz w:val="24"/>
          <w:szCs w:val="24"/>
          <w:lang w:val="en-GB"/>
        </w:rPr>
        <w:t>(</w:t>
      </w:r>
      <w:r w:rsidRPr="00322199">
        <w:rPr>
          <w:rFonts w:ascii="Lato" w:hAnsi="Lato"/>
          <w:b/>
          <w:bCs/>
          <w:sz w:val="24"/>
          <w:szCs w:val="24"/>
          <w:lang w:val="en-GB"/>
        </w:rPr>
        <w:t>b</w:t>
      </w:r>
      <w:r w:rsidR="00152003" w:rsidRPr="00322199">
        <w:rPr>
          <w:rFonts w:ascii="Lato" w:hAnsi="Lato"/>
          <w:b/>
          <w:bCs/>
          <w:sz w:val="24"/>
          <w:szCs w:val="24"/>
          <w:lang w:val="en-GB"/>
        </w:rPr>
        <w:t>)</w:t>
      </w:r>
      <w:r w:rsidRPr="00322199">
        <w:rPr>
          <w:rFonts w:ascii="Lato" w:hAnsi="Lato"/>
          <w:b/>
          <w:bCs/>
          <w:sz w:val="24"/>
          <w:szCs w:val="24"/>
          <w:lang w:val="en-GB"/>
        </w:rPr>
        <w:t xml:space="preserve"> (I) of the Outline –</w:t>
      </w:r>
      <w:bookmarkEnd w:id="14"/>
    </w:p>
    <w:p w14:paraId="0F4953DD" w14:textId="610B0B89" w:rsidR="008F42AF" w:rsidRPr="00322199" w:rsidRDefault="008F42AF" w:rsidP="00322199">
      <w:pPr>
        <w:pStyle w:val="Heading2"/>
        <w:jc w:val="center"/>
        <w:rPr>
          <w:rFonts w:ascii="Lato" w:hAnsi="Lato"/>
          <w:b/>
          <w:bCs/>
          <w:sz w:val="24"/>
          <w:szCs w:val="24"/>
          <w:lang w:val="en-GB"/>
        </w:rPr>
      </w:pPr>
      <w:bookmarkStart w:id="15" w:name="_Toc66739591"/>
      <w:r w:rsidRPr="00322199">
        <w:rPr>
          <w:rFonts w:ascii="Lato" w:hAnsi="Lato"/>
          <w:b/>
          <w:bCs/>
          <w:sz w:val="24"/>
          <w:szCs w:val="24"/>
          <w:lang w:val="en-GB"/>
        </w:rPr>
        <w:t>Non-discrimination, particularly on the basis of disability or multiple grounds</w:t>
      </w:r>
      <w:bookmarkEnd w:id="15"/>
    </w:p>
    <w:p w14:paraId="31DD6125" w14:textId="77777777" w:rsidR="00022BCC" w:rsidRPr="008573E6" w:rsidRDefault="00022BCC" w:rsidP="00086543">
      <w:pPr>
        <w:spacing w:before="120"/>
        <w:jc w:val="both"/>
        <w:rPr>
          <w:rFonts w:ascii="Lato" w:hAnsi="Lato"/>
          <w:b/>
          <w:bCs/>
          <w:sz w:val="24"/>
          <w:szCs w:val="24"/>
          <w:lang w:val="en-GB"/>
        </w:rPr>
      </w:pPr>
      <w:r w:rsidRPr="008573E6">
        <w:rPr>
          <w:rFonts w:ascii="Lato" w:hAnsi="Lato"/>
          <w:b/>
          <w:bCs/>
          <w:sz w:val="24"/>
          <w:szCs w:val="24"/>
          <w:lang w:val="en-GB"/>
        </w:rPr>
        <w:t>Recommendation:</w:t>
      </w:r>
    </w:p>
    <w:p w14:paraId="2D615EB4" w14:textId="4C98C3C5" w:rsidR="00022BCC" w:rsidRPr="008573E6" w:rsidRDefault="00022BCC" w:rsidP="008573E6">
      <w:pPr>
        <w:pStyle w:val="ListParagraph"/>
        <w:numPr>
          <w:ilvl w:val="0"/>
          <w:numId w:val="2"/>
        </w:numPr>
        <w:spacing w:before="120"/>
        <w:jc w:val="both"/>
        <w:rPr>
          <w:rFonts w:ascii="Lato" w:hAnsi="Lato"/>
          <w:sz w:val="24"/>
          <w:szCs w:val="24"/>
          <w:lang w:val="en-GB"/>
        </w:rPr>
      </w:pPr>
      <w:r>
        <w:rPr>
          <w:rFonts w:ascii="Lato" w:hAnsi="Lato"/>
          <w:color w:val="auto"/>
          <w:spacing w:val="-2"/>
          <w:sz w:val="24"/>
          <w:szCs w:val="24"/>
          <w:lang w:val="en-GB"/>
        </w:rPr>
        <w:t>Explicitly refer to the prevention and prohibition of intersectional discrimination based on disability and SOGIESC</w:t>
      </w:r>
      <w:r>
        <w:rPr>
          <w:rFonts w:ascii="Lato" w:hAnsi="Lato"/>
          <w:sz w:val="24"/>
          <w:szCs w:val="24"/>
          <w:lang w:val="en-GB"/>
        </w:rPr>
        <w:t>.</w:t>
      </w:r>
    </w:p>
    <w:p w14:paraId="4C471010" w14:textId="77777777" w:rsidR="009269C8" w:rsidRPr="00315904" w:rsidRDefault="009269C8" w:rsidP="009269C8">
      <w:pPr>
        <w:spacing w:before="240"/>
        <w:jc w:val="both"/>
        <w:rPr>
          <w:rFonts w:ascii="Lato" w:hAnsi="Lato"/>
          <w:b/>
          <w:bCs/>
          <w:color w:val="auto"/>
          <w:sz w:val="24"/>
          <w:szCs w:val="24"/>
          <w:lang w:val="en-GB"/>
        </w:rPr>
      </w:pPr>
      <w:r w:rsidRPr="00315904">
        <w:rPr>
          <w:rFonts w:ascii="Lato" w:hAnsi="Lato"/>
          <w:b/>
          <w:bCs/>
          <w:color w:val="auto"/>
          <w:sz w:val="24"/>
          <w:szCs w:val="24"/>
          <w:lang w:val="en-GB"/>
        </w:rPr>
        <w:t>Supporting information:</w:t>
      </w:r>
    </w:p>
    <w:p w14:paraId="3D7C8A18" w14:textId="309C7013" w:rsidR="008F42AF" w:rsidRPr="00672944" w:rsidRDefault="00086543">
      <w:pPr>
        <w:spacing w:before="120"/>
        <w:jc w:val="both"/>
        <w:rPr>
          <w:rFonts w:ascii="Lato" w:hAnsi="Lato"/>
          <w:sz w:val="24"/>
          <w:szCs w:val="24"/>
          <w:lang w:val="en-GB"/>
        </w:rPr>
      </w:pPr>
      <w:r w:rsidRPr="00672944">
        <w:rPr>
          <w:rFonts w:ascii="Lato" w:hAnsi="Lato"/>
          <w:sz w:val="24"/>
          <w:szCs w:val="24"/>
          <w:lang w:val="en-GB"/>
        </w:rPr>
        <w:lastRenderedPageBreak/>
        <w:t>As mentioned above, LGBTI individuals with disabilities face intersectional discrimination and specific challenges in different areas of work and employment based on both their SOGIESC and disability.</w:t>
      </w:r>
    </w:p>
    <w:p w14:paraId="6FB36498" w14:textId="2ECCC8B4" w:rsidR="00C84F2C" w:rsidRPr="00672944" w:rsidRDefault="00086543" w:rsidP="00A53D00">
      <w:pPr>
        <w:spacing w:before="120"/>
        <w:jc w:val="both"/>
        <w:rPr>
          <w:rFonts w:ascii="Lato" w:hAnsi="Lato"/>
          <w:sz w:val="24"/>
          <w:szCs w:val="24"/>
          <w:lang w:val="en-GB"/>
        </w:rPr>
      </w:pPr>
      <w:r w:rsidRPr="00672944">
        <w:rPr>
          <w:rFonts w:ascii="Lato" w:hAnsi="Lato"/>
          <w:sz w:val="24"/>
          <w:szCs w:val="24"/>
          <w:lang w:val="en-GB"/>
        </w:rPr>
        <w:t xml:space="preserve">In this context, the inclusion of a SOGIESC dimension while discussing state parties’ immediate obligations to prohibit and counter multiple or intersectional grounds of discrimination is </w:t>
      </w:r>
      <w:r w:rsidR="00E375C7">
        <w:rPr>
          <w:rFonts w:ascii="Lato" w:hAnsi="Lato"/>
          <w:sz w:val="24"/>
          <w:szCs w:val="24"/>
          <w:lang w:val="en-GB"/>
        </w:rPr>
        <w:t>vital</w:t>
      </w:r>
      <w:r w:rsidR="00E375C7" w:rsidRPr="00672944">
        <w:rPr>
          <w:rFonts w:ascii="Lato" w:hAnsi="Lato"/>
          <w:sz w:val="24"/>
          <w:szCs w:val="24"/>
          <w:lang w:val="en-GB"/>
        </w:rPr>
        <w:t xml:space="preserve"> </w:t>
      </w:r>
      <w:r w:rsidRPr="00672944">
        <w:rPr>
          <w:rFonts w:ascii="Lato" w:hAnsi="Lato"/>
          <w:sz w:val="24"/>
          <w:szCs w:val="24"/>
          <w:lang w:val="en-GB"/>
        </w:rPr>
        <w:t xml:space="preserve">to reflect the real experiences of LGBTI individuals with disabilities and better protect their right to work and employment. </w:t>
      </w:r>
    </w:p>
    <w:p w14:paraId="10F3C671" w14:textId="77777777" w:rsidR="00086543" w:rsidRPr="00672944" w:rsidRDefault="00086543" w:rsidP="00A53D00">
      <w:pPr>
        <w:spacing w:before="120"/>
        <w:jc w:val="both"/>
        <w:rPr>
          <w:rFonts w:ascii="Lato" w:hAnsi="Lato"/>
          <w:sz w:val="24"/>
          <w:szCs w:val="24"/>
          <w:lang w:val="en-GB"/>
        </w:rPr>
      </w:pPr>
    </w:p>
    <w:p w14:paraId="1ECADC68" w14:textId="4B4FDFA9" w:rsidR="004613CB" w:rsidRPr="00322199" w:rsidRDefault="00152003" w:rsidP="00F4279E">
      <w:pPr>
        <w:pStyle w:val="Heading1"/>
        <w:rPr>
          <w:lang w:val="en-GB"/>
        </w:rPr>
      </w:pPr>
      <w:bookmarkStart w:id="16" w:name="_Toc66739592"/>
      <w:r w:rsidRPr="00322199">
        <w:rPr>
          <w:lang w:val="en-GB"/>
        </w:rPr>
        <w:t xml:space="preserve">4. </w:t>
      </w:r>
      <w:r w:rsidR="00175129" w:rsidRPr="00322199">
        <w:rPr>
          <w:lang w:val="en-GB"/>
        </w:rPr>
        <w:t>Relationship with other provisions of the CRPD</w:t>
      </w:r>
      <w:bookmarkEnd w:id="16"/>
    </w:p>
    <w:p w14:paraId="050F7623" w14:textId="21092420" w:rsidR="00015BAD" w:rsidRPr="00F4279E" w:rsidRDefault="00015BAD" w:rsidP="00F4279E">
      <w:pPr>
        <w:pStyle w:val="Heading2"/>
        <w:jc w:val="center"/>
        <w:rPr>
          <w:rFonts w:ascii="Lato" w:hAnsi="Lato"/>
          <w:b/>
          <w:bCs/>
          <w:sz w:val="24"/>
          <w:szCs w:val="24"/>
          <w:lang w:val="en-GB"/>
        </w:rPr>
      </w:pPr>
      <w:bookmarkStart w:id="17" w:name="_Toc66739593"/>
      <w:r w:rsidRPr="00F4279E">
        <w:rPr>
          <w:rFonts w:ascii="Lato" w:hAnsi="Lato"/>
          <w:b/>
          <w:bCs/>
          <w:sz w:val="24"/>
          <w:szCs w:val="24"/>
          <w:lang w:val="en-GB"/>
        </w:rPr>
        <w:t xml:space="preserve">Comments to para </w:t>
      </w:r>
      <w:r w:rsidR="007462BA" w:rsidRPr="00F4279E">
        <w:rPr>
          <w:rFonts w:ascii="Lato" w:hAnsi="Lato"/>
          <w:b/>
          <w:bCs/>
          <w:sz w:val="24"/>
          <w:szCs w:val="24"/>
          <w:lang w:val="en-GB"/>
        </w:rPr>
        <w:t xml:space="preserve">4 </w:t>
      </w:r>
      <w:r w:rsidRPr="00F4279E">
        <w:rPr>
          <w:rFonts w:ascii="Lato" w:hAnsi="Lato"/>
          <w:b/>
          <w:bCs/>
          <w:sz w:val="24"/>
          <w:szCs w:val="24"/>
          <w:lang w:val="en-GB"/>
        </w:rPr>
        <w:t>of the Outline</w:t>
      </w:r>
      <w:bookmarkEnd w:id="17"/>
    </w:p>
    <w:p w14:paraId="3D33C387" w14:textId="76BB93FF" w:rsidR="00015BAD" w:rsidRPr="00F4279E" w:rsidRDefault="00015BAD" w:rsidP="00F4279E">
      <w:pPr>
        <w:pStyle w:val="Heading3"/>
        <w:jc w:val="center"/>
        <w:rPr>
          <w:rFonts w:ascii="Lato" w:hAnsi="Lato"/>
          <w:i/>
          <w:iCs/>
          <w:color w:val="000000" w:themeColor="text1"/>
          <w:sz w:val="24"/>
          <w:szCs w:val="24"/>
          <w:lang w:val="en-GB"/>
        </w:rPr>
      </w:pPr>
      <w:bookmarkStart w:id="18" w:name="_Toc66739594"/>
      <w:r w:rsidRPr="00F4279E">
        <w:rPr>
          <w:rFonts w:ascii="Lato" w:hAnsi="Lato"/>
          <w:i/>
          <w:iCs/>
          <w:color w:val="000000" w:themeColor="text1"/>
          <w:sz w:val="24"/>
          <w:szCs w:val="24"/>
          <w:lang w:val="en-GB"/>
        </w:rPr>
        <w:t>Article 8</w:t>
      </w:r>
      <w:r w:rsidR="005A7C48" w:rsidRPr="00F4279E">
        <w:rPr>
          <w:rFonts w:ascii="Lato" w:hAnsi="Lato"/>
          <w:i/>
          <w:iCs/>
          <w:color w:val="000000" w:themeColor="text1"/>
          <w:sz w:val="24"/>
          <w:szCs w:val="24"/>
          <w:lang w:val="en-GB"/>
        </w:rPr>
        <w:t>:</w:t>
      </w:r>
      <w:r w:rsidRPr="00F4279E">
        <w:rPr>
          <w:rFonts w:ascii="Lato" w:hAnsi="Lato"/>
          <w:i/>
          <w:iCs/>
          <w:color w:val="000000" w:themeColor="text1"/>
          <w:sz w:val="24"/>
          <w:szCs w:val="24"/>
          <w:lang w:val="en-GB"/>
        </w:rPr>
        <w:t xml:space="preserve"> Awareness-raising</w:t>
      </w:r>
      <w:bookmarkEnd w:id="18"/>
    </w:p>
    <w:p w14:paraId="5B6BB38F" w14:textId="15193A70" w:rsidR="00022BCC" w:rsidRPr="00315904" w:rsidRDefault="00022BCC" w:rsidP="00022BCC">
      <w:pPr>
        <w:spacing w:before="120"/>
        <w:jc w:val="both"/>
        <w:rPr>
          <w:rFonts w:ascii="Lato" w:hAnsi="Lato"/>
          <w:b/>
          <w:bCs/>
          <w:sz w:val="24"/>
          <w:szCs w:val="24"/>
          <w:lang w:val="en-GB"/>
        </w:rPr>
      </w:pPr>
      <w:r w:rsidRPr="00315904">
        <w:rPr>
          <w:rFonts w:ascii="Lato" w:hAnsi="Lato"/>
          <w:b/>
          <w:bCs/>
          <w:sz w:val="24"/>
          <w:szCs w:val="24"/>
          <w:lang w:val="en-GB"/>
        </w:rPr>
        <w:t>Recommendation</w:t>
      </w:r>
      <w:r w:rsidR="009269C8">
        <w:rPr>
          <w:rFonts w:ascii="Lato" w:hAnsi="Lato"/>
          <w:b/>
          <w:bCs/>
          <w:sz w:val="24"/>
          <w:szCs w:val="24"/>
          <w:lang w:val="en-GB"/>
        </w:rPr>
        <w:t>s</w:t>
      </w:r>
      <w:r w:rsidRPr="00315904">
        <w:rPr>
          <w:rFonts w:ascii="Lato" w:hAnsi="Lato"/>
          <w:b/>
          <w:bCs/>
          <w:sz w:val="24"/>
          <w:szCs w:val="24"/>
          <w:lang w:val="en-GB"/>
        </w:rPr>
        <w:t>:</w:t>
      </w:r>
    </w:p>
    <w:p w14:paraId="001FEF1E" w14:textId="5A864856" w:rsidR="00022BCC" w:rsidRPr="00B22AD5" w:rsidRDefault="00022BCC" w:rsidP="00022BCC">
      <w:pPr>
        <w:pStyle w:val="ListParagraph"/>
        <w:numPr>
          <w:ilvl w:val="0"/>
          <w:numId w:val="2"/>
        </w:numPr>
        <w:spacing w:before="120"/>
        <w:jc w:val="both"/>
        <w:rPr>
          <w:rFonts w:ascii="Lato" w:hAnsi="Lato"/>
          <w:sz w:val="24"/>
          <w:szCs w:val="24"/>
          <w:lang w:val="en-GB"/>
        </w:rPr>
      </w:pPr>
      <w:r>
        <w:rPr>
          <w:rFonts w:ascii="Lato" w:hAnsi="Lato"/>
          <w:color w:val="auto"/>
          <w:spacing w:val="-2"/>
          <w:sz w:val="24"/>
          <w:szCs w:val="24"/>
          <w:lang w:val="en-GB"/>
        </w:rPr>
        <w:t xml:space="preserve">Articulate the need for intersectional awareness-raising campaigns covering stereotypes and prejudices in relation to disability and other factors </w:t>
      </w:r>
      <w:r w:rsidR="009269C8">
        <w:rPr>
          <w:rFonts w:ascii="Lato" w:hAnsi="Lato"/>
          <w:color w:val="auto"/>
          <w:spacing w:val="-2"/>
          <w:sz w:val="24"/>
          <w:szCs w:val="24"/>
          <w:lang w:val="en-GB"/>
        </w:rPr>
        <w:t xml:space="preserve">including </w:t>
      </w:r>
      <w:r>
        <w:rPr>
          <w:rFonts w:ascii="Lato" w:hAnsi="Lato"/>
          <w:color w:val="auto"/>
          <w:spacing w:val="-2"/>
          <w:sz w:val="24"/>
          <w:szCs w:val="24"/>
          <w:lang w:val="en-GB"/>
        </w:rPr>
        <w:t>SOGIESC;</w:t>
      </w:r>
    </w:p>
    <w:p w14:paraId="6C91FFFA" w14:textId="5267E360" w:rsidR="00B22AD5" w:rsidRPr="008573E6" w:rsidRDefault="00B22AD5" w:rsidP="00022BCC">
      <w:pPr>
        <w:pStyle w:val="ListParagraph"/>
        <w:numPr>
          <w:ilvl w:val="0"/>
          <w:numId w:val="2"/>
        </w:numPr>
        <w:spacing w:before="120"/>
        <w:jc w:val="both"/>
        <w:rPr>
          <w:rFonts w:ascii="Lato" w:hAnsi="Lato"/>
          <w:sz w:val="24"/>
          <w:szCs w:val="24"/>
          <w:lang w:val="en-GB"/>
        </w:rPr>
      </w:pPr>
      <w:r>
        <w:rPr>
          <w:rFonts w:ascii="Lato" w:hAnsi="Lato"/>
          <w:sz w:val="24"/>
          <w:szCs w:val="24"/>
          <w:lang w:val="en-GB"/>
        </w:rPr>
        <w:lastRenderedPageBreak/>
        <w:t xml:space="preserve">Articulate </w:t>
      </w:r>
      <w:r w:rsidRPr="00B22AD5">
        <w:rPr>
          <w:rFonts w:ascii="Lato" w:hAnsi="Lato"/>
          <w:sz w:val="24"/>
          <w:szCs w:val="24"/>
          <w:lang w:val="en-GB"/>
        </w:rPr>
        <w:t>the need to target employers in awareness</w:t>
      </w:r>
      <w:r>
        <w:rPr>
          <w:rFonts w:ascii="Lato" w:hAnsi="Lato"/>
          <w:sz w:val="24"/>
          <w:szCs w:val="24"/>
          <w:lang w:val="en-GB"/>
        </w:rPr>
        <w:t xml:space="preserve">-raising and </w:t>
      </w:r>
      <w:r w:rsidRPr="00B22AD5">
        <w:rPr>
          <w:rFonts w:ascii="Lato" w:hAnsi="Lato"/>
          <w:sz w:val="24"/>
          <w:szCs w:val="24"/>
          <w:lang w:val="en-GB"/>
        </w:rPr>
        <w:t>sensitisation campaigns</w:t>
      </w:r>
      <w:r>
        <w:rPr>
          <w:rFonts w:ascii="Lato" w:hAnsi="Lato"/>
          <w:sz w:val="24"/>
          <w:szCs w:val="24"/>
          <w:lang w:val="en-GB"/>
        </w:rPr>
        <w:t>,</w:t>
      </w:r>
      <w:r w:rsidRPr="00B22AD5">
        <w:rPr>
          <w:rFonts w:ascii="Lato" w:hAnsi="Lato"/>
          <w:sz w:val="24"/>
          <w:szCs w:val="24"/>
          <w:lang w:val="en-GB"/>
        </w:rPr>
        <w:t xml:space="preserve"> </w:t>
      </w:r>
      <w:r>
        <w:rPr>
          <w:rFonts w:ascii="Lato" w:hAnsi="Lato"/>
          <w:sz w:val="24"/>
          <w:szCs w:val="24"/>
          <w:lang w:val="en-GB"/>
        </w:rPr>
        <w:t xml:space="preserve">inclusive of LGBTI topics, </w:t>
      </w:r>
      <w:r w:rsidRPr="00B22AD5">
        <w:rPr>
          <w:rFonts w:ascii="Lato" w:hAnsi="Lato"/>
          <w:sz w:val="24"/>
          <w:szCs w:val="24"/>
          <w:lang w:val="en-GB"/>
        </w:rPr>
        <w:t>run by governments</w:t>
      </w:r>
      <w:r>
        <w:rPr>
          <w:rFonts w:ascii="Lato" w:hAnsi="Lato"/>
          <w:sz w:val="24"/>
          <w:szCs w:val="24"/>
          <w:lang w:val="en-GB"/>
        </w:rPr>
        <w:t>;</w:t>
      </w:r>
    </w:p>
    <w:p w14:paraId="4DD450D0" w14:textId="333BB847" w:rsidR="00022BCC" w:rsidRPr="00315904" w:rsidRDefault="009269C8" w:rsidP="00022BCC">
      <w:pPr>
        <w:pStyle w:val="ListParagraph"/>
        <w:numPr>
          <w:ilvl w:val="0"/>
          <w:numId w:val="2"/>
        </w:numPr>
        <w:spacing w:before="120"/>
        <w:jc w:val="both"/>
        <w:rPr>
          <w:rFonts w:ascii="Lato" w:hAnsi="Lato"/>
          <w:sz w:val="24"/>
          <w:szCs w:val="24"/>
          <w:lang w:val="en-GB"/>
        </w:rPr>
      </w:pPr>
      <w:r>
        <w:rPr>
          <w:rFonts w:ascii="Lato" w:hAnsi="Lato"/>
          <w:sz w:val="24"/>
          <w:szCs w:val="24"/>
          <w:lang w:val="en-GB"/>
        </w:rPr>
        <w:t>Highlight the importance of awareness-raising campaigns focusing on disability aimed at other sectors such as LGBTI organizations, as well as awareness-raising campaigns focusing on SOGIESC aimed at disability organizations</w:t>
      </w:r>
      <w:r w:rsidR="00022BCC">
        <w:rPr>
          <w:rFonts w:ascii="Lato" w:hAnsi="Lato"/>
          <w:sz w:val="24"/>
          <w:szCs w:val="24"/>
          <w:lang w:val="en-GB"/>
        </w:rPr>
        <w:t>.</w:t>
      </w:r>
    </w:p>
    <w:p w14:paraId="44F9C1AC" w14:textId="77777777" w:rsidR="009269C8" w:rsidRPr="00315904" w:rsidRDefault="009269C8" w:rsidP="009269C8">
      <w:pPr>
        <w:spacing w:before="240"/>
        <w:jc w:val="both"/>
        <w:rPr>
          <w:rFonts w:ascii="Lato" w:hAnsi="Lato"/>
          <w:b/>
          <w:bCs/>
          <w:color w:val="auto"/>
          <w:sz w:val="24"/>
          <w:szCs w:val="24"/>
          <w:lang w:val="en-GB"/>
        </w:rPr>
      </w:pPr>
      <w:r w:rsidRPr="00315904">
        <w:rPr>
          <w:rFonts w:ascii="Lato" w:hAnsi="Lato"/>
          <w:b/>
          <w:bCs/>
          <w:color w:val="auto"/>
          <w:sz w:val="24"/>
          <w:szCs w:val="24"/>
          <w:lang w:val="en-GB"/>
        </w:rPr>
        <w:t>Supporting information:</w:t>
      </w:r>
    </w:p>
    <w:p w14:paraId="05E0EF55" w14:textId="06EBE825" w:rsidR="00015BAD" w:rsidRPr="00672944" w:rsidRDefault="00015BAD">
      <w:pPr>
        <w:spacing w:before="120"/>
        <w:jc w:val="both"/>
        <w:rPr>
          <w:rFonts w:ascii="Lato" w:hAnsi="Lato"/>
          <w:sz w:val="24"/>
          <w:szCs w:val="24"/>
          <w:lang w:val="en-GB"/>
        </w:rPr>
      </w:pPr>
      <w:r w:rsidRPr="00672944">
        <w:rPr>
          <w:rFonts w:ascii="Lato" w:hAnsi="Lato"/>
          <w:sz w:val="24"/>
          <w:szCs w:val="24"/>
          <w:lang w:val="en-GB"/>
        </w:rPr>
        <w:t xml:space="preserve">Awareness-raising </w:t>
      </w:r>
      <w:r w:rsidR="001200A4" w:rsidRPr="00672944">
        <w:rPr>
          <w:rFonts w:ascii="Lato" w:hAnsi="Lato"/>
          <w:sz w:val="24"/>
          <w:szCs w:val="24"/>
          <w:lang w:val="en-GB"/>
        </w:rPr>
        <w:t>programmes</w:t>
      </w:r>
      <w:r w:rsidRPr="00672944">
        <w:rPr>
          <w:rFonts w:ascii="Lato" w:hAnsi="Lato"/>
          <w:sz w:val="24"/>
          <w:szCs w:val="24"/>
          <w:lang w:val="en-GB"/>
        </w:rPr>
        <w:t xml:space="preserve"> are crucial to </w:t>
      </w:r>
      <w:r w:rsidR="00237B1E" w:rsidRPr="00672944">
        <w:rPr>
          <w:rFonts w:ascii="Lato" w:hAnsi="Lato"/>
          <w:sz w:val="24"/>
          <w:szCs w:val="24"/>
          <w:lang w:val="en-GB"/>
        </w:rPr>
        <w:t>counter</w:t>
      </w:r>
      <w:r w:rsidR="001200A4" w:rsidRPr="00672944">
        <w:rPr>
          <w:rFonts w:ascii="Lato" w:hAnsi="Lato"/>
          <w:sz w:val="24"/>
          <w:szCs w:val="24"/>
          <w:lang w:val="en-GB"/>
        </w:rPr>
        <w:t xml:space="preserve"> multiple and intersectional discrimination and</w:t>
      </w:r>
      <w:r w:rsidR="00237B1E" w:rsidRPr="00672944">
        <w:rPr>
          <w:rFonts w:ascii="Lato" w:hAnsi="Lato"/>
          <w:sz w:val="24"/>
          <w:szCs w:val="24"/>
          <w:lang w:val="en-GB"/>
        </w:rPr>
        <w:t xml:space="preserve"> discriminatory attitudes</w:t>
      </w:r>
      <w:r w:rsidRPr="00672944">
        <w:rPr>
          <w:rFonts w:ascii="Lato" w:hAnsi="Lato"/>
          <w:sz w:val="24"/>
          <w:szCs w:val="24"/>
          <w:lang w:val="en-GB"/>
        </w:rPr>
        <w:t xml:space="preserve"> faced by </w:t>
      </w:r>
      <w:r w:rsidR="001200A4" w:rsidRPr="00672944">
        <w:rPr>
          <w:rFonts w:ascii="Lato" w:hAnsi="Lato"/>
          <w:sz w:val="24"/>
          <w:szCs w:val="24"/>
          <w:lang w:val="en-GB"/>
        </w:rPr>
        <w:t>LGBTI individuals with disabilities in different areas of work and employment</w:t>
      </w:r>
      <w:r w:rsidR="000412C1" w:rsidRPr="00672944">
        <w:rPr>
          <w:rFonts w:ascii="Lato" w:hAnsi="Lato"/>
          <w:sz w:val="24"/>
          <w:szCs w:val="24"/>
          <w:lang w:val="en-GB"/>
        </w:rPr>
        <w:t>, including recruitment, working conditions, and harassment in the workplace.</w:t>
      </w:r>
      <w:r w:rsidR="006D53FB" w:rsidRPr="00672944">
        <w:rPr>
          <w:rFonts w:ascii="Lato" w:hAnsi="Lato"/>
          <w:sz w:val="24"/>
          <w:szCs w:val="24"/>
          <w:lang w:val="en-GB"/>
        </w:rPr>
        <w:t xml:space="preserve"> </w:t>
      </w:r>
    </w:p>
    <w:p w14:paraId="46D6D057" w14:textId="233592C2" w:rsidR="00015BAD" w:rsidRPr="00672944" w:rsidRDefault="00015BAD">
      <w:pPr>
        <w:spacing w:before="120"/>
        <w:jc w:val="both"/>
        <w:rPr>
          <w:rFonts w:ascii="Lato" w:hAnsi="Lato"/>
          <w:sz w:val="24"/>
          <w:szCs w:val="24"/>
          <w:lang w:val="en-GB"/>
        </w:rPr>
      </w:pPr>
      <w:r w:rsidRPr="00672944">
        <w:rPr>
          <w:rFonts w:ascii="Lato" w:hAnsi="Lato"/>
          <w:sz w:val="24"/>
          <w:szCs w:val="24"/>
          <w:lang w:val="en-GB"/>
        </w:rPr>
        <w:t xml:space="preserve">The CRPD Committee </w:t>
      </w:r>
      <w:r w:rsidR="000B4F6D" w:rsidRPr="00672944">
        <w:rPr>
          <w:rFonts w:ascii="Lato" w:hAnsi="Lato"/>
          <w:sz w:val="24"/>
          <w:szCs w:val="24"/>
          <w:lang w:val="en-GB"/>
        </w:rPr>
        <w:t xml:space="preserve">has previously </w:t>
      </w:r>
      <w:r w:rsidRPr="00672944">
        <w:rPr>
          <w:rFonts w:ascii="Lato" w:hAnsi="Lato"/>
          <w:sz w:val="24"/>
          <w:szCs w:val="24"/>
          <w:lang w:val="en-GB"/>
        </w:rPr>
        <w:t>referred to SOGIESC-related awareness-raising campaigns</w:t>
      </w:r>
      <w:r w:rsidR="000B4F6D" w:rsidRPr="00672944">
        <w:rPr>
          <w:rFonts w:ascii="Lato" w:hAnsi="Lato"/>
          <w:sz w:val="24"/>
          <w:szCs w:val="24"/>
          <w:lang w:val="en-GB"/>
        </w:rPr>
        <w:t>. For instance,</w:t>
      </w:r>
      <w:r w:rsidRPr="00672944">
        <w:rPr>
          <w:rFonts w:ascii="Lato" w:hAnsi="Lato"/>
          <w:sz w:val="24"/>
          <w:szCs w:val="24"/>
          <w:lang w:val="en-GB"/>
        </w:rPr>
        <w:t xml:space="preserve"> in its review of Canada, it expressed concerns on the absence of information about awareness campaigns to combat attitudinal barriers and prejudices against LGBTI persons with disabilities</w:t>
      </w:r>
      <w:r w:rsidR="00E375C7">
        <w:rPr>
          <w:rFonts w:ascii="Lato" w:hAnsi="Lato"/>
          <w:sz w:val="24"/>
          <w:szCs w:val="24"/>
          <w:lang w:val="en-GB"/>
        </w:rPr>
        <w:t>.</w:t>
      </w:r>
      <w:r w:rsidRPr="00672944">
        <w:rPr>
          <w:rStyle w:val="FootnoteReference"/>
          <w:rFonts w:ascii="Lato" w:hAnsi="Lato"/>
          <w:sz w:val="24"/>
          <w:szCs w:val="24"/>
          <w:lang w:val="en-GB"/>
        </w:rPr>
        <w:footnoteReference w:id="16"/>
      </w:r>
      <w:r w:rsidRPr="00672944">
        <w:rPr>
          <w:rFonts w:ascii="Lato" w:hAnsi="Lato"/>
          <w:sz w:val="24"/>
          <w:szCs w:val="24"/>
          <w:lang w:val="en-GB"/>
        </w:rPr>
        <w:t xml:space="preserve"> </w:t>
      </w:r>
    </w:p>
    <w:p w14:paraId="33CC52EE" w14:textId="7593F461" w:rsidR="00015BAD" w:rsidRPr="00E25874" w:rsidRDefault="00015BAD" w:rsidP="00E25874">
      <w:pPr>
        <w:spacing w:before="120"/>
        <w:jc w:val="both"/>
        <w:rPr>
          <w:rFonts w:ascii="Lato" w:hAnsi="Lato"/>
          <w:spacing w:val="-2"/>
          <w:sz w:val="24"/>
          <w:szCs w:val="24"/>
          <w:lang w:val="en-GB"/>
        </w:rPr>
      </w:pPr>
      <w:r w:rsidRPr="00672944">
        <w:rPr>
          <w:rFonts w:ascii="Lato" w:hAnsi="Lato"/>
          <w:spacing w:val="-2"/>
          <w:sz w:val="24"/>
          <w:szCs w:val="24"/>
          <w:lang w:val="en-GB"/>
        </w:rPr>
        <w:lastRenderedPageBreak/>
        <w:t>We highly a</w:t>
      </w:r>
      <w:r w:rsidR="000412C1" w:rsidRPr="00672944">
        <w:rPr>
          <w:rFonts w:ascii="Lato" w:hAnsi="Lato"/>
          <w:spacing w:val="-2"/>
          <w:sz w:val="24"/>
          <w:szCs w:val="24"/>
          <w:lang w:val="en-GB"/>
        </w:rPr>
        <w:t>ppreciate</w:t>
      </w:r>
      <w:r w:rsidRPr="00672944">
        <w:rPr>
          <w:rFonts w:ascii="Lato" w:hAnsi="Lato"/>
          <w:spacing w:val="-2"/>
          <w:sz w:val="24"/>
          <w:szCs w:val="24"/>
          <w:lang w:val="en-GB"/>
        </w:rPr>
        <w:t xml:space="preserve"> the CRPD Committee’s practice on article 8 of the Convention regarding explicit references to LGBTI persons, and we believe that this approach should be supported by relevant provisions in the new General Comment</w:t>
      </w:r>
      <w:r w:rsidR="006D53FB" w:rsidRPr="00672944">
        <w:rPr>
          <w:rFonts w:ascii="Lato" w:hAnsi="Lato"/>
          <w:spacing w:val="-2"/>
          <w:sz w:val="24"/>
          <w:szCs w:val="24"/>
          <w:lang w:val="en-GB"/>
        </w:rPr>
        <w:t xml:space="preserve"> on the right to work and employment. </w:t>
      </w:r>
      <w:r w:rsidRPr="00672944">
        <w:rPr>
          <w:rFonts w:ascii="Lato" w:hAnsi="Lato"/>
          <w:b/>
          <w:sz w:val="24"/>
          <w:szCs w:val="24"/>
          <w:lang w:val="en-GB"/>
        </w:rPr>
        <w:t xml:space="preserve"> </w:t>
      </w:r>
    </w:p>
    <w:p w14:paraId="4096386C" w14:textId="380539E1" w:rsidR="00015BAD" w:rsidRPr="00F4279E" w:rsidRDefault="00015BAD" w:rsidP="00F4279E">
      <w:pPr>
        <w:pStyle w:val="Heading3"/>
        <w:jc w:val="center"/>
        <w:rPr>
          <w:rFonts w:ascii="Lato" w:hAnsi="Lato"/>
          <w:i/>
          <w:iCs/>
          <w:color w:val="000000" w:themeColor="text1"/>
          <w:sz w:val="24"/>
          <w:szCs w:val="24"/>
          <w:lang w:val="en-GB"/>
        </w:rPr>
      </w:pPr>
      <w:bookmarkStart w:id="19" w:name="_Toc66739595"/>
      <w:r w:rsidRPr="00F4279E">
        <w:rPr>
          <w:rFonts w:ascii="Lato" w:hAnsi="Lato"/>
          <w:i/>
          <w:iCs/>
          <w:color w:val="000000" w:themeColor="text1"/>
          <w:sz w:val="24"/>
          <w:szCs w:val="24"/>
          <w:lang w:val="en-GB"/>
        </w:rPr>
        <w:t>Article 9</w:t>
      </w:r>
      <w:r w:rsidR="00B22AD5" w:rsidRPr="00F4279E">
        <w:rPr>
          <w:rFonts w:ascii="Lato" w:hAnsi="Lato"/>
          <w:i/>
          <w:iCs/>
          <w:color w:val="000000" w:themeColor="text1"/>
          <w:sz w:val="24"/>
          <w:szCs w:val="24"/>
          <w:lang w:val="en-GB"/>
        </w:rPr>
        <w:t xml:space="preserve">: </w:t>
      </w:r>
      <w:r w:rsidRPr="00F4279E">
        <w:rPr>
          <w:rFonts w:ascii="Lato" w:hAnsi="Lato"/>
          <w:i/>
          <w:iCs/>
          <w:color w:val="000000" w:themeColor="text1"/>
          <w:sz w:val="24"/>
          <w:szCs w:val="24"/>
          <w:lang w:val="en-GB"/>
        </w:rPr>
        <w:t>Accessibility</w:t>
      </w:r>
      <w:bookmarkEnd w:id="19"/>
    </w:p>
    <w:p w14:paraId="5AA60302" w14:textId="56DFAC5C" w:rsidR="009269C8" w:rsidRPr="00315904" w:rsidRDefault="009269C8" w:rsidP="009269C8">
      <w:pPr>
        <w:spacing w:before="120"/>
        <w:jc w:val="both"/>
        <w:rPr>
          <w:rFonts w:ascii="Lato" w:hAnsi="Lato"/>
          <w:b/>
          <w:bCs/>
          <w:sz w:val="24"/>
          <w:szCs w:val="24"/>
          <w:lang w:val="en-GB"/>
        </w:rPr>
      </w:pPr>
      <w:r w:rsidRPr="00315904">
        <w:rPr>
          <w:rFonts w:ascii="Lato" w:hAnsi="Lato"/>
          <w:b/>
          <w:bCs/>
          <w:sz w:val="24"/>
          <w:szCs w:val="24"/>
          <w:lang w:val="en-GB"/>
        </w:rPr>
        <w:t>Recommendation:</w:t>
      </w:r>
    </w:p>
    <w:p w14:paraId="2DCE54F2" w14:textId="25AC1CF5" w:rsidR="009269C8" w:rsidRPr="00315904" w:rsidRDefault="009269C8" w:rsidP="009269C8">
      <w:pPr>
        <w:pStyle w:val="ListParagraph"/>
        <w:numPr>
          <w:ilvl w:val="0"/>
          <w:numId w:val="2"/>
        </w:numPr>
        <w:spacing w:before="120"/>
        <w:jc w:val="both"/>
        <w:rPr>
          <w:rFonts w:ascii="Lato" w:hAnsi="Lato"/>
          <w:sz w:val="24"/>
          <w:szCs w:val="24"/>
          <w:lang w:val="en-GB"/>
        </w:rPr>
      </w:pPr>
      <w:r>
        <w:rPr>
          <w:rFonts w:ascii="Lato" w:hAnsi="Lato"/>
          <w:color w:val="auto"/>
          <w:spacing w:val="-2"/>
          <w:sz w:val="24"/>
          <w:szCs w:val="24"/>
          <w:lang w:val="en-GB"/>
        </w:rPr>
        <w:t>Ensure that accessibility measures take into account the needs of persons with disabilities facing intersectional barriers, exclusion in discrimination. In particular, recommend States to ensure accessibility of gender-neutral toilets in all public and private premises, as well as accessibility of information on how to protect one’s rights in cases of intersectional forms of discrimination in employment.</w:t>
      </w:r>
    </w:p>
    <w:p w14:paraId="6397B494" w14:textId="77777777" w:rsidR="009269C8" w:rsidRPr="00315904" w:rsidRDefault="009269C8" w:rsidP="009269C8">
      <w:pPr>
        <w:spacing w:before="240"/>
        <w:jc w:val="both"/>
        <w:rPr>
          <w:rFonts w:ascii="Lato" w:hAnsi="Lato"/>
          <w:b/>
          <w:bCs/>
          <w:color w:val="auto"/>
          <w:sz w:val="24"/>
          <w:szCs w:val="24"/>
          <w:lang w:val="en-GB"/>
        </w:rPr>
      </w:pPr>
      <w:r w:rsidRPr="00315904">
        <w:rPr>
          <w:rFonts w:ascii="Lato" w:hAnsi="Lato"/>
          <w:b/>
          <w:bCs/>
          <w:color w:val="auto"/>
          <w:sz w:val="24"/>
          <w:szCs w:val="24"/>
          <w:lang w:val="en-GB"/>
        </w:rPr>
        <w:t>Supporting information:</w:t>
      </w:r>
    </w:p>
    <w:p w14:paraId="36000CA4" w14:textId="2924C5D9" w:rsidR="00C85DA3" w:rsidRPr="00672944" w:rsidRDefault="00C85DA3">
      <w:pPr>
        <w:spacing w:before="120"/>
        <w:jc w:val="both"/>
        <w:rPr>
          <w:rFonts w:ascii="Lato" w:hAnsi="Lato"/>
          <w:sz w:val="24"/>
          <w:szCs w:val="24"/>
          <w:lang w:val="en-GB"/>
        </w:rPr>
      </w:pPr>
      <w:r w:rsidRPr="00672944">
        <w:rPr>
          <w:rFonts w:ascii="Lato" w:hAnsi="Lato"/>
          <w:sz w:val="24"/>
          <w:szCs w:val="24"/>
          <w:lang w:val="en-GB"/>
        </w:rPr>
        <w:t xml:space="preserve">As stated by the CRPD Committee, accessibility is one of the enabling elements for the right to work and employment of persons with disabilities. </w:t>
      </w:r>
    </w:p>
    <w:p w14:paraId="1ACBF7F8" w14:textId="036A13DF" w:rsidR="00F812EC" w:rsidRDefault="00C85DA3">
      <w:pPr>
        <w:spacing w:before="120"/>
        <w:jc w:val="both"/>
        <w:rPr>
          <w:rFonts w:ascii="Lato" w:hAnsi="Lato"/>
          <w:sz w:val="24"/>
          <w:szCs w:val="24"/>
          <w:lang w:val="en-GB"/>
        </w:rPr>
      </w:pPr>
      <w:r w:rsidRPr="00672944">
        <w:rPr>
          <w:rFonts w:ascii="Lato" w:hAnsi="Lato"/>
          <w:sz w:val="24"/>
          <w:szCs w:val="24"/>
          <w:lang w:val="en-GB"/>
        </w:rPr>
        <w:t xml:space="preserve">LGBTI individuals with disabilities, and especially those with non-conforming gender identities and expressions, </w:t>
      </w:r>
      <w:r w:rsidR="00E375C7">
        <w:rPr>
          <w:rFonts w:ascii="Lato" w:hAnsi="Lato"/>
          <w:sz w:val="24"/>
          <w:szCs w:val="24"/>
          <w:lang w:val="en-GB"/>
        </w:rPr>
        <w:t>face s</w:t>
      </w:r>
      <w:r w:rsidR="00E375C7" w:rsidRPr="00672944">
        <w:rPr>
          <w:rFonts w:ascii="Lato" w:hAnsi="Lato"/>
          <w:sz w:val="24"/>
          <w:szCs w:val="24"/>
          <w:lang w:val="en-GB"/>
        </w:rPr>
        <w:t xml:space="preserve">pecific accessibility challenges </w:t>
      </w:r>
      <w:r w:rsidR="00E375C7">
        <w:rPr>
          <w:rFonts w:ascii="Lato" w:hAnsi="Lato"/>
          <w:sz w:val="24"/>
          <w:szCs w:val="24"/>
          <w:lang w:val="en-GB"/>
        </w:rPr>
        <w:t>such as</w:t>
      </w:r>
      <w:r w:rsidRPr="00672944">
        <w:rPr>
          <w:rFonts w:ascii="Lato" w:hAnsi="Lato"/>
          <w:sz w:val="24"/>
          <w:szCs w:val="24"/>
          <w:lang w:val="en-GB"/>
        </w:rPr>
        <w:t xml:space="preserve"> the lack of access to equipped gender-neutral toi</w:t>
      </w:r>
      <w:r w:rsidRPr="00672944">
        <w:rPr>
          <w:rFonts w:ascii="Lato" w:hAnsi="Lato"/>
          <w:sz w:val="24"/>
          <w:szCs w:val="24"/>
          <w:lang w:val="en-GB"/>
        </w:rPr>
        <w:lastRenderedPageBreak/>
        <w:t>lets in the workplace</w:t>
      </w:r>
      <w:r w:rsidR="00E375C7">
        <w:rPr>
          <w:rFonts w:ascii="Lato" w:hAnsi="Lato"/>
          <w:sz w:val="24"/>
          <w:szCs w:val="24"/>
          <w:lang w:val="en-GB"/>
        </w:rPr>
        <w:t>.</w:t>
      </w:r>
      <w:r w:rsidRPr="00672944">
        <w:rPr>
          <w:rFonts w:ascii="Lato" w:hAnsi="Lato"/>
          <w:sz w:val="24"/>
          <w:szCs w:val="24"/>
          <w:vertAlign w:val="superscript"/>
          <w:lang w:val="en-GB"/>
        </w:rPr>
        <w:footnoteReference w:id="17"/>
      </w:r>
      <w:r w:rsidRPr="00672944">
        <w:rPr>
          <w:rFonts w:ascii="Lato" w:hAnsi="Lato"/>
          <w:sz w:val="24"/>
          <w:szCs w:val="24"/>
          <w:lang w:val="en-GB"/>
        </w:rPr>
        <w:t xml:space="preserve"> </w:t>
      </w:r>
      <w:r w:rsidR="00263012" w:rsidRPr="00263012">
        <w:rPr>
          <w:rFonts w:ascii="Lato" w:hAnsi="Lato"/>
          <w:sz w:val="24"/>
          <w:szCs w:val="24"/>
          <w:lang w:val="en-GB"/>
        </w:rPr>
        <w:t xml:space="preserve">Access to bathroom facilities is a constant difficulty for D/deaf and disabled </w:t>
      </w:r>
      <w:r w:rsidR="00263012">
        <w:rPr>
          <w:rFonts w:ascii="Lato" w:hAnsi="Lato"/>
          <w:sz w:val="24"/>
          <w:szCs w:val="24"/>
          <w:lang w:val="en-GB"/>
        </w:rPr>
        <w:t xml:space="preserve">trans </w:t>
      </w:r>
      <w:r w:rsidR="00263012" w:rsidRPr="00263012">
        <w:rPr>
          <w:rFonts w:ascii="Lato" w:hAnsi="Lato"/>
          <w:sz w:val="24"/>
          <w:szCs w:val="24"/>
          <w:lang w:val="en-GB"/>
        </w:rPr>
        <w:t xml:space="preserve">people in public </w:t>
      </w:r>
      <w:r w:rsidR="00263012">
        <w:rPr>
          <w:rFonts w:ascii="Lato" w:hAnsi="Lato"/>
          <w:sz w:val="24"/>
          <w:szCs w:val="24"/>
          <w:lang w:val="en-GB"/>
        </w:rPr>
        <w:t xml:space="preserve">and private </w:t>
      </w:r>
      <w:r w:rsidR="00263012" w:rsidRPr="00263012">
        <w:rPr>
          <w:rFonts w:ascii="Lato" w:hAnsi="Lato"/>
          <w:sz w:val="24"/>
          <w:szCs w:val="24"/>
          <w:lang w:val="en-GB"/>
        </w:rPr>
        <w:t xml:space="preserve">spaces and premises. </w:t>
      </w:r>
      <w:r w:rsidR="00263012">
        <w:rPr>
          <w:rFonts w:ascii="Lato" w:hAnsi="Lato"/>
          <w:sz w:val="24"/>
          <w:szCs w:val="24"/>
          <w:lang w:val="en-GB"/>
        </w:rPr>
        <w:t>There may be</w:t>
      </w:r>
      <w:r w:rsidR="00263012" w:rsidRPr="00263012">
        <w:rPr>
          <w:rFonts w:ascii="Lato" w:hAnsi="Lato"/>
          <w:sz w:val="24"/>
          <w:szCs w:val="24"/>
          <w:lang w:val="en-GB"/>
        </w:rPr>
        <w:t xml:space="preserve"> no accessible bathrooms at all, or they </w:t>
      </w:r>
      <w:r w:rsidR="00263012">
        <w:rPr>
          <w:rFonts w:ascii="Lato" w:hAnsi="Lato"/>
          <w:sz w:val="24"/>
          <w:szCs w:val="24"/>
          <w:lang w:val="en-GB"/>
        </w:rPr>
        <w:t xml:space="preserve">may </w:t>
      </w:r>
      <w:r w:rsidR="00263012" w:rsidRPr="00263012">
        <w:rPr>
          <w:rFonts w:ascii="Lato" w:hAnsi="Lato"/>
          <w:sz w:val="24"/>
          <w:szCs w:val="24"/>
          <w:lang w:val="en-GB"/>
        </w:rPr>
        <w:t>fail to appropriately cater for the needs of some D/deaf and disabled people.</w:t>
      </w:r>
      <w:r w:rsidR="00263012">
        <w:rPr>
          <w:rStyle w:val="FootnoteReference"/>
          <w:rFonts w:ascii="Lato" w:hAnsi="Lato"/>
          <w:sz w:val="24"/>
          <w:szCs w:val="24"/>
          <w:lang w:val="en-GB"/>
        </w:rPr>
        <w:footnoteReference w:id="18"/>
      </w:r>
      <w:r w:rsidR="00263012" w:rsidRPr="00263012">
        <w:rPr>
          <w:rFonts w:ascii="Lato" w:hAnsi="Lato"/>
          <w:sz w:val="24"/>
          <w:szCs w:val="24"/>
          <w:lang w:val="en-GB"/>
        </w:rPr>
        <w:t xml:space="preserve"> </w:t>
      </w:r>
      <w:r w:rsidRPr="00672944">
        <w:rPr>
          <w:rFonts w:ascii="Lato" w:hAnsi="Lato"/>
          <w:sz w:val="24"/>
          <w:szCs w:val="24"/>
          <w:lang w:val="en-GB"/>
        </w:rPr>
        <w:t>Gender-segregated toilets do not consider the gender perspectives of disabled transgender and gender non-confirming persons with disabilities, subjecting them to an increased risk of exclusion, humiliation, harassment, and gender-based violence.</w:t>
      </w:r>
    </w:p>
    <w:p w14:paraId="269783A5" w14:textId="27E1B8D0" w:rsidR="00263012" w:rsidRPr="00672944" w:rsidRDefault="00263012">
      <w:pPr>
        <w:spacing w:before="120"/>
        <w:jc w:val="both"/>
        <w:rPr>
          <w:rFonts w:ascii="Lato" w:hAnsi="Lato"/>
          <w:sz w:val="24"/>
          <w:szCs w:val="24"/>
          <w:lang w:val="en-GB"/>
        </w:rPr>
      </w:pPr>
      <w:r>
        <w:rPr>
          <w:rFonts w:ascii="Lato" w:hAnsi="Lato"/>
          <w:sz w:val="24"/>
          <w:szCs w:val="24"/>
          <w:lang w:val="en-GB"/>
        </w:rPr>
        <w:t xml:space="preserve">Many countries do not prohibit discrimination based on SOGIESC at all. When relevant laws and procedures are in place, </w:t>
      </w:r>
      <w:r>
        <w:rPr>
          <w:rFonts w:ascii="Lato" w:hAnsi="Lato"/>
          <w:sz w:val="24"/>
          <w:szCs w:val="24"/>
        </w:rPr>
        <w:t>information on how to protect one’s rights and challenge employment discrimination</w:t>
      </w:r>
      <w:r w:rsidRPr="00927C70">
        <w:rPr>
          <w:rFonts w:ascii="Lato" w:hAnsi="Lato"/>
          <w:sz w:val="24"/>
          <w:szCs w:val="24"/>
        </w:rPr>
        <w:t xml:space="preserve"> is often inaccessible due to the</w:t>
      </w:r>
      <w:r>
        <w:rPr>
          <w:rFonts w:ascii="Lato" w:hAnsi="Lato"/>
          <w:sz w:val="24"/>
          <w:szCs w:val="24"/>
        </w:rPr>
        <w:t xml:space="preserve"> written</w:t>
      </w:r>
      <w:r w:rsidRPr="00927C70">
        <w:rPr>
          <w:rFonts w:ascii="Lato" w:hAnsi="Lato"/>
          <w:sz w:val="24"/>
          <w:szCs w:val="24"/>
        </w:rPr>
        <w:t xml:space="preserve"> format it is provided </w:t>
      </w:r>
      <w:r>
        <w:rPr>
          <w:rFonts w:ascii="Lato" w:hAnsi="Lato"/>
          <w:sz w:val="24"/>
          <w:szCs w:val="24"/>
        </w:rPr>
        <w:t>in, as well as complicated language.</w:t>
      </w:r>
      <w:r>
        <w:rPr>
          <w:rStyle w:val="FootnoteReference"/>
          <w:rFonts w:ascii="Lato" w:hAnsi="Lato"/>
          <w:sz w:val="24"/>
          <w:szCs w:val="24"/>
        </w:rPr>
        <w:footnoteReference w:id="19"/>
      </w:r>
    </w:p>
    <w:p w14:paraId="3AB4AD9C" w14:textId="6828E599" w:rsidR="00015BAD" w:rsidRPr="00F4279E" w:rsidRDefault="00015BAD" w:rsidP="00F4279E">
      <w:pPr>
        <w:pStyle w:val="Heading3"/>
        <w:jc w:val="center"/>
        <w:rPr>
          <w:rFonts w:ascii="Lato" w:hAnsi="Lato"/>
          <w:i/>
          <w:iCs/>
          <w:color w:val="000000" w:themeColor="text1"/>
          <w:sz w:val="24"/>
          <w:szCs w:val="24"/>
          <w:lang w:val="en-GB"/>
        </w:rPr>
      </w:pPr>
      <w:bookmarkStart w:id="20" w:name="_Toc66739596"/>
      <w:r w:rsidRPr="00F4279E">
        <w:rPr>
          <w:rFonts w:ascii="Lato" w:hAnsi="Lato"/>
          <w:i/>
          <w:iCs/>
          <w:color w:val="000000" w:themeColor="text1"/>
          <w:sz w:val="24"/>
          <w:szCs w:val="24"/>
          <w:lang w:val="en-GB"/>
        </w:rPr>
        <w:t>Article 12</w:t>
      </w:r>
      <w:r w:rsidR="00B22AD5" w:rsidRPr="00F4279E">
        <w:rPr>
          <w:rFonts w:ascii="Lato" w:hAnsi="Lato"/>
          <w:i/>
          <w:iCs/>
          <w:color w:val="000000" w:themeColor="text1"/>
          <w:sz w:val="24"/>
          <w:szCs w:val="24"/>
          <w:lang w:val="en-GB"/>
        </w:rPr>
        <w:t xml:space="preserve">: </w:t>
      </w:r>
      <w:r w:rsidRPr="00F4279E">
        <w:rPr>
          <w:rFonts w:ascii="Lato" w:hAnsi="Lato"/>
          <w:i/>
          <w:iCs/>
          <w:color w:val="000000" w:themeColor="text1"/>
          <w:sz w:val="24"/>
          <w:szCs w:val="24"/>
          <w:lang w:val="en-GB"/>
        </w:rPr>
        <w:t>Equal recognition before the law</w:t>
      </w:r>
      <w:bookmarkEnd w:id="20"/>
    </w:p>
    <w:p w14:paraId="4487BF36" w14:textId="77777777" w:rsidR="009269C8" w:rsidRPr="00315904" w:rsidRDefault="009269C8" w:rsidP="009269C8">
      <w:pPr>
        <w:spacing w:before="120"/>
        <w:jc w:val="both"/>
        <w:rPr>
          <w:rFonts w:ascii="Lato" w:hAnsi="Lato"/>
          <w:b/>
          <w:bCs/>
          <w:sz w:val="24"/>
          <w:szCs w:val="24"/>
          <w:lang w:val="en-GB"/>
        </w:rPr>
      </w:pPr>
      <w:r w:rsidRPr="00315904">
        <w:rPr>
          <w:rFonts w:ascii="Lato" w:hAnsi="Lato"/>
          <w:b/>
          <w:bCs/>
          <w:sz w:val="24"/>
          <w:szCs w:val="24"/>
          <w:lang w:val="en-GB"/>
        </w:rPr>
        <w:t>Recommendation:</w:t>
      </w:r>
    </w:p>
    <w:p w14:paraId="26BF4DDD" w14:textId="24E9BE42" w:rsidR="009269C8" w:rsidRPr="00315904" w:rsidRDefault="009269C8" w:rsidP="009269C8">
      <w:pPr>
        <w:pStyle w:val="ListParagraph"/>
        <w:numPr>
          <w:ilvl w:val="0"/>
          <w:numId w:val="2"/>
        </w:numPr>
        <w:spacing w:before="120"/>
        <w:jc w:val="both"/>
        <w:rPr>
          <w:rFonts w:ascii="Lato" w:hAnsi="Lato"/>
          <w:sz w:val="24"/>
          <w:szCs w:val="24"/>
          <w:lang w:val="en-GB"/>
        </w:rPr>
      </w:pPr>
      <w:r>
        <w:rPr>
          <w:rFonts w:ascii="Lato" w:hAnsi="Lato"/>
          <w:color w:val="auto"/>
          <w:spacing w:val="-2"/>
          <w:sz w:val="24"/>
          <w:szCs w:val="24"/>
          <w:lang w:val="en-GB"/>
        </w:rPr>
        <w:t xml:space="preserve">Ensure that trans and gender non-conforming persons with disabilities have access to quick, transparent and accessible legal gender recognition procedures, including with regard to any </w:t>
      </w:r>
      <w:r>
        <w:rPr>
          <w:rFonts w:ascii="Lato" w:hAnsi="Lato"/>
          <w:color w:val="auto"/>
          <w:spacing w:val="-2"/>
          <w:sz w:val="24"/>
          <w:szCs w:val="24"/>
          <w:lang w:val="en-GB"/>
        </w:rPr>
        <w:lastRenderedPageBreak/>
        <w:t>documents relevant for employment such as educational certificates, employment record books or passports.</w:t>
      </w:r>
    </w:p>
    <w:p w14:paraId="44735393" w14:textId="77777777" w:rsidR="009269C8" w:rsidRPr="00315904" w:rsidRDefault="009269C8" w:rsidP="009269C8">
      <w:pPr>
        <w:spacing w:before="240"/>
        <w:jc w:val="both"/>
        <w:rPr>
          <w:rFonts w:ascii="Lato" w:hAnsi="Lato"/>
          <w:b/>
          <w:bCs/>
          <w:color w:val="auto"/>
          <w:sz w:val="24"/>
          <w:szCs w:val="24"/>
          <w:lang w:val="en-GB"/>
        </w:rPr>
      </w:pPr>
      <w:r w:rsidRPr="00315904">
        <w:rPr>
          <w:rFonts w:ascii="Lato" w:hAnsi="Lato"/>
          <w:b/>
          <w:bCs/>
          <w:color w:val="auto"/>
          <w:sz w:val="24"/>
          <w:szCs w:val="24"/>
          <w:lang w:val="en-GB"/>
        </w:rPr>
        <w:t>Supporting information:</w:t>
      </w:r>
    </w:p>
    <w:p w14:paraId="3142BB7F" w14:textId="639027B2" w:rsidR="002575CA" w:rsidRPr="00672944" w:rsidRDefault="002575CA">
      <w:pPr>
        <w:spacing w:before="120"/>
        <w:jc w:val="both"/>
        <w:rPr>
          <w:rFonts w:ascii="Lato" w:hAnsi="Lato"/>
          <w:sz w:val="24"/>
          <w:szCs w:val="24"/>
          <w:lang w:val="en-GB"/>
        </w:rPr>
      </w:pPr>
      <w:r w:rsidRPr="00672944">
        <w:rPr>
          <w:rFonts w:ascii="Lato" w:hAnsi="Lato"/>
          <w:sz w:val="24"/>
          <w:szCs w:val="24"/>
          <w:lang w:val="en-GB"/>
        </w:rPr>
        <w:t xml:space="preserve">The exercise of legal capacity is essential to access employment and fulfil the right of persons with disabilities to work and employment. </w:t>
      </w:r>
    </w:p>
    <w:p w14:paraId="4533C06D" w14:textId="443402A7" w:rsidR="00E375C7" w:rsidRDefault="00E375C7" w:rsidP="002575CA">
      <w:pPr>
        <w:spacing w:before="120"/>
        <w:jc w:val="both"/>
        <w:rPr>
          <w:rFonts w:ascii="Lato" w:hAnsi="Lato"/>
          <w:sz w:val="24"/>
          <w:szCs w:val="24"/>
          <w:lang w:val="en-GB"/>
        </w:rPr>
      </w:pPr>
      <w:r>
        <w:rPr>
          <w:rFonts w:ascii="Lato" w:hAnsi="Lato"/>
          <w:sz w:val="24"/>
          <w:szCs w:val="24"/>
          <w:lang w:val="en-GB"/>
        </w:rPr>
        <w:t>LGBTI i</w:t>
      </w:r>
      <w:r w:rsidR="00494845" w:rsidRPr="00672944">
        <w:rPr>
          <w:rFonts w:ascii="Lato" w:hAnsi="Lato"/>
          <w:sz w:val="24"/>
          <w:szCs w:val="24"/>
          <w:lang w:val="en-GB"/>
        </w:rPr>
        <w:t>ndividuals</w:t>
      </w:r>
      <w:r w:rsidR="002575CA" w:rsidRPr="00672944">
        <w:rPr>
          <w:rFonts w:ascii="Lato" w:hAnsi="Lato"/>
          <w:sz w:val="24"/>
          <w:szCs w:val="24"/>
          <w:lang w:val="en-GB"/>
        </w:rPr>
        <w:t xml:space="preserve"> have the right to exercise legal capacity without discrimination based on SOGIESC</w:t>
      </w:r>
      <w:r w:rsidR="00494845" w:rsidRPr="00672944">
        <w:rPr>
          <w:rFonts w:ascii="Lato" w:hAnsi="Lato"/>
          <w:sz w:val="24"/>
          <w:szCs w:val="24"/>
          <w:lang w:val="en-GB"/>
        </w:rPr>
        <w:t xml:space="preserve">. </w:t>
      </w:r>
      <w:r>
        <w:rPr>
          <w:rFonts w:ascii="Lato" w:hAnsi="Lato"/>
          <w:sz w:val="24"/>
          <w:szCs w:val="24"/>
          <w:lang w:val="en-GB"/>
        </w:rPr>
        <w:t>Specifically, trans and gender non-conforming persons</w:t>
      </w:r>
      <w:r w:rsidRPr="00672944">
        <w:rPr>
          <w:rFonts w:ascii="Lato" w:hAnsi="Lato"/>
          <w:sz w:val="24"/>
          <w:szCs w:val="24"/>
          <w:lang w:val="en-GB"/>
        </w:rPr>
        <w:t xml:space="preserve"> </w:t>
      </w:r>
      <w:r w:rsidR="00494845" w:rsidRPr="00672944">
        <w:rPr>
          <w:rFonts w:ascii="Lato" w:hAnsi="Lato"/>
          <w:sz w:val="24"/>
          <w:szCs w:val="24"/>
          <w:lang w:val="en-GB"/>
        </w:rPr>
        <w:t xml:space="preserve">should be able </w:t>
      </w:r>
      <w:r w:rsidR="002575CA" w:rsidRPr="00672944">
        <w:rPr>
          <w:rFonts w:ascii="Lato" w:hAnsi="Lato"/>
          <w:sz w:val="24"/>
          <w:szCs w:val="24"/>
          <w:lang w:val="en-GB"/>
        </w:rPr>
        <w:t xml:space="preserve">to </w:t>
      </w:r>
      <w:r>
        <w:rPr>
          <w:rFonts w:ascii="Lato" w:hAnsi="Lato"/>
          <w:sz w:val="24"/>
          <w:szCs w:val="24"/>
          <w:lang w:val="en-GB"/>
        </w:rPr>
        <w:t xml:space="preserve">change gender markers and names in their </w:t>
      </w:r>
      <w:r w:rsidR="002575CA" w:rsidRPr="00672944">
        <w:rPr>
          <w:rFonts w:ascii="Lato" w:hAnsi="Lato"/>
          <w:sz w:val="24"/>
          <w:szCs w:val="24"/>
          <w:lang w:val="en-GB"/>
        </w:rPr>
        <w:t xml:space="preserve">identity documents </w:t>
      </w:r>
      <w:r>
        <w:rPr>
          <w:rFonts w:ascii="Lato" w:hAnsi="Lato"/>
          <w:sz w:val="24"/>
          <w:szCs w:val="24"/>
          <w:lang w:val="en-GB"/>
        </w:rPr>
        <w:t>without abusive requirements (for example, sterilization) and</w:t>
      </w:r>
      <w:r w:rsidR="002575CA" w:rsidRPr="00672944">
        <w:rPr>
          <w:rFonts w:ascii="Lato" w:hAnsi="Lato"/>
          <w:sz w:val="24"/>
          <w:szCs w:val="24"/>
          <w:lang w:val="en-GB"/>
        </w:rPr>
        <w:t xml:space="preserve"> according to self-identifications</w:t>
      </w:r>
      <w:r>
        <w:rPr>
          <w:rFonts w:ascii="Lato" w:hAnsi="Lato"/>
          <w:sz w:val="24"/>
          <w:szCs w:val="24"/>
          <w:lang w:val="en-GB"/>
        </w:rPr>
        <w:t>.</w:t>
      </w:r>
      <w:r w:rsidR="002575CA" w:rsidRPr="00672944">
        <w:rPr>
          <w:rFonts w:ascii="Lato" w:hAnsi="Lato"/>
          <w:sz w:val="24"/>
          <w:szCs w:val="24"/>
          <w:vertAlign w:val="superscript"/>
          <w:lang w:val="en-GB"/>
        </w:rPr>
        <w:footnoteReference w:id="20"/>
      </w:r>
      <w:r w:rsidR="002575CA" w:rsidRPr="00672944">
        <w:rPr>
          <w:rFonts w:ascii="Lato" w:hAnsi="Lato"/>
          <w:sz w:val="24"/>
          <w:szCs w:val="24"/>
          <w:lang w:val="en-GB"/>
        </w:rPr>
        <w:t xml:space="preserve"> </w:t>
      </w:r>
    </w:p>
    <w:p w14:paraId="6AAE95B3" w14:textId="1A56938B" w:rsidR="00E375C7" w:rsidRDefault="00DB3605" w:rsidP="002575CA">
      <w:pPr>
        <w:spacing w:before="120"/>
        <w:jc w:val="both"/>
        <w:rPr>
          <w:rFonts w:ascii="Lato" w:hAnsi="Lato"/>
          <w:sz w:val="24"/>
          <w:szCs w:val="24"/>
          <w:lang w:val="en-GB"/>
        </w:rPr>
      </w:pPr>
      <w:r w:rsidRPr="00672944">
        <w:rPr>
          <w:rFonts w:ascii="Lato" w:hAnsi="Lato"/>
          <w:sz w:val="24"/>
          <w:szCs w:val="24"/>
          <w:lang w:val="en-GB"/>
        </w:rPr>
        <w:t>However,</w:t>
      </w:r>
      <w:r w:rsidR="00E375C7">
        <w:rPr>
          <w:rFonts w:ascii="Lato" w:hAnsi="Lato"/>
          <w:sz w:val="24"/>
          <w:szCs w:val="24"/>
          <w:lang w:val="en-GB"/>
        </w:rPr>
        <w:t xml:space="preserve"> this is not the case for trans and gender non-conforming persons in many parts of the world. For instance, in Russia, </w:t>
      </w:r>
      <w:r w:rsidR="00010F25">
        <w:rPr>
          <w:rFonts w:ascii="Lato" w:hAnsi="Lato"/>
          <w:sz w:val="24"/>
          <w:szCs w:val="24"/>
          <w:lang w:val="en-GB"/>
        </w:rPr>
        <w:t xml:space="preserve">the existing regulations do not allow to change a person’s name in their </w:t>
      </w:r>
      <w:r w:rsidR="00E375C7">
        <w:rPr>
          <w:rFonts w:ascii="Lato" w:hAnsi="Lato"/>
          <w:sz w:val="24"/>
          <w:szCs w:val="24"/>
          <w:lang w:val="en-GB"/>
        </w:rPr>
        <w:t>employment record book</w:t>
      </w:r>
      <w:r w:rsidR="00010F25">
        <w:rPr>
          <w:rFonts w:ascii="Lato" w:hAnsi="Lato"/>
          <w:sz w:val="24"/>
          <w:szCs w:val="24"/>
          <w:lang w:val="en-GB"/>
        </w:rPr>
        <w:t xml:space="preserve"> </w:t>
      </w:r>
      <w:r w:rsidR="00010F25" w:rsidRPr="008573E6">
        <w:rPr>
          <w:sz w:val="24"/>
          <w:szCs w:val="24"/>
          <w:lang w:val="en-GB"/>
        </w:rPr>
        <w:t>(</w:t>
      </w:r>
      <w:r w:rsidR="00010F25" w:rsidRPr="008573E6">
        <w:rPr>
          <w:rFonts w:hint="eastAsia"/>
          <w:sz w:val="24"/>
          <w:szCs w:val="24"/>
          <w:lang w:val="ru-RU"/>
        </w:rPr>
        <w:t>трудова</w:t>
      </w:r>
      <w:r w:rsidR="00010F25">
        <w:rPr>
          <w:sz w:val="24"/>
          <w:szCs w:val="24"/>
          <w:lang w:val="ru-RU"/>
        </w:rPr>
        <w:t>я</w:t>
      </w:r>
      <w:r w:rsidR="00010F25" w:rsidRPr="008573E6">
        <w:rPr>
          <w:sz w:val="24"/>
          <w:szCs w:val="24"/>
        </w:rPr>
        <w:t xml:space="preserve"> </w:t>
      </w:r>
      <w:r w:rsidR="00010F25" w:rsidRPr="008573E6">
        <w:rPr>
          <w:rFonts w:hint="eastAsia"/>
          <w:sz w:val="24"/>
          <w:szCs w:val="24"/>
          <w:lang w:val="ru-RU"/>
        </w:rPr>
        <w:t>кн</w:t>
      </w:r>
      <w:r w:rsidR="00010F25">
        <w:rPr>
          <w:sz w:val="24"/>
          <w:szCs w:val="24"/>
          <w:lang w:val="ru-RU"/>
        </w:rPr>
        <w:t>и</w:t>
      </w:r>
      <w:r w:rsidR="00010F25" w:rsidRPr="008573E6">
        <w:rPr>
          <w:rFonts w:hint="eastAsia"/>
          <w:sz w:val="24"/>
          <w:szCs w:val="24"/>
          <w:lang w:val="ru-RU"/>
        </w:rPr>
        <w:t>жка</w:t>
      </w:r>
      <w:r w:rsidR="00010F25" w:rsidRPr="008573E6">
        <w:rPr>
          <w:sz w:val="24"/>
          <w:szCs w:val="24"/>
          <w:lang w:val="en-GB"/>
        </w:rPr>
        <w:t>)</w:t>
      </w:r>
      <w:r w:rsidR="00010F25" w:rsidRPr="008573E6">
        <w:rPr>
          <w:rFonts w:ascii="Lato" w:hAnsi="Lato"/>
          <w:sz w:val="24"/>
          <w:szCs w:val="24"/>
        </w:rPr>
        <w:t xml:space="preserve"> </w:t>
      </w:r>
      <w:r w:rsidR="00010F25">
        <w:rPr>
          <w:rFonts w:ascii="Lato" w:hAnsi="Lato"/>
          <w:sz w:val="24"/>
          <w:szCs w:val="24"/>
          <w:lang w:val="en-GB"/>
        </w:rPr>
        <w:t>without revealing the previous name. For trans people, it usually means making their gender history open to current or potential employers and other actors.</w:t>
      </w:r>
      <w:r w:rsidR="00010F25">
        <w:rPr>
          <w:rStyle w:val="FootnoteReference"/>
          <w:rFonts w:ascii="Lato" w:hAnsi="Lato"/>
          <w:sz w:val="24"/>
          <w:szCs w:val="24"/>
          <w:lang w:val="en-GB"/>
        </w:rPr>
        <w:footnoteReference w:id="21"/>
      </w:r>
    </w:p>
    <w:p w14:paraId="0078D7AD" w14:textId="002D1ED5" w:rsidR="00927C70" w:rsidRPr="008573E6" w:rsidRDefault="00927C70" w:rsidP="002575CA">
      <w:pPr>
        <w:spacing w:before="120"/>
        <w:jc w:val="both"/>
        <w:rPr>
          <w:rFonts w:ascii="Lato" w:hAnsi="Lato"/>
          <w:sz w:val="24"/>
          <w:szCs w:val="24"/>
        </w:rPr>
      </w:pPr>
      <w:r>
        <w:rPr>
          <w:rFonts w:ascii="Lato" w:hAnsi="Lato"/>
          <w:sz w:val="24"/>
          <w:szCs w:val="24"/>
        </w:rPr>
        <w:lastRenderedPageBreak/>
        <w:t>Trans people with disabilities face additional barriers to legal gender recognition because i</w:t>
      </w:r>
      <w:r w:rsidRPr="00927C70">
        <w:rPr>
          <w:rFonts w:ascii="Lato" w:hAnsi="Lato"/>
          <w:sz w:val="24"/>
          <w:szCs w:val="24"/>
        </w:rPr>
        <w:t xml:space="preserve">nformation </w:t>
      </w:r>
      <w:r>
        <w:rPr>
          <w:rFonts w:ascii="Lato" w:hAnsi="Lato"/>
          <w:sz w:val="24"/>
          <w:szCs w:val="24"/>
        </w:rPr>
        <w:t>on relevant processes and procedures</w:t>
      </w:r>
      <w:r w:rsidRPr="00927C70">
        <w:rPr>
          <w:rFonts w:ascii="Lato" w:hAnsi="Lato"/>
          <w:sz w:val="24"/>
          <w:szCs w:val="24"/>
        </w:rPr>
        <w:t xml:space="preserve"> is often inaccessible due to the format it is provided in, i.e. in writing, and the complicated language it uses</w:t>
      </w:r>
      <w:r>
        <w:rPr>
          <w:rFonts w:ascii="Lato" w:hAnsi="Lato"/>
          <w:sz w:val="24"/>
          <w:szCs w:val="24"/>
        </w:rPr>
        <w:t>.</w:t>
      </w:r>
      <w:r>
        <w:rPr>
          <w:rStyle w:val="FootnoteReference"/>
          <w:rFonts w:ascii="Lato" w:hAnsi="Lato"/>
          <w:sz w:val="24"/>
          <w:szCs w:val="24"/>
        </w:rPr>
        <w:footnoteReference w:id="22"/>
      </w:r>
      <w:r>
        <w:rPr>
          <w:rFonts w:ascii="Lato" w:hAnsi="Lato"/>
          <w:sz w:val="24"/>
          <w:szCs w:val="24"/>
        </w:rPr>
        <w:t xml:space="preserve"> In addition, these procedures usually involve additional costs while </w:t>
      </w:r>
      <w:r w:rsidRPr="00927C70">
        <w:rPr>
          <w:rFonts w:ascii="Lato" w:hAnsi="Lato"/>
          <w:sz w:val="24"/>
          <w:szCs w:val="24"/>
        </w:rPr>
        <w:t>disabled trans people are at a high risk of living in poverty</w:t>
      </w:r>
      <w:r>
        <w:rPr>
          <w:rFonts w:ascii="Lato" w:hAnsi="Lato"/>
          <w:sz w:val="24"/>
          <w:szCs w:val="24"/>
        </w:rPr>
        <w:t>.</w:t>
      </w:r>
      <w:r>
        <w:rPr>
          <w:rStyle w:val="FootnoteReference"/>
          <w:rFonts w:ascii="Lato" w:hAnsi="Lato"/>
          <w:sz w:val="24"/>
          <w:szCs w:val="24"/>
        </w:rPr>
        <w:footnoteReference w:id="23"/>
      </w:r>
    </w:p>
    <w:p w14:paraId="7CF2438D" w14:textId="0666EAEE" w:rsidR="002575CA" w:rsidRPr="00672944" w:rsidRDefault="00E375C7" w:rsidP="002575CA">
      <w:pPr>
        <w:spacing w:before="120"/>
        <w:jc w:val="both"/>
        <w:rPr>
          <w:rFonts w:ascii="Lato" w:hAnsi="Lato"/>
          <w:sz w:val="24"/>
          <w:szCs w:val="24"/>
          <w:lang w:val="en-GB"/>
        </w:rPr>
      </w:pPr>
      <w:r>
        <w:rPr>
          <w:rFonts w:ascii="Lato" w:hAnsi="Lato"/>
          <w:sz w:val="24"/>
          <w:szCs w:val="24"/>
          <w:lang w:val="en-GB"/>
        </w:rPr>
        <w:t>G</w:t>
      </w:r>
      <w:r w:rsidR="00DB3605" w:rsidRPr="00672944">
        <w:rPr>
          <w:rFonts w:ascii="Lato" w:hAnsi="Lato"/>
          <w:sz w:val="24"/>
          <w:szCs w:val="24"/>
          <w:lang w:val="en-GB"/>
        </w:rPr>
        <w:t xml:space="preserve">ender non-conforming individuals experience deprivation of legal gender recognition that acts as a barrier to accessing their right to work and employment. </w:t>
      </w:r>
    </w:p>
    <w:p w14:paraId="2C4FBE64" w14:textId="4100AD48" w:rsidR="00DB3605" w:rsidRPr="00672944" w:rsidRDefault="00927C70" w:rsidP="00DB3605">
      <w:pPr>
        <w:spacing w:before="120"/>
        <w:jc w:val="both"/>
        <w:rPr>
          <w:rFonts w:ascii="Lato" w:hAnsi="Lato"/>
          <w:sz w:val="24"/>
          <w:szCs w:val="24"/>
          <w:lang w:val="en-GB"/>
        </w:rPr>
      </w:pPr>
      <w:r>
        <w:rPr>
          <w:rFonts w:ascii="Lato" w:hAnsi="Lato"/>
          <w:sz w:val="24"/>
          <w:szCs w:val="24"/>
          <w:lang w:val="en-GB"/>
        </w:rPr>
        <w:t>Trans and g</w:t>
      </w:r>
      <w:r w:rsidR="00DB3605" w:rsidRPr="00672944">
        <w:rPr>
          <w:rFonts w:ascii="Lato" w:hAnsi="Lato"/>
          <w:sz w:val="24"/>
          <w:szCs w:val="24"/>
          <w:lang w:val="en-GB"/>
        </w:rPr>
        <w:t xml:space="preserve">ender non-conforming individuals with disabilities are </w:t>
      </w:r>
      <w:r w:rsidR="00E375C7">
        <w:rPr>
          <w:rFonts w:ascii="Lato" w:hAnsi="Lato"/>
          <w:sz w:val="24"/>
          <w:szCs w:val="24"/>
          <w:lang w:val="en-GB"/>
        </w:rPr>
        <w:t>particularly</w:t>
      </w:r>
      <w:r w:rsidR="00E375C7" w:rsidRPr="00672944">
        <w:rPr>
          <w:rFonts w:ascii="Lato" w:hAnsi="Lato"/>
          <w:sz w:val="24"/>
          <w:szCs w:val="24"/>
          <w:lang w:val="en-GB"/>
        </w:rPr>
        <w:t xml:space="preserve"> </w:t>
      </w:r>
      <w:r w:rsidR="00DB3605" w:rsidRPr="00672944">
        <w:rPr>
          <w:rFonts w:ascii="Lato" w:hAnsi="Lato"/>
          <w:sz w:val="24"/>
          <w:szCs w:val="24"/>
          <w:lang w:val="en-GB"/>
        </w:rPr>
        <w:t xml:space="preserve">disadvantaged in working life as they might experience deprivation of legal capacity based on disability status </w:t>
      </w:r>
      <w:r w:rsidR="0009479F" w:rsidRPr="00672944">
        <w:rPr>
          <w:rFonts w:ascii="Lato" w:hAnsi="Lato"/>
          <w:sz w:val="24"/>
          <w:szCs w:val="24"/>
          <w:lang w:val="en-GB"/>
        </w:rPr>
        <w:t>and</w:t>
      </w:r>
      <w:r w:rsidR="00DB3605" w:rsidRPr="00672944">
        <w:rPr>
          <w:rFonts w:ascii="Lato" w:hAnsi="Lato"/>
          <w:sz w:val="24"/>
          <w:szCs w:val="24"/>
          <w:lang w:val="en-GB"/>
        </w:rPr>
        <w:t xml:space="preserve"> deprivation of legal gender recognition. Reflecting the real experiences of </w:t>
      </w:r>
      <w:r w:rsidR="0009479F" w:rsidRPr="00672944">
        <w:rPr>
          <w:rFonts w:ascii="Lato" w:hAnsi="Lato"/>
          <w:sz w:val="24"/>
          <w:szCs w:val="24"/>
          <w:lang w:val="en-GB"/>
        </w:rPr>
        <w:t>gender non-conforming</w:t>
      </w:r>
      <w:r w:rsidR="00DB3605" w:rsidRPr="00672944">
        <w:rPr>
          <w:rFonts w:ascii="Lato" w:hAnsi="Lato"/>
          <w:sz w:val="24"/>
          <w:szCs w:val="24"/>
          <w:lang w:val="en-GB"/>
        </w:rPr>
        <w:t xml:space="preserve"> individuals with disabilities in relation to this issue in the General Comment would ensure better protection of their right to work and employment. </w:t>
      </w:r>
    </w:p>
    <w:sectPr w:rsidR="00DB3605" w:rsidRPr="00672944" w:rsidSect="00AD15A8">
      <w:footerReference w:type="even" r:id="rId8"/>
      <w:footerReference w:type="default" r:id="rId9"/>
      <w:endnotePr>
        <w:numFmt w:val="decimal"/>
      </w:endnotePr>
      <w:pgSz w:w="11909" w:h="16834"/>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C3791" w14:textId="77777777" w:rsidR="00D421C8" w:rsidRDefault="00D421C8">
      <w:pPr>
        <w:spacing w:line="240" w:lineRule="auto"/>
      </w:pPr>
      <w:r>
        <w:separator/>
      </w:r>
    </w:p>
  </w:endnote>
  <w:endnote w:type="continuationSeparator" w:id="0">
    <w:p w14:paraId="5FF73060" w14:textId="77777777" w:rsidR="00D421C8" w:rsidRDefault="00D421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Lato">
    <w:altName w:val="Calibri"/>
    <w:charset w:val="4D"/>
    <w:family w:val="swiss"/>
    <w:pitch w:val="variable"/>
    <w:sig w:usb0="A00000AF" w:usb1="50006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44BF3" w14:textId="77777777" w:rsidR="00EC6C31" w:rsidRDefault="00EC6C31" w:rsidP="007462B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825D81" w14:textId="77777777" w:rsidR="00EC6C31" w:rsidRDefault="00EC6C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91751" w14:textId="77CBA44E" w:rsidR="00EC6C31" w:rsidRDefault="00EC6C31" w:rsidP="007462B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74BE">
      <w:rPr>
        <w:rStyle w:val="PageNumber"/>
        <w:noProof/>
      </w:rPr>
      <w:t>1</w:t>
    </w:r>
    <w:r>
      <w:rPr>
        <w:rStyle w:val="PageNumber"/>
      </w:rPr>
      <w:fldChar w:fldCharType="end"/>
    </w:r>
  </w:p>
  <w:p w14:paraId="2DB06DB2" w14:textId="77777777" w:rsidR="00EC6C31" w:rsidRDefault="00EC6C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AD33B" w14:textId="77777777" w:rsidR="00D421C8" w:rsidRDefault="00D421C8">
      <w:pPr>
        <w:spacing w:line="240" w:lineRule="auto"/>
      </w:pPr>
      <w:r>
        <w:separator/>
      </w:r>
    </w:p>
  </w:footnote>
  <w:footnote w:type="continuationSeparator" w:id="0">
    <w:p w14:paraId="691479DA" w14:textId="77777777" w:rsidR="00D421C8" w:rsidRDefault="00D421C8">
      <w:pPr>
        <w:spacing w:line="240" w:lineRule="auto"/>
      </w:pPr>
      <w:r>
        <w:continuationSeparator/>
      </w:r>
    </w:p>
  </w:footnote>
  <w:footnote w:id="1">
    <w:p w14:paraId="75CEAE6D" w14:textId="20CD2E67" w:rsidR="005034CD" w:rsidRPr="008B30D9" w:rsidRDefault="005034CD">
      <w:pPr>
        <w:pStyle w:val="FootnoteText"/>
        <w:rPr>
          <w:rFonts w:ascii="Lato" w:hAnsi="Lato"/>
          <w:sz w:val="18"/>
          <w:szCs w:val="18"/>
        </w:rPr>
      </w:pPr>
      <w:r w:rsidRPr="005034CD">
        <w:rPr>
          <w:rStyle w:val="FootnoteReference"/>
          <w:rFonts w:ascii="Lato" w:hAnsi="Lato"/>
          <w:sz w:val="18"/>
          <w:szCs w:val="18"/>
        </w:rPr>
        <w:footnoteRef/>
      </w:r>
      <w:r w:rsidRPr="005034CD">
        <w:rPr>
          <w:rFonts w:ascii="Lato" w:hAnsi="Lato"/>
          <w:sz w:val="18"/>
          <w:szCs w:val="18"/>
        </w:rPr>
        <w:t xml:space="preserve"> Access to rights-based support for persons with disabilities</w:t>
      </w:r>
      <w:r w:rsidR="00207772">
        <w:rPr>
          <w:rFonts w:ascii="Lato" w:hAnsi="Lato"/>
          <w:sz w:val="18"/>
          <w:szCs w:val="18"/>
        </w:rPr>
        <w:t xml:space="preserve"> (2017)</w:t>
      </w:r>
      <w:r>
        <w:rPr>
          <w:rFonts w:ascii="Lato" w:hAnsi="Lato"/>
          <w:sz w:val="18"/>
          <w:szCs w:val="18"/>
        </w:rPr>
        <w:t xml:space="preserve">, </w:t>
      </w:r>
      <w:hyperlink r:id="rId1" w:history="1">
        <w:r w:rsidRPr="005034CD">
          <w:rPr>
            <w:rStyle w:val="Hyperlink"/>
            <w:rFonts w:ascii="Lato" w:hAnsi="Lato"/>
            <w:sz w:val="18"/>
            <w:szCs w:val="18"/>
          </w:rPr>
          <w:t>A/HRC/34/58</w:t>
        </w:r>
      </w:hyperlink>
      <w:r>
        <w:rPr>
          <w:rFonts w:ascii="Lato" w:hAnsi="Lato"/>
          <w:sz w:val="18"/>
          <w:szCs w:val="18"/>
        </w:rPr>
        <w:t xml:space="preserve">, </w:t>
      </w:r>
      <w:r w:rsidR="008B30D9">
        <w:rPr>
          <w:rFonts w:ascii="Lato" w:hAnsi="Lato"/>
          <w:sz w:val="18"/>
          <w:szCs w:val="18"/>
        </w:rPr>
        <w:t>para</w:t>
      </w:r>
      <w:r>
        <w:rPr>
          <w:rFonts w:ascii="Lato" w:hAnsi="Lato"/>
          <w:sz w:val="18"/>
          <w:szCs w:val="18"/>
        </w:rPr>
        <w:t xml:space="preserve"> 42; The rights of persons </w:t>
      </w:r>
      <w:r w:rsidRPr="008B30D9">
        <w:rPr>
          <w:rFonts w:ascii="Lato" w:hAnsi="Lato"/>
          <w:sz w:val="18"/>
          <w:szCs w:val="18"/>
        </w:rPr>
        <w:t>with disabilities to social protection</w:t>
      </w:r>
      <w:r w:rsidR="0063715D">
        <w:rPr>
          <w:rFonts w:ascii="Lato" w:hAnsi="Lato"/>
          <w:sz w:val="18"/>
          <w:szCs w:val="18"/>
        </w:rPr>
        <w:t xml:space="preserve"> </w:t>
      </w:r>
      <w:r w:rsidR="00207772">
        <w:rPr>
          <w:rFonts w:ascii="Lato" w:hAnsi="Lato"/>
          <w:sz w:val="18"/>
          <w:szCs w:val="18"/>
        </w:rPr>
        <w:t>(2015)</w:t>
      </w:r>
      <w:r w:rsidRPr="008B30D9">
        <w:rPr>
          <w:rFonts w:ascii="Lato" w:hAnsi="Lato"/>
          <w:sz w:val="18"/>
          <w:szCs w:val="18"/>
        </w:rPr>
        <w:t xml:space="preserve">, </w:t>
      </w:r>
      <w:hyperlink r:id="rId2" w:history="1">
        <w:r w:rsidRPr="008B30D9">
          <w:rPr>
            <w:rStyle w:val="Hyperlink"/>
            <w:rFonts w:ascii="Lato" w:hAnsi="Lato"/>
            <w:sz w:val="18"/>
            <w:szCs w:val="18"/>
          </w:rPr>
          <w:t>A/70/297</w:t>
        </w:r>
      </w:hyperlink>
      <w:r w:rsidRPr="008B30D9">
        <w:rPr>
          <w:rFonts w:ascii="Lato" w:hAnsi="Lato"/>
          <w:sz w:val="18"/>
          <w:szCs w:val="18"/>
        </w:rPr>
        <w:t xml:space="preserve">, </w:t>
      </w:r>
      <w:r w:rsidR="008B30D9" w:rsidRPr="008B30D9">
        <w:rPr>
          <w:rFonts w:ascii="Lato" w:hAnsi="Lato"/>
          <w:sz w:val="18"/>
          <w:szCs w:val="18"/>
        </w:rPr>
        <w:t>para</w:t>
      </w:r>
      <w:r w:rsidRPr="008B30D9">
        <w:rPr>
          <w:rFonts w:ascii="Lato" w:hAnsi="Lato"/>
          <w:sz w:val="18"/>
          <w:szCs w:val="18"/>
        </w:rPr>
        <w:t xml:space="preserve"> 40</w:t>
      </w:r>
      <w:r w:rsidR="008B30D9">
        <w:rPr>
          <w:rFonts w:ascii="Lato" w:hAnsi="Lato"/>
          <w:sz w:val="18"/>
          <w:szCs w:val="18"/>
        </w:rPr>
        <w:t>.</w:t>
      </w:r>
    </w:p>
  </w:footnote>
  <w:footnote w:id="2">
    <w:p w14:paraId="1CD07E9F" w14:textId="33E035DB" w:rsidR="008B30D9" w:rsidRPr="008B30D9" w:rsidRDefault="008B30D9" w:rsidP="008B30D9">
      <w:pPr>
        <w:pStyle w:val="Heading1"/>
        <w:spacing w:before="161" w:after="161"/>
        <w:rPr>
          <w:rFonts w:ascii="Lato" w:hAnsi="Lato"/>
          <w:caps/>
          <w:color w:val="4D4D4D"/>
          <w:spacing w:val="-5"/>
          <w:sz w:val="18"/>
          <w:szCs w:val="18"/>
        </w:rPr>
      </w:pPr>
      <w:r w:rsidRPr="008B30D9">
        <w:rPr>
          <w:rStyle w:val="FootnoteReference"/>
          <w:rFonts w:ascii="Lato" w:hAnsi="Lato"/>
          <w:sz w:val="18"/>
          <w:szCs w:val="18"/>
        </w:rPr>
        <w:footnoteRef/>
      </w:r>
      <w:r w:rsidRPr="008B30D9">
        <w:rPr>
          <w:rFonts w:ascii="Lato" w:hAnsi="Lato"/>
          <w:sz w:val="18"/>
          <w:szCs w:val="18"/>
        </w:rPr>
        <w:t xml:space="preserve"> Socio-cultural and economic inclusion</w:t>
      </w:r>
      <w:r w:rsidR="00207772">
        <w:rPr>
          <w:rFonts w:ascii="Lato" w:hAnsi="Lato"/>
          <w:sz w:val="18"/>
          <w:szCs w:val="18"/>
        </w:rPr>
        <w:t xml:space="preserve"> (2019)</w:t>
      </w:r>
      <w:r w:rsidRPr="008B30D9">
        <w:rPr>
          <w:rFonts w:ascii="Lato" w:hAnsi="Lato"/>
          <w:color w:val="auto"/>
          <w:sz w:val="18"/>
          <w:szCs w:val="18"/>
        </w:rPr>
        <w:t xml:space="preserve">, </w:t>
      </w:r>
      <w:hyperlink r:id="rId3" w:history="1">
        <w:r w:rsidRPr="00075D30">
          <w:rPr>
            <w:rStyle w:val="Hyperlink"/>
            <w:rFonts w:ascii="Lato" w:hAnsi="Lato"/>
            <w:caps/>
            <w:spacing w:val="-5"/>
            <w:sz w:val="18"/>
            <w:szCs w:val="18"/>
          </w:rPr>
          <w:t>A/74/181</w:t>
        </w:r>
      </w:hyperlink>
      <w:r w:rsidR="00075D30">
        <w:rPr>
          <w:rFonts w:ascii="Lato" w:hAnsi="Lato"/>
          <w:caps/>
          <w:color w:val="auto"/>
          <w:spacing w:val="-5"/>
          <w:sz w:val="18"/>
          <w:szCs w:val="18"/>
        </w:rPr>
        <w:t xml:space="preserve">, </w:t>
      </w:r>
      <w:r w:rsidR="00075D30" w:rsidRPr="008B30D9">
        <w:rPr>
          <w:rFonts w:ascii="Lato" w:hAnsi="Lato"/>
          <w:sz w:val="18"/>
          <w:szCs w:val="18"/>
        </w:rPr>
        <w:t>para</w:t>
      </w:r>
      <w:r>
        <w:rPr>
          <w:rFonts w:ascii="Lato" w:hAnsi="Lato"/>
          <w:caps/>
          <w:color w:val="auto"/>
          <w:spacing w:val="-5"/>
          <w:sz w:val="18"/>
          <w:szCs w:val="18"/>
        </w:rPr>
        <w:t xml:space="preserve"> 50.</w:t>
      </w:r>
    </w:p>
    <w:p w14:paraId="6E693283" w14:textId="05964825" w:rsidR="008B30D9" w:rsidRDefault="008B30D9">
      <w:pPr>
        <w:pStyle w:val="FootnoteText"/>
      </w:pPr>
    </w:p>
  </w:footnote>
  <w:footnote w:id="3">
    <w:p w14:paraId="21457916" w14:textId="633AE671" w:rsidR="00AF1838" w:rsidRPr="00AF1838" w:rsidRDefault="00AF1838">
      <w:pPr>
        <w:pStyle w:val="FootnoteText"/>
        <w:rPr>
          <w:rFonts w:ascii="Lato" w:hAnsi="Lato"/>
          <w:sz w:val="18"/>
          <w:szCs w:val="18"/>
        </w:rPr>
      </w:pPr>
      <w:r w:rsidRPr="00AF1838">
        <w:rPr>
          <w:rStyle w:val="FootnoteReference"/>
          <w:rFonts w:ascii="Lato" w:hAnsi="Lato"/>
          <w:sz w:val="18"/>
          <w:szCs w:val="18"/>
        </w:rPr>
        <w:footnoteRef/>
      </w:r>
      <w:r w:rsidRPr="00AF1838">
        <w:rPr>
          <w:rFonts w:ascii="Lato" w:hAnsi="Lato"/>
          <w:sz w:val="18"/>
          <w:szCs w:val="18"/>
        </w:rPr>
        <w:t xml:space="preserve"> LGBT workers entitled to equal rights and benefits at the workplace</w:t>
      </w:r>
      <w:r w:rsidR="00A00B32">
        <w:rPr>
          <w:rFonts w:ascii="Lato" w:hAnsi="Lato"/>
          <w:sz w:val="18"/>
          <w:szCs w:val="18"/>
        </w:rPr>
        <w:t xml:space="preserve"> (2015)</w:t>
      </w:r>
      <w:r w:rsidRPr="00AF1838">
        <w:rPr>
          <w:rFonts w:ascii="Lato" w:hAnsi="Lato"/>
          <w:sz w:val="18"/>
          <w:szCs w:val="18"/>
        </w:rPr>
        <w:t>, ILO Statement</w:t>
      </w:r>
      <w:r>
        <w:rPr>
          <w:rFonts w:ascii="Lato" w:hAnsi="Lato"/>
          <w:sz w:val="18"/>
          <w:szCs w:val="18"/>
        </w:rPr>
        <w:t xml:space="preserve">, available at: </w:t>
      </w:r>
      <w:hyperlink r:id="rId4" w:history="1">
        <w:r w:rsidRPr="00F76137">
          <w:rPr>
            <w:rStyle w:val="Hyperlink"/>
            <w:rFonts w:ascii="Lato" w:hAnsi="Lato"/>
            <w:sz w:val="18"/>
            <w:szCs w:val="18"/>
          </w:rPr>
          <w:t>https://www.ilo.org/global/about-the-ilo/how-the-ilo-works/ilo-director-general/statements-and-speeches/WCMS_368652/lang--en/index.htm</w:t>
        </w:r>
      </w:hyperlink>
      <w:r>
        <w:rPr>
          <w:rFonts w:ascii="Lato" w:hAnsi="Lato"/>
          <w:sz w:val="18"/>
          <w:szCs w:val="18"/>
        </w:rPr>
        <w:t xml:space="preserve"> </w:t>
      </w:r>
    </w:p>
  </w:footnote>
  <w:footnote w:id="4">
    <w:p w14:paraId="3F7D872C" w14:textId="0B9790FE" w:rsidR="00703ACE" w:rsidRPr="00B47A37" w:rsidRDefault="00703ACE" w:rsidP="00703ACE">
      <w:pPr>
        <w:pStyle w:val="FootnoteText"/>
        <w:rPr>
          <w:rFonts w:ascii="Lato" w:hAnsi="Lato"/>
          <w:sz w:val="18"/>
          <w:szCs w:val="18"/>
        </w:rPr>
      </w:pPr>
      <w:r w:rsidRPr="00B47A37">
        <w:rPr>
          <w:rStyle w:val="FootnoteReference"/>
          <w:rFonts w:ascii="Lato" w:hAnsi="Lato"/>
          <w:sz w:val="18"/>
          <w:szCs w:val="18"/>
        </w:rPr>
        <w:footnoteRef/>
      </w:r>
      <w:r w:rsidRPr="00B47A37">
        <w:rPr>
          <w:rFonts w:ascii="Lato" w:hAnsi="Lato"/>
          <w:sz w:val="18"/>
          <w:szCs w:val="18"/>
        </w:rPr>
        <w:t xml:space="preserve"> </w:t>
      </w:r>
      <w:r w:rsidR="000066E2" w:rsidRPr="000066E2">
        <w:rPr>
          <w:rFonts w:ascii="Lato" w:eastAsiaTheme="minorHAnsi" w:hAnsi="Lato" w:cstheme="minorBidi"/>
          <w:color w:val="auto"/>
          <w:sz w:val="18"/>
          <w:szCs w:val="18"/>
          <w:lang w:val="en-GB"/>
        </w:rPr>
        <w:t xml:space="preserve">W. Leonard and R. Mann (2018), </w:t>
      </w:r>
      <w:hyperlink r:id="rId5" w:history="1">
        <w:r w:rsidR="000066E2" w:rsidRPr="005E6F1F">
          <w:rPr>
            <w:rStyle w:val="Hyperlink"/>
            <w:rFonts w:ascii="Lato" w:eastAsiaTheme="minorHAnsi" w:hAnsi="Lato" w:cstheme="minorBidi"/>
            <w:i/>
            <w:sz w:val="18"/>
            <w:szCs w:val="18"/>
            <w:lang w:val="en-GB"/>
          </w:rPr>
          <w:t>The everyday experiences of lesbian, gay, bisexual, transgender and intersex (LGBTI) people living with disability</w:t>
        </w:r>
      </w:hyperlink>
      <w:r w:rsidR="000066E2" w:rsidRPr="005E6F1F">
        <w:rPr>
          <w:rFonts w:ascii="Lato" w:eastAsiaTheme="minorHAnsi" w:hAnsi="Lato" w:cstheme="minorBidi"/>
          <w:color w:val="auto"/>
          <w:sz w:val="18"/>
          <w:szCs w:val="18"/>
          <w:lang w:val="en-GB"/>
        </w:rPr>
        <w:t xml:space="preserve"> </w:t>
      </w:r>
      <w:r w:rsidRPr="000066E2">
        <w:rPr>
          <w:rFonts w:ascii="Lato" w:hAnsi="Lato"/>
          <w:color w:val="auto"/>
          <w:sz w:val="18"/>
          <w:szCs w:val="18"/>
        </w:rPr>
        <w:t>at 50-51.</w:t>
      </w:r>
    </w:p>
  </w:footnote>
  <w:footnote w:id="5">
    <w:p w14:paraId="4DB78810" w14:textId="77777777" w:rsidR="00703ACE" w:rsidRPr="00B47A37" w:rsidRDefault="00703ACE" w:rsidP="00703ACE">
      <w:pPr>
        <w:pStyle w:val="FootnoteText"/>
        <w:jc w:val="both"/>
        <w:rPr>
          <w:rFonts w:ascii="Lato" w:hAnsi="Lato"/>
          <w:sz w:val="18"/>
          <w:szCs w:val="18"/>
        </w:rPr>
      </w:pPr>
      <w:r w:rsidRPr="00B47A37">
        <w:rPr>
          <w:rStyle w:val="FootnoteReference"/>
          <w:rFonts w:ascii="Lato" w:hAnsi="Lato"/>
          <w:sz w:val="18"/>
          <w:szCs w:val="18"/>
        </w:rPr>
        <w:footnoteRef/>
      </w:r>
      <w:r w:rsidRPr="00B47A37">
        <w:rPr>
          <w:rFonts w:ascii="Lato" w:hAnsi="Lato"/>
          <w:sz w:val="18"/>
          <w:szCs w:val="18"/>
        </w:rPr>
        <w:t xml:space="preserve"> Queer-Peace (2017), </w:t>
      </w:r>
      <w:hyperlink r:id="rId6">
        <w:r w:rsidRPr="00B47A37">
          <w:rPr>
            <w:rStyle w:val="Hyperlink"/>
            <w:rFonts w:ascii="Lato" w:hAnsi="Lato"/>
            <w:i/>
            <w:sz w:val="18"/>
            <w:szCs w:val="18"/>
          </w:rPr>
          <w:t>Monitoring of discrimination of representatives of LGBT community with disability</w:t>
        </w:r>
      </w:hyperlink>
      <w:r w:rsidRPr="00B47A37">
        <w:rPr>
          <w:rFonts w:ascii="Lato" w:hAnsi="Lato"/>
          <w:sz w:val="18"/>
          <w:szCs w:val="18"/>
        </w:rPr>
        <w:t xml:space="preserve"> at 6.</w:t>
      </w:r>
    </w:p>
  </w:footnote>
  <w:footnote w:id="6">
    <w:p w14:paraId="576AF3E4" w14:textId="3B8F91C5" w:rsidR="00306764" w:rsidRPr="00B47A37" w:rsidRDefault="00306764">
      <w:pPr>
        <w:pStyle w:val="FootnoteText"/>
        <w:rPr>
          <w:rFonts w:ascii="Lato" w:hAnsi="Lato"/>
          <w:sz w:val="18"/>
          <w:szCs w:val="18"/>
        </w:rPr>
      </w:pPr>
      <w:r w:rsidRPr="00B47A37">
        <w:rPr>
          <w:rStyle w:val="FootnoteReference"/>
          <w:rFonts w:ascii="Lato" w:hAnsi="Lato"/>
          <w:sz w:val="18"/>
          <w:szCs w:val="18"/>
        </w:rPr>
        <w:footnoteRef/>
      </w:r>
      <w:r w:rsidRPr="00B47A37">
        <w:rPr>
          <w:rFonts w:ascii="Lato" w:hAnsi="Lato"/>
          <w:sz w:val="18"/>
          <w:szCs w:val="18"/>
        </w:rPr>
        <w:t xml:space="preserve"> </w:t>
      </w:r>
      <w:r w:rsidR="00104CA8" w:rsidRPr="000066E2">
        <w:rPr>
          <w:rFonts w:ascii="Lato" w:hAnsi="Lato"/>
          <w:sz w:val="18"/>
          <w:szCs w:val="18"/>
        </w:rPr>
        <w:t>Submission by Egale Canada Human Rights Trust (2017)</w:t>
      </w:r>
      <w:r w:rsidR="00104CA8" w:rsidRPr="00B47A37">
        <w:rPr>
          <w:rFonts w:ascii="Lato" w:hAnsi="Lato"/>
          <w:sz w:val="18"/>
          <w:szCs w:val="18"/>
        </w:rPr>
        <w:t xml:space="preserve">. </w:t>
      </w:r>
      <w:hyperlink r:id="rId7" w:history="1">
        <w:r w:rsidR="00104CA8" w:rsidRPr="000066E2">
          <w:rPr>
            <w:rStyle w:val="Hyperlink"/>
            <w:rFonts w:ascii="Lato" w:hAnsi="Lato"/>
            <w:i/>
            <w:iCs/>
            <w:sz w:val="18"/>
            <w:szCs w:val="18"/>
          </w:rPr>
          <w:t>Canada: Discrimination and Violence against LGBTQI2S Persons with Disabilities</w:t>
        </w:r>
      </w:hyperlink>
      <w:r w:rsidR="00104CA8" w:rsidRPr="00B47A37">
        <w:rPr>
          <w:rFonts w:ascii="Lato" w:hAnsi="Lato"/>
          <w:i/>
          <w:iCs/>
          <w:sz w:val="18"/>
          <w:szCs w:val="18"/>
        </w:rPr>
        <w:t xml:space="preserve">, </w:t>
      </w:r>
      <w:r w:rsidR="00104CA8" w:rsidRPr="00B47A37">
        <w:rPr>
          <w:rFonts w:ascii="Lato" w:hAnsi="Lato"/>
          <w:sz w:val="18"/>
          <w:szCs w:val="18"/>
        </w:rPr>
        <w:t>at 9.</w:t>
      </w:r>
    </w:p>
  </w:footnote>
  <w:footnote w:id="7">
    <w:p w14:paraId="1C6025D6" w14:textId="422CCF32" w:rsidR="00306764" w:rsidRPr="00B47A37" w:rsidRDefault="00306764" w:rsidP="00306764">
      <w:pPr>
        <w:pStyle w:val="Bibliography"/>
        <w:rPr>
          <w:rFonts w:ascii="Lato" w:eastAsia="Times New Roman" w:hAnsi="Lato" w:cs="Times New Roman"/>
          <w:sz w:val="18"/>
          <w:szCs w:val="18"/>
          <w:u w:color="000000"/>
          <w:bdr w:val="nil"/>
          <w:lang w:eastAsia="en-CA"/>
        </w:rPr>
      </w:pPr>
      <w:r w:rsidRPr="00B47A37">
        <w:rPr>
          <w:rStyle w:val="FootnoteReference"/>
          <w:rFonts w:ascii="Lato" w:hAnsi="Lato"/>
          <w:sz w:val="18"/>
          <w:szCs w:val="18"/>
        </w:rPr>
        <w:footnoteRef/>
      </w:r>
      <w:r w:rsidRPr="006A26AD">
        <w:rPr>
          <w:rFonts w:ascii="Lato" w:hAnsi="Lato"/>
          <w:sz w:val="18"/>
          <w:szCs w:val="18"/>
          <w:lang w:val="de-CH"/>
        </w:rPr>
        <w:t xml:space="preserve"> </w:t>
      </w:r>
      <w:r w:rsidRPr="006A26AD">
        <w:rPr>
          <w:rFonts w:ascii="Lato" w:hAnsi="Lato"/>
          <w:sz w:val="18"/>
          <w:szCs w:val="18"/>
          <w:u w:color="000000"/>
          <w:bdr w:val="nil"/>
          <w:lang w:val="de-CH" w:eastAsia="en-CA"/>
        </w:rPr>
        <w:t xml:space="preserve">Bauer, G., Nussbaum, N., Travers, R., Munro, L., Pyne, J., &amp; Redman, N. (2011). </w:t>
      </w:r>
      <w:r w:rsidRPr="00B47A37">
        <w:rPr>
          <w:rFonts w:ascii="Lato" w:hAnsi="Lato"/>
          <w:i/>
          <w:iCs/>
          <w:sz w:val="18"/>
          <w:szCs w:val="18"/>
          <w:u w:color="000000"/>
          <w:bdr w:val="nil"/>
          <w:lang w:eastAsia="en-CA"/>
        </w:rPr>
        <w:t>We’ve Got Work to Do: Workplace Discrimination and Employment Challenges for Trans People in Ontario</w:t>
      </w:r>
      <w:r w:rsidRPr="00B47A37">
        <w:rPr>
          <w:rFonts w:ascii="Lato" w:hAnsi="Lato"/>
          <w:sz w:val="18"/>
          <w:szCs w:val="18"/>
          <w:u w:color="000000"/>
          <w:bdr w:val="nil"/>
          <w:lang w:eastAsia="en-CA"/>
        </w:rPr>
        <w:t xml:space="preserve"> (Trans PULSE E-Bulletin No. Volume 2, Issue 1) (p. 3). Ontario: Trans PULSE.</w:t>
      </w:r>
    </w:p>
  </w:footnote>
  <w:footnote w:id="8">
    <w:p w14:paraId="4E58F6A7" w14:textId="4BA039E5" w:rsidR="00306764" w:rsidRPr="00B47A37" w:rsidRDefault="00306764" w:rsidP="00B47A37">
      <w:pPr>
        <w:pStyle w:val="Bibliography"/>
        <w:rPr>
          <w:rFonts w:ascii="Lato" w:eastAsia="Times New Roman" w:hAnsi="Lato" w:cs="Times New Roman"/>
          <w:sz w:val="18"/>
          <w:szCs w:val="18"/>
          <w:u w:color="000000"/>
          <w:bdr w:val="nil"/>
          <w:lang w:eastAsia="en-CA"/>
        </w:rPr>
      </w:pPr>
      <w:r w:rsidRPr="00B47A37">
        <w:rPr>
          <w:rStyle w:val="FootnoteReference"/>
          <w:rFonts w:ascii="Lato" w:hAnsi="Lato"/>
          <w:sz w:val="18"/>
          <w:szCs w:val="18"/>
        </w:rPr>
        <w:footnoteRef/>
      </w:r>
      <w:r w:rsidRPr="00B47A37">
        <w:rPr>
          <w:rFonts w:ascii="Lato" w:hAnsi="Lato"/>
          <w:sz w:val="18"/>
          <w:szCs w:val="18"/>
        </w:rPr>
        <w:t xml:space="preserve"> </w:t>
      </w:r>
      <w:r w:rsidRPr="00B47A37">
        <w:rPr>
          <w:rFonts w:ascii="Lato" w:hAnsi="Lato"/>
          <w:sz w:val="18"/>
          <w:szCs w:val="18"/>
          <w:u w:color="000000"/>
          <w:bdr w:val="nil"/>
          <w:lang w:eastAsia="en-CA"/>
        </w:rPr>
        <w:t xml:space="preserve">Bauer, G. R., &amp; Scheim, A. I. (2015). </w:t>
      </w:r>
      <w:r w:rsidRPr="00B47A37">
        <w:rPr>
          <w:rFonts w:ascii="Lato" w:hAnsi="Lato"/>
          <w:i/>
          <w:iCs/>
          <w:sz w:val="18"/>
          <w:szCs w:val="18"/>
          <w:u w:color="000000"/>
          <w:bdr w:val="nil"/>
          <w:lang w:eastAsia="en-CA"/>
        </w:rPr>
        <w:t>Transgender People in Ontario, Canada: Statistics from the Trans PULSE Project to Inform Human Rights Policy</w:t>
      </w:r>
      <w:r w:rsidRPr="00B47A37">
        <w:rPr>
          <w:rFonts w:ascii="Lato" w:hAnsi="Lato"/>
          <w:sz w:val="18"/>
          <w:szCs w:val="18"/>
          <w:u w:color="000000"/>
          <w:bdr w:val="nil"/>
          <w:lang w:eastAsia="en-CA"/>
        </w:rPr>
        <w:t xml:space="preserve"> (Trans PULSE E-Bulletin) (p. 11). London, ON: Trans PULSE Project.</w:t>
      </w:r>
    </w:p>
  </w:footnote>
  <w:footnote w:id="9">
    <w:p w14:paraId="71948D11" w14:textId="27AA4EDD" w:rsidR="00B47A37" w:rsidRDefault="00B47A37">
      <w:pPr>
        <w:pStyle w:val="FootnoteText"/>
      </w:pPr>
      <w:r w:rsidRPr="00B47A37">
        <w:rPr>
          <w:rStyle w:val="FootnoteReference"/>
          <w:rFonts w:ascii="Lato" w:hAnsi="Lato"/>
          <w:sz w:val="18"/>
          <w:szCs w:val="18"/>
        </w:rPr>
        <w:footnoteRef/>
      </w:r>
      <w:r w:rsidRPr="00B47A37">
        <w:rPr>
          <w:rFonts w:ascii="Lato" w:hAnsi="Lato"/>
          <w:sz w:val="18"/>
          <w:szCs w:val="18"/>
        </w:rPr>
        <w:t xml:space="preserve"> See note 6.</w:t>
      </w:r>
    </w:p>
  </w:footnote>
  <w:footnote w:id="10">
    <w:p w14:paraId="1E7F9F2E" w14:textId="5050B054" w:rsidR="005E2029" w:rsidRPr="00E57625" w:rsidRDefault="005E2029">
      <w:pPr>
        <w:pStyle w:val="FootnoteText"/>
        <w:rPr>
          <w:rFonts w:ascii="Lato" w:hAnsi="Lato"/>
          <w:sz w:val="18"/>
          <w:szCs w:val="18"/>
        </w:rPr>
      </w:pPr>
      <w:r w:rsidRPr="00E57625">
        <w:rPr>
          <w:rStyle w:val="FootnoteReference"/>
          <w:rFonts w:ascii="Lato" w:hAnsi="Lato"/>
          <w:sz w:val="18"/>
          <w:szCs w:val="18"/>
        </w:rPr>
        <w:footnoteRef/>
      </w:r>
      <w:r w:rsidRPr="00E57625">
        <w:rPr>
          <w:rFonts w:ascii="Lato" w:hAnsi="Lato"/>
          <w:sz w:val="18"/>
          <w:szCs w:val="18"/>
        </w:rPr>
        <w:t xml:space="preserve"> European Union Agency for Fundamental Rights</w:t>
      </w:r>
      <w:r w:rsidR="000A4E4C">
        <w:rPr>
          <w:rFonts w:ascii="Lato" w:hAnsi="Lato"/>
          <w:sz w:val="18"/>
          <w:szCs w:val="18"/>
        </w:rPr>
        <w:t xml:space="preserve"> (2014)</w:t>
      </w:r>
      <w:r w:rsidRPr="00E57625">
        <w:rPr>
          <w:rFonts w:ascii="Lato" w:hAnsi="Lato"/>
          <w:sz w:val="18"/>
          <w:szCs w:val="18"/>
        </w:rPr>
        <w:t xml:space="preserve">, </w:t>
      </w:r>
      <w:hyperlink r:id="rId8" w:history="1">
        <w:r w:rsidRPr="008573E6">
          <w:rPr>
            <w:rStyle w:val="Hyperlink"/>
            <w:rFonts w:ascii="Lato" w:hAnsi="Lato"/>
            <w:i/>
            <w:iCs/>
            <w:sz w:val="18"/>
            <w:szCs w:val="18"/>
          </w:rPr>
          <w:t>Being Trans in the European Union Comparative analysis of EU LGBT survey data</w:t>
        </w:r>
      </w:hyperlink>
      <w:r w:rsidRPr="00E57625">
        <w:rPr>
          <w:rFonts w:ascii="Lato" w:hAnsi="Lato"/>
          <w:sz w:val="18"/>
          <w:szCs w:val="18"/>
        </w:rPr>
        <w:t>, at 27</w:t>
      </w:r>
      <w:r w:rsidR="00E57625" w:rsidRPr="00E57625">
        <w:rPr>
          <w:rFonts w:ascii="Lato" w:hAnsi="Lato"/>
          <w:sz w:val="18"/>
          <w:szCs w:val="18"/>
        </w:rPr>
        <w:t>-</w:t>
      </w:r>
      <w:r w:rsidRPr="00E57625">
        <w:rPr>
          <w:rFonts w:ascii="Lato" w:hAnsi="Lato"/>
          <w:sz w:val="18"/>
          <w:szCs w:val="18"/>
        </w:rPr>
        <w:t>34.</w:t>
      </w:r>
    </w:p>
  </w:footnote>
  <w:footnote w:id="11">
    <w:p w14:paraId="5EF3F6E1" w14:textId="2BF4FE92" w:rsidR="00ED496C" w:rsidRPr="00ED496C" w:rsidRDefault="00ED496C">
      <w:pPr>
        <w:pStyle w:val="FootnoteText"/>
        <w:rPr>
          <w:rFonts w:ascii="Lato" w:hAnsi="Lato"/>
          <w:sz w:val="18"/>
          <w:szCs w:val="18"/>
        </w:rPr>
      </w:pPr>
      <w:r w:rsidRPr="00ED496C">
        <w:rPr>
          <w:rStyle w:val="FootnoteReference"/>
          <w:rFonts w:ascii="Lato" w:hAnsi="Lato"/>
          <w:sz w:val="18"/>
          <w:szCs w:val="18"/>
        </w:rPr>
        <w:footnoteRef/>
      </w:r>
      <w:r w:rsidRPr="00ED496C">
        <w:rPr>
          <w:rFonts w:ascii="Lato" w:hAnsi="Lato"/>
          <w:sz w:val="18"/>
          <w:szCs w:val="18"/>
        </w:rPr>
        <w:t xml:space="preserve"> See, for example, ERA, LGBTI Equal Rights Association, LGBTI+ Workers’ Rights in the Western Balkans (online seminar recording, 10 March 2021), available at: </w:t>
      </w:r>
      <w:hyperlink r:id="rId9" w:history="1">
        <w:r w:rsidRPr="00ED496C">
          <w:rPr>
            <w:rStyle w:val="Hyperlink"/>
            <w:rFonts w:ascii="Lato" w:hAnsi="Lato"/>
            <w:sz w:val="18"/>
            <w:szCs w:val="18"/>
          </w:rPr>
          <w:t>https://www.facebook.com/lgbtiera/videos/269014294664690</w:t>
        </w:r>
      </w:hyperlink>
      <w:r w:rsidRPr="00ED496C">
        <w:rPr>
          <w:rFonts w:ascii="Lato" w:hAnsi="Lato"/>
          <w:sz w:val="18"/>
          <w:szCs w:val="18"/>
        </w:rPr>
        <w:t xml:space="preserve">. </w:t>
      </w:r>
    </w:p>
  </w:footnote>
  <w:footnote w:id="12">
    <w:p w14:paraId="749BE751" w14:textId="77777777" w:rsidR="00BB6531" w:rsidRPr="00F74803" w:rsidRDefault="00BB6531" w:rsidP="00BB6531">
      <w:pPr>
        <w:pStyle w:val="FootnoteText"/>
        <w:rPr>
          <w:rFonts w:ascii="Lato" w:hAnsi="Lato"/>
          <w:sz w:val="18"/>
          <w:szCs w:val="18"/>
        </w:rPr>
      </w:pPr>
      <w:r w:rsidRPr="00F74803">
        <w:rPr>
          <w:rStyle w:val="FootnoteReference"/>
          <w:rFonts w:ascii="Lato" w:hAnsi="Lato"/>
          <w:sz w:val="18"/>
          <w:szCs w:val="18"/>
        </w:rPr>
        <w:footnoteRef/>
      </w:r>
      <w:r w:rsidRPr="00F74803">
        <w:rPr>
          <w:rFonts w:ascii="Lato" w:hAnsi="Lato"/>
          <w:sz w:val="18"/>
          <w:szCs w:val="18"/>
        </w:rPr>
        <w:t xml:space="preserve"> </w:t>
      </w:r>
      <w:r w:rsidRPr="00F74803">
        <w:rPr>
          <w:rFonts w:ascii="Lato" w:hAnsi="Lato" w:cs="Calibri"/>
          <w:sz w:val="18"/>
          <w:szCs w:val="18"/>
        </w:rPr>
        <w:t xml:space="preserve">Socio-cultural and economic inclusion, </w:t>
      </w:r>
      <w:hyperlink r:id="rId10" w:history="1">
        <w:r w:rsidRPr="00F74803">
          <w:rPr>
            <w:rStyle w:val="Hyperlink"/>
            <w:rFonts w:ascii="Lato" w:hAnsi="Lato" w:cs="Calibri"/>
            <w:sz w:val="18"/>
            <w:szCs w:val="18"/>
          </w:rPr>
          <w:t>A/74/181</w:t>
        </w:r>
      </w:hyperlink>
      <w:r w:rsidRPr="00F74803">
        <w:rPr>
          <w:rFonts w:ascii="Lato" w:hAnsi="Lato" w:cs="Calibri"/>
          <w:sz w:val="18"/>
          <w:szCs w:val="18"/>
        </w:rPr>
        <w:t>, para 50.</w:t>
      </w:r>
    </w:p>
  </w:footnote>
  <w:footnote w:id="13">
    <w:p w14:paraId="1C060EA1" w14:textId="77777777" w:rsidR="00BB6531" w:rsidRPr="00F74803" w:rsidRDefault="00BB6531" w:rsidP="00BB6531">
      <w:pPr>
        <w:pStyle w:val="FootnoteText"/>
        <w:rPr>
          <w:rFonts w:ascii="Lato" w:hAnsi="Lato"/>
          <w:sz w:val="18"/>
          <w:szCs w:val="18"/>
        </w:rPr>
      </w:pPr>
      <w:r w:rsidRPr="00F74803">
        <w:rPr>
          <w:rStyle w:val="FootnoteReference"/>
          <w:rFonts w:ascii="Lato" w:hAnsi="Lato"/>
          <w:sz w:val="18"/>
          <w:szCs w:val="18"/>
        </w:rPr>
        <w:footnoteRef/>
      </w:r>
      <w:r w:rsidRPr="00F74803">
        <w:rPr>
          <w:rFonts w:ascii="Lato" w:hAnsi="Lato"/>
          <w:sz w:val="18"/>
          <w:szCs w:val="18"/>
        </w:rPr>
        <w:t xml:space="preserve"> European Disability Forum (2019), </w:t>
      </w:r>
      <w:r w:rsidRPr="00F74803">
        <w:rPr>
          <w:rFonts w:ascii="Lato" w:hAnsi="Lato"/>
          <w:i/>
          <w:sz w:val="18"/>
          <w:szCs w:val="18"/>
        </w:rPr>
        <w:t>European Human Rights Report</w:t>
      </w:r>
      <w:r w:rsidRPr="00F74803">
        <w:rPr>
          <w:rFonts w:ascii="Lato" w:hAnsi="Lato"/>
          <w:sz w:val="18"/>
          <w:szCs w:val="18"/>
        </w:rPr>
        <w:t>, Issue 3 at 28.</w:t>
      </w:r>
    </w:p>
  </w:footnote>
  <w:footnote w:id="14">
    <w:p w14:paraId="2F6C083D" w14:textId="77777777" w:rsidR="00BB6531" w:rsidRPr="00F74803" w:rsidRDefault="00BB6531" w:rsidP="00BB6531">
      <w:pPr>
        <w:pStyle w:val="FootnoteText"/>
        <w:rPr>
          <w:rFonts w:ascii="Lato" w:hAnsi="Lato"/>
          <w:sz w:val="18"/>
          <w:szCs w:val="18"/>
        </w:rPr>
      </w:pPr>
      <w:r w:rsidRPr="00F74803">
        <w:rPr>
          <w:rStyle w:val="FootnoteReference"/>
          <w:rFonts w:ascii="Lato" w:hAnsi="Lato"/>
          <w:sz w:val="18"/>
          <w:szCs w:val="18"/>
        </w:rPr>
        <w:footnoteRef/>
      </w:r>
      <w:r w:rsidRPr="00F74803">
        <w:rPr>
          <w:rFonts w:ascii="Lato" w:hAnsi="Lato"/>
          <w:sz w:val="18"/>
          <w:szCs w:val="18"/>
        </w:rPr>
        <w:t xml:space="preserve"> </w:t>
      </w:r>
      <w:r w:rsidRPr="00F74803">
        <w:rPr>
          <w:rFonts w:ascii="Lato" w:eastAsia="Cambria" w:hAnsi="Lato" w:cs="Cambria"/>
          <w:sz w:val="18"/>
          <w:szCs w:val="18"/>
        </w:rPr>
        <w:t>Stonewall (2017), ‘</w:t>
      </w:r>
      <w:hyperlink r:id="rId11">
        <w:r w:rsidRPr="00F74803">
          <w:rPr>
            <w:rFonts w:ascii="Lato" w:eastAsia="Cambria" w:hAnsi="Lato" w:cs="Cambria"/>
            <w:color w:val="1155CC"/>
            <w:sz w:val="18"/>
            <w:szCs w:val="18"/>
            <w:u w:val="single"/>
          </w:rPr>
          <w:t>School Report: The experiences of lesbian, gay, bi and trans young people in Britain’s schools in 2017</w:t>
        </w:r>
      </w:hyperlink>
      <w:r w:rsidRPr="00F74803">
        <w:rPr>
          <w:rFonts w:ascii="Lato" w:eastAsia="Cambria" w:hAnsi="Lato" w:cs="Cambria"/>
          <w:sz w:val="18"/>
          <w:szCs w:val="18"/>
        </w:rPr>
        <w:t>’.</w:t>
      </w:r>
    </w:p>
  </w:footnote>
  <w:footnote w:id="15">
    <w:p w14:paraId="5E84C627" w14:textId="77777777" w:rsidR="00BB6531" w:rsidRPr="00F74803" w:rsidRDefault="00BB6531" w:rsidP="00BB6531">
      <w:pPr>
        <w:pStyle w:val="FootnoteText"/>
        <w:rPr>
          <w:rFonts w:ascii="Lato" w:hAnsi="Lato"/>
          <w:sz w:val="18"/>
          <w:szCs w:val="18"/>
        </w:rPr>
      </w:pPr>
      <w:r w:rsidRPr="00F74803">
        <w:rPr>
          <w:rStyle w:val="FootnoteReference"/>
          <w:rFonts w:ascii="Lato" w:hAnsi="Lato"/>
          <w:sz w:val="18"/>
          <w:szCs w:val="18"/>
        </w:rPr>
        <w:footnoteRef/>
      </w:r>
      <w:r w:rsidRPr="00F74803">
        <w:rPr>
          <w:rFonts w:ascii="Lato" w:hAnsi="Lato"/>
          <w:sz w:val="18"/>
          <w:szCs w:val="18"/>
        </w:rPr>
        <w:t xml:space="preserve"> T. </w:t>
      </w:r>
      <w:r w:rsidRPr="00F74803">
        <w:rPr>
          <w:rFonts w:ascii="Lato" w:eastAsia="Cambria" w:hAnsi="Lato" w:cs="Cambria"/>
          <w:sz w:val="18"/>
          <w:szCs w:val="18"/>
        </w:rPr>
        <w:t>Jones et al. (2016), ‘</w:t>
      </w:r>
      <w:hyperlink r:id="rId12" w:history="1">
        <w:r w:rsidRPr="00F74803">
          <w:rPr>
            <w:rStyle w:val="Hyperlink"/>
            <w:rFonts w:ascii="Lato" w:eastAsia="Cambria" w:hAnsi="Lato" w:cs="Cambria"/>
            <w:sz w:val="18"/>
            <w:szCs w:val="18"/>
          </w:rPr>
          <w:t>Intersex: Stories and Statistics from Australia’</w:t>
        </w:r>
      </w:hyperlink>
      <w:r w:rsidRPr="00F74803">
        <w:rPr>
          <w:rFonts w:ascii="Lato" w:eastAsia="Cambria" w:hAnsi="Lato" w:cs="Cambria"/>
          <w:sz w:val="18"/>
          <w:szCs w:val="18"/>
        </w:rPr>
        <w:t>.</w:t>
      </w:r>
    </w:p>
  </w:footnote>
  <w:footnote w:id="16">
    <w:p w14:paraId="46B70C2E" w14:textId="6F5184B1" w:rsidR="00EC6C31" w:rsidRPr="00672944" w:rsidRDefault="00EC6C31" w:rsidP="005D6324">
      <w:pPr>
        <w:pStyle w:val="FootnoteText"/>
        <w:spacing w:before="60"/>
        <w:jc w:val="both"/>
        <w:rPr>
          <w:rFonts w:ascii="Lato" w:hAnsi="Lato"/>
          <w:sz w:val="18"/>
          <w:szCs w:val="18"/>
        </w:rPr>
      </w:pPr>
      <w:r w:rsidRPr="00672944">
        <w:rPr>
          <w:rStyle w:val="FootnoteReference"/>
          <w:rFonts w:ascii="Lato" w:hAnsi="Lato"/>
          <w:sz w:val="18"/>
          <w:szCs w:val="18"/>
        </w:rPr>
        <w:footnoteRef/>
      </w:r>
      <w:r w:rsidRPr="00672944">
        <w:rPr>
          <w:rFonts w:ascii="Lato" w:hAnsi="Lato"/>
          <w:sz w:val="18"/>
          <w:szCs w:val="18"/>
        </w:rPr>
        <w:t xml:space="preserve"> </w:t>
      </w:r>
      <w:hyperlink r:id="rId13">
        <w:r w:rsidRPr="00672944">
          <w:rPr>
            <w:rFonts w:ascii="Lato" w:hAnsi="Lato"/>
            <w:color w:val="1155CC"/>
            <w:sz w:val="18"/>
            <w:szCs w:val="18"/>
            <w:u w:val="single"/>
          </w:rPr>
          <w:t>CRPD/C/CAN/CO/1</w:t>
        </w:r>
      </w:hyperlink>
      <w:r w:rsidRPr="00672944">
        <w:rPr>
          <w:rFonts w:ascii="Lato" w:hAnsi="Lato"/>
          <w:sz w:val="18"/>
          <w:szCs w:val="18"/>
        </w:rPr>
        <w:t>, paras 19.</w:t>
      </w:r>
    </w:p>
  </w:footnote>
  <w:footnote w:id="17">
    <w:p w14:paraId="1864BB9C" w14:textId="52137D0F" w:rsidR="00C85DA3" w:rsidRPr="00E25874" w:rsidRDefault="00C85DA3" w:rsidP="00C85DA3">
      <w:pPr>
        <w:pStyle w:val="FootnoteText"/>
        <w:rPr>
          <w:rFonts w:ascii="Lato" w:hAnsi="Lato"/>
          <w:sz w:val="18"/>
          <w:szCs w:val="18"/>
        </w:rPr>
      </w:pPr>
      <w:r w:rsidRPr="00E25874">
        <w:rPr>
          <w:rFonts w:ascii="Lato" w:hAnsi="Lato"/>
          <w:sz w:val="18"/>
          <w:szCs w:val="18"/>
          <w:vertAlign w:val="superscript"/>
        </w:rPr>
        <w:footnoteRef/>
      </w:r>
      <w:r w:rsidRPr="00E25874">
        <w:rPr>
          <w:rFonts w:ascii="Lato" w:hAnsi="Lato"/>
          <w:sz w:val="18"/>
          <w:szCs w:val="18"/>
          <w:vertAlign w:val="superscript"/>
        </w:rPr>
        <w:t xml:space="preserve"> </w:t>
      </w:r>
      <w:r w:rsidRPr="00E25874">
        <w:rPr>
          <w:rFonts w:ascii="Lato" w:hAnsi="Lato"/>
          <w:sz w:val="18"/>
          <w:szCs w:val="18"/>
        </w:rPr>
        <w:t xml:space="preserve">Report of the Special Rapporteur on the human right to safe drinking water and sanitation, 27 July 2016, </w:t>
      </w:r>
      <w:hyperlink r:id="rId14" w:history="1">
        <w:r w:rsidRPr="00B065E9">
          <w:rPr>
            <w:rStyle w:val="Hyperlink"/>
            <w:rFonts w:ascii="Lato" w:hAnsi="Lato"/>
            <w:sz w:val="18"/>
            <w:szCs w:val="18"/>
          </w:rPr>
          <w:t>A/HRC/33/49</w:t>
        </w:r>
      </w:hyperlink>
      <w:r w:rsidR="00B065E9">
        <w:rPr>
          <w:rFonts w:ascii="Lato" w:hAnsi="Lato"/>
          <w:sz w:val="18"/>
          <w:szCs w:val="18"/>
        </w:rPr>
        <w:t>,</w:t>
      </w:r>
      <w:r w:rsidRPr="00E25874">
        <w:rPr>
          <w:rFonts w:ascii="Lato" w:hAnsi="Lato"/>
          <w:sz w:val="18"/>
          <w:szCs w:val="18"/>
        </w:rPr>
        <w:t xml:space="preserve"> paras 2, 4, 30, and 48</w:t>
      </w:r>
      <w:r w:rsidR="00B065E9">
        <w:rPr>
          <w:rFonts w:ascii="Lato" w:hAnsi="Lato"/>
          <w:sz w:val="18"/>
          <w:szCs w:val="18"/>
        </w:rPr>
        <w:t>.</w:t>
      </w:r>
    </w:p>
  </w:footnote>
  <w:footnote w:id="18">
    <w:p w14:paraId="0A105A25" w14:textId="0ECE1830" w:rsidR="00263012" w:rsidRPr="00263012" w:rsidRDefault="00263012">
      <w:pPr>
        <w:pStyle w:val="FootnoteText"/>
        <w:rPr>
          <w:rFonts w:ascii="Lato" w:hAnsi="Lato"/>
          <w:sz w:val="18"/>
          <w:szCs w:val="18"/>
        </w:rPr>
      </w:pPr>
      <w:r w:rsidRPr="00263012">
        <w:rPr>
          <w:rStyle w:val="FootnoteReference"/>
          <w:rFonts w:ascii="Lato" w:hAnsi="Lato"/>
          <w:sz w:val="18"/>
          <w:szCs w:val="18"/>
        </w:rPr>
        <w:footnoteRef/>
      </w:r>
      <w:r w:rsidRPr="00263012">
        <w:rPr>
          <w:rFonts w:ascii="Lato" w:hAnsi="Lato"/>
          <w:sz w:val="18"/>
          <w:szCs w:val="18"/>
        </w:rPr>
        <w:t xml:space="preserve"> Transgender Europe: N. Gale (2017), </w:t>
      </w:r>
      <w:hyperlink r:id="rId15" w:history="1">
        <w:r w:rsidRPr="00263012">
          <w:rPr>
            <w:rStyle w:val="Hyperlink"/>
            <w:rFonts w:ascii="Lato" w:hAnsi="Lato"/>
            <w:i/>
            <w:sz w:val="18"/>
            <w:szCs w:val="18"/>
          </w:rPr>
          <w:t>Oppression Squared: D/deaf and disabled trans experience in Europe</w:t>
        </w:r>
      </w:hyperlink>
      <w:r w:rsidRPr="00263012">
        <w:rPr>
          <w:rFonts w:ascii="Lato" w:hAnsi="Lato"/>
          <w:sz w:val="18"/>
          <w:szCs w:val="18"/>
        </w:rPr>
        <w:t>, at 3</w:t>
      </w:r>
      <w:r>
        <w:rPr>
          <w:rFonts w:ascii="Lato" w:hAnsi="Lato"/>
          <w:sz w:val="18"/>
          <w:szCs w:val="18"/>
        </w:rPr>
        <w:t>2</w:t>
      </w:r>
      <w:r w:rsidRPr="00263012">
        <w:rPr>
          <w:rFonts w:ascii="Lato" w:hAnsi="Lato"/>
          <w:sz w:val="18"/>
          <w:szCs w:val="18"/>
        </w:rPr>
        <w:t>-3</w:t>
      </w:r>
      <w:r>
        <w:rPr>
          <w:rFonts w:ascii="Lato" w:hAnsi="Lato"/>
          <w:sz w:val="18"/>
          <w:szCs w:val="18"/>
        </w:rPr>
        <w:t>3</w:t>
      </w:r>
      <w:r w:rsidRPr="00263012">
        <w:rPr>
          <w:rFonts w:ascii="Lato" w:hAnsi="Lato"/>
          <w:sz w:val="18"/>
          <w:szCs w:val="18"/>
        </w:rPr>
        <w:t>.</w:t>
      </w:r>
    </w:p>
  </w:footnote>
  <w:footnote w:id="19">
    <w:p w14:paraId="19E06F06" w14:textId="77777777" w:rsidR="00263012" w:rsidRPr="00927C70" w:rsidRDefault="00263012" w:rsidP="00263012">
      <w:pPr>
        <w:pStyle w:val="FootnoteText"/>
        <w:rPr>
          <w:rFonts w:ascii="Lato" w:hAnsi="Lato"/>
          <w:sz w:val="18"/>
          <w:szCs w:val="18"/>
        </w:rPr>
      </w:pPr>
      <w:r w:rsidRPr="00927C70">
        <w:rPr>
          <w:rStyle w:val="FootnoteReference"/>
          <w:rFonts w:ascii="Lato" w:hAnsi="Lato"/>
          <w:sz w:val="18"/>
          <w:szCs w:val="18"/>
        </w:rPr>
        <w:footnoteRef/>
      </w:r>
      <w:r w:rsidRPr="00927C70">
        <w:rPr>
          <w:rFonts w:ascii="Lato" w:hAnsi="Lato"/>
          <w:sz w:val="18"/>
          <w:szCs w:val="18"/>
        </w:rPr>
        <w:t xml:space="preserve"> </w:t>
      </w:r>
      <w:r w:rsidRPr="00927C70">
        <w:rPr>
          <w:rFonts w:ascii="Lato" w:hAnsi="Lato"/>
          <w:i/>
          <w:iCs/>
          <w:sz w:val="18"/>
          <w:szCs w:val="18"/>
        </w:rPr>
        <w:t>Ibid</w:t>
      </w:r>
      <w:r w:rsidRPr="00927C70">
        <w:rPr>
          <w:rFonts w:ascii="Lato" w:hAnsi="Lato"/>
          <w:sz w:val="18"/>
          <w:szCs w:val="18"/>
        </w:rPr>
        <w:t>.</w:t>
      </w:r>
    </w:p>
  </w:footnote>
  <w:footnote w:id="20">
    <w:p w14:paraId="788CF122" w14:textId="77777777" w:rsidR="002575CA" w:rsidRPr="00927C70" w:rsidRDefault="002575CA" w:rsidP="002575CA">
      <w:pPr>
        <w:pStyle w:val="FootnoteText"/>
        <w:rPr>
          <w:rFonts w:ascii="Lato" w:hAnsi="Lato"/>
          <w:sz w:val="18"/>
          <w:szCs w:val="18"/>
        </w:rPr>
      </w:pPr>
      <w:r w:rsidRPr="00927C70">
        <w:rPr>
          <w:rFonts w:ascii="Lato" w:hAnsi="Lato"/>
          <w:sz w:val="18"/>
          <w:szCs w:val="18"/>
          <w:vertAlign w:val="superscript"/>
        </w:rPr>
        <w:footnoteRef/>
      </w:r>
      <w:r w:rsidRPr="00927C70">
        <w:rPr>
          <w:rFonts w:ascii="Lato" w:hAnsi="Lato"/>
          <w:sz w:val="18"/>
          <w:szCs w:val="18"/>
          <w:vertAlign w:val="superscript"/>
        </w:rPr>
        <w:t xml:space="preserve"> </w:t>
      </w:r>
      <w:r w:rsidRPr="00927C70">
        <w:rPr>
          <w:rFonts w:ascii="Lato" w:hAnsi="Lato"/>
          <w:sz w:val="18"/>
          <w:szCs w:val="18"/>
        </w:rPr>
        <w:t>The Yogyakarta Principles, 2006: Principle 3; The Yogyakarta Principles Plus 10, 2017: Principle 31</w:t>
      </w:r>
    </w:p>
  </w:footnote>
  <w:footnote w:id="21">
    <w:p w14:paraId="72739DEA" w14:textId="3E82D644" w:rsidR="00010F25" w:rsidRPr="00927C70" w:rsidRDefault="00010F25" w:rsidP="00010F25">
      <w:pPr>
        <w:pStyle w:val="FootnoteText"/>
        <w:rPr>
          <w:rFonts w:ascii="Lato" w:hAnsi="Lato"/>
          <w:sz w:val="18"/>
          <w:szCs w:val="18"/>
        </w:rPr>
      </w:pPr>
      <w:r w:rsidRPr="00927C70">
        <w:rPr>
          <w:rStyle w:val="FootnoteReference"/>
          <w:rFonts w:ascii="Lato" w:hAnsi="Lato"/>
          <w:sz w:val="18"/>
          <w:szCs w:val="18"/>
        </w:rPr>
        <w:footnoteRef/>
      </w:r>
      <w:r w:rsidRPr="00927C70">
        <w:rPr>
          <w:rFonts w:ascii="Lato" w:hAnsi="Lato"/>
          <w:sz w:val="18"/>
          <w:szCs w:val="18"/>
        </w:rPr>
        <w:t xml:space="preserve"> Coming Out, Transgender Legal Defense Project, and Russian LGBT Network (2014), </w:t>
      </w:r>
      <w:hyperlink r:id="rId16" w:history="1">
        <w:r w:rsidRPr="00927C70">
          <w:rPr>
            <w:rStyle w:val="Hyperlink"/>
            <w:rFonts w:ascii="Lato" w:hAnsi="Lato"/>
            <w:i/>
            <w:iCs/>
            <w:sz w:val="18"/>
            <w:szCs w:val="18"/>
          </w:rPr>
          <w:t>Implementation of the International Covenant on Civil and Political Rights in the Russian Federation: Sexual Orientation and Gender Identity Issues: Alternative report</w:t>
        </w:r>
      </w:hyperlink>
      <w:r w:rsidRPr="00927C70">
        <w:rPr>
          <w:rFonts w:ascii="Lato" w:hAnsi="Lato"/>
          <w:sz w:val="18"/>
          <w:szCs w:val="18"/>
        </w:rPr>
        <w:t>, at 25-26.</w:t>
      </w:r>
    </w:p>
  </w:footnote>
  <w:footnote w:id="22">
    <w:p w14:paraId="3925DF7B" w14:textId="5E158653" w:rsidR="00927C70" w:rsidRPr="00927C70" w:rsidRDefault="00927C70">
      <w:pPr>
        <w:pStyle w:val="FootnoteText"/>
        <w:rPr>
          <w:rFonts w:ascii="Lato" w:hAnsi="Lato"/>
          <w:sz w:val="18"/>
          <w:szCs w:val="18"/>
        </w:rPr>
      </w:pPr>
      <w:r w:rsidRPr="00927C70">
        <w:rPr>
          <w:rStyle w:val="FootnoteReference"/>
          <w:rFonts w:ascii="Lato" w:hAnsi="Lato"/>
          <w:sz w:val="18"/>
          <w:szCs w:val="18"/>
        </w:rPr>
        <w:footnoteRef/>
      </w:r>
      <w:r w:rsidRPr="00927C70">
        <w:rPr>
          <w:rFonts w:ascii="Lato" w:hAnsi="Lato"/>
          <w:sz w:val="18"/>
          <w:szCs w:val="18"/>
        </w:rPr>
        <w:t xml:space="preserve"> Transgender Europe: N. Gale (2017), </w:t>
      </w:r>
      <w:hyperlink r:id="rId17" w:history="1">
        <w:r w:rsidRPr="00927C70">
          <w:rPr>
            <w:rStyle w:val="Hyperlink"/>
            <w:rFonts w:ascii="Lato" w:hAnsi="Lato"/>
            <w:i/>
            <w:sz w:val="18"/>
            <w:szCs w:val="18"/>
          </w:rPr>
          <w:t>Oppression Squared: D/deaf and disabled trans experience in Europe</w:t>
        </w:r>
      </w:hyperlink>
      <w:r>
        <w:rPr>
          <w:rFonts w:ascii="Lato" w:hAnsi="Lato"/>
          <w:sz w:val="18"/>
          <w:szCs w:val="18"/>
        </w:rPr>
        <w:t xml:space="preserve">, </w:t>
      </w:r>
      <w:r w:rsidRPr="00927C70">
        <w:rPr>
          <w:rFonts w:ascii="Lato" w:hAnsi="Lato"/>
          <w:sz w:val="18"/>
          <w:szCs w:val="18"/>
        </w:rPr>
        <w:t>at 33-34.</w:t>
      </w:r>
    </w:p>
  </w:footnote>
  <w:footnote w:id="23">
    <w:p w14:paraId="5E048CF2" w14:textId="73BEA178" w:rsidR="00927C70" w:rsidRPr="00927C70" w:rsidRDefault="00927C70">
      <w:pPr>
        <w:pStyle w:val="FootnoteText"/>
        <w:rPr>
          <w:rFonts w:ascii="Lato" w:hAnsi="Lato"/>
          <w:sz w:val="18"/>
          <w:szCs w:val="18"/>
        </w:rPr>
      </w:pPr>
      <w:r w:rsidRPr="00927C70">
        <w:rPr>
          <w:rStyle w:val="FootnoteReference"/>
          <w:rFonts w:ascii="Lato" w:hAnsi="Lato"/>
          <w:sz w:val="18"/>
          <w:szCs w:val="18"/>
        </w:rPr>
        <w:footnoteRef/>
      </w:r>
      <w:r w:rsidRPr="00927C70">
        <w:rPr>
          <w:rFonts w:ascii="Lato" w:hAnsi="Lato"/>
          <w:sz w:val="18"/>
          <w:szCs w:val="18"/>
        </w:rPr>
        <w:t xml:space="preserve"> </w:t>
      </w:r>
      <w:r w:rsidRPr="00927C70">
        <w:rPr>
          <w:rFonts w:ascii="Lato" w:hAnsi="Lato"/>
          <w:i/>
          <w:iCs/>
          <w:sz w:val="18"/>
          <w:szCs w:val="18"/>
        </w:rPr>
        <w:t>Ibid</w:t>
      </w:r>
      <w:r w:rsidRPr="00927C70">
        <w:rPr>
          <w:rFonts w:ascii="Lato" w:hAnsi="Lato"/>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41F7A"/>
    <w:multiLevelType w:val="hybridMultilevel"/>
    <w:tmpl w:val="8C9CC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482AF2"/>
    <w:multiLevelType w:val="hybridMultilevel"/>
    <w:tmpl w:val="8C867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7FE"/>
    <w:rsid w:val="000066E2"/>
    <w:rsid w:val="00010F25"/>
    <w:rsid w:val="00015BAD"/>
    <w:rsid w:val="00020FD0"/>
    <w:rsid w:val="000227F5"/>
    <w:rsid w:val="00022BCC"/>
    <w:rsid w:val="000412C1"/>
    <w:rsid w:val="00075D30"/>
    <w:rsid w:val="00086543"/>
    <w:rsid w:val="0009479F"/>
    <w:rsid w:val="000A4E4C"/>
    <w:rsid w:val="000B4F6D"/>
    <w:rsid w:val="000F293F"/>
    <w:rsid w:val="00104CA8"/>
    <w:rsid w:val="001200A4"/>
    <w:rsid w:val="00131039"/>
    <w:rsid w:val="00136D48"/>
    <w:rsid w:val="00147CDD"/>
    <w:rsid w:val="00152003"/>
    <w:rsid w:val="001575FF"/>
    <w:rsid w:val="00175129"/>
    <w:rsid w:val="001A101C"/>
    <w:rsid w:val="001D451A"/>
    <w:rsid w:val="002059C5"/>
    <w:rsid w:val="00207772"/>
    <w:rsid w:val="00237B1E"/>
    <w:rsid w:val="002575CA"/>
    <w:rsid w:val="00260E59"/>
    <w:rsid w:val="00263012"/>
    <w:rsid w:val="0027146E"/>
    <w:rsid w:val="0028134F"/>
    <w:rsid w:val="00301EF2"/>
    <w:rsid w:val="003052C4"/>
    <w:rsid w:val="00306764"/>
    <w:rsid w:val="00322199"/>
    <w:rsid w:val="0034075F"/>
    <w:rsid w:val="00350106"/>
    <w:rsid w:val="003513EA"/>
    <w:rsid w:val="003B438F"/>
    <w:rsid w:val="003F3E3C"/>
    <w:rsid w:val="00406556"/>
    <w:rsid w:val="00453942"/>
    <w:rsid w:val="004613CB"/>
    <w:rsid w:val="00481B5B"/>
    <w:rsid w:val="00494845"/>
    <w:rsid w:val="004F7391"/>
    <w:rsid w:val="005034CD"/>
    <w:rsid w:val="005260D4"/>
    <w:rsid w:val="00553866"/>
    <w:rsid w:val="005A701C"/>
    <w:rsid w:val="005A7C48"/>
    <w:rsid w:val="005B168B"/>
    <w:rsid w:val="005C78B8"/>
    <w:rsid w:val="005D610B"/>
    <w:rsid w:val="005D6324"/>
    <w:rsid w:val="005E2029"/>
    <w:rsid w:val="005E6F1F"/>
    <w:rsid w:val="00617B21"/>
    <w:rsid w:val="00631A68"/>
    <w:rsid w:val="0063715D"/>
    <w:rsid w:val="006407C4"/>
    <w:rsid w:val="00657D98"/>
    <w:rsid w:val="00672944"/>
    <w:rsid w:val="006A26AD"/>
    <w:rsid w:val="006C61C5"/>
    <w:rsid w:val="006D53FB"/>
    <w:rsid w:val="007026E6"/>
    <w:rsid w:val="00703ACE"/>
    <w:rsid w:val="007207E4"/>
    <w:rsid w:val="00723911"/>
    <w:rsid w:val="00725EC2"/>
    <w:rsid w:val="007462BA"/>
    <w:rsid w:val="00787E17"/>
    <w:rsid w:val="007922A9"/>
    <w:rsid w:val="007A0A4F"/>
    <w:rsid w:val="007D7D01"/>
    <w:rsid w:val="00812468"/>
    <w:rsid w:val="00817BAF"/>
    <w:rsid w:val="008248EF"/>
    <w:rsid w:val="00844F3C"/>
    <w:rsid w:val="008573E6"/>
    <w:rsid w:val="0086217F"/>
    <w:rsid w:val="008843F8"/>
    <w:rsid w:val="008A35E9"/>
    <w:rsid w:val="008B30D9"/>
    <w:rsid w:val="008D74C1"/>
    <w:rsid w:val="008E647F"/>
    <w:rsid w:val="008F42AF"/>
    <w:rsid w:val="0091574A"/>
    <w:rsid w:val="009269C8"/>
    <w:rsid w:val="00927C70"/>
    <w:rsid w:val="009548FC"/>
    <w:rsid w:val="0096032B"/>
    <w:rsid w:val="00964680"/>
    <w:rsid w:val="0099484C"/>
    <w:rsid w:val="009E6BC8"/>
    <w:rsid w:val="00A00B32"/>
    <w:rsid w:val="00A4429B"/>
    <w:rsid w:val="00A51B13"/>
    <w:rsid w:val="00A5257A"/>
    <w:rsid w:val="00A53D00"/>
    <w:rsid w:val="00A56B08"/>
    <w:rsid w:val="00AB397E"/>
    <w:rsid w:val="00AD15A8"/>
    <w:rsid w:val="00AD7A14"/>
    <w:rsid w:val="00AE0B97"/>
    <w:rsid w:val="00AF1838"/>
    <w:rsid w:val="00AF3A34"/>
    <w:rsid w:val="00B065E9"/>
    <w:rsid w:val="00B22AD5"/>
    <w:rsid w:val="00B37AE4"/>
    <w:rsid w:val="00B47A37"/>
    <w:rsid w:val="00B811D3"/>
    <w:rsid w:val="00BA18EE"/>
    <w:rsid w:val="00BB36CD"/>
    <w:rsid w:val="00BB6531"/>
    <w:rsid w:val="00BD6A10"/>
    <w:rsid w:val="00C455CA"/>
    <w:rsid w:val="00C67EB7"/>
    <w:rsid w:val="00C84F2C"/>
    <w:rsid w:val="00C85DA3"/>
    <w:rsid w:val="00CA4A08"/>
    <w:rsid w:val="00CB57AD"/>
    <w:rsid w:val="00D41F36"/>
    <w:rsid w:val="00D421C8"/>
    <w:rsid w:val="00D91EDE"/>
    <w:rsid w:val="00D931AF"/>
    <w:rsid w:val="00DA74BE"/>
    <w:rsid w:val="00DB3605"/>
    <w:rsid w:val="00DC61F9"/>
    <w:rsid w:val="00E211E0"/>
    <w:rsid w:val="00E237CB"/>
    <w:rsid w:val="00E25874"/>
    <w:rsid w:val="00E375C7"/>
    <w:rsid w:val="00E418B5"/>
    <w:rsid w:val="00E51143"/>
    <w:rsid w:val="00E57625"/>
    <w:rsid w:val="00EA2334"/>
    <w:rsid w:val="00EB5D9F"/>
    <w:rsid w:val="00EC6C31"/>
    <w:rsid w:val="00ED496C"/>
    <w:rsid w:val="00F3536A"/>
    <w:rsid w:val="00F357FE"/>
    <w:rsid w:val="00F4279E"/>
    <w:rsid w:val="00F540C0"/>
    <w:rsid w:val="00F620CC"/>
    <w:rsid w:val="00F7060C"/>
    <w:rsid w:val="00F812EC"/>
    <w:rsid w:val="00F87925"/>
    <w:rsid w:val="00FC5760"/>
    <w:rsid w:val="00FD1EB6"/>
    <w:rsid w:val="00FE0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C3AC5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AE0B97"/>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E0B97"/>
    <w:rPr>
      <w:rFonts w:ascii="Times New Roman" w:hAnsi="Times New Roman" w:cs="Times New Roman"/>
      <w:sz w:val="18"/>
      <w:szCs w:val="18"/>
    </w:rPr>
  </w:style>
  <w:style w:type="paragraph" w:styleId="FootnoteText">
    <w:name w:val="footnote text"/>
    <w:basedOn w:val="Normal"/>
    <w:link w:val="FootnoteTextChar"/>
    <w:uiPriority w:val="99"/>
    <w:unhideWhenUsed/>
    <w:rsid w:val="00AE0B97"/>
    <w:pPr>
      <w:spacing w:line="240" w:lineRule="auto"/>
    </w:pPr>
    <w:rPr>
      <w:sz w:val="24"/>
      <w:szCs w:val="24"/>
    </w:rPr>
  </w:style>
  <w:style w:type="character" w:customStyle="1" w:styleId="FootnoteTextChar">
    <w:name w:val="Footnote Text Char"/>
    <w:basedOn w:val="DefaultParagraphFont"/>
    <w:link w:val="FootnoteText"/>
    <w:uiPriority w:val="99"/>
    <w:rsid w:val="00AE0B97"/>
    <w:rPr>
      <w:sz w:val="24"/>
      <w:szCs w:val="24"/>
    </w:rPr>
  </w:style>
  <w:style w:type="character" w:styleId="FootnoteReference">
    <w:name w:val="footnote reference"/>
    <w:basedOn w:val="DefaultParagraphFont"/>
    <w:uiPriority w:val="99"/>
    <w:unhideWhenUsed/>
    <w:rsid w:val="00AE0B97"/>
    <w:rPr>
      <w:vertAlign w:val="superscript"/>
    </w:rPr>
  </w:style>
  <w:style w:type="character" w:styleId="Hyperlink">
    <w:name w:val="Hyperlink"/>
    <w:basedOn w:val="DefaultParagraphFont"/>
    <w:uiPriority w:val="99"/>
    <w:unhideWhenUsed/>
    <w:rsid w:val="00964680"/>
    <w:rPr>
      <w:color w:val="0563C1" w:themeColor="hyperlink"/>
      <w:u w:val="single"/>
    </w:rPr>
  </w:style>
  <w:style w:type="paragraph" w:styleId="EndnoteText">
    <w:name w:val="endnote text"/>
    <w:basedOn w:val="Normal"/>
    <w:link w:val="EndnoteTextChar"/>
    <w:uiPriority w:val="99"/>
    <w:semiHidden/>
    <w:unhideWhenUsed/>
    <w:rsid w:val="005D6324"/>
    <w:pPr>
      <w:spacing w:line="240" w:lineRule="auto"/>
    </w:pPr>
    <w:rPr>
      <w:sz w:val="24"/>
      <w:szCs w:val="24"/>
    </w:rPr>
  </w:style>
  <w:style w:type="character" w:customStyle="1" w:styleId="EndnoteTextChar">
    <w:name w:val="Endnote Text Char"/>
    <w:basedOn w:val="DefaultParagraphFont"/>
    <w:link w:val="EndnoteText"/>
    <w:uiPriority w:val="99"/>
    <w:semiHidden/>
    <w:rsid w:val="005D6324"/>
    <w:rPr>
      <w:sz w:val="24"/>
      <w:szCs w:val="24"/>
    </w:rPr>
  </w:style>
  <w:style w:type="character" w:styleId="EndnoteReference">
    <w:name w:val="endnote reference"/>
    <w:basedOn w:val="DefaultParagraphFont"/>
    <w:uiPriority w:val="99"/>
    <w:semiHidden/>
    <w:unhideWhenUsed/>
    <w:rsid w:val="005D6324"/>
    <w:rPr>
      <w:vertAlign w:val="superscript"/>
    </w:rPr>
  </w:style>
  <w:style w:type="paragraph" w:styleId="Footer">
    <w:name w:val="footer"/>
    <w:basedOn w:val="Normal"/>
    <w:link w:val="FooterChar"/>
    <w:uiPriority w:val="99"/>
    <w:unhideWhenUsed/>
    <w:rsid w:val="00AD15A8"/>
    <w:pPr>
      <w:tabs>
        <w:tab w:val="center" w:pos="4680"/>
        <w:tab w:val="right" w:pos="9360"/>
      </w:tabs>
      <w:spacing w:line="240" w:lineRule="auto"/>
    </w:pPr>
  </w:style>
  <w:style w:type="character" w:customStyle="1" w:styleId="FooterChar">
    <w:name w:val="Footer Char"/>
    <w:basedOn w:val="DefaultParagraphFont"/>
    <w:link w:val="Footer"/>
    <w:uiPriority w:val="99"/>
    <w:rsid w:val="00AD15A8"/>
  </w:style>
  <w:style w:type="character" w:styleId="PageNumber">
    <w:name w:val="page number"/>
    <w:basedOn w:val="DefaultParagraphFont"/>
    <w:uiPriority w:val="99"/>
    <w:semiHidden/>
    <w:unhideWhenUsed/>
    <w:rsid w:val="00AD15A8"/>
  </w:style>
  <w:style w:type="paragraph" w:styleId="Header">
    <w:name w:val="header"/>
    <w:basedOn w:val="Normal"/>
    <w:link w:val="HeaderChar"/>
    <w:uiPriority w:val="99"/>
    <w:unhideWhenUsed/>
    <w:rsid w:val="00672944"/>
    <w:pPr>
      <w:tabs>
        <w:tab w:val="center" w:pos="4513"/>
        <w:tab w:val="right" w:pos="9026"/>
      </w:tabs>
      <w:spacing w:line="240" w:lineRule="auto"/>
    </w:pPr>
  </w:style>
  <w:style w:type="character" w:customStyle="1" w:styleId="HeaderChar">
    <w:name w:val="Header Char"/>
    <w:basedOn w:val="DefaultParagraphFont"/>
    <w:link w:val="Header"/>
    <w:uiPriority w:val="99"/>
    <w:rsid w:val="00672944"/>
  </w:style>
  <w:style w:type="character" w:customStyle="1" w:styleId="UnresolvedMention">
    <w:name w:val="Unresolved Mention"/>
    <w:basedOn w:val="DefaultParagraphFont"/>
    <w:uiPriority w:val="99"/>
    <w:rsid w:val="005034CD"/>
    <w:rPr>
      <w:color w:val="605E5C"/>
      <w:shd w:val="clear" w:color="auto" w:fill="E1DFDD"/>
    </w:rPr>
  </w:style>
  <w:style w:type="paragraph" w:styleId="Bibliography">
    <w:name w:val="Bibliography"/>
    <w:basedOn w:val="Normal"/>
    <w:next w:val="Normal"/>
    <w:uiPriority w:val="37"/>
    <w:unhideWhenUsed/>
    <w:rsid w:val="00306764"/>
  </w:style>
  <w:style w:type="character" w:styleId="FollowedHyperlink">
    <w:name w:val="FollowedHyperlink"/>
    <w:basedOn w:val="DefaultParagraphFont"/>
    <w:uiPriority w:val="99"/>
    <w:semiHidden/>
    <w:unhideWhenUsed/>
    <w:rsid w:val="00104CA8"/>
    <w:rPr>
      <w:color w:val="954F72" w:themeColor="followedHyperlink"/>
      <w:u w:val="single"/>
    </w:rPr>
  </w:style>
  <w:style w:type="paragraph" w:styleId="ListParagraph">
    <w:name w:val="List Paragraph"/>
    <w:basedOn w:val="Normal"/>
    <w:uiPriority w:val="34"/>
    <w:qFormat/>
    <w:rsid w:val="00A4429B"/>
    <w:pPr>
      <w:ind w:left="720"/>
      <w:contextualSpacing/>
    </w:pPr>
  </w:style>
  <w:style w:type="paragraph" w:styleId="TOCHeading">
    <w:name w:val="TOC Heading"/>
    <w:basedOn w:val="Heading1"/>
    <w:next w:val="Normal"/>
    <w:uiPriority w:val="39"/>
    <w:unhideWhenUsed/>
    <w:qFormat/>
    <w:rsid w:val="005A7C48"/>
    <w:pPr>
      <w:pBdr>
        <w:top w:val="none" w:sz="0" w:space="0" w:color="auto"/>
        <w:left w:val="none" w:sz="0" w:space="0" w:color="auto"/>
        <w:bottom w:val="none" w:sz="0" w:space="0" w:color="auto"/>
        <w:right w:val="none" w:sz="0" w:space="0" w:color="auto"/>
        <w:between w:val="none" w:sz="0" w:space="0" w:color="auto"/>
      </w:pBdr>
      <w:spacing w:before="480" w:after="0"/>
      <w:contextualSpacing w:val="0"/>
      <w:outlineLvl w:val="9"/>
    </w:pPr>
    <w:rPr>
      <w:rFonts w:asciiTheme="majorHAnsi" w:eastAsiaTheme="majorEastAsia" w:hAnsiTheme="majorHAnsi" w:cstheme="majorBidi"/>
      <w:b/>
      <w:bCs/>
      <w:color w:val="2E74B5" w:themeColor="accent1" w:themeShade="BF"/>
      <w:sz w:val="28"/>
      <w:szCs w:val="28"/>
    </w:rPr>
  </w:style>
  <w:style w:type="paragraph" w:styleId="TOC1">
    <w:name w:val="toc 1"/>
    <w:basedOn w:val="Normal"/>
    <w:next w:val="Normal"/>
    <w:autoRedefine/>
    <w:uiPriority w:val="39"/>
    <w:unhideWhenUsed/>
    <w:rsid w:val="005A7C48"/>
    <w:pPr>
      <w:spacing w:before="12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5A7C48"/>
    <w:pPr>
      <w:spacing w:before="120"/>
      <w:ind w:left="220"/>
    </w:pPr>
    <w:rPr>
      <w:rFonts w:asciiTheme="minorHAnsi" w:hAnsiTheme="minorHAnsi" w:cstheme="minorHAnsi"/>
      <w:b/>
      <w:bCs/>
    </w:rPr>
  </w:style>
  <w:style w:type="paragraph" w:styleId="TOC3">
    <w:name w:val="toc 3"/>
    <w:basedOn w:val="Normal"/>
    <w:next w:val="Normal"/>
    <w:autoRedefine/>
    <w:uiPriority w:val="39"/>
    <w:unhideWhenUsed/>
    <w:rsid w:val="005A7C48"/>
    <w:pPr>
      <w:ind w:left="440"/>
    </w:pPr>
    <w:rPr>
      <w:rFonts w:asciiTheme="minorHAnsi" w:hAnsiTheme="minorHAnsi" w:cstheme="minorHAnsi"/>
      <w:sz w:val="20"/>
      <w:szCs w:val="20"/>
    </w:rPr>
  </w:style>
  <w:style w:type="paragraph" w:styleId="TOC4">
    <w:name w:val="toc 4"/>
    <w:basedOn w:val="Normal"/>
    <w:next w:val="Normal"/>
    <w:autoRedefine/>
    <w:uiPriority w:val="39"/>
    <w:unhideWhenUsed/>
    <w:rsid w:val="005A7C48"/>
    <w:pPr>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5A7C48"/>
    <w:pPr>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5A7C48"/>
    <w:pPr>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5A7C48"/>
    <w:pPr>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5A7C48"/>
    <w:pPr>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5A7C48"/>
    <w:pPr>
      <w:ind w:left="176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926651">
      <w:bodyDiv w:val="1"/>
      <w:marLeft w:val="0"/>
      <w:marRight w:val="0"/>
      <w:marTop w:val="0"/>
      <w:marBottom w:val="0"/>
      <w:divBdr>
        <w:top w:val="none" w:sz="0" w:space="0" w:color="auto"/>
        <w:left w:val="none" w:sz="0" w:space="0" w:color="auto"/>
        <w:bottom w:val="none" w:sz="0" w:space="0" w:color="auto"/>
        <w:right w:val="none" w:sz="0" w:space="0" w:color="auto"/>
      </w:divBdr>
    </w:div>
    <w:div w:id="330640906">
      <w:bodyDiv w:val="1"/>
      <w:marLeft w:val="0"/>
      <w:marRight w:val="0"/>
      <w:marTop w:val="0"/>
      <w:marBottom w:val="0"/>
      <w:divBdr>
        <w:top w:val="none" w:sz="0" w:space="0" w:color="auto"/>
        <w:left w:val="none" w:sz="0" w:space="0" w:color="auto"/>
        <w:bottom w:val="none" w:sz="0" w:space="0" w:color="auto"/>
        <w:right w:val="none" w:sz="0" w:space="0" w:color="auto"/>
      </w:divBdr>
    </w:div>
    <w:div w:id="515967776">
      <w:bodyDiv w:val="1"/>
      <w:marLeft w:val="0"/>
      <w:marRight w:val="0"/>
      <w:marTop w:val="0"/>
      <w:marBottom w:val="0"/>
      <w:divBdr>
        <w:top w:val="none" w:sz="0" w:space="0" w:color="auto"/>
        <w:left w:val="none" w:sz="0" w:space="0" w:color="auto"/>
        <w:bottom w:val="none" w:sz="0" w:space="0" w:color="auto"/>
        <w:right w:val="none" w:sz="0" w:space="0" w:color="auto"/>
      </w:divBdr>
      <w:divsChild>
        <w:div w:id="2063361002">
          <w:marLeft w:val="0"/>
          <w:marRight w:val="0"/>
          <w:marTop w:val="0"/>
          <w:marBottom w:val="0"/>
          <w:divBdr>
            <w:top w:val="none" w:sz="0" w:space="0" w:color="auto"/>
            <w:left w:val="none" w:sz="0" w:space="0" w:color="auto"/>
            <w:bottom w:val="none" w:sz="0" w:space="0" w:color="auto"/>
            <w:right w:val="none" w:sz="0" w:space="0" w:color="auto"/>
          </w:divBdr>
          <w:divsChild>
            <w:div w:id="1566644252">
              <w:marLeft w:val="0"/>
              <w:marRight w:val="0"/>
              <w:marTop w:val="0"/>
              <w:marBottom w:val="0"/>
              <w:divBdr>
                <w:top w:val="none" w:sz="0" w:space="0" w:color="auto"/>
                <w:left w:val="none" w:sz="0" w:space="0" w:color="auto"/>
                <w:bottom w:val="none" w:sz="0" w:space="0" w:color="auto"/>
                <w:right w:val="none" w:sz="0" w:space="0" w:color="auto"/>
              </w:divBdr>
              <w:divsChild>
                <w:div w:id="109813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030821">
      <w:bodyDiv w:val="1"/>
      <w:marLeft w:val="0"/>
      <w:marRight w:val="0"/>
      <w:marTop w:val="0"/>
      <w:marBottom w:val="0"/>
      <w:divBdr>
        <w:top w:val="none" w:sz="0" w:space="0" w:color="auto"/>
        <w:left w:val="none" w:sz="0" w:space="0" w:color="auto"/>
        <w:bottom w:val="none" w:sz="0" w:space="0" w:color="auto"/>
        <w:right w:val="none" w:sz="0" w:space="0" w:color="auto"/>
      </w:divBdr>
    </w:div>
    <w:div w:id="985625866">
      <w:bodyDiv w:val="1"/>
      <w:marLeft w:val="0"/>
      <w:marRight w:val="0"/>
      <w:marTop w:val="0"/>
      <w:marBottom w:val="0"/>
      <w:divBdr>
        <w:top w:val="none" w:sz="0" w:space="0" w:color="auto"/>
        <w:left w:val="none" w:sz="0" w:space="0" w:color="auto"/>
        <w:bottom w:val="none" w:sz="0" w:space="0" w:color="auto"/>
        <w:right w:val="none" w:sz="0" w:space="0" w:color="auto"/>
      </w:divBdr>
    </w:div>
    <w:div w:id="1075662929">
      <w:bodyDiv w:val="1"/>
      <w:marLeft w:val="0"/>
      <w:marRight w:val="0"/>
      <w:marTop w:val="0"/>
      <w:marBottom w:val="0"/>
      <w:divBdr>
        <w:top w:val="none" w:sz="0" w:space="0" w:color="auto"/>
        <w:left w:val="none" w:sz="0" w:space="0" w:color="auto"/>
        <w:bottom w:val="none" w:sz="0" w:space="0" w:color="auto"/>
        <w:right w:val="none" w:sz="0" w:space="0" w:color="auto"/>
      </w:divBdr>
    </w:div>
    <w:div w:id="1208835322">
      <w:bodyDiv w:val="1"/>
      <w:marLeft w:val="0"/>
      <w:marRight w:val="0"/>
      <w:marTop w:val="0"/>
      <w:marBottom w:val="0"/>
      <w:divBdr>
        <w:top w:val="none" w:sz="0" w:space="0" w:color="auto"/>
        <w:left w:val="none" w:sz="0" w:space="0" w:color="auto"/>
        <w:bottom w:val="none" w:sz="0" w:space="0" w:color="auto"/>
        <w:right w:val="none" w:sz="0" w:space="0" w:color="auto"/>
      </w:divBdr>
    </w:div>
    <w:div w:id="1219512476">
      <w:bodyDiv w:val="1"/>
      <w:marLeft w:val="0"/>
      <w:marRight w:val="0"/>
      <w:marTop w:val="0"/>
      <w:marBottom w:val="0"/>
      <w:divBdr>
        <w:top w:val="none" w:sz="0" w:space="0" w:color="auto"/>
        <w:left w:val="none" w:sz="0" w:space="0" w:color="auto"/>
        <w:bottom w:val="none" w:sz="0" w:space="0" w:color="auto"/>
        <w:right w:val="none" w:sz="0" w:space="0" w:color="auto"/>
      </w:divBdr>
    </w:div>
    <w:div w:id="1235628029">
      <w:bodyDiv w:val="1"/>
      <w:marLeft w:val="0"/>
      <w:marRight w:val="0"/>
      <w:marTop w:val="0"/>
      <w:marBottom w:val="0"/>
      <w:divBdr>
        <w:top w:val="none" w:sz="0" w:space="0" w:color="auto"/>
        <w:left w:val="none" w:sz="0" w:space="0" w:color="auto"/>
        <w:bottom w:val="none" w:sz="0" w:space="0" w:color="auto"/>
        <w:right w:val="none" w:sz="0" w:space="0" w:color="auto"/>
      </w:divBdr>
      <w:divsChild>
        <w:div w:id="372124196">
          <w:marLeft w:val="0"/>
          <w:marRight w:val="0"/>
          <w:marTop w:val="0"/>
          <w:marBottom w:val="0"/>
          <w:divBdr>
            <w:top w:val="none" w:sz="0" w:space="0" w:color="auto"/>
            <w:left w:val="none" w:sz="0" w:space="0" w:color="auto"/>
            <w:bottom w:val="none" w:sz="0" w:space="0" w:color="auto"/>
            <w:right w:val="none" w:sz="0" w:space="0" w:color="auto"/>
          </w:divBdr>
          <w:divsChild>
            <w:div w:id="1141074321">
              <w:marLeft w:val="0"/>
              <w:marRight w:val="0"/>
              <w:marTop w:val="0"/>
              <w:marBottom w:val="0"/>
              <w:divBdr>
                <w:top w:val="none" w:sz="0" w:space="0" w:color="auto"/>
                <w:left w:val="none" w:sz="0" w:space="0" w:color="auto"/>
                <w:bottom w:val="none" w:sz="0" w:space="0" w:color="auto"/>
                <w:right w:val="none" w:sz="0" w:space="0" w:color="auto"/>
              </w:divBdr>
              <w:divsChild>
                <w:div w:id="582371478">
                  <w:marLeft w:val="0"/>
                  <w:marRight w:val="0"/>
                  <w:marTop w:val="0"/>
                  <w:marBottom w:val="0"/>
                  <w:divBdr>
                    <w:top w:val="none" w:sz="0" w:space="0" w:color="auto"/>
                    <w:left w:val="none" w:sz="0" w:space="0" w:color="auto"/>
                    <w:bottom w:val="none" w:sz="0" w:space="0" w:color="auto"/>
                    <w:right w:val="none" w:sz="0" w:space="0" w:color="auto"/>
                  </w:divBdr>
                  <w:divsChild>
                    <w:div w:id="6866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487092">
      <w:bodyDiv w:val="1"/>
      <w:marLeft w:val="0"/>
      <w:marRight w:val="0"/>
      <w:marTop w:val="0"/>
      <w:marBottom w:val="0"/>
      <w:divBdr>
        <w:top w:val="none" w:sz="0" w:space="0" w:color="auto"/>
        <w:left w:val="none" w:sz="0" w:space="0" w:color="auto"/>
        <w:bottom w:val="none" w:sz="0" w:space="0" w:color="auto"/>
        <w:right w:val="none" w:sz="0" w:space="0" w:color="auto"/>
      </w:divBdr>
      <w:divsChild>
        <w:div w:id="1011103683">
          <w:marLeft w:val="0"/>
          <w:marRight w:val="0"/>
          <w:marTop w:val="0"/>
          <w:marBottom w:val="0"/>
          <w:divBdr>
            <w:top w:val="none" w:sz="0" w:space="0" w:color="auto"/>
            <w:left w:val="none" w:sz="0" w:space="0" w:color="auto"/>
            <w:bottom w:val="none" w:sz="0" w:space="0" w:color="auto"/>
            <w:right w:val="none" w:sz="0" w:space="0" w:color="auto"/>
          </w:divBdr>
          <w:divsChild>
            <w:div w:id="121506091">
              <w:marLeft w:val="0"/>
              <w:marRight w:val="0"/>
              <w:marTop w:val="0"/>
              <w:marBottom w:val="0"/>
              <w:divBdr>
                <w:top w:val="none" w:sz="0" w:space="0" w:color="auto"/>
                <w:left w:val="none" w:sz="0" w:space="0" w:color="auto"/>
                <w:bottom w:val="none" w:sz="0" w:space="0" w:color="auto"/>
                <w:right w:val="none" w:sz="0" w:space="0" w:color="auto"/>
              </w:divBdr>
              <w:divsChild>
                <w:div w:id="1642155103">
                  <w:marLeft w:val="0"/>
                  <w:marRight w:val="0"/>
                  <w:marTop w:val="0"/>
                  <w:marBottom w:val="0"/>
                  <w:divBdr>
                    <w:top w:val="none" w:sz="0" w:space="0" w:color="auto"/>
                    <w:left w:val="none" w:sz="0" w:space="0" w:color="auto"/>
                    <w:bottom w:val="none" w:sz="0" w:space="0" w:color="auto"/>
                    <w:right w:val="none" w:sz="0" w:space="0" w:color="auto"/>
                  </w:divBdr>
                  <w:divsChild>
                    <w:div w:id="114480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001122">
      <w:bodyDiv w:val="1"/>
      <w:marLeft w:val="0"/>
      <w:marRight w:val="0"/>
      <w:marTop w:val="0"/>
      <w:marBottom w:val="0"/>
      <w:divBdr>
        <w:top w:val="none" w:sz="0" w:space="0" w:color="auto"/>
        <w:left w:val="none" w:sz="0" w:space="0" w:color="auto"/>
        <w:bottom w:val="none" w:sz="0" w:space="0" w:color="auto"/>
        <w:right w:val="none" w:sz="0" w:space="0" w:color="auto"/>
      </w:divBdr>
    </w:div>
    <w:div w:id="1521116275">
      <w:bodyDiv w:val="1"/>
      <w:marLeft w:val="0"/>
      <w:marRight w:val="0"/>
      <w:marTop w:val="0"/>
      <w:marBottom w:val="0"/>
      <w:divBdr>
        <w:top w:val="none" w:sz="0" w:space="0" w:color="auto"/>
        <w:left w:val="none" w:sz="0" w:space="0" w:color="auto"/>
        <w:bottom w:val="none" w:sz="0" w:space="0" w:color="auto"/>
        <w:right w:val="none" w:sz="0" w:space="0" w:color="auto"/>
      </w:divBdr>
    </w:div>
    <w:div w:id="1549030800">
      <w:bodyDiv w:val="1"/>
      <w:marLeft w:val="0"/>
      <w:marRight w:val="0"/>
      <w:marTop w:val="0"/>
      <w:marBottom w:val="0"/>
      <w:divBdr>
        <w:top w:val="none" w:sz="0" w:space="0" w:color="auto"/>
        <w:left w:val="none" w:sz="0" w:space="0" w:color="auto"/>
        <w:bottom w:val="none" w:sz="0" w:space="0" w:color="auto"/>
        <w:right w:val="none" w:sz="0" w:space="0" w:color="auto"/>
      </w:divBdr>
    </w:div>
    <w:div w:id="1746564316">
      <w:bodyDiv w:val="1"/>
      <w:marLeft w:val="0"/>
      <w:marRight w:val="0"/>
      <w:marTop w:val="0"/>
      <w:marBottom w:val="0"/>
      <w:divBdr>
        <w:top w:val="none" w:sz="0" w:space="0" w:color="auto"/>
        <w:left w:val="none" w:sz="0" w:space="0" w:color="auto"/>
        <w:bottom w:val="none" w:sz="0" w:space="0" w:color="auto"/>
        <w:right w:val="none" w:sz="0" w:space="0" w:color="auto"/>
      </w:divBdr>
    </w:div>
    <w:div w:id="1824081694">
      <w:bodyDiv w:val="1"/>
      <w:marLeft w:val="0"/>
      <w:marRight w:val="0"/>
      <w:marTop w:val="0"/>
      <w:marBottom w:val="0"/>
      <w:divBdr>
        <w:top w:val="none" w:sz="0" w:space="0" w:color="auto"/>
        <w:left w:val="none" w:sz="0" w:space="0" w:color="auto"/>
        <w:bottom w:val="none" w:sz="0" w:space="0" w:color="auto"/>
        <w:right w:val="none" w:sz="0" w:space="0" w:color="auto"/>
      </w:divBdr>
    </w:div>
    <w:div w:id="1866940218">
      <w:bodyDiv w:val="1"/>
      <w:marLeft w:val="0"/>
      <w:marRight w:val="0"/>
      <w:marTop w:val="0"/>
      <w:marBottom w:val="0"/>
      <w:divBdr>
        <w:top w:val="none" w:sz="0" w:space="0" w:color="auto"/>
        <w:left w:val="none" w:sz="0" w:space="0" w:color="auto"/>
        <w:bottom w:val="none" w:sz="0" w:space="0" w:color="auto"/>
        <w:right w:val="none" w:sz="0" w:space="0" w:color="auto"/>
      </w:divBdr>
    </w:div>
    <w:div w:id="2086829816">
      <w:bodyDiv w:val="1"/>
      <w:marLeft w:val="0"/>
      <w:marRight w:val="0"/>
      <w:marTop w:val="0"/>
      <w:marBottom w:val="0"/>
      <w:divBdr>
        <w:top w:val="none" w:sz="0" w:space="0" w:color="auto"/>
        <w:left w:val="none" w:sz="0" w:space="0" w:color="auto"/>
        <w:bottom w:val="none" w:sz="0" w:space="0" w:color="auto"/>
        <w:right w:val="none" w:sz="0" w:space="0" w:color="auto"/>
      </w:divBdr>
      <w:divsChild>
        <w:div w:id="1861582133">
          <w:marLeft w:val="0"/>
          <w:marRight w:val="0"/>
          <w:marTop w:val="0"/>
          <w:marBottom w:val="0"/>
          <w:divBdr>
            <w:top w:val="none" w:sz="0" w:space="0" w:color="auto"/>
            <w:left w:val="none" w:sz="0" w:space="0" w:color="auto"/>
            <w:bottom w:val="none" w:sz="0" w:space="0" w:color="auto"/>
            <w:right w:val="none" w:sz="0" w:space="0" w:color="auto"/>
          </w:divBdr>
          <w:divsChild>
            <w:div w:id="273824578">
              <w:marLeft w:val="0"/>
              <w:marRight w:val="0"/>
              <w:marTop w:val="0"/>
              <w:marBottom w:val="0"/>
              <w:divBdr>
                <w:top w:val="none" w:sz="0" w:space="0" w:color="auto"/>
                <w:left w:val="none" w:sz="0" w:space="0" w:color="auto"/>
                <w:bottom w:val="none" w:sz="0" w:space="0" w:color="auto"/>
                <w:right w:val="none" w:sz="0" w:space="0" w:color="auto"/>
              </w:divBdr>
              <w:divsChild>
                <w:div w:id="2014792506">
                  <w:marLeft w:val="0"/>
                  <w:marRight w:val="0"/>
                  <w:marTop w:val="0"/>
                  <w:marBottom w:val="0"/>
                  <w:divBdr>
                    <w:top w:val="none" w:sz="0" w:space="0" w:color="auto"/>
                    <w:left w:val="none" w:sz="0" w:space="0" w:color="auto"/>
                    <w:bottom w:val="none" w:sz="0" w:space="0" w:color="auto"/>
                    <w:right w:val="none" w:sz="0" w:space="0" w:color="auto"/>
                  </w:divBdr>
                  <w:divsChild>
                    <w:div w:id="15934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s://fra.europa.eu/en/publication/2014/being-trans-eu-comparative-analysis-eu-lgbt-survey-data" TargetMode="External"/><Relationship Id="rId13" Type="http://schemas.openxmlformats.org/officeDocument/2006/relationships/hyperlink" Target="http://tbinternet.ohchr.org/_layouts/treatybodyexternal/Download.aspx?symbolno=CRPD%2fC%2fCAN%2fCO%2f1&amp;Lang=en" TargetMode="External"/><Relationship Id="rId3" Type="http://schemas.openxmlformats.org/officeDocument/2006/relationships/hyperlink" Target="https://documents-dds-ny.un.org/doc/UNDOC/GEN/N19/220/72/PDF/N1922072.pdf?OpenElement" TargetMode="External"/><Relationship Id="rId7" Type="http://schemas.openxmlformats.org/officeDocument/2006/relationships/hyperlink" Target="https://tbinternet.ohchr.org/_layouts/15/treatybodyexternal/Download.aspx?symbolno=INT%2fCRPD%2fCSS%2fCAN%2f26874&amp;Lang=en" TargetMode="External"/><Relationship Id="rId12" Type="http://schemas.openxmlformats.org/officeDocument/2006/relationships/hyperlink" Target="https://interactadvocates.org/wp-content/uploads/2016/01/Intersex-Stories-Statistics-Australia.pdf" TargetMode="External"/><Relationship Id="rId17" Type="http://schemas.openxmlformats.org/officeDocument/2006/relationships/hyperlink" Target="https://tgeu.org/wp-content/uploads/2018/02/Oppression-Squared.pdf" TargetMode="External"/><Relationship Id="rId2" Type="http://schemas.openxmlformats.org/officeDocument/2006/relationships/hyperlink" Target="https://undocs.org/en/A/70/297" TargetMode="External"/><Relationship Id="rId16" Type="http://schemas.openxmlformats.org/officeDocument/2006/relationships/hyperlink" Target="https://tbinternet.ohchr.org/Treaties/CCPR/Shared%20Documents/RUS/INT_CCPR_ICO_RUS_17137_E.pdf" TargetMode="External"/><Relationship Id="rId1" Type="http://schemas.openxmlformats.org/officeDocument/2006/relationships/hyperlink" Target="https://undocs.org/en/A/HRC/34/58" TargetMode="External"/><Relationship Id="rId6" Type="http://schemas.openxmlformats.org/officeDocument/2006/relationships/hyperlink" Target="https://www.google.com.ua/url?sa=t&amp;rct=j&amp;q=&amp;esrc=s&amp;source=web&amp;cd=1&amp;cad=rja&amp;uact=8&amp;ved=0ahUKEwiygLywzebUAhXLBsAKHW1_C5cQFggsMAA&amp;url=https%3A%2F%2Flgbtnet.org%2Fsites%2Fdefault%2Ffiles%2Ffedorov._kolichestvennoe_issledovanie_lgbtik_inva_1.pdf&amp;usg=AF" TargetMode="External"/><Relationship Id="rId11" Type="http://schemas.openxmlformats.org/officeDocument/2006/relationships/hyperlink" Target="http://www.stonewall.org.uk/sites/default/files/the_school_report_2017.pdf" TargetMode="External"/><Relationship Id="rId5" Type="http://schemas.openxmlformats.org/officeDocument/2006/relationships/hyperlink" Target="https://www.disabilityrightswa.org/wp-content/uploads/2018/09/GAFLA-Report-Final-Version.pdf" TargetMode="External"/><Relationship Id="rId15" Type="http://schemas.openxmlformats.org/officeDocument/2006/relationships/hyperlink" Target="https://tgeu.org/wp-content/uploads/2018/02/Oppression-Squared.pdf" TargetMode="External"/><Relationship Id="rId10" Type="http://schemas.openxmlformats.org/officeDocument/2006/relationships/hyperlink" Target="https://undocs.org/Home/Mobile?FinalSymbol=A%2F74%2F181&amp;Language=E&amp;DeviceType=Desktop" TargetMode="External"/><Relationship Id="rId4" Type="http://schemas.openxmlformats.org/officeDocument/2006/relationships/hyperlink" Target="https://www.ilo.org/global/about-the-ilo/how-the-ilo-works/ilo-director-general/statements-and-speeches/WCMS_368652/lang--en/index.htm" TargetMode="External"/><Relationship Id="rId9" Type="http://schemas.openxmlformats.org/officeDocument/2006/relationships/hyperlink" Target="https://www.facebook.com/lgbtiera/videos/269014294664690" TargetMode="External"/><Relationship Id="rId14" Type="http://schemas.openxmlformats.org/officeDocument/2006/relationships/hyperlink" Target="https://undocs.org/A/HRC/33/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D1566D5-64C8-4174-9184-0AD4D4450357}">
  <ds:schemaRefs>
    <ds:schemaRef ds:uri="http://schemas.openxmlformats.org/officeDocument/2006/bibliography"/>
  </ds:schemaRefs>
</ds:datastoreItem>
</file>

<file path=customXml/itemProps2.xml><?xml version="1.0" encoding="utf-8"?>
<ds:datastoreItem xmlns:ds="http://schemas.openxmlformats.org/officeDocument/2006/customXml" ds:itemID="{A55A37EF-FD8A-44A6-85F2-EBCA8E00B1CD}"/>
</file>

<file path=customXml/itemProps3.xml><?xml version="1.0" encoding="utf-8"?>
<ds:datastoreItem xmlns:ds="http://schemas.openxmlformats.org/officeDocument/2006/customXml" ds:itemID="{BFA28560-0303-4042-8377-2CC886A953CB}"/>
</file>

<file path=customXml/itemProps4.xml><?xml version="1.0" encoding="utf-8"?>
<ds:datastoreItem xmlns:ds="http://schemas.openxmlformats.org/officeDocument/2006/customXml" ds:itemID="{24BF55CE-A986-47C7-9596-360897A18588}"/>
</file>

<file path=docProps/app.xml><?xml version="1.0" encoding="utf-8"?>
<Properties xmlns="http://schemas.openxmlformats.org/officeDocument/2006/extended-properties" xmlns:vt="http://schemas.openxmlformats.org/officeDocument/2006/docPropsVTypes">
  <Template>Normal.dotm</Template>
  <TotalTime>1</TotalTime>
  <Pages>9</Pages>
  <Words>2842</Words>
  <Characters>16204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ISKAKOVA Janna</dc:creator>
  <cp:lastModifiedBy>OUKO Robert</cp:lastModifiedBy>
  <cp:revision>2</cp:revision>
  <cp:lastPrinted>2017-07-07T19:57:00Z</cp:lastPrinted>
  <dcterms:created xsi:type="dcterms:W3CDTF">2021-03-17T10:27:00Z</dcterms:created>
  <dcterms:modified xsi:type="dcterms:W3CDTF">2021-03-17T10:27:00Z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