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8DE9" w14:textId="77777777" w:rsidR="00395806" w:rsidRDefault="00395806" w:rsidP="00395806">
      <w:pPr>
        <w:rPr>
          <w:rFonts w:eastAsia="Open Sans"/>
          <w:lang w:val="en-GB"/>
        </w:rPr>
      </w:pPr>
      <w:bookmarkStart w:id="0" w:name="_GoBack"/>
      <w:bookmarkEnd w:id="0"/>
      <w:r>
        <w:rPr>
          <w:noProof/>
          <w:lang w:val="en-GB" w:eastAsia="en-GB"/>
        </w:rPr>
        <w:drawing>
          <wp:anchor distT="0" distB="0" distL="114300" distR="114300" simplePos="0" relativeHeight="251659264" behindDoc="0" locked="0" layoutInCell="1" allowOverlap="1" wp14:anchorId="01B49BED" wp14:editId="4720110B">
            <wp:simplePos x="0" y="0"/>
            <wp:positionH relativeFrom="column">
              <wp:posOffset>-254000</wp:posOffset>
            </wp:positionH>
            <wp:positionV relativeFrom="paragraph">
              <wp:posOffset>6350</wp:posOffset>
            </wp:positionV>
            <wp:extent cx="3570605" cy="2002155"/>
            <wp:effectExtent l="0" t="0" r="0" b="0"/>
            <wp:wrapSquare wrapText="bothSides"/>
            <wp:docPr id="588245505" name="Picture 1073741832" descr="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0605" cy="2002155"/>
                    </a:xfrm>
                    <a:prstGeom prst="rect">
                      <a:avLst/>
                    </a:prstGeom>
                  </pic:spPr>
                </pic:pic>
              </a:graphicData>
            </a:graphic>
            <wp14:sizeRelH relativeFrom="page">
              <wp14:pctWidth>0</wp14:pctWidth>
            </wp14:sizeRelH>
            <wp14:sizeRelV relativeFrom="page">
              <wp14:pctHeight>0</wp14:pctHeight>
            </wp14:sizeRelV>
          </wp:anchor>
        </w:drawing>
      </w:r>
    </w:p>
    <w:p w14:paraId="34EB0BB9" w14:textId="77777777" w:rsidR="00395806" w:rsidRDefault="00395806" w:rsidP="00395806">
      <w:pPr>
        <w:rPr>
          <w:rFonts w:eastAsia="Open Sans"/>
          <w:lang w:val="en-GB"/>
        </w:rPr>
      </w:pPr>
    </w:p>
    <w:p w14:paraId="382D7726" w14:textId="77777777" w:rsidR="00395806" w:rsidRDefault="00395806" w:rsidP="00395806">
      <w:pPr>
        <w:rPr>
          <w:rFonts w:eastAsia="Open Sans"/>
          <w:lang w:val="en-GB"/>
        </w:rPr>
      </w:pPr>
    </w:p>
    <w:p w14:paraId="4340B676" w14:textId="77777777" w:rsidR="00395806" w:rsidRDefault="00395806" w:rsidP="00395806">
      <w:pPr>
        <w:rPr>
          <w:rFonts w:eastAsia="Open Sans"/>
          <w:lang w:val="en-GB"/>
        </w:rPr>
      </w:pPr>
    </w:p>
    <w:p w14:paraId="24A4958D" w14:textId="77777777" w:rsidR="00395806" w:rsidRDefault="00395806" w:rsidP="00395806">
      <w:pPr>
        <w:rPr>
          <w:rFonts w:eastAsia="Open Sans"/>
          <w:lang w:val="en-GB"/>
        </w:rPr>
      </w:pPr>
    </w:p>
    <w:p w14:paraId="5909FD0A" w14:textId="6F96D87F" w:rsidR="00395806" w:rsidRDefault="00395806" w:rsidP="00395806">
      <w:pPr>
        <w:rPr>
          <w:rFonts w:eastAsia="Open Sans"/>
          <w:lang w:val="en-GB"/>
        </w:rPr>
      </w:pPr>
      <w:r>
        <w:rPr>
          <w:rFonts w:eastAsia="Open Sans"/>
          <w:lang w:val="en-GB"/>
        </w:rPr>
        <w:t xml:space="preserve">                                                                                 </w:t>
      </w:r>
      <w:r>
        <w:rPr>
          <w:rFonts w:ascii="Open Sans" w:eastAsia="Open Sans" w:hAnsi="Open Sans" w:cs="Open Sans"/>
          <w:b/>
          <w:bCs/>
          <w:color w:val="00AAB5"/>
          <w:sz w:val="20"/>
          <w:szCs w:val="20"/>
          <w:lang w:val="en-US"/>
        </w:rPr>
        <w:t>Ambitions. Rights. Belonging.</w:t>
      </w:r>
    </w:p>
    <w:p w14:paraId="6F3D5906" w14:textId="08FC6AB0" w:rsidR="00395806" w:rsidRDefault="00395806" w:rsidP="00395806">
      <w:pPr>
        <w:rPr>
          <w:rFonts w:eastAsia="Open Sans"/>
          <w:lang w:val="en-GB"/>
        </w:rPr>
      </w:pPr>
      <w:r>
        <w:rPr>
          <w:noProof/>
          <w:lang w:val="en-GB" w:eastAsia="en-GB"/>
        </w:rPr>
        <mc:AlternateContent>
          <mc:Choice Requires="wps">
            <w:drawing>
              <wp:anchor distT="152400" distB="152400" distL="152400" distR="152400" simplePos="0" relativeHeight="251660288" behindDoc="1" locked="0" layoutInCell="1" allowOverlap="1" wp14:anchorId="77079BD2" wp14:editId="33594B7F">
                <wp:simplePos x="0" y="0"/>
                <wp:positionH relativeFrom="margin">
                  <wp:posOffset>-890270</wp:posOffset>
                </wp:positionH>
                <wp:positionV relativeFrom="page">
                  <wp:posOffset>2952750</wp:posOffset>
                </wp:positionV>
                <wp:extent cx="7572375" cy="108585"/>
                <wp:effectExtent l="0" t="0" r="9525" b="5715"/>
                <wp:wrapNone/>
                <wp:docPr id="11" name="Rectangle 1073741831" descr="Rectangle 3"/>
                <wp:cNvGraphicFramePr/>
                <a:graphic xmlns:a="http://schemas.openxmlformats.org/drawingml/2006/main">
                  <a:graphicData uri="http://schemas.microsoft.com/office/word/2010/wordprocessingShape">
                    <wps:wsp>
                      <wps:cNvSpPr/>
                      <wps:spPr>
                        <a:xfrm>
                          <a:off x="0" y="0"/>
                          <a:ext cx="7572375" cy="108585"/>
                        </a:xfrm>
                        <a:prstGeom prst="rect">
                          <a:avLst/>
                        </a:prstGeom>
                        <a:solidFill>
                          <a:srgbClr val="00AAB5"/>
                        </a:solidFill>
                        <a:ln w="12600">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A3BABC" id="Rectangle 1073741831" o:spid="_x0000_s1026" alt="Rectangle 3" style="position:absolute;margin-left:-70.1pt;margin-top:232.5pt;width:596.25pt;height:8.55pt;z-index:-251656192;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" fillcolor="#00aab5" stroked="f" strokeweight=".35mm">
                <w10:wrap anchorx="margin" anchory="page"/>
              </v:rect>
            </w:pict>
          </mc:Fallback>
        </mc:AlternateContent>
      </w:r>
    </w:p>
    <w:p w14:paraId="1F8D26B4" w14:textId="77777777" w:rsidR="00395806" w:rsidRDefault="00395806" w:rsidP="00395806">
      <w:pPr>
        <w:rPr>
          <w:rFonts w:eastAsia="Open Sans"/>
          <w:lang w:val="en-GB"/>
        </w:rPr>
      </w:pPr>
    </w:p>
    <w:p w14:paraId="0512940C" w14:textId="77777777" w:rsidR="00395806" w:rsidRDefault="00395806" w:rsidP="00395806">
      <w:pPr>
        <w:rPr>
          <w:rFonts w:eastAsia="Open Sans"/>
          <w:lang w:val="en-GB"/>
        </w:rPr>
      </w:pPr>
    </w:p>
    <w:p w14:paraId="34C63CDE" w14:textId="4C7087C1" w:rsidR="00395806" w:rsidRDefault="00395806" w:rsidP="00395806">
      <w:pPr>
        <w:rPr>
          <w:rFonts w:eastAsia="Open Sans"/>
          <w:lang w:val="en-GB"/>
        </w:rPr>
      </w:pPr>
    </w:p>
    <w:p w14:paraId="3419E671" w14:textId="77777777" w:rsidR="00395806" w:rsidRDefault="00395806" w:rsidP="00395806">
      <w:pPr>
        <w:rPr>
          <w:rFonts w:eastAsia="Open Sans"/>
          <w:lang w:val="en-GB"/>
        </w:rPr>
      </w:pPr>
    </w:p>
    <w:p w14:paraId="60AA5610" w14:textId="77777777" w:rsidR="00395806" w:rsidRDefault="00395806" w:rsidP="00395806">
      <w:pPr>
        <w:rPr>
          <w:rFonts w:eastAsia="Open Sans"/>
          <w:lang w:val="en-GB"/>
        </w:rPr>
      </w:pPr>
    </w:p>
    <w:p w14:paraId="146F4B78" w14:textId="76C17C58" w:rsidR="00FF3193" w:rsidRDefault="00420F80" w:rsidP="004558B1">
      <w:pPr>
        <w:pStyle w:val="Heading3"/>
        <w:spacing w:before="450" w:after="240" w:line="360" w:lineRule="auto"/>
        <w:rPr>
          <w:rFonts w:ascii="Open Sans" w:eastAsia="Open Sans" w:hAnsi="Open Sans" w:cs="Open Sans"/>
          <w:b/>
          <w:color w:val="000000" w:themeColor="text1"/>
          <w:sz w:val="44"/>
          <w:szCs w:val="44"/>
          <w:lang w:val="en-GB" w:eastAsia="de-DE"/>
        </w:rPr>
      </w:pPr>
      <w:r w:rsidRPr="004558B1">
        <w:rPr>
          <w:rFonts w:ascii="Open Sans" w:eastAsia="Open Sans" w:hAnsi="Open Sans" w:cs="Open Sans"/>
          <w:b/>
          <w:color w:val="000000" w:themeColor="text1"/>
          <w:sz w:val="44"/>
          <w:szCs w:val="44"/>
          <w:lang w:val="en-GB" w:eastAsia="de-DE"/>
        </w:rPr>
        <w:lastRenderedPageBreak/>
        <w:t xml:space="preserve">General discussion on the right of persons with disabilities to work and </w:t>
      </w:r>
      <w:r w:rsidR="00C87806" w:rsidRPr="004558B1">
        <w:rPr>
          <w:rFonts w:ascii="Open Sans" w:eastAsia="Open Sans" w:hAnsi="Open Sans" w:cs="Open Sans"/>
          <w:b/>
          <w:color w:val="000000" w:themeColor="text1"/>
          <w:sz w:val="44"/>
          <w:szCs w:val="44"/>
          <w:lang w:val="en-GB" w:eastAsia="de-DE"/>
        </w:rPr>
        <w:t>employment.</w:t>
      </w:r>
    </w:p>
    <w:p w14:paraId="056306DF" w14:textId="430B57E0" w:rsidR="004558B1" w:rsidRPr="0085010B" w:rsidRDefault="004558B1" w:rsidP="0085010B">
      <w:pPr>
        <w:spacing w:after="0" w:line="360" w:lineRule="auto"/>
        <w:rPr>
          <w:rFonts w:ascii="Open Sans" w:eastAsia="Times New Roman" w:hAnsi="Open Sans" w:cs="Open Sans"/>
          <w:sz w:val="36"/>
          <w:szCs w:val="36"/>
          <w:lang w:val="en-GB" w:eastAsia="de-DE"/>
        </w:rPr>
      </w:pPr>
    </w:p>
    <w:p w14:paraId="2537156D" w14:textId="39129FDB" w:rsidR="004558B1" w:rsidRDefault="004558B1" w:rsidP="0085010B">
      <w:pPr>
        <w:spacing w:after="0" w:line="360" w:lineRule="auto"/>
        <w:rPr>
          <w:rFonts w:ascii="Open Sans" w:eastAsia="Times New Roman" w:hAnsi="Open Sans" w:cs="Open Sans"/>
          <w:sz w:val="36"/>
          <w:szCs w:val="36"/>
          <w:lang w:val="en-GB" w:eastAsia="de-DE"/>
        </w:rPr>
      </w:pPr>
      <w:r w:rsidRPr="0085010B">
        <w:rPr>
          <w:rFonts w:ascii="Open Sans" w:eastAsia="Times New Roman" w:hAnsi="Open Sans" w:cs="Open Sans"/>
          <w:sz w:val="36"/>
          <w:szCs w:val="36"/>
          <w:lang w:val="en-GB" w:eastAsia="de-DE"/>
        </w:rPr>
        <w:t xml:space="preserve">Inclusion Europe’s submission to the consultation </w:t>
      </w:r>
    </w:p>
    <w:p w14:paraId="1A8B6D0D" w14:textId="7E083532" w:rsidR="009A0CE4" w:rsidRPr="0085010B" w:rsidRDefault="009A0CE4" w:rsidP="0085010B">
      <w:pPr>
        <w:spacing w:after="0" w:line="360" w:lineRule="auto"/>
        <w:rPr>
          <w:rFonts w:ascii="Open Sans" w:eastAsia="Times New Roman" w:hAnsi="Open Sans" w:cs="Open Sans"/>
          <w:sz w:val="36"/>
          <w:szCs w:val="36"/>
          <w:lang w:val="en-GB" w:eastAsia="de-DE"/>
        </w:rPr>
      </w:pPr>
      <w:r>
        <w:rPr>
          <w:rFonts w:ascii="Open Sans" w:eastAsia="Times New Roman" w:hAnsi="Open Sans" w:cs="Open Sans"/>
          <w:sz w:val="36"/>
          <w:szCs w:val="36"/>
          <w:lang w:val="en-GB" w:eastAsia="de-DE"/>
        </w:rPr>
        <w:t>2021</w:t>
      </w:r>
    </w:p>
    <w:p w14:paraId="08B4B5CF" w14:textId="77777777" w:rsidR="0085010B" w:rsidRDefault="0085010B">
      <w:pPr>
        <w:rPr>
          <w:rFonts w:ascii="Open Sans" w:hAnsi="Open Sans" w:cs="Open Sans"/>
          <w:lang w:val="en-GB"/>
        </w:rPr>
      </w:pPr>
      <w:r>
        <w:rPr>
          <w:rFonts w:ascii="Open Sans" w:hAnsi="Open Sans" w:cs="Open Sans"/>
          <w:lang w:val="en-GB"/>
        </w:rPr>
        <w:br w:type="page"/>
      </w:r>
    </w:p>
    <w:p w14:paraId="5BEAEBF4" w14:textId="63CE9EF3" w:rsidR="00F93016" w:rsidRDefault="00F93016" w:rsidP="00522F9C">
      <w:pPr>
        <w:jc w:val="both"/>
        <w:rPr>
          <w:rFonts w:ascii="Open Sans" w:hAnsi="Open Sans" w:cs="Open Sans"/>
          <w:lang w:val="en-GB"/>
        </w:rPr>
      </w:pPr>
      <w:r w:rsidRPr="00893200">
        <w:rPr>
          <w:rFonts w:ascii="Open Sans" w:hAnsi="Open Sans" w:cs="Open Sans"/>
          <w:lang w:val="en-GB"/>
        </w:rPr>
        <w:lastRenderedPageBreak/>
        <w:t>Inclusion Europe is the European movement of people with intellectual disabilities and their families fighting for the equal rights and full inclusion in all aspects of life of people with intellectual disabilities, with 7</w:t>
      </w:r>
      <w:r w:rsidR="00277769" w:rsidRPr="00893200">
        <w:rPr>
          <w:rFonts w:ascii="Open Sans" w:hAnsi="Open Sans" w:cs="Open Sans"/>
          <w:lang w:val="en-GB"/>
        </w:rPr>
        <w:t xml:space="preserve">9 </w:t>
      </w:r>
      <w:r w:rsidRPr="00893200">
        <w:rPr>
          <w:rFonts w:ascii="Open Sans" w:hAnsi="Open Sans" w:cs="Open Sans"/>
          <w:lang w:val="en-GB"/>
        </w:rPr>
        <w:t>member organisations in 39 European countries.</w:t>
      </w:r>
    </w:p>
    <w:p w14:paraId="1420CE66" w14:textId="499ACAE3" w:rsidR="00813D4B" w:rsidRDefault="00813D4B" w:rsidP="00522F9C">
      <w:pPr>
        <w:jc w:val="both"/>
        <w:rPr>
          <w:rFonts w:ascii="Open Sans" w:hAnsi="Open Sans" w:cs="Open Sans"/>
          <w:lang w:val="en-GB"/>
        </w:rPr>
      </w:pPr>
    </w:p>
    <w:p w14:paraId="52664A45" w14:textId="393C10CF" w:rsidR="00813D4B" w:rsidRDefault="00813D4B" w:rsidP="00522F9C">
      <w:pPr>
        <w:jc w:val="both"/>
        <w:rPr>
          <w:rFonts w:ascii="Open Sans" w:hAnsi="Open Sans" w:cs="Open Sans"/>
          <w:lang w:val="en-GB"/>
        </w:rPr>
      </w:pPr>
    </w:p>
    <w:sdt>
      <w:sdtPr>
        <w:rPr>
          <w:rFonts w:asciiTheme="minorHAnsi" w:eastAsiaTheme="minorHAnsi" w:hAnsiTheme="minorHAnsi" w:cstheme="minorBidi"/>
          <w:color w:val="auto"/>
          <w:sz w:val="22"/>
          <w:szCs w:val="22"/>
          <w:lang w:val="es-ES"/>
        </w:rPr>
        <w:id w:val="-786042170"/>
        <w:docPartObj>
          <w:docPartGallery w:val="Table of Contents"/>
          <w:docPartUnique/>
        </w:docPartObj>
      </w:sdtPr>
      <w:sdtEndPr>
        <w:rPr>
          <w:b/>
          <w:bCs/>
          <w:noProof/>
        </w:rPr>
      </w:sdtEndPr>
      <w:sdtContent>
        <w:p w14:paraId="1CE69083" w14:textId="6997332E" w:rsidR="00362AF6" w:rsidRDefault="00362AF6">
          <w:pPr>
            <w:pStyle w:val="TOCHeading"/>
          </w:pPr>
          <w:r>
            <w:t>Table of Contents</w:t>
          </w:r>
        </w:p>
        <w:p w14:paraId="58783DE1" w14:textId="7C144271" w:rsidR="00362AF6" w:rsidRDefault="00362AF6">
          <w:pPr>
            <w:pStyle w:val="TOC2"/>
            <w:tabs>
              <w:tab w:val="right" w:leader="dot" w:pos="8494"/>
            </w:tabs>
            <w:rPr>
              <w:rFonts w:eastAsiaTheme="minorEastAsia"/>
              <w:noProof/>
              <w:lang w:val="fr-FR" w:eastAsia="fr-FR"/>
            </w:rPr>
          </w:pPr>
          <w:r>
            <w:fldChar w:fldCharType="begin"/>
          </w:r>
          <w:r>
            <w:instrText xml:space="preserve"> TOC \o "1-3" \h \z \u </w:instrText>
          </w:r>
          <w:r>
            <w:fldChar w:fldCharType="separate"/>
          </w:r>
          <w:hyperlink w:anchor="_Toc66730083" w:history="1">
            <w:r w:rsidRPr="00202485">
              <w:rPr>
                <w:rStyle w:val="Hyperlink"/>
                <w:rFonts w:ascii="Open Sans" w:hAnsi="Open Sans" w:cs="Open Sans"/>
                <w:noProof/>
                <w:lang w:val="en-GB"/>
              </w:rPr>
              <w:t>Employment in Europe</w:t>
            </w:r>
            <w:r>
              <w:rPr>
                <w:noProof/>
                <w:webHidden/>
              </w:rPr>
              <w:tab/>
            </w:r>
            <w:r>
              <w:rPr>
                <w:noProof/>
                <w:webHidden/>
              </w:rPr>
              <w:fldChar w:fldCharType="begin"/>
            </w:r>
            <w:r>
              <w:rPr>
                <w:noProof/>
                <w:webHidden/>
              </w:rPr>
              <w:instrText xml:space="preserve"> PAGEREF _Toc66730083 \h </w:instrText>
            </w:r>
            <w:r>
              <w:rPr>
                <w:noProof/>
                <w:webHidden/>
              </w:rPr>
            </w:r>
            <w:r>
              <w:rPr>
                <w:noProof/>
                <w:webHidden/>
              </w:rPr>
              <w:fldChar w:fldCharType="separate"/>
            </w:r>
            <w:r>
              <w:rPr>
                <w:noProof/>
                <w:webHidden/>
              </w:rPr>
              <w:t>2</w:t>
            </w:r>
            <w:r>
              <w:rPr>
                <w:noProof/>
                <w:webHidden/>
              </w:rPr>
              <w:fldChar w:fldCharType="end"/>
            </w:r>
          </w:hyperlink>
        </w:p>
        <w:p w14:paraId="17EAD900" w14:textId="29ECDDA9" w:rsidR="00362AF6" w:rsidRDefault="00013BDC">
          <w:pPr>
            <w:pStyle w:val="TOC1"/>
            <w:tabs>
              <w:tab w:val="right" w:leader="dot" w:pos="8494"/>
            </w:tabs>
            <w:rPr>
              <w:rFonts w:eastAsiaTheme="minorEastAsia"/>
              <w:noProof/>
              <w:lang w:val="fr-FR" w:eastAsia="fr-FR"/>
            </w:rPr>
          </w:pPr>
          <w:hyperlink w:anchor="_Toc66730084" w:history="1">
            <w:r w:rsidR="00362AF6" w:rsidRPr="00202485">
              <w:rPr>
                <w:rStyle w:val="Hyperlink"/>
                <w:rFonts w:ascii="Open Sans" w:hAnsi="Open Sans" w:cs="Open Sans"/>
                <w:noProof/>
                <w:lang w:val="en-GB"/>
              </w:rPr>
              <w:t>Interpretation of article 27</w:t>
            </w:r>
            <w:r w:rsidR="00362AF6">
              <w:rPr>
                <w:noProof/>
                <w:webHidden/>
              </w:rPr>
              <w:tab/>
            </w:r>
            <w:r w:rsidR="00362AF6">
              <w:rPr>
                <w:noProof/>
                <w:webHidden/>
              </w:rPr>
              <w:fldChar w:fldCharType="begin"/>
            </w:r>
            <w:r w:rsidR="00362AF6">
              <w:rPr>
                <w:noProof/>
                <w:webHidden/>
              </w:rPr>
              <w:instrText xml:space="preserve"> PAGEREF _Toc66730084 \h </w:instrText>
            </w:r>
            <w:r w:rsidR="00362AF6">
              <w:rPr>
                <w:noProof/>
                <w:webHidden/>
              </w:rPr>
            </w:r>
            <w:r w:rsidR="00362AF6">
              <w:rPr>
                <w:noProof/>
                <w:webHidden/>
              </w:rPr>
              <w:fldChar w:fldCharType="separate"/>
            </w:r>
            <w:r w:rsidR="00362AF6">
              <w:rPr>
                <w:noProof/>
                <w:webHidden/>
              </w:rPr>
              <w:t>2</w:t>
            </w:r>
            <w:r w:rsidR="00362AF6">
              <w:rPr>
                <w:noProof/>
                <w:webHidden/>
              </w:rPr>
              <w:fldChar w:fldCharType="end"/>
            </w:r>
          </w:hyperlink>
        </w:p>
        <w:p w14:paraId="27939CEF" w14:textId="7850CFB9" w:rsidR="00362AF6" w:rsidRDefault="00013BDC">
          <w:pPr>
            <w:pStyle w:val="TOC3"/>
            <w:tabs>
              <w:tab w:val="right" w:leader="dot" w:pos="8494"/>
            </w:tabs>
            <w:rPr>
              <w:rFonts w:eastAsiaTheme="minorEastAsia"/>
              <w:noProof/>
              <w:lang w:val="fr-FR" w:eastAsia="fr-FR"/>
            </w:rPr>
          </w:pPr>
          <w:hyperlink w:anchor="_Toc66730085" w:history="1">
            <w:r w:rsidR="00362AF6" w:rsidRPr="00202485">
              <w:rPr>
                <w:rStyle w:val="Hyperlink"/>
                <w:rFonts w:ascii="Open Sans" w:hAnsi="Open Sans" w:cs="Open Sans"/>
                <w:noProof/>
                <w:lang w:val="en-GB"/>
              </w:rPr>
              <w:t>Deprivation of legal capacity</w:t>
            </w:r>
            <w:r w:rsidR="00362AF6">
              <w:rPr>
                <w:noProof/>
                <w:webHidden/>
              </w:rPr>
              <w:tab/>
            </w:r>
            <w:r w:rsidR="00362AF6">
              <w:rPr>
                <w:noProof/>
                <w:webHidden/>
              </w:rPr>
              <w:fldChar w:fldCharType="begin"/>
            </w:r>
            <w:r w:rsidR="00362AF6">
              <w:rPr>
                <w:noProof/>
                <w:webHidden/>
              </w:rPr>
              <w:instrText xml:space="preserve"> PAGEREF _Toc66730085 \h </w:instrText>
            </w:r>
            <w:r w:rsidR="00362AF6">
              <w:rPr>
                <w:noProof/>
                <w:webHidden/>
              </w:rPr>
            </w:r>
            <w:r w:rsidR="00362AF6">
              <w:rPr>
                <w:noProof/>
                <w:webHidden/>
              </w:rPr>
              <w:fldChar w:fldCharType="separate"/>
            </w:r>
            <w:r w:rsidR="00362AF6">
              <w:rPr>
                <w:noProof/>
                <w:webHidden/>
              </w:rPr>
              <w:t>3</w:t>
            </w:r>
            <w:r w:rsidR="00362AF6">
              <w:rPr>
                <w:noProof/>
                <w:webHidden/>
              </w:rPr>
              <w:fldChar w:fldCharType="end"/>
            </w:r>
          </w:hyperlink>
        </w:p>
        <w:p w14:paraId="64F83EAF" w14:textId="3C4B9F21" w:rsidR="00362AF6" w:rsidRDefault="00013BDC">
          <w:pPr>
            <w:pStyle w:val="TOC3"/>
            <w:tabs>
              <w:tab w:val="right" w:leader="dot" w:pos="8494"/>
            </w:tabs>
            <w:rPr>
              <w:rFonts w:eastAsiaTheme="minorEastAsia"/>
              <w:noProof/>
              <w:lang w:val="fr-FR" w:eastAsia="fr-FR"/>
            </w:rPr>
          </w:pPr>
          <w:hyperlink w:anchor="_Toc66730086" w:history="1">
            <w:r w:rsidR="00362AF6" w:rsidRPr="00202485">
              <w:rPr>
                <w:rStyle w:val="Hyperlink"/>
                <w:rFonts w:ascii="Open Sans" w:hAnsi="Open Sans" w:cs="Open Sans"/>
                <w:noProof/>
                <w:lang w:val="en-GB"/>
              </w:rPr>
              <w:t>Inaccessible recruitment</w:t>
            </w:r>
            <w:r w:rsidR="00362AF6">
              <w:rPr>
                <w:noProof/>
                <w:webHidden/>
              </w:rPr>
              <w:tab/>
            </w:r>
            <w:r w:rsidR="00362AF6">
              <w:rPr>
                <w:noProof/>
                <w:webHidden/>
              </w:rPr>
              <w:fldChar w:fldCharType="begin"/>
            </w:r>
            <w:r w:rsidR="00362AF6">
              <w:rPr>
                <w:noProof/>
                <w:webHidden/>
              </w:rPr>
              <w:instrText xml:space="preserve"> PAGEREF _Toc66730086 \h </w:instrText>
            </w:r>
            <w:r w:rsidR="00362AF6">
              <w:rPr>
                <w:noProof/>
                <w:webHidden/>
              </w:rPr>
            </w:r>
            <w:r w:rsidR="00362AF6">
              <w:rPr>
                <w:noProof/>
                <w:webHidden/>
              </w:rPr>
              <w:fldChar w:fldCharType="separate"/>
            </w:r>
            <w:r w:rsidR="00362AF6">
              <w:rPr>
                <w:noProof/>
                <w:webHidden/>
              </w:rPr>
              <w:t>3</w:t>
            </w:r>
            <w:r w:rsidR="00362AF6">
              <w:rPr>
                <w:noProof/>
                <w:webHidden/>
              </w:rPr>
              <w:fldChar w:fldCharType="end"/>
            </w:r>
          </w:hyperlink>
        </w:p>
        <w:p w14:paraId="2289B2D1" w14:textId="03A415DE" w:rsidR="00362AF6" w:rsidRDefault="00013BDC">
          <w:pPr>
            <w:pStyle w:val="TOC2"/>
            <w:tabs>
              <w:tab w:val="right" w:leader="dot" w:pos="8494"/>
            </w:tabs>
            <w:rPr>
              <w:rFonts w:eastAsiaTheme="minorEastAsia"/>
              <w:noProof/>
              <w:lang w:val="fr-FR" w:eastAsia="fr-FR"/>
            </w:rPr>
          </w:pPr>
          <w:hyperlink w:anchor="_Toc66730087" w:history="1">
            <w:r w:rsidR="00362AF6" w:rsidRPr="00202485">
              <w:rPr>
                <w:rStyle w:val="Hyperlink"/>
                <w:rFonts w:ascii="Open Sans" w:hAnsi="Open Sans" w:cs="Open Sans"/>
                <w:noProof/>
                <w:lang w:val="en-GB"/>
              </w:rPr>
              <w:t>Equal pay</w:t>
            </w:r>
            <w:r w:rsidR="00362AF6">
              <w:rPr>
                <w:noProof/>
                <w:webHidden/>
              </w:rPr>
              <w:tab/>
            </w:r>
            <w:r w:rsidR="00362AF6">
              <w:rPr>
                <w:noProof/>
                <w:webHidden/>
              </w:rPr>
              <w:fldChar w:fldCharType="begin"/>
            </w:r>
            <w:r w:rsidR="00362AF6">
              <w:rPr>
                <w:noProof/>
                <w:webHidden/>
              </w:rPr>
              <w:instrText xml:space="preserve"> PAGEREF _Toc66730087 \h </w:instrText>
            </w:r>
            <w:r w:rsidR="00362AF6">
              <w:rPr>
                <w:noProof/>
                <w:webHidden/>
              </w:rPr>
            </w:r>
            <w:r w:rsidR="00362AF6">
              <w:rPr>
                <w:noProof/>
                <w:webHidden/>
              </w:rPr>
              <w:fldChar w:fldCharType="separate"/>
            </w:r>
            <w:r w:rsidR="00362AF6">
              <w:rPr>
                <w:noProof/>
                <w:webHidden/>
              </w:rPr>
              <w:t>3</w:t>
            </w:r>
            <w:r w:rsidR="00362AF6">
              <w:rPr>
                <w:noProof/>
                <w:webHidden/>
              </w:rPr>
              <w:fldChar w:fldCharType="end"/>
            </w:r>
          </w:hyperlink>
        </w:p>
        <w:p w14:paraId="179DBD57" w14:textId="01635A76" w:rsidR="00362AF6" w:rsidRDefault="00013BDC">
          <w:pPr>
            <w:pStyle w:val="TOC3"/>
            <w:tabs>
              <w:tab w:val="right" w:leader="dot" w:pos="8494"/>
            </w:tabs>
            <w:rPr>
              <w:rFonts w:eastAsiaTheme="minorEastAsia"/>
              <w:noProof/>
              <w:lang w:val="fr-FR" w:eastAsia="fr-FR"/>
            </w:rPr>
          </w:pPr>
          <w:hyperlink w:anchor="_Toc66730088" w:history="1">
            <w:r w:rsidR="00362AF6" w:rsidRPr="00202485">
              <w:rPr>
                <w:rStyle w:val="Hyperlink"/>
                <w:rFonts w:ascii="Open Sans" w:hAnsi="Open Sans" w:cs="Open Sans"/>
                <w:noProof/>
                <w:lang w:val="en-GB"/>
              </w:rPr>
              <w:t>Sheltered settings</w:t>
            </w:r>
            <w:r w:rsidR="00362AF6">
              <w:rPr>
                <w:noProof/>
                <w:webHidden/>
              </w:rPr>
              <w:tab/>
            </w:r>
            <w:r w:rsidR="00362AF6">
              <w:rPr>
                <w:noProof/>
                <w:webHidden/>
              </w:rPr>
              <w:fldChar w:fldCharType="begin"/>
            </w:r>
            <w:r w:rsidR="00362AF6">
              <w:rPr>
                <w:noProof/>
                <w:webHidden/>
              </w:rPr>
              <w:instrText xml:space="preserve"> PAGEREF _Toc66730088 \h </w:instrText>
            </w:r>
            <w:r w:rsidR="00362AF6">
              <w:rPr>
                <w:noProof/>
                <w:webHidden/>
              </w:rPr>
            </w:r>
            <w:r w:rsidR="00362AF6">
              <w:rPr>
                <w:noProof/>
                <w:webHidden/>
              </w:rPr>
              <w:fldChar w:fldCharType="separate"/>
            </w:r>
            <w:r w:rsidR="00362AF6">
              <w:rPr>
                <w:noProof/>
                <w:webHidden/>
              </w:rPr>
              <w:t>4</w:t>
            </w:r>
            <w:r w:rsidR="00362AF6">
              <w:rPr>
                <w:noProof/>
                <w:webHidden/>
              </w:rPr>
              <w:fldChar w:fldCharType="end"/>
            </w:r>
          </w:hyperlink>
        </w:p>
        <w:p w14:paraId="19757C0A" w14:textId="135A1CF2" w:rsidR="00362AF6" w:rsidRDefault="00013BDC">
          <w:pPr>
            <w:pStyle w:val="TOC2"/>
            <w:tabs>
              <w:tab w:val="right" w:leader="dot" w:pos="8494"/>
            </w:tabs>
            <w:rPr>
              <w:rFonts w:eastAsiaTheme="minorEastAsia"/>
              <w:noProof/>
              <w:lang w:val="fr-FR" w:eastAsia="fr-FR"/>
            </w:rPr>
          </w:pPr>
          <w:hyperlink w:anchor="_Toc66730089" w:history="1">
            <w:r w:rsidR="00362AF6" w:rsidRPr="00202485">
              <w:rPr>
                <w:rStyle w:val="Hyperlink"/>
                <w:rFonts w:ascii="Open Sans" w:hAnsi="Open Sans" w:cs="Open Sans"/>
                <w:noProof/>
                <w:lang w:val="en-GB"/>
              </w:rPr>
              <w:t>Labour rights</w:t>
            </w:r>
            <w:r w:rsidR="00362AF6">
              <w:rPr>
                <w:noProof/>
                <w:webHidden/>
              </w:rPr>
              <w:tab/>
            </w:r>
            <w:r w:rsidR="00362AF6">
              <w:rPr>
                <w:noProof/>
                <w:webHidden/>
              </w:rPr>
              <w:fldChar w:fldCharType="begin"/>
            </w:r>
            <w:r w:rsidR="00362AF6">
              <w:rPr>
                <w:noProof/>
                <w:webHidden/>
              </w:rPr>
              <w:instrText xml:space="preserve"> PAGEREF _Toc66730089 \h </w:instrText>
            </w:r>
            <w:r w:rsidR="00362AF6">
              <w:rPr>
                <w:noProof/>
                <w:webHidden/>
              </w:rPr>
            </w:r>
            <w:r w:rsidR="00362AF6">
              <w:rPr>
                <w:noProof/>
                <w:webHidden/>
              </w:rPr>
              <w:fldChar w:fldCharType="separate"/>
            </w:r>
            <w:r w:rsidR="00362AF6">
              <w:rPr>
                <w:noProof/>
                <w:webHidden/>
              </w:rPr>
              <w:t>4</w:t>
            </w:r>
            <w:r w:rsidR="00362AF6">
              <w:rPr>
                <w:noProof/>
                <w:webHidden/>
              </w:rPr>
              <w:fldChar w:fldCharType="end"/>
            </w:r>
          </w:hyperlink>
        </w:p>
        <w:p w14:paraId="4B243F68" w14:textId="02A59FD6" w:rsidR="00362AF6" w:rsidRDefault="00013BDC">
          <w:pPr>
            <w:pStyle w:val="TOC2"/>
            <w:tabs>
              <w:tab w:val="right" w:leader="dot" w:pos="8494"/>
            </w:tabs>
            <w:rPr>
              <w:rFonts w:eastAsiaTheme="minorEastAsia"/>
              <w:noProof/>
              <w:lang w:val="fr-FR" w:eastAsia="fr-FR"/>
            </w:rPr>
          </w:pPr>
          <w:hyperlink w:anchor="_Toc66730090" w:history="1">
            <w:r w:rsidR="00362AF6" w:rsidRPr="00202485">
              <w:rPr>
                <w:rStyle w:val="Hyperlink"/>
                <w:rFonts w:ascii="Open Sans" w:hAnsi="Open Sans" w:cs="Open Sans"/>
                <w:noProof/>
                <w:lang w:val="en-GB"/>
              </w:rPr>
              <w:t>Education and training</w:t>
            </w:r>
            <w:r w:rsidR="00362AF6">
              <w:rPr>
                <w:noProof/>
                <w:webHidden/>
              </w:rPr>
              <w:tab/>
            </w:r>
            <w:r w:rsidR="00362AF6">
              <w:rPr>
                <w:noProof/>
                <w:webHidden/>
              </w:rPr>
              <w:fldChar w:fldCharType="begin"/>
            </w:r>
            <w:r w:rsidR="00362AF6">
              <w:rPr>
                <w:noProof/>
                <w:webHidden/>
              </w:rPr>
              <w:instrText xml:space="preserve"> PAGEREF _Toc66730090 \h </w:instrText>
            </w:r>
            <w:r w:rsidR="00362AF6">
              <w:rPr>
                <w:noProof/>
                <w:webHidden/>
              </w:rPr>
            </w:r>
            <w:r w:rsidR="00362AF6">
              <w:rPr>
                <w:noProof/>
                <w:webHidden/>
              </w:rPr>
              <w:fldChar w:fldCharType="separate"/>
            </w:r>
            <w:r w:rsidR="00362AF6">
              <w:rPr>
                <w:noProof/>
                <w:webHidden/>
              </w:rPr>
              <w:t>5</w:t>
            </w:r>
            <w:r w:rsidR="00362AF6">
              <w:rPr>
                <w:noProof/>
                <w:webHidden/>
              </w:rPr>
              <w:fldChar w:fldCharType="end"/>
            </w:r>
          </w:hyperlink>
        </w:p>
        <w:p w14:paraId="48A16654" w14:textId="50B692F2" w:rsidR="00362AF6" w:rsidRDefault="00013BDC">
          <w:pPr>
            <w:pStyle w:val="TOC2"/>
            <w:tabs>
              <w:tab w:val="right" w:leader="dot" w:pos="8494"/>
            </w:tabs>
            <w:rPr>
              <w:rFonts w:eastAsiaTheme="minorEastAsia"/>
              <w:noProof/>
              <w:lang w:val="fr-FR" w:eastAsia="fr-FR"/>
            </w:rPr>
          </w:pPr>
          <w:hyperlink w:anchor="_Toc66730091" w:history="1">
            <w:r w:rsidR="00362AF6" w:rsidRPr="00202485">
              <w:rPr>
                <w:rStyle w:val="Hyperlink"/>
                <w:rFonts w:ascii="Open Sans" w:hAnsi="Open Sans" w:cs="Open Sans"/>
                <w:noProof/>
                <w:lang w:val="en-GB"/>
              </w:rPr>
              <w:t>Public sector</w:t>
            </w:r>
            <w:r w:rsidR="00362AF6">
              <w:rPr>
                <w:noProof/>
                <w:webHidden/>
              </w:rPr>
              <w:tab/>
            </w:r>
            <w:r w:rsidR="00362AF6">
              <w:rPr>
                <w:noProof/>
                <w:webHidden/>
              </w:rPr>
              <w:fldChar w:fldCharType="begin"/>
            </w:r>
            <w:r w:rsidR="00362AF6">
              <w:rPr>
                <w:noProof/>
                <w:webHidden/>
              </w:rPr>
              <w:instrText xml:space="preserve"> PAGEREF _Toc66730091 \h </w:instrText>
            </w:r>
            <w:r w:rsidR="00362AF6">
              <w:rPr>
                <w:noProof/>
                <w:webHidden/>
              </w:rPr>
            </w:r>
            <w:r w:rsidR="00362AF6">
              <w:rPr>
                <w:noProof/>
                <w:webHidden/>
              </w:rPr>
              <w:fldChar w:fldCharType="separate"/>
            </w:r>
            <w:r w:rsidR="00362AF6">
              <w:rPr>
                <w:noProof/>
                <w:webHidden/>
              </w:rPr>
              <w:t>5</w:t>
            </w:r>
            <w:r w:rsidR="00362AF6">
              <w:rPr>
                <w:noProof/>
                <w:webHidden/>
              </w:rPr>
              <w:fldChar w:fldCharType="end"/>
            </w:r>
          </w:hyperlink>
        </w:p>
        <w:p w14:paraId="72DF6D6B" w14:textId="56A2D6BC" w:rsidR="00362AF6" w:rsidRDefault="00013BDC">
          <w:pPr>
            <w:pStyle w:val="TOC2"/>
            <w:tabs>
              <w:tab w:val="right" w:leader="dot" w:pos="8494"/>
            </w:tabs>
            <w:rPr>
              <w:rFonts w:eastAsiaTheme="minorEastAsia"/>
              <w:noProof/>
              <w:lang w:val="fr-FR" w:eastAsia="fr-FR"/>
            </w:rPr>
          </w:pPr>
          <w:hyperlink w:anchor="_Toc66730092" w:history="1">
            <w:r w:rsidR="00362AF6" w:rsidRPr="00202485">
              <w:rPr>
                <w:rStyle w:val="Hyperlink"/>
                <w:rFonts w:ascii="Open Sans" w:hAnsi="Open Sans" w:cs="Open Sans"/>
                <w:noProof/>
                <w:lang w:val="en-GB"/>
              </w:rPr>
              <w:t>Affirmative action</w:t>
            </w:r>
            <w:r w:rsidR="00362AF6">
              <w:rPr>
                <w:noProof/>
                <w:webHidden/>
              </w:rPr>
              <w:tab/>
            </w:r>
            <w:r w:rsidR="00362AF6">
              <w:rPr>
                <w:noProof/>
                <w:webHidden/>
              </w:rPr>
              <w:fldChar w:fldCharType="begin"/>
            </w:r>
            <w:r w:rsidR="00362AF6">
              <w:rPr>
                <w:noProof/>
                <w:webHidden/>
              </w:rPr>
              <w:instrText xml:space="preserve"> PAGEREF _Toc66730092 \h </w:instrText>
            </w:r>
            <w:r w:rsidR="00362AF6">
              <w:rPr>
                <w:noProof/>
                <w:webHidden/>
              </w:rPr>
            </w:r>
            <w:r w:rsidR="00362AF6">
              <w:rPr>
                <w:noProof/>
                <w:webHidden/>
              </w:rPr>
              <w:fldChar w:fldCharType="separate"/>
            </w:r>
            <w:r w:rsidR="00362AF6">
              <w:rPr>
                <w:noProof/>
                <w:webHidden/>
              </w:rPr>
              <w:t>5</w:t>
            </w:r>
            <w:r w:rsidR="00362AF6">
              <w:rPr>
                <w:noProof/>
                <w:webHidden/>
              </w:rPr>
              <w:fldChar w:fldCharType="end"/>
            </w:r>
          </w:hyperlink>
        </w:p>
        <w:p w14:paraId="007597F6" w14:textId="1449AF04" w:rsidR="00362AF6" w:rsidRDefault="00013BDC">
          <w:pPr>
            <w:pStyle w:val="TOC2"/>
            <w:tabs>
              <w:tab w:val="right" w:leader="dot" w:pos="8494"/>
            </w:tabs>
            <w:rPr>
              <w:rFonts w:eastAsiaTheme="minorEastAsia"/>
              <w:noProof/>
              <w:lang w:val="fr-FR" w:eastAsia="fr-FR"/>
            </w:rPr>
          </w:pPr>
          <w:hyperlink w:anchor="_Toc66730093" w:history="1">
            <w:r w:rsidR="00362AF6" w:rsidRPr="00202485">
              <w:rPr>
                <w:rStyle w:val="Hyperlink"/>
                <w:rFonts w:ascii="Open Sans" w:hAnsi="Open Sans" w:cs="Open Sans"/>
                <w:noProof/>
                <w:lang w:val="en-GB"/>
              </w:rPr>
              <w:t>Accessibility and reasonable accommodation</w:t>
            </w:r>
            <w:r w:rsidR="00362AF6">
              <w:rPr>
                <w:noProof/>
                <w:webHidden/>
              </w:rPr>
              <w:tab/>
            </w:r>
            <w:r w:rsidR="00362AF6">
              <w:rPr>
                <w:noProof/>
                <w:webHidden/>
              </w:rPr>
              <w:fldChar w:fldCharType="begin"/>
            </w:r>
            <w:r w:rsidR="00362AF6">
              <w:rPr>
                <w:noProof/>
                <w:webHidden/>
              </w:rPr>
              <w:instrText xml:space="preserve"> PAGEREF _Toc66730093 \h </w:instrText>
            </w:r>
            <w:r w:rsidR="00362AF6">
              <w:rPr>
                <w:noProof/>
                <w:webHidden/>
              </w:rPr>
            </w:r>
            <w:r w:rsidR="00362AF6">
              <w:rPr>
                <w:noProof/>
                <w:webHidden/>
              </w:rPr>
              <w:fldChar w:fldCharType="separate"/>
            </w:r>
            <w:r w:rsidR="00362AF6">
              <w:rPr>
                <w:noProof/>
                <w:webHidden/>
              </w:rPr>
              <w:t>6</w:t>
            </w:r>
            <w:r w:rsidR="00362AF6">
              <w:rPr>
                <w:noProof/>
                <w:webHidden/>
              </w:rPr>
              <w:fldChar w:fldCharType="end"/>
            </w:r>
          </w:hyperlink>
        </w:p>
        <w:p w14:paraId="3A537609" w14:textId="64123B7D" w:rsidR="00362AF6" w:rsidRDefault="00013BDC">
          <w:pPr>
            <w:pStyle w:val="TOC2"/>
            <w:tabs>
              <w:tab w:val="right" w:leader="dot" w:pos="8494"/>
            </w:tabs>
            <w:rPr>
              <w:rFonts w:eastAsiaTheme="minorEastAsia"/>
              <w:noProof/>
              <w:lang w:val="fr-FR" w:eastAsia="fr-FR"/>
            </w:rPr>
          </w:pPr>
          <w:hyperlink w:anchor="_Toc66730094" w:history="1">
            <w:r w:rsidR="00362AF6" w:rsidRPr="00202485">
              <w:rPr>
                <w:rStyle w:val="Hyperlink"/>
                <w:rFonts w:ascii="Open Sans" w:hAnsi="Open Sans" w:cs="Open Sans"/>
                <w:noProof/>
                <w:lang w:val="en-GB"/>
              </w:rPr>
              <w:t>Harassment</w:t>
            </w:r>
            <w:r w:rsidR="00362AF6">
              <w:rPr>
                <w:noProof/>
                <w:webHidden/>
              </w:rPr>
              <w:tab/>
            </w:r>
            <w:r w:rsidR="00362AF6">
              <w:rPr>
                <w:noProof/>
                <w:webHidden/>
              </w:rPr>
              <w:fldChar w:fldCharType="begin"/>
            </w:r>
            <w:r w:rsidR="00362AF6">
              <w:rPr>
                <w:noProof/>
                <w:webHidden/>
              </w:rPr>
              <w:instrText xml:space="preserve"> PAGEREF _Toc66730094 \h </w:instrText>
            </w:r>
            <w:r w:rsidR="00362AF6">
              <w:rPr>
                <w:noProof/>
                <w:webHidden/>
              </w:rPr>
            </w:r>
            <w:r w:rsidR="00362AF6">
              <w:rPr>
                <w:noProof/>
                <w:webHidden/>
              </w:rPr>
              <w:fldChar w:fldCharType="separate"/>
            </w:r>
            <w:r w:rsidR="00362AF6">
              <w:rPr>
                <w:noProof/>
                <w:webHidden/>
              </w:rPr>
              <w:t>6</w:t>
            </w:r>
            <w:r w:rsidR="00362AF6">
              <w:rPr>
                <w:noProof/>
                <w:webHidden/>
              </w:rPr>
              <w:fldChar w:fldCharType="end"/>
            </w:r>
          </w:hyperlink>
        </w:p>
        <w:p w14:paraId="2EE3FD8E" w14:textId="2C195AD3" w:rsidR="00362AF6" w:rsidRDefault="00013BDC">
          <w:pPr>
            <w:pStyle w:val="TOC2"/>
            <w:tabs>
              <w:tab w:val="right" w:leader="dot" w:pos="8494"/>
            </w:tabs>
            <w:rPr>
              <w:rFonts w:eastAsiaTheme="minorEastAsia"/>
              <w:noProof/>
              <w:lang w:val="fr-FR" w:eastAsia="fr-FR"/>
            </w:rPr>
          </w:pPr>
          <w:hyperlink w:anchor="_Toc66730095" w:history="1">
            <w:r w:rsidR="00362AF6" w:rsidRPr="00202485">
              <w:rPr>
                <w:rStyle w:val="Hyperlink"/>
                <w:rFonts w:ascii="Open Sans" w:hAnsi="Open Sans" w:cs="Open Sans"/>
                <w:noProof/>
                <w:lang w:val="en-GB"/>
              </w:rPr>
              <w:t>Relationship with other rights</w:t>
            </w:r>
            <w:r w:rsidR="00362AF6">
              <w:rPr>
                <w:noProof/>
                <w:webHidden/>
              </w:rPr>
              <w:tab/>
            </w:r>
            <w:r w:rsidR="00362AF6">
              <w:rPr>
                <w:noProof/>
                <w:webHidden/>
              </w:rPr>
              <w:fldChar w:fldCharType="begin"/>
            </w:r>
            <w:r w:rsidR="00362AF6">
              <w:rPr>
                <w:noProof/>
                <w:webHidden/>
              </w:rPr>
              <w:instrText xml:space="preserve"> PAGEREF _Toc66730095 \h </w:instrText>
            </w:r>
            <w:r w:rsidR="00362AF6">
              <w:rPr>
                <w:noProof/>
                <w:webHidden/>
              </w:rPr>
            </w:r>
            <w:r w:rsidR="00362AF6">
              <w:rPr>
                <w:noProof/>
                <w:webHidden/>
              </w:rPr>
              <w:fldChar w:fldCharType="separate"/>
            </w:r>
            <w:r w:rsidR="00362AF6">
              <w:rPr>
                <w:noProof/>
                <w:webHidden/>
              </w:rPr>
              <w:t>7</w:t>
            </w:r>
            <w:r w:rsidR="00362AF6">
              <w:rPr>
                <w:noProof/>
                <w:webHidden/>
              </w:rPr>
              <w:fldChar w:fldCharType="end"/>
            </w:r>
          </w:hyperlink>
        </w:p>
        <w:p w14:paraId="5442A7FD" w14:textId="7B82FE0F" w:rsidR="00362AF6" w:rsidRDefault="00362AF6">
          <w:r>
            <w:rPr>
              <w:b/>
              <w:bCs/>
              <w:noProof/>
            </w:rPr>
            <w:fldChar w:fldCharType="end"/>
          </w:r>
        </w:p>
      </w:sdtContent>
    </w:sdt>
    <w:p w14:paraId="505DA393" w14:textId="77777777" w:rsidR="00813D4B" w:rsidRPr="00893200" w:rsidRDefault="00813D4B" w:rsidP="00522F9C">
      <w:pPr>
        <w:jc w:val="both"/>
        <w:rPr>
          <w:rFonts w:ascii="Open Sans" w:hAnsi="Open Sans" w:cs="Open Sans"/>
          <w:lang w:val="en-GB"/>
        </w:rPr>
      </w:pPr>
    </w:p>
    <w:p w14:paraId="0C70B0F2" w14:textId="77777777" w:rsidR="00362AF6" w:rsidRDefault="00362AF6">
      <w:pPr>
        <w:rPr>
          <w:rFonts w:ascii="Open Sans" w:eastAsiaTheme="majorEastAsia" w:hAnsi="Open Sans" w:cs="Open Sans"/>
          <w:color w:val="2F5496" w:themeColor="accent1" w:themeShade="BF"/>
          <w:sz w:val="26"/>
          <w:szCs w:val="26"/>
          <w:lang w:val="en-GB"/>
        </w:rPr>
      </w:pPr>
      <w:r>
        <w:rPr>
          <w:rFonts w:ascii="Open Sans" w:hAnsi="Open Sans" w:cs="Open Sans"/>
          <w:lang w:val="en-GB"/>
        </w:rPr>
        <w:lastRenderedPageBreak/>
        <w:br w:type="page"/>
      </w:r>
    </w:p>
    <w:p w14:paraId="0E651194" w14:textId="7B9489A0" w:rsidR="00933E3C" w:rsidRPr="00E61903" w:rsidRDefault="002468BE" w:rsidP="00E61903">
      <w:pPr>
        <w:pStyle w:val="Heading1"/>
        <w:spacing w:line="360" w:lineRule="auto"/>
        <w:jc w:val="both"/>
        <w:rPr>
          <w:rFonts w:ascii="Open Sans" w:eastAsia="Open Sans" w:hAnsi="Open Sans" w:cs="Open Sans"/>
          <w:b/>
          <w:color w:val="ED0E69"/>
          <w:lang w:val="en-GB" w:eastAsia="de-DE"/>
        </w:rPr>
      </w:pPr>
      <w:bookmarkStart w:id="1" w:name="_Toc66730083"/>
      <w:r w:rsidRPr="00E61903">
        <w:rPr>
          <w:rFonts w:ascii="Open Sans" w:eastAsia="Open Sans" w:hAnsi="Open Sans" w:cs="Open Sans"/>
          <w:b/>
          <w:color w:val="ED0E69"/>
          <w:lang w:val="en-GB" w:eastAsia="de-DE"/>
        </w:rPr>
        <w:lastRenderedPageBreak/>
        <w:t>Employment in Europe</w:t>
      </w:r>
      <w:bookmarkEnd w:id="1"/>
    </w:p>
    <w:p w14:paraId="1585897E" w14:textId="2CF031A8" w:rsidR="002468BE" w:rsidRPr="00893200" w:rsidRDefault="00CB591F" w:rsidP="00522F9C">
      <w:pPr>
        <w:jc w:val="both"/>
        <w:rPr>
          <w:rFonts w:ascii="Open Sans" w:hAnsi="Open Sans" w:cs="Open Sans"/>
          <w:lang w:val="en-GB"/>
        </w:rPr>
      </w:pPr>
      <w:r w:rsidRPr="00893200">
        <w:rPr>
          <w:rFonts w:ascii="Open Sans" w:hAnsi="Open Sans" w:cs="Open Sans"/>
          <w:lang w:val="en-GB"/>
        </w:rPr>
        <w:t>Multiple</w:t>
      </w:r>
      <w:r w:rsidR="002468BE" w:rsidRPr="00893200">
        <w:rPr>
          <w:rFonts w:ascii="Open Sans" w:hAnsi="Open Sans" w:cs="Open Sans"/>
          <w:lang w:val="en-GB"/>
        </w:rPr>
        <w:t xml:space="preserve"> barriers still prevent </w:t>
      </w:r>
      <w:r w:rsidR="00277769" w:rsidRPr="00893200">
        <w:rPr>
          <w:rFonts w:ascii="Open Sans" w:hAnsi="Open Sans" w:cs="Open Sans"/>
          <w:lang w:val="en-GB"/>
        </w:rPr>
        <w:t xml:space="preserve">people with intellectual disabilities </w:t>
      </w:r>
      <w:r w:rsidRPr="00893200">
        <w:rPr>
          <w:rFonts w:ascii="Open Sans" w:hAnsi="Open Sans" w:cs="Open Sans"/>
          <w:lang w:val="en-GB"/>
        </w:rPr>
        <w:t>from</w:t>
      </w:r>
      <w:r w:rsidR="00277769" w:rsidRPr="00893200">
        <w:rPr>
          <w:rFonts w:ascii="Open Sans" w:hAnsi="Open Sans" w:cs="Open Sans"/>
          <w:lang w:val="en-GB"/>
        </w:rPr>
        <w:t xml:space="preserve"> </w:t>
      </w:r>
      <w:r w:rsidR="00EB446B" w:rsidRPr="00893200">
        <w:rPr>
          <w:rFonts w:ascii="Open Sans" w:hAnsi="Open Sans" w:cs="Open Sans"/>
          <w:lang w:val="en-GB"/>
        </w:rPr>
        <w:t xml:space="preserve">benefiting </w:t>
      </w:r>
      <w:r w:rsidR="00B40B7F">
        <w:rPr>
          <w:rFonts w:ascii="Open Sans" w:hAnsi="Open Sans" w:cs="Open Sans"/>
          <w:lang w:val="en-GB"/>
        </w:rPr>
        <w:t>of</w:t>
      </w:r>
      <w:r w:rsidR="002468BE" w:rsidRPr="00893200">
        <w:rPr>
          <w:rFonts w:ascii="Open Sans" w:hAnsi="Open Sans" w:cs="Open Sans"/>
          <w:lang w:val="en-GB"/>
        </w:rPr>
        <w:t xml:space="preserve"> equal and fair </w:t>
      </w:r>
      <w:r w:rsidR="00277769" w:rsidRPr="00893200">
        <w:rPr>
          <w:rFonts w:ascii="Open Sans" w:hAnsi="Open Sans" w:cs="Open Sans"/>
          <w:lang w:val="en-GB"/>
        </w:rPr>
        <w:t>job opportunities</w:t>
      </w:r>
      <w:r w:rsidR="007456F6">
        <w:rPr>
          <w:rFonts w:ascii="Open Sans" w:hAnsi="Open Sans" w:cs="Open Sans"/>
          <w:lang w:val="en-GB"/>
        </w:rPr>
        <w:t>,</w:t>
      </w:r>
      <w:r w:rsidR="00946EA2" w:rsidRPr="00893200">
        <w:rPr>
          <w:rFonts w:ascii="Open Sans" w:hAnsi="Open Sans" w:cs="Open Sans"/>
          <w:lang w:val="en-GB"/>
        </w:rPr>
        <w:t xml:space="preserve"> despite multiple anti-discrimination </w:t>
      </w:r>
      <w:r w:rsidR="0082560E" w:rsidRPr="00893200">
        <w:rPr>
          <w:rFonts w:ascii="Open Sans" w:hAnsi="Open Sans" w:cs="Open Sans"/>
          <w:lang w:val="en-GB"/>
        </w:rPr>
        <w:t xml:space="preserve">legal and other </w:t>
      </w:r>
      <w:r w:rsidR="00946EA2" w:rsidRPr="00893200">
        <w:rPr>
          <w:rFonts w:ascii="Open Sans" w:hAnsi="Open Sans" w:cs="Open Sans"/>
          <w:lang w:val="en-GB"/>
        </w:rPr>
        <w:t xml:space="preserve">instruments </w:t>
      </w:r>
      <w:r w:rsidR="000F6977">
        <w:rPr>
          <w:rFonts w:ascii="Open Sans" w:hAnsi="Open Sans" w:cs="Open Sans"/>
          <w:lang w:val="en-GB"/>
        </w:rPr>
        <w:t>at</w:t>
      </w:r>
      <w:r w:rsidR="00946EA2" w:rsidRPr="00893200">
        <w:rPr>
          <w:rFonts w:ascii="Open Sans" w:hAnsi="Open Sans" w:cs="Open Sans"/>
          <w:lang w:val="en-GB"/>
        </w:rPr>
        <w:t xml:space="preserve"> EU</w:t>
      </w:r>
      <w:r w:rsidR="00946EA2" w:rsidRPr="00893200">
        <w:rPr>
          <w:rStyle w:val="FootnoteReference"/>
          <w:rFonts w:ascii="Open Sans" w:hAnsi="Open Sans" w:cs="Open Sans"/>
          <w:lang w:val="en-GB"/>
        </w:rPr>
        <w:footnoteReference w:id="2"/>
      </w:r>
      <w:r w:rsidR="00946EA2" w:rsidRPr="00893200">
        <w:rPr>
          <w:rFonts w:ascii="Open Sans" w:hAnsi="Open Sans" w:cs="Open Sans"/>
          <w:lang w:val="en-GB"/>
        </w:rPr>
        <w:t xml:space="preserve"> and national levels</w:t>
      </w:r>
      <w:r w:rsidR="00820FD2" w:rsidRPr="00893200">
        <w:rPr>
          <w:rFonts w:ascii="Open Sans" w:hAnsi="Open Sans" w:cs="Open Sans"/>
          <w:lang w:val="en-GB"/>
        </w:rPr>
        <w:t>, which try to address the situation.</w:t>
      </w:r>
    </w:p>
    <w:p w14:paraId="453AA0AA" w14:textId="71737A67" w:rsidR="007C258F" w:rsidRPr="00893200" w:rsidRDefault="00EB446B" w:rsidP="00522F9C">
      <w:pPr>
        <w:jc w:val="both"/>
        <w:rPr>
          <w:rFonts w:ascii="Open Sans" w:hAnsi="Open Sans" w:cs="Open Sans"/>
          <w:lang w:val="en-GB"/>
        </w:rPr>
      </w:pPr>
      <w:r w:rsidRPr="00893200">
        <w:rPr>
          <w:rFonts w:ascii="Open Sans" w:hAnsi="Open Sans" w:cs="Open Sans"/>
          <w:lang w:val="en-GB"/>
        </w:rPr>
        <w:t>O</w:t>
      </w:r>
      <w:r w:rsidR="002468BE" w:rsidRPr="00893200">
        <w:rPr>
          <w:rFonts w:ascii="Open Sans" w:hAnsi="Open Sans" w:cs="Open Sans"/>
          <w:lang w:val="en-GB"/>
        </w:rPr>
        <w:t xml:space="preserve">nly 50.8% of persons with disabilities </w:t>
      </w:r>
      <w:r w:rsidRPr="00893200">
        <w:rPr>
          <w:rFonts w:ascii="Open Sans" w:hAnsi="Open Sans" w:cs="Open Sans"/>
          <w:lang w:val="en-GB"/>
        </w:rPr>
        <w:t>in the European Union</w:t>
      </w:r>
      <w:r w:rsidR="002468BE" w:rsidRPr="00893200">
        <w:rPr>
          <w:rFonts w:ascii="Open Sans" w:hAnsi="Open Sans" w:cs="Open Sans"/>
          <w:lang w:val="en-GB"/>
        </w:rPr>
        <w:t xml:space="preserve"> are in employment, compared to 74.8% for persons without disabilities.</w:t>
      </w:r>
      <w:r w:rsidR="004C6DE6" w:rsidRPr="00893200">
        <w:rPr>
          <w:rStyle w:val="FootnoteReference"/>
          <w:rFonts w:ascii="Open Sans" w:hAnsi="Open Sans" w:cs="Open Sans"/>
          <w:lang w:val="en-GB"/>
        </w:rPr>
        <w:footnoteReference w:id="3"/>
      </w:r>
    </w:p>
    <w:p w14:paraId="568C6B80" w14:textId="5B0AE54E" w:rsidR="00E17412" w:rsidRPr="00893200" w:rsidRDefault="00E17412" w:rsidP="00522F9C">
      <w:pPr>
        <w:jc w:val="both"/>
        <w:rPr>
          <w:rFonts w:ascii="Open Sans" w:hAnsi="Open Sans" w:cs="Open Sans"/>
          <w:lang w:val="en-GB"/>
        </w:rPr>
      </w:pPr>
      <w:r w:rsidRPr="00893200">
        <w:rPr>
          <w:rFonts w:ascii="Open Sans" w:hAnsi="Open Sans" w:cs="Open Sans"/>
          <w:lang w:val="en-GB"/>
        </w:rPr>
        <w:t>For people with intellectual disabilities the reality is dramatically worse:</w:t>
      </w:r>
    </w:p>
    <w:p w14:paraId="5F879F1A" w14:textId="77777777" w:rsidR="007C258F" w:rsidRPr="00893200" w:rsidRDefault="007C258F" w:rsidP="00522F9C">
      <w:pPr>
        <w:pStyle w:val="ListParagraph"/>
        <w:numPr>
          <w:ilvl w:val="0"/>
          <w:numId w:val="4"/>
        </w:numPr>
        <w:jc w:val="both"/>
        <w:rPr>
          <w:rFonts w:ascii="Open Sans" w:hAnsi="Open Sans" w:cs="Open Sans"/>
          <w:lang w:val="en-GB"/>
        </w:rPr>
      </w:pPr>
      <w:r w:rsidRPr="00893200">
        <w:rPr>
          <w:rFonts w:ascii="Open Sans" w:hAnsi="Open Sans" w:cs="Open Sans"/>
          <w:lang w:val="en-GB"/>
        </w:rPr>
        <w:t>I</w:t>
      </w:r>
      <w:r w:rsidR="002468BE" w:rsidRPr="00893200">
        <w:rPr>
          <w:rFonts w:ascii="Open Sans" w:hAnsi="Open Sans" w:cs="Open Sans"/>
          <w:lang w:val="en-GB"/>
        </w:rPr>
        <w:t xml:space="preserve">n Ireland only 36% of adults with intellectual disabilities were </w:t>
      </w:r>
      <w:r w:rsidR="00277769" w:rsidRPr="00893200">
        <w:rPr>
          <w:rFonts w:ascii="Open Sans" w:hAnsi="Open Sans" w:cs="Open Sans"/>
          <w:lang w:val="en-GB"/>
        </w:rPr>
        <w:t>hired</w:t>
      </w:r>
      <w:r w:rsidR="002468BE" w:rsidRPr="00893200">
        <w:rPr>
          <w:rFonts w:ascii="Open Sans" w:hAnsi="Open Sans" w:cs="Open Sans"/>
          <w:lang w:val="en-GB"/>
        </w:rPr>
        <w:t xml:space="preserve"> in some form of work, 29% in sheltered settings and 7.1% in the open labour market.</w:t>
      </w:r>
      <w:r w:rsidR="004C6DE6" w:rsidRPr="00893200">
        <w:rPr>
          <w:rStyle w:val="FootnoteReference"/>
          <w:rFonts w:ascii="Open Sans" w:hAnsi="Open Sans" w:cs="Open Sans"/>
          <w:lang w:val="en-GB"/>
        </w:rPr>
        <w:footnoteReference w:id="4"/>
      </w:r>
      <w:r w:rsidR="002468BE" w:rsidRPr="00893200">
        <w:rPr>
          <w:rFonts w:ascii="Open Sans" w:hAnsi="Open Sans" w:cs="Open Sans"/>
          <w:lang w:val="en-GB"/>
        </w:rPr>
        <w:t xml:space="preserve"> </w:t>
      </w:r>
    </w:p>
    <w:p w14:paraId="26EECE9D" w14:textId="2ED2C793" w:rsidR="007C258F" w:rsidRPr="00893200" w:rsidRDefault="002468BE" w:rsidP="00522F9C">
      <w:pPr>
        <w:pStyle w:val="ListParagraph"/>
        <w:numPr>
          <w:ilvl w:val="0"/>
          <w:numId w:val="4"/>
        </w:numPr>
        <w:jc w:val="both"/>
        <w:rPr>
          <w:rFonts w:ascii="Open Sans" w:hAnsi="Open Sans" w:cs="Open Sans"/>
          <w:lang w:val="en-GB"/>
        </w:rPr>
      </w:pPr>
      <w:r w:rsidRPr="00893200">
        <w:rPr>
          <w:rFonts w:ascii="Open Sans" w:hAnsi="Open Sans" w:cs="Open Sans"/>
          <w:lang w:val="en-GB"/>
        </w:rPr>
        <w:t xml:space="preserve">In Scotland, only 6% of people with </w:t>
      </w:r>
      <w:r w:rsidR="00746A6A" w:rsidRPr="00893200">
        <w:rPr>
          <w:rFonts w:ascii="Open Sans" w:hAnsi="Open Sans" w:cs="Open Sans"/>
          <w:lang w:val="en-GB"/>
        </w:rPr>
        <w:t>intellectual</w:t>
      </w:r>
      <w:r w:rsidRPr="00893200">
        <w:rPr>
          <w:rFonts w:ascii="Open Sans" w:hAnsi="Open Sans" w:cs="Open Sans"/>
          <w:lang w:val="en-GB"/>
        </w:rPr>
        <w:t xml:space="preserve"> disabilities have a job</w:t>
      </w:r>
      <w:r w:rsidR="004C6DE6" w:rsidRPr="00893200">
        <w:rPr>
          <w:rStyle w:val="FootnoteReference"/>
          <w:rFonts w:ascii="Open Sans" w:hAnsi="Open Sans" w:cs="Open Sans"/>
          <w:lang w:val="en-GB"/>
        </w:rPr>
        <w:footnoteReference w:id="5"/>
      </w:r>
      <w:r w:rsidR="004C6DE6" w:rsidRPr="00893200">
        <w:rPr>
          <w:rFonts w:ascii="Open Sans" w:hAnsi="Open Sans" w:cs="Open Sans"/>
          <w:lang w:val="en-GB"/>
        </w:rPr>
        <w:t xml:space="preserve">, </w:t>
      </w:r>
    </w:p>
    <w:p w14:paraId="22B1ED7B" w14:textId="09759AA5" w:rsidR="007C258F" w:rsidRPr="00893200" w:rsidRDefault="007C258F" w:rsidP="00522F9C">
      <w:pPr>
        <w:pStyle w:val="ListParagraph"/>
        <w:numPr>
          <w:ilvl w:val="0"/>
          <w:numId w:val="4"/>
        </w:numPr>
        <w:jc w:val="both"/>
        <w:rPr>
          <w:rFonts w:ascii="Open Sans" w:hAnsi="Open Sans" w:cs="Open Sans"/>
          <w:lang w:val="en-GB"/>
        </w:rPr>
      </w:pPr>
      <w:r w:rsidRPr="00893200">
        <w:rPr>
          <w:rFonts w:ascii="Open Sans" w:hAnsi="Open Sans" w:cs="Open Sans"/>
          <w:lang w:val="en-GB"/>
        </w:rPr>
        <w:t>I</w:t>
      </w:r>
      <w:r w:rsidR="004C6DE6" w:rsidRPr="00893200">
        <w:rPr>
          <w:rFonts w:ascii="Open Sans" w:hAnsi="Open Sans" w:cs="Open Sans"/>
          <w:lang w:val="en-GB"/>
        </w:rPr>
        <w:t>n Portugal this rate is only of 3%</w:t>
      </w:r>
      <w:r w:rsidR="0087657E">
        <w:rPr>
          <w:rFonts w:ascii="Open Sans" w:hAnsi="Open Sans" w:cs="Open Sans"/>
          <w:lang w:val="en-GB"/>
        </w:rPr>
        <w:t>.</w:t>
      </w:r>
      <w:r w:rsidR="004C6DE6" w:rsidRPr="00893200">
        <w:rPr>
          <w:rStyle w:val="FootnoteReference"/>
          <w:rFonts w:ascii="Open Sans" w:hAnsi="Open Sans" w:cs="Open Sans"/>
          <w:lang w:val="en-GB"/>
        </w:rPr>
        <w:footnoteReference w:id="6"/>
      </w:r>
      <w:r w:rsidR="002468BE" w:rsidRPr="00893200">
        <w:rPr>
          <w:rFonts w:ascii="Open Sans" w:hAnsi="Open Sans" w:cs="Open Sans"/>
          <w:lang w:val="en-GB"/>
        </w:rPr>
        <w:t xml:space="preserve"> </w:t>
      </w:r>
    </w:p>
    <w:p w14:paraId="272CF58F" w14:textId="40141C6A" w:rsidR="00904056" w:rsidRPr="00893200" w:rsidRDefault="00904056" w:rsidP="00522F9C">
      <w:pPr>
        <w:jc w:val="both"/>
        <w:rPr>
          <w:rFonts w:ascii="Open Sans" w:hAnsi="Open Sans" w:cs="Open Sans"/>
          <w:lang w:val="en-GB"/>
        </w:rPr>
      </w:pPr>
      <w:r w:rsidRPr="00893200">
        <w:rPr>
          <w:rFonts w:ascii="Open Sans" w:hAnsi="Open Sans" w:cs="Open Sans"/>
          <w:lang w:val="en-GB"/>
        </w:rPr>
        <w:t>In the Netherlands, 21% and mostly in sheltered workshops</w:t>
      </w:r>
      <w:r w:rsidR="00B107A1" w:rsidRPr="00893200">
        <w:rPr>
          <w:rFonts w:ascii="Open Sans" w:hAnsi="Open Sans" w:cs="Open Sans"/>
          <w:lang w:val="en-GB"/>
        </w:rPr>
        <w:t xml:space="preserve">; </w:t>
      </w:r>
      <w:r w:rsidR="00971134" w:rsidRPr="00893200">
        <w:rPr>
          <w:rFonts w:ascii="Open Sans" w:hAnsi="Open Sans" w:cs="Open Sans"/>
          <w:lang w:val="en-GB"/>
        </w:rPr>
        <w:t xml:space="preserve">only 5% of employers report to be prepared </w:t>
      </w:r>
      <w:r w:rsidR="00B107A1" w:rsidRPr="00893200">
        <w:rPr>
          <w:rFonts w:ascii="Open Sans" w:hAnsi="Open Sans" w:cs="Open Sans"/>
          <w:lang w:val="en-GB"/>
        </w:rPr>
        <w:t xml:space="preserve">to hire a person with a disability. </w:t>
      </w:r>
      <w:r w:rsidR="00B107A1" w:rsidRPr="00893200">
        <w:rPr>
          <w:rStyle w:val="FootnoteReference"/>
          <w:rFonts w:ascii="Open Sans" w:hAnsi="Open Sans" w:cs="Open Sans"/>
          <w:lang w:val="en-GB"/>
        </w:rPr>
        <w:footnoteReference w:id="7"/>
      </w:r>
    </w:p>
    <w:p w14:paraId="2C05F4A3" w14:textId="4CF7F94F" w:rsidR="001C483B" w:rsidRPr="00893200" w:rsidRDefault="00D64A1E" w:rsidP="00522F9C">
      <w:pPr>
        <w:jc w:val="both"/>
        <w:rPr>
          <w:rFonts w:ascii="Open Sans" w:hAnsi="Open Sans" w:cs="Open Sans"/>
          <w:lang w:val="en-GB"/>
        </w:rPr>
      </w:pPr>
      <w:r w:rsidRPr="00893200">
        <w:rPr>
          <w:rFonts w:ascii="Open Sans" w:hAnsi="Open Sans" w:cs="Open Sans"/>
          <w:lang w:val="en-GB"/>
        </w:rPr>
        <w:lastRenderedPageBreak/>
        <w:t xml:space="preserve">For </w:t>
      </w:r>
      <w:r w:rsidR="001C483B" w:rsidRPr="00893200">
        <w:rPr>
          <w:rFonts w:ascii="Open Sans" w:hAnsi="Open Sans" w:cs="Open Sans"/>
          <w:lang w:val="en-GB"/>
        </w:rPr>
        <w:t>people with intellectual disabilities who are in employment</w:t>
      </w:r>
      <w:r w:rsidRPr="00893200">
        <w:rPr>
          <w:rFonts w:ascii="Open Sans" w:hAnsi="Open Sans" w:cs="Open Sans"/>
          <w:lang w:val="en-GB"/>
        </w:rPr>
        <w:t>, there is a prevalence of jobs being in sheltered workshops</w:t>
      </w:r>
      <w:r w:rsidR="001C483B" w:rsidRPr="00893200">
        <w:rPr>
          <w:rFonts w:ascii="Open Sans" w:hAnsi="Open Sans" w:cs="Open Sans"/>
          <w:lang w:val="en-GB"/>
        </w:rPr>
        <w:t xml:space="preserve"> (often</w:t>
      </w:r>
      <w:r w:rsidRPr="00893200">
        <w:rPr>
          <w:rFonts w:ascii="Open Sans" w:hAnsi="Open Sans" w:cs="Open Sans"/>
          <w:lang w:val="en-GB"/>
        </w:rPr>
        <w:t xml:space="preserve"> not regulated under labour laws, </w:t>
      </w:r>
      <w:r w:rsidR="001C483B" w:rsidRPr="00893200">
        <w:rPr>
          <w:rFonts w:ascii="Open Sans" w:hAnsi="Open Sans" w:cs="Open Sans"/>
          <w:lang w:val="en-GB"/>
        </w:rPr>
        <w:t xml:space="preserve">effectively not an employment) </w:t>
      </w:r>
      <w:r w:rsidRPr="00893200">
        <w:rPr>
          <w:rFonts w:ascii="Open Sans" w:hAnsi="Open Sans" w:cs="Open Sans"/>
          <w:lang w:val="en-GB"/>
        </w:rPr>
        <w:t>or in temporary and low paid jobs.</w:t>
      </w:r>
      <w:r w:rsidR="002B1912" w:rsidRPr="00893200">
        <w:rPr>
          <w:rFonts w:ascii="Open Sans" w:hAnsi="Open Sans" w:cs="Open Sans"/>
          <w:lang w:val="en-GB"/>
        </w:rPr>
        <w:t xml:space="preserve"> </w:t>
      </w:r>
    </w:p>
    <w:p w14:paraId="1C08EDB5" w14:textId="6CAAF7DD" w:rsidR="002468BE" w:rsidRPr="00893200" w:rsidRDefault="004C18D9" w:rsidP="00522F9C">
      <w:pPr>
        <w:jc w:val="both"/>
        <w:rPr>
          <w:rFonts w:ascii="Open Sans" w:hAnsi="Open Sans" w:cs="Open Sans"/>
          <w:lang w:val="en-GB"/>
        </w:rPr>
      </w:pPr>
      <w:r w:rsidRPr="00893200">
        <w:rPr>
          <w:rFonts w:ascii="Open Sans" w:hAnsi="Open Sans" w:cs="Open Sans"/>
          <w:lang w:val="en-GB"/>
        </w:rPr>
        <w:t>This hinders their possibilities for independent living</w:t>
      </w:r>
      <w:r w:rsidR="00F839C5" w:rsidRPr="00893200">
        <w:rPr>
          <w:rFonts w:ascii="Open Sans" w:hAnsi="Open Sans" w:cs="Open Sans"/>
          <w:lang w:val="en-GB"/>
        </w:rPr>
        <w:t xml:space="preserve"> and being included in the community</w:t>
      </w:r>
      <w:r w:rsidRPr="00893200">
        <w:rPr>
          <w:rFonts w:ascii="Open Sans" w:hAnsi="Open Sans" w:cs="Open Sans"/>
          <w:lang w:val="en-GB"/>
        </w:rPr>
        <w:t>, due to financial dependence on relatives or on disability benefits</w:t>
      </w:r>
      <w:r w:rsidR="00DC79EC" w:rsidRPr="00893200">
        <w:rPr>
          <w:rFonts w:ascii="Open Sans" w:hAnsi="Open Sans" w:cs="Open Sans"/>
          <w:lang w:val="en-GB"/>
        </w:rPr>
        <w:t xml:space="preserve">, as well as </w:t>
      </w:r>
      <w:r w:rsidR="007A3852" w:rsidRPr="00893200">
        <w:rPr>
          <w:rFonts w:ascii="Open Sans" w:hAnsi="Open Sans" w:cs="Open Sans"/>
          <w:lang w:val="en-GB"/>
        </w:rPr>
        <w:t xml:space="preserve">limiting their </w:t>
      </w:r>
      <w:r w:rsidR="005546EA" w:rsidRPr="00893200">
        <w:rPr>
          <w:rFonts w:ascii="Open Sans" w:hAnsi="Open Sans" w:cs="Open Sans"/>
          <w:lang w:val="en-GB"/>
        </w:rPr>
        <w:t xml:space="preserve">social roles and </w:t>
      </w:r>
      <w:r w:rsidR="001C127C" w:rsidRPr="00893200">
        <w:rPr>
          <w:rFonts w:ascii="Open Sans" w:hAnsi="Open Sans" w:cs="Open Sans"/>
          <w:lang w:val="en-GB"/>
        </w:rPr>
        <w:t>relations.</w:t>
      </w:r>
    </w:p>
    <w:p w14:paraId="185DEFF1" w14:textId="3047D901" w:rsidR="00B440B6" w:rsidRPr="00893200" w:rsidRDefault="00B440B6" w:rsidP="00522F9C">
      <w:pPr>
        <w:jc w:val="both"/>
        <w:rPr>
          <w:rFonts w:ascii="Open Sans" w:hAnsi="Open Sans" w:cs="Open Sans"/>
          <w:lang w:val="en-GB"/>
        </w:rPr>
      </w:pPr>
      <w:r w:rsidRPr="00893200">
        <w:rPr>
          <w:rFonts w:ascii="Open Sans" w:hAnsi="Open Sans" w:cs="Open Sans"/>
          <w:lang w:val="en-GB"/>
        </w:rPr>
        <w:t xml:space="preserve">People with intellectual disabilities’ employment prospects are </w:t>
      </w:r>
      <w:r w:rsidR="00B218BA" w:rsidRPr="00893200">
        <w:rPr>
          <w:rFonts w:ascii="Open Sans" w:hAnsi="Open Sans" w:cs="Open Sans"/>
          <w:lang w:val="en-GB"/>
        </w:rPr>
        <w:t xml:space="preserve">being reduced from </w:t>
      </w:r>
      <w:r w:rsidR="001418C8" w:rsidRPr="00893200">
        <w:rPr>
          <w:rFonts w:ascii="Open Sans" w:hAnsi="Open Sans" w:cs="Open Sans"/>
          <w:lang w:val="en-GB"/>
        </w:rPr>
        <w:t xml:space="preserve">the start by the </w:t>
      </w:r>
      <w:r w:rsidR="00DF6D8A" w:rsidRPr="00893200">
        <w:rPr>
          <w:rFonts w:ascii="Open Sans" w:hAnsi="Open Sans" w:cs="Open Sans"/>
          <w:lang w:val="en-GB"/>
        </w:rPr>
        <w:t xml:space="preserve">limited education they are </w:t>
      </w:r>
      <w:r w:rsidR="00354603" w:rsidRPr="00893200">
        <w:rPr>
          <w:rFonts w:ascii="Open Sans" w:hAnsi="Open Sans" w:cs="Open Sans"/>
          <w:lang w:val="en-GB"/>
        </w:rPr>
        <w:t xml:space="preserve">provided, and by </w:t>
      </w:r>
      <w:r w:rsidR="008E7BCE" w:rsidRPr="00893200">
        <w:rPr>
          <w:rFonts w:ascii="Open Sans" w:hAnsi="Open Sans" w:cs="Open Sans"/>
          <w:lang w:val="en-GB"/>
        </w:rPr>
        <w:t>restrictions to legal capacity in many countries.</w:t>
      </w:r>
    </w:p>
    <w:p w14:paraId="7F23E357" w14:textId="503BC7A9" w:rsidR="00FF3193" w:rsidRPr="00E61903" w:rsidRDefault="00FF3193" w:rsidP="00E61903">
      <w:pPr>
        <w:pStyle w:val="Heading1"/>
        <w:spacing w:line="360" w:lineRule="auto"/>
        <w:jc w:val="both"/>
        <w:rPr>
          <w:rFonts w:ascii="Open Sans" w:eastAsia="Open Sans" w:hAnsi="Open Sans" w:cs="Open Sans"/>
          <w:b/>
          <w:color w:val="ED0E69"/>
          <w:lang w:val="en-GB" w:eastAsia="de-DE"/>
        </w:rPr>
      </w:pPr>
      <w:bookmarkStart w:id="2" w:name="_Toc66730084"/>
      <w:r w:rsidRPr="00E61903">
        <w:rPr>
          <w:rFonts w:ascii="Open Sans" w:eastAsia="Open Sans" w:hAnsi="Open Sans" w:cs="Open Sans"/>
          <w:b/>
          <w:color w:val="ED0E69"/>
          <w:lang w:val="en-GB" w:eastAsia="de-DE"/>
        </w:rPr>
        <w:t>Interpretation of article 27</w:t>
      </w:r>
      <w:bookmarkEnd w:id="2"/>
    </w:p>
    <w:p w14:paraId="4208B022" w14:textId="3225CFE1" w:rsidR="00CA721E" w:rsidRPr="00893200" w:rsidRDefault="00CA721E" w:rsidP="00522F9C">
      <w:pPr>
        <w:jc w:val="both"/>
        <w:rPr>
          <w:rFonts w:ascii="Open Sans" w:hAnsi="Open Sans" w:cs="Open Sans"/>
          <w:lang w:val="en-GB"/>
        </w:rPr>
      </w:pPr>
    </w:p>
    <w:p w14:paraId="39938A3D" w14:textId="29FF894A" w:rsidR="00500DA9" w:rsidRPr="0052178B" w:rsidRDefault="00416F76" w:rsidP="00522F9C">
      <w:pPr>
        <w:pStyle w:val="Heading3"/>
        <w:jc w:val="both"/>
        <w:rPr>
          <w:rFonts w:ascii="Open Sans" w:eastAsia="Open Sans" w:hAnsi="Open Sans" w:cs="Open Sans"/>
          <w:color w:val="ED0E69"/>
          <w:sz w:val="32"/>
          <w:szCs w:val="32"/>
          <w:lang w:val="en-GB" w:eastAsia="de-DE"/>
        </w:rPr>
      </w:pPr>
      <w:bookmarkStart w:id="3" w:name="_Toc66730085"/>
      <w:r w:rsidRPr="0052178B">
        <w:rPr>
          <w:rFonts w:ascii="Open Sans" w:eastAsia="Open Sans" w:hAnsi="Open Sans" w:cs="Open Sans"/>
          <w:color w:val="ED0E69"/>
          <w:sz w:val="32"/>
          <w:szCs w:val="32"/>
          <w:lang w:val="en-GB" w:eastAsia="de-DE"/>
        </w:rPr>
        <w:t>Deprivation of l</w:t>
      </w:r>
      <w:r w:rsidR="00500DA9" w:rsidRPr="0052178B">
        <w:rPr>
          <w:rFonts w:ascii="Open Sans" w:eastAsia="Open Sans" w:hAnsi="Open Sans" w:cs="Open Sans"/>
          <w:color w:val="ED0E69"/>
          <w:sz w:val="32"/>
          <w:szCs w:val="32"/>
          <w:lang w:val="en-GB" w:eastAsia="de-DE"/>
        </w:rPr>
        <w:t>egal capacity</w:t>
      </w:r>
      <w:bookmarkEnd w:id="3"/>
    </w:p>
    <w:p w14:paraId="68632EAD" w14:textId="7BC3DF78" w:rsidR="000A68F5" w:rsidRPr="00893200" w:rsidRDefault="000A68F5" w:rsidP="00522F9C">
      <w:pPr>
        <w:jc w:val="both"/>
        <w:rPr>
          <w:rFonts w:ascii="Open Sans" w:hAnsi="Open Sans" w:cs="Open Sans"/>
          <w:lang w:val="en-GB"/>
        </w:rPr>
      </w:pPr>
      <w:r w:rsidRPr="00893200">
        <w:rPr>
          <w:rFonts w:ascii="Open Sans" w:hAnsi="Open Sans" w:cs="Open Sans"/>
          <w:lang w:val="en-GB"/>
        </w:rPr>
        <w:t xml:space="preserve">Having </w:t>
      </w:r>
      <w:r w:rsidR="004C18D9" w:rsidRPr="00893200">
        <w:rPr>
          <w:rFonts w:ascii="Open Sans" w:hAnsi="Open Sans" w:cs="Open Sans"/>
          <w:lang w:val="en-GB"/>
        </w:rPr>
        <w:t xml:space="preserve">legal capacity </w:t>
      </w:r>
      <w:r w:rsidR="00944082" w:rsidRPr="00893200">
        <w:rPr>
          <w:rFonts w:ascii="Open Sans" w:hAnsi="Open Sans" w:cs="Open Sans"/>
          <w:lang w:val="en-GB"/>
        </w:rPr>
        <w:t xml:space="preserve">is a necessity </w:t>
      </w:r>
      <w:r w:rsidR="004C18D9" w:rsidRPr="00893200">
        <w:rPr>
          <w:rFonts w:ascii="Open Sans" w:hAnsi="Open Sans" w:cs="Open Sans"/>
          <w:lang w:val="en-GB"/>
        </w:rPr>
        <w:t>to</w:t>
      </w:r>
      <w:r w:rsidR="75B7BA70" w:rsidRPr="00893200">
        <w:rPr>
          <w:rFonts w:ascii="Open Sans" w:hAnsi="Open Sans" w:cs="Open Sans"/>
          <w:lang w:val="en-GB"/>
        </w:rPr>
        <w:t xml:space="preserve"> enter into</w:t>
      </w:r>
      <w:r w:rsidRPr="00893200">
        <w:rPr>
          <w:rFonts w:ascii="Open Sans" w:hAnsi="Open Sans" w:cs="Open Sans"/>
          <w:lang w:val="en-GB"/>
        </w:rPr>
        <w:t xml:space="preserve"> </w:t>
      </w:r>
      <w:r w:rsidRPr="00893200">
        <w:rPr>
          <w:rFonts w:ascii="Open Sans" w:hAnsi="Open Sans" w:cs="Open Sans"/>
          <w:b/>
          <w:lang w:val="en-GB"/>
        </w:rPr>
        <w:t>work</w:t>
      </w:r>
      <w:r w:rsidR="004C18D9" w:rsidRPr="00893200">
        <w:rPr>
          <w:rFonts w:ascii="Open Sans" w:hAnsi="Open Sans" w:cs="Open Sans"/>
          <w:b/>
          <w:lang w:val="en-GB"/>
        </w:rPr>
        <w:t xml:space="preserve"> contracts</w:t>
      </w:r>
      <w:r w:rsidR="00944082" w:rsidRPr="00893200">
        <w:rPr>
          <w:rFonts w:ascii="Open Sans" w:hAnsi="Open Sans" w:cs="Open Sans"/>
          <w:lang w:val="en-GB"/>
        </w:rPr>
        <w:t>. This</w:t>
      </w:r>
      <w:r w:rsidRPr="00893200">
        <w:rPr>
          <w:rFonts w:ascii="Open Sans" w:hAnsi="Open Sans" w:cs="Open Sans"/>
          <w:lang w:val="en-GB"/>
        </w:rPr>
        <w:t xml:space="preserve"> constitutes a</w:t>
      </w:r>
      <w:r w:rsidR="008D5753" w:rsidRPr="00893200">
        <w:rPr>
          <w:rFonts w:ascii="Open Sans" w:hAnsi="Open Sans" w:cs="Open Sans"/>
          <w:lang w:val="en-GB"/>
        </w:rPr>
        <w:t xml:space="preserve"> </w:t>
      </w:r>
      <w:r w:rsidR="001E1B3C" w:rsidRPr="00893200">
        <w:rPr>
          <w:rFonts w:ascii="Open Sans" w:hAnsi="Open Sans" w:cs="Open Sans"/>
          <w:lang w:val="en-GB"/>
        </w:rPr>
        <w:t>major issue for people</w:t>
      </w:r>
      <w:r w:rsidR="008D5753" w:rsidRPr="00893200">
        <w:rPr>
          <w:rFonts w:ascii="Open Sans" w:hAnsi="Open Sans" w:cs="Open Sans"/>
          <w:lang w:val="en-GB"/>
        </w:rPr>
        <w:t xml:space="preserve"> with intellectual disabilities</w:t>
      </w:r>
      <w:r w:rsidR="001E1B3C" w:rsidRPr="00893200">
        <w:rPr>
          <w:rFonts w:ascii="Open Sans" w:hAnsi="Open Sans" w:cs="Open Sans"/>
          <w:lang w:val="en-GB"/>
        </w:rPr>
        <w:t xml:space="preserve"> whose</w:t>
      </w:r>
      <w:r w:rsidR="008D5753" w:rsidRPr="00893200">
        <w:rPr>
          <w:rFonts w:ascii="Open Sans" w:hAnsi="Open Sans" w:cs="Open Sans"/>
          <w:lang w:val="en-GB"/>
        </w:rPr>
        <w:t xml:space="preserve"> right to </w:t>
      </w:r>
      <w:r w:rsidR="00B73EFF" w:rsidRPr="00893200">
        <w:rPr>
          <w:rFonts w:ascii="Open Sans" w:hAnsi="Open Sans" w:cs="Open Sans"/>
          <w:lang w:val="en-GB"/>
        </w:rPr>
        <w:t xml:space="preserve">decide has been </w:t>
      </w:r>
      <w:r w:rsidR="00DD50FD" w:rsidRPr="00893200">
        <w:rPr>
          <w:rFonts w:ascii="Open Sans" w:hAnsi="Open Sans" w:cs="Open Sans"/>
          <w:lang w:val="en-GB"/>
        </w:rPr>
        <w:t xml:space="preserve">reduced/denied </w:t>
      </w:r>
      <w:r w:rsidR="00056781" w:rsidRPr="00893200">
        <w:rPr>
          <w:rFonts w:ascii="Open Sans" w:hAnsi="Open Sans" w:cs="Open Sans"/>
          <w:lang w:val="en-GB"/>
        </w:rPr>
        <w:t>based on legal capacity law</w:t>
      </w:r>
      <w:r w:rsidR="008D5753" w:rsidRPr="00893200">
        <w:rPr>
          <w:rFonts w:ascii="Open Sans" w:hAnsi="Open Sans" w:cs="Open Sans"/>
          <w:lang w:val="en-GB"/>
        </w:rPr>
        <w:t>.</w:t>
      </w:r>
      <w:r w:rsidR="00500DA9" w:rsidRPr="00893200">
        <w:rPr>
          <w:rFonts w:ascii="Open Sans" w:hAnsi="Open Sans" w:cs="Open Sans"/>
          <w:lang w:val="en-GB"/>
        </w:rPr>
        <w:t xml:space="preserve"> </w:t>
      </w:r>
    </w:p>
    <w:p w14:paraId="56CA25A7" w14:textId="29274666" w:rsidR="000A68F5" w:rsidRPr="00893200" w:rsidRDefault="003C6BC9" w:rsidP="00522F9C">
      <w:pPr>
        <w:jc w:val="both"/>
        <w:rPr>
          <w:rFonts w:ascii="Open Sans" w:hAnsi="Open Sans" w:cs="Open Sans"/>
          <w:lang w:val="en-GB"/>
        </w:rPr>
      </w:pPr>
      <w:r>
        <w:rPr>
          <w:rFonts w:ascii="Open Sans" w:hAnsi="Open Sans" w:cs="Open Sans"/>
          <w:lang w:val="en-GB"/>
        </w:rPr>
        <w:t>L</w:t>
      </w:r>
      <w:r w:rsidR="000A68F5" w:rsidRPr="00893200">
        <w:rPr>
          <w:rFonts w:ascii="Open Sans" w:hAnsi="Open Sans" w:cs="Open Sans"/>
          <w:lang w:val="en-GB"/>
        </w:rPr>
        <w:t xml:space="preserve">egal capacity is also a barrier to the </w:t>
      </w:r>
      <w:r w:rsidR="5BD76BCB" w:rsidRPr="00893200">
        <w:rPr>
          <w:rFonts w:ascii="Open Sans" w:hAnsi="Open Sans" w:cs="Open Sans"/>
          <w:b/>
          <w:lang w:val="en-GB"/>
        </w:rPr>
        <w:t>creation</w:t>
      </w:r>
      <w:r w:rsidR="5BD76BCB" w:rsidRPr="00893200">
        <w:rPr>
          <w:rFonts w:ascii="Open Sans" w:hAnsi="Open Sans" w:cs="Open Sans"/>
          <w:lang w:val="en-GB"/>
        </w:rPr>
        <w:t xml:space="preserve"> of </w:t>
      </w:r>
      <w:r w:rsidR="000A68F5" w:rsidRPr="00893200">
        <w:rPr>
          <w:rFonts w:ascii="Open Sans" w:hAnsi="Open Sans" w:cs="Open Sans"/>
          <w:b/>
          <w:lang w:val="en-GB"/>
        </w:rPr>
        <w:t>participation</w:t>
      </w:r>
      <w:r w:rsidR="3D48B475" w:rsidRPr="00893200">
        <w:rPr>
          <w:rFonts w:ascii="Open Sans" w:hAnsi="Open Sans" w:cs="Open Sans"/>
          <w:b/>
          <w:lang w:val="en-GB"/>
        </w:rPr>
        <w:t xml:space="preserve"> in</w:t>
      </w:r>
      <w:r w:rsidR="000A68F5" w:rsidRPr="00893200">
        <w:rPr>
          <w:rFonts w:ascii="Open Sans" w:hAnsi="Open Sans" w:cs="Open Sans"/>
          <w:b/>
          <w:lang w:val="en-GB"/>
        </w:rPr>
        <w:t xml:space="preserve"> </w:t>
      </w:r>
      <w:r w:rsidR="00686E13" w:rsidRPr="00893200">
        <w:rPr>
          <w:rFonts w:ascii="Open Sans" w:hAnsi="Open Sans" w:cs="Open Sans"/>
          <w:lang w:val="en-GB"/>
        </w:rPr>
        <w:t>labour</w:t>
      </w:r>
      <w:r w:rsidR="000A68F5" w:rsidRPr="00893200">
        <w:rPr>
          <w:rFonts w:ascii="Open Sans" w:hAnsi="Open Sans" w:cs="Open Sans"/>
          <w:lang w:val="en-GB"/>
        </w:rPr>
        <w:t xml:space="preserve"> unions for workers with intellectual disabilities under some form of guardianship. </w:t>
      </w:r>
    </w:p>
    <w:p w14:paraId="508CBA20" w14:textId="3FF154B7" w:rsidR="004C18D9" w:rsidRPr="00893200" w:rsidRDefault="00500DA9" w:rsidP="00522F9C">
      <w:pPr>
        <w:jc w:val="both"/>
        <w:rPr>
          <w:rFonts w:ascii="Open Sans" w:hAnsi="Open Sans" w:cs="Open Sans"/>
          <w:lang w:val="en-GB"/>
        </w:rPr>
      </w:pPr>
      <w:r w:rsidRPr="00893200">
        <w:rPr>
          <w:rFonts w:ascii="Open Sans" w:hAnsi="Open Sans" w:cs="Open Sans"/>
          <w:lang w:val="en-GB"/>
        </w:rPr>
        <w:t>The Committee should call on State Parties to fully implement article 12 of the Convention and ensure that people with intellectual disabilities can make their own decisions.</w:t>
      </w:r>
    </w:p>
    <w:p w14:paraId="2369A147" w14:textId="420B62CD" w:rsidR="00500DA9" w:rsidRPr="0052178B" w:rsidRDefault="00104814" w:rsidP="00522F9C">
      <w:pPr>
        <w:pStyle w:val="Heading3"/>
        <w:jc w:val="both"/>
        <w:rPr>
          <w:rFonts w:ascii="Open Sans" w:eastAsia="Open Sans" w:hAnsi="Open Sans" w:cs="Open Sans"/>
          <w:color w:val="ED0E69"/>
          <w:sz w:val="32"/>
          <w:szCs w:val="32"/>
          <w:lang w:val="en-GB" w:eastAsia="de-DE"/>
        </w:rPr>
      </w:pPr>
      <w:bookmarkStart w:id="4" w:name="_Toc66730086"/>
      <w:r w:rsidRPr="0052178B">
        <w:rPr>
          <w:rFonts w:ascii="Open Sans" w:eastAsia="Open Sans" w:hAnsi="Open Sans" w:cs="Open Sans"/>
          <w:color w:val="ED0E69"/>
          <w:sz w:val="32"/>
          <w:szCs w:val="32"/>
          <w:lang w:val="en-GB" w:eastAsia="de-DE"/>
        </w:rPr>
        <w:lastRenderedPageBreak/>
        <w:t>Inaccessible recruitment</w:t>
      </w:r>
      <w:bookmarkEnd w:id="4"/>
    </w:p>
    <w:p w14:paraId="39601669" w14:textId="77777777" w:rsidR="00BC5195" w:rsidRPr="00893200" w:rsidRDefault="000A68F5" w:rsidP="00522F9C">
      <w:pPr>
        <w:jc w:val="both"/>
        <w:rPr>
          <w:rFonts w:ascii="Open Sans" w:hAnsi="Open Sans" w:cs="Open Sans"/>
          <w:lang w:val="en-GB"/>
        </w:rPr>
      </w:pPr>
      <w:r w:rsidRPr="00893200">
        <w:rPr>
          <w:rFonts w:ascii="Open Sans" w:hAnsi="Open Sans" w:cs="Open Sans"/>
          <w:lang w:val="en-GB"/>
        </w:rPr>
        <w:t>I</w:t>
      </w:r>
      <w:r w:rsidR="008D5753" w:rsidRPr="00893200">
        <w:rPr>
          <w:rFonts w:ascii="Open Sans" w:hAnsi="Open Sans" w:cs="Open Sans"/>
          <w:lang w:val="en-GB"/>
        </w:rPr>
        <w:t>naccessible recruitment processes</w:t>
      </w:r>
      <w:r w:rsidRPr="00893200">
        <w:rPr>
          <w:rFonts w:ascii="Open Sans" w:hAnsi="Open Sans" w:cs="Open Sans"/>
          <w:lang w:val="en-GB"/>
        </w:rPr>
        <w:t xml:space="preserve"> constitute discrimination</w:t>
      </w:r>
      <w:r w:rsidR="006A2B28" w:rsidRPr="00893200">
        <w:rPr>
          <w:rFonts w:ascii="Open Sans" w:hAnsi="Open Sans" w:cs="Open Sans"/>
          <w:lang w:val="en-GB"/>
        </w:rPr>
        <w:t>s</w:t>
      </w:r>
      <w:r w:rsidR="00BC5195" w:rsidRPr="00893200">
        <w:rPr>
          <w:rFonts w:ascii="Open Sans" w:hAnsi="Open Sans" w:cs="Open Sans"/>
          <w:lang w:val="en-GB"/>
        </w:rPr>
        <w:t xml:space="preserve"> and prevent people with intellectual disabilities from applying for jobs in the first place</w:t>
      </w:r>
      <w:r w:rsidR="008D5753" w:rsidRPr="00893200">
        <w:rPr>
          <w:rFonts w:ascii="Open Sans" w:hAnsi="Open Sans" w:cs="Open Sans"/>
          <w:lang w:val="en-GB"/>
        </w:rPr>
        <w:t xml:space="preserve">. </w:t>
      </w:r>
    </w:p>
    <w:p w14:paraId="4A0F1E7F" w14:textId="730AE042" w:rsidR="009D1645" w:rsidRPr="00893200" w:rsidRDefault="008D5753" w:rsidP="00522F9C">
      <w:pPr>
        <w:jc w:val="both"/>
        <w:rPr>
          <w:rFonts w:ascii="Open Sans" w:hAnsi="Open Sans" w:cs="Open Sans"/>
          <w:lang w:val="en-GB"/>
        </w:rPr>
      </w:pPr>
      <w:r w:rsidRPr="00893200">
        <w:rPr>
          <w:rFonts w:ascii="Open Sans" w:hAnsi="Open Sans" w:cs="Open Sans"/>
          <w:lang w:val="en-GB"/>
        </w:rPr>
        <w:t xml:space="preserve">For </w:t>
      </w:r>
      <w:r w:rsidR="00AE783B" w:rsidRPr="00893200">
        <w:rPr>
          <w:rFonts w:ascii="Open Sans" w:hAnsi="Open Sans" w:cs="Open Sans"/>
          <w:lang w:val="en-GB"/>
        </w:rPr>
        <w:t>example</w:t>
      </w:r>
      <w:r w:rsidRPr="00893200">
        <w:rPr>
          <w:rFonts w:ascii="Open Sans" w:hAnsi="Open Sans" w:cs="Open Sans"/>
          <w:lang w:val="en-GB"/>
        </w:rPr>
        <w:t xml:space="preserve">, online recruitment can be discriminatory </w:t>
      </w:r>
      <w:r w:rsidR="00F318BA">
        <w:rPr>
          <w:rFonts w:ascii="Open Sans" w:hAnsi="Open Sans" w:cs="Open Sans"/>
          <w:lang w:val="en-GB"/>
        </w:rPr>
        <w:t xml:space="preserve">as some might need </w:t>
      </w:r>
      <w:r w:rsidR="004E710F">
        <w:rPr>
          <w:rFonts w:ascii="Open Sans" w:hAnsi="Open Sans" w:cs="Open Sans"/>
          <w:lang w:val="en-GB"/>
        </w:rPr>
        <w:t xml:space="preserve">to use </w:t>
      </w:r>
      <w:r w:rsidRPr="00893200">
        <w:rPr>
          <w:rFonts w:ascii="Open Sans" w:hAnsi="Open Sans" w:cs="Open Sans"/>
          <w:lang w:val="en-GB"/>
        </w:rPr>
        <w:t>assistive technology.</w:t>
      </w:r>
      <w:r w:rsidRPr="00893200">
        <w:rPr>
          <w:rStyle w:val="FootnoteReference"/>
          <w:rFonts w:ascii="Open Sans" w:hAnsi="Open Sans" w:cs="Open Sans"/>
          <w:lang w:val="en-GB"/>
        </w:rPr>
        <w:footnoteReference w:id="8"/>
      </w:r>
    </w:p>
    <w:p w14:paraId="65173220" w14:textId="75A03E03" w:rsidR="009D1645" w:rsidRPr="00893200" w:rsidRDefault="008D5753" w:rsidP="00522F9C">
      <w:pPr>
        <w:jc w:val="both"/>
        <w:rPr>
          <w:rFonts w:ascii="Open Sans" w:hAnsi="Open Sans" w:cs="Open Sans"/>
          <w:lang w:val="en-GB"/>
        </w:rPr>
      </w:pPr>
      <w:r w:rsidRPr="00893200">
        <w:rPr>
          <w:rFonts w:ascii="Open Sans" w:hAnsi="Open Sans" w:cs="Open Sans"/>
          <w:lang w:val="en-GB"/>
        </w:rPr>
        <w:t xml:space="preserve">Countries should ensure </w:t>
      </w:r>
      <w:r w:rsidR="00AE783B" w:rsidRPr="00893200">
        <w:rPr>
          <w:rFonts w:ascii="Open Sans" w:hAnsi="Open Sans" w:cs="Open Sans"/>
          <w:lang w:val="en-GB"/>
        </w:rPr>
        <w:t xml:space="preserve">that </w:t>
      </w:r>
      <w:r w:rsidRPr="00893200">
        <w:rPr>
          <w:rFonts w:ascii="Open Sans" w:hAnsi="Open Sans" w:cs="Open Sans"/>
          <w:lang w:val="en-GB"/>
        </w:rPr>
        <w:t xml:space="preserve">employers provide support to candidates with intellectual disabilities through the recruitment process and promote hiring through external agencies that have expertise in accompanying and supporting candidates with intellectual disabilities, </w:t>
      </w:r>
      <w:r w:rsidR="002C6E6C">
        <w:rPr>
          <w:rFonts w:ascii="Open Sans" w:hAnsi="Open Sans" w:cs="Open Sans"/>
          <w:lang w:val="en-GB"/>
        </w:rPr>
        <w:t>to avoid</w:t>
      </w:r>
      <w:r w:rsidRPr="00893200">
        <w:rPr>
          <w:rFonts w:ascii="Open Sans" w:hAnsi="Open Sans" w:cs="Open Sans"/>
          <w:lang w:val="en-GB"/>
        </w:rPr>
        <w:t xml:space="preserve"> employers </w:t>
      </w:r>
      <w:r w:rsidR="002C6E6C">
        <w:rPr>
          <w:rFonts w:ascii="Open Sans" w:hAnsi="Open Sans" w:cs="Open Sans"/>
          <w:lang w:val="en-GB"/>
        </w:rPr>
        <w:t>from using</w:t>
      </w:r>
      <w:r w:rsidRPr="00893200">
        <w:rPr>
          <w:rFonts w:ascii="Open Sans" w:hAnsi="Open Sans" w:cs="Open Sans"/>
          <w:lang w:val="en-GB"/>
        </w:rPr>
        <w:t xml:space="preserve"> a one-size-fits-all approach.</w:t>
      </w:r>
      <w:r w:rsidRPr="00893200">
        <w:rPr>
          <w:rStyle w:val="FootnoteReference"/>
          <w:rFonts w:ascii="Open Sans" w:hAnsi="Open Sans" w:cs="Open Sans"/>
          <w:lang w:val="en-GB"/>
        </w:rPr>
        <w:footnoteReference w:id="9"/>
      </w:r>
      <w:r w:rsidRPr="00893200">
        <w:rPr>
          <w:rFonts w:ascii="Open Sans" w:hAnsi="Open Sans" w:cs="Open Sans"/>
          <w:lang w:val="en-GB"/>
        </w:rPr>
        <w:t xml:space="preserve"> </w:t>
      </w:r>
    </w:p>
    <w:p w14:paraId="2EF72F00" w14:textId="46113FF2" w:rsidR="008D5753" w:rsidRPr="00893200" w:rsidRDefault="00FD7113" w:rsidP="00522F9C">
      <w:pPr>
        <w:jc w:val="both"/>
        <w:rPr>
          <w:rFonts w:ascii="Open Sans" w:hAnsi="Open Sans" w:cs="Open Sans"/>
          <w:lang w:val="en-GB"/>
        </w:rPr>
      </w:pPr>
      <w:r w:rsidRPr="00893200">
        <w:rPr>
          <w:rFonts w:ascii="Open Sans" w:hAnsi="Open Sans" w:cs="Open Sans"/>
          <w:lang w:val="en-GB"/>
        </w:rPr>
        <w:t xml:space="preserve">The use of programmes targeted at people with intellectual disabilities and job carving should also be promoted and financed by </w:t>
      </w:r>
      <w:r w:rsidR="006A51F6" w:rsidRPr="00893200">
        <w:rPr>
          <w:rFonts w:ascii="Open Sans" w:hAnsi="Open Sans" w:cs="Open Sans"/>
          <w:lang w:val="en-GB"/>
        </w:rPr>
        <w:t>countries</w:t>
      </w:r>
      <w:r w:rsidRPr="00893200">
        <w:rPr>
          <w:rFonts w:ascii="Open Sans" w:hAnsi="Open Sans" w:cs="Open Sans"/>
          <w:lang w:val="en-GB"/>
        </w:rPr>
        <w:t>.</w:t>
      </w:r>
    </w:p>
    <w:p w14:paraId="12EB4F46" w14:textId="1B142F4E" w:rsidR="00FD7113" w:rsidRPr="0079156F" w:rsidRDefault="00C211C2" w:rsidP="00522F9C">
      <w:pPr>
        <w:pStyle w:val="Heading2"/>
        <w:jc w:val="both"/>
        <w:rPr>
          <w:rFonts w:ascii="Open Sans" w:eastAsia="Open Sans" w:hAnsi="Open Sans" w:cs="Open Sans"/>
          <w:b/>
          <w:bCs/>
          <w:color w:val="ED0E69"/>
          <w:sz w:val="32"/>
          <w:szCs w:val="32"/>
          <w:lang w:val="en-GB" w:eastAsia="de-DE"/>
        </w:rPr>
      </w:pPr>
      <w:bookmarkStart w:id="5" w:name="_Toc66730087"/>
      <w:r w:rsidRPr="0079156F">
        <w:rPr>
          <w:rFonts w:ascii="Open Sans" w:eastAsia="Open Sans" w:hAnsi="Open Sans" w:cs="Open Sans"/>
          <w:b/>
          <w:bCs/>
          <w:color w:val="ED0E69"/>
          <w:sz w:val="32"/>
          <w:szCs w:val="32"/>
          <w:lang w:val="en-GB" w:eastAsia="de-DE"/>
        </w:rPr>
        <w:t>Equal pay</w:t>
      </w:r>
      <w:bookmarkEnd w:id="5"/>
    </w:p>
    <w:p w14:paraId="2B0CDDC9" w14:textId="6E2536C1" w:rsidR="00C211C2" w:rsidRPr="00893200" w:rsidRDefault="00C211C2" w:rsidP="00522F9C">
      <w:pPr>
        <w:jc w:val="both"/>
        <w:rPr>
          <w:rFonts w:ascii="Open Sans" w:hAnsi="Open Sans" w:cs="Open Sans"/>
          <w:lang w:val="en-GB"/>
        </w:rPr>
      </w:pPr>
      <w:r w:rsidRPr="00893200">
        <w:rPr>
          <w:rFonts w:ascii="Open Sans" w:hAnsi="Open Sans" w:cs="Open Sans"/>
          <w:b/>
          <w:lang w:val="en-GB"/>
        </w:rPr>
        <w:t>Wage discrimination</w:t>
      </w:r>
      <w:r w:rsidRPr="00893200">
        <w:rPr>
          <w:rFonts w:ascii="Open Sans" w:hAnsi="Open Sans" w:cs="Open Sans"/>
          <w:lang w:val="en-GB"/>
        </w:rPr>
        <w:t xml:space="preserve"> </w:t>
      </w:r>
      <w:r w:rsidR="00BF66AA">
        <w:rPr>
          <w:rFonts w:ascii="Open Sans" w:hAnsi="Open Sans" w:cs="Open Sans"/>
          <w:lang w:val="en-GB"/>
        </w:rPr>
        <w:t>often happens to</w:t>
      </w:r>
      <w:r w:rsidRPr="00893200">
        <w:rPr>
          <w:rFonts w:ascii="Open Sans" w:hAnsi="Open Sans" w:cs="Open Sans"/>
          <w:lang w:val="en-GB"/>
        </w:rPr>
        <w:t xml:space="preserve"> people with intellectual disabilities. </w:t>
      </w:r>
      <w:r w:rsidR="00BF66AA">
        <w:rPr>
          <w:rFonts w:ascii="Open Sans" w:hAnsi="Open Sans" w:cs="Open Sans"/>
          <w:lang w:val="en-GB"/>
        </w:rPr>
        <w:t>It can be</w:t>
      </w:r>
      <w:r w:rsidRPr="00893200">
        <w:rPr>
          <w:rFonts w:ascii="Open Sans" w:hAnsi="Open Sans" w:cs="Open Sans"/>
          <w:lang w:val="en-GB"/>
        </w:rPr>
        <w:t xml:space="preserve"> </w:t>
      </w:r>
      <w:r w:rsidRPr="00893200">
        <w:rPr>
          <w:rFonts w:ascii="Open Sans" w:hAnsi="Open Sans" w:cs="Open Sans"/>
          <w:b/>
          <w:lang w:val="en-GB"/>
        </w:rPr>
        <w:t>direct</w:t>
      </w:r>
      <w:r w:rsidR="00BF66AA">
        <w:rPr>
          <w:rFonts w:ascii="Open Sans" w:hAnsi="Open Sans" w:cs="Open Sans"/>
          <w:b/>
          <w:lang w:val="en-GB"/>
        </w:rPr>
        <w:t xml:space="preserve"> discrimination</w:t>
      </w:r>
      <w:r w:rsidRPr="00893200">
        <w:rPr>
          <w:rFonts w:ascii="Open Sans" w:hAnsi="Open Sans" w:cs="Open Sans"/>
          <w:b/>
          <w:lang w:val="en-GB"/>
        </w:rPr>
        <w:t>,</w:t>
      </w:r>
      <w:r w:rsidRPr="00893200">
        <w:rPr>
          <w:rFonts w:ascii="Open Sans" w:hAnsi="Open Sans" w:cs="Open Sans"/>
          <w:lang w:val="en-GB"/>
        </w:rPr>
        <w:t xml:space="preserve"> </w:t>
      </w:r>
      <w:r w:rsidR="00462770">
        <w:rPr>
          <w:rFonts w:ascii="Open Sans" w:hAnsi="Open Sans" w:cs="Open Sans"/>
          <w:lang w:val="en-GB"/>
        </w:rPr>
        <w:t>i.e.</w:t>
      </w:r>
      <w:r w:rsidRPr="00893200">
        <w:rPr>
          <w:rFonts w:ascii="Open Sans" w:hAnsi="Open Sans" w:cs="Open Sans"/>
          <w:lang w:val="en-GB"/>
        </w:rPr>
        <w:t xml:space="preserve"> people working in sheltered workshops are not protected by statutory measures and receive lower salaries. </w:t>
      </w:r>
      <w:r w:rsidR="0088384C">
        <w:rPr>
          <w:rFonts w:ascii="Open Sans" w:hAnsi="Open Sans" w:cs="Open Sans"/>
          <w:lang w:val="en-GB"/>
        </w:rPr>
        <w:t>However, d</w:t>
      </w:r>
      <w:r w:rsidRPr="00893200">
        <w:rPr>
          <w:rFonts w:ascii="Open Sans" w:hAnsi="Open Sans" w:cs="Open Sans"/>
          <w:lang w:val="en-GB"/>
        </w:rPr>
        <w:t xml:space="preserve">iscrimination is more often </w:t>
      </w:r>
      <w:r w:rsidRPr="00893200">
        <w:rPr>
          <w:rFonts w:ascii="Open Sans" w:hAnsi="Open Sans" w:cs="Open Sans"/>
          <w:b/>
          <w:lang w:val="en-GB"/>
        </w:rPr>
        <w:t>indirect</w:t>
      </w:r>
      <w:r w:rsidRPr="00893200">
        <w:rPr>
          <w:rFonts w:ascii="Open Sans" w:hAnsi="Open Sans" w:cs="Open Sans"/>
          <w:lang w:val="en-GB"/>
        </w:rPr>
        <w:t xml:space="preserve">, as those working in the open labour </w:t>
      </w:r>
      <w:r w:rsidRPr="00893200">
        <w:rPr>
          <w:rFonts w:ascii="Open Sans" w:hAnsi="Open Sans" w:cs="Open Sans"/>
          <w:lang w:val="en-GB"/>
        </w:rPr>
        <w:lastRenderedPageBreak/>
        <w:t>market have worse working conditions and lower paid jobs, due to stigma and lack of access to higher education and vocational training.</w:t>
      </w:r>
    </w:p>
    <w:p w14:paraId="150100D5" w14:textId="057DAC78" w:rsidR="00C211C2" w:rsidRPr="00893200" w:rsidRDefault="000A5B9D" w:rsidP="00522F9C">
      <w:pPr>
        <w:jc w:val="both"/>
        <w:rPr>
          <w:rFonts w:ascii="Open Sans" w:hAnsi="Open Sans" w:cs="Open Sans"/>
          <w:lang w:val="en-GB"/>
        </w:rPr>
      </w:pPr>
      <w:r w:rsidRPr="00893200">
        <w:rPr>
          <w:rFonts w:ascii="Open Sans" w:hAnsi="Open Sans" w:cs="Open Sans"/>
          <w:lang w:val="en-GB"/>
        </w:rPr>
        <w:t>Closely related and of crucial importance is</w:t>
      </w:r>
      <w:r w:rsidR="00C211C2" w:rsidRPr="00893200">
        <w:rPr>
          <w:rFonts w:ascii="Open Sans" w:hAnsi="Open Sans" w:cs="Open Sans"/>
          <w:lang w:val="en-GB"/>
        </w:rPr>
        <w:t xml:space="preserve"> the </w:t>
      </w:r>
      <w:r w:rsidRPr="00893200">
        <w:rPr>
          <w:rFonts w:ascii="Open Sans" w:hAnsi="Open Sans" w:cs="Open Sans"/>
          <w:lang w:val="en-GB"/>
        </w:rPr>
        <w:t>issue</w:t>
      </w:r>
      <w:r w:rsidR="00C211C2" w:rsidRPr="00893200">
        <w:rPr>
          <w:rFonts w:ascii="Open Sans" w:hAnsi="Open Sans" w:cs="Open Sans"/>
          <w:lang w:val="en-GB"/>
        </w:rPr>
        <w:t xml:space="preserve"> </w:t>
      </w:r>
      <w:r w:rsidR="00C211C2" w:rsidRPr="00893200">
        <w:rPr>
          <w:rFonts w:ascii="Open Sans" w:hAnsi="Open Sans" w:cs="Open Sans"/>
          <w:b/>
          <w:lang w:val="en-GB"/>
        </w:rPr>
        <w:t>of disability benefits and employment</w:t>
      </w:r>
      <w:r w:rsidR="00C211C2" w:rsidRPr="00893200">
        <w:rPr>
          <w:rFonts w:ascii="Open Sans" w:hAnsi="Open Sans" w:cs="Open Sans"/>
          <w:lang w:val="en-GB"/>
        </w:rPr>
        <w:t>.</w:t>
      </w:r>
      <w:r w:rsidR="0072539F">
        <w:rPr>
          <w:rFonts w:ascii="Open Sans" w:hAnsi="Open Sans" w:cs="Open Sans"/>
          <w:lang w:val="en-GB"/>
        </w:rPr>
        <w:t xml:space="preserve"> </w:t>
      </w:r>
      <w:r w:rsidR="00C211C2" w:rsidRPr="00893200">
        <w:rPr>
          <w:rFonts w:ascii="Open Sans" w:hAnsi="Open Sans" w:cs="Open Sans"/>
          <w:lang w:val="en-GB"/>
        </w:rPr>
        <w:t xml:space="preserve">The </w:t>
      </w:r>
      <w:r w:rsidR="000A68F5" w:rsidRPr="00893200">
        <w:rPr>
          <w:rFonts w:ascii="Open Sans" w:hAnsi="Open Sans" w:cs="Open Sans"/>
          <w:lang w:val="en-GB"/>
        </w:rPr>
        <w:t>so called “</w:t>
      </w:r>
      <w:r w:rsidR="00C211C2" w:rsidRPr="00893200">
        <w:rPr>
          <w:rFonts w:ascii="Open Sans" w:hAnsi="Open Sans" w:cs="Open Sans"/>
          <w:lang w:val="en-GB"/>
        </w:rPr>
        <w:t>benefit trap</w:t>
      </w:r>
      <w:r w:rsidR="000A68F5" w:rsidRPr="00893200">
        <w:rPr>
          <w:rFonts w:ascii="Open Sans" w:hAnsi="Open Sans" w:cs="Open Sans"/>
          <w:lang w:val="en-GB"/>
        </w:rPr>
        <w:t>”</w:t>
      </w:r>
      <w:r w:rsidR="00C211C2" w:rsidRPr="00893200">
        <w:rPr>
          <w:rFonts w:ascii="Open Sans" w:hAnsi="Open Sans" w:cs="Open Sans"/>
          <w:lang w:val="en-GB"/>
        </w:rPr>
        <w:t xml:space="preserve">, causing people on disability benefits to not enter employment as they would lose their benefits, prevents people </w:t>
      </w:r>
      <w:r w:rsidR="00CB0087">
        <w:rPr>
          <w:rFonts w:ascii="Open Sans" w:hAnsi="Open Sans" w:cs="Open Sans"/>
          <w:lang w:val="en-GB"/>
        </w:rPr>
        <w:t>with</w:t>
      </w:r>
      <w:r w:rsidR="00C211C2" w:rsidRPr="00893200">
        <w:rPr>
          <w:rFonts w:ascii="Open Sans" w:hAnsi="Open Sans" w:cs="Open Sans"/>
          <w:lang w:val="en-GB"/>
        </w:rPr>
        <w:t xml:space="preserve"> disabilities </w:t>
      </w:r>
      <w:r w:rsidR="00CB0087">
        <w:rPr>
          <w:rFonts w:ascii="Open Sans" w:hAnsi="Open Sans" w:cs="Open Sans"/>
          <w:lang w:val="en-GB"/>
        </w:rPr>
        <w:t>from</w:t>
      </w:r>
      <w:r w:rsidR="00C211C2" w:rsidRPr="00893200">
        <w:rPr>
          <w:rFonts w:ascii="Open Sans" w:hAnsi="Open Sans" w:cs="Open Sans"/>
          <w:lang w:val="en-GB"/>
        </w:rPr>
        <w:t xml:space="preserve"> join</w:t>
      </w:r>
      <w:r w:rsidR="00CB0087">
        <w:rPr>
          <w:rFonts w:ascii="Open Sans" w:hAnsi="Open Sans" w:cs="Open Sans"/>
          <w:lang w:val="en-GB"/>
        </w:rPr>
        <w:t>ing</w:t>
      </w:r>
      <w:r w:rsidR="00C211C2" w:rsidRPr="00893200">
        <w:rPr>
          <w:rFonts w:ascii="Open Sans" w:hAnsi="Open Sans" w:cs="Open Sans"/>
          <w:lang w:val="en-GB"/>
        </w:rPr>
        <w:t xml:space="preserve"> the workforce and increases in-work poverty.</w:t>
      </w:r>
      <w:r w:rsidR="00927DAF" w:rsidRPr="00893200">
        <w:rPr>
          <w:rStyle w:val="FootnoteReference"/>
          <w:rFonts w:ascii="Open Sans" w:hAnsi="Open Sans" w:cs="Open Sans"/>
          <w:lang w:val="en-GB"/>
        </w:rPr>
        <w:footnoteReference w:id="10"/>
      </w:r>
    </w:p>
    <w:p w14:paraId="05A21C9B" w14:textId="77777777" w:rsidR="00416F76" w:rsidRPr="0052178B" w:rsidRDefault="00416F76" w:rsidP="00522F9C">
      <w:pPr>
        <w:pStyle w:val="Heading3"/>
        <w:jc w:val="both"/>
        <w:rPr>
          <w:rFonts w:ascii="Open Sans" w:eastAsia="Open Sans" w:hAnsi="Open Sans" w:cs="Open Sans"/>
          <w:color w:val="ED0E69"/>
          <w:sz w:val="32"/>
          <w:szCs w:val="32"/>
          <w:lang w:val="en-GB" w:eastAsia="de-DE"/>
        </w:rPr>
      </w:pPr>
      <w:bookmarkStart w:id="6" w:name="_Toc66730088"/>
      <w:r w:rsidRPr="0052178B">
        <w:rPr>
          <w:rFonts w:ascii="Open Sans" w:eastAsia="Open Sans" w:hAnsi="Open Sans" w:cs="Open Sans"/>
          <w:color w:val="ED0E69"/>
          <w:sz w:val="32"/>
          <w:szCs w:val="32"/>
          <w:lang w:val="en-GB" w:eastAsia="de-DE"/>
        </w:rPr>
        <w:t>Sheltered settings</w:t>
      </w:r>
      <w:bookmarkEnd w:id="6"/>
    </w:p>
    <w:p w14:paraId="7CAC68E2" w14:textId="75520962" w:rsidR="00FE0D62" w:rsidRPr="00893200" w:rsidRDefault="00416F76" w:rsidP="00522F9C">
      <w:pPr>
        <w:jc w:val="both"/>
        <w:rPr>
          <w:rFonts w:ascii="Open Sans" w:hAnsi="Open Sans" w:cs="Open Sans"/>
          <w:lang w:val="en-GB"/>
        </w:rPr>
      </w:pPr>
      <w:r w:rsidRPr="00893200">
        <w:rPr>
          <w:rFonts w:ascii="Open Sans" w:hAnsi="Open Sans" w:cs="Open Sans"/>
          <w:lang w:val="en-GB"/>
        </w:rPr>
        <w:t>Many people with intellectual disabilities are working in sheltered settings</w:t>
      </w:r>
      <w:r w:rsidR="00DF630E" w:rsidRPr="00893200">
        <w:rPr>
          <w:rFonts w:ascii="Open Sans" w:hAnsi="Open Sans" w:cs="Open Sans"/>
          <w:lang w:val="en-GB"/>
        </w:rPr>
        <w:t>.</w:t>
      </w:r>
      <w:r w:rsidRPr="00893200">
        <w:rPr>
          <w:rFonts w:ascii="Open Sans" w:hAnsi="Open Sans" w:cs="Open Sans"/>
          <w:lang w:val="en-GB"/>
        </w:rPr>
        <w:t xml:space="preserve"> </w:t>
      </w:r>
      <w:r w:rsidR="000B4D98" w:rsidRPr="00893200">
        <w:rPr>
          <w:rFonts w:ascii="Open Sans" w:hAnsi="Open Sans" w:cs="Open Sans"/>
          <w:b/>
          <w:bCs/>
          <w:lang w:val="en-GB"/>
        </w:rPr>
        <w:t>Transition</w:t>
      </w:r>
      <w:r w:rsidR="00DF16DE" w:rsidRPr="00893200">
        <w:rPr>
          <w:rFonts w:ascii="Open Sans" w:hAnsi="Open Sans" w:cs="Open Sans"/>
          <w:b/>
          <w:bCs/>
          <w:lang w:val="en-GB"/>
        </w:rPr>
        <w:t xml:space="preserve"> and full participation in the</w:t>
      </w:r>
      <w:r w:rsidRPr="00893200">
        <w:rPr>
          <w:rFonts w:ascii="Open Sans" w:hAnsi="Open Sans" w:cs="Open Sans"/>
          <w:b/>
          <w:bCs/>
          <w:lang w:val="en-GB"/>
        </w:rPr>
        <w:t xml:space="preserve"> open labour market </w:t>
      </w:r>
      <w:r w:rsidR="00DF630E" w:rsidRPr="00893200">
        <w:rPr>
          <w:rFonts w:ascii="Open Sans" w:hAnsi="Open Sans" w:cs="Open Sans"/>
          <w:b/>
          <w:bCs/>
          <w:lang w:val="en-GB"/>
        </w:rPr>
        <w:t xml:space="preserve">is </w:t>
      </w:r>
      <w:r w:rsidR="001C7D7E" w:rsidRPr="00893200">
        <w:rPr>
          <w:rFonts w:ascii="Open Sans" w:hAnsi="Open Sans" w:cs="Open Sans"/>
          <w:b/>
          <w:bCs/>
          <w:lang w:val="en-GB"/>
        </w:rPr>
        <w:t>essential</w:t>
      </w:r>
      <w:r w:rsidR="005D4782" w:rsidRPr="00893200">
        <w:rPr>
          <w:rFonts w:ascii="Open Sans" w:hAnsi="Open Sans" w:cs="Open Sans"/>
          <w:b/>
          <w:bCs/>
          <w:lang w:val="en-GB"/>
        </w:rPr>
        <w:t>.</w:t>
      </w:r>
      <w:r w:rsidR="005D4782" w:rsidRPr="00893200">
        <w:rPr>
          <w:rFonts w:ascii="Open Sans" w:hAnsi="Open Sans" w:cs="Open Sans"/>
          <w:lang w:val="en-GB"/>
        </w:rPr>
        <w:t xml:space="preserve"> It must be based </w:t>
      </w:r>
      <w:r w:rsidR="00A45598" w:rsidRPr="00893200">
        <w:rPr>
          <w:rFonts w:ascii="Open Sans" w:hAnsi="Open Sans" w:cs="Open Sans"/>
          <w:lang w:val="en-GB"/>
        </w:rPr>
        <w:t xml:space="preserve">on </w:t>
      </w:r>
      <w:r w:rsidRPr="00893200">
        <w:rPr>
          <w:rFonts w:ascii="Open Sans" w:hAnsi="Open Sans" w:cs="Open Sans"/>
          <w:b/>
          <w:bCs/>
          <w:lang w:val="en-GB"/>
        </w:rPr>
        <w:t>viable alternatives</w:t>
      </w:r>
      <w:r w:rsidRPr="00893200">
        <w:rPr>
          <w:rFonts w:ascii="Open Sans" w:hAnsi="Open Sans" w:cs="Open Sans"/>
          <w:lang w:val="en-GB"/>
        </w:rPr>
        <w:t xml:space="preserve"> </w:t>
      </w:r>
      <w:r w:rsidR="00A45598" w:rsidRPr="00893200">
        <w:rPr>
          <w:rFonts w:ascii="Open Sans" w:hAnsi="Open Sans" w:cs="Open Sans"/>
          <w:lang w:val="en-GB"/>
        </w:rPr>
        <w:t xml:space="preserve">for those currently in the </w:t>
      </w:r>
      <w:r w:rsidR="0052164B" w:rsidRPr="00893200">
        <w:rPr>
          <w:rFonts w:ascii="Open Sans" w:hAnsi="Open Sans" w:cs="Open Sans"/>
          <w:lang w:val="en-GB"/>
        </w:rPr>
        <w:t>sheltered settings</w:t>
      </w:r>
      <w:r w:rsidR="00D81E7B" w:rsidRPr="00893200">
        <w:rPr>
          <w:rFonts w:ascii="Open Sans" w:hAnsi="Open Sans" w:cs="Open Sans"/>
          <w:lang w:val="en-GB"/>
        </w:rPr>
        <w:t xml:space="preserve"> and those </w:t>
      </w:r>
      <w:r w:rsidR="000D1697" w:rsidRPr="00893200">
        <w:rPr>
          <w:rFonts w:ascii="Open Sans" w:hAnsi="Open Sans" w:cs="Open Sans"/>
          <w:lang w:val="en-GB"/>
        </w:rPr>
        <w:t xml:space="preserve">who would </w:t>
      </w:r>
      <w:r w:rsidR="00E84282" w:rsidRPr="00893200">
        <w:rPr>
          <w:rFonts w:ascii="Open Sans" w:hAnsi="Open Sans" w:cs="Open Sans"/>
          <w:lang w:val="en-GB"/>
        </w:rPr>
        <w:t xml:space="preserve">potentially find </w:t>
      </w:r>
      <w:r w:rsidR="003A2858">
        <w:rPr>
          <w:rFonts w:ascii="Open Sans" w:hAnsi="Open Sans" w:cs="Open Sans"/>
          <w:lang w:val="en-GB"/>
        </w:rPr>
        <w:t xml:space="preserve">a </w:t>
      </w:r>
      <w:r w:rsidR="00E84282" w:rsidRPr="00893200">
        <w:rPr>
          <w:rFonts w:ascii="Open Sans" w:hAnsi="Open Sans" w:cs="Open Sans"/>
          <w:lang w:val="en-GB"/>
        </w:rPr>
        <w:t>place in them.</w:t>
      </w:r>
      <w:r w:rsidR="00FE0D62" w:rsidRPr="00893200">
        <w:rPr>
          <w:rFonts w:ascii="Open Sans" w:hAnsi="Open Sans" w:cs="Open Sans"/>
          <w:lang w:val="en-GB"/>
        </w:rPr>
        <w:t xml:space="preserve"> </w:t>
      </w:r>
    </w:p>
    <w:p w14:paraId="37301451" w14:textId="63826CC7" w:rsidR="00416F76" w:rsidRPr="00893200" w:rsidRDefault="00FE0D62" w:rsidP="00522F9C">
      <w:pPr>
        <w:jc w:val="both"/>
        <w:rPr>
          <w:rFonts w:ascii="Open Sans" w:hAnsi="Open Sans" w:cs="Open Sans"/>
          <w:lang w:val="en-GB"/>
        </w:rPr>
      </w:pPr>
      <w:r w:rsidRPr="00893200">
        <w:rPr>
          <w:rFonts w:ascii="Open Sans" w:hAnsi="Open Sans" w:cs="Open Sans"/>
          <w:lang w:val="en-GB"/>
        </w:rPr>
        <w:t>Sheltered</w:t>
      </w:r>
      <w:r w:rsidR="00416F76" w:rsidRPr="00893200">
        <w:rPr>
          <w:rFonts w:ascii="Open Sans" w:hAnsi="Open Sans" w:cs="Open Sans"/>
          <w:lang w:val="en-GB"/>
        </w:rPr>
        <w:t xml:space="preserve"> workshops were created </w:t>
      </w:r>
      <w:r w:rsidR="00186721" w:rsidRPr="00893200">
        <w:rPr>
          <w:rFonts w:ascii="Open Sans" w:hAnsi="Open Sans" w:cs="Open Sans"/>
          <w:lang w:val="en-GB"/>
        </w:rPr>
        <w:t xml:space="preserve">as an alternative for those who </w:t>
      </w:r>
      <w:r w:rsidR="004C2C7B" w:rsidRPr="00893200">
        <w:rPr>
          <w:rFonts w:ascii="Open Sans" w:hAnsi="Open Sans" w:cs="Open Sans"/>
          <w:lang w:val="en-GB"/>
        </w:rPr>
        <w:t xml:space="preserve">have been left out of the </w:t>
      </w:r>
      <w:r w:rsidR="00544333" w:rsidRPr="00893200">
        <w:rPr>
          <w:rFonts w:ascii="Open Sans" w:hAnsi="Open Sans" w:cs="Open Sans"/>
          <w:lang w:val="en-GB"/>
        </w:rPr>
        <w:t>open labour market.</w:t>
      </w:r>
      <w:r w:rsidR="00416F76" w:rsidRPr="00893200">
        <w:rPr>
          <w:rFonts w:ascii="Open Sans" w:hAnsi="Open Sans" w:cs="Open Sans"/>
          <w:lang w:val="en-GB"/>
        </w:rPr>
        <w:t xml:space="preserve"> </w:t>
      </w:r>
      <w:r w:rsidR="0094628A" w:rsidRPr="00893200">
        <w:rPr>
          <w:rFonts w:ascii="Open Sans" w:hAnsi="Open Sans" w:cs="Open Sans"/>
          <w:lang w:val="en-GB"/>
        </w:rPr>
        <w:t>Having viable options</w:t>
      </w:r>
      <w:r w:rsidR="00C838DB" w:rsidRPr="00893200">
        <w:rPr>
          <w:rFonts w:ascii="Open Sans" w:hAnsi="Open Sans" w:cs="Open Sans"/>
          <w:lang w:val="en-GB"/>
        </w:rPr>
        <w:t xml:space="preserve"> of</w:t>
      </w:r>
      <w:r w:rsidR="00C15D2D" w:rsidRPr="00893200">
        <w:rPr>
          <w:rFonts w:ascii="Open Sans" w:hAnsi="Open Sans" w:cs="Open Sans"/>
          <w:lang w:val="en-GB"/>
        </w:rPr>
        <w:t xml:space="preserve"> labour market participation</w:t>
      </w:r>
      <w:r w:rsidR="0094628A" w:rsidRPr="00893200">
        <w:rPr>
          <w:rFonts w:ascii="Open Sans" w:hAnsi="Open Sans" w:cs="Open Sans"/>
          <w:lang w:val="en-GB"/>
        </w:rPr>
        <w:t xml:space="preserve"> is crucial </w:t>
      </w:r>
      <w:r w:rsidR="00856B77">
        <w:rPr>
          <w:rFonts w:ascii="Open Sans" w:hAnsi="Open Sans" w:cs="Open Sans"/>
          <w:lang w:val="en-GB"/>
        </w:rPr>
        <w:t>to ensure</w:t>
      </w:r>
      <w:r w:rsidR="0094628A" w:rsidRPr="00893200">
        <w:rPr>
          <w:rFonts w:ascii="Open Sans" w:hAnsi="Open Sans" w:cs="Open Sans"/>
          <w:lang w:val="en-GB"/>
        </w:rPr>
        <w:t xml:space="preserve"> their </w:t>
      </w:r>
      <w:r w:rsidR="00CB70CD" w:rsidRPr="00893200">
        <w:rPr>
          <w:rFonts w:ascii="Open Sans" w:hAnsi="Open Sans" w:cs="Open Sans"/>
          <w:lang w:val="en-GB"/>
        </w:rPr>
        <w:t xml:space="preserve">social inclusion and </w:t>
      </w:r>
      <w:r w:rsidR="0026728C" w:rsidRPr="00893200">
        <w:rPr>
          <w:rFonts w:ascii="Open Sans" w:hAnsi="Open Sans" w:cs="Open Sans"/>
          <w:lang w:val="en-GB"/>
        </w:rPr>
        <w:t>economic stability.</w:t>
      </w:r>
    </w:p>
    <w:p w14:paraId="2E00D38A" w14:textId="77777777" w:rsidR="004654D3" w:rsidRPr="00893200" w:rsidRDefault="00416F76" w:rsidP="00522F9C">
      <w:pPr>
        <w:jc w:val="both"/>
        <w:rPr>
          <w:rFonts w:ascii="Open Sans" w:hAnsi="Open Sans" w:cs="Open Sans"/>
          <w:lang w:val="en-GB"/>
        </w:rPr>
      </w:pPr>
      <w:r w:rsidRPr="00893200">
        <w:rPr>
          <w:rFonts w:ascii="Open Sans" w:hAnsi="Open Sans" w:cs="Open Sans"/>
          <w:lang w:val="en-GB"/>
        </w:rPr>
        <w:t>Inclusion Europe encourages transition to the open labour market.</w:t>
      </w:r>
    </w:p>
    <w:p w14:paraId="3E679614" w14:textId="77777777" w:rsidR="00BC1B51" w:rsidRPr="00893200" w:rsidRDefault="00416F76" w:rsidP="00522F9C">
      <w:pPr>
        <w:jc w:val="both"/>
        <w:rPr>
          <w:rFonts w:ascii="Open Sans" w:hAnsi="Open Sans" w:cs="Open Sans"/>
          <w:lang w:val="en-GB"/>
        </w:rPr>
      </w:pPr>
      <w:r w:rsidRPr="00893200">
        <w:rPr>
          <w:rFonts w:ascii="Open Sans" w:hAnsi="Open Sans" w:cs="Open Sans"/>
          <w:lang w:val="en-GB"/>
        </w:rPr>
        <w:t xml:space="preserve">The way to open labour market is especially </w:t>
      </w:r>
      <w:r w:rsidR="00CA4F64" w:rsidRPr="00893200">
        <w:rPr>
          <w:rFonts w:ascii="Open Sans" w:hAnsi="Open Sans" w:cs="Open Sans"/>
          <w:lang w:val="en-GB"/>
        </w:rPr>
        <w:t>difficult</w:t>
      </w:r>
      <w:r w:rsidRPr="00893200">
        <w:rPr>
          <w:rFonts w:ascii="Open Sans" w:hAnsi="Open Sans" w:cs="Open Sans"/>
          <w:lang w:val="en-GB"/>
        </w:rPr>
        <w:t xml:space="preserve"> for people with intellectual disabilities</w:t>
      </w:r>
      <w:r w:rsidR="00CA4F64" w:rsidRPr="00893200">
        <w:rPr>
          <w:rFonts w:ascii="Open Sans" w:hAnsi="Open Sans" w:cs="Open Sans"/>
          <w:lang w:val="en-GB"/>
        </w:rPr>
        <w:t xml:space="preserve"> due to the discrimination described above (</w:t>
      </w:r>
      <w:r w:rsidR="00305D8D" w:rsidRPr="00893200">
        <w:rPr>
          <w:rFonts w:ascii="Open Sans" w:hAnsi="Open Sans" w:cs="Open Sans"/>
          <w:lang w:val="en-GB"/>
        </w:rPr>
        <w:t>denial of proper education, denial of legal cap</w:t>
      </w:r>
      <w:r w:rsidR="00157C00" w:rsidRPr="00893200">
        <w:rPr>
          <w:rFonts w:ascii="Open Sans" w:hAnsi="Open Sans" w:cs="Open Sans"/>
          <w:lang w:val="en-GB"/>
        </w:rPr>
        <w:t xml:space="preserve">acity etc.). </w:t>
      </w:r>
    </w:p>
    <w:p w14:paraId="2DA2A383" w14:textId="7C5BEE1F" w:rsidR="00E8217F" w:rsidRPr="00893200" w:rsidRDefault="00F734BC" w:rsidP="00522F9C">
      <w:pPr>
        <w:jc w:val="both"/>
        <w:rPr>
          <w:rFonts w:ascii="Open Sans" w:hAnsi="Open Sans" w:cs="Open Sans"/>
          <w:lang w:val="en-GB"/>
        </w:rPr>
      </w:pPr>
      <w:r w:rsidRPr="00893200">
        <w:rPr>
          <w:rFonts w:ascii="Open Sans" w:hAnsi="Open Sans" w:cs="Open Sans"/>
          <w:lang w:val="en-GB"/>
        </w:rPr>
        <w:t>While the transitions take place</w:t>
      </w:r>
      <w:r w:rsidR="007D7166" w:rsidRPr="00893200">
        <w:rPr>
          <w:rFonts w:ascii="Open Sans" w:hAnsi="Open Sans" w:cs="Open Sans"/>
          <w:lang w:val="en-GB"/>
        </w:rPr>
        <w:t xml:space="preserve"> and there are still people working in sheltered settings, it is important to focus on ensuring</w:t>
      </w:r>
      <w:r w:rsidR="00416F76" w:rsidRPr="00893200">
        <w:rPr>
          <w:rFonts w:ascii="Open Sans" w:hAnsi="Open Sans" w:cs="Open Sans"/>
          <w:lang w:val="en-GB"/>
        </w:rPr>
        <w:t xml:space="preserve"> </w:t>
      </w:r>
      <w:r w:rsidR="00416F76" w:rsidRPr="00893200">
        <w:rPr>
          <w:rFonts w:ascii="Open Sans" w:hAnsi="Open Sans" w:cs="Open Sans"/>
          <w:b/>
          <w:bCs/>
          <w:lang w:val="en-GB"/>
        </w:rPr>
        <w:t>good working conditions</w:t>
      </w:r>
      <w:r w:rsidR="007D7166" w:rsidRPr="00893200">
        <w:rPr>
          <w:rFonts w:ascii="Open Sans" w:hAnsi="Open Sans" w:cs="Open Sans"/>
          <w:b/>
          <w:bCs/>
          <w:lang w:val="en-GB"/>
        </w:rPr>
        <w:t xml:space="preserve"> </w:t>
      </w:r>
      <w:r w:rsidR="007D7166" w:rsidRPr="00893200">
        <w:rPr>
          <w:rFonts w:ascii="Open Sans" w:hAnsi="Open Sans" w:cs="Open Sans"/>
          <w:lang w:val="en-GB"/>
        </w:rPr>
        <w:t>for them</w:t>
      </w:r>
      <w:r w:rsidR="00416F76" w:rsidRPr="00893200">
        <w:rPr>
          <w:rFonts w:ascii="Open Sans" w:hAnsi="Open Sans" w:cs="Open Sans"/>
          <w:lang w:val="en-GB"/>
        </w:rPr>
        <w:t xml:space="preserve">. It is crucial that people working in sheltered settings are considered </w:t>
      </w:r>
      <w:r w:rsidR="00416F76" w:rsidRPr="00893200">
        <w:rPr>
          <w:rFonts w:ascii="Open Sans" w:hAnsi="Open Sans" w:cs="Open Sans"/>
          <w:lang w:val="en-GB"/>
        </w:rPr>
        <w:lastRenderedPageBreak/>
        <w:t>workers under the law</w:t>
      </w:r>
      <w:r w:rsidR="004108EF">
        <w:rPr>
          <w:rFonts w:ascii="Open Sans" w:hAnsi="Open Sans" w:cs="Open Sans"/>
          <w:lang w:val="en-GB"/>
        </w:rPr>
        <w:t xml:space="preserve">, </w:t>
      </w:r>
      <w:r w:rsidR="00416F76" w:rsidRPr="00893200">
        <w:rPr>
          <w:rFonts w:ascii="Open Sans" w:hAnsi="Open Sans" w:cs="Open Sans"/>
          <w:lang w:val="en-GB"/>
        </w:rPr>
        <w:t xml:space="preserve">receive equal pay and </w:t>
      </w:r>
      <w:r w:rsidR="004108EF">
        <w:rPr>
          <w:rFonts w:ascii="Open Sans" w:hAnsi="Open Sans" w:cs="Open Sans"/>
          <w:lang w:val="en-GB"/>
        </w:rPr>
        <w:t>benefit of the same</w:t>
      </w:r>
      <w:r w:rsidR="00416F76" w:rsidRPr="00893200">
        <w:rPr>
          <w:rFonts w:ascii="Open Sans" w:hAnsi="Open Sans" w:cs="Open Sans"/>
          <w:lang w:val="en-GB"/>
        </w:rPr>
        <w:t xml:space="preserve"> work</w:t>
      </w:r>
      <w:r w:rsidR="004108EF">
        <w:rPr>
          <w:rFonts w:ascii="Open Sans" w:hAnsi="Open Sans" w:cs="Open Sans"/>
          <w:lang w:val="en-GB"/>
        </w:rPr>
        <w:t>ing</w:t>
      </w:r>
      <w:r w:rsidR="00416F76" w:rsidRPr="00893200">
        <w:rPr>
          <w:rFonts w:ascii="Open Sans" w:hAnsi="Open Sans" w:cs="Open Sans"/>
          <w:lang w:val="en-GB"/>
        </w:rPr>
        <w:t xml:space="preserve"> conditions. </w:t>
      </w:r>
    </w:p>
    <w:p w14:paraId="2FD4F2B4" w14:textId="5FF0EC52" w:rsidR="00416F76" w:rsidRPr="00893200" w:rsidRDefault="00E8217F" w:rsidP="00522F9C">
      <w:pPr>
        <w:jc w:val="both"/>
        <w:rPr>
          <w:rFonts w:ascii="Open Sans" w:hAnsi="Open Sans" w:cs="Open Sans"/>
          <w:lang w:val="en-GB"/>
        </w:rPr>
      </w:pPr>
      <w:r w:rsidRPr="00893200">
        <w:rPr>
          <w:rFonts w:ascii="Open Sans" w:hAnsi="Open Sans" w:cs="Open Sans"/>
          <w:lang w:val="en-GB"/>
        </w:rPr>
        <w:t>S</w:t>
      </w:r>
      <w:r w:rsidR="00416F76" w:rsidRPr="00893200">
        <w:rPr>
          <w:rFonts w:ascii="Open Sans" w:hAnsi="Open Sans" w:cs="Open Sans"/>
          <w:lang w:val="en-GB"/>
        </w:rPr>
        <w:t>heltered workshop</w:t>
      </w:r>
      <w:r w:rsidRPr="00893200">
        <w:rPr>
          <w:rFonts w:ascii="Open Sans" w:hAnsi="Open Sans" w:cs="Open Sans"/>
          <w:lang w:val="en-GB"/>
        </w:rPr>
        <w:t>s</w:t>
      </w:r>
      <w:r w:rsidR="00416F76" w:rsidRPr="00893200">
        <w:rPr>
          <w:rFonts w:ascii="Open Sans" w:hAnsi="Open Sans" w:cs="Open Sans"/>
          <w:lang w:val="en-GB"/>
        </w:rPr>
        <w:t xml:space="preserve"> should be encouraged and accompanied to prepare</w:t>
      </w:r>
      <w:r w:rsidR="009C6A6D" w:rsidRPr="00893200">
        <w:rPr>
          <w:rFonts w:ascii="Open Sans" w:hAnsi="Open Sans" w:cs="Open Sans"/>
          <w:lang w:val="en-GB"/>
        </w:rPr>
        <w:t xml:space="preserve"> and support</w:t>
      </w:r>
      <w:r w:rsidR="00416F76" w:rsidRPr="00893200">
        <w:rPr>
          <w:rFonts w:ascii="Open Sans" w:hAnsi="Open Sans" w:cs="Open Sans"/>
          <w:lang w:val="en-GB"/>
        </w:rPr>
        <w:t xml:space="preserve"> people with intellectual disabilities to transition to the open labour market.  </w:t>
      </w:r>
    </w:p>
    <w:p w14:paraId="1C6E08C7" w14:textId="10C15B7F" w:rsidR="00C211C2" w:rsidRPr="0079156F" w:rsidRDefault="00901118" w:rsidP="00522F9C">
      <w:pPr>
        <w:pStyle w:val="Heading2"/>
        <w:jc w:val="both"/>
        <w:rPr>
          <w:rFonts w:ascii="Open Sans" w:eastAsia="Open Sans" w:hAnsi="Open Sans" w:cs="Open Sans"/>
          <w:b/>
          <w:bCs/>
          <w:color w:val="ED0E69"/>
          <w:sz w:val="32"/>
          <w:szCs w:val="32"/>
          <w:lang w:val="en-GB" w:eastAsia="de-DE"/>
        </w:rPr>
      </w:pPr>
      <w:bookmarkStart w:id="7" w:name="_Toc66730089"/>
      <w:r w:rsidRPr="0079156F">
        <w:rPr>
          <w:rFonts w:ascii="Open Sans" w:eastAsia="Open Sans" w:hAnsi="Open Sans" w:cs="Open Sans"/>
          <w:b/>
          <w:bCs/>
          <w:color w:val="ED0E69"/>
          <w:sz w:val="32"/>
          <w:szCs w:val="32"/>
          <w:lang w:val="en-GB" w:eastAsia="de-DE"/>
        </w:rPr>
        <w:t>Labour rights</w:t>
      </w:r>
      <w:bookmarkEnd w:id="7"/>
    </w:p>
    <w:p w14:paraId="3BA614DD" w14:textId="77777777" w:rsidR="00C83332" w:rsidRPr="00893200" w:rsidRDefault="00901118" w:rsidP="00522F9C">
      <w:pPr>
        <w:jc w:val="both"/>
        <w:rPr>
          <w:rFonts w:ascii="Open Sans" w:hAnsi="Open Sans" w:cs="Open Sans"/>
          <w:lang w:val="en-GB"/>
        </w:rPr>
      </w:pPr>
      <w:r w:rsidRPr="00893200">
        <w:rPr>
          <w:rFonts w:ascii="Open Sans" w:hAnsi="Open Sans" w:cs="Open Sans"/>
          <w:lang w:val="en-GB"/>
        </w:rPr>
        <w:t xml:space="preserve">Barriers to labour rights for people with intellectual disabilities derive from </w:t>
      </w:r>
      <w:r w:rsidR="00C83332" w:rsidRPr="00893200">
        <w:rPr>
          <w:rFonts w:ascii="Open Sans" w:hAnsi="Open Sans" w:cs="Open Sans"/>
          <w:lang w:val="en-GB"/>
        </w:rPr>
        <w:t>these main</w:t>
      </w:r>
      <w:r w:rsidRPr="00893200">
        <w:rPr>
          <w:rFonts w:ascii="Open Sans" w:hAnsi="Open Sans" w:cs="Open Sans"/>
          <w:lang w:val="en-GB"/>
        </w:rPr>
        <w:t xml:space="preserve"> issues: </w:t>
      </w:r>
    </w:p>
    <w:p w14:paraId="75600C85" w14:textId="77777777" w:rsidR="00C83332" w:rsidRPr="00893200" w:rsidRDefault="00901118" w:rsidP="00522F9C">
      <w:pPr>
        <w:pStyle w:val="ListParagraph"/>
        <w:numPr>
          <w:ilvl w:val="0"/>
          <w:numId w:val="5"/>
        </w:numPr>
        <w:jc w:val="both"/>
        <w:rPr>
          <w:rFonts w:ascii="Open Sans" w:hAnsi="Open Sans" w:cs="Open Sans"/>
          <w:lang w:val="en-GB"/>
        </w:rPr>
      </w:pPr>
      <w:r w:rsidRPr="00893200">
        <w:rPr>
          <w:rFonts w:ascii="Open Sans" w:hAnsi="Open Sans" w:cs="Open Sans"/>
          <w:lang w:val="en-GB"/>
        </w:rPr>
        <w:t>lack of recognition of those in sheltered settings as work</w:t>
      </w:r>
      <w:r w:rsidR="00145EBF" w:rsidRPr="00893200">
        <w:rPr>
          <w:rFonts w:ascii="Open Sans" w:hAnsi="Open Sans" w:cs="Open Sans"/>
          <w:lang w:val="en-GB"/>
        </w:rPr>
        <w:t>ers</w:t>
      </w:r>
      <w:r w:rsidRPr="00893200">
        <w:rPr>
          <w:rFonts w:ascii="Open Sans" w:hAnsi="Open Sans" w:cs="Open Sans"/>
          <w:lang w:val="en-GB"/>
        </w:rPr>
        <w:t xml:space="preserve">, </w:t>
      </w:r>
    </w:p>
    <w:p w14:paraId="1E6CB16D" w14:textId="5D719058" w:rsidR="00901118" w:rsidRPr="00893200" w:rsidRDefault="00901118" w:rsidP="00522F9C">
      <w:pPr>
        <w:pStyle w:val="ListParagraph"/>
        <w:numPr>
          <w:ilvl w:val="0"/>
          <w:numId w:val="5"/>
        </w:numPr>
        <w:jc w:val="both"/>
        <w:rPr>
          <w:rFonts w:ascii="Open Sans" w:hAnsi="Open Sans" w:cs="Open Sans"/>
          <w:lang w:val="en-GB"/>
        </w:rPr>
      </w:pPr>
      <w:r w:rsidRPr="00893200">
        <w:rPr>
          <w:rFonts w:ascii="Open Sans" w:hAnsi="Open Sans" w:cs="Open Sans"/>
          <w:lang w:val="en-GB"/>
        </w:rPr>
        <w:t>lack of representation in unions</w:t>
      </w:r>
      <w:r w:rsidR="00C83332" w:rsidRPr="00893200">
        <w:rPr>
          <w:rFonts w:ascii="Open Sans" w:hAnsi="Open Sans" w:cs="Open Sans"/>
          <w:lang w:val="en-GB"/>
        </w:rPr>
        <w:t>,</w:t>
      </w:r>
    </w:p>
    <w:p w14:paraId="75EFDD27" w14:textId="1476EC9D" w:rsidR="00C83332" w:rsidRPr="00893200" w:rsidRDefault="00C83332" w:rsidP="00522F9C">
      <w:pPr>
        <w:pStyle w:val="ListParagraph"/>
        <w:numPr>
          <w:ilvl w:val="0"/>
          <w:numId w:val="5"/>
        </w:numPr>
        <w:jc w:val="both"/>
        <w:rPr>
          <w:rFonts w:ascii="Open Sans" w:hAnsi="Open Sans" w:cs="Open Sans"/>
          <w:lang w:val="en-GB"/>
        </w:rPr>
      </w:pPr>
      <w:r w:rsidRPr="00893200">
        <w:rPr>
          <w:rFonts w:ascii="Open Sans" w:hAnsi="Open Sans" w:cs="Open Sans"/>
          <w:lang w:val="en-GB"/>
        </w:rPr>
        <w:t>limitations to legal c</w:t>
      </w:r>
      <w:r w:rsidR="00AC444C" w:rsidRPr="00893200">
        <w:rPr>
          <w:rFonts w:ascii="Open Sans" w:hAnsi="Open Sans" w:cs="Open Sans"/>
          <w:lang w:val="en-GB"/>
        </w:rPr>
        <w:t>apacity.</w:t>
      </w:r>
    </w:p>
    <w:p w14:paraId="7A7DD022" w14:textId="203469C9" w:rsidR="00901118" w:rsidRPr="00893200" w:rsidRDefault="00AC444C" w:rsidP="00522F9C">
      <w:pPr>
        <w:jc w:val="both"/>
        <w:rPr>
          <w:rFonts w:ascii="Open Sans" w:hAnsi="Open Sans" w:cs="Open Sans"/>
          <w:lang w:val="en-GB"/>
        </w:rPr>
      </w:pPr>
      <w:r w:rsidRPr="00893200">
        <w:rPr>
          <w:rFonts w:ascii="Open Sans" w:hAnsi="Open Sans" w:cs="Open Sans"/>
          <w:lang w:val="en-GB"/>
        </w:rPr>
        <w:t>S</w:t>
      </w:r>
      <w:r w:rsidR="00901118" w:rsidRPr="00893200">
        <w:rPr>
          <w:rFonts w:ascii="Open Sans" w:hAnsi="Open Sans" w:cs="Open Sans"/>
          <w:lang w:val="en-GB"/>
        </w:rPr>
        <w:t xml:space="preserve">everal countries do not consider those in sheltered settings as workers under their legal framework. Consequently, they cannot enjoy the same protection and labour rights. This means that they </w:t>
      </w:r>
      <w:r w:rsidR="00BC7D66" w:rsidRPr="00893200">
        <w:rPr>
          <w:rFonts w:ascii="Open Sans" w:hAnsi="Open Sans" w:cs="Open Sans"/>
          <w:lang w:val="en-GB"/>
        </w:rPr>
        <w:t>can</w:t>
      </w:r>
      <w:r w:rsidR="00901118" w:rsidRPr="00893200">
        <w:rPr>
          <w:rFonts w:ascii="Open Sans" w:hAnsi="Open Sans" w:cs="Open Sans"/>
          <w:lang w:val="en-GB"/>
        </w:rPr>
        <w:t xml:space="preserve">not have their own unions and </w:t>
      </w:r>
      <w:r w:rsidR="00BC7D66" w:rsidRPr="00893200">
        <w:rPr>
          <w:rFonts w:ascii="Open Sans" w:hAnsi="Open Sans" w:cs="Open Sans"/>
          <w:lang w:val="en-GB"/>
        </w:rPr>
        <w:t>can</w:t>
      </w:r>
      <w:r w:rsidR="00901118" w:rsidRPr="00893200">
        <w:rPr>
          <w:rFonts w:ascii="Open Sans" w:hAnsi="Open Sans" w:cs="Open Sans"/>
          <w:lang w:val="en-GB"/>
        </w:rPr>
        <w:t>not participate in collective bargaining. Their voices remain unheard</w:t>
      </w:r>
      <w:r w:rsidRPr="00893200">
        <w:rPr>
          <w:rFonts w:ascii="Open Sans" w:hAnsi="Open Sans" w:cs="Open Sans"/>
          <w:lang w:val="en-GB"/>
        </w:rPr>
        <w:t>,</w:t>
      </w:r>
      <w:r w:rsidR="00901118" w:rsidRPr="00893200">
        <w:rPr>
          <w:rFonts w:ascii="Open Sans" w:hAnsi="Open Sans" w:cs="Open Sans"/>
          <w:lang w:val="en-GB"/>
        </w:rPr>
        <w:t xml:space="preserve"> and </w:t>
      </w:r>
      <w:r w:rsidR="00BC7D66" w:rsidRPr="00893200">
        <w:rPr>
          <w:rFonts w:ascii="Open Sans" w:hAnsi="Open Sans" w:cs="Open Sans"/>
          <w:lang w:val="en-GB"/>
        </w:rPr>
        <w:t xml:space="preserve">they </w:t>
      </w:r>
      <w:r w:rsidR="00901118" w:rsidRPr="00893200">
        <w:rPr>
          <w:rFonts w:ascii="Open Sans" w:hAnsi="Open Sans" w:cs="Open Sans"/>
          <w:lang w:val="en-GB"/>
        </w:rPr>
        <w:t>cannot advocate for better work</w:t>
      </w:r>
      <w:r w:rsidR="00912A9E" w:rsidRPr="00893200">
        <w:rPr>
          <w:rFonts w:ascii="Open Sans" w:hAnsi="Open Sans" w:cs="Open Sans"/>
          <w:lang w:val="en-GB"/>
        </w:rPr>
        <w:t>ing</w:t>
      </w:r>
      <w:r w:rsidR="00901118" w:rsidRPr="00893200">
        <w:rPr>
          <w:rFonts w:ascii="Open Sans" w:hAnsi="Open Sans" w:cs="Open Sans"/>
          <w:lang w:val="en-GB"/>
        </w:rPr>
        <w:t xml:space="preserve"> conditions.</w:t>
      </w:r>
    </w:p>
    <w:p w14:paraId="400C1B6A" w14:textId="46D30491" w:rsidR="00901118" w:rsidRPr="00893200" w:rsidRDefault="00AC444C" w:rsidP="00522F9C">
      <w:pPr>
        <w:jc w:val="both"/>
        <w:rPr>
          <w:rFonts w:ascii="Open Sans" w:hAnsi="Open Sans" w:cs="Open Sans"/>
          <w:lang w:val="en-GB"/>
        </w:rPr>
      </w:pPr>
      <w:r w:rsidRPr="00893200">
        <w:rPr>
          <w:rFonts w:ascii="Open Sans" w:hAnsi="Open Sans" w:cs="Open Sans"/>
          <w:lang w:val="en-GB"/>
        </w:rPr>
        <w:t>P</w:t>
      </w:r>
      <w:r w:rsidR="009131D0" w:rsidRPr="00893200">
        <w:rPr>
          <w:rFonts w:ascii="Open Sans" w:hAnsi="Open Sans" w:cs="Open Sans"/>
          <w:lang w:val="en-GB"/>
        </w:rPr>
        <w:t xml:space="preserve">eople with intellectual disabilities </w:t>
      </w:r>
      <w:r w:rsidR="00901118" w:rsidRPr="00893200">
        <w:rPr>
          <w:rFonts w:ascii="Open Sans" w:hAnsi="Open Sans" w:cs="Open Sans"/>
          <w:lang w:val="en-GB"/>
        </w:rPr>
        <w:t>working in the open labour market, even if they are part of unions</w:t>
      </w:r>
      <w:r w:rsidR="009131D0" w:rsidRPr="00893200">
        <w:rPr>
          <w:rFonts w:ascii="Open Sans" w:hAnsi="Open Sans" w:cs="Open Sans"/>
          <w:lang w:val="en-GB"/>
        </w:rPr>
        <w:t>,</w:t>
      </w:r>
      <w:r w:rsidR="00901118" w:rsidRPr="00893200">
        <w:rPr>
          <w:rFonts w:ascii="Open Sans" w:hAnsi="Open Sans" w:cs="Open Sans"/>
          <w:lang w:val="en-GB"/>
        </w:rPr>
        <w:t xml:space="preserve"> are often underrepresented in work councils, and </w:t>
      </w:r>
      <w:r w:rsidR="009131D0" w:rsidRPr="00893200">
        <w:rPr>
          <w:rFonts w:ascii="Open Sans" w:hAnsi="Open Sans" w:cs="Open Sans"/>
          <w:lang w:val="en-GB"/>
        </w:rPr>
        <w:t>are not</w:t>
      </w:r>
      <w:r w:rsidR="00901118" w:rsidRPr="00893200">
        <w:rPr>
          <w:rFonts w:ascii="Open Sans" w:hAnsi="Open Sans" w:cs="Open Sans"/>
          <w:lang w:val="en-GB"/>
        </w:rPr>
        <w:t xml:space="preserve"> able to participate directly in collective bargaining.</w:t>
      </w:r>
      <w:r w:rsidR="008579E0" w:rsidRPr="00893200">
        <w:rPr>
          <w:rFonts w:ascii="Open Sans" w:hAnsi="Open Sans" w:cs="Open Sans"/>
          <w:lang w:val="en-GB"/>
        </w:rPr>
        <w:t xml:space="preserve"> This lack of representation should be addressed. </w:t>
      </w:r>
    </w:p>
    <w:p w14:paraId="78B813BA" w14:textId="3B6EAA53" w:rsidR="00AC444C" w:rsidRPr="00893200" w:rsidRDefault="00476550" w:rsidP="00522F9C">
      <w:pPr>
        <w:jc w:val="both"/>
        <w:rPr>
          <w:rFonts w:ascii="Open Sans" w:hAnsi="Open Sans" w:cs="Open Sans"/>
          <w:lang w:val="en-GB"/>
        </w:rPr>
      </w:pPr>
      <w:r w:rsidRPr="00893200">
        <w:rPr>
          <w:rFonts w:ascii="Open Sans" w:hAnsi="Open Sans" w:cs="Open Sans"/>
          <w:lang w:val="en-GB"/>
        </w:rPr>
        <w:t>Denial and limitation to legal capacity means people are unable to enter employment contracts</w:t>
      </w:r>
      <w:r w:rsidR="00761863" w:rsidRPr="00893200">
        <w:rPr>
          <w:rFonts w:ascii="Open Sans" w:hAnsi="Open Sans" w:cs="Open Sans"/>
          <w:lang w:val="en-GB"/>
        </w:rPr>
        <w:t xml:space="preserve">, and to benefit from all their advantages </w:t>
      </w:r>
      <w:r w:rsidR="006D7CE7" w:rsidRPr="00893200">
        <w:rPr>
          <w:rFonts w:ascii="Open Sans" w:hAnsi="Open Sans" w:cs="Open Sans"/>
          <w:lang w:val="en-GB"/>
        </w:rPr>
        <w:t>(disposing freely with the income</w:t>
      </w:r>
      <w:r w:rsidR="001316F8" w:rsidRPr="00893200">
        <w:rPr>
          <w:rFonts w:ascii="Open Sans" w:hAnsi="Open Sans" w:cs="Open Sans"/>
          <w:lang w:val="en-GB"/>
        </w:rPr>
        <w:t xml:space="preserve"> and other benefits, etc.).</w:t>
      </w:r>
    </w:p>
    <w:p w14:paraId="546689A9" w14:textId="7EB98A3E" w:rsidR="008579E0" w:rsidRPr="002A5D56" w:rsidRDefault="008579E0" w:rsidP="00522F9C">
      <w:pPr>
        <w:pStyle w:val="Heading2"/>
        <w:jc w:val="both"/>
        <w:rPr>
          <w:rFonts w:ascii="Open Sans" w:eastAsia="Open Sans" w:hAnsi="Open Sans" w:cs="Open Sans"/>
          <w:b/>
          <w:bCs/>
          <w:color w:val="ED0E69"/>
          <w:sz w:val="32"/>
          <w:szCs w:val="32"/>
          <w:lang w:val="en-GB" w:eastAsia="de-DE"/>
        </w:rPr>
      </w:pPr>
      <w:bookmarkStart w:id="8" w:name="_Toc66730090"/>
      <w:r w:rsidRPr="002A5D56">
        <w:rPr>
          <w:rFonts w:ascii="Open Sans" w:eastAsia="Open Sans" w:hAnsi="Open Sans" w:cs="Open Sans"/>
          <w:b/>
          <w:bCs/>
          <w:color w:val="ED0E69"/>
          <w:sz w:val="32"/>
          <w:szCs w:val="32"/>
          <w:lang w:val="en-GB" w:eastAsia="de-DE"/>
        </w:rPr>
        <w:lastRenderedPageBreak/>
        <w:t>Education and training</w:t>
      </w:r>
      <w:bookmarkEnd w:id="8"/>
    </w:p>
    <w:p w14:paraId="4A9C331D" w14:textId="41E55AB2" w:rsidR="009131D0" w:rsidRPr="00893200" w:rsidRDefault="00D054E0" w:rsidP="00522F9C">
      <w:pPr>
        <w:jc w:val="both"/>
        <w:rPr>
          <w:rFonts w:ascii="Open Sans" w:hAnsi="Open Sans" w:cs="Open Sans"/>
          <w:lang w:val="en-GB"/>
        </w:rPr>
      </w:pPr>
      <w:r w:rsidRPr="00893200">
        <w:rPr>
          <w:rFonts w:ascii="Open Sans" w:hAnsi="Open Sans" w:cs="Open Sans"/>
          <w:lang w:val="en-GB"/>
        </w:rPr>
        <w:t>Proper</w:t>
      </w:r>
      <w:r w:rsidR="009131D0" w:rsidRPr="00893200">
        <w:rPr>
          <w:rFonts w:ascii="Open Sans" w:hAnsi="Open Sans" w:cs="Open Sans"/>
          <w:lang w:val="en-GB"/>
        </w:rPr>
        <w:t xml:space="preserve"> education for all is a </w:t>
      </w:r>
      <w:r w:rsidR="009131D0" w:rsidRPr="00893200">
        <w:rPr>
          <w:rFonts w:ascii="Open Sans" w:hAnsi="Open Sans" w:cs="Open Sans"/>
          <w:b/>
          <w:bCs/>
          <w:lang w:val="en-GB"/>
        </w:rPr>
        <w:t>prerequisite for employment</w:t>
      </w:r>
      <w:r w:rsidR="009131D0" w:rsidRPr="00893200">
        <w:rPr>
          <w:rFonts w:ascii="Open Sans" w:hAnsi="Open Sans" w:cs="Open Sans"/>
          <w:lang w:val="en-GB"/>
        </w:rPr>
        <w:t xml:space="preserve">. Certifications from segregated education </w:t>
      </w:r>
      <w:r w:rsidR="001C33A9" w:rsidRPr="00893200">
        <w:rPr>
          <w:rFonts w:ascii="Open Sans" w:hAnsi="Open Sans" w:cs="Open Sans"/>
          <w:lang w:val="en-GB"/>
        </w:rPr>
        <w:t>are not</w:t>
      </w:r>
      <w:r w:rsidR="00A21CC3" w:rsidRPr="00893200">
        <w:rPr>
          <w:rFonts w:ascii="Open Sans" w:hAnsi="Open Sans" w:cs="Open Sans"/>
          <w:lang w:val="en-GB"/>
        </w:rPr>
        <w:t xml:space="preserve"> always</w:t>
      </w:r>
      <w:r w:rsidR="001C33A9" w:rsidRPr="00893200">
        <w:rPr>
          <w:rFonts w:ascii="Open Sans" w:hAnsi="Open Sans" w:cs="Open Sans"/>
          <w:lang w:val="en-GB"/>
        </w:rPr>
        <w:t xml:space="preserve"> equivalent to those from mainstream education</w:t>
      </w:r>
      <w:r w:rsidR="009131D0" w:rsidRPr="00893200">
        <w:rPr>
          <w:rFonts w:ascii="Open Sans" w:hAnsi="Open Sans" w:cs="Open Sans"/>
          <w:lang w:val="en-GB"/>
        </w:rPr>
        <w:t xml:space="preserve">, they do not </w:t>
      </w:r>
      <w:r w:rsidR="008C437A">
        <w:rPr>
          <w:rFonts w:ascii="Open Sans" w:hAnsi="Open Sans" w:cs="Open Sans"/>
          <w:lang w:val="en-GB"/>
        </w:rPr>
        <w:t xml:space="preserve">always </w:t>
      </w:r>
      <w:r w:rsidR="009131D0" w:rsidRPr="00893200">
        <w:rPr>
          <w:rFonts w:ascii="Open Sans" w:hAnsi="Open Sans" w:cs="Open Sans"/>
          <w:lang w:val="en-GB"/>
        </w:rPr>
        <w:t xml:space="preserve">allow to pursue higher education, and in most cases, they are not valued by employers. </w:t>
      </w:r>
    </w:p>
    <w:p w14:paraId="329FF3F1" w14:textId="0DC05A82" w:rsidR="009131D0" w:rsidRPr="00893200" w:rsidRDefault="00574715" w:rsidP="00522F9C">
      <w:pPr>
        <w:jc w:val="both"/>
        <w:rPr>
          <w:rFonts w:ascii="Open Sans" w:hAnsi="Open Sans" w:cs="Open Sans"/>
          <w:lang w:val="en-GB"/>
        </w:rPr>
      </w:pPr>
      <w:r w:rsidRPr="00893200">
        <w:rPr>
          <w:rFonts w:ascii="Open Sans" w:hAnsi="Open Sans" w:cs="Open Sans"/>
          <w:lang w:val="en-GB"/>
        </w:rPr>
        <w:t>E</w:t>
      </w:r>
      <w:r w:rsidR="009131D0" w:rsidRPr="00893200">
        <w:rPr>
          <w:rFonts w:ascii="Open Sans" w:hAnsi="Open Sans" w:cs="Open Sans"/>
          <w:lang w:val="en-GB"/>
        </w:rPr>
        <w:t xml:space="preserve">ven when inclusive education is </w:t>
      </w:r>
      <w:r w:rsidR="00A82A2B" w:rsidRPr="00893200">
        <w:rPr>
          <w:rFonts w:ascii="Open Sans" w:hAnsi="Open Sans" w:cs="Open Sans"/>
          <w:lang w:val="en-GB"/>
        </w:rPr>
        <w:t>provided</w:t>
      </w:r>
      <w:r w:rsidR="009131D0" w:rsidRPr="00893200">
        <w:rPr>
          <w:rFonts w:ascii="Open Sans" w:hAnsi="Open Sans" w:cs="Open Sans"/>
          <w:lang w:val="en-GB"/>
        </w:rPr>
        <w:t xml:space="preserve"> or certifications allow </w:t>
      </w:r>
      <w:r w:rsidR="00FF3193" w:rsidRPr="00893200">
        <w:rPr>
          <w:rFonts w:ascii="Open Sans" w:hAnsi="Open Sans" w:cs="Open Sans"/>
          <w:lang w:val="en-GB"/>
        </w:rPr>
        <w:t xml:space="preserve">to pursue higher education, opportunities are limited for people with intellectual disabilities as entry exams or grade requirements may not be adapted. </w:t>
      </w:r>
    </w:p>
    <w:p w14:paraId="5EA77823" w14:textId="30B6E7E4" w:rsidR="00FF3193" w:rsidRPr="00893200" w:rsidRDefault="00FF3193" w:rsidP="00522F9C">
      <w:pPr>
        <w:jc w:val="both"/>
        <w:rPr>
          <w:rFonts w:ascii="Open Sans" w:hAnsi="Open Sans" w:cs="Open Sans"/>
          <w:lang w:val="en-GB"/>
        </w:rPr>
      </w:pPr>
      <w:r w:rsidRPr="00893200">
        <w:rPr>
          <w:rFonts w:ascii="Open Sans" w:hAnsi="Open Sans" w:cs="Open Sans"/>
          <w:lang w:val="en-GB"/>
        </w:rPr>
        <w:t xml:space="preserve">Ensuring </w:t>
      </w:r>
      <w:r w:rsidRPr="00893200">
        <w:rPr>
          <w:rFonts w:ascii="Open Sans" w:hAnsi="Open Sans" w:cs="Open Sans"/>
          <w:b/>
          <w:bCs/>
          <w:lang w:val="en-GB"/>
        </w:rPr>
        <w:t xml:space="preserve">inclusive education </w:t>
      </w:r>
      <w:r w:rsidRPr="00893200">
        <w:rPr>
          <w:rFonts w:ascii="Open Sans" w:hAnsi="Open Sans" w:cs="Open Sans"/>
          <w:lang w:val="en-GB"/>
        </w:rPr>
        <w:t>and</w:t>
      </w:r>
      <w:r w:rsidRPr="00893200">
        <w:rPr>
          <w:rFonts w:ascii="Open Sans" w:hAnsi="Open Sans" w:cs="Open Sans"/>
          <w:b/>
          <w:bCs/>
          <w:lang w:val="en-GB"/>
        </w:rPr>
        <w:t xml:space="preserve"> accessible entry to higher education and to vocational training</w:t>
      </w:r>
      <w:r w:rsidRPr="00893200">
        <w:rPr>
          <w:rFonts w:ascii="Open Sans" w:hAnsi="Open Sans" w:cs="Open Sans"/>
          <w:lang w:val="en-GB"/>
        </w:rPr>
        <w:t xml:space="preserve"> are essential steps to fulfil the right to employment.</w:t>
      </w:r>
    </w:p>
    <w:p w14:paraId="73EAD092" w14:textId="1DC313D3" w:rsidR="00FF3193" w:rsidRPr="00893200" w:rsidRDefault="00FF3193" w:rsidP="00522F9C">
      <w:pPr>
        <w:jc w:val="both"/>
        <w:rPr>
          <w:rFonts w:ascii="Open Sans" w:hAnsi="Open Sans" w:cs="Open Sans"/>
          <w:lang w:val="en-GB"/>
        </w:rPr>
      </w:pPr>
      <w:r w:rsidRPr="00893200">
        <w:rPr>
          <w:rFonts w:ascii="Open Sans" w:hAnsi="Open Sans" w:cs="Open Sans"/>
          <w:lang w:val="en-GB"/>
        </w:rPr>
        <w:t>Furthermore, inclusive education and vocational training should provide adequate support not only to successfully receive a diploma, but also to learn skills necessary to enter the open labour market, such as digital or social skills, writing a CV,</w:t>
      </w:r>
      <w:r w:rsidR="000578C5" w:rsidRPr="00893200">
        <w:rPr>
          <w:rFonts w:ascii="Open Sans" w:hAnsi="Open Sans" w:cs="Open Sans"/>
          <w:lang w:val="en-GB"/>
        </w:rPr>
        <w:t xml:space="preserve"> and</w:t>
      </w:r>
      <w:r w:rsidRPr="00893200">
        <w:rPr>
          <w:rFonts w:ascii="Open Sans" w:hAnsi="Open Sans" w:cs="Open Sans"/>
          <w:lang w:val="en-GB"/>
        </w:rPr>
        <w:t xml:space="preserve"> preparing </w:t>
      </w:r>
      <w:r w:rsidR="000578C5" w:rsidRPr="00893200">
        <w:rPr>
          <w:rFonts w:ascii="Open Sans" w:hAnsi="Open Sans" w:cs="Open Sans"/>
          <w:lang w:val="en-GB"/>
        </w:rPr>
        <w:t xml:space="preserve">job </w:t>
      </w:r>
      <w:r w:rsidRPr="00893200">
        <w:rPr>
          <w:rFonts w:ascii="Open Sans" w:hAnsi="Open Sans" w:cs="Open Sans"/>
          <w:lang w:val="en-GB"/>
        </w:rPr>
        <w:t>interview</w:t>
      </w:r>
      <w:r w:rsidR="000578C5" w:rsidRPr="00893200">
        <w:rPr>
          <w:rFonts w:ascii="Open Sans" w:hAnsi="Open Sans" w:cs="Open Sans"/>
          <w:lang w:val="en-GB"/>
        </w:rPr>
        <w:t>s.</w:t>
      </w:r>
    </w:p>
    <w:p w14:paraId="72D75D88" w14:textId="3B09B9BB" w:rsidR="00BB5F84" w:rsidRPr="002A5D56" w:rsidRDefault="00BB5F84" w:rsidP="00522F9C">
      <w:pPr>
        <w:pStyle w:val="Heading2"/>
        <w:jc w:val="both"/>
        <w:rPr>
          <w:rFonts w:ascii="Open Sans" w:eastAsia="Open Sans" w:hAnsi="Open Sans" w:cs="Open Sans"/>
          <w:b/>
          <w:bCs/>
          <w:color w:val="ED0E69"/>
          <w:sz w:val="32"/>
          <w:szCs w:val="32"/>
          <w:lang w:val="en-GB" w:eastAsia="de-DE"/>
        </w:rPr>
      </w:pPr>
      <w:bookmarkStart w:id="9" w:name="_Toc66730091"/>
      <w:r w:rsidRPr="002A5D56">
        <w:rPr>
          <w:rFonts w:ascii="Open Sans" w:eastAsia="Open Sans" w:hAnsi="Open Sans" w:cs="Open Sans"/>
          <w:b/>
          <w:bCs/>
          <w:color w:val="ED0E69"/>
          <w:sz w:val="32"/>
          <w:szCs w:val="32"/>
          <w:lang w:val="en-GB" w:eastAsia="de-DE"/>
        </w:rPr>
        <w:t>Public sector</w:t>
      </w:r>
      <w:bookmarkEnd w:id="9"/>
    </w:p>
    <w:p w14:paraId="5292A2A8" w14:textId="504EB216" w:rsidR="00A82A2B" w:rsidRPr="00893200" w:rsidRDefault="00A82A2B" w:rsidP="00522F9C">
      <w:pPr>
        <w:jc w:val="both"/>
        <w:rPr>
          <w:rFonts w:ascii="Open Sans" w:hAnsi="Open Sans" w:cs="Open Sans"/>
          <w:lang w:val="en-GB"/>
        </w:rPr>
      </w:pPr>
      <w:r w:rsidRPr="00893200">
        <w:rPr>
          <w:rFonts w:ascii="Open Sans" w:hAnsi="Open Sans" w:cs="Open Sans"/>
          <w:lang w:val="en-GB"/>
        </w:rPr>
        <w:t>Public sector employers should lead by example both in recruitment and retainment practice for people with intellectual disabilities.</w:t>
      </w:r>
    </w:p>
    <w:p w14:paraId="32FA0A44" w14:textId="2E356C90" w:rsidR="00A82A2B" w:rsidRPr="00893200" w:rsidRDefault="00A82A2B" w:rsidP="00522F9C">
      <w:pPr>
        <w:jc w:val="both"/>
        <w:rPr>
          <w:rFonts w:ascii="Open Sans" w:hAnsi="Open Sans" w:cs="Open Sans"/>
          <w:lang w:val="en-GB"/>
        </w:rPr>
      </w:pPr>
      <w:r w:rsidRPr="00893200">
        <w:rPr>
          <w:rFonts w:ascii="Open Sans" w:hAnsi="Open Sans" w:cs="Open Sans"/>
          <w:lang w:val="en-GB"/>
        </w:rPr>
        <w:t xml:space="preserve">It is essential to monitor if countries </w:t>
      </w:r>
      <w:r w:rsidRPr="00893200">
        <w:rPr>
          <w:rFonts w:ascii="Open Sans" w:hAnsi="Open Sans" w:cs="Open Sans"/>
          <w:b/>
          <w:bCs/>
          <w:lang w:val="en-GB"/>
        </w:rPr>
        <w:t>comply with quotas</w:t>
      </w:r>
      <w:r w:rsidRPr="00893200">
        <w:rPr>
          <w:rFonts w:ascii="Open Sans" w:hAnsi="Open Sans" w:cs="Open Sans"/>
          <w:lang w:val="en-GB"/>
        </w:rPr>
        <w:t xml:space="preserve"> in the public sector, and if </w:t>
      </w:r>
      <w:r w:rsidRPr="00893200">
        <w:rPr>
          <w:rFonts w:ascii="Open Sans" w:hAnsi="Open Sans" w:cs="Open Sans"/>
          <w:b/>
          <w:bCs/>
          <w:lang w:val="en-GB"/>
        </w:rPr>
        <w:t>support and specific pathways</w:t>
      </w:r>
      <w:r w:rsidRPr="00893200">
        <w:rPr>
          <w:rFonts w:ascii="Open Sans" w:hAnsi="Open Sans" w:cs="Open Sans"/>
          <w:lang w:val="en-GB"/>
        </w:rPr>
        <w:t xml:space="preserve"> are accessible for people with intellectual disabilities. Leading by example should be a priority for the public sector.</w:t>
      </w:r>
    </w:p>
    <w:p w14:paraId="6A4D2554" w14:textId="1294DB53" w:rsidR="009D2298" w:rsidRPr="00893200" w:rsidRDefault="00FD738C" w:rsidP="00522F9C">
      <w:pPr>
        <w:jc w:val="both"/>
        <w:rPr>
          <w:rFonts w:ascii="Open Sans" w:hAnsi="Open Sans" w:cs="Open Sans"/>
          <w:lang w:val="en-GB"/>
        </w:rPr>
      </w:pPr>
      <w:r w:rsidRPr="00893200">
        <w:rPr>
          <w:rFonts w:ascii="Open Sans" w:hAnsi="Open Sans" w:cs="Open Sans"/>
          <w:lang w:val="en-GB"/>
        </w:rPr>
        <w:lastRenderedPageBreak/>
        <w:t xml:space="preserve">In Spain, 2% of contracts in the public sector are reserved for people with intellectual disabilities, and 5% for people with any other disability. Furthermore, certain positions have adapted exams for people with intellectual disabilities. </w:t>
      </w:r>
    </w:p>
    <w:p w14:paraId="03B5E2DB" w14:textId="674D05E2" w:rsidR="00BB5F84" w:rsidRPr="002A5D56" w:rsidRDefault="00BB5F84" w:rsidP="00522F9C">
      <w:pPr>
        <w:pStyle w:val="Heading2"/>
        <w:jc w:val="both"/>
        <w:rPr>
          <w:rFonts w:ascii="Open Sans" w:eastAsia="Open Sans" w:hAnsi="Open Sans" w:cs="Open Sans"/>
          <w:b/>
          <w:bCs/>
          <w:color w:val="ED0E69"/>
          <w:sz w:val="32"/>
          <w:szCs w:val="32"/>
          <w:lang w:val="en-GB" w:eastAsia="de-DE"/>
        </w:rPr>
      </w:pPr>
      <w:bookmarkStart w:id="10" w:name="_Toc66730092"/>
      <w:r w:rsidRPr="002A5D56">
        <w:rPr>
          <w:rFonts w:ascii="Open Sans" w:eastAsia="Open Sans" w:hAnsi="Open Sans" w:cs="Open Sans"/>
          <w:b/>
          <w:bCs/>
          <w:color w:val="ED0E69"/>
          <w:sz w:val="32"/>
          <w:szCs w:val="32"/>
          <w:lang w:val="en-GB" w:eastAsia="de-DE"/>
        </w:rPr>
        <w:t>Affirmative action</w:t>
      </w:r>
      <w:bookmarkEnd w:id="10"/>
    </w:p>
    <w:p w14:paraId="4BA2A482" w14:textId="06E80720" w:rsidR="00BB5F84" w:rsidRPr="00893200" w:rsidRDefault="00FD738C" w:rsidP="00522F9C">
      <w:pPr>
        <w:jc w:val="both"/>
        <w:rPr>
          <w:rFonts w:ascii="Open Sans" w:hAnsi="Open Sans" w:cs="Open Sans"/>
          <w:lang w:val="en-GB"/>
        </w:rPr>
      </w:pPr>
      <w:r w:rsidRPr="00893200">
        <w:rPr>
          <w:rFonts w:ascii="Open Sans" w:hAnsi="Open Sans" w:cs="Open Sans"/>
          <w:lang w:val="en-GB"/>
        </w:rPr>
        <w:t xml:space="preserve">Affirmative action is not considered discriminatory under </w:t>
      </w:r>
      <w:r w:rsidR="00145EBF" w:rsidRPr="00893200">
        <w:rPr>
          <w:rFonts w:ascii="Open Sans" w:hAnsi="Open Sans" w:cs="Open Sans"/>
          <w:lang w:val="en-GB"/>
        </w:rPr>
        <w:t>the European Union’s legal framework</w:t>
      </w:r>
      <w:r w:rsidRPr="00893200">
        <w:rPr>
          <w:rFonts w:ascii="Open Sans" w:hAnsi="Open Sans" w:cs="Open Sans"/>
          <w:lang w:val="en-GB"/>
        </w:rPr>
        <w:t xml:space="preserve"> and jurisprudence,</w:t>
      </w:r>
      <w:r w:rsidR="00145EBF" w:rsidRPr="00893200">
        <w:rPr>
          <w:rStyle w:val="FootnoteReference"/>
          <w:rFonts w:ascii="Open Sans" w:hAnsi="Open Sans" w:cs="Open Sans"/>
          <w:lang w:val="en-GB"/>
        </w:rPr>
        <w:footnoteReference w:id="11"/>
      </w:r>
      <w:r w:rsidRPr="00893200">
        <w:rPr>
          <w:rFonts w:ascii="Open Sans" w:hAnsi="Open Sans" w:cs="Open Sans"/>
          <w:lang w:val="en-GB"/>
        </w:rPr>
        <w:t xml:space="preserve"> but implementation has been limited. One of the most prominent measures has been </w:t>
      </w:r>
      <w:r w:rsidRPr="00893200">
        <w:rPr>
          <w:rFonts w:ascii="Open Sans" w:hAnsi="Open Sans" w:cs="Open Sans"/>
          <w:b/>
          <w:bCs/>
          <w:lang w:val="en-GB"/>
        </w:rPr>
        <w:t>employment quotas</w:t>
      </w:r>
      <w:r w:rsidRPr="00893200">
        <w:rPr>
          <w:rFonts w:ascii="Open Sans" w:hAnsi="Open Sans" w:cs="Open Sans"/>
          <w:lang w:val="en-GB"/>
        </w:rPr>
        <w:t>, and even when they are implemented, people with intellectual disabilities are last</w:t>
      </w:r>
      <w:r w:rsidR="000A78C7" w:rsidRPr="00893200">
        <w:rPr>
          <w:rFonts w:ascii="Open Sans" w:hAnsi="Open Sans" w:cs="Open Sans"/>
          <w:lang w:val="en-GB"/>
        </w:rPr>
        <w:t xml:space="preserve"> in</w:t>
      </w:r>
      <w:r w:rsidRPr="00893200">
        <w:rPr>
          <w:rFonts w:ascii="Open Sans" w:hAnsi="Open Sans" w:cs="Open Sans"/>
          <w:lang w:val="en-GB"/>
        </w:rPr>
        <w:t xml:space="preserve"> </w:t>
      </w:r>
      <w:r w:rsidR="00FB43E9" w:rsidRPr="00893200">
        <w:rPr>
          <w:rFonts w:ascii="Open Sans" w:hAnsi="Open Sans" w:cs="Open Sans"/>
          <w:lang w:val="en-GB"/>
        </w:rPr>
        <w:t>the</w:t>
      </w:r>
      <w:r w:rsidRPr="00893200">
        <w:rPr>
          <w:rFonts w:ascii="Open Sans" w:hAnsi="Open Sans" w:cs="Open Sans"/>
          <w:lang w:val="en-GB"/>
        </w:rPr>
        <w:t xml:space="preserve"> line. </w:t>
      </w:r>
    </w:p>
    <w:p w14:paraId="1D861CC1" w14:textId="77777777" w:rsidR="007A4FDF" w:rsidRPr="00893200" w:rsidRDefault="007A4FDF" w:rsidP="00522F9C">
      <w:pPr>
        <w:jc w:val="both"/>
        <w:rPr>
          <w:rFonts w:ascii="Open Sans" w:hAnsi="Open Sans" w:cs="Open Sans"/>
          <w:lang w:val="en-GB"/>
        </w:rPr>
      </w:pPr>
      <w:r w:rsidRPr="00893200">
        <w:rPr>
          <w:rFonts w:ascii="Open Sans" w:hAnsi="Open Sans" w:cs="Open Sans"/>
          <w:b/>
          <w:bCs/>
          <w:lang w:val="en-GB"/>
        </w:rPr>
        <w:t>Financial incentives</w:t>
      </w:r>
      <w:r w:rsidRPr="00893200">
        <w:rPr>
          <w:rFonts w:ascii="Open Sans" w:hAnsi="Open Sans" w:cs="Open Sans"/>
          <w:lang w:val="en-GB"/>
        </w:rPr>
        <w:t xml:space="preserve"> can be interesting for businesses to invest in diversity management, but when they do not find a suitable task for the workers with intellectual disabilities and hire them merely as a means to receive the incentive, this employment will not be sustainable.</w:t>
      </w:r>
    </w:p>
    <w:p w14:paraId="1AE3AFB8" w14:textId="54A812FC" w:rsidR="00FD738C" w:rsidRPr="00893200" w:rsidRDefault="00FD738C" w:rsidP="00522F9C">
      <w:pPr>
        <w:jc w:val="both"/>
        <w:rPr>
          <w:rFonts w:ascii="Open Sans" w:hAnsi="Open Sans" w:cs="Open Sans"/>
          <w:lang w:val="en-GB"/>
        </w:rPr>
      </w:pPr>
      <w:r w:rsidRPr="00893200">
        <w:rPr>
          <w:rFonts w:ascii="Open Sans" w:hAnsi="Open Sans" w:cs="Open Sans"/>
          <w:lang w:val="en-GB"/>
        </w:rPr>
        <w:t xml:space="preserve">The main focus should be to </w:t>
      </w:r>
      <w:r w:rsidRPr="00893200">
        <w:rPr>
          <w:rFonts w:ascii="Open Sans" w:hAnsi="Open Sans" w:cs="Open Sans"/>
          <w:b/>
          <w:bCs/>
          <w:lang w:val="en-GB"/>
        </w:rPr>
        <w:t>support job program</w:t>
      </w:r>
      <w:r w:rsidR="000A78C7" w:rsidRPr="00893200">
        <w:rPr>
          <w:rFonts w:ascii="Open Sans" w:hAnsi="Open Sans" w:cs="Open Sans"/>
          <w:b/>
          <w:bCs/>
          <w:lang w:val="en-GB"/>
        </w:rPr>
        <w:t>m</w:t>
      </w:r>
      <w:r w:rsidRPr="00893200">
        <w:rPr>
          <w:rFonts w:ascii="Open Sans" w:hAnsi="Open Sans" w:cs="Open Sans"/>
          <w:b/>
          <w:bCs/>
          <w:lang w:val="en-GB"/>
        </w:rPr>
        <w:t>es accessible</w:t>
      </w:r>
      <w:r w:rsidRPr="00893200">
        <w:rPr>
          <w:rFonts w:ascii="Open Sans" w:hAnsi="Open Sans" w:cs="Open Sans"/>
          <w:lang w:val="en-GB"/>
        </w:rPr>
        <w:t xml:space="preserve"> for people with intellectual disabilities and </w:t>
      </w:r>
      <w:r w:rsidRPr="00893200">
        <w:rPr>
          <w:rFonts w:ascii="Open Sans" w:hAnsi="Open Sans" w:cs="Open Sans"/>
          <w:b/>
          <w:bCs/>
          <w:lang w:val="en-GB"/>
        </w:rPr>
        <w:t>supported employment</w:t>
      </w:r>
      <w:r w:rsidRPr="00893200">
        <w:rPr>
          <w:rFonts w:ascii="Open Sans" w:hAnsi="Open Sans" w:cs="Open Sans"/>
          <w:lang w:val="en-GB"/>
        </w:rPr>
        <w:t xml:space="preserve">, </w:t>
      </w:r>
      <w:r w:rsidR="009E221E" w:rsidRPr="00893200">
        <w:rPr>
          <w:rFonts w:ascii="Open Sans" w:hAnsi="Open Sans" w:cs="Open Sans"/>
          <w:lang w:val="en-GB"/>
        </w:rPr>
        <w:t xml:space="preserve">in addition </w:t>
      </w:r>
      <w:r w:rsidRPr="00893200">
        <w:rPr>
          <w:rFonts w:ascii="Open Sans" w:hAnsi="Open Sans" w:cs="Open Sans"/>
          <w:lang w:val="en-GB"/>
        </w:rPr>
        <w:t>to job coaching and job carving programmes.</w:t>
      </w:r>
      <w:r w:rsidRPr="00893200">
        <w:rPr>
          <w:rStyle w:val="FootnoteReference"/>
          <w:rFonts w:ascii="Open Sans" w:hAnsi="Open Sans" w:cs="Open Sans"/>
          <w:lang w:val="en-GB"/>
        </w:rPr>
        <w:footnoteReference w:id="12"/>
      </w:r>
    </w:p>
    <w:p w14:paraId="2A9DAB94" w14:textId="6129C679" w:rsidR="005972D5" w:rsidRPr="00893200" w:rsidRDefault="005972D5" w:rsidP="00522F9C">
      <w:pPr>
        <w:jc w:val="both"/>
        <w:rPr>
          <w:rFonts w:ascii="Open Sans" w:hAnsi="Open Sans" w:cs="Open Sans"/>
          <w:lang w:val="en-GB"/>
        </w:rPr>
      </w:pPr>
      <w:r w:rsidRPr="00893200">
        <w:rPr>
          <w:rFonts w:ascii="Open Sans" w:hAnsi="Open Sans" w:cs="Open Sans"/>
          <w:lang w:val="en-GB"/>
        </w:rPr>
        <w:t xml:space="preserve">There is a rising interest on </w:t>
      </w:r>
      <w:r w:rsidRPr="00893200">
        <w:rPr>
          <w:rFonts w:ascii="Open Sans" w:hAnsi="Open Sans" w:cs="Open Sans"/>
          <w:b/>
          <w:bCs/>
          <w:lang w:val="en-GB"/>
        </w:rPr>
        <w:t>diversity management</w:t>
      </w:r>
      <w:r w:rsidRPr="00893200">
        <w:rPr>
          <w:rFonts w:ascii="Open Sans" w:hAnsi="Open Sans" w:cs="Open Sans"/>
          <w:lang w:val="en-GB"/>
        </w:rPr>
        <w:t xml:space="preserve">, mainly by large companies, but people with intellectual disabilities are still excluded, as they are considered “unemployable” by many. Their value to diversity management should be promoted, and countries should work to ensure that people with </w:t>
      </w:r>
      <w:r w:rsidRPr="00893200">
        <w:rPr>
          <w:rFonts w:ascii="Open Sans" w:hAnsi="Open Sans" w:cs="Open Sans"/>
          <w:lang w:val="en-GB"/>
        </w:rPr>
        <w:lastRenderedPageBreak/>
        <w:t>intellectual disabilities are not left behind.</w:t>
      </w:r>
      <w:r w:rsidR="003F197C" w:rsidRPr="00893200">
        <w:rPr>
          <w:rFonts w:ascii="Open Sans" w:hAnsi="Open Sans" w:cs="Open Sans"/>
          <w:lang w:val="en-GB"/>
        </w:rPr>
        <w:t xml:space="preserve"> People with intellectual disabilities can contribute to diversity management when allowed to communicate with superiors and fulfil adequate tasks, and through their external role as an ambassador of the company.</w:t>
      </w:r>
      <w:r w:rsidR="003F197C" w:rsidRPr="00893200">
        <w:rPr>
          <w:rStyle w:val="FootnoteReference"/>
          <w:rFonts w:ascii="Open Sans" w:hAnsi="Open Sans" w:cs="Open Sans"/>
          <w:lang w:val="en-GB"/>
        </w:rPr>
        <w:footnoteReference w:id="13"/>
      </w:r>
      <w:r w:rsidRPr="00893200">
        <w:rPr>
          <w:rFonts w:ascii="Open Sans" w:hAnsi="Open Sans" w:cs="Open Sans"/>
          <w:lang w:val="en-GB"/>
        </w:rPr>
        <w:t xml:space="preserve"> Countries should ensure small and medium enterprises receive </w:t>
      </w:r>
      <w:r w:rsidRPr="00893200">
        <w:rPr>
          <w:rFonts w:ascii="Open Sans" w:hAnsi="Open Sans" w:cs="Open Sans"/>
          <w:b/>
          <w:bCs/>
          <w:lang w:val="en-GB"/>
        </w:rPr>
        <w:t>technical assistance and financial support</w:t>
      </w:r>
      <w:r w:rsidRPr="00893200">
        <w:rPr>
          <w:rFonts w:ascii="Open Sans" w:hAnsi="Open Sans" w:cs="Open Sans"/>
          <w:lang w:val="en-GB"/>
        </w:rPr>
        <w:t xml:space="preserve"> on hiring people with intellectual disabilities.</w:t>
      </w:r>
    </w:p>
    <w:p w14:paraId="17691DDD" w14:textId="122F8E41" w:rsidR="00BB5F84" w:rsidRPr="00C87806" w:rsidRDefault="00BB5F84" w:rsidP="00522F9C">
      <w:pPr>
        <w:pStyle w:val="Heading2"/>
        <w:jc w:val="both"/>
        <w:rPr>
          <w:rFonts w:ascii="Open Sans" w:eastAsia="Open Sans" w:hAnsi="Open Sans" w:cs="Open Sans"/>
          <w:b/>
          <w:bCs/>
          <w:color w:val="ED0E69"/>
          <w:sz w:val="32"/>
          <w:szCs w:val="32"/>
          <w:lang w:val="en-GB" w:eastAsia="de-DE"/>
        </w:rPr>
      </w:pPr>
      <w:bookmarkStart w:id="11" w:name="_Toc66730093"/>
      <w:r w:rsidRPr="00C87806">
        <w:rPr>
          <w:rFonts w:ascii="Open Sans" w:eastAsia="Open Sans" w:hAnsi="Open Sans" w:cs="Open Sans"/>
          <w:b/>
          <w:bCs/>
          <w:color w:val="ED0E69"/>
          <w:sz w:val="32"/>
          <w:szCs w:val="32"/>
          <w:lang w:val="en-GB" w:eastAsia="de-DE"/>
        </w:rPr>
        <w:t>Accessibility and reasonable accommodation</w:t>
      </w:r>
      <w:bookmarkEnd w:id="11"/>
    </w:p>
    <w:p w14:paraId="45710DFB" w14:textId="69B49F60" w:rsidR="00FD738C" w:rsidRPr="00893200" w:rsidRDefault="007A4FDF" w:rsidP="00522F9C">
      <w:pPr>
        <w:jc w:val="both"/>
        <w:rPr>
          <w:rFonts w:ascii="Open Sans" w:hAnsi="Open Sans" w:cs="Open Sans"/>
          <w:lang w:val="en-GB"/>
        </w:rPr>
      </w:pPr>
      <w:r w:rsidRPr="00893200">
        <w:rPr>
          <w:rFonts w:ascii="Open Sans" w:hAnsi="Open Sans" w:cs="Open Sans"/>
          <w:lang w:val="en-GB"/>
        </w:rPr>
        <w:t>In the European Union, reasonable accommodations at work are an obligation of the employer.</w:t>
      </w:r>
      <w:r w:rsidR="000A78C7" w:rsidRPr="00893200">
        <w:rPr>
          <w:rStyle w:val="FootnoteReference"/>
          <w:rFonts w:ascii="Open Sans" w:hAnsi="Open Sans" w:cs="Open Sans"/>
          <w:lang w:val="en-GB"/>
        </w:rPr>
        <w:footnoteReference w:id="14"/>
      </w:r>
      <w:r w:rsidRPr="00893200">
        <w:rPr>
          <w:rFonts w:ascii="Open Sans" w:hAnsi="Open Sans" w:cs="Open Sans"/>
          <w:lang w:val="en-GB"/>
        </w:rPr>
        <w:t xml:space="preserve"> However, employers still have </w:t>
      </w:r>
      <w:r w:rsidRPr="00893200">
        <w:rPr>
          <w:rFonts w:ascii="Open Sans" w:hAnsi="Open Sans" w:cs="Open Sans"/>
          <w:b/>
          <w:bCs/>
          <w:lang w:val="en-GB"/>
        </w:rPr>
        <w:t>low knowledge</w:t>
      </w:r>
      <w:r w:rsidRPr="00893200">
        <w:rPr>
          <w:rFonts w:ascii="Open Sans" w:hAnsi="Open Sans" w:cs="Open Sans"/>
          <w:lang w:val="en-GB"/>
        </w:rPr>
        <w:t xml:space="preserve"> about providing reasonable accommodations for </w:t>
      </w:r>
      <w:r w:rsidR="00C26FBC" w:rsidRPr="00893200">
        <w:rPr>
          <w:rFonts w:ascii="Open Sans" w:hAnsi="Open Sans" w:cs="Open Sans"/>
          <w:lang w:val="en-GB"/>
        </w:rPr>
        <w:t>people</w:t>
      </w:r>
      <w:r w:rsidRPr="00893200">
        <w:rPr>
          <w:rFonts w:ascii="Open Sans" w:hAnsi="Open Sans" w:cs="Open Sans"/>
          <w:lang w:val="en-GB"/>
        </w:rPr>
        <w:t xml:space="preserve"> with intellectual disabilities.</w:t>
      </w:r>
      <w:r w:rsidR="00F92E00" w:rsidRPr="00893200">
        <w:rPr>
          <w:rStyle w:val="FootnoteReference"/>
          <w:rFonts w:ascii="Open Sans" w:hAnsi="Open Sans" w:cs="Open Sans"/>
          <w:lang w:val="en-GB"/>
        </w:rPr>
        <w:footnoteReference w:id="15"/>
      </w:r>
      <w:r w:rsidRPr="00893200">
        <w:rPr>
          <w:rFonts w:ascii="Open Sans" w:hAnsi="Open Sans" w:cs="Open Sans"/>
          <w:lang w:val="en-GB"/>
        </w:rPr>
        <w:t xml:space="preserve"> </w:t>
      </w:r>
    </w:p>
    <w:p w14:paraId="5671F906" w14:textId="77777777" w:rsidR="00E377C1" w:rsidRPr="00C87806" w:rsidRDefault="00E377C1" w:rsidP="00522F9C">
      <w:pPr>
        <w:pStyle w:val="Heading2"/>
        <w:jc w:val="both"/>
        <w:rPr>
          <w:rFonts w:ascii="Open Sans" w:eastAsia="Open Sans" w:hAnsi="Open Sans" w:cs="Open Sans"/>
          <w:b/>
          <w:bCs/>
          <w:color w:val="ED0E69"/>
          <w:sz w:val="32"/>
          <w:szCs w:val="32"/>
          <w:lang w:val="en-GB" w:eastAsia="de-DE"/>
        </w:rPr>
      </w:pPr>
      <w:bookmarkStart w:id="12" w:name="_Toc66730094"/>
      <w:r w:rsidRPr="00C87806">
        <w:rPr>
          <w:rFonts w:ascii="Open Sans" w:eastAsia="Open Sans" w:hAnsi="Open Sans" w:cs="Open Sans"/>
          <w:b/>
          <w:bCs/>
          <w:color w:val="ED0E69"/>
          <w:sz w:val="32"/>
          <w:szCs w:val="32"/>
          <w:lang w:val="en-GB" w:eastAsia="de-DE"/>
        </w:rPr>
        <w:t>Harassment</w:t>
      </w:r>
      <w:bookmarkEnd w:id="12"/>
    </w:p>
    <w:p w14:paraId="6D6B2C79" w14:textId="77777777" w:rsidR="00E377C1" w:rsidRPr="00893200" w:rsidRDefault="00E377C1" w:rsidP="00522F9C">
      <w:pPr>
        <w:jc w:val="both"/>
        <w:rPr>
          <w:rFonts w:ascii="Open Sans" w:hAnsi="Open Sans" w:cs="Open Sans"/>
          <w:lang w:val="en-GB"/>
        </w:rPr>
      </w:pPr>
      <w:r w:rsidRPr="00893200">
        <w:rPr>
          <w:rFonts w:ascii="Open Sans" w:hAnsi="Open Sans" w:cs="Open Sans"/>
          <w:lang w:val="en-GB"/>
        </w:rPr>
        <w:t xml:space="preserve">People with disabilities suffer from </w:t>
      </w:r>
      <w:r w:rsidRPr="00893200">
        <w:rPr>
          <w:rFonts w:ascii="Open Sans" w:hAnsi="Open Sans" w:cs="Open Sans"/>
          <w:b/>
          <w:bCs/>
          <w:lang w:val="en-GB"/>
        </w:rPr>
        <w:t>harassment in higher rates</w:t>
      </w:r>
      <w:r w:rsidRPr="00893200">
        <w:rPr>
          <w:rFonts w:ascii="Open Sans" w:hAnsi="Open Sans" w:cs="Open Sans"/>
          <w:lang w:val="en-GB"/>
        </w:rPr>
        <w:t xml:space="preserve"> compared to the general population.</w:t>
      </w:r>
      <w:r w:rsidRPr="00893200">
        <w:rPr>
          <w:rStyle w:val="FootnoteReference"/>
          <w:rFonts w:ascii="Open Sans" w:hAnsi="Open Sans" w:cs="Open Sans"/>
          <w:lang w:val="en-GB"/>
        </w:rPr>
        <w:footnoteReference w:id="16"/>
      </w:r>
      <w:r w:rsidRPr="00893200">
        <w:rPr>
          <w:rFonts w:ascii="Open Sans" w:hAnsi="Open Sans" w:cs="Open Sans"/>
          <w:lang w:val="en-GB"/>
        </w:rPr>
        <w:t xml:space="preserve"> This is likely caused by a </w:t>
      </w:r>
      <w:r w:rsidRPr="00893200">
        <w:rPr>
          <w:rFonts w:ascii="Open Sans" w:hAnsi="Open Sans" w:cs="Open Sans"/>
          <w:b/>
          <w:bCs/>
          <w:lang w:val="en-GB"/>
        </w:rPr>
        <w:t xml:space="preserve">high prevalence of </w:t>
      </w:r>
      <w:r w:rsidRPr="00893200">
        <w:rPr>
          <w:rFonts w:ascii="Open Sans" w:hAnsi="Open Sans" w:cs="Open Sans"/>
          <w:b/>
          <w:bCs/>
          <w:lang w:val="en-GB"/>
        </w:rPr>
        <w:lastRenderedPageBreak/>
        <w:t>hate crimes</w:t>
      </w:r>
      <w:r w:rsidRPr="00893200">
        <w:rPr>
          <w:rFonts w:ascii="Open Sans" w:hAnsi="Open Sans" w:cs="Open Sans"/>
          <w:lang w:val="en-GB"/>
        </w:rPr>
        <w:t xml:space="preserve"> and stigma leading to harassment. While the rates of harassment at work for people with disabilities are lower than for those without disabilities,</w:t>
      </w:r>
      <w:r w:rsidRPr="00893200">
        <w:rPr>
          <w:rStyle w:val="FootnoteReference"/>
          <w:rFonts w:ascii="Open Sans" w:hAnsi="Open Sans" w:cs="Open Sans"/>
          <w:lang w:val="en-GB"/>
        </w:rPr>
        <w:footnoteReference w:id="17"/>
      </w:r>
      <w:r w:rsidRPr="00893200">
        <w:rPr>
          <w:rFonts w:ascii="Open Sans" w:hAnsi="Open Sans" w:cs="Open Sans"/>
          <w:lang w:val="en-GB"/>
        </w:rPr>
        <w:t xml:space="preserve"> this is probably tied to higher unemployment rates, and therefore the experiences of harassment at work of people with intellectual disabilities should not be underestimated. People with intellectual disabilities are particularly exposed to hate crimes and harassment, despite difficulties to report,</w:t>
      </w:r>
      <w:r w:rsidRPr="00893200">
        <w:rPr>
          <w:rStyle w:val="FootnoteReference"/>
          <w:rFonts w:ascii="Open Sans" w:hAnsi="Open Sans" w:cs="Open Sans"/>
          <w:lang w:val="en-GB"/>
        </w:rPr>
        <w:footnoteReference w:id="18"/>
      </w:r>
      <w:r w:rsidRPr="00893200">
        <w:rPr>
          <w:rFonts w:ascii="Open Sans" w:hAnsi="Open Sans" w:cs="Open Sans"/>
          <w:lang w:val="en-GB"/>
        </w:rPr>
        <w:t xml:space="preserve"> and specific measures to protect them and training for employers on the matter should be put in place.</w:t>
      </w:r>
    </w:p>
    <w:p w14:paraId="7605C560" w14:textId="79D7B992" w:rsidR="00E377C1" w:rsidRPr="00893200" w:rsidRDefault="00E377C1" w:rsidP="00522F9C">
      <w:pPr>
        <w:jc w:val="both"/>
        <w:rPr>
          <w:rFonts w:ascii="Open Sans" w:hAnsi="Open Sans" w:cs="Open Sans"/>
          <w:lang w:val="en-GB"/>
        </w:rPr>
      </w:pPr>
      <w:r w:rsidRPr="00893200">
        <w:rPr>
          <w:rFonts w:ascii="Open Sans" w:hAnsi="Open Sans" w:cs="Open Sans"/>
          <w:lang w:val="en-GB"/>
        </w:rPr>
        <w:t xml:space="preserve">A key measure to fight harassment at work is making the </w:t>
      </w:r>
      <w:r w:rsidRPr="00893200">
        <w:rPr>
          <w:rFonts w:ascii="Open Sans" w:hAnsi="Open Sans" w:cs="Open Sans"/>
          <w:b/>
          <w:bCs/>
          <w:lang w:val="en-GB"/>
        </w:rPr>
        <w:t>reporting</w:t>
      </w:r>
      <w:r w:rsidRPr="00893200">
        <w:rPr>
          <w:rFonts w:ascii="Open Sans" w:hAnsi="Open Sans" w:cs="Open Sans"/>
          <w:lang w:val="en-GB"/>
        </w:rPr>
        <w:t xml:space="preserve"> </w:t>
      </w:r>
      <w:r w:rsidRPr="00893200">
        <w:rPr>
          <w:rFonts w:ascii="Open Sans" w:hAnsi="Open Sans" w:cs="Open Sans"/>
          <w:b/>
          <w:bCs/>
          <w:lang w:val="en-GB"/>
        </w:rPr>
        <w:t>accessible.</w:t>
      </w:r>
      <w:r w:rsidRPr="00893200">
        <w:rPr>
          <w:rFonts w:ascii="Open Sans" w:hAnsi="Open Sans" w:cs="Open Sans"/>
          <w:lang w:val="en-GB"/>
        </w:rPr>
        <w:t xml:space="preserve"> The barriers for people with intellectual disabilities to access justice (lack of legal capacity, fear of victimisation and of not being believed…) are also present when reporting harassment at work. People with intellectual disabilities should have accessible report mechanisms at their disposal and support throughout the procedure.</w:t>
      </w:r>
    </w:p>
    <w:p w14:paraId="2C4626E0" w14:textId="683C9E12" w:rsidR="00FD738C" w:rsidRPr="0079156F" w:rsidRDefault="00FD738C" w:rsidP="00522F9C">
      <w:pPr>
        <w:pStyle w:val="Heading2"/>
        <w:jc w:val="both"/>
        <w:rPr>
          <w:rFonts w:ascii="Open Sans" w:eastAsia="Open Sans" w:hAnsi="Open Sans" w:cs="Open Sans"/>
          <w:b/>
          <w:bCs/>
          <w:color w:val="ED0E69"/>
          <w:sz w:val="32"/>
          <w:szCs w:val="32"/>
          <w:lang w:val="en-GB" w:eastAsia="de-DE"/>
        </w:rPr>
      </w:pPr>
      <w:bookmarkStart w:id="13" w:name="_Toc66730095"/>
      <w:r w:rsidRPr="0079156F">
        <w:rPr>
          <w:rFonts w:ascii="Open Sans" w:eastAsia="Open Sans" w:hAnsi="Open Sans" w:cs="Open Sans"/>
          <w:b/>
          <w:bCs/>
          <w:color w:val="ED0E69"/>
          <w:sz w:val="32"/>
          <w:szCs w:val="32"/>
          <w:lang w:val="en-GB" w:eastAsia="de-DE"/>
        </w:rPr>
        <w:t>Relationship with other rights</w:t>
      </w:r>
      <w:bookmarkEnd w:id="13"/>
    </w:p>
    <w:p w14:paraId="5703BE2F" w14:textId="73C6BD9C" w:rsidR="000162D4" w:rsidRPr="00893200" w:rsidRDefault="000162D4" w:rsidP="00522F9C">
      <w:pPr>
        <w:jc w:val="both"/>
        <w:rPr>
          <w:rFonts w:ascii="Open Sans" w:hAnsi="Open Sans" w:cs="Open Sans"/>
          <w:lang w:val="en-GB"/>
        </w:rPr>
      </w:pPr>
      <w:r w:rsidRPr="00893200">
        <w:rPr>
          <w:rFonts w:ascii="Open Sans" w:hAnsi="Open Sans" w:cs="Open Sans"/>
          <w:lang w:val="en-GB"/>
        </w:rPr>
        <w:t>Employment is a key right that is closely linked to several other rights recognised in the Convention. For people with intellectual disabilities, being a group extremely affected by exclusion and dependence, employment is the starting point for independent living</w:t>
      </w:r>
      <w:r w:rsidR="0038761A" w:rsidRPr="00893200">
        <w:rPr>
          <w:rFonts w:ascii="Open Sans" w:hAnsi="Open Sans" w:cs="Open Sans"/>
          <w:lang w:val="en-GB"/>
        </w:rPr>
        <w:t xml:space="preserve"> and key to an effective inclusion</w:t>
      </w:r>
      <w:r w:rsidRPr="00893200">
        <w:rPr>
          <w:rFonts w:ascii="Open Sans" w:hAnsi="Open Sans" w:cs="Open Sans"/>
          <w:lang w:val="en-GB"/>
        </w:rPr>
        <w:t xml:space="preserve">. </w:t>
      </w:r>
    </w:p>
    <w:p w14:paraId="22D3BE5B" w14:textId="3B67EB69" w:rsidR="00C711FC" w:rsidRPr="00893200" w:rsidRDefault="00C711FC" w:rsidP="00522F9C">
      <w:pPr>
        <w:jc w:val="both"/>
        <w:rPr>
          <w:rFonts w:ascii="Open Sans" w:hAnsi="Open Sans" w:cs="Open Sans"/>
          <w:lang w:val="en-GB"/>
        </w:rPr>
      </w:pPr>
      <w:r w:rsidRPr="00893200">
        <w:rPr>
          <w:rFonts w:ascii="Open Sans" w:hAnsi="Open Sans" w:cs="Open Sans"/>
          <w:lang w:val="en-GB"/>
        </w:rPr>
        <w:t xml:space="preserve">Other rights are linked to employment as they are necessary for the right to employment to be fulfilled. </w:t>
      </w:r>
    </w:p>
    <w:p w14:paraId="3E088863" w14:textId="0E658312" w:rsidR="00FD738C" w:rsidRPr="00893200" w:rsidRDefault="00FD738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lastRenderedPageBreak/>
        <w:t>inclusive education:</w:t>
      </w:r>
      <w:r w:rsidRPr="00893200">
        <w:rPr>
          <w:rFonts w:ascii="Open Sans" w:hAnsi="Open Sans" w:cs="Open Sans"/>
          <w:lang w:val="en-GB"/>
        </w:rPr>
        <w:t xml:space="preserve"> </w:t>
      </w:r>
      <w:r w:rsidR="00C711FC" w:rsidRPr="00893200">
        <w:rPr>
          <w:rFonts w:ascii="Open Sans" w:hAnsi="Open Sans" w:cs="Open Sans"/>
          <w:lang w:val="en-GB"/>
        </w:rPr>
        <w:t xml:space="preserve">fulfilling the right to inclusive education is </w:t>
      </w:r>
      <w:r w:rsidRPr="00893200">
        <w:rPr>
          <w:rFonts w:ascii="Open Sans" w:hAnsi="Open Sans" w:cs="Open Sans"/>
          <w:lang w:val="en-GB"/>
        </w:rPr>
        <w:t>necessary to get a school certificate and access higher education</w:t>
      </w:r>
      <w:r w:rsidR="00C711FC" w:rsidRPr="00893200">
        <w:rPr>
          <w:rFonts w:ascii="Open Sans" w:hAnsi="Open Sans" w:cs="Open Sans"/>
          <w:lang w:val="en-GB"/>
        </w:rPr>
        <w:t>, acquiring valuable skills that prepare the person for the open labour market.</w:t>
      </w:r>
    </w:p>
    <w:p w14:paraId="68650D03" w14:textId="29D4DB91" w:rsidR="00FD738C" w:rsidRPr="00893200" w:rsidRDefault="00FD738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independent living</w:t>
      </w:r>
      <w:r w:rsidRPr="00893200">
        <w:rPr>
          <w:rFonts w:ascii="Open Sans" w:hAnsi="Open Sans" w:cs="Open Sans"/>
          <w:lang w:val="en-GB"/>
        </w:rPr>
        <w:t>: having a job leads to more autonomy</w:t>
      </w:r>
      <w:r w:rsidR="00C711FC" w:rsidRPr="00893200">
        <w:rPr>
          <w:rFonts w:ascii="Open Sans" w:hAnsi="Open Sans" w:cs="Open Sans"/>
          <w:lang w:val="en-GB"/>
        </w:rPr>
        <w:t xml:space="preserve"> and financial independence. Furthermore, living in an institution can limit possibilities to work, due to stigma and exclusion.</w:t>
      </w:r>
      <w:r w:rsidR="00BF5ABE" w:rsidRPr="00893200">
        <w:rPr>
          <w:rFonts w:ascii="Open Sans" w:hAnsi="Open Sans" w:cs="Open Sans"/>
          <w:lang w:val="en-GB"/>
        </w:rPr>
        <w:t xml:space="preserve"> Access to community-based services can increase chances to find employment, being provided the necessary support to live autonomously. </w:t>
      </w:r>
    </w:p>
    <w:p w14:paraId="2836A6DA" w14:textId="0F88A39E" w:rsidR="00C711FC" w:rsidRPr="00893200" w:rsidRDefault="00C711F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 xml:space="preserve">legal capacity: </w:t>
      </w:r>
      <w:r w:rsidRPr="00893200">
        <w:rPr>
          <w:rFonts w:ascii="Open Sans" w:hAnsi="Open Sans" w:cs="Open Sans"/>
          <w:lang w:val="en-GB"/>
        </w:rPr>
        <w:t>when deprived of legal capacity, in many countries it is necessary to get permission from the legal representant to sign a work contract. This is a limitation on the right to work and to choose one’s occupation. Ensuring that people with intellectual disabilities can make their own decisions is a key element for the right to employment.</w:t>
      </w:r>
    </w:p>
    <w:p w14:paraId="07B11E22" w14:textId="4518E9D0" w:rsidR="00FD738C" w:rsidRPr="00893200" w:rsidRDefault="00FD738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adequate standard of living</w:t>
      </w:r>
      <w:r w:rsidR="00011E83" w:rsidRPr="00893200">
        <w:rPr>
          <w:rFonts w:ascii="Open Sans" w:hAnsi="Open Sans" w:cs="Open Sans"/>
          <w:i/>
          <w:iCs/>
          <w:lang w:val="en-GB"/>
        </w:rPr>
        <w:t xml:space="preserve"> and social protection</w:t>
      </w:r>
      <w:r w:rsidRPr="00893200">
        <w:rPr>
          <w:rFonts w:ascii="Open Sans" w:hAnsi="Open Sans" w:cs="Open Sans"/>
          <w:lang w:val="en-GB"/>
        </w:rPr>
        <w:t xml:space="preserve">: </w:t>
      </w:r>
      <w:r w:rsidR="00C711FC" w:rsidRPr="00893200">
        <w:rPr>
          <w:rFonts w:ascii="Open Sans" w:hAnsi="Open Sans" w:cs="Open Sans"/>
          <w:lang w:val="en-GB"/>
        </w:rPr>
        <w:t xml:space="preserve">equal pay in employment is a key element to achieve an adequate standard of living for people with </w:t>
      </w:r>
      <w:r w:rsidR="00FE7285" w:rsidRPr="00893200">
        <w:rPr>
          <w:rFonts w:ascii="Open Sans" w:hAnsi="Open Sans" w:cs="Open Sans"/>
          <w:lang w:val="en-GB"/>
        </w:rPr>
        <w:t xml:space="preserve">intellectual </w:t>
      </w:r>
      <w:r w:rsidR="00C711FC" w:rsidRPr="00893200">
        <w:rPr>
          <w:rFonts w:ascii="Open Sans" w:hAnsi="Open Sans" w:cs="Open Sans"/>
          <w:lang w:val="en-GB"/>
        </w:rPr>
        <w:t>disabilities, as disability benefits tend to be insufficient and put the person at risk of poverty. Furthermore, lacking an adequate standard of living, for instance being homeless, can represent an obstacle to access employment.</w:t>
      </w:r>
      <w:r w:rsidR="00011E83" w:rsidRPr="00893200">
        <w:rPr>
          <w:rFonts w:ascii="Open Sans" w:hAnsi="Open Sans" w:cs="Open Sans"/>
          <w:lang w:val="en-GB"/>
        </w:rPr>
        <w:t xml:space="preserve"> In addition, the benefit trap is highly linked to social protection.</w:t>
      </w:r>
    </w:p>
    <w:p w14:paraId="30DDC35D" w14:textId="54C3A15A" w:rsidR="00FD738C" w:rsidRPr="00893200" w:rsidRDefault="00FD738C" w:rsidP="00522F9C">
      <w:pPr>
        <w:pStyle w:val="ListParagraph"/>
        <w:numPr>
          <w:ilvl w:val="0"/>
          <w:numId w:val="1"/>
        </w:numPr>
        <w:jc w:val="both"/>
        <w:rPr>
          <w:rFonts w:ascii="Open Sans" w:hAnsi="Open Sans" w:cs="Open Sans"/>
          <w:lang w:val="en-GB"/>
        </w:rPr>
      </w:pPr>
      <w:r w:rsidRPr="00893200">
        <w:rPr>
          <w:rFonts w:ascii="Open Sans" w:hAnsi="Open Sans" w:cs="Open Sans"/>
          <w:i/>
          <w:iCs/>
          <w:lang w:val="en-GB"/>
        </w:rPr>
        <w:t xml:space="preserve">access to information: </w:t>
      </w:r>
      <w:r w:rsidRPr="00893200">
        <w:rPr>
          <w:rFonts w:ascii="Open Sans" w:hAnsi="Open Sans" w:cs="Open Sans"/>
          <w:lang w:val="en-GB"/>
        </w:rPr>
        <w:t>lack of access to information</w:t>
      </w:r>
      <w:r w:rsidR="005279DC" w:rsidRPr="00893200">
        <w:rPr>
          <w:rFonts w:ascii="Open Sans" w:hAnsi="Open Sans" w:cs="Open Sans"/>
          <w:lang w:val="en-GB"/>
        </w:rPr>
        <w:t xml:space="preserve"> of their rights</w:t>
      </w:r>
      <w:r w:rsidRPr="00893200">
        <w:rPr>
          <w:rFonts w:ascii="Open Sans" w:hAnsi="Open Sans" w:cs="Open Sans"/>
          <w:lang w:val="en-GB"/>
        </w:rPr>
        <w:t xml:space="preserve"> </w:t>
      </w:r>
      <w:r w:rsidR="00C711FC" w:rsidRPr="00893200">
        <w:rPr>
          <w:rFonts w:ascii="Open Sans" w:hAnsi="Open Sans" w:cs="Open Sans"/>
          <w:lang w:val="en-GB"/>
        </w:rPr>
        <w:t>prevents people with intellectual disabilities to seek jobs or to perform well in their employment.</w:t>
      </w:r>
    </w:p>
    <w:p w14:paraId="79522468" w14:textId="5D22CE50" w:rsidR="00B31C5B" w:rsidRPr="00893200" w:rsidRDefault="00B31C5B" w:rsidP="00522F9C">
      <w:pPr>
        <w:jc w:val="both"/>
        <w:rPr>
          <w:rFonts w:ascii="Open Sans" w:hAnsi="Open Sans" w:cs="Open Sans"/>
          <w:lang w:val="en-GB"/>
        </w:rPr>
      </w:pPr>
      <w:r w:rsidRPr="00893200">
        <w:rPr>
          <w:rFonts w:ascii="Open Sans" w:hAnsi="Open Sans" w:cs="Open Sans"/>
          <w:lang w:val="en-GB"/>
        </w:rPr>
        <w:t xml:space="preserve">Furthermore, the obligation of data collection also applies to the right to employment. Particularly, data </w:t>
      </w:r>
      <w:r w:rsidR="00A55F74" w:rsidRPr="00893200">
        <w:rPr>
          <w:rFonts w:ascii="Open Sans" w:hAnsi="Open Sans" w:cs="Open Sans"/>
          <w:lang w:val="en-GB"/>
        </w:rPr>
        <w:t>should</w:t>
      </w:r>
      <w:r w:rsidRPr="00893200">
        <w:rPr>
          <w:rFonts w:ascii="Open Sans" w:hAnsi="Open Sans" w:cs="Open Sans"/>
          <w:lang w:val="en-GB"/>
        </w:rPr>
        <w:t>:</w:t>
      </w:r>
    </w:p>
    <w:p w14:paraId="4DE81767" w14:textId="6CED33EA" w:rsidR="00B31C5B" w:rsidRPr="00893200" w:rsidRDefault="00A55F74" w:rsidP="00522F9C">
      <w:pPr>
        <w:pStyle w:val="ListParagraph"/>
        <w:numPr>
          <w:ilvl w:val="0"/>
          <w:numId w:val="2"/>
        </w:numPr>
        <w:jc w:val="both"/>
        <w:rPr>
          <w:rFonts w:ascii="Open Sans" w:hAnsi="Open Sans" w:cs="Open Sans"/>
          <w:lang w:val="en-GB"/>
        </w:rPr>
      </w:pPr>
      <w:r w:rsidRPr="00893200">
        <w:rPr>
          <w:rFonts w:ascii="Open Sans" w:hAnsi="Open Sans" w:cs="Open Sans"/>
          <w:lang w:val="en-GB"/>
        </w:rPr>
        <w:t>be</w:t>
      </w:r>
      <w:r w:rsidRPr="00893200">
        <w:rPr>
          <w:rFonts w:ascii="Open Sans" w:hAnsi="Open Sans" w:cs="Open Sans"/>
          <w:b/>
          <w:bCs/>
          <w:lang w:val="en-GB"/>
        </w:rPr>
        <w:t xml:space="preserve"> </w:t>
      </w:r>
      <w:r w:rsidR="00B31C5B" w:rsidRPr="00893200">
        <w:rPr>
          <w:rFonts w:ascii="Open Sans" w:hAnsi="Open Sans" w:cs="Open Sans"/>
          <w:b/>
          <w:bCs/>
          <w:lang w:val="en-GB"/>
        </w:rPr>
        <w:t>disaggregated by type of disability</w:t>
      </w:r>
      <w:r w:rsidR="00B31C5B" w:rsidRPr="00893200">
        <w:rPr>
          <w:rFonts w:ascii="Open Sans" w:hAnsi="Open Sans" w:cs="Open Sans"/>
          <w:lang w:val="en-GB"/>
        </w:rPr>
        <w:t>, to inform policies that target specific groups such as people with intellectual disabilities.</w:t>
      </w:r>
    </w:p>
    <w:p w14:paraId="5D5F7AAF" w14:textId="107EED2F" w:rsidR="00B31C5B" w:rsidRPr="00893200" w:rsidRDefault="00A55F74" w:rsidP="00522F9C">
      <w:pPr>
        <w:pStyle w:val="ListParagraph"/>
        <w:numPr>
          <w:ilvl w:val="0"/>
          <w:numId w:val="2"/>
        </w:numPr>
        <w:jc w:val="both"/>
        <w:rPr>
          <w:rFonts w:ascii="Open Sans" w:hAnsi="Open Sans" w:cs="Open Sans"/>
          <w:lang w:val="en-GB"/>
        </w:rPr>
      </w:pPr>
      <w:r w:rsidRPr="00893200">
        <w:rPr>
          <w:rFonts w:ascii="Open Sans" w:hAnsi="Open Sans" w:cs="Open Sans"/>
          <w:b/>
          <w:bCs/>
          <w:lang w:val="en-GB"/>
        </w:rPr>
        <w:t>include people living in institutions and in sheltered settings</w:t>
      </w:r>
      <w:r w:rsidRPr="00893200">
        <w:rPr>
          <w:rFonts w:ascii="Open Sans" w:hAnsi="Open Sans" w:cs="Open Sans"/>
          <w:lang w:val="en-GB"/>
        </w:rPr>
        <w:t>.</w:t>
      </w:r>
    </w:p>
    <w:p w14:paraId="705DF020" w14:textId="68A5419B" w:rsidR="00A55F74" w:rsidRPr="00893200" w:rsidRDefault="00A55F74" w:rsidP="00522F9C">
      <w:pPr>
        <w:pStyle w:val="ListParagraph"/>
        <w:numPr>
          <w:ilvl w:val="0"/>
          <w:numId w:val="2"/>
        </w:numPr>
        <w:jc w:val="both"/>
        <w:rPr>
          <w:rFonts w:ascii="Open Sans" w:hAnsi="Open Sans" w:cs="Open Sans"/>
          <w:lang w:val="en-GB"/>
        </w:rPr>
      </w:pPr>
      <w:r w:rsidRPr="00893200">
        <w:rPr>
          <w:rFonts w:ascii="Open Sans" w:hAnsi="Open Sans" w:cs="Open Sans"/>
          <w:b/>
          <w:bCs/>
          <w:lang w:val="en-GB"/>
        </w:rPr>
        <w:lastRenderedPageBreak/>
        <w:t xml:space="preserve">display the gender and disability gap. </w:t>
      </w:r>
    </w:p>
    <w:p w14:paraId="26D2C4C8" w14:textId="33ABA235" w:rsidR="00A55F74" w:rsidRPr="00893200" w:rsidRDefault="00A55F74" w:rsidP="00522F9C">
      <w:pPr>
        <w:pStyle w:val="ListParagraph"/>
        <w:numPr>
          <w:ilvl w:val="0"/>
          <w:numId w:val="2"/>
        </w:numPr>
        <w:jc w:val="both"/>
        <w:rPr>
          <w:rFonts w:ascii="Open Sans" w:hAnsi="Open Sans" w:cs="Open Sans"/>
          <w:lang w:val="en-GB"/>
        </w:rPr>
      </w:pPr>
      <w:r w:rsidRPr="00893200">
        <w:rPr>
          <w:rFonts w:ascii="Open Sans" w:hAnsi="Open Sans" w:cs="Open Sans"/>
          <w:b/>
          <w:bCs/>
          <w:lang w:val="en-GB"/>
        </w:rPr>
        <w:t>illustrate barriers to employment</w:t>
      </w:r>
      <w:r w:rsidRPr="00893200">
        <w:rPr>
          <w:rFonts w:ascii="Open Sans" w:hAnsi="Open Sans" w:cs="Open Sans"/>
          <w:lang w:val="en-GB"/>
        </w:rPr>
        <w:t>, such as inaccessibility, lack of reasonable accommodations, or lack of qualification.</w:t>
      </w:r>
    </w:p>
    <w:p w14:paraId="3E45C2BD" w14:textId="5243C93E" w:rsidR="005D03D5" w:rsidRPr="00893200" w:rsidRDefault="005D03D5" w:rsidP="00522F9C">
      <w:pPr>
        <w:jc w:val="both"/>
        <w:rPr>
          <w:rFonts w:ascii="Open Sans" w:hAnsi="Open Sans" w:cs="Open Sans"/>
          <w:lang w:val="en-GB"/>
        </w:rPr>
      </w:pPr>
      <w:r w:rsidRPr="00893200">
        <w:rPr>
          <w:rFonts w:ascii="Open Sans" w:hAnsi="Open Sans" w:cs="Open Sans"/>
          <w:lang w:val="en-GB"/>
        </w:rPr>
        <w:t xml:space="preserve">Inclusion Europe believes that the right to employment is essential for people with intellectual disabilities, and that emphasis should be put </w:t>
      </w:r>
      <w:r w:rsidR="0033368C" w:rsidRPr="00893200">
        <w:rPr>
          <w:rFonts w:ascii="Open Sans" w:hAnsi="Open Sans" w:cs="Open Sans"/>
          <w:lang w:val="en-GB"/>
        </w:rPr>
        <w:t xml:space="preserve">on accessibility, reasonable accommodations, legal capacity, and equal pay and conditions. The Committee must encourage State Parties to work towards </w:t>
      </w:r>
      <w:r w:rsidR="00D92E4C" w:rsidRPr="00893200">
        <w:rPr>
          <w:rFonts w:ascii="Open Sans" w:hAnsi="Open Sans" w:cs="Open Sans"/>
          <w:lang w:val="en-GB"/>
        </w:rPr>
        <w:t xml:space="preserve">achieving </w:t>
      </w:r>
      <w:r w:rsidR="0033368C" w:rsidRPr="00893200">
        <w:rPr>
          <w:rFonts w:ascii="Open Sans" w:hAnsi="Open Sans" w:cs="Open Sans"/>
          <w:lang w:val="en-GB"/>
        </w:rPr>
        <w:t>higher employment rates of people with intellectual disabilities, financing support programmes and providing reserved contracts and other incentives.</w:t>
      </w:r>
    </w:p>
    <w:sectPr w:rsidR="005D03D5" w:rsidRPr="00893200">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BD021" w14:textId="77777777" w:rsidR="00BA7A05" w:rsidRDefault="00BA7A05" w:rsidP="004C6DE6">
      <w:pPr>
        <w:spacing w:after="0" w:line="240" w:lineRule="auto"/>
      </w:pPr>
      <w:r>
        <w:separator/>
      </w:r>
    </w:p>
  </w:endnote>
  <w:endnote w:type="continuationSeparator" w:id="0">
    <w:p w14:paraId="1EFA8793" w14:textId="77777777" w:rsidR="00BA7A05" w:rsidRDefault="00BA7A05" w:rsidP="004C6DE6">
      <w:pPr>
        <w:spacing w:after="0" w:line="240" w:lineRule="auto"/>
      </w:pPr>
      <w:r>
        <w:continuationSeparator/>
      </w:r>
    </w:p>
  </w:endnote>
  <w:endnote w:type="continuationNotice" w:id="1">
    <w:p w14:paraId="208A919E" w14:textId="77777777" w:rsidR="00BA7A05" w:rsidRDefault="00BA7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Verdan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63082"/>
      <w:docPartObj>
        <w:docPartGallery w:val="Page Numbers (Bottom of Page)"/>
        <w:docPartUnique/>
      </w:docPartObj>
    </w:sdtPr>
    <w:sdtEndPr/>
    <w:sdtContent>
      <w:p w14:paraId="38E8886D" w14:textId="136A8538" w:rsidR="00A21CC3" w:rsidRDefault="00A21CC3">
        <w:pPr>
          <w:pStyle w:val="Footer"/>
          <w:jc w:val="right"/>
        </w:pPr>
        <w:r>
          <w:fldChar w:fldCharType="begin"/>
        </w:r>
        <w:r>
          <w:instrText>PAGE   \* MERGEFORMAT</w:instrText>
        </w:r>
        <w:r>
          <w:fldChar w:fldCharType="separate"/>
        </w:r>
        <w:r w:rsidR="00013BDC">
          <w:rPr>
            <w:noProof/>
          </w:rPr>
          <w:t>1</w:t>
        </w:r>
        <w:r>
          <w:fldChar w:fldCharType="end"/>
        </w:r>
      </w:p>
    </w:sdtContent>
  </w:sdt>
  <w:p w14:paraId="05DC1BED" w14:textId="77777777" w:rsidR="00A21CC3" w:rsidRDefault="00A21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98E8" w14:textId="77777777" w:rsidR="00BA7A05" w:rsidRDefault="00BA7A05" w:rsidP="004C6DE6">
      <w:pPr>
        <w:spacing w:after="0" w:line="240" w:lineRule="auto"/>
      </w:pPr>
      <w:r>
        <w:separator/>
      </w:r>
    </w:p>
  </w:footnote>
  <w:footnote w:type="continuationSeparator" w:id="0">
    <w:p w14:paraId="51869458" w14:textId="77777777" w:rsidR="00BA7A05" w:rsidRDefault="00BA7A05" w:rsidP="004C6DE6">
      <w:pPr>
        <w:spacing w:after="0" w:line="240" w:lineRule="auto"/>
      </w:pPr>
      <w:r>
        <w:continuationSeparator/>
      </w:r>
    </w:p>
  </w:footnote>
  <w:footnote w:type="continuationNotice" w:id="1">
    <w:p w14:paraId="1A6C954E" w14:textId="77777777" w:rsidR="00BA7A05" w:rsidRDefault="00BA7A05">
      <w:pPr>
        <w:spacing w:after="0" w:line="240" w:lineRule="auto"/>
      </w:pPr>
    </w:p>
  </w:footnote>
  <w:footnote w:id="2">
    <w:p w14:paraId="0C3B1737" w14:textId="77777777" w:rsidR="00946EA2" w:rsidRPr="00D31152" w:rsidRDefault="00946EA2"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Council Directive 2000/78/EC of 27 November 2000 establishing a general framework for equal treatment in employment and occupation, </w:t>
      </w:r>
    </w:p>
    <w:p w14:paraId="51F6603D" w14:textId="77777777" w:rsidR="00946EA2" w:rsidRPr="00D31152" w:rsidRDefault="00013BDC" w:rsidP="00D31152">
      <w:pPr>
        <w:pStyle w:val="FootnoteText"/>
        <w:rPr>
          <w:rFonts w:ascii="Open Sans" w:hAnsi="Open Sans" w:cs="Open Sans"/>
          <w:sz w:val="16"/>
          <w:szCs w:val="16"/>
          <w:lang w:val="en-GB"/>
        </w:rPr>
      </w:pPr>
      <w:hyperlink r:id="rId1" w:history="1">
        <w:r w:rsidR="00946EA2" w:rsidRPr="00D31152">
          <w:rPr>
            <w:rStyle w:val="Hyperlink"/>
            <w:rFonts w:ascii="Open Sans" w:hAnsi="Open Sans" w:cs="Open Sans"/>
            <w:sz w:val="16"/>
            <w:szCs w:val="16"/>
            <w:lang w:val="en-GB"/>
          </w:rPr>
          <w:t>https://eur-lex.europa.eu/legal-content/EN/TXT/HTML/?uri=CELEX:32000L0078&amp;from=FR</w:t>
        </w:r>
      </w:hyperlink>
    </w:p>
  </w:footnote>
  <w:footnote w:id="3">
    <w:p w14:paraId="17B18FB2" w14:textId="2CCC79BD"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According to EU SILC 2017. Data analysed by the Academic Network of European Disability Experts (ANED). See also European Disability Forum. Employment. Available at: </w:t>
      </w:r>
      <w:hyperlink r:id="rId2" w:history="1">
        <w:r w:rsidRPr="00D31152">
          <w:rPr>
            <w:rStyle w:val="Hyperlink"/>
            <w:rFonts w:ascii="Open Sans" w:hAnsi="Open Sans" w:cs="Open Sans"/>
            <w:sz w:val="16"/>
            <w:szCs w:val="16"/>
            <w:lang w:val="en-GB"/>
          </w:rPr>
          <w:t>http://www.edf-feph.org/employment</w:t>
        </w:r>
      </w:hyperlink>
    </w:p>
  </w:footnote>
  <w:footnote w:id="4">
    <w:p w14:paraId="603A32F8" w14:textId="4540655F"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National Disability Authority (NDA) ‘Disability and Work: the Picture We Learn From Official Statistics’ (Dublin: NDA, 2005) p 21. Available at: </w:t>
      </w:r>
      <w:hyperlink r:id="rId3" w:history="1">
        <w:r w:rsidRPr="00D31152">
          <w:rPr>
            <w:rStyle w:val="Hyperlink"/>
            <w:rFonts w:ascii="Open Sans" w:hAnsi="Open Sans" w:cs="Open Sans"/>
            <w:sz w:val="16"/>
            <w:szCs w:val="16"/>
            <w:lang w:val="en-GB"/>
          </w:rPr>
          <w:t>http://nda.ie/nda-files/Disability-and-Work-The-picture-we-learn-from-official-statistics.pdf</w:t>
        </w:r>
      </w:hyperlink>
    </w:p>
  </w:footnote>
  <w:footnote w:id="5">
    <w:p w14:paraId="2E6DF24E" w14:textId="7D2C0316"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ENABLE Scotland, Brussels, 2019.</w:t>
      </w:r>
    </w:p>
  </w:footnote>
  <w:footnote w:id="6">
    <w:p w14:paraId="0C8A5383" w14:textId="2961DBCF"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Fe</w:t>
      </w:r>
      <w:r w:rsidR="00B16093" w:rsidRPr="00D31152">
        <w:rPr>
          <w:rFonts w:ascii="Open Sans" w:hAnsi="Open Sans" w:cs="Open Sans"/>
          <w:sz w:val="16"/>
          <w:szCs w:val="16"/>
          <w:lang w:val="en-GB"/>
        </w:rPr>
        <w:t>nacerci in 2021 according to a census from 2001</w:t>
      </w:r>
    </w:p>
  </w:footnote>
  <w:footnote w:id="7">
    <w:p w14:paraId="20422977" w14:textId="3B98CA73" w:rsidR="00B107A1" w:rsidRPr="00D31152" w:rsidRDefault="00B107A1"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Inzicht in inclusie II, National Human Rights Insitute, 2018, cited in DPO Shadow Report UNCRPD, https://iederin.nl/wp-content/uploads/2019/12/Schaduwrapport-VN-verdrag-Handicap.pdf</w:t>
      </w:r>
    </w:p>
  </w:footnote>
  <w:footnote w:id="8">
    <w:p w14:paraId="3494B39A" w14:textId="416BEF24" w:rsidR="00A21CC3" w:rsidRPr="00D31152" w:rsidRDefault="00A21CC3" w:rsidP="00D31152">
      <w:pPr>
        <w:autoSpaceDE w:val="0"/>
        <w:autoSpaceDN w:val="0"/>
        <w:adjustRightInd w:val="0"/>
        <w:spacing w:after="0" w:line="240" w:lineRule="auto"/>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Disability inequality and the recruitment process: responding to legal and technological developments - Frederike Scholz, The University of Leeds, Leeds University Business School - l© 2017 The University of Leeds and Frederike Scholz</w:t>
      </w:r>
    </w:p>
  </w:footnote>
  <w:footnote w:id="9">
    <w:p w14:paraId="53807746" w14:textId="696E8E2F"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4" w:history="1">
        <w:r w:rsidRPr="00D31152">
          <w:rPr>
            <w:rStyle w:val="Hyperlink"/>
            <w:rFonts w:ascii="Open Sans" w:hAnsi="Open Sans" w:cs="Open Sans"/>
            <w:sz w:val="16"/>
            <w:szCs w:val="16"/>
            <w:lang w:val="en-GB"/>
          </w:rPr>
          <w:t>https://www.inclusion-europe.eu/wp-content/uploads/2015/03/D-3.1-The-European-research-and-the-lessons-learnt-as-uploaded-in-the-participant-portal-1.pdf</w:t>
        </w:r>
      </w:hyperlink>
    </w:p>
  </w:footnote>
  <w:footnote w:id="10">
    <w:p w14:paraId="42565813" w14:textId="77777777" w:rsidR="00927DAF" w:rsidRPr="00D31152" w:rsidRDefault="00927DAF" w:rsidP="00927DAF">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Briefing on minimum income and social protection </w:t>
      </w:r>
      <w:hyperlink r:id="rId5" w:history="1">
        <w:r w:rsidRPr="00D31152">
          <w:rPr>
            <w:rStyle w:val="Hyperlink"/>
            <w:rFonts w:ascii="Open Sans" w:hAnsi="Open Sans" w:cs="Open Sans"/>
            <w:sz w:val="16"/>
            <w:szCs w:val="16"/>
            <w:lang w:val="en-GB"/>
          </w:rPr>
          <w:t>www.inclusion-europe.eu/wp-content/uploads/2015/03/Briefing-on-minimum-income-and-social-protection.docx</w:t>
        </w:r>
      </w:hyperlink>
      <w:r w:rsidRPr="00D31152">
        <w:rPr>
          <w:rFonts w:ascii="Open Sans" w:hAnsi="Open Sans" w:cs="Open Sans"/>
          <w:sz w:val="16"/>
          <w:szCs w:val="16"/>
          <w:lang w:val="en-GB"/>
        </w:rPr>
        <w:t xml:space="preserve"> </w:t>
      </w:r>
    </w:p>
  </w:footnote>
  <w:footnote w:id="11">
    <w:p w14:paraId="08ECB450" w14:textId="44109707"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See for instance the decision of the Court of Justice of the European Union, Hellmut Marschall v Land Nordrhein-Westfalen, 1997, </w:t>
      </w:r>
      <w:hyperlink r:id="rId6" w:history="1">
        <w:r w:rsidRPr="00D31152">
          <w:rPr>
            <w:rStyle w:val="Hyperlink"/>
            <w:rFonts w:ascii="Open Sans" w:hAnsi="Open Sans" w:cs="Open Sans"/>
            <w:sz w:val="16"/>
            <w:szCs w:val="16"/>
            <w:lang w:val="en-GB"/>
          </w:rPr>
          <w:t>https://eur-lex.europa.eu/legal-content/EN/TXT/?uri=CELEX%3A61995CJ0409</w:t>
        </w:r>
      </w:hyperlink>
    </w:p>
  </w:footnote>
  <w:footnote w:id="12">
    <w:p w14:paraId="737D893F" w14:textId="5E494A18"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Some successful examples in Europe: </w:t>
      </w:r>
      <w:hyperlink r:id="rId7" w:history="1">
        <w:r w:rsidRPr="00D31152">
          <w:rPr>
            <w:rStyle w:val="Hyperlink"/>
            <w:rFonts w:ascii="Open Sans" w:hAnsi="Open Sans" w:cs="Open Sans"/>
            <w:sz w:val="16"/>
            <w:szCs w:val="16"/>
            <w:lang w:val="en-GB"/>
          </w:rPr>
          <w:t>KLAPjob</w:t>
        </w:r>
      </w:hyperlink>
      <w:r w:rsidRPr="00D31152">
        <w:rPr>
          <w:rFonts w:ascii="Open Sans" w:hAnsi="Open Sans" w:cs="Open Sans"/>
          <w:sz w:val="16"/>
          <w:szCs w:val="16"/>
          <w:lang w:val="en-GB"/>
        </w:rPr>
        <w:t xml:space="preserve">, </w:t>
      </w:r>
      <w:hyperlink r:id="rId8" w:history="1">
        <w:r w:rsidRPr="00D31152">
          <w:rPr>
            <w:rStyle w:val="Hyperlink"/>
            <w:rFonts w:ascii="Open Sans" w:hAnsi="Open Sans" w:cs="Open Sans"/>
            <w:sz w:val="16"/>
            <w:szCs w:val="16"/>
            <w:lang w:val="en-GB"/>
          </w:rPr>
          <w:t>Rytmus</w:t>
        </w:r>
      </w:hyperlink>
      <w:r w:rsidRPr="00D31152">
        <w:rPr>
          <w:rFonts w:ascii="Open Sans" w:hAnsi="Open Sans" w:cs="Open Sans"/>
          <w:sz w:val="16"/>
          <w:szCs w:val="16"/>
          <w:lang w:val="en-GB"/>
        </w:rPr>
        <w:t xml:space="preserve">, </w:t>
      </w:r>
      <w:hyperlink r:id="rId9" w:history="1">
        <w:r w:rsidRPr="00D31152">
          <w:rPr>
            <w:rStyle w:val="Hyperlink"/>
            <w:rFonts w:ascii="Open Sans" w:hAnsi="Open Sans" w:cs="Open Sans"/>
            <w:sz w:val="16"/>
            <w:szCs w:val="16"/>
            <w:lang w:val="en-GB"/>
          </w:rPr>
          <w:t>Ability@Work</w:t>
        </w:r>
      </w:hyperlink>
    </w:p>
  </w:footnote>
  <w:footnote w:id="13">
    <w:p w14:paraId="518692A4" w14:textId="4E20F9AF"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10" w:history="1">
        <w:r w:rsidRPr="00D31152">
          <w:rPr>
            <w:rStyle w:val="Hyperlink"/>
            <w:rFonts w:ascii="Open Sans" w:hAnsi="Open Sans" w:cs="Open Sans"/>
            <w:sz w:val="16"/>
            <w:szCs w:val="16"/>
            <w:lang w:val="en-GB"/>
          </w:rPr>
          <w:t>https://www.inclusion-europe.eu/wp-content/uploads/2015/03/D-3.1-The-European-research-and-the-lessons-learnt-as-uploaded-in-the-participant-portal-1.pdf</w:t>
        </w:r>
      </w:hyperlink>
    </w:p>
  </w:footnote>
  <w:footnote w:id="14">
    <w:p w14:paraId="45E07706" w14:textId="67E74FA4"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Council Directive 2000/78/EC of 27 November 2000 establishing a general framework for equal treatment in employment and occupation, </w:t>
      </w:r>
      <w:hyperlink r:id="rId11" w:history="1">
        <w:r w:rsidRPr="00D31152">
          <w:rPr>
            <w:rStyle w:val="Hyperlink"/>
            <w:rFonts w:ascii="Open Sans" w:hAnsi="Open Sans" w:cs="Open Sans"/>
            <w:sz w:val="16"/>
            <w:szCs w:val="16"/>
            <w:lang w:val="en-GB"/>
          </w:rPr>
          <w:t>https://eur-lex.europa.eu/legal-content/EN/TXT/HTML/?uri=CELEX:32000L0078&amp;from=FR</w:t>
        </w:r>
      </w:hyperlink>
    </w:p>
  </w:footnote>
  <w:footnote w:id="15">
    <w:p w14:paraId="0185BD91" w14:textId="6D0D92F7" w:rsidR="00A21CC3" w:rsidRPr="00D31152" w:rsidRDefault="00A21CC3"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Antwerp Management School, European research and the lessons learnt, 2020, </w:t>
      </w:r>
      <w:hyperlink r:id="rId12" w:history="1">
        <w:r w:rsidRPr="00D31152">
          <w:rPr>
            <w:rStyle w:val="Hyperlink"/>
            <w:rFonts w:ascii="Open Sans" w:hAnsi="Open Sans" w:cs="Open Sans"/>
            <w:sz w:val="16"/>
            <w:szCs w:val="16"/>
            <w:lang w:val="en-GB"/>
          </w:rPr>
          <w:t>https://www.inclusion-europe.eu/wp-content/uploads/2015/03/D-3.1-The-European-research-and-the-lessons-learnt-as-uploaded-in-the-participant-portal-1.pdf</w:t>
        </w:r>
      </w:hyperlink>
    </w:p>
  </w:footnote>
  <w:footnote w:id="16">
    <w:p w14:paraId="7185B743" w14:textId="77777777" w:rsidR="00E377C1" w:rsidRPr="00D31152" w:rsidRDefault="00E377C1"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FRA, Fundamental Rights’ Survey, 2021, </w:t>
      </w:r>
      <w:hyperlink r:id="rId13" w:history="1">
        <w:r w:rsidRPr="00D31152">
          <w:rPr>
            <w:rStyle w:val="Hyperlink"/>
            <w:rFonts w:ascii="Open Sans" w:hAnsi="Open Sans" w:cs="Open Sans"/>
            <w:sz w:val="16"/>
            <w:szCs w:val="16"/>
            <w:lang w:val="en-GB"/>
          </w:rPr>
          <w:t>https://fra.europa.eu/en/data-and-maps/2021/frs?mdq1=dataset</w:t>
        </w:r>
      </w:hyperlink>
    </w:p>
  </w:footnote>
  <w:footnote w:id="17">
    <w:p w14:paraId="31D47595" w14:textId="77777777" w:rsidR="00E377C1" w:rsidRPr="00D31152" w:rsidRDefault="00E377C1"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FRA, Fundamental Rights’ Survey, 2021,  </w:t>
      </w:r>
      <w:hyperlink r:id="rId14" w:history="1">
        <w:r w:rsidRPr="00D31152">
          <w:rPr>
            <w:rStyle w:val="Hyperlink"/>
            <w:rFonts w:ascii="Open Sans" w:hAnsi="Open Sans" w:cs="Open Sans"/>
            <w:sz w:val="16"/>
            <w:szCs w:val="16"/>
            <w:lang w:val="en-GB"/>
          </w:rPr>
          <w:t>https://fra.europa.eu/en/data-and-maps/2021/frs?mdq1=dataset</w:t>
        </w:r>
      </w:hyperlink>
    </w:p>
  </w:footnote>
  <w:footnote w:id="18">
    <w:p w14:paraId="3EAFB2DD" w14:textId="77777777" w:rsidR="00E377C1" w:rsidRPr="00D31152" w:rsidRDefault="00E377C1" w:rsidP="00D31152">
      <w:pPr>
        <w:pStyle w:val="FootnoteText"/>
        <w:rPr>
          <w:rFonts w:ascii="Open Sans" w:hAnsi="Open Sans" w:cs="Open Sans"/>
          <w:sz w:val="16"/>
          <w:szCs w:val="16"/>
          <w:lang w:val="en-GB"/>
        </w:rPr>
      </w:pPr>
      <w:r w:rsidRPr="00D31152">
        <w:rPr>
          <w:rStyle w:val="FootnoteReference"/>
          <w:rFonts w:ascii="Open Sans" w:hAnsi="Open Sans" w:cs="Open Sans"/>
          <w:sz w:val="16"/>
          <w:szCs w:val="16"/>
          <w:lang w:val="en-GB"/>
        </w:rPr>
        <w:footnoteRef/>
      </w:r>
      <w:r w:rsidRPr="00D31152">
        <w:rPr>
          <w:rFonts w:ascii="Open Sans" w:hAnsi="Open Sans" w:cs="Open Sans"/>
          <w:sz w:val="16"/>
          <w:szCs w:val="16"/>
          <w:lang w:val="en-GB"/>
        </w:rPr>
        <w:t xml:space="preserve"> Macdonald, ‘Community fear and harassment’: learning difficulties and hate crime incidents in the north-east of England,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349"/>
    <w:multiLevelType w:val="hybridMultilevel"/>
    <w:tmpl w:val="889A0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2693A"/>
    <w:multiLevelType w:val="hybridMultilevel"/>
    <w:tmpl w:val="3BA47754"/>
    <w:lvl w:ilvl="0" w:tplc="8DA0B33A">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F942B6"/>
    <w:multiLevelType w:val="hybridMultilevel"/>
    <w:tmpl w:val="375E5E26"/>
    <w:lvl w:ilvl="0" w:tplc="86C6DE9A">
      <w:start w:val="1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586475"/>
    <w:multiLevelType w:val="hybridMultilevel"/>
    <w:tmpl w:val="3E443FA2"/>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B40557"/>
    <w:multiLevelType w:val="hybridMultilevel"/>
    <w:tmpl w:val="05AE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16"/>
    <w:rsid w:val="000000B4"/>
    <w:rsid w:val="00011E83"/>
    <w:rsid w:val="00013BDC"/>
    <w:rsid w:val="000162D4"/>
    <w:rsid w:val="0003409D"/>
    <w:rsid w:val="00040C83"/>
    <w:rsid w:val="00056781"/>
    <w:rsid w:val="000578C5"/>
    <w:rsid w:val="00057F16"/>
    <w:rsid w:val="00065BE3"/>
    <w:rsid w:val="00097B3E"/>
    <w:rsid w:val="000A1886"/>
    <w:rsid w:val="000A5B9D"/>
    <w:rsid w:val="000A68F5"/>
    <w:rsid w:val="000A78C7"/>
    <w:rsid w:val="000B4D98"/>
    <w:rsid w:val="000B6215"/>
    <w:rsid w:val="000C0379"/>
    <w:rsid w:val="000C04DC"/>
    <w:rsid w:val="000C57D0"/>
    <w:rsid w:val="000D1697"/>
    <w:rsid w:val="000D2419"/>
    <w:rsid w:val="000F5E85"/>
    <w:rsid w:val="000F6977"/>
    <w:rsid w:val="00104814"/>
    <w:rsid w:val="001143C4"/>
    <w:rsid w:val="001316F8"/>
    <w:rsid w:val="001418C8"/>
    <w:rsid w:val="00145385"/>
    <w:rsid w:val="00145EBF"/>
    <w:rsid w:val="0014612E"/>
    <w:rsid w:val="0014785B"/>
    <w:rsid w:val="00153458"/>
    <w:rsid w:val="00157C00"/>
    <w:rsid w:val="00186721"/>
    <w:rsid w:val="001C127C"/>
    <w:rsid w:val="001C33A9"/>
    <w:rsid w:val="001C483B"/>
    <w:rsid w:val="001C7D7E"/>
    <w:rsid w:val="001E1B3C"/>
    <w:rsid w:val="00200F6C"/>
    <w:rsid w:val="00227F00"/>
    <w:rsid w:val="0024265C"/>
    <w:rsid w:val="00246004"/>
    <w:rsid w:val="002468BE"/>
    <w:rsid w:val="00256492"/>
    <w:rsid w:val="0026728C"/>
    <w:rsid w:val="00277769"/>
    <w:rsid w:val="00290DF9"/>
    <w:rsid w:val="002A5B75"/>
    <w:rsid w:val="002A5D56"/>
    <w:rsid w:val="002B1912"/>
    <w:rsid w:val="002C6E6C"/>
    <w:rsid w:val="002E297E"/>
    <w:rsid w:val="002E3D17"/>
    <w:rsid w:val="002F52BD"/>
    <w:rsid w:val="00300D72"/>
    <w:rsid w:val="00302B60"/>
    <w:rsid w:val="00305D8D"/>
    <w:rsid w:val="0033368C"/>
    <w:rsid w:val="00351C8C"/>
    <w:rsid w:val="00354603"/>
    <w:rsid w:val="00362AF6"/>
    <w:rsid w:val="00371C98"/>
    <w:rsid w:val="00376CC1"/>
    <w:rsid w:val="00376FFA"/>
    <w:rsid w:val="00383ED6"/>
    <w:rsid w:val="0038761A"/>
    <w:rsid w:val="00395806"/>
    <w:rsid w:val="003A2858"/>
    <w:rsid w:val="003A28CE"/>
    <w:rsid w:val="003C6BC9"/>
    <w:rsid w:val="003D0982"/>
    <w:rsid w:val="003F197C"/>
    <w:rsid w:val="004108EF"/>
    <w:rsid w:val="00416F76"/>
    <w:rsid w:val="00420F80"/>
    <w:rsid w:val="004558B1"/>
    <w:rsid w:val="004612EB"/>
    <w:rsid w:val="00462770"/>
    <w:rsid w:val="004654D3"/>
    <w:rsid w:val="0047110D"/>
    <w:rsid w:val="0047449C"/>
    <w:rsid w:val="00476550"/>
    <w:rsid w:val="004C18D9"/>
    <w:rsid w:val="004C2C7B"/>
    <w:rsid w:val="004C421C"/>
    <w:rsid w:val="004C6DE6"/>
    <w:rsid w:val="004D00C2"/>
    <w:rsid w:val="004D0FED"/>
    <w:rsid w:val="004E710F"/>
    <w:rsid w:val="00500DA9"/>
    <w:rsid w:val="0052164B"/>
    <w:rsid w:val="0052178B"/>
    <w:rsid w:val="00522F9C"/>
    <w:rsid w:val="005279DC"/>
    <w:rsid w:val="005433ED"/>
    <w:rsid w:val="00544333"/>
    <w:rsid w:val="00550204"/>
    <w:rsid w:val="005546EA"/>
    <w:rsid w:val="00574715"/>
    <w:rsid w:val="0057717D"/>
    <w:rsid w:val="005821A8"/>
    <w:rsid w:val="00582692"/>
    <w:rsid w:val="00584155"/>
    <w:rsid w:val="005972D5"/>
    <w:rsid w:val="005B2749"/>
    <w:rsid w:val="005D03D5"/>
    <w:rsid w:val="005D4782"/>
    <w:rsid w:val="005F5089"/>
    <w:rsid w:val="00631B98"/>
    <w:rsid w:val="00632914"/>
    <w:rsid w:val="00651062"/>
    <w:rsid w:val="00652F20"/>
    <w:rsid w:val="00654989"/>
    <w:rsid w:val="00662E57"/>
    <w:rsid w:val="00674DB2"/>
    <w:rsid w:val="00686E13"/>
    <w:rsid w:val="006967EE"/>
    <w:rsid w:val="006A2B28"/>
    <w:rsid w:val="006A51F6"/>
    <w:rsid w:val="006A5CF6"/>
    <w:rsid w:val="006B01EC"/>
    <w:rsid w:val="006C2FE1"/>
    <w:rsid w:val="006D7CE7"/>
    <w:rsid w:val="006F1CAF"/>
    <w:rsid w:val="0072539F"/>
    <w:rsid w:val="00725781"/>
    <w:rsid w:val="007456F6"/>
    <w:rsid w:val="00746A6A"/>
    <w:rsid w:val="00755E07"/>
    <w:rsid w:val="007568A3"/>
    <w:rsid w:val="00761863"/>
    <w:rsid w:val="00783747"/>
    <w:rsid w:val="007843A7"/>
    <w:rsid w:val="00791505"/>
    <w:rsid w:val="0079156F"/>
    <w:rsid w:val="007A0A29"/>
    <w:rsid w:val="007A3852"/>
    <w:rsid w:val="007A4FDF"/>
    <w:rsid w:val="007B3A21"/>
    <w:rsid w:val="007B4238"/>
    <w:rsid w:val="007C258F"/>
    <w:rsid w:val="007C705B"/>
    <w:rsid w:val="007C9497"/>
    <w:rsid w:val="007D7166"/>
    <w:rsid w:val="007E22BF"/>
    <w:rsid w:val="007F26C9"/>
    <w:rsid w:val="00813D4B"/>
    <w:rsid w:val="00820FD2"/>
    <w:rsid w:val="00822344"/>
    <w:rsid w:val="0082560E"/>
    <w:rsid w:val="0085010B"/>
    <w:rsid w:val="00856B77"/>
    <w:rsid w:val="008579E0"/>
    <w:rsid w:val="00870ADA"/>
    <w:rsid w:val="0087657E"/>
    <w:rsid w:val="00877DBD"/>
    <w:rsid w:val="0088384C"/>
    <w:rsid w:val="00893200"/>
    <w:rsid w:val="008C437A"/>
    <w:rsid w:val="008D5753"/>
    <w:rsid w:val="008D7667"/>
    <w:rsid w:val="008E7BCE"/>
    <w:rsid w:val="008F5B19"/>
    <w:rsid w:val="00901118"/>
    <w:rsid w:val="00904056"/>
    <w:rsid w:val="009106E2"/>
    <w:rsid w:val="00912A9E"/>
    <w:rsid w:val="009131D0"/>
    <w:rsid w:val="00927DAF"/>
    <w:rsid w:val="00933E3C"/>
    <w:rsid w:val="00944082"/>
    <w:rsid w:val="0094628A"/>
    <w:rsid w:val="00946EA2"/>
    <w:rsid w:val="009569F1"/>
    <w:rsid w:val="00967C4C"/>
    <w:rsid w:val="00971134"/>
    <w:rsid w:val="00985029"/>
    <w:rsid w:val="009A0CE4"/>
    <w:rsid w:val="009B1ADC"/>
    <w:rsid w:val="009B76DA"/>
    <w:rsid w:val="009C158A"/>
    <w:rsid w:val="009C6A6D"/>
    <w:rsid w:val="009D1645"/>
    <w:rsid w:val="009D2298"/>
    <w:rsid w:val="009E221E"/>
    <w:rsid w:val="009F25C5"/>
    <w:rsid w:val="00A1546C"/>
    <w:rsid w:val="00A21CC3"/>
    <w:rsid w:val="00A272CB"/>
    <w:rsid w:val="00A2770F"/>
    <w:rsid w:val="00A42515"/>
    <w:rsid w:val="00A45598"/>
    <w:rsid w:val="00A55F74"/>
    <w:rsid w:val="00A82A2B"/>
    <w:rsid w:val="00AA20DA"/>
    <w:rsid w:val="00AC444C"/>
    <w:rsid w:val="00AE2D9A"/>
    <w:rsid w:val="00AE783B"/>
    <w:rsid w:val="00B107A1"/>
    <w:rsid w:val="00B16093"/>
    <w:rsid w:val="00B218BA"/>
    <w:rsid w:val="00B31C5B"/>
    <w:rsid w:val="00B40B7F"/>
    <w:rsid w:val="00B440B6"/>
    <w:rsid w:val="00B45484"/>
    <w:rsid w:val="00B73EFF"/>
    <w:rsid w:val="00B808B8"/>
    <w:rsid w:val="00BA1368"/>
    <w:rsid w:val="00BA7A05"/>
    <w:rsid w:val="00BB5F84"/>
    <w:rsid w:val="00BC1B51"/>
    <w:rsid w:val="00BC5195"/>
    <w:rsid w:val="00BC7D66"/>
    <w:rsid w:val="00BE0818"/>
    <w:rsid w:val="00BE7316"/>
    <w:rsid w:val="00BF5ABE"/>
    <w:rsid w:val="00BF66AA"/>
    <w:rsid w:val="00C15D2D"/>
    <w:rsid w:val="00C211C2"/>
    <w:rsid w:val="00C26FBC"/>
    <w:rsid w:val="00C4482E"/>
    <w:rsid w:val="00C46E7A"/>
    <w:rsid w:val="00C51064"/>
    <w:rsid w:val="00C663F0"/>
    <w:rsid w:val="00C711FC"/>
    <w:rsid w:val="00C83332"/>
    <w:rsid w:val="00C838DB"/>
    <w:rsid w:val="00C87806"/>
    <w:rsid w:val="00C909B1"/>
    <w:rsid w:val="00CA4F64"/>
    <w:rsid w:val="00CA721E"/>
    <w:rsid w:val="00CB0087"/>
    <w:rsid w:val="00CB591F"/>
    <w:rsid w:val="00CB70CD"/>
    <w:rsid w:val="00CC35E2"/>
    <w:rsid w:val="00CC64FA"/>
    <w:rsid w:val="00CE5BB0"/>
    <w:rsid w:val="00D054E0"/>
    <w:rsid w:val="00D30C54"/>
    <w:rsid w:val="00D31152"/>
    <w:rsid w:val="00D322EA"/>
    <w:rsid w:val="00D34801"/>
    <w:rsid w:val="00D36742"/>
    <w:rsid w:val="00D64A1E"/>
    <w:rsid w:val="00D81E7B"/>
    <w:rsid w:val="00D84D74"/>
    <w:rsid w:val="00D92E4C"/>
    <w:rsid w:val="00D976B8"/>
    <w:rsid w:val="00DC525F"/>
    <w:rsid w:val="00DC79EC"/>
    <w:rsid w:val="00DD0CC1"/>
    <w:rsid w:val="00DD505E"/>
    <w:rsid w:val="00DD50FD"/>
    <w:rsid w:val="00DD7CEF"/>
    <w:rsid w:val="00DE3600"/>
    <w:rsid w:val="00DF16DE"/>
    <w:rsid w:val="00DF630E"/>
    <w:rsid w:val="00DF6D8A"/>
    <w:rsid w:val="00E17412"/>
    <w:rsid w:val="00E3046D"/>
    <w:rsid w:val="00E377C1"/>
    <w:rsid w:val="00E53D86"/>
    <w:rsid w:val="00E61903"/>
    <w:rsid w:val="00E673E1"/>
    <w:rsid w:val="00E8217F"/>
    <w:rsid w:val="00E84282"/>
    <w:rsid w:val="00E86805"/>
    <w:rsid w:val="00E87260"/>
    <w:rsid w:val="00E87530"/>
    <w:rsid w:val="00EA1A10"/>
    <w:rsid w:val="00EB446B"/>
    <w:rsid w:val="00ED7822"/>
    <w:rsid w:val="00F024A3"/>
    <w:rsid w:val="00F318BA"/>
    <w:rsid w:val="00F35A1E"/>
    <w:rsid w:val="00F734BC"/>
    <w:rsid w:val="00F8030E"/>
    <w:rsid w:val="00F839C5"/>
    <w:rsid w:val="00F92E00"/>
    <w:rsid w:val="00F93016"/>
    <w:rsid w:val="00FB43E9"/>
    <w:rsid w:val="00FB792F"/>
    <w:rsid w:val="00FD7113"/>
    <w:rsid w:val="00FD738C"/>
    <w:rsid w:val="00FE0802"/>
    <w:rsid w:val="00FE0D62"/>
    <w:rsid w:val="00FE7285"/>
    <w:rsid w:val="00FE751F"/>
    <w:rsid w:val="00FF3193"/>
    <w:rsid w:val="05E291FC"/>
    <w:rsid w:val="0928357A"/>
    <w:rsid w:val="0A8B2B59"/>
    <w:rsid w:val="0B8464B1"/>
    <w:rsid w:val="1055DC9B"/>
    <w:rsid w:val="11D7F2F5"/>
    <w:rsid w:val="13809986"/>
    <w:rsid w:val="16F0BF0E"/>
    <w:rsid w:val="170BDB76"/>
    <w:rsid w:val="19349CDD"/>
    <w:rsid w:val="1AC451D3"/>
    <w:rsid w:val="1EABED89"/>
    <w:rsid w:val="1F14F950"/>
    <w:rsid w:val="26305251"/>
    <w:rsid w:val="267FE903"/>
    <w:rsid w:val="2A32682F"/>
    <w:rsid w:val="2AD55631"/>
    <w:rsid w:val="2C712692"/>
    <w:rsid w:val="2D193400"/>
    <w:rsid w:val="2FA8C754"/>
    <w:rsid w:val="304A4391"/>
    <w:rsid w:val="3761860F"/>
    <w:rsid w:val="37CF08BB"/>
    <w:rsid w:val="3A1EEC0A"/>
    <w:rsid w:val="3D48B475"/>
    <w:rsid w:val="3DA179E6"/>
    <w:rsid w:val="3E1458EB"/>
    <w:rsid w:val="3FAD1BC3"/>
    <w:rsid w:val="407BD64C"/>
    <w:rsid w:val="445456B9"/>
    <w:rsid w:val="4715D42A"/>
    <w:rsid w:val="4E6BCBAF"/>
    <w:rsid w:val="4EF977D3"/>
    <w:rsid w:val="4FEEC0E5"/>
    <w:rsid w:val="56A13C95"/>
    <w:rsid w:val="5ACC7971"/>
    <w:rsid w:val="5B8DDD6A"/>
    <w:rsid w:val="5BD76BCB"/>
    <w:rsid w:val="5F18C210"/>
    <w:rsid w:val="603668E7"/>
    <w:rsid w:val="6138EC76"/>
    <w:rsid w:val="61BB6F9F"/>
    <w:rsid w:val="61FD369E"/>
    <w:rsid w:val="63F94025"/>
    <w:rsid w:val="64055B90"/>
    <w:rsid w:val="6428A60C"/>
    <w:rsid w:val="64CE0724"/>
    <w:rsid w:val="66EE9EA7"/>
    <w:rsid w:val="6723D3F5"/>
    <w:rsid w:val="67E5CFD6"/>
    <w:rsid w:val="6A17ACB8"/>
    <w:rsid w:val="6A5B74B7"/>
    <w:rsid w:val="6ABD0D50"/>
    <w:rsid w:val="6C56B752"/>
    <w:rsid w:val="6D5F9847"/>
    <w:rsid w:val="6D6D6CCD"/>
    <w:rsid w:val="6E1F5761"/>
    <w:rsid w:val="70E41F55"/>
    <w:rsid w:val="72DA3C9B"/>
    <w:rsid w:val="75B7BA70"/>
    <w:rsid w:val="76DAADD2"/>
    <w:rsid w:val="78C3D13B"/>
    <w:rsid w:val="79FB0D51"/>
    <w:rsid w:val="7A81D306"/>
    <w:rsid w:val="7F0B23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29EB"/>
  <w15:chartTrackingRefBased/>
  <w15:docId w15:val="{47299365-B0C2-4946-BA06-A81FD334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016"/>
  </w:style>
  <w:style w:type="paragraph" w:styleId="Heading1">
    <w:name w:val="heading 1"/>
    <w:basedOn w:val="Normal"/>
    <w:next w:val="Normal"/>
    <w:link w:val="Heading1Char"/>
    <w:uiPriority w:val="9"/>
    <w:qFormat/>
    <w:rsid w:val="00FD73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F6C"/>
    <w:pPr>
      <w:keepNext/>
      <w:keepLines/>
      <w:spacing w:before="360" w:after="120"/>
      <w:outlineLvl w:val="1"/>
    </w:pPr>
    <w:rPr>
      <w:rFonts w:ascii="Calibri" w:eastAsiaTheme="majorEastAsia" w:hAnsi="Calibr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0F6C"/>
    <w:pPr>
      <w:keepNext/>
      <w:keepLines/>
      <w:spacing w:before="360" w:after="120"/>
      <w:outlineLvl w:val="2"/>
    </w:pPr>
    <w:rPr>
      <w:rFonts w:ascii="Calibri" w:eastAsiaTheme="majorEastAsia" w:hAnsi="Calibr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6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DE6"/>
    <w:rPr>
      <w:sz w:val="20"/>
      <w:szCs w:val="20"/>
    </w:rPr>
  </w:style>
  <w:style w:type="character" w:styleId="FootnoteReference">
    <w:name w:val="footnote reference"/>
    <w:basedOn w:val="DefaultParagraphFont"/>
    <w:uiPriority w:val="99"/>
    <w:semiHidden/>
    <w:unhideWhenUsed/>
    <w:rsid w:val="004C6DE6"/>
    <w:rPr>
      <w:vertAlign w:val="superscript"/>
    </w:rPr>
  </w:style>
  <w:style w:type="paragraph" w:styleId="ListParagraph">
    <w:name w:val="List Paragraph"/>
    <w:basedOn w:val="Normal"/>
    <w:uiPriority w:val="34"/>
    <w:qFormat/>
    <w:rsid w:val="00FD738C"/>
    <w:pPr>
      <w:ind w:left="720"/>
      <w:contextualSpacing/>
    </w:pPr>
  </w:style>
  <w:style w:type="character" w:customStyle="1" w:styleId="Heading1Char">
    <w:name w:val="Heading 1 Char"/>
    <w:basedOn w:val="DefaultParagraphFont"/>
    <w:link w:val="Heading1"/>
    <w:uiPriority w:val="9"/>
    <w:rsid w:val="00FD73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738C"/>
    <w:rPr>
      <w:rFonts w:ascii="Calibri" w:eastAsiaTheme="majorEastAsia" w:hAnsi="Calibri" w:cstheme="majorBidi"/>
      <w:color w:val="2F5496" w:themeColor="accent1" w:themeShade="BF"/>
      <w:sz w:val="26"/>
      <w:szCs w:val="26"/>
    </w:rPr>
  </w:style>
  <w:style w:type="character" w:styleId="Hyperlink">
    <w:name w:val="Hyperlink"/>
    <w:basedOn w:val="DefaultParagraphFont"/>
    <w:uiPriority w:val="99"/>
    <w:unhideWhenUsed/>
    <w:rsid w:val="00FD738C"/>
    <w:rPr>
      <w:color w:val="0563C1" w:themeColor="hyperlink"/>
      <w:u w:val="single"/>
    </w:rPr>
  </w:style>
  <w:style w:type="character" w:customStyle="1" w:styleId="UnresolvedMention">
    <w:name w:val="Unresolved Mention"/>
    <w:basedOn w:val="DefaultParagraphFont"/>
    <w:uiPriority w:val="99"/>
    <w:semiHidden/>
    <w:unhideWhenUsed/>
    <w:rsid w:val="00FF3193"/>
    <w:rPr>
      <w:color w:val="605E5C"/>
      <w:shd w:val="clear" w:color="auto" w:fill="E1DFDD"/>
    </w:rPr>
  </w:style>
  <w:style w:type="character" w:customStyle="1" w:styleId="scxw25452055">
    <w:name w:val="scxw25452055"/>
    <w:basedOn w:val="DefaultParagraphFont"/>
    <w:rsid w:val="00F92E00"/>
  </w:style>
  <w:style w:type="character" w:customStyle="1" w:styleId="Heading3Char">
    <w:name w:val="Heading 3 Char"/>
    <w:basedOn w:val="DefaultParagraphFont"/>
    <w:link w:val="Heading3"/>
    <w:uiPriority w:val="9"/>
    <w:rsid w:val="00500DA9"/>
    <w:rPr>
      <w:rFonts w:ascii="Calibri" w:eastAsiaTheme="majorEastAsia" w:hAnsi="Calibri" w:cstheme="majorBidi"/>
      <w:color w:val="1F3763" w:themeColor="accent1" w:themeShade="7F"/>
      <w:sz w:val="24"/>
      <w:szCs w:val="24"/>
    </w:rPr>
  </w:style>
  <w:style w:type="paragraph" w:styleId="Header">
    <w:name w:val="header"/>
    <w:basedOn w:val="Normal"/>
    <w:link w:val="HeaderChar"/>
    <w:uiPriority w:val="99"/>
    <w:unhideWhenUsed/>
    <w:rsid w:val="00097B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7B3E"/>
  </w:style>
  <w:style w:type="paragraph" w:styleId="Footer">
    <w:name w:val="footer"/>
    <w:basedOn w:val="Normal"/>
    <w:link w:val="FooterChar"/>
    <w:uiPriority w:val="99"/>
    <w:unhideWhenUsed/>
    <w:rsid w:val="00097B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7B3E"/>
  </w:style>
  <w:style w:type="character" w:styleId="CommentReference">
    <w:name w:val="annotation reference"/>
    <w:basedOn w:val="DefaultParagraphFont"/>
    <w:uiPriority w:val="99"/>
    <w:semiHidden/>
    <w:unhideWhenUsed/>
    <w:rsid w:val="00CC35E2"/>
    <w:rPr>
      <w:sz w:val="16"/>
      <w:szCs w:val="16"/>
    </w:rPr>
  </w:style>
  <w:style w:type="paragraph" w:styleId="CommentText">
    <w:name w:val="annotation text"/>
    <w:basedOn w:val="Normal"/>
    <w:link w:val="CommentTextChar"/>
    <w:uiPriority w:val="99"/>
    <w:semiHidden/>
    <w:unhideWhenUsed/>
    <w:rsid w:val="00CC35E2"/>
    <w:pPr>
      <w:spacing w:line="240" w:lineRule="auto"/>
    </w:pPr>
    <w:rPr>
      <w:sz w:val="20"/>
      <w:szCs w:val="20"/>
    </w:rPr>
  </w:style>
  <w:style w:type="character" w:customStyle="1" w:styleId="CommentTextChar">
    <w:name w:val="Comment Text Char"/>
    <w:basedOn w:val="DefaultParagraphFont"/>
    <w:link w:val="CommentText"/>
    <w:uiPriority w:val="99"/>
    <w:semiHidden/>
    <w:rsid w:val="00CC35E2"/>
    <w:rPr>
      <w:sz w:val="20"/>
      <w:szCs w:val="20"/>
    </w:rPr>
  </w:style>
  <w:style w:type="paragraph" w:styleId="CommentSubject">
    <w:name w:val="annotation subject"/>
    <w:basedOn w:val="CommentText"/>
    <w:next w:val="CommentText"/>
    <w:link w:val="CommentSubjectChar"/>
    <w:uiPriority w:val="99"/>
    <w:semiHidden/>
    <w:unhideWhenUsed/>
    <w:rsid w:val="00CC35E2"/>
    <w:rPr>
      <w:b/>
      <w:bCs/>
    </w:rPr>
  </w:style>
  <w:style w:type="character" w:customStyle="1" w:styleId="CommentSubjectChar">
    <w:name w:val="Comment Subject Char"/>
    <w:basedOn w:val="CommentTextChar"/>
    <w:link w:val="CommentSubject"/>
    <w:uiPriority w:val="99"/>
    <w:semiHidden/>
    <w:rsid w:val="00CC35E2"/>
    <w:rPr>
      <w:b/>
      <w:bCs/>
      <w:sz w:val="20"/>
      <w:szCs w:val="20"/>
    </w:rPr>
  </w:style>
  <w:style w:type="paragraph" w:styleId="TOCHeading">
    <w:name w:val="TOC Heading"/>
    <w:basedOn w:val="Heading1"/>
    <w:next w:val="Normal"/>
    <w:uiPriority w:val="39"/>
    <w:unhideWhenUsed/>
    <w:qFormat/>
    <w:rsid w:val="00362AF6"/>
    <w:pPr>
      <w:outlineLvl w:val="9"/>
    </w:pPr>
    <w:rPr>
      <w:lang w:val="en-US"/>
    </w:rPr>
  </w:style>
  <w:style w:type="paragraph" w:styleId="TOC2">
    <w:name w:val="toc 2"/>
    <w:basedOn w:val="Normal"/>
    <w:next w:val="Normal"/>
    <w:autoRedefine/>
    <w:uiPriority w:val="39"/>
    <w:unhideWhenUsed/>
    <w:rsid w:val="00362AF6"/>
    <w:pPr>
      <w:spacing w:after="100"/>
      <w:ind w:left="220"/>
    </w:pPr>
  </w:style>
  <w:style w:type="paragraph" w:styleId="TOC1">
    <w:name w:val="toc 1"/>
    <w:basedOn w:val="Normal"/>
    <w:next w:val="Normal"/>
    <w:autoRedefine/>
    <w:uiPriority w:val="39"/>
    <w:unhideWhenUsed/>
    <w:rsid w:val="00362AF6"/>
    <w:pPr>
      <w:spacing w:after="100"/>
    </w:pPr>
  </w:style>
  <w:style w:type="paragraph" w:styleId="TOC3">
    <w:name w:val="toc 3"/>
    <w:basedOn w:val="Normal"/>
    <w:next w:val="Normal"/>
    <w:autoRedefine/>
    <w:uiPriority w:val="39"/>
    <w:unhideWhenUsed/>
    <w:rsid w:val="00362AF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nclusion-europe.eu/help-people-with-disabilities-to-live-normal-life-rytmus/" TargetMode="External"/><Relationship Id="rId13" Type="http://schemas.openxmlformats.org/officeDocument/2006/relationships/hyperlink" Target="https://fra.europa.eu/en/data-and-maps/2021/frs?mdq1=dataset" TargetMode="External"/><Relationship Id="rId3" Type="http://schemas.openxmlformats.org/officeDocument/2006/relationships/hyperlink" Target="http://nda.ie/nda-files/Disability-and-Work-The-picture-we-learn-from-official-statistics.pdf" TargetMode="External"/><Relationship Id="rId7" Type="http://schemas.openxmlformats.org/officeDocument/2006/relationships/hyperlink" Target="https://www.inclusion-europe.eu/klapjob-employment-inclusion-people-disabilities/" TargetMode="External"/><Relationship Id="rId12" Type="http://schemas.openxmlformats.org/officeDocument/2006/relationships/hyperlink" Target="https://www.inclusion-europe.eu/wp-content/uploads/2015/03/D-3.1-The-European-research-and-the-lessons-learnt-as-uploaded-in-the-participant-portal-1.pdf" TargetMode="External"/><Relationship Id="rId2" Type="http://schemas.openxmlformats.org/officeDocument/2006/relationships/hyperlink" Target="http://www.edf-feph.org/employment" TargetMode="External"/><Relationship Id="rId1" Type="http://schemas.openxmlformats.org/officeDocument/2006/relationships/hyperlink" Target="https://eur-lex.europa.eu/legal-content/EN/TXT/HTML/?uri=CELEX:32000L0078&amp;from=FR" TargetMode="External"/><Relationship Id="rId6" Type="http://schemas.openxmlformats.org/officeDocument/2006/relationships/hyperlink" Target="https://eur-lex.europa.eu/legal-content/EN/TXT/?uri=CELEX%3A61995CJ0409" TargetMode="External"/><Relationship Id="rId11" Type="http://schemas.openxmlformats.org/officeDocument/2006/relationships/hyperlink" Target="https://eur-lex.europa.eu/legal-content/EN/TXT/HTML/?uri=CELEX:32000L0078&amp;from=FR" TargetMode="External"/><Relationship Id="rId5" Type="http://schemas.openxmlformats.org/officeDocument/2006/relationships/hyperlink" Target="http://www.inclusion-europe.eu/wp-content/uploads/2015/03/Briefing-on-minimum-income-and-social-protection.docx" TargetMode="External"/><Relationship Id="rId10" Type="http://schemas.openxmlformats.org/officeDocument/2006/relationships/hyperlink" Target="https://www.inclusion-europe.eu/wp-content/uploads/2015/03/D-3.1-The-European-research-and-the-lessons-learnt-as-uploaded-in-the-participant-portal-1.pdf" TargetMode="External"/><Relationship Id="rId4" Type="http://schemas.openxmlformats.org/officeDocument/2006/relationships/hyperlink" Target="https://www.inclusion-europe.eu/wp-content/uploads/2015/03/D-3.1-The-European-research-and-the-lessons-learnt-as-uploaded-in-the-participant-portal-1.pdf" TargetMode="External"/><Relationship Id="rId9" Type="http://schemas.openxmlformats.org/officeDocument/2006/relationships/hyperlink" Target="https://www.cope-foundation.ie/AbilityWork" TargetMode="External"/><Relationship Id="rId14" Type="http://schemas.openxmlformats.org/officeDocument/2006/relationships/hyperlink" Target="https://fra.europa.eu/en/data-and-maps/2021/frs?mdq1=datas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AE38-7906-4ED0-83BA-0C88D837DD8B}">
  <ds:schemaRefs>
    <ds:schemaRef ds:uri="http://schemas.microsoft.com/office/2006/metadata/properties"/>
    <ds:schemaRef ds:uri="http://purl.org/dc/elements/1.1/"/>
    <ds:schemaRef ds:uri="eb106d1f-5234-4220-9f34-74f5cd721b8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64a528b-f3bd-4a9a-86df-61b81d7e8287"/>
    <ds:schemaRef ds:uri="http://www.w3.org/XML/1998/namespace"/>
  </ds:schemaRefs>
</ds:datastoreItem>
</file>

<file path=customXml/itemProps2.xml><?xml version="1.0" encoding="utf-8"?>
<ds:datastoreItem xmlns:ds="http://schemas.openxmlformats.org/officeDocument/2006/customXml" ds:itemID="{9C301FB6-53DE-43D7-A827-5F9682CE36D2}">
  <ds:schemaRefs>
    <ds:schemaRef ds:uri="http://schemas.microsoft.com/sharepoint/v3/contenttype/forms"/>
  </ds:schemaRefs>
</ds:datastoreItem>
</file>

<file path=customXml/itemProps3.xml><?xml version="1.0" encoding="utf-8"?>
<ds:datastoreItem xmlns:ds="http://schemas.openxmlformats.org/officeDocument/2006/customXml" ds:itemID="{0EB5E869-49A5-4EEB-AC3D-856FAB47973E}"/>
</file>

<file path=customXml/itemProps4.xml><?xml version="1.0" encoding="utf-8"?>
<ds:datastoreItem xmlns:ds="http://schemas.openxmlformats.org/officeDocument/2006/customXml" ds:itemID="{DAA7866C-CB5B-465A-95F1-F9DCAA64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2251</Words>
  <Characters>12837</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Links>
    <vt:vector size="84" baseType="variant">
      <vt:variant>
        <vt:i4>6160470</vt:i4>
      </vt:variant>
      <vt:variant>
        <vt:i4>39</vt:i4>
      </vt:variant>
      <vt:variant>
        <vt:i4>0</vt:i4>
      </vt:variant>
      <vt:variant>
        <vt:i4>5</vt:i4>
      </vt:variant>
      <vt:variant>
        <vt:lpwstr>https://fra.europa.eu/en/data-and-maps/2021/frs?mdq1=dataset</vt:lpwstr>
      </vt:variant>
      <vt:variant>
        <vt:lpwstr/>
      </vt:variant>
      <vt:variant>
        <vt:i4>6160470</vt:i4>
      </vt:variant>
      <vt:variant>
        <vt:i4>36</vt:i4>
      </vt:variant>
      <vt:variant>
        <vt:i4>0</vt:i4>
      </vt:variant>
      <vt:variant>
        <vt:i4>5</vt:i4>
      </vt:variant>
      <vt:variant>
        <vt:lpwstr>https://fra.europa.eu/en/data-and-maps/2021/frs?mdq1=dataset</vt:lpwstr>
      </vt:variant>
      <vt:variant>
        <vt:lpwstr/>
      </vt:variant>
      <vt:variant>
        <vt:i4>393231</vt:i4>
      </vt:variant>
      <vt:variant>
        <vt:i4>33</vt:i4>
      </vt:variant>
      <vt:variant>
        <vt:i4>0</vt:i4>
      </vt:variant>
      <vt:variant>
        <vt:i4>5</vt:i4>
      </vt:variant>
      <vt:variant>
        <vt:lpwstr>https://www.inclusion-europe.eu/wp-content/uploads/2015/03/D-3.1-The-European-research-and-the-lessons-learnt-as-uploaded-in-the-participant-portal-1.pdf</vt:lpwstr>
      </vt:variant>
      <vt:variant>
        <vt:lpwstr/>
      </vt:variant>
      <vt:variant>
        <vt:i4>262169</vt:i4>
      </vt:variant>
      <vt:variant>
        <vt:i4>30</vt:i4>
      </vt:variant>
      <vt:variant>
        <vt:i4>0</vt:i4>
      </vt:variant>
      <vt:variant>
        <vt:i4>5</vt:i4>
      </vt:variant>
      <vt:variant>
        <vt:lpwstr>https://eur-lex.europa.eu/legal-content/EN/TXT/HTML/?uri=CELEX:32000L0078&amp;from=FR</vt:lpwstr>
      </vt:variant>
      <vt:variant>
        <vt:lpwstr/>
      </vt:variant>
      <vt:variant>
        <vt:i4>393231</vt:i4>
      </vt:variant>
      <vt:variant>
        <vt:i4>27</vt:i4>
      </vt:variant>
      <vt:variant>
        <vt:i4>0</vt:i4>
      </vt:variant>
      <vt:variant>
        <vt:i4>5</vt:i4>
      </vt:variant>
      <vt:variant>
        <vt:lpwstr>https://www.inclusion-europe.eu/wp-content/uploads/2015/03/D-3.1-The-European-research-and-the-lessons-learnt-as-uploaded-in-the-participant-portal-1.pdf</vt:lpwstr>
      </vt:variant>
      <vt:variant>
        <vt:lpwstr/>
      </vt:variant>
      <vt:variant>
        <vt:i4>7929888</vt:i4>
      </vt:variant>
      <vt:variant>
        <vt:i4>24</vt:i4>
      </vt:variant>
      <vt:variant>
        <vt:i4>0</vt:i4>
      </vt:variant>
      <vt:variant>
        <vt:i4>5</vt:i4>
      </vt:variant>
      <vt:variant>
        <vt:lpwstr>https://www.cope-foundation.ie/AbilityWork</vt:lpwstr>
      </vt:variant>
      <vt:variant>
        <vt:lpwstr/>
      </vt:variant>
      <vt:variant>
        <vt:i4>6225999</vt:i4>
      </vt:variant>
      <vt:variant>
        <vt:i4>21</vt:i4>
      </vt:variant>
      <vt:variant>
        <vt:i4>0</vt:i4>
      </vt:variant>
      <vt:variant>
        <vt:i4>5</vt:i4>
      </vt:variant>
      <vt:variant>
        <vt:lpwstr>http://www.inclusion-europe.eu/help-people-with-disabilities-to-live-normal-life-rytmus/</vt:lpwstr>
      </vt:variant>
      <vt:variant>
        <vt:lpwstr/>
      </vt:variant>
      <vt:variant>
        <vt:i4>5046297</vt:i4>
      </vt:variant>
      <vt:variant>
        <vt:i4>18</vt:i4>
      </vt:variant>
      <vt:variant>
        <vt:i4>0</vt:i4>
      </vt:variant>
      <vt:variant>
        <vt:i4>5</vt:i4>
      </vt:variant>
      <vt:variant>
        <vt:lpwstr>https://www.inclusion-europe.eu/klapjob-employment-inclusion-people-disabilities/</vt:lpwstr>
      </vt:variant>
      <vt:variant>
        <vt:lpwstr/>
      </vt:variant>
      <vt:variant>
        <vt:i4>7405605</vt:i4>
      </vt:variant>
      <vt:variant>
        <vt:i4>15</vt:i4>
      </vt:variant>
      <vt:variant>
        <vt:i4>0</vt:i4>
      </vt:variant>
      <vt:variant>
        <vt:i4>5</vt:i4>
      </vt:variant>
      <vt:variant>
        <vt:lpwstr>https://eur-lex.europa.eu/legal-content/EN/TXT/?uri=CELEX%3A61995CJ0409</vt:lpwstr>
      </vt:variant>
      <vt:variant>
        <vt:lpwstr/>
      </vt:variant>
      <vt:variant>
        <vt:i4>7995438</vt:i4>
      </vt:variant>
      <vt:variant>
        <vt:i4>12</vt:i4>
      </vt:variant>
      <vt:variant>
        <vt:i4>0</vt:i4>
      </vt:variant>
      <vt:variant>
        <vt:i4>5</vt:i4>
      </vt:variant>
      <vt:variant>
        <vt:lpwstr>http://www.inclusion-europe.eu/wp-content/uploads/2015/03/Briefing-on-minimum-income-and-social-protection.docx</vt:lpwstr>
      </vt:variant>
      <vt:variant>
        <vt:lpwstr/>
      </vt:variant>
      <vt:variant>
        <vt:i4>393231</vt:i4>
      </vt:variant>
      <vt:variant>
        <vt:i4>9</vt:i4>
      </vt:variant>
      <vt:variant>
        <vt:i4>0</vt:i4>
      </vt:variant>
      <vt:variant>
        <vt:i4>5</vt:i4>
      </vt:variant>
      <vt:variant>
        <vt:lpwstr>https://www.inclusion-europe.eu/wp-content/uploads/2015/03/D-3.1-The-European-research-and-the-lessons-learnt-as-uploaded-in-the-participant-portal-1.pdf</vt:lpwstr>
      </vt:variant>
      <vt:variant>
        <vt:lpwstr/>
      </vt:variant>
      <vt:variant>
        <vt:i4>6094853</vt:i4>
      </vt:variant>
      <vt:variant>
        <vt:i4>6</vt:i4>
      </vt:variant>
      <vt:variant>
        <vt:i4>0</vt:i4>
      </vt:variant>
      <vt:variant>
        <vt:i4>5</vt:i4>
      </vt:variant>
      <vt:variant>
        <vt:lpwstr>http://nda.ie/nda-files/Disability-and-Work-The-picture-we-learn-from-official-statistics.pdf</vt:lpwstr>
      </vt:variant>
      <vt:variant>
        <vt:lpwstr/>
      </vt:variant>
      <vt:variant>
        <vt:i4>2359397</vt:i4>
      </vt:variant>
      <vt:variant>
        <vt:i4>3</vt:i4>
      </vt:variant>
      <vt:variant>
        <vt:i4>0</vt:i4>
      </vt:variant>
      <vt:variant>
        <vt:i4>5</vt:i4>
      </vt:variant>
      <vt:variant>
        <vt:lpwstr>http://www.edf-feph.org/employment</vt:lpwstr>
      </vt:variant>
      <vt:variant>
        <vt:lpwstr/>
      </vt:variant>
      <vt:variant>
        <vt:i4>262169</vt:i4>
      </vt:variant>
      <vt:variant>
        <vt:i4>0</vt:i4>
      </vt:variant>
      <vt:variant>
        <vt:i4>0</vt:i4>
      </vt:variant>
      <vt:variant>
        <vt:i4>5</vt:i4>
      </vt:variant>
      <vt:variant>
        <vt:lpwstr>https://eur-lex.europa.eu/legal-content/EN/TXT/HTML/?uri=CELEX:32000L0078&amp;from=FR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Crespo Fernandéz (trainee)</dc:creator>
  <cp:keywords/>
  <dc:description/>
  <cp:lastModifiedBy>Janna Iskakova</cp:lastModifiedBy>
  <cp:revision>2</cp:revision>
  <dcterms:created xsi:type="dcterms:W3CDTF">2021-03-16T19:51:00Z</dcterms:created>
  <dcterms:modified xsi:type="dcterms:W3CDTF">2021-03-16T19:51:00Z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