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0F546B" w14:textId="44109376" w:rsidR="008054A7" w:rsidRDefault="008054A7" w:rsidP="00541EBA">
      <w:pPr>
        <w:spacing w:before="240"/>
        <w:jc w:val="center"/>
      </w:pPr>
      <w:r>
        <w:rPr>
          <w:noProof/>
          <w:lang w:val="en-GB" w:eastAsia="en-GB"/>
        </w:rPr>
        <mc:AlternateContent>
          <mc:Choice Requires="wps">
            <w:drawing>
              <wp:anchor distT="0" distB="0" distL="114300" distR="114300" simplePos="0" relativeHeight="251659775" behindDoc="1" locked="0" layoutInCell="1" allowOverlap="1" wp14:anchorId="445129B1" wp14:editId="04C0B59C">
                <wp:simplePos x="0" y="0"/>
                <wp:positionH relativeFrom="margin">
                  <wp:align>center</wp:align>
                </wp:positionH>
                <wp:positionV relativeFrom="paragraph">
                  <wp:posOffset>-596900</wp:posOffset>
                </wp:positionV>
                <wp:extent cx="6716111" cy="10033000"/>
                <wp:effectExtent l="38100" t="38100" r="46990" b="44450"/>
                <wp:wrapNone/>
                <wp:docPr id="6" name="Rectangle 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716111" cy="10033000"/>
                        </a:xfrm>
                        <a:prstGeom prst="rect">
                          <a:avLst/>
                        </a:prstGeom>
                        <a:no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043A1D98" id="Rectangle 6" o:spid="_x0000_s1026" style="position:absolute;margin-left:0;margin-top:-47pt;width:528.85pt;height:790pt;z-index:-25165670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" filled="f" strokecolor="white [3212]" strokeweight="6pt">
                <w10:wrap anchorx="margin"/>
              </v:rect>
            </w:pict>
          </mc:Fallback>
        </mc:AlternateContent>
      </w:r>
      <w:r w:rsidRPr="00606390">
        <w:rPr>
          <w:noProof/>
          <w:lang w:val="en-GB" w:eastAsia="en-GB"/>
        </w:rPr>
        <mc:AlternateContent>
          <mc:Choice Requires="wps">
            <w:drawing>
              <wp:anchor distT="0" distB="0" distL="114300" distR="114300" simplePos="0" relativeHeight="251659264" behindDoc="1" locked="0" layoutInCell="1" allowOverlap="1" wp14:anchorId="0C463329" wp14:editId="4C27592F">
                <wp:simplePos x="0" y="0"/>
                <wp:positionH relativeFrom="page">
                  <wp:align>left</wp:align>
                </wp:positionH>
                <wp:positionV relativeFrom="paragraph">
                  <wp:posOffset>-916305</wp:posOffset>
                </wp:positionV>
                <wp:extent cx="7538085" cy="11057255"/>
                <wp:effectExtent l="0" t="0" r="24765" b="10795"/>
                <wp:wrapNone/>
                <wp:docPr id="1" name="Rectangle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38085" cy="11057255"/>
                        </a:xfrm>
                        <a:prstGeom prst="rect">
                          <a:avLst/>
                        </a:prstGeom>
                        <a:solidFill>
                          <a:srgbClr val="2E73A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6A35F0A8" id="Rectangle 1" o:spid="_x0000_s1026" style="position:absolute;margin-left:0;margin-top:-72.15pt;width:593.55pt;height:870.65pt;z-index:-2516572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" fillcolor="#2e73ac" strokecolor="#1f3763 [1604]" strokeweight="1pt">
                <w10:wrap anchorx="page"/>
              </v:rect>
            </w:pict>
          </mc:Fallback>
        </mc:AlternateContent>
      </w:r>
      <w:r>
        <w:rPr>
          <w:noProof/>
          <w:lang w:val="en-GB" w:eastAsia="en-GB"/>
        </w:rPr>
        <w:drawing>
          <wp:inline distT="0" distB="0" distL="0" distR="0" wp14:anchorId="3382C997" wp14:editId="3B7C6805">
            <wp:extent cx="1609344" cy="1783080"/>
            <wp:effectExtent l="0" t="0" r="0" b="7620"/>
            <wp:docPr id="2" name="Picture 2" descr="Logo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344" cy="1783080"/>
                    </a:xfrm>
                    <a:prstGeom prst="rect">
                      <a:avLst/>
                    </a:prstGeom>
                    <a:noFill/>
                    <a:ln>
                      <a:noFill/>
                    </a:ln>
                  </pic:spPr>
                </pic:pic>
              </a:graphicData>
            </a:graphic>
          </wp:inline>
        </w:drawing>
      </w:r>
    </w:p>
    <w:p w14:paraId="2FEBFBB6" w14:textId="1E7BE5EC" w:rsidR="00D11DAB" w:rsidRPr="00D11DAB" w:rsidRDefault="00BF5E25" w:rsidP="00D11DAB">
      <w:pPr>
        <w:pStyle w:val="Title"/>
        <w:spacing w:before="360"/>
      </w:pPr>
      <w:r>
        <w:t>Input to the General Comment on CRPD Article 27</w:t>
      </w:r>
    </w:p>
    <w:p w14:paraId="2BCF485D" w14:textId="181DB792" w:rsidR="008054A7" w:rsidRDefault="00E47FF5" w:rsidP="00355289">
      <w:pPr>
        <w:pStyle w:val="Subtitle"/>
        <w:spacing w:before="480"/>
      </w:pPr>
      <w:r w:rsidRPr="00606390">
        <w:t xml:space="preserve">European Disability </w:t>
      </w:r>
      <w:r w:rsidR="00606390">
        <w:t xml:space="preserve">Forum </w:t>
      </w:r>
      <w:r w:rsidRPr="00606390">
        <w:t>Position Paper</w:t>
      </w:r>
    </w:p>
    <w:p w14:paraId="1C5853C0" w14:textId="06116256" w:rsidR="00D11DAB" w:rsidRPr="00D11DAB" w:rsidRDefault="00D11DAB" w:rsidP="00D11DAB">
      <w:pPr>
        <w:pStyle w:val="Subtitle"/>
        <w:spacing w:after="360"/>
      </w:pPr>
      <w:r>
        <w:rPr>
          <w:noProof/>
          <w:lang w:val="en-GB" w:eastAsia="en-GB"/>
          <w14:textOutline w14:w="0" w14:cap="rnd" w14:cmpd="sng" w14:algn="ctr">
            <w14:noFill/>
            <w14:prstDash w14:val="solid"/>
            <w14:bevel/>
          </w14:textOutline>
        </w:rPr>
        <mc:AlternateContent>
          <mc:Choice Requires="wps">
            <w:drawing>
              <wp:anchor distT="0" distB="0" distL="114300" distR="114300" simplePos="0" relativeHeight="251660288" behindDoc="1" locked="0" layoutInCell="1" allowOverlap="1" wp14:anchorId="31CD50D3" wp14:editId="02D97A85">
                <wp:simplePos x="0" y="0"/>
                <wp:positionH relativeFrom="page">
                  <wp:align>right</wp:align>
                </wp:positionH>
                <wp:positionV relativeFrom="paragraph">
                  <wp:posOffset>462412</wp:posOffset>
                </wp:positionV>
                <wp:extent cx="7549116" cy="595423"/>
                <wp:effectExtent l="0" t="0" r="13970" b="14605"/>
                <wp:wrapNone/>
                <wp:docPr id="3" name="Rectangle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49116" cy="595423"/>
                        </a:xfrm>
                        <a:prstGeom prst="rect">
                          <a:avLst/>
                        </a:prstGeom>
                        <a:solidFill>
                          <a:srgbClr val="A2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13050E90" id="Rectangle 3" o:spid="_x0000_s1026" style="position:absolute;margin-left:543.2pt;margin-top:36.4pt;width:594.4pt;height:46.9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" fillcolor="#a20000" strokecolor="#1f3763 [1604]" strokeweight="1pt">
                <w10:wrap anchorx="page"/>
              </v:rect>
            </w:pict>
          </mc:Fallback>
        </mc:AlternateContent>
      </w:r>
      <w:r w:rsidR="008054A7">
        <w:t xml:space="preserve">By </w:t>
      </w:r>
      <w:r w:rsidR="00BF5E25">
        <w:t xml:space="preserve">Haydn </w:t>
      </w:r>
      <w:proofErr w:type="spellStart"/>
      <w:r w:rsidR="00BF5E25">
        <w:t>Hammersley</w:t>
      </w:r>
      <w:proofErr w:type="spellEnd"/>
      <w:r>
        <w:t xml:space="preserve"> | </w:t>
      </w:r>
      <w:r w:rsidR="00BF5E25">
        <w:t>March</w:t>
      </w:r>
      <w:r>
        <w:t xml:space="preserve"> </w:t>
      </w:r>
      <w:r w:rsidR="00606390">
        <w:t>2021</w:t>
      </w:r>
    </w:p>
    <w:p w14:paraId="75770BC9" w14:textId="61A60514" w:rsidR="00E62CBF" w:rsidRDefault="00BF5E25" w:rsidP="00D11DAB">
      <w:pPr>
        <w:spacing w:before="360" w:after="840"/>
        <w:rPr>
          <w:b/>
          <w:bCs/>
          <w:color w:val="FFFFFF" w:themeColor="background1"/>
          <w:sz w:val="28"/>
          <w:szCs w:val="28"/>
        </w:rPr>
      </w:pPr>
      <w:r>
        <w:rPr>
          <w:b/>
          <w:bCs/>
          <w:color w:val="FFFFFF" w:themeColor="background1"/>
          <w:sz w:val="28"/>
          <w:szCs w:val="28"/>
        </w:rPr>
        <w:t xml:space="preserve">The </w:t>
      </w:r>
      <w:r w:rsidR="00B10709">
        <w:rPr>
          <w:b/>
          <w:bCs/>
          <w:color w:val="FFFFFF" w:themeColor="background1"/>
          <w:sz w:val="28"/>
          <w:szCs w:val="28"/>
        </w:rPr>
        <w:t>R</w:t>
      </w:r>
      <w:r>
        <w:rPr>
          <w:b/>
          <w:bCs/>
          <w:color w:val="FFFFFF" w:themeColor="background1"/>
          <w:sz w:val="28"/>
          <w:szCs w:val="28"/>
        </w:rPr>
        <w:t>ight to Work and Employment for Persons with Disabilities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U Disclaimer"/>
        <w:tblDescription w:val="Flag of the EU. This publication has received financial support from the European Union. The information contained in this publication does not necessarily reflect the official position of the European Commission."/>
      </w:tblPr>
      <w:tblGrid>
        <w:gridCol w:w="2245"/>
        <w:gridCol w:w="6771"/>
      </w:tblGrid>
      <w:tr w:rsidR="001E0F08" w14:paraId="18E8BE2C" w14:textId="77777777" w:rsidTr="001E0F08">
        <w:tc>
          <w:tcPr>
            <w:tcW w:w="2245" w:type="dxa"/>
          </w:tcPr>
          <w:p w14:paraId="5DFDD4D9" w14:textId="0F47CB15" w:rsidR="001E0F08" w:rsidRDefault="001E0F08" w:rsidP="001E0F08">
            <w:pPr>
              <w:rPr>
                <w:color w:val="FFFFFF" w:themeColor="background1"/>
                <w:lang w:val="en-GB" w:eastAsia="zh-CN" w:bidi="hi-IN"/>
              </w:rPr>
            </w:pPr>
            <w:r>
              <w:rPr>
                <w:noProof/>
                <w:lang w:val="en-GB" w:eastAsia="en-GB"/>
              </w:rPr>
              <w:lastRenderedPageBreak/>
              <w:drawing>
                <wp:inline distT="0" distB="0" distL="0" distR="0" wp14:anchorId="5046A1D8" wp14:editId="40BBC4AB">
                  <wp:extent cx="1201890" cy="812800"/>
                  <wp:effectExtent l="0" t="0" r="0" b="6350"/>
                  <wp:docPr id="16" name="Picture 16" descr="Résultat de recherche d'images pour &quot;european uni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european union logo&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23" cy="817218"/>
                          </a:xfrm>
                          <a:prstGeom prst="rect">
                            <a:avLst/>
                          </a:prstGeom>
                          <a:noFill/>
                          <a:ln>
                            <a:noFill/>
                          </a:ln>
                        </pic:spPr>
                      </pic:pic>
                    </a:graphicData>
                  </a:graphic>
                </wp:inline>
              </w:drawing>
            </w:r>
          </w:p>
        </w:tc>
        <w:tc>
          <w:tcPr>
            <w:tcW w:w="6771" w:type="dxa"/>
          </w:tcPr>
          <w:p w14:paraId="6DDB80CA" w14:textId="560BA2E7" w:rsidR="001E0F08" w:rsidRDefault="001E0F08" w:rsidP="001E0F08">
            <w:pPr>
              <w:rPr>
                <w:color w:val="FFFFFF" w:themeColor="background1"/>
                <w:lang w:val="en-GB" w:eastAsia="zh-CN" w:bidi="hi-IN"/>
              </w:rPr>
            </w:pPr>
            <w:r w:rsidRPr="006C1A26">
              <w:rPr>
                <w:color w:val="FFFFFF" w:themeColor="background1"/>
                <w:lang w:val="en-GB" w:eastAsia="zh-CN" w:bidi="hi-IN"/>
              </w:rPr>
              <w:t>This publication has received financial support from the European Union. The information contained in this publication does not necessarily reflect the official position of the European Commission</w:t>
            </w:r>
            <w:r>
              <w:rPr>
                <w:color w:val="FFFFFF" w:themeColor="background1"/>
                <w:lang w:val="en-GB" w:eastAsia="zh-CN" w:bidi="hi-IN"/>
              </w:rPr>
              <w:t>.</w:t>
            </w:r>
          </w:p>
        </w:tc>
      </w:tr>
    </w:tbl>
    <w:p w14:paraId="79A4A1C9" w14:textId="08FC674B" w:rsidR="00A9576D" w:rsidRDefault="00A9576D" w:rsidP="008054A7">
      <w:pPr>
        <w:pStyle w:val="Heading1"/>
        <w:pageBreakBefore/>
      </w:pPr>
      <w:bookmarkStart w:id="1" w:name="_Toc65855172"/>
      <w:bookmarkStart w:id="2" w:name="_Toc65855229"/>
      <w:bookmarkStart w:id="3" w:name="_Toc66441253"/>
      <w:r>
        <w:lastRenderedPageBreak/>
        <w:t>Table of Contents</w:t>
      </w:r>
      <w:bookmarkEnd w:id="1"/>
      <w:bookmarkEnd w:id="2"/>
      <w:bookmarkEnd w:id="3"/>
    </w:p>
    <w:sdt>
      <w:sdtPr>
        <w:rPr>
          <w:rFonts w:ascii="Verdana" w:eastAsiaTheme="minorHAnsi" w:hAnsi="Verdana" w:cstheme="minorBidi"/>
          <w:color w:val="auto"/>
          <w:sz w:val="24"/>
          <w:szCs w:val="22"/>
        </w:rPr>
        <w:id w:val="2118629754"/>
        <w:docPartObj>
          <w:docPartGallery w:val="Table of Contents"/>
          <w:docPartUnique/>
        </w:docPartObj>
      </w:sdtPr>
      <w:sdtEndPr>
        <w:rPr>
          <w:b/>
          <w:bCs/>
          <w:noProof/>
        </w:rPr>
      </w:sdtEndPr>
      <w:sdtContent>
        <w:p w14:paraId="2E949471" w14:textId="2B99CFC3" w:rsidR="00933C72" w:rsidRDefault="00933C72">
          <w:pPr>
            <w:pStyle w:val="TOCHeading"/>
          </w:pPr>
          <w:r>
            <w:t>Contents</w:t>
          </w:r>
        </w:p>
        <w:p w14:paraId="1800A2F5" w14:textId="51A2449F" w:rsidR="005A5B8C" w:rsidRDefault="00933C72">
          <w:pPr>
            <w:pStyle w:val="TOC1"/>
            <w:tabs>
              <w:tab w:val="right" w:leader="dot" w:pos="9016"/>
            </w:tabs>
            <w:rPr>
              <w:rFonts w:asciiTheme="minorHAnsi" w:eastAsiaTheme="minorEastAsia" w:hAnsiTheme="minorHAnsi"/>
              <w:noProof/>
              <w:sz w:val="22"/>
              <w:lang w:val="en-GB" w:eastAsia="en-GB"/>
            </w:rPr>
          </w:pPr>
          <w:r>
            <w:fldChar w:fldCharType="begin"/>
          </w:r>
          <w:r>
            <w:instrText xml:space="preserve"> TOC \o "1-3" \h \z \u </w:instrText>
          </w:r>
          <w:r>
            <w:fldChar w:fldCharType="separate"/>
          </w:r>
        </w:p>
        <w:p w14:paraId="6B785C3B" w14:textId="4404468C" w:rsidR="005A5B8C" w:rsidRDefault="00627FA9">
          <w:pPr>
            <w:pStyle w:val="TOC1"/>
            <w:tabs>
              <w:tab w:val="right" w:leader="dot" w:pos="9016"/>
            </w:tabs>
            <w:rPr>
              <w:rFonts w:asciiTheme="minorHAnsi" w:eastAsiaTheme="minorEastAsia" w:hAnsiTheme="minorHAnsi"/>
              <w:noProof/>
              <w:sz w:val="22"/>
              <w:lang w:val="en-GB" w:eastAsia="en-GB"/>
            </w:rPr>
          </w:pPr>
          <w:hyperlink w:anchor="_Toc66441254" w:history="1">
            <w:r w:rsidR="005A5B8C" w:rsidRPr="008A6BFB">
              <w:rPr>
                <w:rStyle w:val="Hyperlink"/>
                <w:noProof/>
              </w:rPr>
              <w:t>Introduction</w:t>
            </w:r>
            <w:r w:rsidR="005A5B8C">
              <w:rPr>
                <w:noProof/>
                <w:webHidden/>
              </w:rPr>
              <w:tab/>
            </w:r>
            <w:r w:rsidR="005A5B8C">
              <w:rPr>
                <w:noProof/>
                <w:webHidden/>
              </w:rPr>
              <w:fldChar w:fldCharType="begin"/>
            </w:r>
            <w:r w:rsidR="005A5B8C">
              <w:rPr>
                <w:noProof/>
                <w:webHidden/>
              </w:rPr>
              <w:instrText xml:space="preserve"> PAGEREF _Toc66441254 \h </w:instrText>
            </w:r>
            <w:r w:rsidR="005A5B8C">
              <w:rPr>
                <w:noProof/>
                <w:webHidden/>
              </w:rPr>
            </w:r>
            <w:r w:rsidR="005A5B8C">
              <w:rPr>
                <w:noProof/>
                <w:webHidden/>
              </w:rPr>
              <w:fldChar w:fldCharType="separate"/>
            </w:r>
            <w:r w:rsidR="00FC1B85">
              <w:rPr>
                <w:noProof/>
                <w:webHidden/>
              </w:rPr>
              <w:t>3</w:t>
            </w:r>
            <w:r w:rsidR="005A5B8C">
              <w:rPr>
                <w:noProof/>
                <w:webHidden/>
              </w:rPr>
              <w:fldChar w:fldCharType="end"/>
            </w:r>
          </w:hyperlink>
        </w:p>
        <w:p w14:paraId="03772B5D" w14:textId="45FDF2AC" w:rsidR="005A5B8C" w:rsidRDefault="00627FA9">
          <w:pPr>
            <w:pStyle w:val="TOC3"/>
            <w:tabs>
              <w:tab w:val="right" w:leader="dot" w:pos="9016"/>
            </w:tabs>
            <w:rPr>
              <w:rFonts w:asciiTheme="minorHAnsi" w:eastAsiaTheme="minorEastAsia" w:hAnsiTheme="minorHAnsi"/>
              <w:noProof/>
              <w:sz w:val="22"/>
              <w:lang w:val="en-GB" w:eastAsia="en-GB"/>
            </w:rPr>
          </w:pPr>
          <w:hyperlink w:anchor="_Toc66441255" w:history="1">
            <w:r w:rsidR="005A5B8C" w:rsidRPr="008A6BFB">
              <w:rPr>
                <w:rStyle w:val="Hyperlink"/>
                <w:noProof/>
              </w:rPr>
              <w:t>The European Disability Forum</w:t>
            </w:r>
            <w:r w:rsidR="005A5B8C">
              <w:rPr>
                <w:noProof/>
                <w:webHidden/>
              </w:rPr>
              <w:tab/>
            </w:r>
            <w:r w:rsidR="005A5B8C">
              <w:rPr>
                <w:noProof/>
                <w:webHidden/>
              </w:rPr>
              <w:fldChar w:fldCharType="begin"/>
            </w:r>
            <w:r w:rsidR="005A5B8C">
              <w:rPr>
                <w:noProof/>
                <w:webHidden/>
              </w:rPr>
              <w:instrText xml:space="preserve"> PAGEREF _Toc66441255 \h </w:instrText>
            </w:r>
            <w:r w:rsidR="005A5B8C">
              <w:rPr>
                <w:noProof/>
                <w:webHidden/>
              </w:rPr>
            </w:r>
            <w:r w:rsidR="005A5B8C">
              <w:rPr>
                <w:noProof/>
                <w:webHidden/>
              </w:rPr>
              <w:fldChar w:fldCharType="separate"/>
            </w:r>
            <w:r w:rsidR="00FC1B85">
              <w:rPr>
                <w:noProof/>
                <w:webHidden/>
              </w:rPr>
              <w:t>3</w:t>
            </w:r>
            <w:r w:rsidR="005A5B8C">
              <w:rPr>
                <w:noProof/>
                <w:webHidden/>
              </w:rPr>
              <w:fldChar w:fldCharType="end"/>
            </w:r>
          </w:hyperlink>
        </w:p>
        <w:p w14:paraId="0DC73FDE" w14:textId="31EE63D3" w:rsidR="005A5B8C" w:rsidRDefault="00627FA9">
          <w:pPr>
            <w:pStyle w:val="TOC2"/>
            <w:tabs>
              <w:tab w:val="right" w:leader="dot" w:pos="9016"/>
            </w:tabs>
            <w:rPr>
              <w:rFonts w:asciiTheme="minorHAnsi" w:eastAsiaTheme="minorEastAsia" w:hAnsiTheme="minorHAnsi"/>
              <w:noProof/>
              <w:sz w:val="22"/>
              <w:lang w:val="en-GB" w:eastAsia="en-GB"/>
            </w:rPr>
          </w:pPr>
          <w:hyperlink w:anchor="_Toc66441256" w:history="1">
            <w:r w:rsidR="005A5B8C" w:rsidRPr="008A6BFB">
              <w:rPr>
                <w:rStyle w:val="Hyperlink"/>
                <w:noProof/>
              </w:rPr>
              <w:t>Executive Summary</w:t>
            </w:r>
            <w:r w:rsidR="005A5B8C">
              <w:rPr>
                <w:noProof/>
                <w:webHidden/>
              </w:rPr>
              <w:tab/>
            </w:r>
            <w:r w:rsidR="005A5B8C">
              <w:rPr>
                <w:noProof/>
                <w:webHidden/>
              </w:rPr>
              <w:fldChar w:fldCharType="begin"/>
            </w:r>
            <w:r w:rsidR="005A5B8C">
              <w:rPr>
                <w:noProof/>
                <w:webHidden/>
              </w:rPr>
              <w:instrText xml:space="preserve"> PAGEREF _Toc66441256 \h </w:instrText>
            </w:r>
            <w:r w:rsidR="005A5B8C">
              <w:rPr>
                <w:noProof/>
                <w:webHidden/>
              </w:rPr>
            </w:r>
            <w:r w:rsidR="005A5B8C">
              <w:rPr>
                <w:noProof/>
                <w:webHidden/>
              </w:rPr>
              <w:fldChar w:fldCharType="separate"/>
            </w:r>
            <w:r w:rsidR="00FC1B85">
              <w:rPr>
                <w:noProof/>
                <w:webHidden/>
              </w:rPr>
              <w:t>3</w:t>
            </w:r>
            <w:r w:rsidR="005A5B8C">
              <w:rPr>
                <w:noProof/>
                <w:webHidden/>
              </w:rPr>
              <w:fldChar w:fldCharType="end"/>
            </w:r>
          </w:hyperlink>
        </w:p>
        <w:p w14:paraId="2FE9DA27" w14:textId="2448C739" w:rsidR="005A5B8C" w:rsidRDefault="00627FA9">
          <w:pPr>
            <w:pStyle w:val="TOC2"/>
            <w:tabs>
              <w:tab w:val="right" w:leader="dot" w:pos="9016"/>
            </w:tabs>
            <w:rPr>
              <w:rFonts w:asciiTheme="minorHAnsi" w:eastAsiaTheme="minorEastAsia" w:hAnsiTheme="minorHAnsi"/>
              <w:noProof/>
              <w:sz w:val="22"/>
              <w:lang w:val="en-GB" w:eastAsia="en-GB"/>
            </w:rPr>
          </w:pPr>
          <w:hyperlink w:anchor="_Toc66441257" w:history="1">
            <w:r w:rsidR="005A5B8C" w:rsidRPr="008A6BFB">
              <w:rPr>
                <w:rStyle w:val="Hyperlink"/>
                <w:noProof/>
              </w:rPr>
              <w:t>The full list of recommendations for the content of the new General Comment on Article 27 – Work and Employment</w:t>
            </w:r>
            <w:r w:rsidR="005A5B8C">
              <w:rPr>
                <w:noProof/>
                <w:webHidden/>
              </w:rPr>
              <w:tab/>
            </w:r>
            <w:r w:rsidR="005A5B8C">
              <w:rPr>
                <w:noProof/>
                <w:webHidden/>
              </w:rPr>
              <w:fldChar w:fldCharType="begin"/>
            </w:r>
            <w:r w:rsidR="005A5B8C">
              <w:rPr>
                <w:noProof/>
                <w:webHidden/>
              </w:rPr>
              <w:instrText xml:space="preserve"> PAGEREF _Toc66441257 \h </w:instrText>
            </w:r>
            <w:r w:rsidR="005A5B8C">
              <w:rPr>
                <w:noProof/>
                <w:webHidden/>
              </w:rPr>
            </w:r>
            <w:r w:rsidR="005A5B8C">
              <w:rPr>
                <w:noProof/>
                <w:webHidden/>
              </w:rPr>
              <w:fldChar w:fldCharType="separate"/>
            </w:r>
            <w:r w:rsidR="00FC1B85">
              <w:rPr>
                <w:noProof/>
                <w:webHidden/>
              </w:rPr>
              <w:t>3</w:t>
            </w:r>
            <w:r w:rsidR="005A5B8C">
              <w:rPr>
                <w:noProof/>
                <w:webHidden/>
              </w:rPr>
              <w:fldChar w:fldCharType="end"/>
            </w:r>
          </w:hyperlink>
        </w:p>
        <w:p w14:paraId="3962CDFB" w14:textId="4DB1F7D8" w:rsidR="005A5B8C" w:rsidRDefault="00627FA9">
          <w:pPr>
            <w:pStyle w:val="TOC3"/>
            <w:tabs>
              <w:tab w:val="right" w:leader="dot" w:pos="9016"/>
            </w:tabs>
            <w:rPr>
              <w:rFonts w:asciiTheme="minorHAnsi" w:eastAsiaTheme="minorEastAsia" w:hAnsiTheme="minorHAnsi"/>
              <w:noProof/>
              <w:sz w:val="22"/>
              <w:lang w:val="en-GB" w:eastAsia="en-GB"/>
            </w:rPr>
          </w:pPr>
          <w:hyperlink w:anchor="_Toc66441258" w:history="1">
            <w:r w:rsidR="005A5B8C" w:rsidRPr="008A6BFB">
              <w:rPr>
                <w:rStyle w:val="Hyperlink"/>
                <w:noProof/>
              </w:rPr>
              <w:t>On fair wages and reasonable working conditions</w:t>
            </w:r>
            <w:r w:rsidR="005A5B8C">
              <w:rPr>
                <w:noProof/>
                <w:webHidden/>
              </w:rPr>
              <w:tab/>
            </w:r>
            <w:r w:rsidR="005A5B8C">
              <w:rPr>
                <w:noProof/>
                <w:webHidden/>
              </w:rPr>
              <w:fldChar w:fldCharType="begin"/>
            </w:r>
            <w:r w:rsidR="005A5B8C">
              <w:rPr>
                <w:noProof/>
                <w:webHidden/>
              </w:rPr>
              <w:instrText xml:space="preserve"> PAGEREF _Toc66441258 \h </w:instrText>
            </w:r>
            <w:r w:rsidR="005A5B8C">
              <w:rPr>
                <w:noProof/>
                <w:webHidden/>
              </w:rPr>
            </w:r>
            <w:r w:rsidR="005A5B8C">
              <w:rPr>
                <w:noProof/>
                <w:webHidden/>
              </w:rPr>
              <w:fldChar w:fldCharType="separate"/>
            </w:r>
            <w:r w:rsidR="00FC1B85">
              <w:rPr>
                <w:noProof/>
                <w:webHidden/>
              </w:rPr>
              <w:t>3</w:t>
            </w:r>
            <w:r w:rsidR="005A5B8C">
              <w:rPr>
                <w:noProof/>
                <w:webHidden/>
              </w:rPr>
              <w:fldChar w:fldCharType="end"/>
            </w:r>
          </w:hyperlink>
        </w:p>
        <w:p w14:paraId="1E84D86C" w14:textId="5EFA2336" w:rsidR="005A5B8C" w:rsidRDefault="00627FA9">
          <w:pPr>
            <w:pStyle w:val="TOC3"/>
            <w:tabs>
              <w:tab w:val="right" w:leader="dot" w:pos="9016"/>
            </w:tabs>
            <w:rPr>
              <w:rFonts w:asciiTheme="minorHAnsi" w:eastAsiaTheme="minorEastAsia" w:hAnsiTheme="minorHAnsi"/>
              <w:noProof/>
              <w:sz w:val="22"/>
              <w:lang w:val="en-GB" w:eastAsia="en-GB"/>
            </w:rPr>
          </w:pPr>
          <w:hyperlink w:anchor="_Toc66441259" w:history="1">
            <w:r w:rsidR="005A5B8C" w:rsidRPr="008A6BFB">
              <w:rPr>
                <w:rStyle w:val="Hyperlink"/>
                <w:noProof/>
              </w:rPr>
              <w:t>On reasonable accommodation</w:t>
            </w:r>
            <w:r w:rsidR="005A5B8C">
              <w:rPr>
                <w:noProof/>
                <w:webHidden/>
              </w:rPr>
              <w:tab/>
            </w:r>
            <w:r w:rsidR="005A5B8C">
              <w:rPr>
                <w:noProof/>
                <w:webHidden/>
              </w:rPr>
              <w:fldChar w:fldCharType="begin"/>
            </w:r>
            <w:r w:rsidR="005A5B8C">
              <w:rPr>
                <w:noProof/>
                <w:webHidden/>
              </w:rPr>
              <w:instrText xml:space="preserve"> PAGEREF _Toc66441259 \h </w:instrText>
            </w:r>
            <w:r w:rsidR="005A5B8C">
              <w:rPr>
                <w:noProof/>
                <w:webHidden/>
              </w:rPr>
            </w:r>
            <w:r w:rsidR="005A5B8C">
              <w:rPr>
                <w:noProof/>
                <w:webHidden/>
              </w:rPr>
              <w:fldChar w:fldCharType="separate"/>
            </w:r>
            <w:r w:rsidR="00FC1B85">
              <w:rPr>
                <w:noProof/>
                <w:webHidden/>
              </w:rPr>
              <w:t>3</w:t>
            </w:r>
            <w:r w:rsidR="005A5B8C">
              <w:rPr>
                <w:noProof/>
                <w:webHidden/>
              </w:rPr>
              <w:fldChar w:fldCharType="end"/>
            </w:r>
          </w:hyperlink>
        </w:p>
        <w:p w14:paraId="696F7096" w14:textId="6DDB2733" w:rsidR="005A5B8C" w:rsidRDefault="00627FA9">
          <w:pPr>
            <w:pStyle w:val="TOC3"/>
            <w:tabs>
              <w:tab w:val="right" w:leader="dot" w:pos="9016"/>
            </w:tabs>
            <w:rPr>
              <w:rFonts w:asciiTheme="minorHAnsi" w:eastAsiaTheme="minorEastAsia" w:hAnsiTheme="minorHAnsi"/>
              <w:noProof/>
              <w:sz w:val="22"/>
              <w:lang w:val="en-GB" w:eastAsia="en-GB"/>
            </w:rPr>
          </w:pPr>
          <w:hyperlink w:anchor="_Toc66441260" w:history="1">
            <w:r w:rsidR="005A5B8C" w:rsidRPr="008A6BFB">
              <w:rPr>
                <w:rStyle w:val="Hyperlink"/>
                <w:noProof/>
              </w:rPr>
              <w:t>On flexible working conditions</w:t>
            </w:r>
            <w:r w:rsidR="005A5B8C">
              <w:rPr>
                <w:noProof/>
                <w:webHidden/>
              </w:rPr>
              <w:tab/>
            </w:r>
            <w:r w:rsidR="005A5B8C">
              <w:rPr>
                <w:noProof/>
                <w:webHidden/>
              </w:rPr>
              <w:fldChar w:fldCharType="begin"/>
            </w:r>
            <w:r w:rsidR="005A5B8C">
              <w:rPr>
                <w:noProof/>
                <w:webHidden/>
              </w:rPr>
              <w:instrText xml:space="preserve"> PAGEREF _Toc66441260 \h </w:instrText>
            </w:r>
            <w:r w:rsidR="005A5B8C">
              <w:rPr>
                <w:noProof/>
                <w:webHidden/>
              </w:rPr>
            </w:r>
            <w:r w:rsidR="005A5B8C">
              <w:rPr>
                <w:noProof/>
                <w:webHidden/>
              </w:rPr>
              <w:fldChar w:fldCharType="separate"/>
            </w:r>
            <w:r w:rsidR="00FC1B85">
              <w:rPr>
                <w:noProof/>
                <w:webHidden/>
              </w:rPr>
              <w:t>4</w:t>
            </w:r>
            <w:r w:rsidR="005A5B8C">
              <w:rPr>
                <w:noProof/>
                <w:webHidden/>
              </w:rPr>
              <w:fldChar w:fldCharType="end"/>
            </w:r>
          </w:hyperlink>
        </w:p>
        <w:p w14:paraId="733F2406" w14:textId="27E2CA6C" w:rsidR="005A5B8C" w:rsidRDefault="00627FA9">
          <w:pPr>
            <w:pStyle w:val="TOC3"/>
            <w:tabs>
              <w:tab w:val="right" w:leader="dot" w:pos="9016"/>
            </w:tabs>
            <w:rPr>
              <w:rFonts w:asciiTheme="minorHAnsi" w:eastAsiaTheme="minorEastAsia" w:hAnsiTheme="minorHAnsi"/>
              <w:noProof/>
              <w:sz w:val="22"/>
              <w:lang w:val="en-GB" w:eastAsia="en-GB"/>
            </w:rPr>
          </w:pPr>
          <w:hyperlink w:anchor="_Toc66441261" w:history="1">
            <w:r w:rsidR="005A5B8C" w:rsidRPr="008A6BFB">
              <w:rPr>
                <w:rStyle w:val="Hyperlink"/>
                <w:noProof/>
              </w:rPr>
              <w:t>On labour and trade union rights</w:t>
            </w:r>
            <w:r w:rsidR="005A5B8C">
              <w:rPr>
                <w:noProof/>
                <w:webHidden/>
              </w:rPr>
              <w:tab/>
            </w:r>
            <w:r w:rsidR="005A5B8C">
              <w:rPr>
                <w:noProof/>
                <w:webHidden/>
              </w:rPr>
              <w:fldChar w:fldCharType="begin"/>
            </w:r>
            <w:r w:rsidR="005A5B8C">
              <w:rPr>
                <w:noProof/>
                <w:webHidden/>
              </w:rPr>
              <w:instrText xml:space="preserve"> PAGEREF _Toc66441261 \h </w:instrText>
            </w:r>
            <w:r w:rsidR="005A5B8C">
              <w:rPr>
                <w:noProof/>
                <w:webHidden/>
              </w:rPr>
            </w:r>
            <w:r w:rsidR="005A5B8C">
              <w:rPr>
                <w:noProof/>
                <w:webHidden/>
              </w:rPr>
              <w:fldChar w:fldCharType="separate"/>
            </w:r>
            <w:r w:rsidR="00FC1B85">
              <w:rPr>
                <w:noProof/>
                <w:webHidden/>
              </w:rPr>
              <w:t>4</w:t>
            </w:r>
            <w:r w:rsidR="005A5B8C">
              <w:rPr>
                <w:noProof/>
                <w:webHidden/>
              </w:rPr>
              <w:fldChar w:fldCharType="end"/>
            </w:r>
          </w:hyperlink>
        </w:p>
        <w:p w14:paraId="5855EBD8" w14:textId="39E26C8D" w:rsidR="005A5B8C" w:rsidRDefault="00627FA9">
          <w:pPr>
            <w:pStyle w:val="TOC3"/>
            <w:tabs>
              <w:tab w:val="right" w:leader="dot" w:pos="9016"/>
            </w:tabs>
            <w:rPr>
              <w:rFonts w:asciiTheme="minorHAnsi" w:eastAsiaTheme="minorEastAsia" w:hAnsiTheme="minorHAnsi"/>
              <w:noProof/>
              <w:sz w:val="22"/>
              <w:lang w:val="en-GB" w:eastAsia="en-GB"/>
            </w:rPr>
          </w:pPr>
          <w:hyperlink w:anchor="_Toc66441262" w:history="1">
            <w:r w:rsidR="005A5B8C" w:rsidRPr="008A6BFB">
              <w:rPr>
                <w:rStyle w:val="Hyperlink"/>
                <w:noProof/>
              </w:rPr>
              <w:t>On protection from in-work poverty</w:t>
            </w:r>
            <w:r w:rsidR="005A5B8C">
              <w:rPr>
                <w:noProof/>
                <w:webHidden/>
              </w:rPr>
              <w:tab/>
            </w:r>
            <w:r w:rsidR="005A5B8C">
              <w:rPr>
                <w:noProof/>
                <w:webHidden/>
              </w:rPr>
              <w:fldChar w:fldCharType="begin"/>
            </w:r>
            <w:r w:rsidR="005A5B8C">
              <w:rPr>
                <w:noProof/>
                <w:webHidden/>
              </w:rPr>
              <w:instrText xml:space="preserve"> PAGEREF _Toc66441262 \h </w:instrText>
            </w:r>
            <w:r w:rsidR="005A5B8C">
              <w:rPr>
                <w:noProof/>
                <w:webHidden/>
              </w:rPr>
            </w:r>
            <w:r w:rsidR="005A5B8C">
              <w:rPr>
                <w:noProof/>
                <w:webHidden/>
              </w:rPr>
              <w:fldChar w:fldCharType="separate"/>
            </w:r>
            <w:r w:rsidR="00FC1B85">
              <w:rPr>
                <w:noProof/>
                <w:webHidden/>
              </w:rPr>
              <w:t>5</w:t>
            </w:r>
            <w:r w:rsidR="005A5B8C">
              <w:rPr>
                <w:noProof/>
                <w:webHidden/>
              </w:rPr>
              <w:fldChar w:fldCharType="end"/>
            </w:r>
          </w:hyperlink>
        </w:p>
        <w:p w14:paraId="7345AC6F" w14:textId="2F0FF64F" w:rsidR="005A5B8C" w:rsidRDefault="00627FA9">
          <w:pPr>
            <w:pStyle w:val="TOC3"/>
            <w:tabs>
              <w:tab w:val="right" w:leader="dot" w:pos="9016"/>
            </w:tabs>
            <w:rPr>
              <w:rFonts w:asciiTheme="minorHAnsi" w:eastAsiaTheme="minorEastAsia" w:hAnsiTheme="minorHAnsi"/>
              <w:noProof/>
              <w:sz w:val="22"/>
              <w:lang w:val="en-GB" w:eastAsia="en-GB"/>
            </w:rPr>
          </w:pPr>
          <w:hyperlink w:anchor="_Toc66441263" w:history="1">
            <w:r w:rsidR="005A5B8C" w:rsidRPr="008A6BFB">
              <w:rPr>
                <w:rStyle w:val="Hyperlink"/>
                <w:noProof/>
              </w:rPr>
              <w:t>On career progression</w:t>
            </w:r>
            <w:r w:rsidR="005A5B8C">
              <w:rPr>
                <w:noProof/>
                <w:webHidden/>
              </w:rPr>
              <w:tab/>
            </w:r>
            <w:r w:rsidR="005A5B8C">
              <w:rPr>
                <w:noProof/>
                <w:webHidden/>
              </w:rPr>
              <w:fldChar w:fldCharType="begin"/>
            </w:r>
            <w:r w:rsidR="005A5B8C">
              <w:rPr>
                <w:noProof/>
                <w:webHidden/>
              </w:rPr>
              <w:instrText xml:space="preserve"> PAGEREF _Toc66441263 \h </w:instrText>
            </w:r>
            <w:r w:rsidR="005A5B8C">
              <w:rPr>
                <w:noProof/>
                <w:webHidden/>
              </w:rPr>
            </w:r>
            <w:r w:rsidR="005A5B8C">
              <w:rPr>
                <w:noProof/>
                <w:webHidden/>
              </w:rPr>
              <w:fldChar w:fldCharType="separate"/>
            </w:r>
            <w:r w:rsidR="00FC1B85">
              <w:rPr>
                <w:noProof/>
                <w:webHidden/>
              </w:rPr>
              <w:t>5</w:t>
            </w:r>
            <w:r w:rsidR="005A5B8C">
              <w:rPr>
                <w:noProof/>
                <w:webHidden/>
              </w:rPr>
              <w:fldChar w:fldCharType="end"/>
            </w:r>
          </w:hyperlink>
        </w:p>
        <w:p w14:paraId="52F51EE6" w14:textId="61E706BF" w:rsidR="005A5B8C" w:rsidRDefault="00627FA9">
          <w:pPr>
            <w:pStyle w:val="TOC3"/>
            <w:tabs>
              <w:tab w:val="right" w:leader="dot" w:pos="9016"/>
            </w:tabs>
            <w:rPr>
              <w:rFonts w:asciiTheme="minorHAnsi" w:eastAsiaTheme="minorEastAsia" w:hAnsiTheme="minorHAnsi"/>
              <w:noProof/>
              <w:sz w:val="22"/>
              <w:lang w:val="en-GB" w:eastAsia="en-GB"/>
            </w:rPr>
          </w:pPr>
          <w:hyperlink w:anchor="_Toc66441264" w:history="1">
            <w:r w:rsidR="005A5B8C" w:rsidRPr="008A6BFB">
              <w:rPr>
                <w:rStyle w:val="Hyperlink"/>
                <w:noProof/>
              </w:rPr>
              <w:t>On self-employment and entrepreneurship</w:t>
            </w:r>
            <w:r w:rsidR="005A5B8C">
              <w:rPr>
                <w:noProof/>
                <w:webHidden/>
              </w:rPr>
              <w:tab/>
            </w:r>
            <w:r w:rsidR="005A5B8C">
              <w:rPr>
                <w:noProof/>
                <w:webHidden/>
              </w:rPr>
              <w:fldChar w:fldCharType="begin"/>
            </w:r>
            <w:r w:rsidR="005A5B8C">
              <w:rPr>
                <w:noProof/>
                <w:webHidden/>
              </w:rPr>
              <w:instrText xml:space="preserve"> PAGEREF _Toc66441264 \h </w:instrText>
            </w:r>
            <w:r w:rsidR="005A5B8C">
              <w:rPr>
                <w:noProof/>
                <w:webHidden/>
              </w:rPr>
            </w:r>
            <w:r w:rsidR="005A5B8C">
              <w:rPr>
                <w:noProof/>
                <w:webHidden/>
              </w:rPr>
              <w:fldChar w:fldCharType="separate"/>
            </w:r>
            <w:r w:rsidR="00FC1B85">
              <w:rPr>
                <w:noProof/>
                <w:webHidden/>
              </w:rPr>
              <w:t>5</w:t>
            </w:r>
            <w:r w:rsidR="005A5B8C">
              <w:rPr>
                <w:noProof/>
                <w:webHidden/>
              </w:rPr>
              <w:fldChar w:fldCharType="end"/>
            </w:r>
          </w:hyperlink>
        </w:p>
        <w:p w14:paraId="20AF5212" w14:textId="094749BD" w:rsidR="005A5B8C" w:rsidRDefault="00627FA9">
          <w:pPr>
            <w:pStyle w:val="TOC3"/>
            <w:tabs>
              <w:tab w:val="right" w:leader="dot" w:pos="9016"/>
            </w:tabs>
            <w:rPr>
              <w:rFonts w:asciiTheme="minorHAnsi" w:eastAsiaTheme="minorEastAsia" w:hAnsiTheme="minorHAnsi"/>
              <w:noProof/>
              <w:sz w:val="22"/>
              <w:lang w:val="en-GB" w:eastAsia="en-GB"/>
            </w:rPr>
          </w:pPr>
          <w:hyperlink w:anchor="_Toc66441265" w:history="1">
            <w:r w:rsidR="005A5B8C" w:rsidRPr="008A6BFB">
              <w:rPr>
                <w:rStyle w:val="Hyperlink"/>
                <w:noProof/>
              </w:rPr>
              <w:t>On the transition towards employment in an inclusive open labour market</w:t>
            </w:r>
            <w:r w:rsidR="005A5B8C">
              <w:rPr>
                <w:noProof/>
                <w:webHidden/>
              </w:rPr>
              <w:tab/>
            </w:r>
            <w:r w:rsidR="005A5B8C">
              <w:rPr>
                <w:noProof/>
                <w:webHidden/>
              </w:rPr>
              <w:fldChar w:fldCharType="begin"/>
            </w:r>
            <w:r w:rsidR="005A5B8C">
              <w:rPr>
                <w:noProof/>
                <w:webHidden/>
              </w:rPr>
              <w:instrText xml:space="preserve"> PAGEREF _Toc66441265 \h </w:instrText>
            </w:r>
            <w:r w:rsidR="005A5B8C">
              <w:rPr>
                <w:noProof/>
                <w:webHidden/>
              </w:rPr>
            </w:r>
            <w:r w:rsidR="005A5B8C">
              <w:rPr>
                <w:noProof/>
                <w:webHidden/>
              </w:rPr>
              <w:fldChar w:fldCharType="separate"/>
            </w:r>
            <w:r w:rsidR="00FC1B85">
              <w:rPr>
                <w:noProof/>
                <w:webHidden/>
              </w:rPr>
              <w:t>6</w:t>
            </w:r>
            <w:r w:rsidR="005A5B8C">
              <w:rPr>
                <w:noProof/>
                <w:webHidden/>
              </w:rPr>
              <w:fldChar w:fldCharType="end"/>
            </w:r>
          </w:hyperlink>
        </w:p>
        <w:p w14:paraId="00EC4154" w14:textId="6EC665E3" w:rsidR="005A5B8C" w:rsidRDefault="00627FA9">
          <w:pPr>
            <w:pStyle w:val="TOC3"/>
            <w:tabs>
              <w:tab w:val="right" w:leader="dot" w:pos="9016"/>
            </w:tabs>
            <w:rPr>
              <w:rFonts w:asciiTheme="minorHAnsi" w:eastAsiaTheme="minorEastAsia" w:hAnsiTheme="minorHAnsi"/>
              <w:noProof/>
              <w:sz w:val="22"/>
              <w:lang w:val="en-GB" w:eastAsia="en-GB"/>
            </w:rPr>
          </w:pPr>
          <w:hyperlink w:anchor="_Toc66441266" w:history="1">
            <w:r w:rsidR="005A5B8C" w:rsidRPr="008A6BFB">
              <w:rPr>
                <w:rStyle w:val="Hyperlink"/>
                <w:noProof/>
              </w:rPr>
              <w:t>Definition of sheltered workshops</w:t>
            </w:r>
            <w:r w:rsidR="005A5B8C">
              <w:rPr>
                <w:noProof/>
                <w:webHidden/>
              </w:rPr>
              <w:tab/>
            </w:r>
            <w:r w:rsidR="005A5B8C">
              <w:rPr>
                <w:noProof/>
                <w:webHidden/>
              </w:rPr>
              <w:fldChar w:fldCharType="begin"/>
            </w:r>
            <w:r w:rsidR="005A5B8C">
              <w:rPr>
                <w:noProof/>
                <w:webHidden/>
              </w:rPr>
              <w:instrText xml:space="preserve"> PAGEREF _Toc66441266 \h </w:instrText>
            </w:r>
            <w:r w:rsidR="005A5B8C">
              <w:rPr>
                <w:noProof/>
                <w:webHidden/>
              </w:rPr>
            </w:r>
            <w:r w:rsidR="005A5B8C">
              <w:rPr>
                <w:noProof/>
                <w:webHidden/>
              </w:rPr>
              <w:fldChar w:fldCharType="separate"/>
            </w:r>
            <w:r w:rsidR="00FC1B85">
              <w:rPr>
                <w:noProof/>
                <w:webHidden/>
              </w:rPr>
              <w:t>6</w:t>
            </w:r>
            <w:r w:rsidR="005A5B8C">
              <w:rPr>
                <w:noProof/>
                <w:webHidden/>
              </w:rPr>
              <w:fldChar w:fldCharType="end"/>
            </w:r>
          </w:hyperlink>
        </w:p>
        <w:p w14:paraId="0292DD41" w14:textId="4151C814" w:rsidR="005A5B8C" w:rsidRDefault="00627FA9">
          <w:pPr>
            <w:pStyle w:val="TOC3"/>
            <w:tabs>
              <w:tab w:val="right" w:leader="dot" w:pos="9016"/>
            </w:tabs>
            <w:rPr>
              <w:rFonts w:asciiTheme="minorHAnsi" w:eastAsiaTheme="minorEastAsia" w:hAnsiTheme="minorHAnsi"/>
              <w:noProof/>
              <w:sz w:val="22"/>
              <w:lang w:val="en-GB" w:eastAsia="en-GB"/>
            </w:rPr>
          </w:pPr>
          <w:hyperlink w:anchor="_Toc66441267" w:history="1">
            <w:r w:rsidR="005A5B8C" w:rsidRPr="008A6BFB">
              <w:rPr>
                <w:rStyle w:val="Hyperlink"/>
                <w:noProof/>
              </w:rPr>
              <w:t>On safe and healthy working conditions</w:t>
            </w:r>
            <w:r w:rsidR="005A5B8C">
              <w:rPr>
                <w:noProof/>
                <w:webHidden/>
              </w:rPr>
              <w:tab/>
            </w:r>
            <w:r w:rsidR="005A5B8C">
              <w:rPr>
                <w:noProof/>
                <w:webHidden/>
              </w:rPr>
              <w:fldChar w:fldCharType="begin"/>
            </w:r>
            <w:r w:rsidR="005A5B8C">
              <w:rPr>
                <w:noProof/>
                <w:webHidden/>
              </w:rPr>
              <w:instrText xml:space="preserve"> PAGEREF _Toc66441267 \h </w:instrText>
            </w:r>
            <w:r w:rsidR="005A5B8C">
              <w:rPr>
                <w:noProof/>
                <w:webHidden/>
              </w:rPr>
            </w:r>
            <w:r w:rsidR="005A5B8C">
              <w:rPr>
                <w:noProof/>
                <w:webHidden/>
              </w:rPr>
              <w:fldChar w:fldCharType="separate"/>
            </w:r>
            <w:r w:rsidR="00FC1B85">
              <w:rPr>
                <w:noProof/>
                <w:webHidden/>
              </w:rPr>
              <w:t>6</w:t>
            </w:r>
            <w:r w:rsidR="005A5B8C">
              <w:rPr>
                <w:noProof/>
                <w:webHidden/>
              </w:rPr>
              <w:fldChar w:fldCharType="end"/>
            </w:r>
          </w:hyperlink>
        </w:p>
        <w:p w14:paraId="573EC0C2" w14:textId="2AAD6894" w:rsidR="005A5B8C" w:rsidRDefault="00627FA9">
          <w:pPr>
            <w:pStyle w:val="TOC3"/>
            <w:tabs>
              <w:tab w:val="right" w:leader="dot" w:pos="9016"/>
            </w:tabs>
            <w:rPr>
              <w:rFonts w:asciiTheme="minorHAnsi" w:eastAsiaTheme="minorEastAsia" w:hAnsiTheme="minorHAnsi"/>
              <w:noProof/>
              <w:sz w:val="22"/>
              <w:lang w:val="en-GB" w:eastAsia="en-GB"/>
            </w:rPr>
          </w:pPr>
          <w:hyperlink w:anchor="_Toc66441268" w:history="1">
            <w:r w:rsidR="005A5B8C" w:rsidRPr="008A6BFB">
              <w:rPr>
                <w:rStyle w:val="Hyperlink"/>
                <w:noProof/>
              </w:rPr>
              <w:t>On education and preparation for the job market</w:t>
            </w:r>
            <w:r w:rsidR="005A5B8C">
              <w:rPr>
                <w:noProof/>
                <w:webHidden/>
              </w:rPr>
              <w:tab/>
            </w:r>
            <w:r w:rsidR="005A5B8C">
              <w:rPr>
                <w:noProof/>
                <w:webHidden/>
              </w:rPr>
              <w:fldChar w:fldCharType="begin"/>
            </w:r>
            <w:r w:rsidR="005A5B8C">
              <w:rPr>
                <w:noProof/>
                <w:webHidden/>
              </w:rPr>
              <w:instrText xml:space="preserve"> PAGEREF _Toc66441268 \h </w:instrText>
            </w:r>
            <w:r w:rsidR="005A5B8C">
              <w:rPr>
                <w:noProof/>
                <w:webHidden/>
              </w:rPr>
            </w:r>
            <w:r w:rsidR="005A5B8C">
              <w:rPr>
                <w:noProof/>
                <w:webHidden/>
              </w:rPr>
              <w:fldChar w:fldCharType="separate"/>
            </w:r>
            <w:r w:rsidR="00FC1B85">
              <w:rPr>
                <w:noProof/>
                <w:webHidden/>
              </w:rPr>
              <w:t>7</w:t>
            </w:r>
            <w:r w:rsidR="005A5B8C">
              <w:rPr>
                <w:noProof/>
                <w:webHidden/>
              </w:rPr>
              <w:fldChar w:fldCharType="end"/>
            </w:r>
          </w:hyperlink>
        </w:p>
        <w:p w14:paraId="1D75B605" w14:textId="481B92E5" w:rsidR="005A5B8C" w:rsidRDefault="00627FA9">
          <w:pPr>
            <w:pStyle w:val="TOC3"/>
            <w:tabs>
              <w:tab w:val="right" w:leader="dot" w:pos="9016"/>
            </w:tabs>
            <w:rPr>
              <w:rFonts w:asciiTheme="minorHAnsi" w:eastAsiaTheme="minorEastAsia" w:hAnsiTheme="minorHAnsi"/>
              <w:noProof/>
              <w:sz w:val="22"/>
              <w:lang w:val="en-GB" w:eastAsia="en-GB"/>
            </w:rPr>
          </w:pPr>
          <w:hyperlink w:anchor="_Toc66441269" w:history="1">
            <w:r w:rsidR="005A5B8C" w:rsidRPr="008A6BFB">
              <w:rPr>
                <w:rStyle w:val="Hyperlink"/>
                <w:noProof/>
              </w:rPr>
              <w:t>On the employment of women with disabilities (linking with Article 27 and Article 6 of the CRPD)</w:t>
            </w:r>
            <w:r w:rsidR="005A5B8C">
              <w:rPr>
                <w:noProof/>
                <w:webHidden/>
              </w:rPr>
              <w:tab/>
            </w:r>
            <w:r w:rsidR="005A5B8C">
              <w:rPr>
                <w:noProof/>
                <w:webHidden/>
              </w:rPr>
              <w:fldChar w:fldCharType="begin"/>
            </w:r>
            <w:r w:rsidR="005A5B8C">
              <w:rPr>
                <w:noProof/>
                <w:webHidden/>
              </w:rPr>
              <w:instrText xml:space="preserve"> PAGEREF _Toc66441269 \h </w:instrText>
            </w:r>
            <w:r w:rsidR="005A5B8C">
              <w:rPr>
                <w:noProof/>
                <w:webHidden/>
              </w:rPr>
            </w:r>
            <w:r w:rsidR="005A5B8C">
              <w:rPr>
                <w:noProof/>
                <w:webHidden/>
              </w:rPr>
              <w:fldChar w:fldCharType="separate"/>
            </w:r>
            <w:r w:rsidR="00FC1B85">
              <w:rPr>
                <w:noProof/>
                <w:webHidden/>
              </w:rPr>
              <w:t>7</w:t>
            </w:r>
            <w:r w:rsidR="005A5B8C">
              <w:rPr>
                <w:noProof/>
                <w:webHidden/>
              </w:rPr>
              <w:fldChar w:fldCharType="end"/>
            </w:r>
          </w:hyperlink>
        </w:p>
        <w:p w14:paraId="47D49962" w14:textId="65102266" w:rsidR="005A5B8C" w:rsidRDefault="00627FA9">
          <w:pPr>
            <w:pStyle w:val="TOC3"/>
            <w:tabs>
              <w:tab w:val="right" w:leader="dot" w:pos="9016"/>
            </w:tabs>
            <w:rPr>
              <w:rFonts w:asciiTheme="minorHAnsi" w:eastAsiaTheme="minorEastAsia" w:hAnsiTheme="minorHAnsi"/>
              <w:noProof/>
              <w:sz w:val="22"/>
              <w:lang w:val="en-GB" w:eastAsia="en-GB"/>
            </w:rPr>
          </w:pPr>
          <w:hyperlink w:anchor="_Toc66441270" w:history="1">
            <w:r w:rsidR="005A5B8C" w:rsidRPr="008A6BFB">
              <w:rPr>
                <w:rStyle w:val="Hyperlink"/>
                <w:noProof/>
              </w:rPr>
              <w:t>On discrimination by association (linking with Article 27 and Article 5 of the CRPD)</w:t>
            </w:r>
            <w:r w:rsidR="005A5B8C">
              <w:rPr>
                <w:noProof/>
                <w:webHidden/>
              </w:rPr>
              <w:tab/>
            </w:r>
            <w:r w:rsidR="005A5B8C">
              <w:rPr>
                <w:noProof/>
                <w:webHidden/>
              </w:rPr>
              <w:fldChar w:fldCharType="begin"/>
            </w:r>
            <w:r w:rsidR="005A5B8C">
              <w:rPr>
                <w:noProof/>
                <w:webHidden/>
              </w:rPr>
              <w:instrText xml:space="preserve"> PAGEREF _Toc66441270 \h </w:instrText>
            </w:r>
            <w:r w:rsidR="005A5B8C">
              <w:rPr>
                <w:noProof/>
                <w:webHidden/>
              </w:rPr>
            </w:r>
            <w:r w:rsidR="005A5B8C">
              <w:rPr>
                <w:noProof/>
                <w:webHidden/>
              </w:rPr>
              <w:fldChar w:fldCharType="separate"/>
            </w:r>
            <w:r w:rsidR="00FC1B85">
              <w:rPr>
                <w:noProof/>
                <w:webHidden/>
              </w:rPr>
              <w:t>7</w:t>
            </w:r>
            <w:r w:rsidR="005A5B8C">
              <w:rPr>
                <w:noProof/>
                <w:webHidden/>
              </w:rPr>
              <w:fldChar w:fldCharType="end"/>
            </w:r>
          </w:hyperlink>
        </w:p>
        <w:p w14:paraId="420D2DF3" w14:textId="46A4BBE9" w:rsidR="005A5B8C" w:rsidRDefault="00627FA9">
          <w:pPr>
            <w:pStyle w:val="TOC1"/>
            <w:tabs>
              <w:tab w:val="right" w:leader="dot" w:pos="9016"/>
            </w:tabs>
            <w:rPr>
              <w:rFonts w:asciiTheme="minorHAnsi" w:eastAsiaTheme="minorEastAsia" w:hAnsiTheme="minorHAnsi"/>
              <w:noProof/>
              <w:sz w:val="22"/>
              <w:lang w:val="en-GB" w:eastAsia="en-GB"/>
            </w:rPr>
          </w:pPr>
          <w:hyperlink w:anchor="_Toc66441271" w:history="1">
            <w:r w:rsidR="005A5B8C" w:rsidRPr="008A6BFB">
              <w:rPr>
                <w:rStyle w:val="Hyperlink"/>
                <w:noProof/>
              </w:rPr>
              <w:t>Document credits</w:t>
            </w:r>
            <w:r w:rsidR="005A5B8C">
              <w:rPr>
                <w:noProof/>
                <w:webHidden/>
              </w:rPr>
              <w:tab/>
            </w:r>
            <w:r w:rsidR="005A5B8C">
              <w:rPr>
                <w:noProof/>
                <w:webHidden/>
              </w:rPr>
              <w:fldChar w:fldCharType="begin"/>
            </w:r>
            <w:r w:rsidR="005A5B8C">
              <w:rPr>
                <w:noProof/>
                <w:webHidden/>
              </w:rPr>
              <w:instrText xml:space="preserve"> PAGEREF _Toc66441271 \h </w:instrText>
            </w:r>
            <w:r w:rsidR="005A5B8C">
              <w:rPr>
                <w:noProof/>
                <w:webHidden/>
              </w:rPr>
            </w:r>
            <w:r w:rsidR="005A5B8C">
              <w:rPr>
                <w:noProof/>
                <w:webHidden/>
              </w:rPr>
              <w:fldChar w:fldCharType="separate"/>
            </w:r>
            <w:r w:rsidR="00FC1B85">
              <w:rPr>
                <w:noProof/>
                <w:webHidden/>
              </w:rPr>
              <w:t>9</w:t>
            </w:r>
            <w:r w:rsidR="005A5B8C">
              <w:rPr>
                <w:noProof/>
                <w:webHidden/>
              </w:rPr>
              <w:fldChar w:fldCharType="end"/>
            </w:r>
          </w:hyperlink>
        </w:p>
        <w:p w14:paraId="14CF375F" w14:textId="0EA8ABF5" w:rsidR="00933C72" w:rsidRDefault="00933C72" w:rsidP="00933C72">
          <w:pPr>
            <w:rPr>
              <w:b/>
              <w:bCs/>
              <w:noProof/>
            </w:rPr>
          </w:pPr>
          <w:r>
            <w:rPr>
              <w:b/>
              <w:bCs/>
              <w:noProof/>
            </w:rPr>
            <w:fldChar w:fldCharType="end"/>
          </w:r>
        </w:p>
      </w:sdtContent>
    </w:sdt>
    <w:p w14:paraId="066411F9" w14:textId="77777777" w:rsidR="00FC1B85" w:rsidRDefault="00FC1B85" w:rsidP="00933C72"/>
    <w:p w14:paraId="7DDD87A1" w14:textId="77777777" w:rsidR="00FC1B85" w:rsidRDefault="00FC1B85" w:rsidP="00933C72"/>
    <w:p w14:paraId="12CA3961" w14:textId="77777777" w:rsidR="00FC1B85" w:rsidRDefault="00FC1B85" w:rsidP="00933C72"/>
    <w:p w14:paraId="364A44C9" w14:textId="7307F5AF" w:rsidR="00933C72" w:rsidRPr="00933C72" w:rsidRDefault="00A9576D" w:rsidP="00933C72">
      <w:pPr>
        <w:rPr>
          <w:b/>
          <w:bCs/>
          <w:noProof/>
        </w:rPr>
      </w:pPr>
      <w:r>
        <w:fldChar w:fldCharType="begin"/>
      </w:r>
      <w:r>
        <w:instrText xml:space="preserve"> TOC \o "1-2" \h \z \u </w:instrText>
      </w:r>
      <w:r>
        <w:fldChar w:fldCharType="separate"/>
      </w:r>
    </w:p>
    <w:p w14:paraId="588D3280" w14:textId="5A3DA48A" w:rsidR="001E0F08" w:rsidRDefault="00A9576D" w:rsidP="00282B80">
      <w:pPr>
        <w:pStyle w:val="Heading1"/>
      </w:pPr>
      <w:r>
        <w:fldChar w:fldCharType="end"/>
      </w:r>
      <w:bookmarkStart w:id="4" w:name="_Toc65855173"/>
      <w:bookmarkStart w:id="5" w:name="_Toc66441254"/>
      <w:r w:rsidR="001E0F08">
        <w:t>Introduction</w:t>
      </w:r>
      <w:bookmarkEnd w:id="4"/>
      <w:bookmarkEnd w:id="5"/>
    </w:p>
    <w:p w14:paraId="70F30724" w14:textId="3C116A6C" w:rsidR="00282B80" w:rsidRDefault="00282B80" w:rsidP="00282B80">
      <w:pPr>
        <w:pStyle w:val="Heading3"/>
      </w:pPr>
      <w:bookmarkStart w:id="6" w:name="_Toc66441255"/>
      <w:r>
        <w:t>The European Disability Forum</w:t>
      </w:r>
      <w:bookmarkEnd w:id="6"/>
    </w:p>
    <w:p w14:paraId="419712D9" w14:textId="52BBBC06" w:rsidR="00A53007" w:rsidRDefault="00282B80" w:rsidP="00282B80">
      <w:r w:rsidRPr="00282B80">
        <w:t xml:space="preserve">The European Disability Forum is an independent NGO that represents the interests of </w:t>
      </w:r>
      <w:r>
        <w:t>10</w:t>
      </w:r>
      <w:r w:rsidRPr="00282B80">
        <w:t xml:space="preserve">0 million Europeans with disabilities. EDF is a unique </w:t>
      </w:r>
      <w:proofErr w:type="gramStart"/>
      <w:r w:rsidRPr="00282B80">
        <w:t>platform which</w:t>
      </w:r>
      <w:proofErr w:type="gramEnd"/>
      <w:r w:rsidRPr="00282B80">
        <w:t xml:space="preserve"> brings together representative </w:t>
      </w:r>
      <w:proofErr w:type="spellStart"/>
      <w:r w:rsidRPr="00282B80">
        <w:t>organisation</w:t>
      </w:r>
      <w:r w:rsidR="009A04BA">
        <w:t>s</w:t>
      </w:r>
      <w:proofErr w:type="spellEnd"/>
      <w:r w:rsidRPr="00282B80">
        <w:t xml:space="preserve"> of persons with disabilities from across Europe. </w:t>
      </w:r>
      <w:proofErr w:type="gramStart"/>
      <w:r w:rsidRPr="00282B80">
        <w:t>EDF is run by persons with disabilities and their families</w:t>
      </w:r>
      <w:proofErr w:type="gramEnd"/>
      <w:r w:rsidRPr="00282B80">
        <w:t>. We are a strong, united voice of persons with disabilities in Europe.</w:t>
      </w:r>
    </w:p>
    <w:p w14:paraId="3A6D1512" w14:textId="5F473B87" w:rsidR="00A53007" w:rsidRDefault="00A53007" w:rsidP="00A53007">
      <w:pPr>
        <w:pStyle w:val="Heading2"/>
      </w:pPr>
      <w:bookmarkStart w:id="7" w:name="_Toc65855174"/>
      <w:bookmarkStart w:id="8" w:name="_Toc66441256"/>
      <w:r>
        <w:t>Executive Summary</w:t>
      </w:r>
      <w:bookmarkEnd w:id="7"/>
      <w:bookmarkEnd w:id="8"/>
    </w:p>
    <w:p w14:paraId="4A8500AA" w14:textId="1CEE4A58" w:rsidR="00946EFB" w:rsidRDefault="00A53007" w:rsidP="00282B80">
      <w:proofErr w:type="gramStart"/>
      <w:r>
        <w:t>This Position Paper has been drawn up in response to a call for input by the United Nations Committee</w:t>
      </w:r>
      <w:proofErr w:type="gramEnd"/>
      <w:r>
        <w:t xml:space="preserve"> on the Rights of Persons with Disabilities. </w:t>
      </w:r>
      <w:r w:rsidR="00946EFB">
        <w:t>It expresses what the European Disability Forum would like to see clarified in a future General Comment relating to Article 27 of the Convention on the Rights of Persons with Disabilities, covering work and employment.</w:t>
      </w:r>
    </w:p>
    <w:p w14:paraId="7CA6C5F7" w14:textId="31F3D4DB" w:rsidR="004103E9" w:rsidRDefault="004103E9" w:rsidP="00282B80">
      <w:r>
        <w:t xml:space="preserve">The Position Paper’s content </w:t>
      </w:r>
      <w:proofErr w:type="gramStart"/>
      <w:r>
        <w:t>has been guided</w:t>
      </w:r>
      <w:proofErr w:type="gramEnd"/>
      <w:r>
        <w:t xml:space="preserve"> by the work of EDF’s Social Policy and Inclusion Committee</w:t>
      </w:r>
      <w:r w:rsidR="009A04BA">
        <w:t xml:space="preserve"> and Youth Committee</w:t>
      </w:r>
      <w:r>
        <w:t>.</w:t>
      </w:r>
    </w:p>
    <w:p w14:paraId="29E7BDE7" w14:textId="17B9B5ED" w:rsidR="00A53007" w:rsidRDefault="00946EFB" w:rsidP="00282B80">
      <w:r>
        <w:t xml:space="preserve"> </w:t>
      </w:r>
    </w:p>
    <w:p w14:paraId="5F2DC615" w14:textId="587A3123" w:rsidR="00282B80" w:rsidRDefault="00A53007" w:rsidP="00282B80">
      <w:pPr>
        <w:pStyle w:val="Heading2"/>
      </w:pPr>
      <w:bookmarkStart w:id="9" w:name="_Toc65855175"/>
      <w:bookmarkStart w:id="10" w:name="_Toc66441257"/>
      <w:r>
        <w:lastRenderedPageBreak/>
        <w:t>The full list of recommendations for the content of the new General Comment on Article 27 – Work and Employment</w:t>
      </w:r>
      <w:bookmarkEnd w:id="9"/>
      <w:bookmarkEnd w:id="10"/>
    </w:p>
    <w:p w14:paraId="7D00424B" w14:textId="77777777" w:rsidR="005F3DA2" w:rsidRDefault="005F3DA2" w:rsidP="005F3DA2"/>
    <w:p w14:paraId="07AA9E33" w14:textId="3EC3EA4C" w:rsidR="005F3DA2" w:rsidRDefault="00BF5E25" w:rsidP="005F3DA2">
      <w:pPr>
        <w:pStyle w:val="Heading3"/>
      </w:pPr>
      <w:bookmarkStart w:id="11" w:name="_Toc66441258"/>
      <w:r w:rsidRPr="00A53007">
        <w:t>On fair wages and reasonable working conditions</w:t>
      </w:r>
      <w:bookmarkEnd w:id="11"/>
      <w:r w:rsidRPr="00A53007">
        <w:t xml:space="preserve"> </w:t>
      </w:r>
    </w:p>
    <w:p w14:paraId="67C24F89" w14:textId="3CF8FDAD" w:rsidR="005F3DA2" w:rsidRDefault="00BF5E25" w:rsidP="00BF5E25">
      <w:pPr>
        <w:spacing w:before="120" w:after="240"/>
        <w:rPr>
          <w:b/>
          <w:bCs/>
        </w:rPr>
      </w:pPr>
      <w:r w:rsidRPr="00A53007">
        <w:rPr>
          <w:b/>
          <w:bCs/>
        </w:rPr>
        <w:t>(</w:t>
      </w:r>
      <w:r w:rsidR="005F3DA2">
        <w:rPr>
          <w:b/>
          <w:bCs/>
        </w:rPr>
        <w:t xml:space="preserve">Relating to Article 27 </w:t>
      </w:r>
      <w:r w:rsidRPr="00A53007">
        <w:rPr>
          <w:b/>
          <w:bCs/>
        </w:rPr>
        <w:t>point 1b and point 2)</w:t>
      </w:r>
    </w:p>
    <w:p w14:paraId="32B9FC49" w14:textId="768C5178" w:rsidR="00BF5E25" w:rsidRDefault="00BF5E25" w:rsidP="00BF5E25">
      <w:pPr>
        <w:spacing w:before="120" w:after="240"/>
      </w:pPr>
      <w:r>
        <w:t xml:space="preserve">Workers with disabilities, no matter where they </w:t>
      </w:r>
      <w:proofErr w:type="gramStart"/>
      <w:r>
        <w:t>are employed</w:t>
      </w:r>
      <w:proofErr w:type="gramEnd"/>
      <w:r>
        <w:t xml:space="preserve">, should be guaranteed the status of “employee”, and thus entitled to all the rights attached to this status in their country. This means a guarantee of minimum wage in countries where this exists, or a wage </w:t>
      </w:r>
      <w:r w:rsidR="004103E9">
        <w:t>equivalent</w:t>
      </w:r>
      <w:r>
        <w:t xml:space="preserve"> to that generally received in their sector of work</w:t>
      </w:r>
      <w:r w:rsidR="004103E9">
        <w:t xml:space="preserve"> in countries without laws on minimum wage</w:t>
      </w:r>
      <w:r>
        <w:t xml:space="preserve">. It also means entitlement to </w:t>
      </w:r>
      <w:proofErr w:type="gramStart"/>
      <w:r>
        <w:t>paid</w:t>
      </w:r>
      <w:proofErr w:type="gramEnd"/>
      <w:r>
        <w:t xml:space="preserve"> annual leave, sick leave, </w:t>
      </w:r>
      <w:r w:rsidR="00FC1B85">
        <w:t xml:space="preserve">educational leave, </w:t>
      </w:r>
      <w:r>
        <w:t>unemployment benefits and all other social protection mechanisms, as well as the right to exercise trade union rights</w:t>
      </w:r>
      <w:r w:rsidR="004103E9">
        <w:t>, again in line with the national norm</w:t>
      </w:r>
      <w:r>
        <w:t>. Workers in sheltered working</w:t>
      </w:r>
      <w:r w:rsidR="004103E9">
        <w:t xml:space="preserve"> </w:t>
      </w:r>
      <w:r>
        <w:t xml:space="preserve">conditions </w:t>
      </w:r>
      <w:r w:rsidR="004103E9">
        <w:t xml:space="preserve">(see below for definition) </w:t>
      </w:r>
      <w:r>
        <w:t xml:space="preserve">should not be exempt from this. </w:t>
      </w:r>
    </w:p>
    <w:p w14:paraId="1E1EFD04" w14:textId="77777777" w:rsidR="005F3DA2" w:rsidRDefault="00BF5E25" w:rsidP="005F3DA2">
      <w:pPr>
        <w:pStyle w:val="Heading3"/>
      </w:pPr>
      <w:bookmarkStart w:id="12" w:name="_Toc66441259"/>
      <w:r w:rsidRPr="00A53007">
        <w:t>On reasonable accommodation</w:t>
      </w:r>
      <w:bookmarkEnd w:id="12"/>
      <w:r w:rsidRPr="00A53007">
        <w:t xml:space="preserve"> </w:t>
      </w:r>
    </w:p>
    <w:p w14:paraId="582FBC33" w14:textId="77777777" w:rsidR="005F3DA2" w:rsidRDefault="00BF5E25" w:rsidP="00BF5E25">
      <w:pPr>
        <w:spacing w:before="120" w:after="240"/>
      </w:pPr>
      <w:r w:rsidRPr="00A53007">
        <w:rPr>
          <w:b/>
          <w:bCs/>
        </w:rPr>
        <w:t>(</w:t>
      </w:r>
      <w:r w:rsidR="005F3DA2">
        <w:rPr>
          <w:b/>
          <w:bCs/>
        </w:rPr>
        <w:t xml:space="preserve">Relating to Article 27 </w:t>
      </w:r>
      <w:r w:rsidRPr="00A53007">
        <w:rPr>
          <w:b/>
          <w:bCs/>
        </w:rPr>
        <w:t>point 1.i)</w:t>
      </w:r>
      <w:r>
        <w:t xml:space="preserve"> </w:t>
      </w:r>
    </w:p>
    <w:p w14:paraId="1E52C130" w14:textId="1D4D52C5" w:rsidR="00BF5E25" w:rsidRDefault="00BF5E25" w:rsidP="00BF5E25">
      <w:pPr>
        <w:spacing w:before="120" w:after="240"/>
      </w:pPr>
      <w:r>
        <w:t xml:space="preserve">The provision of reasonable accommodation </w:t>
      </w:r>
      <w:proofErr w:type="gramStart"/>
      <w:r>
        <w:t>should be driven</w:t>
      </w:r>
      <w:proofErr w:type="gramEnd"/>
      <w:r>
        <w:t xml:space="preserve"> by the requirements of the person with disabilities and not the preferences of the employer. Reasonable accommodation should comprise options for flexible working arrangements, as well as support or adjustments to the workplace in line with the </w:t>
      </w:r>
      <w:r w:rsidR="004103E9">
        <w:t>person’</w:t>
      </w:r>
      <w:r>
        <w:t>s needs. This could include things such as (</w:t>
      </w:r>
      <w:r w:rsidR="004103E9">
        <w:t xml:space="preserve">although </w:t>
      </w:r>
      <w:r>
        <w:t xml:space="preserve">not exclusively): </w:t>
      </w:r>
      <w:r w:rsidR="004103E9">
        <w:t>p</w:t>
      </w:r>
      <w:r>
        <w:t>hysically accessible working spaces (including toilets, canteens, elevators etc</w:t>
      </w:r>
      <w:r w:rsidR="004103E9">
        <w:t>.</w:t>
      </w:r>
      <w:r>
        <w:t xml:space="preserve">), the provision of assistive devices or technology needed to work, sign language interpretation when required, </w:t>
      </w:r>
      <w:r w:rsidR="004103E9">
        <w:t xml:space="preserve">and </w:t>
      </w:r>
      <w:r>
        <w:t xml:space="preserve">work material in accessible formats such as Braille or easy-to-read language. Support </w:t>
      </w:r>
      <w:proofErr w:type="gramStart"/>
      <w:r>
        <w:t>should also be given</w:t>
      </w:r>
      <w:proofErr w:type="gramEnd"/>
      <w:r>
        <w:t xml:space="preserve"> for the provision of workplace assistance, mentoring and coaching if the employee with disabilities requires this. Furthermore, it should take into consideration the need for some employees to work in closed office spaces as opposed to open-plan settings because of sensory issues. </w:t>
      </w:r>
    </w:p>
    <w:p w14:paraId="54B75D3F" w14:textId="0A94F363" w:rsidR="005F3DA2" w:rsidRDefault="00BF5E25" w:rsidP="00BF5E25">
      <w:pPr>
        <w:spacing w:before="120" w:after="240"/>
      </w:pPr>
      <w:r>
        <w:lastRenderedPageBreak/>
        <w:t xml:space="preserve">States </w:t>
      </w:r>
      <w:r w:rsidR="00695968">
        <w:t>P</w:t>
      </w:r>
      <w:r>
        <w:t xml:space="preserve">arties to the Convention should foresee financial support in the form of grants to help businesses make necessary adjustments to the workplace and/or purchase assistive devices and technology </w:t>
      </w:r>
      <w:r w:rsidR="004103E9">
        <w:t xml:space="preserve">or employ support workers/interpreters/personal assistants </w:t>
      </w:r>
      <w:r>
        <w:t>when needed. It is particularly important to support small and medium-sized enterprises</w:t>
      </w:r>
      <w:r w:rsidR="004103E9">
        <w:t xml:space="preserve"> in covering any costs incurred</w:t>
      </w:r>
      <w:r>
        <w:t xml:space="preserve">. National employment legislation should also oblige large companies and public sector employers to foresee a budget specifically for reasonable accommodation and accessibility. States </w:t>
      </w:r>
      <w:r w:rsidR="00695968">
        <w:t>P</w:t>
      </w:r>
      <w:r>
        <w:t xml:space="preserve">arties should also invest in training and </w:t>
      </w:r>
      <w:proofErr w:type="gramStart"/>
      <w:r>
        <w:t>awareness-raising</w:t>
      </w:r>
      <w:proofErr w:type="gramEnd"/>
      <w:r>
        <w:t xml:space="preserve"> of employers and persons with disabilities on what is meant by reasonable accommodation, accessibility and inclusion in the workplace.   </w:t>
      </w:r>
    </w:p>
    <w:p w14:paraId="3B732ABA" w14:textId="77777777" w:rsidR="005F3DA2" w:rsidRDefault="00BF5E25" w:rsidP="005F3DA2">
      <w:pPr>
        <w:pStyle w:val="Heading3"/>
      </w:pPr>
      <w:bookmarkStart w:id="13" w:name="_Toc66441260"/>
      <w:r w:rsidRPr="00A53007">
        <w:t>On flexible working conditions</w:t>
      </w:r>
      <w:bookmarkEnd w:id="13"/>
      <w:r w:rsidRPr="00A53007">
        <w:t xml:space="preserve"> </w:t>
      </w:r>
    </w:p>
    <w:p w14:paraId="2DD50EA8" w14:textId="77777777" w:rsidR="005F3DA2" w:rsidRDefault="00BF5E25" w:rsidP="00BF5E25">
      <w:pPr>
        <w:spacing w:before="120" w:after="240"/>
        <w:rPr>
          <w:b/>
          <w:bCs/>
        </w:rPr>
      </w:pPr>
      <w:r w:rsidRPr="00A53007">
        <w:rPr>
          <w:b/>
          <w:bCs/>
        </w:rPr>
        <w:t>(</w:t>
      </w:r>
      <w:r w:rsidR="005F3DA2">
        <w:rPr>
          <w:b/>
          <w:bCs/>
        </w:rPr>
        <w:t xml:space="preserve">Relating to Article 27 </w:t>
      </w:r>
      <w:r w:rsidRPr="00A53007">
        <w:rPr>
          <w:b/>
          <w:bCs/>
        </w:rPr>
        <w:t>point 1.i)</w:t>
      </w:r>
    </w:p>
    <w:p w14:paraId="4D61AC8A" w14:textId="300D22B3" w:rsidR="00BF5E25" w:rsidRDefault="00BF5E25" w:rsidP="00BF5E25">
      <w:pPr>
        <w:spacing w:before="120" w:after="240"/>
      </w:pPr>
      <w:r>
        <w:t>Employers should be encouraged to be flexible with working</w:t>
      </w:r>
      <w:r w:rsidR="004103E9">
        <w:t xml:space="preserve"> </w:t>
      </w:r>
      <w:r>
        <w:t xml:space="preserve">arrangements for employees with disabilities to facilitate entry into </w:t>
      </w:r>
      <w:r w:rsidR="004103E9">
        <w:t>an inclusive</w:t>
      </w:r>
      <w:r>
        <w:t xml:space="preserve"> </w:t>
      </w:r>
      <w:proofErr w:type="spellStart"/>
      <w:r>
        <w:t>labour</w:t>
      </w:r>
      <w:proofErr w:type="spellEnd"/>
      <w:r>
        <w:t xml:space="preserve"> market and reduce barriers. This flexibility should be at the request of the employee and not imposed upon them. For example, an employee might request to work remotely. However remote/online working </w:t>
      </w:r>
      <w:proofErr w:type="gramStart"/>
      <w:r>
        <w:t>should never be imposed</w:t>
      </w:r>
      <w:proofErr w:type="gramEnd"/>
      <w:r>
        <w:t xml:space="preserve"> on an employee with disabilities as an alternative to making the workplace accessible. </w:t>
      </w:r>
    </w:p>
    <w:p w14:paraId="1AD8E555" w14:textId="77777777" w:rsidR="005F3DA2" w:rsidRDefault="00BF5E25" w:rsidP="005F3DA2">
      <w:pPr>
        <w:pStyle w:val="Heading3"/>
      </w:pPr>
      <w:bookmarkStart w:id="14" w:name="_Toc66441261"/>
      <w:r w:rsidRPr="00A53007">
        <w:t xml:space="preserve">On </w:t>
      </w:r>
      <w:proofErr w:type="spellStart"/>
      <w:r w:rsidRPr="00A53007">
        <w:t>labour</w:t>
      </w:r>
      <w:proofErr w:type="spellEnd"/>
      <w:r w:rsidRPr="00A53007">
        <w:t xml:space="preserve"> and trade union rights</w:t>
      </w:r>
      <w:bookmarkEnd w:id="14"/>
      <w:r w:rsidRPr="00A53007">
        <w:t xml:space="preserve"> </w:t>
      </w:r>
    </w:p>
    <w:p w14:paraId="0A76FB7E" w14:textId="77777777" w:rsidR="005F3DA2" w:rsidRDefault="005F3DA2" w:rsidP="00BF5E25">
      <w:pPr>
        <w:spacing w:before="120" w:after="240"/>
      </w:pPr>
      <w:r>
        <w:rPr>
          <w:b/>
          <w:bCs/>
        </w:rPr>
        <w:t xml:space="preserve">(Relating to Article 27 </w:t>
      </w:r>
      <w:r w:rsidR="00BF5E25" w:rsidRPr="00A53007">
        <w:rPr>
          <w:b/>
          <w:bCs/>
        </w:rPr>
        <w:t>Point 1.c</w:t>
      </w:r>
      <w:r>
        <w:rPr>
          <w:b/>
          <w:bCs/>
        </w:rPr>
        <w:t>)</w:t>
      </w:r>
      <w:r w:rsidR="00BF5E25">
        <w:t xml:space="preserve"> </w:t>
      </w:r>
    </w:p>
    <w:p w14:paraId="3725076B" w14:textId="2B7A3604" w:rsidR="00BF5E25" w:rsidRDefault="00BF5E25" w:rsidP="00BF5E25">
      <w:pPr>
        <w:spacing w:before="120" w:after="240"/>
      </w:pPr>
      <w:r>
        <w:t xml:space="preserve">It is essential that States Parties guarantee the right to collective bargaining and affiliation with Trade Unions for persons with disabilities. This entails not only the right to be involved in the process, but also the obligation for Trade Unions to be accessible to workers with disabilities and </w:t>
      </w:r>
      <w:proofErr w:type="spellStart"/>
      <w:r>
        <w:t>organisations</w:t>
      </w:r>
      <w:proofErr w:type="spellEnd"/>
      <w:r>
        <w:t xml:space="preserve"> of persons with disabilities. This in turn will require, when needed, facilitating accessible communication with the assistance of sign language interpreters, Braille and/or information in easy-to-read language. Meetings and negotiations should also take place in physically accessible settings to ensure that everyone can be present. </w:t>
      </w:r>
    </w:p>
    <w:p w14:paraId="74E89A8E" w14:textId="77777777" w:rsidR="005F3DA2" w:rsidRDefault="00BF5E25" w:rsidP="005F3DA2">
      <w:pPr>
        <w:pStyle w:val="Heading3"/>
      </w:pPr>
      <w:bookmarkStart w:id="15" w:name="_Toc66441262"/>
      <w:r w:rsidRPr="00A53007">
        <w:t>On protection from in-work poverty</w:t>
      </w:r>
      <w:bookmarkEnd w:id="15"/>
    </w:p>
    <w:p w14:paraId="3BF7C62B" w14:textId="77777777" w:rsidR="005F3DA2" w:rsidRDefault="005F3DA2" w:rsidP="00BF5E25">
      <w:pPr>
        <w:spacing w:before="120" w:after="240"/>
      </w:pPr>
      <w:r>
        <w:rPr>
          <w:b/>
          <w:bCs/>
        </w:rPr>
        <w:t xml:space="preserve">(Relating to Article 27 </w:t>
      </w:r>
      <w:r w:rsidR="00BF5E25" w:rsidRPr="00A53007">
        <w:rPr>
          <w:b/>
          <w:bCs/>
        </w:rPr>
        <w:t>Point 1b)</w:t>
      </w:r>
      <w:r w:rsidR="00BF5E25">
        <w:t xml:space="preserve"> </w:t>
      </w:r>
    </w:p>
    <w:p w14:paraId="229A732F" w14:textId="67FEFB33" w:rsidR="00BF5E25" w:rsidRDefault="00BF5E25" w:rsidP="00BF5E25">
      <w:pPr>
        <w:spacing w:before="120" w:after="240"/>
      </w:pPr>
      <w:r>
        <w:lastRenderedPageBreak/>
        <w:t xml:space="preserve">Adequate income for persons with disabilities requires more than ensuring the respect of national or sectoral minimum wage policies. The extra cost of living for persons with disabilities, because of the need to pay out-of-pocket to compensate for inaccessible structures, is such that a salary alone is rarely enough to bring a person with disabilities out of poverty. As such, the concept of “reasonable remuneration” needs to take into account the way salaries are compatible with social welfare systems. States Parties should allow persons with disabilities to retain entitlement to disability allowance when in employment, to compensate for the extra cost of living. Improving one’s quality of life by taking up paid employment should not be </w:t>
      </w:r>
      <w:proofErr w:type="spellStart"/>
      <w:r>
        <w:t>penalised</w:t>
      </w:r>
      <w:proofErr w:type="spellEnd"/>
      <w:r>
        <w:t xml:space="preserve"> by loss of support mechanisms and disability “benefits”.</w:t>
      </w:r>
    </w:p>
    <w:p w14:paraId="79002193" w14:textId="77777777" w:rsidR="005F3DA2" w:rsidRDefault="00BF5E25" w:rsidP="005F3DA2">
      <w:pPr>
        <w:pStyle w:val="Heading3"/>
      </w:pPr>
      <w:bookmarkStart w:id="16" w:name="_Toc66441263"/>
      <w:r w:rsidRPr="00A53007">
        <w:t>On career progression</w:t>
      </w:r>
      <w:bookmarkEnd w:id="16"/>
      <w:r w:rsidRPr="00A53007">
        <w:t xml:space="preserve"> </w:t>
      </w:r>
    </w:p>
    <w:p w14:paraId="3527A584" w14:textId="225380FF" w:rsidR="005F3DA2" w:rsidRDefault="00BF5E25" w:rsidP="00BF5E25">
      <w:pPr>
        <w:spacing w:before="120" w:after="240"/>
      </w:pPr>
      <w:r w:rsidRPr="00A53007">
        <w:rPr>
          <w:b/>
          <w:bCs/>
        </w:rPr>
        <w:t>(</w:t>
      </w:r>
      <w:r w:rsidR="005F3DA2">
        <w:rPr>
          <w:b/>
          <w:bCs/>
        </w:rPr>
        <w:t xml:space="preserve">Relating to Article 27 </w:t>
      </w:r>
      <w:r w:rsidRPr="00A53007">
        <w:rPr>
          <w:b/>
          <w:bCs/>
        </w:rPr>
        <w:t>Point</w:t>
      </w:r>
      <w:r w:rsidR="00933C72">
        <w:rPr>
          <w:b/>
          <w:bCs/>
        </w:rPr>
        <w:t xml:space="preserve"> 1.a and 1.d</w:t>
      </w:r>
      <w:r w:rsidRPr="00A53007">
        <w:rPr>
          <w:b/>
          <w:bCs/>
        </w:rPr>
        <w:t>)</w:t>
      </w:r>
      <w:r>
        <w:t xml:space="preserve"> </w:t>
      </w:r>
    </w:p>
    <w:p w14:paraId="1A41875A" w14:textId="44BE69AB" w:rsidR="00BF5E25" w:rsidRDefault="00BF5E25" w:rsidP="00BF5E25">
      <w:pPr>
        <w:spacing w:before="120" w:after="240"/>
      </w:pPr>
      <w:r>
        <w:t xml:space="preserve">States </w:t>
      </w:r>
      <w:r w:rsidR="004103E9">
        <w:t>P</w:t>
      </w:r>
      <w:r>
        <w:t xml:space="preserve">arties must ensure the entitlement to career progression for workers with disabilities. Particular effort </w:t>
      </w:r>
      <w:proofErr w:type="gramStart"/>
      <w:r>
        <w:t>must be made</w:t>
      </w:r>
      <w:proofErr w:type="gramEnd"/>
      <w:r>
        <w:t xml:space="preserve"> to ensure that training </w:t>
      </w:r>
      <w:proofErr w:type="spellStart"/>
      <w:r>
        <w:t>programmes</w:t>
      </w:r>
      <w:proofErr w:type="spellEnd"/>
      <w:r>
        <w:t xml:space="preserve"> are made accessible for persons with disabilities, and that workers are free from discrimination when it comes to promotions and pay-scale progression.</w:t>
      </w:r>
    </w:p>
    <w:p w14:paraId="0543B254" w14:textId="78886CE2" w:rsidR="00933C72" w:rsidRDefault="00BF5E25" w:rsidP="00933C72">
      <w:pPr>
        <w:pStyle w:val="Heading3"/>
      </w:pPr>
      <w:bookmarkStart w:id="17" w:name="_Toc66441264"/>
      <w:r w:rsidRPr="00A53007">
        <w:t>On self-employment and entrepreneurship</w:t>
      </w:r>
      <w:bookmarkEnd w:id="17"/>
    </w:p>
    <w:p w14:paraId="24C6076D" w14:textId="57E8A314" w:rsidR="00933C72" w:rsidRPr="00933C72" w:rsidRDefault="00933C72" w:rsidP="004103E9">
      <w:pPr>
        <w:spacing w:before="120" w:after="240"/>
      </w:pPr>
      <w:r w:rsidRPr="00A53007">
        <w:rPr>
          <w:b/>
          <w:bCs/>
        </w:rPr>
        <w:t>(</w:t>
      </w:r>
      <w:r>
        <w:rPr>
          <w:b/>
          <w:bCs/>
        </w:rPr>
        <w:t xml:space="preserve">Relating to Article 27 </w:t>
      </w:r>
      <w:r w:rsidRPr="00A53007">
        <w:rPr>
          <w:b/>
          <w:bCs/>
        </w:rPr>
        <w:t>Point 1.</w:t>
      </w:r>
      <w:r>
        <w:rPr>
          <w:b/>
          <w:bCs/>
        </w:rPr>
        <w:t>f</w:t>
      </w:r>
      <w:r w:rsidRPr="00A53007">
        <w:rPr>
          <w:b/>
          <w:bCs/>
        </w:rPr>
        <w:t>)</w:t>
      </w:r>
      <w:r>
        <w:t xml:space="preserve"> </w:t>
      </w:r>
    </w:p>
    <w:p w14:paraId="6674100B" w14:textId="001E58EA" w:rsidR="00933C72" w:rsidRDefault="00A53007" w:rsidP="00BF5E25">
      <w:pPr>
        <w:spacing w:before="120" w:after="240"/>
      </w:pPr>
      <w:r>
        <w:t xml:space="preserve">States </w:t>
      </w:r>
      <w:r w:rsidR="004103E9">
        <w:t>P</w:t>
      </w:r>
      <w:r>
        <w:t xml:space="preserve">arties should promote self-employment and entrepreneurship among persons with disabilities by facilitating access to capital, simplifying procedures to set-up and register a business, and facilitating access to information in accessible formats for business owners. </w:t>
      </w:r>
    </w:p>
    <w:p w14:paraId="66A16CA9" w14:textId="34A4C7EB" w:rsidR="005F3DA2" w:rsidRDefault="00BF5E25" w:rsidP="005F3DA2">
      <w:pPr>
        <w:pStyle w:val="Heading3"/>
      </w:pPr>
      <w:bookmarkStart w:id="18" w:name="_Toc66441265"/>
      <w:r w:rsidRPr="00A53007">
        <w:t xml:space="preserve">On the transition towards employment in an inclusive open </w:t>
      </w:r>
      <w:proofErr w:type="spellStart"/>
      <w:r w:rsidRPr="00A53007">
        <w:t>labour</w:t>
      </w:r>
      <w:proofErr w:type="spellEnd"/>
      <w:r w:rsidRPr="00A53007">
        <w:t xml:space="preserve"> market</w:t>
      </w:r>
      <w:bookmarkEnd w:id="18"/>
    </w:p>
    <w:p w14:paraId="309659F7" w14:textId="1C6248E4" w:rsidR="00933C72" w:rsidRPr="00933C72" w:rsidRDefault="00933C72" w:rsidP="00933C72">
      <w:pPr>
        <w:spacing w:before="120" w:after="240"/>
      </w:pPr>
      <w:r w:rsidRPr="00A53007">
        <w:rPr>
          <w:b/>
          <w:bCs/>
        </w:rPr>
        <w:t>(</w:t>
      </w:r>
      <w:r>
        <w:rPr>
          <w:b/>
          <w:bCs/>
        </w:rPr>
        <w:t xml:space="preserve">Relating to Article 27 </w:t>
      </w:r>
      <w:r w:rsidRPr="00A53007">
        <w:rPr>
          <w:b/>
          <w:bCs/>
        </w:rPr>
        <w:t>Point 1j)</w:t>
      </w:r>
      <w:r>
        <w:t xml:space="preserve"> </w:t>
      </w:r>
    </w:p>
    <w:p w14:paraId="0EAC6EF6" w14:textId="0C0631D8" w:rsidR="00BF5E25" w:rsidRDefault="00BF5E25" w:rsidP="00BF5E25">
      <w:pPr>
        <w:spacing w:before="120" w:after="240"/>
      </w:pPr>
      <w:r>
        <w:t xml:space="preserve">Of particular importance should be the support towards preparing people for work in the open </w:t>
      </w:r>
      <w:proofErr w:type="spellStart"/>
      <w:r>
        <w:t>labour</w:t>
      </w:r>
      <w:proofErr w:type="spellEnd"/>
      <w:r>
        <w:t xml:space="preserve"> market, as well as making the open </w:t>
      </w:r>
      <w:proofErr w:type="spellStart"/>
      <w:r>
        <w:t>labour</w:t>
      </w:r>
      <w:proofErr w:type="spellEnd"/>
      <w:r>
        <w:t xml:space="preserve"> market inclusive enough to be able to welcome workers with disabilities. This means that, where sheltered work settings exist, there </w:t>
      </w:r>
      <w:r w:rsidR="002D2038">
        <w:t>should</w:t>
      </w:r>
      <w:r>
        <w:t xml:space="preserve"> be a focus on enabling workers to make the transition towards mainstream work settings in line with their skills, should they </w:t>
      </w:r>
      <w:r>
        <w:lastRenderedPageBreak/>
        <w:t xml:space="preserve">wish to. This </w:t>
      </w:r>
      <w:proofErr w:type="gramStart"/>
      <w:r>
        <w:t>can sometimes be achieved</w:t>
      </w:r>
      <w:proofErr w:type="gramEnd"/>
      <w:r>
        <w:t xml:space="preserve"> by what is referred to as “supported employment” where assistance is offered to support an employee with disabilities in adapting to a new work environment.</w:t>
      </w:r>
    </w:p>
    <w:p w14:paraId="48C50175" w14:textId="77777777" w:rsidR="005F3DA2" w:rsidRDefault="00BF5E25" w:rsidP="005F3DA2">
      <w:pPr>
        <w:pStyle w:val="Heading3"/>
      </w:pPr>
      <w:bookmarkStart w:id="19" w:name="_Toc66441266"/>
      <w:r w:rsidRPr="00A53007">
        <w:t>Definition of sheltered workshops</w:t>
      </w:r>
      <w:bookmarkEnd w:id="19"/>
      <w:r>
        <w:t xml:space="preserve"> </w:t>
      </w:r>
    </w:p>
    <w:p w14:paraId="08298439" w14:textId="4A4C1A7E" w:rsidR="00BF5E25" w:rsidRDefault="00BF5E25" w:rsidP="00BF5E25">
      <w:pPr>
        <w:spacing w:before="120" w:after="240"/>
      </w:pPr>
      <w:r>
        <w:t xml:space="preserve">The General Comment on Article 27 should clearly define what the CRPD committee understands by “sheltered workshops” and the “open </w:t>
      </w:r>
      <w:proofErr w:type="spellStart"/>
      <w:r>
        <w:t>labour</w:t>
      </w:r>
      <w:proofErr w:type="spellEnd"/>
      <w:r>
        <w:t xml:space="preserve"> market”. The notion of “sheltered workshops” refers to a working environment that employs persons with disabilities in settings that are largely separate from workers without disabilities. They are</w:t>
      </w:r>
      <w:r w:rsidR="002D2038">
        <w:t>, in other words,</w:t>
      </w:r>
      <w:r>
        <w:t xml:space="preserve"> work settings foreseen specifically for persons with disabilities. In some </w:t>
      </w:r>
      <w:proofErr w:type="gramStart"/>
      <w:r>
        <w:t>countries</w:t>
      </w:r>
      <w:proofErr w:type="gramEnd"/>
      <w:r>
        <w:t xml:space="preserve"> the legal status of people employed in sheltered workshops might differ from that of the open </w:t>
      </w:r>
      <w:proofErr w:type="spellStart"/>
      <w:r>
        <w:t>labour</w:t>
      </w:r>
      <w:proofErr w:type="spellEnd"/>
      <w:r>
        <w:t xml:space="preserve"> market, with an impact on salary norms and other rights. This is not the case in all countries. In this sense what </w:t>
      </w:r>
      <w:proofErr w:type="gramStart"/>
      <w:r>
        <w:t>is classed</w:t>
      </w:r>
      <w:proofErr w:type="gramEnd"/>
      <w:r>
        <w:t xml:space="preserve"> as a “sheltered workshop” by default differs from the inclusive “open </w:t>
      </w:r>
      <w:proofErr w:type="spellStart"/>
      <w:r>
        <w:t>labour</w:t>
      </w:r>
      <w:proofErr w:type="spellEnd"/>
      <w:r>
        <w:t xml:space="preserve"> market”.</w:t>
      </w:r>
    </w:p>
    <w:p w14:paraId="4AC42885" w14:textId="77777777" w:rsidR="005F3DA2" w:rsidRDefault="00946EFB" w:rsidP="005F3DA2">
      <w:pPr>
        <w:pStyle w:val="Heading3"/>
      </w:pPr>
      <w:bookmarkStart w:id="20" w:name="_Toc66441267"/>
      <w:r w:rsidRPr="00946EFB">
        <w:t>On s</w:t>
      </w:r>
      <w:r w:rsidR="00BF5E25" w:rsidRPr="00946EFB">
        <w:t>afe and healthy working conditions</w:t>
      </w:r>
      <w:bookmarkEnd w:id="20"/>
      <w:r w:rsidR="00BF5E25" w:rsidRPr="00946EFB">
        <w:t xml:space="preserve"> </w:t>
      </w:r>
    </w:p>
    <w:p w14:paraId="2D96E248" w14:textId="77777777" w:rsidR="005F3DA2" w:rsidRDefault="00BF5E25" w:rsidP="00BF5E25">
      <w:pPr>
        <w:spacing w:before="120" w:after="240"/>
      </w:pPr>
      <w:r w:rsidRPr="00946EFB">
        <w:rPr>
          <w:b/>
          <w:bCs/>
        </w:rPr>
        <w:t>(</w:t>
      </w:r>
      <w:r w:rsidR="005F3DA2">
        <w:rPr>
          <w:b/>
          <w:bCs/>
        </w:rPr>
        <w:t xml:space="preserve">Relating to Article 27 </w:t>
      </w:r>
      <w:r w:rsidRPr="00946EFB">
        <w:rPr>
          <w:b/>
          <w:bCs/>
        </w:rPr>
        <w:t>Points 1.a and 1.b)</w:t>
      </w:r>
      <w:r>
        <w:t xml:space="preserve"> </w:t>
      </w:r>
    </w:p>
    <w:p w14:paraId="3BC242AB" w14:textId="1862F74D" w:rsidR="00BF5E25" w:rsidRDefault="00BF5E25" w:rsidP="00BF5E25">
      <w:pPr>
        <w:spacing w:before="120" w:after="240"/>
      </w:pPr>
      <w:r>
        <w:t xml:space="preserve">States parties must make it an obligation for employers to ensure the health and safety of persons with disabilities in the workplace. This will require taking measures to make emergency evacuation procedures accessible and usable by all staff, in a way that leaves nobody behind and puts no person at disproportionate risk because of their disability. It should also require the accessibility of warning and alarm systems for emergencies and </w:t>
      </w:r>
      <w:proofErr w:type="spellStart"/>
      <w:r>
        <w:t>prioritise</w:t>
      </w:r>
      <w:proofErr w:type="spellEnd"/>
      <w:r>
        <w:t xml:space="preserve"> evacuations that </w:t>
      </w:r>
      <w:proofErr w:type="gramStart"/>
      <w:r>
        <w:t>can be done</w:t>
      </w:r>
      <w:proofErr w:type="gramEnd"/>
      <w:r>
        <w:t xml:space="preserve"> autonomously to the greatest extent possible. </w:t>
      </w:r>
    </w:p>
    <w:p w14:paraId="26846A4C" w14:textId="77777777" w:rsidR="00BF5E25" w:rsidRDefault="00BF5E25" w:rsidP="00BF5E25">
      <w:pPr>
        <w:spacing w:before="120" w:after="240"/>
      </w:pPr>
      <w:r>
        <w:t xml:space="preserve">Ensuring health and safety also means making sure reasonable accommodation is available so that tasks </w:t>
      </w:r>
      <w:proofErr w:type="gramStart"/>
      <w:r>
        <w:t>can be carried out</w:t>
      </w:r>
      <w:proofErr w:type="gramEnd"/>
      <w:r>
        <w:t xml:space="preserve"> by the person with disabilities without requiring excessive strain that could result in health issues or injury.   </w:t>
      </w:r>
    </w:p>
    <w:p w14:paraId="689F6CD5" w14:textId="00E1F1A6" w:rsidR="005F3DA2" w:rsidRDefault="00946EFB" w:rsidP="005F3DA2">
      <w:pPr>
        <w:pStyle w:val="Heading3"/>
      </w:pPr>
      <w:bookmarkStart w:id="21" w:name="_Toc66441268"/>
      <w:r w:rsidRPr="00946EFB">
        <w:t>On e</w:t>
      </w:r>
      <w:r w:rsidR="00BF5E25" w:rsidRPr="00946EFB">
        <w:t>ducation and preparation for the job market</w:t>
      </w:r>
      <w:bookmarkEnd w:id="21"/>
      <w:r w:rsidR="00BF5E25">
        <w:t xml:space="preserve"> </w:t>
      </w:r>
    </w:p>
    <w:p w14:paraId="77001371" w14:textId="1FBFCE83" w:rsidR="00933C72" w:rsidRPr="00933C72" w:rsidRDefault="00933C72" w:rsidP="00933C72">
      <w:pPr>
        <w:spacing w:before="120" w:after="240"/>
      </w:pPr>
      <w:r w:rsidRPr="00A53007">
        <w:rPr>
          <w:b/>
          <w:bCs/>
        </w:rPr>
        <w:t>(</w:t>
      </w:r>
      <w:r>
        <w:rPr>
          <w:b/>
          <w:bCs/>
        </w:rPr>
        <w:t xml:space="preserve">Relating to Article 27 </w:t>
      </w:r>
      <w:r w:rsidRPr="00A53007">
        <w:rPr>
          <w:b/>
          <w:bCs/>
        </w:rPr>
        <w:t>Point 1.j)</w:t>
      </w:r>
      <w:r>
        <w:t xml:space="preserve"> </w:t>
      </w:r>
    </w:p>
    <w:p w14:paraId="3A604D43" w14:textId="77777777" w:rsidR="00FC1B85" w:rsidRDefault="00BF5E25" w:rsidP="00BF5E25">
      <w:pPr>
        <w:spacing w:before="120" w:after="240"/>
      </w:pPr>
      <w:r>
        <w:lastRenderedPageBreak/>
        <w:t xml:space="preserve">The barriers to finding employment can go back as early as our school years. States </w:t>
      </w:r>
      <w:r w:rsidR="002D2038">
        <w:t>P</w:t>
      </w:r>
      <w:r>
        <w:t xml:space="preserve">arties must begin tackling this issue by investing in barrier-free, inclusive and quality education for persons with disabilities, including easier access to life-long learning. The education of young people should comprise the opportunity to </w:t>
      </w:r>
      <w:proofErr w:type="gramStart"/>
      <w:r>
        <w:t>be provided</w:t>
      </w:r>
      <w:proofErr w:type="gramEnd"/>
      <w:r>
        <w:t xml:space="preserve"> with a work experience placement, just as is the case in mainstream education in many countries. Likewise, vocational guidance </w:t>
      </w:r>
      <w:proofErr w:type="gramStart"/>
      <w:r>
        <w:t>should be offered</w:t>
      </w:r>
      <w:proofErr w:type="gramEnd"/>
      <w:r>
        <w:t xml:space="preserve"> to persons with disabilities while at school, assisting them in their transition towards the world of work, or in making informed choices </w:t>
      </w:r>
      <w:r w:rsidR="002D2038">
        <w:t>about</w:t>
      </w:r>
      <w:r>
        <w:t xml:space="preserve"> possibilities for further education.</w:t>
      </w:r>
    </w:p>
    <w:p w14:paraId="6BED205F" w14:textId="5C5A741D" w:rsidR="00FC1B85" w:rsidRDefault="00FC1B85" w:rsidP="00FC1B85">
      <w:pPr>
        <w:spacing w:before="120" w:after="240"/>
      </w:pPr>
      <w:r>
        <w:t xml:space="preserve">States Parties should also make more efforts in increasing the visibility and accessibility of </w:t>
      </w:r>
      <w:proofErr w:type="spellStart"/>
      <w:r>
        <w:t>programmes</w:t>
      </w:r>
      <w:proofErr w:type="spellEnd"/>
      <w:r>
        <w:t xml:space="preserve"> aimed at young people that help in the transition period from education to the </w:t>
      </w:r>
      <w:proofErr w:type="spellStart"/>
      <w:r>
        <w:t>labour</w:t>
      </w:r>
      <w:proofErr w:type="spellEnd"/>
      <w:r>
        <w:t xml:space="preserve"> market, such as support for a first job, or traineeship placement (such as the </w:t>
      </w:r>
      <w:hyperlink r:id="rId10" w:history="1">
        <w:r w:rsidRPr="009A04BA">
          <w:rPr>
            <w:rStyle w:val="Hyperlink"/>
          </w:rPr>
          <w:t>Youth Guarantee in the European Union</w:t>
        </w:r>
      </w:hyperlink>
      <w:r>
        <w:t xml:space="preserve">). These </w:t>
      </w:r>
      <w:proofErr w:type="spellStart"/>
      <w:r>
        <w:t>programmes</w:t>
      </w:r>
      <w:proofErr w:type="spellEnd"/>
      <w:r>
        <w:t xml:space="preserve"> should also allow young people to continue benefiting from their financial supporting mechanisms on disability (allowance and other rights going with it). Traineeship opportunities should comply with the same rules and values as full employment, meaning that reasonable accommodation </w:t>
      </w:r>
      <w:proofErr w:type="gramStart"/>
      <w:r>
        <w:t>should also</w:t>
      </w:r>
      <w:proofErr w:type="gramEnd"/>
      <w:r>
        <w:t xml:space="preserve"> apply to traineeship placements. </w:t>
      </w:r>
    </w:p>
    <w:p w14:paraId="3F20C05B" w14:textId="0799A3C0" w:rsidR="00946EFB" w:rsidRDefault="00FC1B85" w:rsidP="00FC1B85">
      <w:pPr>
        <w:spacing w:before="120" w:after="240"/>
      </w:pPr>
      <w:r>
        <w:t xml:space="preserve">Young people with disabilities are less likely to </w:t>
      </w:r>
      <w:proofErr w:type="gramStart"/>
      <w:r>
        <w:t>be employed</w:t>
      </w:r>
      <w:proofErr w:type="gramEnd"/>
      <w:r>
        <w:t xml:space="preserve"> th</w:t>
      </w:r>
      <w:r w:rsidR="006F0AFF">
        <w:t xml:space="preserve">an </w:t>
      </w:r>
      <w:r>
        <w:t>their peers with</w:t>
      </w:r>
      <w:r w:rsidR="006F0AFF">
        <w:t>out</w:t>
      </w:r>
      <w:r>
        <w:t xml:space="preserve"> disabilities and more effort should be </w:t>
      </w:r>
      <w:r w:rsidR="006F0AFF">
        <w:t>made</w:t>
      </w:r>
      <w:r>
        <w:t xml:space="preserve"> by </w:t>
      </w:r>
      <w:r w:rsidR="006F0AFF">
        <w:t>States Parties</w:t>
      </w:r>
      <w:r>
        <w:t xml:space="preserve"> to help this group </w:t>
      </w:r>
      <w:r w:rsidR="006F0AFF">
        <w:t>access</w:t>
      </w:r>
      <w:r>
        <w:t xml:space="preserve"> the </w:t>
      </w:r>
      <w:r w:rsidR="006F0AFF">
        <w:t xml:space="preserve">open </w:t>
      </w:r>
      <w:proofErr w:type="spellStart"/>
      <w:r>
        <w:t>labour</w:t>
      </w:r>
      <w:proofErr w:type="spellEnd"/>
      <w:r>
        <w:t xml:space="preserve"> market.</w:t>
      </w:r>
    </w:p>
    <w:p w14:paraId="7F4EAFE7" w14:textId="3C194D38" w:rsidR="005F3DA2" w:rsidRDefault="00946EFB" w:rsidP="005F3DA2">
      <w:pPr>
        <w:pStyle w:val="Heading3"/>
      </w:pPr>
      <w:bookmarkStart w:id="22" w:name="_Toc66441269"/>
      <w:r w:rsidRPr="00946EFB">
        <w:t>On the employment of women with disabilities</w:t>
      </w:r>
      <w:r w:rsidR="00D5612D">
        <w:t xml:space="preserve"> (</w:t>
      </w:r>
      <w:r w:rsidR="005A5B8C">
        <w:t>linking with</w:t>
      </w:r>
      <w:r w:rsidR="00D5612D">
        <w:t xml:space="preserve"> Article 27 and Article 6 of the CRPD)</w:t>
      </w:r>
      <w:bookmarkEnd w:id="22"/>
    </w:p>
    <w:p w14:paraId="6062640D" w14:textId="355CFA2C" w:rsidR="00946EFB" w:rsidRDefault="00946EFB" w:rsidP="00BF5E25">
      <w:pPr>
        <w:spacing w:before="120" w:after="240"/>
      </w:pPr>
      <w:r>
        <w:t xml:space="preserve">States Parties should pay particular attention not only to the inclusion of persons with disabilities in the open </w:t>
      </w:r>
      <w:proofErr w:type="spellStart"/>
      <w:r>
        <w:t>labour</w:t>
      </w:r>
      <w:proofErr w:type="spellEnd"/>
      <w:r>
        <w:t xml:space="preserve"> market</w:t>
      </w:r>
      <w:r w:rsidR="002D2038">
        <w:t xml:space="preserve"> as a whole</w:t>
      </w:r>
      <w:r>
        <w:t xml:space="preserve">, but specifically to the employment of women with disabilities. Statistically, women with disabilities are significantly less likely to be employed and more likely to be in </w:t>
      </w:r>
      <w:proofErr w:type="gramStart"/>
      <w:r>
        <w:t>underpaid,</w:t>
      </w:r>
      <w:proofErr w:type="gramEnd"/>
      <w:r>
        <w:t xml:space="preserve"> low-quality jobs with poor working conditions. Indicators measuring the employment of persons with disabilities in the </w:t>
      </w:r>
      <w:proofErr w:type="spellStart"/>
      <w:r>
        <w:t>labour</w:t>
      </w:r>
      <w:proofErr w:type="spellEnd"/>
      <w:r>
        <w:t xml:space="preserve"> market therefore always need to be disaggregated </w:t>
      </w:r>
      <w:proofErr w:type="gramStart"/>
      <w:r>
        <w:t>on the basis of</w:t>
      </w:r>
      <w:proofErr w:type="gramEnd"/>
      <w:r>
        <w:t xml:space="preserve"> </w:t>
      </w:r>
      <w:r w:rsidR="00871A90">
        <w:t>gender</w:t>
      </w:r>
      <w:r>
        <w:t xml:space="preserve"> and </w:t>
      </w:r>
      <w:r w:rsidR="005F3DA2">
        <w:t>specific targets set for boosting the rate and the quality of employment for women with disabilities.</w:t>
      </w:r>
      <w:r w:rsidR="00A14A89">
        <w:t xml:space="preserve"> Specific measures </w:t>
      </w:r>
      <w:proofErr w:type="gramStart"/>
      <w:r w:rsidR="00A14A89">
        <w:t>should be adopted</w:t>
      </w:r>
      <w:proofErr w:type="gramEnd"/>
      <w:r w:rsidR="00A14A89">
        <w:t xml:space="preserve"> to address the gender and disability pay gap, such as measures on pay transparency</w:t>
      </w:r>
      <w:r w:rsidR="00A03513">
        <w:t xml:space="preserve">, and to ensure equal opportunities to high paid job and positions of leadership. </w:t>
      </w:r>
    </w:p>
    <w:p w14:paraId="500807A5" w14:textId="7F6F8028" w:rsidR="00A14A89" w:rsidRPr="00946EFB" w:rsidRDefault="00A14A89" w:rsidP="00BF5E25">
      <w:pPr>
        <w:spacing w:before="120" w:after="240"/>
      </w:pPr>
      <w:proofErr w:type="gramStart"/>
      <w:r>
        <w:t xml:space="preserve">States Parties should also combat harassment, including sexual harassment, faced by women with disabilities in the world of work, in line with the </w:t>
      </w:r>
      <w:hyperlink r:id="rId11" w:history="1">
        <w:r w:rsidRPr="00A14A89">
          <w:rPr>
            <w:rStyle w:val="Hyperlink"/>
          </w:rPr>
          <w:t>discussion paper adopted by UN Women in 2020</w:t>
        </w:r>
      </w:hyperlink>
      <w:r>
        <w:t xml:space="preserve"> and the </w:t>
      </w:r>
      <w:hyperlink r:id="rId12" w:history="1">
        <w:r w:rsidRPr="00A14A89">
          <w:rPr>
            <w:rStyle w:val="Hyperlink"/>
          </w:rPr>
          <w:t>Joint statement by UN Women, the Committee on the Elimination of Discrimination against Women and the Committee on the Rights of Persons with Disabilities on ending sexual harassment against women and girls with disabilities</w:t>
        </w:r>
      </w:hyperlink>
      <w:r>
        <w:t>.</w:t>
      </w:r>
      <w:proofErr w:type="gramEnd"/>
    </w:p>
    <w:p w14:paraId="0524C65A" w14:textId="5A6B2C2C" w:rsidR="00BF5E25" w:rsidRDefault="00A14A89" w:rsidP="005A5B8C">
      <w:pPr>
        <w:pStyle w:val="Heading3"/>
      </w:pPr>
      <w:bookmarkStart w:id="23" w:name="_Toc66441270"/>
      <w:r>
        <w:lastRenderedPageBreak/>
        <w:t xml:space="preserve">On discrimination </w:t>
      </w:r>
      <w:r w:rsidR="00D5612D">
        <w:t>by association (</w:t>
      </w:r>
      <w:r w:rsidR="005A5B8C">
        <w:t>linking with</w:t>
      </w:r>
      <w:r w:rsidR="00D5612D">
        <w:t xml:space="preserve"> </w:t>
      </w:r>
      <w:r w:rsidR="005A5B8C">
        <w:t>A</w:t>
      </w:r>
      <w:r w:rsidR="00D5612D">
        <w:t>rticle 27 and Article 5 of the CRPD)</w:t>
      </w:r>
      <w:bookmarkEnd w:id="23"/>
      <w:r w:rsidR="00D5612D">
        <w:t xml:space="preserve"> </w:t>
      </w:r>
    </w:p>
    <w:p w14:paraId="73848570" w14:textId="4AF64BC4" w:rsidR="00D5612D" w:rsidRDefault="00D5612D" w:rsidP="00B30927">
      <w:pPr>
        <w:spacing w:before="120" w:after="240"/>
      </w:pPr>
      <w:r w:rsidRPr="00D5612D">
        <w:t>Parents or rela</w:t>
      </w:r>
      <w:r w:rsidRPr="005A5B8C">
        <w:t>tives of pe</w:t>
      </w:r>
      <w:r>
        <w:t xml:space="preserve">rsons with disabilities, in particularly mothers of children with disabilities, often face discrimination by association in employment. Workers caring for a relative with disabilities may struggle to find employment, face difficult working conditions or </w:t>
      </w:r>
      <w:proofErr w:type="gramStart"/>
      <w:r>
        <w:t>be laid</w:t>
      </w:r>
      <w:proofErr w:type="gramEnd"/>
      <w:r>
        <w:t xml:space="preserve"> off by their employers. </w:t>
      </w:r>
    </w:p>
    <w:p w14:paraId="74BB30BC" w14:textId="69959CDD" w:rsidR="00D5612D" w:rsidRPr="00D5612D" w:rsidRDefault="00D5612D" w:rsidP="00B30927">
      <w:pPr>
        <w:spacing w:before="120" w:after="240"/>
      </w:pPr>
      <w:r>
        <w:t xml:space="preserve">States Parties must combat discrimination by association and ensure that workers caring for relative with disabilities </w:t>
      </w:r>
      <w:proofErr w:type="gramStart"/>
      <w:r>
        <w:t>are granted</w:t>
      </w:r>
      <w:proofErr w:type="gramEnd"/>
      <w:r>
        <w:t xml:space="preserve"> flexible working hours, work-life balance and accommodations in line with the Convention. </w:t>
      </w:r>
    </w:p>
    <w:p w14:paraId="63B7F075" w14:textId="61C3BB80" w:rsidR="00A9576D" w:rsidRPr="00D5612D" w:rsidRDefault="00A9576D" w:rsidP="00A9576D">
      <w:pPr>
        <w:pStyle w:val="Heading1"/>
        <w:pageBreakBefore/>
      </w:pPr>
      <w:bookmarkStart w:id="24" w:name="_Toc65855176"/>
      <w:bookmarkStart w:id="25" w:name="_Toc66441271"/>
      <w:r w:rsidRPr="00D5612D">
        <w:lastRenderedPageBreak/>
        <w:t>Document credits</w:t>
      </w:r>
      <w:bookmarkEnd w:id="24"/>
      <w:bookmarkEnd w:id="25"/>
    </w:p>
    <w:p w14:paraId="2B95C88F" w14:textId="7220FBDC" w:rsidR="00A9576D" w:rsidRDefault="00A9576D" w:rsidP="006D0B23">
      <w:pPr>
        <w:widowControl w:val="0"/>
        <w:spacing w:before="480"/>
      </w:pPr>
      <w:proofErr w:type="gramStart"/>
      <w:r>
        <w:t>This document was prepared by</w:t>
      </w:r>
      <w:r w:rsidR="005F3DA2">
        <w:t xml:space="preserve"> Haydn </w:t>
      </w:r>
      <w:proofErr w:type="spellStart"/>
      <w:r w:rsidR="005F3DA2">
        <w:t>Hammersley</w:t>
      </w:r>
      <w:proofErr w:type="spellEnd"/>
      <w:proofErr w:type="gramEnd"/>
    </w:p>
    <w:p w14:paraId="343B7103" w14:textId="37F01862" w:rsidR="00A9576D" w:rsidRDefault="00A9576D" w:rsidP="006D0B23">
      <w:pPr>
        <w:widowControl w:val="0"/>
        <w:spacing w:before="480"/>
      </w:pPr>
      <w:r>
        <w:t>Assisted</w:t>
      </w:r>
      <w:r w:rsidR="00541EBA">
        <w:t>/Supervised</w:t>
      </w:r>
      <w:r>
        <w:t xml:space="preserve"> by</w:t>
      </w:r>
      <w:r w:rsidR="005F3DA2">
        <w:t xml:space="preserve"> the EDF Social Policy and Inclusion Committee</w:t>
      </w:r>
      <w:r w:rsidR="002B6EAC">
        <w:t xml:space="preserve"> and the EDF Youth Committee</w:t>
      </w:r>
    </w:p>
    <w:p w14:paraId="177D1331" w14:textId="30D02CFC" w:rsidR="009277BC" w:rsidRDefault="009277BC" w:rsidP="009277BC">
      <w:pPr>
        <w:widowControl w:val="0"/>
        <w:spacing w:before="480"/>
      </w:pPr>
      <w:r>
        <w:rPr>
          <w:noProof/>
          <w:lang w:val="en-GB" w:eastAsia="en-GB"/>
        </w:rPr>
        <w:drawing>
          <wp:inline distT="0" distB="0" distL="0" distR="0" wp14:anchorId="3D5A81C9" wp14:editId="1E058535">
            <wp:extent cx="998043" cy="1105786"/>
            <wp:effectExtent l="0" t="0" r="0" b="0"/>
            <wp:docPr id="8" name="Picture 8" descr="Logo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200" cy="1114823"/>
                    </a:xfrm>
                    <a:prstGeom prst="rect">
                      <a:avLst/>
                    </a:prstGeom>
                    <a:noFill/>
                    <a:ln>
                      <a:noFill/>
                    </a:ln>
                  </pic:spPr>
                </pic:pic>
              </a:graphicData>
            </a:graphic>
          </wp:inline>
        </w:drawing>
      </w:r>
    </w:p>
    <w:p w14:paraId="491BC022" w14:textId="2A5E2149" w:rsidR="00A9576D" w:rsidRPr="009277BC" w:rsidRDefault="00A9576D" w:rsidP="006D0B23">
      <w:pPr>
        <w:widowControl w:val="0"/>
        <w:spacing w:before="480"/>
      </w:pPr>
      <w:r>
        <w:t>The European Disability Forum</w:t>
      </w:r>
      <w:r w:rsidR="009277BC">
        <w:br/>
      </w:r>
      <w:proofErr w:type="spellStart"/>
      <w:r w:rsidR="009277BC" w:rsidRPr="009277BC">
        <w:t>Mundo</w:t>
      </w:r>
      <w:proofErr w:type="spellEnd"/>
      <w:r w:rsidR="009277BC" w:rsidRPr="009277BC">
        <w:t xml:space="preserve"> </w:t>
      </w:r>
      <w:proofErr w:type="spellStart"/>
      <w:r w:rsidR="009277BC" w:rsidRPr="009277BC">
        <w:t>Madou</w:t>
      </w:r>
      <w:proofErr w:type="spellEnd"/>
      <w:r w:rsidR="009277BC">
        <w:br/>
      </w:r>
      <w:r w:rsidRPr="009277BC">
        <w:t>Avenue des Arts 7-8</w:t>
      </w:r>
      <w:r w:rsidR="009277BC" w:rsidRPr="009277BC">
        <w:br/>
        <w:t>1210 Brussels, Belgium.</w:t>
      </w:r>
    </w:p>
    <w:p w14:paraId="63FAD6C0" w14:textId="334864FE" w:rsidR="00A9576D" w:rsidRDefault="00627FA9" w:rsidP="006D0B23">
      <w:pPr>
        <w:widowControl w:val="0"/>
        <w:spacing w:before="480"/>
      </w:pPr>
      <w:hyperlink r:id="rId13" w:history="1">
        <w:r w:rsidR="00A9576D" w:rsidRPr="009277BC">
          <w:rPr>
            <w:rStyle w:val="Hyperlink"/>
          </w:rPr>
          <w:t>www.edf-feph.org</w:t>
        </w:r>
      </w:hyperlink>
    </w:p>
    <w:p w14:paraId="7B572B14" w14:textId="5A1C910E" w:rsidR="009277BC" w:rsidRPr="009277BC" w:rsidRDefault="00627FA9" w:rsidP="006D0B23">
      <w:pPr>
        <w:widowControl w:val="0"/>
        <w:spacing w:before="480"/>
      </w:pPr>
      <w:hyperlink r:id="rId14" w:history="1">
        <w:r w:rsidR="009277BC" w:rsidRPr="008C480E">
          <w:rPr>
            <w:rStyle w:val="Hyperlink"/>
          </w:rPr>
          <w:t>info@edf-feph.org</w:t>
        </w:r>
      </w:hyperlink>
    </w:p>
    <w:p w14:paraId="23807C83" w14:textId="06A6BD57" w:rsidR="009277BC" w:rsidRDefault="009277BC" w:rsidP="009277BC">
      <w:pPr>
        <w:widowControl w:val="0"/>
        <w:spacing w:before="1680" w:after="120"/>
      </w:pPr>
      <w:r w:rsidRPr="009277BC">
        <w:lastRenderedPageBreak/>
        <w:t>This publication has received financial support from the European Union. The information contained in this publication does not necessarily reflect the official position of the European Commission.</w:t>
      </w:r>
    </w:p>
    <w:p w14:paraId="45BA7225" w14:textId="1CB9D07B" w:rsidR="009277BC" w:rsidRDefault="009277BC" w:rsidP="009277BC">
      <w:pPr>
        <w:widowControl w:val="0"/>
        <w:spacing w:before="120"/>
        <w:jc w:val="center"/>
      </w:pPr>
      <w:r>
        <w:rPr>
          <w:noProof/>
          <w:lang w:val="en-GB" w:eastAsia="en-GB"/>
        </w:rPr>
        <w:drawing>
          <wp:inline distT="0" distB="0" distL="0" distR="0" wp14:anchorId="1F7FCCC3" wp14:editId="04DF12A9">
            <wp:extent cx="1201890" cy="812800"/>
            <wp:effectExtent l="0" t="0" r="0" b="6350"/>
            <wp:docPr id="19" name="Picture 19" descr="Résultat de recherche d'images pour &quot;european uni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european union logo&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23" cy="817218"/>
                    </a:xfrm>
                    <a:prstGeom prst="rect">
                      <a:avLst/>
                    </a:prstGeom>
                    <a:noFill/>
                    <a:ln>
                      <a:noFill/>
                    </a:ln>
                  </pic:spPr>
                </pic:pic>
              </a:graphicData>
            </a:graphic>
          </wp:inline>
        </w:drawing>
      </w:r>
    </w:p>
    <w:sectPr w:rsidR="009277BC" w:rsidSect="006D0B23">
      <w:footerReference w:type="default" r:id="rId15"/>
      <w:pgSz w:w="11906" w:h="16838" w:code="9"/>
      <w:pgMar w:top="1440" w:right="1440" w:bottom="1440" w:left="1440" w:header="720" w:footer="720" w:gutter="0"/>
      <w:pgBorders w:display="notFirstPage"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70DF4" w14:textId="77777777" w:rsidR="007255CF" w:rsidRDefault="007255CF" w:rsidP="00E47FF5">
      <w:pPr>
        <w:spacing w:after="0" w:line="240" w:lineRule="auto"/>
      </w:pPr>
      <w:r>
        <w:separator/>
      </w:r>
    </w:p>
  </w:endnote>
  <w:endnote w:type="continuationSeparator" w:id="0">
    <w:p w14:paraId="33D459C2" w14:textId="77777777" w:rsidR="007255CF" w:rsidRDefault="007255CF" w:rsidP="00E4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530601"/>
      <w:docPartObj>
        <w:docPartGallery w:val="Page Numbers (Bottom of Page)"/>
        <w:docPartUnique/>
      </w:docPartObj>
    </w:sdtPr>
    <w:sdtEndPr/>
    <w:sdtContent>
      <w:p w14:paraId="63306FAB" w14:textId="300922BB" w:rsidR="007C7CD3" w:rsidRDefault="007C7CD3">
        <w:pPr>
          <w:pStyle w:val="Footer"/>
          <w:jc w:val="right"/>
        </w:pPr>
        <w:r>
          <w:t xml:space="preserve">Page | </w:t>
        </w:r>
        <w:r>
          <w:fldChar w:fldCharType="begin"/>
        </w:r>
        <w:r>
          <w:instrText xml:space="preserve"> PAGE   \* MERGEFORMAT </w:instrText>
        </w:r>
        <w:r>
          <w:fldChar w:fldCharType="separate"/>
        </w:r>
        <w:r w:rsidR="00627FA9">
          <w:rPr>
            <w:noProof/>
          </w:rPr>
          <w:t>9</w:t>
        </w:r>
        <w:r>
          <w:rPr>
            <w:noProof/>
          </w:rPr>
          <w:fldChar w:fldCharType="end"/>
        </w:r>
        <w:r>
          <w:t xml:space="preserve"> </w:t>
        </w:r>
      </w:p>
    </w:sdtContent>
  </w:sdt>
  <w:p w14:paraId="6CAF3317" w14:textId="77777777" w:rsidR="00E47FF5" w:rsidRDefault="00E4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42619" w14:textId="77777777" w:rsidR="007255CF" w:rsidRDefault="007255CF" w:rsidP="00E47FF5">
      <w:pPr>
        <w:spacing w:after="0" w:line="240" w:lineRule="auto"/>
      </w:pPr>
      <w:r>
        <w:separator/>
      </w:r>
    </w:p>
  </w:footnote>
  <w:footnote w:type="continuationSeparator" w:id="0">
    <w:p w14:paraId="679B1C2F" w14:textId="77777777" w:rsidR="007255CF" w:rsidRDefault="007255CF" w:rsidP="00E4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6943"/>
    <w:multiLevelType w:val="hybridMultilevel"/>
    <w:tmpl w:val="00A0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F5"/>
    <w:rsid w:val="00054D5A"/>
    <w:rsid w:val="000A20CA"/>
    <w:rsid w:val="000D37E5"/>
    <w:rsid w:val="00187E62"/>
    <w:rsid w:val="001E0F08"/>
    <w:rsid w:val="00282B80"/>
    <w:rsid w:val="002B6EAC"/>
    <w:rsid w:val="002D2038"/>
    <w:rsid w:val="00355289"/>
    <w:rsid w:val="003C78D1"/>
    <w:rsid w:val="003D1BF3"/>
    <w:rsid w:val="004103E9"/>
    <w:rsid w:val="004136FE"/>
    <w:rsid w:val="004C26AE"/>
    <w:rsid w:val="00541EBA"/>
    <w:rsid w:val="00573E19"/>
    <w:rsid w:val="005A5B8C"/>
    <w:rsid w:val="005B01F0"/>
    <w:rsid w:val="005D414D"/>
    <w:rsid w:val="005F3DA2"/>
    <w:rsid w:val="00606390"/>
    <w:rsid w:val="00627FA9"/>
    <w:rsid w:val="00695968"/>
    <w:rsid w:val="006A6BD9"/>
    <w:rsid w:val="006C1A26"/>
    <w:rsid w:val="006D0B23"/>
    <w:rsid w:val="006F0AFF"/>
    <w:rsid w:val="007255CF"/>
    <w:rsid w:val="007C7CD3"/>
    <w:rsid w:val="008054A7"/>
    <w:rsid w:val="008065A5"/>
    <w:rsid w:val="00871A90"/>
    <w:rsid w:val="009277BC"/>
    <w:rsid w:val="00933C72"/>
    <w:rsid w:val="00946EFB"/>
    <w:rsid w:val="009A04BA"/>
    <w:rsid w:val="00A03513"/>
    <w:rsid w:val="00A14A89"/>
    <w:rsid w:val="00A53007"/>
    <w:rsid w:val="00A9576D"/>
    <w:rsid w:val="00AD55B8"/>
    <w:rsid w:val="00B10709"/>
    <w:rsid w:val="00B30927"/>
    <w:rsid w:val="00B515CD"/>
    <w:rsid w:val="00BF5E25"/>
    <w:rsid w:val="00CD5C83"/>
    <w:rsid w:val="00D11DAB"/>
    <w:rsid w:val="00D5612D"/>
    <w:rsid w:val="00E41423"/>
    <w:rsid w:val="00E47FF5"/>
    <w:rsid w:val="00E62CBF"/>
    <w:rsid w:val="00EA0706"/>
    <w:rsid w:val="00EC688E"/>
    <w:rsid w:val="00F34A74"/>
    <w:rsid w:val="00F5051D"/>
    <w:rsid w:val="00FC1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96B5"/>
  <w15:chartTrackingRefBased/>
  <w15:docId w15:val="{CB0E9257-9E25-4855-A40A-A86F4080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90"/>
    <w:rPr>
      <w:rFonts w:ascii="Verdana" w:hAnsi="Verdana"/>
      <w:sz w:val="24"/>
    </w:rPr>
  </w:style>
  <w:style w:type="paragraph" w:styleId="Heading1">
    <w:name w:val="heading 1"/>
    <w:basedOn w:val="Normal"/>
    <w:next w:val="Normal"/>
    <w:link w:val="Heading1Char"/>
    <w:uiPriority w:val="9"/>
    <w:qFormat/>
    <w:rsid w:val="006D0B23"/>
    <w:pPr>
      <w:keepNext/>
      <w:keepLines/>
      <w:pBdr>
        <w:top w:val="single" w:sz="4" w:space="3" w:color="2E73AC"/>
        <w:left w:val="single" w:sz="4" w:space="31" w:color="2E73AC"/>
        <w:bottom w:val="single" w:sz="4" w:space="3" w:color="2E73AC"/>
        <w:right w:val="single" w:sz="4" w:space="31" w:color="2E73AC"/>
      </w:pBdr>
      <w:shd w:val="clear" w:color="auto" w:fill="2E73AC"/>
      <w:spacing w:before="360" w:after="240"/>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187E62"/>
    <w:pPr>
      <w:keepNext/>
      <w:keepLines/>
      <w:pBdr>
        <w:top w:val="single" w:sz="4" w:space="1" w:color="A20000"/>
        <w:left w:val="single" w:sz="4" w:space="31" w:color="A20000"/>
        <w:bottom w:val="single" w:sz="4" w:space="1" w:color="A20000"/>
        <w:right w:val="single" w:sz="4" w:space="31" w:color="A20000"/>
      </w:pBdr>
      <w:shd w:val="clear" w:color="auto" w:fill="C00000"/>
      <w:spacing w:before="360" w:after="120"/>
      <w:outlineLvl w:val="1"/>
    </w:pPr>
    <w:rPr>
      <w:rFonts w:ascii="Arial" w:eastAsiaTheme="majorEastAsia" w:hAnsi="Arial" w:cstheme="majorBidi"/>
      <w:b/>
      <w:color w:val="FFFFFF" w:themeColor="background1"/>
      <w:sz w:val="28"/>
      <w:szCs w:val="26"/>
    </w:rPr>
  </w:style>
  <w:style w:type="paragraph" w:styleId="Heading3">
    <w:name w:val="heading 3"/>
    <w:basedOn w:val="Normal"/>
    <w:next w:val="Normal"/>
    <w:link w:val="Heading3Char"/>
    <w:uiPriority w:val="9"/>
    <w:unhideWhenUsed/>
    <w:qFormat/>
    <w:rsid w:val="00187E62"/>
    <w:pPr>
      <w:keepNext/>
      <w:keepLines/>
      <w:spacing w:before="120" w:after="120"/>
      <w:outlineLvl w:val="2"/>
    </w:pPr>
    <w:rPr>
      <w:rFonts w:ascii="Arial" w:eastAsiaTheme="majorEastAsia" w:hAnsi="Arial" w:cstheme="majorBidi"/>
      <w:b/>
      <w:color w:val="A20000"/>
      <w:sz w:val="28"/>
      <w:szCs w:val="24"/>
    </w:rPr>
  </w:style>
  <w:style w:type="paragraph" w:styleId="Heading4">
    <w:name w:val="heading 4"/>
    <w:basedOn w:val="Normal"/>
    <w:next w:val="Normal"/>
    <w:link w:val="Heading4Char"/>
    <w:uiPriority w:val="9"/>
    <w:unhideWhenUsed/>
    <w:qFormat/>
    <w:rsid w:val="00187E62"/>
    <w:pPr>
      <w:keepNext/>
      <w:keepLines/>
      <w:spacing w:before="120" w:after="240"/>
      <w:outlineLvl w:val="3"/>
    </w:pPr>
    <w:rPr>
      <w:rFonts w:ascii="Arial" w:eastAsiaTheme="majorEastAsia" w:hAnsi="Arial" w:cstheme="majorBidi"/>
      <w:b/>
      <w:iCs/>
      <w:color w:val="2E73A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7FF5"/>
    <w:pPr>
      <w:spacing w:after="0" w:line="240" w:lineRule="auto"/>
    </w:pPr>
    <w:rPr>
      <w:rFonts w:eastAsiaTheme="minorEastAsia"/>
    </w:rPr>
  </w:style>
  <w:style w:type="character" w:customStyle="1" w:styleId="NoSpacingChar">
    <w:name w:val="No Spacing Char"/>
    <w:basedOn w:val="DefaultParagraphFont"/>
    <w:link w:val="NoSpacing"/>
    <w:uiPriority w:val="1"/>
    <w:rsid w:val="00E47FF5"/>
    <w:rPr>
      <w:rFonts w:eastAsiaTheme="minorEastAsia"/>
    </w:rPr>
  </w:style>
  <w:style w:type="paragraph" w:styleId="Header">
    <w:name w:val="header"/>
    <w:basedOn w:val="Normal"/>
    <w:link w:val="HeaderChar"/>
    <w:uiPriority w:val="99"/>
    <w:unhideWhenUsed/>
    <w:rsid w:val="00E4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FF5"/>
    <w:rPr>
      <w:sz w:val="24"/>
    </w:rPr>
  </w:style>
  <w:style w:type="paragraph" w:styleId="Footer">
    <w:name w:val="footer"/>
    <w:basedOn w:val="Normal"/>
    <w:link w:val="FooterChar"/>
    <w:uiPriority w:val="99"/>
    <w:unhideWhenUsed/>
    <w:rsid w:val="00E4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FF5"/>
    <w:rPr>
      <w:sz w:val="24"/>
    </w:rPr>
  </w:style>
  <w:style w:type="paragraph" w:styleId="Title">
    <w:name w:val="Title"/>
    <w:basedOn w:val="Normal"/>
    <w:next w:val="Normal"/>
    <w:link w:val="TitleChar"/>
    <w:uiPriority w:val="10"/>
    <w:qFormat/>
    <w:rsid w:val="008054A7"/>
    <w:pPr>
      <w:spacing w:before="840" w:after="0" w:line="240" w:lineRule="auto"/>
      <w:contextualSpacing/>
    </w:pPr>
    <w:rPr>
      <w:rFonts w:ascii="Arial" w:eastAsiaTheme="majorEastAsia" w:hAnsi="Arial" w:cstheme="majorBidi"/>
      <w:b/>
      <w:color w:val="FFFFFF" w:themeColor="background1"/>
      <w:spacing w:val="-10"/>
      <w:kern w:val="28"/>
      <w:sz w:val="96"/>
      <w:szCs w:val="56"/>
      <w14:shadow w14:blurRad="0" w14:dist="0" w14:dir="0" w14:sx="1000" w14:sy="1000" w14:kx="0" w14:ky="0" w14:algn="ctr">
        <w14:srgbClr w14:val="000000">
          <w14:alpha w14:val="56870"/>
        </w14:srgbClr>
      </w14:shadow>
      <w14:textOutline w14:w="19050" w14:cap="rnd" w14:cmpd="sng" w14:algn="ctr">
        <w14:solidFill>
          <w14:schemeClr w14:val="tx1"/>
        </w14:solidFill>
        <w14:prstDash w14:val="solid"/>
        <w14:bevel/>
      </w14:textOutline>
    </w:rPr>
  </w:style>
  <w:style w:type="character" w:customStyle="1" w:styleId="TitleChar">
    <w:name w:val="Title Char"/>
    <w:basedOn w:val="DefaultParagraphFont"/>
    <w:link w:val="Title"/>
    <w:uiPriority w:val="10"/>
    <w:rsid w:val="008054A7"/>
    <w:rPr>
      <w:rFonts w:ascii="Arial" w:eastAsiaTheme="majorEastAsia" w:hAnsi="Arial" w:cstheme="majorBidi"/>
      <w:b/>
      <w:color w:val="FFFFFF" w:themeColor="background1"/>
      <w:spacing w:val="-10"/>
      <w:kern w:val="28"/>
      <w:sz w:val="96"/>
      <w:szCs w:val="56"/>
      <w14:shadow w14:blurRad="0" w14:dist="0" w14:dir="0" w14:sx="1000" w14:sy="1000" w14:kx="0" w14:ky="0" w14:algn="ctr">
        <w14:srgbClr w14:val="000000">
          <w14:alpha w14:val="56870"/>
        </w14:srgbClr>
      </w14:shadow>
      <w14:textOutline w14:w="19050" w14:cap="rnd" w14:cmpd="sng" w14:algn="ctr">
        <w14:solidFill>
          <w14:schemeClr w14:val="tx1"/>
        </w14:solidFill>
        <w14:prstDash w14:val="solid"/>
        <w14:bevel/>
      </w14:textOutline>
    </w:rPr>
  </w:style>
  <w:style w:type="paragraph" w:styleId="Subtitle">
    <w:name w:val="Subtitle"/>
    <w:basedOn w:val="Normal"/>
    <w:next w:val="Normal"/>
    <w:link w:val="SubtitleChar"/>
    <w:uiPriority w:val="11"/>
    <w:qFormat/>
    <w:rsid w:val="004136FE"/>
    <w:pPr>
      <w:numPr>
        <w:ilvl w:val="1"/>
      </w:numPr>
      <w:spacing w:before="120" w:after="120"/>
    </w:pPr>
    <w:rPr>
      <w:rFonts w:ascii="Arial" w:eastAsiaTheme="minorEastAsia" w:hAnsi="Arial"/>
      <w:b/>
      <w:color w:val="FFFFFF" w:themeColor="background1"/>
      <w:spacing w:val="15"/>
      <w:sz w:val="40"/>
      <w14:textOutline w14:w="9525" w14:cap="rnd" w14:cmpd="sng" w14:algn="ctr">
        <w14:noFill/>
        <w14:prstDash w14:val="solid"/>
        <w14:bevel/>
      </w14:textOutline>
    </w:rPr>
  </w:style>
  <w:style w:type="character" w:customStyle="1" w:styleId="SubtitleChar">
    <w:name w:val="Subtitle Char"/>
    <w:basedOn w:val="DefaultParagraphFont"/>
    <w:link w:val="Subtitle"/>
    <w:uiPriority w:val="11"/>
    <w:rsid w:val="004136FE"/>
    <w:rPr>
      <w:rFonts w:ascii="Arial" w:eastAsiaTheme="minorEastAsia" w:hAnsi="Arial"/>
      <w:b/>
      <w:color w:val="FFFFFF" w:themeColor="background1"/>
      <w:spacing w:val="15"/>
      <w:sz w:val="40"/>
      <w14:textOutline w14:w="9525" w14:cap="rnd" w14:cmpd="sng" w14:algn="ctr">
        <w14:noFill/>
        <w14:prstDash w14:val="solid"/>
        <w14:bevel/>
      </w14:textOutline>
    </w:rPr>
  </w:style>
  <w:style w:type="character" w:customStyle="1" w:styleId="Heading1Char">
    <w:name w:val="Heading 1 Char"/>
    <w:basedOn w:val="DefaultParagraphFont"/>
    <w:link w:val="Heading1"/>
    <w:uiPriority w:val="9"/>
    <w:rsid w:val="006D0B23"/>
    <w:rPr>
      <w:rFonts w:ascii="Arial" w:eastAsiaTheme="majorEastAsia" w:hAnsi="Arial" w:cstheme="majorBidi"/>
      <w:b/>
      <w:color w:val="FFFFFF" w:themeColor="background1"/>
      <w:sz w:val="32"/>
      <w:szCs w:val="32"/>
      <w:shd w:val="clear" w:color="auto" w:fill="2E73AC"/>
    </w:rPr>
  </w:style>
  <w:style w:type="paragraph" w:styleId="TOCHeading">
    <w:name w:val="TOC Heading"/>
    <w:basedOn w:val="Heading1"/>
    <w:next w:val="Normal"/>
    <w:uiPriority w:val="39"/>
    <w:unhideWhenUsed/>
    <w:qFormat/>
    <w:rsid w:val="006D0B23"/>
    <w:pPr>
      <w:pBdr>
        <w:top w:val="none" w:sz="0" w:space="0" w:color="auto"/>
        <w:left w:val="none" w:sz="0" w:space="0" w:color="auto"/>
        <w:bottom w:val="none" w:sz="0" w:space="0" w:color="auto"/>
        <w:right w:val="none" w:sz="0" w:space="0" w:color="auto"/>
      </w:pBdr>
      <w:shd w:val="clear" w:color="auto" w:fill="auto"/>
      <w:spacing w:before="240" w:after="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6D0B23"/>
    <w:pPr>
      <w:spacing w:after="100"/>
    </w:pPr>
  </w:style>
  <w:style w:type="character" w:styleId="Hyperlink">
    <w:name w:val="Hyperlink"/>
    <w:basedOn w:val="DefaultParagraphFont"/>
    <w:uiPriority w:val="99"/>
    <w:unhideWhenUsed/>
    <w:rsid w:val="006D0B23"/>
    <w:rPr>
      <w:color w:val="0563C1" w:themeColor="hyperlink"/>
      <w:u w:val="single"/>
    </w:rPr>
  </w:style>
  <w:style w:type="character" w:customStyle="1" w:styleId="UnresolvedMention">
    <w:name w:val="Unresolved Mention"/>
    <w:basedOn w:val="DefaultParagraphFont"/>
    <w:uiPriority w:val="99"/>
    <w:semiHidden/>
    <w:unhideWhenUsed/>
    <w:rsid w:val="00A9576D"/>
    <w:rPr>
      <w:color w:val="605E5C"/>
      <w:shd w:val="clear" w:color="auto" w:fill="E1DFDD"/>
    </w:rPr>
  </w:style>
  <w:style w:type="table" w:styleId="TableGrid">
    <w:name w:val="Table Grid"/>
    <w:basedOn w:val="TableNormal"/>
    <w:uiPriority w:val="39"/>
    <w:rsid w:val="00A9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7BC"/>
    <w:pPr>
      <w:ind w:left="720"/>
      <w:contextualSpacing/>
    </w:pPr>
  </w:style>
  <w:style w:type="character" w:customStyle="1" w:styleId="Heading2Char">
    <w:name w:val="Heading 2 Char"/>
    <w:basedOn w:val="DefaultParagraphFont"/>
    <w:link w:val="Heading2"/>
    <w:uiPriority w:val="9"/>
    <w:rsid w:val="00187E62"/>
    <w:rPr>
      <w:rFonts w:ascii="Arial" w:eastAsiaTheme="majorEastAsia" w:hAnsi="Arial" w:cstheme="majorBidi"/>
      <w:b/>
      <w:color w:val="FFFFFF" w:themeColor="background1"/>
      <w:sz w:val="28"/>
      <w:szCs w:val="26"/>
      <w:shd w:val="clear" w:color="auto" w:fill="C00000"/>
    </w:rPr>
  </w:style>
  <w:style w:type="character" w:customStyle="1" w:styleId="Heading3Char">
    <w:name w:val="Heading 3 Char"/>
    <w:basedOn w:val="DefaultParagraphFont"/>
    <w:link w:val="Heading3"/>
    <w:uiPriority w:val="9"/>
    <w:rsid w:val="00187E62"/>
    <w:rPr>
      <w:rFonts w:ascii="Arial" w:eastAsiaTheme="majorEastAsia" w:hAnsi="Arial" w:cstheme="majorBidi"/>
      <w:b/>
      <w:color w:val="A20000"/>
      <w:sz w:val="28"/>
      <w:szCs w:val="24"/>
    </w:rPr>
  </w:style>
  <w:style w:type="paragraph" w:styleId="TOC2">
    <w:name w:val="toc 2"/>
    <w:basedOn w:val="Normal"/>
    <w:next w:val="Normal"/>
    <w:autoRedefine/>
    <w:uiPriority w:val="39"/>
    <w:unhideWhenUsed/>
    <w:rsid w:val="00282B80"/>
    <w:pPr>
      <w:spacing w:after="100"/>
      <w:ind w:left="240"/>
    </w:pPr>
  </w:style>
  <w:style w:type="character" w:customStyle="1" w:styleId="Heading4Char">
    <w:name w:val="Heading 4 Char"/>
    <w:basedOn w:val="DefaultParagraphFont"/>
    <w:link w:val="Heading4"/>
    <w:uiPriority w:val="9"/>
    <w:rsid w:val="00187E62"/>
    <w:rPr>
      <w:rFonts w:ascii="Arial" w:eastAsiaTheme="majorEastAsia" w:hAnsi="Arial" w:cstheme="majorBidi"/>
      <w:b/>
      <w:iCs/>
      <w:color w:val="2E73AC"/>
      <w:sz w:val="28"/>
    </w:rPr>
  </w:style>
  <w:style w:type="paragraph" w:styleId="BalloonText">
    <w:name w:val="Balloon Text"/>
    <w:basedOn w:val="Normal"/>
    <w:link w:val="BalloonTextChar"/>
    <w:uiPriority w:val="99"/>
    <w:semiHidden/>
    <w:unhideWhenUsed/>
    <w:rsid w:val="00CD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C83"/>
    <w:rPr>
      <w:rFonts w:ascii="Segoe UI" w:hAnsi="Segoe UI" w:cs="Segoe UI"/>
      <w:sz w:val="18"/>
      <w:szCs w:val="18"/>
    </w:rPr>
  </w:style>
  <w:style w:type="paragraph" w:styleId="TOC3">
    <w:name w:val="toc 3"/>
    <w:basedOn w:val="Normal"/>
    <w:next w:val="Normal"/>
    <w:autoRedefine/>
    <w:uiPriority w:val="39"/>
    <w:unhideWhenUsed/>
    <w:rsid w:val="00933C7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f-feph.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Documents/HRBodies/CEDAW/Statements/JointStatement_UNW_CEDAW_CRPD.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women.org/-/media/headquarters/attachments/sections/library/publications/2020/discussion-paper-sexual-harassment-against-women-with-disabilities-en.pdf?la=en&amp;vs=12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social/main.jsp?catId=1079&amp;langId=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edf-fe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BEF977-14BD-4EBC-BF00-97D91F40183F}">
  <ds:schemaRefs>
    <ds:schemaRef ds:uri="http://schemas.openxmlformats.org/officeDocument/2006/bibliography"/>
  </ds:schemaRefs>
</ds:datastoreItem>
</file>

<file path=customXml/itemProps2.xml><?xml version="1.0" encoding="utf-8"?>
<ds:datastoreItem xmlns:ds="http://schemas.openxmlformats.org/officeDocument/2006/customXml" ds:itemID="{99A22185-E221-481A-8DC6-11457B767517}"/>
</file>

<file path=customXml/itemProps3.xml><?xml version="1.0" encoding="utf-8"?>
<ds:datastoreItem xmlns:ds="http://schemas.openxmlformats.org/officeDocument/2006/customXml" ds:itemID="{66FF8235-D70C-43F9-8EAA-7D331804FEE6}"/>
</file>

<file path=customXml/itemProps4.xml><?xml version="1.0" encoding="utf-8"?>
<ds:datastoreItem xmlns:ds="http://schemas.openxmlformats.org/officeDocument/2006/customXml" ds:itemID="{F897DC57-B705-45B0-AD89-88324F1AB617}"/>
</file>

<file path=docProps/app.xml><?xml version="1.0" encoding="utf-8"?>
<Properties xmlns="http://schemas.openxmlformats.org/officeDocument/2006/extended-properties" xmlns:vt="http://schemas.openxmlformats.org/officeDocument/2006/docPropsVTypes">
  <Template>Normal.dotm</Template>
  <TotalTime>1</TotalTime>
  <Pages>9</Pages>
  <Words>2357</Words>
  <Characters>13441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Mabita</dc:creator>
  <cp:keywords/>
  <dc:description/>
  <cp:lastModifiedBy>Janna Iskakova</cp:lastModifiedBy>
  <cp:revision>2</cp:revision>
  <dcterms:created xsi:type="dcterms:W3CDTF">2021-03-12T16:54:00Z</dcterms:created>
  <dcterms:modified xsi:type="dcterms:W3CDTF">2021-03-12T16:54:00Z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