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0D18" w14:textId="12AB7232" w:rsidR="00294273" w:rsidRPr="00A35B54" w:rsidRDefault="00294273" w:rsidP="00C328A2">
      <w:pPr>
        <w:pStyle w:val="Normal1"/>
        <w:spacing w:after="0" w:line="240" w:lineRule="auto"/>
        <w:ind w:right="-52"/>
        <w:jc w:val="center"/>
        <w:rPr>
          <w:rFonts w:ascii="Arial" w:eastAsia="Verdana" w:hAnsi="Arial" w:cs="Arial"/>
          <w:b/>
          <w:sz w:val="32"/>
          <w:szCs w:val="32"/>
        </w:rPr>
      </w:pPr>
      <w:r w:rsidRPr="00A35B54">
        <w:rPr>
          <w:rFonts w:ascii="Arial" w:eastAsia="Verdana" w:hAnsi="Arial" w:cs="Arial"/>
          <w:b/>
          <w:sz w:val="32"/>
          <w:szCs w:val="32"/>
        </w:rPr>
        <w:t>ENIL’s Written contribution for the General Discussion on the right to of persons with disabilities to work and employment</w:t>
      </w:r>
    </w:p>
    <w:p w14:paraId="5648B231" w14:textId="3DE8ED53" w:rsidR="00B035BA" w:rsidRPr="00A35B54" w:rsidRDefault="00B035BA" w:rsidP="00C328A2">
      <w:pPr>
        <w:pStyle w:val="Normal1"/>
        <w:spacing w:after="0" w:line="240" w:lineRule="auto"/>
        <w:ind w:right="-52"/>
        <w:jc w:val="center"/>
        <w:rPr>
          <w:rFonts w:ascii="Arial" w:eastAsia="Verdana" w:hAnsi="Arial" w:cs="Arial"/>
          <w:b/>
          <w:sz w:val="32"/>
          <w:szCs w:val="32"/>
        </w:rPr>
      </w:pPr>
    </w:p>
    <w:p w14:paraId="541D4351" w14:textId="47341D56" w:rsidR="00B035BA" w:rsidRPr="00A35B54" w:rsidRDefault="00B035BA" w:rsidP="00D519B5">
      <w:pPr>
        <w:pStyle w:val="Normal1"/>
        <w:spacing w:after="0" w:line="240" w:lineRule="auto"/>
        <w:ind w:right="-52"/>
        <w:jc w:val="center"/>
        <w:rPr>
          <w:rFonts w:ascii="Arial" w:eastAsia="Verdana" w:hAnsi="Arial" w:cs="Arial"/>
          <w:b/>
          <w:sz w:val="32"/>
          <w:szCs w:val="32"/>
        </w:rPr>
      </w:pPr>
      <w:r w:rsidRPr="00A35B54">
        <w:rPr>
          <w:rFonts w:ascii="Arial" w:eastAsia="Verdana" w:hAnsi="Arial" w:cs="Arial"/>
          <w:b/>
          <w:sz w:val="32"/>
          <w:szCs w:val="32"/>
        </w:rPr>
        <w:t>March 2021</w:t>
      </w:r>
    </w:p>
    <w:p w14:paraId="61F15FD0" w14:textId="2DE68A7A" w:rsidR="00294273" w:rsidRPr="00A35B54" w:rsidRDefault="00294273" w:rsidP="00C328A2">
      <w:pPr>
        <w:pStyle w:val="Normal1"/>
        <w:spacing w:after="0" w:line="240" w:lineRule="auto"/>
        <w:ind w:right="-52"/>
        <w:jc w:val="both"/>
        <w:rPr>
          <w:rFonts w:ascii="Arial" w:eastAsia="Verdana" w:hAnsi="Arial" w:cs="Arial"/>
          <w:b/>
          <w:sz w:val="28"/>
          <w:szCs w:val="28"/>
        </w:rPr>
      </w:pPr>
    </w:p>
    <w:p w14:paraId="005B23DF" w14:textId="77777777" w:rsidR="00D519B5" w:rsidRPr="00A35B54" w:rsidRDefault="00D519B5" w:rsidP="00C328A2">
      <w:pPr>
        <w:pStyle w:val="Normal1"/>
        <w:spacing w:after="0" w:line="240" w:lineRule="auto"/>
        <w:ind w:right="-52"/>
        <w:jc w:val="both"/>
        <w:rPr>
          <w:rFonts w:ascii="Arial" w:eastAsia="Verdana" w:hAnsi="Arial" w:cs="Arial"/>
          <w:b/>
          <w:sz w:val="28"/>
          <w:szCs w:val="28"/>
        </w:rPr>
      </w:pPr>
    </w:p>
    <w:p w14:paraId="03F58F4D" w14:textId="77777777" w:rsidR="00294273" w:rsidRPr="00A35B54" w:rsidRDefault="00294273" w:rsidP="00C328A2">
      <w:pPr>
        <w:pStyle w:val="Normal1"/>
        <w:pBdr>
          <w:top w:val="single" w:sz="4" w:space="1" w:color="auto"/>
          <w:left w:val="single" w:sz="4" w:space="4" w:color="auto"/>
          <w:bottom w:val="single" w:sz="4" w:space="1" w:color="auto"/>
          <w:right w:val="single" w:sz="4" w:space="4" w:color="auto"/>
        </w:pBdr>
        <w:spacing w:after="0" w:line="240" w:lineRule="auto"/>
        <w:ind w:right="-52"/>
        <w:jc w:val="both"/>
        <w:rPr>
          <w:rFonts w:ascii="Arial" w:eastAsia="Verdana" w:hAnsi="Arial" w:cs="Arial"/>
          <w:b/>
          <w:sz w:val="28"/>
          <w:szCs w:val="28"/>
        </w:rPr>
      </w:pPr>
      <w:r w:rsidRPr="00A35B54">
        <w:rPr>
          <w:rFonts w:ascii="Arial" w:eastAsia="Verdana" w:hAnsi="Arial" w:cs="Arial"/>
          <w:b/>
          <w:sz w:val="28"/>
          <w:szCs w:val="28"/>
        </w:rPr>
        <w:t xml:space="preserve">Summary </w:t>
      </w:r>
    </w:p>
    <w:p w14:paraId="7E871D30" w14:textId="77777777" w:rsidR="00294273" w:rsidRPr="00A35B54" w:rsidRDefault="00294273" w:rsidP="00C328A2">
      <w:pPr>
        <w:pStyle w:val="Normal1"/>
        <w:pBdr>
          <w:top w:val="single" w:sz="4" w:space="1" w:color="auto"/>
          <w:left w:val="single" w:sz="4" w:space="4" w:color="auto"/>
          <w:bottom w:val="single" w:sz="4" w:space="1" w:color="auto"/>
          <w:right w:val="single" w:sz="4" w:space="4" w:color="auto"/>
        </w:pBdr>
        <w:spacing w:after="0" w:line="240" w:lineRule="auto"/>
        <w:ind w:right="-52"/>
        <w:jc w:val="both"/>
        <w:rPr>
          <w:rFonts w:ascii="Arial" w:eastAsia="Verdana" w:hAnsi="Arial" w:cs="Arial"/>
          <w:sz w:val="28"/>
          <w:szCs w:val="28"/>
        </w:rPr>
      </w:pPr>
    </w:p>
    <w:p w14:paraId="26E84DEE" w14:textId="1028A625" w:rsidR="001B4C3B" w:rsidRPr="00A35B54" w:rsidRDefault="00294273" w:rsidP="00C328A2">
      <w:pPr>
        <w:pStyle w:val="Normal1"/>
        <w:pBdr>
          <w:top w:val="single" w:sz="4" w:space="1" w:color="auto"/>
          <w:left w:val="single" w:sz="4" w:space="4" w:color="auto"/>
          <w:bottom w:val="single" w:sz="4" w:space="1" w:color="auto"/>
          <w:right w:val="single" w:sz="4" w:space="4" w:color="auto"/>
        </w:pBdr>
        <w:spacing w:after="0" w:line="240" w:lineRule="auto"/>
        <w:ind w:right="-52"/>
        <w:jc w:val="both"/>
        <w:rPr>
          <w:rFonts w:ascii="Arial" w:eastAsia="Verdana" w:hAnsi="Arial" w:cs="Arial"/>
          <w:sz w:val="28"/>
          <w:szCs w:val="28"/>
        </w:rPr>
      </w:pPr>
      <w:r w:rsidRPr="00A35B54">
        <w:rPr>
          <w:rFonts w:ascii="Arial" w:eastAsia="Verdana" w:hAnsi="Arial" w:cs="Arial"/>
          <w:sz w:val="28"/>
          <w:szCs w:val="28"/>
        </w:rPr>
        <w:t>Equal opportunities for employment are one of the 12 pillars of Independent Living</w:t>
      </w:r>
      <w:r w:rsidR="0060522F" w:rsidRPr="00A35B54">
        <w:rPr>
          <w:rStyle w:val="FootnoteReference"/>
          <w:rFonts w:ascii="Arial" w:eastAsia="Verdana" w:hAnsi="Arial" w:cs="Arial"/>
          <w:sz w:val="28"/>
          <w:szCs w:val="28"/>
        </w:rPr>
        <w:footnoteReference w:id="1"/>
      </w:r>
      <w:r w:rsidRPr="00A35B54">
        <w:rPr>
          <w:rFonts w:ascii="Arial" w:eastAsia="Verdana" w:hAnsi="Arial" w:cs="Arial"/>
          <w:sz w:val="28"/>
          <w:szCs w:val="28"/>
        </w:rPr>
        <w:t xml:space="preserve">, without </w:t>
      </w:r>
      <w:r w:rsidR="0060522F" w:rsidRPr="00A35B54">
        <w:rPr>
          <w:rFonts w:ascii="Arial" w:eastAsia="Verdana" w:hAnsi="Arial" w:cs="Arial"/>
          <w:sz w:val="28"/>
          <w:szCs w:val="28"/>
        </w:rPr>
        <w:t>which</w:t>
      </w:r>
      <w:r w:rsidRPr="00A35B54">
        <w:rPr>
          <w:rFonts w:ascii="Arial" w:eastAsia="Verdana" w:hAnsi="Arial" w:cs="Arial"/>
          <w:sz w:val="28"/>
          <w:szCs w:val="28"/>
        </w:rPr>
        <w:t xml:space="preserve"> the right to live independently and to be included in the community is not possible. The </w:t>
      </w:r>
      <w:bookmarkStart w:id="0" w:name="_GoBack"/>
      <w:r w:rsidRPr="00A35B54">
        <w:rPr>
          <w:rFonts w:ascii="Arial" w:eastAsia="Verdana" w:hAnsi="Arial" w:cs="Arial"/>
          <w:sz w:val="28"/>
          <w:szCs w:val="28"/>
        </w:rPr>
        <w:t>European Network on Independent Living</w:t>
      </w:r>
      <w:r w:rsidR="0060522F" w:rsidRPr="00A35B54">
        <w:rPr>
          <w:rFonts w:ascii="Arial" w:eastAsia="Verdana" w:hAnsi="Arial" w:cs="Arial"/>
          <w:sz w:val="28"/>
          <w:szCs w:val="28"/>
        </w:rPr>
        <w:t xml:space="preserve"> - ENIL</w:t>
      </w:r>
      <w:r w:rsidRPr="00A35B54">
        <w:rPr>
          <w:rFonts w:ascii="Arial" w:eastAsia="Verdana" w:hAnsi="Arial" w:cs="Arial"/>
          <w:sz w:val="28"/>
          <w:szCs w:val="28"/>
        </w:rPr>
        <w:t xml:space="preserve"> </w:t>
      </w:r>
      <w:bookmarkEnd w:id="0"/>
      <w:r w:rsidRPr="00A35B54">
        <w:rPr>
          <w:rFonts w:ascii="Arial" w:eastAsia="Verdana" w:hAnsi="Arial" w:cs="Arial"/>
          <w:sz w:val="28"/>
          <w:szCs w:val="28"/>
        </w:rPr>
        <w:t>therefore welcomes the new General Comment on Article 27 of the UN Convention on the Rights of Persons with Disabilities</w:t>
      </w:r>
      <w:r w:rsidR="0060522F" w:rsidRPr="00A35B54">
        <w:rPr>
          <w:rFonts w:ascii="Arial" w:eastAsia="Verdana" w:hAnsi="Arial" w:cs="Arial"/>
          <w:sz w:val="28"/>
          <w:szCs w:val="28"/>
        </w:rPr>
        <w:t xml:space="preserve"> (CRPD)</w:t>
      </w:r>
      <w:r w:rsidRPr="00A35B54">
        <w:rPr>
          <w:rFonts w:ascii="Arial" w:eastAsia="Verdana" w:hAnsi="Arial" w:cs="Arial"/>
          <w:sz w:val="28"/>
          <w:szCs w:val="28"/>
        </w:rPr>
        <w:t xml:space="preserve">, as means of clarifying obligations of States Parties </w:t>
      </w:r>
      <w:r w:rsidR="0060522F" w:rsidRPr="00A35B54">
        <w:rPr>
          <w:rFonts w:ascii="Arial" w:eastAsia="Verdana" w:hAnsi="Arial" w:cs="Arial"/>
          <w:sz w:val="28"/>
          <w:szCs w:val="28"/>
        </w:rPr>
        <w:t>and promoting better access of disabled people</w:t>
      </w:r>
      <w:r w:rsidR="00B035BA" w:rsidRPr="00A35B54">
        <w:rPr>
          <w:rStyle w:val="FootnoteReference"/>
          <w:rFonts w:ascii="Arial" w:eastAsia="Verdana" w:hAnsi="Arial" w:cs="Arial"/>
          <w:sz w:val="28"/>
          <w:szCs w:val="28"/>
        </w:rPr>
        <w:footnoteReference w:id="2"/>
      </w:r>
      <w:r w:rsidR="0060522F" w:rsidRPr="00A35B54">
        <w:rPr>
          <w:rFonts w:ascii="Arial" w:eastAsia="Verdana" w:hAnsi="Arial" w:cs="Arial"/>
          <w:sz w:val="28"/>
          <w:szCs w:val="28"/>
        </w:rPr>
        <w:t xml:space="preserve"> to work and employment</w:t>
      </w:r>
      <w:r w:rsidRPr="00A35B54">
        <w:rPr>
          <w:rFonts w:ascii="Arial" w:eastAsia="Verdana" w:hAnsi="Arial" w:cs="Arial"/>
          <w:sz w:val="28"/>
          <w:szCs w:val="28"/>
        </w:rPr>
        <w:t xml:space="preserve">. In this submission, we aim to </w:t>
      </w:r>
      <w:r w:rsidR="0060522F" w:rsidRPr="00A35B54">
        <w:rPr>
          <w:rFonts w:ascii="Arial" w:eastAsia="Verdana" w:hAnsi="Arial" w:cs="Arial"/>
          <w:sz w:val="28"/>
          <w:szCs w:val="28"/>
        </w:rPr>
        <w:t xml:space="preserve">highlight </w:t>
      </w:r>
      <w:r w:rsidR="00B035BA" w:rsidRPr="00A35B54">
        <w:rPr>
          <w:rFonts w:ascii="Arial" w:eastAsia="Verdana" w:hAnsi="Arial" w:cs="Arial"/>
          <w:sz w:val="28"/>
          <w:szCs w:val="28"/>
        </w:rPr>
        <w:t>a number of points</w:t>
      </w:r>
      <w:r w:rsidR="0060522F" w:rsidRPr="00A35B54">
        <w:rPr>
          <w:rFonts w:ascii="Arial" w:eastAsia="Verdana" w:hAnsi="Arial" w:cs="Arial"/>
          <w:sz w:val="28"/>
          <w:szCs w:val="28"/>
        </w:rPr>
        <w:t xml:space="preserve"> that should be included in the</w:t>
      </w:r>
      <w:r w:rsidR="00B035BA" w:rsidRPr="00A35B54">
        <w:rPr>
          <w:rFonts w:ascii="Arial" w:eastAsia="Verdana" w:hAnsi="Arial" w:cs="Arial"/>
          <w:sz w:val="28"/>
          <w:szCs w:val="28"/>
        </w:rPr>
        <w:t xml:space="preserve"> upcoming</w:t>
      </w:r>
      <w:r w:rsidR="0060522F" w:rsidRPr="00A35B54">
        <w:rPr>
          <w:rFonts w:ascii="Arial" w:eastAsia="Verdana" w:hAnsi="Arial" w:cs="Arial"/>
          <w:sz w:val="28"/>
          <w:szCs w:val="28"/>
        </w:rPr>
        <w:t xml:space="preserve"> General Comment.</w:t>
      </w:r>
    </w:p>
    <w:p w14:paraId="6FDA619A" w14:textId="77777777" w:rsidR="00294273" w:rsidRPr="00A35B54" w:rsidRDefault="00294273" w:rsidP="00C328A2">
      <w:pPr>
        <w:pStyle w:val="Normal1"/>
        <w:spacing w:after="0" w:line="240" w:lineRule="auto"/>
        <w:ind w:right="-52"/>
        <w:jc w:val="both"/>
        <w:rPr>
          <w:rFonts w:ascii="Arial" w:eastAsia="Verdana" w:hAnsi="Arial" w:cs="Arial"/>
          <w:sz w:val="28"/>
          <w:szCs w:val="28"/>
        </w:rPr>
      </w:pPr>
    </w:p>
    <w:p w14:paraId="3B694A0C" w14:textId="1CFCC568" w:rsidR="0060522F" w:rsidRPr="00A35B54" w:rsidRDefault="0060522F" w:rsidP="00C328A2">
      <w:pPr>
        <w:pStyle w:val="Normal1"/>
        <w:spacing w:after="0" w:line="240" w:lineRule="auto"/>
        <w:ind w:right="-52"/>
        <w:jc w:val="both"/>
        <w:rPr>
          <w:rFonts w:ascii="Arial" w:eastAsia="Verdana" w:hAnsi="Arial" w:cs="Arial"/>
          <w:b/>
          <w:bCs/>
          <w:sz w:val="28"/>
          <w:szCs w:val="28"/>
        </w:rPr>
      </w:pPr>
      <w:r w:rsidRPr="00A35B54">
        <w:rPr>
          <w:rFonts w:ascii="Arial" w:eastAsia="Verdana" w:hAnsi="Arial" w:cs="Arial"/>
          <w:b/>
          <w:bCs/>
          <w:sz w:val="28"/>
          <w:szCs w:val="28"/>
        </w:rPr>
        <w:lastRenderedPageBreak/>
        <w:t xml:space="preserve">I. Points of particular relevance to ENIL, </w:t>
      </w:r>
      <w:r w:rsidR="00A35B54" w:rsidRPr="00A35B54">
        <w:rPr>
          <w:rFonts w:ascii="Arial" w:eastAsia="Verdana" w:hAnsi="Arial" w:cs="Arial"/>
          <w:b/>
          <w:bCs/>
          <w:sz w:val="28"/>
          <w:szCs w:val="28"/>
        </w:rPr>
        <w:t>which should be included in the</w:t>
      </w:r>
      <w:r w:rsidRPr="00A35B54">
        <w:rPr>
          <w:rFonts w:ascii="Arial" w:eastAsia="Verdana" w:hAnsi="Arial" w:cs="Arial"/>
          <w:b/>
          <w:bCs/>
          <w:sz w:val="28"/>
          <w:szCs w:val="28"/>
        </w:rPr>
        <w:t xml:space="preserve"> General Comment on Article 27</w:t>
      </w:r>
    </w:p>
    <w:p w14:paraId="5B2CC6AA" w14:textId="5FCE58AC" w:rsidR="0060522F" w:rsidRPr="00A35B54" w:rsidRDefault="0060522F" w:rsidP="00C328A2">
      <w:pPr>
        <w:pStyle w:val="Normal1"/>
        <w:spacing w:after="0" w:line="240" w:lineRule="auto"/>
        <w:ind w:right="-52"/>
        <w:jc w:val="both"/>
        <w:rPr>
          <w:rFonts w:ascii="Arial" w:eastAsia="Verdana" w:hAnsi="Arial" w:cs="Arial"/>
          <w:sz w:val="28"/>
          <w:szCs w:val="28"/>
        </w:rPr>
      </w:pPr>
    </w:p>
    <w:p w14:paraId="0A2CB46D" w14:textId="3DE893AA" w:rsidR="0060522F" w:rsidRPr="00A35B54" w:rsidRDefault="0060522F" w:rsidP="00C328A2">
      <w:pPr>
        <w:pStyle w:val="Normal1"/>
        <w:spacing w:after="0" w:line="240" w:lineRule="auto"/>
        <w:ind w:right="-52"/>
        <w:jc w:val="both"/>
        <w:rPr>
          <w:rFonts w:ascii="Arial" w:eastAsia="Verdana" w:hAnsi="Arial" w:cs="Arial"/>
          <w:b/>
          <w:bCs/>
          <w:sz w:val="28"/>
          <w:szCs w:val="28"/>
        </w:rPr>
      </w:pPr>
      <w:r w:rsidRPr="00A35B54">
        <w:rPr>
          <w:rFonts w:ascii="Arial" w:eastAsia="Verdana" w:hAnsi="Arial" w:cs="Arial"/>
          <w:b/>
          <w:bCs/>
          <w:sz w:val="28"/>
          <w:szCs w:val="28"/>
        </w:rPr>
        <w:t>1. Access to Personal Assistance</w:t>
      </w:r>
    </w:p>
    <w:p w14:paraId="1E75C2B1" w14:textId="26BAC34A" w:rsidR="0060522F" w:rsidRPr="00A35B54" w:rsidRDefault="0060522F" w:rsidP="00C328A2">
      <w:pPr>
        <w:pStyle w:val="Normal1"/>
        <w:spacing w:after="0" w:line="240" w:lineRule="auto"/>
        <w:ind w:right="-52"/>
        <w:jc w:val="both"/>
        <w:rPr>
          <w:rFonts w:ascii="Arial" w:eastAsia="Verdana" w:hAnsi="Arial" w:cs="Arial"/>
          <w:sz w:val="28"/>
          <w:szCs w:val="28"/>
        </w:rPr>
      </w:pPr>
    </w:p>
    <w:p w14:paraId="20008A60" w14:textId="0B1F546C" w:rsidR="00FB0D3A" w:rsidRPr="00A35B54" w:rsidRDefault="0060522F" w:rsidP="00C328A2">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Personal assistance is considered to be a key tool for Independent Living</w:t>
      </w:r>
      <w:r w:rsidR="001D2FA0">
        <w:rPr>
          <w:rFonts w:ascii="Arial" w:eastAsia="Verdana" w:hAnsi="Arial" w:cs="Arial"/>
          <w:sz w:val="28"/>
          <w:szCs w:val="28"/>
        </w:rPr>
        <w:t>; it is</w:t>
      </w:r>
      <w:r w:rsidRPr="00A35B54">
        <w:rPr>
          <w:rFonts w:ascii="Arial" w:eastAsia="Verdana" w:hAnsi="Arial" w:cs="Arial"/>
          <w:sz w:val="28"/>
          <w:szCs w:val="28"/>
        </w:rPr>
        <w:t xml:space="preserve"> explicitly mentioned in Article </w:t>
      </w:r>
      <w:r w:rsidR="008B544D" w:rsidRPr="00A35B54">
        <w:rPr>
          <w:rFonts w:ascii="Arial" w:eastAsia="Verdana" w:hAnsi="Arial" w:cs="Arial"/>
          <w:sz w:val="28"/>
          <w:szCs w:val="28"/>
        </w:rPr>
        <w:t>19 CRPD</w:t>
      </w:r>
      <w:r w:rsidR="001D2FA0">
        <w:rPr>
          <w:rFonts w:ascii="Arial" w:eastAsia="Verdana" w:hAnsi="Arial" w:cs="Arial"/>
          <w:sz w:val="28"/>
          <w:szCs w:val="28"/>
        </w:rPr>
        <w:t xml:space="preserve"> and defined in the General Comment No. 5 on Article 19</w:t>
      </w:r>
      <w:r w:rsidR="008B544D" w:rsidRPr="00A35B54">
        <w:rPr>
          <w:rFonts w:ascii="Arial" w:eastAsia="Verdana" w:hAnsi="Arial" w:cs="Arial"/>
          <w:sz w:val="28"/>
          <w:szCs w:val="28"/>
        </w:rPr>
        <w:t>. In a number of countries, Personal Assistance is available only to disabled people in their homes. This can be a restriction imposed by law, or it can be the result of a lack of hours or funding that is available to disabled people</w:t>
      </w:r>
      <w:r w:rsidR="00FB0D3A" w:rsidRPr="00A35B54">
        <w:rPr>
          <w:rFonts w:ascii="Arial" w:eastAsia="Verdana" w:hAnsi="Arial" w:cs="Arial"/>
          <w:sz w:val="28"/>
          <w:szCs w:val="28"/>
        </w:rPr>
        <w:t xml:space="preserve"> (and which means they use their assistance to cover </w:t>
      </w:r>
      <w:r w:rsidR="00B035BA" w:rsidRPr="00A35B54">
        <w:rPr>
          <w:rFonts w:ascii="Arial" w:eastAsia="Verdana" w:hAnsi="Arial" w:cs="Arial"/>
          <w:sz w:val="28"/>
          <w:szCs w:val="28"/>
        </w:rPr>
        <w:t xml:space="preserve">only their </w:t>
      </w:r>
      <w:r w:rsidR="00FB0D3A" w:rsidRPr="00A35B54">
        <w:rPr>
          <w:rFonts w:ascii="Arial" w:eastAsia="Verdana" w:hAnsi="Arial" w:cs="Arial"/>
          <w:sz w:val="28"/>
          <w:szCs w:val="28"/>
        </w:rPr>
        <w:t>basic</w:t>
      </w:r>
      <w:r w:rsidR="00B035BA" w:rsidRPr="00A35B54">
        <w:rPr>
          <w:rFonts w:ascii="Arial" w:eastAsia="Verdana" w:hAnsi="Arial" w:cs="Arial"/>
          <w:sz w:val="28"/>
          <w:szCs w:val="28"/>
        </w:rPr>
        <w:t xml:space="preserve"> support</w:t>
      </w:r>
      <w:r w:rsidR="00FB0D3A" w:rsidRPr="00A35B54">
        <w:rPr>
          <w:rFonts w:ascii="Arial" w:eastAsia="Verdana" w:hAnsi="Arial" w:cs="Arial"/>
          <w:sz w:val="28"/>
          <w:szCs w:val="28"/>
        </w:rPr>
        <w:t xml:space="preserve"> needs)</w:t>
      </w:r>
      <w:r w:rsidR="008B544D" w:rsidRPr="00A35B54">
        <w:rPr>
          <w:rStyle w:val="FootnoteReference"/>
          <w:rFonts w:ascii="Arial" w:eastAsia="Verdana" w:hAnsi="Arial" w:cs="Arial"/>
          <w:sz w:val="28"/>
          <w:szCs w:val="28"/>
        </w:rPr>
        <w:footnoteReference w:id="3"/>
      </w:r>
      <w:r w:rsidR="008B544D" w:rsidRPr="00A35B54">
        <w:rPr>
          <w:rFonts w:ascii="Arial" w:eastAsia="Verdana" w:hAnsi="Arial" w:cs="Arial"/>
          <w:sz w:val="28"/>
          <w:szCs w:val="28"/>
        </w:rPr>
        <w:t xml:space="preserve">. In some </w:t>
      </w:r>
      <w:r w:rsidR="00AB0879" w:rsidRPr="00A35B54">
        <w:rPr>
          <w:rFonts w:ascii="Arial" w:eastAsia="Verdana" w:hAnsi="Arial" w:cs="Arial"/>
          <w:sz w:val="28"/>
          <w:szCs w:val="28"/>
        </w:rPr>
        <w:t>cases</w:t>
      </w:r>
      <w:r w:rsidR="008B544D" w:rsidRPr="00A35B54">
        <w:rPr>
          <w:rFonts w:ascii="Arial" w:eastAsia="Verdana" w:hAnsi="Arial" w:cs="Arial"/>
          <w:sz w:val="28"/>
          <w:szCs w:val="28"/>
        </w:rPr>
        <w:t xml:space="preserve">, Personal Assistance is, on the other hand, </w:t>
      </w:r>
      <w:r w:rsidR="00AB0879" w:rsidRPr="00A35B54">
        <w:rPr>
          <w:rFonts w:ascii="Arial" w:eastAsia="Verdana" w:hAnsi="Arial" w:cs="Arial"/>
          <w:sz w:val="28"/>
          <w:szCs w:val="28"/>
        </w:rPr>
        <w:t>restricted to employment</w:t>
      </w:r>
      <w:r w:rsidR="00FB0D3A" w:rsidRPr="00A35B54">
        <w:rPr>
          <w:rFonts w:ascii="Arial" w:eastAsia="Verdana" w:hAnsi="Arial" w:cs="Arial"/>
          <w:sz w:val="28"/>
          <w:szCs w:val="28"/>
        </w:rPr>
        <w:t xml:space="preserve"> or is only available to those disabled people </w:t>
      </w:r>
      <w:r w:rsidR="004B1292" w:rsidRPr="00A35B54">
        <w:rPr>
          <w:rFonts w:ascii="Arial" w:eastAsia="Verdana" w:hAnsi="Arial" w:cs="Arial"/>
          <w:sz w:val="28"/>
          <w:szCs w:val="28"/>
        </w:rPr>
        <w:t>considered as</w:t>
      </w:r>
      <w:r w:rsidR="00FB0D3A" w:rsidRPr="00A35B54">
        <w:rPr>
          <w:rFonts w:ascii="Arial" w:eastAsia="Verdana" w:hAnsi="Arial" w:cs="Arial"/>
          <w:sz w:val="28"/>
          <w:szCs w:val="28"/>
        </w:rPr>
        <w:t xml:space="preserve"> ‘fit to work’. In both situations, it leads to exclusion of </w:t>
      </w:r>
      <w:r w:rsidR="004B1292" w:rsidRPr="00A35B54">
        <w:rPr>
          <w:rFonts w:ascii="Arial" w:eastAsia="Verdana" w:hAnsi="Arial" w:cs="Arial"/>
          <w:sz w:val="28"/>
          <w:szCs w:val="28"/>
        </w:rPr>
        <w:t xml:space="preserve">many </w:t>
      </w:r>
      <w:r w:rsidR="00FB0D3A" w:rsidRPr="00A35B54">
        <w:rPr>
          <w:rFonts w:ascii="Arial" w:eastAsia="Verdana" w:hAnsi="Arial" w:cs="Arial"/>
          <w:sz w:val="28"/>
          <w:szCs w:val="28"/>
        </w:rPr>
        <w:t>disabled people from the labour market</w:t>
      </w:r>
      <w:r w:rsidR="001B4C3B" w:rsidRPr="00A35B54">
        <w:rPr>
          <w:rFonts w:ascii="Arial" w:eastAsia="Verdana" w:hAnsi="Arial" w:cs="Arial"/>
          <w:sz w:val="28"/>
          <w:szCs w:val="28"/>
        </w:rPr>
        <w:t xml:space="preserve"> and deprives them of opportunities to live independently and to be included in the community</w:t>
      </w:r>
      <w:r w:rsidR="00FB0D3A" w:rsidRPr="00A35B54">
        <w:rPr>
          <w:rFonts w:ascii="Arial" w:eastAsia="Verdana" w:hAnsi="Arial" w:cs="Arial"/>
          <w:sz w:val="28"/>
          <w:szCs w:val="28"/>
        </w:rPr>
        <w:t>.</w:t>
      </w:r>
    </w:p>
    <w:p w14:paraId="5022E2B4" w14:textId="77777777" w:rsidR="00FB0D3A" w:rsidRPr="00A35B54" w:rsidRDefault="00FB0D3A" w:rsidP="00C328A2">
      <w:pPr>
        <w:pStyle w:val="Normal1"/>
        <w:spacing w:after="0" w:line="240" w:lineRule="auto"/>
        <w:ind w:right="-52"/>
        <w:jc w:val="both"/>
        <w:rPr>
          <w:rFonts w:ascii="Arial" w:eastAsia="Verdana" w:hAnsi="Arial" w:cs="Arial"/>
          <w:sz w:val="28"/>
          <w:szCs w:val="28"/>
        </w:rPr>
      </w:pPr>
    </w:p>
    <w:p w14:paraId="65E2B031" w14:textId="1CAA8462" w:rsidR="0060522F" w:rsidRPr="00A35B54" w:rsidRDefault="00FB0D3A" w:rsidP="00C328A2">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 xml:space="preserve">It is, therefore, important to highlight in the General Comment the need for </w:t>
      </w:r>
      <w:r w:rsidRPr="00A35B54">
        <w:rPr>
          <w:rFonts w:ascii="Arial" w:eastAsia="Verdana" w:hAnsi="Arial" w:cs="Arial"/>
          <w:b/>
          <w:bCs/>
          <w:sz w:val="28"/>
          <w:szCs w:val="28"/>
        </w:rPr>
        <w:t xml:space="preserve">adequate access to </w:t>
      </w:r>
      <w:r w:rsidR="004B1292" w:rsidRPr="00A35B54">
        <w:rPr>
          <w:rFonts w:ascii="Arial" w:eastAsia="Verdana" w:hAnsi="Arial" w:cs="Arial"/>
          <w:b/>
          <w:bCs/>
          <w:sz w:val="28"/>
          <w:szCs w:val="28"/>
        </w:rPr>
        <w:t xml:space="preserve">properly funded </w:t>
      </w:r>
      <w:r w:rsidRPr="00A35B54">
        <w:rPr>
          <w:rFonts w:ascii="Arial" w:eastAsia="Verdana" w:hAnsi="Arial" w:cs="Arial"/>
          <w:b/>
          <w:bCs/>
          <w:sz w:val="28"/>
          <w:szCs w:val="28"/>
        </w:rPr>
        <w:t>Personal Assistance for all disabled people</w:t>
      </w:r>
      <w:r w:rsidRPr="00A35B54">
        <w:rPr>
          <w:rFonts w:ascii="Arial" w:eastAsia="Verdana" w:hAnsi="Arial" w:cs="Arial"/>
          <w:sz w:val="28"/>
          <w:szCs w:val="28"/>
        </w:rPr>
        <w:t xml:space="preserve"> </w:t>
      </w:r>
      <w:r w:rsidR="004B1292" w:rsidRPr="00A35B54">
        <w:rPr>
          <w:rFonts w:ascii="Arial" w:eastAsia="Verdana" w:hAnsi="Arial" w:cs="Arial"/>
          <w:sz w:val="28"/>
          <w:szCs w:val="28"/>
        </w:rPr>
        <w:t>who require this service, whatever their age, support needs and wherever they live.</w:t>
      </w:r>
      <w:r w:rsidR="00B035BA" w:rsidRPr="00A35B54">
        <w:rPr>
          <w:rFonts w:ascii="Arial" w:eastAsia="Verdana" w:hAnsi="Arial" w:cs="Arial"/>
          <w:sz w:val="28"/>
          <w:szCs w:val="28"/>
        </w:rPr>
        <w:t xml:space="preserve"> There should be no restrictions</w:t>
      </w:r>
      <w:r w:rsidR="00C328A2" w:rsidRPr="00A35B54">
        <w:rPr>
          <w:rFonts w:ascii="Arial" w:eastAsia="Verdana" w:hAnsi="Arial" w:cs="Arial"/>
          <w:sz w:val="28"/>
          <w:szCs w:val="28"/>
        </w:rPr>
        <w:t xml:space="preserve"> on what Personal Assistance can be used for, and disabled people should </w:t>
      </w:r>
      <w:r w:rsidR="00C328A2" w:rsidRPr="00A35B54">
        <w:rPr>
          <w:rFonts w:ascii="Arial" w:eastAsia="Verdana" w:hAnsi="Arial" w:cs="Arial"/>
          <w:sz w:val="28"/>
          <w:szCs w:val="28"/>
        </w:rPr>
        <w:lastRenderedPageBreak/>
        <w:t>not be forced out of work due to decreasing access to assistance as they get older, or for any other reason.</w:t>
      </w:r>
    </w:p>
    <w:p w14:paraId="482A3D16" w14:textId="177659D9" w:rsidR="004B1292" w:rsidRPr="00A35B54" w:rsidRDefault="004B1292" w:rsidP="00C328A2">
      <w:pPr>
        <w:pStyle w:val="Normal1"/>
        <w:spacing w:after="0" w:line="240" w:lineRule="auto"/>
        <w:ind w:right="-52"/>
        <w:jc w:val="both"/>
        <w:rPr>
          <w:rFonts w:ascii="Arial" w:eastAsia="Verdana" w:hAnsi="Arial" w:cs="Arial"/>
          <w:sz w:val="28"/>
          <w:szCs w:val="28"/>
        </w:rPr>
      </w:pPr>
    </w:p>
    <w:p w14:paraId="3261A00A" w14:textId="2B80E6A3" w:rsidR="004B1292" w:rsidRPr="00A35B54" w:rsidRDefault="004B1292" w:rsidP="00C328A2">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 xml:space="preserve">Should disabled people be offered work in another part of the country, they should be able to move their </w:t>
      </w:r>
      <w:r w:rsidR="00C328A2" w:rsidRPr="00A35B54">
        <w:rPr>
          <w:rFonts w:ascii="Arial" w:eastAsia="Verdana" w:hAnsi="Arial" w:cs="Arial"/>
          <w:sz w:val="28"/>
          <w:szCs w:val="28"/>
        </w:rPr>
        <w:t>P</w:t>
      </w:r>
      <w:r w:rsidRPr="00A35B54">
        <w:rPr>
          <w:rFonts w:ascii="Arial" w:eastAsia="Verdana" w:hAnsi="Arial" w:cs="Arial"/>
          <w:sz w:val="28"/>
          <w:szCs w:val="28"/>
        </w:rPr>
        <w:t xml:space="preserve">ersonal </w:t>
      </w:r>
      <w:r w:rsidR="00C328A2" w:rsidRPr="00A35B54">
        <w:rPr>
          <w:rFonts w:ascii="Arial" w:eastAsia="Verdana" w:hAnsi="Arial" w:cs="Arial"/>
          <w:sz w:val="28"/>
          <w:szCs w:val="28"/>
        </w:rPr>
        <w:t>A</w:t>
      </w:r>
      <w:r w:rsidRPr="00A35B54">
        <w:rPr>
          <w:rFonts w:ascii="Arial" w:eastAsia="Verdana" w:hAnsi="Arial" w:cs="Arial"/>
          <w:sz w:val="28"/>
          <w:szCs w:val="28"/>
        </w:rPr>
        <w:t>ssistance and other parts of their support package. At the moment, many people are unable to transfer their support within the same country, or abroad. This includes disabled people in the European Union, where the freedom of movement (for work or study) is one of the main rights of EU citizens</w:t>
      </w:r>
      <w:r w:rsidR="001B4C3B" w:rsidRPr="00A35B54">
        <w:rPr>
          <w:rStyle w:val="FootnoteReference"/>
          <w:rFonts w:ascii="Arial" w:eastAsia="Verdana" w:hAnsi="Arial" w:cs="Arial"/>
          <w:sz w:val="28"/>
          <w:szCs w:val="28"/>
        </w:rPr>
        <w:footnoteReference w:id="4"/>
      </w:r>
      <w:r w:rsidRPr="00A35B54">
        <w:rPr>
          <w:rFonts w:ascii="Arial" w:eastAsia="Verdana" w:hAnsi="Arial" w:cs="Arial"/>
          <w:sz w:val="28"/>
          <w:szCs w:val="28"/>
        </w:rPr>
        <w:t xml:space="preserve">. Lack of </w:t>
      </w:r>
      <w:r w:rsidR="00C328A2" w:rsidRPr="00A35B54">
        <w:rPr>
          <w:rFonts w:ascii="Arial" w:eastAsia="Verdana" w:hAnsi="Arial" w:cs="Arial"/>
          <w:sz w:val="28"/>
          <w:szCs w:val="28"/>
        </w:rPr>
        <w:t>access or transferability of</w:t>
      </w:r>
      <w:r w:rsidRPr="00A35B54">
        <w:rPr>
          <w:rFonts w:ascii="Arial" w:eastAsia="Verdana" w:hAnsi="Arial" w:cs="Arial"/>
          <w:sz w:val="28"/>
          <w:szCs w:val="28"/>
        </w:rPr>
        <w:t xml:space="preserve"> Personal Assistance therefore prevents disabled people from taking up better</w:t>
      </w:r>
      <w:r w:rsidR="001D2FA0">
        <w:rPr>
          <w:rFonts w:ascii="Arial" w:eastAsia="Verdana" w:hAnsi="Arial" w:cs="Arial"/>
          <w:sz w:val="28"/>
          <w:szCs w:val="28"/>
        </w:rPr>
        <w:t xml:space="preserve"> (or any)</w:t>
      </w:r>
      <w:r w:rsidRPr="00A35B54">
        <w:rPr>
          <w:rFonts w:ascii="Arial" w:eastAsia="Verdana" w:hAnsi="Arial" w:cs="Arial"/>
          <w:sz w:val="28"/>
          <w:szCs w:val="28"/>
        </w:rPr>
        <w:t xml:space="preserve"> employment opportunities, and restricts them to a </w:t>
      </w:r>
      <w:r w:rsidR="00C328A2" w:rsidRPr="00A35B54">
        <w:rPr>
          <w:rFonts w:ascii="Arial" w:eastAsia="Verdana" w:hAnsi="Arial" w:cs="Arial"/>
          <w:sz w:val="28"/>
          <w:szCs w:val="28"/>
        </w:rPr>
        <w:t>particular location</w:t>
      </w:r>
      <w:r w:rsidRPr="00A35B54">
        <w:rPr>
          <w:rFonts w:ascii="Arial" w:eastAsia="Verdana" w:hAnsi="Arial" w:cs="Arial"/>
          <w:sz w:val="28"/>
          <w:szCs w:val="28"/>
        </w:rPr>
        <w:t>.</w:t>
      </w:r>
    </w:p>
    <w:p w14:paraId="288E9B3C" w14:textId="01E622F8" w:rsidR="004B1292" w:rsidRPr="00A35B54" w:rsidRDefault="004B1292" w:rsidP="00C328A2">
      <w:pPr>
        <w:pStyle w:val="Normal1"/>
        <w:spacing w:after="0" w:line="240" w:lineRule="auto"/>
        <w:ind w:right="-52"/>
        <w:jc w:val="both"/>
        <w:rPr>
          <w:rFonts w:ascii="Arial" w:eastAsia="Verdana" w:hAnsi="Arial" w:cs="Arial"/>
          <w:sz w:val="28"/>
          <w:szCs w:val="28"/>
        </w:rPr>
      </w:pPr>
    </w:p>
    <w:p w14:paraId="6DA16C25" w14:textId="39F17FE4" w:rsidR="00E23BCE" w:rsidRPr="00A35B54" w:rsidRDefault="004B1292" w:rsidP="00C328A2">
      <w:pPr>
        <w:ind w:right="-52"/>
        <w:rPr>
          <w:rFonts w:ascii="Arial" w:hAnsi="Arial" w:cs="Arial"/>
          <w:b/>
          <w:bCs/>
          <w:sz w:val="28"/>
          <w:szCs w:val="28"/>
        </w:rPr>
      </w:pPr>
      <w:r w:rsidRPr="00A35B54">
        <w:rPr>
          <w:rFonts w:ascii="Arial" w:hAnsi="Arial" w:cs="Arial"/>
          <w:b/>
          <w:bCs/>
          <w:sz w:val="28"/>
          <w:szCs w:val="28"/>
        </w:rPr>
        <w:t>2. Abolishing of segregated working environments and alternatives to work</w:t>
      </w:r>
    </w:p>
    <w:p w14:paraId="21B40ACF" w14:textId="6AD4D364" w:rsidR="00133716" w:rsidRPr="00A35B54" w:rsidRDefault="00133716" w:rsidP="00C328A2">
      <w:pPr>
        <w:ind w:right="-52"/>
        <w:jc w:val="both"/>
        <w:rPr>
          <w:rFonts w:ascii="Arial" w:hAnsi="Arial" w:cs="Arial"/>
          <w:sz w:val="28"/>
          <w:szCs w:val="28"/>
        </w:rPr>
      </w:pPr>
      <w:r w:rsidRPr="00A35B54">
        <w:rPr>
          <w:rFonts w:ascii="Arial" w:hAnsi="Arial" w:cs="Arial"/>
          <w:sz w:val="28"/>
          <w:szCs w:val="28"/>
        </w:rPr>
        <w:t>ENIL has information about the use of European Union</w:t>
      </w:r>
      <w:r w:rsidR="001D2FA0">
        <w:rPr>
          <w:rFonts w:ascii="Arial" w:hAnsi="Arial" w:cs="Arial"/>
          <w:sz w:val="28"/>
          <w:szCs w:val="28"/>
        </w:rPr>
        <w:t xml:space="preserve"> (EU)</w:t>
      </w:r>
      <w:r w:rsidRPr="00A35B54">
        <w:rPr>
          <w:rFonts w:ascii="Arial" w:hAnsi="Arial" w:cs="Arial"/>
          <w:sz w:val="28"/>
          <w:szCs w:val="28"/>
        </w:rPr>
        <w:t xml:space="preserve"> funds </w:t>
      </w:r>
      <w:r w:rsidR="001B4C3B" w:rsidRPr="00A35B54">
        <w:rPr>
          <w:rFonts w:ascii="Arial" w:hAnsi="Arial" w:cs="Arial"/>
          <w:sz w:val="28"/>
          <w:szCs w:val="28"/>
        </w:rPr>
        <w:t>for supporting</w:t>
      </w:r>
      <w:r w:rsidRPr="00A35B54">
        <w:rPr>
          <w:rFonts w:ascii="Arial" w:hAnsi="Arial" w:cs="Arial"/>
          <w:sz w:val="28"/>
          <w:szCs w:val="28"/>
        </w:rPr>
        <w:t xml:space="preserve"> segregated working environments for disabled people, despite the EU</w:t>
      </w:r>
      <w:r w:rsidR="001B4C3B" w:rsidRPr="00A35B54">
        <w:rPr>
          <w:rFonts w:ascii="Arial" w:hAnsi="Arial" w:cs="Arial"/>
          <w:sz w:val="28"/>
          <w:szCs w:val="28"/>
        </w:rPr>
        <w:t>’s ratification of the CRPD, its</w:t>
      </w:r>
      <w:r w:rsidRPr="00A35B54">
        <w:rPr>
          <w:rFonts w:ascii="Arial" w:hAnsi="Arial" w:cs="Arial"/>
          <w:sz w:val="28"/>
          <w:szCs w:val="28"/>
        </w:rPr>
        <w:t xml:space="preserve"> Employment Equality Directive, the Fundamental Rights Charter and other relevant legislation and policy</w:t>
      </w:r>
      <w:r w:rsidR="001B4C3B" w:rsidRPr="00A35B54">
        <w:rPr>
          <w:rFonts w:ascii="Arial" w:hAnsi="Arial" w:cs="Arial"/>
          <w:sz w:val="28"/>
          <w:szCs w:val="28"/>
        </w:rPr>
        <w:t xml:space="preserve"> at the EU</w:t>
      </w:r>
      <w:r w:rsidR="001D2FA0">
        <w:rPr>
          <w:rFonts w:ascii="Arial" w:hAnsi="Arial" w:cs="Arial"/>
          <w:sz w:val="28"/>
          <w:szCs w:val="28"/>
        </w:rPr>
        <w:t xml:space="preserve"> level</w:t>
      </w:r>
      <w:r w:rsidR="001B4C3B" w:rsidRPr="00A35B54">
        <w:rPr>
          <w:rStyle w:val="FootnoteReference"/>
          <w:rFonts w:ascii="Arial" w:hAnsi="Arial" w:cs="Arial"/>
          <w:sz w:val="28"/>
          <w:szCs w:val="28"/>
        </w:rPr>
        <w:footnoteReference w:id="5"/>
      </w:r>
      <w:r w:rsidRPr="00A35B54">
        <w:rPr>
          <w:rFonts w:ascii="Arial" w:hAnsi="Arial" w:cs="Arial"/>
          <w:sz w:val="28"/>
          <w:szCs w:val="28"/>
        </w:rPr>
        <w:t>. There is also not enough clarity on what constitutes sheltered employment.</w:t>
      </w:r>
    </w:p>
    <w:p w14:paraId="48243370" w14:textId="4FEA9877" w:rsidR="004B1292" w:rsidRPr="00A35B54" w:rsidRDefault="00133716" w:rsidP="00C328A2">
      <w:pPr>
        <w:ind w:right="-52"/>
        <w:jc w:val="both"/>
        <w:rPr>
          <w:rFonts w:ascii="Arial" w:hAnsi="Arial" w:cs="Arial"/>
          <w:sz w:val="28"/>
          <w:szCs w:val="28"/>
        </w:rPr>
      </w:pPr>
      <w:r w:rsidRPr="00A35B54">
        <w:rPr>
          <w:rFonts w:ascii="Arial" w:hAnsi="Arial" w:cs="Arial"/>
          <w:sz w:val="28"/>
          <w:szCs w:val="28"/>
        </w:rPr>
        <w:lastRenderedPageBreak/>
        <w:t xml:space="preserve">It is imperative for the General Comment to </w:t>
      </w:r>
      <w:r w:rsidRPr="00A35B54">
        <w:rPr>
          <w:rFonts w:ascii="Arial" w:hAnsi="Arial" w:cs="Arial"/>
          <w:b/>
          <w:bCs/>
          <w:sz w:val="28"/>
          <w:szCs w:val="28"/>
        </w:rPr>
        <w:t>define ‘sheltered employment/sheltered workshop’</w:t>
      </w:r>
      <w:r w:rsidRPr="00A35B54">
        <w:rPr>
          <w:rFonts w:ascii="Arial" w:hAnsi="Arial" w:cs="Arial"/>
          <w:sz w:val="28"/>
          <w:szCs w:val="28"/>
        </w:rPr>
        <w:t xml:space="preserve">, ensuring that it is </w:t>
      </w:r>
      <w:r w:rsidR="00C9349D" w:rsidRPr="00A35B54">
        <w:rPr>
          <w:rFonts w:ascii="Arial" w:hAnsi="Arial" w:cs="Arial"/>
          <w:sz w:val="28"/>
          <w:szCs w:val="28"/>
        </w:rPr>
        <w:t>described</w:t>
      </w:r>
      <w:r w:rsidRPr="00A35B54">
        <w:rPr>
          <w:rFonts w:ascii="Arial" w:hAnsi="Arial" w:cs="Arial"/>
          <w:sz w:val="28"/>
          <w:szCs w:val="28"/>
        </w:rPr>
        <w:t xml:space="preserve"> not only as a place where only disabled people work, but also where there is a disproportionate number of disabled people. The General Comment should also </w:t>
      </w:r>
      <w:r w:rsidRPr="00A35B54">
        <w:rPr>
          <w:rFonts w:ascii="Arial" w:hAnsi="Arial" w:cs="Arial"/>
          <w:b/>
          <w:bCs/>
          <w:sz w:val="28"/>
          <w:szCs w:val="28"/>
        </w:rPr>
        <w:t>call for any public or private funds to be used to promote access of disabled people to the open labour</w:t>
      </w:r>
      <w:r w:rsidRPr="00A35B54">
        <w:rPr>
          <w:rFonts w:ascii="Arial" w:hAnsi="Arial" w:cs="Arial"/>
          <w:sz w:val="28"/>
          <w:szCs w:val="28"/>
        </w:rPr>
        <w:t xml:space="preserve">, through various </w:t>
      </w:r>
      <w:r w:rsidR="00C328A2" w:rsidRPr="00A35B54">
        <w:rPr>
          <w:rFonts w:ascii="Arial" w:hAnsi="Arial" w:cs="Arial"/>
          <w:sz w:val="28"/>
          <w:szCs w:val="28"/>
        </w:rPr>
        <w:t>education</w:t>
      </w:r>
      <w:r w:rsidRPr="00A35B54">
        <w:rPr>
          <w:rFonts w:ascii="Arial" w:hAnsi="Arial" w:cs="Arial"/>
          <w:sz w:val="28"/>
          <w:szCs w:val="28"/>
        </w:rPr>
        <w:t xml:space="preserve"> and employment-related initiatives</w:t>
      </w:r>
      <w:r w:rsidR="001D2FA0">
        <w:rPr>
          <w:rFonts w:ascii="Arial" w:hAnsi="Arial" w:cs="Arial"/>
          <w:sz w:val="28"/>
          <w:szCs w:val="28"/>
        </w:rPr>
        <w:t xml:space="preserve">, and </w:t>
      </w:r>
      <w:r w:rsidR="006C398D">
        <w:rPr>
          <w:rFonts w:ascii="Arial" w:hAnsi="Arial" w:cs="Arial"/>
          <w:sz w:val="28"/>
          <w:szCs w:val="28"/>
        </w:rPr>
        <w:t>prohibit investment in different forms of segregated employment.</w:t>
      </w:r>
    </w:p>
    <w:p w14:paraId="5B8E51F4" w14:textId="20E0E971" w:rsidR="00C9349D" w:rsidRPr="00A35B54" w:rsidRDefault="00133716" w:rsidP="00C328A2">
      <w:pPr>
        <w:ind w:right="-52"/>
        <w:jc w:val="both"/>
        <w:rPr>
          <w:rFonts w:ascii="Arial" w:hAnsi="Arial" w:cs="Arial"/>
          <w:sz w:val="28"/>
          <w:szCs w:val="28"/>
        </w:rPr>
      </w:pPr>
      <w:r w:rsidRPr="00A35B54">
        <w:rPr>
          <w:rFonts w:ascii="Arial" w:hAnsi="Arial" w:cs="Arial"/>
          <w:sz w:val="28"/>
          <w:szCs w:val="28"/>
        </w:rPr>
        <w:t xml:space="preserve">In addition to sheltered workshops, many disabled adults spend their days in day care centres, which </w:t>
      </w:r>
      <w:r w:rsidR="00C9349D" w:rsidRPr="00A35B54">
        <w:rPr>
          <w:rFonts w:ascii="Arial" w:hAnsi="Arial" w:cs="Arial"/>
          <w:sz w:val="28"/>
          <w:szCs w:val="28"/>
        </w:rPr>
        <w:t>are often</w:t>
      </w:r>
      <w:r w:rsidRPr="00A35B54">
        <w:rPr>
          <w:rFonts w:ascii="Arial" w:hAnsi="Arial" w:cs="Arial"/>
          <w:sz w:val="28"/>
          <w:szCs w:val="28"/>
        </w:rPr>
        <w:t xml:space="preserve"> considered as an alternative to employment</w:t>
      </w:r>
      <w:r w:rsidR="00C9349D" w:rsidRPr="00A35B54">
        <w:rPr>
          <w:rFonts w:ascii="Arial" w:hAnsi="Arial" w:cs="Arial"/>
          <w:sz w:val="28"/>
          <w:szCs w:val="28"/>
        </w:rPr>
        <w:t xml:space="preserve"> for those ‘unfit to work’</w:t>
      </w:r>
      <w:r w:rsidRPr="00A35B54">
        <w:rPr>
          <w:rFonts w:ascii="Arial" w:hAnsi="Arial" w:cs="Arial"/>
          <w:sz w:val="28"/>
          <w:szCs w:val="28"/>
        </w:rPr>
        <w:t xml:space="preserve">. There, they spend their days doing crafts, drawing or other </w:t>
      </w:r>
      <w:r w:rsidR="00C9349D" w:rsidRPr="00A35B54">
        <w:rPr>
          <w:rFonts w:ascii="Arial" w:hAnsi="Arial" w:cs="Arial"/>
          <w:sz w:val="28"/>
          <w:szCs w:val="28"/>
        </w:rPr>
        <w:t xml:space="preserve">activities (which are often not appropriate to their age). Given the </w:t>
      </w:r>
      <w:r w:rsidR="00C9349D" w:rsidRPr="00A35B54">
        <w:rPr>
          <w:rFonts w:ascii="Arial" w:hAnsi="Arial" w:cs="Arial"/>
          <w:b/>
          <w:bCs/>
          <w:sz w:val="28"/>
          <w:szCs w:val="28"/>
        </w:rPr>
        <w:t xml:space="preserve">prevalence of day care centres for adults in many countries, the General Comment should make it clear that they should not be considered as an alternative to employment for disabled </w:t>
      </w:r>
      <w:r w:rsidR="000E1143" w:rsidRPr="00A35B54">
        <w:rPr>
          <w:rFonts w:ascii="Arial" w:hAnsi="Arial" w:cs="Arial"/>
          <w:b/>
          <w:bCs/>
          <w:sz w:val="28"/>
          <w:szCs w:val="28"/>
        </w:rPr>
        <w:t>adults</w:t>
      </w:r>
      <w:r w:rsidR="00C9349D" w:rsidRPr="00A35B54">
        <w:rPr>
          <w:rFonts w:ascii="Arial" w:hAnsi="Arial" w:cs="Arial"/>
          <w:sz w:val="28"/>
          <w:szCs w:val="28"/>
        </w:rPr>
        <w:t>. States Parties should be encouraged to transition away from day care centres, to train and offer employment opportunities to all disabled people, in line with their needs.</w:t>
      </w:r>
    </w:p>
    <w:p w14:paraId="32C1AF97" w14:textId="06BF0B80" w:rsidR="004213C8" w:rsidRPr="00A35B54" w:rsidRDefault="004213C8" w:rsidP="00C328A2">
      <w:pPr>
        <w:ind w:right="-52"/>
        <w:jc w:val="both"/>
        <w:rPr>
          <w:rFonts w:ascii="Arial" w:hAnsi="Arial" w:cs="Arial"/>
          <w:sz w:val="28"/>
          <w:szCs w:val="28"/>
        </w:rPr>
      </w:pPr>
      <w:r w:rsidRPr="00A35B54">
        <w:rPr>
          <w:rFonts w:ascii="Arial" w:hAnsi="Arial" w:cs="Arial"/>
          <w:sz w:val="28"/>
          <w:szCs w:val="28"/>
        </w:rPr>
        <w:t xml:space="preserve">Finally, the General Comment should make it clear that </w:t>
      </w:r>
      <w:r w:rsidRPr="00A35B54">
        <w:rPr>
          <w:rFonts w:ascii="Arial" w:hAnsi="Arial" w:cs="Arial"/>
          <w:b/>
          <w:bCs/>
          <w:sz w:val="28"/>
          <w:szCs w:val="28"/>
        </w:rPr>
        <w:t>the right to work and employment cannot be considered as implemented in any form of institutional care</w:t>
      </w:r>
      <w:r w:rsidR="00C328A2" w:rsidRPr="00A35B54">
        <w:rPr>
          <w:rFonts w:ascii="Arial" w:hAnsi="Arial" w:cs="Arial"/>
          <w:b/>
          <w:bCs/>
          <w:sz w:val="28"/>
          <w:szCs w:val="28"/>
        </w:rPr>
        <w:t>, of any size</w:t>
      </w:r>
      <w:r w:rsidRPr="00A35B54">
        <w:rPr>
          <w:rFonts w:ascii="Arial" w:hAnsi="Arial" w:cs="Arial"/>
          <w:sz w:val="28"/>
          <w:szCs w:val="28"/>
        </w:rPr>
        <w:t>. Where disabled people are forced to work in institution</w:t>
      </w:r>
      <w:r w:rsidR="000E1143" w:rsidRPr="00A35B54">
        <w:rPr>
          <w:rFonts w:ascii="Arial" w:hAnsi="Arial" w:cs="Arial"/>
          <w:sz w:val="28"/>
          <w:szCs w:val="28"/>
        </w:rPr>
        <w:t xml:space="preserve">al </w:t>
      </w:r>
      <w:r w:rsidRPr="00A35B54">
        <w:rPr>
          <w:rFonts w:ascii="Arial" w:hAnsi="Arial" w:cs="Arial"/>
          <w:sz w:val="28"/>
          <w:szCs w:val="28"/>
        </w:rPr>
        <w:t xml:space="preserve">care settings, providing support to fellow residents, helping with the maintenance of the institution or any </w:t>
      </w:r>
      <w:r w:rsidRPr="00A35B54">
        <w:rPr>
          <w:rFonts w:ascii="Arial" w:hAnsi="Arial" w:cs="Arial"/>
          <w:sz w:val="28"/>
          <w:szCs w:val="28"/>
        </w:rPr>
        <w:lastRenderedPageBreak/>
        <w:t xml:space="preserve">other role, this should not be considered as providing work and employment opportunities. </w:t>
      </w:r>
      <w:r w:rsidR="00C328A2" w:rsidRPr="00A35B54">
        <w:rPr>
          <w:rFonts w:ascii="Arial" w:hAnsi="Arial" w:cs="Arial"/>
          <w:sz w:val="28"/>
          <w:szCs w:val="28"/>
        </w:rPr>
        <w:t xml:space="preserve">In fact, it may amount to forced or compulsory labour. </w:t>
      </w:r>
      <w:r w:rsidRPr="00A35B54">
        <w:rPr>
          <w:rFonts w:ascii="Arial" w:hAnsi="Arial" w:cs="Arial"/>
          <w:sz w:val="28"/>
          <w:szCs w:val="28"/>
        </w:rPr>
        <w:t>There</w:t>
      </w:r>
      <w:r w:rsidR="000E1143" w:rsidRPr="00A35B54">
        <w:rPr>
          <w:rFonts w:ascii="Arial" w:hAnsi="Arial" w:cs="Arial"/>
          <w:sz w:val="28"/>
          <w:szCs w:val="28"/>
        </w:rPr>
        <w:t>fore</w:t>
      </w:r>
      <w:r w:rsidRPr="00A35B54">
        <w:rPr>
          <w:rFonts w:ascii="Arial" w:hAnsi="Arial" w:cs="Arial"/>
          <w:sz w:val="28"/>
          <w:szCs w:val="28"/>
        </w:rPr>
        <w:t xml:space="preserve">, any </w:t>
      </w:r>
      <w:r w:rsidRPr="00A35B54">
        <w:rPr>
          <w:rFonts w:ascii="Arial" w:hAnsi="Arial" w:cs="Arial"/>
          <w:b/>
          <w:bCs/>
          <w:sz w:val="28"/>
          <w:szCs w:val="28"/>
        </w:rPr>
        <w:t>deinstitutionalisation strategies and action plans should set out how disabled people will be supported to move into employment in the open labour market</w:t>
      </w:r>
      <w:r w:rsidRPr="00A35B54">
        <w:rPr>
          <w:rFonts w:ascii="Arial" w:hAnsi="Arial" w:cs="Arial"/>
          <w:sz w:val="28"/>
          <w:szCs w:val="28"/>
        </w:rPr>
        <w:t xml:space="preserve"> after leaving the institution.</w:t>
      </w:r>
    </w:p>
    <w:p w14:paraId="3DE96869" w14:textId="5B0EE1E0" w:rsidR="00FB0D3A" w:rsidRPr="00A35B54" w:rsidRDefault="004B1292" w:rsidP="00C328A2">
      <w:pPr>
        <w:ind w:right="-52"/>
        <w:rPr>
          <w:rFonts w:ascii="Arial" w:hAnsi="Arial" w:cs="Arial"/>
          <w:b/>
          <w:bCs/>
          <w:color w:val="000000" w:themeColor="text1"/>
          <w:sz w:val="28"/>
          <w:szCs w:val="28"/>
        </w:rPr>
      </w:pPr>
      <w:r w:rsidRPr="00A35B54">
        <w:rPr>
          <w:rFonts w:ascii="Arial" w:hAnsi="Arial" w:cs="Arial"/>
          <w:b/>
          <w:bCs/>
          <w:sz w:val="28"/>
          <w:szCs w:val="28"/>
        </w:rPr>
        <w:t xml:space="preserve">3. Fair wages and </w:t>
      </w:r>
      <w:r w:rsidRPr="00A35B54">
        <w:rPr>
          <w:rFonts w:ascii="Arial" w:hAnsi="Arial" w:cs="Arial"/>
          <w:b/>
          <w:bCs/>
          <w:color w:val="000000" w:themeColor="text1"/>
          <w:sz w:val="28"/>
          <w:szCs w:val="28"/>
        </w:rPr>
        <w:t>working conditions</w:t>
      </w:r>
    </w:p>
    <w:p w14:paraId="51CE6290" w14:textId="58779DDD" w:rsidR="00FB0D3A" w:rsidRPr="00A35B54" w:rsidRDefault="00C9349D"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In a </w:t>
      </w:r>
      <w:r w:rsidR="00FB0D3A" w:rsidRPr="00A35B54">
        <w:rPr>
          <w:rFonts w:ascii="Arial" w:hAnsi="Arial" w:cs="Arial"/>
          <w:color w:val="000000" w:themeColor="text1"/>
          <w:sz w:val="28"/>
          <w:szCs w:val="28"/>
        </w:rPr>
        <w:t>recent survey</w:t>
      </w:r>
      <w:r w:rsidR="000E1143" w:rsidRPr="00A35B54">
        <w:rPr>
          <w:rStyle w:val="FootnoteReference"/>
          <w:rFonts w:ascii="Arial" w:hAnsi="Arial" w:cs="Arial"/>
          <w:color w:val="000000" w:themeColor="text1"/>
          <w:sz w:val="28"/>
          <w:szCs w:val="28"/>
        </w:rPr>
        <w:footnoteReference w:id="6"/>
      </w:r>
      <w:r w:rsidR="00FB0D3A" w:rsidRPr="00A35B54">
        <w:rPr>
          <w:rFonts w:ascii="Arial" w:hAnsi="Arial" w:cs="Arial"/>
          <w:color w:val="000000" w:themeColor="text1"/>
          <w:sz w:val="28"/>
          <w:szCs w:val="28"/>
        </w:rPr>
        <w:t xml:space="preserve"> among members of </w:t>
      </w:r>
      <w:r w:rsidR="000E1143" w:rsidRPr="00A35B54">
        <w:rPr>
          <w:rFonts w:ascii="Arial" w:hAnsi="Arial" w:cs="Arial"/>
          <w:color w:val="000000" w:themeColor="text1"/>
          <w:sz w:val="28"/>
          <w:szCs w:val="28"/>
        </w:rPr>
        <w:t>ENIL</w:t>
      </w:r>
      <w:r w:rsidRPr="00A35B54">
        <w:rPr>
          <w:rFonts w:ascii="Arial" w:hAnsi="Arial" w:cs="Arial"/>
          <w:color w:val="000000" w:themeColor="text1"/>
          <w:sz w:val="28"/>
          <w:szCs w:val="28"/>
        </w:rPr>
        <w:t xml:space="preserve">, </w:t>
      </w:r>
      <w:r w:rsidR="00FB0D3A" w:rsidRPr="00A35B54">
        <w:rPr>
          <w:rFonts w:ascii="Arial" w:hAnsi="Arial" w:cs="Arial"/>
          <w:color w:val="000000" w:themeColor="text1"/>
          <w:sz w:val="28"/>
          <w:szCs w:val="28"/>
        </w:rPr>
        <w:t xml:space="preserve">96% of the respondents described access of disabled people to the </w:t>
      </w:r>
      <w:r w:rsidRPr="00A35B54">
        <w:rPr>
          <w:rFonts w:ascii="Arial" w:hAnsi="Arial" w:cs="Arial"/>
          <w:color w:val="000000" w:themeColor="text1"/>
          <w:sz w:val="28"/>
          <w:szCs w:val="28"/>
        </w:rPr>
        <w:t>mainstream</w:t>
      </w:r>
      <w:r w:rsidR="00FB0D3A" w:rsidRPr="00A35B54">
        <w:rPr>
          <w:rFonts w:ascii="Arial" w:hAnsi="Arial" w:cs="Arial"/>
          <w:color w:val="000000" w:themeColor="text1"/>
          <w:sz w:val="28"/>
          <w:szCs w:val="28"/>
        </w:rPr>
        <w:t xml:space="preserve"> labour market as inadequate or requiring improvement. Responden</w:t>
      </w:r>
      <w:r w:rsidRPr="00A35B54">
        <w:rPr>
          <w:rFonts w:ascii="Arial" w:hAnsi="Arial" w:cs="Arial"/>
          <w:color w:val="000000" w:themeColor="text1"/>
          <w:sz w:val="28"/>
          <w:szCs w:val="28"/>
        </w:rPr>
        <w:t>t</w:t>
      </w:r>
      <w:r w:rsidR="00FB0D3A" w:rsidRPr="00A35B54">
        <w:rPr>
          <w:rFonts w:ascii="Arial" w:hAnsi="Arial" w:cs="Arial"/>
          <w:color w:val="000000" w:themeColor="text1"/>
          <w:sz w:val="28"/>
          <w:szCs w:val="28"/>
        </w:rPr>
        <w:t xml:space="preserve">s from all </w:t>
      </w:r>
      <w:r w:rsidRPr="00A35B54">
        <w:rPr>
          <w:rFonts w:ascii="Arial" w:hAnsi="Arial" w:cs="Arial"/>
          <w:color w:val="000000" w:themeColor="text1"/>
          <w:sz w:val="28"/>
          <w:szCs w:val="28"/>
        </w:rPr>
        <w:t xml:space="preserve">European </w:t>
      </w:r>
      <w:r w:rsidR="00FB0D3A" w:rsidRPr="00A35B54">
        <w:rPr>
          <w:rFonts w:ascii="Arial" w:hAnsi="Arial" w:cs="Arial"/>
          <w:color w:val="000000" w:themeColor="text1"/>
          <w:sz w:val="28"/>
          <w:szCs w:val="28"/>
        </w:rPr>
        <w:t>countries reported that  their country had legislation to protect disabled people in the labour market</w:t>
      </w:r>
      <w:r w:rsidRPr="00A35B54">
        <w:rPr>
          <w:rFonts w:ascii="Arial" w:hAnsi="Arial" w:cs="Arial"/>
          <w:color w:val="000000" w:themeColor="text1"/>
          <w:sz w:val="28"/>
          <w:szCs w:val="28"/>
        </w:rPr>
        <w:t>;</w:t>
      </w:r>
      <w:r w:rsidR="00FB0D3A" w:rsidRPr="00A35B54">
        <w:rPr>
          <w:rFonts w:ascii="Arial" w:hAnsi="Arial" w:cs="Arial"/>
          <w:color w:val="000000" w:themeColor="text1"/>
          <w:sz w:val="28"/>
          <w:szCs w:val="28"/>
        </w:rPr>
        <w:t xml:space="preserve"> however only 10% describe</w:t>
      </w:r>
      <w:r w:rsidR="00C328A2" w:rsidRPr="00A35B54">
        <w:rPr>
          <w:rFonts w:ascii="Arial" w:hAnsi="Arial" w:cs="Arial"/>
          <w:color w:val="000000" w:themeColor="text1"/>
          <w:sz w:val="28"/>
          <w:szCs w:val="28"/>
        </w:rPr>
        <w:t>d</w:t>
      </w:r>
      <w:r w:rsidR="00FB0D3A" w:rsidRPr="00A35B54">
        <w:rPr>
          <w:rFonts w:ascii="Arial" w:hAnsi="Arial" w:cs="Arial"/>
          <w:color w:val="000000" w:themeColor="text1"/>
          <w:sz w:val="28"/>
          <w:szCs w:val="28"/>
        </w:rPr>
        <w:t xml:space="preserve"> this legislation as ad</w:t>
      </w:r>
      <w:r w:rsidRPr="00A35B54">
        <w:rPr>
          <w:rFonts w:ascii="Arial" w:hAnsi="Arial" w:cs="Arial"/>
          <w:color w:val="000000" w:themeColor="text1"/>
          <w:sz w:val="28"/>
          <w:szCs w:val="28"/>
        </w:rPr>
        <w:t>eq</w:t>
      </w:r>
      <w:r w:rsidR="00FB0D3A" w:rsidRPr="00A35B54">
        <w:rPr>
          <w:rFonts w:ascii="Arial" w:hAnsi="Arial" w:cs="Arial"/>
          <w:color w:val="000000" w:themeColor="text1"/>
          <w:sz w:val="28"/>
          <w:szCs w:val="28"/>
        </w:rPr>
        <w:t>uate to protect against discrimination</w:t>
      </w:r>
      <w:r w:rsidRPr="00A35B54">
        <w:rPr>
          <w:rFonts w:ascii="Arial" w:hAnsi="Arial" w:cs="Arial"/>
          <w:color w:val="000000" w:themeColor="text1"/>
          <w:sz w:val="28"/>
          <w:szCs w:val="28"/>
        </w:rPr>
        <w:t xml:space="preserve">. </w:t>
      </w:r>
      <w:r w:rsidR="00FB0D3A" w:rsidRPr="00A35B54">
        <w:rPr>
          <w:rFonts w:ascii="Arial" w:hAnsi="Arial" w:cs="Arial"/>
          <w:color w:val="000000" w:themeColor="text1"/>
          <w:sz w:val="28"/>
          <w:szCs w:val="28"/>
        </w:rPr>
        <w:t>Furthermore, 18% of the  people replying to the survey were not aware of the existence of the legislation in their country</w:t>
      </w:r>
      <w:r w:rsidRPr="00A35B54">
        <w:rPr>
          <w:rFonts w:ascii="Arial" w:hAnsi="Arial" w:cs="Arial"/>
          <w:color w:val="000000" w:themeColor="text1"/>
          <w:sz w:val="28"/>
          <w:szCs w:val="28"/>
        </w:rPr>
        <w:t>.</w:t>
      </w:r>
    </w:p>
    <w:p w14:paraId="4CFC0888" w14:textId="45DB903E" w:rsidR="00D01F48" w:rsidRPr="00A35B54" w:rsidRDefault="00C9349D"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Discrimination of disabled people in the labour market manifests itself in many ways. Commonly, disabled people are paid below the</w:t>
      </w:r>
      <w:r w:rsidR="00C328A2" w:rsidRPr="00A35B54">
        <w:rPr>
          <w:rFonts w:ascii="Arial" w:hAnsi="Arial" w:cs="Arial"/>
          <w:color w:val="000000" w:themeColor="text1"/>
          <w:sz w:val="28"/>
          <w:szCs w:val="28"/>
        </w:rPr>
        <w:t xml:space="preserve"> national</w:t>
      </w:r>
      <w:r w:rsidRPr="00A35B54">
        <w:rPr>
          <w:rFonts w:ascii="Arial" w:hAnsi="Arial" w:cs="Arial"/>
          <w:color w:val="000000" w:themeColor="text1"/>
          <w:sz w:val="28"/>
          <w:szCs w:val="28"/>
        </w:rPr>
        <w:t xml:space="preserve"> minimum wage, are given </w:t>
      </w:r>
      <w:r w:rsidR="00C328A2" w:rsidRPr="00A35B54">
        <w:rPr>
          <w:rFonts w:ascii="Arial" w:hAnsi="Arial" w:cs="Arial"/>
          <w:color w:val="000000" w:themeColor="text1"/>
          <w:sz w:val="28"/>
          <w:szCs w:val="28"/>
        </w:rPr>
        <w:t>‘</w:t>
      </w:r>
      <w:r w:rsidRPr="00A35B54">
        <w:rPr>
          <w:rFonts w:ascii="Arial" w:hAnsi="Arial" w:cs="Arial"/>
          <w:color w:val="000000" w:themeColor="text1"/>
          <w:sz w:val="28"/>
          <w:szCs w:val="28"/>
        </w:rPr>
        <w:t>pocket money</w:t>
      </w:r>
      <w:r w:rsidR="00C328A2" w:rsidRPr="00A35B54">
        <w:rPr>
          <w:rFonts w:ascii="Arial" w:hAnsi="Arial" w:cs="Arial"/>
          <w:color w:val="000000" w:themeColor="text1"/>
          <w:sz w:val="28"/>
          <w:szCs w:val="28"/>
        </w:rPr>
        <w:t>’ instead of a salary,</w:t>
      </w:r>
      <w:r w:rsidRPr="00A35B54">
        <w:rPr>
          <w:rFonts w:ascii="Arial" w:hAnsi="Arial" w:cs="Arial"/>
          <w:color w:val="000000" w:themeColor="text1"/>
          <w:sz w:val="28"/>
          <w:szCs w:val="28"/>
        </w:rPr>
        <w:t xml:space="preserve"> or are not paid at all. In </w:t>
      </w:r>
      <w:r w:rsidR="001D73CE" w:rsidRPr="00A35B54">
        <w:rPr>
          <w:rFonts w:ascii="Arial" w:hAnsi="Arial" w:cs="Arial"/>
          <w:color w:val="000000" w:themeColor="text1"/>
          <w:sz w:val="28"/>
          <w:szCs w:val="28"/>
        </w:rPr>
        <w:t>at least one</w:t>
      </w:r>
      <w:r w:rsidRPr="00A35B54">
        <w:rPr>
          <w:rFonts w:ascii="Arial" w:hAnsi="Arial" w:cs="Arial"/>
          <w:color w:val="000000" w:themeColor="text1"/>
          <w:sz w:val="28"/>
          <w:szCs w:val="28"/>
        </w:rPr>
        <w:t xml:space="preserve"> countr</w:t>
      </w:r>
      <w:r w:rsidR="001D73CE" w:rsidRPr="00A35B54">
        <w:rPr>
          <w:rFonts w:ascii="Arial" w:hAnsi="Arial" w:cs="Arial"/>
          <w:color w:val="000000" w:themeColor="text1"/>
          <w:sz w:val="28"/>
          <w:szCs w:val="28"/>
        </w:rPr>
        <w:t>y</w:t>
      </w:r>
      <w:r w:rsidRPr="00A35B54">
        <w:rPr>
          <w:rFonts w:ascii="Arial" w:hAnsi="Arial" w:cs="Arial"/>
          <w:color w:val="000000" w:themeColor="text1"/>
          <w:sz w:val="28"/>
          <w:szCs w:val="28"/>
        </w:rPr>
        <w:t>, in the context of deinstitutionalisation, disabled people (mainly people with psycho-social disabilities)</w:t>
      </w:r>
      <w:r w:rsidR="00D01F48" w:rsidRPr="00A35B54">
        <w:rPr>
          <w:rFonts w:ascii="Arial" w:hAnsi="Arial" w:cs="Arial"/>
          <w:color w:val="000000" w:themeColor="text1"/>
          <w:sz w:val="28"/>
          <w:szCs w:val="28"/>
        </w:rPr>
        <w:t xml:space="preserve"> are placed in adult foster care in </w:t>
      </w:r>
      <w:r w:rsidR="001D73CE" w:rsidRPr="00A35B54">
        <w:rPr>
          <w:rFonts w:ascii="Arial" w:hAnsi="Arial" w:cs="Arial"/>
          <w:color w:val="000000" w:themeColor="text1"/>
          <w:sz w:val="28"/>
          <w:szCs w:val="28"/>
        </w:rPr>
        <w:t>rural areas</w:t>
      </w:r>
      <w:r w:rsidR="00D01F48" w:rsidRPr="00A35B54">
        <w:rPr>
          <w:rFonts w:ascii="Arial" w:hAnsi="Arial" w:cs="Arial"/>
          <w:color w:val="000000" w:themeColor="text1"/>
          <w:sz w:val="28"/>
          <w:szCs w:val="28"/>
        </w:rPr>
        <w:t xml:space="preserve">, where they are then made </w:t>
      </w:r>
      <w:r w:rsidR="00D01F48" w:rsidRPr="00A35B54">
        <w:rPr>
          <w:rFonts w:ascii="Arial" w:hAnsi="Arial" w:cs="Arial"/>
          <w:color w:val="000000" w:themeColor="text1"/>
          <w:sz w:val="28"/>
          <w:szCs w:val="28"/>
        </w:rPr>
        <w:lastRenderedPageBreak/>
        <w:t xml:space="preserve">to </w:t>
      </w:r>
      <w:r w:rsidR="001D73CE" w:rsidRPr="00A35B54">
        <w:rPr>
          <w:rFonts w:ascii="Arial" w:hAnsi="Arial" w:cs="Arial"/>
          <w:color w:val="000000" w:themeColor="text1"/>
          <w:sz w:val="28"/>
          <w:szCs w:val="28"/>
        </w:rPr>
        <w:t>work by their foster families. This is presented as part of their “rehabilitation”</w:t>
      </w:r>
      <w:r w:rsidR="001D73CE" w:rsidRPr="00A35B54">
        <w:rPr>
          <w:rStyle w:val="FootnoteReference"/>
          <w:rFonts w:ascii="Arial" w:hAnsi="Arial" w:cs="Arial"/>
          <w:color w:val="000000" w:themeColor="text1"/>
          <w:sz w:val="28"/>
          <w:szCs w:val="28"/>
        </w:rPr>
        <w:footnoteReference w:id="7"/>
      </w:r>
      <w:r w:rsidR="00D01F48" w:rsidRPr="00A35B54">
        <w:rPr>
          <w:rFonts w:ascii="Arial" w:hAnsi="Arial" w:cs="Arial"/>
          <w:color w:val="000000" w:themeColor="text1"/>
          <w:sz w:val="28"/>
          <w:szCs w:val="28"/>
        </w:rPr>
        <w:t xml:space="preserve">. The </w:t>
      </w:r>
      <w:r w:rsidR="00C328A2" w:rsidRPr="00A35B54">
        <w:rPr>
          <w:rFonts w:ascii="Arial" w:hAnsi="Arial" w:cs="Arial"/>
          <w:color w:val="000000" w:themeColor="text1"/>
          <w:sz w:val="28"/>
          <w:szCs w:val="28"/>
        </w:rPr>
        <w:t xml:space="preserve">General </w:t>
      </w:r>
      <w:r w:rsidR="00D01F48" w:rsidRPr="00A35B54">
        <w:rPr>
          <w:rFonts w:ascii="Arial" w:hAnsi="Arial" w:cs="Arial"/>
          <w:color w:val="000000" w:themeColor="text1"/>
          <w:sz w:val="28"/>
          <w:szCs w:val="28"/>
        </w:rPr>
        <w:t xml:space="preserve">Comment should make it clear that </w:t>
      </w:r>
      <w:r w:rsidR="00D01F48" w:rsidRPr="00A35B54">
        <w:rPr>
          <w:rFonts w:ascii="Arial" w:hAnsi="Arial" w:cs="Arial"/>
          <w:b/>
          <w:bCs/>
          <w:color w:val="000000" w:themeColor="text1"/>
          <w:sz w:val="28"/>
          <w:szCs w:val="28"/>
        </w:rPr>
        <w:t>such practices should be strictly prohibited</w:t>
      </w:r>
      <w:r w:rsidR="000E1143" w:rsidRPr="00A35B54">
        <w:rPr>
          <w:rFonts w:ascii="Arial" w:hAnsi="Arial" w:cs="Arial"/>
          <w:b/>
          <w:bCs/>
          <w:color w:val="000000" w:themeColor="text1"/>
          <w:sz w:val="28"/>
          <w:szCs w:val="28"/>
        </w:rPr>
        <w:t xml:space="preserve"> and sanctioned</w:t>
      </w:r>
      <w:r w:rsidR="00D01F48" w:rsidRPr="00A35B54">
        <w:rPr>
          <w:rFonts w:ascii="Arial" w:hAnsi="Arial" w:cs="Arial"/>
          <w:b/>
          <w:bCs/>
          <w:color w:val="000000" w:themeColor="text1"/>
          <w:sz w:val="28"/>
          <w:szCs w:val="28"/>
        </w:rPr>
        <w:t xml:space="preserve">, and that States Parties must put </w:t>
      </w:r>
      <w:r w:rsidR="001D73CE" w:rsidRPr="00A35B54">
        <w:rPr>
          <w:rFonts w:ascii="Arial" w:hAnsi="Arial" w:cs="Arial"/>
          <w:b/>
          <w:bCs/>
          <w:color w:val="000000" w:themeColor="text1"/>
          <w:sz w:val="28"/>
          <w:szCs w:val="28"/>
        </w:rPr>
        <w:t xml:space="preserve">monitoring </w:t>
      </w:r>
      <w:r w:rsidR="00D01F48" w:rsidRPr="00A35B54">
        <w:rPr>
          <w:rFonts w:ascii="Arial" w:hAnsi="Arial" w:cs="Arial"/>
          <w:b/>
          <w:bCs/>
          <w:color w:val="000000" w:themeColor="text1"/>
          <w:sz w:val="28"/>
          <w:szCs w:val="28"/>
        </w:rPr>
        <w:t xml:space="preserve">systems in place to </w:t>
      </w:r>
      <w:r w:rsidR="001D73CE" w:rsidRPr="00A35B54">
        <w:rPr>
          <w:rFonts w:ascii="Arial" w:hAnsi="Arial" w:cs="Arial"/>
          <w:b/>
          <w:bCs/>
          <w:color w:val="000000" w:themeColor="text1"/>
          <w:sz w:val="28"/>
          <w:szCs w:val="28"/>
        </w:rPr>
        <w:t>ensure</w:t>
      </w:r>
      <w:r w:rsidR="00D01F48" w:rsidRPr="00A35B54">
        <w:rPr>
          <w:rFonts w:ascii="Arial" w:hAnsi="Arial" w:cs="Arial"/>
          <w:b/>
          <w:bCs/>
          <w:color w:val="000000" w:themeColor="text1"/>
          <w:sz w:val="28"/>
          <w:szCs w:val="28"/>
        </w:rPr>
        <w:t xml:space="preserve"> that disabled people are not exploited in exchange for being provided with support or housing</w:t>
      </w:r>
      <w:r w:rsidR="00D01F48" w:rsidRPr="00A35B54">
        <w:rPr>
          <w:rFonts w:ascii="Arial" w:hAnsi="Arial" w:cs="Arial"/>
          <w:color w:val="000000" w:themeColor="text1"/>
          <w:sz w:val="28"/>
          <w:szCs w:val="28"/>
        </w:rPr>
        <w:t>.</w:t>
      </w:r>
    </w:p>
    <w:p w14:paraId="498C2825" w14:textId="282DDA55" w:rsidR="00D519B5" w:rsidRPr="00A35B54" w:rsidRDefault="00D01F48" w:rsidP="00A35B54">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Where people under guardianship are employed, they may also lack any rights as employees and are often given ‘pocket money’ instead of a salary. Sometimes, such initiatives are presented as good practices, because they provide disabled people with employment. It is important that the General Comment makes clear </w:t>
      </w:r>
      <w:r w:rsidRPr="00A35B54">
        <w:rPr>
          <w:rFonts w:ascii="Arial" w:hAnsi="Arial" w:cs="Arial"/>
          <w:b/>
          <w:bCs/>
          <w:color w:val="000000" w:themeColor="text1"/>
          <w:sz w:val="28"/>
          <w:szCs w:val="28"/>
        </w:rPr>
        <w:t xml:space="preserve">the link between Article 12 and Article 27, and that alongside initiatives to promote work and employment, States Parties </w:t>
      </w:r>
      <w:r w:rsidR="00C328A2" w:rsidRPr="00A35B54">
        <w:rPr>
          <w:rFonts w:ascii="Arial" w:hAnsi="Arial" w:cs="Arial"/>
          <w:b/>
          <w:bCs/>
          <w:color w:val="000000" w:themeColor="text1"/>
          <w:sz w:val="28"/>
          <w:szCs w:val="28"/>
        </w:rPr>
        <w:t xml:space="preserve">must </w:t>
      </w:r>
      <w:r w:rsidRPr="00A35B54">
        <w:rPr>
          <w:rFonts w:ascii="Arial" w:hAnsi="Arial" w:cs="Arial"/>
          <w:b/>
          <w:bCs/>
          <w:color w:val="000000" w:themeColor="text1"/>
          <w:sz w:val="28"/>
          <w:szCs w:val="28"/>
        </w:rPr>
        <w:t>work to abolish guardianship laws</w:t>
      </w:r>
      <w:r w:rsidRPr="00A35B54">
        <w:rPr>
          <w:rFonts w:ascii="Arial" w:hAnsi="Arial" w:cs="Arial"/>
          <w:color w:val="000000" w:themeColor="text1"/>
          <w:sz w:val="28"/>
          <w:szCs w:val="28"/>
        </w:rPr>
        <w:t xml:space="preserve"> </w:t>
      </w:r>
      <w:r w:rsidRPr="00A35B54">
        <w:rPr>
          <w:rFonts w:ascii="Arial" w:hAnsi="Arial" w:cs="Arial"/>
          <w:b/>
          <w:bCs/>
          <w:color w:val="000000" w:themeColor="text1"/>
          <w:sz w:val="28"/>
          <w:szCs w:val="28"/>
        </w:rPr>
        <w:t>and put in place supported decision making</w:t>
      </w:r>
      <w:r w:rsidRPr="00A35B54">
        <w:rPr>
          <w:rFonts w:ascii="Arial" w:hAnsi="Arial" w:cs="Arial"/>
          <w:color w:val="000000" w:themeColor="text1"/>
          <w:sz w:val="28"/>
          <w:szCs w:val="28"/>
        </w:rPr>
        <w:t xml:space="preserve">. </w:t>
      </w:r>
      <w:r w:rsidR="001D73CE" w:rsidRPr="00A35B54">
        <w:rPr>
          <w:rFonts w:ascii="Arial" w:hAnsi="Arial" w:cs="Arial"/>
          <w:color w:val="000000" w:themeColor="text1"/>
          <w:sz w:val="28"/>
          <w:szCs w:val="28"/>
        </w:rPr>
        <w:t>The right</w:t>
      </w:r>
      <w:r w:rsidRPr="00A35B54">
        <w:rPr>
          <w:rFonts w:ascii="Arial" w:hAnsi="Arial" w:cs="Arial"/>
          <w:color w:val="000000" w:themeColor="text1"/>
          <w:sz w:val="28"/>
          <w:szCs w:val="28"/>
        </w:rPr>
        <w:t xml:space="preserve"> to legal capacity is key to ensuring that disabled people are not discriminated in employment, are paid fair wages and provided with decent working conditions, among other.</w:t>
      </w:r>
    </w:p>
    <w:p w14:paraId="5F26FE72" w14:textId="3556446F" w:rsidR="00593A68" w:rsidRPr="00A35B54" w:rsidRDefault="00D01F48" w:rsidP="00C328A2">
      <w:pPr>
        <w:ind w:right="-52"/>
        <w:rPr>
          <w:rFonts w:ascii="Arial" w:hAnsi="Arial" w:cs="Arial"/>
          <w:b/>
          <w:bCs/>
          <w:color w:val="000000" w:themeColor="text1"/>
          <w:sz w:val="28"/>
          <w:szCs w:val="28"/>
        </w:rPr>
      </w:pPr>
      <w:r w:rsidRPr="00A35B54">
        <w:rPr>
          <w:rFonts w:ascii="Arial" w:hAnsi="Arial" w:cs="Arial"/>
          <w:b/>
          <w:bCs/>
          <w:color w:val="000000" w:themeColor="text1"/>
          <w:sz w:val="28"/>
          <w:szCs w:val="28"/>
        </w:rPr>
        <w:t xml:space="preserve">4. </w:t>
      </w:r>
      <w:r w:rsidR="00593A68" w:rsidRPr="00A35B54">
        <w:rPr>
          <w:rFonts w:ascii="Arial" w:hAnsi="Arial" w:cs="Arial"/>
          <w:b/>
          <w:bCs/>
          <w:color w:val="000000" w:themeColor="text1"/>
          <w:sz w:val="28"/>
          <w:szCs w:val="28"/>
        </w:rPr>
        <w:t>Disabled people as employers</w:t>
      </w:r>
    </w:p>
    <w:p w14:paraId="0FBB439D" w14:textId="678788F4" w:rsidR="00B035BA" w:rsidRPr="00A35B54" w:rsidRDefault="00593A68"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Disabled people often act as employers, whe</w:t>
      </w:r>
      <w:r w:rsidR="00C328A2" w:rsidRPr="00A35B54">
        <w:rPr>
          <w:rFonts w:ascii="Arial" w:hAnsi="Arial" w:cs="Arial"/>
          <w:color w:val="000000" w:themeColor="text1"/>
          <w:sz w:val="28"/>
          <w:szCs w:val="28"/>
        </w:rPr>
        <w:t>n</w:t>
      </w:r>
      <w:r w:rsidRPr="00A35B54">
        <w:rPr>
          <w:rFonts w:ascii="Arial" w:hAnsi="Arial" w:cs="Arial"/>
          <w:color w:val="000000" w:themeColor="text1"/>
          <w:sz w:val="28"/>
          <w:szCs w:val="28"/>
        </w:rPr>
        <w:t xml:space="preserve"> they have access to personal budgets/direct payments and employ their own personal as</w:t>
      </w:r>
      <w:r w:rsidRPr="00A35B54">
        <w:rPr>
          <w:rFonts w:ascii="Arial" w:hAnsi="Arial" w:cs="Arial"/>
          <w:color w:val="000000" w:themeColor="text1"/>
          <w:sz w:val="28"/>
          <w:szCs w:val="28"/>
        </w:rPr>
        <w:lastRenderedPageBreak/>
        <w:t xml:space="preserve">sistants. Being able to employ their PAs provides many disabled people with the opportunity to live independently and to be included in the community. </w:t>
      </w:r>
    </w:p>
    <w:p w14:paraId="0E839C1A" w14:textId="31A48627" w:rsidR="000E1143" w:rsidRPr="00A35B54" w:rsidRDefault="000E1143" w:rsidP="00C328A2">
      <w:pPr>
        <w:ind w:right="-52"/>
        <w:jc w:val="both"/>
        <w:rPr>
          <w:rFonts w:ascii="Arial" w:hAnsi="Arial" w:cs="Arial"/>
          <w:color w:val="000000" w:themeColor="text1"/>
          <w:sz w:val="28"/>
          <w:szCs w:val="28"/>
        </w:rPr>
      </w:pPr>
      <w:r w:rsidRPr="00A35B54">
        <w:rPr>
          <w:rFonts w:ascii="Arial" w:eastAsia="Calibri" w:hAnsi="Arial" w:cs="Arial"/>
          <w:color w:val="000000" w:themeColor="text1"/>
          <w:sz w:val="28"/>
          <w:szCs w:val="28"/>
        </w:rPr>
        <w:t>A survey among ENIL members</w:t>
      </w:r>
      <w:r w:rsidR="001D73CE" w:rsidRPr="00A35B54">
        <w:rPr>
          <w:rStyle w:val="FootnoteReference"/>
          <w:rFonts w:ascii="Arial" w:eastAsia="Calibri" w:hAnsi="Arial" w:cs="Arial"/>
          <w:color w:val="000000" w:themeColor="text1"/>
          <w:sz w:val="28"/>
          <w:szCs w:val="28"/>
        </w:rPr>
        <w:footnoteReference w:id="8"/>
      </w:r>
      <w:r w:rsidRPr="00A35B54">
        <w:rPr>
          <w:rFonts w:ascii="Arial" w:eastAsia="Calibri" w:hAnsi="Arial" w:cs="Arial"/>
          <w:color w:val="000000" w:themeColor="text1"/>
          <w:sz w:val="28"/>
          <w:szCs w:val="28"/>
        </w:rPr>
        <w:t xml:space="preserve"> showed that disabled people identify fair working conditions as essential for the development of genuine community-based services, such as Personal Assistance.</w:t>
      </w:r>
    </w:p>
    <w:p w14:paraId="7FC7ADDB" w14:textId="7528AECB" w:rsidR="000E1143" w:rsidRPr="00A35B54" w:rsidRDefault="00593A68"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General Comment 5 should </w:t>
      </w:r>
      <w:r w:rsidRPr="00A35B54">
        <w:rPr>
          <w:rFonts w:ascii="Arial" w:hAnsi="Arial" w:cs="Arial"/>
          <w:b/>
          <w:bCs/>
          <w:color w:val="000000" w:themeColor="text1"/>
          <w:sz w:val="28"/>
          <w:szCs w:val="28"/>
        </w:rPr>
        <w:t>recognise the role of disabled people as employers</w:t>
      </w:r>
      <w:r w:rsidRPr="00A35B54">
        <w:rPr>
          <w:rFonts w:ascii="Arial" w:hAnsi="Arial" w:cs="Arial"/>
          <w:color w:val="000000" w:themeColor="text1"/>
          <w:sz w:val="28"/>
          <w:szCs w:val="28"/>
        </w:rPr>
        <w:t xml:space="preserve">, and should encourage States Parties to provide them with financial and other support </w:t>
      </w:r>
      <w:r w:rsidR="001D640A" w:rsidRPr="00A35B54">
        <w:rPr>
          <w:rFonts w:ascii="Arial" w:hAnsi="Arial" w:cs="Arial"/>
          <w:color w:val="000000" w:themeColor="text1"/>
          <w:sz w:val="28"/>
          <w:szCs w:val="28"/>
        </w:rPr>
        <w:t>in exercising this responsibility (</w:t>
      </w:r>
      <w:r w:rsidR="00827A81" w:rsidRPr="00A35B54">
        <w:rPr>
          <w:rFonts w:ascii="Arial" w:hAnsi="Arial" w:cs="Arial"/>
          <w:color w:val="000000" w:themeColor="text1"/>
          <w:sz w:val="28"/>
          <w:szCs w:val="28"/>
        </w:rPr>
        <w:t>such as training on how to employ PAs,</w:t>
      </w:r>
      <w:r w:rsidR="001D640A" w:rsidRPr="00A35B54">
        <w:rPr>
          <w:rFonts w:ascii="Arial" w:hAnsi="Arial" w:cs="Arial"/>
          <w:color w:val="000000" w:themeColor="text1"/>
          <w:sz w:val="28"/>
          <w:szCs w:val="28"/>
        </w:rPr>
        <w:t xml:space="preserve"> accessing additional funding for dealing with administration</w:t>
      </w:r>
      <w:r w:rsidR="00827A81" w:rsidRPr="00A35B54">
        <w:rPr>
          <w:rFonts w:ascii="Arial" w:hAnsi="Arial" w:cs="Arial"/>
          <w:color w:val="000000" w:themeColor="text1"/>
          <w:sz w:val="28"/>
          <w:szCs w:val="28"/>
        </w:rPr>
        <w:t xml:space="preserve"> etc.</w:t>
      </w:r>
      <w:r w:rsidR="001D640A" w:rsidRPr="00A35B54">
        <w:rPr>
          <w:rFonts w:ascii="Arial" w:hAnsi="Arial" w:cs="Arial"/>
          <w:color w:val="000000" w:themeColor="text1"/>
          <w:sz w:val="28"/>
          <w:szCs w:val="28"/>
        </w:rPr>
        <w:t>). It should also support DPOs and user cooperatives, as means of providing peer support and other forms of support to disabled people that manage their assistance. Moreover, adequately funded access to personal assistance is key to disabled people’s ability to provide decent working conditions to their assistants, rather than having to employ their family members and look for assistants willing to work for a minimum wage.</w:t>
      </w:r>
    </w:p>
    <w:p w14:paraId="281A9B3D" w14:textId="19D40E32" w:rsidR="001D640A" w:rsidRPr="00A35B54" w:rsidRDefault="001D640A"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States Parties should also be encouraged to provide supported decision making to those who cannot employ their assistants without additional support. </w:t>
      </w:r>
    </w:p>
    <w:p w14:paraId="66F92FEA" w14:textId="263E111F" w:rsidR="001D640A" w:rsidRPr="00A35B54" w:rsidRDefault="001D640A" w:rsidP="00C328A2">
      <w:pPr>
        <w:ind w:right="-52"/>
        <w:rPr>
          <w:rFonts w:ascii="Arial" w:hAnsi="Arial" w:cs="Arial"/>
          <w:b/>
          <w:bCs/>
          <w:color w:val="000000" w:themeColor="text1"/>
          <w:sz w:val="28"/>
          <w:szCs w:val="28"/>
        </w:rPr>
      </w:pPr>
      <w:r w:rsidRPr="00A35B54">
        <w:rPr>
          <w:rFonts w:ascii="Arial" w:hAnsi="Arial" w:cs="Arial"/>
          <w:b/>
          <w:bCs/>
          <w:color w:val="000000" w:themeColor="text1"/>
          <w:sz w:val="28"/>
          <w:szCs w:val="28"/>
        </w:rPr>
        <w:t>5. Sufficient flexibility in social support and benefits</w:t>
      </w:r>
    </w:p>
    <w:p w14:paraId="39B89AFE" w14:textId="2F5810EA" w:rsidR="002815E8" w:rsidRPr="00A35B54" w:rsidRDefault="002815E8"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lastRenderedPageBreak/>
        <w:t>Conclusions and recommendations of the Committee’s inquiry into implementation of Article 19, Article 27 and Article 28 (adequate standard of living and social protection) in the United Kingdom</w:t>
      </w:r>
      <w:r w:rsidR="00C328A2" w:rsidRPr="00A35B54">
        <w:rPr>
          <w:rStyle w:val="FootnoteReference"/>
          <w:rFonts w:ascii="Arial" w:hAnsi="Arial" w:cs="Arial"/>
          <w:color w:val="000000" w:themeColor="text1"/>
          <w:sz w:val="28"/>
          <w:szCs w:val="28"/>
        </w:rPr>
        <w:footnoteReference w:id="9"/>
      </w:r>
      <w:r w:rsidRPr="00A35B54">
        <w:rPr>
          <w:rFonts w:ascii="Arial" w:hAnsi="Arial" w:cs="Arial"/>
          <w:color w:val="000000" w:themeColor="text1"/>
          <w:sz w:val="28"/>
          <w:szCs w:val="28"/>
        </w:rPr>
        <w:t xml:space="preserve">, under article 6 of the Optional Protocol, should be used to draw up recommendations on how </w:t>
      </w:r>
      <w:r w:rsidRPr="00A35B54">
        <w:rPr>
          <w:rFonts w:ascii="Arial" w:hAnsi="Arial" w:cs="Arial"/>
          <w:i/>
          <w:iCs/>
          <w:color w:val="000000" w:themeColor="text1"/>
          <w:sz w:val="28"/>
          <w:szCs w:val="28"/>
        </w:rPr>
        <w:t>not</w:t>
      </w:r>
      <w:r w:rsidRPr="00A35B54">
        <w:rPr>
          <w:rFonts w:ascii="Arial" w:hAnsi="Arial" w:cs="Arial"/>
          <w:color w:val="000000" w:themeColor="text1"/>
          <w:sz w:val="28"/>
          <w:szCs w:val="28"/>
        </w:rPr>
        <w:t xml:space="preserve"> to promote access to work and employment. In this case, the </w:t>
      </w:r>
      <w:r w:rsidR="00C328A2" w:rsidRPr="00A35B54">
        <w:rPr>
          <w:rFonts w:ascii="Arial" w:hAnsi="Arial" w:cs="Arial"/>
          <w:color w:val="000000" w:themeColor="text1"/>
          <w:sz w:val="28"/>
          <w:szCs w:val="28"/>
        </w:rPr>
        <w:t>State Party</w:t>
      </w:r>
      <w:r w:rsidRPr="00A35B54">
        <w:rPr>
          <w:rFonts w:ascii="Arial" w:hAnsi="Arial" w:cs="Arial"/>
          <w:color w:val="000000" w:themeColor="text1"/>
          <w:sz w:val="28"/>
          <w:szCs w:val="28"/>
        </w:rPr>
        <w:t xml:space="preserve"> promote</w:t>
      </w:r>
      <w:r w:rsidR="00827A81" w:rsidRPr="00A35B54">
        <w:rPr>
          <w:rFonts w:ascii="Arial" w:hAnsi="Arial" w:cs="Arial"/>
          <w:color w:val="000000" w:themeColor="text1"/>
          <w:sz w:val="28"/>
          <w:szCs w:val="28"/>
        </w:rPr>
        <w:t>d</w:t>
      </w:r>
      <w:r w:rsidRPr="00A35B54">
        <w:rPr>
          <w:rFonts w:ascii="Arial" w:hAnsi="Arial" w:cs="Arial"/>
          <w:color w:val="000000" w:themeColor="text1"/>
          <w:sz w:val="28"/>
          <w:szCs w:val="28"/>
        </w:rPr>
        <w:t xml:space="preserve"> reforms to decrease “dependency on benefits” among disabled people and move people into work. This was done without any awareness of disability rights and specific needs of disabled people, especially people with intellectual and psycho-social disabilities. Combined with </w:t>
      </w:r>
      <w:r w:rsidR="00827A81" w:rsidRPr="00A35B54">
        <w:rPr>
          <w:rFonts w:ascii="Arial" w:hAnsi="Arial" w:cs="Arial"/>
          <w:color w:val="000000" w:themeColor="text1"/>
          <w:sz w:val="28"/>
          <w:szCs w:val="28"/>
        </w:rPr>
        <w:t xml:space="preserve">the </w:t>
      </w:r>
      <w:r w:rsidR="00C328A2" w:rsidRPr="00A35B54">
        <w:rPr>
          <w:rFonts w:ascii="Arial" w:hAnsi="Arial" w:cs="Arial"/>
          <w:color w:val="000000" w:themeColor="text1"/>
          <w:sz w:val="28"/>
          <w:szCs w:val="28"/>
        </w:rPr>
        <w:t>State Party’s</w:t>
      </w:r>
      <w:r w:rsidRPr="00A35B54">
        <w:rPr>
          <w:rFonts w:ascii="Arial" w:hAnsi="Arial" w:cs="Arial"/>
          <w:color w:val="000000" w:themeColor="text1"/>
          <w:sz w:val="28"/>
          <w:szCs w:val="28"/>
        </w:rPr>
        <w:t xml:space="preserve"> actions in relation to Articles 19 and 28, this has led to grave and system</w:t>
      </w:r>
      <w:r w:rsidR="00C328A2" w:rsidRPr="00A35B54">
        <w:rPr>
          <w:rFonts w:ascii="Arial" w:hAnsi="Arial" w:cs="Arial"/>
          <w:color w:val="000000" w:themeColor="text1"/>
          <w:sz w:val="28"/>
          <w:szCs w:val="28"/>
        </w:rPr>
        <w:t>at</w:t>
      </w:r>
      <w:r w:rsidRPr="00A35B54">
        <w:rPr>
          <w:rFonts w:ascii="Arial" w:hAnsi="Arial" w:cs="Arial"/>
          <w:color w:val="000000" w:themeColor="text1"/>
          <w:sz w:val="28"/>
          <w:szCs w:val="28"/>
        </w:rPr>
        <w:t>ic violations of the right</w:t>
      </w:r>
      <w:r w:rsidR="00827A81" w:rsidRPr="00A35B54">
        <w:rPr>
          <w:rFonts w:ascii="Arial" w:hAnsi="Arial" w:cs="Arial"/>
          <w:color w:val="000000" w:themeColor="text1"/>
          <w:sz w:val="28"/>
          <w:szCs w:val="28"/>
        </w:rPr>
        <w:t>s</w:t>
      </w:r>
      <w:r w:rsidRPr="00A35B54">
        <w:rPr>
          <w:rFonts w:ascii="Arial" w:hAnsi="Arial" w:cs="Arial"/>
          <w:color w:val="000000" w:themeColor="text1"/>
          <w:sz w:val="28"/>
          <w:szCs w:val="28"/>
        </w:rPr>
        <w:t xml:space="preserve"> of disabled people.</w:t>
      </w:r>
    </w:p>
    <w:p w14:paraId="19B81CC3" w14:textId="77777777" w:rsidR="00D519B5" w:rsidRPr="00A35B54" w:rsidRDefault="002815E8" w:rsidP="00D519B5">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The General Comment should </w:t>
      </w:r>
      <w:r w:rsidRPr="00A35B54">
        <w:rPr>
          <w:rFonts w:ascii="Arial" w:hAnsi="Arial" w:cs="Arial"/>
          <w:b/>
          <w:bCs/>
          <w:color w:val="000000" w:themeColor="text1"/>
          <w:sz w:val="28"/>
          <w:szCs w:val="28"/>
        </w:rPr>
        <w:t>highlight the recommendations of this inquiry report</w:t>
      </w:r>
      <w:r w:rsidRPr="00A35B54">
        <w:rPr>
          <w:rFonts w:ascii="Arial" w:hAnsi="Arial" w:cs="Arial"/>
          <w:color w:val="000000" w:themeColor="text1"/>
          <w:sz w:val="28"/>
          <w:szCs w:val="28"/>
        </w:rPr>
        <w:t xml:space="preserve">, which should provide a roadmap to other States Parties on how to </w:t>
      </w:r>
      <w:r w:rsidR="00A070AF" w:rsidRPr="00A35B54">
        <w:rPr>
          <w:rFonts w:ascii="Arial" w:hAnsi="Arial" w:cs="Arial"/>
          <w:color w:val="000000" w:themeColor="text1"/>
          <w:sz w:val="28"/>
          <w:szCs w:val="28"/>
        </w:rPr>
        <w:t xml:space="preserve">promote access to work and employment, without pushing disabled people deeper into poverty and leaving them without the necessary support services and </w:t>
      </w:r>
      <w:r w:rsidR="00827A81" w:rsidRPr="00A35B54">
        <w:rPr>
          <w:rFonts w:ascii="Arial" w:hAnsi="Arial" w:cs="Arial"/>
          <w:color w:val="000000" w:themeColor="text1"/>
          <w:sz w:val="28"/>
          <w:szCs w:val="28"/>
        </w:rPr>
        <w:t>allowances</w:t>
      </w:r>
      <w:r w:rsidR="00A070AF" w:rsidRPr="00A35B54">
        <w:rPr>
          <w:rFonts w:ascii="Arial" w:hAnsi="Arial" w:cs="Arial"/>
          <w:color w:val="000000" w:themeColor="text1"/>
          <w:sz w:val="28"/>
          <w:szCs w:val="28"/>
        </w:rPr>
        <w:t xml:space="preserve">. There are other countries, in addition to the UK, where ENIL is aware of disabled people having to choose between employment and their disability status and/or their support and </w:t>
      </w:r>
      <w:r w:rsidR="00827A81" w:rsidRPr="00A35B54">
        <w:rPr>
          <w:rFonts w:ascii="Arial" w:hAnsi="Arial" w:cs="Arial"/>
          <w:color w:val="000000" w:themeColor="text1"/>
          <w:sz w:val="28"/>
          <w:szCs w:val="28"/>
        </w:rPr>
        <w:t>allowances,</w:t>
      </w:r>
      <w:r w:rsidR="00A070AF" w:rsidRPr="00A35B54">
        <w:rPr>
          <w:rFonts w:ascii="Arial" w:hAnsi="Arial" w:cs="Arial"/>
          <w:color w:val="000000" w:themeColor="text1"/>
          <w:sz w:val="28"/>
          <w:szCs w:val="28"/>
        </w:rPr>
        <w:t xml:space="preserve"> which cover their disability-related expenses.</w:t>
      </w:r>
    </w:p>
    <w:p w14:paraId="4ACFCE34" w14:textId="410C8E33" w:rsidR="00D519B5" w:rsidRPr="00A35B54" w:rsidRDefault="00D519B5" w:rsidP="00D519B5">
      <w:pPr>
        <w:ind w:right="-52"/>
        <w:jc w:val="both"/>
        <w:rPr>
          <w:rFonts w:ascii="Arial" w:hAnsi="Arial" w:cs="Arial"/>
          <w:color w:val="000000" w:themeColor="text1"/>
          <w:sz w:val="28"/>
          <w:szCs w:val="28"/>
        </w:rPr>
      </w:pPr>
      <w:r w:rsidRPr="00A35B54">
        <w:rPr>
          <w:rFonts w:ascii="Arial" w:hAnsi="Arial" w:cs="Arial"/>
          <w:color w:val="000000" w:themeColor="text1"/>
          <w:sz w:val="28"/>
          <w:szCs w:val="28"/>
        </w:rPr>
        <w:lastRenderedPageBreak/>
        <w:t>The following recommendations, in particular, should be reflected in the General Comment. State Parties should:</w:t>
      </w:r>
    </w:p>
    <w:p w14:paraId="21266BE5" w14:textId="7CA8C4B3" w:rsidR="00D519B5" w:rsidRPr="00A35B54" w:rsidRDefault="00D519B5" w:rsidP="00D519B5">
      <w:pPr>
        <w:spacing w:before="100" w:beforeAutospacing="1" w:after="100" w:afterAutospacing="1"/>
        <w:ind w:left="720"/>
        <w:jc w:val="both"/>
        <w:rPr>
          <w:rFonts w:ascii="Arial" w:eastAsia="Times New Roman" w:hAnsi="Arial" w:cs="Arial"/>
          <w:sz w:val="28"/>
          <w:szCs w:val="28"/>
          <w:lang w:eastAsia="en-GB"/>
        </w:rPr>
      </w:pPr>
      <w:r w:rsidRPr="00A35B54">
        <w:rPr>
          <w:rFonts w:ascii="Arial" w:eastAsia="Times New Roman" w:hAnsi="Arial" w:cs="Arial"/>
          <w:sz w:val="28"/>
          <w:szCs w:val="28"/>
          <w:lang w:eastAsia="en-GB"/>
        </w:rPr>
        <w:t>“Ensure that any intended measure of the welfare reform is rights-based, upholds the human rights model of disability and does not disproportionately and/or adversely affect the rights of persons with disabilities to independent living, to an adequate standard of living and to employment. To prevent adverse consequences, the State party should carry out human rights-based cumulative impact assessments of the whole range of intended measures […]</w:t>
      </w:r>
    </w:p>
    <w:p w14:paraId="5A060336" w14:textId="19855A0D" w:rsidR="00D519B5" w:rsidRPr="00C328A2"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t xml:space="preserve">Ensure that any intended legislation and/or policy measure respects the core elements of the rights </w:t>
      </w:r>
      <w:r w:rsidRPr="00A35B54">
        <w:rPr>
          <w:rFonts w:ascii="Arial" w:eastAsia="Times New Roman" w:hAnsi="Arial" w:cs="Arial"/>
          <w:sz w:val="28"/>
          <w:szCs w:val="28"/>
          <w:lang w:eastAsia="en-GB"/>
        </w:rPr>
        <w:t>[…]</w:t>
      </w:r>
      <w:r w:rsidRPr="00C328A2">
        <w:rPr>
          <w:rFonts w:ascii="Arial" w:eastAsia="Times New Roman" w:hAnsi="Arial" w:cs="Arial"/>
          <w:sz w:val="28"/>
          <w:szCs w:val="28"/>
          <w:lang w:eastAsia="en-GB"/>
        </w:rPr>
        <w:t xml:space="preserve">, that persons with disabilities retain their autonomy, choice and control over their place of residence and with whom they live, that they receive appropriate and individualized support, including through personal assistance, and have access to community-based services on an equal basis with others, that they have access to security social schemes that ensure income protection, including in relation to the extra cost of disability, compatible with an adequate standard of living and ensure their full inclusion and participation in society, and that they have access to and are supported in gaining employment in the open labour market on an equal basis with others; </w:t>
      </w:r>
    </w:p>
    <w:p w14:paraId="33B61259" w14:textId="363B20E0" w:rsidR="00D519B5" w:rsidRPr="00C328A2"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lastRenderedPageBreak/>
        <w:t xml:space="preserve">Introduce the adjustments necessary to make all information, communications, administrative and legal procedures in relation to social security entitlements, independent living schemes and employment/unemployment-related support services fully accessible to all persons with disabilities; </w:t>
      </w:r>
    </w:p>
    <w:p w14:paraId="6AEAB11A" w14:textId="4355A4A3" w:rsidR="00D519B5" w:rsidRPr="00C328A2"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t>Take appropriate measures to combat any negative and discriminatory stereotypes or prejudice against persons with disabilities in public and the media, including the assertion that dependency on benefits is in itself a disincentive to seeking employment</w:t>
      </w:r>
      <w:r w:rsidRPr="00A35B54">
        <w:rPr>
          <w:rFonts w:ascii="Arial" w:eastAsia="Times New Roman" w:hAnsi="Arial" w:cs="Arial"/>
          <w:sz w:val="28"/>
          <w:szCs w:val="28"/>
          <w:lang w:eastAsia="en-GB"/>
        </w:rPr>
        <w:t xml:space="preserve"> […]</w:t>
      </w:r>
    </w:p>
    <w:p w14:paraId="35B062EC" w14:textId="363667D3" w:rsidR="00D519B5" w:rsidRPr="00A35B54"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t>Ensure that, in the implementation of legislation, policies and programmes, special attention is paid to persons with disabilities living on a low income or in poverty and to persons with disabilities at higher risk of exclusion</w:t>
      </w:r>
      <w:r w:rsidRPr="00A35B54">
        <w:rPr>
          <w:rFonts w:ascii="Arial" w:eastAsia="Times New Roman" w:hAnsi="Arial" w:cs="Arial"/>
          <w:sz w:val="28"/>
          <w:szCs w:val="28"/>
          <w:lang w:eastAsia="en-GB"/>
        </w:rPr>
        <w:t xml:space="preserve"> […]”</w:t>
      </w:r>
      <w:r w:rsidRPr="00A35B54">
        <w:rPr>
          <w:rStyle w:val="FootnoteReference"/>
          <w:rFonts w:ascii="Arial" w:eastAsia="Times New Roman" w:hAnsi="Arial" w:cs="Arial"/>
          <w:sz w:val="28"/>
          <w:szCs w:val="28"/>
          <w:lang w:eastAsia="en-GB"/>
        </w:rPr>
        <w:footnoteReference w:id="10"/>
      </w:r>
    </w:p>
    <w:p w14:paraId="213C9E93" w14:textId="239BA8F2" w:rsidR="00A070AF" w:rsidRPr="00A35B54" w:rsidRDefault="00A070AF" w:rsidP="00C328A2">
      <w:pPr>
        <w:ind w:right="-52"/>
        <w:rPr>
          <w:rFonts w:ascii="Arial" w:hAnsi="Arial" w:cs="Arial"/>
          <w:b/>
          <w:bCs/>
          <w:color w:val="000000" w:themeColor="text1"/>
          <w:sz w:val="28"/>
          <w:szCs w:val="28"/>
        </w:rPr>
      </w:pPr>
      <w:r w:rsidRPr="00A35B54">
        <w:rPr>
          <w:rFonts w:ascii="Arial" w:hAnsi="Arial" w:cs="Arial"/>
          <w:b/>
          <w:bCs/>
          <w:color w:val="000000" w:themeColor="text1"/>
          <w:sz w:val="28"/>
          <w:szCs w:val="28"/>
        </w:rPr>
        <w:t>6. I</w:t>
      </w:r>
      <w:r w:rsidR="00B035BA" w:rsidRPr="00A35B54">
        <w:rPr>
          <w:rFonts w:ascii="Arial" w:hAnsi="Arial" w:cs="Arial"/>
          <w:b/>
          <w:bCs/>
          <w:color w:val="000000" w:themeColor="text1"/>
          <w:sz w:val="28"/>
          <w:szCs w:val="28"/>
        </w:rPr>
        <w:t>mportance of i</w:t>
      </w:r>
      <w:r w:rsidRPr="00A35B54">
        <w:rPr>
          <w:rFonts w:ascii="Arial" w:hAnsi="Arial" w:cs="Arial"/>
          <w:b/>
          <w:bCs/>
          <w:color w:val="000000" w:themeColor="text1"/>
          <w:sz w:val="28"/>
          <w:szCs w:val="28"/>
        </w:rPr>
        <w:t xml:space="preserve">nclusive education </w:t>
      </w:r>
      <w:r w:rsidR="00B035BA" w:rsidRPr="00A35B54">
        <w:rPr>
          <w:rFonts w:ascii="Arial" w:hAnsi="Arial" w:cs="Arial"/>
          <w:b/>
          <w:bCs/>
          <w:color w:val="000000" w:themeColor="text1"/>
          <w:sz w:val="28"/>
          <w:szCs w:val="28"/>
        </w:rPr>
        <w:t>to finding employment</w:t>
      </w:r>
    </w:p>
    <w:p w14:paraId="1298B359" w14:textId="021DC786" w:rsidR="00C328A2" w:rsidRPr="00A35B54" w:rsidRDefault="00A070AF"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The General Comment should highlight the link between Article 27 and Article 24</w:t>
      </w:r>
      <w:r w:rsidR="00827A81" w:rsidRPr="00A35B54">
        <w:rPr>
          <w:rFonts w:ascii="Arial" w:hAnsi="Arial" w:cs="Arial"/>
          <w:color w:val="000000" w:themeColor="text1"/>
          <w:sz w:val="28"/>
          <w:szCs w:val="28"/>
        </w:rPr>
        <w:t xml:space="preserve"> (right to education)</w:t>
      </w:r>
      <w:r w:rsidRPr="00A35B54">
        <w:rPr>
          <w:rFonts w:ascii="Arial" w:hAnsi="Arial" w:cs="Arial"/>
          <w:color w:val="000000" w:themeColor="text1"/>
          <w:sz w:val="28"/>
          <w:szCs w:val="28"/>
        </w:rPr>
        <w:t xml:space="preserve">, not just in relation to vocational training, but from early childhood. </w:t>
      </w:r>
      <w:r w:rsidR="00827A81" w:rsidRPr="00A35B54">
        <w:rPr>
          <w:rFonts w:ascii="Arial" w:hAnsi="Arial" w:cs="Arial"/>
          <w:color w:val="000000" w:themeColor="text1"/>
          <w:sz w:val="28"/>
          <w:szCs w:val="28"/>
        </w:rPr>
        <w:t xml:space="preserve">We know from members of ENIL that disabled people who have been able to access mainstream education (at primary, secondary and higher/tertiary level) are in a much better position to find employment. On the other hand, those </w:t>
      </w:r>
      <w:r w:rsidR="00D519B5" w:rsidRPr="00A35B54">
        <w:rPr>
          <w:rFonts w:ascii="Arial" w:hAnsi="Arial" w:cs="Arial"/>
          <w:color w:val="000000" w:themeColor="text1"/>
          <w:sz w:val="28"/>
          <w:szCs w:val="28"/>
        </w:rPr>
        <w:t>placed</w:t>
      </w:r>
      <w:r w:rsidR="00827A81" w:rsidRPr="00A35B54">
        <w:rPr>
          <w:rFonts w:ascii="Arial" w:hAnsi="Arial" w:cs="Arial"/>
          <w:color w:val="000000" w:themeColor="text1"/>
          <w:sz w:val="28"/>
          <w:szCs w:val="28"/>
        </w:rPr>
        <w:t xml:space="preserve"> in special </w:t>
      </w:r>
      <w:r w:rsidR="00827A81" w:rsidRPr="00A35B54">
        <w:rPr>
          <w:rFonts w:ascii="Arial" w:hAnsi="Arial" w:cs="Arial"/>
          <w:color w:val="000000" w:themeColor="text1"/>
          <w:sz w:val="28"/>
          <w:szCs w:val="28"/>
        </w:rPr>
        <w:lastRenderedPageBreak/>
        <w:t xml:space="preserve">schools are not prepared for today’s competitive labour market. Therefore, it is important that the General Comment makes it clear that State Parties must take sufficient measures to promote access of all disabled children and young people to inclusive education, as </w:t>
      </w:r>
      <w:r w:rsidR="00B035BA" w:rsidRPr="00A35B54">
        <w:rPr>
          <w:rFonts w:ascii="Arial" w:hAnsi="Arial" w:cs="Arial"/>
          <w:color w:val="000000" w:themeColor="text1"/>
          <w:sz w:val="28"/>
          <w:szCs w:val="28"/>
        </w:rPr>
        <w:t>a precondition for enjoying their right to work and employment</w:t>
      </w:r>
      <w:r w:rsidR="00D519B5" w:rsidRPr="00A35B54">
        <w:rPr>
          <w:rFonts w:ascii="Arial" w:hAnsi="Arial" w:cs="Arial"/>
          <w:color w:val="000000" w:themeColor="text1"/>
          <w:sz w:val="28"/>
          <w:szCs w:val="28"/>
        </w:rPr>
        <w:t>, and accelerate the transition from special schools to inclusive education.</w:t>
      </w:r>
    </w:p>
    <w:p w14:paraId="71485F17" w14:textId="0F759527" w:rsidR="00A35B54" w:rsidRPr="00A35B54" w:rsidRDefault="00A35B54" w:rsidP="00A35B54">
      <w:pPr>
        <w:pStyle w:val="Normal1"/>
        <w:spacing w:after="0" w:line="240" w:lineRule="auto"/>
        <w:ind w:right="-52"/>
        <w:jc w:val="both"/>
        <w:rPr>
          <w:rFonts w:ascii="Arial" w:eastAsia="Verdana" w:hAnsi="Arial" w:cs="Arial"/>
          <w:b/>
          <w:sz w:val="28"/>
          <w:szCs w:val="28"/>
        </w:rPr>
      </w:pPr>
      <w:r w:rsidRPr="00A35B54">
        <w:rPr>
          <w:rFonts w:ascii="Arial" w:eastAsia="Verdana" w:hAnsi="Arial" w:cs="Arial"/>
          <w:b/>
          <w:sz w:val="28"/>
          <w:szCs w:val="28"/>
        </w:rPr>
        <w:t>II. About the European Network on Independent Living - ENIL</w:t>
      </w:r>
    </w:p>
    <w:p w14:paraId="0074FAF5" w14:textId="77777777" w:rsidR="00A35B54" w:rsidRPr="00A35B54" w:rsidRDefault="00A35B54" w:rsidP="00A35B54">
      <w:pPr>
        <w:pStyle w:val="Normal1"/>
        <w:spacing w:after="0" w:line="240" w:lineRule="auto"/>
        <w:ind w:right="-52"/>
        <w:jc w:val="both"/>
        <w:rPr>
          <w:rFonts w:ascii="Arial" w:eastAsia="Verdana" w:hAnsi="Arial" w:cs="Arial"/>
          <w:sz w:val="28"/>
          <w:szCs w:val="28"/>
        </w:rPr>
      </w:pPr>
    </w:p>
    <w:p w14:paraId="22CC3763" w14:textId="2CE7C363"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The European Network on Independent Living (ENIL) is a Europe-wide network of people with disabilities, with members throughout Europe. ENIL is a forum for all disabled people, Independent Living organisations and their non-disabled allies on the issues of Independent Living. ENIL represents the disability movement for human rights and social inclusion based on solidarity, peer support, deinstitutionalisation, democracy, self-representation, cross disability and self-determination.</w:t>
      </w:r>
    </w:p>
    <w:p w14:paraId="523F705D" w14:textId="66C6753D" w:rsidR="00A35B54" w:rsidRPr="00A35B54" w:rsidRDefault="00A35B54" w:rsidP="00A35B54">
      <w:pPr>
        <w:pStyle w:val="Normal1"/>
        <w:spacing w:after="0" w:line="240" w:lineRule="auto"/>
        <w:ind w:right="-52"/>
        <w:jc w:val="both"/>
        <w:rPr>
          <w:rFonts w:ascii="Arial" w:eastAsia="Verdana" w:hAnsi="Arial" w:cs="Arial"/>
          <w:sz w:val="28"/>
          <w:szCs w:val="28"/>
        </w:rPr>
      </w:pPr>
    </w:p>
    <w:p w14:paraId="668C9866" w14:textId="0BB38551" w:rsidR="00A35B54" w:rsidRPr="00A35B54" w:rsidRDefault="00A35B54" w:rsidP="00A35B54">
      <w:pPr>
        <w:pStyle w:val="Normal1"/>
        <w:spacing w:after="0" w:line="240" w:lineRule="auto"/>
        <w:ind w:right="-52"/>
        <w:jc w:val="both"/>
        <w:rPr>
          <w:rFonts w:ascii="Arial" w:eastAsia="Verdana" w:hAnsi="Arial" w:cs="Arial"/>
          <w:b/>
          <w:bCs/>
          <w:sz w:val="28"/>
          <w:szCs w:val="28"/>
        </w:rPr>
      </w:pPr>
      <w:r w:rsidRPr="00A35B54">
        <w:rPr>
          <w:rFonts w:ascii="Arial" w:eastAsia="Verdana" w:hAnsi="Arial" w:cs="Arial"/>
          <w:b/>
          <w:bCs/>
          <w:sz w:val="28"/>
          <w:szCs w:val="28"/>
        </w:rPr>
        <w:t xml:space="preserve">Contact information: </w:t>
      </w:r>
    </w:p>
    <w:p w14:paraId="010E3624" w14:textId="193FC205" w:rsidR="00A35B54" w:rsidRPr="00A35B54" w:rsidRDefault="00A35B54" w:rsidP="00A35B54">
      <w:pPr>
        <w:pStyle w:val="Normal1"/>
        <w:spacing w:after="0" w:line="240" w:lineRule="auto"/>
        <w:ind w:right="-52"/>
        <w:jc w:val="both"/>
        <w:rPr>
          <w:rFonts w:ascii="Arial" w:eastAsia="Verdana" w:hAnsi="Arial" w:cs="Arial"/>
          <w:sz w:val="28"/>
          <w:szCs w:val="28"/>
        </w:rPr>
      </w:pPr>
    </w:p>
    <w:p w14:paraId="3E030379" w14:textId="544D2BC8"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European Network on Independent Living – ENIL</w:t>
      </w:r>
    </w:p>
    <w:p w14:paraId="74D86610" w14:textId="0D6D6AB7"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Mundo J</w:t>
      </w:r>
    </w:p>
    <w:p w14:paraId="39A3B30A" w14:textId="09AF8CBB"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7th Floor</w:t>
      </w:r>
    </w:p>
    <w:p w14:paraId="2EB68719" w14:textId="3B47CDE0"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Rue de l’Industrie 10</w:t>
      </w:r>
    </w:p>
    <w:p w14:paraId="4CB1F0E0" w14:textId="756F5261"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1000 Brussels</w:t>
      </w:r>
    </w:p>
    <w:p w14:paraId="4AB843C8" w14:textId="44913545"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Belgium</w:t>
      </w:r>
    </w:p>
    <w:p w14:paraId="11B56ADE" w14:textId="77777777" w:rsidR="00A35B54" w:rsidRPr="00A35B54" w:rsidRDefault="00A35B54" w:rsidP="00A35B54">
      <w:pPr>
        <w:pStyle w:val="Normal1"/>
        <w:spacing w:after="0" w:line="240" w:lineRule="auto"/>
        <w:ind w:right="-52"/>
        <w:jc w:val="both"/>
        <w:rPr>
          <w:rFonts w:ascii="Arial" w:eastAsia="Verdana" w:hAnsi="Arial" w:cs="Arial"/>
          <w:sz w:val="28"/>
          <w:szCs w:val="28"/>
        </w:rPr>
      </w:pPr>
    </w:p>
    <w:p w14:paraId="598D0716" w14:textId="7092A357" w:rsidR="00A35B54" w:rsidRPr="00A35B54" w:rsidRDefault="00B82AA0" w:rsidP="00A35B54">
      <w:pPr>
        <w:pStyle w:val="Normal1"/>
        <w:spacing w:after="0" w:line="240" w:lineRule="auto"/>
        <w:ind w:right="-52"/>
        <w:jc w:val="both"/>
        <w:rPr>
          <w:rFonts w:ascii="Arial" w:eastAsia="Verdana" w:hAnsi="Arial" w:cs="Arial"/>
          <w:sz w:val="28"/>
          <w:szCs w:val="28"/>
        </w:rPr>
      </w:pPr>
      <w:hyperlink r:id="rId7" w:history="1">
        <w:r w:rsidR="00A35B54" w:rsidRPr="00A35B54">
          <w:rPr>
            <w:rStyle w:val="Hyperlink"/>
            <w:rFonts w:ascii="Arial" w:eastAsia="Verdana" w:hAnsi="Arial" w:cs="Arial"/>
            <w:sz w:val="28"/>
            <w:szCs w:val="28"/>
          </w:rPr>
          <w:t>secretariat@enil.eu</w:t>
        </w:r>
      </w:hyperlink>
      <w:r w:rsidR="00A35B54" w:rsidRPr="00A35B54">
        <w:rPr>
          <w:rFonts w:ascii="Arial" w:eastAsia="Verdana" w:hAnsi="Arial" w:cs="Arial"/>
          <w:sz w:val="28"/>
          <w:szCs w:val="28"/>
        </w:rPr>
        <w:t xml:space="preserve"> </w:t>
      </w:r>
    </w:p>
    <w:p w14:paraId="7D2E4462" w14:textId="01178221" w:rsidR="00A35B54" w:rsidRPr="00A35B54" w:rsidRDefault="00B82AA0" w:rsidP="00A35B54">
      <w:pPr>
        <w:pStyle w:val="Normal1"/>
        <w:spacing w:after="0" w:line="240" w:lineRule="auto"/>
        <w:ind w:right="-52"/>
        <w:jc w:val="both"/>
        <w:rPr>
          <w:rFonts w:ascii="Arial" w:eastAsia="Verdana" w:hAnsi="Arial" w:cs="Arial"/>
          <w:sz w:val="28"/>
          <w:szCs w:val="28"/>
        </w:rPr>
      </w:pPr>
      <w:hyperlink r:id="rId8" w:history="1">
        <w:r w:rsidR="00A35B54" w:rsidRPr="00A35B54">
          <w:rPr>
            <w:rStyle w:val="Hyperlink"/>
            <w:rFonts w:ascii="Arial" w:eastAsia="Verdana" w:hAnsi="Arial" w:cs="Arial"/>
            <w:sz w:val="28"/>
            <w:szCs w:val="28"/>
          </w:rPr>
          <w:t>www.enil.eu</w:t>
        </w:r>
      </w:hyperlink>
    </w:p>
    <w:p w14:paraId="4B7C0E96" w14:textId="77777777" w:rsidR="00A35B54" w:rsidRPr="00A35B54" w:rsidRDefault="00A35B54" w:rsidP="00C328A2">
      <w:pPr>
        <w:ind w:right="-52"/>
        <w:jc w:val="both"/>
        <w:rPr>
          <w:rFonts w:ascii="Arial" w:hAnsi="Arial" w:cs="Arial"/>
          <w:color w:val="000000" w:themeColor="text1"/>
          <w:sz w:val="28"/>
          <w:szCs w:val="28"/>
        </w:rPr>
      </w:pPr>
    </w:p>
    <w:sectPr w:rsidR="00A35B54" w:rsidRPr="00A35B54" w:rsidSect="00C328A2">
      <w:headerReference w:type="default" r:id="rId9"/>
      <w:footerReference w:type="even" r:id="rId10"/>
      <w:foot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5090A" w14:textId="77777777" w:rsidR="00D77922" w:rsidRDefault="00D77922" w:rsidP="00294273">
      <w:pPr>
        <w:spacing w:after="0"/>
      </w:pPr>
      <w:r>
        <w:separator/>
      </w:r>
    </w:p>
  </w:endnote>
  <w:endnote w:type="continuationSeparator" w:id="0">
    <w:p w14:paraId="284BDB20" w14:textId="77777777" w:rsidR="00D77922" w:rsidRDefault="00D77922" w:rsidP="002942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26494235"/>
      <w:docPartObj>
        <w:docPartGallery w:val="Page Numbers (Bottom of Page)"/>
        <w:docPartUnique/>
      </w:docPartObj>
    </w:sdtPr>
    <w:sdtEndPr>
      <w:rPr>
        <w:rStyle w:val="PageNumber"/>
      </w:rPr>
    </w:sdtEndPr>
    <w:sdtContent>
      <w:p w14:paraId="67F20D29" w14:textId="47850C2A" w:rsidR="00A35B54" w:rsidRDefault="00A35B54" w:rsidP="00841B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DA9A6" w14:textId="77777777" w:rsidR="00A35B54" w:rsidRDefault="00A35B54" w:rsidP="00A35B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273763777"/>
      <w:docPartObj>
        <w:docPartGallery w:val="Page Numbers (Bottom of Page)"/>
        <w:docPartUnique/>
      </w:docPartObj>
    </w:sdtPr>
    <w:sdtEndPr>
      <w:rPr>
        <w:rStyle w:val="PageNumber"/>
      </w:rPr>
    </w:sdtEndPr>
    <w:sdtContent>
      <w:p w14:paraId="3798DFAC" w14:textId="45104187" w:rsidR="00A35B54" w:rsidRPr="00A35B54" w:rsidRDefault="00A35B54" w:rsidP="00841BBE">
        <w:pPr>
          <w:pStyle w:val="Footer"/>
          <w:framePr w:wrap="none" w:vAnchor="text" w:hAnchor="margin" w:xAlign="right" w:y="1"/>
          <w:rPr>
            <w:rStyle w:val="PageNumber"/>
            <w:rFonts w:ascii="Arial" w:hAnsi="Arial" w:cs="Arial"/>
          </w:rPr>
        </w:pPr>
        <w:r w:rsidRPr="00A35B54">
          <w:rPr>
            <w:rStyle w:val="PageNumber"/>
            <w:rFonts w:ascii="Arial" w:hAnsi="Arial" w:cs="Arial"/>
          </w:rPr>
          <w:fldChar w:fldCharType="begin"/>
        </w:r>
        <w:r w:rsidRPr="00A35B54">
          <w:rPr>
            <w:rStyle w:val="PageNumber"/>
            <w:rFonts w:ascii="Arial" w:hAnsi="Arial" w:cs="Arial"/>
          </w:rPr>
          <w:instrText xml:space="preserve"> PAGE </w:instrText>
        </w:r>
        <w:r w:rsidRPr="00A35B54">
          <w:rPr>
            <w:rStyle w:val="PageNumber"/>
            <w:rFonts w:ascii="Arial" w:hAnsi="Arial" w:cs="Arial"/>
          </w:rPr>
          <w:fldChar w:fldCharType="separate"/>
        </w:r>
        <w:r w:rsidR="00B82AA0">
          <w:rPr>
            <w:rStyle w:val="PageNumber"/>
            <w:rFonts w:ascii="Arial" w:hAnsi="Arial" w:cs="Arial"/>
            <w:noProof/>
          </w:rPr>
          <w:t>2</w:t>
        </w:r>
        <w:r w:rsidRPr="00A35B54">
          <w:rPr>
            <w:rStyle w:val="PageNumber"/>
            <w:rFonts w:ascii="Arial" w:hAnsi="Arial" w:cs="Arial"/>
          </w:rPr>
          <w:fldChar w:fldCharType="end"/>
        </w:r>
      </w:p>
    </w:sdtContent>
  </w:sdt>
  <w:p w14:paraId="72E0DD5B" w14:textId="77777777" w:rsidR="00A35B54" w:rsidRDefault="00A35B54" w:rsidP="00A35B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EC5FB" w14:textId="77777777" w:rsidR="00D77922" w:rsidRDefault="00D77922" w:rsidP="00294273">
      <w:pPr>
        <w:spacing w:after="0"/>
      </w:pPr>
      <w:r>
        <w:separator/>
      </w:r>
    </w:p>
  </w:footnote>
  <w:footnote w:type="continuationSeparator" w:id="0">
    <w:p w14:paraId="3843EFD1" w14:textId="77777777" w:rsidR="00D77922" w:rsidRDefault="00D77922" w:rsidP="00294273">
      <w:pPr>
        <w:spacing w:after="0"/>
      </w:pPr>
      <w:r>
        <w:continuationSeparator/>
      </w:r>
    </w:p>
  </w:footnote>
  <w:footnote w:id="1">
    <w:p w14:paraId="4E2A9C06" w14:textId="5B25C7C5" w:rsidR="0060522F" w:rsidRPr="00B035BA" w:rsidRDefault="0060522F">
      <w:pPr>
        <w:pStyle w:val="FootnoteText"/>
        <w:rPr>
          <w:sz w:val="22"/>
          <w:szCs w:val="22"/>
        </w:rPr>
      </w:pPr>
      <w:r w:rsidRPr="00B035BA">
        <w:rPr>
          <w:rStyle w:val="FootnoteReference"/>
          <w:sz w:val="22"/>
          <w:szCs w:val="22"/>
        </w:rPr>
        <w:footnoteRef/>
      </w:r>
      <w:r w:rsidRPr="00B035BA">
        <w:rPr>
          <w:sz w:val="22"/>
          <w:szCs w:val="22"/>
        </w:rPr>
        <w:t xml:space="preserve"> European Network on Independent Living (2015) </w:t>
      </w:r>
      <w:r w:rsidRPr="00B035BA">
        <w:rPr>
          <w:i/>
          <w:iCs/>
          <w:sz w:val="22"/>
          <w:szCs w:val="22"/>
        </w:rPr>
        <w:t>Independent Living Manual</w:t>
      </w:r>
      <w:r w:rsidRPr="00B035BA">
        <w:rPr>
          <w:sz w:val="22"/>
          <w:szCs w:val="22"/>
        </w:rPr>
        <w:t xml:space="preserve">, p. 21, available at: </w:t>
      </w:r>
      <w:hyperlink r:id="rId1" w:history="1">
        <w:r w:rsidRPr="00B035BA">
          <w:rPr>
            <w:rStyle w:val="Hyperlink"/>
            <w:sz w:val="22"/>
            <w:szCs w:val="22"/>
          </w:rPr>
          <w:t>https://www.enil.eu/wp-content/uploads/2012/06/Independent-Living-Manual-FINAL.pdf</w:t>
        </w:r>
      </w:hyperlink>
      <w:r w:rsidRPr="00B035BA">
        <w:rPr>
          <w:sz w:val="22"/>
          <w:szCs w:val="22"/>
        </w:rPr>
        <w:t xml:space="preserve"> </w:t>
      </w:r>
    </w:p>
  </w:footnote>
  <w:footnote w:id="2">
    <w:p w14:paraId="518B0FB8" w14:textId="6319BB10" w:rsidR="00B035BA" w:rsidRPr="00B035BA" w:rsidRDefault="00B035BA" w:rsidP="00B035BA">
      <w:pPr>
        <w:spacing w:after="0"/>
        <w:rPr>
          <w:rFonts w:eastAsia="Times New Roman" w:cs="Times New Roman"/>
          <w:color w:val="000000" w:themeColor="text1"/>
          <w:sz w:val="22"/>
          <w:szCs w:val="22"/>
          <w:lang w:eastAsia="en-GB"/>
        </w:rPr>
      </w:pPr>
      <w:r w:rsidRPr="00B035BA">
        <w:rPr>
          <w:rStyle w:val="FootnoteReference"/>
          <w:color w:val="000000" w:themeColor="text1"/>
          <w:sz w:val="22"/>
          <w:szCs w:val="22"/>
        </w:rPr>
        <w:footnoteRef/>
      </w:r>
      <w:r w:rsidRPr="00B035BA">
        <w:rPr>
          <w:color w:val="000000" w:themeColor="text1"/>
          <w:sz w:val="22"/>
          <w:szCs w:val="22"/>
        </w:rPr>
        <w:t xml:space="preserve"> </w:t>
      </w:r>
      <w:r w:rsidRPr="00B035BA">
        <w:rPr>
          <w:rFonts w:eastAsia="Times New Roman" w:cs="Arial"/>
          <w:color w:val="000000" w:themeColor="text1"/>
          <w:sz w:val="22"/>
          <w:szCs w:val="22"/>
          <w:shd w:val="clear" w:color="auto" w:fill="FFFFFF"/>
          <w:lang w:eastAsia="en-GB"/>
        </w:rPr>
        <w:t>ENIL prefers the term ‘disabled people’ over ‘persons with disabilities’ or ‘people with disabilities’, in order to reflect the fact that people are disabled by the environmental, systemic and attitudinal barriers in society, rather than by their impairment. This is in line with the social model of disability.</w:t>
      </w:r>
    </w:p>
  </w:footnote>
  <w:footnote w:id="3">
    <w:p w14:paraId="483B0D01" w14:textId="0BF2BE61" w:rsidR="008B544D" w:rsidRPr="00B035BA" w:rsidRDefault="008B544D">
      <w:pPr>
        <w:pStyle w:val="FootnoteText"/>
        <w:rPr>
          <w:sz w:val="22"/>
          <w:szCs w:val="22"/>
        </w:rPr>
      </w:pPr>
      <w:r w:rsidRPr="00B035BA">
        <w:rPr>
          <w:rStyle w:val="FootnoteReference"/>
          <w:sz w:val="22"/>
          <w:szCs w:val="22"/>
        </w:rPr>
        <w:footnoteRef/>
      </w:r>
      <w:r w:rsidRPr="00B035BA">
        <w:rPr>
          <w:sz w:val="22"/>
          <w:szCs w:val="22"/>
        </w:rPr>
        <w:t xml:space="preserve"> </w:t>
      </w:r>
      <w:r w:rsidR="001B4C3B" w:rsidRPr="00B035BA">
        <w:rPr>
          <w:sz w:val="22"/>
          <w:szCs w:val="22"/>
        </w:rPr>
        <w:t xml:space="preserve">See ENIL’s Independent Living survey (2020), available here: </w:t>
      </w:r>
      <w:hyperlink r:id="rId2" w:history="1">
        <w:r w:rsidR="001B4C3B" w:rsidRPr="00B035BA">
          <w:rPr>
            <w:rStyle w:val="Hyperlink"/>
            <w:sz w:val="22"/>
            <w:szCs w:val="22"/>
          </w:rPr>
          <w:t>https://enil.eu/independent-living/independent-living-survey/</w:t>
        </w:r>
      </w:hyperlink>
      <w:r w:rsidR="001B4C3B" w:rsidRPr="00B035BA">
        <w:rPr>
          <w:sz w:val="22"/>
          <w:szCs w:val="22"/>
        </w:rPr>
        <w:t xml:space="preserve"> </w:t>
      </w:r>
    </w:p>
  </w:footnote>
  <w:footnote w:id="4">
    <w:p w14:paraId="2839D40A" w14:textId="29EB8C94" w:rsidR="001B4C3B" w:rsidRPr="00B035BA" w:rsidRDefault="001B4C3B">
      <w:pPr>
        <w:pStyle w:val="FootnoteText"/>
        <w:rPr>
          <w:sz w:val="22"/>
          <w:szCs w:val="22"/>
        </w:rPr>
      </w:pPr>
      <w:r w:rsidRPr="00B035BA">
        <w:rPr>
          <w:rStyle w:val="FootnoteReference"/>
          <w:sz w:val="22"/>
          <w:szCs w:val="22"/>
        </w:rPr>
        <w:footnoteRef/>
      </w:r>
      <w:r w:rsidRPr="00B035BA">
        <w:rPr>
          <w:sz w:val="22"/>
          <w:szCs w:val="22"/>
        </w:rPr>
        <w:t xml:space="preserve"> ENIL (2019) </w:t>
      </w:r>
      <w:r w:rsidRPr="00B035BA">
        <w:rPr>
          <w:i/>
          <w:iCs/>
          <w:sz w:val="22"/>
          <w:szCs w:val="22"/>
        </w:rPr>
        <w:t>Freedom of Movement</w:t>
      </w:r>
      <w:r w:rsidRPr="00B035BA">
        <w:rPr>
          <w:sz w:val="22"/>
          <w:szCs w:val="22"/>
        </w:rPr>
        <w:t xml:space="preserve">, available at: </w:t>
      </w:r>
      <w:hyperlink r:id="rId3" w:history="1">
        <w:r w:rsidRPr="00B035BA">
          <w:rPr>
            <w:rStyle w:val="Hyperlink"/>
            <w:sz w:val="22"/>
            <w:szCs w:val="22"/>
          </w:rPr>
          <w:t>https://enil.eu/wp-content/uploads/2019/10/Freedom-of-Movement_Background-Paper_Final-1.pdf</w:t>
        </w:r>
      </w:hyperlink>
      <w:r w:rsidRPr="00B035BA">
        <w:rPr>
          <w:sz w:val="22"/>
          <w:szCs w:val="22"/>
        </w:rPr>
        <w:t xml:space="preserve"> </w:t>
      </w:r>
    </w:p>
  </w:footnote>
  <w:footnote w:id="5">
    <w:p w14:paraId="2F5020C7" w14:textId="286679D5" w:rsidR="001B4C3B" w:rsidRPr="00B035BA" w:rsidRDefault="001B4C3B">
      <w:pPr>
        <w:pStyle w:val="FootnoteText"/>
        <w:rPr>
          <w:sz w:val="22"/>
          <w:szCs w:val="22"/>
        </w:rPr>
      </w:pPr>
      <w:r w:rsidRPr="00B035BA">
        <w:rPr>
          <w:rStyle w:val="FootnoteReference"/>
          <w:sz w:val="22"/>
          <w:szCs w:val="22"/>
        </w:rPr>
        <w:footnoteRef/>
      </w:r>
      <w:r w:rsidRPr="00B035BA">
        <w:rPr>
          <w:sz w:val="22"/>
          <w:szCs w:val="22"/>
        </w:rPr>
        <w:t xml:space="preserve"> See, for example, ENIL</w:t>
      </w:r>
      <w:r w:rsidR="000E1143" w:rsidRPr="00B035BA">
        <w:rPr>
          <w:sz w:val="22"/>
          <w:szCs w:val="22"/>
        </w:rPr>
        <w:t xml:space="preserve"> and GUE/NGL</w:t>
      </w:r>
      <w:r w:rsidRPr="00B035BA">
        <w:rPr>
          <w:sz w:val="22"/>
          <w:szCs w:val="22"/>
        </w:rPr>
        <w:t xml:space="preserve"> (2020) </w:t>
      </w:r>
      <w:r w:rsidRPr="00B035BA">
        <w:rPr>
          <w:i/>
          <w:iCs/>
          <w:sz w:val="22"/>
          <w:szCs w:val="22"/>
        </w:rPr>
        <w:t xml:space="preserve">Lost in Interpretation: the Use of ESI Funds </w:t>
      </w:r>
      <w:r w:rsidR="000E1143" w:rsidRPr="00B035BA">
        <w:rPr>
          <w:i/>
          <w:iCs/>
          <w:sz w:val="22"/>
          <w:szCs w:val="22"/>
        </w:rPr>
        <w:t>during 2014 – 2020 and the impact on the right of persons with disabilities to independent living</w:t>
      </w:r>
      <w:r w:rsidRPr="00B035BA">
        <w:rPr>
          <w:sz w:val="22"/>
          <w:szCs w:val="22"/>
        </w:rPr>
        <w:t xml:space="preserve">, available at: </w:t>
      </w:r>
      <w:hyperlink r:id="rId4" w:history="1">
        <w:r w:rsidR="000E1143" w:rsidRPr="00B035BA">
          <w:rPr>
            <w:rStyle w:val="Hyperlink"/>
            <w:sz w:val="22"/>
            <w:szCs w:val="22"/>
          </w:rPr>
          <w:t>https://enil.eu/wp-content/uploads/2020/12/Study_EP_EN_09122020.pdf</w:t>
        </w:r>
      </w:hyperlink>
      <w:r w:rsidR="000E1143" w:rsidRPr="00B035BA">
        <w:rPr>
          <w:sz w:val="22"/>
          <w:szCs w:val="22"/>
        </w:rPr>
        <w:t xml:space="preserve"> </w:t>
      </w:r>
    </w:p>
  </w:footnote>
  <w:footnote w:id="6">
    <w:p w14:paraId="0316751E" w14:textId="390B1BF1" w:rsidR="000E1143" w:rsidRPr="00B035BA" w:rsidRDefault="000E1143">
      <w:pPr>
        <w:pStyle w:val="FootnoteText"/>
        <w:rPr>
          <w:sz w:val="22"/>
          <w:szCs w:val="22"/>
        </w:rPr>
      </w:pPr>
      <w:r w:rsidRPr="00B035BA">
        <w:rPr>
          <w:rStyle w:val="FootnoteReference"/>
          <w:sz w:val="22"/>
          <w:szCs w:val="22"/>
        </w:rPr>
        <w:footnoteRef/>
      </w:r>
      <w:r w:rsidRPr="00B035BA">
        <w:rPr>
          <w:sz w:val="22"/>
          <w:szCs w:val="22"/>
        </w:rPr>
        <w:t xml:space="preserve"> See ENIL’s Independent Living survey (2020), available here: </w:t>
      </w:r>
      <w:hyperlink r:id="rId5" w:history="1">
        <w:r w:rsidRPr="00B035BA">
          <w:rPr>
            <w:rStyle w:val="Hyperlink"/>
            <w:sz w:val="22"/>
            <w:szCs w:val="22"/>
          </w:rPr>
          <w:t>https://enil.eu/independent-living/independent-living-survey/</w:t>
        </w:r>
      </w:hyperlink>
      <w:r w:rsidRPr="00B035BA">
        <w:rPr>
          <w:sz w:val="22"/>
          <w:szCs w:val="22"/>
        </w:rPr>
        <w:t xml:space="preserve"> </w:t>
      </w:r>
    </w:p>
  </w:footnote>
  <w:footnote w:id="7">
    <w:p w14:paraId="57B7B186" w14:textId="18A1F99C" w:rsidR="001D73CE" w:rsidRPr="00B035BA" w:rsidRDefault="001D73CE">
      <w:pPr>
        <w:pStyle w:val="FootnoteText"/>
        <w:rPr>
          <w:sz w:val="22"/>
          <w:szCs w:val="22"/>
        </w:rPr>
      </w:pPr>
      <w:r w:rsidRPr="00B035BA">
        <w:rPr>
          <w:rStyle w:val="FootnoteReference"/>
          <w:sz w:val="22"/>
          <w:szCs w:val="22"/>
        </w:rPr>
        <w:footnoteRef/>
      </w:r>
      <w:r w:rsidRPr="00B035BA">
        <w:rPr>
          <w:sz w:val="22"/>
          <w:szCs w:val="22"/>
        </w:rPr>
        <w:t xml:space="preserve"> Ombudsman for the Rights of Persons with Disabilities (2016), </w:t>
      </w:r>
      <w:r w:rsidRPr="00B035BA">
        <w:rPr>
          <w:i/>
          <w:iCs/>
          <w:sz w:val="22"/>
          <w:szCs w:val="22"/>
        </w:rPr>
        <w:t xml:space="preserve">The rights of people with disabilities in foster care and family homes, </w:t>
      </w:r>
      <w:r w:rsidRPr="00B035BA">
        <w:rPr>
          <w:sz w:val="22"/>
          <w:szCs w:val="22"/>
        </w:rPr>
        <w:t xml:space="preserve">available at: </w:t>
      </w:r>
      <w:hyperlink r:id="rId6" w:history="1">
        <w:r w:rsidRPr="00B035BA">
          <w:rPr>
            <w:rStyle w:val="Hyperlink"/>
            <w:sz w:val="22"/>
            <w:szCs w:val="22"/>
          </w:rPr>
          <w:t>https://posi.hr/wp-content/uploads/2018/02/zadnja-verzija-Publikacije-17.2.pdf</w:t>
        </w:r>
      </w:hyperlink>
      <w:r w:rsidRPr="00B035BA">
        <w:rPr>
          <w:sz w:val="22"/>
          <w:szCs w:val="22"/>
        </w:rPr>
        <w:t xml:space="preserve"> (in Croatian)</w:t>
      </w:r>
    </w:p>
  </w:footnote>
  <w:footnote w:id="8">
    <w:p w14:paraId="112D2E7A" w14:textId="30DA63BF" w:rsidR="001D73CE" w:rsidRPr="00B035BA" w:rsidRDefault="001D73CE">
      <w:pPr>
        <w:pStyle w:val="FootnoteText"/>
        <w:rPr>
          <w:sz w:val="22"/>
          <w:szCs w:val="22"/>
        </w:rPr>
      </w:pPr>
      <w:r w:rsidRPr="00B035BA">
        <w:rPr>
          <w:rStyle w:val="FootnoteReference"/>
          <w:sz w:val="22"/>
          <w:szCs w:val="22"/>
        </w:rPr>
        <w:footnoteRef/>
      </w:r>
      <w:r w:rsidRPr="00B035BA">
        <w:rPr>
          <w:sz w:val="22"/>
          <w:szCs w:val="22"/>
        </w:rPr>
        <w:t xml:space="preserve"> ENIL (2019) </w:t>
      </w:r>
      <w:r w:rsidRPr="00B035BA">
        <w:rPr>
          <w:i/>
          <w:iCs/>
          <w:sz w:val="22"/>
          <w:szCs w:val="22"/>
        </w:rPr>
        <w:t xml:space="preserve">PA Checklist – A Tool for Assessing Personal Assistance Schemes, </w:t>
      </w:r>
      <w:r w:rsidRPr="00B035BA">
        <w:rPr>
          <w:sz w:val="22"/>
          <w:szCs w:val="22"/>
        </w:rPr>
        <w:t xml:space="preserve">available at: </w:t>
      </w:r>
      <w:hyperlink r:id="rId7" w:history="1">
        <w:r w:rsidRPr="00B035BA">
          <w:rPr>
            <w:rStyle w:val="Hyperlink"/>
            <w:sz w:val="22"/>
            <w:szCs w:val="22"/>
          </w:rPr>
          <w:t>https://enil.eu/wp-content/uploads/2019/02/Mladenov_Pokern_Bulic-PA_Checklist.pdf</w:t>
        </w:r>
      </w:hyperlink>
      <w:r w:rsidRPr="00B035BA">
        <w:rPr>
          <w:sz w:val="22"/>
          <w:szCs w:val="22"/>
        </w:rPr>
        <w:t xml:space="preserve"> </w:t>
      </w:r>
    </w:p>
  </w:footnote>
  <w:footnote w:id="9">
    <w:p w14:paraId="3FD7FD94" w14:textId="591F8296" w:rsidR="00C328A2" w:rsidRDefault="00C328A2">
      <w:pPr>
        <w:pStyle w:val="FootnoteText"/>
      </w:pPr>
      <w:r>
        <w:rPr>
          <w:rStyle w:val="FootnoteReference"/>
        </w:rPr>
        <w:footnoteRef/>
      </w:r>
      <w:r>
        <w:t xml:space="preserve"> </w:t>
      </w:r>
      <w:r w:rsidRPr="00C328A2">
        <w:rPr>
          <w:sz w:val="22"/>
          <w:szCs w:val="22"/>
        </w:rPr>
        <w:t xml:space="preserve">CRPD/C/15/4, available at: </w:t>
      </w:r>
      <w:hyperlink r:id="rId8" w:history="1">
        <w:r w:rsidRPr="00C328A2">
          <w:rPr>
            <w:rStyle w:val="Hyperlink"/>
            <w:sz w:val="22"/>
            <w:szCs w:val="22"/>
          </w:rPr>
          <w:t>https://documents-dds-ny.un.org/doc/UNDOC/GEN/G17/326/14/PDF/G1732614.pdf?OpenElement</w:t>
        </w:r>
      </w:hyperlink>
      <w:r w:rsidRPr="00C328A2">
        <w:rPr>
          <w:sz w:val="22"/>
          <w:szCs w:val="22"/>
        </w:rPr>
        <w:t xml:space="preserve"> </w:t>
      </w:r>
    </w:p>
  </w:footnote>
  <w:footnote w:id="10">
    <w:p w14:paraId="6039CB70" w14:textId="1AA69A53" w:rsidR="00D519B5" w:rsidRDefault="00D519B5">
      <w:pPr>
        <w:pStyle w:val="FootnoteText"/>
      </w:pPr>
      <w:r>
        <w:rPr>
          <w:rStyle w:val="FootnoteReference"/>
        </w:rPr>
        <w:footnoteRef/>
      </w:r>
      <w:r>
        <w:t xml:space="preserve"> </w:t>
      </w:r>
      <w:r w:rsidRPr="00C328A2">
        <w:rPr>
          <w:sz w:val="22"/>
          <w:szCs w:val="22"/>
        </w:rPr>
        <w:t>CRPD/C/15/4</w:t>
      </w:r>
      <w:r>
        <w:rPr>
          <w:sz w:val="22"/>
          <w:szCs w:val="22"/>
        </w:rPr>
        <w:t>, para 114.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1134" w14:textId="0E8C2057" w:rsidR="00F020A1" w:rsidRDefault="00F020A1" w:rsidP="00F020A1">
    <w:pPr>
      <w:pStyle w:val="Header"/>
      <w:jc w:val="right"/>
    </w:pPr>
  </w:p>
  <w:p w14:paraId="355C5AA8" w14:textId="77777777" w:rsidR="00F020A1" w:rsidRDefault="00F020A1" w:rsidP="00F020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0099" w14:textId="640DD355" w:rsidR="00F020A1" w:rsidRDefault="00F020A1" w:rsidP="00F020A1">
    <w:pPr>
      <w:pStyle w:val="Header"/>
      <w:jc w:val="right"/>
    </w:pPr>
    <w:r>
      <w:rPr>
        <w:noProof/>
        <w:lang w:eastAsia="en-GB"/>
      </w:rPr>
      <w:drawing>
        <wp:inline distT="0" distB="0" distL="0" distR="0" wp14:anchorId="04452A01" wp14:editId="6C691D8F">
          <wp:extent cx="1092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p w14:paraId="01714D9B" w14:textId="77777777" w:rsidR="00F020A1" w:rsidRDefault="00F020A1" w:rsidP="00F020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1B76"/>
    <w:multiLevelType w:val="hybridMultilevel"/>
    <w:tmpl w:val="64D004B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3"/>
    <w:rsid w:val="00000CCD"/>
    <w:rsid w:val="000E1143"/>
    <w:rsid w:val="00133716"/>
    <w:rsid w:val="001B4C3B"/>
    <w:rsid w:val="001D2FA0"/>
    <w:rsid w:val="001D640A"/>
    <w:rsid w:val="001D73CE"/>
    <w:rsid w:val="002815E8"/>
    <w:rsid w:val="00294273"/>
    <w:rsid w:val="004213C8"/>
    <w:rsid w:val="004B1292"/>
    <w:rsid w:val="00593A68"/>
    <w:rsid w:val="0060522F"/>
    <w:rsid w:val="006C398D"/>
    <w:rsid w:val="00827A81"/>
    <w:rsid w:val="008B544D"/>
    <w:rsid w:val="00A070AF"/>
    <w:rsid w:val="00A35B54"/>
    <w:rsid w:val="00AB0879"/>
    <w:rsid w:val="00B035BA"/>
    <w:rsid w:val="00B82AA0"/>
    <w:rsid w:val="00C328A2"/>
    <w:rsid w:val="00C9349D"/>
    <w:rsid w:val="00D01F48"/>
    <w:rsid w:val="00D519B5"/>
    <w:rsid w:val="00D77922"/>
    <w:rsid w:val="00E23BCE"/>
    <w:rsid w:val="00E90ABF"/>
    <w:rsid w:val="00F020A1"/>
    <w:rsid w:val="00FB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A5F4"/>
  <w15:chartTrackingRefBased/>
  <w15:docId w15:val="{04002421-1022-EF44-9801-C7935522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73"/>
    <w:pPr>
      <w:spacing w:after="200"/>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94273"/>
    <w:rPr>
      <w:vertAlign w:val="superscript"/>
    </w:rPr>
  </w:style>
  <w:style w:type="paragraph" w:customStyle="1" w:styleId="Normal1">
    <w:name w:val="Normal1"/>
    <w:rsid w:val="00294273"/>
    <w:pPr>
      <w:spacing w:after="200" w:line="276" w:lineRule="auto"/>
    </w:pPr>
    <w:rPr>
      <w:rFonts w:ascii="Calibri" w:eastAsia="Calibri" w:hAnsi="Calibri" w:cs="Calibri"/>
      <w:color w:val="000000"/>
      <w:sz w:val="22"/>
      <w:szCs w:val="20"/>
    </w:rPr>
  </w:style>
  <w:style w:type="paragraph" w:styleId="FootnoteText">
    <w:name w:val="footnote text"/>
    <w:basedOn w:val="Normal"/>
    <w:link w:val="FootnoteTextChar"/>
    <w:uiPriority w:val="99"/>
    <w:semiHidden/>
    <w:unhideWhenUsed/>
    <w:rsid w:val="0060522F"/>
    <w:pPr>
      <w:spacing w:after="0"/>
    </w:pPr>
    <w:rPr>
      <w:sz w:val="20"/>
      <w:szCs w:val="20"/>
    </w:rPr>
  </w:style>
  <w:style w:type="character" w:customStyle="1" w:styleId="FootnoteTextChar">
    <w:name w:val="Footnote Text Char"/>
    <w:basedOn w:val="DefaultParagraphFont"/>
    <w:link w:val="FootnoteText"/>
    <w:uiPriority w:val="99"/>
    <w:semiHidden/>
    <w:rsid w:val="0060522F"/>
    <w:rPr>
      <w:rFonts w:ascii="Cambria" w:eastAsia="Cambria" w:hAnsi="Cambria" w:cs="Cambria"/>
      <w:sz w:val="20"/>
      <w:szCs w:val="20"/>
    </w:rPr>
  </w:style>
  <w:style w:type="character" w:styleId="Hyperlink">
    <w:name w:val="Hyperlink"/>
    <w:basedOn w:val="DefaultParagraphFont"/>
    <w:uiPriority w:val="99"/>
    <w:unhideWhenUsed/>
    <w:rsid w:val="0060522F"/>
    <w:rPr>
      <w:color w:val="0563C1" w:themeColor="hyperlink"/>
      <w:u w:val="single"/>
    </w:rPr>
  </w:style>
  <w:style w:type="character" w:customStyle="1" w:styleId="UnresolvedMention">
    <w:name w:val="Unresolved Mention"/>
    <w:basedOn w:val="DefaultParagraphFont"/>
    <w:uiPriority w:val="99"/>
    <w:semiHidden/>
    <w:unhideWhenUsed/>
    <w:rsid w:val="0060522F"/>
    <w:rPr>
      <w:color w:val="605E5C"/>
      <w:shd w:val="clear" w:color="auto" w:fill="E1DFDD"/>
    </w:rPr>
  </w:style>
  <w:style w:type="paragraph" w:styleId="NormalWeb">
    <w:name w:val="Normal (Web)"/>
    <w:basedOn w:val="Normal"/>
    <w:uiPriority w:val="99"/>
    <w:semiHidden/>
    <w:unhideWhenUsed/>
    <w:rsid w:val="001D640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020A1"/>
    <w:pPr>
      <w:tabs>
        <w:tab w:val="center" w:pos="4680"/>
        <w:tab w:val="right" w:pos="9360"/>
      </w:tabs>
      <w:spacing w:after="0"/>
    </w:pPr>
  </w:style>
  <w:style w:type="character" w:customStyle="1" w:styleId="HeaderChar">
    <w:name w:val="Header Char"/>
    <w:basedOn w:val="DefaultParagraphFont"/>
    <w:link w:val="Header"/>
    <w:uiPriority w:val="99"/>
    <w:rsid w:val="00F020A1"/>
    <w:rPr>
      <w:rFonts w:ascii="Cambria" w:eastAsia="Cambria" w:hAnsi="Cambria" w:cs="Cambria"/>
    </w:rPr>
  </w:style>
  <w:style w:type="paragraph" w:styleId="Footer">
    <w:name w:val="footer"/>
    <w:basedOn w:val="Normal"/>
    <w:link w:val="FooterChar"/>
    <w:uiPriority w:val="99"/>
    <w:unhideWhenUsed/>
    <w:rsid w:val="00F020A1"/>
    <w:pPr>
      <w:tabs>
        <w:tab w:val="center" w:pos="4680"/>
        <w:tab w:val="right" w:pos="9360"/>
      </w:tabs>
      <w:spacing w:after="0"/>
    </w:pPr>
  </w:style>
  <w:style w:type="character" w:customStyle="1" w:styleId="FooterChar">
    <w:name w:val="Footer Char"/>
    <w:basedOn w:val="DefaultParagraphFont"/>
    <w:link w:val="Footer"/>
    <w:uiPriority w:val="99"/>
    <w:rsid w:val="00F020A1"/>
    <w:rPr>
      <w:rFonts w:ascii="Cambria" w:eastAsia="Cambria" w:hAnsi="Cambria" w:cs="Cambria"/>
    </w:rPr>
  </w:style>
  <w:style w:type="paragraph" w:styleId="ListParagraph">
    <w:name w:val="List Paragraph"/>
    <w:basedOn w:val="Normal"/>
    <w:uiPriority w:val="34"/>
    <w:qFormat/>
    <w:rsid w:val="00D519B5"/>
    <w:pPr>
      <w:ind w:left="720"/>
      <w:contextualSpacing/>
    </w:pPr>
  </w:style>
  <w:style w:type="character" w:styleId="PageNumber">
    <w:name w:val="page number"/>
    <w:basedOn w:val="DefaultParagraphFont"/>
    <w:uiPriority w:val="99"/>
    <w:semiHidden/>
    <w:unhideWhenUsed/>
    <w:rsid w:val="00A3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99021">
      <w:bodyDiv w:val="1"/>
      <w:marLeft w:val="0"/>
      <w:marRight w:val="0"/>
      <w:marTop w:val="0"/>
      <w:marBottom w:val="0"/>
      <w:divBdr>
        <w:top w:val="none" w:sz="0" w:space="0" w:color="auto"/>
        <w:left w:val="none" w:sz="0" w:space="0" w:color="auto"/>
        <w:bottom w:val="none" w:sz="0" w:space="0" w:color="auto"/>
        <w:right w:val="none" w:sz="0" w:space="0" w:color="auto"/>
      </w:divBdr>
      <w:divsChild>
        <w:div w:id="377053598">
          <w:marLeft w:val="0"/>
          <w:marRight w:val="0"/>
          <w:marTop w:val="0"/>
          <w:marBottom w:val="0"/>
          <w:divBdr>
            <w:top w:val="none" w:sz="0" w:space="0" w:color="auto"/>
            <w:left w:val="none" w:sz="0" w:space="0" w:color="auto"/>
            <w:bottom w:val="none" w:sz="0" w:space="0" w:color="auto"/>
            <w:right w:val="none" w:sz="0" w:space="0" w:color="auto"/>
          </w:divBdr>
          <w:divsChild>
            <w:div w:id="1879076969">
              <w:marLeft w:val="0"/>
              <w:marRight w:val="0"/>
              <w:marTop w:val="0"/>
              <w:marBottom w:val="0"/>
              <w:divBdr>
                <w:top w:val="none" w:sz="0" w:space="0" w:color="auto"/>
                <w:left w:val="none" w:sz="0" w:space="0" w:color="auto"/>
                <w:bottom w:val="none" w:sz="0" w:space="0" w:color="auto"/>
                <w:right w:val="none" w:sz="0" w:space="0" w:color="auto"/>
              </w:divBdr>
              <w:divsChild>
                <w:div w:id="13746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5312">
      <w:bodyDiv w:val="1"/>
      <w:marLeft w:val="0"/>
      <w:marRight w:val="0"/>
      <w:marTop w:val="0"/>
      <w:marBottom w:val="0"/>
      <w:divBdr>
        <w:top w:val="none" w:sz="0" w:space="0" w:color="auto"/>
        <w:left w:val="none" w:sz="0" w:space="0" w:color="auto"/>
        <w:bottom w:val="none" w:sz="0" w:space="0" w:color="auto"/>
        <w:right w:val="none" w:sz="0" w:space="0" w:color="auto"/>
      </w:divBdr>
    </w:div>
    <w:div w:id="718743195">
      <w:bodyDiv w:val="1"/>
      <w:marLeft w:val="0"/>
      <w:marRight w:val="0"/>
      <w:marTop w:val="0"/>
      <w:marBottom w:val="0"/>
      <w:divBdr>
        <w:top w:val="none" w:sz="0" w:space="0" w:color="auto"/>
        <w:left w:val="none" w:sz="0" w:space="0" w:color="auto"/>
        <w:bottom w:val="none" w:sz="0" w:space="0" w:color="auto"/>
        <w:right w:val="none" w:sz="0" w:space="0" w:color="auto"/>
      </w:divBdr>
      <w:divsChild>
        <w:div w:id="81293821">
          <w:marLeft w:val="0"/>
          <w:marRight w:val="0"/>
          <w:marTop w:val="0"/>
          <w:marBottom w:val="0"/>
          <w:divBdr>
            <w:top w:val="none" w:sz="0" w:space="0" w:color="auto"/>
            <w:left w:val="none" w:sz="0" w:space="0" w:color="auto"/>
            <w:bottom w:val="none" w:sz="0" w:space="0" w:color="auto"/>
            <w:right w:val="none" w:sz="0" w:space="0" w:color="auto"/>
          </w:divBdr>
          <w:divsChild>
            <w:div w:id="440224343">
              <w:marLeft w:val="0"/>
              <w:marRight w:val="0"/>
              <w:marTop w:val="0"/>
              <w:marBottom w:val="0"/>
              <w:divBdr>
                <w:top w:val="none" w:sz="0" w:space="0" w:color="auto"/>
                <w:left w:val="none" w:sz="0" w:space="0" w:color="auto"/>
                <w:bottom w:val="none" w:sz="0" w:space="0" w:color="auto"/>
                <w:right w:val="none" w:sz="0" w:space="0" w:color="auto"/>
              </w:divBdr>
              <w:divsChild>
                <w:div w:id="6433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9031">
      <w:bodyDiv w:val="1"/>
      <w:marLeft w:val="0"/>
      <w:marRight w:val="0"/>
      <w:marTop w:val="0"/>
      <w:marBottom w:val="0"/>
      <w:divBdr>
        <w:top w:val="none" w:sz="0" w:space="0" w:color="auto"/>
        <w:left w:val="none" w:sz="0" w:space="0" w:color="auto"/>
        <w:bottom w:val="none" w:sz="0" w:space="0" w:color="auto"/>
        <w:right w:val="none" w:sz="0" w:space="0" w:color="auto"/>
      </w:divBdr>
      <w:divsChild>
        <w:div w:id="1340305277">
          <w:marLeft w:val="0"/>
          <w:marRight w:val="0"/>
          <w:marTop w:val="0"/>
          <w:marBottom w:val="0"/>
          <w:divBdr>
            <w:top w:val="none" w:sz="0" w:space="0" w:color="auto"/>
            <w:left w:val="none" w:sz="0" w:space="0" w:color="auto"/>
            <w:bottom w:val="none" w:sz="0" w:space="0" w:color="auto"/>
            <w:right w:val="none" w:sz="0" w:space="0" w:color="auto"/>
          </w:divBdr>
          <w:divsChild>
            <w:div w:id="755514123">
              <w:marLeft w:val="0"/>
              <w:marRight w:val="0"/>
              <w:marTop w:val="0"/>
              <w:marBottom w:val="0"/>
              <w:divBdr>
                <w:top w:val="none" w:sz="0" w:space="0" w:color="auto"/>
                <w:left w:val="none" w:sz="0" w:space="0" w:color="auto"/>
                <w:bottom w:val="none" w:sz="0" w:space="0" w:color="auto"/>
                <w:right w:val="none" w:sz="0" w:space="0" w:color="auto"/>
              </w:divBdr>
              <w:divsChild>
                <w:div w:id="1389374898">
                  <w:marLeft w:val="0"/>
                  <w:marRight w:val="0"/>
                  <w:marTop w:val="0"/>
                  <w:marBottom w:val="0"/>
                  <w:divBdr>
                    <w:top w:val="none" w:sz="0" w:space="0" w:color="auto"/>
                    <w:left w:val="none" w:sz="0" w:space="0" w:color="auto"/>
                    <w:bottom w:val="none" w:sz="0" w:space="0" w:color="auto"/>
                    <w:right w:val="none" w:sz="0" w:space="0" w:color="auto"/>
                  </w:divBdr>
                </w:div>
              </w:divsChild>
            </w:div>
            <w:div w:id="319386065">
              <w:marLeft w:val="0"/>
              <w:marRight w:val="0"/>
              <w:marTop w:val="0"/>
              <w:marBottom w:val="0"/>
              <w:divBdr>
                <w:top w:val="none" w:sz="0" w:space="0" w:color="auto"/>
                <w:left w:val="none" w:sz="0" w:space="0" w:color="auto"/>
                <w:bottom w:val="none" w:sz="0" w:space="0" w:color="auto"/>
                <w:right w:val="none" w:sz="0" w:space="0" w:color="auto"/>
              </w:divBdr>
              <w:divsChild>
                <w:div w:id="658659248">
                  <w:marLeft w:val="0"/>
                  <w:marRight w:val="0"/>
                  <w:marTop w:val="0"/>
                  <w:marBottom w:val="0"/>
                  <w:divBdr>
                    <w:top w:val="none" w:sz="0" w:space="0" w:color="auto"/>
                    <w:left w:val="none" w:sz="0" w:space="0" w:color="auto"/>
                    <w:bottom w:val="none" w:sz="0" w:space="0" w:color="auto"/>
                    <w:right w:val="none" w:sz="0" w:space="0" w:color="auto"/>
                  </w:divBdr>
                </w:div>
              </w:divsChild>
            </w:div>
            <w:div w:id="446967373">
              <w:marLeft w:val="0"/>
              <w:marRight w:val="0"/>
              <w:marTop w:val="0"/>
              <w:marBottom w:val="0"/>
              <w:divBdr>
                <w:top w:val="none" w:sz="0" w:space="0" w:color="auto"/>
                <w:left w:val="none" w:sz="0" w:space="0" w:color="auto"/>
                <w:bottom w:val="none" w:sz="0" w:space="0" w:color="auto"/>
                <w:right w:val="none" w:sz="0" w:space="0" w:color="auto"/>
              </w:divBdr>
              <w:divsChild>
                <w:div w:id="20967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601">
          <w:marLeft w:val="0"/>
          <w:marRight w:val="0"/>
          <w:marTop w:val="0"/>
          <w:marBottom w:val="0"/>
          <w:divBdr>
            <w:top w:val="none" w:sz="0" w:space="0" w:color="auto"/>
            <w:left w:val="none" w:sz="0" w:space="0" w:color="auto"/>
            <w:bottom w:val="none" w:sz="0" w:space="0" w:color="auto"/>
            <w:right w:val="none" w:sz="0" w:space="0" w:color="auto"/>
          </w:divBdr>
          <w:divsChild>
            <w:div w:id="752967105">
              <w:marLeft w:val="0"/>
              <w:marRight w:val="0"/>
              <w:marTop w:val="0"/>
              <w:marBottom w:val="0"/>
              <w:divBdr>
                <w:top w:val="none" w:sz="0" w:space="0" w:color="auto"/>
                <w:left w:val="none" w:sz="0" w:space="0" w:color="auto"/>
                <w:bottom w:val="none" w:sz="0" w:space="0" w:color="auto"/>
                <w:right w:val="none" w:sz="0" w:space="0" w:color="auto"/>
              </w:divBdr>
              <w:divsChild>
                <w:div w:id="613245827">
                  <w:marLeft w:val="0"/>
                  <w:marRight w:val="0"/>
                  <w:marTop w:val="0"/>
                  <w:marBottom w:val="0"/>
                  <w:divBdr>
                    <w:top w:val="none" w:sz="0" w:space="0" w:color="auto"/>
                    <w:left w:val="none" w:sz="0" w:space="0" w:color="auto"/>
                    <w:bottom w:val="none" w:sz="0" w:space="0" w:color="auto"/>
                    <w:right w:val="none" w:sz="0" w:space="0" w:color="auto"/>
                  </w:divBdr>
                </w:div>
              </w:divsChild>
            </w:div>
            <w:div w:id="1905871869">
              <w:marLeft w:val="0"/>
              <w:marRight w:val="0"/>
              <w:marTop w:val="0"/>
              <w:marBottom w:val="0"/>
              <w:divBdr>
                <w:top w:val="none" w:sz="0" w:space="0" w:color="auto"/>
                <w:left w:val="none" w:sz="0" w:space="0" w:color="auto"/>
                <w:bottom w:val="none" w:sz="0" w:space="0" w:color="auto"/>
                <w:right w:val="none" w:sz="0" w:space="0" w:color="auto"/>
              </w:divBdr>
              <w:divsChild>
                <w:div w:id="15137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1947">
      <w:bodyDiv w:val="1"/>
      <w:marLeft w:val="0"/>
      <w:marRight w:val="0"/>
      <w:marTop w:val="0"/>
      <w:marBottom w:val="0"/>
      <w:divBdr>
        <w:top w:val="none" w:sz="0" w:space="0" w:color="auto"/>
        <w:left w:val="none" w:sz="0" w:space="0" w:color="auto"/>
        <w:bottom w:val="none" w:sz="0" w:space="0" w:color="auto"/>
        <w:right w:val="none" w:sz="0" w:space="0" w:color="auto"/>
      </w:divBdr>
      <w:divsChild>
        <w:div w:id="658265319">
          <w:marLeft w:val="0"/>
          <w:marRight w:val="0"/>
          <w:marTop w:val="0"/>
          <w:marBottom w:val="0"/>
          <w:divBdr>
            <w:top w:val="none" w:sz="0" w:space="0" w:color="auto"/>
            <w:left w:val="none" w:sz="0" w:space="0" w:color="auto"/>
            <w:bottom w:val="none" w:sz="0" w:space="0" w:color="auto"/>
            <w:right w:val="none" w:sz="0" w:space="0" w:color="auto"/>
          </w:divBdr>
          <w:divsChild>
            <w:div w:id="2083411358">
              <w:marLeft w:val="0"/>
              <w:marRight w:val="0"/>
              <w:marTop w:val="0"/>
              <w:marBottom w:val="0"/>
              <w:divBdr>
                <w:top w:val="none" w:sz="0" w:space="0" w:color="auto"/>
                <w:left w:val="none" w:sz="0" w:space="0" w:color="auto"/>
                <w:bottom w:val="none" w:sz="0" w:space="0" w:color="auto"/>
                <w:right w:val="none" w:sz="0" w:space="0" w:color="auto"/>
              </w:divBdr>
              <w:divsChild>
                <w:div w:id="20610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48244">
      <w:bodyDiv w:val="1"/>
      <w:marLeft w:val="0"/>
      <w:marRight w:val="0"/>
      <w:marTop w:val="0"/>
      <w:marBottom w:val="0"/>
      <w:divBdr>
        <w:top w:val="none" w:sz="0" w:space="0" w:color="auto"/>
        <w:left w:val="none" w:sz="0" w:space="0" w:color="auto"/>
        <w:bottom w:val="none" w:sz="0" w:space="0" w:color="auto"/>
        <w:right w:val="none" w:sz="0" w:space="0" w:color="auto"/>
      </w:divBdr>
      <w:divsChild>
        <w:div w:id="102851220">
          <w:marLeft w:val="0"/>
          <w:marRight w:val="0"/>
          <w:marTop w:val="0"/>
          <w:marBottom w:val="0"/>
          <w:divBdr>
            <w:top w:val="none" w:sz="0" w:space="0" w:color="auto"/>
            <w:left w:val="none" w:sz="0" w:space="0" w:color="auto"/>
            <w:bottom w:val="none" w:sz="0" w:space="0" w:color="auto"/>
            <w:right w:val="none" w:sz="0" w:space="0" w:color="auto"/>
          </w:divBdr>
          <w:divsChild>
            <w:div w:id="302392513">
              <w:marLeft w:val="0"/>
              <w:marRight w:val="0"/>
              <w:marTop w:val="0"/>
              <w:marBottom w:val="0"/>
              <w:divBdr>
                <w:top w:val="none" w:sz="0" w:space="0" w:color="auto"/>
                <w:left w:val="none" w:sz="0" w:space="0" w:color="auto"/>
                <w:bottom w:val="none" w:sz="0" w:space="0" w:color="auto"/>
                <w:right w:val="none" w:sz="0" w:space="0" w:color="auto"/>
              </w:divBdr>
              <w:divsChild>
                <w:div w:id="20809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l.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enil.eu"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G17/326/14/PDF/G1732614.pdf?OpenElement" TargetMode="External"/><Relationship Id="rId3" Type="http://schemas.openxmlformats.org/officeDocument/2006/relationships/hyperlink" Target="https://enil.eu/wp-content/uploads/2019/10/Freedom-of-Movement_Background-Paper_Final-1.pdf" TargetMode="External"/><Relationship Id="rId7" Type="http://schemas.openxmlformats.org/officeDocument/2006/relationships/hyperlink" Target="https://enil.eu/wp-content/uploads/2019/02/Mladenov_Pokern_Bulic-PA_Checklist.pdf" TargetMode="External"/><Relationship Id="rId2" Type="http://schemas.openxmlformats.org/officeDocument/2006/relationships/hyperlink" Target="https://enil.eu/independent-living/independent-living-survey/" TargetMode="External"/><Relationship Id="rId1" Type="http://schemas.openxmlformats.org/officeDocument/2006/relationships/hyperlink" Target="https://www.enil.eu/wp-content/uploads/2012/06/Independent-Living-Manual-FINAL.pdf" TargetMode="External"/><Relationship Id="rId6" Type="http://schemas.openxmlformats.org/officeDocument/2006/relationships/hyperlink" Target="https://posi.hr/wp-content/uploads/2018/02/zadnja-verzija-Publikacije-17.2.pdf" TargetMode="External"/><Relationship Id="rId5" Type="http://schemas.openxmlformats.org/officeDocument/2006/relationships/hyperlink" Target="https://enil.eu/independent-living/independent-living-survey/" TargetMode="External"/><Relationship Id="rId4" Type="http://schemas.openxmlformats.org/officeDocument/2006/relationships/hyperlink" Target="https://enil.eu/wp-content/uploads/2020/12/Study_EP_EN_0912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EB1289-B475-4EDC-BAB5-346642A97422}"/>
</file>

<file path=customXml/itemProps2.xml><?xml version="1.0" encoding="utf-8"?>
<ds:datastoreItem xmlns:ds="http://schemas.openxmlformats.org/officeDocument/2006/customXml" ds:itemID="{87DCE3C3-BD33-4A9F-A8D0-53FED2231B0D}"/>
</file>

<file path=customXml/itemProps3.xml><?xml version="1.0" encoding="utf-8"?>
<ds:datastoreItem xmlns:ds="http://schemas.openxmlformats.org/officeDocument/2006/customXml" ds:itemID="{739D2BB6-6D17-4A87-8AAB-7F62AECAA70C}"/>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11680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Bulic</dc:creator>
  <cp:keywords/>
  <dc:description/>
  <cp:lastModifiedBy>Janna Iskakova</cp:lastModifiedBy>
  <cp:revision>2</cp:revision>
  <dcterms:created xsi:type="dcterms:W3CDTF">2021-03-16T20:02:00Z</dcterms:created>
  <dcterms:modified xsi:type="dcterms:W3CDTF">2021-03-16T20:02:00Z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