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20055" w14:textId="6E960ECF" w:rsidR="00D12FAA" w:rsidRDefault="00E26843" w:rsidP="005323D5">
      <w:pPr>
        <w:jc w:val="both"/>
        <w:rPr>
          <w:rFonts w:ascii="Cambria" w:hAnsi="Cambria"/>
          <w:sz w:val="22"/>
          <w:szCs w:val="22"/>
        </w:rPr>
      </w:pPr>
      <w:bookmarkStart w:id="0" w:name="_GoBack"/>
      <w:bookmarkEnd w:id="0"/>
    </w:p>
    <w:p w14:paraId="0C4B940E" w14:textId="0B22BFD8" w:rsidR="00816885" w:rsidRDefault="00816885" w:rsidP="00EB7458">
      <w:pPr>
        <w:jc w:val="center"/>
        <w:rPr>
          <w:rFonts w:ascii="Cambria" w:hAnsi="Cambria"/>
          <w:b/>
          <w:bCs/>
          <w:sz w:val="22"/>
          <w:szCs w:val="22"/>
        </w:rPr>
      </w:pPr>
      <w:r>
        <w:rPr>
          <w:rFonts w:ascii="Cambria" w:hAnsi="Cambria"/>
          <w:b/>
          <w:bCs/>
          <w:sz w:val="22"/>
          <w:szCs w:val="22"/>
        </w:rPr>
        <w:t>Equal Rights Trust</w:t>
      </w:r>
    </w:p>
    <w:p w14:paraId="01F56F86" w14:textId="77777777" w:rsidR="00816885" w:rsidRDefault="00816885" w:rsidP="00EB7458">
      <w:pPr>
        <w:jc w:val="center"/>
        <w:rPr>
          <w:rFonts w:ascii="Cambria" w:hAnsi="Cambria"/>
          <w:b/>
          <w:bCs/>
          <w:sz w:val="22"/>
          <w:szCs w:val="22"/>
        </w:rPr>
      </w:pPr>
    </w:p>
    <w:p w14:paraId="637661A3" w14:textId="4A7B944F" w:rsidR="00EB7458" w:rsidRPr="00EB7458" w:rsidRDefault="00EB7458" w:rsidP="00EB7458">
      <w:pPr>
        <w:jc w:val="center"/>
        <w:rPr>
          <w:rFonts w:ascii="Cambria" w:hAnsi="Cambria"/>
          <w:b/>
          <w:bCs/>
          <w:sz w:val="22"/>
          <w:szCs w:val="22"/>
          <w:lang w:val="en-US"/>
        </w:rPr>
      </w:pPr>
      <w:r>
        <w:rPr>
          <w:rFonts w:ascii="Cambria" w:hAnsi="Cambria"/>
          <w:b/>
          <w:bCs/>
          <w:sz w:val="22"/>
          <w:szCs w:val="22"/>
        </w:rPr>
        <w:t xml:space="preserve">Oral Intervention: </w:t>
      </w:r>
      <w:r w:rsidRPr="00EB7458">
        <w:rPr>
          <w:rFonts w:ascii="Cambria" w:hAnsi="Cambria"/>
          <w:b/>
          <w:bCs/>
          <w:sz w:val="22"/>
          <w:szCs w:val="22"/>
          <w:lang w:val="en-US"/>
        </w:rPr>
        <w:t>General discussion on the right of persons with disabilities to work and employment</w:t>
      </w:r>
    </w:p>
    <w:p w14:paraId="0DC31C27" w14:textId="69CC6882" w:rsidR="00EB7458" w:rsidRDefault="00EB7458" w:rsidP="00EB7458">
      <w:pPr>
        <w:jc w:val="center"/>
        <w:rPr>
          <w:rFonts w:ascii="Cambria" w:hAnsi="Cambria"/>
          <w:b/>
          <w:bCs/>
          <w:sz w:val="22"/>
          <w:szCs w:val="22"/>
        </w:rPr>
      </w:pPr>
    </w:p>
    <w:p w14:paraId="72DC1E85" w14:textId="1BE8E4F8" w:rsidR="00EB7458" w:rsidRPr="00EB7458" w:rsidRDefault="00EB7458" w:rsidP="00EB7458">
      <w:pPr>
        <w:jc w:val="center"/>
        <w:rPr>
          <w:rFonts w:ascii="Cambria" w:hAnsi="Cambria"/>
          <w:sz w:val="22"/>
          <w:szCs w:val="22"/>
        </w:rPr>
      </w:pPr>
      <w:r>
        <w:rPr>
          <w:rFonts w:ascii="Cambria" w:hAnsi="Cambria"/>
          <w:i/>
          <w:iCs/>
          <w:sz w:val="22"/>
          <w:szCs w:val="22"/>
        </w:rPr>
        <w:t>March 2021</w:t>
      </w:r>
    </w:p>
    <w:p w14:paraId="10254B43" w14:textId="77777777" w:rsidR="0039454A" w:rsidRPr="00EB7458" w:rsidRDefault="0039454A" w:rsidP="005323D5">
      <w:pPr>
        <w:jc w:val="both"/>
        <w:rPr>
          <w:rFonts w:ascii="Cambria" w:hAnsi="Cambria"/>
          <w:sz w:val="22"/>
          <w:szCs w:val="22"/>
        </w:rPr>
      </w:pPr>
    </w:p>
    <w:p w14:paraId="56360EA2" w14:textId="50A4BD1C" w:rsidR="00EB7458" w:rsidRPr="00EB7458" w:rsidRDefault="00EB7458" w:rsidP="00EB7458">
      <w:pPr>
        <w:jc w:val="both"/>
        <w:rPr>
          <w:rFonts w:ascii="Cambria" w:hAnsi="Cambria"/>
          <w:sz w:val="22"/>
          <w:szCs w:val="22"/>
        </w:rPr>
      </w:pPr>
      <w:r w:rsidRPr="00EB7458">
        <w:rPr>
          <w:rFonts w:ascii="Cambria" w:hAnsi="Cambria"/>
          <w:sz w:val="22"/>
          <w:szCs w:val="22"/>
        </w:rPr>
        <w:t xml:space="preserve">The Equal Rights Trust is an independent, international </w:t>
      </w:r>
      <w:proofErr w:type="gramStart"/>
      <w:r w:rsidRPr="00EB7458">
        <w:rPr>
          <w:rFonts w:ascii="Cambria" w:hAnsi="Cambria"/>
          <w:sz w:val="22"/>
          <w:szCs w:val="22"/>
        </w:rPr>
        <w:t>organisation which</w:t>
      </w:r>
      <w:proofErr w:type="gramEnd"/>
      <w:r w:rsidRPr="00EB7458">
        <w:rPr>
          <w:rFonts w:ascii="Cambria" w:hAnsi="Cambria"/>
          <w:sz w:val="22"/>
          <w:szCs w:val="22"/>
        </w:rPr>
        <w:t xml:space="preserve"> works in partnership with civil society organisations and other equality defenders to support efforts to secure the adoption, enforcement and implementation of anti-discrimination laws. In the last decade, we have supported disabled persons organisations (DPOs) to document and challenge discrimination against persons with disabilities in countries ranging from Kenya to Kyrgyzstan. We are currently partnering with Saraki, a Paraguayan DPO, in a major new initiative which aims to improve the implementation of Articles 5 and 27 of the CRPD throughout Latin America.</w:t>
      </w:r>
    </w:p>
    <w:p w14:paraId="72DC4F68" w14:textId="77777777" w:rsidR="00EB7458" w:rsidRPr="00EB7458" w:rsidRDefault="00EB7458" w:rsidP="00EB7458">
      <w:pPr>
        <w:jc w:val="both"/>
        <w:rPr>
          <w:rFonts w:ascii="Cambria" w:hAnsi="Cambria"/>
          <w:sz w:val="22"/>
          <w:szCs w:val="22"/>
        </w:rPr>
      </w:pPr>
    </w:p>
    <w:p w14:paraId="08DF2F49" w14:textId="77777777" w:rsidR="00EB7458" w:rsidRPr="00EB7458" w:rsidRDefault="00EB7458" w:rsidP="00EB7458">
      <w:pPr>
        <w:jc w:val="both"/>
        <w:rPr>
          <w:rFonts w:ascii="Cambria" w:hAnsi="Cambria"/>
          <w:sz w:val="22"/>
          <w:szCs w:val="22"/>
        </w:rPr>
      </w:pPr>
      <w:r w:rsidRPr="00EB7458">
        <w:rPr>
          <w:rFonts w:ascii="Cambria" w:hAnsi="Cambria"/>
          <w:sz w:val="22"/>
          <w:szCs w:val="22"/>
        </w:rPr>
        <w:t>We congratulate the Committee on the Outline for a forthcoming General Comment on the right to work and employment and thank you for the opportunity to comment on it. Our comments focus on the intersection between Article 27 and Article 5, and in particular on ensuring consistency between the forthcoming General Comment and the Committee’s General Comment 6, in five key areas:</w:t>
      </w:r>
    </w:p>
    <w:p w14:paraId="7525C993" w14:textId="77777777" w:rsidR="00EB7458" w:rsidRPr="00EB7458" w:rsidRDefault="00EB7458" w:rsidP="00EB7458">
      <w:pPr>
        <w:jc w:val="both"/>
        <w:rPr>
          <w:rFonts w:ascii="Cambria" w:hAnsi="Cambria"/>
          <w:sz w:val="22"/>
          <w:szCs w:val="22"/>
        </w:rPr>
      </w:pPr>
    </w:p>
    <w:p w14:paraId="45B3063C" w14:textId="5BAF9CB2" w:rsidR="00EB7458" w:rsidRPr="00EB7458" w:rsidRDefault="00EB7458" w:rsidP="00EB7458">
      <w:pPr>
        <w:pStyle w:val="ListParagraph"/>
        <w:numPr>
          <w:ilvl w:val="0"/>
          <w:numId w:val="4"/>
        </w:numPr>
        <w:spacing w:after="0" w:line="240" w:lineRule="auto"/>
        <w:jc w:val="both"/>
        <w:rPr>
          <w:rFonts w:ascii="Cambria" w:hAnsi="Cambria"/>
        </w:rPr>
      </w:pPr>
      <w:r w:rsidRPr="00EB7458">
        <w:rPr>
          <w:rFonts w:ascii="Cambria" w:hAnsi="Cambria"/>
        </w:rPr>
        <w:t xml:space="preserve">The Outline provides a detailed discussion of each of the paragraphs of Art. </w:t>
      </w:r>
      <w:proofErr w:type="gramStart"/>
      <w:r w:rsidRPr="00EB7458">
        <w:rPr>
          <w:rFonts w:ascii="Cambria" w:hAnsi="Cambria"/>
        </w:rPr>
        <w:t>27</w:t>
      </w:r>
      <w:proofErr w:type="gramEnd"/>
      <w:r w:rsidRPr="00EB7458">
        <w:rPr>
          <w:rFonts w:ascii="Cambria" w:hAnsi="Cambria"/>
        </w:rPr>
        <w:t xml:space="preserve">, with the exception of the opening paragraph. We urge the Committee to include a discussion on this paragraph, and to take the opportunity to emphasise the three guiding principles which it articulates: (i) that persons with disabilities have a right to work on an </w:t>
      </w:r>
      <w:r w:rsidRPr="00EB7458">
        <w:rPr>
          <w:rFonts w:ascii="Cambria" w:hAnsi="Cambria"/>
          <w:i/>
          <w:iCs/>
        </w:rPr>
        <w:t>equal basis with others</w:t>
      </w:r>
      <w:r w:rsidRPr="00EB7458">
        <w:rPr>
          <w:rFonts w:ascii="Cambria" w:hAnsi="Cambria"/>
        </w:rPr>
        <w:t xml:space="preserve">; (ii) that the right to work is a right to </w:t>
      </w:r>
      <w:r w:rsidRPr="00EB7458">
        <w:rPr>
          <w:rFonts w:ascii="Cambria" w:hAnsi="Cambria"/>
          <w:i/>
          <w:iCs/>
        </w:rPr>
        <w:t>gain a living by work freely chosen</w:t>
      </w:r>
      <w:r w:rsidRPr="00EB7458">
        <w:rPr>
          <w:rFonts w:ascii="Cambria" w:hAnsi="Cambria"/>
        </w:rPr>
        <w:t xml:space="preserve">; (iii) that the right to work is a right to </w:t>
      </w:r>
      <w:r w:rsidRPr="00EB7458">
        <w:rPr>
          <w:rFonts w:ascii="Cambria" w:hAnsi="Cambria"/>
          <w:i/>
          <w:iCs/>
        </w:rPr>
        <w:t>work in an environment which is inclusive</w:t>
      </w:r>
      <w:r w:rsidRPr="00EB7458">
        <w:rPr>
          <w:rFonts w:ascii="Cambria" w:hAnsi="Cambria"/>
        </w:rPr>
        <w:t xml:space="preserve">. While these points </w:t>
      </w:r>
      <w:r w:rsidRPr="00EB7458">
        <w:rPr>
          <w:rFonts w:ascii="Cambria" w:hAnsi="Cambria"/>
        </w:rPr>
        <w:lastRenderedPageBreak/>
        <w:t xml:space="preserve">may appear self-evident, we consider it essential that the Committee articulates clearly that Article 27 establishes a </w:t>
      </w:r>
      <w:r w:rsidRPr="00CC144E">
        <w:rPr>
          <w:rFonts w:ascii="Cambria" w:hAnsi="Cambria"/>
          <w:i/>
          <w:iCs/>
        </w:rPr>
        <w:t>positive obligation on states to ensure equal enjoyment of the right to work</w:t>
      </w:r>
      <w:r w:rsidRPr="00EB7458">
        <w:rPr>
          <w:rFonts w:ascii="Cambria" w:hAnsi="Cambria"/>
        </w:rPr>
        <w:t>, and that this necessitates both the removal of discriminatory barriers and positive</w:t>
      </w:r>
      <w:r w:rsidR="00CC144E">
        <w:rPr>
          <w:rFonts w:ascii="Cambria" w:hAnsi="Cambria"/>
        </w:rPr>
        <w:t>, proactive</w:t>
      </w:r>
      <w:r w:rsidRPr="00EB7458">
        <w:rPr>
          <w:rFonts w:ascii="Cambria" w:hAnsi="Cambria"/>
        </w:rPr>
        <w:t xml:space="preserve"> measures to enable freedom of choice and equal participation.</w:t>
      </w:r>
    </w:p>
    <w:p w14:paraId="00031321" w14:textId="77777777" w:rsidR="00EB7458" w:rsidRPr="00EB7458" w:rsidRDefault="00EB7458" w:rsidP="00EB7458">
      <w:pPr>
        <w:pStyle w:val="ListParagraph"/>
        <w:spacing w:after="0" w:line="240" w:lineRule="auto"/>
        <w:jc w:val="both"/>
        <w:rPr>
          <w:rFonts w:ascii="Cambria" w:hAnsi="Cambria"/>
        </w:rPr>
      </w:pPr>
    </w:p>
    <w:p w14:paraId="1101789C" w14:textId="77777777" w:rsidR="00EB7458" w:rsidRPr="00EB7458" w:rsidRDefault="00EB7458" w:rsidP="00EB7458">
      <w:pPr>
        <w:pStyle w:val="ListParagraph"/>
        <w:numPr>
          <w:ilvl w:val="0"/>
          <w:numId w:val="4"/>
        </w:numPr>
        <w:spacing w:after="0" w:line="240" w:lineRule="auto"/>
        <w:jc w:val="both"/>
        <w:rPr>
          <w:rFonts w:ascii="Cambria" w:hAnsi="Cambria"/>
        </w:rPr>
      </w:pPr>
      <w:r w:rsidRPr="00EB7458">
        <w:rPr>
          <w:rFonts w:ascii="Cambria" w:hAnsi="Cambria"/>
        </w:rPr>
        <w:t>The discussion of Art 27(1)(a) should, in our view, reiterate and refer to the definition of the right to non-discrimination as set out by the Committee in its General Comment 6. Thus, we would recommend that the Committee notes that states have an obligation to (i) prohibit direct and indirect discrimination, harassment and failure to make reasonable accommodation (ii) address multiple and intersectional discrimination.</w:t>
      </w:r>
    </w:p>
    <w:p w14:paraId="007CC52E" w14:textId="77777777" w:rsidR="00EB7458" w:rsidRPr="00EB7458" w:rsidRDefault="00EB7458" w:rsidP="00EB7458">
      <w:pPr>
        <w:pStyle w:val="ListParagraph"/>
        <w:spacing w:after="0" w:line="240" w:lineRule="auto"/>
        <w:jc w:val="both"/>
        <w:rPr>
          <w:rFonts w:ascii="Cambria" w:hAnsi="Cambria"/>
        </w:rPr>
      </w:pPr>
    </w:p>
    <w:p w14:paraId="4DA5221B" w14:textId="7B1B2F94" w:rsidR="00EB7458" w:rsidRPr="00EB7458" w:rsidRDefault="00EB7458" w:rsidP="00EB7458">
      <w:pPr>
        <w:pStyle w:val="ListParagraph"/>
        <w:numPr>
          <w:ilvl w:val="0"/>
          <w:numId w:val="4"/>
        </w:numPr>
        <w:spacing w:after="0" w:line="240" w:lineRule="auto"/>
        <w:jc w:val="both"/>
        <w:rPr>
          <w:rFonts w:ascii="Cambria" w:hAnsi="Cambria"/>
        </w:rPr>
      </w:pPr>
      <w:r w:rsidRPr="00EB7458">
        <w:rPr>
          <w:rFonts w:ascii="Cambria" w:hAnsi="Cambria"/>
        </w:rPr>
        <w:t xml:space="preserve">In the discussion Art 27(1)(b), we would recommend that the Committee makes specific reference to the right to just and favourable conditions of work and equal opportunities – elements of the right which are not covered in the Outline – to reflect the importance of ensuring equality in all aspects of the employment relationship. We would propose that the Committee states clearly that policies permitting persons with disabilities to be paid lower wages </w:t>
      </w:r>
      <w:r w:rsidRPr="00EB7458">
        <w:rPr>
          <w:rFonts w:ascii="Cambria" w:hAnsi="Cambria"/>
          <w:i/>
          <w:iCs/>
        </w:rPr>
        <w:t>are discriminatory</w:t>
      </w:r>
      <w:r w:rsidRPr="00EB7458">
        <w:rPr>
          <w:rFonts w:ascii="Cambria" w:hAnsi="Cambria"/>
        </w:rPr>
        <w:t xml:space="preserve">, rather than that they </w:t>
      </w:r>
      <w:r w:rsidRPr="00EB7458">
        <w:rPr>
          <w:rFonts w:ascii="Cambria" w:hAnsi="Cambria"/>
          <w:i/>
          <w:iCs/>
        </w:rPr>
        <w:t>appear</w:t>
      </w:r>
      <w:r w:rsidRPr="00EB7458">
        <w:rPr>
          <w:rFonts w:ascii="Cambria" w:hAnsi="Cambria"/>
        </w:rPr>
        <w:t xml:space="preserve"> to be so. We would ask that in discussing harassment, the Committee reiterates the definition provided in its General Comment 6. </w:t>
      </w:r>
    </w:p>
    <w:p w14:paraId="531A4455" w14:textId="77777777" w:rsidR="00EB7458" w:rsidRPr="00EB7458" w:rsidRDefault="00EB7458" w:rsidP="00EB7458">
      <w:pPr>
        <w:pStyle w:val="ListParagraph"/>
        <w:spacing w:after="0" w:line="240" w:lineRule="auto"/>
        <w:jc w:val="both"/>
        <w:rPr>
          <w:rFonts w:ascii="Cambria" w:hAnsi="Cambria"/>
        </w:rPr>
      </w:pPr>
    </w:p>
    <w:p w14:paraId="31BC4865" w14:textId="77777777" w:rsidR="00EB7458" w:rsidRPr="00EB7458" w:rsidRDefault="00EB7458" w:rsidP="00EB7458">
      <w:pPr>
        <w:pStyle w:val="ListParagraph"/>
        <w:numPr>
          <w:ilvl w:val="0"/>
          <w:numId w:val="4"/>
        </w:numPr>
        <w:spacing w:after="0" w:line="240" w:lineRule="auto"/>
        <w:jc w:val="both"/>
        <w:rPr>
          <w:rFonts w:ascii="Cambria" w:hAnsi="Cambria"/>
        </w:rPr>
      </w:pPr>
      <w:r w:rsidRPr="00EB7458">
        <w:rPr>
          <w:rFonts w:ascii="Cambria" w:hAnsi="Cambria"/>
        </w:rPr>
        <w:t xml:space="preserve">In the discussion of Art 27(1)(h), we would recommend that the Committee discusses the full range of policies and measures to promote employment, noting that affirmative action programmes should be part of a holistic policy response. We would ask that the Committee reiterates its statement in General Comment 6 that states are required – not only permitted – to institute specific measures. We would also urge the Committee to note that states must ensure that such measures do not reinforce stereotypes or serve to limit choice.  </w:t>
      </w:r>
    </w:p>
    <w:p w14:paraId="1F322A87" w14:textId="77777777" w:rsidR="00EB7458" w:rsidRPr="00EB7458" w:rsidRDefault="00EB7458" w:rsidP="00EB7458">
      <w:pPr>
        <w:pStyle w:val="ListParagraph"/>
        <w:spacing w:after="0" w:line="240" w:lineRule="auto"/>
        <w:jc w:val="both"/>
        <w:rPr>
          <w:rFonts w:ascii="Cambria" w:hAnsi="Cambria"/>
        </w:rPr>
      </w:pPr>
    </w:p>
    <w:p w14:paraId="62963CBB" w14:textId="3760F278" w:rsidR="00EB7458" w:rsidRPr="00EB7458" w:rsidRDefault="00EB7458" w:rsidP="00EB7458">
      <w:pPr>
        <w:pStyle w:val="ListParagraph"/>
        <w:numPr>
          <w:ilvl w:val="0"/>
          <w:numId w:val="4"/>
        </w:numPr>
        <w:spacing w:after="0" w:line="240" w:lineRule="auto"/>
        <w:jc w:val="both"/>
        <w:rPr>
          <w:rFonts w:ascii="Cambria" w:hAnsi="Cambria"/>
        </w:rPr>
      </w:pPr>
      <w:r w:rsidRPr="00EB7458">
        <w:rPr>
          <w:rFonts w:ascii="Cambria" w:hAnsi="Cambria"/>
        </w:rPr>
        <w:t xml:space="preserve">In section 3 of the Outline, we would respectfully recommend that the Committee clarifies that states’ obligation to respect entails an obligation to repeal discriminatory laws and policies as well ensuring that public authorities do not discriminate in their employment practices. We would recommend that in discussing states’ “Immediate obligations”, the Committee refer again to the definitions of discrimination provided in General Comment 6, and notes in particular </w:t>
      </w:r>
      <w:r w:rsidR="00CC144E">
        <w:rPr>
          <w:rFonts w:ascii="Cambria" w:hAnsi="Cambria"/>
        </w:rPr>
        <w:t>obligations to eliminate</w:t>
      </w:r>
      <w:r w:rsidRPr="00EB7458">
        <w:rPr>
          <w:rFonts w:ascii="Cambria" w:hAnsi="Cambria"/>
        </w:rPr>
        <w:t xml:space="preserve"> indirect discrimination.</w:t>
      </w:r>
    </w:p>
    <w:p w14:paraId="404CBEEA" w14:textId="5B44E861" w:rsidR="00763794" w:rsidRPr="00EB7458" w:rsidRDefault="00763794" w:rsidP="005323D5">
      <w:pPr>
        <w:jc w:val="both"/>
        <w:rPr>
          <w:rFonts w:ascii="Cambria" w:hAnsi="Cambria"/>
          <w:sz w:val="22"/>
          <w:szCs w:val="22"/>
        </w:rPr>
      </w:pPr>
    </w:p>
    <w:p w14:paraId="34DB10ED" w14:textId="32E709C5" w:rsidR="00763794" w:rsidRPr="00EB7458" w:rsidRDefault="007246C3" w:rsidP="005323D5">
      <w:pPr>
        <w:jc w:val="both"/>
        <w:rPr>
          <w:rFonts w:ascii="Cambria" w:hAnsi="Cambria"/>
          <w:sz w:val="22"/>
          <w:szCs w:val="22"/>
        </w:rPr>
      </w:pPr>
      <w:r>
        <w:rPr>
          <w:rFonts w:ascii="Cambria" w:hAnsi="Cambria"/>
          <w:sz w:val="22"/>
          <w:szCs w:val="22"/>
        </w:rPr>
        <w:t xml:space="preserve">Finally, we would urge the Committee to consider expanding beyond the existing Outline, to examine the links between Article 27 and other Convention provisions. </w:t>
      </w:r>
      <w:r w:rsidR="00137873">
        <w:rPr>
          <w:rFonts w:ascii="Cambria" w:hAnsi="Cambria"/>
          <w:sz w:val="22"/>
          <w:szCs w:val="22"/>
        </w:rPr>
        <w:t xml:space="preserve">In particular, we call on the Committee to examine the importance of awareness-raising, sensitisation and education (Article 8) with employers as a means to the achievement of Article 27, and the need for states to generate, analyse and publish – in forms accessible to all – </w:t>
      </w:r>
      <w:r w:rsidR="00137873" w:rsidRPr="00137873">
        <w:rPr>
          <w:rFonts w:ascii="Cambria" w:hAnsi="Cambria"/>
          <w:sz w:val="22"/>
          <w:szCs w:val="22"/>
        </w:rPr>
        <w:t xml:space="preserve">quality </w:t>
      </w:r>
      <w:r w:rsidR="00137873">
        <w:rPr>
          <w:rFonts w:ascii="Cambria" w:hAnsi="Cambria"/>
          <w:sz w:val="22"/>
          <w:szCs w:val="22"/>
        </w:rPr>
        <w:t>data on employment and establish systems for the sharing of such data (Article 33).</w:t>
      </w:r>
    </w:p>
    <w:p w14:paraId="2D9C033E" w14:textId="55353DFC" w:rsidR="0039454A" w:rsidRPr="00EB7458" w:rsidRDefault="0039454A" w:rsidP="005323D5">
      <w:pPr>
        <w:jc w:val="both"/>
        <w:rPr>
          <w:rFonts w:ascii="Cambria" w:hAnsi="Cambria"/>
          <w:sz w:val="22"/>
          <w:szCs w:val="22"/>
        </w:rPr>
      </w:pPr>
    </w:p>
    <w:p w14:paraId="7697CBED" w14:textId="77777777" w:rsidR="0039454A" w:rsidRPr="0039454A" w:rsidRDefault="0039454A" w:rsidP="005323D5">
      <w:pPr>
        <w:jc w:val="both"/>
        <w:rPr>
          <w:rFonts w:ascii="Cambria" w:hAnsi="Cambria"/>
          <w:sz w:val="22"/>
          <w:szCs w:val="22"/>
        </w:rPr>
      </w:pPr>
    </w:p>
    <w:sectPr w:rsidR="0039454A" w:rsidRPr="0039454A" w:rsidSect="00A3760A">
      <w:headerReference w:type="default" r:id="rId8"/>
      <w:footerReference w:type="default" r:id="rId9"/>
      <w:pgSz w:w="11900" w:h="16840"/>
      <w:pgMar w:top="1442"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F72B9" w14:textId="77777777" w:rsidR="009416EA" w:rsidRDefault="009416EA" w:rsidP="00042772">
      <w:r>
        <w:separator/>
      </w:r>
    </w:p>
  </w:endnote>
  <w:endnote w:type="continuationSeparator" w:id="0">
    <w:p w14:paraId="426D62E5" w14:textId="77777777" w:rsidR="009416EA" w:rsidRDefault="009416EA" w:rsidP="0004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170A" w14:textId="04F798ED" w:rsidR="00042772" w:rsidRDefault="00042772">
    <w:pPr>
      <w:pStyle w:val="Footer"/>
    </w:pPr>
    <w:r>
      <w:rPr>
        <w:noProof/>
        <w:lang w:eastAsia="en-GB"/>
      </w:rPr>
      <mc:AlternateContent>
        <mc:Choice Requires="wps">
          <w:drawing>
            <wp:anchor distT="0" distB="0" distL="114300" distR="114300" simplePos="0" relativeHeight="251659264" behindDoc="0" locked="0" layoutInCell="1" allowOverlap="1" wp14:anchorId="11A4A210" wp14:editId="0D7D7660">
              <wp:simplePos x="0" y="0"/>
              <wp:positionH relativeFrom="margin">
                <wp:posOffset>-338455</wp:posOffset>
              </wp:positionH>
              <wp:positionV relativeFrom="bottomMargin">
                <wp:posOffset>59055</wp:posOffset>
              </wp:positionV>
              <wp:extent cx="6792595" cy="619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792595" cy="619125"/>
                      </a:xfrm>
                      <a:prstGeom prst="rect">
                        <a:avLst/>
                      </a:prstGeom>
                      <a:noFill/>
                      <a:ln w="6350">
                        <a:noFill/>
                      </a:ln>
                    </wps:spPr>
                    <wps:txbx>
                      <w:txbxContent>
                        <w:p w14:paraId="34238A67" w14:textId="77777777" w:rsidR="00042772" w:rsidRPr="00733D4B" w:rsidRDefault="00B7092A" w:rsidP="00042772">
                          <w:pPr>
                            <w:pStyle w:val="Footer"/>
                            <w:pBdr>
                              <w:top w:val="single" w:sz="4" w:space="11" w:color="auto"/>
                            </w:pBdr>
                            <w:rPr>
                              <w:rFonts w:ascii="Cambria" w:hAnsi="Cambria"/>
                              <w:sz w:val="16"/>
                              <w:szCs w:val="16"/>
                            </w:rPr>
                          </w:pPr>
                          <w:r>
                            <w:fldChar w:fldCharType="begin"/>
                          </w:r>
                          <w:r>
                            <w:instrText xml:space="preserve"> HYPERLINK "http://www.equalrightstrust.org" </w:instrText>
                          </w:r>
                          <w:r>
                            <w:fldChar w:fldCharType="separate"/>
                          </w:r>
                          <w:r w:rsidR="00042772" w:rsidRPr="00084EDF">
                            <w:rPr>
                              <w:rStyle w:val="Hyperlink"/>
                              <w:rFonts w:ascii="Cambria" w:hAnsi="Cambria"/>
                              <w:sz w:val="16"/>
                              <w:szCs w:val="16"/>
                            </w:rPr>
                            <w:t>www.equalrightstrust.org</w:t>
                          </w:r>
                          <w:r>
                            <w:rPr>
                              <w:rStyle w:val="Hyperlink"/>
                              <w:rFonts w:ascii="Cambria" w:hAnsi="Cambria"/>
                              <w:sz w:val="16"/>
                              <w:szCs w:val="16"/>
                            </w:rPr>
                            <w:fldChar w:fldCharType="end"/>
                          </w:r>
                          <w:r w:rsidR="00042772" w:rsidRPr="00084EDF">
                            <w:rPr>
                              <w:rFonts w:ascii="Cambria" w:hAnsi="Cambria"/>
                              <w:sz w:val="16"/>
                              <w:szCs w:val="16"/>
                            </w:rPr>
                            <w:t xml:space="preserve"> </w:t>
                          </w:r>
                          <w:r w:rsidR="00042772" w:rsidRPr="00733D4B">
                            <w:rPr>
                              <w:rFonts w:ascii="Cambria" w:hAnsi="Cambria"/>
                              <w:sz w:val="16"/>
                              <w:szCs w:val="16"/>
                            </w:rPr>
                            <w:t xml:space="preserve">| </w:t>
                          </w:r>
                          <w:hyperlink r:id="rId1" w:history="1">
                            <w:r w:rsidR="00042772" w:rsidRPr="00733D4B">
                              <w:rPr>
                                <w:rStyle w:val="Hyperlink"/>
                                <w:rFonts w:ascii="Cambria" w:hAnsi="Cambria"/>
                                <w:sz w:val="16"/>
                                <w:szCs w:val="16"/>
                              </w:rPr>
                              <w:t>info@equalrightstrust.org</w:t>
                            </w:r>
                          </w:hyperlink>
                          <w:r w:rsidR="00042772" w:rsidRPr="00733D4B">
                            <w:rPr>
                              <w:rFonts w:ascii="Cambria" w:hAnsi="Cambria"/>
                              <w:sz w:val="16"/>
                              <w:szCs w:val="16"/>
                            </w:rPr>
                            <w:t xml:space="preserve"> </w:t>
                          </w:r>
                          <w:r w:rsidR="00042772">
                            <w:rPr>
                              <w:rFonts w:ascii="Cambria" w:hAnsi="Cambria"/>
                              <w:sz w:val="16"/>
                              <w:szCs w:val="16"/>
                            </w:rPr>
                            <w:t xml:space="preserve">                                                      </w:t>
                          </w:r>
                          <w:r w:rsidR="00042772" w:rsidRPr="00733D4B">
                            <w:rPr>
                              <w:rFonts w:ascii="Cambria" w:hAnsi="Cambria"/>
                              <w:sz w:val="16"/>
                              <w:szCs w:val="16"/>
                            </w:rPr>
                            <w:t xml:space="preserve">                                         </w:t>
                          </w:r>
                          <w:r w:rsidR="00042772">
                            <w:rPr>
                              <w:rFonts w:ascii="Cambria" w:hAnsi="Cambria"/>
                              <w:sz w:val="16"/>
                              <w:szCs w:val="16"/>
                            </w:rPr>
                            <w:t xml:space="preserve">                     </w:t>
                          </w:r>
                          <w:r w:rsidR="00042772" w:rsidRPr="00733D4B">
                            <w:rPr>
                              <w:rFonts w:ascii="Cambria" w:hAnsi="Cambria"/>
                              <w:sz w:val="16"/>
                              <w:szCs w:val="16"/>
                            </w:rPr>
                            <w:t xml:space="preserve">    </w:t>
                          </w:r>
                          <w:r w:rsidR="00042772">
                            <w:rPr>
                              <w:rFonts w:ascii="Cambria" w:hAnsi="Cambria"/>
                              <w:sz w:val="16"/>
                              <w:szCs w:val="16"/>
                            </w:rPr>
                            <w:t xml:space="preserve">             </w:t>
                          </w:r>
                          <w:r w:rsidR="00042772" w:rsidRPr="00733D4B">
                            <w:rPr>
                              <w:rFonts w:ascii="Cambria" w:hAnsi="Cambria"/>
                              <w:sz w:val="16"/>
                              <w:szCs w:val="16"/>
                            </w:rPr>
                            <w:t>Second Home London Fields</w:t>
                          </w:r>
                        </w:p>
                        <w:p w14:paraId="528151DB" w14:textId="29FAAA33" w:rsidR="00042772" w:rsidRPr="00733D4B" w:rsidRDefault="00042772" w:rsidP="00042772">
                          <w:pPr>
                            <w:pStyle w:val="Footer"/>
                            <w:pBdr>
                              <w:top w:val="single" w:sz="4" w:space="11" w:color="auto"/>
                            </w:pBdr>
                            <w:rPr>
                              <w:rFonts w:ascii="Cambria" w:hAnsi="Cambria"/>
                              <w:sz w:val="16"/>
                              <w:szCs w:val="16"/>
                            </w:rPr>
                          </w:pPr>
                          <w:r w:rsidRPr="00733D4B">
                            <w:rPr>
                              <w:rFonts w:ascii="Cambria" w:hAnsi="Cambria"/>
                              <w:noProof/>
                              <w:sz w:val="16"/>
                              <w:szCs w:val="16"/>
                              <w:lang w:eastAsia="en-GB"/>
                            </w:rPr>
                            <w:drawing>
                              <wp:inline distT="0" distB="0" distL="0" distR="0" wp14:anchorId="2FD7AF27" wp14:editId="00673B92">
                                <wp:extent cx="11591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32" cy="122605"/>
                                        </a:xfrm>
                                        <a:prstGeom prst="rect">
                                          <a:avLst/>
                                        </a:prstGeom>
                                        <a:noFill/>
                                        <a:ln>
                                          <a:noFill/>
                                        </a:ln>
                                      </pic:spPr>
                                    </pic:pic>
                                  </a:graphicData>
                                </a:graphic>
                              </wp:inline>
                            </w:drawing>
                          </w:r>
                          <w:r w:rsidRPr="00733D4B">
                            <w:rPr>
                              <w:rFonts w:ascii="Cambria" w:hAnsi="Cambria"/>
                              <w:sz w:val="16"/>
                              <w:szCs w:val="16"/>
                            </w:rPr>
                            <w:t>@</w:t>
                          </w:r>
                          <w:proofErr w:type="spellStart"/>
                          <w:r w:rsidRPr="00733D4B">
                            <w:rPr>
                              <w:rFonts w:ascii="Cambria" w:hAnsi="Cambria"/>
                              <w:sz w:val="16"/>
                              <w:szCs w:val="16"/>
                            </w:rPr>
                            <w:t>equalrightstrust</w:t>
                          </w:r>
                          <w:proofErr w:type="spellEnd"/>
                          <w:r w:rsidRPr="00733D4B">
                            <w:rPr>
                              <w:rFonts w:ascii="Cambria" w:hAnsi="Cambria"/>
                              <w:sz w:val="16"/>
                              <w:szCs w:val="16"/>
                            </w:rPr>
                            <w:t xml:space="preserve"> | </w:t>
                          </w:r>
                          <w:r w:rsidRPr="00733D4B">
                            <w:rPr>
                              <w:rFonts w:ascii="Cambria" w:hAnsi="Cambria"/>
                              <w:noProof/>
                              <w:sz w:val="16"/>
                              <w:szCs w:val="16"/>
                              <w:lang w:eastAsia="en-GB"/>
                            </w:rPr>
                            <w:drawing>
                              <wp:inline distT="0" distB="0" distL="0" distR="0" wp14:anchorId="1364FFB2" wp14:editId="24B21739">
                                <wp:extent cx="129739" cy="12382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15" cy="141555"/>
                                        </a:xfrm>
                                        <a:prstGeom prst="rect">
                                          <a:avLst/>
                                        </a:prstGeom>
                                        <a:noFill/>
                                        <a:ln>
                                          <a:noFill/>
                                        </a:ln>
                                      </pic:spPr>
                                    </pic:pic>
                                  </a:graphicData>
                                </a:graphic>
                              </wp:inline>
                            </w:drawing>
                          </w:r>
                          <w:r>
                            <w:rPr>
                              <w:rFonts w:ascii="Cambria" w:hAnsi="Cambria"/>
                              <w:sz w:val="16"/>
                              <w:szCs w:val="16"/>
                            </w:rPr>
                            <w:t xml:space="preserve"> </w:t>
                          </w:r>
                          <w:r w:rsidRPr="00733D4B">
                            <w:rPr>
                              <w:rFonts w:ascii="Cambria" w:hAnsi="Cambria"/>
                              <w:sz w:val="16"/>
                              <w:szCs w:val="16"/>
                            </w:rPr>
                            <w:t>facebook.com/</w:t>
                          </w:r>
                          <w:proofErr w:type="spellStart"/>
                          <w:r w:rsidRPr="00733D4B">
                            <w:rPr>
                              <w:rFonts w:ascii="Cambria" w:hAnsi="Cambria"/>
                              <w:sz w:val="16"/>
                              <w:szCs w:val="16"/>
                            </w:rPr>
                            <w:t>equalrightstrust</w:t>
                          </w:r>
                          <w:proofErr w:type="spellEnd"/>
                          <w:r w:rsidRPr="00733D4B">
                            <w:rPr>
                              <w:rFonts w:ascii="Cambria" w:hAnsi="Cambria"/>
                              <w:sz w:val="16"/>
                              <w:szCs w:val="16"/>
                            </w:rPr>
                            <w:t xml:space="preserve">                   </w:t>
                          </w:r>
                          <w:r>
                            <w:rPr>
                              <w:rFonts w:ascii="Cambria" w:hAnsi="Cambria"/>
                              <w:sz w:val="16"/>
                              <w:szCs w:val="16"/>
                            </w:rPr>
                            <w:t xml:space="preserve">                                                      </w:t>
                          </w:r>
                          <w:r w:rsidRPr="00733D4B">
                            <w:rPr>
                              <w:rFonts w:ascii="Cambria" w:hAnsi="Cambria"/>
                              <w:sz w:val="16"/>
                              <w:szCs w:val="16"/>
                            </w:rPr>
                            <w:t>125</w:t>
                          </w:r>
                          <w:r>
                            <w:rPr>
                              <w:rFonts w:ascii="Cambria" w:hAnsi="Cambria"/>
                              <w:sz w:val="16"/>
                              <w:szCs w:val="16"/>
                            </w:rPr>
                            <w:t xml:space="preserve"> </w:t>
                          </w:r>
                          <w:r w:rsidRPr="00733D4B">
                            <w:rPr>
                              <w:rFonts w:ascii="Cambria" w:hAnsi="Cambria"/>
                              <w:sz w:val="16"/>
                              <w:szCs w:val="16"/>
                            </w:rPr>
                            <w:t>-</w:t>
                          </w:r>
                          <w:r>
                            <w:rPr>
                              <w:rFonts w:ascii="Cambria" w:hAnsi="Cambria"/>
                              <w:sz w:val="16"/>
                              <w:szCs w:val="16"/>
                            </w:rPr>
                            <w:t xml:space="preserve"> </w:t>
                          </w:r>
                          <w:r w:rsidRPr="00733D4B">
                            <w:rPr>
                              <w:rFonts w:ascii="Cambria" w:hAnsi="Cambria"/>
                              <w:sz w:val="16"/>
                              <w:szCs w:val="16"/>
                            </w:rPr>
                            <w:t>127 Mare Street</w:t>
                          </w:r>
                          <w:r>
                            <w:rPr>
                              <w:rFonts w:ascii="Cambria" w:hAnsi="Cambria"/>
                              <w:sz w:val="16"/>
                              <w:szCs w:val="16"/>
                            </w:rPr>
                            <w:t xml:space="preserve"> </w:t>
                          </w:r>
                          <w:r w:rsidRPr="00733D4B">
                            <w:rPr>
                              <w:rFonts w:ascii="Cambria" w:hAnsi="Cambria"/>
                              <w:sz w:val="16"/>
                              <w:szCs w:val="16"/>
                            </w:rPr>
                            <w:t>|</w:t>
                          </w:r>
                          <w:r>
                            <w:rPr>
                              <w:rFonts w:ascii="Cambria" w:hAnsi="Cambria"/>
                              <w:sz w:val="16"/>
                              <w:szCs w:val="16"/>
                            </w:rPr>
                            <w:t xml:space="preserve"> </w:t>
                          </w:r>
                          <w:r w:rsidRPr="00733D4B">
                            <w:rPr>
                              <w:rFonts w:ascii="Cambria" w:hAnsi="Cambria"/>
                              <w:sz w:val="16"/>
                              <w:szCs w:val="16"/>
                            </w:rPr>
                            <w:t>London E8 3SJ</w:t>
                          </w:r>
                          <w:r>
                            <w:rPr>
                              <w:rFonts w:ascii="Cambria" w:hAnsi="Cambria"/>
                              <w:sz w:val="16"/>
                              <w:szCs w:val="16"/>
                            </w:rPr>
                            <w:t xml:space="preserve"> </w:t>
                          </w:r>
                          <w:r w:rsidRPr="00733D4B">
                            <w:rPr>
                              <w:rFonts w:ascii="Cambria" w:hAnsi="Cambria"/>
                              <w:sz w:val="16"/>
                              <w:szCs w:val="16"/>
                            </w:rPr>
                            <w:t>|</w:t>
                          </w:r>
                          <w:r>
                            <w:rPr>
                              <w:rFonts w:ascii="Cambria" w:hAnsi="Cambria"/>
                              <w:sz w:val="16"/>
                              <w:szCs w:val="16"/>
                            </w:rPr>
                            <w:t xml:space="preserve"> </w:t>
                          </w:r>
                          <w:r w:rsidRPr="00733D4B">
                            <w:rPr>
                              <w:rFonts w:ascii="Cambria" w:hAnsi="Cambria"/>
                              <w:sz w:val="16"/>
                              <w:szCs w:val="16"/>
                            </w:rPr>
                            <w:t>United Kingdom</w:t>
                          </w:r>
                        </w:p>
                        <w:p w14:paraId="462E207D" w14:textId="77777777" w:rsidR="00042772" w:rsidRPr="00C850E2" w:rsidRDefault="00042772" w:rsidP="00042772">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A4A210" id="_x0000_t202" coordsize="21600,21600" o:spt="202" path="m,l,21600r21600,l21600,xe">
              <v:stroke joinstyle="miter"/>
              <v:path gradientshapeok="t" o:connecttype="rect"/>
            </v:shapetype>
            <v:shape id="Text Box 2" o:spid="_x0000_s1026" type="#_x0000_t202" style="position:absolute;margin-left:-26.65pt;margin-top:4.65pt;width:534.8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" filled="f" stroked="f" strokeweight=".5pt">
              <v:textbox>
                <w:txbxContent>
                  <w:p w14:paraId="34238A67" w14:textId="77777777" w:rsidR="00042772" w:rsidRPr="00733D4B" w:rsidRDefault="00B7092A" w:rsidP="00042772">
                    <w:pPr>
                      <w:pStyle w:val="Footer"/>
                      <w:pBdr>
                        <w:top w:val="single" w:sz="4" w:space="11" w:color="auto"/>
                      </w:pBdr>
                      <w:rPr>
                        <w:rFonts w:ascii="Cambria" w:hAnsi="Cambria"/>
                        <w:sz w:val="16"/>
                        <w:szCs w:val="16"/>
                      </w:rPr>
                    </w:pPr>
                    <w:r>
                      <w:fldChar w:fldCharType="begin"/>
                    </w:r>
                    <w:r>
                      <w:instrText xml:space="preserve"> HYPERLINK "ht</w:instrText>
                    </w:r>
                    <w:r>
                      <w:instrText xml:space="preserve">tp://www.equalrightstrust.org" </w:instrText>
                    </w:r>
                    <w:r>
                      <w:fldChar w:fldCharType="separate"/>
                    </w:r>
                    <w:r w:rsidR="00042772" w:rsidRPr="00084EDF">
                      <w:rPr>
                        <w:rStyle w:val="Hyperlink"/>
                        <w:rFonts w:ascii="Cambria" w:hAnsi="Cambria"/>
                        <w:sz w:val="16"/>
                        <w:szCs w:val="16"/>
                      </w:rPr>
                      <w:t>www.equalrightstrust.org</w:t>
                    </w:r>
                    <w:r>
                      <w:rPr>
                        <w:rStyle w:val="Hyperlink"/>
                        <w:rFonts w:ascii="Cambria" w:hAnsi="Cambria"/>
                        <w:sz w:val="16"/>
                        <w:szCs w:val="16"/>
                      </w:rPr>
                      <w:fldChar w:fldCharType="end"/>
                    </w:r>
                    <w:r w:rsidR="00042772" w:rsidRPr="00084EDF">
                      <w:rPr>
                        <w:rFonts w:ascii="Cambria" w:hAnsi="Cambria"/>
                        <w:sz w:val="16"/>
                        <w:szCs w:val="16"/>
                      </w:rPr>
                      <w:t xml:space="preserve"> </w:t>
                    </w:r>
                    <w:r w:rsidR="00042772" w:rsidRPr="00733D4B">
                      <w:rPr>
                        <w:rFonts w:ascii="Cambria" w:hAnsi="Cambria"/>
                        <w:sz w:val="16"/>
                        <w:szCs w:val="16"/>
                      </w:rPr>
                      <w:t xml:space="preserve">| </w:t>
                    </w:r>
                    <w:hyperlink r:id="rId4" w:history="1">
                      <w:r w:rsidR="00042772" w:rsidRPr="00733D4B">
                        <w:rPr>
                          <w:rStyle w:val="Hyperlink"/>
                          <w:rFonts w:ascii="Cambria" w:hAnsi="Cambria"/>
                          <w:sz w:val="16"/>
                          <w:szCs w:val="16"/>
                        </w:rPr>
                        <w:t>info@equalrightstrust.org</w:t>
                      </w:r>
                    </w:hyperlink>
                    <w:r w:rsidR="00042772" w:rsidRPr="00733D4B">
                      <w:rPr>
                        <w:rFonts w:ascii="Cambria" w:hAnsi="Cambria"/>
                        <w:sz w:val="16"/>
                        <w:szCs w:val="16"/>
                      </w:rPr>
                      <w:t xml:space="preserve"> </w:t>
                    </w:r>
                    <w:r w:rsidR="00042772">
                      <w:rPr>
                        <w:rFonts w:ascii="Cambria" w:hAnsi="Cambria"/>
                        <w:sz w:val="16"/>
                        <w:szCs w:val="16"/>
                      </w:rPr>
                      <w:t xml:space="preserve">                                                      </w:t>
                    </w:r>
                    <w:r w:rsidR="00042772" w:rsidRPr="00733D4B">
                      <w:rPr>
                        <w:rFonts w:ascii="Cambria" w:hAnsi="Cambria"/>
                        <w:sz w:val="16"/>
                        <w:szCs w:val="16"/>
                      </w:rPr>
                      <w:t xml:space="preserve">                                         </w:t>
                    </w:r>
                    <w:r w:rsidR="00042772">
                      <w:rPr>
                        <w:rFonts w:ascii="Cambria" w:hAnsi="Cambria"/>
                        <w:sz w:val="16"/>
                        <w:szCs w:val="16"/>
                      </w:rPr>
                      <w:t xml:space="preserve">                     </w:t>
                    </w:r>
                    <w:r w:rsidR="00042772" w:rsidRPr="00733D4B">
                      <w:rPr>
                        <w:rFonts w:ascii="Cambria" w:hAnsi="Cambria"/>
                        <w:sz w:val="16"/>
                        <w:szCs w:val="16"/>
                      </w:rPr>
                      <w:t xml:space="preserve">    </w:t>
                    </w:r>
                    <w:r w:rsidR="00042772">
                      <w:rPr>
                        <w:rFonts w:ascii="Cambria" w:hAnsi="Cambria"/>
                        <w:sz w:val="16"/>
                        <w:szCs w:val="16"/>
                      </w:rPr>
                      <w:t xml:space="preserve">             </w:t>
                    </w:r>
                    <w:r w:rsidR="00042772" w:rsidRPr="00733D4B">
                      <w:rPr>
                        <w:rFonts w:ascii="Cambria" w:hAnsi="Cambria"/>
                        <w:sz w:val="16"/>
                        <w:szCs w:val="16"/>
                      </w:rPr>
                      <w:t>Second Home London Fields</w:t>
                    </w:r>
                  </w:p>
                  <w:p w14:paraId="528151DB" w14:textId="29FAAA33" w:rsidR="00042772" w:rsidRPr="00733D4B" w:rsidRDefault="00042772" w:rsidP="00042772">
                    <w:pPr>
                      <w:pStyle w:val="Footer"/>
                      <w:pBdr>
                        <w:top w:val="single" w:sz="4" w:space="11" w:color="auto"/>
                      </w:pBdr>
                      <w:rPr>
                        <w:rFonts w:ascii="Cambria" w:hAnsi="Cambria"/>
                        <w:sz w:val="16"/>
                        <w:szCs w:val="16"/>
                      </w:rPr>
                    </w:pPr>
                    <w:r w:rsidRPr="00733D4B">
                      <w:rPr>
                        <w:rFonts w:ascii="Cambria" w:hAnsi="Cambria"/>
                        <w:noProof/>
                        <w:sz w:val="16"/>
                        <w:szCs w:val="16"/>
                      </w:rPr>
                      <w:drawing>
                        <wp:inline distT="0" distB="0" distL="0" distR="0" wp14:anchorId="2FD7AF27" wp14:editId="00673B92">
                          <wp:extent cx="11591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32" cy="122605"/>
                                  </a:xfrm>
                                  <a:prstGeom prst="rect">
                                    <a:avLst/>
                                  </a:prstGeom>
                                  <a:noFill/>
                                  <a:ln>
                                    <a:noFill/>
                                  </a:ln>
                                </pic:spPr>
                              </pic:pic>
                            </a:graphicData>
                          </a:graphic>
                        </wp:inline>
                      </w:drawing>
                    </w:r>
                    <w:r w:rsidRPr="00733D4B">
                      <w:rPr>
                        <w:rFonts w:ascii="Cambria" w:hAnsi="Cambria"/>
                        <w:sz w:val="16"/>
                        <w:szCs w:val="16"/>
                      </w:rPr>
                      <w:t xml:space="preserve">@equalrightstrust | </w:t>
                    </w:r>
                    <w:r w:rsidRPr="00733D4B">
                      <w:rPr>
                        <w:rFonts w:ascii="Cambria" w:hAnsi="Cambria"/>
                        <w:noProof/>
                        <w:sz w:val="16"/>
                        <w:szCs w:val="16"/>
                      </w:rPr>
                      <w:drawing>
                        <wp:inline distT="0" distB="0" distL="0" distR="0" wp14:anchorId="1364FFB2" wp14:editId="24B21739">
                          <wp:extent cx="129739" cy="12382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315" cy="141555"/>
                                  </a:xfrm>
                                  <a:prstGeom prst="rect">
                                    <a:avLst/>
                                  </a:prstGeom>
                                  <a:noFill/>
                                  <a:ln>
                                    <a:noFill/>
                                  </a:ln>
                                </pic:spPr>
                              </pic:pic>
                            </a:graphicData>
                          </a:graphic>
                        </wp:inline>
                      </w:drawing>
                    </w:r>
                    <w:r>
                      <w:rPr>
                        <w:rFonts w:ascii="Cambria" w:hAnsi="Cambria"/>
                        <w:sz w:val="16"/>
                        <w:szCs w:val="16"/>
                      </w:rPr>
                      <w:t xml:space="preserve"> </w:t>
                    </w:r>
                    <w:r w:rsidRPr="00733D4B">
                      <w:rPr>
                        <w:rFonts w:ascii="Cambria" w:hAnsi="Cambria"/>
                        <w:sz w:val="16"/>
                        <w:szCs w:val="16"/>
                      </w:rPr>
                      <w:t>facebook.com/</w:t>
                    </w:r>
                    <w:proofErr w:type="spellStart"/>
                    <w:r w:rsidRPr="00733D4B">
                      <w:rPr>
                        <w:rFonts w:ascii="Cambria" w:hAnsi="Cambria"/>
                        <w:sz w:val="16"/>
                        <w:szCs w:val="16"/>
                      </w:rPr>
                      <w:t>equalrightstrust</w:t>
                    </w:r>
                    <w:proofErr w:type="spellEnd"/>
                    <w:r w:rsidRPr="00733D4B">
                      <w:rPr>
                        <w:rFonts w:ascii="Cambria" w:hAnsi="Cambria"/>
                        <w:sz w:val="16"/>
                        <w:szCs w:val="16"/>
                      </w:rPr>
                      <w:t xml:space="preserve">                   </w:t>
                    </w:r>
                    <w:r>
                      <w:rPr>
                        <w:rFonts w:ascii="Cambria" w:hAnsi="Cambria"/>
                        <w:sz w:val="16"/>
                        <w:szCs w:val="16"/>
                      </w:rPr>
                      <w:t xml:space="preserve">                                                      </w:t>
                    </w:r>
                    <w:r w:rsidRPr="00733D4B">
                      <w:rPr>
                        <w:rFonts w:ascii="Cambria" w:hAnsi="Cambria"/>
                        <w:sz w:val="16"/>
                        <w:szCs w:val="16"/>
                      </w:rPr>
                      <w:t>125</w:t>
                    </w:r>
                    <w:r>
                      <w:rPr>
                        <w:rFonts w:ascii="Cambria" w:hAnsi="Cambria"/>
                        <w:sz w:val="16"/>
                        <w:szCs w:val="16"/>
                      </w:rPr>
                      <w:t xml:space="preserve"> </w:t>
                    </w:r>
                    <w:r w:rsidRPr="00733D4B">
                      <w:rPr>
                        <w:rFonts w:ascii="Cambria" w:hAnsi="Cambria"/>
                        <w:sz w:val="16"/>
                        <w:szCs w:val="16"/>
                      </w:rPr>
                      <w:t>-</w:t>
                    </w:r>
                    <w:r>
                      <w:rPr>
                        <w:rFonts w:ascii="Cambria" w:hAnsi="Cambria"/>
                        <w:sz w:val="16"/>
                        <w:szCs w:val="16"/>
                      </w:rPr>
                      <w:t xml:space="preserve"> </w:t>
                    </w:r>
                    <w:r w:rsidRPr="00733D4B">
                      <w:rPr>
                        <w:rFonts w:ascii="Cambria" w:hAnsi="Cambria"/>
                        <w:sz w:val="16"/>
                        <w:szCs w:val="16"/>
                      </w:rPr>
                      <w:t>127 Mare Street</w:t>
                    </w:r>
                    <w:r>
                      <w:rPr>
                        <w:rFonts w:ascii="Cambria" w:hAnsi="Cambria"/>
                        <w:sz w:val="16"/>
                        <w:szCs w:val="16"/>
                      </w:rPr>
                      <w:t xml:space="preserve"> </w:t>
                    </w:r>
                    <w:r w:rsidRPr="00733D4B">
                      <w:rPr>
                        <w:rFonts w:ascii="Cambria" w:hAnsi="Cambria"/>
                        <w:sz w:val="16"/>
                        <w:szCs w:val="16"/>
                      </w:rPr>
                      <w:t>|</w:t>
                    </w:r>
                    <w:r>
                      <w:rPr>
                        <w:rFonts w:ascii="Cambria" w:hAnsi="Cambria"/>
                        <w:sz w:val="16"/>
                        <w:szCs w:val="16"/>
                      </w:rPr>
                      <w:t xml:space="preserve"> </w:t>
                    </w:r>
                    <w:r w:rsidRPr="00733D4B">
                      <w:rPr>
                        <w:rFonts w:ascii="Cambria" w:hAnsi="Cambria"/>
                        <w:sz w:val="16"/>
                        <w:szCs w:val="16"/>
                      </w:rPr>
                      <w:t>London E8 3SJ</w:t>
                    </w:r>
                    <w:r>
                      <w:rPr>
                        <w:rFonts w:ascii="Cambria" w:hAnsi="Cambria"/>
                        <w:sz w:val="16"/>
                        <w:szCs w:val="16"/>
                      </w:rPr>
                      <w:t xml:space="preserve"> </w:t>
                    </w:r>
                    <w:r w:rsidRPr="00733D4B">
                      <w:rPr>
                        <w:rFonts w:ascii="Cambria" w:hAnsi="Cambria"/>
                        <w:sz w:val="16"/>
                        <w:szCs w:val="16"/>
                      </w:rPr>
                      <w:t>|</w:t>
                    </w:r>
                    <w:r>
                      <w:rPr>
                        <w:rFonts w:ascii="Cambria" w:hAnsi="Cambria"/>
                        <w:sz w:val="16"/>
                        <w:szCs w:val="16"/>
                      </w:rPr>
                      <w:t xml:space="preserve"> </w:t>
                    </w:r>
                    <w:r w:rsidRPr="00733D4B">
                      <w:rPr>
                        <w:rFonts w:ascii="Cambria" w:hAnsi="Cambria"/>
                        <w:sz w:val="16"/>
                        <w:szCs w:val="16"/>
                      </w:rPr>
                      <w:t>United Kingdom</w:t>
                    </w:r>
                  </w:p>
                  <w:p w14:paraId="462E207D" w14:textId="77777777" w:rsidR="00042772" w:rsidRPr="00C850E2" w:rsidRDefault="00042772" w:rsidP="00042772">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54E63" w14:textId="77777777" w:rsidR="009416EA" w:rsidRDefault="009416EA" w:rsidP="00042772">
      <w:r>
        <w:separator/>
      </w:r>
    </w:p>
  </w:footnote>
  <w:footnote w:type="continuationSeparator" w:id="0">
    <w:p w14:paraId="3B4E0F7A" w14:textId="77777777" w:rsidR="009416EA" w:rsidRDefault="009416EA" w:rsidP="0004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DE4E" w14:textId="41194A98" w:rsidR="00042772" w:rsidRDefault="00042772" w:rsidP="00042772">
    <w:pPr>
      <w:pStyle w:val="Header"/>
      <w:jc w:val="center"/>
    </w:pPr>
    <w:r w:rsidRPr="00042772">
      <w:rPr>
        <w:noProof/>
        <w:lang w:eastAsia="en-GB"/>
      </w:rPr>
      <w:drawing>
        <wp:inline distT="0" distB="0" distL="0" distR="0" wp14:anchorId="024F8CA7" wp14:editId="512918A8">
          <wp:extent cx="4190036" cy="744132"/>
          <wp:effectExtent l="0" t="0" r="1270" b="571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stretch>
                    <a:fillRect/>
                  </a:stretch>
                </pic:blipFill>
                <pic:spPr>
                  <a:xfrm>
                    <a:off x="0" y="0"/>
                    <a:ext cx="4309135" cy="765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4CA"/>
    <w:multiLevelType w:val="hybridMultilevel"/>
    <w:tmpl w:val="8696CD12"/>
    <w:lvl w:ilvl="0" w:tplc="E82A45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E1793"/>
    <w:multiLevelType w:val="multilevel"/>
    <w:tmpl w:val="263888CE"/>
    <w:lvl w:ilvl="0">
      <w:start w:val="1"/>
      <w:numFmt w:val="decimal"/>
      <w:lvlText w:val="%1."/>
      <w:lvlJc w:val="left"/>
      <w:pPr>
        <w:ind w:left="576" w:hanging="576"/>
      </w:pPr>
      <w:rPr>
        <w:b w:val="0"/>
        <w:i w:val="0"/>
      </w:rPr>
    </w:lvl>
    <w:lvl w:ilvl="1">
      <w:start w:val="1"/>
      <w:numFmt w:val="lowerRoman"/>
      <w:lvlText w:val="(%2)"/>
      <w:lvlJc w:val="left"/>
      <w:pPr>
        <w:ind w:left="720" w:hanging="360"/>
      </w:pPr>
      <w:rPr>
        <w:b/>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2A1DC9"/>
    <w:multiLevelType w:val="hybridMultilevel"/>
    <w:tmpl w:val="5D10AAE8"/>
    <w:lvl w:ilvl="0" w:tplc="EF705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20D27"/>
    <w:multiLevelType w:val="hybridMultilevel"/>
    <w:tmpl w:val="8CC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72"/>
    <w:rsid w:val="0001648A"/>
    <w:rsid w:val="000410CA"/>
    <w:rsid w:val="00042772"/>
    <w:rsid w:val="00137873"/>
    <w:rsid w:val="0022063F"/>
    <w:rsid w:val="00243D06"/>
    <w:rsid w:val="002827CF"/>
    <w:rsid w:val="0032581A"/>
    <w:rsid w:val="00344181"/>
    <w:rsid w:val="00366348"/>
    <w:rsid w:val="0039454A"/>
    <w:rsid w:val="003E3E07"/>
    <w:rsid w:val="00400416"/>
    <w:rsid w:val="00515D64"/>
    <w:rsid w:val="005323D5"/>
    <w:rsid w:val="00562D09"/>
    <w:rsid w:val="006C4B1F"/>
    <w:rsid w:val="006D5644"/>
    <w:rsid w:val="007246C3"/>
    <w:rsid w:val="00763794"/>
    <w:rsid w:val="00781B70"/>
    <w:rsid w:val="007D6C98"/>
    <w:rsid w:val="007F7C70"/>
    <w:rsid w:val="008061F4"/>
    <w:rsid w:val="00816885"/>
    <w:rsid w:val="00826BB2"/>
    <w:rsid w:val="008B17D0"/>
    <w:rsid w:val="008C0E38"/>
    <w:rsid w:val="008E4CF7"/>
    <w:rsid w:val="009416EA"/>
    <w:rsid w:val="009F2D42"/>
    <w:rsid w:val="00A3760A"/>
    <w:rsid w:val="00B7092A"/>
    <w:rsid w:val="00BA5C73"/>
    <w:rsid w:val="00C150E0"/>
    <w:rsid w:val="00CA3DC1"/>
    <w:rsid w:val="00CC144E"/>
    <w:rsid w:val="00D64A4E"/>
    <w:rsid w:val="00E26843"/>
    <w:rsid w:val="00E97F92"/>
    <w:rsid w:val="00EB7458"/>
    <w:rsid w:val="00F27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E07C3"/>
  <w14:defaultImageDpi w14:val="32767"/>
  <w15:chartTrackingRefBased/>
  <w15:docId w15:val="{959F4AF6-1134-9549-A68E-BCE2728C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B74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772"/>
    <w:pPr>
      <w:tabs>
        <w:tab w:val="center" w:pos="4513"/>
        <w:tab w:val="right" w:pos="9026"/>
      </w:tabs>
    </w:pPr>
  </w:style>
  <w:style w:type="character" w:customStyle="1" w:styleId="HeaderChar">
    <w:name w:val="Header Char"/>
    <w:basedOn w:val="DefaultParagraphFont"/>
    <w:link w:val="Header"/>
    <w:uiPriority w:val="99"/>
    <w:rsid w:val="00042772"/>
  </w:style>
  <w:style w:type="paragraph" w:styleId="Footer">
    <w:name w:val="footer"/>
    <w:basedOn w:val="Normal"/>
    <w:link w:val="FooterChar"/>
    <w:unhideWhenUsed/>
    <w:rsid w:val="00042772"/>
    <w:pPr>
      <w:tabs>
        <w:tab w:val="center" w:pos="4513"/>
        <w:tab w:val="right" w:pos="9026"/>
      </w:tabs>
    </w:pPr>
  </w:style>
  <w:style w:type="character" w:customStyle="1" w:styleId="FooterChar">
    <w:name w:val="Footer Char"/>
    <w:basedOn w:val="DefaultParagraphFont"/>
    <w:link w:val="Footer"/>
    <w:rsid w:val="00042772"/>
  </w:style>
  <w:style w:type="character" w:styleId="Hyperlink">
    <w:name w:val="Hyperlink"/>
    <w:basedOn w:val="DefaultParagraphFont"/>
    <w:uiPriority w:val="99"/>
    <w:rsid w:val="00042772"/>
    <w:rPr>
      <w:color w:val="0563C1" w:themeColor="hyperlink"/>
      <w:u w:val="single"/>
    </w:rPr>
  </w:style>
  <w:style w:type="character" w:customStyle="1" w:styleId="UnresolvedMention">
    <w:name w:val="Unresolved Mention"/>
    <w:basedOn w:val="DefaultParagraphFont"/>
    <w:uiPriority w:val="99"/>
    <w:rsid w:val="00366348"/>
    <w:rPr>
      <w:color w:val="605E5C"/>
      <w:shd w:val="clear" w:color="auto" w:fill="E1DFDD"/>
    </w:rPr>
  </w:style>
  <w:style w:type="paragraph" w:styleId="ListParagraph">
    <w:name w:val="List Paragraph"/>
    <w:basedOn w:val="Normal"/>
    <w:uiPriority w:val="34"/>
    <w:qFormat/>
    <w:rsid w:val="008E4CF7"/>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7D6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98"/>
    <w:rPr>
      <w:rFonts w:ascii="Segoe UI" w:hAnsi="Segoe UI" w:cs="Segoe UI"/>
      <w:sz w:val="18"/>
      <w:szCs w:val="18"/>
    </w:rPr>
  </w:style>
  <w:style w:type="paragraph" w:styleId="FootnoteText">
    <w:name w:val="footnote text"/>
    <w:aliases w:val="5_G,fn,Footnote Text Char Char Char,single space,Текст сноски Знак,Footnote Reference1,FA Fu,Footnote Text Char Char Char Char Char,Footnote Text Char Char Char Car,Footnote Text Char Char Char Car Car Car Car Car Car,Fußnote,Dolt"/>
    <w:basedOn w:val="Normal"/>
    <w:link w:val="FootnoteTextChar"/>
    <w:unhideWhenUsed/>
    <w:qFormat/>
    <w:rsid w:val="007D6C98"/>
    <w:rPr>
      <w:rFonts w:ascii="Times New Roman" w:hAnsi="Times New Roman" w:cs="Times New Roman"/>
      <w:sz w:val="20"/>
      <w:szCs w:val="20"/>
      <w:lang w:val="en-US"/>
    </w:rPr>
  </w:style>
  <w:style w:type="character" w:customStyle="1" w:styleId="FootnoteTextChar">
    <w:name w:val="Footnote Text Char"/>
    <w:aliases w:val="5_G Char,fn Char,Footnote Text Char Char Char Char,single space Char,Текст сноски Знак Char,Footnote Reference1 Char,FA Fu Char,Footnote Text Char Char Char Char Char Char,Footnote Text Char Char Char Car Char,Fußnote Char,Dolt Char"/>
    <w:basedOn w:val="DefaultParagraphFont"/>
    <w:link w:val="FootnoteText"/>
    <w:qFormat/>
    <w:rsid w:val="007D6C98"/>
    <w:rPr>
      <w:rFonts w:ascii="Times New Roman" w:hAnsi="Times New Roman" w:cs="Times New Roman"/>
      <w:sz w:val="20"/>
      <w:szCs w:val="20"/>
      <w:lang w:val="en-US"/>
    </w:rPr>
  </w:style>
  <w:style w:type="character" w:styleId="FootnoteReference">
    <w:name w:val="footnote reference"/>
    <w:aliases w:val="4_G,ftref,Footnotes refss,BVI fnr,Heading 2 Char1 Char,Heading 2 Char Char Char,Heading 2 Char1 Char Char Char,Heading 2 Char Char Char Char Char,Heading 2 Char1 Char Char Char Char Char,Appel note de bas de page,Ref,f, BVI fnr"/>
    <w:basedOn w:val="DefaultParagraphFont"/>
    <w:link w:val="Char2"/>
    <w:uiPriority w:val="99"/>
    <w:unhideWhenUsed/>
    <w:qFormat/>
    <w:rsid w:val="007D6C98"/>
    <w:rPr>
      <w:vertAlign w:val="superscript"/>
    </w:rPr>
  </w:style>
  <w:style w:type="paragraph" w:customStyle="1" w:styleId="Char2">
    <w:name w:val="Char2"/>
    <w:basedOn w:val="Normal"/>
    <w:link w:val="FootnoteReference"/>
    <w:uiPriority w:val="99"/>
    <w:rsid w:val="007D6C98"/>
    <w:pPr>
      <w:spacing w:after="160" w:line="240" w:lineRule="exact"/>
    </w:pPr>
    <w:rPr>
      <w:vertAlign w:val="superscript"/>
    </w:rPr>
  </w:style>
  <w:style w:type="character" w:customStyle="1" w:styleId="Heading2Char">
    <w:name w:val="Heading 2 Char"/>
    <w:basedOn w:val="DefaultParagraphFont"/>
    <w:link w:val="Heading2"/>
    <w:uiPriority w:val="9"/>
    <w:semiHidden/>
    <w:rsid w:val="00EB74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9092">
      <w:bodyDiv w:val="1"/>
      <w:marLeft w:val="0"/>
      <w:marRight w:val="0"/>
      <w:marTop w:val="0"/>
      <w:marBottom w:val="0"/>
      <w:divBdr>
        <w:top w:val="none" w:sz="0" w:space="0" w:color="auto"/>
        <w:left w:val="none" w:sz="0" w:space="0" w:color="auto"/>
        <w:bottom w:val="none" w:sz="0" w:space="0" w:color="auto"/>
        <w:right w:val="none" w:sz="0" w:space="0" w:color="auto"/>
      </w:divBdr>
    </w:div>
    <w:div w:id="706881576">
      <w:bodyDiv w:val="1"/>
      <w:marLeft w:val="0"/>
      <w:marRight w:val="0"/>
      <w:marTop w:val="0"/>
      <w:marBottom w:val="0"/>
      <w:divBdr>
        <w:top w:val="none" w:sz="0" w:space="0" w:color="auto"/>
        <w:left w:val="none" w:sz="0" w:space="0" w:color="auto"/>
        <w:bottom w:val="none" w:sz="0" w:space="0" w:color="auto"/>
        <w:right w:val="none" w:sz="0" w:space="0" w:color="auto"/>
      </w:divBdr>
      <w:divsChild>
        <w:div w:id="99498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5248">
              <w:marLeft w:val="0"/>
              <w:marRight w:val="0"/>
              <w:marTop w:val="0"/>
              <w:marBottom w:val="0"/>
              <w:divBdr>
                <w:top w:val="none" w:sz="0" w:space="0" w:color="auto"/>
                <w:left w:val="none" w:sz="0" w:space="0" w:color="auto"/>
                <w:bottom w:val="none" w:sz="0" w:space="0" w:color="auto"/>
                <w:right w:val="none" w:sz="0" w:space="0" w:color="auto"/>
              </w:divBdr>
              <w:divsChild>
                <w:div w:id="1485701377">
                  <w:marLeft w:val="0"/>
                  <w:marRight w:val="0"/>
                  <w:marTop w:val="0"/>
                  <w:marBottom w:val="0"/>
                  <w:divBdr>
                    <w:top w:val="none" w:sz="0" w:space="0" w:color="auto"/>
                    <w:left w:val="none" w:sz="0" w:space="0" w:color="auto"/>
                    <w:bottom w:val="none" w:sz="0" w:space="0" w:color="auto"/>
                    <w:right w:val="none" w:sz="0" w:space="0" w:color="auto"/>
                  </w:divBdr>
                  <w:divsChild>
                    <w:div w:id="2085450015">
                      <w:marLeft w:val="0"/>
                      <w:marRight w:val="0"/>
                      <w:marTop w:val="0"/>
                      <w:marBottom w:val="0"/>
                      <w:divBdr>
                        <w:top w:val="none" w:sz="0" w:space="0" w:color="auto"/>
                        <w:left w:val="none" w:sz="0" w:space="0" w:color="auto"/>
                        <w:bottom w:val="none" w:sz="0" w:space="0" w:color="auto"/>
                        <w:right w:val="none" w:sz="0" w:space="0" w:color="auto"/>
                      </w:divBdr>
                      <w:divsChild>
                        <w:div w:id="1670256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40284">
                              <w:marLeft w:val="0"/>
                              <w:marRight w:val="0"/>
                              <w:marTop w:val="0"/>
                              <w:marBottom w:val="0"/>
                              <w:divBdr>
                                <w:top w:val="none" w:sz="0" w:space="0" w:color="auto"/>
                                <w:left w:val="none" w:sz="0" w:space="0" w:color="auto"/>
                                <w:bottom w:val="none" w:sz="0" w:space="0" w:color="auto"/>
                                <w:right w:val="none" w:sz="0" w:space="0" w:color="auto"/>
                              </w:divBdr>
                              <w:divsChild>
                                <w:div w:id="1430813108">
                                  <w:marLeft w:val="0"/>
                                  <w:marRight w:val="0"/>
                                  <w:marTop w:val="0"/>
                                  <w:marBottom w:val="0"/>
                                  <w:divBdr>
                                    <w:top w:val="none" w:sz="0" w:space="0" w:color="auto"/>
                                    <w:left w:val="none" w:sz="0" w:space="0" w:color="auto"/>
                                    <w:bottom w:val="none" w:sz="0" w:space="0" w:color="auto"/>
                                    <w:right w:val="none" w:sz="0" w:space="0" w:color="auto"/>
                                  </w:divBdr>
                                  <w:divsChild>
                                    <w:div w:id="101728856">
                                      <w:marLeft w:val="0"/>
                                      <w:marRight w:val="0"/>
                                      <w:marTop w:val="0"/>
                                      <w:marBottom w:val="0"/>
                                      <w:divBdr>
                                        <w:top w:val="none" w:sz="0" w:space="0" w:color="auto"/>
                                        <w:left w:val="none" w:sz="0" w:space="0" w:color="auto"/>
                                        <w:bottom w:val="none" w:sz="0" w:space="0" w:color="auto"/>
                                        <w:right w:val="none" w:sz="0" w:space="0" w:color="auto"/>
                                      </w:divBdr>
                                      <w:divsChild>
                                        <w:div w:id="1749304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425476">
                                              <w:marLeft w:val="0"/>
                                              <w:marRight w:val="0"/>
                                              <w:marTop w:val="0"/>
                                              <w:marBottom w:val="0"/>
                                              <w:divBdr>
                                                <w:top w:val="none" w:sz="0" w:space="0" w:color="auto"/>
                                                <w:left w:val="none" w:sz="0" w:space="0" w:color="auto"/>
                                                <w:bottom w:val="none" w:sz="0" w:space="0" w:color="auto"/>
                                                <w:right w:val="none" w:sz="0" w:space="0" w:color="auto"/>
                                              </w:divBdr>
                                              <w:divsChild>
                                                <w:div w:id="786702966">
                                                  <w:marLeft w:val="0"/>
                                                  <w:marRight w:val="0"/>
                                                  <w:marTop w:val="0"/>
                                                  <w:marBottom w:val="0"/>
                                                  <w:divBdr>
                                                    <w:top w:val="none" w:sz="0" w:space="0" w:color="auto"/>
                                                    <w:left w:val="none" w:sz="0" w:space="0" w:color="auto"/>
                                                    <w:bottom w:val="none" w:sz="0" w:space="0" w:color="auto"/>
                                                    <w:right w:val="none" w:sz="0" w:space="0" w:color="auto"/>
                                                  </w:divBdr>
                                                  <w:divsChild>
                                                    <w:div w:id="698700410">
                                                      <w:marLeft w:val="0"/>
                                                      <w:marRight w:val="0"/>
                                                      <w:marTop w:val="0"/>
                                                      <w:marBottom w:val="0"/>
                                                      <w:divBdr>
                                                        <w:top w:val="none" w:sz="0" w:space="0" w:color="auto"/>
                                                        <w:left w:val="none" w:sz="0" w:space="0" w:color="auto"/>
                                                        <w:bottom w:val="none" w:sz="0" w:space="0" w:color="auto"/>
                                                        <w:right w:val="none" w:sz="0" w:space="0" w:color="auto"/>
                                                      </w:divBdr>
                                                      <w:divsChild>
                                                        <w:div w:id="133066270">
                                                          <w:marLeft w:val="0"/>
                                                          <w:marRight w:val="0"/>
                                                          <w:marTop w:val="0"/>
                                                          <w:marBottom w:val="0"/>
                                                          <w:divBdr>
                                                            <w:top w:val="none" w:sz="0" w:space="0" w:color="auto"/>
                                                            <w:left w:val="none" w:sz="0" w:space="0" w:color="auto"/>
                                                            <w:bottom w:val="none" w:sz="0" w:space="0" w:color="auto"/>
                                                            <w:right w:val="none" w:sz="0" w:space="0" w:color="auto"/>
                                                          </w:divBdr>
                                                          <w:divsChild>
                                                            <w:div w:id="1329089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055073">
                                                                  <w:marLeft w:val="0"/>
                                                                  <w:marRight w:val="0"/>
                                                                  <w:marTop w:val="0"/>
                                                                  <w:marBottom w:val="0"/>
                                                                  <w:divBdr>
                                                                    <w:top w:val="none" w:sz="0" w:space="0" w:color="auto"/>
                                                                    <w:left w:val="none" w:sz="0" w:space="0" w:color="auto"/>
                                                                    <w:bottom w:val="none" w:sz="0" w:space="0" w:color="auto"/>
                                                                    <w:right w:val="none" w:sz="0" w:space="0" w:color="auto"/>
                                                                  </w:divBdr>
                                                                  <w:divsChild>
                                                                    <w:div w:id="228423529">
                                                                      <w:marLeft w:val="0"/>
                                                                      <w:marRight w:val="0"/>
                                                                      <w:marTop w:val="0"/>
                                                                      <w:marBottom w:val="0"/>
                                                                      <w:divBdr>
                                                                        <w:top w:val="none" w:sz="0" w:space="0" w:color="auto"/>
                                                                        <w:left w:val="none" w:sz="0" w:space="0" w:color="auto"/>
                                                                        <w:bottom w:val="none" w:sz="0" w:space="0" w:color="auto"/>
                                                                        <w:right w:val="none" w:sz="0" w:space="0" w:color="auto"/>
                                                                      </w:divBdr>
                                                                      <w:divsChild>
                                                                        <w:div w:id="1756701552">
                                                                          <w:marLeft w:val="0"/>
                                                                          <w:marRight w:val="0"/>
                                                                          <w:marTop w:val="0"/>
                                                                          <w:marBottom w:val="0"/>
                                                                          <w:divBdr>
                                                                            <w:top w:val="none" w:sz="0" w:space="0" w:color="auto"/>
                                                                            <w:left w:val="none" w:sz="0" w:space="0" w:color="auto"/>
                                                                            <w:bottom w:val="none" w:sz="0" w:space="0" w:color="auto"/>
                                                                            <w:right w:val="none" w:sz="0" w:space="0" w:color="auto"/>
                                                                          </w:divBdr>
                                                                          <w:divsChild>
                                                                            <w:div w:id="246771289">
                                                                              <w:marLeft w:val="0"/>
                                                                              <w:marRight w:val="0"/>
                                                                              <w:marTop w:val="0"/>
                                                                              <w:marBottom w:val="0"/>
                                                                              <w:divBdr>
                                                                                <w:top w:val="none" w:sz="0" w:space="0" w:color="auto"/>
                                                                                <w:left w:val="none" w:sz="0" w:space="0" w:color="auto"/>
                                                                                <w:bottom w:val="none" w:sz="0" w:space="0" w:color="auto"/>
                                                                                <w:right w:val="none" w:sz="0" w:space="0" w:color="auto"/>
                                                                              </w:divBdr>
                                                                              <w:divsChild>
                                                                                <w:div w:id="1091315415">
                                                                                  <w:marLeft w:val="0"/>
                                                                                  <w:marRight w:val="0"/>
                                                                                  <w:marTop w:val="0"/>
                                                                                  <w:marBottom w:val="0"/>
                                                                                  <w:divBdr>
                                                                                    <w:top w:val="none" w:sz="0" w:space="0" w:color="auto"/>
                                                                                    <w:left w:val="none" w:sz="0" w:space="0" w:color="auto"/>
                                                                                    <w:bottom w:val="none" w:sz="0" w:space="0" w:color="auto"/>
                                                                                    <w:right w:val="none" w:sz="0" w:space="0" w:color="auto"/>
                                                                                  </w:divBdr>
                                                                                  <w:divsChild>
                                                                                    <w:div w:id="13727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mailto:info@equalrightstrust.org" TargetMode="External"/><Relationship Id="rId6" Type="http://schemas.openxmlformats.org/officeDocument/2006/relationships/image" Target="media/image30.jpeg"/><Relationship Id="rId5" Type="http://schemas.openxmlformats.org/officeDocument/2006/relationships/image" Target="media/image20.png"/><Relationship Id="rId4" Type="http://schemas.openxmlformats.org/officeDocument/2006/relationships/hyperlink" Target="mailto:info@equalrights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A631B7-C6FA-4E51-99EF-650AC53701BC}">
  <ds:schemaRefs>
    <ds:schemaRef ds:uri="http://schemas.openxmlformats.org/officeDocument/2006/bibliography"/>
  </ds:schemaRefs>
</ds:datastoreItem>
</file>

<file path=customXml/itemProps2.xml><?xml version="1.0" encoding="utf-8"?>
<ds:datastoreItem xmlns:ds="http://schemas.openxmlformats.org/officeDocument/2006/customXml" ds:itemID="{DB8D6104-D884-4180-A08B-E4D575566133}"/>
</file>

<file path=customXml/itemProps3.xml><?xml version="1.0" encoding="utf-8"?>
<ds:datastoreItem xmlns:ds="http://schemas.openxmlformats.org/officeDocument/2006/customXml" ds:itemID="{105C3A15-FA93-4E7D-9427-4ADAB461CDB2}"/>
</file>

<file path=customXml/itemProps4.xml><?xml version="1.0" encoding="utf-8"?>
<ds:datastoreItem xmlns:ds="http://schemas.openxmlformats.org/officeDocument/2006/customXml" ds:itemID="{F247603D-44DB-4FCC-ACF6-A46236B2A57C}"/>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Adam</dc:creator>
  <cp:keywords/>
  <dc:description/>
  <cp:lastModifiedBy>Janna Iskakova</cp:lastModifiedBy>
  <cp:revision>2</cp:revision>
  <dcterms:created xsi:type="dcterms:W3CDTF">2021-03-23T18:16:00Z</dcterms:created>
  <dcterms:modified xsi:type="dcterms:W3CDTF">2021-03-23T18:16:00Z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