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9BDD9" w14:textId="7A100A16" w:rsidR="00F13C3E" w:rsidRDefault="00F13C3E" w:rsidP="00F13C3E">
      <w:pPr>
        <w:ind w:left="1416" w:right="37"/>
        <w:jc w:val="center"/>
        <w:rPr>
          <w:rFonts w:asciiTheme="majorHAnsi" w:hAnsiTheme="majorHAnsi" w:cstheme="majorHAnsi"/>
          <w:b/>
          <w:sz w:val="32"/>
          <w:szCs w:val="32"/>
          <w:lang w:eastAsia="zh-CN"/>
          <w14:shadow w14:blurRad="63500" w14:dist="50800" w14:dir="18900000" w14:sx="0" w14:sy="0" w14:kx="0" w14:ky="0" w14:algn="none">
            <w14:srgbClr w14:val="000000">
              <w14:alpha w14:val="50000"/>
            </w14:srgbClr>
          </w14:shadow>
        </w:rPr>
      </w:pPr>
      <w:bookmarkStart w:id="0" w:name="_GoBack"/>
      <w:r>
        <w:rPr>
          <w:rFonts w:asciiTheme="majorHAnsi" w:hAnsiTheme="majorHAnsi" w:cstheme="majorHAnsi"/>
          <w:b/>
          <w:sz w:val="32"/>
          <w:szCs w:val="32"/>
          <w:lang w:eastAsia="zh-CN"/>
          <w14:shadow w14:blurRad="63500" w14:dist="50800" w14:dir="18900000" w14:sx="0" w14:sy="0" w14:kx="0" w14:ky="0" w14:algn="none">
            <w14:srgbClr w14:val="000000">
              <w14:alpha w14:val="50000"/>
            </w14:srgbClr>
          </w14:shadow>
        </w:rPr>
        <w:t>Contribution du Conseil national consultatif des personnes handicapées (CNCPH)</w:t>
      </w:r>
      <w:bookmarkEnd w:id="0"/>
    </w:p>
    <w:p w14:paraId="0472906E" w14:textId="25EF457E" w:rsidR="00F13C3E" w:rsidRDefault="00F13C3E" w:rsidP="00F13C3E">
      <w:pPr>
        <w:ind w:left="1416" w:right="37"/>
        <w:jc w:val="center"/>
        <w:rPr>
          <w:rFonts w:asciiTheme="majorHAnsi" w:hAnsiTheme="majorHAnsi" w:cstheme="majorHAnsi"/>
          <w:b/>
          <w:sz w:val="32"/>
          <w:szCs w:val="32"/>
          <w:lang w:eastAsia="zh-CN"/>
          <w14:shadow w14:blurRad="63500" w14:dist="50800" w14:dir="18900000" w14:sx="0" w14:sy="0" w14:kx="0" w14:ky="0" w14:algn="none">
            <w14:srgbClr w14:val="000000">
              <w14:alpha w14:val="50000"/>
            </w14:srgbClr>
          </w14:shadow>
        </w:rPr>
      </w:pPr>
      <w:proofErr w:type="gramStart"/>
      <w:r>
        <w:rPr>
          <w:rFonts w:asciiTheme="majorHAnsi" w:hAnsiTheme="majorHAnsi" w:cstheme="majorHAnsi"/>
          <w:b/>
          <w:sz w:val="32"/>
          <w:szCs w:val="32"/>
          <w:lang w:eastAsia="zh-CN"/>
          <w14:shadow w14:blurRad="63500" w14:dist="50800" w14:dir="18900000" w14:sx="0" w14:sy="0" w14:kx="0" w14:ky="0" w14:algn="none">
            <w14:srgbClr w14:val="000000">
              <w14:alpha w14:val="50000"/>
            </w14:srgbClr>
          </w14:shadow>
        </w:rPr>
        <w:t>à</w:t>
      </w:r>
      <w:proofErr w:type="gramEnd"/>
      <w:r>
        <w:rPr>
          <w:rFonts w:asciiTheme="majorHAnsi" w:hAnsiTheme="majorHAnsi" w:cstheme="majorHAnsi"/>
          <w:b/>
          <w:sz w:val="32"/>
          <w:szCs w:val="32"/>
          <w:lang w:eastAsia="zh-CN"/>
          <w14:shadow w14:blurRad="63500" w14:dist="50800" w14:dir="18900000" w14:sx="0" w14:sy="0" w14:kx="0" w14:ky="0" w14:algn="none">
            <w14:srgbClr w14:val="000000">
              <w14:alpha w14:val="50000"/>
            </w14:srgbClr>
          </w14:shadow>
        </w:rPr>
        <w:t xml:space="preserve"> la consultation</w:t>
      </w:r>
      <w:r w:rsidRPr="00430A7D">
        <w:rPr>
          <w:rFonts w:asciiTheme="majorHAnsi" w:hAnsiTheme="majorHAnsi" w:cstheme="majorHAnsi"/>
          <w:b/>
          <w:sz w:val="32"/>
          <w:szCs w:val="32"/>
          <w:lang w:eastAsia="zh-CN"/>
          <w14:shadow w14:blurRad="63500" w14:dist="50800" w14:dir="18900000" w14:sx="0" w14:sy="0" w14:kx="0" w14:ky="0" w14:algn="none">
            <w14:srgbClr w14:val="000000">
              <w14:alpha w14:val="50000"/>
            </w14:srgbClr>
          </w14:shadow>
        </w:rPr>
        <w:t xml:space="preserve"> </w:t>
      </w:r>
      <w:r>
        <w:rPr>
          <w:rFonts w:asciiTheme="majorHAnsi" w:hAnsiTheme="majorHAnsi" w:cstheme="majorHAnsi"/>
          <w:b/>
          <w:sz w:val="32"/>
          <w:szCs w:val="32"/>
          <w:lang w:eastAsia="zh-CN"/>
          <w14:shadow w14:blurRad="63500" w14:dist="50800" w14:dir="18900000" w14:sx="0" w14:sy="0" w14:kx="0" w14:ky="0" w14:algn="none">
            <w14:srgbClr w14:val="000000">
              <w14:alpha w14:val="50000"/>
            </w14:srgbClr>
          </w14:shadow>
        </w:rPr>
        <w:t>du Comité des droits de l’ONU</w:t>
      </w:r>
    </w:p>
    <w:p w14:paraId="3A1B91A5" w14:textId="39B51FA2" w:rsidR="00F13C3E" w:rsidRPr="00BD556B" w:rsidRDefault="00F13C3E" w:rsidP="00F13C3E">
      <w:pPr>
        <w:ind w:left="1416"/>
        <w:jc w:val="center"/>
        <w:rPr>
          <w:rFonts w:asciiTheme="majorHAnsi" w:hAnsiTheme="majorHAnsi" w:cstheme="majorHAnsi"/>
          <w:b/>
          <w:sz w:val="32"/>
          <w:szCs w:val="32"/>
          <w:lang w:eastAsia="zh-CN"/>
          <w14:shadow w14:blurRad="63500" w14:dist="50800" w14:dir="18900000" w14:sx="0" w14:sy="0" w14:kx="0" w14:ky="0" w14:algn="none">
            <w14:srgbClr w14:val="000000">
              <w14:alpha w14:val="50000"/>
            </w14:srgbClr>
          </w14:shadow>
        </w:rPr>
      </w:pPr>
      <w:proofErr w:type="gramStart"/>
      <w:r>
        <w:rPr>
          <w:rFonts w:asciiTheme="majorHAnsi" w:hAnsiTheme="majorHAnsi" w:cstheme="majorHAnsi"/>
          <w:b/>
          <w:sz w:val="32"/>
          <w:szCs w:val="32"/>
          <w:lang w:eastAsia="zh-CN"/>
          <w14:shadow w14:blurRad="63500" w14:dist="50800" w14:dir="18900000" w14:sx="0" w14:sy="0" w14:kx="0" w14:ky="0" w14:algn="none">
            <w14:srgbClr w14:val="000000">
              <w14:alpha w14:val="50000"/>
            </w14:srgbClr>
          </w14:shadow>
        </w:rPr>
        <w:t>relative</w:t>
      </w:r>
      <w:proofErr w:type="gramEnd"/>
      <w:r>
        <w:rPr>
          <w:rFonts w:asciiTheme="majorHAnsi" w:hAnsiTheme="majorHAnsi" w:cstheme="majorHAnsi"/>
          <w:b/>
          <w:sz w:val="32"/>
          <w:szCs w:val="32"/>
          <w:lang w:eastAsia="zh-CN"/>
          <w14:shadow w14:blurRad="63500" w14:dist="50800" w14:dir="18900000" w14:sx="0" w14:sy="0" w14:kx="0" w14:ky="0" w14:algn="none">
            <w14:srgbClr w14:val="000000">
              <w14:alpha w14:val="50000"/>
            </w14:srgbClr>
          </w14:shadow>
        </w:rPr>
        <w:t xml:space="preserve"> à l’article 27 de la CDPH</w:t>
      </w:r>
    </w:p>
    <w:p w14:paraId="64F7E412" w14:textId="63EBE096" w:rsidR="00F84E7E" w:rsidRDefault="00F84E7E" w:rsidP="006670B0">
      <w:pPr>
        <w:jc w:val="center"/>
        <w:rPr>
          <w:rFonts w:ascii="Arial" w:eastAsia="Times New Roman" w:hAnsi="Arial" w:cs="Arial"/>
          <w:b/>
          <w:sz w:val="28"/>
          <w:szCs w:val="28"/>
        </w:rPr>
      </w:pPr>
    </w:p>
    <w:p w14:paraId="0B8D85F9" w14:textId="6884054B" w:rsidR="006670B0" w:rsidRDefault="006670B0" w:rsidP="006670B0">
      <w:pPr>
        <w:jc w:val="center"/>
        <w:rPr>
          <w:rFonts w:ascii="Arial" w:eastAsia="Times New Roman" w:hAnsi="Arial" w:cs="Arial"/>
          <w:b/>
          <w:sz w:val="28"/>
          <w:szCs w:val="28"/>
        </w:rPr>
      </w:pPr>
    </w:p>
    <w:p w14:paraId="2D6BB152" w14:textId="77777777" w:rsidR="00003A95" w:rsidRPr="00E71152" w:rsidRDefault="0060133C" w:rsidP="00E71152">
      <w:pPr>
        <w:pBdr>
          <w:bottom w:val="single" w:sz="4" w:space="1" w:color="auto"/>
        </w:pBdr>
        <w:spacing w:after="240" w:line="259" w:lineRule="auto"/>
        <w:jc w:val="both"/>
        <w:rPr>
          <w:rFonts w:ascii="Arial" w:hAnsi="Arial" w:cs="Arial"/>
          <w:b/>
          <w:sz w:val="28"/>
          <w:szCs w:val="28"/>
        </w:rPr>
      </w:pPr>
      <w:r w:rsidRPr="00E71152">
        <w:rPr>
          <w:rFonts w:ascii="Arial" w:hAnsi="Arial" w:cs="Arial"/>
          <w:b/>
          <w:sz w:val="28"/>
          <w:szCs w:val="28"/>
        </w:rPr>
        <w:t>Introduction</w:t>
      </w:r>
    </w:p>
    <w:p w14:paraId="31A7C8E5" w14:textId="469DFFB3" w:rsidR="0060133C" w:rsidRPr="00003A95" w:rsidRDefault="0060133C" w:rsidP="00003A95">
      <w:pPr>
        <w:spacing w:after="120" w:line="259" w:lineRule="auto"/>
        <w:jc w:val="both"/>
        <w:rPr>
          <w:rFonts w:ascii="Arial" w:hAnsi="Arial" w:cs="Arial"/>
        </w:rPr>
      </w:pPr>
      <w:r w:rsidRPr="00003A95">
        <w:rPr>
          <w:rFonts w:ascii="Arial" w:hAnsi="Arial" w:cs="Arial"/>
        </w:rPr>
        <w:t>Les Etats dont la France, ayant ratifié la convention s’engagent à ce que (article 27) : « L’activité professionnelle demeure un moyen essentiel de participer à la vie sociale » Il contribue à la réalisation, à la structuration de soi et au sentiment d’utilité sociale. Tout adulte handicapé, qui en a le potentiel, doit avoir la possibilité d’exercer une activité professionnelle en milieu ordinaire et suivre un parcours professionnel conforme à ses aptitudes et à ses aspirations ».</w:t>
      </w:r>
    </w:p>
    <w:p w14:paraId="0CA0C67B" w14:textId="3A9424FC" w:rsidR="0060133C" w:rsidRPr="00003A95" w:rsidRDefault="0060133C" w:rsidP="00003A95">
      <w:pPr>
        <w:spacing w:after="120" w:line="259" w:lineRule="auto"/>
        <w:jc w:val="both"/>
        <w:rPr>
          <w:rFonts w:ascii="Arial" w:hAnsi="Arial" w:cs="Arial"/>
        </w:rPr>
      </w:pPr>
      <w:r w:rsidRPr="00003A95">
        <w:rPr>
          <w:rFonts w:ascii="Arial" w:hAnsi="Arial" w:cs="Arial"/>
        </w:rPr>
        <w:t>L’emploi, la formation et le maintien dans l’emploi des personnes en situation de handicap ont fait l’objet de profondes évolutions en France ces dernières années tant sur l’emploi dit « ordinaire » que dans le secteur protégé. En cela, nous pouvons dire qu’elles vont dans le sens de l’article 27.</w:t>
      </w:r>
    </w:p>
    <w:p w14:paraId="6CC07094" w14:textId="4AF7673F" w:rsidR="0060133C" w:rsidRPr="00003A95" w:rsidRDefault="0060133C" w:rsidP="00003A95">
      <w:pPr>
        <w:spacing w:after="120" w:line="259" w:lineRule="auto"/>
        <w:jc w:val="both"/>
        <w:rPr>
          <w:rFonts w:ascii="Arial" w:hAnsi="Arial" w:cs="Arial"/>
        </w:rPr>
      </w:pPr>
      <w:r w:rsidRPr="00003A95">
        <w:rPr>
          <w:rFonts w:ascii="Arial" w:hAnsi="Arial" w:cs="Arial"/>
        </w:rPr>
        <w:t xml:space="preserve">Toutefois, ces évolutions positives ne doivent pas masquer un nombre de freins encore importants pour les personnes en situation de handicap qui souhaitent se former, accéder à l’emploi ou s’y maintenir. En France, le chômage pour les personnes en situation de handicap reste encore 2 fois plus élevé que pour le reste de la population. On note également que le taux d’inactivité est pratiquement égal à la moitié du reste de la population </w:t>
      </w:r>
      <w:r w:rsidRPr="00003A95">
        <w:rPr>
          <w:rFonts w:ascii="Arial" w:hAnsi="Arial" w:cs="Arial"/>
        </w:rPr>
        <w:lastRenderedPageBreak/>
        <w:t>Selon le Défenseur des Droits</w:t>
      </w:r>
      <w:r w:rsidRPr="00003A95">
        <w:rPr>
          <w:rStyle w:val="FootnoteReference"/>
          <w:rFonts w:ascii="Arial" w:hAnsi="Arial" w:cs="Arial"/>
        </w:rPr>
        <w:footnoteReference w:id="1"/>
      </w:r>
      <w:r w:rsidRPr="00003A95">
        <w:rPr>
          <w:rFonts w:ascii="Arial" w:hAnsi="Arial" w:cs="Arial"/>
        </w:rPr>
        <w:t>, le handicap et l’état de santé sont les premières causes de discrimination sur les questions d’emploi ou de maintien dans l’emploi.</w:t>
      </w:r>
    </w:p>
    <w:p w14:paraId="2DABD37B" w14:textId="42A17778" w:rsidR="0060133C" w:rsidRDefault="0060133C" w:rsidP="00003A95">
      <w:pPr>
        <w:spacing w:line="259" w:lineRule="auto"/>
        <w:jc w:val="both"/>
        <w:rPr>
          <w:rFonts w:ascii="Arial" w:hAnsi="Arial" w:cs="Arial"/>
        </w:rPr>
      </w:pPr>
      <w:r w:rsidRPr="00003A95">
        <w:rPr>
          <w:rFonts w:ascii="Arial" w:hAnsi="Arial" w:cs="Arial"/>
        </w:rPr>
        <w:t>Le quota de 6% d’embauche de travailleurs handicapés dans les entreprises ou les fonctions publiques n’est toujours pas atteint.</w:t>
      </w:r>
    </w:p>
    <w:p w14:paraId="47711A53" w14:textId="77777777" w:rsidR="00003A95" w:rsidRPr="00003A95" w:rsidRDefault="00003A95" w:rsidP="00003A95">
      <w:pPr>
        <w:spacing w:line="259" w:lineRule="auto"/>
        <w:jc w:val="both"/>
        <w:rPr>
          <w:rFonts w:ascii="Arial" w:hAnsi="Arial" w:cs="Arial"/>
        </w:rPr>
      </w:pPr>
    </w:p>
    <w:p w14:paraId="33DCD6F2" w14:textId="77777777" w:rsidR="0060133C" w:rsidRPr="00003A95" w:rsidRDefault="0060133C" w:rsidP="00003A95">
      <w:pPr>
        <w:spacing w:line="259" w:lineRule="auto"/>
        <w:jc w:val="both"/>
        <w:rPr>
          <w:rFonts w:ascii="Arial" w:hAnsi="Arial" w:cs="Arial"/>
          <w:bCs/>
        </w:rPr>
      </w:pPr>
    </w:p>
    <w:p w14:paraId="3A2EE3C5" w14:textId="3B19B3C8" w:rsidR="0060133C" w:rsidRPr="00E71152" w:rsidRDefault="0060133C" w:rsidP="00E71152">
      <w:pPr>
        <w:pStyle w:val="ListParagraph"/>
        <w:numPr>
          <w:ilvl w:val="0"/>
          <w:numId w:val="3"/>
        </w:numPr>
        <w:pBdr>
          <w:bottom w:val="single" w:sz="4" w:space="1" w:color="auto"/>
        </w:pBdr>
        <w:spacing w:after="240" w:line="259" w:lineRule="auto"/>
        <w:ind w:left="284" w:hanging="284"/>
        <w:jc w:val="both"/>
        <w:rPr>
          <w:rFonts w:ascii="Arial" w:hAnsi="Arial" w:cs="Arial"/>
          <w:b/>
          <w:bCs/>
          <w:sz w:val="28"/>
          <w:szCs w:val="28"/>
        </w:rPr>
      </w:pPr>
      <w:r w:rsidRPr="00E71152">
        <w:rPr>
          <w:rFonts w:ascii="Arial" w:hAnsi="Arial" w:cs="Arial"/>
          <w:b/>
          <w:bCs/>
          <w:sz w:val="28"/>
          <w:szCs w:val="28"/>
        </w:rPr>
        <w:t>Des évolutions positives à évaluer sur le moyen terme</w:t>
      </w:r>
    </w:p>
    <w:p w14:paraId="33E4DEF3" w14:textId="77777777" w:rsidR="0060133C" w:rsidRPr="00003A95" w:rsidRDefault="0060133C" w:rsidP="00003A95">
      <w:pPr>
        <w:spacing w:line="259" w:lineRule="auto"/>
        <w:jc w:val="both"/>
        <w:rPr>
          <w:rFonts w:ascii="Arial" w:hAnsi="Arial" w:cs="Arial"/>
          <w:bCs/>
        </w:rPr>
      </w:pPr>
      <w:r w:rsidRPr="00003A95">
        <w:rPr>
          <w:rFonts w:ascii="Arial" w:hAnsi="Arial" w:cs="Arial"/>
          <w:bCs/>
        </w:rPr>
        <w:t>Plusieurs pans favorisant l’accès aux droits, à la formation, à l’emploi ou au maintien dans l’emploi ont fait l’objet de réformes.</w:t>
      </w:r>
    </w:p>
    <w:p w14:paraId="6E49D6B5" w14:textId="77777777" w:rsidR="0060133C" w:rsidRPr="00003A95" w:rsidRDefault="0060133C" w:rsidP="00003A95">
      <w:pPr>
        <w:spacing w:line="259" w:lineRule="auto"/>
        <w:jc w:val="both"/>
        <w:rPr>
          <w:rFonts w:ascii="Arial" w:hAnsi="Arial" w:cs="Arial"/>
          <w:bCs/>
        </w:rPr>
      </w:pPr>
    </w:p>
    <w:p w14:paraId="21BED411" w14:textId="77777777" w:rsidR="0060133C" w:rsidRPr="00003A95" w:rsidRDefault="0060133C" w:rsidP="00003A95">
      <w:pPr>
        <w:pStyle w:val="ListParagraph"/>
        <w:numPr>
          <w:ilvl w:val="0"/>
          <w:numId w:val="9"/>
        </w:numPr>
        <w:spacing w:line="259" w:lineRule="auto"/>
        <w:jc w:val="both"/>
        <w:rPr>
          <w:rFonts w:ascii="Arial" w:hAnsi="Arial" w:cs="Arial"/>
          <w:b/>
          <w:bCs/>
          <w:sz w:val="24"/>
          <w:szCs w:val="24"/>
        </w:rPr>
      </w:pPr>
      <w:r w:rsidRPr="00003A95">
        <w:rPr>
          <w:rFonts w:ascii="Arial" w:hAnsi="Arial" w:cs="Arial"/>
          <w:b/>
          <w:bCs/>
          <w:sz w:val="24"/>
          <w:szCs w:val="24"/>
        </w:rPr>
        <w:t>L’information</w:t>
      </w:r>
    </w:p>
    <w:p w14:paraId="30DA62D3" w14:textId="2A10D58B" w:rsidR="0060133C" w:rsidRPr="00003A95" w:rsidRDefault="0060133C" w:rsidP="00003A95">
      <w:pPr>
        <w:spacing w:line="259" w:lineRule="auto"/>
        <w:jc w:val="both"/>
        <w:rPr>
          <w:rFonts w:ascii="Arial" w:hAnsi="Arial" w:cs="Arial"/>
          <w:bCs/>
        </w:rPr>
      </w:pPr>
      <w:r w:rsidRPr="00003A95">
        <w:rPr>
          <w:rFonts w:ascii="Arial" w:hAnsi="Arial" w:cs="Arial"/>
          <w:bCs/>
        </w:rPr>
        <w:t>Il existe encore de nombreuses barrières concernant l’accès à l’information des personnes en situation de handicap portant sur les dispositifs de formation d’emploi et de maintien dans l’emploi. Une solution serait de mieux communiquer et de mener des campagnes d’information sur les aides mobilisables (ex</w:t>
      </w:r>
      <w:r w:rsidR="007A3D16">
        <w:rPr>
          <w:rFonts w:ascii="Arial" w:hAnsi="Arial" w:cs="Arial"/>
          <w:bCs/>
        </w:rPr>
        <w:t>.</w:t>
      </w:r>
      <w:r w:rsidRPr="00003A95">
        <w:rPr>
          <w:rFonts w:ascii="Arial" w:hAnsi="Arial" w:cs="Arial"/>
          <w:bCs/>
        </w:rPr>
        <w:t xml:space="preserve"> : lancement en France de la plateforme </w:t>
      </w:r>
      <w:hyperlink r:id="rId8" w:history="1">
        <w:r w:rsidRPr="00003A95">
          <w:rPr>
            <w:rStyle w:val="Hyperlink"/>
            <w:rFonts w:ascii="Arial" w:hAnsi="Arial" w:cs="Arial"/>
            <w:bCs/>
          </w:rPr>
          <w:t>www.monparcourshandicap.gouv.fr</w:t>
        </w:r>
      </w:hyperlink>
      <w:r w:rsidRPr="00003A95">
        <w:rPr>
          <w:rStyle w:val="Hyperlink"/>
          <w:rFonts w:ascii="Arial" w:hAnsi="Arial" w:cs="Arial"/>
          <w:bCs/>
        </w:rPr>
        <w:t>).</w:t>
      </w:r>
    </w:p>
    <w:p w14:paraId="450DF98A" w14:textId="77777777" w:rsidR="0060133C" w:rsidRPr="00003A95" w:rsidRDefault="0060133C" w:rsidP="00003A95">
      <w:pPr>
        <w:spacing w:line="259" w:lineRule="auto"/>
        <w:jc w:val="both"/>
        <w:rPr>
          <w:rFonts w:ascii="Arial" w:hAnsi="Arial" w:cs="Arial"/>
          <w:bCs/>
        </w:rPr>
      </w:pPr>
    </w:p>
    <w:p w14:paraId="14A1DF9B" w14:textId="09516870" w:rsidR="00003A95" w:rsidRPr="00003A95" w:rsidRDefault="0060133C" w:rsidP="00003A95">
      <w:pPr>
        <w:pStyle w:val="ListParagraph"/>
        <w:numPr>
          <w:ilvl w:val="0"/>
          <w:numId w:val="9"/>
        </w:numPr>
        <w:spacing w:line="259" w:lineRule="auto"/>
        <w:jc w:val="both"/>
        <w:rPr>
          <w:rFonts w:ascii="Arial" w:hAnsi="Arial" w:cs="Arial"/>
          <w:b/>
          <w:bCs/>
          <w:sz w:val="24"/>
          <w:szCs w:val="24"/>
        </w:rPr>
      </w:pPr>
      <w:r w:rsidRPr="00003A95">
        <w:rPr>
          <w:rFonts w:ascii="Arial" w:hAnsi="Arial" w:cs="Arial"/>
          <w:b/>
          <w:bCs/>
          <w:sz w:val="24"/>
          <w:szCs w:val="24"/>
        </w:rPr>
        <w:t>L’accès au statut de « Travailleurs en Situation de Handicap (TSH) » </w:t>
      </w:r>
    </w:p>
    <w:p w14:paraId="442B0883" w14:textId="56B1D020" w:rsidR="0060133C" w:rsidRPr="00003A95" w:rsidRDefault="00930B9B" w:rsidP="00003A95">
      <w:pPr>
        <w:spacing w:line="259" w:lineRule="auto"/>
        <w:jc w:val="both"/>
        <w:rPr>
          <w:rFonts w:ascii="Arial" w:hAnsi="Arial" w:cs="Arial"/>
          <w:bCs/>
        </w:rPr>
      </w:pPr>
      <w:r>
        <w:rPr>
          <w:rFonts w:ascii="Arial" w:hAnsi="Arial" w:cs="Arial"/>
          <w:bCs/>
        </w:rPr>
        <w:t>S</w:t>
      </w:r>
      <w:r w:rsidR="0060133C" w:rsidRPr="00003A95">
        <w:rPr>
          <w:rFonts w:ascii="Arial" w:hAnsi="Arial" w:cs="Arial"/>
          <w:bCs/>
        </w:rPr>
        <w:t>implification des démarches pour les personnes dont la situation de handicap ne pourra pas s’améliorer en octroyant un droit à vie semble être une piste à privilégier.</w:t>
      </w:r>
    </w:p>
    <w:p w14:paraId="41F25A37" w14:textId="77777777" w:rsidR="0060133C" w:rsidRPr="00003A95" w:rsidRDefault="0060133C" w:rsidP="00003A95">
      <w:pPr>
        <w:spacing w:line="259" w:lineRule="auto"/>
        <w:jc w:val="both"/>
        <w:rPr>
          <w:rFonts w:ascii="Arial" w:hAnsi="Arial" w:cs="Arial"/>
          <w:bCs/>
        </w:rPr>
      </w:pPr>
    </w:p>
    <w:p w14:paraId="097BB48B" w14:textId="77777777" w:rsidR="0060133C" w:rsidRPr="00003A95" w:rsidRDefault="0060133C" w:rsidP="00003A95">
      <w:pPr>
        <w:spacing w:line="259" w:lineRule="auto"/>
        <w:jc w:val="both"/>
        <w:rPr>
          <w:rFonts w:ascii="Arial" w:hAnsi="Arial" w:cs="Arial"/>
          <w:bCs/>
        </w:rPr>
      </w:pPr>
      <w:r w:rsidRPr="00003A95">
        <w:rPr>
          <w:rFonts w:ascii="Arial" w:hAnsi="Arial" w:cs="Arial"/>
          <w:bCs/>
        </w:rPr>
        <w:t>En effet, l’octroi par les organismes en charge de qualifier le handicap d’une double orientation secteur protégé et milieu ordinaire permet aux personnes en situation de handicap de choisir librement leur orientation professionnelle</w:t>
      </w:r>
    </w:p>
    <w:p w14:paraId="69C9F3B0" w14:textId="77777777" w:rsidR="0060133C" w:rsidRPr="00003A95" w:rsidRDefault="0060133C" w:rsidP="00003A95">
      <w:pPr>
        <w:spacing w:line="259" w:lineRule="auto"/>
        <w:jc w:val="both"/>
        <w:rPr>
          <w:rFonts w:ascii="Arial" w:hAnsi="Arial" w:cs="Arial"/>
          <w:bCs/>
        </w:rPr>
      </w:pPr>
    </w:p>
    <w:p w14:paraId="039693D0" w14:textId="7C36B071" w:rsidR="0060133C" w:rsidRPr="00003A95" w:rsidRDefault="0060133C" w:rsidP="00003A95">
      <w:pPr>
        <w:pStyle w:val="ListParagraph"/>
        <w:numPr>
          <w:ilvl w:val="0"/>
          <w:numId w:val="9"/>
        </w:numPr>
        <w:spacing w:line="259" w:lineRule="auto"/>
        <w:jc w:val="both"/>
        <w:rPr>
          <w:rFonts w:ascii="Arial" w:hAnsi="Arial" w:cs="Arial"/>
          <w:b/>
          <w:bCs/>
          <w:sz w:val="24"/>
          <w:szCs w:val="24"/>
        </w:rPr>
      </w:pPr>
      <w:r w:rsidRPr="00003A95">
        <w:rPr>
          <w:rFonts w:ascii="Arial" w:hAnsi="Arial" w:cs="Arial"/>
          <w:b/>
          <w:bCs/>
          <w:sz w:val="24"/>
          <w:szCs w:val="24"/>
        </w:rPr>
        <w:t>La scolarité</w:t>
      </w:r>
    </w:p>
    <w:p w14:paraId="42B1431E" w14:textId="77777777" w:rsidR="0060133C" w:rsidRPr="00003A95" w:rsidRDefault="0060133C" w:rsidP="00003A95">
      <w:pPr>
        <w:spacing w:line="259" w:lineRule="auto"/>
        <w:jc w:val="both"/>
        <w:rPr>
          <w:rFonts w:ascii="Arial" w:hAnsi="Arial" w:cs="Arial"/>
          <w:bCs/>
        </w:rPr>
      </w:pPr>
      <w:r w:rsidRPr="00003A95">
        <w:rPr>
          <w:rFonts w:ascii="Arial" w:hAnsi="Arial" w:cs="Arial"/>
          <w:bCs/>
        </w:rPr>
        <w:t>Amplification de l’école inclusive, augmentation du nombre d’étudiants en situation du handicap sont autant de facteurs qui permettent une meilleure intégration des personnes en situation de handicap sur le marché de l’emploi. Il est important de rappeler qu’une forme de continuité doit être assurée entre le milieu scolaire/ universitaire et l’entrée dans l’emploi (l’apprentissage et les stages constituent un début de solution).</w:t>
      </w:r>
    </w:p>
    <w:p w14:paraId="2568A45A" w14:textId="77777777" w:rsidR="0060133C" w:rsidRPr="00003A95" w:rsidRDefault="0060133C" w:rsidP="00003A95">
      <w:pPr>
        <w:spacing w:line="259" w:lineRule="auto"/>
        <w:jc w:val="both"/>
        <w:rPr>
          <w:rFonts w:ascii="Arial" w:hAnsi="Arial" w:cs="Arial"/>
          <w:bCs/>
        </w:rPr>
      </w:pPr>
    </w:p>
    <w:p w14:paraId="1055A42B" w14:textId="02F14D4D" w:rsidR="007261E0" w:rsidRPr="007261E0" w:rsidRDefault="0060133C" w:rsidP="007261E0">
      <w:pPr>
        <w:pStyle w:val="ListParagraph"/>
        <w:numPr>
          <w:ilvl w:val="0"/>
          <w:numId w:val="9"/>
        </w:numPr>
        <w:spacing w:line="259" w:lineRule="auto"/>
        <w:jc w:val="both"/>
        <w:rPr>
          <w:rFonts w:ascii="Arial" w:hAnsi="Arial" w:cs="Arial"/>
          <w:b/>
          <w:bCs/>
          <w:sz w:val="24"/>
          <w:szCs w:val="24"/>
        </w:rPr>
      </w:pPr>
      <w:r w:rsidRPr="007261E0">
        <w:rPr>
          <w:rFonts w:ascii="Arial" w:hAnsi="Arial" w:cs="Arial"/>
          <w:b/>
          <w:bCs/>
          <w:sz w:val="24"/>
          <w:szCs w:val="24"/>
        </w:rPr>
        <w:t>La</w:t>
      </w:r>
      <w:r w:rsidR="007261E0">
        <w:rPr>
          <w:rFonts w:ascii="Arial" w:hAnsi="Arial" w:cs="Arial"/>
          <w:b/>
          <w:bCs/>
          <w:sz w:val="24"/>
          <w:szCs w:val="24"/>
        </w:rPr>
        <w:t xml:space="preserve"> formation</w:t>
      </w:r>
      <w:r w:rsidRPr="007261E0">
        <w:rPr>
          <w:rFonts w:ascii="Arial" w:hAnsi="Arial" w:cs="Arial"/>
          <w:b/>
          <w:bCs/>
          <w:sz w:val="24"/>
          <w:szCs w:val="24"/>
        </w:rPr>
        <w:t xml:space="preserve"> </w:t>
      </w:r>
    </w:p>
    <w:p w14:paraId="53F931E3" w14:textId="7FE2D110" w:rsidR="0060133C" w:rsidRPr="00003A95" w:rsidRDefault="0060133C" w:rsidP="007261E0">
      <w:pPr>
        <w:tabs>
          <w:tab w:val="left" w:pos="2127"/>
        </w:tabs>
        <w:spacing w:after="120" w:line="259" w:lineRule="auto"/>
        <w:jc w:val="both"/>
        <w:rPr>
          <w:rFonts w:ascii="Arial" w:hAnsi="Arial" w:cs="Arial"/>
          <w:bCs/>
        </w:rPr>
      </w:pPr>
      <w:r w:rsidRPr="00003A95">
        <w:rPr>
          <w:rFonts w:ascii="Arial" w:hAnsi="Arial" w:cs="Arial"/>
          <w:bCs/>
        </w:rPr>
        <w:t>Plusieurs dispositifs paraissent faire leurs preuves au niveau de la formation continue</w:t>
      </w:r>
      <w:r w:rsidR="007261E0">
        <w:rPr>
          <w:rFonts w:ascii="Arial" w:hAnsi="Arial" w:cs="Arial"/>
          <w:bCs/>
        </w:rPr>
        <w:t> :</w:t>
      </w:r>
    </w:p>
    <w:p w14:paraId="19FBB379" w14:textId="77777777" w:rsidR="0060133C" w:rsidRPr="00003A95" w:rsidRDefault="0060133C" w:rsidP="007261E0">
      <w:pPr>
        <w:pStyle w:val="ListParagraph"/>
        <w:numPr>
          <w:ilvl w:val="0"/>
          <w:numId w:val="6"/>
        </w:numPr>
        <w:tabs>
          <w:tab w:val="left" w:pos="2127"/>
        </w:tabs>
        <w:spacing w:after="120" w:line="259" w:lineRule="auto"/>
        <w:jc w:val="both"/>
        <w:rPr>
          <w:rFonts w:ascii="Arial" w:hAnsi="Arial" w:cs="Arial"/>
          <w:bCs/>
          <w:sz w:val="24"/>
          <w:szCs w:val="24"/>
        </w:rPr>
      </w:pPr>
      <w:r w:rsidRPr="00003A95">
        <w:rPr>
          <w:rFonts w:ascii="Arial" w:hAnsi="Arial" w:cs="Arial"/>
          <w:bCs/>
          <w:sz w:val="24"/>
          <w:szCs w:val="24"/>
        </w:rPr>
        <w:t xml:space="preserve">L’appui à l’alternance (mixant formation et emploi au sein d’une l’entreprise ou d’une administration) qui a amené une augmentation des personnes en situation de handicap accédant à ce mode de formation, </w:t>
      </w:r>
    </w:p>
    <w:p w14:paraId="6820F2E9" w14:textId="77777777" w:rsidR="0060133C" w:rsidRPr="00003A95" w:rsidRDefault="0060133C" w:rsidP="007261E0">
      <w:pPr>
        <w:pStyle w:val="ListParagraph"/>
        <w:numPr>
          <w:ilvl w:val="0"/>
          <w:numId w:val="6"/>
        </w:numPr>
        <w:tabs>
          <w:tab w:val="left" w:pos="2127"/>
        </w:tabs>
        <w:spacing w:after="120" w:line="259" w:lineRule="auto"/>
        <w:jc w:val="both"/>
        <w:rPr>
          <w:rFonts w:ascii="Arial" w:hAnsi="Arial" w:cs="Arial"/>
          <w:bCs/>
          <w:sz w:val="24"/>
          <w:szCs w:val="24"/>
        </w:rPr>
      </w:pPr>
      <w:r w:rsidRPr="00003A95">
        <w:rPr>
          <w:rFonts w:ascii="Arial" w:hAnsi="Arial" w:cs="Arial"/>
          <w:bCs/>
          <w:sz w:val="24"/>
          <w:szCs w:val="24"/>
        </w:rPr>
        <w:t xml:space="preserve">L’augmentation du nombre de personne en situation de handicap dans les formations financées par les régions et par le service public de l’emploi, </w:t>
      </w:r>
    </w:p>
    <w:p w14:paraId="5313B933" w14:textId="3E013033" w:rsidR="0060133C" w:rsidRPr="00003A95" w:rsidRDefault="0060133C" w:rsidP="007261E0">
      <w:pPr>
        <w:pStyle w:val="ListParagraph"/>
        <w:numPr>
          <w:ilvl w:val="0"/>
          <w:numId w:val="6"/>
        </w:numPr>
        <w:tabs>
          <w:tab w:val="left" w:pos="2127"/>
        </w:tabs>
        <w:spacing w:after="120" w:line="259" w:lineRule="auto"/>
        <w:jc w:val="both"/>
        <w:rPr>
          <w:rFonts w:ascii="Arial" w:hAnsi="Arial" w:cs="Arial"/>
          <w:bCs/>
          <w:sz w:val="24"/>
          <w:szCs w:val="24"/>
        </w:rPr>
      </w:pPr>
      <w:r w:rsidRPr="00003A95">
        <w:rPr>
          <w:rFonts w:ascii="Arial" w:hAnsi="Arial" w:cs="Arial"/>
          <w:bCs/>
          <w:sz w:val="24"/>
          <w:szCs w:val="24"/>
        </w:rPr>
        <w:lastRenderedPageBreak/>
        <w:t>L’adaptation de la formation pour les travailleurs dans les établissements d’emploi protégé par le biais du dispositif spécifique (ex</w:t>
      </w:r>
      <w:r w:rsidR="00930B9B">
        <w:rPr>
          <w:rFonts w:ascii="Arial" w:hAnsi="Arial" w:cs="Arial"/>
          <w:bCs/>
          <w:sz w:val="24"/>
          <w:szCs w:val="24"/>
        </w:rPr>
        <w:t>.</w:t>
      </w:r>
      <w:r w:rsidRPr="00003A95">
        <w:rPr>
          <w:rFonts w:ascii="Arial" w:hAnsi="Arial" w:cs="Arial"/>
          <w:bCs/>
          <w:sz w:val="24"/>
          <w:szCs w:val="24"/>
        </w:rPr>
        <w:t> : différents et compétents en France qui facilite la reconnaissance des acquis et de l’expérience)</w:t>
      </w:r>
      <w:r w:rsidR="00930B9B">
        <w:rPr>
          <w:rFonts w:ascii="Arial" w:hAnsi="Arial" w:cs="Arial"/>
          <w:bCs/>
          <w:sz w:val="24"/>
          <w:szCs w:val="24"/>
        </w:rPr>
        <w:t>,</w:t>
      </w:r>
    </w:p>
    <w:p w14:paraId="36B4AA3A" w14:textId="77777777" w:rsidR="0060133C" w:rsidRPr="00003A95" w:rsidRDefault="0060133C" w:rsidP="00003A95">
      <w:pPr>
        <w:pStyle w:val="ListParagraph"/>
        <w:numPr>
          <w:ilvl w:val="0"/>
          <w:numId w:val="6"/>
        </w:numPr>
        <w:spacing w:line="259" w:lineRule="auto"/>
        <w:jc w:val="both"/>
        <w:rPr>
          <w:rFonts w:ascii="Arial" w:hAnsi="Arial" w:cs="Arial"/>
          <w:bCs/>
          <w:sz w:val="24"/>
          <w:szCs w:val="24"/>
        </w:rPr>
      </w:pPr>
      <w:r w:rsidRPr="00003A95">
        <w:rPr>
          <w:rFonts w:ascii="Arial" w:hAnsi="Arial" w:cs="Arial"/>
          <w:bCs/>
          <w:sz w:val="24"/>
          <w:szCs w:val="24"/>
        </w:rPr>
        <w:t>La transformation des centres de pré-orientation et de rééducation professionnelle visant à permettre un meilleur accompagnement de la reconversion professionnelle des personnes en situation de handicap.</w:t>
      </w:r>
    </w:p>
    <w:p w14:paraId="4BF33E99" w14:textId="77777777" w:rsidR="0060133C" w:rsidRPr="00003A95" w:rsidRDefault="0060133C" w:rsidP="00003A95">
      <w:pPr>
        <w:spacing w:line="259" w:lineRule="auto"/>
        <w:jc w:val="both"/>
        <w:rPr>
          <w:rFonts w:ascii="Arial" w:hAnsi="Arial" w:cs="Arial"/>
          <w:bCs/>
        </w:rPr>
      </w:pPr>
    </w:p>
    <w:p w14:paraId="4DB55104" w14:textId="3032014C" w:rsidR="0060133C" w:rsidRPr="00003A95" w:rsidRDefault="0060133C" w:rsidP="007261E0">
      <w:pPr>
        <w:pStyle w:val="ListParagraph"/>
        <w:numPr>
          <w:ilvl w:val="0"/>
          <w:numId w:val="9"/>
        </w:numPr>
        <w:spacing w:line="259" w:lineRule="auto"/>
        <w:jc w:val="both"/>
        <w:rPr>
          <w:rFonts w:ascii="Arial" w:hAnsi="Arial" w:cs="Arial"/>
          <w:b/>
          <w:bCs/>
          <w:sz w:val="24"/>
          <w:szCs w:val="24"/>
          <w:u w:val="single"/>
        </w:rPr>
      </w:pPr>
      <w:r w:rsidRPr="007261E0">
        <w:rPr>
          <w:rFonts w:ascii="Arial" w:hAnsi="Arial" w:cs="Arial"/>
          <w:b/>
          <w:bCs/>
          <w:sz w:val="24"/>
          <w:szCs w:val="24"/>
        </w:rPr>
        <w:t>L’emploi</w:t>
      </w:r>
      <w:r w:rsidR="00F13C3E">
        <w:rPr>
          <w:rFonts w:ascii="Arial" w:hAnsi="Arial" w:cs="Arial"/>
          <w:b/>
          <w:bCs/>
          <w:sz w:val="24"/>
          <w:szCs w:val="24"/>
        </w:rPr>
        <w:t> et le maintien dans l’emploi</w:t>
      </w:r>
    </w:p>
    <w:p w14:paraId="3FF1F3B3" w14:textId="256F04AE" w:rsidR="0060133C" w:rsidRPr="00003A95" w:rsidRDefault="0060133C" w:rsidP="007261E0">
      <w:pPr>
        <w:spacing w:after="120" w:line="259" w:lineRule="auto"/>
        <w:jc w:val="both"/>
        <w:rPr>
          <w:rFonts w:ascii="Arial" w:hAnsi="Arial" w:cs="Arial"/>
          <w:bCs/>
        </w:rPr>
      </w:pPr>
      <w:r w:rsidRPr="00003A95">
        <w:rPr>
          <w:rFonts w:ascii="Arial" w:hAnsi="Arial" w:cs="Arial"/>
          <w:bCs/>
        </w:rPr>
        <w:t>Des dispositifs ou des contrats spécifiques ont été mis en place pour favoriser l’embauche et le maintien dans l’emploi des personnes en situation de handicap et qu</w:t>
      </w:r>
      <w:r w:rsidR="00930B9B">
        <w:rPr>
          <w:rFonts w:ascii="Arial" w:hAnsi="Arial" w:cs="Arial"/>
          <w:bCs/>
        </w:rPr>
        <w:t xml:space="preserve">i méritent d’être mis en avant : </w:t>
      </w:r>
    </w:p>
    <w:p w14:paraId="401EED6C" w14:textId="77777777" w:rsidR="0060133C" w:rsidRPr="00003A95" w:rsidRDefault="0060133C" w:rsidP="007261E0">
      <w:pPr>
        <w:pStyle w:val="ListParagraph"/>
        <w:numPr>
          <w:ilvl w:val="0"/>
          <w:numId w:val="7"/>
        </w:numPr>
        <w:spacing w:after="120" w:line="259" w:lineRule="auto"/>
        <w:jc w:val="both"/>
        <w:rPr>
          <w:rFonts w:ascii="Arial" w:hAnsi="Arial" w:cs="Arial"/>
          <w:bCs/>
          <w:sz w:val="24"/>
          <w:szCs w:val="24"/>
        </w:rPr>
      </w:pPr>
      <w:r w:rsidRPr="00003A95">
        <w:rPr>
          <w:rFonts w:ascii="Arial" w:hAnsi="Arial" w:cs="Arial"/>
          <w:bCs/>
          <w:sz w:val="24"/>
          <w:szCs w:val="24"/>
        </w:rPr>
        <w:t xml:space="preserve">La mise en place de contrats passerelles pour aller vers le milieu ordinaire, </w:t>
      </w:r>
    </w:p>
    <w:p w14:paraId="7D872870" w14:textId="475B93B6" w:rsidR="0060133C" w:rsidRPr="00003A95" w:rsidRDefault="0060133C" w:rsidP="007261E0">
      <w:pPr>
        <w:pStyle w:val="ListParagraph"/>
        <w:numPr>
          <w:ilvl w:val="0"/>
          <w:numId w:val="7"/>
        </w:numPr>
        <w:spacing w:after="120" w:line="259" w:lineRule="auto"/>
        <w:jc w:val="both"/>
        <w:rPr>
          <w:rFonts w:ascii="Arial" w:hAnsi="Arial" w:cs="Arial"/>
          <w:bCs/>
          <w:sz w:val="24"/>
          <w:szCs w:val="24"/>
        </w:rPr>
      </w:pPr>
      <w:r w:rsidRPr="00003A95">
        <w:rPr>
          <w:rFonts w:ascii="Arial" w:hAnsi="Arial" w:cs="Arial"/>
          <w:bCs/>
          <w:sz w:val="24"/>
          <w:szCs w:val="24"/>
        </w:rPr>
        <w:t>La mise en place de l’emploi accompagné (emploi assisté) pour renforcer l’aide à la recherche d’emploi ou au maintien dans l’emploi dans le milieu ordinaire ou protégé, l’octroi de prime à l’embauche pour les entreprises. La mise en place de l’emploi accompagné répond à un réel besoin d’accompagnement renforcé de certaines personnes en situation de handicap pour accéder ou se maintenir dans l’emploi tant dans le milieu ordinaire que protégé. Il conviendra d’amplifier ce dispositif pour répondre aux besoins croissants des p</w:t>
      </w:r>
      <w:r w:rsidR="00930B9B">
        <w:rPr>
          <w:rFonts w:ascii="Arial" w:hAnsi="Arial" w:cs="Arial"/>
          <w:bCs/>
          <w:sz w:val="24"/>
          <w:szCs w:val="24"/>
        </w:rPr>
        <w:t>ublics,</w:t>
      </w:r>
      <w:r w:rsidRPr="00003A95">
        <w:rPr>
          <w:rFonts w:ascii="Arial" w:hAnsi="Arial" w:cs="Arial"/>
          <w:bCs/>
          <w:sz w:val="24"/>
          <w:szCs w:val="24"/>
        </w:rPr>
        <w:t xml:space="preserve"> </w:t>
      </w:r>
    </w:p>
    <w:p w14:paraId="45275995" w14:textId="77777777" w:rsidR="0060133C" w:rsidRPr="00003A95" w:rsidRDefault="0060133C" w:rsidP="007261E0">
      <w:pPr>
        <w:pStyle w:val="ListParagraph"/>
        <w:numPr>
          <w:ilvl w:val="0"/>
          <w:numId w:val="7"/>
        </w:numPr>
        <w:spacing w:after="120" w:line="259" w:lineRule="auto"/>
        <w:jc w:val="both"/>
        <w:rPr>
          <w:rFonts w:ascii="Arial" w:hAnsi="Arial" w:cs="Arial"/>
          <w:bCs/>
          <w:sz w:val="24"/>
          <w:szCs w:val="24"/>
        </w:rPr>
      </w:pPr>
      <w:r w:rsidRPr="00003A95">
        <w:rPr>
          <w:rFonts w:ascii="Arial" w:hAnsi="Arial" w:cs="Arial"/>
          <w:bCs/>
          <w:sz w:val="24"/>
          <w:szCs w:val="24"/>
        </w:rPr>
        <w:lastRenderedPageBreak/>
        <w:t>La réforme de l’obligation d’emploi mise en place en 2020 afin d’inciter les entreprises et les employeurs publics à favoriser l’emploi direct,</w:t>
      </w:r>
    </w:p>
    <w:p w14:paraId="11A47D94" w14:textId="77777777" w:rsidR="0060133C" w:rsidRPr="00003A95" w:rsidRDefault="0060133C" w:rsidP="007261E0">
      <w:pPr>
        <w:pStyle w:val="ListParagraph"/>
        <w:numPr>
          <w:ilvl w:val="0"/>
          <w:numId w:val="7"/>
        </w:numPr>
        <w:spacing w:after="120" w:line="259" w:lineRule="auto"/>
        <w:jc w:val="both"/>
        <w:rPr>
          <w:rFonts w:ascii="Arial" w:hAnsi="Arial" w:cs="Arial"/>
          <w:bCs/>
          <w:sz w:val="24"/>
          <w:szCs w:val="24"/>
        </w:rPr>
      </w:pPr>
      <w:r w:rsidRPr="00003A95">
        <w:rPr>
          <w:rFonts w:ascii="Arial" w:hAnsi="Arial" w:cs="Arial"/>
          <w:bCs/>
          <w:sz w:val="24"/>
          <w:szCs w:val="24"/>
        </w:rPr>
        <w:t>L’aménagement des situations de travail pour accéder ou se maintenir dans l’emploi,</w:t>
      </w:r>
    </w:p>
    <w:p w14:paraId="6E723F13" w14:textId="77777777" w:rsidR="0060133C" w:rsidRPr="00003A95" w:rsidRDefault="0060133C" w:rsidP="007261E0">
      <w:pPr>
        <w:pStyle w:val="ListParagraph"/>
        <w:numPr>
          <w:ilvl w:val="0"/>
          <w:numId w:val="7"/>
        </w:numPr>
        <w:spacing w:after="120" w:line="259" w:lineRule="auto"/>
        <w:jc w:val="both"/>
        <w:rPr>
          <w:rFonts w:ascii="Arial" w:hAnsi="Arial" w:cs="Arial"/>
          <w:bCs/>
          <w:sz w:val="24"/>
          <w:szCs w:val="24"/>
        </w:rPr>
      </w:pPr>
      <w:r w:rsidRPr="00003A95">
        <w:rPr>
          <w:rFonts w:ascii="Arial" w:hAnsi="Arial" w:cs="Arial"/>
          <w:bCs/>
          <w:sz w:val="24"/>
          <w:szCs w:val="24"/>
        </w:rPr>
        <w:t>Le soutien de l’Etat et d’organismes paritaires en faveur des entrepreneurs en situation de handicap peuvent permettre à de nombreuses personnes en situation de handicap de créer leur propre emploi,</w:t>
      </w:r>
    </w:p>
    <w:p w14:paraId="2FEAB177" w14:textId="77777777" w:rsidR="0060133C" w:rsidRPr="00003A95" w:rsidRDefault="0060133C" w:rsidP="007261E0">
      <w:pPr>
        <w:pStyle w:val="ListParagraph"/>
        <w:numPr>
          <w:ilvl w:val="0"/>
          <w:numId w:val="7"/>
        </w:numPr>
        <w:spacing w:after="120" w:line="259" w:lineRule="auto"/>
        <w:jc w:val="both"/>
        <w:rPr>
          <w:rFonts w:ascii="Arial" w:hAnsi="Arial" w:cs="Arial"/>
          <w:bCs/>
          <w:sz w:val="24"/>
          <w:szCs w:val="24"/>
        </w:rPr>
      </w:pPr>
      <w:r w:rsidRPr="00003A95">
        <w:rPr>
          <w:rFonts w:ascii="Arial" w:hAnsi="Arial" w:cs="Arial"/>
          <w:bCs/>
          <w:sz w:val="24"/>
          <w:szCs w:val="24"/>
        </w:rPr>
        <w:t>Le rapprochement du service public de l’emploi et des acteurs spécialisés dans l’accompagnement vers et dans l’emploi des personnes en situation de handicap semblent être aussi des pistes à exploiter,</w:t>
      </w:r>
    </w:p>
    <w:p w14:paraId="59A6FBEB" w14:textId="77777777" w:rsidR="0060133C" w:rsidRPr="00003A95" w:rsidRDefault="0060133C" w:rsidP="007261E0">
      <w:pPr>
        <w:pStyle w:val="ListParagraph"/>
        <w:numPr>
          <w:ilvl w:val="0"/>
          <w:numId w:val="7"/>
        </w:numPr>
        <w:spacing w:after="120" w:line="259" w:lineRule="auto"/>
        <w:jc w:val="both"/>
        <w:rPr>
          <w:rFonts w:ascii="Arial" w:hAnsi="Arial" w:cs="Arial"/>
          <w:bCs/>
          <w:sz w:val="24"/>
          <w:szCs w:val="24"/>
        </w:rPr>
      </w:pPr>
      <w:r w:rsidRPr="00003A95">
        <w:rPr>
          <w:rFonts w:ascii="Arial" w:hAnsi="Arial" w:cs="Arial"/>
          <w:bCs/>
          <w:sz w:val="24"/>
          <w:szCs w:val="24"/>
        </w:rPr>
        <w:t>La mise en place de référent handicap dans les entreprises de +250 salariés et dans les centres d’apprentissage.</w:t>
      </w:r>
    </w:p>
    <w:p w14:paraId="10EAED3B" w14:textId="7A1DEC4E" w:rsidR="0060133C" w:rsidRPr="00003A95" w:rsidRDefault="0060133C" w:rsidP="007261E0">
      <w:pPr>
        <w:spacing w:after="120" w:line="259" w:lineRule="auto"/>
        <w:jc w:val="both"/>
        <w:rPr>
          <w:rFonts w:ascii="Arial" w:hAnsi="Arial" w:cs="Arial"/>
          <w:bCs/>
        </w:rPr>
      </w:pPr>
      <w:r w:rsidRPr="00003A95">
        <w:rPr>
          <w:rFonts w:ascii="Arial" w:hAnsi="Arial" w:cs="Arial"/>
          <w:bCs/>
        </w:rPr>
        <w:t>Il convient de faire évoluer les réflexions autour de la place des établissements d’emploi protégés (ex</w:t>
      </w:r>
      <w:r w:rsidR="00930B9B">
        <w:rPr>
          <w:rFonts w:ascii="Arial" w:hAnsi="Arial" w:cs="Arial"/>
          <w:bCs/>
        </w:rPr>
        <w:t>. :</w:t>
      </w:r>
      <w:r w:rsidRPr="00003A95">
        <w:rPr>
          <w:rFonts w:ascii="Arial" w:hAnsi="Arial" w:cs="Arial"/>
          <w:bCs/>
        </w:rPr>
        <w:t xml:space="preserve"> en </w:t>
      </w:r>
      <w:r w:rsidR="00930B9B">
        <w:rPr>
          <w:rFonts w:ascii="Arial" w:hAnsi="Arial" w:cs="Arial"/>
          <w:bCs/>
        </w:rPr>
        <w:t>France,</w:t>
      </w:r>
      <w:r w:rsidRPr="00003A95">
        <w:rPr>
          <w:rFonts w:ascii="Arial" w:hAnsi="Arial" w:cs="Arial"/>
          <w:bCs/>
        </w:rPr>
        <w:t xml:space="preserve"> des travaux viennent d’être lancés pour envisager l’avenir de ces établissements vers un modèle plus inclusif. Ces travaux portent sur le modèle économique des établissements, les droits des personnes, partenariat avec le milieu ordinaire, professionnalisation et attractivité des métiers). Un des enjeux sera de fluidifier les parcours des personnes en établissements pour permettre un meilleur accès au milieu ordinaire. La possibilité pour les personnes en situation de handicap de pouvoir retourner du milieu ordinaire vers le milieu protégé si sa situation l’exige</w:t>
      </w:r>
      <w:r w:rsidR="00930B9B">
        <w:rPr>
          <w:rFonts w:ascii="Arial" w:hAnsi="Arial" w:cs="Arial"/>
          <w:bCs/>
        </w:rPr>
        <w:t>,</w:t>
      </w:r>
      <w:r w:rsidRPr="00003A95">
        <w:rPr>
          <w:rFonts w:ascii="Arial" w:hAnsi="Arial" w:cs="Arial"/>
          <w:bCs/>
        </w:rPr>
        <w:t xml:space="preserve"> doit être entendue.</w:t>
      </w:r>
    </w:p>
    <w:p w14:paraId="1F9B97A0" w14:textId="16AF722F" w:rsidR="0060133C" w:rsidRDefault="0060133C" w:rsidP="00003A95">
      <w:pPr>
        <w:spacing w:line="259" w:lineRule="auto"/>
        <w:jc w:val="both"/>
        <w:rPr>
          <w:rFonts w:ascii="Arial" w:hAnsi="Arial" w:cs="Arial"/>
          <w:bCs/>
        </w:rPr>
      </w:pPr>
      <w:r w:rsidRPr="00003A95">
        <w:rPr>
          <w:rFonts w:ascii="Arial" w:hAnsi="Arial" w:cs="Arial"/>
          <w:bCs/>
        </w:rPr>
        <w:lastRenderedPageBreak/>
        <w:t>Cependant, il reste encore des freins importants pour arriver à une égalité de traitement des personnes en situation de handicap face à l’emploi.</w:t>
      </w:r>
    </w:p>
    <w:p w14:paraId="63BC2DDF" w14:textId="77777777" w:rsidR="007261E0" w:rsidRPr="00003A95" w:rsidRDefault="007261E0" w:rsidP="00003A95">
      <w:pPr>
        <w:spacing w:line="259" w:lineRule="auto"/>
        <w:jc w:val="both"/>
        <w:rPr>
          <w:rFonts w:ascii="Arial" w:hAnsi="Arial" w:cs="Arial"/>
          <w:bCs/>
        </w:rPr>
      </w:pPr>
    </w:p>
    <w:p w14:paraId="2F148887" w14:textId="77777777" w:rsidR="0060133C" w:rsidRPr="00003A95" w:rsidRDefault="0060133C" w:rsidP="00003A95">
      <w:pPr>
        <w:spacing w:line="259" w:lineRule="auto"/>
        <w:jc w:val="both"/>
        <w:rPr>
          <w:rFonts w:ascii="Arial" w:eastAsia="Times New Roman" w:hAnsi="Arial" w:cs="Arial"/>
          <w:b/>
          <w:bCs/>
        </w:rPr>
      </w:pPr>
    </w:p>
    <w:p w14:paraId="41C66DBF" w14:textId="1609EE62" w:rsidR="0060133C" w:rsidRPr="00E71152" w:rsidRDefault="0060133C" w:rsidP="00E71152">
      <w:pPr>
        <w:pStyle w:val="ListParagraph"/>
        <w:numPr>
          <w:ilvl w:val="0"/>
          <w:numId w:val="3"/>
        </w:numPr>
        <w:pBdr>
          <w:bottom w:val="single" w:sz="4" w:space="1" w:color="auto"/>
        </w:pBdr>
        <w:spacing w:line="259" w:lineRule="auto"/>
        <w:ind w:left="284" w:hanging="283"/>
        <w:jc w:val="both"/>
        <w:rPr>
          <w:rFonts w:ascii="Arial" w:hAnsi="Arial" w:cs="Arial"/>
          <w:b/>
          <w:bCs/>
          <w:sz w:val="28"/>
          <w:szCs w:val="28"/>
        </w:rPr>
      </w:pPr>
      <w:r w:rsidRPr="00E71152">
        <w:rPr>
          <w:rFonts w:ascii="Arial" w:hAnsi="Arial" w:cs="Arial"/>
          <w:b/>
          <w:bCs/>
          <w:sz w:val="28"/>
          <w:szCs w:val="28"/>
        </w:rPr>
        <w:t>Des freins qui demeurent pour accéder à la formation, à l’emploi, pour s’y maintenir et évoluer dans l’emploi</w:t>
      </w:r>
    </w:p>
    <w:p w14:paraId="746D15E5" w14:textId="77777777" w:rsidR="0060133C" w:rsidRPr="00003A95" w:rsidRDefault="0060133C" w:rsidP="00003A95">
      <w:pPr>
        <w:spacing w:line="259" w:lineRule="auto"/>
        <w:rPr>
          <w:rFonts w:ascii="Arial" w:hAnsi="Arial" w:cs="Arial"/>
          <w:b/>
          <w:bCs/>
        </w:rPr>
      </w:pPr>
    </w:p>
    <w:p w14:paraId="17EDE668" w14:textId="732A058C" w:rsidR="0060133C" w:rsidRPr="00003A95" w:rsidRDefault="0060133C" w:rsidP="00003A95">
      <w:pPr>
        <w:spacing w:line="259" w:lineRule="auto"/>
        <w:jc w:val="both"/>
        <w:rPr>
          <w:rFonts w:ascii="Arial" w:hAnsi="Arial" w:cs="Arial"/>
          <w:bCs/>
        </w:rPr>
      </w:pPr>
      <w:r w:rsidRPr="00003A95">
        <w:rPr>
          <w:rFonts w:ascii="Arial" w:hAnsi="Arial" w:cs="Arial"/>
          <w:bCs/>
        </w:rPr>
        <w:t>D’une manière générale</w:t>
      </w:r>
      <w:r w:rsidR="00930B9B">
        <w:rPr>
          <w:rFonts w:ascii="Arial" w:hAnsi="Arial" w:cs="Arial"/>
          <w:bCs/>
        </w:rPr>
        <w:t>,</w:t>
      </w:r>
      <w:r w:rsidRPr="00003A95">
        <w:rPr>
          <w:rFonts w:ascii="Arial" w:hAnsi="Arial" w:cs="Arial"/>
          <w:bCs/>
        </w:rPr>
        <w:t xml:space="preserve"> sur l’ensemble des champs de l’emploi nous relevons un manque important de données statistiques pour mesurer l’efficacité des politiques publiques, connaître précisément les personnes en situation de handicap et leurs besoins. De même, l’accès à certains dispositifs n’est pas ou rarement évalué et ne cela ne permet pas d’en mesurer leur efficacité.</w:t>
      </w:r>
    </w:p>
    <w:p w14:paraId="1CACF322" w14:textId="77777777" w:rsidR="0060133C" w:rsidRPr="00003A95" w:rsidRDefault="0060133C" w:rsidP="00003A95">
      <w:pPr>
        <w:spacing w:line="259" w:lineRule="auto"/>
        <w:jc w:val="both"/>
        <w:rPr>
          <w:rFonts w:ascii="Arial" w:hAnsi="Arial" w:cs="Arial"/>
          <w:bCs/>
        </w:rPr>
      </w:pPr>
    </w:p>
    <w:p w14:paraId="31F8208A" w14:textId="77777777" w:rsidR="0060133C" w:rsidRPr="00003A95" w:rsidRDefault="0060133C" w:rsidP="00003A95">
      <w:pPr>
        <w:spacing w:line="259" w:lineRule="auto"/>
        <w:jc w:val="both"/>
        <w:rPr>
          <w:rFonts w:ascii="Arial" w:hAnsi="Arial" w:cs="Arial"/>
          <w:bCs/>
        </w:rPr>
      </w:pPr>
      <w:r w:rsidRPr="007261E0">
        <w:rPr>
          <w:rFonts w:ascii="Arial" w:hAnsi="Arial" w:cs="Arial"/>
          <w:b/>
          <w:bCs/>
        </w:rPr>
        <w:t>L’accès au statut administratif de « Travailleur en Situation de Handicap »</w:t>
      </w:r>
      <w:r w:rsidRPr="00003A95">
        <w:rPr>
          <w:rFonts w:ascii="Arial" w:hAnsi="Arial" w:cs="Arial"/>
          <w:bCs/>
        </w:rPr>
        <w:t xml:space="preserve"> peut être obtenu par une personne au moyen de différents titres administratifs. Cependant, certaines catégories de titres excluent l’accès des travailleurs handicapés de mesures en faveur de l’emploi qui leurs sont pourtant destinées. Si cette situation amène une égalité de traitement apparente, cela entraine une « perte de chance » d’accéder à l’emploi notamment par le biais de contrats spécifiques ou de primes.</w:t>
      </w:r>
    </w:p>
    <w:p w14:paraId="17052906" w14:textId="77777777" w:rsidR="0060133C" w:rsidRPr="00003A95" w:rsidRDefault="0060133C" w:rsidP="00003A95">
      <w:pPr>
        <w:spacing w:line="259" w:lineRule="auto"/>
        <w:jc w:val="both"/>
        <w:rPr>
          <w:rFonts w:ascii="Arial" w:hAnsi="Arial" w:cs="Arial"/>
          <w:bCs/>
        </w:rPr>
      </w:pPr>
    </w:p>
    <w:p w14:paraId="3C038B52" w14:textId="134E4D50" w:rsidR="0060133C" w:rsidRPr="00003A95" w:rsidRDefault="0060133C" w:rsidP="00003A95">
      <w:pPr>
        <w:spacing w:line="259" w:lineRule="auto"/>
        <w:jc w:val="both"/>
        <w:rPr>
          <w:rFonts w:ascii="Arial" w:hAnsi="Arial" w:cs="Arial"/>
          <w:bCs/>
        </w:rPr>
      </w:pPr>
      <w:r w:rsidRPr="007261E0">
        <w:rPr>
          <w:rFonts w:ascii="Arial" w:hAnsi="Arial" w:cs="Arial"/>
          <w:b/>
          <w:bCs/>
        </w:rPr>
        <w:t xml:space="preserve">L’accessibilité et la compensation : </w:t>
      </w:r>
      <w:r w:rsidR="00930B9B">
        <w:rPr>
          <w:rFonts w:ascii="Arial" w:hAnsi="Arial" w:cs="Arial"/>
          <w:bCs/>
        </w:rPr>
        <w:t>m</w:t>
      </w:r>
      <w:r w:rsidRPr="007261E0">
        <w:rPr>
          <w:rFonts w:ascii="Arial" w:hAnsi="Arial" w:cs="Arial"/>
          <w:bCs/>
        </w:rPr>
        <w:t>algré les actions mises en œuvre par les organismes paritaires l’accessibilité des entreprises</w:t>
      </w:r>
      <w:r w:rsidRPr="00003A95">
        <w:rPr>
          <w:rFonts w:ascii="Arial" w:hAnsi="Arial" w:cs="Arial"/>
          <w:bCs/>
        </w:rPr>
        <w:t xml:space="preserve"> et des fonctions publiques est parfois complétement absente ou partielle. Des bâtiments restent inaccessibles pour des personnes à mobilités réduites, (absence de texte règlementaire visant les établissements recevant des travailleurs) les contenus et logiciels numériques utilisés par employeurs ne sont pas </w:t>
      </w:r>
      <w:r w:rsidRPr="00003A95">
        <w:rPr>
          <w:rFonts w:ascii="Arial" w:hAnsi="Arial" w:cs="Arial"/>
          <w:bCs/>
        </w:rPr>
        <w:lastRenderedPageBreak/>
        <w:t>toujours compatibles avec certaines situations de handicap, les outils de communication sont parfois inadaptés.</w:t>
      </w:r>
    </w:p>
    <w:p w14:paraId="6F048ED8" w14:textId="77777777" w:rsidR="0060133C" w:rsidRPr="00003A95" w:rsidRDefault="0060133C" w:rsidP="00003A95">
      <w:pPr>
        <w:spacing w:line="259" w:lineRule="auto"/>
        <w:jc w:val="both"/>
        <w:rPr>
          <w:rFonts w:ascii="Arial" w:hAnsi="Arial" w:cs="Arial"/>
          <w:bCs/>
        </w:rPr>
      </w:pPr>
    </w:p>
    <w:p w14:paraId="1CE8EE4E" w14:textId="04C7217E" w:rsidR="0060133C" w:rsidRPr="00003A95" w:rsidRDefault="00930B9B" w:rsidP="00003A95">
      <w:pPr>
        <w:spacing w:line="259" w:lineRule="auto"/>
        <w:jc w:val="both"/>
        <w:rPr>
          <w:rFonts w:ascii="Arial" w:hAnsi="Arial" w:cs="Arial"/>
          <w:bCs/>
        </w:rPr>
      </w:pPr>
      <w:r>
        <w:rPr>
          <w:rFonts w:ascii="Arial" w:hAnsi="Arial" w:cs="Arial"/>
          <w:bCs/>
        </w:rPr>
        <w:t xml:space="preserve">Plus particulièrement, </w:t>
      </w:r>
      <w:r w:rsidR="0060133C" w:rsidRPr="00003A95">
        <w:rPr>
          <w:rFonts w:ascii="Arial" w:hAnsi="Arial" w:cs="Arial"/>
          <w:bCs/>
        </w:rPr>
        <w:t>la notion d’aménagement raisonnable (qui apparaît bien dans la loi française depuis 2005) demeure complexe dans son interprétation et son application, en particulier pour les personnes en situation de handicap ayant les besoins de compensation les plus importants (aménagement du temps de travail, aide humaine sur le lieu de travail, transports adaptés) pour lesquelles l’accès puis le maintien dans l’empl</w:t>
      </w:r>
      <w:r>
        <w:rPr>
          <w:rFonts w:ascii="Arial" w:hAnsi="Arial" w:cs="Arial"/>
          <w:bCs/>
        </w:rPr>
        <w:t xml:space="preserve">oi reste difficile. </w:t>
      </w:r>
    </w:p>
    <w:p w14:paraId="2F0AE74D" w14:textId="77777777" w:rsidR="0060133C" w:rsidRPr="00003A95" w:rsidRDefault="0060133C" w:rsidP="00003A95">
      <w:pPr>
        <w:spacing w:line="259" w:lineRule="auto"/>
        <w:jc w:val="both"/>
        <w:rPr>
          <w:rFonts w:ascii="Arial" w:hAnsi="Arial" w:cs="Arial"/>
          <w:bCs/>
        </w:rPr>
      </w:pPr>
    </w:p>
    <w:p w14:paraId="50583AF4" w14:textId="42F2BE34" w:rsidR="0060133C" w:rsidRPr="00003A95" w:rsidRDefault="0060133C" w:rsidP="00003A95">
      <w:pPr>
        <w:spacing w:line="259" w:lineRule="auto"/>
        <w:jc w:val="both"/>
        <w:rPr>
          <w:rFonts w:ascii="Arial" w:hAnsi="Arial" w:cs="Arial"/>
          <w:bCs/>
        </w:rPr>
      </w:pPr>
      <w:r w:rsidRPr="007261E0">
        <w:rPr>
          <w:rFonts w:ascii="Arial" w:hAnsi="Arial" w:cs="Arial"/>
          <w:b/>
          <w:bCs/>
        </w:rPr>
        <w:t>Les emplois exigeant des conditions d’aptitudes particulières :</w:t>
      </w:r>
      <w:r w:rsidRPr="007261E0">
        <w:rPr>
          <w:rFonts w:ascii="Arial" w:hAnsi="Arial" w:cs="Arial"/>
          <w:bCs/>
        </w:rPr>
        <w:t xml:space="preserve"> des</w:t>
      </w:r>
      <w:r w:rsidRPr="00003A95">
        <w:rPr>
          <w:rFonts w:ascii="Arial" w:hAnsi="Arial" w:cs="Arial"/>
          <w:bCs/>
        </w:rPr>
        <w:t xml:space="preserve"> dispositions législatives permettent aujourd’hui aux entreprises sur certains types de postes (ex : ambulancier, chauffeur routier, commercial…) d’être exonérées d’une partie de leur contribution aux organismes d’assurance sociale au prétexte que ce type d’emploi ne peut pas être occupé par un travailleur en situation de handicap. Dans le même temps, un </w:t>
      </w:r>
      <w:proofErr w:type="gramStart"/>
      <w:r w:rsidRPr="00003A95">
        <w:rPr>
          <w:rFonts w:ascii="Arial" w:hAnsi="Arial" w:cs="Arial"/>
          <w:bCs/>
        </w:rPr>
        <w:t>nombre important de personnes</w:t>
      </w:r>
      <w:proofErr w:type="gramEnd"/>
      <w:r w:rsidRPr="00003A95">
        <w:rPr>
          <w:rFonts w:ascii="Arial" w:hAnsi="Arial" w:cs="Arial"/>
          <w:bCs/>
        </w:rPr>
        <w:t xml:space="preserve"> en situation de handicap occupent ce type de poste</w:t>
      </w:r>
      <w:r w:rsidR="00930B9B">
        <w:rPr>
          <w:rFonts w:ascii="Arial" w:hAnsi="Arial" w:cs="Arial"/>
          <w:bCs/>
        </w:rPr>
        <w:t>,</w:t>
      </w:r>
      <w:r w:rsidRPr="00003A95">
        <w:rPr>
          <w:rFonts w:ascii="Arial" w:hAnsi="Arial" w:cs="Arial"/>
          <w:bCs/>
        </w:rPr>
        <w:t xml:space="preserve"> ce qui démontre l’inadéquation de cette me</w:t>
      </w:r>
      <w:r w:rsidR="00930B9B">
        <w:rPr>
          <w:rFonts w:ascii="Arial" w:hAnsi="Arial" w:cs="Arial"/>
          <w:bCs/>
        </w:rPr>
        <w:t xml:space="preserve">sure avec la réalité du terrain. Cette mesure </w:t>
      </w:r>
      <w:r w:rsidRPr="00003A95">
        <w:rPr>
          <w:rFonts w:ascii="Arial" w:hAnsi="Arial" w:cs="Arial"/>
          <w:bCs/>
        </w:rPr>
        <w:t xml:space="preserve">entraîne </w:t>
      </w:r>
      <w:r w:rsidR="00190174">
        <w:rPr>
          <w:rFonts w:ascii="Arial" w:hAnsi="Arial" w:cs="Arial"/>
          <w:bCs/>
        </w:rPr>
        <w:t xml:space="preserve">ainsi </w:t>
      </w:r>
      <w:r w:rsidRPr="00003A95">
        <w:rPr>
          <w:rFonts w:ascii="Arial" w:hAnsi="Arial" w:cs="Arial"/>
          <w:bCs/>
        </w:rPr>
        <w:t>une discrimination à l’égard des personnes en situation de handicap et</w:t>
      </w:r>
      <w:r w:rsidR="00190174">
        <w:rPr>
          <w:rFonts w:ascii="Arial" w:hAnsi="Arial" w:cs="Arial"/>
          <w:bCs/>
        </w:rPr>
        <w:t xml:space="preserve"> a aussi </w:t>
      </w:r>
      <w:r w:rsidRPr="00003A95">
        <w:rPr>
          <w:rFonts w:ascii="Arial" w:hAnsi="Arial" w:cs="Arial"/>
          <w:bCs/>
        </w:rPr>
        <w:t>pour effet de diminuer le quota d’embauche pour les entreprises.</w:t>
      </w:r>
    </w:p>
    <w:p w14:paraId="63DA9581" w14:textId="77777777" w:rsidR="0060133C" w:rsidRPr="00003A95" w:rsidRDefault="0060133C" w:rsidP="00003A95">
      <w:pPr>
        <w:spacing w:line="259" w:lineRule="auto"/>
        <w:jc w:val="both"/>
        <w:rPr>
          <w:rFonts w:ascii="Arial" w:hAnsi="Arial" w:cs="Arial"/>
          <w:bCs/>
        </w:rPr>
      </w:pPr>
    </w:p>
    <w:p w14:paraId="53A66129" w14:textId="414380B8" w:rsidR="0060133C" w:rsidRPr="00003A95" w:rsidRDefault="0060133C" w:rsidP="00003A95">
      <w:pPr>
        <w:spacing w:line="259" w:lineRule="auto"/>
        <w:jc w:val="both"/>
        <w:rPr>
          <w:rFonts w:ascii="Arial" w:hAnsi="Arial" w:cs="Arial"/>
          <w:bCs/>
        </w:rPr>
      </w:pPr>
      <w:r w:rsidRPr="00003A95">
        <w:rPr>
          <w:rFonts w:ascii="Arial" w:hAnsi="Arial" w:cs="Arial"/>
          <w:b/>
        </w:rPr>
        <w:t>Le manque de garantie d’une progressivité des revenus en cas d’accès à l’emploi :</w:t>
      </w:r>
      <w:r w:rsidR="00190174">
        <w:rPr>
          <w:rFonts w:ascii="Arial" w:hAnsi="Arial" w:cs="Arial"/>
          <w:bCs/>
        </w:rPr>
        <w:t xml:space="preserve"> l</w:t>
      </w:r>
      <w:r w:rsidRPr="00003A95">
        <w:rPr>
          <w:rFonts w:ascii="Arial" w:hAnsi="Arial" w:cs="Arial"/>
          <w:bCs/>
        </w:rPr>
        <w:t>es tr</w:t>
      </w:r>
      <w:r w:rsidR="00190174">
        <w:rPr>
          <w:rFonts w:ascii="Arial" w:hAnsi="Arial" w:cs="Arial"/>
          <w:bCs/>
        </w:rPr>
        <w:t>availleurs et travailleuses en s</w:t>
      </w:r>
      <w:r w:rsidRPr="00003A95">
        <w:rPr>
          <w:rFonts w:ascii="Arial" w:hAnsi="Arial" w:cs="Arial"/>
          <w:bCs/>
        </w:rPr>
        <w:t>ituation</w:t>
      </w:r>
      <w:r w:rsidR="00190174">
        <w:rPr>
          <w:rFonts w:ascii="Arial" w:hAnsi="Arial" w:cs="Arial"/>
          <w:bCs/>
        </w:rPr>
        <w:t xml:space="preserve"> de h</w:t>
      </w:r>
      <w:r w:rsidRPr="00003A95">
        <w:rPr>
          <w:rFonts w:ascii="Arial" w:hAnsi="Arial" w:cs="Arial"/>
          <w:bCs/>
        </w:rPr>
        <w:t>andicap</w:t>
      </w:r>
      <w:r w:rsidR="00190174">
        <w:rPr>
          <w:rFonts w:ascii="Arial" w:hAnsi="Arial" w:cs="Arial"/>
          <w:bCs/>
        </w:rPr>
        <w:t xml:space="preserve"> (TSH)</w:t>
      </w:r>
      <w:r w:rsidRPr="00003A95">
        <w:rPr>
          <w:rFonts w:ascii="Arial" w:hAnsi="Arial" w:cs="Arial"/>
          <w:bCs/>
        </w:rPr>
        <w:t xml:space="preserve"> perçoivent une grande diversité de revenus substitutifs dont </w:t>
      </w:r>
      <w:r w:rsidR="00190174">
        <w:rPr>
          <w:rFonts w:ascii="Arial" w:hAnsi="Arial" w:cs="Arial"/>
          <w:bCs/>
        </w:rPr>
        <w:t xml:space="preserve">les règles sont différentes. Ces revenus </w:t>
      </w:r>
      <w:r w:rsidR="00190174" w:rsidRPr="00003A95">
        <w:rPr>
          <w:rFonts w:ascii="Arial" w:hAnsi="Arial" w:cs="Arial"/>
          <w:bCs/>
        </w:rPr>
        <w:t>substitutifs</w:t>
      </w:r>
      <w:r w:rsidR="00190174">
        <w:rPr>
          <w:rFonts w:ascii="Arial" w:hAnsi="Arial" w:cs="Arial"/>
          <w:bCs/>
        </w:rPr>
        <w:t xml:space="preserve"> </w:t>
      </w:r>
      <w:r w:rsidRPr="00003A95">
        <w:rPr>
          <w:rFonts w:ascii="Arial" w:hAnsi="Arial" w:cs="Arial"/>
          <w:bCs/>
        </w:rPr>
        <w:t>se voient</w:t>
      </w:r>
      <w:r w:rsidR="00190174">
        <w:rPr>
          <w:rFonts w:ascii="Arial" w:hAnsi="Arial" w:cs="Arial"/>
          <w:bCs/>
        </w:rPr>
        <w:t xml:space="preserve">, </w:t>
      </w:r>
      <w:r w:rsidR="00190174" w:rsidRPr="00003A95">
        <w:rPr>
          <w:rFonts w:ascii="Arial" w:hAnsi="Arial" w:cs="Arial"/>
          <w:bCs/>
        </w:rPr>
        <w:t>dans leur grande majorité</w:t>
      </w:r>
      <w:r w:rsidR="00190174">
        <w:rPr>
          <w:rFonts w:ascii="Arial" w:hAnsi="Arial" w:cs="Arial"/>
          <w:bCs/>
        </w:rPr>
        <w:t>,</w:t>
      </w:r>
      <w:r w:rsidRPr="00003A95">
        <w:rPr>
          <w:rFonts w:ascii="Arial" w:hAnsi="Arial" w:cs="Arial"/>
          <w:bCs/>
        </w:rPr>
        <w:t xml:space="preserve"> diminués quand les TSH tirent un revenu de leur travail.</w:t>
      </w:r>
    </w:p>
    <w:p w14:paraId="30EA3FEE" w14:textId="02C25625" w:rsidR="0060133C" w:rsidRDefault="0060133C" w:rsidP="0060133C">
      <w:pPr>
        <w:pStyle w:val="ListParagraph"/>
        <w:spacing w:line="360" w:lineRule="auto"/>
        <w:ind w:left="1080"/>
        <w:jc w:val="both"/>
        <w:rPr>
          <w:rFonts w:ascii="Arial" w:hAnsi="Arial" w:cs="Arial"/>
          <w:b/>
          <w:sz w:val="28"/>
          <w:szCs w:val="28"/>
        </w:rPr>
      </w:pPr>
    </w:p>
    <w:p w14:paraId="56301E78" w14:textId="6EBCC8C7" w:rsidR="00115034" w:rsidRPr="00186713" w:rsidRDefault="00F13C3E" w:rsidP="00115034">
      <w:pPr>
        <w:pBdr>
          <w:bottom w:val="single" w:sz="4" w:space="1" w:color="auto"/>
        </w:pBdr>
        <w:rPr>
          <w:rFonts w:ascii="Arial" w:eastAsia="Times New Roman" w:hAnsi="Arial" w:cs="Arial"/>
          <w:b/>
          <w:sz w:val="28"/>
          <w:szCs w:val="28"/>
        </w:rPr>
      </w:pPr>
      <w:r>
        <w:rPr>
          <w:rFonts w:ascii="Arial" w:eastAsia="Times New Roman" w:hAnsi="Arial" w:cs="Arial"/>
          <w:b/>
          <w:sz w:val="28"/>
          <w:szCs w:val="28"/>
        </w:rPr>
        <w:t>Propositions</w:t>
      </w:r>
      <w:r w:rsidR="008D7C7D">
        <w:rPr>
          <w:rFonts w:ascii="Arial" w:eastAsia="Times New Roman" w:hAnsi="Arial" w:cs="Arial"/>
          <w:b/>
          <w:sz w:val="28"/>
          <w:szCs w:val="28"/>
        </w:rPr>
        <w:t xml:space="preserve"> du CNCPH</w:t>
      </w:r>
    </w:p>
    <w:p w14:paraId="0882695D" w14:textId="77777777" w:rsidR="0060133C" w:rsidRPr="007544EF" w:rsidRDefault="0060133C" w:rsidP="00190174">
      <w:pPr>
        <w:jc w:val="both"/>
        <w:rPr>
          <w:rFonts w:ascii="Arial" w:hAnsi="Arial" w:cs="Arial"/>
          <w:b/>
          <w:sz w:val="28"/>
          <w:szCs w:val="28"/>
        </w:rPr>
      </w:pPr>
    </w:p>
    <w:p w14:paraId="0E10D1A1" w14:textId="77777777" w:rsidR="0060133C" w:rsidRPr="00003A95" w:rsidRDefault="0060133C" w:rsidP="00115034">
      <w:pPr>
        <w:pStyle w:val="ListParagraph"/>
        <w:numPr>
          <w:ilvl w:val="0"/>
          <w:numId w:val="8"/>
        </w:numPr>
        <w:spacing w:after="120" w:line="259" w:lineRule="auto"/>
        <w:ind w:left="505" w:hanging="505"/>
        <w:jc w:val="both"/>
        <w:rPr>
          <w:rFonts w:ascii="Arial" w:hAnsi="Arial" w:cs="Arial"/>
          <w:bCs/>
          <w:color w:val="000000" w:themeColor="text1"/>
          <w:sz w:val="24"/>
          <w:szCs w:val="24"/>
        </w:rPr>
      </w:pPr>
      <w:r w:rsidRPr="00003A95">
        <w:rPr>
          <w:rFonts w:ascii="Arial" w:hAnsi="Arial" w:cs="Arial"/>
          <w:sz w:val="24"/>
          <w:szCs w:val="24"/>
        </w:rPr>
        <w:t>Déterminer les besoins (notamment par le renforcement des collectes de statistiques) et mettre en place une évaluation des politiques publiques qui donne à connaître le nombre de bénéficiaires accédant aux dispositifs et leurs « caractéristiques » afin de pouvoir adapter de manière pertinente les politiques publiques. L’OIT serait un organisme pertinent pour déterminer des critères d’évaluation commun à l’ensemble des parties prenantes.</w:t>
      </w:r>
    </w:p>
    <w:p w14:paraId="3646D3D9" w14:textId="683C2A06" w:rsidR="0060133C" w:rsidRPr="00003A95" w:rsidRDefault="0060133C" w:rsidP="00115034">
      <w:pPr>
        <w:pStyle w:val="ListParagraph"/>
        <w:numPr>
          <w:ilvl w:val="0"/>
          <w:numId w:val="8"/>
        </w:numPr>
        <w:spacing w:after="120" w:line="259" w:lineRule="auto"/>
        <w:ind w:left="505" w:hanging="505"/>
        <w:jc w:val="both"/>
        <w:rPr>
          <w:rFonts w:ascii="Arial" w:hAnsi="Arial" w:cs="Arial"/>
          <w:bCs/>
          <w:color w:val="000000" w:themeColor="text1"/>
          <w:sz w:val="24"/>
          <w:szCs w:val="24"/>
        </w:rPr>
      </w:pPr>
      <w:r w:rsidRPr="00003A95">
        <w:rPr>
          <w:rFonts w:ascii="Arial" w:hAnsi="Arial" w:cs="Arial"/>
          <w:bCs/>
          <w:color w:val="000000" w:themeColor="text1"/>
          <w:sz w:val="24"/>
          <w:szCs w:val="24"/>
        </w:rPr>
        <w:t>Permettre l’accès aux mesures pour la formation, l’emploi et le maintien dans l’emploi à l’ensemble des bénéficiaires de l’obligation d’emploi</w:t>
      </w:r>
      <w:r w:rsidR="00115034" w:rsidRPr="00003A95">
        <w:rPr>
          <w:rFonts w:ascii="Arial" w:hAnsi="Arial" w:cs="Arial"/>
          <w:bCs/>
          <w:color w:val="000000" w:themeColor="text1"/>
          <w:sz w:val="24"/>
          <w:szCs w:val="24"/>
        </w:rPr>
        <w:t>.</w:t>
      </w:r>
    </w:p>
    <w:p w14:paraId="5639F4D0" w14:textId="125B3F11" w:rsidR="0060133C" w:rsidRPr="00003A95" w:rsidRDefault="0060133C" w:rsidP="00115034">
      <w:pPr>
        <w:pStyle w:val="ListParagraph"/>
        <w:numPr>
          <w:ilvl w:val="0"/>
          <w:numId w:val="8"/>
        </w:numPr>
        <w:spacing w:after="120" w:line="259" w:lineRule="auto"/>
        <w:ind w:left="505" w:hanging="505"/>
        <w:jc w:val="both"/>
        <w:rPr>
          <w:rFonts w:ascii="Arial" w:hAnsi="Arial" w:cs="Arial"/>
          <w:bCs/>
          <w:color w:val="000000" w:themeColor="text1"/>
          <w:sz w:val="24"/>
          <w:szCs w:val="24"/>
        </w:rPr>
      </w:pPr>
      <w:r w:rsidRPr="00003A95">
        <w:rPr>
          <w:rFonts w:ascii="Arial" w:hAnsi="Arial" w:cs="Arial"/>
          <w:bCs/>
          <w:color w:val="000000" w:themeColor="text1"/>
          <w:sz w:val="24"/>
          <w:szCs w:val="24"/>
        </w:rPr>
        <w:t xml:space="preserve">Impliquer l’ensemble des acteurs de l’entreprise dans le cadre </w:t>
      </w:r>
      <w:r w:rsidR="00115034" w:rsidRPr="00003A95">
        <w:rPr>
          <w:rFonts w:ascii="Arial" w:hAnsi="Arial" w:cs="Arial"/>
          <w:bCs/>
          <w:color w:val="000000" w:themeColor="text1"/>
          <w:sz w:val="24"/>
          <w:szCs w:val="24"/>
        </w:rPr>
        <w:t>d’un dialogue social de qualité.</w:t>
      </w:r>
    </w:p>
    <w:p w14:paraId="0871A642" w14:textId="1D89E415" w:rsidR="0060133C" w:rsidRPr="00003A95" w:rsidRDefault="0060133C" w:rsidP="00115034">
      <w:pPr>
        <w:pStyle w:val="ListParagraph"/>
        <w:numPr>
          <w:ilvl w:val="0"/>
          <w:numId w:val="8"/>
        </w:numPr>
        <w:spacing w:after="120" w:line="259" w:lineRule="auto"/>
        <w:ind w:left="505" w:hanging="505"/>
        <w:jc w:val="both"/>
        <w:rPr>
          <w:rFonts w:ascii="Arial" w:hAnsi="Arial" w:cs="Arial"/>
          <w:bCs/>
          <w:color w:val="000000" w:themeColor="text1"/>
          <w:sz w:val="24"/>
          <w:szCs w:val="24"/>
        </w:rPr>
      </w:pPr>
      <w:r w:rsidRPr="00003A95">
        <w:rPr>
          <w:rFonts w:ascii="Arial" w:hAnsi="Arial" w:cs="Arial"/>
          <w:bCs/>
          <w:color w:val="000000" w:themeColor="text1"/>
          <w:sz w:val="24"/>
          <w:szCs w:val="24"/>
        </w:rPr>
        <w:t>Développer le rôle du référent handicap pour favoriser l’insertion professionnelle, le maintien dans l’emploi et l’évolution de carrière des personnes en situation de handicap tant dans le secteur priv</w:t>
      </w:r>
      <w:r w:rsidR="00115034" w:rsidRPr="00003A95">
        <w:rPr>
          <w:rFonts w:ascii="Arial" w:hAnsi="Arial" w:cs="Arial"/>
          <w:bCs/>
          <w:color w:val="000000" w:themeColor="text1"/>
          <w:sz w:val="24"/>
          <w:szCs w:val="24"/>
        </w:rPr>
        <w:t>é que dans la fonction publique.</w:t>
      </w:r>
    </w:p>
    <w:p w14:paraId="0B03EB86" w14:textId="4FF7E9B7" w:rsidR="0060133C" w:rsidRPr="00003A95" w:rsidRDefault="0060133C" w:rsidP="00115034">
      <w:pPr>
        <w:pStyle w:val="ListParagraph"/>
        <w:numPr>
          <w:ilvl w:val="0"/>
          <w:numId w:val="8"/>
        </w:numPr>
        <w:spacing w:after="120" w:line="259" w:lineRule="auto"/>
        <w:ind w:left="505" w:hanging="505"/>
        <w:jc w:val="both"/>
        <w:rPr>
          <w:rFonts w:ascii="Arial" w:hAnsi="Arial" w:cs="Arial"/>
          <w:bCs/>
          <w:color w:val="000000" w:themeColor="text1"/>
          <w:sz w:val="24"/>
          <w:szCs w:val="24"/>
        </w:rPr>
      </w:pPr>
      <w:r w:rsidRPr="00003A95">
        <w:rPr>
          <w:rFonts w:ascii="Arial" w:hAnsi="Arial" w:cs="Arial"/>
          <w:bCs/>
          <w:color w:val="000000" w:themeColor="text1"/>
          <w:sz w:val="24"/>
          <w:szCs w:val="24"/>
        </w:rPr>
        <w:t>Inciter tous les employeurs et les structures d’enseignement à nommer un référent handicap en responsabilité de l’information et de la coordination des actions des politiques inclusives tant auprès des TSH que des managers/ professeurs</w:t>
      </w:r>
      <w:r w:rsidR="00115034" w:rsidRPr="00003A95">
        <w:rPr>
          <w:rFonts w:ascii="Arial" w:hAnsi="Arial" w:cs="Arial"/>
          <w:bCs/>
          <w:color w:val="000000" w:themeColor="text1"/>
          <w:sz w:val="24"/>
          <w:szCs w:val="24"/>
        </w:rPr>
        <w:t>.</w:t>
      </w:r>
    </w:p>
    <w:p w14:paraId="306F3A57" w14:textId="575F666D" w:rsidR="0060133C" w:rsidRPr="00003A95" w:rsidRDefault="0060133C" w:rsidP="00115034">
      <w:pPr>
        <w:pStyle w:val="ListParagraph"/>
        <w:numPr>
          <w:ilvl w:val="0"/>
          <w:numId w:val="8"/>
        </w:numPr>
        <w:spacing w:after="120" w:line="259" w:lineRule="auto"/>
        <w:ind w:left="505" w:hanging="505"/>
        <w:jc w:val="both"/>
        <w:rPr>
          <w:rFonts w:ascii="Arial" w:hAnsi="Arial" w:cs="Arial"/>
          <w:bCs/>
          <w:color w:val="000000" w:themeColor="text1"/>
          <w:sz w:val="24"/>
          <w:szCs w:val="24"/>
        </w:rPr>
      </w:pPr>
      <w:r w:rsidRPr="00003A95">
        <w:rPr>
          <w:rFonts w:ascii="Arial" w:hAnsi="Arial" w:cs="Arial"/>
          <w:bCs/>
          <w:color w:val="000000" w:themeColor="text1"/>
          <w:sz w:val="24"/>
          <w:szCs w:val="24"/>
        </w:rPr>
        <w:lastRenderedPageBreak/>
        <w:t>Développer des dispositifs d’égalité des chances afin de faciliter l’évolution de carrière, au moyen d’actions de sensibilisation des employeurs, des formations permettant leur accès à une promotion contribuant ainsi à la disparition du plafond de verre</w:t>
      </w:r>
      <w:r w:rsidR="00115034" w:rsidRPr="00003A95">
        <w:rPr>
          <w:rFonts w:ascii="Arial" w:hAnsi="Arial" w:cs="Arial"/>
          <w:bCs/>
          <w:color w:val="000000" w:themeColor="text1"/>
          <w:sz w:val="24"/>
          <w:szCs w:val="24"/>
        </w:rPr>
        <w:t>.</w:t>
      </w:r>
      <w:r w:rsidRPr="00003A95">
        <w:rPr>
          <w:rFonts w:ascii="Arial" w:hAnsi="Arial" w:cs="Arial"/>
          <w:bCs/>
          <w:color w:val="000000" w:themeColor="text1"/>
          <w:sz w:val="24"/>
          <w:szCs w:val="24"/>
        </w:rPr>
        <w:t xml:space="preserve"> </w:t>
      </w:r>
    </w:p>
    <w:p w14:paraId="361DDA19" w14:textId="77777777" w:rsidR="0060133C" w:rsidRPr="00003A95" w:rsidRDefault="0060133C" w:rsidP="00115034">
      <w:pPr>
        <w:pStyle w:val="ListParagraph"/>
        <w:numPr>
          <w:ilvl w:val="0"/>
          <w:numId w:val="8"/>
        </w:numPr>
        <w:spacing w:after="120" w:line="259" w:lineRule="auto"/>
        <w:ind w:left="505" w:hanging="505"/>
        <w:jc w:val="both"/>
        <w:rPr>
          <w:rFonts w:ascii="Arial" w:hAnsi="Arial" w:cs="Arial"/>
          <w:bCs/>
          <w:color w:val="000000" w:themeColor="text1"/>
          <w:sz w:val="24"/>
          <w:szCs w:val="24"/>
        </w:rPr>
      </w:pPr>
      <w:r w:rsidRPr="00003A95">
        <w:rPr>
          <w:rFonts w:ascii="Arial" w:hAnsi="Arial" w:cs="Arial"/>
          <w:bCs/>
          <w:color w:val="000000" w:themeColor="text1"/>
          <w:sz w:val="24"/>
          <w:szCs w:val="24"/>
        </w:rPr>
        <w:t>Faire progresser le concept d’accessibilité universelle comme par exemple la mise en place d’un référentiel d’accessibilité universelle dans les centres d’apprentissage et dans le même temps accompagner les employeurs pour permettre une mise en accessibilité, physique, technique et numérique des lieux et des situations de travail.</w:t>
      </w:r>
    </w:p>
    <w:p w14:paraId="3244B74A" w14:textId="77777777" w:rsidR="0060133C" w:rsidRPr="00003A95" w:rsidRDefault="0060133C" w:rsidP="00115034">
      <w:pPr>
        <w:pStyle w:val="ListParagraph"/>
        <w:numPr>
          <w:ilvl w:val="0"/>
          <w:numId w:val="8"/>
        </w:numPr>
        <w:spacing w:after="120" w:line="259" w:lineRule="auto"/>
        <w:ind w:left="505" w:hanging="505"/>
        <w:jc w:val="both"/>
        <w:rPr>
          <w:rFonts w:ascii="Arial" w:hAnsi="Arial" w:cs="Arial"/>
          <w:bCs/>
          <w:color w:val="000000" w:themeColor="text1"/>
          <w:sz w:val="24"/>
          <w:szCs w:val="24"/>
        </w:rPr>
      </w:pPr>
      <w:r w:rsidRPr="00003A95">
        <w:rPr>
          <w:rFonts w:ascii="Arial" w:hAnsi="Arial" w:cs="Arial"/>
          <w:bCs/>
          <w:sz w:val="24"/>
          <w:szCs w:val="24"/>
        </w:rPr>
        <w:t>La notion d’aménagement raisonnable nécessite encore des éclairages de la part du comité des droits de l’ONU sur la dimension travail-emploi.</w:t>
      </w:r>
    </w:p>
    <w:p w14:paraId="1138734B" w14:textId="3A832EAA" w:rsidR="0060133C" w:rsidRPr="00003A95" w:rsidRDefault="0060133C" w:rsidP="00115034">
      <w:pPr>
        <w:pStyle w:val="ListParagraph"/>
        <w:numPr>
          <w:ilvl w:val="0"/>
          <w:numId w:val="8"/>
        </w:numPr>
        <w:spacing w:after="120" w:line="259" w:lineRule="auto"/>
        <w:ind w:left="505" w:hanging="505"/>
        <w:jc w:val="both"/>
        <w:rPr>
          <w:rFonts w:ascii="Arial" w:hAnsi="Arial" w:cs="Arial"/>
          <w:bCs/>
          <w:color w:val="000000" w:themeColor="text1"/>
          <w:sz w:val="24"/>
          <w:szCs w:val="24"/>
        </w:rPr>
      </w:pPr>
      <w:r w:rsidRPr="00003A95">
        <w:rPr>
          <w:rFonts w:ascii="Arial" w:hAnsi="Arial" w:cs="Arial"/>
          <w:bCs/>
          <w:color w:val="000000" w:themeColor="text1"/>
          <w:sz w:val="24"/>
          <w:szCs w:val="24"/>
        </w:rPr>
        <w:t xml:space="preserve">Demander l’abandon du signal discriminatoire lié à des dispositifs législatifs ou </w:t>
      </w:r>
      <w:r w:rsidR="00115034" w:rsidRPr="00003A95">
        <w:rPr>
          <w:rFonts w:ascii="Arial" w:hAnsi="Arial" w:cs="Arial"/>
          <w:bCs/>
          <w:color w:val="000000" w:themeColor="text1"/>
          <w:sz w:val="24"/>
          <w:szCs w:val="24"/>
        </w:rPr>
        <w:t>réglementaires</w:t>
      </w:r>
      <w:r w:rsidRPr="00003A95">
        <w:rPr>
          <w:rFonts w:ascii="Arial" w:hAnsi="Arial" w:cs="Arial"/>
          <w:bCs/>
          <w:color w:val="000000" w:themeColor="text1"/>
          <w:sz w:val="24"/>
          <w:szCs w:val="24"/>
        </w:rPr>
        <w:t xml:space="preserve"> exigeant des conditions d’aptitudes particulières.</w:t>
      </w:r>
    </w:p>
    <w:p w14:paraId="3DABBCD1" w14:textId="77777777" w:rsidR="0060133C" w:rsidRPr="00003A95" w:rsidRDefault="0060133C" w:rsidP="00115034">
      <w:pPr>
        <w:pStyle w:val="ListParagraph"/>
        <w:numPr>
          <w:ilvl w:val="0"/>
          <w:numId w:val="8"/>
        </w:numPr>
        <w:spacing w:line="259" w:lineRule="auto"/>
        <w:ind w:hanging="502"/>
        <w:jc w:val="both"/>
        <w:rPr>
          <w:rFonts w:ascii="Arial" w:hAnsi="Arial" w:cs="Arial"/>
          <w:bCs/>
          <w:color w:val="000000" w:themeColor="text1"/>
          <w:sz w:val="24"/>
          <w:szCs w:val="24"/>
        </w:rPr>
      </w:pPr>
      <w:r w:rsidRPr="00003A95">
        <w:rPr>
          <w:rFonts w:ascii="Arial" w:hAnsi="Arial" w:cs="Arial"/>
          <w:bCs/>
          <w:color w:val="000000" w:themeColor="text1"/>
          <w:sz w:val="24"/>
          <w:szCs w:val="24"/>
        </w:rPr>
        <w:t>Évaluer la politique handicap des entreprises au travers de la norme internationale ISO 26 000 qui est déclinée en France par la norme X50-783.</w:t>
      </w:r>
    </w:p>
    <w:p w14:paraId="2BCBEBE8" w14:textId="41E17FD1" w:rsidR="006670B0" w:rsidRDefault="006670B0" w:rsidP="006670B0">
      <w:pPr>
        <w:jc w:val="center"/>
        <w:rPr>
          <w:rFonts w:ascii="Arial" w:eastAsia="Times New Roman" w:hAnsi="Arial" w:cs="Arial"/>
          <w:b/>
          <w:sz w:val="28"/>
          <w:szCs w:val="28"/>
        </w:rPr>
      </w:pPr>
    </w:p>
    <w:p w14:paraId="02F15DFB" w14:textId="20399958" w:rsidR="0060133C" w:rsidRDefault="0060133C" w:rsidP="006670B0">
      <w:pPr>
        <w:jc w:val="center"/>
        <w:rPr>
          <w:rFonts w:ascii="Arial" w:eastAsia="Times New Roman" w:hAnsi="Arial" w:cs="Arial"/>
          <w:b/>
          <w:sz w:val="28"/>
          <w:szCs w:val="28"/>
        </w:rPr>
      </w:pPr>
    </w:p>
    <w:p w14:paraId="5CBC99A3" w14:textId="38BCF619" w:rsidR="0060133C" w:rsidRDefault="0060133C" w:rsidP="006670B0">
      <w:pPr>
        <w:jc w:val="center"/>
        <w:rPr>
          <w:rFonts w:ascii="Arial" w:eastAsia="Times New Roman" w:hAnsi="Arial" w:cs="Arial"/>
          <w:b/>
          <w:sz w:val="28"/>
          <w:szCs w:val="28"/>
        </w:rPr>
      </w:pPr>
    </w:p>
    <w:p w14:paraId="55FDF136" w14:textId="77777777" w:rsidR="009D1FAC" w:rsidRDefault="009D1FAC" w:rsidP="009D1FAC">
      <w:pPr>
        <w:pBdr>
          <w:top w:val="single" w:sz="4" w:space="1" w:color="auto"/>
          <w:left w:val="single" w:sz="4" w:space="4" w:color="auto"/>
          <w:bottom w:val="single" w:sz="4" w:space="1" w:color="auto"/>
          <w:right w:val="single" w:sz="4" w:space="4" w:color="auto"/>
        </w:pBdr>
        <w:jc w:val="both"/>
        <w:rPr>
          <w:b/>
          <w:sz w:val="32"/>
          <w:szCs w:val="32"/>
        </w:rPr>
      </w:pPr>
    </w:p>
    <w:p w14:paraId="1F7043B9" w14:textId="7EDF4243" w:rsidR="009D1FAC" w:rsidRPr="00F06C29" w:rsidRDefault="009D1FAC" w:rsidP="00F06C29">
      <w:pPr>
        <w:pBdr>
          <w:top w:val="single" w:sz="4" w:space="1" w:color="auto"/>
          <w:left w:val="single" w:sz="4" w:space="4" w:color="auto"/>
          <w:bottom w:val="single" w:sz="4" w:space="1" w:color="auto"/>
          <w:right w:val="single" w:sz="4" w:space="4" w:color="auto"/>
        </w:pBdr>
        <w:spacing w:line="259" w:lineRule="auto"/>
        <w:rPr>
          <w:rFonts w:ascii="Arial" w:hAnsi="Arial" w:cs="Arial"/>
        </w:rPr>
      </w:pPr>
      <w:r w:rsidRPr="00F06C29">
        <w:rPr>
          <w:rFonts w:ascii="Arial" w:hAnsi="Arial" w:cs="Arial"/>
          <w:b/>
        </w:rPr>
        <w:t>Le Conseil national consultatif des Personnes handicapées (CNCPH)</w:t>
      </w:r>
      <w:r w:rsidRPr="00F06C29">
        <w:rPr>
          <w:rFonts w:ascii="Arial" w:hAnsi="Arial" w:cs="Arial"/>
        </w:rPr>
        <w:t xml:space="preserve"> est une instance consultative qui implique et organise la participation des personnes handicapées ou de leurs représentants à l’élaboration et la mise en œuvre de la politique du handicap en France. </w:t>
      </w:r>
      <w:r w:rsidRPr="00F06C29">
        <w:rPr>
          <w:rFonts w:ascii="Arial" w:hAnsi="Arial" w:cs="Arial"/>
        </w:rPr>
        <w:br/>
      </w:r>
      <w:r w:rsidRPr="00F06C29">
        <w:rPr>
          <w:rFonts w:ascii="Arial" w:hAnsi="Arial" w:cs="Arial"/>
        </w:rPr>
        <w:lastRenderedPageBreak/>
        <w:t xml:space="preserve">Aujourd’hui composé de 160 membres et présidé par Jérémie Boroy, le CNCPH veille à une meilleure représentation des personnes handicapées en son sein et renforce leur participation à la </w:t>
      </w:r>
      <w:proofErr w:type="spellStart"/>
      <w:r w:rsidRPr="00F06C29">
        <w:rPr>
          <w:rFonts w:ascii="Arial" w:hAnsi="Arial" w:cs="Arial"/>
        </w:rPr>
        <w:t>co</w:t>
      </w:r>
      <w:proofErr w:type="spellEnd"/>
      <w:r w:rsidRPr="00F06C29">
        <w:rPr>
          <w:rFonts w:ascii="Arial" w:hAnsi="Arial" w:cs="Arial"/>
        </w:rPr>
        <w:t>-construction des politiques publiques.</w:t>
      </w:r>
    </w:p>
    <w:p w14:paraId="63195371" w14:textId="481D9EE3" w:rsidR="009D1FAC" w:rsidRPr="00F06C29" w:rsidRDefault="009D1FAC" w:rsidP="00F06C29">
      <w:pPr>
        <w:pBdr>
          <w:top w:val="single" w:sz="4" w:space="1" w:color="auto"/>
          <w:left w:val="single" w:sz="4" w:space="4" w:color="auto"/>
          <w:bottom w:val="single" w:sz="4" w:space="1" w:color="auto"/>
          <w:right w:val="single" w:sz="4" w:space="4" w:color="auto"/>
        </w:pBdr>
        <w:spacing w:line="259" w:lineRule="auto"/>
        <w:rPr>
          <w:rFonts w:ascii="Arial" w:hAnsi="Arial" w:cs="Arial"/>
        </w:rPr>
      </w:pPr>
    </w:p>
    <w:p w14:paraId="11F61882" w14:textId="2717B54C" w:rsidR="009D1FAC" w:rsidRPr="00F06C29" w:rsidRDefault="009D1FAC" w:rsidP="00F06C29">
      <w:pPr>
        <w:pBdr>
          <w:top w:val="single" w:sz="4" w:space="1" w:color="auto"/>
          <w:left w:val="single" w:sz="4" w:space="4" w:color="auto"/>
          <w:bottom w:val="single" w:sz="4" w:space="1" w:color="auto"/>
          <w:right w:val="single" w:sz="4" w:space="4" w:color="auto"/>
        </w:pBdr>
        <w:spacing w:line="259" w:lineRule="auto"/>
        <w:rPr>
          <w:rFonts w:ascii="Arial" w:hAnsi="Arial" w:cs="Arial"/>
          <w:i/>
        </w:rPr>
      </w:pPr>
      <w:r w:rsidRPr="00F06C29">
        <w:rPr>
          <w:rFonts w:ascii="Arial" w:hAnsi="Arial" w:cs="Arial"/>
          <w:i/>
        </w:rPr>
        <w:t>Pour plus d’information :</w:t>
      </w:r>
    </w:p>
    <w:p w14:paraId="54129796" w14:textId="5392E74B" w:rsidR="009D1FAC" w:rsidRPr="00F06C29" w:rsidRDefault="007A07DF" w:rsidP="00F06C29">
      <w:pPr>
        <w:pBdr>
          <w:top w:val="single" w:sz="4" w:space="1" w:color="auto"/>
          <w:left w:val="single" w:sz="4" w:space="4" w:color="auto"/>
          <w:bottom w:val="single" w:sz="4" w:space="1" w:color="auto"/>
          <w:right w:val="single" w:sz="4" w:space="4" w:color="auto"/>
        </w:pBdr>
        <w:spacing w:line="259" w:lineRule="auto"/>
        <w:rPr>
          <w:rFonts w:ascii="Arial" w:hAnsi="Arial" w:cs="Arial"/>
        </w:rPr>
      </w:pPr>
      <w:hyperlink r:id="rId9" w:history="1">
        <w:r w:rsidR="009D1FAC" w:rsidRPr="00F06C29">
          <w:rPr>
            <w:rStyle w:val="Hyperlink"/>
            <w:rFonts w:ascii="Arial" w:hAnsi="Arial" w:cs="Arial"/>
          </w:rPr>
          <w:t>https://www.gouvernement.fr/conseil-national-consultatif-des-personnes-handicapees-cncph</w:t>
        </w:r>
      </w:hyperlink>
    </w:p>
    <w:p w14:paraId="7F4EA9A5" w14:textId="77777777" w:rsidR="009D1FAC" w:rsidRPr="00891FF7" w:rsidRDefault="009D1FAC" w:rsidP="009D1FAC">
      <w:pPr>
        <w:pBdr>
          <w:top w:val="single" w:sz="4" w:space="1" w:color="auto"/>
          <w:left w:val="single" w:sz="4" w:space="4" w:color="auto"/>
          <w:bottom w:val="single" w:sz="4" w:space="1" w:color="auto"/>
          <w:right w:val="single" w:sz="4" w:space="4" w:color="auto"/>
        </w:pBdr>
        <w:jc w:val="both"/>
        <w:rPr>
          <w:sz w:val="32"/>
          <w:szCs w:val="32"/>
        </w:rPr>
      </w:pPr>
    </w:p>
    <w:p w14:paraId="4439EFCE" w14:textId="69C4A50E" w:rsidR="0060133C" w:rsidRDefault="0060133C" w:rsidP="006670B0">
      <w:pPr>
        <w:jc w:val="center"/>
        <w:rPr>
          <w:rFonts w:ascii="Arial" w:eastAsia="Times New Roman" w:hAnsi="Arial" w:cs="Arial"/>
          <w:b/>
          <w:sz w:val="28"/>
          <w:szCs w:val="28"/>
        </w:rPr>
      </w:pPr>
    </w:p>
    <w:p w14:paraId="37FCE7E6" w14:textId="5BABC83D" w:rsidR="0060133C" w:rsidRDefault="0060133C" w:rsidP="006670B0">
      <w:pPr>
        <w:jc w:val="center"/>
        <w:rPr>
          <w:rFonts w:ascii="Arial" w:eastAsia="Times New Roman" w:hAnsi="Arial" w:cs="Arial"/>
          <w:b/>
          <w:sz w:val="28"/>
          <w:szCs w:val="28"/>
        </w:rPr>
      </w:pPr>
    </w:p>
    <w:p w14:paraId="1A53CBD0" w14:textId="54B3C46D" w:rsidR="006670B0" w:rsidRPr="006670B0" w:rsidRDefault="006670B0" w:rsidP="006670B0">
      <w:pPr>
        <w:spacing w:after="600"/>
        <w:rPr>
          <w:rFonts w:ascii="Arial" w:hAnsi="Arial" w:cs="Arial"/>
          <w:b/>
          <w:sz w:val="28"/>
          <w:szCs w:val="28"/>
        </w:rPr>
      </w:pPr>
    </w:p>
    <w:sectPr w:rsidR="006670B0" w:rsidRPr="006670B0" w:rsidSect="009D1FAC">
      <w:footerReference w:type="even" r:id="rId10"/>
      <w:footerReference w:type="default" r:id="rId11"/>
      <w:headerReference w:type="first" r:id="rId12"/>
      <w:footerReference w:type="first" r:id="rId13"/>
      <w:pgSz w:w="11900" w:h="16840"/>
      <w:pgMar w:top="1418" w:right="1694" w:bottom="1417" w:left="1134" w:header="680"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60FA4" w14:textId="77777777" w:rsidR="007A37DF" w:rsidRDefault="007A37DF" w:rsidP="005534B9">
      <w:r>
        <w:separator/>
      </w:r>
    </w:p>
  </w:endnote>
  <w:endnote w:type="continuationSeparator" w:id="0">
    <w:p w14:paraId="02301D77" w14:textId="77777777" w:rsidR="007A37DF" w:rsidRDefault="007A37DF" w:rsidP="0055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Futura">
    <w:altName w:val="Arial"/>
    <w:charset w:val="00"/>
    <w:family w:val="swiss"/>
    <w:pitch w:val="variable"/>
    <w:sig w:usb0="00000001" w:usb1="5000214A" w:usb2="00000000" w:usb3="00000000" w:csb0="0000009F" w:csb1="00000000"/>
  </w:font>
  <w:font w:name="SegoeUI">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9EF2" w14:textId="77777777" w:rsidR="009762A0" w:rsidRDefault="009762A0" w:rsidP="001B0765">
    <w:pPr>
      <w:widowControl w:val="0"/>
      <w:autoSpaceDE w:val="0"/>
      <w:autoSpaceDN w:val="0"/>
      <w:adjustRightInd w:val="0"/>
      <w:jc w:val="center"/>
      <w:rPr>
        <w:rFonts w:ascii="Futura" w:hAnsi="Futura" w:cs="Futura"/>
        <w:color w:val="E2575B"/>
        <w:sz w:val="18"/>
        <w:szCs w:val="20"/>
      </w:rPr>
    </w:pPr>
  </w:p>
  <w:p w14:paraId="0345846C" w14:textId="77777777" w:rsidR="009762A0" w:rsidRDefault="009762A0" w:rsidP="001B0765">
    <w:pPr>
      <w:widowControl w:val="0"/>
      <w:autoSpaceDE w:val="0"/>
      <w:autoSpaceDN w:val="0"/>
      <w:adjustRightInd w:val="0"/>
      <w:jc w:val="center"/>
      <w:rPr>
        <w:rFonts w:ascii="Futura" w:hAnsi="Futura" w:cs="Futura"/>
        <w:sz w:val="18"/>
        <w:szCs w:val="20"/>
      </w:rPr>
    </w:pPr>
    <w:r w:rsidRPr="009954DA">
      <w:rPr>
        <w:rFonts w:ascii="Futura" w:hAnsi="Futura" w:cs="Futura"/>
        <w:noProof/>
        <w:color w:val="E2575B"/>
        <w:sz w:val="18"/>
        <w:szCs w:val="20"/>
        <w:lang w:val="en-GB" w:eastAsia="en-GB"/>
      </w:rPr>
      <w:drawing>
        <wp:anchor distT="0" distB="0" distL="114300" distR="114300" simplePos="0" relativeHeight="251662336" behindDoc="0" locked="0" layoutInCell="1" allowOverlap="1" wp14:anchorId="190033D4" wp14:editId="37D0FA66">
          <wp:simplePos x="0" y="0"/>
          <wp:positionH relativeFrom="margin">
            <wp:posOffset>-1370965</wp:posOffset>
          </wp:positionH>
          <wp:positionV relativeFrom="margin">
            <wp:posOffset>9058275</wp:posOffset>
          </wp:positionV>
          <wp:extent cx="8086725" cy="54610"/>
          <wp:effectExtent l="0" t="0" r="9525" b="2540"/>
          <wp:wrapThrough wrapText="bothSides">
            <wp:wrapPolygon edited="0">
              <wp:start x="0" y="0"/>
              <wp:lineTo x="0" y="15070"/>
              <wp:lineTo x="21575" y="15070"/>
              <wp:lineTo x="21575" y="0"/>
              <wp:lineTo x="0" y="0"/>
            </wp:wrapPolygon>
          </wp:wrapThrough>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CNCPH.jpg"/>
                  <pic:cNvPicPr/>
                </pic:nvPicPr>
                <pic:blipFill>
                  <a:blip r:embed="rId1">
                    <a:extLst>
                      <a:ext uri="{28A0092B-C50C-407E-A947-70E740481C1C}">
                        <a14:useLocalDpi xmlns:a14="http://schemas.microsoft.com/office/drawing/2010/main" val="0"/>
                      </a:ext>
                    </a:extLst>
                  </a:blip>
                  <a:stretch>
                    <a:fillRect/>
                  </a:stretch>
                </pic:blipFill>
                <pic:spPr>
                  <a:xfrm flipV="1">
                    <a:off x="0" y="0"/>
                    <a:ext cx="8086725" cy="54610"/>
                  </a:xfrm>
                  <a:prstGeom prst="rect">
                    <a:avLst/>
                  </a:prstGeom>
                </pic:spPr>
              </pic:pic>
            </a:graphicData>
          </a:graphic>
          <wp14:sizeRelH relativeFrom="page">
            <wp14:pctWidth>0</wp14:pctWidth>
          </wp14:sizeRelH>
          <wp14:sizeRelV relativeFrom="page">
            <wp14:pctHeight>0</wp14:pctHeight>
          </wp14:sizeRelV>
        </wp:anchor>
      </w:drawing>
    </w:r>
    <w:r w:rsidRPr="009954DA">
      <w:rPr>
        <w:rFonts w:ascii="Futura" w:hAnsi="Futura" w:cs="Futura"/>
        <w:color w:val="E2575B"/>
        <w:sz w:val="18"/>
        <w:szCs w:val="20"/>
      </w:rPr>
      <w:t xml:space="preserve">Conseil National Consultatif des Personnes Handicapées / </w:t>
    </w:r>
    <w:r w:rsidRPr="009954DA">
      <w:rPr>
        <w:rFonts w:ascii="SegoeUI" w:hAnsi="SegoeUI" w:cs="SegoeUI"/>
        <w:color w:val="191919"/>
        <w:sz w:val="18"/>
        <w:szCs w:val="20"/>
      </w:rPr>
      <w:t xml:space="preserve"> </w:t>
    </w:r>
    <w:r w:rsidRPr="009954DA">
      <w:rPr>
        <w:rFonts w:ascii="Futura" w:hAnsi="Futura" w:cs="Futura"/>
        <w:color w:val="191919"/>
        <w:sz w:val="18"/>
        <w:szCs w:val="20"/>
      </w:rPr>
      <w:t xml:space="preserve">Tél : </w:t>
    </w:r>
    <w:r w:rsidRPr="009954DA">
      <w:rPr>
        <w:rFonts w:ascii="Futura" w:hAnsi="Futura" w:cs="Futura"/>
        <w:sz w:val="18"/>
        <w:szCs w:val="20"/>
      </w:rPr>
      <w:t>01 40 56 85 07</w:t>
    </w:r>
    <w:r>
      <w:rPr>
        <w:rFonts w:ascii="Futura" w:hAnsi="Futura" w:cs="Futura"/>
        <w:sz w:val="18"/>
        <w:szCs w:val="20"/>
      </w:rPr>
      <w:t xml:space="preserve"> -  </w:t>
    </w:r>
    <w:hyperlink r:id="rId2" w:history="1">
      <w:r w:rsidRPr="000B0932">
        <w:rPr>
          <w:rStyle w:val="Hyperlink"/>
          <w:rFonts w:ascii="Futura" w:hAnsi="Futura" w:cs="Futura"/>
          <w:sz w:val="18"/>
          <w:szCs w:val="20"/>
        </w:rPr>
        <w:t>cih.secr@sante.gouv.fr</w:t>
      </w:r>
    </w:hyperlink>
  </w:p>
  <w:p w14:paraId="1CF5D79D" w14:textId="77777777" w:rsidR="009762A0" w:rsidRPr="001B0765" w:rsidRDefault="007A07DF" w:rsidP="001B0765">
    <w:pPr>
      <w:pStyle w:val="Footer"/>
      <w:jc w:val="center"/>
      <w:rPr>
        <w:sz w:val="20"/>
        <w:szCs w:val="20"/>
      </w:rPr>
    </w:pPr>
    <w:hyperlink r:id="rId3" w:history="1">
      <w:r w:rsidR="009762A0" w:rsidRPr="009954DA">
        <w:rPr>
          <w:rFonts w:ascii="SegoeUI" w:hAnsi="SegoeUI" w:cs="SegoeUI"/>
          <w:color w:val="0000E9"/>
          <w:sz w:val="18"/>
          <w:szCs w:val="20"/>
          <w:u w:val="single" w:color="0000E9"/>
        </w:rPr>
        <w:t>http://www.gouvernement.fr/conseil-national-consultatif-des-personnes-handicapees-cncph</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95564"/>
      <w:docPartObj>
        <w:docPartGallery w:val="Page Numbers (Bottom of Page)"/>
        <w:docPartUnique/>
      </w:docPartObj>
    </w:sdtPr>
    <w:sdtEndPr/>
    <w:sdtContent>
      <w:p w14:paraId="7D758D76" w14:textId="254ACBA2" w:rsidR="00F94F2E" w:rsidRDefault="00F94F2E">
        <w:pPr>
          <w:pStyle w:val="Footer"/>
          <w:jc w:val="center"/>
        </w:pPr>
        <w:r>
          <w:fldChar w:fldCharType="begin"/>
        </w:r>
        <w:r>
          <w:instrText>PAGE   \* MERGEFORMAT</w:instrText>
        </w:r>
        <w:r>
          <w:fldChar w:fldCharType="separate"/>
        </w:r>
        <w:r w:rsidR="007A07DF">
          <w:rPr>
            <w:noProof/>
          </w:rPr>
          <w:t>5</w:t>
        </w:r>
        <w:r>
          <w:fldChar w:fldCharType="end"/>
        </w:r>
      </w:p>
    </w:sdtContent>
  </w:sdt>
  <w:p w14:paraId="21C0D7E3" w14:textId="77777777" w:rsidR="009762A0" w:rsidRPr="00B32E77" w:rsidRDefault="009762A0" w:rsidP="00B32E77">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62394"/>
      <w:docPartObj>
        <w:docPartGallery w:val="Page Numbers (Bottom of Page)"/>
        <w:docPartUnique/>
      </w:docPartObj>
    </w:sdtPr>
    <w:sdtEndPr/>
    <w:sdtContent>
      <w:p w14:paraId="6E2F34E7" w14:textId="0E9CAFA3" w:rsidR="009D1FAC" w:rsidRPr="009D1FAC" w:rsidRDefault="009D1FAC" w:rsidP="009D1FAC">
        <w:pPr>
          <w:widowControl w:val="0"/>
          <w:autoSpaceDE w:val="0"/>
          <w:autoSpaceDN w:val="0"/>
          <w:adjustRightInd w:val="0"/>
          <w:jc w:val="center"/>
        </w:pPr>
        <w:r w:rsidRPr="009954DA">
          <w:rPr>
            <w:rFonts w:ascii="Futura" w:hAnsi="Futura" w:cs="Futura"/>
            <w:noProof/>
            <w:color w:val="E2575B"/>
            <w:sz w:val="18"/>
            <w:szCs w:val="20"/>
            <w:lang w:val="en-GB" w:eastAsia="en-GB"/>
          </w:rPr>
          <w:drawing>
            <wp:anchor distT="0" distB="0" distL="114300" distR="114300" simplePos="0" relativeHeight="251665408" behindDoc="0" locked="0" layoutInCell="1" allowOverlap="1" wp14:anchorId="3268B1EA" wp14:editId="2B946F43">
              <wp:simplePos x="0" y="0"/>
              <wp:positionH relativeFrom="margin">
                <wp:posOffset>-1022350</wp:posOffset>
              </wp:positionH>
              <wp:positionV relativeFrom="margin">
                <wp:align>bottom</wp:align>
              </wp:positionV>
              <wp:extent cx="8086725" cy="54610"/>
              <wp:effectExtent l="0" t="0" r="9525" b="2540"/>
              <wp:wrapThrough wrapText="bothSides">
                <wp:wrapPolygon edited="0">
                  <wp:start x="0" y="0"/>
                  <wp:lineTo x="0" y="15070"/>
                  <wp:lineTo x="21575" y="15070"/>
                  <wp:lineTo x="21575" y="0"/>
                  <wp:lineTo x="0" y="0"/>
                </wp:wrapPolygon>
              </wp:wrapThrough>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CNCPH.jpg"/>
                      <pic:cNvPicPr/>
                    </pic:nvPicPr>
                    <pic:blipFill>
                      <a:blip r:embed="rId1">
                        <a:extLst>
                          <a:ext uri="{28A0092B-C50C-407E-A947-70E740481C1C}">
                            <a14:useLocalDpi xmlns:a14="http://schemas.microsoft.com/office/drawing/2010/main" val="0"/>
                          </a:ext>
                        </a:extLst>
                      </a:blip>
                      <a:stretch>
                        <a:fillRect/>
                      </a:stretch>
                    </pic:blipFill>
                    <pic:spPr>
                      <a:xfrm flipV="1">
                        <a:off x="0" y="0"/>
                        <a:ext cx="8086725" cy="54610"/>
                      </a:xfrm>
                      <a:prstGeom prst="rect">
                        <a:avLst/>
                      </a:prstGeom>
                    </pic:spPr>
                  </pic:pic>
                </a:graphicData>
              </a:graphic>
              <wp14:sizeRelH relativeFrom="page">
                <wp14:pctWidth>0</wp14:pctWidth>
              </wp14:sizeRelH>
              <wp14:sizeRelV relativeFrom="page">
                <wp14:pctHeight>0</wp14:pctHeight>
              </wp14:sizeRelV>
            </wp:anchor>
          </w:drawing>
        </w:r>
        <w:r w:rsidRPr="009954DA">
          <w:rPr>
            <w:rFonts w:ascii="Futura" w:hAnsi="Futura" w:cs="Futura"/>
            <w:color w:val="E2575B"/>
            <w:sz w:val="18"/>
            <w:szCs w:val="20"/>
          </w:rPr>
          <w:t>Conseil National Consulta</w:t>
        </w:r>
        <w:r>
          <w:rPr>
            <w:rFonts w:ascii="Futura" w:hAnsi="Futura" w:cs="Futura"/>
            <w:color w:val="E2575B"/>
            <w:sz w:val="18"/>
            <w:szCs w:val="20"/>
          </w:rPr>
          <w:t>tif des Personnes Handicapées /</w:t>
        </w:r>
        <w:r w:rsidRPr="00C462E2">
          <w:rPr>
            <w:rFonts w:ascii="SegoeUI" w:hAnsi="SegoeUI" w:cs="SegoeUI"/>
            <w:i/>
            <w:color w:val="191919"/>
            <w:sz w:val="17"/>
            <w:szCs w:val="17"/>
          </w:rPr>
          <w:t xml:space="preserve"> </w:t>
        </w:r>
        <w:r w:rsidRPr="00B71B81">
          <w:rPr>
            <w:rFonts w:ascii="Futura" w:hAnsi="Futura" w:cs="Futura"/>
            <w:color w:val="191919"/>
            <w:sz w:val="17"/>
            <w:szCs w:val="17"/>
          </w:rPr>
          <w:t xml:space="preserve">Tél : </w:t>
        </w:r>
        <w:r w:rsidRPr="00B71B81">
          <w:rPr>
            <w:rFonts w:ascii="Futura" w:hAnsi="Futura" w:cs="Futura"/>
            <w:sz w:val="17"/>
            <w:szCs w:val="17"/>
          </w:rPr>
          <w:t>01 40 56 85 07 -  cih.secr@</w:t>
        </w:r>
        <w:r>
          <w:rPr>
            <w:rFonts w:ascii="Futura" w:hAnsi="Futura" w:cs="Futura"/>
            <w:sz w:val="17"/>
            <w:szCs w:val="17"/>
          </w:rPr>
          <w:t>pm.gouv.fr</w:t>
        </w:r>
      </w:p>
      <w:p w14:paraId="240D6F04" w14:textId="6A64FCFC" w:rsidR="009D1FAC" w:rsidRPr="00D034AF" w:rsidRDefault="007A07DF" w:rsidP="009D1FAC">
        <w:pPr>
          <w:pStyle w:val="Footer"/>
          <w:jc w:val="center"/>
          <w:rPr>
            <w:sz w:val="20"/>
            <w:szCs w:val="20"/>
          </w:rPr>
        </w:pPr>
        <w:hyperlink r:id="rId2" w:history="1">
          <w:r w:rsidR="009D1FAC" w:rsidRPr="009954DA">
            <w:rPr>
              <w:rFonts w:ascii="SegoeUI" w:hAnsi="SegoeUI" w:cs="SegoeUI"/>
              <w:color w:val="0000E9"/>
              <w:sz w:val="18"/>
              <w:szCs w:val="20"/>
              <w:u w:val="single" w:color="0000E9"/>
            </w:rPr>
            <w:t>http://www.gouvernement.fr/conseil-national-consultatif-des-personnes-handicapees-cncph</w:t>
          </w:r>
        </w:hyperlink>
      </w:p>
      <w:p w14:paraId="62813D2D" w14:textId="4D7C7EF4" w:rsidR="002C5870" w:rsidRDefault="002C5870">
        <w:pPr>
          <w:pStyle w:val="Footer"/>
          <w:jc w:val="right"/>
        </w:pPr>
        <w:r>
          <w:fldChar w:fldCharType="begin"/>
        </w:r>
        <w:r>
          <w:instrText>PAGE   \* MERGEFORMAT</w:instrText>
        </w:r>
        <w:r>
          <w:fldChar w:fldCharType="separate"/>
        </w:r>
        <w:r w:rsidR="007A07DF">
          <w:rPr>
            <w:noProof/>
          </w:rPr>
          <w:t>1</w:t>
        </w:r>
        <w:r>
          <w:fldChar w:fldCharType="end"/>
        </w:r>
      </w:p>
    </w:sdtContent>
  </w:sdt>
  <w:p w14:paraId="1314D3C6" w14:textId="77777777" w:rsidR="009762A0" w:rsidRPr="00D034AF" w:rsidRDefault="009762A0" w:rsidP="00D034AF">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A2227" w14:textId="77777777" w:rsidR="007A37DF" w:rsidRDefault="007A37DF" w:rsidP="005534B9">
      <w:r>
        <w:separator/>
      </w:r>
    </w:p>
  </w:footnote>
  <w:footnote w:type="continuationSeparator" w:id="0">
    <w:p w14:paraId="2DA2F287" w14:textId="77777777" w:rsidR="007A37DF" w:rsidRDefault="007A37DF" w:rsidP="005534B9">
      <w:r>
        <w:continuationSeparator/>
      </w:r>
    </w:p>
  </w:footnote>
  <w:footnote w:id="1">
    <w:p w14:paraId="00777D17" w14:textId="77777777" w:rsidR="0060133C" w:rsidRDefault="0060133C" w:rsidP="0060133C">
      <w:pPr>
        <w:pStyle w:val="FootnoteText"/>
      </w:pPr>
      <w:r>
        <w:rPr>
          <w:rStyle w:val="FootnoteReference"/>
        </w:rPr>
        <w:footnoteRef/>
      </w:r>
      <w:r>
        <w:t xml:space="preserve"> 13</w:t>
      </w:r>
      <w:r>
        <w:rPr>
          <w:vertAlign w:val="superscript"/>
        </w:rPr>
        <w:t>ième</w:t>
      </w:r>
      <w:r>
        <w:t xml:space="preserve"> baromètre de décembre 2020 du Défenseur des Droits : La perception des discriminations dans l’emploi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7947F" w14:textId="1B2971A9" w:rsidR="00F84E7E" w:rsidRDefault="00464F64">
    <w:pPr>
      <w:pStyle w:val="Header"/>
      <w:rPr>
        <w:noProof/>
      </w:rPr>
    </w:pPr>
    <w:r>
      <w:rPr>
        <w:noProof/>
        <w:lang w:val="en-GB" w:eastAsia="en-GB"/>
      </w:rPr>
      <w:drawing>
        <wp:anchor distT="0" distB="0" distL="114300" distR="114300" simplePos="0" relativeHeight="251663360" behindDoc="1" locked="0" layoutInCell="1" allowOverlap="1" wp14:anchorId="48AC48F9" wp14:editId="5A01FE9A">
          <wp:simplePos x="0" y="0"/>
          <wp:positionH relativeFrom="column">
            <wp:posOffset>-529590</wp:posOffset>
          </wp:positionH>
          <wp:positionV relativeFrom="paragraph">
            <wp:posOffset>-317500</wp:posOffset>
          </wp:positionV>
          <wp:extent cx="1638000" cy="1360800"/>
          <wp:effectExtent l="0" t="0" r="635" b="0"/>
          <wp:wrapNone/>
          <wp:docPr id="69" name="Image 69" title="Logo CNC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8000" cy="1360800"/>
                  </a:xfrm>
                  <a:prstGeom prst="rect">
                    <a:avLst/>
                  </a:prstGeom>
                </pic:spPr>
              </pic:pic>
            </a:graphicData>
          </a:graphic>
          <wp14:sizeRelH relativeFrom="margin">
            <wp14:pctWidth>0</wp14:pctWidth>
          </wp14:sizeRelH>
          <wp14:sizeRelV relativeFrom="margin">
            <wp14:pctHeight>0</wp14:pctHeight>
          </wp14:sizeRelV>
        </wp:anchor>
      </w:drawing>
    </w:r>
  </w:p>
  <w:p w14:paraId="78F89231" w14:textId="77777777" w:rsidR="009762A0" w:rsidRDefault="00976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037"/>
    <w:multiLevelType w:val="hybridMultilevel"/>
    <w:tmpl w:val="9BBAC168"/>
    <w:lvl w:ilvl="0" w:tplc="66E4D29E">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CCF39D1"/>
    <w:multiLevelType w:val="hybridMultilevel"/>
    <w:tmpl w:val="43A8D83E"/>
    <w:lvl w:ilvl="0" w:tplc="7706B9BC">
      <w:start w:val="1"/>
      <w:numFmt w:val="decimal"/>
      <w:lvlText w:val="%1."/>
      <w:lvlJc w:val="left"/>
      <w:pPr>
        <w:ind w:left="502"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C05E4C"/>
    <w:multiLevelType w:val="hybridMultilevel"/>
    <w:tmpl w:val="E4FC19E6"/>
    <w:lvl w:ilvl="0" w:tplc="7820BED0">
      <w:start w:val="1"/>
      <w:numFmt w:val="upperRoman"/>
      <w:lvlText w:val="%1."/>
      <w:lvlJc w:val="left"/>
      <w:pPr>
        <w:ind w:left="-624" w:hanging="720"/>
      </w:pPr>
      <w:rPr>
        <w:rFonts w:hint="default"/>
      </w:rPr>
    </w:lvl>
    <w:lvl w:ilvl="1" w:tplc="040C0019">
      <w:start w:val="1"/>
      <w:numFmt w:val="lowerLetter"/>
      <w:lvlText w:val="%2."/>
      <w:lvlJc w:val="left"/>
      <w:pPr>
        <w:ind w:left="-264" w:hanging="360"/>
      </w:pPr>
    </w:lvl>
    <w:lvl w:ilvl="2" w:tplc="040C001B">
      <w:start w:val="1"/>
      <w:numFmt w:val="lowerRoman"/>
      <w:lvlText w:val="%3."/>
      <w:lvlJc w:val="right"/>
      <w:pPr>
        <w:ind w:left="456" w:hanging="180"/>
      </w:pPr>
    </w:lvl>
    <w:lvl w:ilvl="3" w:tplc="040C000F">
      <w:start w:val="1"/>
      <w:numFmt w:val="decimal"/>
      <w:lvlText w:val="%4."/>
      <w:lvlJc w:val="left"/>
      <w:pPr>
        <w:ind w:left="1176" w:hanging="360"/>
      </w:pPr>
    </w:lvl>
    <w:lvl w:ilvl="4" w:tplc="040C0019" w:tentative="1">
      <w:start w:val="1"/>
      <w:numFmt w:val="lowerLetter"/>
      <w:lvlText w:val="%5."/>
      <w:lvlJc w:val="left"/>
      <w:pPr>
        <w:ind w:left="1896" w:hanging="360"/>
      </w:pPr>
    </w:lvl>
    <w:lvl w:ilvl="5" w:tplc="040C001B" w:tentative="1">
      <w:start w:val="1"/>
      <w:numFmt w:val="lowerRoman"/>
      <w:lvlText w:val="%6."/>
      <w:lvlJc w:val="right"/>
      <w:pPr>
        <w:ind w:left="2616" w:hanging="180"/>
      </w:pPr>
    </w:lvl>
    <w:lvl w:ilvl="6" w:tplc="040C000F" w:tentative="1">
      <w:start w:val="1"/>
      <w:numFmt w:val="decimal"/>
      <w:lvlText w:val="%7."/>
      <w:lvlJc w:val="left"/>
      <w:pPr>
        <w:ind w:left="3336" w:hanging="360"/>
      </w:pPr>
    </w:lvl>
    <w:lvl w:ilvl="7" w:tplc="040C0019" w:tentative="1">
      <w:start w:val="1"/>
      <w:numFmt w:val="lowerLetter"/>
      <w:lvlText w:val="%8."/>
      <w:lvlJc w:val="left"/>
      <w:pPr>
        <w:ind w:left="4056" w:hanging="360"/>
      </w:pPr>
    </w:lvl>
    <w:lvl w:ilvl="8" w:tplc="040C001B" w:tentative="1">
      <w:start w:val="1"/>
      <w:numFmt w:val="lowerRoman"/>
      <w:lvlText w:val="%9."/>
      <w:lvlJc w:val="right"/>
      <w:pPr>
        <w:ind w:left="4776" w:hanging="180"/>
      </w:pPr>
    </w:lvl>
  </w:abstractNum>
  <w:abstractNum w:abstractNumId="3" w15:restartNumberingAfterBreak="0">
    <w:nsid w:val="3DF650A6"/>
    <w:multiLevelType w:val="hybridMultilevel"/>
    <w:tmpl w:val="55C2847E"/>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532A2A71"/>
    <w:multiLevelType w:val="hybridMultilevel"/>
    <w:tmpl w:val="18746D5C"/>
    <w:lvl w:ilvl="0" w:tplc="040C0001">
      <w:start w:val="1"/>
      <w:numFmt w:val="bullet"/>
      <w:lvlText w:val=""/>
      <w:lvlJc w:val="left"/>
      <w:pPr>
        <w:ind w:left="720" w:hanging="360"/>
      </w:pPr>
      <w:rPr>
        <w:rFonts w:ascii="Symbol" w:hAnsi="Symbol" w:hint="default"/>
      </w:rPr>
    </w:lvl>
    <w:lvl w:ilvl="1" w:tplc="EEDC34B6">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F37948"/>
    <w:multiLevelType w:val="hybridMultilevel"/>
    <w:tmpl w:val="272E7FD2"/>
    <w:lvl w:ilvl="0" w:tplc="4BDEEDEC">
      <w:start w:val="3"/>
      <w:numFmt w:val="upperRoman"/>
      <w:lvlText w:val="%1)"/>
      <w:lvlJc w:val="left"/>
      <w:pPr>
        <w:ind w:left="1800" w:hanging="720"/>
      </w:pPr>
      <w:rPr>
        <w:rFonts w:hint="default"/>
      </w:rPr>
    </w:lvl>
    <w:lvl w:ilvl="1" w:tplc="0062FF9C">
      <w:start w:val="1"/>
      <w:numFmt w:val="decimal"/>
      <w:lvlText w:val="%2."/>
      <w:lvlJc w:val="left"/>
      <w:pPr>
        <w:ind w:left="2180" w:hanging="380"/>
      </w:pPr>
      <w:rPr>
        <w:rFonts w:ascii="Arial" w:hAnsi="Arial" w:cs="Arial" w:hint="default"/>
        <w:color w:val="000000" w:themeColor="text1"/>
        <w:sz w:val="28"/>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5D5012B8"/>
    <w:multiLevelType w:val="hybridMultilevel"/>
    <w:tmpl w:val="A300D08A"/>
    <w:lvl w:ilvl="0" w:tplc="040C0011">
      <w:start w:val="1"/>
      <w:numFmt w:val="decimal"/>
      <w:lvlText w:val="%1)"/>
      <w:lvlJc w:val="left"/>
      <w:pPr>
        <w:ind w:left="502"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5B110BC"/>
    <w:multiLevelType w:val="hybridMultilevel"/>
    <w:tmpl w:val="EBEA2E36"/>
    <w:lvl w:ilvl="0" w:tplc="4B0A16D2">
      <w:start w:val="1"/>
      <w:numFmt w:val="decimal"/>
      <w:lvlText w:val="%1)"/>
      <w:lvlJc w:val="left"/>
      <w:pPr>
        <w:ind w:left="502"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A7122D"/>
    <w:multiLevelType w:val="hybridMultilevel"/>
    <w:tmpl w:val="DF56A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8"/>
  </w:num>
  <w:num w:numId="8">
    <w:abstractNumId w:val="7"/>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44"/>
    <w:rsid w:val="00000E41"/>
    <w:rsid w:val="00003A95"/>
    <w:rsid w:val="000049C2"/>
    <w:rsid w:val="00005A88"/>
    <w:rsid w:val="00006E49"/>
    <w:rsid w:val="0002340A"/>
    <w:rsid w:val="000270F1"/>
    <w:rsid w:val="000377B4"/>
    <w:rsid w:val="000505AB"/>
    <w:rsid w:val="00056BDE"/>
    <w:rsid w:val="000650FF"/>
    <w:rsid w:val="00070B88"/>
    <w:rsid w:val="0007255D"/>
    <w:rsid w:val="000769C2"/>
    <w:rsid w:val="00081320"/>
    <w:rsid w:val="000A1F9B"/>
    <w:rsid w:val="000A677A"/>
    <w:rsid w:val="000D2BF8"/>
    <w:rsid w:val="000D51C7"/>
    <w:rsid w:val="000E660E"/>
    <w:rsid w:val="00107337"/>
    <w:rsid w:val="00115034"/>
    <w:rsid w:val="00134D9E"/>
    <w:rsid w:val="0014139C"/>
    <w:rsid w:val="00144F28"/>
    <w:rsid w:val="00150284"/>
    <w:rsid w:val="00155867"/>
    <w:rsid w:val="00190174"/>
    <w:rsid w:val="00191B77"/>
    <w:rsid w:val="00196612"/>
    <w:rsid w:val="001B0765"/>
    <w:rsid w:val="001B2D08"/>
    <w:rsid w:val="001B5199"/>
    <w:rsid w:val="001B6F4F"/>
    <w:rsid w:val="001C2FA0"/>
    <w:rsid w:val="001C60B9"/>
    <w:rsid w:val="001D2C3D"/>
    <w:rsid w:val="001F1633"/>
    <w:rsid w:val="00214307"/>
    <w:rsid w:val="00235765"/>
    <w:rsid w:val="002378BD"/>
    <w:rsid w:val="00252EF9"/>
    <w:rsid w:val="002675E0"/>
    <w:rsid w:val="0027203F"/>
    <w:rsid w:val="0027508B"/>
    <w:rsid w:val="00277F49"/>
    <w:rsid w:val="002921AF"/>
    <w:rsid w:val="002A3D56"/>
    <w:rsid w:val="002B1161"/>
    <w:rsid w:val="002B5720"/>
    <w:rsid w:val="002C5870"/>
    <w:rsid w:val="002C6EFC"/>
    <w:rsid w:val="002D25ED"/>
    <w:rsid w:val="002E5C2C"/>
    <w:rsid w:val="002E6EBC"/>
    <w:rsid w:val="002F35E0"/>
    <w:rsid w:val="002F6572"/>
    <w:rsid w:val="00312D70"/>
    <w:rsid w:val="00315E22"/>
    <w:rsid w:val="00323AA7"/>
    <w:rsid w:val="00330387"/>
    <w:rsid w:val="00342E88"/>
    <w:rsid w:val="003430CD"/>
    <w:rsid w:val="00350FFD"/>
    <w:rsid w:val="003549DB"/>
    <w:rsid w:val="0036682C"/>
    <w:rsid w:val="00370B00"/>
    <w:rsid w:val="00387B6B"/>
    <w:rsid w:val="00391AC7"/>
    <w:rsid w:val="003A66F4"/>
    <w:rsid w:val="003E3E36"/>
    <w:rsid w:val="003F14FA"/>
    <w:rsid w:val="004165E6"/>
    <w:rsid w:val="00424383"/>
    <w:rsid w:val="00425DCD"/>
    <w:rsid w:val="00427044"/>
    <w:rsid w:val="0044421F"/>
    <w:rsid w:val="00463E82"/>
    <w:rsid w:val="00464F64"/>
    <w:rsid w:val="00497302"/>
    <w:rsid w:val="004C70F7"/>
    <w:rsid w:val="004D60A8"/>
    <w:rsid w:val="004D61C5"/>
    <w:rsid w:val="004E164F"/>
    <w:rsid w:val="004E25A1"/>
    <w:rsid w:val="004F0507"/>
    <w:rsid w:val="004F4865"/>
    <w:rsid w:val="004F4B36"/>
    <w:rsid w:val="005007E1"/>
    <w:rsid w:val="00515F15"/>
    <w:rsid w:val="00524F44"/>
    <w:rsid w:val="005418EF"/>
    <w:rsid w:val="00541A52"/>
    <w:rsid w:val="00541AB0"/>
    <w:rsid w:val="005534B9"/>
    <w:rsid w:val="005558AE"/>
    <w:rsid w:val="00563DC6"/>
    <w:rsid w:val="005646E1"/>
    <w:rsid w:val="00564B6C"/>
    <w:rsid w:val="00570651"/>
    <w:rsid w:val="0057294D"/>
    <w:rsid w:val="00583E0D"/>
    <w:rsid w:val="00586434"/>
    <w:rsid w:val="005A2038"/>
    <w:rsid w:val="005A7D58"/>
    <w:rsid w:val="005C6083"/>
    <w:rsid w:val="005D7FF4"/>
    <w:rsid w:val="005E6E21"/>
    <w:rsid w:val="005F25C9"/>
    <w:rsid w:val="0060133C"/>
    <w:rsid w:val="00635A7A"/>
    <w:rsid w:val="00657710"/>
    <w:rsid w:val="00663612"/>
    <w:rsid w:val="006670B0"/>
    <w:rsid w:val="0068419A"/>
    <w:rsid w:val="006915ED"/>
    <w:rsid w:val="006953FF"/>
    <w:rsid w:val="006B13C9"/>
    <w:rsid w:val="006B2F49"/>
    <w:rsid w:val="006B6F4C"/>
    <w:rsid w:val="006D07E3"/>
    <w:rsid w:val="006D35FE"/>
    <w:rsid w:val="006E6ACE"/>
    <w:rsid w:val="0070003C"/>
    <w:rsid w:val="007024DB"/>
    <w:rsid w:val="00705C6F"/>
    <w:rsid w:val="00707E48"/>
    <w:rsid w:val="00711D47"/>
    <w:rsid w:val="00716D3E"/>
    <w:rsid w:val="007172F2"/>
    <w:rsid w:val="007261E0"/>
    <w:rsid w:val="00730401"/>
    <w:rsid w:val="00732C56"/>
    <w:rsid w:val="00740EA5"/>
    <w:rsid w:val="00744D75"/>
    <w:rsid w:val="0074665D"/>
    <w:rsid w:val="00751AC1"/>
    <w:rsid w:val="007534FB"/>
    <w:rsid w:val="00760754"/>
    <w:rsid w:val="00785DB0"/>
    <w:rsid w:val="007A07DF"/>
    <w:rsid w:val="007A37DF"/>
    <w:rsid w:val="007A3D16"/>
    <w:rsid w:val="007B2A6E"/>
    <w:rsid w:val="007B5C6C"/>
    <w:rsid w:val="00805725"/>
    <w:rsid w:val="008102FC"/>
    <w:rsid w:val="00811195"/>
    <w:rsid w:val="00822107"/>
    <w:rsid w:val="008221F9"/>
    <w:rsid w:val="0082554E"/>
    <w:rsid w:val="00832D49"/>
    <w:rsid w:val="008437D0"/>
    <w:rsid w:val="00845E08"/>
    <w:rsid w:val="008600B8"/>
    <w:rsid w:val="00863D39"/>
    <w:rsid w:val="00880A22"/>
    <w:rsid w:val="00883E44"/>
    <w:rsid w:val="00897DFA"/>
    <w:rsid w:val="00897FD9"/>
    <w:rsid w:val="008A4596"/>
    <w:rsid w:val="008A5B41"/>
    <w:rsid w:val="008B1FDB"/>
    <w:rsid w:val="008C624F"/>
    <w:rsid w:val="008D32F5"/>
    <w:rsid w:val="008D3BC2"/>
    <w:rsid w:val="008D7C7D"/>
    <w:rsid w:val="008E4250"/>
    <w:rsid w:val="008F4947"/>
    <w:rsid w:val="00913042"/>
    <w:rsid w:val="00922052"/>
    <w:rsid w:val="0092345F"/>
    <w:rsid w:val="009239B0"/>
    <w:rsid w:val="00926768"/>
    <w:rsid w:val="00930B9B"/>
    <w:rsid w:val="0093344E"/>
    <w:rsid w:val="00934B96"/>
    <w:rsid w:val="009510AC"/>
    <w:rsid w:val="00953635"/>
    <w:rsid w:val="00961439"/>
    <w:rsid w:val="00963C2F"/>
    <w:rsid w:val="00966F5F"/>
    <w:rsid w:val="00973899"/>
    <w:rsid w:val="009762A0"/>
    <w:rsid w:val="009769E7"/>
    <w:rsid w:val="0097779F"/>
    <w:rsid w:val="00982D35"/>
    <w:rsid w:val="00982FDA"/>
    <w:rsid w:val="009954DA"/>
    <w:rsid w:val="00996FC2"/>
    <w:rsid w:val="009B2489"/>
    <w:rsid w:val="009B35BE"/>
    <w:rsid w:val="009B4525"/>
    <w:rsid w:val="009C1A89"/>
    <w:rsid w:val="009D1FAC"/>
    <w:rsid w:val="009D5202"/>
    <w:rsid w:val="009E6027"/>
    <w:rsid w:val="009F610C"/>
    <w:rsid w:val="00A036A1"/>
    <w:rsid w:val="00A12A5F"/>
    <w:rsid w:val="00A23A11"/>
    <w:rsid w:val="00A30A39"/>
    <w:rsid w:val="00A47CCB"/>
    <w:rsid w:val="00A53F3F"/>
    <w:rsid w:val="00A55F16"/>
    <w:rsid w:val="00A80AA7"/>
    <w:rsid w:val="00A82783"/>
    <w:rsid w:val="00AA3A48"/>
    <w:rsid w:val="00AA4091"/>
    <w:rsid w:val="00AA5ADA"/>
    <w:rsid w:val="00AA6DE8"/>
    <w:rsid w:val="00AB7433"/>
    <w:rsid w:val="00AD3748"/>
    <w:rsid w:val="00AD7095"/>
    <w:rsid w:val="00AF3E86"/>
    <w:rsid w:val="00B00AAE"/>
    <w:rsid w:val="00B06389"/>
    <w:rsid w:val="00B106DF"/>
    <w:rsid w:val="00B11ED6"/>
    <w:rsid w:val="00B141A3"/>
    <w:rsid w:val="00B14C68"/>
    <w:rsid w:val="00B172C6"/>
    <w:rsid w:val="00B21C25"/>
    <w:rsid w:val="00B24BE8"/>
    <w:rsid w:val="00B31420"/>
    <w:rsid w:val="00B32E77"/>
    <w:rsid w:val="00B50F8B"/>
    <w:rsid w:val="00B5345F"/>
    <w:rsid w:val="00B53A35"/>
    <w:rsid w:val="00B552E1"/>
    <w:rsid w:val="00B55C65"/>
    <w:rsid w:val="00B71B81"/>
    <w:rsid w:val="00B81C29"/>
    <w:rsid w:val="00B923F7"/>
    <w:rsid w:val="00BA19E6"/>
    <w:rsid w:val="00BA7F47"/>
    <w:rsid w:val="00BB30F1"/>
    <w:rsid w:val="00BB4AC9"/>
    <w:rsid w:val="00BC07F6"/>
    <w:rsid w:val="00BC3200"/>
    <w:rsid w:val="00BC7A2A"/>
    <w:rsid w:val="00BD556B"/>
    <w:rsid w:val="00BD6D3F"/>
    <w:rsid w:val="00BD7CB5"/>
    <w:rsid w:val="00BF13E9"/>
    <w:rsid w:val="00C01EEF"/>
    <w:rsid w:val="00C03598"/>
    <w:rsid w:val="00C07FCC"/>
    <w:rsid w:val="00C16799"/>
    <w:rsid w:val="00C22316"/>
    <w:rsid w:val="00C342D8"/>
    <w:rsid w:val="00C400D6"/>
    <w:rsid w:val="00C40849"/>
    <w:rsid w:val="00C462E2"/>
    <w:rsid w:val="00C56850"/>
    <w:rsid w:val="00C61AD5"/>
    <w:rsid w:val="00C76A44"/>
    <w:rsid w:val="00C916CA"/>
    <w:rsid w:val="00C92AC0"/>
    <w:rsid w:val="00CA1A24"/>
    <w:rsid w:val="00CB18F4"/>
    <w:rsid w:val="00CB6577"/>
    <w:rsid w:val="00CC146C"/>
    <w:rsid w:val="00CC7070"/>
    <w:rsid w:val="00CC76DC"/>
    <w:rsid w:val="00CD515E"/>
    <w:rsid w:val="00CE200D"/>
    <w:rsid w:val="00CF3D09"/>
    <w:rsid w:val="00D034AF"/>
    <w:rsid w:val="00D042CA"/>
    <w:rsid w:val="00D26A2B"/>
    <w:rsid w:val="00D43EDC"/>
    <w:rsid w:val="00D4557A"/>
    <w:rsid w:val="00D47775"/>
    <w:rsid w:val="00D477DE"/>
    <w:rsid w:val="00D54A00"/>
    <w:rsid w:val="00D74566"/>
    <w:rsid w:val="00D81599"/>
    <w:rsid w:val="00D81B2B"/>
    <w:rsid w:val="00D87903"/>
    <w:rsid w:val="00DC7FEC"/>
    <w:rsid w:val="00DE1B67"/>
    <w:rsid w:val="00DE7CD7"/>
    <w:rsid w:val="00DF6E57"/>
    <w:rsid w:val="00E022BF"/>
    <w:rsid w:val="00E07D50"/>
    <w:rsid w:val="00E12D78"/>
    <w:rsid w:val="00E24024"/>
    <w:rsid w:val="00E46874"/>
    <w:rsid w:val="00E47A7C"/>
    <w:rsid w:val="00E52A45"/>
    <w:rsid w:val="00E534DE"/>
    <w:rsid w:val="00E637DC"/>
    <w:rsid w:val="00E67C2D"/>
    <w:rsid w:val="00E71152"/>
    <w:rsid w:val="00EA001D"/>
    <w:rsid w:val="00EC5F8D"/>
    <w:rsid w:val="00ED391E"/>
    <w:rsid w:val="00ED6574"/>
    <w:rsid w:val="00EE469E"/>
    <w:rsid w:val="00EE60D8"/>
    <w:rsid w:val="00EE6BFA"/>
    <w:rsid w:val="00EE7A01"/>
    <w:rsid w:val="00F05CDB"/>
    <w:rsid w:val="00F06C29"/>
    <w:rsid w:val="00F1124F"/>
    <w:rsid w:val="00F13C3E"/>
    <w:rsid w:val="00F20714"/>
    <w:rsid w:val="00F25E5A"/>
    <w:rsid w:val="00F35A4B"/>
    <w:rsid w:val="00F40298"/>
    <w:rsid w:val="00F459A3"/>
    <w:rsid w:val="00F50BCB"/>
    <w:rsid w:val="00F56AE2"/>
    <w:rsid w:val="00F56EFF"/>
    <w:rsid w:val="00F62701"/>
    <w:rsid w:val="00F64709"/>
    <w:rsid w:val="00F65613"/>
    <w:rsid w:val="00F66E28"/>
    <w:rsid w:val="00F73B07"/>
    <w:rsid w:val="00F84E7E"/>
    <w:rsid w:val="00F94F2E"/>
    <w:rsid w:val="00FA5D1F"/>
    <w:rsid w:val="00FC6CFA"/>
    <w:rsid w:val="00FD069F"/>
    <w:rsid w:val="00FE5EB3"/>
    <w:rsid w:val="00FF0558"/>
    <w:rsid w:val="00FF2CB5"/>
    <w:rsid w:val="00FF40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o:shapelayout v:ext="edit">
      <o:idmap v:ext="edit" data="1"/>
    </o:shapelayout>
  </w:shapeDefaults>
  <w:decimalSymbol w:val="."/>
  <w:listSeparator w:val=","/>
  <w14:docId w14:val="69C3160B"/>
  <w14:defaultImageDpi w14:val="300"/>
  <w15:docId w15:val="{0289D774-644E-4B4E-A2BB-9F1FFDC5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4B9"/>
    <w:pPr>
      <w:tabs>
        <w:tab w:val="center" w:pos="4536"/>
        <w:tab w:val="right" w:pos="9072"/>
      </w:tabs>
    </w:pPr>
  </w:style>
  <w:style w:type="character" w:customStyle="1" w:styleId="HeaderChar">
    <w:name w:val="Header Char"/>
    <w:basedOn w:val="DefaultParagraphFont"/>
    <w:link w:val="Header"/>
    <w:uiPriority w:val="99"/>
    <w:rsid w:val="005534B9"/>
  </w:style>
  <w:style w:type="paragraph" w:styleId="Footer">
    <w:name w:val="footer"/>
    <w:basedOn w:val="Normal"/>
    <w:link w:val="FooterChar"/>
    <w:uiPriority w:val="99"/>
    <w:unhideWhenUsed/>
    <w:rsid w:val="005534B9"/>
    <w:pPr>
      <w:tabs>
        <w:tab w:val="center" w:pos="4536"/>
        <w:tab w:val="right" w:pos="9072"/>
      </w:tabs>
    </w:pPr>
  </w:style>
  <w:style w:type="character" w:customStyle="1" w:styleId="FooterChar">
    <w:name w:val="Footer Char"/>
    <w:basedOn w:val="DefaultParagraphFont"/>
    <w:link w:val="Footer"/>
    <w:uiPriority w:val="99"/>
    <w:rsid w:val="005534B9"/>
  </w:style>
  <w:style w:type="table" w:styleId="TableGrid">
    <w:name w:val="Table Grid"/>
    <w:basedOn w:val="TableNormal"/>
    <w:uiPriority w:val="1"/>
    <w:rsid w:val="005534B9"/>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534B9"/>
    <w:rPr>
      <w:rFonts w:ascii="Lucida Grande" w:hAnsi="Lucida Grande"/>
      <w:sz w:val="18"/>
      <w:szCs w:val="18"/>
    </w:rPr>
  </w:style>
  <w:style w:type="character" w:customStyle="1" w:styleId="BalloonTextChar">
    <w:name w:val="Balloon Text Char"/>
    <w:basedOn w:val="DefaultParagraphFont"/>
    <w:link w:val="BalloonText"/>
    <w:uiPriority w:val="99"/>
    <w:semiHidden/>
    <w:rsid w:val="005534B9"/>
    <w:rPr>
      <w:rFonts w:ascii="Lucida Grande" w:hAnsi="Lucida Grande"/>
      <w:sz w:val="18"/>
      <w:szCs w:val="18"/>
    </w:rPr>
  </w:style>
  <w:style w:type="table" w:styleId="LightShading-Accent1">
    <w:name w:val="Light Shading Accent 1"/>
    <w:basedOn w:val="TableNormal"/>
    <w:uiPriority w:val="60"/>
    <w:rsid w:val="005A7D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832D49"/>
    <w:pPr>
      <w:ind w:left="708"/>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B0765"/>
    <w:rPr>
      <w:color w:val="0000FF" w:themeColor="hyperlink"/>
      <w:u w:val="single"/>
    </w:rPr>
  </w:style>
  <w:style w:type="paragraph" w:styleId="FootnoteText">
    <w:name w:val="footnote text"/>
    <w:basedOn w:val="Normal"/>
    <w:link w:val="FootnoteTextChar"/>
    <w:semiHidden/>
    <w:rsid w:val="00A036A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036A1"/>
    <w:rPr>
      <w:rFonts w:ascii="Times New Roman" w:eastAsia="Times New Roman" w:hAnsi="Times New Roman" w:cs="Times New Roman"/>
      <w:sz w:val="20"/>
      <w:szCs w:val="20"/>
    </w:rPr>
  </w:style>
  <w:style w:type="character" w:styleId="FootnoteReference">
    <w:name w:val="footnote reference"/>
    <w:rsid w:val="00A036A1"/>
    <w:rPr>
      <w:vertAlign w:val="superscript"/>
    </w:rPr>
  </w:style>
  <w:style w:type="character" w:customStyle="1" w:styleId="zztitreaccueil">
    <w:name w:val="zz_titre_accueil"/>
    <w:basedOn w:val="DefaultParagraphFont"/>
    <w:rsid w:val="0070003C"/>
  </w:style>
  <w:style w:type="character" w:styleId="Emphasis">
    <w:name w:val="Emphasis"/>
    <w:qFormat/>
    <w:rsid w:val="00E07D50"/>
    <w:rPr>
      <w:i/>
      <w:iCs w:val="0"/>
    </w:rPr>
  </w:style>
  <w:style w:type="paragraph" w:customStyle="1" w:styleId="Default">
    <w:name w:val="Default"/>
    <w:rsid w:val="002D25ED"/>
    <w:pPr>
      <w:autoSpaceDE w:val="0"/>
      <w:autoSpaceDN w:val="0"/>
      <w:adjustRightInd w:val="0"/>
    </w:pPr>
    <w:rPr>
      <w:rFonts w:ascii="Lucida Sans Unicode" w:eastAsia="Times New Roman" w:hAnsi="Lucida Sans Unicode" w:cs="Lucida Sans Unicode"/>
      <w:color w:val="000000"/>
    </w:rPr>
  </w:style>
  <w:style w:type="character" w:styleId="CommentReference">
    <w:name w:val="annotation reference"/>
    <w:basedOn w:val="DefaultParagraphFont"/>
    <w:uiPriority w:val="99"/>
    <w:semiHidden/>
    <w:unhideWhenUsed/>
    <w:rsid w:val="004F4865"/>
    <w:rPr>
      <w:sz w:val="16"/>
      <w:szCs w:val="16"/>
    </w:rPr>
  </w:style>
  <w:style w:type="paragraph" w:styleId="CommentText">
    <w:name w:val="annotation text"/>
    <w:basedOn w:val="Normal"/>
    <w:link w:val="CommentTextChar"/>
    <w:uiPriority w:val="99"/>
    <w:semiHidden/>
    <w:unhideWhenUsed/>
    <w:rsid w:val="004F4865"/>
    <w:rPr>
      <w:sz w:val="20"/>
      <w:szCs w:val="20"/>
    </w:rPr>
  </w:style>
  <w:style w:type="character" w:customStyle="1" w:styleId="CommentTextChar">
    <w:name w:val="Comment Text Char"/>
    <w:basedOn w:val="DefaultParagraphFont"/>
    <w:link w:val="CommentText"/>
    <w:uiPriority w:val="99"/>
    <w:semiHidden/>
    <w:rsid w:val="004F4865"/>
    <w:rPr>
      <w:sz w:val="20"/>
      <w:szCs w:val="20"/>
    </w:rPr>
  </w:style>
  <w:style w:type="paragraph" w:styleId="CommentSubject">
    <w:name w:val="annotation subject"/>
    <w:basedOn w:val="CommentText"/>
    <w:next w:val="CommentText"/>
    <w:link w:val="CommentSubjectChar"/>
    <w:uiPriority w:val="99"/>
    <w:semiHidden/>
    <w:unhideWhenUsed/>
    <w:rsid w:val="004F4865"/>
    <w:rPr>
      <w:b/>
      <w:bCs/>
    </w:rPr>
  </w:style>
  <w:style w:type="character" w:customStyle="1" w:styleId="CommentSubjectChar">
    <w:name w:val="Comment Subject Char"/>
    <w:basedOn w:val="CommentTextChar"/>
    <w:link w:val="CommentSubject"/>
    <w:uiPriority w:val="99"/>
    <w:semiHidden/>
    <w:rsid w:val="004F48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1558">
      <w:bodyDiv w:val="1"/>
      <w:marLeft w:val="0"/>
      <w:marRight w:val="0"/>
      <w:marTop w:val="0"/>
      <w:marBottom w:val="0"/>
      <w:divBdr>
        <w:top w:val="none" w:sz="0" w:space="0" w:color="auto"/>
        <w:left w:val="none" w:sz="0" w:space="0" w:color="auto"/>
        <w:bottom w:val="none" w:sz="0" w:space="0" w:color="auto"/>
        <w:right w:val="none" w:sz="0" w:space="0" w:color="auto"/>
      </w:divBdr>
    </w:div>
    <w:div w:id="345331890">
      <w:bodyDiv w:val="1"/>
      <w:marLeft w:val="0"/>
      <w:marRight w:val="0"/>
      <w:marTop w:val="0"/>
      <w:marBottom w:val="0"/>
      <w:divBdr>
        <w:top w:val="none" w:sz="0" w:space="0" w:color="auto"/>
        <w:left w:val="none" w:sz="0" w:space="0" w:color="auto"/>
        <w:bottom w:val="none" w:sz="0" w:space="0" w:color="auto"/>
        <w:right w:val="none" w:sz="0" w:space="0" w:color="auto"/>
      </w:divBdr>
    </w:div>
    <w:div w:id="506407782">
      <w:bodyDiv w:val="1"/>
      <w:marLeft w:val="0"/>
      <w:marRight w:val="0"/>
      <w:marTop w:val="0"/>
      <w:marBottom w:val="0"/>
      <w:divBdr>
        <w:top w:val="none" w:sz="0" w:space="0" w:color="auto"/>
        <w:left w:val="none" w:sz="0" w:space="0" w:color="auto"/>
        <w:bottom w:val="none" w:sz="0" w:space="0" w:color="auto"/>
        <w:right w:val="none" w:sz="0" w:space="0" w:color="auto"/>
      </w:divBdr>
    </w:div>
    <w:div w:id="660472628">
      <w:bodyDiv w:val="1"/>
      <w:marLeft w:val="0"/>
      <w:marRight w:val="0"/>
      <w:marTop w:val="0"/>
      <w:marBottom w:val="0"/>
      <w:divBdr>
        <w:top w:val="none" w:sz="0" w:space="0" w:color="auto"/>
        <w:left w:val="none" w:sz="0" w:space="0" w:color="auto"/>
        <w:bottom w:val="none" w:sz="0" w:space="0" w:color="auto"/>
        <w:right w:val="none" w:sz="0" w:space="0" w:color="auto"/>
      </w:divBdr>
    </w:div>
    <w:div w:id="1047948155">
      <w:bodyDiv w:val="1"/>
      <w:marLeft w:val="0"/>
      <w:marRight w:val="0"/>
      <w:marTop w:val="0"/>
      <w:marBottom w:val="0"/>
      <w:divBdr>
        <w:top w:val="none" w:sz="0" w:space="0" w:color="auto"/>
        <w:left w:val="none" w:sz="0" w:space="0" w:color="auto"/>
        <w:bottom w:val="none" w:sz="0" w:space="0" w:color="auto"/>
        <w:right w:val="none" w:sz="0" w:space="0" w:color="auto"/>
      </w:divBdr>
    </w:div>
    <w:div w:id="1083180951">
      <w:bodyDiv w:val="1"/>
      <w:marLeft w:val="0"/>
      <w:marRight w:val="0"/>
      <w:marTop w:val="0"/>
      <w:marBottom w:val="0"/>
      <w:divBdr>
        <w:top w:val="none" w:sz="0" w:space="0" w:color="auto"/>
        <w:left w:val="none" w:sz="0" w:space="0" w:color="auto"/>
        <w:bottom w:val="none" w:sz="0" w:space="0" w:color="auto"/>
        <w:right w:val="none" w:sz="0" w:space="0" w:color="auto"/>
      </w:divBdr>
    </w:div>
    <w:div w:id="1315573952">
      <w:bodyDiv w:val="1"/>
      <w:marLeft w:val="0"/>
      <w:marRight w:val="0"/>
      <w:marTop w:val="0"/>
      <w:marBottom w:val="0"/>
      <w:divBdr>
        <w:top w:val="none" w:sz="0" w:space="0" w:color="auto"/>
        <w:left w:val="none" w:sz="0" w:space="0" w:color="auto"/>
        <w:bottom w:val="none" w:sz="0" w:space="0" w:color="auto"/>
        <w:right w:val="none" w:sz="0" w:space="0" w:color="auto"/>
      </w:divBdr>
    </w:div>
    <w:div w:id="1489320059">
      <w:bodyDiv w:val="1"/>
      <w:marLeft w:val="0"/>
      <w:marRight w:val="0"/>
      <w:marTop w:val="0"/>
      <w:marBottom w:val="0"/>
      <w:divBdr>
        <w:top w:val="none" w:sz="0" w:space="0" w:color="auto"/>
        <w:left w:val="none" w:sz="0" w:space="0" w:color="auto"/>
        <w:bottom w:val="none" w:sz="0" w:space="0" w:color="auto"/>
        <w:right w:val="none" w:sz="0" w:space="0" w:color="auto"/>
      </w:divBdr>
    </w:div>
    <w:div w:id="1630553420">
      <w:bodyDiv w:val="1"/>
      <w:marLeft w:val="0"/>
      <w:marRight w:val="0"/>
      <w:marTop w:val="0"/>
      <w:marBottom w:val="0"/>
      <w:divBdr>
        <w:top w:val="none" w:sz="0" w:space="0" w:color="auto"/>
        <w:left w:val="none" w:sz="0" w:space="0" w:color="auto"/>
        <w:bottom w:val="none" w:sz="0" w:space="0" w:color="auto"/>
        <w:right w:val="none" w:sz="0" w:space="0" w:color="auto"/>
      </w:divBdr>
    </w:div>
    <w:div w:id="1653292331">
      <w:bodyDiv w:val="1"/>
      <w:marLeft w:val="0"/>
      <w:marRight w:val="0"/>
      <w:marTop w:val="0"/>
      <w:marBottom w:val="0"/>
      <w:divBdr>
        <w:top w:val="none" w:sz="0" w:space="0" w:color="auto"/>
        <w:left w:val="none" w:sz="0" w:space="0" w:color="auto"/>
        <w:bottom w:val="none" w:sz="0" w:space="0" w:color="auto"/>
        <w:right w:val="none" w:sz="0" w:space="0" w:color="auto"/>
      </w:divBdr>
    </w:div>
    <w:div w:id="2083674124">
      <w:bodyDiv w:val="1"/>
      <w:marLeft w:val="0"/>
      <w:marRight w:val="0"/>
      <w:marTop w:val="0"/>
      <w:marBottom w:val="0"/>
      <w:divBdr>
        <w:top w:val="none" w:sz="0" w:space="0" w:color="auto"/>
        <w:left w:val="none" w:sz="0" w:space="0" w:color="auto"/>
        <w:bottom w:val="none" w:sz="0" w:space="0" w:color="auto"/>
        <w:right w:val="none" w:sz="0" w:space="0" w:color="auto"/>
      </w:divBdr>
    </w:div>
    <w:div w:id="210444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parcourshandicap.gouv.fr"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uvernement.fr/conseil-national-consultatif-des-personnes-handicapees-cncp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gouvernement.fr/conseil-national-consultatif-des-personnes-handicapees-cncph" TargetMode="External"/><Relationship Id="rId2" Type="http://schemas.openxmlformats.org/officeDocument/2006/relationships/hyperlink" Target="mailto:cih.secr@sante.gouv.fr"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gouvernement.fr/conseil-national-consultatif-des-personnes-handicapees-cncph" TargetMode="External"/><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STO~1\AppData\Local\Temp\Avis%20CNCPH_10_04_17_Nomenclature_ESMS-1.dotx" TargetMode="External"/></Relationships>
</file>

<file path=word/theme/theme1.xml><?xml version="1.0" encoding="utf-8"?>
<a:theme xmlns:a="http://schemas.openxmlformats.org/drawingml/2006/main" name="Participation et démocratie en sant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9249B2-7647-4CFF-9FFF-998895DEF9BD}">
  <ds:schemaRefs>
    <ds:schemaRef ds:uri="http://schemas.openxmlformats.org/officeDocument/2006/bibliography"/>
  </ds:schemaRefs>
</ds:datastoreItem>
</file>

<file path=customXml/itemProps2.xml><?xml version="1.0" encoding="utf-8"?>
<ds:datastoreItem xmlns:ds="http://schemas.openxmlformats.org/officeDocument/2006/customXml" ds:itemID="{94702861-52C2-4AAE-A55B-71C05453A30D}"/>
</file>

<file path=customXml/itemProps3.xml><?xml version="1.0" encoding="utf-8"?>
<ds:datastoreItem xmlns:ds="http://schemas.openxmlformats.org/officeDocument/2006/customXml" ds:itemID="{5397B6C2-E08C-40A6-8EA4-71BF7EB6FD7B}"/>
</file>

<file path=customXml/itemProps4.xml><?xml version="1.0" encoding="utf-8"?>
<ds:datastoreItem xmlns:ds="http://schemas.openxmlformats.org/officeDocument/2006/customXml" ds:itemID="{692B477F-6576-422E-AF44-2A4C8EB897CB}"/>
</file>

<file path=docProps/app.xml><?xml version="1.0" encoding="utf-8"?>
<Properties xmlns="http://schemas.openxmlformats.org/officeDocument/2006/extended-properties" xmlns:vt="http://schemas.openxmlformats.org/officeDocument/2006/docPropsVTypes">
  <Template>Avis CNCPH_10_04_17_Nomenclature_ESMS-1.dotx</Template>
  <TotalTime>1</TotalTime>
  <Pages>5</Pages>
  <Words>1884</Words>
  <Characters>10740</Characters>
  <Application>Microsoft Office Word</Application>
  <DocSecurity>4</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APF</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POSTOLLEC, Sophie</dc:creator>
  <cp:lastModifiedBy>Janna Iskakova</cp:lastModifiedBy>
  <cp:revision>2</cp:revision>
  <cp:lastPrinted>2017-05-04T15:04:00Z</cp:lastPrinted>
  <dcterms:created xsi:type="dcterms:W3CDTF">2021-03-15T17:48:00Z</dcterms:created>
  <dcterms:modified xsi:type="dcterms:W3CDTF">2021-03-15T17:48:00Z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