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C" w:rsidRDefault="00AA751C" w:rsidP="00AA751C">
      <w:pPr>
        <w:jc w:val="center"/>
        <w:rPr>
          <w:rFonts w:ascii="Arial" w:hAnsi="Arial" w:cs="Arial"/>
          <w:smallCap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097E005" wp14:editId="26862C18">
            <wp:extent cx="1672325" cy="742422"/>
            <wp:effectExtent l="0" t="0" r="4445" b="635"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A9EAC57-5B8B-4A27-8168-13707167E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A9EAC57-5B8B-4A27-8168-13707167E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52356" cy="7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1C" w:rsidRDefault="00AA751C" w:rsidP="00AA751C">
      <w:pPr>
        <w:jc w:val="center"/>
        <w:rPr>
          <w:rFonts w:ascii="Arial" w:hAnsi="Arial" w:cs="Arial"/>
          <w:smallCaps/>
          <w:sz w:val="24"/>
          <w:szCs w:val="24"/>
        </w:rPr>
      </w:pPr>
    </w:p>
    <w:p w:rsidR="00AA751C" w:rsidRPr="00AA751C" w:rsidRDefault="004B3614" w:rsidP="00AA751C">
      <w:pPr>
        <w:pStyle w:val="NoSpacing"/>
        <w:jc w:val="center"/>
        <w:rPr>
          <w:rFonts w:ascii="Arial" w:hAnsi="Arial" w:cs="Arial"/>
          <w:b/>
          <w:smallCaps/>
          <w:sz w:val="24"/>
          <w:szCs w:val="24"/>
        </w:rPr>
      </w:pPr>
      <w:r w:rsidRPr="00AA751C">
        <w:rPr>
          <w:rFonts w:ascii="Arial" w:hAnsi="Arial" w:cs="Arial"/>
          <w:b/>
          <w:smallCaps/>
          <w:sz w:val="24"/>
          <w:szCs w:val="24"/>
        </w:rPr>
        <w:t>Contribución de la Comisión Nacional de los Derechos Humanos de México,</w:t>
      </w:r>
    </w:p>
    <w:p w:rsidR="00AA751C" w:rsidRPr="00AA751C" w:rsidRDefault="004B3614" w:rsidP="00AA751C">
      <w:pPr>
        <w:pStyle w:val="NoSpacing"/>
        <w:jc w:val="center"/>
        <w:rPr>
          <w:rFonts w:ascii="Arial" w:hAnsi="Arial" w:cs="Arial"/>
          <w:b/>
          <w:smallCaps/>
          <w:sz w:val="24"/>
          <w:szCs w:val="24"/>
        </w:rPr>
      </w:pPr>
      <w:r w:rsidRPr="00AA751C">
        <w:rPr>
          <w:rFonts w:ascii="Arial" w:hAnsi="Arial" w:cs="Arial"/>
          <w:b/>
          <w:smallCaps/>
          <w:sz w:val="24"/>
          <w:szCs w:val="24"/>
        </w:rPr>
        <w:t xml:space="preserve">al proyecto de Observación General </w:t>
      </w:r>
      <w:r w:rsidR="00AA751C" w:rsidRPr="00AA751C">
        <w:rPr>
          <w:rFonts w:ascii="Arial" w:hAnsi="Arial" w:cs="Arial"/>
          <w:b/>
          <w:smallCaps/>
          <w:sz w:val="24"/>
          <w:szCs w:val="24"/>
        </w:rPr>
        <w:t xml:space="preserve">al </w:t>
      </w:r>
      <w:r w:rsidRPr="00AA751C">
        <w:rPr>
          <w:rFonts w:ascii="Arial" w:hAnsi="Arial" w:cs="Arial"/>
          <w:b/>
          <w:smallCaps/>
          <w:sz w:val="24"/>
          <w:szCs w:val="24"/>
        </w:rPr>
        <w:t xml:space="preserve">Artículo 27 de la </w:t>
      </w:r>
    </w:p>
    <w:p w:rsidR="00AA751C" w:rsidRPr="00AA751C" w:rsidRDefault="004B3614" w:rsidP="00AA751C">
      <w:pPr>
        <w:pStyle w:val="NoSpacing"/>
        <w:jc w:val="center"/>
        <w:rPr>
          <w:rFonts w:ascii="Arial" w:hAnsi="Arial" w:cs="Arial"/>
          <w:b/>
          <w:smallCaps/>
          <w:sz w:val="24"/>
          <w:szCs w:val="24"/>
        </w:rPr>
      </w:pPr>
      <w:r w:rsidRPr="00AA751C">
        <w:rPr>
          <w:rFonts w:ascii="Arial" w:hAnsi="Arial" w:cs="Arial"/>
          <w:b/>
          <w:smallCaps/>
          <w:sz w:val="24"/>
          <w:szCs w:val="24"/>
        </w:rPr>
        <w:t>Convención sobre los Derechos de las Personas con Discapacidad,</w:t>
      </w:r>
    </w:p>
    <w:p w:rsidR="004B3614" w:rsidRPr="00AA751C" w:rsidRDefault="004B3614" w:rsidP="00AA751C">
      <w:pPr>
        <w:pStyle w:val="NoSpacing"/>
        <w:jc w:val="center"/>
        <w:rPr>
          <w:rFonts w:ascii="Arial" w:hAnsi="Arial" w:cs="Arial"/>
          <w:b/>
          <w:smallCaps/>
          <w:sz w:val="24"/>
          <w:szCs w:val="24"/>
        </w:rPr>
      </w:pPr>
      <w:r w:rsidRPr="00AA751C">
        <w:rPr>
          <w:rFonts w:ascii="Arial" w:hAnsi="Arial" w:cs="Arial"/>
          <w:b/>
          <w:smallCaps/>
          <w:sz w:val="24"/>
          <w:szCs w:val="24"/>
        </w:rPr>
        <w:t xml:space="preserve">sobre el Derecho </w:t>
      </w:r>
      <w:r w:rsidR="00AA751C" w:rsidRPr="00AA751C">
        <w:rPr>
          <w:rFonts w:ascii="Arial" w:hAnsi="Arial" w:cs="Arial"/>
          <w:b/>
          <w:smallCaps/>
          <w:sz w:val="24"/>
          <w:szCs w:val="24"/>
        </w:rPr>
        <w:t>al trabajo</w:t>
      </w:r>
      <w:r w:rsidRPr="00AA751C">
        <w:rPr>
          <w:rFonts w:ascii="Arial" w:hAnsi="Arial" w:cs="Arial"/>
          <w:b/>
          <w:smallCaps/>
          <w:sz w:val="24"/>
          <w:szCs w:val="24"/>
        </w:rPr>
        <w:t xml:space="preserve"> y al empleo.</w:t>
      </w:r>
    </w:p>
    <w:p w:rsidR="00AA751C" w:rsidRDefault="00AA751C" w:rsidP="002B21F3">
      <w:pPr>
        <w:jc w:val="both"/>
        <w:rPr>
          <w:rFonts w:ascii="Arial" w:hAnsi="Arial" w:cs="Arial"/>
          <w:sz w:val="24"/>
          <w:szCs w:val="24"/>
        </w:rPr>
      </w:pP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En el sistema jurídico mexicano, la legislación contempla preceptos relativos</w:t>
      </w:r>
      <w:r>
        <w:rPr>
          <w:rFonts w:ascii="Arial" w:hAnsi="Arial" w:cs="Arial"/>
          <w:sz w:val="24"/>
          <w:szCs w:val="24"/>
        </w:rPr>
        <w:t xml:space="preserve"> al otorgamiento de estímulos fiscales para las personas físicas o morales que empleen a personas con discapacidad.</w:t>
      </w:r>
      <w:r w:rsidRPr="002B21F3">
        <w:rPr>
          <w:rFonts w:ascii="Arial" w:hAnsi="Arial" w:cs="Arial"/>
          <w:sz w:val="24"/>
          <w:szCs w:val="24"/>
        </w:rPr>
        <w:t xml:space="preserve"> 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Dichos estímulos consisten en deducciones fiscales de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hasta el 25% del salario efectivamente pagado a personas con discapacidad motriz,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mental; auditiva o de lenguaje. Sin embargo, esta Comisión Nacional, como parte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integrante desde el año 2015 hasta 2019, de los trabajos para el otorgamiento del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“Distintivo Empresa Incluyente Gilberto Rincón Gallardo” de la Secretaría del Trabajo y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Previsión Social, ha recibido en reiteradas ocasiones comentarios referentes a que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acceder a estos estímulos resulta administrativamente complicado, lo que no abona a la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contratación de personas con discapacidad.</w:t>
      </w:r>
    </w:p>
    <w:p w:rsidR="00F27E9A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Por lo anterior, los Estados deberían generar procesos simplificados de fácil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acceso para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 xml:space="preserve">incentivar la contratación de personas con discapacidad, </w:t>
      </w:r>
      <w:r w:rsidRPr="002B21F3">
        <w:rPr>
          <w:rFonts w:ascii="Arial" w:hAnsi="Arial" w:cs="Arial"/>
          <w:sz w:val="24"/>
          <w:szCs w:val="24"/>
        </w:rPr>
        <w:lastRenderedPageBreak/>
        <w:t>así como la creación de políticas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diferenciadas para que los estímulos sean proporcionales a los requerimientos de las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personas con discapacidad con mayores necesidades de apoyo.</w:t>
      </w:r>
    </w:p>
    <w:p w:rsid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Adicionalmente, el otorgamiento de estímulos fiscales diferenciados en razón de las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deficiencias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2B21F3">
        <w:rPr>
          <w:rFonts w:ascii="Arial" w:hAnsi="Arial" w:cs="Arial"/>
          <w:sz w:val="24"/>
          <w:szCs w:val="24"/>
        </w:rPr>
        <w:t>, pueden incrementar las prácticas de discriminación laboral hacia las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personas con discapacidad con altos requerimientos de apoyo. Es decir, la ley hace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clasificación de tipos de discapacidad que puede resultar discriminatoria para las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personas con discapacidad que no se encuentran dentro de esas categorías para que el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empleador acceda al beneficio fiscal.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Por otro lado, la citada ley establece para los empleadores, un porcentaje del 100% de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deducción de impuestos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2B21F3">
        <w:rPr>
          <w:rFonts w:ascii="Arial" w:hAnsi="Arial" w:cs="Arial"/>
          <w:sz w:val="24"/>
          <w:szCs w:val="24"/>
        </w:rPr>
        <w:t xml:space="preserve"> por el monto de las adaptaciones a instalaciones que impliquen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adiciones o mejoras al activo, siempre que tengan como finalidad facilitar la accesibilidad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 las personas con discapacidad. Sin embargo, tales deducciones pueden resultar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discriminatorias al establecer estímulos para acciones de infraestructura dejando de lado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adecuaciones con otras características que puedan responder al número de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requerimientos de apoyo de otras personas con discapacidad. Es decir, las deducciones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fiscales deben responder a las adecuaciones y requerimientos de apoyo que las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 xml:space="preserve">con discapacidad precisen, sin descuidar </w:t>
      </w:r>
      <w:r w:rsidRPr="002B21F3">
        <w:rPr>
          <w:rFonts w:ascii="Arial" w:hAnsi="Arial" w:cs="Arial"/>
          <w:sz w:val="24"/>
          <w:szCs w:val="24"/>
        </w:rPr>
        <w:lastRenderedPageBreak/>
        <w:t>el necesario diseño universal con que debe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contar una empresa para que todas las personas realicen con comodidad sus actividades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laborales.</w:t>
      </w:r>
    </w:p>
    <w:p w:rsid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Con relación a la formación para el trabajo y empleo de las personas con discapacidad,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este Programa publicó el año pasado el “Informe Especial sobre el Estado que guarda el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derecho a la educación de niñas, niños y adolescentes con discapacidad en México”,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mismo que concluyó:</w:t>
      </w:r>
    </w:p>
    <w:p w:rsidR="002B21F3" w:rsidRPr="002B21F3" w:rsidRDefault="002B21F3" w:rsidP="00AA751C">
      <w:pPr>
        <w:ind w:left="567" w:right="474"/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i/>
          <w:iCs/>
          <w:sz w:val="24"/>
          <w:szCs w:val="24"/>
        </w:rPr>
        <w:t>QUINTA. Se identificaron opciones limitadas de educación para la vida y a lo largo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B21F3">
        <w:rPr>
          <w:rFonts w:ascii="Arial" w:hAnsi="Arial" w:cs="Arial"/>
          <w:i/>
          <w:iCs/>
          <w:sz w:val="24"/>
          <w:szCs w:val="24"/>
        </w:rPr>
        <w:t>de la vida para las personas con discapacidad, de conformidad con lo dispuesto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B21F3">
        <w:rPr>
          <w:rFonts w:ascii="Arial" w:hAnsi="Arial" w:cs="Arial"/>
          <w:i/>
          <w:iCs/>
          <w:sz w:val="24"/>
          <w:szCs w:val="24"/>
        </w:rPr>
        <w:t>en el artículo 24 de la CDPD. La oferta educativa se limita a un número reducido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B21F3">
        <w:rPr>
          <w:rFonts w:ascii="Arial" w:hAnsi="Arial" w:cs="Arial"/>
          <w:i/>
          <w:iCs/>
          <w:sz w:val="24"/>
          <w:szCs w:val="24"/>
        </w:rPr>
        <w:t>de CAM laborales, y posterior a estos, no existen otras opciones de continuidad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B21F3">
        <w:rPr>
          <w:rFonts w:ascii="Arial" w:hAnsi="Arial" w:cs="Arial"/>
          <w:i/>
          <w:iCs/>
          <w:sz w:val="24"/>
          <w:szCs w:val="24"/>
        </w:rPr>
        <w:t>educativa enfocadas al fortalecimiento de competencias para su inserción 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B21F3">
        <w:rPr>
          <w:rFonts w:ascii="Arial" w:hAnsi="Arial" w:cs="Arial"/>
          <w:i/>
          <w:iCs/>
          <w:sz w:val="24"/>
          <w:szCs w:val="24"/>
        </w:rPr>
        <w:t>permanencia en el campo laboral.</w:t>
      </w:r>
      <w:r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4"/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De esta forma, el informe citado hace evidente la necesidad de vinculación entre la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formación de las de las PCD con el ámbito laboral.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En cuanto a las políticas públicas, el gobierno federal y los gobiernos locales ofrecen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opciones escasas y aisladas para el fomento del autoempleo y no se cuenta con datos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fehacientes sobre el número de personas con discapacidad beneficiarias que hayan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logrado la permanencia, continuidad y sostenibilidad de su actividad empresarial derivada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del apoyo gubernamental.</w:t>
      </w:r>
    </w:p>
    <w:p w:rsid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lastRenderedPageBreak/>
        <w:t>Por otra parte, si bien existen programas que fomentan la contratación de las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 discapacidad mediante estímulos que consisten en cubrir el salario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de la persona con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discapacidad durante tres meses, estos carecen de mecanismos de monitoreo,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evaluación y garantías para la permanencia y promoción de las mismas al interior de las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empresas. Por lo que se propone que los Estados Partes establezcan mecanismos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eficientes para que se garantice de manera efectiva la inserción en el trabajo y el empleo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en condiciones de igualdad con las demás.</w:t>
      </w:r>
    </w:p>
    <w:p w:rsidR="002B21F3" w:rsidRPr="00116D3E" w:rsidRDefault="002B21F3" w:rsidP="002B21F3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Prestaciones especiales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 xml:space="preserve">De conformidad con la sentencia del Caso Gonzales </w:t>
      </w:r>
      <w:proofErr w:type="spellStart"/>
      <w:r w:rsidRPr="002B21F3">
        <w:rPr>
          <w:rFonts w:ascii="Arial" w:hAnsi="Arial" w:cs="Arial"/>
          <w:sz w:val="24"/>
          <w:szCs w:val="24"/>
        </w:rPr>
        <w:t>Lluy</w:t>
      </w:r>
      <w:proofErr w:type="spellEnd"/>
      <w:r w:rsidRPr="002B21F3">
        <w:rPr>
          <w:rFonts w:ascii="Arial" w:hAnsi="Arial" w:cs="Arial"/>
          <w:sz w:val="24"/>
          <w:szCs w:val="24"/>
        </w:rPr>
        <w:t xml:space="preserve"> y Otros Vs. Ecuador de la Corte</w:t>
      </w:r>
      <w:r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Interamericana de Derechos Humanos, los Estados Parte deben reforzar las medidas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para cumplimentar las obligaciones especiales de acuerdo con el grado de vulnerabilidad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y requerimientos que tienen las personas. En materia laboral, los Estados Parte deben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establecer medidas y mecanismos específicos para evitar la discriminación indirecta en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el ámbito laboral en contra de madres, padres o familiares de personas con discapacidad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que adicionalmente tienen el papel de cuidadoras o cuidadores primarios. Estas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prestaciones pueden ser ajustes en la jornada laboral, subsidios para apoyos específicos,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atención focalizada en la salud, seguridad e higiene, provisión de ajustes razonables,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incluida la posibilidad de llevar a cabo jornadas laborales a distancia, entre otras.</w:t>
      </w:r>
    </w:p>
    <w:p w:rsidR="002B21F3" w:rsidRPr="00116D3E" w:rsidRDefault="002B21F3" w:rsidP="002B21F3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Medidas particulares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Los Estados Parte deberán asegurar a las personas con discapacidad formación y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capacitación especializada para el desarrollo adecuado de su actividad de acuerdo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sus requerimientos, así como la provisión de herramientas de todo tipo para esos fines,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 xml:space="preserve">de conformidad con la legislación </w:t>
      </w:r>
      <w:r w:rsidRPr="002B21F3">
        <w:rPr>
          <w:rFonts w:ascii="Arial" w:hAnsi="Arial" w:cs="Arial"/>
          <w:sz w:val="24"/>
          <w:szCs w:val="24"/>
        </w:rPr>
        <w:lastRenderedPageBreak/>
        <w:t>aplicable, lo cual no sucede en México, ya que la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legislación respectiva no se encuentra armonizada en su totalidad con el art. 27 de la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CDPD.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En materia de ajustes razonables, se considera necesaria la creación de fondos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especiales para la provisión de éstos, dirigidos a fortalecer la contratación de las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personas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 discapacidad por las pequeñas y medianas empresas.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En este ámbito, se considera necesario que los Estados Partes modifiquen la legislación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para que permita contar con parámetros para el otorgamiento de los ajustes razonables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y la justificación para la denegación de los mismos en un caso concreto.</w:t>
      </w: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En México, la práctica recurrente consiste en que tras un accidente de trabajo que derive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en discapacidad, la persona busca su inhabilitación y pensión inmediata. De conformidad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con el artículo 26 de la CDPD, se considera importante que en el ámbito del trabajo y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empleo se adopten medidas específicas para que el Estado asegure a las personas con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discapacidad una rehabilitación laboral efectiva que le permita desempeñar sus funciones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que venía desarrollando antes del evento incapacitante, y de no ser posible ser ubicada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en un puesto equivalente en sueldo y prestaciones laborales. Adicionalmente debe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dotársele de las herramientas, tecnologías o dispositivos, incluida la asistencia personal,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que le permita recuperar su autonomía e independencia para el desarrollo de las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actividades.</w:t>
      </w:r>
    </w:p>
    <w:p w:rsidR="002B21F3" w:rsidRPr="00116D3E" w:rsidRDefault="002B21F3" w:rsidP="002B21F3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Teletrabajo</w:t>
      </w:r>
    </w:p>
    <w:p w:rsidR="002B21F3" w:rsidRDefault="002B21F3" w:rsidP="00116D3E">
      <w:pPr>
        <w:jc w:val="both"/>
        <w:rPr>
          <w:rFonts w:ascii="Arial" w:hAnsi="Arial" w:cs="Arial"/>
          <w:sz w:val="24"/>
          <w:szCs w:val="24"/>
        </w:rPr>
      </w:pPr>
      <w:r w:rsidRPr="002B21F3">
        <w:rPr>
          <w:rFonts w:ascii="Arial" w:hAnsi="Arial" w:cs="Arial"/>
          <w:sz w:val="24"/>
          <w:szCs w:val="24"/>
        </w:rPr>
        <w:t>El teletrabajo no se encuentra debidamente regulado en México para las personas con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Pr="002B21F3">
        <w:rPr>
          <w:rFonts w:ascii="Arial" w:hAnsi="Arial" w:cs="Arial"/>
          <w:sz w:val="24"/>
          <w:szCs w:val="24"/>
        </w:rPr>
        <w:t>discapacidad, y la normatividad emitida recientemente, no abona a contemplar de forma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="00116D3E" w:rsidRPr="00116D3E">
        <w:rPr>
          <w:rFonts w:ascii="Arial" w:hAnsi="Arial" w:cs="Arial"/>
          <w:sz w:val="24"/>
          <w:szCs w:val="24"/>
        </w:rPr>
        <w:t>inclusiva a las personas con discapacidad en esta modalidad laboral. Considerando que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="00116D3E" w:rsidRPr="00116D3E">
        <w:rPr>
          <w:rFonts w:ascii="Arial" w:hAnsi="Arial" w:cs="Arial"/>
          <w:sz w:val="24"/>
          <w:szCs w:val="24"/>
        </w:rPr>
        <w:t xml:space="preserve">el Comité ya ha mencionado </w:t>
      </w:r>
      <w:r w:rsidR="00116D3E" w:rsidRPr="00116D3E">
        <w:rPr>
          <w:rFonts w:ascii="Arial" w:hAnsi="Arial" w:cs="Arial"/>
          <w:sz w:val="24"/>
          <w:szCs w:val="24"/>
        </w:rPr>
        <w:lastRenderedPageBreak/>
        <w:t>que este esquema será una práctica constante en el futuro,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="00116D3E" w:rsidRPr="00116D3E">
        <w:rPr>
          <w:rFonts w:ascii="Arial" w:hAnsi="Arial" w:cs="Arial"/>
          <w:sz w:val="24"/>
          <w:szCs w:val="24"/>
        </w:rPr>
        <w:t>se hace la atenta solicitud de proporcionar más criterios robustos que permitan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="00116D3E" w:rsidRPr="00116D3E">
        <w:rPr>
          <w:rFonts w:ascii="Arial" w:hAnsi="Arial" w:cs="Arial"/>
          <w:sz w:val="24"/>
          <w:szCs w:val="24"/>
        </w:rPr>
        <w:t>modificaciones legislativas congruentes con los principios y preceptos establecidos en el</w:t>
      </w:r>
      <w:r w:rsidR="00116D3E">
        <w:rPr>
          <w:rFonts w:ascii="Arial" w:hAnsi="Arial" w:cs="Arial"/>
          <w:sz w:val="24"/>
          <w:szCs w:val="24"/>
        </w:rPr>
        <w:t xml:space="preserve"> </w:t>
      </w:r>
      <w:r w:rsidR="00116D3E" w:rsidRPr="00116D3E">
        <w:rPr>
          <w:rFonts w:ascii="Arial" w:hAnsi="Arial" w:cs="Arial"/>
          <w:sz w:val="24"/>
          <w:szCs w:val="24"/>
        </w:rPr>
        <w:t>artículo 27.</w:t>
      </w:r>
    </w:p>
    <w:p w:rsidR="00116D3E" w:rsidRPr="00116D3E" w:rsidRDefault="00116D3E" w:rsidP="00116D3E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Accesibilidad y ajustes razonables.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El Informe Especial sobre el derecho a la accesibilidad de las personas con discapacidad,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presentado por esta Comisión Nacional en 2019, señala la falta de armonización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legislativa en México y la confusión de conceptos entre accesibilidad y ajustes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razonables. Si bien el Comité ha elaborado un Comentario General a este respecto para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orientar a los Estados Parte, este organismo nacional encontró que las disposiciones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jurídicas en México no son claras y se confunden los términos de accesibilidad, diseño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universal y ajustes razonables, lo que conlleva a una falta de claridad en la normatividad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dirigida a la accesibilidad en centros de trabajo.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Se da preferencia al establecimiento de ajustes razonables, sin hacer diferencia entre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solicitudes individuales de los mismos, o dirigidos a colectivos de personas con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discapacidad. Esta Comisión Nacional considera importante que el Comité señale la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importancia en primer lugar, de crear entornos laborales accesibles, para todas las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personas que laboren en los mismos, sin dejar de lado que los casos excepcionales sean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objeto de ajustes razonables.</w:t>
      </w:r>
    </w:p>
    <w:p w:rsidR="00116D3E" w:rsidRPr="00116D3E" w:rsidRDefault="00116D3E" w:rsidP="00116D3E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Promoción del empleo</w:t>
      </w:r>
    </w:p>
    <w:p w:rsid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El Informe Especial sobre el estado que guarda los derechos humanos de las personas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con discapacidad en las entidades federativas del país señaló que, si bien existe un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programa federal de promoción del empleo para personas con discapacidad, en el caso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 xml:space="preserve">de México, siendo un estado federal, </w:t>
      </w:r>
      <w:r w:rsidRPr="00116D3E">
        <w:rPr>
          <w:rFonts w:ascii="Arial" w:hAnsi="Arial" w:cs="Arial"/>
          <w:sz w:val="24"/>
          <w:szCs w:val="24"/>
        </w:rPr>
        <w:lastRenderedPageBreak/>
        <w:t>es necesario fortalecer iniciativas locales para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promover el empleo de las personas con discapacidad, con base en las opciones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disponibles en cada región del país, así como la sistematización de los esfuerzos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realizados a la fecha que permita evaluar el éxito o mejoras necesarias de los programas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y políticas públicas</w:t>
      </w:r>
      <w:r>
        <w:rPr>
          <w:rFonts w:ascii="Arial" w:hAnsi="Arial" w:cs="Arial"/>
          <w:sz w:val="24"/>
          <w:szCs w:val="24"/>
        </w:rPr>
        <w:t>.</w:t>
      </w:r>
    </w:p>
    <w:p w:rsidR="00116D3E" w:rsidRPr="00116D3E" w:rsidRDefault="00116D3E" w:rsidP="00116D3E">
      <w:pPr>
        <w:jc w:val="both"/>
        <w:rPr>
          <w:rFonts w:ascii="Arial" w:hAnsi="Arial" w:cs="Arial"/>
          <w:b/>
          <w:sz w:val="24"/>
          <w:szCs w:val="24"/>
        </w:rPr>
      </w:pPr>
      <w:r w:rsidRPr="00116D3E">
        <w:rPr>
          <w:rFonts w:ascii="Arial" w:hAnsi="Arial" w:cs="Arial"/>
          <w:b/>
          <w:sz w:val="24"/>
          <w:szCs w:val="24"/>
        </w:rPr>
        <w:t>Relación con otras disposiciones de la CDPD.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La Comisión Nacional de los Derechos Humanos desarrolló y difundió desde septiembre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de 2018 la Guía con recomendaciones para considerar a las personas con discapacidad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en protocolos de protección civil – Elaboración de un Plan Personal de Evacuación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Emergencia, ya que diversas instituciones del Estado y de la iniciativa privada señalaron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la falta de criterios a este respecto, aunado a la ausencia de una normatividad clara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emitida por las autoridades correspondientes.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Se hace notar al Comité que la República Mexicana es un territorio expuesto a diversos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fenómenos naturales que pueden representar riesgos de desastres como terremotos,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huracanes, tsunamis, deslaves, incluyendo además riesgos provocados por el hombre.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Por esta razón, en coordinación con organizaciones de la sociedad civil y la Coordinación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Nacional de Protección Civil, durante 2019 y 2020 se presentó la mencionada guía y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capacitó en el tema de elaboración de planes personales a primeros respondientes,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autoridades, personas con discapacidad y sociedad en general, en diversos estados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la República.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Este trabajo de difusión de más de dos años ha evidenciado que la falta de legislación,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políticas y estándares que permitan al Estado garantizar que las personas con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discapacidad contarán con los mismos derechos de ser evacuados ante una emergencia.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lastRenderedPageBreak/>
        <w:t>Tanto empresas, como profesionales de la gestión de riegos, así como autoridades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estatales y municipales, comentaron a esta Comisión Nacional la necesidad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contar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con más información y capacitación sobre la gestión de riesgos inclusiva y dirigida a los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centros laborales, ya que señalaron expresamente que existe temor de empresas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distinto tamaño y giros, a contratar a personas con discapacidad, al no tener capacitación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ni normatividad suficiente en esta materia.</w:t>
      </w:r>
    </w:p>
    <w:p w:rsidR="00116D3E" w:rsidRP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Esta Comisión Nacional desconoce si esta situación es exclusiva del Estado mexicano,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o si puede presentarse en otros países o regiones expuestos a riesgos de origen natural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o provocados por el hombre. Durante la investigación hecha para el desarrollo de la guía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arriba señalada, se encontró poca información al respecto.</w:t>
      </w:r>
    </w:p>
    <w:p w:rsid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  <w:r w:rsidRPr="00116D3E">
        <w:rPr>
          <w:rFonts w:ascii="Arial" w:hAnsi="Arial" w:cs="Arial"/>
          <w:sz w:val="24"/>
          <w:szCs w:val="24"/>
        </w:rPr>
        <w:t>Si bien existen estudios y documentos sobre la gestión inclusiva de riesgos de desastres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y emergencias humanitarias, se enfocan a la atención en comunidades aisladas, o por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riesgos naturales específicos, pero no hay suficiente información para la generación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legislación nacional o estándares, o que permitan determinar la relación entre la falta de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oportunidades laborales, originada por la falta de protocolos apropiados de evacuación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de emergencia, por lo que hacemos un atento llamado al Comité a proporcionar mayor</w:t>
      </w:r>
      <w:r>
        <w:rPr>
          <w:rFonts w:ascii="Arial" w:hAnsi="Arial" w:cs="Arial"/>
          <w:sz w:val="24"/>
          <w:szCs w:val="24"/>
        </w:rPr>
        <w:t xml:space="preserve"> </w:t>
      </w:r>
      <w:r w:rsidRPr="00116D3E">
        <w:rPr>
          <w:rFonts w:ascii="Arial" w:hAnsi="Arial" w:cs="Arial"/>
          <w:sz w:val="24"/>
          <w:szCs w:val="24"/>
        </w:rPr>
        <w:t>información a este respecto.</w:t>
      </w:r>
    </w:p>
    <w:p w:rsid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</w:p>
    <w:p w:rsidR="00116D3E" w:rsidRDefault="00116D3E" w:rsidP="00116D3E">
      <w:pPr>
        <w:jc w:val="both"/>
        <w:rPr>
          <w:rFonts w:ascii="Arial" w:hAnsi="Arial" w:cs="Arial"/>
          <w:sz w:val="24"/>
          <w:szCs w:val="24"/>
        </w:rPr>
      </w:pPr>
    </w:p>
    <w:p w:rsidR="002B21F3" w:rsidRPr="002B21F3" w:rsidRDefault="002B21F3" w:rsidP="002B21F3">
      <w:pPr>
        <w:jc w:val="both"/>
        <w:rPr>
          <w:rFonts w:ascii="Arial" w:hAnsi="Arial" w:cs="Arial"/>
          <w:sz w:val="24"/>
          <w:szCs w:val="24"/>
        </w:rPr>
      </w:pPr>
    </w:p>
    <w:sectPr w:rsidR="002B21F3" w:rsidRPr="002B2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B9" w:rsidRDefault="00465AB9" w:rsidP="002B21F3">
      <w:pPr>
        <w:spacing w:after="0" w:line="240" w:lineRule="auto"/>
      </w:pPr>
      <w:r>
        <w:separator/>
      </w:r>
    </w:p>
  </w:endnote>
  <w:endnote w:type="continuationSeparator" w:id="0">
    <w:p w:rsidR="00465AB9" w:rsidRDefault="00465AB9" w:rsidP="002B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B9" w:rsidRDefault="00465AB9" w:rsidP="002B21F3">
      <w:pPr>
        <w:spacing w:after="0" w:line="240" w:lineRule="auto"/>
      </w:pPr>
      <w:r>
        <w:separator/>
      </w:r>
    </w:p>
  </w:footnote>
  <w:footnote w:type="continuationSeparator" w:id="0">
    <w:p w:rsidR="00465AB9" w:rsidRDefault="00465AB9" w:rsidP="002B21F3">
      <w:pPr>
        <w:spacing w:after="0" w:line="240" w:lineRule="auto"/>
      </w:pPr>
      <w:r>
        <w:continuationSeparator/>
      </w:r>
    </w:p>
  </w:footnote>
  <w:footnote w:id="1">
    <w:p w:rsidR="002B21F3" w:rsidRDefault="002B21F3" w:rsidP="002B21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MT" w:hAnsi="ArialMT" w:cs="ArialMT"/>
          <w:color w:val="000000"/>
          <w:sz w:val="13"/>
          <w:szCs w:val="13"/>
        </w:rPr>
        <w:t xml:space="preserve">1 </w:t>
      </w:r>
      <w:r>
        <w:rPr>
          <w:rFonts w:ascii="ArialMT" w:hAnsi="ArialMT" w:cs="ArialMT"/>
          <w:color w:val="000000"/>
          <w:sz w:val="20"/>
          <w:szCs w:val="20"/>
        </w:rPr>
        <w:t>Artículo 186 de la Ley del Impuesto sobre la Renta, disponible en:</w:t>
      </w:r>
    </w:p>
    <w:p w:rsidR="002B21F3" w:rsidRDefault="002B21F3" w:rsidP="002B21F3">
      <w:pPr>
        <w:pStyle w:val="FootnoteText"/>
        <w:jc w:val="both"/>
      </w:pPr>
      <w:r>
        <w:rPr>
          <w:rFonts w:ascii="ArialMT" w:hAnsi="ArialMT" w:cs="ArialMT"/>
          <w:color w:val="0000FF"/>
        </w:rPr>
        <w:t>http://www.diputados.gob.mx/LeyesBiblio/pdf/LISR_081220.pdf</w:t>
      </w:r>
    </w:p>
  </w:footnote>
  <w:footnote w:id="2">
    <w:p w:rsidR="002B21F3" w:rsidRDefault="002B21F3" w:rsidP="002B21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MT" w:hAnsi="ArialMT" w:cs="ArialMT"/>
          <w:sz w:val="20"/>
          <w:szCs w:val="20"/>
        </w:rPr>
        <w:t>Se contempla una deducción fiscal para los empleadores del costo del 100% para adaptaciones que se realicen a instalaciones que impliquen adiciones o mejoras al activo fijo, siempre que dichas adaptaciones tengan como finalidad facilitar a las personas con discapacidad en términos de la Fracción XII del artículo 34 de la Ley del Impuesto sobre la Renta.</w:t>
      </w:r>
    </w:p>
    <w:p w:rsidR="002B21F3" w:rsidRDefault="002B21F3" w:rsidP="002B21F3">
      <w:pPr>
        <w:pStyle w:val="FootnoteText"/>
        <w:jc w:val="both"/>
      </w:pPr>
      <w:r>
        <w:rPr>
          <w:rFonts w:ascii="ArialMT" w:hAnsi="ArialMT" w:cs="ArialMT"/>
        </w:rPr>
        <w:t>a que se refiere el artículo 186 de esta Ley, el acceso y uso de las instalaciones del contribuyente.</w:t>
      </w:r>
    </w:p>
  </w:footnote>
  <w:footnote w:id="3">
    <w:p w:rsidR="002B21F3" w:rsidRDefault="002B21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MT" w:hAnsi="ArialMT" w:cs="ArialMT"/>
        </w:rPr>
        <w:t>Fracción XII del artículo 34 de la L</w:t>
      </w:r>
      <w:bookmarkStart w:id="0" w:name="_GoBack"/>
      <w:bookmarkEnd w:id="0"/>
      <w:r>
        <w:rPr>
          <w:rFonts w:ascii="ArialMT" w:hAnsi="ArialMT" w:cs="ArialMT"/>
        </w:rPr>
        <w:t>ey del Impuesto sobre la Renta.</w:t>
      </w:r>
    </w:p>
  </w:footnote>
  <w:footnote w:id="4">
    <w:p w:rsidR="002B21F3" w:rsidRDefault="002B21F3" w:rsidP="002B21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Informe Especial sobre el Estado que guarda el derecho a la educación de niñas, niños y adolescentes con discapacidad en México, disponible en: </w:t>
      </w:r>
      <w:r>
        <w:rPr>
          <w:rFonts w:ascii="ArialMT" w:hAnsi="ArialMT" w:cs="ArialMT"/>
          <w:color w:val="0000FF"/>
          <w:sz w:val="20"/>
          <w:szCs w:val="20"/>
        </w:rPr>
        <w:t>https://www.cndh.org.mx/sites/default/files/documentos/2020-09/IE-estado-educacion-ninez-discapacidad.pdf</w:t>
      </w:r>
    </w:p>
    <w:p w:rsidR="002B21F3" w:rsidRDefault="002B21F3" w:rsidP="002B21F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F3"/>
    <w:rsid w:val="00116D3E"/>
    <w:rsid w:val="002B21F3"/>
    <w:rsid w:val="00465AB9"/>
    <w:rsid w:val="004B3614"/>
    <w:rsid w:val="00AA751C"/>
    <w:rsid w:val="00CC02B5"/>
    <w:rsid w:val="00CE6519"/>
    <w:rsid w:val="00E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6142-421C-4B22-8310-AF636A0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2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1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1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21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F132B-000B-4738-8E56-558EC2A16E61}"/>
</file>

<file path=customXml/itemProps2.xml><?xml version="1.0" encoding="utf-8"?>
<ds:datastoreItem xmlns:ds="http://schemas.openxmlformats.org/officeDocument/2006/customXml" ds:itemID="{9607046E-0044-46EB-9422-ED225F6FCD65}"/>
</file>

<file path=customXml/itemProps3.xml><?xml version="1.0" encoding="utf-8"?>
<ds:datastoreItem xmlns:ds="http://schemas.openxmlformats.org/officeDocument/2006/customXml" ds:itemID="{0B428521-A363-4F46-8C46-08ED4A683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1801</Words>
  <Characters>10268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Comisión Nacional de los Derechos Humanos México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Janna Iskakova</cp:lastModifiedBy>
  <cp:revision>2</cp:revision>
  <dcterms:created xsi:type="dcterms:W3CDTF">2021-03-12T08:32:00Z</dcterms:created>
  <dcterms:modified xsi:type="dcterms:W3CDTF">2021-03-12T08:32:00Z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