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7ED" w14:textId="3EEFD7DE" w:rsidR="007918D5" w:rsidRPr="00265DE9" w:rsidRDefault="007918D5" w:rsidP="009722F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0072C6"/>
          <w:sz w:val="35"/>
          <w:szCs w:val="35"/>
          <w:lang w:eastAsia="en-GB"/>
        </w:rPr>
      </w:pPr>
      <w:r w:rsidRPr="00265DE9">
        <w:rPr>
          <w:rFonts w:ascii="Verdana" w:eastAsia="Times New Roman" w:hAnsi="Verdana" w:cs="Times New Roman"/>
          <w:b/>
          <w:color w:val="0072C6"/>
          <w:sz w:val="35"/>
          <w:szCs w:val="35"/>
          <w:lang w:eastAsia="en-GB"/>
        </w:rPr>
        <w:t xml:space="preserve">Committee on the Rights of the Child </w:t>
      </w:r>
    </w:p>
    <w:p w14:paraId="491DEA2E" w14:textId="39FD8E46" w:rsidR="007918D5" w:rsidRPr="00265DE9" w:rsidRDefault="007918D5" w:rsidP="009722F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0072C6"/>
          <w:sz w:val="28"/>
          <w:szCs w:val="28"/>
          <w:lang w:eastAsia="en-GB"/>
        </w:rPr>
      </w:pPr>
      <w:r w:rsidRPr="00265DE9">
        <w:rPr>
          <w:rFonts w:ascii="Verdana" w:eastAsia="Times New Roman" w:hAnsi="Verdana" w:cs="Times New Roman"/>
          <w:b/>
          <w:color w:val="0072C6"/>
          <w:sz w:val="28"/>
          <w:szCs w:val="28"/>
          <w:lang w:eastAsia="en-GB"/>
        </w:rPr>
        <w:t xml:space="preserve">Simplified Reporting Procedure </w:t>
      </w:r>
    </w:p>
    <w:p w14:paraId="1BADD190" w14:textId="3F094B37" w:rsidR="007918D5" w:rsidRPr="00691697" w:rsidRDefault="007918D5" w:rsidP="009722F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0072C6"/>
          <w:sz w:val="24"/>
          <w:szCs w:val="24"/>
          <w:lang w:eastAsia="en-GB"/>
        </w:rPr>
      </w:pPr>
      <w:r w:rsidRPr="00691697">
        <w:rPr>
          <w:rFonts w:ascii="Verdana" w:eastAsia="Times New Roman" w:hAnsi="Verdana" w:cs="Times New Roman"/>
          <w:b/>
          <w:color w:val="0072C6"/>
          <w:sz w:val="24"/>
          <w:szCs w:val="24"/>
          <w:lang w:eastAsia="en-GB"/>
        </w:rPr>
        <w:t xml:space="preserve">Information note for States parties </w:t>
      </w:r>
    </w:p>
    <w:p w14:paraId="764D3589" w14:textId="634CDADF" w:rsidR="007918D5" w:rsidRDefault="007918D5" w:rsidP="0069169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proofErr w:type="gramStart"/>
      <w:r w:rsidRPr="007918D5">
        <w:rPr>
          <w:sz w:val="24"/>
          <w:szCs w:val="24"/>
        </w:rPr>
        <w:t>In 2014, the United Nations General Assembly adopted resolution A/RES/68/268 entitled “strengthening and enhancing the effective functioning of the human rights treaty body system” in which it encourages the human rights treaty bodies and States parties to use a simplified reporting procedure to facilitate the preparation of States parties’ reports and the constructive dialogue on the implementation of their treaty obligations.</w:t>
      </w:r>
      <w:proofErr w:type="gramEnd"/>
      <w:r w:rsidRPr="007918D5">
        <w:rPr>
          <w:sz w:val="24"/>
          <w:szCs w:val="24"/>
        </w:rPr>
        <w:t xml:space="preserve"> </w:t>
      </w:r>
    </w:p>
    <w:p w14:paraId="0B0BB9C4" w14:textId="5F945A3B" w:rsidR="007918D5" w:rsidRDefault="007918D5" w:rsidP="0069169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7918D5">
        <w:rPr>
          <w:sz w:val="24"/>
          <w:szCs w:val="24"/>
        </w:rPr>
        <w:t xml:space="preserve">Differently from the standard reporting procedure, under the </w:t>
      </w:r>
      <w:r w:rsidR="008C1549">
        <w:rPr>
          <w:sz w:val="24"/>
          <w:szCs w:val="24"/>
        </w:rPr>
        <w:t>simplified reporting procedure</w:t>
      </w:r>
      <w:r w:rsidRPr="007918D5">
        <w:rPr>
          <w:sz w:val="24"/>
          <w:szCs w:val="24"/>
        </w:rPr>
        <w:t xml:space="preserve"> States parties are no longer required to submit to the Committee</w:t>
      </w:r>
      <w:r w:rsidR="00BB3F23">
        <w:rPr>
          <w:sz w:val="24"/>
          <w:szCs w:val="24"/>
        </w:rPr>
        <w:t xml:space="preserve"> on the Rights of the Child (the Committee)</w:t>
      </w:r>
      <w:r w:rsidRPr="007918D5">
        <w:rPr>
          <w:sz w:val="24"/>
          <w:szCs w:val="24"/>
        </w:rPr>
        <w:t xml:space="preserve"> </w:t>
      </w:r>
      <w:r w:rsidR="008C1549">
        <w:rPr>
          <w:sz w:val="24"/>
          <w:szCs w:val="24"/>
        </w:rPr>
        <w:t xml:space="preserve">both </w:t>
      </w:r>
      <w:r w:rsidRPr="007918D5">
        <w:rPr>
          <w:sz w:val="24"/>
          <w:szCs w:val="24"/>
        </w:rPr>
        <w:t>a report and written replies to a list of issues</w:t>
      </w:r>
      <w:r w:rsidR="008C1549">
        <w:rPr>
          <w:sz w:val="24"/>
          <w:szCs w:val="24"/>
        </w:rPr>
        <w:t xml:space="preserve">. </w:t>
      </w:r>
    </w:p>
    <w:p w14:paraId="5BE24461" w14:textId="5D223869" w:rsidR="007918D5" w:rsidRPr="007918D5" w:rsidRDefault="008C1549" w:rsidP="0069169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Instead, u</w:t>
      </w:r>
      <w:r w:rsidR="007918D5" w:rsidRPr="007918D5">
        <w:rPr>
          <w:sz w:val="24"/>
          <w:szCs w:val="24"/>
        </w:rPr>
        <w:t xml:space="preserve">nder the simplified reporting procedure, the Committee sends the State party a request for specific information, known as List of Issues Prior to Reporting (LOIPR) containing up to 30 questions. </w:t>
      </w:r>
    </w:p>
    <w:p w14:paraId="12663594" w14:textId="354E0E99" w:rsidR="007918D5" w:rsidRDefault="007918D5" w:rsidP="0069169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7918D5">
        <w:rPr>
          <w:sz w:val="24"/>
          <w:szCs w:val="24"/>
        </w:rPr>
        <w:t>The State party’s replies to the LOIPR constitute the State party’s report to the Committee</w:t>
      </w:r>
      <w:r w:rsidR="00BB3F23">
        <w:rPr>
          <w:sz w:val="24"/>
          <w:szCs w:val="24"/>
        </w:rPr>
        <w:t>.</w:t>
      </w:r>
      <w:r w:rsidR="00BB3F23" w:rsidRPr="00BB3F23">
        <w:rPr>
          <w:sz w:val="24"/>
          <w:szCs w:val="24"/>
        </w:rPr>
        <w:t xml:space="preserve"> </w:t>
      </w:r>
      <w:r w:rsidR="00BB3F23">
        <w:rPr>
          <w:sz w:val="24"/>
          <w:szCs w:val="24"/>
        </w:rPr>
        <w:t xml:space="preserve">As under the standard </w:t>
      </w:r>
      <w:r w:rsidR="008C1549">
        <w:rPr>
          <w:sz w:val="24"/>
          <w:szCs w:val="24"/>
        </w:rPr>
        <w:t xml:space="preserve">reporting </w:t>
      </w:r>
      <w:r w:rsidR="00BB3F23">
        <w:rPr>
          <w:sz w:val="24"/>
          <w:szCs w:val="24"/>
        </w:rPr>
        <w:t>procedure</w:t>
      </w:r>
      <w:r w:rsidRPr="007918D5">
        <w:rPr>
          <w:sz w:val="24"/>
          <w:szCs w:val="24"/>
        </w:rPr>
        <w:t xml:space="preserve">, the word limit </w:t>
      </w:r>
      <w:r w:rsidR="00BB3F23" w:rsidRPr="007918D5">
        <w:rPr>
          <w:sz w:val="24"/>
          <w:szCs w:val="24"/>
        </w:rPr>
        <w:t>for the</w:t>
      </w:r>
      <w:r w:rsidR="008C1549">
        <w:rPr>
          <w:sz w:val="24"/>
          <w:szCs w:val="24"/>
        </w:rPr>
        <w:t xml:space="preserve"> State party’s</w:t>
      </w:r>
      <w:r w:rsidR="00BB3F23" w:rsidRPr="007918D5">
        <w:rPr>
          <w:sz w:val="24"/>
          <w:szCs w:val="24"/>
        </w:rPr>
        <w:t xml:space="preserve"> report </w:t>
      </w:r>
      <w:r w:rsidR="00BB3F23">
        <w:rPr>
          <w:sz w:val="24"/>
          <w:szCs w:val="24"/>
        </w:rPr>
        <w:t xml:space="preserve">is 21.200 words. </w:t>
      </w:r>
    </w:p>
    <w:p w14:paraId="7622174D" w14:textId="3957B896" w:rsidR="00926307" w:rsidRDefault="007918D5" w:rsidP="0069169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7918D5">
        <w:rPr>
          <w:sz w:val="24"/>
          <w:szCs w:val="24"/>
        </w:rPr>
        <w:t>The LOIPR asks the State party about measures and developments relating to the i</w:t>
      </w:r>
      <w:r w:rsidR="008C1549">
        <w:rPr>
          <w:sz w:val="24"/>
          <w:szCs w:val="24"/>
        </w:rPr>
        <w:t>mplementation of the Convention</w:t>
      </w:r>
      <w:r w:rsidRPr="007918D5">
        <w:rPr>
          <w:sz w:val="24"/>
          <w:szCs w:val="24"/>
        </w:rPr>
        <w:t xml:space="preserve"> and the two Optional Protocols</w:t>
      </w:r>
      <w:r w:rsidR="008C1549">
        <w:rPr>
          <w:sz w:val="24"/>
          <w:szCs w:val="24"/>
        </w:rPr>
        <w:t>,</w:t>
      </w:r>
      <w:r w:rsidRPr="007918D5">
        <w:rPr>
          <w:sz w:val="24"/>
          <w:szCs w:val="24"/>
        </w:rPr>
        <w:t xml:space="preserve"> if an integrated report. It also allows the State party to mention any other issue it considers relevant. </w:t>
      </w:r>
    </w:p>
    <w:p w14:paraId="0C914B01" w14:textId="169486A4" w:rsidR="008C1549" w:rsidRDefault="007918D5" w:rsidP="0069169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7918D5">
        <w:rPr>
          <w:sz w:val="24"/>
          <w:szCs w:val="24"/>
        </w:rPr>
        <w:t>The Committee has made the simplified reporting procedure available to States parties whose periodic reports are due from 1 September 2019 onwards through quarterly invitations</w:t>
      </w:r>
      <w:r w:rsidR="008B184D">
        <w:rPr>
          <w:sz w:val="24"/>
          <w:szCs w:val="24"/>
        </w:rPr>
        <w:t xml:space="preserve"> (the simplified reporting procedure </w:t>
      </w:r>
      <w:proofErr w:type="gramStart"/>
      <w:r w:rsidR="008B184D">
        <w:rPr>
          <w:sz w:val="24"/>
          <w:szCs w:val="24"/>
        </w:rPr>
        <w:t>is not used</w:t>
      </w:r>
      <w:proofErr w:type="gramEnd"/>
      <w:r w:rsidR="008B184D">
        <w:rPr>
          <w:sz w:val="24"/>
          <w:szCs w:val="24"/>
        </w:rPr>
        <w:t xml:space="preserve"> for initial reports)</w:t>
      </w:r>
      <w:r w:rsidRPr="007918D5">
        <w:rPr>
          <w:sz w:val="24"/>
          <w:szCs w:val="24"/>
        </w:rPr>
        <w:t xml:space="preserve">. The first invitation </w:t>
      </w:r>
      <w:proofErr w:type="gramStart"/>
      <w:r w:rsidRPr="007918D5">
        <w:rPr>
          <w:sz w:val="24"/>
          <w:szCs w:val="24"/>
        </w:rPr>
        <w:t>was sent</w:t>
      </w:r>
      <w:proofErr w:type="gramEnd"/>
      <w:r w:rsidRPr="007918D5">
        <w:rPr>
          <w:sz w:val="24"/>
          <w:szCs w:val="24"/>
        </w:rPr>
        <w:t xml:space="preserve"> in November 2016 to States parties due to report between September and December 2019. A second invitation </w:t>
      </w:r>
      <w:proofErr w:type="gramStart"/>
      <w:r w:rsidRPr="007918D5">
        <w:rPr>
          <w:sz w:val="24"/>
          <w:szCs w:val="24"/>
        </w:rPr>
        <w:t>was sent</w:t>
      </w:r>
      <w:proofErr w:type="gramEnd"/>
      <w:r w:rsidRPr="007918D5">
        <w:rPr>
          <w:sz w:val="24"/>
          <w:szCs w:val="24"/>
        </w:rPr>
        <w:t xml:space="preserve"> in March 2017 to States parties due to report between 1 January 2020 and 30 April 2020, and the ensuing invitations follow the same formula. </w:t>
      </w:r>
    </w:p>
    <w:p w14:paraId="14E4C914" w14:textId="33BC56AA" w:rsidR="00926307" w:rsidRDefault="00CB5BEE" w:rsidP="0069169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0008407C" wp14:editId="73E119DA">
            <wp:simplePos x="0" y="0"/>
            <wp:positionH relativeFrom="margin">
              <wp:posOffset>-426720</wp:posOffset>
            </wp:positionH>
            <wp:positionV relativeFrom="paragraph">
              <wp:posOffset>753110</wp:posOffset>
            </wp:positionV>
            <wp:extent cx="6210300" cy="1600200"/>
            <wp:effectExtent l="0" t="0" r="19050" b="0"/>
            <wp:wrapTight wrapText="bothSides">
              <wp:wrapPolygon edited="0">
                <wp:start x="0" y="3086"/>
                <wp:lineTo x="0" y="18514"/>
                <wp:lineTo x="21600" y="18514"/>
                <wp:lineTo x="21600" y="3086"/>
                <wp:lineTo x="0" y="3086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5E9">
        <w:rPr>
          <w:sz w:val="24"/>
          <w:szCs w:val="24"/>
        </w:rPr>
        <w:t xml:space="preserve">States parties </w:t>
      </w:r>
      <w:r w:rsidR="008C1549">
        <w:rPr>
          <w:sz w:val="24"/>
          <w:szCs w:val="24"/>
        </w:rPr>
        <w:t>deciding not to use the simplified reporting procedure</w:t>
      </w:r>
      <w:r w:rsidR="005315E9">
        <w:rPr>
          <w:sz w:val="24"/>
          <w:szCs w:val="24"/>
        </w:rPr>
        <w:t xml:space="preserve"> </w:t>
      </w:r>
      <w:proofErr w:type="gramStart"/>
      <w:r w:rsidR="006406F0">
        <w:rPr>
          <w:sz w:val="24"/>
          <w:szCs w:val="24"/>
        </w:rPr>
        <w:t xml:space="preserve">are </w:t>
      </w:r>
      <w:r w:rsidR="005315E9">
        <w:rPr>
          <w:sz w:val="24"/>
          <w:szCs w:val="24"/>
        </w:rPr>
        <w:t>reviewed</w:t>
      </w:r>
      <w:proofErr w:type="gramEnd"/>
      <w:r w:rsidR="005315E9">
        <w:rPr>
          <w:sz w:val="24"/>
          <w:szCs w:val="24"/>
        </w:rPr>
        <w:t xml:space="preserve"> under the </w:t>
      </w:r>
      <w:r w:rsidR="00E0188F">
        <w:rPr>
          <w:sz w:val="24"/>
          <w:szCs w:val="24"/>
        </w:rPr>
        <w:t>standard</w:t>
      </w:r>
      <w:r w:rsidR="008C1549">
        <w:rPr>
          <w:sz w:val="24"/>
          <w:szCs w:val="24"/>
        </w:rPr>
        <w:t xml:space="preserve"> reporting</w:t>
      </w:r>
      <w:r w:rsidR="005315E9">
        <w:rPr>
          <w:sz w:val="24"/>
          <w:szCs w:val="24"/>
        </w:rPr>
        <w:t xml:space="preserve"> procedure and submit their report in accordance to the </w:t>
      </w:r>
      <w:hyperlink r:id="rId10" w:history="1">
        <w:r w:rsidR="005315E9" w:rsidRPr="003F28C1">
          <w:rPr>
            <w:rStyle w:val="Hyperlink"/>
            <w:sz w:val="24"/>
            <w:szCs w:val="24"/>
          </w:rPr>
          <w:t>Treaty-specific guidelines regarding the form and content of periodic reports</w:t>
        </w:r>
      </w:hyperlink>
      <w:r w:rsidR="005315E9" w:rsidRPr="008C1549">
        <w:rPr>
          <w:sz w:val="24"/>
          <w:szCs w:val="24"/>
        </w:rPr>
        <w:t xml:space="preserve"> to be submitted by States parties under article 44, paragraph 1 (b), of the Convention on the Rights of the Child.</w:t>
      </w:r>
    </w:p>
    <w:p w14:paraId="10BBBB48" w14:textId="140529A7" w:rsidR="008B184D" w:rsidRDefault="00CB5BEE" w:rsidP="00691697">
      <w:pPr>
        <w:jc w:val="both"/>
        <w:rPr>
          <w:sz w:val="24"/>
          <w:szCs w:val="24"/>
        </w:rPr>
      </w:pPr>
      <w:r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62CA0" wp14:editId="3CE05C0F">
                <wp:simplePos x="0" y="0"/>
                <wp:positionH relativeFrom="column">
                  <wp:posOffset>4008120</wp:posOffset>
                </wp:positionH>
                <wp:positionV relativeFrom="paragraph">
                  <wp:posOffset>1341120</wp:posOffset>
                </wp:positionV>
                <wp:extent cx="1089660" cy="464820"/>
                <wp:effectExtent l="0" t="0" r="1524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64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B2BB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</w:rPr>
                              <w:t>3 months</w:t>
                            </w:r>
                          </w:p>
                          <w:p w14:paraId="7DB7AA96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62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6pt;margin-top:105.6pt;width:85.8pt;height:3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" fillcolor="#f4b083 [1941]" strokecolor="#ed7d31 [3205]">
                <v:textbox>
                  <w:txbxContent>
                    <w:p w14:paraId="654AB2BB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3 months</w:t>
                      </w:r>
                    </w:p>
                    <w:p w14:paraId="7DB7AA96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A7283D" wp14:editId="42BEEF36">
                <wp:simplePos x="0" y="0"/>
                <wp:positionH relativeFrom="column">
                  <wp:posOffset>2842260</wp:posOffset>
                </wp:positionH>
                <wp:positionV relativeFrom="paragraph">
                  <wp:posOffset>1325880</wp:posOffset>
                </wp:positionV>
                <wp:extent cx="1074420" cy="45720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7312D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</w:rPr>
                              <w:t>4 months</w:t>
                            </w:r>
                          </w:p>
                          <w:p w14:paraId="4D967765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283D" id="_x0000_s1027" type="#_x0000_t202" style="position:absolute;left:0;text-align:left;margin-left:223.8pt;margin-top:104.4pt;width:84.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" fillcolor="#f4b083 [1941]" strokecolor="#ed7d31 [3205]">
                <v:textbox>
                  <w:txbxContent>
                    <w:p w14:paraId="6F27312D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4 months</w:t>
                      </w:r>
                    </w:p>
                    <w:p w14:paraId="4D967765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3C70F4" wp14:editId="4051F4AF">
                <wp:simplePos x="0" y="0"/>
                <wp:positionH relativeFrom="column">
                  <wp:posOffset>1676400</wp:posOffset>
                </wp:positionH>
                <wp:positionV relativeFrom="paragraph">
                  <wp:posOffset>1341120</wp:posOffset>
                </wp:positionV>
                <wp:extent cx="1074420" cy="449580"/>
                <wp:effectExtent l="0" t="0" r="114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1372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</w:rPr>
                              <w:t>6 months</w:t>
                            </w:r>
                          </w:p>
                          <w:p w14:paraId="2928D548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70F4" id="_x0000_s1028" type="#_x0000_t202" style="position:absolute;left:0;text-align:left;margin-left:132pt;margin-top:105.6pt;width:84.6pt;height:35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" fillcolor="#f4b083 [1941]" strokecolor="#ed7d31 [3205]">
                <v:textbox>
                  <w:txbxContent>
                    <w:p w14:paraId="60DA1372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6 months</w:t>
                      </w:r>
                    </w:p>
                    <w:p w14:paraId="2928D548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68618B" wp14:editId="5480C017">
                <wp:simplePos x="0" y="0"/>
                <wp:positionH relativeFrom="column">
                  <wp:posOffset>510540</wp:posOffset>
                </wp:positionH>
                <wp:positionV relativeFrom="paragraph">
                  <wp:posOffset>1359535</wp:posOffset>
                </wp:positionV>
                <wp:extent cx="1082040" cy="441960"/>
                <wp:effectExtent l="0" t="0" r="2286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E6254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</w:rPr>
                              <w:t>18 months</w:t>
                            </w:r>
                          </w:p>
                          <w:p w14:paraId="040F203D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618B" id="_x0000_s1029" type="#_x0000_t202" style="position:absolute;left:0;text-align:left;margin-left:40.2pt;margin-top:107.05pt;width:85.2pt;height:3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" fillcolor="#f4b083 [1941]" strokecolor="#ed7d31 [3205]">
                <v:textbox>
                  <w:txbxContent>
                    <w:p w14:paraId="52FE6254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18 months</w:t>
                      </w:r>
                    </w:p>
                    <w:p w14:paraId="040F203D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7AD">
                        <w:rPr>
                          <w:sz w:val="18"/>
                          <w:szCs w:val="18"/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37A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DD925D" wp14:editId="251BB64C">
                <wp:simplePos x="0" y="0"/>
                <wp:positionH relativeFrom="column">
                  <wp:posOffset>-647700</wp:posOffset>
                </wp:positionH>
                <wp:positionV relativeFrom="paragraph">
                  <wp:posOffset>1341120</wp:posOffset>
                </wp:positionV>
                <wp:extent cx="1059180" cy="449580"/>
                <wp:effectExtent l="0" t="0" r="2667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EA565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7A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 months</w:t>
                            </w:r>
                          </w:p>
                          <w:p w14:paraId="3A9C0296" w14:textId="77777777" w:rsidR="00CB5BEE" w:rsidRPr="00A137AD" w:rsidRDefault="00CB5BEE" w:rsidP="00CB5B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137A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before</w:t>
                            </w:r>
                            <w:proofErr w:type="gramEnd"/>
                            <w:r w:rsidRPr="00A137AD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925D" id="_x0000_s1030" type="#_x0000_t202" style="position:absolute;left:0;text-align:left;margin-left:-51pt;margin-top:105.6pt;width:83.4pt;height:35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" fillcolor="#f4b083 [1941]" strokecolor="#ed7d31 [3205]">
                <v:textbox>
                  <w:txbxContent>
                    <w:p w14:paraId="697EA565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37A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 months</w:t>
                      </w:r>
                    </w:p>
                    <w:p w14:paraId="3A9C0296" w14:textId="77777777" w:rsidR="00CB5BEE" w:rsidRPr="00A137AD" w:rsidRDefault="00CB5BEE" w:rsidP="00CB5B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37AD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before the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5A018" w14:textId="070A3859" w:rsidR="007B173A" w:rsidRPr="007D1381" w:rsidRDefault="007B173A" w:rsidP="00691697">
      <w:pPr>
        <w:jc w:val="both"/>
        <w:rPr>
          <w:sz w:val="24"/>
          <w:szCs w:val="24"/>
        </w:rPr>
      </w:pPr>
      <w:bookmarkStart w:id="0" w:name="_GoBack"/>
      <w:bookmarkEnd w:id="0"/>
    </w:p>
    <w:sectPr w:rsidR="007B173A" w:rsidRPr="007D1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4"/>
    <w:rsid w:val="000774A9"/>
    <w:rsid w:val="000F21D4"/>
    <w:rsid w:val="00232E86"/>
    <w:rsid w:val="00265DE9"/>
    <w:rsid w:val="00291D86"/>
    <w:rsid w:val="0029599F"/>
    <w:rsid w:val="002F16DF"/>
    <w:rsid w:val="003F28C1"/>
    <w:rsid w:val="00407F8D"/>
    <w:rsid w:val="00490DCE"/>
    <w:rsid w:val="004A70F1"/>
    <w:rsid w:val="0051043D"/>
    <w:rsid w:val="005265D5"/>
    <w:rsid w:val="005315E9"/>
    <w:rsid w:val="005966D2"/>
    <w:rsid w:val="005D3434"/>
    <w:rsid w:val="006406F0"/>
    <w:rsid w:val="00666172"/>
    <w:rsid w:val="00691697"/>
    <w:rsid w:val="006F1A9D"/>
    <w:rsid w:val="007366B5"/>
    <w:rsid w:val="007918D5"/>
    <w:rsid w:val="007A215B"/>
    <w:rsid w:val="007A411C"/>
    <w:rsid w:val="007B173A"/>
    <w:rsid w:val="007D1381"/>
    <w:rsid w:val="00867ACD"/>
    <w:rsid w:val="008B184D"/>
    <w:rsid w:val="008C1549"/>
    <w:rsid w:val="00901F56"/>
    <w:rsid w:val="009168BB"/>
    <w:rsid w:val="00926307"/>
    <w:rsid w:val="009722F4"/>
    <w:rsid w:val="00A137AD"/>
    <w:rsid w:val="00A24CC7"/>
    <w:rsid w:val="00A41B8D"/>
    <w:rsid w:val="00A645C3"/>
    <w:rsid w:val="00B444F2"/>
    <w:rsid w:val="00B968E5"/>
    <w:rsid w:val="00BB3F23"/>
    <w:rsid w:val="00CB5BEE"/>
    <w:rsid w:val="00CB6FE9"/>
    <w:rsid w:val="00D712D0"/>
    <w:rsid w:val="00D83CED"/>
    <w:rsid w:val="00DE7BD6"/>
    <w:rsid w:val="00E0188F"/>
    <w:rsid w:val="00EE4C68"/>
    <w:rsid w:val="00F02091"/>
    <w:rsid w:val="00F34D8F"/>
    <w:rsid w:val="00F75AF5"/>
    <w:rsid w:val="00F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0F55"/>
  <w15:chartTrackingRefBased/>
  <w15:docId w15:val="{F58B1C34-07BE-4DF1-BBB6-D2B9496A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2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22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3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F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8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customXml" Target="../customXml/item4.xml"/><Relationship Id="rId10" Type="http://schemas.openxmlformats.org/officeDocument/2006/relationships/hyperlink" Target="https://tbinternet.ohchr.org/_layouts/treatybodyexternal/Download.aspx?symbolno=CRC/C/58/REV.3&amp;Lang=en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17AF00-F54F-4528-BD86-4A3CD19DEDF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5454A0C-7797-4493-8B34-70EC6EA42202}">
      <dgm:prSet phldrT="[Text]"/>
      <dgm:spPr/>
      <dgm:t>
        <a:bodyPr/>
        <a:lstStyle/>
        <a:p>
          <a:r>
            <a:rPr lang="en-US"/>
            <a:t>Stakeholders' contributions to LOIPR </a:t>
          </a:r>
        </a:p>
        <a:p>
          <a:endParaRPr lang="en-US"/>
        </a:p>
        <a:p>
          <a:r>
            <a:rPr lang="en-US"/>
            <a:t>3 months before the adoption of LOIPR</a:t>
          </a:r>
        </a:p>
      </dgm:t>
    </dgm:pt>
    <dgm:pt modelId="{FFF5EAD9-BE16-4E47-A0F8-F99CCFF1D5B2}" type="parTrans" cxnId="{1E615645-FF2E-45AD-9FC5-962EFEF21486}">
      <dgm:prSet/>
      <dgm:spPr/>
      <dgm:t>
        <a:bodyPr/>
        <a:lstStyle/>
        <a:p>
          <a:endParaRPr lang="en-US"/>
        </a:p>
      </dgm:t>
    </dgm:pt>
    <dgm:pt modelId="{3CE06D4B-23EE-44E2-B2B0-275F09A4F814}" type="sibTrans" cxnId="{1E615645-FF2E-45AD-9FC5-962EFEF21486}">
      <dgm:prSet/>
      <dgm:spPr/>
      <dgm:t>
        <a:bodyPr/>
        <a:lstStyle/>
        <a:p>
          <a:endParaRPr lang="en-US"/>
        </a:p>
      </dgm:t>
    </dgm:pt>
    <dgm:pt modelId="{F9533006-3485-46ED-A059-0D55A1AAEB9B}">
      <dgm:prSet phldrT="[Text]"/>
      <dgm:spPr/>
      <dgm:t>
        <a:bodyPr/>
        <a:lstStyle/>
        <a:p>
          <a:r>
            <a:rPr lang="en-US"/>
            <a:t>Stakeholders' contributions to  constructive dialogue</a:t>
          </a:r>
        </a:p>
        <a:p>
          <a:endParaRPr lang="en-US"/>
        </a:p>
        <a:p>
          <a:r>
            <a:rPr lang="en-US"/>
            <a:t>1 month before the pre-session preceding the session</a:t>
          </a:r>
        </a:p>
      </dgm:t>
    </dgm:pt>
    <dgm:pt modelId="{CABE5604-D72B-4EFD-BE70-7BE52EF95B20}" type="parTrans" cxnId="{7B089588-D450-434D-BEDC-2DE2690BDB1A}">
      <dgm:prSet/>
      <dgm:spPr/>
      <dgm:t>
        <a:bodyPr/>
        <a:lstStyle/>
        <a:p>
          <a:endParaRPr lang="en-US"/>
        </a:p>
      </dgm:t>
    </dgm:pt>
    <dgm:pt modelId="{E0A522B0-A594-4D4E-9D6E-4B86098440D3}" type="sibTrans" cxnId="{7B089588-D450-434D-BEDC-2DE2690BDB1A}">
      <dgm:prSet/>
      <dgm:spPr/>
      <dgm:t>
        <a:bodyPr/>
        <a:lstStyle/>
        <a:p>
          <a:endParaRPr lang="en-US"/>
        </a:p>
      </dgm:t>
    </dgm:pt>
    <dgm:pt modelId="{E04D2F06-055F-46C4-A29E-7EE5590B84AD}">
      <dgm:prSet phldrT="[Text]"/>
      <dgm:spPr/>
      <dgm:t>
        <a:bodyPr/>
        <a:lstStyle/>
        <a:p>
          <a:r>
            <a:rPr lang="en-GB"/>
            <a:t>CRC &amp; SP </a:t>
          </a:r>
        </a:p>
        <a:p>
          <a:r>
            <a:rPr lang="en-GB"/>
            <a:t>constructive dialogue &amp; COBs</a:t>
          </a:r>
        </a:p>
        <a:p>
          <a:endParaRPr lang="en-GB"/>
        </a:p>
        <a:p>
          <a:r>
            <a:rPr lang="en-GB" b="1"/>
            <a:t>CRC session</a:t>
          </a:r>
          <a:endParaRPr lang="en-US" b="1"/>
        </a:p>
      </dgm:t>
    </dgm:pt>
    <dgm:pt modelId="{310E5DD4-72F0-4E28-9D3F-1DC306AAE9AD}" type="parTrans" cxnId="{3557B3DF-78F0-4676-9C38-D7F1C47C53C3}">
      <dgm:prSet/>
      <dgm:spPr/>
      <dgm:t>
        <a:bodyPr/>
        <a:lstStyle/>
        <a:p>
          <a:endParaRPr lang="en-US"/>
        </a:p>
      </dgm:t>
    </dgm:pt>
    <dgm:pt modelId="{1462BDE5-4768-4EE3-B0CB-22D79E5A6D6C}" type="sibTrans" cxnId="{3557B3DF-78F0-4676-9C38-D7F1C47C53C3}">
      <dgm:prSet/>
      <dgm:spPr/>
      <dgm:t>
        <a:bodyPr/>
        <a:lstStyle/>
        <a:p>
          <a:endParaRPr lang="en-US"/>
        </a:p>
      </dgm:t>
    </dgm:pt>
    <dgm:pt modelId="{2567B6F6-7E61-4684-B2BE-948491F14E46}">
      <dgm:prSet/>
      <dgm:spPr/>
      <dgm:t>
        <a:bodyPr/>
        <a:lstStyle/>
        <a:p>
          <a:r>
            <a:rPr lang="en-US"/>
            <a:t>CRC LOIPR</a:t>
          </a:r>
        </a:p>
        <a:p>
          <a:endParaRPr lang="en-US"/>
        </a:p>
        <a:p>
          <a:r>
            <a:rPr lang="en-US"/>
            <a:t>CRC pre-session for the adoption of LOIPR</a:t>
          </a:r>
        </a:p>
      </dgm:t>
    </dgm:pt>
    <dgm:pt modelId="{8794FB04-5E79-411E-8F50-0DDB81C36F3F}" type="parTrans" cxnId="{26ACBDDA-03D7-482A-B2F1-B5517D3CD9DD}">
      <dgm:prSet/>
      <dgm:spPr/>
      <dgm:t>
        <a:bodyPr/>
        <a:lstStyle/>
        <a:p>
          <a:endParaRPr lang="en-US"/>
        </a:p>
      </dgm:t>
    </dgm:pt>
    <dgm:pt modelId="{F8C1BF26-ADB1-4447-9C72-165968420F99}" type="sibTrans" cxnId="{26ACBDDA-03D7-482A-B2F1-B5517D3CD9DD}">
      <dgm:prSet/>
      <dgm:spPr/>
      <dgm:t>
        <a:bodyPr/>
        <a:lstStyle/>
        <a:p>
          <a:endParaRPr lang="en-US"/>
        </a:p>
      </dgm:t>
    </dgm:pt>
    <dgm:pt modelId="{CD7A4E05-C7B5-4DE3-98A1-5635AE466307}">
      <dgm:prSet/>
      <dgm:spPr/>
      <dgm:t>
        <a:bodyPr/>
        <a:lstStyle/>
        <a:p>
          <a:r>
            <a:rPr lang="en-US"/>
            <a:t>State party's replies to LOIPR (SP report)</a:t>
          </a:r>
        </a:p>
        <a:p>
          <a:endParaRPr lang="en-US"/>
        </a:p>
        <a:p>
          <a:r>
            <a:rPr lang="en-US"/>
            <a:t>1 year after the  adoption of LOIPR</a:t>
          </a:r>
        </a:p>
      </dgm:t>
    </dgm:pt>
    <dgm:pt modelId="{3ED58F40-682D-4C79-A075-77A6CD581D75}" type="parTrans" cxnId="{A85BC017-90EE-4BCE-A5A1-801CAC7A293C}">
      <dgm:prSet/>
      <dgm:spPr/>
      <dgm:t>
        <a:bodyPr/>
        <a:lstStyle/>
        <a:p>
          <a:endParaRPr lang="en-US"/>
        </a:p>
      </dgm:t>
    </dgm:pt>
    <dgm:pt modelId="{B19A8916-99F1-456E-A367-449F57438881}" type="sibTrans" cxnId="{A85BC017-90EE-4BCE-A5A1-801CAC7A293C}">
      <dgm:prSet/>
      <dgm:spPr/>
      <dgm:t>
        <a:bodyPr/>
        <a:lstStyle/>
        <a:p>
          <a:endParaRPr lang="en-US"/>
        </a:p>
      </dgm:t>
    </dgm:pt>
    <dgm:pt modelId="{950724E1-7EAF-4FCA-B292-463D9BDEEE13}">
      <dgm:prSet/>
      <dgm:spPr/>
      <dgm:t>
        <a:bodyPr/>
        <a:lstStyle/>
        <a:p>
          <a:r>
            <a:rPr lang="en-US"/>
            <a:t>CRC discussion with stakeholders</a:t>
          </a:r>
        </a:p>
        <a:p>
          <a:endParaRPr lang="en-US"/>
        </a:p>
        <a:p>
          <a:r>
            <a:rPr lang="en-US"/>
            <a:t>CRC pre-session </a:t>
          </a:r>
        </a:p>
      </dgm:t>
    </dgm:pt>
    <dgm:pt modelId="{3F6E0CF3-1019-4651-97A4-CB449F38145C}" type="parTrans" cxnId="{DB3843E9-7418-45CF-A3AF-5D5B241841B6}">
      <dgm:prSet/>
      <dgm:spPr/>
      <dgm:t>
        <a:bodyPr/>
        <a:lstStyle/>
        <a:p>
          <a:endParaRPr lang="en-US"/>
        </a:p>
      </dgm:t>
    </dgm:pt>
    <dgm:pt modelId="{0B913CA3-D291-4054-81FC-89663B30D0BE}" type="sibTrans" cxnId="{DB3843E9-7418-45CF-A3AF-5D5B241841B6}">
      <dgm:prSet/>
      <dgm:spPr/>
      <dgm:t>
        <a:bodyPr/>
        <a:lstStyle/>
        <a:p>
          <a:endParaRPr lang="en-US"/>
        </a:p>
      </dgm:t>
    </dgm:pt>
    <dgm:pt modelId="{A72E75AF-EED7-4E15-BE9E-401865A97841}" type="pres">
      <dgm:prSet presAssocID="{2717AF00-F54F-4528-BD86-4A3CD19DEDF2}" presName="Name0" presStyleCnt="0">
        <dgm:presLayoutVars>
          <dgm:dir/>
          <dgm:resizeHandles val="exact"/>
        </dgm:presLayoutVars>
      </dgm:prSet>
      <dgm:spPr/>
    </dgm:pt>
    <dgm:pt modelId="{32A0CB64-529B-4435-9AFD-F33F35177E42}" type="pres">
      <dgm:prSet presAssocID="{05454A0C-7797-4493-8B34-70EC6EA4220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924BE0-0E19-4E03-97E9-D3707ED425D8}" type="pres">
      <dgm:prSet presAssocID="{3CE06D4B-23EE-44E2-B2B0-275F09A4F814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11EA4E4-B7C7-4DC5-99C4-930830D8322C}" type="pres">
      <dgm:prSet presAssocID="{3CE06D4B-23EE-44E2-B2B0-275F09A4F814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DD82F45C-6D7C-4368-A1C3-2C24F19ACE21}" type="pres">
      <dgm:prSet presAssocID="{2567B6F6-7E61-4684-B2BE-948491F14E4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6ECD30-3C50-41B2-A0FF-3E1FAA28BD94}" type="pres">
      <dgm:prSet presAssocID="{F8C1BF26-ADB1-4447-9C72-165968420F99}" presName="sibTrans" presStyleLbl="sibTrans2D1" presStyleIdx="1" presStyleCnt="5"/>
      <dgm:spPr/>
      <dgm:t>
        <a:bodyPr/>
        <a:lstStyle/>
        <a:p>
          <a:endParaRPr lang="en-US"/>
        </a:p>
      </dgm:t>
    </dgm:pt>
    <dgm:pt modelId="{A1B4446D-DDF9-4552-B006-5C4C75607539}" type="pres">
      <dgm:prSet presAssocID="{F8C1BF26-ADB1-4447-9C72-165968420F99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EBA1F832-E7CB-458B-B909-65AA9AB0F447}" type="pres">
      <dgm:prSet presAssocID="{CD7A4E05-C7B5-4DE3-98A1-5635AE46630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046092-2901-43A7-B34E-28AB93F719C6}" type="pres">
      <dgm:prSet presAssocID="{B19A8916-99F1-456E-A367-449F57438881}" presName="sibTrans" presStyleLbl="sibTrans2D1" presStyleIdx="2" presStyleCnt="5"/>
      <dgm:spPr/>
      <dgm:t>
        <a:bodyPr/>
        <a:lstStyle/>
        <a:p>
          <a:endParaRPr lang="en-US"/>
        </a:p>
      </dgm:t>
    </dgm:pt>
    <dgm:pt modelId="{3667A3C7-2A63-43C7-9481-FB02B52149EF}" type="pres">
      <dgm:prSet presAssocID="{B19A8916-99F1-456E-A367-449F5743888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A5FB83E1-C547-4B09-9806-222205B33E95}" type="pres">
      <dgm:prSet presAssocID="{F9533006-3485-46ED-A059-0D55A1AAEB9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C9A95F-2821-435A-A03A-DB360E45A895}" type="pres">
      <dgm:prSet presAssocID="{E0A522B0-A594-4D4E-9D6E-4B86098440D3}" presName="sibTrans" presStyleLbl="sibTrans2D1" presStyleIdx="3" presStyleCnt="5"/>
      <dgm:spPr/>
      <dgm:t>
        <a:bodyPr/>
        <a:lstStyle/>
        <a:p>
          <a:endParaRPr lang="en-US"/>
        </a:p>
      </dgm:t>
    </dgm:pt>
    <dgm:pt modelId="{56ABC5D7-255F-4123-B577-302A4D8ECA85}" type="pres">
      <dgm:prSet presAssocID="{E0A522B0-A594-4D4E-9D6E-4B86098440D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5570443D-74E2-47CA-B25E-873BD4D1CD78}" type="pres">
      <dgm:prSet presAssocID="{950724E1-7EAF-4FCA-B292-463D9BDEEE1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FE45CC-FB18-4652-BD0F-00A832113944}" type="pres">
      <dgm:prSet presAssocID="{0B913CA3-D291-4054-81FC-89663B30D0BE}" presName="sibTrans" presStyleLbl="sibTrans2D1" presStyleIdx="4" presStyleCnt="5"/>
      <dgm:spPr/>
      <dgm:t>
        <a:bodyPr/>
        <a:lstStyle/>
        <a:p>
          <a:endParaRPr lang="en-US"/>
        </a:p>
      </dgm:t>
    </dgm:pt>
    <dgm:pt modelId="{824D3E0A-D48D-4CAA-B5FE-CF10B8365D6F}" type="pres">
      <dgm:prSet presAssocID="{0B913CA3-D291-4054-81FC-89663B30D0BE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989DC21D-2133-4D9F-906F-FC0655070DBC}" type="pres">
      <dgm:prSet presAssocID="{E04D2F06-055F-46C4-A29E-7EE5590B84A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5A38E7-45F9-4F28-A925-10B9B73E0B49}" type="presOf" srcId="{E0A522B0-A594-4D4E-9D6E-4B86098440D3}" destId="{95C9A95F-2821-435A-A03A-DB360E45A895}" srcOrd="0" destOrd="0" presId="urn:microsoft.com/office/officeart/2005/8/layout/process1"/>
    <dgm:cxn modelId="{C5107264-B6F4-4F93-BFA1-685FDDEC467C}" type="presOf" srcId="{2567B6F6-7E61-4684-B2BE-948491F14E46}" destId="{DD82F45C-6D7C-4368-A1C3-2C24F19ACE21}" srcOrd="0" destOrd="0" presId="urn:microsoft.com/office/officeart/2005/8/layout/process1"/>
    <dgm:cxn modelId="{61E05B9F-3EDB-49C1-A8FD-582CCCB6902E}" type="presOf" srcId="{3CE06D4B-23EE-44E2-B2B0-275F09A4F814}" destId="{4F924BE0-0E19-4E03-97E9-D3707ED425D8}" srcOrd="0" destOrd="0" presId="urn:microsoft.com/office/officeart/2005/8/layout/process1"/>
    <dgm:cxn modelId="{DB3843E9-7418-45CF-A3AF-5D5B241841B6}" srcId="{2717AF00-F54F-4528-BD86-4A3CD19DEDF2}" destId="{950724E1-7EAF-4FCA-B292-463D9BDEEE13}" srcOrd="4" destOrd="0" parTransId="{3F6E0CF3-1019-4651-97A4-CB449F38145C}" sibTransId="{0B913CA3-D291-4054-81FC-89663B30D0BE}"/>
    <dgm:cxn modelId="{5B77286F-B1C6-44AC-8B8E-9F1858803F7A}" type="presOf" srcId="{0B913CA3-D291-4054-81FC-89663B30D0BE}" destId="{824D3E0A-D48D-4CAA-B5FE-CF10B8365D6F}" srcOrd="1" destOrd="0" presId="urn:microsoft.com/office/officeart/2005/8/layout/process1"/>
    <dgm:cxn modelId="{A1565B43-7225-4555-9376-12862C210F3A}" type="presOf" srcId="{B19A8916-99F1-456E-A367-449F57438881}" destId="{3667A3C7-2A63-43C7-9481-FB02B52149EF}" srcOrd="1" destOrd="0" presId="urn:microsoft.com/office/officeart/2005/8/layout/process1"/>
    <dgm:cxn modelId="{5996397A-AA88-4963-B869-71A363ACFD13}" type="presOf" srcId="{E04D2F06-055F-46C4-A29E-7EE5590B84AD}" destId="{989DC21D-2133-4D9F-906F-FC0655070DBC}" srcOrd="0" destOrd="0" presId="urn:microsoft.com/office/officeart/2005/8/layout/process1"/>
    <dgm:cxn modelId="{B67FB085-88F9-4EF7-8977-32A121DC091A}" type="presOf" srcId="{950724E1-7EAF-4FCA-B292-463D9BDEEE13}" destId="{5570443D-74E2-47CA-B25E-873BD4D1CD78}" srcOrd="0" destOrd="0" presId="urn:microsoft.com/office/officeart/2005/8/layout/process1"/>
    <dgm:cxn modelId="{3557B3DF-78F0-4676-9C38-D7F1C47C53C3}" srcId="{2717AF00-F54F-4528-BD86-4A3CD19DEDF2}" destId="{E04D2F06-055F-46C4-A29E-7EE5590B84AD}" srcOrd="5" destOrd="0" parTransId="{310E5DD4-72F0-4E28-9D3F-1DC306AAE9AD}" sibTransId="{1462BDE5-4768-4EE3-B0CB-22D79E5A6D6C}"/>
    <dgm:cxn modelId="{1202640C-10B8-4863-A430-157D9794C19F}" type="presOf" srcId="{F8C1BF26-ADB1-4447-9C72-165968420F99}" destId="{A1B4446D-DDF9-4552-B006-5C4C75607539}" srcOrd="1" destOrd="0" presId="urn:microsoft.com/office/officeart/2005/8/layout/process1"/>
    <dgm:cxn modelId="{16E4A501-A874-4664-910C-E0130429E26E}" type="presOf" srcId="{05454A0C-7797-4493-8B34-70EC6EA42202}" destId="{32A0CB64-529B-4435-9AFD-F33F35177E42}" srcOrd="0" destOrd="0" presId="urn:microsoft.com/office/officeart/2005/8/layout/process1"/>
    <dgm:cxn modelId="{3647BDD8-7542-4E4C-B1FC-FE1109A512B5}" type="presOf" srcId="{0B913CA3-D291-4054-81FC-89663B30D0BE}" destId="{14FE45CC-FB18-4652-BD0F-00A832113944}" srcOrd="0" destOrd="0" presId="urn:microsoft.com/office/officeart/2005/8/layout/process1"/>
    <dgm:cxn modelId="{1E615645-FF2E-45AD-9FC5-962EFEF21486}" srcId="{2717AF00-F54F-4528-BD86-4A3CD19DEDF2}" destId="{05454A0C-7797-4493-8B34-70EC6EA42202}" srcOrd="0" destOrd="0" parTransId="{FFF5EAD9-BE16-4E47-A0F8-F99CCFF1D5B2}" sibTransId="{3CE06D4B-23EE-44E2-B2B0-275F09A4F814}"/>
    <dgm:cxn modelId="{A85BC017-90EE-4BCE-A5A1-801CAC7A293C}" srcId="{2717AF00-F54F-4528-BD86-4A3CD19DEDF2}" destId="{CD7A4E05-C7B5-4DE3-98A1-5635AE466307}" srcOrd="2" destOrd="0" parTransId="{3ED58F40-682D-4C79-A075-77A6CD581D75}" sibTransId="{B19A8916-99F1-456E-A367-449F57438881}"/>
    <dgm:cxn modelId="{558B2501-73B0-436F-B759-B0CD7A0C360D}" type="presOf" srcId="{2717AF00-F54F-4528-BD86-4A3CD19DEDF2}" destId="{A72E75AF-EED7-4E15-BE9E-401865A97841}" srcOrd="0" destOrd="0" presId="urn:microsoft.com/office/officeart/2005/8/layout/process1"/>
    <dgm:cxn modelId="{75527BE5-8573-4BEC-BA30-6AC15D258571}" type="presOf" srcId="{F8C1BF26-ADB1-4447-9C72-165968420F99}" destId="{206ECD30-3C50-41B2-A0FF-3E1FAA28BD94}" srcOrd="0" destOrd="0" presId="urn:microsoft.com/office/officeart/2005/8/layout/process1"/>
    <dgm:cxn modelId="{26ACBDDA-03D7-482A-B2F1-B5517D3CD9DD}" srcId="{2717AF00-F54F-4528-BD86-4A3CD19DEDF2}" destId="{2567B6F6-7E61-4684-B2BE-948491F14E46}" srcOrd="1" destOrd="0" parTransId="{8794FB04-5E79-411E-8F50-0DDB81C36F3F}" sibTransId="{F8C1BF26-ADB1-4447-9C72-165968420F99}"/>
    <dgm:cxn modelId="{AEE61826-98A9-436C-8D8A-AB7DCA3329F0}" type="presOf" srcId="{E0A522B0-A594-4D4E-9D6E-4B86098440D3}" destId="{56ABC5D7-255F-4123-B577-302A4D8ECA85}" srcOrd="1" destOrd="0" presId="urn:microsoft.com/office/officeart/2005/8/layout/process1"/>
    <dgm:cxn modelId="{AAF936C9-AEBD-4CA7-AC7B-034CD091433E}" type="presOf" srcId="{CD7A4E05-C7B5-4DE3-98A1-5635AE466307}" destId="{EBA1F832-E7CB-458B-B909-65AA9AB0F447}" srcOrd="0" destOrd="0" presId="urn:microsoft.com/office/officeart/2005/8/layout/process1"/>
    <dgm:cxn modelId="{0F68102C-40E7-4B66-8C32-A05653BC4EEC}" type="presOf" srcId="{F9533006-3485-46ED-A059-0D55A1AAEB9B}" destId="{A5FB83E1-C547-4B09-9806-222205B33E95}" srcOrd="0" destOrd="0" presId="urn:microsoft.com/office/officeart/2005/8/layout/process1"/>
    <dgm:cxn modelId="{7B089588-D450-434D-BEDC-2DE2690BDB1A}" srcId="{2717AF00-F54F-4528-BD86-4A3CD19DEDF2}" destId="{F9533006-3485-46ED-A059-0D55A1AAEB9B}" srcOrd="3" destOrd="0" parTransId="{CABE5604-D72B-4EFD-BE70-7BE52EF95B20}" sibTransId="{E0A522B0-A594-4D4E-9D6E-4B86098440D3}"/>
    <dgm:cxn modelId="{931F92E0-6D3F-4DBC-9726-0E2EC2630FD4}" type="presOf" srcId="{3CE06D4B-23EE-44E2-B2B0-275F09A4F814}" destId="{811EA4E4-B7C7-4DC5-99C4-930830D8322C}" srcOrd="1" destOrd="0" presId="urn:microsoft.com/office/officeart/2005/8/layout/process1"/>
    <dgm:cxn modelId="{C5A1AF59-786D-42E0-99BD-DCD01D0637EC}" type="presOf" srcId="{B19A8916-99F1-456E-A367-449F57438881}" destId="{18046092-2901-43A7-B34E-28AB93F719C6}" srcOrd="0" destOrd="0" presId="urn:microsoft.com/office/officeart/2005/8/layout/process1"/>
    <dgm:cxn modelId="{F0A4F1E2-841C-452C-B1D6-E5A8B8F82011}" type="presParOf" srcId="{A72E75AF-EED7-4E15-BE9E-401865A97841}" destId="{32A0CB64-529B-4435-9AFD-F33F35177E42}" srcOrd="0" destOrd="0" presId="urn:microsoft.com/office/officeart/2005/8/layout/process1"/>
    <dgm:cxn modelId="{30612F42-FEDB-4231-8018-9FDA827865FC}" type="presParOf" srcId="{A72E75AF-EED7-4E15-BE9E-401865A97841}" destId="{4F924BE0-0E19-4E03-97E9-D3707ED425D8}" srcOrd="1" destOrd="0" presId="urn:microsoft.com/office/officeart/2005/8/layout/process1"/>
    <dgm:cxn modelId="{DE28A47F-51D9-424E-8539-1964AB2AA30D}" type="presParOf" srcId="{4F924BE0-0E19-4E03-97E9-D3707ED425D8}" destId="{811EA4E4-B7C7-4DC5-99C4-930830D8322C}" srcOrd="0" destOrd="0" presId="urn:microsoft.com/office/officeart/2005/8/layout/process1"/>
    <dgm:cxn modelId="{ED2F13BE-E92B-4DC9-B235-3968A7F1D256}" type="presParOf" srcId="{A72E75AF-EED7-4E15-BE9E-401865A97841}" destId="{DD82F45C-6D7C-4368-A1C3-2C24F19ACE21}" srcOrd="2" destOrd="0" presId="urn:microsoft.com/office/officeart/2005/8/layout/process1"/>
    <dgm:cxn modelId="{6E430F5B-EEAA-4FCC-8F64-6821478ADA01}" type="presParOf" srcId="{A72E75AF-EED7-4E15-BE9E-401865A97841}" destId="{206ECD30-3C50-41B2-A0FF-3E1FAA28BD94}" srcOrd="3" destOrd="0" presId="urn:microsoft.com/office/officeart/2005/8/layout/process1"/>
    <dgm:cxn modelId="{A25126AF-F0AF-41F3-BE61-54F108C8B3B9}" type="presParOf" srcId="{206ECD30-3C50-41B2-A0FF-3E1FAA28BD94}" destId="{A1B4446D-DDF9-4552-B006-5C4C75607539}" srcOrd="0" destOrd="0" presId="urn:microsoft.com/office/officeart/2005/8/layout/process1"/>
    <dgm:cxn modelId="{CA6BB546-6363-4609-A20D-4F6D312F0084}" type="presParOf" srcId="{A72E75AF-EED7-4E15-BE9E-401865A97841}" destId="{EBA1F832-E7CB-458B-B909-65AA9AB0F447}" srcOrd="4" destOrd="0" presId="urn:microsoft.com/office/officeart/2005/8/layout/process1"/>
    <dgm:cxn modelId="{E1A0BE55-7506-4108-BD2F-4C676497E367}" type="presParOf" srcId="{A72E75AF-EED7-4E15-BE9E-401865A97841}" destId="{18046092-2901-43A7-B34E-28AB93F719C6}" srcOrd="5" destOrd="0" presId="urn:microsoft.com/office/officeart/2005/8/layout/process1"/>
    <dgm:cxn modelId="{75307033-3982-4510-9969-4905F99A6C27}" type="presParOf" srcId="{18046092-2901-43A7-B34E-28AB93F719C6}" destId="{3667A3C7-2A63-43C7-9481-FB02B52149EF}" srcOrd="0" destOrd="0" presId="urn:microsoft.com/office/officeart/2005/8/layout/process1"/>
    <dgm:cxn modelId="{EE93666C-52D0-49C9-AFA6-F5A6094FA248}" type="presParOf" srcId="{A72E75AF-EED7-4E15-BE9E-401865A97841}" destId="{A5FB83E1-C547-4B09-9806-222205B33E95}" srcOrd="6" destOrd="0" presId="urn:microsoft.com/office/officeart/2005/8/layout/process1"/>
    <dgm:cxn modelId="{F047C857-D522-4FDC-9169-21C6AC3F4FB8}" type="presParOf" srcId="{A72E75AF-EED7-4E15-BE9E-401865A97841}" destId="{95C9A95F-2821-435A-A03A-DB360E45A895}" srcOrd="7" destOrd="0" presId="urn:microsoft.com/office/officeart/2005/8/layout/process1"/>
    <dgm:cxn modelId="{F90DDBE5-E220-4A44-88BA-6E05574E54E5}" type="presParOf" srcId="{95C9A95F-2821-435A-A03A-DB360E45A895}" destId="{56ABC5D7-255F-4123-B577-302A4D8ECA85}" srcOrd="0" destOrd="0" presId="urn:microsoft.com/office/officeart/2005/8/layout/process1"/>
    <dgm:cxn modelId="{1C5F6EF0-E80D-43C7-9A16-385C2D68C180}" type="presParOf" srcId="{A72E75AF-EED7-4E15-BE9E-401865A97841}" destId="{5570443D-74E2-47CA-B25E-873BD4D1CD78}" srcOrd="8" destOrd="0" presId="urn:microsoft.com/office/officeart/2005/8/layout/process1"/>
    <dgm:cxn modelId="{17CDD21B-14C2-420B-991B-3D7CA8456D67}" type="presParOf" srcId="{A72E75AF-EED7-4E15-BE9E-401865A97841}" destId="{14FE45CC-FB18-4652-BD0F-00A832113944}" srcOrd="9" destOrd="0" presId="urn:microsoft.com/office/officeart/2005/8/layout/process1"/>
    <dgm:cxn modelId="{31BC561F-ABE6-4408-8298-23999E480A11}" type="presParOf" srcId="{14FE45CC-FB18-4652-BD0F-00A832113944}" destId="{824D3E0A-D48D-4CAA-B5FE-CF10B8365D6F}" srcOrd="0" destOrd="0" presId="urn:microsoft.com/office/officeart/2005/8/layout/process1"/>
    <dgm:cxn modelId="{B3FD36F9-FAD4-4DB4-8913-AB194718FC89}" type="presParOf" srcId="{A72E75AF-EED7-4E15-BE9E-401865A97841}" destId="{989DC21D-2133-4D9F-906F-FC0655070DBC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A0CB64-529B-4435-9AFD-F33F35177E42}">
      <dsp:nvSpPr>
        <dsp:cNvPr id="0" name=""/>
        <dsp:cNvSpPr/>
      </dsp:nvSpPr>
      <dsp:spPr>
        <a:xfrm>
          <a:off x="0" y="270420"/>
          <a:ext cx="776287" cy="10593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Stakeholders' contributions to LOIPR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3 months before the adoption of LOIPR</a:t>
          </a:r>
        </a:p>
      </dsp:txBody>
      <dsp:txXfrm>
        <a:off x="22737" y="293157"/>
        <a:ext cx="730813" cy="1013885"/>
      </dsp:txXfrm>
    </dsp:sp>
    <dsp:sp modelId="{4F924BE0-0E19-4E03-97E9-D3707ED425D8}">
      <dsp:nvSpPr>
        <dsp:cNvPr id="0" name=""/>
        <dsp:cNvSpPr/>
      </dsp:nvSpPr>
      <dsp:spPr>
        <a:xfrm>
          <a:off x="853916" y="703840"/>
          <a:ext cx="164572" cy="1925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853916" y="742344"/>
        <a:ext cx="115200" cy="115511"/>
      </dsp:txXfrm>
    </dsp:sp>
    <dsp:sp modelId="{DD82F45C-6D7C-4368-A1C3-2C24F19ACE21}">
      <dsp:nvSpPr>
        <dsp:cNvPr id="0" name=""/>
        <dsp:cNvSpPr/>
      </dsp:nvSpPr>
      <dsp:spPr>
        <a:xfrm>
          <a:off x="1086802" y="270420"/>
          <a:ext cx="776287" cy="10593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CRC LOIPR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CRC pre-session for the adoption of LOIPR</a:t>
          </a:r>
        </a:p>
      </dsp:txBody>
      <dsp:txXfrm>
        <a:off x="1109539" y="293157"/>
        <a:ext cx="730813" cy="1013885"/>
      </dsp:txXfrm>
    </dsp:sp>
    <dsp:sp modelId="{206ECD30-3C50-41B2-A0FF-3E1FAA28BD94}">
      <dsp:nvSpPr>
        <dsp:cNvPr id="0" name=""/>
        <dsp:cNvSpPr/>
      </dsp:nvSpPr>
      <dsp:spPr>
        <a:xfrm>
          <a:off x="1940718" y="703840"/>
          <a:ext cx="164572" cy="1925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40718" y="742344"/>
        <a:ext cx="115200" cy="115511"/>
      </dsp:txXfrm>
    </dsp:sp>
    <dsp:sp modelId="{EBA1F832-E7CB-458B-B909-65AA9AB0F447}">
      <dsp:nvSpPr>
        <dsp:cNvPr id="0" name=""/>
        <dsp:cNvSpPr/>
      </dsp:nvSpPr>
      <dsp:spPr>
        <a:xfrm>
          <a:off x="2173605" y="270420"/>
          <a:ext cx="776287" cy="10593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State party's replies to LOIPR (SP report)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 year after the  adoption of LOIPR</a:t>
          </a:r>
        </a:p>
      </dsp:txBody>
      <dsp:txXfrm>
        <a:off x="2196342" y="293157"/>
        <a:ext cx="730813" cy="1013885"/>
      </dsp:txXfrm>
    </dsp:sp>
    <dsp:sp modelId="{18046092-2901-43A7-B34E-28AB93F719C6}">
      <dsp:nvSpPr>
        <dsp:cNvPr id="0" name=""/>
        <dsp:cNvSpPr/>
      </dsp:nvSpPr>
      <dsp:spPr>
        <a:xfrm>
          <a:off x="3027521" y="703840"/>
          <a:ext cx="164572" cy="1925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027521" y="742344"/>
        <a:ext cx="115200" cy="115511"/>
      </dsp:txXfrm>
    </dsp:sp>
    <dsp:sp modelId="{A5FB83E1-C547-4B09-9806-222205B33E95}">
      <dsp:nvSpPr>
        <dsp:cNvPr id="0" name=""/>
        <dsp:cNvSpPr/>
      </dsp:nvSpPr>
      <dsp:spPr>
        <a:xfrm>
          <a:off x="3260407" y="270420"/>
          <a:ext cx="776287" cy="10593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Stakeholders' contributions to  constructive dialogue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 month before the pre-session preceding the session</a:t>
          </a:r>
        </a:p>
      </dsp:txBody>
      <dsp:txXfrm>
        <a:off x="3283144" y="293157"/>
        <a:ext cx="730813" cy="1013885"/>
      </dsp:txXfrm>
    </dsp:sp>
    <dsp:sp modelId="{95C9A95F-2821-435A-A03A-DB360E45A895}">
      <dsp:nvSpPr>
        <dsp:cNvPr id="0" name=""/>
        <dsp:cNvSpPr/>
      </dsp:nvSpPr>
      <dsp:spPr>
        <a:xfrm>
          <a:off x="4114323" y="703840"/>
          <a:ext cx="164572" cy="1925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114323" y="742344"/>
        <a:ext cx="115200" cy="115511"/>
      </dsp:txXfrm>
    </dsp:sp>
    <dsp:sp modelId="{5570443D-74E2-47CA-B25E-873BD4D1CD78}">
      <dsp:nvSpPr>
        <dsp:cNvPr id="0" name=""/>
        <dsp:cNvSpPr/>
      </dsp:nvSpPr>
      <dsp:spPr>
        <a:xfrm>
          <a:off x="4347210" y="270420"/>
          <a:ext cx="776287" cy="10593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CRC discussion with stakeholders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CRC pre-session </a:t>
          </a:r>
        </a:p>
      </dsp:txBody>
      <dsp:txXfrm>
        <a:off x="4369947" y="293157"/>
        <a:ext cx="730813" cy="1013885"/>
      </dsp:txXfrm>
    </dsp:sp>
    <dsp:sp modelId="{14FE45CC-FB18-4652-BD0F-00A832113944}">
      <dsp:nvSpPr>
        <dsp:cNvPr id="0" name=""/>
        <dsp:cNvSpPr/>
      </dsp:nvSpPr>
      <dsp:spPr>
        <a:xfrm>
          <a:off x="5201126" y="703840"/>
          <a:ext cx="164572" cy="1925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201126" y="742344"/>
        <a:ext cx="115200" cy="115511"/>
      </dsp:txXfrm>
    </dsp:sp>
    <dsp:sp modelId="{989DC21D-2133-4D9F-906F-FC0655070DBC}">
      <dsp:nvSpPr>
        <dsp:cNvPr id="0" name=""/>
        <dsp:cNvSpPr/>
      </dsp:nvSpPr>
      <dsp:spPr>
        <a:xfrm>
          <a:off x="5434012" y="270420"/>
          <a:ext cx="776287" cy="10593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CRC &amp; SP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constructive dialogue &amp; COBs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CRC session</a:t>
          </a:r>
          <a:endParaRPr lang="en-US" sz="700" b="1" kern="1200"/>
        </a:p>
      </dsp:txBody>
      <dsp:txXfrm>
        <a:off x="5456749" y="293157"/>
        <a:ext cx="730813" cy="1013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DF2E0-23B0-4328-8596-44AA7E957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4E462-4697-42BE-B2E6-21AB9B9CEF43}"/>
</file>

<file path=customXml/itemProps3.xml><?xml version="1.0" encoding="utf-8"?>
<ds:datastoreItem xmlns:ds="http://schemas.openxmlformats.org/officeDocument/2006/customXml" ds:itemID="{99256A6C-47F0-4024-B96B-873A5744FE66}"/>
</file>

<file path=customXml/itemProps4.xml><?xml version="1.0" encoding="utf-8"?>
<ds:datastoreItem xmlns:ds="http://schemas.openxmlformats.org/officeDocument/2006/customXml" ds:itemID="{8739F15D-8CFA-4B73-82A5-ED4D04A03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NASCIMENTO E SILVA Monica</dc:creator>
  <cp:keywords/>
  <dc:description/>
  <cp:lastModifiedBy>NASCIMENTO E SILVA Monica</cp:lastModifiedBy>
  <cp:revision>2</cp:revision>
  <cp:lastPrinted>2019-03-25T13:36:00Z</cp:lastPrinted>
  <dcterms:created xsi:type="dcterms:W3CDTF">2019-03-26T14:08:00Z</dcterms:created>
  <dcterms:modified xsi:type="dcterms:W3CDTF">2019-03-26T14:08:00Z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