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2812" w14:textId="04C87F5A" w:rsidR="00CA78B4" w:rsidRDefault="00CA78B4">
      <w:pPr>
        <w:rPr>
          <w:b/>
        </w:rPr>
      </w:pPr>
    </w:p>
    <w:p w14:paraId="1CD72813" w14:textId="0F06F4E7" w:rsidR="00CA78B4" w:rsidRDefault="00D36805" w:rsidP="00136139">
      <w:pPr>
        <w:jc w:val="right"/>
        <w:rPr>
          <w:b/>
        </w:rPr>
      </w:pPr>
      <w:r>
        <w:rPr>
          <w:b/>
          <w:noProof/>
        </w:rPr>
        <w:drawing>
          <wp:anchor distT="0" distB="0" distL="114300" distR="114300" simplePos="0" relativeHeight="251658241" behindDoc="0" locked="0" layoutInCell="1" allowOverlap="1" wp14:anchorId="71428E44" wp14:editId="2B6A055F">
            <wp:simplePos x="0" y="0"/>
            <wp:positionH relativeFrom="column">
              <wp:posOffset>228600</wp:posOffset>
            </wp:positionH>
            <wp:positionV relativeFrom="paragraph">
              <wp:posOffset>248285</wp:posOffset>
            </wp:positionV>
            <wp:extent cx="2560320" cy="527050"/>
            <wp:effectExtent l="0" t="0" r="0" b="6350"/>
            <wp:wrapThrough wrapText="bothSides">
              <wp:wrapPolygon edited="0">
                <wp:start x="0" y="0"/>
                <wp:lineTo x="0" y="17176"/>
                <wp:lineTo x="804" y="21080"/>
                <wp:lineTo x="2893" y="21080"/>
                <wp:lineTo x="18161" y="18737"/>
                <wp:lineTo x="18643" y="12492"/>
                <wp:lineTo x="20893" y="11711"/>
                <wp:lineTo x="21375" y="2342"/>
                <wp:lineTo x="21054"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320" cy="527050"/>
                    </a:xfrm>
                    <a:prstGeom prst="rect">
                      <a:avLst/>
                    </a:prstGeom>
                  </pic:spPr>
                </pic:pic>
              </a:graphicData>
            </a:graphic>
            <wp14:sizeRelH relativeFrom="margin">
              <wp14:pctWidth>0</wp14:pctWidth>
            </wp14:sizeRelH>
            <wp14:sizeRelV relativeFrom="margin">
              <wp14:pctHeight>0</wp14:pctHeight>
            </wp14:sizeRelV>
          </wp:anchor>
        </w:drawing>
      </w:r>
      <w:r w:rsidR="00C44F25">
        <w:rPr>
          <w:b/>
          <w:noProof/>
        </w:rPr>
        <w:drawing>
          <wp:inline distT="0" distB="0" distL="0" distR="0" wp14:anchorId="16184FAA" wp14:editId="74D0B009">
            <wp:extent cx="2407920" cy="822960"/>
            <wp:effectExtent l="0" t="0" r="0" b="0"/>
            <wp:docPr id="1340502765" name="image2.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text, application&#10;&#10;Description automatically generated"/>
                    <pic:cNvPicPr preferRelativeResize="0"/>
                  </pic:nvPicPr>
                  <pic:blipFill>
                    <a:blip r:embed="rId13"/>
                    <a:srcRect l="3343" t="21365" r="8631" b="10063"/>
                    <a:stretch>
                      <a:fillRect/>
                    </a:stretch>
                  </pic:blipFill>
                  <pic:spPr>
                    <a:xfrm>
                      <a:off x="0" y="0"/>
                      <a:ext cx="2407920" cy="822960"/>
                    </a:xfrm>
                    <a:prstGeom prst="rect">
                      <a:avLst/>
                    </a:prstGeom>
                    <a:ln/>
                  </pic:spPr>
                </pic:pic>
              </a:graphicData>
            </a:graphic>
          </wp:inline>
        </w:drawing>
      </w:r>
    </w:p>
    <w:p w14:paraId="1CD72814" w14:textId="18EDF10D" w:rsidR="00CA78B4" w:rsidRDefault="00136139">
      <w:pPr>
        <w:jc w:val="center"/>
        <w:rPr>
          <w:b/>
        </w:rPr>
      </w:pPr>
      <w:r>
        <w:rPr>
          <w:noProof/>
        </w:rPr>
        <w:drawing>
          <wp:anchor distT="0" distB="0" distL="114300" distR="114300" simplePos="0" relativeHeight="251658243" behindDoc="0" locked="0" layoutInCell="1" hidden="0" allowOverlap="1" wp14:anchorId="1CD728D0" wp14:editId="64EE7F41">
            <wp:simplePos x="0" y="0"/>
            <wp:positionH relativeFrom="column">
              <wp:posOffset>1967230</wp:posOffset>
            </wp:positionH>
            <wp:positionV relativeFrom="paragraph">
              <wp:posOffset>129540</wp:posOffset>
            </wp:positionV>
            <wp:extent cx="1817370" cy="1203960"/>
            <wp:effectExtent l="0" t="0" r="0" b="0"/>
            <wp:wrapSquare wrapText="bothSides" distT="0" distB="0" distL="114300" distR="114300"/>
            <wp:docPr id="13405027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r="5796" b="2379"/>
                    <a:stretch>
                      <a:fillRect/>
                    </a:stretch>
                  </pic:blipFill>
                  <pic:spPr>
                    <a:xfrm>
                      <a:off x="0" y="0"/>
                      <a:ext cx="1817370" cy="1203960"/>
                    </a:xfrm>
                    <a:prstGeom prst="rect">
                      <a:avLst/>
                    </a:prstGeom>
                    <a:ln/>
                  </pic:spPr>
                </pic:pic>
              </a:graphicData>
            </a:graphic>
            <wp14:sizeRelH relativeFrom="margin">
              <wp14:pctWidth>0</wp14:pctWidth>
            </wp14:sizeRelH>
            <wp14:sizeRelV relativeFrom="margin">
              <wp14:pctHeight>0</wp14:pctHeight>
            </wp14:sizeRelV>
          </wp:anchor>
        </w:drawing>
      </w:r>
      <w:r w:rsidR="00D36805">
        <w:rPr>
          <w:b/>
          <w:noProof/>
        </w:rPr>
        <w:drawing>
          <wp:anchor distT="0" distB="0" distL="114300" distR="114300" simplePos="0" relativeHeight="251658242" behindDoc="0" locked="0" layoutInCell="1" allowOverlap="1" wp14:anchorId="49AF02CC" wp14:editId="796B0440">
            <wp:simplePos x="0" y="0"/>
            <wp:positionH relativeFrom="column">
              <wp:posOffset>4122420</wp:posOffset>
            </wp:positionH>
            <wp:positionV relativeFrom="paragraph">
              <wp:posOffset>130810</wp:posOffset>
            </wp:positionV>
            <wp:extent cx="1235710" cy="1101090"/>
            <wp:effectExtent l="0" t="0" r="2540" b="3810"/>
            <wp:wrapThrough wrapText="bothSides">
              <wp:wrapPolygon edited="0">
                <wp:start x="0" y="0"/>
                <wp:lineTo x="0" y="21301"/>
                <wp:lineTo x="21311" y="21301"/>
                <wp:lineTo x="21311" y="0"/>
                <wp:lineTo x="0" y="0"/>
              </wp:wrapPolygon>
            </wp:wrapThrough>
            <wp:docPr id="13405027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235710" cy="1101090"/>
                    </a:xfrm>
                    <a:prstGeom prst="rect">
                      <a:avLst/>
                    </a:prstGeom>
                    <a:ln/>
                  </pic:spPr>
                </pic:pic>
              </a:graphicData>
            </a:graphic>
          </wp:anchor>
        </w:drawing>
      </w:r>
    </w:p>
    <w:p w14:paraId="1CD72815" w14:textId="7B453CDC" w:rsidR="00CA78B4" w:rsidRDefault="0045037E">
      <w:pPr>
        <w:rPr>
          <w:b/>
        </w:rPr>
      </w:pPr>
      <w:r>
        <w:rPr>
          <w:b/>
          <w:noProof/>
        </w:rPr>
        <w:drawing>
          <wp:anchor distT="0" distB="0" distL="114300" distR="114300" simplePos="0" relativeHeight="251658240" behindDoc="0" locked="0" layoutInCell="1" allowOverlap="1" wp14:anchorId="1D3B652E" wp14:editId="3565FE1D">
            <wp:simplePos x="0" y="0"/>
            <wp:positionH relativeFrom="column">
              <wp:posOffset>510540</wp:posOffset>
            </wp:positionH>
            <wp:positionV relativeFrom="paragraph">
              <wp:posOffset>38735</wp:posOffset>
            </wp:positionV>
            <wp:extent cx="1165860" cy="1066800"/>
            <wp:effectExtent l="0" t="0" r="0" b="0"/>
            <wp:wrapThrough wrapText="bothSides">
              <wp:wrapPolygon edited="0">
                <wp:start x="0" y="0"/>
                <wp:lineTo x="0" y="21214"/>
                <wp:lineTo x="21176" y="21214"/>
                <wp:lineTo x="21176" y="0"/>
                <wp:lineTo x="0" y="0"/>
              </wp:wrapPolygon>
            </wp:wrapThrough>
            <wp:docPr id="13405027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165860" cy="1066800"/>
                    </a:xfrm>
                    <a:prstGeom prst="rect">
                      <a:avLst/>
                    </a:prstGeom>
                    <a:ln/>
                  </pic:spPr>
                </pic:pic>
              </a:graphicData>
            </a:graphic>
            <wp14:sizeRelH relativeFrom="margin">
              <wp14:pctWidth>0</wp14:pctWidth>
            </wp14:sizeRelH>
            <wp14:sizeRelV relativeFrom="margin">
              <wp14:pctHeight>0</wp14:pctHeight>
            </wp14:sizeRelV>
          </wp:anchor>
        </w:drawing>
      </w:r>
    </w:p>
    <w:p w14:paraId="3D42885D" w14:textId="6216F967" w:rsidR="00B96B83" w:rsidRDefault="00B96B83" w:rsidP="002E08D7">
      <w:pPr>
        <w:rPr>
          <w:b/>
        </w:rPr>
      </w:pPr>
    </w:p>
    <w:p w14:paraId="20B3A062" w14:textId="150DC4D1" w:rsidR="00CE63DF" w:rsidRDefault="00CE63DF" w:rsidP="002E08D7">
      <w:pPr>
        <w:rPr>
          <w:b/>
        </w:rPr>
      </w:pPr>
      <w:r>
        <w:rPr>
          <w:b/>
        </w:rPr>
        <w:t xml:space="preserve">                                                     </w:t>
      </w:r>
    </w:p>
    <w:p w14:paraId="1827B36C" w14:textId="0FE527E9" w:rsidR="00D36805" w:rsidRDefault="00501906" w:rsidP="0045037E">
      <w:pPr>
        <w:jc w:val="right"/>
        <w:rPr>
          <w:b/>
        </w:rPr>
      </w:pPr>
      <w:r>
        <w:rPr>
          <w:b/>
        </w:rPr>
        <w:t xml:space="preserve">           </w:t>
      </w:r>
    </w:p>
    <w:p w14:paraId="124B13DE" w14:textId="349C981D" w:rsidR="00D36805" w:rsidRDefault="00D36805" w:rsidP="0045037E">
      <w:pPr>
        <w:jc w:val="right"/>
        <w:rPr>
          <w:b/>
        </w:rPr>
      </w:pPr>
    </w:p>
    <w:p w14:paraId="47DD9A25" w14:textId="6A04857D" w:rsidR="00D36805" w:rsidRDefault="00D36805" w:rsidP="0045037E">
      <w:pPr>
        <w:jc w:val="right"/>
        <w:rPr>
          <w:b/>
        </w:rPr>
      </w:pPr>
    </w:p>
    <w:p w14:paraId="247E1F08" w14:textId="52311064" w:rsidR="00D36805" w:rsidRDefault="00136139" w:rsidP="0045037E">
      <w:pPr>
        <w:jc w:val="right"/>
        <w:rPr>
          <w:b/>
        </w:rPr>
      </w:pPr>
      <w:r>
        <w:rPr>
          <w:b/>
          <w:noProof/>
        </w:rPr>
        <w:drawing>
          <wp:anchor distT="0" distB="0" distL="114300" distR="114300" simplePos="0" relativeHeight="251658244" behindDoc="0" locked="0" layoutInCell="1" allowOverlap="1" wp14:anchorId="149DFC11" wp14:editId="26A3887B">
            <wp:simplePos x="0" y="0"/>
            <wp:positionH relativeFrom="column">
              <wp:posOffset>2261235</wp:posOffset>
            </wp:positionH>
            <wp:positionV relativeFrom="paragraph">
              <wp:posOffset>171450</wp:posOffset>
            </wp:positionV>
            <wp:extent cx="1095375" cy="361950"/>
            <wp:effectExtent l="0" t="0" r="9525" b="0"/>
            <wp:wrapThrough wrapText="bothSides">
              <wp:wrapPolygon edited="0">
                <wp:start x="0" y="0"/>
                <wp:lineTo x="0" y="20463"/>
                <wp:lineTo x="21412" y="20463"/>
                <wp:lineTo x="21412" y="0"/>
                <wp:lineTo x="0" y="0"/>
              </wp:wrapPolygon>
            </wp:wrapThrough>
            <wp:docPr id="13405027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095375" cy="361950"/>
                    </a:xfrm>
                    <a:prstGeom prst="rect">
                      <a:avLst/>
                    </a:prstGeom>
                    <a:ln/>
                  </pic:spPr>
                </pic:pic>
              </a:graphicData>
            </a:graphic>
          </wp:anchor>
        </w:drawing>
      </w:r>
    </w:p>
    <w:p w14:paraId="6E685CE5" w14:textId="77777777" w:rsidR="001C0B29" w:rsidRDefault="001C0B29" w:rsidP="00ED026A">
      <w:pPr>
        <w:jc w:val="right"/>
        <w:rPr>
          <w:b/>
        </w:rPr>
      </w:pPr>
    </w:p>
    <w:p w14:paraId="6114BEAD" w14:textId="77777777" w:rsidR="00136139" w:rsidRDefault="00136139" w:rsidP="00ED026A">
      <w:pPr>
        <w:jc w:val="right"/>
        <w:rPr>
          <w:b/>
        </w:rPr>
      </w:pPr>
    </w:p>
    <w:p w14:paraId="1C281B60" w14:textId="41E52141" w:rsidR="00CA78B4" w:rsidRDefault="00E00B6B" w:rsidP="00136139">
      <w:pPr>
        <w:jc w:val="center"/>
        <w:rPr>
          <w:b/>
        </w:rPr>
      </w:pPr>
      <w:r>
        <w:rPr>
          <w:b/>
        </w:rPr>
        <w:t>Children’s Right in Society - Sweden</w:t>
      </w:r>
    </w:p>
    <w:p w14:paraId="4C44D1C7" w14:textId="3360E5DA" w:rsidR="00CE63DF" w:rsidRDefault="00CE63DF">
      <w:pPr>
        <w:jc w:val="center"/>
        <w:rPr>
          <w:b/>
        </w:rPr>
      </w:pPr>
    </w:p>
    <w:p w14:paraId="502DA871" w14:textId="2EF4AF75" w:rsidR="00CE63DF" w:rsidRDefault="00CE63DF" w:rsidP="00073E70">
      <w:pPr>
        <w:rPr>
          <w:b/>
        </w:rPr>
      </w:pPr>
    </w:p>
    <w:p w14:paraId="1CD72819" w14:textId="42C86397" w:rsidR="00CA78B4" w:rsidRPr="00936AD3" w:rsidRDefault="00E00B6B">
      <w:pPr>
        <w:jc w:val="center"/>
        <w:rPr>
          <w:rFonts w:asciiTheme="minorHAnsi" w:eastAsiaTheme="majorEastAsia" w:hAnsiTheme="minorHAnsi" w:cstheme="majorBidi"/>
          <w:b/>
          <w:color w:val="006600"/>
          <w:sz w:val="28"/>
          <w:szCs w:val="28"/>
          <w:lang w:eastAsia="en-US"/>
        </w:rPr>
      </w:pPr>
      <w:r w:rsidRPr="00936AD3">
        <w:rPr>
          <w:rFonts w:asciiTheme="minorHAnsi" w:eastAsiaTheme="majorEastAsia" w:hAnsiTheme="minorHAnsi" w:cstheme="majorBidi"/>
          <w:b/>
          <w:color w:val="006600"/>
          <w:sz w:val="28"/>
          <w:szCs w:val="28"/>
          <w:lang w:eastAsia="en-US"/>
        </w:rPr>
        <w:t xml:space="preserve">Inputs on </w:t>
      </w:r>
      <w:r w:rsidR="00392A71" w:rsidRPr="00936AD3">
        <w:rPr>
          <w:rFonts w:asciiTheme="minorHAnsi" w:eastAsiaTheme="majorEastAsia" w:hAnsiTheme="minorHAnsi" w:cstheme="majorBidi"/>
          <w:b/>
          <w:color w:val="006600"/>
          <w:sz w:val="28"/>
          <w:szCs w:val="28"/>
          <w:lang w:eastAsia="en-US"/>
        </w:rPr>
        <w:t xml:space="preserve">the </w:t>
      </w:r>
      <w:r w:rsidRPr="00936AD3">
        <w:rPr>
          <w:rFonts w:asciiTheme="minorHAnsi" w:eastAsiaTheme="majorEastAsia" w:hAnsiTheme="minorHAnsi" w:cstheme="majorBidi"/>
          <w:b/>
          <w:color w:val="006600"/>
          <w:sz w:val="28"/>
          <w:szCs w:val="28"/>
          <w:lang w:eastAsia="en-US"/>
        </w:rPr>
        <w:t xml:space="preserve">draft General Comment </w:t>
      </w:r>
      <w:r w:rsidR="00392A71" w:rsidRPr="00936AD3">
        <w:rPr>
          <w:rFonts w:asciiTheme="minorHAnsi" w:eastAsiaTheme="majorEastAsia" w:hAnsiTheme="minorHAnsi" w:cstheme="majorBidi"/>
          <w:b/>
          <w:color w:val="006600"/>
          <w:sz w:val="28"/>
          <w:szCs w:val="28"/>
          <w:lang w:eastAsia="en-US"/>
        </w:rPr>
        <w:t xml:space="preserve">of the UN Committee </w:t>
      </w:r>
      <w:r w:rsidRPr="00936AD3">
        <w:rPr>
          <w:rFonts w:asciiTheme="minorHAnsi" w:eastAsiaTheme="majorEastAsia" w:hAnsiTheme="minorHAnsi" w:cstheme="majorBidi"/>
          <w:b/>
          <w:color w:val="006600"/>
          <w:sz w:val="28"/>
          <w:szCs w:val="28"/>
          <w:lang w:eastAsia="en-US"/>
        </w:rPr>
        <w:t xml:space="preserve">on </w:t>
      </w:r>
      <w:r w:rsidR="00392A71" w:rsidRPr="00936AD3">
        <w:rPr>
          <w:rFonts w:asciiTheme="minorHAnsi" w:eastAsiaTheme="majorEastAsia" w:hAnsiTheme="minorHAnsi" w:cstheme="majorBidi"/>
          <w:b/>
          <w:color w:val="006600"/>
          <w:sz w:val="28"/>
          <w:szCs w:val="28"/>
          <w:lang w:eastAsia="en-US"/>
        </w:rPr>
        <w:t xml:space="preserve">the rights of the child </w:t>
      </w:r>
      <w:r w:rsidR="00CA18DD" w:rsidRPr="00936AD3">
        <w:rPr>
          <w:rFonts w:asciiTheme="minorHAnsi" w:eastAsiaTheme="majorEastAsia" w:hAnsiTheme="minorHAnsi" w:cstheme="majorBidi"/>
          <w:b/>
          <w:color w:val="006600"/>
          <w:sz w:val="28"/>
          <w:szCs w:val="28"/>
          <w:lang w:eastAsia="en-US"/>
        </w:rPr>
        <w:t>“C</w:t>
      </w:r>
      <w:r w:rsidRPr="00936AD3">
        <w:rPr>
          <w:rFonts w:asciiTheme="minorHAnsi" w:eastAsiaTheme="majorEastAsia" w:hAnsiTheme="minorHAnsi" w:cstheme="majorBidi"/>
          <w:b/>
          <w:color w:val="006600"/>
          <w:sz w:val="28"/>
          <w:szCs w:val="28"/>
          <w:lang w:eastAsia="en-US"/>
        </w:rPr>
        <w:t>hildren’s rights in relation to the digital environment</w:t>
      </w:r>
      <w:r w:rsidR="00CA18DD" w:rsidRPr="00936AD3">
        <w:rPr>
          <w:rFonts w:asciiTheme="minorHAnsi" w:eastAsiaTheme="majorEastAsia" w:hAnsiTheme="minorHAnsi" w:cstheme="majorBidi"/>
          <w:b/>
          <w:color w:val="006600"/>
          <w:sz w:val="28"/>
          <w:szCs w:val="28"/>
          <w:lang w:eastAsia="en-US"/>
        </w:rPr>
        <w:t>”</w:t>
      </w:r>
    </w:p>
    <w:p w14:paraId="1CD7281A" w14:textId="77777777" w:rsidR="00CA78B4" w:rsidRDefault="00CA78B4">
      <w:pPr>
        <w:rPr>
          <w:b/>
        </w:rPr>
      </w:pPr>
    </w:p>
    <w:p w14:paraId="1CD7281B" w14:textId="07577995" w:rsidR="00CA78B4" w:rsidRPr="00474D00" w:rsidRDefault="00E00B6B">
      <w:pPr>
        <w:jc w:val="both"/>
      </w:pPr>
      <w:r>
        <w:rPr>
          <w:i/>
        </w:rPr>
        <w:t>Joint submission from</w:t>
      </w:r>
      <w:r>
        <w:t xml:space="preserve"> </w:t>
      </w:r>
      <w:r w:rsidR="00474D00">
        <w:rPr>
          <w:i/>
          <w:iCs/>
        </w:rPr>
        <w:t>t</w:t>
      </w:r>
      <w:r w:rsidR="00474D00" w:rsidRPr="5922C44D">
        <w:rPr>
          <w:i/>
          <w:iCs/>
        </w:rPr>
        <w:t>he Centre for Children’s Rights at Queen's University Belfast</w:t>
      </w:r>
      <w:r w:rsidR="00474D00">
        <w:t>,</w:t>
      </w:r>
      <w:r>
        <w:t xml:space="preserve"> </w:t>
      </w:r>
      <w:r>
        <w:rPr>
          <w:i/>
        </w:rPr>
        <w:t>the</w:t>
      </w:r>
      <w:r>
        <w:t xml:space="preserve"> </w:t>
      </w:r>
      <w:r>
        <w:rPr>
          <w:i/>
        </w:rPr>
        <w:t xml:space="preserve">School of Education of University College Dublin </w:t>
      </w:r>
      <w:r w:rsidR="00842F7F">
        <w:rPr>
          <w:i/>
        </w:rPr>
        <w:t xml:space="preserve">and </w:t>
      </w:r>
      <w:r>
        <w:rPr>
          <w:i/>
        </w:rPr>
        <w:t>Child Rights Connect</w:t>
      </w:r>
      <w:r w:rsidR="009934FB">
        <w:rPr>
          <w:i/>
        </w:rPr>
        <w:t xml:space="preserve"> </w:t>
      </w:r>
      <w:r>
        <w:rPr>
          <w:i/>
        </w:rPr>
        <w:t>including</w:t>
      </w:r>
      <w:r w:rsidR="009934FB">
        <w:rPr>
          <w:i/>
        </w:rPr>
        <w:t xml:space="preserve"> its members</w:t>
      </w:r>
      <w:r>
        <w:rPr>
          <w:i/>
        </w:rPr>
        <w:t xml:space="preserve"> the </w:t>
      </w:r>
      <w:proofErr w:type="spellStart"/>
      <w:r>
        <w:rPr>
          <w:i/>
        </w:rPr>
        <w:t>Aliance</w:t>
      </w:r>
      <w:proofErr w:type="spellEnd"/>
      <w:r>
        <w:rPr>
          <w:i/>
        </w:rPr>
        <w:t xml:space="preserve"> za </w:t>
      </w:r>
      <w:proofErr w:type="spellStart"/>
      <w:r>
        <w:rPr>
          <w:i/>
        </w:rPr>
        <w:t>dětská</w:t>
      </w:r>
      <w:proofErr w:type="spellEnd"/>
      <w:r>
        <w:rPr>
          <w:i/>
        </w:rPr>
        <w:t xml:space="preserve"> </w:t>
      </w:r>
      <w:proofErr w:type="spellStart"/>
      <w:r>
        <w:rPr>
          <w:i/>
        </w:rPr>
        <w:t>práva</w:t>
      </w:r>
      <w:proofErr w:type="spellEnd"/>
      <w:r>
        <w:rPr>
          <w:i/>
        </w:rPr>
        <w:t xml:space="preserve"> (Alliance for the Rights of the Child- Czech Republic), Child Rights Information Centre Moldova and the</w:t>
      </w:r>
      <w:r>
        <w:rPr>
          <w:i/>
          <w:sz w:val="22"/>
          <w:szCs w:val="22"/>
        </w:rPr>
        <w:t xml:space="preserve"> </w:t>
      </w:r>
      <w:r>
        <w:rPr>
          <w:i/>
        </w:rPr>
        <w:t>Women’s World Summit Foundation (WWSF)</w:t>
      </w:r>
      <w:r w:rsidR="009934FB">
        <w:rPr>
          <w:i/>
        </w:rPr>
        <w:t>;</w:t>
      </w:r>
      <w:r w:rsidR="002D6A4C">
        <w:rPr>
          <w:i/>
        </w:rPr>
        <w:t xml:space="preserve"> as well</w:t>
      </w:r>
      <w:r w:rsidR="00645EF9">
        <w:rPr>
          <w:i/>
        </w:rPr>
        <w:t xml:space="preserve"> </w:t>
      </w:r>
      <w:r w:rsidR="002D6A4C">
        <w:rPr>
          <w:i/>
        </w:rPr>
        <w:t>as</w:t>
      </w:r>
      <w:r w:rsidR="009934FB">
        <w:rPr>
          <w:i/>
        </w:rPr>
        <w:t xml:space="preserve"> </w:t>
      </w:r>
      <w:r w:rsidR="00645EF9">
        <w:rPr>
          <w:i/>
        </w:rPr>
        <w:t>welcome support from partner organisation BRIS: Children’s Right in Society-Sweden</w:t>
      </w:r>
      <w:r w:rsidR="002D6A4C">
        <w:rPr>
          <w:i/>
        </w:rPr>
        <w:t>.</w:t>
      </w:r>
    </w:p>
    <w:p w14:paraId="1CD7281C" w14:textId="77777777" w:rsidR="00CA78B4" w:rsidRDefault="00CA78B4">
      <w:pPr>
        <w:jc w:val="both"/>
        <w:rPr>
          <w:b/>
          <w:sz w:val="22"/>
          <w:szCs w:val="22"/>
        </w:rPr>
      </w:pPr>
    </w:p>
    <w:p w14:paraId="1CD7281E" w14:textId="64982674" w:rsidR="00CA78B4" w:rsidRDefault="00E00B6B">
      <w:pPr>
        <w:jc w:val="both"/>
      </w:pPr>
      <w:r>
        <w:t>This focused submission is directly informed by the views and recommendations of more than 35 children, aged 13 to 18 years old, from 15 countries in all regions of the world, who use the digital environment to act as human rights defenders. The views were collected as part of a study exploring in-depth the issues raised by</w:t>
      </w:r>
      <w:r w:rsidR="00202D28">
        <w:t xml:space="preserve"> </w:t>
      </w:r>
      <w:r>
        <w:t xml:space="preserve">Child Human Rights Defenders (CHRDs) specifically related to the digital environment as part of the global consultation for the UN Committee on the Rights of the Child’s </w:t>
      </w:r>
      <w:hyperlink r:id="rId18" w:anchor=":~:text=Day%20of%20General%20Discussion%3A%20%22Protecting,instrument%2C%20with%20196%20States%20parties.">
        <w:r>
          <w:rPr>
            <w:color w:val="0563C1"/>
            <w:u w:val="single"/>
          </w:rPr>
          <w:t>Day of General Discussion in 2018</w:t>
        </w:r>
      </w:hyperlink>
      <w:r>
        <w:rPr>
          <w:vertAlign w:val="superscript"/>
        </w:rPr>
        <w:footnoteReference w:id="2"/>
      </w:r>
      <w:r>
        <w:t xml:space="preserve">. </w:t>
      </w:r>
    </w:p>
    <w:p w14:paraId="1CD7281F" w14:textId="77777777" w:rsidR="00CA78B4" w:rsidRDefault="00CA78B4">
      <w:pPr>
        <w:jc w:val="both"/>
      </w:pPr>
    </w:p>
    <w:p w14:paraId="1CD72820" w14:textId="77777777" w:rsidR="00CA78B4" w:rsidRPr="00A2096C" w:rsidRDefault="00E00B6B">
      <w:pPr>
        <w:jc w:val="both"/>
      </w:pPr>
      <w:r w:rsidRPr="00A2096C">
        <w:t xml:space="preserve">Children’s main recommendations to make sure that CHRD are recognised, </w:t>
      </w:r>
      <w:proofErr w:type="gramStart"/>
      <w:r w:rsidRPr="00A2096C">
        <w:t>empowered</w:t>
      </w:r>
      <w:proofErr w:type="gramEnd"/>
      <w:r w:rsidRPr="00A2096C">
        <w:t xml:space="preserve"> and protected in the digital environment concern: </w:t>
      </w:r>
    </w:p>
    <w:p w14:paraId="1CD72821" w14:textId="2B84C312" w:rsidR="00CA78B4" w:rsidRPr="003A6239" w:rsidRDefault="00E00B6B">
      <w:pPr>
        <w:numPr>
          <w:ilvl w:val="0"/>
          <w:numId w:val="2"/>
        </w:numPr>
        <w:jc w:val="both"/>
      </w:pPr>
      <w:r w:rsidRPr="003A6239">
        <w:t>Addressing the negative experiences of CHRDs caused by people,</w:t>
      </w:r>
      <w:r w:rsidR="00E264F4" w:rsidRPr="003A6239">
        <w:rPr>
          <w:bCs/>
        </w:rPr>
        <w:t xml:space="preserve"> </w:t>
      </w:r>
      <w:r w:rsidRPr="003A6239">
        <w:t xml:space="preserve">companies and </w:t>
      </w:r>
      <w:proofErr w:type="gramStart"/>
      <w:r w:rsidRPr="003A6239">
        <w:t>legislations;</w:t>
      </w:r>
      <w:proofErr w:type="gramEnd"/>
      <w:r w:rsidRPr="003A6239">
        <w:t xml:space="preserve"> </w:t>
      </w:r>
    </w:p>
    <w:p w14:paraId="1CD72822" w14:textId="77777777" w:rsidR="00CA78B4" w:rsidRPr="003A6239" w:rsidRDefault="00E00B6B">
      <w:pPr>
        <w:numPr>
          <w:ilvl w:val="0"/>
          <w:numId w:val="2"/>
        </w:numPr>
        <w:jc w:val="both"/>
      </w:pPr>
      <w:r w:rsidRPr="003A6239">
        <w:t xml:space="preserve">Recognising children’s active engagement with the digital environment and this space as an enabler of communication and collaboration among </w:t>
      </w:r>
      <w:proofErr w:type="gramStart"/>
      <w:r w:rsidRPr="003A6239">
        <w:t>CHRDs;</w:t>
      </w:r>
      <w:proofErr w:type="gramEnd"/>
      <w:r w:rsidRPr="003A6239">
        <w:t xml:space="preserve">  </w:t>
      </w:r>
    </w:p>
    <w:p w14:paraId="1CD72823" w14:textId="77777777" w:rsidR="00CA78B4" w:rsidRPr="003A6239" w:rsidRDefault="00E00B6B">
      <w:pPr>
        <w:numPr>
          <w:ilvl w:val="0"/>
          <w:numId w:val="2"/>
        </w:numPr>
        <w:jc w:val="both"/>
      </w:pPr>
      <w:r w:rsidRPr="003A6239">
        <w:t>Taking advantage of the digital environment as an effective platform to disseminate the work of CHRDs, and</w:t>
      </w:r>
    </w:p>
    <w:p w14:paraId="1CD72824" w14:textId="76F08E97" w:rsidR="00CA78B4" w:rsidRPr="003A6239" w:rsidRDefault="00E00B6B">
      <w:pPr>
        <w:numPr>
          <w:ilvl w:val="0"/>
          <w:numId w:val="2"/>
        </w:numPr>
        <w:jc w:val="both"/>
      </w:pPr>
      <w:r w:rsidRPr="003A6239">
        <w:t>Promoting greater support from adults to secure full participation of children.</w:t>
      </w:r>
    </w:p>
    <w:p w14:paraId="29B8C4BD" w14:textId="77777777" w:rsidR="00A2096C" w:rsidRPr="00A2096C" w:rsidRDefault="00A2096C" w:rsidP="00A2096C">
      <w:pPr>
        <w:ind w:left="720"/>
        <w:jc w:val="both"/>
        <w:rPr>
          <w:b/>
        </w:rPr>
      </w:pPr>
    </w:p>
    <w:p w14:paraId="1CD72826" w14:textId="533AEAC9" w:rsidR="00CA78B4" w:rsidRDefault="00E00B6B">
      <w:pPr>
        <w:jc w:val="both"/>
      </w:pPr>
      <w:r>
        <w:t xml:space="preserve">All suggested modifications and additions to the text of the draft general comment are included below in </w:t>
      </w:r>
      <w:r>
        <w:rPr>
          <w:b/>
          <w:color w:val="FF0000"/>
        </w:rPr>
        <w:t>red colour</w:t>
      </w:r>
      <w:r>
        <w:t>.</w:t>
      </w:r>
    </w:p>
    <w:p w14:paraId="164E15D6" w14:textId="4CA86D09" w:rsidR="00E44F3E" w:rsidRDefault="00E44F3E">
      <w:pPr>
        <w:jc w:val="both"/>
      </w:pPr>
    </w:p>
    <w:p w14:paraId="746BD83E" w14:textId="77777777" w:rsidR="00E44F3E" w:rsidRPr="003A6239" w:rsidRDefault="00E44F3E">
      <w:pPr>
        <w:jc w:val="both"/>
      </w:pPr>
    </w:p>
    <w:p w14:paraId="1CD72827" w14:textId="77777777" w:rsidR="00CA78B4" w:rsidRPr="00DB6AFF" w:rsidRDefault="00E00B6B">
      <w:pPr>
        <w:numPr>
          <w:ilvl w:val="0"/>
          <w:numId w:val="3"/>
        </w:numPr>
        <w:pBdr>
          <w:top w:val="nil"/>
          <w:left w:val="nil"/>
          <w:bottom w:val="nil"/>
          <w:right w:val="nil"/>
          <w:between w:val="nil"/>
        </w:pBdr>
        <w:jc w:val="both"/>
        <w:rPr>
          <w:b/>
          <w:i/>
          <w:color w:val="006600"/>
        </w:rPr>
      </w:pPr>
      <w:r w:rsidRPr="00DB6AFF">
        <w:rPr>
          <w:b/>
          <w:i/>
          <w:color w:val="006600"/>
        </w:rPr>
        <w:t xml:space="preserve">Addressing the negative experiences of CHRDs caused by people, </w:t>
      </w:r>
      <w:proofErr w:type="gramStart"/>
      <w:r w:rsidRPr="00DB6AFF">
        <w:rPr>
          <w:b/>
          <w:i/>
          <w:color w:val="006600"/>
        </w:rPr>
        <w:t>companies</w:t>
      </w:r>
      <w:proofErr w:type="gramEnd"/>
      <w:r w:rsidRPr="00DB6AFF">
        <w:rPr>
          <w:b/>
          <w:i/>
          <w:color w:val="006600"/>
        </w:rPr>
        <w:t xml:space="preserve"> and legislations</w:t>
      </w:r>
    </w:p>
    <w:p w14:paraId="1CD72828" w14:textId="77777777" w:rsidR="00CA78B4" w:rsidRDefault="00CA78B4">
      <w:pPr>
        <w:jc w:val="both"/>
      </w:pPr>
    </w:p>
    <w:p w14:paraId="1CD72829" w14:textId="77777777" w:rsidR="00CA78B4" w:rsidRDefault="00E00B6B">
      <w:pPr>
        <w:jc w:val="both"/>
      </w:pPr>
      <w:r>
        <w:t xml:space="preserve">As violence, bullying and harassment online are the most recurrent problems CHRDs face in the digital environment, actions to tackle hurtful treatment was one of the most urgent recommendations. CHRDs want to be sure that there are consequences for those individuals that harass or attack children online, so they want governments to develop adequate national and international legislation. However, for CHRDs there is a distinction in types of negative experiences they face when exercising their rights and promoting the rights of others in the digital environment. </w:t>
      </w:r>
      <w:r>
        <w:rPr>
          <w:b/>
        </w:rPr>
        <w:t>Whereas some negative experiences are linked to behaviour of individuals, others are the result of inadequate policies to protect them, structures that are not designed for them to navigate effectively, and mechanisms which are too complex for them to use effectively</w:t>
      </w:r>
      <w:r>
        <w:t xml:space="preserve">. As a result, their actions as defenders, their own safety and protection are at </w:t>
      </w:r>
      <w:proofErr w:type="gramStart"/>
      <w:r>
        <w:t>risk;</w:t>
      </w:r>
      <w:proofErr w:type="gramEnd"/>
      <w:r>
        <w:t xml:space="preserve"> which is why </w:t>
      </w:r>
      <w:r>
        <w:rPr>
          <w:b/>
        </w:rPr>
        <w:t>they recommended an evaluation of the policies, structures and mechanisms</w:t>
      </w:r>
      <w:r>
        <w:t xml:space="preserve"> currently available. Such evaluation would have to be </w:t>
      </w:r>
      <w:r>
        <w:rPr>
          <w:b/>
        </w:rPr>
        <w:t>conducted in collaboration with children</w:t>
      </w:r>
      <w:r>
        <w:t xml:space="preserve"> </w:t>
      </w:r>
      <w:r>
        <w:rPr>
          <w:b/>
        </w:rPr>
        <w:t xml:space="preserve">to make sure that any changes proposed actually </w:t>
      </w:r>
      <w:proofErr w:type="gramStart"/>
      <w:r>
        <w:rPr>
          <w:b/>
        </w:rPr>
        <w:t>takes into account</w:t>
      </w:r>
      <w:proofErr w:type="gramEnd"/>
      <w:r>
        <w:rPr>
          <w:b/>
        </w:rPr>
        <w:t xml:space="preserve"> their views, needs and rights</w:t>
      </w:r>
      <w:r>
        <w:t>. The participation of children is essential to make sure that structures and mechanisms are not designed in a way that will cause them harm or put them at risk. Moreover, it is essential to differentiate the obligations of States with regards of regulating and controlling the activities of the business sector and other actors, and those areas where cooperation is needed between the public and private sectors.</w:t>
      </w:r>
    </w:p>
    <w:p w14:paraId="1CD7282A" w14:textId="77777777" w:rsidR="00CA78B4" w:rsidRDefault="00CA78B4">
      <w:pPr>
        <w:jc w:val="both"/>
      </w:pPr>
    </w:p>
    <w:p w14:paraId="1CD7282B" w14:textId="77777777" w:rsidR="00CA78B4" w:rsidRDefault="00E00B6B">
      <w:pPr>
        <w:jc w:val="both"/>
      </w:pPr>
      <w:r>
        <w:t xml:space="preserve"> The suggested changes to the GC25 from this recommendation are: </w:t>
      </w:r>
    </w:p>
    <w:p w14:paraId="1CD7282C" w14:textId="77777777" w:rsidR="00CA78B4" w:rsidRDefault="00CA78B4">
      <w:pPr>
        <w:jc w:val="both"/>
        <w:rPr>
          <w:u w:val="single"/>
        </w:rPr>
      </w:pPr>
    </w:p>
    <w:p w14:paraId="1CD7282D" w14:textId="77777777" w:rsidR="00CA78B4" w:rsidRDefault="00E00B6B">
      <w:pPr>
        <w:jc w:val="both"/>
        <w:rPr>
          <w:u w:val="single"/>
        </w:rPr>
      </w:pPr>
      <w:r>
        <w:rPr>
          <w:u w:val="single"/>
        </w:rPr>
        <w:t>C.</w:t>
      </w:r>
      <w:r>
        <w:rPr>
          <w:u w:val="single"/>
        </w:rPr>
        <w:tab/>
        <w:t xml:space="preserve">Right to life, </w:t>
      </w:r>
      <w:proofErr w:type="gramStart"/>
      <w:r>
        <w:rPr>
          <w:u w:val="single"/>
        </w:rPr>
        <w:t>survival</w:t>
      </w:r>
      <w:proofErr w:type="gramEnd"/>
      <w:r>
        <w:rPr>
          <w:u w:val="single"/>
        </w:rPr>
        <w:t xml:space="preserve"> and development (art. 6)</w:t>
      </w:r>
    </w:p>
    <w:p w14:paraId="1CD7282E" w14:textId="77777777" w:rsidR="00CA78B4" w:rsidRDefault="00CA78B4">
      <w:pPr>
        <w:pBdr>
          <w:top w:val="nil"/>
          <w:left w:val="nil"/>
          <w:bottom w:val="nil"/>
          <w:right w:val="nil"/>
          <w:between w:val="nil"/>
        </w:pBdr>
        <w:spacing w:after="120"/>
        <w:ind w:left="1134" w:right="1134"/>
        <w:jc w:val="both"/>
        <w:rPr>
          <w:rFonts w:ascii="Times New Roman" w:eastAsia="Times New Roman" w:hAnsi="Times New Roman" w:cs="Times New Roman"/>
          <w:color w:val="000000"/>
          <w:sz w:val="20"/>
          <w:szCs w:val="20"/>
        </w:rPr>
      </w:pPr>
    </w:p>
    <w:p w14:paraId="1CD7282F" w14:textId="1C40C3C4" w:rsidR="00CA78B4" w:rsidRDefault="00E00B6B">
      <w:pPr>
        <w:jc w:val="both"/>
        <w:rPr>
          <w:color w:val="FF0000"/>
          <w:sz w:val="14"/>
          <w:szCs w:val="14"/>
        </w:rPr>
      </w:pPr>
      <w:r>
        <w:rPr>
          <w:b/>
        </w:rPr>
        <w:t>Par. 17</w:t>
      </w:r>
      <w:r w:rsidRPr="14822C41">
        <w:rPr>
          <w:b/>
          <w:bCs/>
        </w:rPr>
        <w:t xml:space="preserve">- </w:t>
      </w:r>
      <w:r>
        <w:t>“</w:t>
      </w:r>
      <w:r w:rsidR="00451C31">
        <w:t>(…)</w:t>
      </w:r>
      <w:r>
        <w:t xml:space="preserve"> Moreover, </w:t>
      </w:r>
      <w:r>
        <w:rPr>
          <w:b/>
          <w:color w:val="FF0000"/>
        </w:rPr>
        <w:t>States must adopt a precautionary approach concerning the potential effect of the use of digital devices in the increase of the risk of digital addiction</w:t>
      </w:r>
      <w:r>
        <w:t xml:space="preserve">. Uses of digital technologies may help or hinder children’s development, depending on their design, </w:t>
      </w:r>
      <w:proofErr w:type="gramStart"/>
      <w:r>
        <w:t>purpose</w:t>
      </w:r>
      <w:proofErr w:type="gramEnd"/>
      <w:r>
        <w:t xml:space="preserve"> and use. </w:t>
      </w:r>
      <w:r>
        <w:rPr>
          <w:b/>
          <w:color w:val="FF0000"/>
        </w:rPr>
        <w:t xml:space="preserve">Hence, States </w:t>
      </w:r>
      <w:r w:rsidRPr="004D5026">
        <w:rPr>
          <w:b/>
          <w:color w:val="FF0000"/>
        </w:rPr>
        <w:t xml:space="preserve">must </w:t>
      </w:r>
      <w:r>
        <w:rPr>
          <w:b/>
          <w:color w:val="FF0000"/>
        </w:rPr>
        <w:t>regulate and control the design and production of digital devices and services by businesses and other private actors, so it does not affect children’s right to life, survival, and development.</w:t>
      </w:r>
      <w:r>
        <w:t xml:space="preserve"> (…)” </w:t>
      </w:r>
    </w:p>
    <w:p w14:paraId="1CD72830" w14:textId="77777777" w:rsidR="00CA78B4" w:rsidRDefault="00CA78B4">
      <w:pPr>
        <w:jc w:val="both"/>
      </w:pPr>
    </w:p>
    <w:p w14:paraId="614D6E48" w14:textId="77777777" w:rsidR="00614ADA" w:rsidRDefault="00E00B6B">
      <w:pPr>
        <w:jc w:val="both"/>
      </w:pPr>
      <w:r>
        <w:t>[rationale:</w:t>
      </w:r>
    </w:p>
    <w:p w14:paraId="336A5313" w14:textId="66F6ACFF" w:rsidR="00614ADA" w:rsidRPr="004D5026" w:rsidRDefault="00BD368C" w:rsidP="00614ADA">
      <w:pPr>
        <w:pStyle w:val="ListParagraph"/>
        <w:numPr>
          <w:ilvl w:val="0"/>
          <w:numId w:val="7"/>
        </w:numPr>
        <w:jc w:val="both"/>
      </w:pPr>
      <w:r w:rsidRPr="004D5026">
        <w:t>Where</w:t>
      </w:r>
      <w:r w:rsidR="00165C64" w:rsidRPr="004D5026">
        <w:t xml:space="preserve"> we </w:t>
      </w:r>
      <w:r w:rsidR="00AD0FD3" w:rsidRPr="004D5026">
        <w:t xml:space="preserve">propose to change </w:t>
      </w:r>
      <w:r w:rsidR="00614ADA" w:rsidRPr="004D5026">
        <w:t xml:space="preserve">the </w:t>
      </w:r>
      <w:r w:rsidR="00AD0FD3" w:rsidRPr="004D5026">
        <w:t>word “should” for the word “must”</w:t>
      </w:r>
      <w:r w:rsidR="00EC2A23" w:rsidRPr="004D5026">
        <w:t>, this is</w:t>
      </w:r>
      <w:r w:rsidR="00E00B6B" w:rsidRPr="004D5026">
        <w:t xml:space="preserve"> </w:t>
      </w:r>
      <w:r w:rsidR="00AD0FD3" w:rsidRPr="004D5026">
        <w:t xml:space="preserve">to </w:t>
      </w:r>
      <w:r w:rsidR="00C030A2" w:rsidRPr="004D5026">
        <w:t>better</w:t>
      </w:r>
      <w:r w:rsidR="00AD0FD3" w:rsidRPr="004D5026">
        <w:t xml:space="preserve"> reflect</w:t>
      </w:r>
      <w:r w:rsidR="00582238" w:rsidRPr="004D5026">
        <w:t>/reinforce</w:t>
      </w:r>
      <w:r w:rsidR="00AD0FD3" w:rsidRPr="004D5026">
        <w:t xml:space="preserve"> States obligations vis-à-vis the Convention.</w:t>
      </w:r>
      <w:r w:rsidR="00E00B6B" w:rsidRPr="004D5026">
        <w:t xml:space="preserve"> </w:t>
      </w:r>
      <w:r w:rsidR="00785BEE">
        <w:t>The CRC</w:t>
      </w:r>
      <w:r w:rsidR="00785BEE">
        <w:rPr>
          <w:rStyle w:val="FootnoteReference"/>
        </w:rPr>
        <w:footnoteReference w:id="3"/>
      </w:r>
      <w:r w:rsidR="00785BEE">
        <w:t xml:space="preserve"> and</w:t>
      </w:r>
      <w:r w:rsidR="00C25490">
        <w:t xml:space="preserve"> other</w:t>
      </w:r>
      <w:r w:rsidR="00FF3D78" w:rsidRPr="004D5026">
        <w:t xml:space="preserve"> treaty bodies such as the CCPR</w:t>
      </w:r>
      <w:r w:rsidR="004F29B5">
        <w:t>, CEDAW, CRPD and CMW</w:t>
      </w:r>
      <w:r w:rsidR="00FF3D78" w:rsidRPr="004D5026">
        <w:t xml:space="preserve"> </w:t>
      </w:r>
      <w:r w:rsidR="00614ADA" w:rsidRPr="004D5026">
        <w:t>already include this wording in their general comments.</w:t>
      </w:r>
    </w:p>
    <w:p w14:paraId="1CD72831" w14:textId="5E366295" w:rsidR="00CA78B4" w:rsidRDefault="00FF3D78" w:rsidP="00614ADA">
      <w:pPr>
        <w:pStyle w:val="ListParagraph"/>
        <w:numPr>
          <w:ilvl w:val="0"/>
          <w:numId w:val="7"/>
        </w:numPr>
        <w:jc w:val="both"/>
      </w:pPr>
      <w:r>
        <w:t>T</w:t>
      </w:r>
      <w:r w:rsidR="00E00B6B">
        <w:t xml:space="preserve">he same way the State regulates and controls other private activities and services outside the digital environment, it </w:t>
      </w:r>
      <w:r w:rsidR="006565B6">
        <w:t>must</w:t>
      </w:r>
      <w:r w:rsidR="00E00B6B">
        <w:t xml:space="preserve"> also do so in this case to avoid any potential risks or harms to children. Even if there is “insufficient evidence” (quoting the original par. 17), the mere existence of indications of potential risks and harms is enough to establish preventive measures.</w:t>
      </w:r>
      <w:r w:rsidR="00614ADA" w:rsidRPr="00614ADA">
        <w:t>]</w:t>
      </w:r>
    </w:p>
    <w:p w14:paraId="1CD72834" w14:textId="77777777" w:rsidR="00CA78B4" w:rsidRDefault="00CA78B4">
      <w:pPr>
        <w:jc w:val="both"/>
        <w:rPr>
          <w:u w:val="single"/>
        </w:rPr>
      </w:pPr>
    </w:p>
    <w:p w14:paraId="1CD72835" w14:textId="77777777" w:rsidR="00CA78B4" w:rsidRDefault="00E00B6B">
      <w:pPr>
        <w:jc w:val="both"/>
        <w:rPr>
          <w:u w:val="single"/>
        </w:rPr>
      </w:pPr>
      <w:r>
        <w:rPr>
          <w:u w:val="single"/>
        </w:rPr>
        <w:t xml:space="preserve">D. The right to be heard (art. 12) </w:t>
      </w:r>
    </w:p>
    <w:p w14:paraId="1CD72837" w14:textId="2FB101F1" w:rsidR="00CA78B4" w:rsidRPr="003B09E2" w:rsidRDefault="00E00B6B">
      <w:pPr>
        <w:jc w:val="both"/>
        <w:rPr>
          <w:b/>
        </w:rPr>
      </w:pPr>
      <w:r>
        <w:rPr>
          <w:b/>
        </w:rPr>
        <w:t xml:space="preserve">Par. 19 </w:t>
      </w:r>
      <w:proofErr w:type="gramStart"/>
      <w:r>
        <w:rPr>
          <w:b/>
        </w:rPr>
        <w:t xml:space="preserve">– </w:t>
      </w:r>
      <w:r w:rsidR="003B09E2">
        <w:rPr>
          <w:b/>
        </w:rPr>
        <w:t xml:space="preserve"> </w:t>
      </w:r>
      <w:r>
        <w:t>“</w:t>
      </w:r>
      <w:proofErr w:type="gramEnd"/>
      <w:r w:rsidR="007A3CBF">
        <w:t xml:space="preserve">(…) due weight to their </w:t>
      </w:r>
      <w:r w:rsidR="006301BB">
        <w:t>views</w:t>
      </w:r>
      <w:r w:rsidR="007A3CBF">
        <w:t>.</w:t>
      </w:r>
      <w:r>
        <w:t xml:space="preserve"> </w:t>
      </w:r>
      <w:r>
        <w:rPr>
          <w:b/>
          <w:color w:val="FF0000"/>
        </w:rPr>
        <w:t xml:space="preserve">States should ensure the rights of children to be heard and act upon children’s views about the design, purpose and use of digital technologies, </w:t>
      </w:r>
      <w:proofErr w:type="gramStart"/>
      <w:r>
        <w:rPr>
          <w:b/>
          <w:color w:val="FF0000"/>
        </w:rPr>
        <w:t>services</w:t>
      </w:r>
      <w:proofErr w:type="gramEnd"/>
      <w:r>
        <w:rPr>
          <w:b/>
          <w:color w:val="FF0000"/>
        </w:rPr>
        <w:t xml:space="preserve"> and devices</w:t>
      </w:r>
      <w:r>
        <w:t>. States should</w:t>
      </w:r>
      <w:r w:rsidR="00D020C1">
        <w:t xml:space="preserve"> (…)</w:t>
      </w:r>
      <w:r>
        <w:t>.”</w:t>
      </w:r>
    </w:p>
    <w:p w14:paraId="1CD72838" w14:textId="77777777" w:rsidR="00CA78B4" w:rsidRDefault="00CA78B4">
      <w:pPr>
        <w:jc w:val="both"/>
      </w:pPr>
    </w:p>
    <w:p w14:paraId="1CD72839" w14:textId="77777777" w:rsidR="00CA78B4" w:rsidRDefault="00E00B6B">
      <w:pPr>
        <w:jc w:val="both"/>
        <w:rPr>
          <w:u w:val="single"/>
        </w:rPr>
      </w:pPr>
      <w:r>
        <w:rPr>
          <w:u w:val="single"/>
        </w:rPr>
        <w:t>I. The business sector</w:t>
      </w:r>
    </w:p>
    <w:p w14:paraId="1CD7283A" w14:textId="14EABDDF" w:rsidR="00CA78B4" w:rsidRDefault="00E00B6B">
      <w:pPr>
        <w:jc w:val="both"/>
      </w:pPr>
      <w:r>
        <w:rPr>
          <w:b/>
        </w:rPr>
        <w:t>Par. 37</w:t>
      </w:r>
      <w:r>
        <w:t xml:space="preserve">- “States </w:t>
      </w:r>
      <w:r>
        <w:rPr>
          <w:b/>
          <w:color w:val="FF0000"/>
        </w:rPr>
        <w:t>must</w:t>
      </w:r>
      <w:r>
        <w:t xml:space="preserve"> require businesses to prevent their networks or online services from being misused for purposes that threaten children’s safety and well-being</w:t>
      </w:r>
      <w:r w:rsidR="00FD1C0F">
        <w:t xml:space="preserve"> (…)</w:t>
      </w:r>
      <w:r>
        <w:t>”.</w:t>
      </w:r>
    </w:p>
    <w:p w14:paraId="1CD7283B" w14:textId="77777777" w:rsidR="00CA78B4" w:rsidRDefault="00CA78B4">
      <w:pPr>
        <w:jc w:val="both"/>
      </w:pPr>
    </w:p>
    <w:p w14:paraId="1CD7283C" w14:textId="77777777" w:rsidR="00CA78B4" w:rsidRDefault="00E00B6B">
      <w:pPr>
        <w:jc w:val="both"/>
      </w:pPr>
      <w:r>
        <w:rPr>
          <w:b/>
        </w:rPr>
        <w:t>Par. 38</w:t>
      </w:r>
      <w:r>
        <w:t xml:space="preserve">- “(…) States </w:t>
      </w:r>
      <w:r>
        <w:rPr>
          <w:b/>
          <w:color w:val="FF0000"/>
        </w:rPr>
        <w:t>must</w:t>
      </w:r>
      <w:r>
        <w:rPr>
          <w:color w:val="FF0000"/>
        </w:rPr>
        <w:t xml:space="preserve"> </w:t>
      </w:r>
      <w:r>
        <w:t>take appropriate steps to prevent, monitor, and investigate child rights violations by businesses in the digital environment”.</w:t>
      </w:r>
    </w:p>
    <w:p w14:paraId="1CD7283D" w14:textId="77777777" w:rsidR="00CA78B4" w:rsidRDefault="00CA78B4">
      <w:pPr>
        <w:jc w:val="both"/>
      </w:pPr>
    </w:p>
    <w:p w14:paraId="1CD7283E" w14:textId="08BF2850" w:rsidR="00CA78B4" w:rsidRPr="00E4146B" w:rsidRDefault="00E00B6B">
      <w:pPr>
        <w:jc w:val="both"/>
      </w:pPr>
      <w:r w:rsidRPr="00E4146B">
        <w:rPr>
          <w:b/>
        </w:rPr>
        <w:t>Par. 39</w:t>
      </w:r>
      <w:r w:rsidRPr="00E4146B">
        <w:t xml:space="preserve">  - “(…) regulatory frameworks, industry codes and terms of services that adhere to the highest standards of ethics, privacy, </w:t>
      </w:r>
      <w:r w:rsidRPr="00E4146B">
        <w:rPr>
          <w:b/>
          <w:color w:val="FF0000"/>
        </w:rPr>
        <w:t>safety, accessibility for children with disabilities</w:t>
      </w:r>
      <w:r w:rsidR="00DE417F" w:rsidRPr="00E4146B">
        <w:rPr>
          <w:b/>
          <w:color w:val="FF0000"/>
        </w:rPr>
        <w:t>,</w:t>
      </w:r>
      <w:r w:rsidRPr="00E4146B" w:rsidDel="00DE417F">
        <w:rPr>
          <w:b/>
          <w:color w:val="FF0000"/>
        </w:rPr>
        <w:t xml:space="preserve"> </w:t>
      </w:r>
      <w:r w:rsidRPr="00E4146B">
        <w:rPr>
          <w:b/>
          <w:color w:val="FF0000"/>
        </w:rPr>
        <w:t>inclusion and respect for diversity</w:t>
      </w:r>
      <w:r w:rsidRPr="00E4146B">
        <w:t>, into the design, engineering, development (…)”</w:t>
      </w:r>
    </w:p>
    <w:p w14:paraId="1CD7283F" w14:textId="77777777" w:rsidR="00CA78B4" w:rsidRDefault="00CA78B4">
      <w:pPr>
        <w:jc w:val="both"/>
      </w:pPr>
    </w:p>
    <w:p w14:paraId="1CD72840" w14:textId="77777777" w:rsidR="00CA78B4" w:rsidRDefault="00E00B6B">
      <w:pPr>
        <w:jc w:val="both"/>
        <w:rPr>
          <w:u w:val="single"/>
        </w:rPr>
      </w:pPr>
      <w:r>
        <w:rPr>
          <w:u w:val="single"/>
        </w:rPr>
        <w:t>J. Commercial advertising and marketing</w:t>
      </w:r>
    </w:p>
    <w:p w14:paraId="1CD72841" w14:textId="77777777" w:rsidR="00CA78B4" w:rsidRDefault="00CA78B4">
      <w:pPr>
        <w:jc w:val="both"/>
        <w:rPr>
          <w:u w:val="single"/>
        </w:rPr>
      </w:pPr>
    </w:p>
    <w:p w14:paraId="1CD72842" w14:textId="05A32356" w:rsidR="00CA78B4" w:rsidRDefault="00E00B6B">
      <w:pPr>
        <w:jc w:val="both"/>
      </w:pPr>
      <w:r>
        <w:rPr>
          <w:b/>
        </w:rPr>
        <w:t>Par. 41-</w:t>
      </w:r>
      <w:r>
        <w:t xml:space="preserve"> “States </w:t>
      </w:r>
      <w:r>
        <w:rPr>
          <w:b/>
          <w:color w:val="FF0000"/>
        </w:rPr>
        <w:t>must</w:t>
      </w:r>
      <w:r>
        <w:rPr>
          <w:color w:val="FF0000"/>
        </w:rPr>
        <w:t xml:space="preserve"> </w:t>
      </w:r>
      <w:r>
        <w:t>ensure that advertising and marketing are age appropriate</w:t>
      </w:r>
      <w:r w:rsidR="00484B88">
        <w:t xml:space="preserve"> </w:t>
      </w:r>
      <w:r w:rsidR="00484B88" w:rsidRPr="00571541">
        <w:rPr>
          <w:b/>
          <w:color w:val="FF0000"/>
        </w:rPr>
        <w:t>and gender-sensitive</w:t>
      </w:r>
      <w:r>
        <w:t xml:space="preserve"> and all forms of commercially driven content are clearly distinguished from other content.”</w:t>
      </w:r>
    </w:p>
    <w:p w14:paraId="1CD72843" w14:textId="77777777" w:rsidR="00CA78B4" w:rsidRDefault="00CA78B4">
      <w:pPr>
        <w:jc w:val="both"/>
        <w:rPr>
          <w:u w:val="single"/>
        </w:rPr>
      </w:pPr>
    </w:p>
    <w:p w14:paraId="1CD72844" w14:textId="77777777" w:rsidR="00CA78B4" w:rsidRDefault="00E00B6B">
      <w:pPr>
        <w:jc w:val="both"/>
      </w:pPr>
      <w:r>
        <w:rPr>
          <w:b/>
        </w:rPr>
        <w:t>Par. 42-</w:t>
      </w:r>
      <w:r>
        <w:t xml:space="preserve"> “States </w:t>
      </w:r>
      <w:r>
        <w:rPr>
          <w:b/>
          <w:color w:val="FF0000"/>
        </w:rPr>
        <w:t>must</w:t>
      </w:r>
      <w:r>
        <w:rPr>
          <w:color w:val="FF0000"/>
        </w:rPr>
        <w:t xml:space="preserve"> </w:t>
      </w:r>
      <w:r>
        <w:t xml:space="preserve">prohibit by law the targeting of children of any age for commercial purposes </w:t>
      </w:r>
      <w:proofErr w:type="gramStart"/>
      <w:r>
        <w:t>on the basis of</w:t>
      </w:r>
      <w:proofErr w:type="gramEnd"/>
      <w:r>
        <w:t xml:space="preserve"> a digital record of their actual or inferred characteristics. Neuromarketing of child-directed products, applications and services </w:t>
      </w:r>
      <w:r>
        <w:rPr>
          <w:b/>
          <w:color w:val="FF0000"/>
        </w:rPr>
        <w:t>must</w:t>
      </w:r>
      <w:r>
        <w:rPr>
          <w:color w:val="FF0000"/>
        </w:rPr>
        <w:t xml:space="preserve"> </w:t>
      </w:r>
      <w:r>
        <w:t xml:space="preserve">also be prohibited”. </w:t>
      </w:r>
    </w:p>
    <w:p w14:paraId="22A30AED" w14:textId="77777777" w:rsidR="004F10FA" w:rsidRDefault="004F10FA">
      <w:pPr>
        <w:jc w:val="both"/>
        <w:rPr>
          <w:b/>
        </w:rPr>
      </w:pPr>
    </w:p>
    <w:p w14:paraId="1CD72847" w14:textId="4D8FD9CA" w:rsidR="00CA78B4" w:rsidRDefault="00E00B6B">
      <w:pPr>
        <w:jc w:val="both"/>
        <w:rPr>
          <w:b/>
        </w:rPr>
      </w:pPr>
      <w:r>
        <w:rPr>
          <w:b/>
        </w:rPr>
        <w:t xml:space="preserve">Par. 61 – </w:t>
      </w:r>
    </w:p>
    <w:p w14:paraId="1CD72848" w14:textId="5CEDBE6E" w:rsidR="00CA78B4" w:rsidRPr="00BA44BD" w:rsidRDefault="00E00B6B" w:rsidP="00B80DC7">
      <w:pPr>
        <w:widowControl w:val="0"/>
        <w:autoSpaceDE w:val="0"/>
        <w:autoSpaceDN w:val="0"/>
        <w:adjustRightInd w:val="0"/>
        <w:spacing w:after="120"/>
        <w:jc w:val="both"/>
        <w:rPr>
          <w:bdr w:val="none" w:sz="0" w:space="0" w:color="auto" w:frame="1"/>
        </w:rPr>
      </w:pPr>
      <w:r>
        <w:t xml:space="preserve">“When children express their political or other views and identities </w:t>
      </w:r>
      <w:r>
        <w:rPr>
          <w:b/>
          <w:color w:val="FF0000"/>
        </w:rPr>
        <w:t xml:space="preserve">or when they defend human rights </w:t>
      </w:r>
      <w:r>
        <w:t>in the digital environment</w:t>
      </w:r>
      <w:r w:rsidR="00C2707D">
        <w:t xml:space="preserve"> (…)</w:t>
      </w:r>
      <w:r>
        <w:t xml:space="preserve"> and digital surveillance </w:t>
      </w:r>
      <w:r>
        <w:rPr>
          <w:b/>
          <w:color w:val="FF0000"/>
        </w:rPr>
        <w:t xml:space="preserve">through adequate policies and programmes as well as cooperation with business, service providers, civil </w:t>
      </w:r>
      <w:r w:rsidRPr="00C31418">
        <w:rPr>
          <w:b/>
          <w:color w:val="FF0000"/>
        </w:rPr>
        <w:t>societ</w:t>
      </w:r>
      <w:r w:rsidR="0093414A" w:rsidRPr="009906E8">
        <w:rPr>
          <w:b/>
          <w:color w:val="FF0000"/>
        </w:rPr>
        <w:t xml:space="preserve">y </w:t>
      </w:r>
      <w:r w:rsidR="00500DFF">
        <w:rPr>
          <w:b/>
          <w:color w:val="FF0000"/>
        </w:rPr>
        <w:t>organisations</w:t>
      </w:r>
      <w:r>
        <w:rPr>
          <w:b/>
          <w:color w:val="FF0000"/>
        </w:rPr>
        <w:t xml:space="preserve">, </w:t>
      </w:r>
      <w:r w:rsidR="00D64759">
        <w:rPr>
          <w:b/>
          <w:color w:val="FF0000"/>
        </w:rPr>
        <w:t>ombudspersons</w:t>
      </w:r>
      <w:r w:rsidR="00302893">
        <w:rPr>
          <w:b/>
          <w:color w:val="FF0000"/>
        </w:rPr>
        <w:t xml:space="preserve"> </w:t>
      </w:r>
      <w:r>
        <w:rPr>
          <w:b/>
          <w:color w:val="FF0000"/>
        </w:rPr>
        <w:t>and other relevant organisations.</w:t>
      </w:r>
      <w:r w:rsidRPr="00C31418">
        <w:rPr>
          <w:color w:val="FF0000"/>
        </w:rPr>
        <w:t xml:space="preserve"> </w:t>
      </w:r>
      <w:r w:rsidR="00C31418" w:rsidRPr="009906E8">
        <w:rPr>
          <w:color w:val="FF0000"/>
        </w:rPr>
        <w:t xml:space="preserve"> </w:t>
      </w:r>
      <w:r w:rsidR="00C31418" w:rsidRPr="00BA44BD">
        <w:rPr>
          <w:b/>
          <w:color w:val="FF0000"/>
          <w:bdr w:val="none" w:sz="0" w:space="0" w:color="auto" w:frame="1"/>
        </w:rPr>
        <w:t>State</w:t>
      </w:r>
      <w:r w:rsidR="009906E8" w:rsidRPr="00BA44BD">
        <w:rPr>
          <w:b/>
          <w:color w:val="FF0000"/>
          <w:bdr w:val="none" w:sz="0" w:space="0" w:color="auto" w:frame="1"/>
        </w:rPr>
        <w:t>s</w:t>
      </w:r>
      <w:r w:rsidR="00C31418" w:rsidRPr="00BA44BD">
        <w:rPr>
          <w:b/>
          <w:color w:val="FF0000"/>
          <w:bdr w:val="none" w:sz="0" w:space="0" w:color="auto" w:frame="1"/>
        </w:rPr>
        <w:t xml:space="preserve"> </w:t>
      </w:r>
      <w:r w:rsidR="009906E8" w:rsidRPr="00BA44BD">
        <w:rPr>
          <w:b/>
          <w:color w:val="FF0000"/>
          <w:bdr w:val="none" w:sz="0" w:space="0" w:color="auto" w:frame="1"/>
        </w:rPr>
        <w:t>should</w:t>
      </w:r>
      <w:r w:rsidR="00C31418" w:rsidRPr="00BA44BD">
        <w:rPr>
          <w:b/>
          <w:color w:val="FF0000"/>
          <w:bdr w:val="none" w:sz="0" w:space="0" w:color="auto" w:frame="1"/>
        </w:rPr>
        <w:t xml:space="preserve"> first explore whether measures can be taken to ensure that a </w:t>
      </w:r>
      <w:r w:rsidR="009906E8" w:rsidRPr="00BA44BD">
        <w:rPr>
          <w:b/>
          <w:color w:val="FF0000"/>
          <w:bdr w:val="none" w:sz="0" w:space="0" w:color="auto" w:frame="1"/>
        </w:rPr>
        <w:t>child</w:t>
      </w:r>
      <w:r w:rsidR="00C31418" w:rsidRPr="00BA44BD">
        <w:rPr>
          <w:b/>
          <w:color w:val="FF0000"/>
          <w:bdr w:val="none" w:sz="0" w:space="0" w:color="auto" w:frame="1"/>
        </w:rPr>
        <w:t xml:space="preserve"> can act safely thus avoiding the need to </w:t>
      </w:r>
      <w:r w:rsidR="009906E8" w:rsidRPr="00BA44BD">
        <w:rPr>
          <w:b/>
          <w:color w:val="FF0000"/>
          <w:bdr w:val="none" w:sz="0" w:space="0" w:color="auto" w:frame="1"/>
        </w:rPr>
        <w:t>restrict</w:t>
      </w:r>
      <w:r w:rsidR="00C31418" w:rsidRPr="00BA44BD">
        <w:rPr>
          <w:b/>
          <w:color w:val="FF0000"/>
          <w:bdr w:val="none" w:sz="0" w:space="0" w:color="auto" w:frame="1"/>
        </w:rPr>
        <w:t xml:space="preserve"> the exercise of children’s </w:t>
      </w:r>
      <w:r w:rsidR="009906E8" w:rsidRPr="00BA44BD">
        <w:rPr>
          <w:b/>
          <w:color w:val="FF0000"/>
          <w:bdr w:val="none" w:sz="0" w:space="0" w:color="auto" w:frame="1"/>
        </w:rPr>
        <w:t>freedom of expression</w:t>
      </w:r>
      <w:r w:rsidR="00C31418" w:rsidRPr="00BA44BD">
        <w:rPr>
          <w:b/>
          <w:color w:val="FF0000"/>
          <w:bdr w:val="none" w:sz="0" w:space="0" w:color="auto" w:frame="1"/>
        </w:rPr>
        <w:t xml:space="preserve"> </w:t>
      </w:r>
      <w:proofErr w:type="gramStart"/>
      <w:r w:rsidR="00C31418" w:rsidRPr="00BA44BD">
        <w:rPr>
          <w:b/>
          <w:color w:val="FF0000"/>
          <w:bdr w:val="none" w:sz="0" w:space="0" w:color="auto" w:frame="1"/>
        </w:rPr>
        <w:t>in order to</w:t>
      </w:r>
      <w:proofErr w:type="gramEnd"/>
      <w:r w:rsidR="00C31418" w:rsidRPr="00BA44BD">
        <w:rPr>
          <w:b/>
          <w:color w:val="FF0000"/>
          <w:bdr w:val="none" w:sz="0" w:space="0" w:color="auto" w:frame="1"/>
        </w:rPr>
        <w:t xml:space="preserve"> protect them from harm.</w:t>
      </w:r>
      <w:r w:rsidR="009906E8" w:rsidRPr="00BA44BD">
        <w:rPr>
          <w:color w:val="FF0000"/>
          <w:bdr w:val="none" w:sz="0" w:space="0" w:color="auto" w:frame="1"/>
        </w:rPr>
        <w:t xml:space="preserve"> </w:t>
      </w:r>
      <w:r>
        <w:t xml:space="preserve">Children should not be prosecuted for expressing their opinions </w:t>
      </w:r>
      <w:r>
        <w:rPr>
          <w:b/>
          <w:color w:val="FF0000"/>
        </w:rPr>
        <w:t>or defending human rights</w:t>
      </w:r>
      <w:r>
        <w:rPr>
          <w:color w:val="FF0000"/>
        </w:rPr>
        <w:t xml:space="preserve"> </w:t>
      </w:r>
      <w:r>
        <w:t>in the digital environment.”</w:t>
      </w:r>
    </w:p>
    <w:p w14:paraId="1CD7284A" w14:textId="77777777" w:rsidR="00CA78B4" w:rsidRDefault="00CA78B4">
      <w:pPr>
        <w:jc w:val="both"/>
      </w:pPr>
    </w:p>
    <w:p w14:paraId="1CD7284B" w14:textId="77777777" w:rsidR="00CA78B4" w:rsidRDefault="00E00B6B">
      <w:pPr>
        <w:jc w:val="both"/>
        <w:rPr>
          <w:u w:val="single"/>
        </w:rPr>
      </w:pPr>
      <w:r>
        <w:rPr>
          <w:u w:val="single"/>
        </w:rPr>
        <w:t>VII.</w:t>
      </w:r>
      <w:r>
        <w:rPr>
          <w:u w:val="single"/>
        </w:rPr>
        <w:tab/>
        <w:t>Violence against children (arts. 19, 24 (3), 28 (2), 34, 37 (a) and 39; OPSC; OPAC)</w:t>
      </w:r>
    </w:p>
    <w:p w14:paraId="1CD7284C" w14:textId="77777777" w:rsidR="00CA78B4" w:rsidRDefault="00CA78B4">
      <w:pPr>
        <w:jc w:val="both"/>
      </w:pPr>
    </w:p>
    <w:p w14:paraId="1CD7284E" w14:textId="60139C8E" w:rsidR="00CA78B4" w:rsidRPr="00F76735" w:rsidRDefault="00E00B6B">
      <w:pPr>
        <w:jc w:val="both"/>
      </w:pPr>
      <w:r>
        <w:rPr>
          <w:b/>
        </w:rPr>
        <w:t>Par. 87-</w:t>
      </w:r>
      <w:r>
        <w:t xml:space="preserve"> “(…)</w:t>
      </w:r>
      <w:r w:rsidR="00BA44BD">
        <w:t xml:space="preserve"> </w:t>
      </w:r>
      <w:r>
        <w:t xml:space="preserve">States </w:t>
      </w:r>
      <w:r>
        <w:rPr>
          <w:b/>
          <w:color w:val="FF0000"/>
        </w:rPr>
        <w:t>must</w:t>
      </w:r>
      <w:r>
        <w:rPr>
          <w:color w:val="FF0000"/>
        </w:rPr>
        <w:t xml:space="preserve"> </w:t>
      </w:r>
      <w:r>
        <w:t>develop regulatory approaches to encourage and enforce the ways businesses meet these responsibilities</w:t>
      </w:r>
      <w:r w:rsidR="00F76735">
        <w:t xml:space="preserve"> (…)</w:t>
      </w:r>
      <w:r>
        <w:t>”.</w:t>
      </w:r>
    </w:p>
    <w:p w14:paraId="1CD72850" w14:textId="77777777" w:rsidR="00CA78B4" w:rsidRDefault="00CA78B4">
      <w:pPr>
        <w:jc w:val="both"/>
      </w:pPr>
    </w:p>
    <w:p w14:paraId="1CD72851" w14:textId="77777777" w:rsidR="00CA78B4" w:rsidRDefault="00E00B6B">
      <w:pPr>
        <w:jc w:val="both"/>
        <w:rPr>
          <w:u w:val="single"/>
        </w:rPr>
      </w:pPr>
      <w:bookmarkStart w:id="0" w:name="_heading=h.gjdgxs" w:colFirst="0" w:colLast="0"/>
      <w:bookmarkEnd w:id="0"/>
      <w:r>
        <w:rPr>
          <w:u w:val="single"/>
        </w:rPr>
        <w:t>B. The right to culture, leisure, and play (art. 31)</w:t>
      </w:r>
    </w:p>
    <w:p w14:paraId="1CD72852" w14:textId="77777777" w:rsidR="00CA78B4" w:rsidRDefault="00CA78B4">
      <w:pPr>
        <w:jc w:val="both"/>
      </w:pPr>
    </w:p>
    <w:p w14:paraId="1CD72853" w14:textId="77777777" w:rsidR="00CA78B4" w:rsidRDefault="00E00B6B">
      <w:pPr>
        <w:jc w:val="both"/>
      </w:pPr>
      <w:r>
        <w:rPr>
          <w:b/>
        </w:rPr>
        <w:t>Par. 119-</w:t>
      </w:r>
      <w:r>
        <w:t xml:space="preserve"> “(…) By introducing or using data protection, safety-by-design and other regulatory measures, States </w:t>
      </w:r>
      <w:r>
        <w:rPr>
          <w:b/>
          <w:color w:val="FF0000"/>
        </w:rPr>
        <w:t>must</w:t>
      </w:r>
      <w:r>
        <w:t xml:space="preserve"> ensure that businesses do not target children using these or other techniques designed to prioritize commercial interests over those of the child”.</w:t>
      </w:r>
    </w:p>
    <w:p w14:paraId="1C1DFE43" w14:textId="77777777" w:rsidR="00456B0E" w:rsidRDefault="00456B0E">
      <w:pPr>
        <w:jc w:val="both"/>
      </w:pPr>
    </w:p>
    <w:p w14:paraId="1CD72854" w14:textId="77777777" w:rsidR="00CA78B4" w:rsidRPr="00DB6AFF" w:rsidRDefault="00CA78B4">
      <w:pPr>
        <w:jc w:val="both"/>
        <w:rPr>
          <w:color w:val="006600"/>
        </w:rPr>
      </w:pPr>
    </w:p>
    <w:p w14:paraId="1CD72855" w14:textId="77777777" w:rsidR="00CA78B4" w:rsidRPr="00DB6AFF" w:rsidRDefault="00E00B6B">
      <w:pPr>
        <w:numPr>
          <w:ilvl w:val="0"/>
          <w:numId w:val="3"/>
        </w:numPr>
        <w:pBdr>
          <w:top w:val="nil"/>
          <w:left w:val="nil"/>
          <w:bottom w:val="nil"/>
          <w:right w:val="nil"/>
          <w:between w:val="nil"/>
        </w:pBdr>
        <w:jc w:val="both"/>
        <w:rPr>
          <w:b/>
          <w:i/>
          <w:color w:val="006600"/>
        </w:rPr>
      </w:pPr>
      <w:r w:rsidRPr="00DB6AFF">
        <w:rPr>
          <w:b/>
          <w:i/>
          <w:color w:val="006600"/>
        </w:rPr>
        <w:t xml:space="preserve">Recognising children’s active engagement with the digital environment and this space as an enabler of communication and collaboration among CHRDs  </w:t>
      </w:r>
    </w:p>
    <w:p w14:paraId="1CD72856" w14:textId="77777777" w:rsidR="00CA78B4" w:rsidRDefault="00CA78B4">
      <w:pPr>
        <w:pBdr>
          <w:top w:val="nil"/>
          <w:left w:val="nil"/>
          <w:bottom w:val="nil"/>
          <w:right w:val="nil"/>
          <w:between w:val="nil"/>
        </w:pBdr>
        <w:ind w:left="720"/>
        <w:jc w:val="both"/>
        <w:rPr>
          <w:b/>
          <w:color w:val="000000"/>
        </w:rPr>
      </w:pPr>
    </w:p>
    <w:p w14:paraId="1CD72857" w14:textId="7AF48E09" w:rsidR="00CA78B4" w:rsidRDefault="00E00B6B">
      <w:pPr>
        <w:jc w:val="both"/>
      </w:pPr>
      <w:r w:rsidRPr="14822C41">
        <w:rPr>
          <w:b/>
          <w:color w:val="000000" w:themeColor="text1"/>
        </w:rPr>
        <w:t>Children are active users of the digital environment</w:t>
      </w:r>
      <w:r w:rsidRPr="14822C41">
        <w:rPr>
          <w:color w:val="000000" w:themeColor="text1"/>
        </w:rPr>
        <w:t>, many times even teaching</w:t>
      </w:r>
      <w:r>
        <w:rPr>
          <w:color w:val="000000" w:themeColor="text1"/>
        </w:rPr>
        <w:t xml:space="preserve"> </w:t>
      </w:r>
      <w:r w:rsidR="0023676A">
        <w:rPr>
          <w:color w:val="000000" w:themeColor="text1"/>
        </w:rPr>
        <w:t>adults,</w:t>
      </w:r>
      <w:r w:rsidR="00D477EC">
        <w:rPr>
          <w:color w:val="000000" w:themeColor="text1"/>
        </w:rPr>
        <w:t xml:space="preserve"> for example</w:t>
      </w:r>
      <w:r w:rsidRPr="14822C41">
        <w:rPr>
          <w:color w:val="000000" w:themeColor="text1"/>
        </w:rPr>
        <w:t xml:space="preserve"> their parents and caregivers how to use the different technologies. They occupy the digital space along with adults, and should be involved in the development, implementation, monitoring and evaluation of laws, policies, </w:t>
      </w:r>
      <w:proofErr w:type="gramStart"/>
      <w:r w:rsidRPr="14822C41">
        <w:rPr>
          <w:color w:val="000000" w:themeColor="text1"/>
        </w:rPr>
        <w:t>plans</w:t>
      </w:r>
      <w:proofErr w:type="gramEnd"/>
      <w:r w:rsidRPr="14822C41">
        <w:rPr>
          <w:color w:val="000000" w:themeColor="text1"/>
        </w:rPr>
        <w:t xml:space="preserve"> and programmes related to child rights and the digital environment. </w:t>
      </w:r>
      <w:r>
        <w:t xml:space="preserve">For CHRDs the digital environment provides unique opportunities to exercise their rights, particularly their right to participation, access to information, freedom of expression and assembly. </w:t>
      </w:r>
      <w:r>
        <w:rPr>
          <w:b/>
        </w:rPr>
        <w:t>Digital technologies enable CHRDs to communicate and collaborate with other defenders, to learn from each other and to access the necessary information they need to promote and protect human rights</w:t>
      </w:r>
      <w:r>
        <w:t>. The suggested changes to the GC25 from this recommendation are:</w:t>
      </w:r>
    </w:p>
    <w:p w14:paraId="1CD72858" w14:textId="77777777" w:rsidR="00CA78B4" w:rsidRDefault="00CA78B4">
      <w:pPr>
        <w:jc w:val="both"/>
        <w:rPr>
          <w:u w:val="single"/>
        </w:rPr>
      </w:pPr>
    </w:p>
    <w:p w14:paraId="1CD72859" w14:textId="779C470A" w:rsidR="00CA78B4" w:rsidRDefault="00E00B6B">
      <w:pPr>
        <w:jc w:val="both"/>
        <w:rPr>
          <w:u w:val="single"/>
        </w:rPr>
      </w:pPr>
      <w:r>
        <w:rPr>
          <w:u w:val="single"/>
        </w:rPr>
        <w:t>Introduction</w:t>
      </w:r>
      <w:r w:rsidR="007A192E">
        <w:rPr>
          <w:u w:val="single"/>
        </w:rPr>
        <w:t xml:space="preserve"> to the GC</w:t>
      </w:r>
      <w:r w:rsidR="006B0F47">
        <w:rPr>
          <w:u w:val="single"/>
        </w:rPr>
        <w:t xml:space="preserve"> </w:t>
      </w:r>
      <w:r w:rsidR="006B0F47" w:rsidRPr="000B7CC5">
        <w:rPr>
          <w:u w:val="single"/>
        </w:rPr>
        <w:t>(par</w:t>
      </w:r>
      <w:r w:rsidR="000B7CC5" w:rsidRPr="000B7CC5">
        <w:rPr>
          <w:u w:val="single"/>
        </w:rPr>
        <w:t>.</w:t>
      </w:r>
      <w:r w:rsidR="0038568D">
        <w:rPr>
          <w:u w:val="single"/>
        </w:rPr>
        <w:t xml:space="preserve"> 1-7)</w:t>
      </w:r>
    </w:p>
    <w:p w14:paraId="41242D6D" w14:textId="77777777" w:rsidR="00E770DA" w:rsidRDefault="00E770DA">
      <w:pPr>
        <w:jc w:val="both"/>
      </w:pPr>
    </w:p>
    <w:p w14:paraId="1CD7285A" w14:textId="19893E35" w:rsidR="00CA78B4" w:rsidRDefault="00E00B6B">
      <w:pPr>
        <w:jc w:val="both"/>
      </w:pPr>
      <w:r>
        <w:t xml:space="preserve">Add as a </w:t>
      </w:r>
      <w:r>
        <w:rPr>
          <w:u w:val="single"/>
        </w:rPr>
        <w:t>second new paragraph</w:t>
      </w:r>
      <w:r>
        <w:t xml:space="preserve">: </w:t>
      </w:r>
      <w:r>
        <w:rPr>
          <w:b/>
          <w:color w:val="FF0000"/>
        </w:rPr>
        <w:t>“Children use the digital environment to communicate among themselves, to understand better specific situations occurring in their/other communities and countries, and to defend their rights</w:t>
      </w:r>
      <w:r w:rsidR="00C44E02">
        <w:rPr>
          <w:b/>
          <w:color w:val="FF0000"/>
        </w:rPr>
        <w:t xml:space="preserve"> and the rights of others</w:t>
      </w:r>
      <w:r>
        <w:rPr>
          <w:b/>
          <w:color w:val="FF0000"/>
        </w:rPr>
        <w:t xml:space="preserve">. Particularly, child human rights defenders use the digital environment to share their work, for peer-support and as a reliable source of information about </w:t>
      </w:r>
      <w:r w:rsidR="00F916F0">
        <w:rPr>
          <w:b/>
          <w:color w:val="FF0000"/>
        </w:rPr>
        <w:t xml:space="preserve">human rights, including </w:t>
      </w:r>
      <w:r>
        <w:rPr>
          <w:b/>
          <w:color w:val="FF0000"/>
        </w:rPr>
        <w:t>children’s rights.”</w:t>
      </w:r>
    </w:p>
    <w:p w14:paraId="1F46D97A" w14:textId="77777777" w:rsidR="00417024" w:rsidRDefault="00417024">
      <w:pPr>
        <w:jc w:val="both"/>
        <w:rPr>
          <w:u w:val="single"/>
        </w:rPr>
      </w:pPr>
    </w:p>
    <w:p w14:paraId="1CD7285F" w14:textId="77777777" w:rsidR="00CA78B4" w:rsidRDefault="00E00B6B">
      <w:pPr>
        <w:jc w:val="both"/>
        <w:rPr>
          <w:u w:val="single"/>
        </w:rPr>
      </w:pPr>
      <w:r>
        <w:rPr>
          <w:u w:val="single"/>
        </w:rPr>
        <w:t>IV. Evolving capacities (art.5)</w:t>
      </w:r>
    </w:p>
    <w:p w14:paraId="1CD72860" w14:textId="77777777" w:rsidR="00CA78B4" w:rsidRDefault="00CA78B4">
      <w:pPr>
        <w:jc w:val="both"/>
        <w:rPr>
          <w:u w:val="single"/>
        </w:rPr>
      </w:pPr>
    </w:p>
    <w:p w14:paraId="1CD72861" w14:textId="3EE7A7CE" w:rsidR="00CA78B4" w:rsidRPr="00F7371C" w:rsidRDefault="00E00B6B">
      <w:pPr>
        <w:jc w:val="both"/>
      </w:pPr>
      <w:r w:rsidRPr="003B09E2">
        <w:rPr>
          <w:b/>
          <w:bCs/>
        </w:rPr>
        <w:t>Par</w:t>
      </w:r>
      <w:r w:rsidR="003B09E2">
        <w:rPr>
          <w:b/>
          <w:bCs/>
        </w:rPr>
        <w:t>.</w:t>
      </w:r>
      <w:r w:rsidRPr="003B09E2">
        <w:rPr>
          <w:b/>
        </w:rPr>
        <w:t xml:space="preserve"> 21</w:t>
      </w:r>
      <w:r w:rsidR="003B09E2">
        <w:t>-</w:t>
      </w:r>
      <w:r>
        <w:t xml:space="preserve"> </w:t>
      </w:r>
      <w:r w:rsidRPr="00F7371C">
        <w:t xml:space="preserve">“(...) activity; </w:t>
      </w:r>
      <w:r w:rsidRPr="00F7371C">
        <w:rPr>
          <w:b/>
          <w:color w:val="FF0000"/>
        </w:rPr>
        <w:t>the negative stereotyping and prejudice faced by children with disabilities which might lead to overprotection, if not neglect, concealment, segregation and/or abandonment</w:t>
      </w:r>
      <w:r w:rsidRPr="00F7371C">
        <w:t>; the nature</w:t>
      </w:r>
      <w:r w:rsidR="00F7371C">
        <w:t xml:space="preserve"> </w:t>
      </w:r>
      <w:r w:rsidRPr="00F7371C">
        <w:t>(…)”</w:t>
      </w:r>
    </w:p>
    <w:p w14:paraId="1CD72862" w14:textId="77777777" w:rsidR="00CA78B4" w:rsidRDefault="00CA78B4">
      <w:pPr>
        <w:jc w:val="both"/>
        <w:rPr>
          <w:u w:val="single"/>
        </w:rPr>
      </w:pPr>
    </w:p>
    <w:p w14:paraId="1CD72863" w14:textId="77777777" w:rsidR="00CA78B4" w:rsidRDefault="00E00B6B">
      <w:pPr>
        <w:jc w:val="both"/>
        <w:rPr>
          <w:u w:val="single"/>
        </w:rPr>
      </w:pPr>
      <w:r>
        <w:rPr>
          <w:u w:val="single"/>
        </w:rPr>
        <w:t>B. Comprehensive policy and strategy</w:t>
      </w:r>
    </w:p>
    <w:p w14:paraId="1CD72865" w14:textId="6D2CE921" w:rsidR="00CA78B4" w:rsidRPr="003B09E2" w:rsidRDefault="00E00B6B">
      <w:pPr>
        <w:jc w:val="both"/>
        <w:rPr>
          <w:b/>
        </w:rPr>
      </w:pPr>
      <w:r>
        <w:rPr>
          <w:b/>
        </w:rPr>
        <w:t>Par. 26 –</w:t>
      </w:r>
      <w:r w:rsidR="003B09E2">
        <w:rPr>
          <w:b/>
        </w:rPr>
        <w:t xml:space="preserve"> </w:t>
      </w:r>
      <w:r>
        <w:t xml:space="preserve">“In addition to regulation, industry codes and design standards, such action plans should establish and promote, </w:t>
      </w:r>
      <w:r>
        <w:rPr>
          <w:i/>
        </w:rPr>
        <w:t>inter alia,</w:t>
      </w:r>
      <w:r>
        <w:t xml:space="preserve"> training and guidance for </w:t>
      </w:r>
      <w:r>
        <w:rPr>
          <w:b/>
          <w:color w:val="FF0000"/>
        </w:rPr>
        <w:t>children</w:t>
      </w:r>
      <w:r>
        <w:t xml:space="preserve">, parents and caregivers, relevant professionals and the public, programmes to develop children’s digital skills </w:t>
      </w:r>
      <w:r>
        <w:rPr>
          <w:b/>
          <w:color w:val="FF0000"/>
        </w:rPr>
        <w:t>as well as access to opportunities and information in child-friendly formats, about their rights and how to protect them</w:t>
      </w:r>
      <w:r>
        <w:t xml:space="preserve">. Such measures should </w:t>
      </w:r>
      <w:r>
        <w:rPr>
          <w:b/>
          <w:color w:val="FF0000"/>
        </w:rPr>
        <w:t>empower children to use the digital environment in an efficient and safe manner. Likewise, these measures should</w:t>
      </w:r>
      <w:r>
        <w:rPr>
          <w:color w:val="FF0000"/>
        </w:rPr>
        <w:t xml:space="preserve"> </w:t>
      </w:r>
      <w:r>
        <w:t xml:space="preserve">protect children, including from online sexual abuse and exploitations, and provide remedy and support for child victims and measures to meet the needs of children in disadvantaged or vulnerable situations, including resource materials translated into relevant minority languages. </w:t>
      </w:r>
      <w:r>
        <w:rPr>
          <w:b/>
          <w:color w:val="FF0000"/>
        </w:rPr>
        <w:t>Measures should also enable children to fully exercise their rights in the digital environment particularly their right</w:t>
      </w:r>
      <w:r w:rsidR="00500DFF">
        <w:rPr>
          <w:b/>
          <w:color w:val="FF0000"/>
        </w:rPr>
        <w:t xml:space="preserve"> to be heard and civil and political rights</w:t>
      </w:r>
      <w:r>
        <w:t>.”</w:t>
      </w:r>
    </w:p>
    <w:p w14:paraId="1CD72866" w14:textId="77777777" w:rsidR="00CA78B4" w:rsidRDefault="00CA78B4">
      <w:pPr>
        <w:jc w:val="both"/>
      </w:pPr>
    </w:p>
    <w:p w14:paraId="1CD72867" w14:textId="77777777" w:rsidR="00CA78B4" w:rsidRDefault="00E00B6B">
      <w:pPr>
        <w:jc w:val="both"/>
        <w:rPr>
          <w:color w:val="000000"/>
          <w:u w:val="single"/>
        </w:rPr>
      </w:pPr>
      <w:proofErr w:type="spellStart"/>
      <w:proofErr w:type="gramStart"/>
      <w:r>
        <w:rPr>
          <w:color w:val="000000"/>
          <w:u w:val="single"/>
        </w:rPr>
        <w:t>B.Comprehensive</w:t>
      </w:r>
      <w:proofErr w:type="spellEnd"/>
      <w:proofErr w:type="gramEnd"/>
      <w:r>
        <w:rPr>
          <w:color w:val="000000"/>
          <w:u w:val="single"/>
        </w:rPr>
        <w:t xml:space="preserve"> policy and strategy</w:t>
      </w:r>
    </w:p>
    <w:p w14:paraId="1CD72868" w14:textId="4357F139" w:rsidR="00CA78B4" w:rsidRDefault="00E00B6B">
      <w:pPr>
        <w:jc w:val="both"/>
        <w:rPr>
          <w:color w:val="000000"/>
        </w:rPr>
      </w:pPr>
      <w:r>
        <w:rPr>
          <w:b/>
          <w:color w:val="000000"/>
        </w:rPr>
        <w:t>Par. 28</w:t>
      </w:r>
      <w:r>
        <w:rPr>
          <w:color w:val="000000"/>
        </w:rPr>
        <w:t xml:space="preserve">  - “(…) It should also cooperate with businesses</w:t>
      </w:r>
      <w:r w:rsidRPr="00F621C3">
        <w:rPr>
          <w:color w:val="000000"/>
        </w:rPr>
        <w:t xml:space="preserve">, </w:t>
      </w:r>
      <w:r w:rsidRPr="00F621C3">
        <w:rPr>
          <w:b/>
          <w:color w:val="FF0000"/>
        </w:rPr>
        <w:t>civil society organizations, schools, the media, parents</w:t>
      </w:r>
      <w:r w:rsidR="003215A6" w:rsidRPr="00F621C3">
        <w:rPr>
          <w:b/>
          <w:color w:val="FF0000"/>
        </w:rPr>
        <w:t>,</w:t>
      </w:r>
      <w:r w:rsidDel="003215A6">
        <w:rPr>
          <w:b/>
          <w:color w:val="FF0000"/>
        </w:rPr>
        <w:t xml:space="preserve"> </w:t>
      </w:r>
      <w:r>
        <w:rPr>
          <w:b/>
          <w:color w:val="FF0000"/>
        </w:rPr>
        <w:t>children</w:t>
      </w:r>
      <w:r>
        <w:rPr>
          <w:color w:val="000000"/>
        </w:rPr>
        <w:t xml:space="preserve"> and other organizations to realize children’s rights in relation to the digital environment at cross-sectoral, national, regional and local levels. (…) ”</w:t>
      </w:r>
    </w:p>
    <w:p w14:paraId="1CD72869" w14:textId="77777777" w:rsidR="00CA78B4" w:rsidRDefault="00CA78B4">
      <w:pPr>
        <w:jc w:val="both"/>
      </w:pPr>
    </w:p>
    <w:p w14:paraId="1CD7286A" w14:textId="77777777" w:rsidR="00CA78B4" w:rsidRDefault="00E00B6B">
      <w:pPr>
        <w:jc w:val="both"/>
        <w:rPr>
          <w:u w:val="single"/>
        </w:rPr>
      </w:pPr>
      <w:r>
        <w:rPr>
          <w:u w:val="single"/>
        </w:rPr>
        <w:t>G. Dissemination of information, awareness-raising, and training</w:t>
      </w:r>
    </w:p>
    <w:p w14:paraId="1CD7286C" w14:textId="6972B8CD" w:rsidR="00CA78B4" w:rsidRPr="003B09E2" w:rsidRDefault="00E00B6B">
      <w:pPr>
        <w:jc w:val="both"/>
        <w:rPr>
          <w:b/>
        </w:rPr>
      </w:pPr>
      <w:r>
        <w:rPr>
          <w:b/>
        </w:rPr>
        <w:t xml:space="preserve">Par. 34 – </w:t>
      </w:r>
      <w:r>
        <w:t xml:space="preserve">“Professionals working for and with children in all settings […] should receive training that includes how the digital environment impacts the rights of the child in the multiple contexts, </w:t>
      </w:r>
      <w:r>
        <w:rPr>
          <w:b/>
          <w:color w:val="FF0000"/>
        </w:rPr>
        <w:t>the ways in which children exercise their rights in the digital environment,</w:t>
      </w:r>
      <w:r>
        <w:rPr>
          <w:color w:val="FF0000"/>
        </w:rPr>
        <w:t xml:space="preserve"> </w:t>
      </w:r>
      <w:r>
        <w:t>and how they access and use technologies. (…)”</w:t>
      </w:r>
    </w:p>
    <w:p w14:paraId="1CD7286D" w14:textId="77777777" w:rsidR="00CA78B4" w:rsidRDefault="00CA78B4">
      <w:pPr>
        <w:jc w:val="both"/>
      </w:pPr>
    </w:p>
    <w:p w14:paraId="1CD7286E" w14:textId="77777777" w:rsidR="00CA78B4" w:rsidRDefault="00E00B6B">
      <w:pPr>
        <w:jc w:val="both"/>
        <w:rPr>
          <w:u w:val="single"/>
        </w:rPr>
      </w:pPr>
      <w:r>
        <w:rPr>
          <w:u w:val="single"/>
        </w:rPr>
        <w:t>H. Cooperation with civil society</w:t>
      </w:r>
    </w:p>
    <w:p w14:paraId="1CD7286F" w14:textId="38DE9E16" w:rsidR="00CA78B4" w:rsidRDefault="00E00B6B">
      <w:pPr>
        <w:jc w:val="both"/>
        <w:rPr>
          <w:color w:val="000000"/>
        </w:rPr>
      </w:pPr>
      <w:r>
        <w:rPr>
          <w:b/>
          <w:color w:val="000000"/>
        </w:rPr>
        <w:t>Par.35</w:t>
      </w:r>
      <w:r>
        <w:rPr>
          <w:color w:val="000000"/>
        </w:rPr>
        <w:t xml:space="preserve"> – “States should systematically involve civil society, including </w:t>
      </w:r>
      <w:r w:rsidR="00593B4A">
        <w:rPr>
          <w:b/>
          <w:color w:val="FF0000"/>
        </w:rPr>
        <w:t>child human rights defenders</w:t>
      </w:r>
      <w:r w:rsidR="00593B4A">
        <w:rPr>
          <w:color w:val="FF0000"/>
        </w:rPr>
        <w:t xml:space="preserve"> </w:t>
      </w:r>
      <w:r w:rsidR="00593B4A" w:rsidRPr="0032419A">
        <w:rPr>
          <w:b/>
          <w:bCs/>
          <w:color w:val="FF0000"/>
        </w:rPr>
        <w:t xml:space="preserve">and </w:t>
      </w:r>
      <w:r>
        <w:rPr>
          <w:color w:val="000000"/>
        </w:rPr>
        <w:t>non-governmental organizations working both in the field of children’s rights and in the field of the digital environment</w:t>
      </w:r>
      <w:r w:rsidR="00AA4A99">
        <w:rPr>
          <w:color w:val="000000"/>
        </w:rPr>
        <w:t xml:space="preserve"> (…)</w:t>
      </w:r>
      <w:r>
        <w:rPr>
          <w:color w:val="000000"/>
        </w:rPr>
        <w:t>.”</w:t>
      </w:r>
    </w:p>
    <w:p w14:paraId="1CD72870" w14:textId="77777777" w:rsidR="00CA78B4" w:rsidRDefault="00CA78B4">
      <w:pPr>
        <w:jc w:val="both"/>
      </w:pPr>
    </w:p>
    <w:p w14:paraId="1CD72871" w14:textId="77777777" w:rsidR="00CA78B4" w:rsidRDefault="00E00B6B">
      <w:pPr>
        <w:numPr>
          <w:ilvl w:val="0"/>
          <w:numId w:val="1"/>
        </w:numPr>
        <w:pBdr>
          <w:top w:val="nil"/>
          <w:left w:val="nil"/>
          <w:bottom w:val="nil"/>
          <w:right w:val="nil"/>
          <w:between w:val="nil"/>
        </w:pBdr>
        <w:ind w:left="284" w:hanging="284"/>
        <w:jc w:val="both"/>
        <w:rPr>
          <w:color w:val="000000"/>
          <w:u w:val="single"/>
        </w:rPr>
      </w:pPr>
      <w:r>
        <w:rPr>
          <w:color w:val="000000"/>
          <w:u w:val="single"/>
        </w:rPr>
        <w:t>Access to information (arts. 13 and 17)</w:t>
      </w:r>
    </w:p>
    <w:p w14:paraId="1CD72875" w14:textId="6B160546" w:rsidR="00CA78B4" w:rsidRPr="00AA4A99" w:rsidRDefault="00E00B6B">
      <w:pPr>
        <w:jc w:val="both"/>
        <w:rPr>
          <w:b/>
        </w:rPr>
      </w:pPr>
      <w:r>
        <w:rPr>
          <w:b/>
        </w:rPr>
        <w:t xml:space="preserve">Par. 56 – </w:t>
      </w:r>
      <w:r>
        <w:t xml:space="preserve">“States should </w:t>
      </w:r>
      <w:r>
        <w:rPr>
          <w:b/>
          <w:color w:val="FF0000"/>
        </w:rPr>
        <w:t>ensure that</w:t>
      </w:r>
      <w:r>
        <w:rPr>
          <w:color w:val="FF0000"/>
        </w:rPr>
        <w:t xml:space="preserve"> </w:t>
      </w:r>
      <w:r>
        <w:t xml:space="preserve">providers of digital services used by children apply concise and intelligible content label, for example on age-appropriateness, </w:t>
      </w:r>
      <w:r>
        <w:rPr>
          <w:b/>
          <w:color w:val="FF0000"/>
        </w:rPr>
        <w:t xml:space="preserve">child-friendly reporting mechanisms </w:t>
      </w:r>
      <w:r>
        <w:t>and provide user friendly guidance and educational materials for children, parents and caregivers, educators and relevant professional groups. (…)”</w:t>
      </w:r>
    </w:p>
    <w:p w14:paraId="1CD72876" w14:textId="77777777" w:rsidR="00CA78B4" w:rsidRDefault="00CA78B4">
      <w:pPr>
        <w:jc w:val="both"/>
      </w:pPr>
    </w:p>
    <w:p w14:paraId="1CD72877" w14:textId="77777777" w:rsidR="00CA78B4" w:rsidRDefault="00E00B6B">
      <w:pPr>
        <w:jc w:val="both"/>
        <w:rPr>
          <w:color w:val="000000"/>
        </w:rPr>
      </w:pPr>
      <w:r>
        <w:rPr>
          <w:b/>
          <w:color w:val="000000"/>
        </w:rPr>
        <w:t>Par. 96</w:t>
      </w:r>
      <w:r>
        <w:rPr>
          <w:color w:val="000000"/>
        </w:rPr>
        <w:t xml:space="preserve"> – “The digital environment opens new avenues for children with disabilities to engage in social relationships with their peers, access information, participate in public decision-making processes </w:t>
      </w:r>
      <w:r>
        <w:rPr>
          <w:b/>
          <w:color w:val="FF0000"/>
        </w:rPr>
        <w:t>and actively engage in the promotion and protection of their rights</w:t>
      </w:r>
      <w:r>
        <w:rPr>
          <w:color w:val="000000"/>
        </w:rPr>
        <w:t>. (…)”</w:t>
      </w:r>
    </w:p>
    <w:p w14:paraId="1CD72878" w14:textId="77777777" w:rsidR="00CA78B4" w:rsidRDefault="00CA78B4">
      <w:pPr>
        <w:jc w:val="both"/>
      </w:pPr>
    </w:p>
    <w:p w14:paraId="1CD72879" w14:textId="77777777" w:rsidR="00CA78B4" w:rsidRDefault="00CA78B4">
      <w:pPr>
        <w:jc w:val="both"/>
      </w:pPr>
    </w:p>
    <w:p w14:paraId="1CD7287A" w14:textId="77777777" w:rsidR="00CA78B4" w:rsidRPr="00DB6AFF" w:rsidRDefault="00E00B6B">
      <w:pPr>
        <w:numPr>
          <w:ilvl w:val="0"/>
          <w:numId w:val="3"/>
        </w:numPr>
        <w:pBdr>
          <w:top w:val="nil"/>
          <w:left w:val="nil"/>
          <w:bottom w:val="nil"/>
          <w:right w:val="nil"/>
          <w:between w:val="nil"/>
        </w:pBdr>
        <w:jc w:val="both"/>
        <w:rPr>
          <w:b/>
          <w:i/>
          <w:color w:val="006600"/>
        </w:rPr>
      </w:pPr>
      <w:r w:rsidRPr="00DB6AFF">
        <w:rPr>
          <w:b/>
          <w:i/>
          <w:color w:val="006600"/>
        </w:rPr>
        <w:t>Taking advantage of the digital environment as an effective platform to disseminate the work of CHRDs</w:t>
      </w:r>
    </w:p>
    <w:p w14:paraId="1CD7287B" w14:textId="77777777" w:rsidR="00CA78B4" w:rsidRDefault="00CA78B4">
      <w:pPr>
        <w:pBdr>
          <w:top w:val="nil"/>
          <w:left w:val="nil"/>
          <w:bottom w:val="nil"/>
          <w:right w:val="nil"/>
          <w:between w:val="nil"/>
        </w:pBdr>
        <w:ind w:left="720"/>
        <w:jc w:val="both"/>
        <w:rPr>
          <w:b/>
          <w:color w:val="000000"/>
        </w:rPr>
      </w:pPr>
    </w:p>
    <w:p w14:paraId="1CD7287C" w14:textId="77777777" w:rsidR="00CA78B4" w:rsidRDefault="00E00B6B">
      <w:pPr>
        <w:jc w:val="both"/>
      </w:pPr>
      <w:r>
        <w:t xml:space="preserve">CHRDs recognise the value of the digital environment to disseminate their work as it allows them to reach wider audiences without requiring significant financial resources, often limited for them or their organisations. However, </w:t>
      </w:r>
      <w:r>
        <w:rPr>
          <w:b/>
        </w:rPr>
        <w:t>more training opportunities are needed to support CHRDs to make the most out of the digital environment and take advantage of its possibilities to protect and promote human rights.</w:t>
      </w:r>
      <w:r>
        <w:t xml:space="preserve"> Following the input of the CHRDs, the suggested changes to the GC25 from this recommendation focus on the content and scope of training opportunities:</w:t>
      </w:r>
    </w:p>
    <w:p w14:paraId="1CD7287D" w14:textId="77777777" w:rsidR="00CA78B4" w:rsidRDefault="00CA78B4">
      <w:pPr>
        <w:jc w:val="both"/>
      </w:pPr>
    </w:p>
    <w:p w14:paraId="1CD7287E" w14:textId="77777777" w:rsidR="00CA78B4" w:rsidRDefault="00E00B6B">
      <w:pPr>
        <w:jc w:val="both"/>
        <w:rPr>
          <w:u w:val="single"/>
        </w:rPr>
      </w:pPr>
      <w:r>
        <w:rPr>
          <w:u w:val="single"/>
        </w:rPr>
        <w:t xml:space="preserve">D. The right to be heard (art. 12) </w:t>
      </w:r>
    </w:p>
    <w:p w14:paraId="1CD72880" w14:textId="0465A0D7" w:rsidR="00CA78B4" w:rsidRPr="00AA4A99" w:rsidRDefault="00E00B6B">
      <w:pPr>
        <w:jc w:val="both"/>
        <w:rPr>
          <w:b/>
        </w:rPr>
      </w:pPr>
      <w:r>
        <w:rPr>
          <w:b/>
        </w:rPr>
        <w:t>Par. 18 –</w:t>
      </w:r>
      <w:r w:rsidR="00AA4A99">
        <w:rPr>
          <w:b/>
        </w:rPr>
        <w:t xml:space="preserve"> </w:t>
      </w:r>
      <w:r>
        <w:t xml:space="preserve">“(…) States should offer training and support to children </w:t>
      </w:r>
      <w:r>
        <w:rPr>
          <w:b/>
          <w:color w:val="FF0000"/>
        </w:rPr>
        <w:t xml:space="preserve">to </w:t>
      </w:r>
      <w:r w:rsidR="003E4C5E">
        <w:rPr>
          <w:b/>
          <w:color w:val="FF0000"/>
        </w:rPr>
        <w:t>understand</w:t>
      </w:r>
      <w:r>
        <w:rPr>
          <w:b/>
          <w:color w:val="FF0000"/>
        </w:rPr>
        <w:t xml:space="preserve"> their rights and to develop their digital skills</w:t>
      </w:r>
      <w:r>
        <w:t xml:space="preserve">, and provide access to child-friendly </w:t>
      </w:r>
      <w:r w:rsidR="003B42CC" w:rsidRPr="00E6035C">
        <w:rPr>
          <w:b/>
          <w:bCs/>
          <w:color w:val="FF0000"/>
        </w:rPr>
        <w:t>and safe</w:t>
      </w:r>
      <w:r w:rsidR="003B42CC" w:rsidRPr="00E6035C">
        <w:rPr>
          <w:color w:val="FF0000"/>
        </w:rPr>
        <w:t xml:space="preserve"> </w:t>
      </w:r>
      <w:r>
        <w:t xml:space="preserve">platforms in order to let them express their views and become effective advocates for their rights, </w:t>
      </w:r>
      <w:r>
        <w:rPr>
          <w:b/>
          <w:color w:val="FF0000"/>
        </w:rPr>
        <w:t>both individually and as a group</w:t>
      </w:r>
      <w:r>
        <w:t>. (…)”</w:t>
      </w:r>
    </w:p>
    <w:p w14:paraId="1CD72881" w14:textId="77777777" w:rsidR="00CA78B4" w:rsidRDefault="00CA78B4">
      <w:pPr>
        <w:jc w:val="both"/>
      </w:pPr>
    </w:p>
    <w:p w14:paraId="1CD72882" w14:textId="77777777" w:rsidR="00CA78B4" w:rsidRDefault="00E00B6B">
      <w:pPr>
        <w:jc w:val="both"/>
        <w:rPr>
          <w:color w:val="000000"/>
          <w:u w:val="single"/>
        </w:rPr>
      </w:pPr>
      <w:proofErr w:type="spellStart"/>
      <w:proofErr w:type="gramStart"/>
      <w:r>
        <w:rPr>
          <w:color w:val="000000"/>
          <w:u w:val="single"/>
        </w:rPr>
        <w:t>G.Dissemination</w:t>
      </w:r>
      <w:proofErr w:type="spellEnd"/>
      <w:proofErr w:type="gramEnd"/>
      <w:r>
        <w:rPr>
          <w:color w:val="000000"/>
          <w:u w:val="single"/>
        </w:rPr>
        <w:t xml:space="preserve"> of information, awareness-raising and training </w:t>
      </w:r>
    </w:p>
    <w:p w14:paraId="1CD72883" w14:textId="77777777" w:rsidR="00CA78B4" w:rsidRDefault="00E00B6B">
      <w:pPr>
        <w:jc w:val="both"/>
        <w:rPr>
          <w:color w:val="000000"/>
        </w:rPr>
      </w:pPr>
      <w:r>
        <w:rPr>
          <w:b/>
          <w:color w:val="000000"/>
        </w:rPr>
        <w:t>Para 33</w:t>
      </w:r>
      <w:r>
        <w:rPr>
          <w:color w:val="000000"/>
        </w:rPr>
        <w:t xml:space="preserve"> – </w:t>
      </w:r>
      <w:r w:rsidRPr="00AA4A99">
        <w:rPr>
          <w:color w:val="000000"/>
          <w:u w:val="single"/>
        </w:rPr>
        <w:t>Add at the end</w:t>
      </w:r>
      <w:r>
        <w:rPr>
          <w:color w:val="000000"/>
        </w:rPr>
        <w:t xml:space="preserve">: “(…) </w:t>
      </w:r>
      <w:r>
        <w:rPr>
          <w:b/>
          <w:color w:val="FF0000"/>
        </w:rPr>
        <w:t>Children’s experiences and views on the use of the digital environment should inform these educational programs</w:t>
      </w:r>
      <w:r>
        <w:rPr>
          <w:color w:val="000000"/>
        </w:rPr>
        <w:t>.”</w:t>
      </w:r>
    </w:p>
    <w:p w14:paraId="1CD72884" w14:textId="77777777" w:rsidR="00CA78B4" w:rsidRDefault="00CA78B4">
      <w:pPr>
        <w:jc w:val="both"/>
      </w:pPr>
    </w:p>
    <w:p w14:paraId="1CD72885" w14:textId="77777777" w:rsidR="00CA78B4" w:rsidRDefault="00E00B6B">
      <w:pPr>
        <w:numPr>
          <w:ilvl w:val="0"/>
          <w:numId w:val="1"/>
        </w:numPr>
        <w:pBdr>
          <w:top w:val="nil"/>
          <w:left w:val="nil"/>
          <w:bottom w:val="nil"/>
          <w:right w:val="nil"/>
          <w:between w:val="nil"/>
        </w:pBdr>
        <w:ind w:left="284" w:hanging="284"/>
        <w:jc w:val="both"/>
        <w:rPr>
          <w:color w:val="000000"/>
          <w:u w:val="single"/>
        </w:rPr>
      </w:pPr>
      <w:r>
        <w:rPr>
          <w:color w:val="000000"/>
          <w:u w:val="single"/>
        </w:rPr>
        <w:t>Freedom of expression</w:t>
      </w:r>
    </w:p>
    <w:p w14:paraId="46DB5DAC" w14:textId="770B9007" w:rsidR="000E0342" w:rsidRDefault="00E00B6B">
      <w:pPr>
        <w:jc w:val="both"/>
      </w:pPr>
      <w:r>
        <w:rPr>
          <w:b/>
        </w:rPr>
        <w:t xml:space="preserve">Par. 60 – </w:t>
      </w:r>
      <w:r>
        <w:t>“</w:t>
      </w:r>
      <w:r w:rsidR="00FA3159">
        <w:t xml:space="preserve">(…) </w:t>
      </w:r>
      <w:r w:rsidR="0055374F">
        <w:t>proportionate</w:t>
      </w:r>
      <w:r w:rsidR="00A06014" w:rsidRPr="00A06014">
        <w:t>.</w:t>
      </w:r>
      <w:r w:rsidR="00A06014" w:rsidRPr="00A06014">
        <w:rPr>
          <w:b/>
          <w:bCs/>
        </w:rPr>
        <w:t xml:space="preserve"> </w:t>
      </w:r>
      <w:r w:rsidR="00A06014" w:rsidRPr="00A06014">
        <w:rPr>
          <w:rFonts w:asciiTheme="minorHAnsi" w:hAnsiTheme="minorHAnsi" w:cstheme="minorHAnsi"/>
          <w:b/>
          <w:bCs/>
          <w:color w:val="FF0000"/>
        </w:rPr>
        <w:t>I</w:t>
      </w:r>
      <w:r w:rsidR="00A06014" w:rsidRPr="00A06014">
        <w:rPr>
          <w:rFonts w:asciiTheme="minorHAnsi" w:hAnsiTheme="minorHAnsi" w:cstheme="minorHAnsi"/>
          <w:b/>
          <w:bCs/>
          <w:color w:val="FF0000"/>
          <w:bdr w:val="none" w:sz="0" w:space="0" w:color="auto" w:frame="1"/>
        </w:rPr>
        <w:t xml:space="preserve">f justifiable restrictions are imposed on children’s right to freedom of expression the process, </w:t>
      </w:r>
      <w:proofErr w:type="gramStart"/>
      <w:r w:rsidR="00A06014" w:rsidRPr="00A06014">
        <w:rPr>
          <w:rFonts w:asciiTheme="minorHAnsi" w:hAnsiTheme="minorHAnsi" w:cstheme="minorHAnsi"/>
          <w:b/>
          <w:bCs/>
          <w:color w:val="FF0000"/>
          <w:bdr w:val="none" w:sz="0" w:space="0" w:color="auto" w:frame="1"/>
        </w:rPr>
        <w:t>outcome</w:t>
      </w:r>
      <w:proofErr w:type="gramEnd"/>
      <w:r w:rsidR="00A06014">
        <w:rPr>
          <w:rFonts w:asciiTheme="minorHAnsi" w:hAnsiTheme="minorHAnsi" w:cstheme="minorHAnsi"/>
          <w:b/>
          <w:bCs/>
          <w:color w:val="FF0000"/>
          <w:bdr w:val="none" w:sz="0" w:space="0" w:color="auto" w:frame="1"/>
        </w:rPr>
        <w:t xml:space="preserve"> </w:t>
      </w:r>
      <w:r w:rsidR="00A06014" w:rsidRPr="00A06014">
        <w:rPr>
          <w:rFonts w:asciiTheme="minorHAnsi" w:hAnsiTheme="minorHAnsi" w:cstheme="minorHAnsi"/>
          <w:b/>
          <w:bCs/>
          <w:color w:val="FF0000"/>
          <w:bdr w:val="none" w:sz="0" w:space="0" w:color="auto" w:frame="1"/>
        </w:rPr>
        <w:t>and reasons for such a decision must be transparent and communicated to children.</w:t>
      </w:r>
      <w:r w:rsidR="00A06014" w:rsidRPr="00A06014">
        <w:rPr>
          <w:rFonts w:asciiTheme="minorHAnsi" w:hAnsiTheme="minorHAnsi" w:cstheme="minorHAnsi"/>
          <w:color w:val="FF0000"/>
        </w:rPr>
        <w:t xml:space="preserve"> </w:t>
      </w:r>
      <w:r>
        <w:t xml:space="preserve">States should provide children with information </w:t>
      </w:r>
      <w:r>
        <w:rPr>
          <w:b/>
          <w:color w:val="FF0000"/>
        </w:rPr>
        <w:t>and training opportunities</w:t>
      </w:r>
      <w:r>
        <w:rPr>
          <w:color w:val="FF0000"/>
        </w:rPr>
        <w:t xml:space="preserve"> </w:t>
      </w:r>
      <w:r>
        <w:t xml:space="preserve">on how to effectively exercise this right, particularly how to create and share digital content </w:t>
      </w:r>
      <w:r>
        <w:rPr>
          <w:b/>
          <w:color w:val="FF0000"/>
        </w:rPr>
        <w:t xml:space="preserve">in a safe manner for them </w:t>
      </w:r>
      <w:r>
        <w:t>while respecting the rights and dignity of others and not violating legal rules, such as those related to incitement on hatred and violence.”</w:t>
      </w:r>
    </w:p>
    <w:p w14:paraId="2E309688" w14:textId="77777777" w:rsidR="000E0342" w:rsidRPr="0008342E" w:rsidRDefault="000E0342">
      <w:pPr>
        <w:jc w:val="both"/>
        <w:rPr>
          <w:b/>
        </w:rPr>
      </w:pPr>
    </w:p>
    <w:p w14:paraId="1CD72889" w14:textId="77777777" w:rsidR="00CA78B4" w:rsidRDefault="00E00B6B">
      <w:pPr>
        <w:jc w:val="both"/>
        <w:rPr>
          <w:u w:val="single"/>
        </w:rPr>
      </w:pPr>
      <w:r>
        <w:rPr>
          <w:u w:val="single"/>
        </w:rPr>
        <w:t>C. Freedom of thought, conscience, and religion</w:t>
      </w:r>
    </w:p>
    <w:p w14:paraId="1CD7288A" w14:textId="77777777" w:rsidR="00CA78B4" w:rsidRDefault="00CA78B4">
      <w:pPr>
        <w:jc w:val="both"/>
        <w:rPr>
          <w:u w:val="single"/>
        </w:rPr>
      </w:pPr>
    </w:p>
    <w:p w14:paraId="1CD7288C" w14:textId="1672D241" w:rsidR="00CA78B4" w:rsidRPr="00AA4A99" w:rsidRDefault="00E00B6B">
      <w:pPr>
        <w:jc w:val="both"/>
        <w:rPr>
          <w:b/>
        </w:rPr>
      </w:pPr>
      <w:r>
        <w:rPr>
          <w:b/>
        </w:rPr>
        <w:t xml:space="preserve">Par. 63 – </w:t>
      </w:r>
      <w:r>
        <w:t xml:space="preserve">“(…) States shall ensure that automated systems, </w:t>
      </w:r>
      <w:r>
        <w:rPr>
          <w:b/>
          <w:color w:val="FF0000"/>
        </w:rPr>
        <w:t>digital architectures of software and devices and the overall design of technologies</w:t>
      </w:r>
      <w:r>
        <w:t xml:space="preserve"> are not used to impact or to influence children’s </w:t>
      </w:r>
      <w:r>
        <w:rPr>
          <w:b/>
          <w:color w:val="FF0000"/>
        </w:rPr>
        <w:t>opinions, ideas,</w:t>
      </w:r>
      <w:r>
        <w:rPr>
          <w:color w:val="FF0000"/>
        </w:rPr>
        <w:t xml:space="preserve"> </w:t>
      </w:r>
      <w:r>
        <w:t>behaviour or emotions”</w:t>
      </w:r>
    </w:p>
    <w:p w14:paraId="1CD7288D" w14:textId="77777777" w:rsidR="00CA78B4" w:rsidRDefault="00CA78B4">
      <w:pPr>
        <w:jc w:val="both"/>
      </w:pPr>
    </w:p>
    <w:p w14:paraId="1CD7288E" w14:textId="77777777" w:rsidR="00CA78B4" w:rsidRDefault="00E00B6B">
      <w:pPr>
        <w:jc w:val="both"/>
        <w:rPr>
          <w:u w:val="single"/>
        </w:rPr>
      </w:pPr>
      <w:r>
        <w:rPr>
          <w:u w:val="single"/>
        </w:rPr>
        <w:t>D. Freedom of association and peaceful assembly (art.15)</w:t>
      </w:r>
    </w:p>
    <w:p w14:paraId="1CD72890" w14:textId="6CFA81BE" w:rsidR="00CA78B4" w:rsidRPr="00AA4A99" w:rsidRDefault="00E00B6B">
      <w:pPr>
        <w:jc w:val="both"/>
        <w:rPr>
          <w:b/>
          <w:color w:val="000000"/>
          <w:sz w:val="22"/>
          <w:szCs w:val="22"/>
        </w:rPr>
      </w:pPr>
      <w:r>
        <w:rPr>
          <w:b/>
          <w:color w:val="000000"/>
        </w:rPr>
        <w:t xml:space="preserve">Par 68 - </w:t>
      </w:r>
      <w:r>
        <w:rPr>
          <w:color w:val="000000"/>
        </w:rPr>
        <w:t>“(…) The Committee recognises that the digital environment enables child human rights defenders,</w:t>
      </w:r>
      <w:r w:rsidRPr="00E82804">
        <w:rPr>
          <w:b/>
          <w:color w:val="FF0000"/>
        </w:rPr>
        <w:t xml:space="preserve"> </w:t>
      </w:r>
      <w:r w:rsidR="00E45550" w:rsidRPr="00E82804">
        <w:rPr>
          <w:b/>
          <w:bCs/>
          <w:color w:val="FF0000"/>
        </w:rPr>
        <w:t xml:space="preserve">including </w:t>
      </w:r>
      <w:r>
        <w:rPr>
          <w:b/>
          <w:color w:val="FF0000"/>
        </w:rPr>
        <w:t xml:space="preserve">children in situations of vulnerability </w:t>
      </w:r>
      <w:r w:rsidR="00E355DD" w:rsidRPr="00E82804">
        <w:rPr>
          <w:b/>
          <w:color w:val="FF0000"/>
        </w:rPr>
        <w:t xml:space="preserve">such as </w:t>
      </w:r>
      <w:r>
        <w:rPr>
          <w:color w:val="000000"/>
        </w:rPr>
        <w:t xml:space="preserve">[…] to advocate for </w:t>
      </w:r>
      <w:r w:rsidR="0099191A" w:rsidRPr="00E82804">
        <w:rPr>
          <w:b/>
          <w:bCs/>
          <w:color w:val="FF0000"/>
        </w:rPr>
        <w:t>human rights</w:t>
      </w:r>
      <w:r w:rsidR="009B6A76" w:rsidRPr="00E82804">
        <w:rPr>
          <w:b/>
          <w:bCs/>
          <w:color w:val="FF0000"/>
        </w:rPr>
        <w:t>, including children’s</w:t>
      </w:r>
      <w:r w:rsidRPr="00E82804">
        <w:rPr>
          <w:b/>
          <w:color w:val="FF0000"/>
        </w:rPr>
        <w:t xml:space="preserve"> rights</w:t>
      </w:r>
      <w:r>
        <w:rPr>
          <w:color w:val="000000"/>
        </w:rPr>
        <w:t>, to communicate with each other and form associations.</w:t>
      </w:r>
      <w:r>
        <w:rPr>
          <w:color w:val="000000"/>
          <w:sz w:val="22"/>
          <w:szCs w:val="22"/>
        </w:rPr>
        <w:t xml:space="preserve">[…] </w:t>
      </w:r>
      <w:r>
        <w:rPr>
          <w:color w:val="000000"/>
        </w:rPr>
        <w:t xml:space="preserve">States should support them </w:t>
      </w:r>
      <w:r>
        <w:rPr>
          <w:b/>
          <w:color w:val="FF0000"/>
        </w:rPr>
        <w:t>- including by facilitating the creation of specific digital spaces</w:t>
      </w:r>
      <w:r w:rsidR="00A42283">
        <w:rPr>
          <w:b/>
          <w:color w:val="FF0000"/>
        </w:rPr>
        <w:t xml:space="preserve"> </w:t>
      </w:r>
      <w:r>
        <w:rPr>
          <w:b/>
          <w:color w:val="FF0000"/>
        </w:rPr>
        <w:t>-</w:t>
      </w:r>
      <w:r>
        <w:rPr>
          <w:color w:val="FF0000"/>
        </w:rPr>
        <w:t xml:space="preserve"> </w:t>
      </w:r>
      <w:r>
        <w:rPr>
          <w:color w:val="000000"/>
        </w:rPr>
        <w:t xml:space="preserve"> and ensure their safety.”</w:t>
      </w:r>
    </w:p>
    <w:p w14:paraId="1CD72891" w14:textId="77777777" w:rsidR="00CA78B4" w:rsidRDefault="00CA78B4">
      <w:pPr>
        <w:jc w:val="both"/>
        <w:rPr>
          <w:color w:val="000000"/>
        </w:rPr>
      </w:pPr>
    </w:p>
    <w:p w14:paraId="1CD72892" w14:textId="77777777" w:rsidR="00CA78B4" w:rsidRDefault="00E00B6B">
      <w:pPr>
        <w:jc w:val="both"/>
        <w:rPr>
          <w:color w:val="000000"/>
          <w:u w:val="single"/>
        </w:rPr>
      </w:pPr>
      <w:proofErr w:type="spellStart"/>
      <w:proofErr w:type="gramStart"/>
      <w:r>
        <w:rPr>
          <w:color w:val="000000"/>
          <w:u w:val="single"/>
        </w:rPr>
        <w:t>A.The</w:t>
      </w:r>
      <w:proofErr w:type="spellEnd"/>
      <w:proofErr w:type="gramEnd"/>
      <w:r>
        <w:rPr>
          <w:color w:val="000000"/>
          <w:u w:val="single"/>
        </w:rPr>
        <w:t xml:space="preserve"> right to education (art.28,29)</w:t>
      </w:r>
    </w:p>
    <w:p w14:paraId="1CD72893" w14:textId="29D51106" w:rsidR="00CA78B4" w:rsidRDefault="00E00B6B">
      <w:pPr>
        <w:jc w:val="both"/>
        <w:rPr>
          <w:color w:val="000000"/>
        </w:rPr>
      </w:pPr>
      <w:r w:rsidRPr="14822C41">
        <w:rPr>
          <w:b/>
          <w:color w:val="000000" w:themeColor="text1"/>
        </w:rPr>
        <w:t>Par. 113</w:t>
      </w:r>
      <w:r w:rsidRPr="14822C41">
        <w:rPr>
          <w:color w:val="000000" w:themeColor="text1"/>
        </w:rPr>
        <w:t xml:space="preserve"> – </w:t>
      </w:r>
      <w:r w:rsidR="00AA4A99" w:rsidRPr="14822C41">
        <w:rPr>
          <w:color w:val="000000" w:themeColor="text1"/>
          <w:u w:val="single"/>
        </w:rPr>
        <w:t>A</w:t>
      </w:r>
      <w:r w:rsidRPr="14822C41">
        <w:rPr>
          <w:color w:val="000000" w:themeColor="text1"/>
          <w:u w:val="single"/>
        </w:rPr>
        <w:t>dd at the end</w:t>
      </w:r>
      <w:r w:rsidRPr="14822C41">
        <w:rPr>
          <w:color w:val="000000" w:themeColor="text1"/>
        </w:rPr>
        <w:t>: “</w:t>
      </w:r>
      <w:r>
        <w:rPr>
          <w:b/>
          <w:color w:val="FF0000"/>
        </w:rPr>
        <w:t>Educational curricula on digital environment</w:t>
      </w:r>
      <w:r w:rsidR="004F612D">
        <w:rPr>
          <w:b/>
          <w:bCs/>
          <w:color w:val="FF0000"/>
        </w:rPr>
        <w:t>, competencies and skills</w:t>
      </w:r>
      <w:r>
        <w:rPr>
          <w:b/>
          <w:color w:val="FF0000"/>
        </w:rPr>
        <w:t xml:space="preserve"> should be informed by the experiences and views of children</w:t>
      </w:r>
      <w:r w:rsidRPr="14822C41">
        <w:rPr>
          <w:color w:val="000000" w:themeColor="text1"/>
        </w:rPr>
        <w:t>.”</w:t>
      </w:r>
    </w:p>
    <w:p w14:paraId="3B9C468C" w14:textId="77777777" w:rsidR="00456B0E" w:rsidRDefault="00456B0E">
      <w:pPr>
        <w:jc w:val="both"/>
        <w:rPr>
          <w:color w:val="000000"/>
        </w:rPr>
      </w:pPr>
    </w:p>
    <w:p w14:paraId="1CD72894" w14:textId="77777777" w:rsidR="00CA78B4" w:rsidRPr="00DB6AFF" w:rsidRDefault="00CA78B4">
      <w:pPr>
        <w:jc w:val="both"/>
        <w:rPr>
          <w:color w:val="006600"/>
        </w:rPr>
      </w:pPr>
    </w:p>
    <w:p w14:paraId="1CD72895" w14:textId="77777777" w:rsidR="00D778F8" w:rsidRPr="00DB6AFF" w:rsidRDefault="00E00B6B" w:rsidP="00D778F8">
      <w:pPr>
        <w:numPr>
          <w:ilvl w:val="0"/>
          <w:numId w:val="3"/>
        </w:numPr>
        <w:pBdr>
          <w:top w:val="nil"/>
          <w:left w:val="nil"/>
          <w:bottom w:val="nil"/>
          <w:right w:val="nil"/>
          <w:between w:val="nil"/>
        </w:pBdr>
        <w:jc w:val="both"/>
        <w:rPr>
          <w:b/>
          <w:i/>
          <w:color w:val="006600"/>
        </w:rPr>
      </w:pPr>
      <w:r w:rsidRPr="00DB6AFF">
        <w:rPr>
          <w:b/>
          <w:i/>
          <w:color w:val="006600"/>
        </w:rPr>
        <w:t>Promoting greater support from adults to secure full participation of children</w:t>
      </w:r>
    </w:p>
    <w:p w14:paraId="0AAD9010" w14:textId="77777777" w:rsidR="0091130B" w:rsidRPr="0091130B" w:rsidRDefault="0091130B" w:rsidP="0091130B">
      <w:pPr>
        <w:pBdr>
          <w:top w:val="nil"/>
          <w:left w:val="nil"/>
          <w:bottom w:val="nil"/>
          <w:right w:val="nil"/>
          <w:between w:val="nil"/>
        </w:pBdr>
        <w:ind w:left="720"/>
        <w:jc w:val="both"/>
        <w:rPr>
          <w:b/>
          <w:i/>
          <w:iCs/>
          <w:color w:val="385623" w:themeColor="accent6" w:themeShade="80"/>
        </w:rPr>
      </w:pPr>
    </w:p>
    <w:p w14:paraId="1CD72896" w14:textId="77777777" w:rsidR="00CA78B4" w:rsidRDefault="00E00B6B">
      <w:pPr>
        <w:jc w:val="both"/>
      </w:pPr>
      <w:r>
        <w:t xml:space="preserve">CHRDs recognised the instrumental role of adults to exercise their right to participation in the digital environment, which is why their recommendation is for </w:t>
      </w:r>
      <w:r>
        <w:rPr>
          <w:b/>
        </w:rPr>
        <w:t>greater support by different relevant adults. Such support included stronger legislation, policies and regulations by Governments, more direct support from parents and guardians, as well as teachers and schools’ staff</w:t>
      </w:r>
      <w:r>
        <w:t>. As a result, the suggested comments to the GC25 informed by this recommendation are:</w:t>
      </w:r>
    </w:p>
    <w:p w14:paraId="63226082" w14:textId="77777777" w:rsidR="00CA78B4" w:rsidRDefault="00CA78B4">
      <w:pPr>
        <w:jc w:val="both"/>
      </w:pPr>
    </w:p>
    <w:p w14:paraId="14960319" w14:textId="77777777" w:rsidR="0022491D" w:rsidRDefault="0022491D">
      <w:pPr>
        <w:jc w:val="both"/>
        <w:rPr>
          <w:u w:val="single"/>
        </w:rPr>
      </w:pPr>
    </w:p>
    <w:p w14:paraId="1CD72898" w14:textId="13E40494" w:rsidR="00CA78B4" w:rsidRDefault="00E00B6B">
      <w:pPr>
        <w:jc w:val="both"/>
        <w:rPr>
          <w:u w:val="single"/>
        </w:rPr>
      </w:pPr>
      <w:r>
        <w:rPr>
          <w:u w:val="single"/>
        </w:rPr>
        <w:t>IV. Evolving capacities</w:t>
      </w:r>
    </w:p>
    <w:p w14:paraId="1CD7289A" w14:textId="58D902C9" w:rsidR="00CA78B4" w:rsidRPr="00743FE0" w:rsidRDefault="00E00B6B">
      <w:pPr>
        <w:jc w:val="both"/>
        <w:rPr>
          <w:b/>
        </w:rPr>
      </w:pPr>
      <w:r>
        <w:rPr>
          <w:b/>
        </w:rPr>
        <w:t xml:space="preserve">Par. 22 – </w:t>
      </w:r>
      <w:r w:rsidRPr="00450C2D">
        <w:t>“(...)</w:t>
      </w:r>
      <w:r>
        <w:t xml:space="preserve">They should inform, support </w:t>
      </w:r>
      <w:r>
        <w:rPr>
          <w:b/>
          <w:color w:val="FF0000"/>
        </w:rPr>
        <w:t>and provide training opportunities to</w:t>
      </w:r>
      <w:r>
        <w:rPr>
          <w:color w:val="FF0000"/>
        </w:rPr>
        <w:t xml:space="preserve"> </w:t>
      </w:r>
      <w:r>
        <w:t>parents and caregivers in acquiring digital technology skills to help them to assist children in relation to the digital environment”.</w:t>
      </w:r>
    </w:p>
    <w:p w14:paraId="1CD7289B" w14:textId="77777777" w:rsidR="00CA78B4" w:rsidRDefault="00CA78B4">
      <w:pPr>
        <w:jc w:val="both"/>
      </w:pPr>
    </w:p>
    <w:p w14:paraId="1CD7289D" w14:textId="77777777" w:rsidR="00CA78B4" w:rsidRDefault="00CA78B4">
      <w:pPr>
        <w:jc w:val="both"/>
      </w:pPr>
    </w:p>
    <w:p w14:paraId="1CD7289E" w14:textId="77777777" w:rsidR="00CA78B4" w:rsidRDefault="00E00B6B">
      <w:pPr>
        <w:pBdr>
          <w:top w:val="nil"/>
          <w:left w:val="nil"/>
          <w:bottom w:val="nil"/>
          <w:right w:val="nil"/>
          <w:between w:val="nil"/>
        </w:pBdr>
        <w:jc w:val="both"/>
        <w:rPr>
          <w:color w:val="000000"/>
          <w:u w:val="single"/>
        </w:rPr>
      </w:pPr>
      <w:r>
        <w:rPr>
          <w:color w:val="000000"/>
          <w:u w:val="single"/>
        </w:rPr>
        <w:t>C. The best interest of the child</w:t>
      </w:r>
    </w:p>
    <w:p w14:paraId="1CD728A0" w14:textId="16EA43AC" w:rsidR="00CA78B4" w:rsidRPr="00743FE0" w:rsidRDefault="00E00B6B">
      <w:pPr>
        <w:jc w:val="both"/>
        <w:rPr>
          <w:b/>
        </w:rPr>
      </w:pPr>
      <w:r>
        <w:rPr>
          <w:b/>
        </w:rPr>
        <w:t xml:space="preserve">Par. 14 – </w:t>
      </w:r>
      <w:r>
        <w:t xml:space="preserve">“When making decisions relating to the regulation of the digital environments, States shall </w:t>
      </w:r>
      <w:r w:rsidR="00894775" w:rsidRPr="00894775">
        <w:rPr>
          <w:b/>
          <w:bCs/>
          <w:color w:val="FF0000"/>
        </w:rPr>
        <w:t>ensure that the best interests of the child are a primary consideration, and in determining this shall have regard to the child’s other rights including,</w:t>
      </w:r>
      <w:r w:rsidR="00464FDA">
        <w:rPr>
          <w:b/>
          <w:bCs/>
          <w:color w:val="FF0000"/>
        </w:rPr>
        <w:t xml:space="preserve"> </w:t>
      </w:r>
      <w:r w:rsidR="00894775" w:rsidRPr="00894775">
        <w:rPr>
          <w:b/>
          <w:bCs/>
          <w:color w:val="FF0000"/>
        </w:rPr>
        <w:t>in particular, their rights to seek, receive and impart information, to be protected from harm and to have their views given due weight</w:t>
      </w:r>
      <w:r w:rsidR="00894775" w:rsidRPr="00464FDA">
        <w:t>.”</w:t>
      </w:r>
    </w:p>
    <w:p w14:paraId="1CD728A1" w14:textId="77777777" w:rsidR="00CA78B4" w:rsidRDefault="00CA78B4">
      <w:pPr>
        <w:jc w:val="both"/>
      </w:pPr>
    </w:p>
    <w:p w14:paraId="5B035FDE" w14:textId="4B774ED3" w:rsidR="00B75350" w:rsidRDefault="00E00B6B">
      <w:pPr>
        <w:jc w:val="both"/>
      </w:pPr>
      <w:r>
        <w:t xml:space="preserve">[rationale: Otherwise children’s interests and rights (to participate, to express, to assembly, etc.) might not be considered balancing the risks, </w:t>
      </w:r>
      <w:proofErr w:type="gramStart"/>
      <w:r>
        <w:t>harm</w:t>
      </w:r>
      <w:proofErr w:type="gramEnd"/>
      <w:r>
        <w:t xml:space="preserve"> and violations.</w:t>
      </w:r>
      <w:r w:rsidR="00B75350">
        <w:t xml:space="preserve"> </w:t>
      </w:r>
      <w:r w:rsidR="00EC35D1">
        <w:t xml:space="preserve">It is </w:t>
      </w:r>
      <w:r w:rsidR="00B75350" w:rsidRPr="00B75350">
        <w:t>crucial to clarify here that the rights include not just the right to protection from harm</w:t>
      </w:r>
      <w:r w:rsidR="00170F0C">
        <w:t xml:space="preserve"> and that the best interests should not be </w:t>
      </w:r>
      <w:r w:rsidR="008D62AA">
        <w:t>the determining principle but a primary consideration</w:t>
      </w:r>
      <w:r w:rsidR="00EC35D1">
        <w:t>.]</w:t>
      </w:r>
    </w:p>
    <w:p w14:paraId="1CD728A3" w14:textId="77777777" w:rsidR="00CA78B4" w:rsidRDefault="00CA78B4">
      <w:pPr>
        <w:jc w:val="both"/>
      </w:pPr>
    </w:p>
    <w:p w14:paraId="1CD728A4" w14:textId="77777777" w:rsidR="00CA78B4" w:rsidRDefault="00E00B6B">
      <w:pPr>
        <w:jc w:val="both"/>
        <w:rPr>
          <w:u w:val="single"/>
        </w:rPr>
      </w:pPr>
      <w:r>
        <w:rPr>
          <w:u w:val="single"/>
        </w:rPr>
        <w:t>C. Rights to life, survival, and development (art. 6)</w:t>
      </w:r>
    </w:p>
    <w:p w14:paraId="1CD728A7" w14:textId="09625D84" w:rsidR="00810149" w:rsidRPr="00810149" w:rsidRDefault="00E00B6B" w:rsidP="00810149">
      <w:pPr>
        <w:jc w:val="both"/>
      </w:pPr>
      <w:r>
        <w:rPr>
          <w:b/>
        </w:rPr>
        <w:t xml:space="preserve">Par. 16 – </w:t>
      </w:r>
      <w:r>
        <w:t xml:space="preserve">“(…) States should identify and address </w:t>
      </w:r>
      <w:r>
        <w:rPr>
          <w:b/>
          <w:color w:val="FF0000"/>
        </w:rPr>
        <w:t>through adequate laws and policies</w:t>
      </w:r>
      <w:r>
        <w:rPr>
          <w:color w:val="FF0000"/>
        </w:rPr>
        <w:t xml:space="preserve"> </w:t>
      </w:r>
      <w:r>
        <w:t xml:space="preserve">the emerging risks children face in diverse contexts </w:t>
      </w:r>
      <w:r>
        <w:rPr>
          <w:b/>
          <w:color w:val="FF0000"/>
        </w:rPr>
        <w:t xml:space="preserve">by </w:t>
      </w:r>
      <w:r w:rsidR="00F15648">
        <w:rPr>
          <w:b/>
          <w:color w:val="FF0000"/>
        </w:rPr>
        <w:t>empowering</w:t>
      </w:r>
      <w:r>
        <w:t xml:space="preserve"> </w:t>
      </w:r>
      <w:r w:rsidR="00186C16" w:rsidRPr="00186C16">
        <w:rPr>
          <w:b/>
          <w:bCs/>
          <w:color w:val="FF0000"/>
        </w:rPr>
        <w:t>them</w:t>
      </w:r>
      <w:r w:rsidRPr="00186C16">
        <w:rPr>
          <w:b/>
          <w:bCs/>
          <w:color w:val="FF0000"/>
        </w:rPr>
        <w:t xml:space="preserve"> </w:t>
      </w:r>
      <w:r w:rsidR="00F15648" w:rsidRPr="00110F0F">
        <w:rPr>
          <w:b/>
          <w:bCs/>
          <w:color w:val="FF0000"/>
        </w:rPr>
        <w:t>to share their views on</w:t>
      </w:r>
      <w:r w:rsidR="00186C16">
        <w:rPr>
          <w:b/>
          <w:bCs/>
          <w:color w:val="FF0000"/>
        </w:rPr>
        <w:t xml:space="preserve"> </w:t>
      </w:r>
      <w:r w:rsidR="00186C16" w:rsidRPr="00186C16">
        <w:t>t</w:t>
      </w:r>
      <w:r>
        <w:t>he particular and emerging risks they face.</w:t>
      </w:r>
    </w:p>
    <w:p w14:paraId="25D3FB5F" w14:textId="77777777" w:rsidR="004E1C0C" w:rsidRDefault="004E1C0C">
      <w:pPr>
        <w:jc w:val="both"/>
      </w:pPr>
    </w:p>
    <w:p w14:paraId="1CD728A8" w14:textId="77777777" w:rsidR="00CA78B4" w:rsidRDefault="00E00B6B">
      <w:pPr>
        <w:numPr>
          <w:ilvl w:val="0"/>
          <w:numId w:val="1"/>
        </w:numPr>
        <w:pBdr>
          <w:top w:val="nil"/>
          <w:left w:val="nil"/>
          <w:bottom w:val="nil"/>
          <w:right w:val="nil"/>
          <w:between w:val="nil"/>
        </w:pBdr>
        <w:ind w:left="284" w:hanging="284"/>
        <w:jc w:val="both"/>
        <w:rPr>
          <w:color w:val="000000"/>
          <w:u w:val="single"/>
        </w:rPr>
      </w:pPr>
      <w:r>
        <w:rPr>
          <w:color w:val="000000"/>
          <w:u w:val="single"/>
        </w:rPr>
        <w:t>Access to information (arts. 13 and 17)</w:t>
      </w:r>
    </w:p>
    <w:p w14:paraId="1CD728AA" w14:textId="116747DC" w:rsidR="00CA78B4" w:rsidRPr="00743FE0" w:rsidRDefault="00E00B6B">
      <w:pPr>
        <w:jc w:val="both"/>
        <w:rPr>
          <w:b/>
        </w:rPr>
      </w:pPr>
      <w:r>
        <w:rPr>
          <w:b/>
        </w:rPr>
        <w:t xml:space="preserve">Par 58 – </w:t>
      </w:r>
      <w:r>
        <w:t>“States should</w:t>
      </w:r>
      <w:r>
        <w:rPr>
          <w:b/>
          <w:color w:val="FF0000"/>
        </w:rPr>
        <w:t xml:space="preserve"> ensure</w:t>
      </w:r>
      <w:r>
        <w:rPr>
          <w:color w:val="FF0000"/>
        </w:rPr>
        <w:t xml:space="preserve"> </w:t>
      </w:r>
      <w:r>
        <w:t xml:space="preserve">that media and other relevant organizations provide reliable information </w:t>
      </w:r>
      <w:r>
        <w:rPr>
          <w:b/>
          <w:color w:val="FF0000"/>
        </w:rPr>
        <w:t xml:space="preserve">and training </w:t>
      </w:r>
      <w:r>
        <w:t>to parents and children about the nature of digital services and the associated opportunities and risks. (…)”</w:t>
      </w:r>
    </w:p>
    <w:p w14:paraId="55FF5F0D" w14:textId="77777777" w:rsidR="004E6B69" w:rsidRDefault="004E6B69">
      <w:pPr>
        <w:jc w:val="both"/>
      </w:pPr>
    </w:p>
    <w:p w14:paraId="56E8C158" w14:textId="36234ED2" w:rsidR="004E6B69" w:rsidRPr="00307D90" w:rsidRDefault="00941C71">
      <w:pPr>
        <w:jc w:val="both"/>
      </w:pPr>
      <w:r w:rsidRPr="00307D90">
        <w:rPr>
          <w:u w:val="single"/>
        </w:rPr>
        <w:t>VIII. Family environment and alternative care</w:t>
      </w:r>
      <w:r w:rsidR="00207373" w:rsidRPr="00307D90">
        <w:rPr>
          <w:u w:val="single"/>
        </w:rPr>
        <w:t xml:space="preserve"> (arts. 5, 9, 18, 20)</w:t>
      </w:r>
    </w:p>
    <w:p w14:paraId="5A7DDAC3" w14:textId="77777777" w:rsidR="004E6B69" w:rsidRPr="00307D90" w:rsidRDefault="004E6B69" w:rsidP="004E6B69">
      <w:pPr>
        <w:jc w:val="both"/>
        <w:rPr>
          <w:b/>
          <w:color w:val="FF0000"/>
        </w:rPr>
      </w:pPr>
      <w:r w:rsidRPr="00307D90">
        <w:rPr>
          <w:b/>
          <w:bCs/>
        </w:rPr>
        <w:t>Para 89</w:t>
      </w:r>
      <w:r w:rsidRPr="00307D90">
        <w:t xml:space="preserve"> – </w:t>
      </w:r>
      <w:r w:rsidRPr="00743FE0">
        <w:rPr>
          <w:u w:val="single"/>
        </w:rPr>
        <w:t>Add first sentence:</w:t>
      </w:r>
      <w:r w:rsidRPr="00307D90">
        <w:t xml:space="preserve"> </w:t>
      </w:r>
      <w:r w:rsidRPr="00307D90">
        <w:rPr>
          <w:color w:val="FF0000"/>
        </w:rPr>
        <w:t>“</w:t>
      </w:r>
      <w:r w:rsidRPr="00307D90">
        <w:rPr>
          <w:b/>
          <w:color w:val="FF0000"/>
        </w:rPr>
        <w:t xml:space="preserve">Children are entitled to receive support and guidance in their discovery of and use of digital environments.” </w:t>
      </w:r>
    </w:p>
    <w:p w14:paraId="110A7D84" w14:textId="77777777" w:rsidR="004E6B69" w:rsidRDefault="004E6B69">
      <w:pPr>
        <w:jc w:val="both"/>
      </w:pPr>
    </w:p>
    <w:p w14:paraId="1CD728AB" w14:textId="191E0303" w:rsidR="00CA78B4" w:rsidRPr="00E932E5" w:rsidRDefault="00E932E5">
      <w:pPr>
        <w:jc w:val="both"/>
        <w:rPr>
          <w:u w:val="single"/>
        </w:rPr>
      </w:pPr>
      <w:r w:rsidRPr="00E932E5">
        <w:rPr>
          <w:u w:val="single"/>
        </w:rPr>
        <w:t>IX. Children with disabilities (art. 23)</w:t>
      </w:r>
    </w:p>
    <w:p w14:paraId="1CD728AC" w14:textId="76E671F1" w:rsidR="00CA78B4" w:rsidRPr="00E74040" w:rsidRDefault="00E00B6B">
      <w:pPr>
        <w:jc w:val="both"/>
      </w:pPr>
      <w:r w:rsidRPr="00E74040">
        <w:rPr>
          <w:b/>
        </w:rPr>
        <w:t>Par. 99</w:t>
      </w:r>
      <w:r w:rsidRPr="00E74040">
        <w:t xml:space="preserve"> -Add at the end: “(...) </w:t>
      </w:r>
      <w:r w:rsidRPr="00E74040">
        <w:rPr>
          <w:b/>
          <w:color w:val="FF0000"/>
        </w:rPr>
        <w:t xml:space="preserve">States should support the development of </w:t>
      </w:r>
      <w:r w:rsidR="009F0C64">
        <w:rPr>
          <w:b/>
          <w:color w:val="FF0000"/>
        </w:rPr>
        <w:t>child-le</w:t>
      </w:r>
      <w:r w:rsidR="00B5123A">
        <w:rPr>
          <w:b/>
          <w:color w:val="FF0000"/>
        </w:rPr>
        <w:t>d</w:t>
      </w:r>
      <w:r w:rsidR="009F0C64">
        <w:rPr>
          <w:b/>
          <w:color w:val="FF0000"/>
        </w:rPr>
        <w:t xml:space="preserve"> </w:t>
      </w:r>
      <w:r w:rsidRPr="00E74040">
        <w:rPr>
          <w:b/>
          <w:color w:val="FF0000"/>
        </w:rPr>
        <w:t xml:space="preserve">organisations and initiatives of children with disabilities and their active engagement through the digital environment, as well as </w:t>
      </w:r>
      <w:r w:rsidR="0040153F" w:rsidRPr="00B5123A">
        <w:rPr>
          <w:b/>
          <w:color w:val="FF0000"/>
        </w:rPr>
        <w:t>support</w:t>
      </w:r>
      <w:r w:rsidRPr="00E74040">
        <w:rPr>
          <w:b/>
          <w:color w:val="FF0000"/>
        </w:rPr>
        <w:t xml:space="preserve"> adults </w:t>
      </w:r>
      <w:r w:rsidR="0040153F" w:rsidRPr="00B5123A">
        <w:rPr>
          <w:b/>
          <w:color w:val="FF0000"/>
        </w:rPr>
        <w:t xml:space="preserve">in facilitating such </w:t>
      </w:r>
      <w:r w:rsidR="00B5123A" w:rsidRPr="00B5123A">
        <w:rPr>
          <w:b/>
          <w:color w:val="FF0000"/>
        </w:rPr>
        <w:t>initiatives</w:t>
      </w:r>
      <w:r w:rsidRPr="00E74040">
        <w:t>.”</w:t>
      </w:r>
    </w:p>
    <w:p w14:paraId="1CD728AD" w14:textId="77777777" w:rsidR="00CA78B4" w:rsidRDefault="00CA78B4">
      <w:pPr>
        <w:jc w:val="both"/>
        <w:rPr>
          <w:b/>
          <w:u w:val="single"/>
        </w:rPr>
      </w:pPr>
    </w:p>
    <w:p w14:paraId="16999DDB" w14:textId="77777777" w:rsidR="00CA78B4" w:rsidRDefault="00E00B6B">
      <w:pPr>
        <w:jc w:val="both"/>
        <w:rPr>
          <w:u w:val="single"/>
        </w:rPr>
      </w:pPr>
      <w:proofErr w:type="spellStart"/>
      <w:proofErr w:type="gramStart"/>
      <w:r>
        <w:rPr>
          <w:u w:val="single"/>
        </w:rPr>
        <w:t>A.The</w:t>
      </w:r>
      <w:proofErr w:type="spellEnd"/>
      <w:proofErr w:type="gramEnd"/>
      <w:r>
        <w:rPr>
          <w:u w:val="single"/>
        </w:rPr>
        <w:t xml:space="preserve"> right to education (arts. 28, 29)</w:t>
      </w:r>
    </w:p>
    <w:p w14:paraId="1CD728B5" w14:textId="665CF115" w:rsidR="00CA78B4" w:rsidRPr="00743FE0" w:rsidRDefault="001D7E33" w:rsidP="00743FE0">
      <w:pPr>
        <w:jc w:val="both"/>
        <w:rPr>
          <w:u w:val="single"/>
        </w:rPr>
      </w:pPr>
      <w:r w:rsidRPr="008369C5">
        <w:rPr>
          <w:b/>
        </w:rPr>
        <w:t xml:space="preserve">Par. </w:t>
      </w:r>
      <w:r w:rsidR="00E00B6B" w:rsidRPr="008369C5">
        <w:rPr>
          <w:b/>
          <w:bCs/>
        </w:rPr>
        <w:t>112</w:t>
      </w:r>
      <w:r w:rsidRPr="008369C5">
        <w:t xml:space="preserve"> – </w:t>
      </w:r>
      <w:r w:rsidRPr="00743FE0">
        <w:rPr>
          <w:u w:val="single"/>
        </w:rPr>
        <w:t>Add at the end</w:t>
      </w:r>
      <w:r w:rsidRPr="008369C5">
        <w:t>: “</w:t>
      </w:r>
      <w:r w:rsidR="00E00B6B" w:rsidRPr="008369C5">
        <w:rPr>
          <w:b/>
          <w:color w:val="FF0000"/>
        </w:rPr>
        <w:t>States must ensure that schools recognise their responsibility in preventing cyberbullying, when connected to a child’s school environment</w:t>
      </w:r>
      <w:r w:rsidR="008369C5">
        <w:rPr>
          <w:b/>
          <w:bCs/>
          <w:color w:val="FF0000"/>
        </w:rPr>
        <w:t>.</w:t>
      </w:r>
      <w:r w:rsidR="00256C92" w:rsidRPr="008369C5">
        <w:rPr>
          <w:b/>
          <w:bCs/>
          <w:color w:val="FF0000"/>
        </w:rPr>
        <w:t>”</w:t>
      </w:r>
      <w:r w:rsidR="00884264" w:rsidRPr="008369C5">
        <w:rPr>
          <w:rStyle w:val="FootnoteReference"/>
          <w:color w:val="FF0000"/>
        </w:rPr>
        <w:footnoteReference w:id="4"/>
      </w:r>
      <w:r w:rsidR="00E00B6B" w:rsidRPr="008369C5">
        <w:rPr>
          <w:color w:val="FF0000"/>
        </w:rPr>
        <w:t xml:space="preserve"> </w:t>
      </w:r>
    </w:p>
    <w:p w14:paraId="67F77245" w14:textId="77777777" w:rsidR="00743FE0" w:rsidRDefault="00743FE0">
      <w:pPr>
        <w:jc w:val="both"/>
        <w:rPr>
          <w:b/>
          <w:u w:val="single"/>
        </w:rPr>
      </w:pPr>
    </w:p>
    <w:p w14:paraId="7D0636C1" w14:textId="77777777" w:rsidR="00456B0E" w:rsidRDefault="00456B0E">
      <w:pPr>
        <w:jc w:val="both"/>
        <w:rPr>
          <w:b/>
          <w:u w:val="single"/>
        </w:rPr>
      </w:pPr>
    </w:p>
    <w:p w14:paraId="1CD728B6" w14:textId="20FB68FD" w:rsidR="00CA78B4" w:rsidRPr="00453223" w:rsidRDefault="00E00B6B">
      <w:pPr>
        <w:jc w:val="both"/>
        <w:rPr>
          <w:b/>
          <w:color w:val="006600"/>
          <w:u w:val="single"/>
        </w:rPr>
      </w:pPr>
      <w:r w:rsidRPr="00453223">
        <w:rPr>
          <w:b/>
          <w:color w:val="006600"/>
          <w:u w:val="single"/>
        </w:rPr>
        <w:t xml:space="preserve">Other proposed changes </w:t>
      </w:r>
    </w:p>
    <w:p w14:paraId="38DE3C6B" w14:textId="77777777" w:rsidR="00456B0E" w:rsidRDefault="00456B0E">
      <w:pPr>
        <w:jc w:val="both"/>
        <w:rPr>
          <w:u w:val="single"/>
        </w:rPr>
      </w:pPr>
    </w:p>
    <w:p w14:paraId="1CD728B8" w14:textId="726F74BC" w:rsidR="00CA78B4" w:rsidRDefault="00E00B6B">
      <w:pPr>
        <w:jc w:val="both"/>
        <w:rPr>
          <w:u w:val="single"/>
        </w:rPr>
      </w:pPr>
      <w:proofErr w:type="spellStart"/>
      <w:proofErr w:type="gramStart"/>
      <w:r>
        <w:rPr>
          <w:u w:val="single"/>
        </w:rPr>
        <w:t>A.The</w:t>
      </w:r>
      <w:proofErr w:type="spellEnd"/>
      <w:proofErr w:type="gramEnd"/>
      <w:r>
        <w:rPr>
          <w:u w:val="single"/>
        </w:rPr>
        <w:t xml:space="preserve"> right to non-discrimination</w:t>
      </w:r>
    </w:p>
    <w:p w14:paraId="27A5CE6C" w14:textId="77777777" w:rsidR="00657026" w:rsidRDefault="00657026">
      <w:pPr>
        <w:jc w:val="both"/>
        <w:rPr>
          <w:b/>
        </w:rPr>
      </w:pPr>
    </w:p>
    <w:p w14:paraId="1CD728BA" w14:textId="1116716A" w:rsidR="00CA78B4" w:rsidRPr="00743FE0" w:rsidRDefault="00003548">
      <w:pPr>
        <w:jc w:val="both"/>
      </w:pPr>
      <w:r>
        <w:rPr>
          <w:b/>
        </w:rPr>
        <w:t xml:space="preserve">Par. </w:t>
      </w:r>
      <w:r w:rsidR="00E00B6B">
        <w:rPr>
          <w:b/>
        </w:rPr>
        <w:t xml:space="preserve">11- </w:t>
      </w:r>
      <w:r w:rsidR="00E00B6B" w:rsidRPr="00743FE0">
        <w:rPr>
          <w:u w:val="single"/>
        </w:rPr>
        <w:t>Add at the end</w:t>
      </w:r>
      <w:r w:rsidR="00E00B6B">
        <w:t xml:space="preserve">: </w:t>
      </w:r>
      <w:r w:rsidR="00E00B6B">
        <w:rPr>
          <w:b/>
          <w:color w:val="FF0000"/>
        </w:rPr>
        <w:t>“Children have equal right to access without discrimination the digital environment as adults. States must ensure that any differentiation in the access to the digital environment between children and adults is based on objective and reasonable criteria”.</w:t>
      </w:r>
    </w:p>
    <w:p w14:paraId="1CD728BB" w14:textId="0262F976" w:rsidR="00CA78B4" w:rsidRDefault="00CA78B4">
      <w:pPr>
        <w:jc w:val="both"/>
        <w:rPr>
          <w:b/>
        </w:rPr>
      </w:pPr>
    </w:p>
    <w:p w14:paraId="2A08CEE1" w14:textId="2628BD05" w:rsidR="008D35ED" w:rsidRDefault="008D35ED">
      <w:pPr>
        <w:jc w:val="both"/>
        <w:rPr>
          <w:b/>
        </w:rPr>
      </w:pPr>
      <w:r w:rsidRPr="00F82C3C">
        <w:rPr>
          <w:b/>
        </w:rPr>
        <w:t>Par. 12</w:t>
      </w:r>
      <w:r w:rsidR="00BB763B" w:rsidRPr="00F82C3C">
        <w:rPr>
          <w:b/>
        </w:rPr>
        <w:t xml:space="preserve"> – </w:t>
      </w:r>
      <w:r w:rsidR="008C5D00" w:rsidRPr="00743FE0">
        <w:rPr>
          <w:u w:val="single"/>
        </w:rPr>
        <w:t>Fir</w:t>
      </w:r>
      <w:r w:rsidR="0074002E" w:rsidRPr="00743FE0">
        <w:rPr>
          <w:u w:val="single"/>
        </w:rPr>
        <w:t>s</w:t>
      </w:r>
      <w:r w:rsidR="008C5D00" w:rsidRPr="00743FE0">
        <w:rPr>
          <w:u w:val="single"/>
        </w:rPr>
        <w:t xml:space="preserve">t sentence: </w:t>
      </w:r>
      <w:r w:rsidR="00245EB9" w:rsidRPr="00743FE0">
        <w:rPr>
          <w:bCs/>
          <w:u w:val="single"/>
        </w:rPr>
        <w:t>add</w:t>
      </w:r>
      <w:r w:rsidR="0074002E" w:rsidRPr="00F82C3C">
        <w:rPr>
          <w:bCs/>
        </w:rPr>
        <w:t xml:space="preserve"> “</w:t>
      </w:r>
      <w:r w:rsidR="0074002E" w:rsidRPr="00F82C3C">
        <w:rPr>
          <w:b/>
          <w:color w:val="FF0000"/>
        </w:rPr>
        <w:t>gender</w:t>
      </w:r>
      <w:r w:rsidR="0074002E" w:rsidRPr="00F82C3C">
        <w:t xml:space="preserve">” </w:t>
      </w:r>
      <w:r w:rsidR="00245EB9" w:rsidRPr="00F82C3C">
        <w:rPr>
          <w:bCs/>
        </w:rPr>
        <w:t>after “sex”</w:t>
      </w:r>
      <w:r w:rsidR="008C29E0" w:rsidRPr="00F82C3C">
        <w:rPr>
          <w:bCs/>
        </w:rPr>
        <w:t>.</w:t>
      </w:r>
      <w:r w:rsidR="0074002E" w:rsidRPr="00F82C3C">
        <w:t xml:space="preserve"> </w:t>
      </w:r>
      <w:r w:rsidR="0074002E" w:rsidRPr="00743FE0">
        <w:rPr>
          <w:u w:val="single"/>
        </w:rPr>
        <w:t>Second sentence:</w:t>
      </w:r>
      <w:r w:rsidR="0074002E" w:rsidRPr="00743FE0">
        <w:rPr>
          <w:b/>
          <w:u w:val="single"/>
        </w:rPr>
        <w:t xml:space="preserve"> </w:t>
      </w:r>
      <w:r w:rsidR="00BB763B" w:rsidRPr="00743FE0">
        <w:rPr>
          <w:u w:val="single"/>
        </w:rPr>
        <w:t>add</w:t>
      </w:r>
      <w:r w:rsidR="00BB763B" w:rsidRPr="00F82C3C">
        <w:t xml:space="preserve"> “</w:t>
      </w:r>
      <w:r w:rsidR="00BB763B" w:rsidRPr="00F82C3C">
        <w:rPr>
          <w:b/>
          <w:color w:val="FF0000"/>
        </w:rPr>
        <w:t>girls</w:t>
      </w:r>
      <w:r w:rsidR="00BB763B" w:rsidRPr="00F82C3C">
        <w:rPr>
          <w:bCs/>
        </w:rPr>
        <w:t>”</w:t>
      </w:r>
      <w:r w:rsidR="007775C2">
        <w:rPr>
          <w:bCs/>
        </w:rPr>
        <w:t>.</w:t>
      </w:r>
      <w:r w:rsidR="00BB763B" w:rsidRPr="00F82C3C">
        <w:rPr>
          <w:bCs/>
        </w:rPr>
        <w:t xml:space="preserve"> </w:t>
      </w:r>
    </w:p>
    <w:p w14:paraId="0EAC5CA1" w14:textId="77777777" w:rsidR="00BB763B" w:rsidRDefault="00BB763B">
      <w:pPr>
        <w:jc w:val="both"/>
        <w:rPr>
          <w:b/>
        </w:rPr>
      </w:pPr>
    </w:p>
    <w:p w14:paraId="1CD728BC" w14:textId="03E81E05" w:rsidR="00CA78B4" w:rsidRDefault="00E00B6B">
      <w:pPr>
        <w:jc w:val="both"/>
        <w:rPr>
          <w:color w:val="000000"/>
          <w:u w:val="single"/>
        </w:rPr>
      </w:pPr>
      <w:r>
        <w:rPr>
          <w:color w:val="000000"/>
          <w:u w:val="single"/>
        </w:rPr>
        <w:t>E.</w:t>
      </w:r>
      <w:r w:rsidR="007775C2">
        <w:rPr>
          <w:color w:val="000000"/>
          <w:u w:val="single"/>
        </w:rPr>
        <w:t xml:space="preserve"> </w:t>
      </w:r>
      <w:r>
        <w:rPr>
          <w:color w:val="000000"/>
          <w:u w:val="single"/>
        </w:rPr>
        <w:t>Data collection and research</w:t>
      </w:r>
    </w:p>
    <w:p w14:paraId="1CD728BD" w14:textId="0346DABA" w:rsidR="00CA78B4" w:rsidRDefault="00E00B6B">
      <w:pPr>
        <w:jc w:val="both"/>
        <w:rPr>
          <w:color w:val="000000"/>
        </w:rPr>
      </w:pPr>
      <w:r>
        <w:rPr>
          <w:b/>
          <w:color w:val="000000"/>
        </w:rPr>
        <w:t xml:space="preserve">Par. 31 </w:t>
      </w:r>
      <w:proofErr w:type="gramStart"/>
      <w:r>
        <w:rPr>
          <w:b/>
          <w:color w:val="000000"/>
        </w:rPr>
        <w:t>–</w:t>
      </w:r>
      <w:r>
        <w:rPr>
          <w:b/>
        </w:rPr>
        <w:t xml:space="preserve">  “</w:t>
      </w:r>
      <w:proofErr w:type="gramEnd"/>
      <w:r>
        <w:rPr>
          <w:color w:val="000000"/>
        </w:rPr>
        <w:t>States should ensure the production</w:t>
      </w:r>
      <w:r w:rsidR="009873E5">
        <w:rPr>
          <w:color w:val="000000"/>
        </w:rPr>
        <w:t xml:space="preserve"> </w:t>
      </w:r>
      <w:r>
        <w:rPr>
          <w:color w:val="000000"/>
        </w:rPr>
        <w:t xml:space="preserve">of robust, </w:t>
      </w:r>
      <w:r>
        <w:rPr>
          <w:b/>
          <w:color w:val="FF0000"/>
        </w:rPr>
        <w:t>disaggregated</w:t>
      </w:r>
      <w:r>
        <w:rPr>
          <w:color w:val="000000"/>
        </w:rPr>
        <w:t>, and comprehensive data that is adequately resourced</w:t>
      </w:r>
      <w:r w:rsidR="00F65A82">
        <w:rPr>
          <w:color w:val="000000"/>
        </w:rPr>
        <w:t xml:space="preserve"> </w:t>
      </w:r>
      <w:r w:rsidR="00F65A82" w:rsidRPr="00F14922">
        <w:rPr>
          <w:b/>
          <w:bCs/>
          <w:color w:val="FF0000"/>
        </w:rPr>
        <w:t>and</w:t>
      </w:r>
      <w:r w:rsidR="00F14922" w:rsidRPr="00F14922">
        <w:rPr>
          <w:b/>
          <w:bCs/>
          <w:color w:val="FF0000"/>
        </w:rPr>
        <w:t xml:space="preserve"> </w:t>
      </w:r>
      <w:r w:rsidR="00047DEB">
        <w:rPr>
          <w:b/>
          <w:bCs/>
          <w:color w:val="FF0000"/>
        </w:rPr>
        <w:t>protected</w:t>
      </w:r>
      <w:r>
        <w:rPr>
          <w:color w:val="000000"/>
        </w:rPr>
        <w:t>. (…)”</w:t>
      </w:r>
    </w:p>
    <w:p w14:paraId="1CD728BE" w14:textId="77777777" w:rsidR="00CA78B4" w:rsidRDefault="00CA78B4">
      <w:pPr>
        <w:jc w:val="both"/>
        <w:rPr>
          <w:color w:val="000000"/>
        </w:rPr>
      </w:pPr>
    </w:p>
    <w:p w14:paraId="1CD728BF" w14:textId="77777777" w:rsidR="00CA78B4" w:rsidRDefault="00E00B6B">
      <w:pPr>
        <w:jc w:val="both"/>
        <w:rPr>
          <w:color w:val="000000"/>
          <w:u w:val="single"/>
        </w:rPr>
      </w:pPr>
      <w:r>
        <w:rPr>
          <w:color w:val="000000"/>
          <w:u w:val="single"/>
        </w:rPr>
        <w:t>A. Access to information (art.13 and 17)</w:t>
      </w:r>
    </w:p>
    <w:p w14:paraId="4742DB51" w14:textId="64EC6DBF" w:rsidR="009F028A" w:rsidRDefault="009F028A">
      <w:pPr>
        <w:jc w:val="both"/>
        <w:rPr>
          <w:bCs/>
          <w:color w:val="000000"/>
        </w:rPr>
      </w:pPr>
      <w:r>
        <w:rPr>
          <w:b/>
          <w:color w:val="000000"/>
        </w:rPr>
        <w:t>Par. 52 –</w:t>
      </w:r>
      <w:r w:rsidRPr="00915B34">
        <w:rPr>
          <w:bCs/>
          <w:color w:val="000000"/>
        </w:rPr>
        <w:t xml:space="preserve"> </w:t>
      </w:r>
      <w:r w:rsidRPr="00743FE0">
        <w:rPr>
          <w:color w:val="000000"/>
          <w:u w:val="single"/>
        </w:rPr>
        <w:t xml:space="preserve">Add </w:t>
      </w:r>
      <w:r w:rsidRPr="00915B34">
        <w:rPr>
          <w:bCs/>
          <w:color w:val="000000"/>
        </w:rPr>
        <w:t>“</w:t>
      </w:r>
      <w:r w:rsidRPr="00A72A4D">
        <w:rPr>
          <w:b/>
          <w:color w:val="FF0000"/>
        </w:rPr>
        <w:t xml:space="preserve">and gender </w:t>
      </w:r>
      <w:r w:rsidR="00915B34" w:rsidRPr="00A72A4D">
        <w:rPr>
          <w:b/>
          <w:color w:val="FF0000"/>
        </w:rPr>
        <w:t>-</w:t>
      </w:r>
      <w:r w:rsidRPr="00A72A4D">
        <w:rPr>
          <w:b/>
          <w:color w:val="FF0000"/>
        </w:rPr>
        <w:t>sensitive</w:t>
      </w:r>
      <w:r w:rsidRPr="00915B34">
        <w:rPr>
          <w:bCs/>
          <w:color w:val="000000"/>
        </w:rPr>
        <w:t>”</w:t>
      </w:r>
      <w:r w:rsidR="00915B34" w:rsidRPr="00915B34">
        <w:rPr>
          <w:bCs/>
          <w:color w:val="000000"/>
        </w:rPr>
        <w:t xml:space="preserve"> </w:t>
      </w:r>
      <w:r w:rsidR="00915B34" w:rsidRPr="00743FE0">
        <w:rPr>
          <w:color w:val="000000"/>
          <w:u w:val="single"/>
        </w:rPr>
        <w:t>after</w:t>
      </w:r>
      <w:r w:rsidR="00915B34" w:rsidRPr="00915B34">
        <w:rPr>
          <w:bCs/>
          <w:color w:val="000000"/>
        </w:rPr>
        <w:t xml:space="preserve"> “age-appropriate”.</w:t>
      </w:r>
    </w:p>
    <w:p w14:paraId="5D3B1C6A" w14:textId="77777777" w:rsidR="006613B3" w:rsidRDefault="006613B3">
      <w:pPr>
        <w:jc w:val="both"/>
        <w:rPr>
          <w:b/>
          <w:color w:val="000000"/>
        </w:rPr>
      </w:pPr>
    </w:p>
    <w:p w14:paraId="12512565" w14:textId="077C0996" w:rsidR="00CA78B4" w:rsidRDefault="00E00B6B">
      <w:pPr>
        <w:jc w:val="both"/>
        <w:rPr>
          <w:color w:val="000000"/>
        </w:rPr>
      </w:pPr>
      <w:r>
        <w:rPr>
          <w:b/>
          <w:color w:val="000000"/>
        </w:rPr>
        <w:t>Par. 65</w:t>
      </w:r>
      <w:r>
        <w:rPr>
          <w:color w:val="000000"/>
        </w:rPr>
        <w:t xml:space="preserve"> </w:t>
      </w:r>
      <w:proofErr w:type="gramStart"/>
      <w:r>
        <w:rPr>
          <w:color w:val="000000"/>
        </w:rPr>
        <w:t>–  “</w:t>
      </w:r>
      <w:proofErr w:type="gramEnd"/>
      <w:r>
        <w:rPr>
          <w:color w:val="000000"/>
        </w:rPr>
        <w:t xml:space="preserve">States </w:t>
      </w:r>
      <w:r>
        <w:rPr>
          <w:b/>
          <w:color w:val="FF0000"/>
        </w:rPr>
        <w:t xml:space="preserve">must </w:t>
      </w:r>
      <w:r>
        <w:rPr>
          <w:color w:val="000000"/>
        </w:rPr>
        <w:t>ensure that children are not penalized for their religion or beliefs or have their future opportunities in any other way restricted.(…)”</w:t>
      </w:r>
    </w:p>
    <w:p w14:paraId="1CD728C1" w14:textId="77777777" w:rsidR="00CA78B4" w:rsidRDefault="00CA78B4">
      <w:pPr>
        <w:jc w:val="both"/>
        <w:rPr>
          <w:color w:val="000000"/>
        </w:rPr>
      </w:pPr>
    </w:p>
    <w:p w14:paraId="1CD728C2" w14:textId="3E1083C4" w:rsidR="00CA78B4" w:rsidRDefault="00E00B6B">
      <w:pPr>
        <w:jc w:val="both"/>
        <w:rPr>
          <w:color w:val="000000"/>
          <w:u w:val="single"/>
        </w:rPr>
      </w:pPr>
      <w:r>
        <w:rPr>
          <w:color w:val="000000"/>
          <w:u w:val="single"/>
        </w:rPr>
        <w:t>IX. Children with disabilities (art. 23)</w:t>
      </w:r>
    </w:p>
    <w:p w14:paraId="1CD728C3" w14:textId="77777777" w:rsidR="00CA78B4" w:rsidRDefault="00CA78B4">
      <w:pPr>
        <w:jc w:val="both"/>
        <w:rPr>
          <w:b/>
        </w:rPr>
      </w:pPr>
    </w:p>
    <w:p w14:paraId="1CD728C4" w14:textId="0F676FA2" w:rsidR="00CA78B4" w:rsidRPr="004306D2" w:rsidRDefault="00E00B6B">
      <w:pPr>
        <w:jc w:val="both"/>
      </w:pPr>
      <w:r w:rsidRPr="004306D2">
        <w:rPr>
          <w:b/>
        </w:rPr>
        <w:t xml:space="preserve">Par. 96- </w:t>
      </w:r>
      <w:r w:rsidRPr="004306D2">
        <w:t>“(...) States should pursue these new avenues and also</w:t>
      </w:r>
      <w:r w:rsidRPr="004306D2">
        <w:rPr>
          <w:b/>
          <w:color w:val="FF0000"/>
        </w:rPr>
        <w:t xml:space="preserve"> adopt measures to prevent the creation of new barriers and remov</w:t>
      </w:r>
      <w:r w:rsidR="00BE1403">
        <w:rPr>
          <w:b/>
          <w:color w:val="FF0000"/>
        </w:rPr>
        <w:t>e</w:t>
      </w:r>
      <w:r w:rsidRPr="004306D2">
        <w:rPr>
          <w:b/>
          <w:color w:val="FF0000"/>
        </w:rPr>
        <w:t xml:space="preserve"> existing ones</w:t>
      </w:r>
      <w:r w:rsidRPr="004306D2">
        <w:t xml:space="preserve"> by children in relation to the digital environment.”</w:t>
      </w:r>
    </w:p>
    <w:p w14:paraId="1CD728C5" w14:textId="77777777" w:rsidR="00CA78B4" w:rsidRDefault="00CA78B4">
      <w:pPr>
        <w:jc w:val="both"/>
      </w:pPr>
    </w:p>
    <w:p w14:paraId="1CD728C6" w14:textId="5126C45E" w:rsidR="00CA78B4" w:rsidRDefault="00E00B6B">
      <w:pPr>
        <w:jc w:val="both"/>
        <w:rPr>
          <w:color w:val="000000"/>
        </w:rPr>
      </w:pPr>
      <w:r>
        <w:rPr>
          <w:b/>
          <w:color w:val="000000"/>
        </w:rPr>
        <w:t>Par. 97</w:t>
      </w:r>
      <w:r>
        <w:rPr>
          <w:color w:val="000000"/>
        </w:rPr>
        <w:t xml:space="preserve"> – </w:t>
      </w:r>
      <w:r w:rsidRPr="00743FE0">
        <w:rPr>
          <w:color w:val="000000"/>
          <w:u w:val="single"/>
        </w:rPr>
        <w:t>Add at the end</w:t>
      </w:r>
      <w:r>
        <w:rPr>
          <w:color w:val="000000"/>
        </w:rPr>
        <w:t>: “</w:t>
      </w:r>
      <w:r w:rsidRPr="003113D3">
        <w:rPr>
          <w:b/>
          <w:color w:val="FF0000"/>
        </w:rPr>
        <w:t xml:space="preserve">Obstacles to access the digital environment are not only experienced by children with physical disabilities, but also children with psychosocial </w:t>
      </w:r>
      <w:proofErr w:type="gramStart"/>
      <w:r w:rsidRPr="003113D3">
        <w:rPr>
          <w:b/>
          <w:color w:val="FF0000"/>
        </w:rPr>
        <w:t>disabilities</w:t>
      </w:r>
      <w:r w:rsidRPr="003113D3">
        <w:rPr>
          <w:color w:val="FF0000"/>
        </w:rPr>
        <w:t>.</w:t>
      </w:r>
      <w:r>
        <w:rPr>
          <w:color w:val="000000"/>
        </w:rPr>
        <w:t>“</w:t>
      </w:r>
      <w:proofErr w:type="gramEnd"/>
    </w:p>
    <w:p w14:paraId="1CD728C7" w14:textId="77777777" w:rsidR="00CA78B4" w:rsidRDefault="00CA78B4">
      <w:pPr>
        <w:jc w:val="both"/>
      </w:pPr>
    </w:p>
    <w:p w14:paraId="1CD728C8" w14:textId="77777777" w:rsidR="00CA78B4" w:rsidRDefault="00E00B6B">
      <w:pPr>
        <w:jc w:val="both"/>
      </w:pPr>
      <w:r w:rsidRPr="00743FE0">
        <w:rPr>
          <w:u w:val="single"/>
        </w:rPr>
        <w:t>Add new para after para 98</w:t>
      </w:r>
      <w:r w:rsidRPr="00743FE0">
        <w:t xml:space="preserve"> - “</w:t>
      </w:r>
      <w:r w:rsidRPr="00743FE0">
        <w:rPr>
          <w:b/>
          <w:color w:val="FF0000"/>
        </w:rPr>
        <w:t>Accessibility standards might not cater for the individual needs of all persons with disabilities, whether properly implemented or not. States must ensure the provision of reasonable accommodation to address individual requirements, in order to prevent disability-based discrimination excluding children with disabilities from a policy implemented through the digital environment or from content available in the digital environment</w:t>
      </w:r>
      <w:r w:rsidRPr="00743FE0">
        <w:t>.”</w:t>
      </w:r>
      <w:r>
        <w:t xml:space="preserve">   </w:t>
      </w:r>
    </w:p>
    <w:p w14:paraId="20FA27C8" w14:textId="77777777" w:rsidR="00CA78B4" w:rsidRDefault="00CA78B4">
      <w:pPr>
        <w:jc w:val="both"/>
      </w:pPr>
    </w:p>
    <w:p w14:paraId="1CD728CA" w14:textId="77777777" w:rsidR="00CA78B4" w:rsidRDefault="00E00B6B">
      <w:pPr>
        <w:jc w:val="both"/>
        <w:rPr>
          <w:color w:val="000000"/>
          <w:u w:val="single"/>
        </w:rPr>
      </w:pPr>
      <w:proofErr w:type="spellStart"/>
      <w:proofErr w:type="gramStart"/>
      <w:r>
        <w:rPr>
          <w:color w:val="000000"/>
          <w:u w:val="single"/>
        </w:rPr>
        <w:t>A.The</w:t>
      </w:r>
      <w:proofErr w:type="spellEnd"/>
      <w:proofErr w:type="gramEnd"/>
      <w:r>
        <w:rPr>
          <w:color w:val="000000"/>
          <w:u w:val="single"/>
        </w:rPr>
        <w:t xml:space="preserve"> right to education (art.28,29)</w:t>
      </w:r>
    </w:p>
    <w:p w14:paraId="1CD728CF" w14:textId="115D7A12" w:rsidR="00CA78B4" w:rsidRDefault="00E00B6B" w:rsidP="00521C98">
      <w:pPr>
        <w:jc w:val="both"/>
        <w:rPr>
          <w:color w:val="000000"/>
        </w:rPr>
      </w:pPr>
      <w:r w:rsidRPr="14822C41">
        <w:rPr>
          <w:b/>
          <w:color w:val="000000" w:themeColor="text1"/>
        </w:rPr>
        <w:t>Par. 107</w:t>
      </w:r>
      <w:r w:rsidRPr="14822C41">
        <w:rPr>
          <w:color w:val="000000" w:themeColor="text1"/>
        </w:rPr>
        <w:t xml:space="preserve"> – </w:t>
      </w:r>
      <w:r>
        <w:t xml:space="preserve">“(...) quality </w:t>
      </w:r>
      <w:r>
        <w:rPr>
          <w:b/>
          <w:color w:val="FF0000"/>
        </w:rPr>
        <w:t>inclusive</w:t>
      </w:r>
      <w:r>
        <w:t xml:space="preserve"> education (...)”</w:t>
      </w:r>
      <w:r w:rsidR="00743FE0">
        <w:t xml:space="preserve">. </w:t>
      </w:r>
      <w:r w:rsidRPr="14822C41">
        <w:rPr>
          <w:color w:val="000000" w:themeColor="text1"/>
          <w:u w:val="single"/>
        </w:rPr>
        <w:t>Add at the end</w:t>
      </w:r>
      <w:r w:rsidRPr="14822C41">
        <w:rPr>
          <w:color w:val="000000" w:themeColor="text1"/>
        </w:rPr>
        <w:t>: “</w:t>
      </w:r>
      <w:r>
        <w:rPr>
          <w:b/>
          <w:color w:val="FF0000"/>
        </w:rPr>
        <w:t xml:space="preserve">In situations of public emergency, such as the COVID 19 pandemic, the digital environment might be the only way through which children can </w:t>
      </w:r>
      <w:r w:rsidR="00E732FD">
        <w:rPr>
          <w:b/>
          <w:bCs/>
          <w:color w:val="FF0000"/>
        </w:rPr>
        <w:t>exercise</w:t>
      </w:r>
      <w:r>
        <w:rPr>
          <w:b/>
          <w:color w:val="FF0000"/>
        </w:rPr>
        <w:t xml:space="preserve"> their right to education, leisure and cultural activities</w:t>
      </w:r>
      <w:r w:rsidRPr="14822C41">
        <w:rPr>
          <w:color w:val="000000" w:themeColor="text1"/>
        </w:rPr>
        <w:t>.”</w:t>
      </w:r>
    </w:p>
    <w:p w14:paraId="3FFCE5CD" w14:textId="77777777" w:rsidR="006235DC" w:rsidRDefault="006235DC" w:rsidP="00521C98">
      <w:pPr>
        <w:jc w:val="both"/>
        <w:rPr>
          <w:color w:val="000000"/>
        </w:rPr>
      </w:pPr>
    </w:p>
    <w:p w14:paraId="7F508A87" w14:textId="77777777" w:rsidR="006235DC" w:rsidRDefault="006235DC" w:rsidP="00521C98">
      <w:pPr>
        <w:jc w:val="both"/>
        <w:rPr>
          <w:color w:val="000000"/>
        </w:rPr>
      </w:pPr>
    </w:p>
    <w:p w14:paraId="490E745B" w14:textId="77777777" w:rsidR="006235DC" w:rsidRDefault="006235DC" w:rsidP="00521C98">
      <w:pPr>
        <w:jc w:val="both"/>
        <w:rPr>
          <w:color w:val="000000"/>
        </w:rPr>
      </w:pPr>
    </w:p>
    <w:p w14:paraId="753F1437" w14:textId="77777777" w:rsidR="006235DC" w:rsidRDefault="006235DC" w:rsidP="00521C98">
      <w:pPr>
        <w:jc w:val="both"/>
        <w:rPr>
          <w:color w:val="000000"/>
        </w:rPr>
      </w:pPr>
    </w:p>
    <w:p w14:paraId="25F96EDC" w14:textId="77777777" w:rsidR="006235DC" w:rsidRDefault="006235DC" w:rsidP="006235DC">
      <w:pPr>
        <w:jc w:val="right"/>
        <w:rPr>
          <w:color w:val="000000"/>
        </w:rPr>
      </w:pPr>
    </w:p>
    <w:p w14:paraId="4DA39AE3" w14:textId="77777777" w:rsidR="006235DC" w:rsidRDefault="006235DC" w:rsidP="006235DC">
      <w:pPr>
        <w:jc w:val="right"/>
        <w:rPr>
          <w:color w:val="000000"/>
        </w:rPr>
      </w:pPr>
    </w:p>
    <w:p w14:paraId="408CD679" w14:textId="09D5B679" w:rsidR="00CA78B4" w:rsidRDefault="00CA78B4" w:rsidP="00B75A8D">
      <w:pPr>
        <w:rPr>
          <w:color w:val="000000"/>
        </w:rPr>
      </w:pPr>
    </w:p>
    <w:sectPr w:rsidR="00CA78B4">
      <w:headerReference w:type="default" r:id="rId19"/>
      <w:footerReference w:type="default" r:id="rId20"/>
      <w:headerReference w:type="first" r:id="rId21"/>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4142" w14:textId="77777777" w:rsidR="007D39B2" w:rsidRDefault="007D39B2">
      <w:r>
        <w:separator/>
      </w:r>
    </w:p>
  </w:endnote>
  <w:endnote w:type="continuationSeparator" w:id="0">
    <w:p w14:paraId="36B19799" w14:textId="77777777" w:rsidR="007D39B2" w:rsidRDefault="007D39B2">
      <w:r>
        <w:continuationSeparator/>
      </w:r>
    </w:p>
  </w:endnote>
  <w:endnote w:type="continuationNotice" w:id="1">
    <w:p w14:paraId="7B4F14E6" w14:textId="77777777" w:rsidR="007D39B2" w:rsidRDefault="007D3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8DD" w14:textId="18BB4A1A" w:rsidR="00CA78B4" w:rsidRDefault="00E00B6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E08D7">
      <w:rPr>
        <w:noProof/>
        <w:color w:val="000000"/>
      </w:rPr>
      <w:t>2</w:t>
    </w:r>
    <w:r>
      <w:rPr>
        <w:color w:val="000000"/>
      </w:rPr>
      <w:fldChar w:fldCharType="end"/>
    </w:r>
  </w:p>
  <w:p w14:paraId="1CD728DE" w14:textId="77777777" w:rsidR="00CA78B4" w:rsidRDefault="00CA78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A51" w14:textId="77777777" w:rsidR="007D39B2" w:rsidRDefault="007D39B2">
      <w:r>
        <w:separator/>
      </w:r>
    </w:p>
  </w:footnote>
  <w:footnote w:type="continuationSeparator" w:id="0">
    <w:p w14:paraId="24EF7B53" w14:textId="77777777" w:rsidR="007D39B2" w:rsidRDefault="007D39B2">
      <w:r>
        <w:continuationSeparator/>
      </w:r>
    </w:p>
  </w:footnote>
  <w:footnote w:type="continuationNotice" w:id="1">
    <w:p w14:paraId="46A77E9A" w14:textId="77777777" w:rsidR="007D39B2" w:rsidRDefault="007D39B2"/>
  </w:footnote>
  <w:footnote w:id="2">
    <w:p w14:paraId="1CD728E1" w14:textId="77777777" w:rsidR="00CA78B4" w:rsidRDefault="00E00B6B">
      <w:pPr>
        <w:pBdr>
          <w:top w:val="nil"/>
          <w:left w:val="nil"/>
          <w:bottom w:val="nil"/>
          <w:right w:val="nil"/>
          <w:between w:val="nil"/>
        </w:pBdr>
        <w:jc w:val="both"/>
        <w:rPr>
          <w:color w:val="000000"/>
          <w:sz w:val="18"/>
          <w:szCs w:val="18"/>
        </w:rPr>
      </w:pPr>
      <w:r w:rsidRPr="008C6C13">
        <w:rPr>
          <w:rStyle w:val="FootnoteReference"/>
          <w:sz w:val="18"/>
          <w:szCs w:val="18"/>
        </w:rPr>
        <w:footnoteRef/>
      </w:r>
      <w:r>
        <w:rPr>
          <w:color w:val="000000"/>
          <w:sz w:val="18"/>
          <w:szCs w:val="18"/>
        </w:rPr>
        <w:t xml:space="preserve"> The methods of data collection for this study included an online questionnaire to self-assess children’s digital competencies (based on the grid from </w:t>
      </w:r>
      <w:proofErr w:type="spellStart"/>
      <w:r>
        <w:rPr>
          <w:color w:val="000000"/>
          <w:sz w:val="18"/>
          <w:szCs w:val="18"/>
        </w:rPr>
        <w:t>DigComp</w:t>
      </w:r>
      <w:proofErr w:type="spellEnd"/>
      <w:r>
        <w:rPr>
          <w:color w:val="000000"/>
          <w:sz w:val="18"/>
          <w:szCs w:val="18"/>
        </w:rPr>
        <w:t xml:space="preserve"> 2.0 framework by </w:t>
      </w:r>
      <w:proofErr w:type="spellStart"/>
      <w:r>
        <w:rPr>
          <w:color w:val="000000"/>
          <w:sz w:val="18"/>
          <w:szCs w:val="18"/>
        </w:rPr>
        <w:t>Vuorikari</w:t>
      </w:r>
      <w:proofErr w:type="spellEnd"/>
      <w:r>
        <w:rPr>
          <w:color w:val="000000"/>
          <w:sz w:val="18"/>
          <w:szCs w:val="18"/>
        </w:rPr>
        <w:t xml:space="preserve"> et al., 2016); interviews (conducted via video call) and focus groups to discuss the findings (conducted via video call). </w:t>
      </w:r>
    </w:p>
  </w:footnote>
  <w:footnote w:id="3">
    <w:p w14:paraId="35614BB2" w14:textId="7B462BE0" w:rsidR="00785BEE" w:rsidRPr="00785BEE" w:rsidRDefault="00785BEE">
      <w:pPr>
        <w:pStyle w:val="FootnoteText"/>
      </w:pPr>
      <w:r>
        <w:rPr>
          <w:rStyle w:val="FootnoteReference"/>
        </w:rPr>
        <w:footnoteRef/>
      </w:r>
      <w:r>
        <w:t xml:space="preserve"> See </w:t>
      </w:r>
      <w:r w:rsidRPr="00EF105D">
        <w:t>CEDAW/C/GC/31/CRC/C/GC/18</w:t>
      </w:r>
      <w:r w:rsidR="0054567F">
        <w:t>.</w:t>
      </w:r>
    </w:p>
  </w:footnote>
  <w:footnote w:id="4">
    <w:p w14:paraId="72817083" w14:textId="1D399BA7" w:rsidR="00884264" w:rsidRPr="008C6C13" w:rsidRDefault="00884264">
      <w:pPr>
        <w:pStyle w:val="FootnoteText"/>
        <w:rPr>
          <w:sz w:val="18"/>
          <w:szCs w:val="18"/>
        </w:rPr>
      </w:pPr>
      <w:r w:rsidRPr="008C6C13">
        <w:rPr>
          <w:rStyle w:val="FootnoteReference"/>
          <w:sz w:val="18"/>
          <w:szCs w:val="18"/>
        </w:rPr>
        <w:footnoteRef/>
      </w:r>
      <w:r w:rsidRPr="008C6C13">
        <w:rPr>
          <w:sz w:val="18"/>
          <w:szCs w:val="18"/>
        </w:rPr>
        <w:t xml:space="preserve"> As highlighted by partner organisation BRIS who has collaborated on the development on our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8DB" w14:textId="77777777" w:rsidR="00CA78B4" w:rsidRDefault="00CA78B4">
    <w:pPr>
      <w:pBdr>
        <w:top w:val="nil"/>
        <w:left w:val="nil"/>
        <w:bottom w:val="nil"/>
        <w:right w:val="nil"/>
        <w:between w:val="nil"/>
      </w:pBdr>
      <w:tabs>
        <w:tab w:val="center" w:pos="4513"/>
        <w:tab w:val="right" w:pos="9026"/>
      </w:tabs>
      <w:jc w:val="right"/>
      <w:rPr>
        <w:color w:val="000000"/>
        <w:sz w:val="20"/>
        <w:szCs w:val="20"/>
      </w:rPr>
    </w:pPr>
  </w:p>
  <w:p w14:paraId="1CD728DC" w14:textId="77777777" w:rsidR="00CA78B4" w:rsidRDefault="00CA78B4">
    <w:pPr>
      <w:pBdr>
        <w:top w:val="nil"/>
        <w:left w:val="nil"/>
        <w:bottom w:val="nil"/>
        <w:right w:val="nil"/>
        <w:between w:val="nil"/>
      </w:pBdr>
      <w:tabs>
        <w:tab w:val="center" w:pos="4513"/>
        <w:tab w:val="right" w:pos="9026"/>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8DF" w14:textId="77777777" w:rsidR="00CA78B4" w:rsidRDefault="00CA78B4">
    <w:pPr>
      <w:pBdr>
        <w:top w:val="nil"/>
        <w:left w:val="nil"/>
        <w:bottom w:val="nil"/>
        <w:right w:val="nil"/>
        <w:between w:val="nil"/>
      </w:pBdr>
      <w:tabs>
        <w:tab w:val="center" w:pos="4513"/>
        <w:tab w:val="right" w:pos="9026"/>
      </w:tabs>
      <w:jc w:val="right"/>
      <w:rPr>
        <w:color w:val="000000"/>
        <w:sz w:val="20"/>
        <w:szCs w:val="20"/>
      </w:rPr>
    </w:pPr>
  </w:p>
  <w:p w14:paraId="1CD728E0" w14:textId="77777777" w:rsidR="00CA78B4" w:rsidRDefault="00CA78B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80FFA"/>
    <w:multiLevelType w:val="multilevel"/>
    <w:tmpl w:val="340E8640"/>
    <w:lvl w:ilvl="0">
      <w:start w:val="1"/>
      <w:numFmt w:val="upp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133D1"/>
    <w:multiLevelType w:val="multilevel"/>
    <w:tmpl w:val="2F3C5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727D8"/>
    <w:multiLevelType w:val="hybridMultilevel"/>
    <w:tmpl w:val="0106AC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DC20B47"/>
    <w:multiLevelType w:val="hybridMultilevel"/>
    <w:tmpl w:val="A1886A58"/>
    <w:lvl w:ilvl="0" w:tplc="DCC06AB0">
      <w:start w:val="1"/>
      <w:numFmt w:val="decimal"/>
      <w:lvlText w:val="%1."/>
      <w:lvlJc w:val="left"/>
      <w:pPr>
        <w:ind w:left="720" w:hanging="360"/>
      </w:pPr>
      <w:rPr>
        <w:u w:val="none"/>
      </w:rPr>
    </w:lvl>
    <w:lvl w:ilvl="1" w:tplc="494672FC">
      <w:start w:val="1"/>
      <w:numFmt w:val="lowerLetter"/>
      <w:lvlText w:val="%2."/>
      <w:lvlJc w:val="left"/>
      <w:pPr>
        <w:ind w:left="1440" w:hanging="360"/>
      </w:pPr>
      <w:rPr>
        <w:u w:val="none"/>
      </w:rPr>
    </w:lvl>
    <w:lvl w:ilvl="2" w:tplc="B6242B1C">
      <w:start w:val="1"/>
      <w:numFmt w:val="lowerRoman"/>
      <w:lvlText w:val="%3."/>
      <w:lvlJc w:val="right"/>
      <w:pPr>
        <w:ind w:left="2160" w:hanging="360"/>
      </w:pPr>
      <w:rPr>
        <w:u w:val="none"/>
      </w:rPr>
    </w:lvl>
    <w:lvl w:ilvl="3" w:tplc="552AB298">
      <w:start w:val="1"/>
      <w:numFmt w:val="decimal"/>
      <w:lvlText w:val="%4."/>
      <w:lvlJc w:val="left"/>
      <w:pPr>
        <w:ind w:left="2880" w:hanging="360"/>
      </w:pPr>
      <w:rPr>
        <w:u w:val="none"/>
      </w:rPr>
    </w:lvl>
    <w:lvl w:ilvl="4" w:tplc="FE5A8380">
      <w:start w:val="1"/>
      <w:numFmt w:val="lowerLetter"/>
      <w:lvlText w:val="%5."/>
      <w:lvlJc w:val="left"/>
      <w:pPr>
        <w:ind w:left="3600" w:hanging="360"/>
      </w:pPr>
      <w:rPr>
        <w:u w:val="none"/>
      </w:rPr>
    </w:lvl>
    <w:lvl w:ilvl="5" w:tplc="5430459E">
      <w:start w:val="1"/>
      <w:numFmt w:val="lowerRoman"/>
      <w:lvlText w:val="%6."/>
      <w:lvlJc w:val="right"/>
      <w:pPr>
        <w:ind w:left="4320" w:hanging="360"/>
      </w:pPr>
      <w:rPr>
        <w:u w:val="none"/>
      </w:rPr>
    </w:lvl>
    <w:lvl w:ilvl="6" w:tplc="1CD208CA">
      <w:start w:val="1"/>
      <w:numFmt w:val="decimal"/>
      <w:lvlText w:val="%7."/>
      <w:lvlJc w:val="left"/>
      <w:pPr>
        <w:ind w:left="5040" w:hanging="360"/>
      </w:pPr>
      <w:rPr>
        <w:u w:val="none"/>
      </w:rPr>
    </w:lvl>
    <w:lvl w:ilvl="7" w:tplc="868E9FBA">
      <w:start w:val="1"/>
      <w:numFmt w:val="lowerLetter"/>
      <w:lvlText w:val="%8."/>
      <w:lvlJc w:val="left"/>
      <w:pPr>
        <w:ind w:left="5760" w:hanging="360"/>
      </w:pPr>
      <w:rPr>
        <w:u w:val="none"/>
      </w:rPr>
    </w:lvl>
    <w:lvl w:ilvl="8" w:tplc="4C78149E">
      <w:start w:val="1"/>
      <w:numFmt w:val="lowerRoman"/>
      <w:lvlText w:val="%9."/>
      <w:lvlJc w:val="right"/>
      <w:pPr>
        <w:ind w:left="6480" w:hanging="360"/>
      </w:pPr>
      <w:rPr>
        <w:u w:val="none"/>
      </w:rPr>
    </w:lvl>
  </w:abstractNum>
  <w:abstractNum w:abstractNumId="5" w15:restartNumberingAfterBreak="0">
    <w:nsid w:val="6EBC7605"/>
    <w:multiLevelType w:val="hybridMultilevel"/>
    <w:tmpl w:val="E7A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B4"/>
    <w:rsid w:val="000024EE"/>
    <w:rsid w:val="00003264"/>
    <w:rsid w:val="00003548"/>
    <w:rsid w:val="0001438F"/>
    <w:rsid w:val="00016620"/>
    <w:rsid w:val="0002076F"/>
    <w:rsid w:val="0002509B"/>
    <w:rsid w:val="00026EF7"/>
    <w:rsid w:val="0003287E"/>
    <w:rsid w:val="00036E1A"/>
    <w:rsid w:val="00040424"/>
    <w:rsid w:val="00047DEB"/>
    <w:rsid w:val="00057A57"/>
    <w:rsid w:val="00071A33"/>
    <w:rsid w:val="00073E70"/>
    <w:rsid w:val="000813A4"/>
    <w:rsid w:val="0008342E"/>
    <w:rsid w:val="00090D39"/>
    <w:rsid w:val="000955DC"/>
    <w:rsid w:val="000A0994"/>
    <w:rsid w:val="000B2FF9"/>
    <w:rsid w:val="000B6680"/>
    <w:rsid w:val="000B7CC5"/>
    <w:rsid w:val="000C2D01"/>
    <w:rsid w:val="000C4ED4"/>
    <w:rsid w:val="000D0246"/>
    <w:rsid w:val="000D36AA"/>
    <w:rsid w:val="000E0342"/>
    <w:rsid w:val="000E6D2A"/>
    <w:rsid w:val="000F0BE2"/>
    <w:rsid w:val="000F1B61"/>
    <w:rsid w:val="000F7786"/>
    <w:rsid w:val="000F79EF"/>
    <w:rsid w:val="00104FD5"/>
    <w:rsid w:val="00110F0F"/>
    <w:rsid w:val="001147AB"/>
    <w:rsid w:val="001149BA"/>
    <w:rsid w:val="00121D67"/>
    <w:rsid w:val="0012367A"/>
    <w:rsid w:val="00130D90"/>
    <w:rsid w:val="00136139"/>
    <w:rsid w:val="001441DB"/>
    <w:rsid w:val="0014648E"/>
    <w:rsid w:val="00151728"/>
    <w:rsid w:val="00152198"/>
    <w:rsid w:val="00162DD2"/>
    <w:rsid w:val="00165C64"/>
    <w:rsid w:val="00170F0C"/>
    <w:rsid w:val="00186C16"/>
    <w:rsid w:val="00190AAA"/>
    <w:rsid w:val="001B2DEB"/>
    <w:rsid w:val="001C02E8"/>
    <w:rsid w:val="001C0B29"/>
    <w:rsid w:val="001D067E"/>
    <w:rsid w:val="001D6362"/>
    <w:rsid w:val="001D7E33"/>
    <w:rsid w:val="001E3790"/>
    <w:rsid w:val="001E3D6A"/>
    <w:rsid w:val="001E3E88"/>
    <w:rsid w:val="001E4C9C"/>
    <w:rsid w:val="001E57F7"/>
    <w:rsid w:val="001E7FFB"/>
    <w:rsid w:val="00202D28"/>
    <w:rsid w:val="002055E9"/>
    <w:rsid w:val="00207373"/>
    <w:rsid w:val="0022491D"/>
    <w:rsid w:val="00230D56"/>
    <w:rsid w:val="0023318B"/>
    <w:rsid w:val="0023676A"/>
    <w:rsid w:val="00237A2C"/>
    <w:rsid w:val="00244BFF"/>
    <w:rsid w:val="00245EB9"/>
    <w:rsid w:val="00246141"/>
    <w:rsid w:val="0025631A"/>
    <w:rsid w:val="00256C92"/>
    <w:rsid w:val="002715B7"/>
    <w:rsid w:val="002800DC"/>
    <w:rsid w:val="00281768"/>
    <w:rsid w:val="00290ADB"/>
    <w:rsid w:val="00291581"/>
    <w:rsid w:val="002A7BBF"/>
    <w:rsid w:val="002B2B21"/>
    <w:rsid w:val="002D68E7"/>
    <w:rsid w:val="002D6A4C"/>
    <w:rsid w:val="002E08D7"/>
    <w:rsid w:val="002E7196"/>
    <w:rsid w:val="002E7BD5"/>
    <w:rsid w:val="00302893"/>
    <w:rsid w:val="00307D90"/>
    <w:rsid w:val="003113D3"/>
    <w:rsid w:val="003215A6"/>
    <w:rsid w:val="0032419A"/>
    <w:rsid w:val="00331DA2"/>
    <w:rsid w:val="00343EBA"/>
    <w:rsid w:val="0035223A"/>
    <w:rsid w:val="00353F6B"/>
    <w:rsid w:val="00361426"/>
    <w:rsid w:val="00361A45"/>
    <w:rsid w:val="00367D58"/>
    <w:rsid w:val="00367E50"/>
    <w:rsid w:val="00371331"/>
    <w:rsid w:val="00373548"/>
    <w:rsid w:val="00376A84"/>
    <w:rsid w:val="00380B84"/>
    <w:rsid w:val="0038568D"/>
    <w:rsid w:val="00390D3C"/>
    <w:rsid w:val="00392A71"/>
    <w:rsid w:val="00393E2A"/>
    <w:rsid w:val="00393F52"/>
    <w:rsid w:val="00396E99"/>
    <w:rsid w:val="003A413A"/>
    <w:rsid w:val="003A59F3"/>
    <w:rsid w:val="003A6239"/>
    <w:rsid w:val="003B09E2"/>
    <w:rsid w:val="003B42CC"/>
    <w:rsid w:val="003C59CA"/>
    <w:rsid w:val="003D037E"/>
    <w:rsid w:val="003D299B"/>
    <w:rsid w:val="003D5063"/>
    <w:rsid w:val="003D60B1"/>
    <w:rsid w:val="003D67E1"/>
    <w:rsid w:val="003E4C5E"/>
    <w:rsid w:val="003F4407"/>
    <w:rsid w:val="003F6BB3"/>
    <w:rsid w:val="00401171"/>
    <w:rsid w:val="0040153F"/>
    <w:rsid w:val="004063E1"/>
    <w:rsid w:val="0040682A"/>
    <w:rsid w:val="00417024"/>
    <w:rsid w:val="00423FD9"/>
    <w:rsid w:val="004306D2"/>
    <w:rsid w:val="00433EC4"/>
    <w:rsid w:val="0043704F"/>
    <w:rsid w:val="0044034D"/>
    <w:rsid w:val="0045037E"/>
    <w:rsid w:val="00450C2D"/>
    <w:rsid w:val="00451C31"/>
    <w:rsid w:val="00453223"/>
    <w:rsid w:val="00456B0E"/>
    <w:rsid w:val="00462E28"/>
    <w:rsid w:val="00464FDA"/>
    <w:rsid w:val="00466FA7"/>
    <w:rsid w:val="00474D00"/>
    <w:rsid w:val="00484A2C"/>
    <w:rsid w:val="00484B88"/>
    <w:rsid w:val="00487438"/>
    <w:rsid w:val="004A6361"/>
    <w:rsid w:val="004B4187"/>
    <w:rsid w:val="004B78BE"/>
    <w:rsid w:val="004C1A34"/>
    <w:rsid w:val="004C5898"/>
    <w:rsid w:val="004C6122"/>
    <w:rsid w:val="004D3461"/>
    <w:rsid w:val="004D3A4C"/>
    <w:rsid w:val="004D5026"/>
    <w:rsid w:val="004E04D0"/>
    <w:rsid w:val="004E1C0C"/>
    <w:rsid w:val="004E3E1B"/>
    <w:rsid w:val="004E435D"/>
    <w:rsid w:val="004E6B69"/>
    <w:rsid w:val="004F10FA"/>
    <w:rsid w:val="004F29B5"/>
    <w:rsid w:val="004F612D"/>
    <w:rsid w:val="00500DFF"/>
    <w:rsid w:val="00501906"/>
    <w:rsid w:val="00504FD7"/>
    <w:rsid w:val="00506A6B"/>
    <w:rsid w:val="005139A2"/>
    <w:rsid w:val="00521C98"/>
    <w:rsid w:val="00530416"/>
    <w:rsid w:val="00542D65"/>
    <w:rsid w:val="0054567F"/>
    <w:rsid w:val="00546D47"/>
    <w:rsid w:val="005506A9"/>
    <w:rsid w:val="0055374F"/>
    <w:rsid w:val="00571541"/>
    <w:rsid w:val="00582238"/>
    <w:rsid w:val="00586F10"/>
    <w:rsid w:val="0059126C"/>
    <w:rsid w:val="00593B4A"/>
    <w:rsid w:val="00594BFD"/>
    <w:rsid w:val="005C35EB"/>
    <w:rsid w:val="005D2F5B"/>
    <w:rsid w:val="005D3834"/>
    <w:rsid w:val="005E1436"/>
    <w:rsid w:val="005E3865"/>
    <w:rsid w:val="005E6AB9"/>
    <w:rsid w:val="005E6EE2"/>
    <w:rsid w:val="005F2B02"/>
    <w:rsid w:val="005F758C"/>
    <w:rsid w:val="006017B7"/>
    <w:rsid w:val="006103A5"/>
    <w:rsid w:val="0061238D"/>
    <w:rsid w:val="00614ADA"/>
    <w:rsid w:val="006150B6"/>
    <w:rsid w:val="006235DC"/>
    <w:rsid w:val="00626C73"/>
    <w:rsid w:val="006301BB"/>
    <w:rsid w:val="00645EF9"/>
    <w:rsid w:val="006462B1"/>
    <w:rsid w:val="00653466"/>
    <w:rsid w:val="006565B6"/>
    <w:rsid w:val="00657026"/>
    <w:rsid w:val="006613B3"/>
    <w:rsid w:val="00662108"/>
    <w:rsid w:val="006679BD"/>
    <w:rsid w:val="00676E2A"/>
    <w:rsid w:val="00684DB5"/>
    <w:rsid w:val="006868D4"/>
    <w:rsid w:val="00690205"/>
    <w:rsid w:val="00691EBE"/>
    <w:rsid w:val="00693F99"/>
    <w:rsid w:val="006A3521"/>
    <w:rsid w:val="006A5DC1"/>
    <w:rsid w:val="006B0F47"/>
    <w:rsid w:val="006B2E33"/>
    <w:rsid w:val="006C18F0"/>
    <w:rsid w:val="006C420B"/>
    <w:rsid w:val="006C61F9"/>
    <w:rsid w:val="006D44A7"/>
    <w:rsid w:val="006E0B3D"/>
    <w:rsid w:val="006E3C25"/>
    <w:rsid w:val="006E6052"/>
    <w:rsid w:val="006E78EA"/>
    <w:rsid w:val="006F6FEA"/>
    <w:rsid w:val="0071105C"/>
    <w:rsid w:val="00722B5A"/>
    <w:rsid w:val="00725C54"/>
    <w:rsid w:val="00730C10"/>
    <w:rsid w:val="007359FC"/>
    <w:rsid w:val="0074002E"/>
    <w:rsid w:val="00740D7C"/>
    <w:rsid w:val="00743FE0"/>
    <w:rsid w:val="007475AC"/>
    <w:rsid w:val="00753E3C"/>
    <w:rsid w:val="00762CBC"/>
    <w:rsid w:val="00765CA3"/>
    <w:rsid w:val="00771A90"/>
    <w:rsid w:val="00774C56"/>
    <w:rsid w:val="007775C2"/>
    <w:rsid w:val="007811BD"/>
    <w:rsid w:val="00784B14"/>
    <w:rsid w:val="00785BEE"/>
    <w:rsid w:val="00787725"/>
    <w:rsid w:val="00790F23"/>
    <w:rsid w:val="007A04FD"/>
    <w:rsid w:val="007A192E"/>
    <w:rsid w:val="007A3CBF"/>
    <w:rsid w:val="007A697A"/>
    <w:rsid w:val="007A7509"/>
    <w:rsid w:val="007B2318"/>
    <w:rsid w:val="007B418F"/>
    <w:rsid w:val="007C06C9"/>
    <w:rsid w:val="007C32E0"/>
    <w:rsid w:val="007D0BA9"/>
    <w:rsid w:val="007D39B2"/>
    <w:rsid w:val="007E41C7"/>
    <w:rsid w:val="007E7CBB"/>
    <w:rsid w:val="008066D8"/>
    <w:rsid w:val="00810149"/>
    <w:rsid w:val="00812450"/>
    <w:rsid w:val="0081581F"/>
    <w:rsid w:val="008169E1"/>
    <w:rsid w:val="0082708F"/>
    <w:rsid w:val="008369C5"/>
    <w:rsid w:val="00842F7F"/>
    <w:rsid w:val="008519E4"/>
    <w:rsid w:val="00854F3A"/>
    <w:rsid w:val="00865C5E"/>
    <w:rsid w:val="0088082C"/>
    <w:rsid w:val="00882BBC"/>
    <w:rsid w:val="00884264"/>
    <w:rsid w:val="0088565A"/>
    <w:rsid w:val="0088796D"/>
    <w:rsid w:val="00894775"/>
    <w:rsid w:val="008A7093"/>
    <w:rsid w:val="008B0458"/>
    <w:rsid w:val="008B3227"/>
    <w:rsid w:val="008B578B"/>
    <w:rsid w:val="008C29E0"/>
    <w:rsid w:val="008C5D00"/>
    <w:rsid w:val="008C6C13"/>
    <w:rsid w:val="008D35ED"/>
    <w:rsid w:val="008D62AA"/>
    <w:rsid w:val="008E5AC5"/>
    <w:rsid w:val="008E7A83"/>
    <w:rsid w:val="008F070F"/>
    <w:rsid w:val="008F337D"/>
    <w:rsid w:val="009018FA"/>
    <w:rsid w:val="0091130B"/>
    <w:rsid w:val="0091227C"/>
    <w:rsid w:val="00915B34"/>
    <w:rsid w:val="0092776E"/>
    <w:rsid w:val="00927B73"/>
    <w:rsid w:val="0093414A"/>
    <w:rsid w:val="00934F5D"/>
    <w:rsid w:val="00936AD3"/>
    <w:rsid w:val="00941C71"/>
    <w:rsid w:val="00951388"/>
    <w:rsid w:val="00951390"/>
    <w:rsid w:val="00952AC5"/>
    <w:rsid w:val="009576FE"/>
    <w:rsid w:val="009617A1"/>
    <w:rsid w:val="00962887"/>
    <w:rsid w:val="0096544A"/>
    <w:rsid w:val="00965E63"/>
    <w:rsid w:val="00972CE6"/>
    <w:rsid w:val="009801A0"/>
    <w:rsid w:val="009873E5"/>
    <w:rsid w:val="009906E8"/>
    <w:rsid w:val="00990C4E"/>
    <w:rsid w:val="0099191A"/>
    <w:rsid w:val="009934FB"/>
    <w:rsid w:val="0099501F"/>
    <w:rsid w:val="00995A1F"/>
    <w:rsid w:val="009A0791"/>
    <w:rsid w:val="009A0B53"/>
    <w:rsid w:val="009A2241"/>
    <w:rsid w:val="009A6B56"/>
    <w:rsid w:val="009B40B9"/>
    <w:rsid w:val="009B6A76"/>
    <w:rsid w:val="009C4DB5"/>
    <w:rsid w:val="009E0E7D"/>
    <w:rsid w:val="009E29AB"/>
    <w:rsid w:val="009E496D"/>
    <w:rsid w:val="009E4E8E"/>
    <w:rsid w:val="009F028A"/>
    <w:rsid w:val="009F0C64"/>
    <w:rsid w:val="00A00F30"/>
    <w:rsid w:val="00A06014"/>
    <w:rsid w:val="00A12DA7"/>
    <w:rsid w:val="00A1705A"/>
    <w:rsid w:val="00A2096C"/>
    <w:rsid w:val="00A2583B"/>
    <w:rsid w:val="00A27B7E"/>
    <w:rsid w:val="00A31EEE"/>
    <w:rsid w:val="00A34317"/>
    <w:rsid w:val="00A42283"/>
    <w:rsid w:val="00A51291"/>
    <w:rsid w:val="00A5345D"/>
    <w:rsid w:val="00A60ACB"/>
    <w:rsid w:val="00A62B59"/>
    <w:rsid w:val="00A72A4D"/>
    <w:rsid w:val="00A84FCA"/>
    <w:rsid w:val="00A85246"/>
    <w:rsid w:val="00A85E08"/>
    <w:rsid w:val="00AA12ED"/>
    <w:rsid w:val="00AA4A99"/>
    <w:rsid w:val="00AA77FF"/>
    <w:rsid w:val="00AC5420"/>
    <w:rsid w:val="00AC6375"/>
    <w:rsid w:val="00AC765E"/>
    <w:rsid w:val="00AD0FD3"/>
    <w:rsid w:val="00B04FBE"/>
    <w:rsid w:val="00B13B71"/>
    <w:rsid w:val="00B20D49"/>
    <w:rsid w:val="00B2140C"/>
    <w:rsid w:val="00B35ED4"/>
    <w:rsid w:val="00B36825"/>
    <w:rsid w:val="00B37124"/>
    <w:rsid w:val="00B41EAA"/>
    <w:rsid w:val="00B45A08"/>
    <w:rsid w:val="00B5123A"/>
    <w:rsid w:val="00B54BE0"/>
    <w:rsid w:val="00B55AB6"/>
    <w:rsid w:val="00B56567"/>
    <w:rsid w:val="00B57AF6"/>
    <w:rsid w:val="00B75350"/>
    <w:rsid w:val="00B75A8D"/>
    <w:rsid w:val="00B80DC7"/>
    <w:rsid w:val="00B932B9"/>
    <w:rsid w:val="00B96B83"/>
    <w:rsid w:val="00BA1961"/>
    <w:rsid w:val="00BA44BD"/>
    <w:rsid w:val="00BB1440"/>
    <w:rsid w:val="00BB763B"/>
    <w:rsid w:val="00BC04CA"/>
    <w:rsid w:val="00BC79EB"/>
    <w:rsid w:val="00BD368C"/>
    <w:rsid w:val="00BE1403"/>
    <w:rsid w:val="00BE2A13"/>
    <w:rsid w:val="00BF16B4"/>
    <w:rsid w:val="00BF3055"/>
    <w:rsid w:val="00BF6EAB"/>
    <w:rsid w:val="00C030A2"/>
    <w:rsid w:val="00C1309D"/>
    <w:rsid w:val="00C1767E"/>
    <w:rsid w:val="00C25399"/>
    <w:rsid w:val="00C25490"/>
    <w:rsid w:val="00C2707D"/>
    <w:rsid w:val="00C3029D"/>
    <w:rsid w:val="00C303C7"/>
    <w:rsid w:val="00C31418"/>
    <w:rsid w:val="00C35D7C"/>
    <w:rsid w:val="00C417E7"/>
    <w:rsid w:val="00C44E02"/>
    <w:rsid w:val="00C44F25"/>
    <w:rsid w:val="00C64BF9"/>
    <w:rsid w:val="00C73250"/>
    <w:rsid w:val="00C84A92"/>
    <w:rsid w:val="00C945AF"/>
    <w:rsid w:val="00C949BB"/>
    <w:rsid w:val="00CA18DD"/>
    <w:rsid w:val="00CA78B4"/>
    <w:rsid w:val="00CB5E62"/>
    <w:rsid w:val="00CB7C59"/>
    <w:rsid w:val="00CD2312"/>
    <w:rsid w:val="00CD652F"/>
    <w:rsid w:val="00CE63DF"/>
    <w:rsid w:val="00CF1432"/>
    <w:rsid w:val="00D00775"/>
    <w:rsid w:val="00D020C1"/>
    <w:rsid w:val="00D13C49"/>
    <w:rsid w:val="00D23594"/>
    <w:rsid w:val="00D246A8"/>
    <w:rsid w:val="00D2568D"/>
    <w:rsid w:val="00D3394B"/>
    <w:rsid w:val="00D36805"/>
    <w:rsid w:val="00D45565"/>
    <w:rsid w:val="00D477EC"/>
    <w:rsid w:val="00D622FC"/>
    <w:rsid w:val="00D6472C"/>
    <w:rsid w:val="00D64759"/>
    <w:rsid w:val="00D66A8C"/>
    <w:rsid w:val="00D70C82"/>
    <w:rsid w:val="00D7113D"/>
    <w:rsid w:val="00D778F8"/>
    <w:rsid w:val="00D83777"/>
    <w:rsid w:val="00D85B99"/>
    <w:rsid w:val="00D959F9"/>
    <w:rsid w:val="00D970CC"/>
    <w:rsid w:val="00DA47B4"/>
    <w:rsid w:val="00DB5F8B"/>
    <w:rsid w:val="00DB6AFF"/>
    <w:rsid w:val="00DB798F"/>
    <w:rsid w:val="00DC1FF9"/>
    <w:rsid w:val="00DC2A2F"/>
    <w:rsid w:val="00DC3C4F"/>
    <w:rsid w:val="00DC755C"/>
    <w:rsid w:val="00DD4235"/>
    <w:rsid w:val="00DD684B"/>
    <w:rsid w:val="00DD747A"/>
    <w:rsid w:val="00DE417F"/>
    <w:rsid w:val="00DE4C9A"/>
    <w:rsid w:val="00DE4D63"/>
    <w:rsid w:val="00DE7379"/>
    <w:rsid w:val="00DF0B0B"/>
    <w:rsid w:val="00DF14FA"/>
    <w:rsid w:val="00E00B6B"/>
    <w:rsid w:val="00E0209A"/>
    <w:rsid w:val="00E022AA"/>
    <w:rsid w:val="00E07814"/>
    <w:rsid w:val="00E107CF"/>
    <w:rsid w:val="00E12427"/>
    <w:rsid w:val="00E154D5"/>
    <w:rsid w:val="00E172D2"/>
    <w:rsid w:val="00E264F4"/>
    <w:rsid w:val="00E355DD"/>
    <w:rsid w:val="00E4146B"/>
    <w:rsid w:val="00E43703"/>
    <w:rsid w:val="00E44F3E"/>
    <w:rsid w:val="00E45550"/>
    <w:rsid w:val="00E5576F"/>
    <w:rsid w:val="00E6035C"/>
    <w:rsid w:val="00E732FD"/>
    <w:rsid w:val="00E74040"/>
    <w:rsid w:val="00E76FB1"/>
    <w:rsid w:val="00E770DA"/>
    <w:rsid w:val="00E82125"/>
    <w:rsid w:val="00E82804"/>
    <w:rsid w:val="00E846B1"/>
    <w:rsid w:val="00E92C3F"/>
    <w:rsid w:val="00E932E5"/>
    <w:rsid w:val="00E96B6C"/>
    <w:rsid w:val="00E972F6"/>
    <w:rsid w:val="00EA5E8E"/>
    <w:rsid w:val="00EB2EDB"/>
    <w:rsid w:val="00EC2A23"/>
    <w:rsid w:val="00EC32B3"/>
    <w:rsid w:val="00EC3420"/>
    <w:rsid w:val="00EC35D1"/>
    <w:rsid w:val="00ED026A"/>
    <w:rsid w:val="00EE3EC1"/>
    <w:rsid w:val="00EF105D"/>
    <w:rsid w:val="00EF3A96"/>
    <w:rsid w:val="00F024ED"/>
    <w:rsid w:val="00F034B5"/>
    <w:rsid w:val="00F04F17"/>
    <w:rsid w:val="00F140A6"/>
    <w:rsid w:val="00F14922"/>
    <w:rsid w:val="00F15648"/>
    <w:rsid w:val="00F15FCB"/>
    <w:rsid w:val="00F25B93"/>
    <w:rsid w:val="00F50297"/>
    <w:rsid w:val="00F5055B"/>
    <w:rsid w:val="00F621C3"/>
    <w:rsid w:val="00F626D1"/>
    <w:rsid w:val="00F65A82"/>
    <w:rsid w:val="00F667B0"/>
    <w:rsid w:val="00F66C93"/>
    <w:rsid w:val="00F702AC"/>
    <w:rsid w:val="00F7371C"/>
    <w:rsid w:val="00F76735"/>
    <w:rsid w:val="00F777C6"/>
    <w:rsid w:val="00F77C37"/>
    <w:rsid w:val="00F82C3C"/>
    <w:rsid w:val="00F84B81"/>
    <w:rsid w:val="00F86103"/>
    <w:rsid w:val="00F916F0"/>
    <w:rsid w:val="00FA2240"/>
    <w:rsid w:val="00FA3159"/>
    <w:rsid w:val="00FB0783"/>
    <w:rsid w:val="00FB535D"/>
    <w:rsid w:val="00FB69FF"/>
    <w:rsid w:val="00FC01C3"/>
    <w:rsid w:val="00FC429A"/>
    <w:rsid w:val="00FD1C0F"/>
    <w:rsid w:val="00FD20FE"/>
    <w:rsid w:val="00FE4BB7"/>
    <w:rsid w:val="00FF0164"/>
    <w:rsid w:val="00FF050F"/>
    <w:rsid w:val="00FF3D78"/>
    <w:rsid w:val="00FF3F57"/>
    <w:rsid w:val="00FF74AB"/>
    <w:rsid w:val="00FF7839"/>
    <w:rsid w:val="14822C41"/>
    <w:rsid w:val="19631995"/>
    <w:rsid w:val="39B47220"/>
    <w:rsid w:val="564254C3"/>
    <w:rsid w:val="56F34A6C"/>
    <w:rsid w:val="7D65F4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2812"/>
  <w15:docId w15:val="{1EAA6413-7156-4574-9E28-25F6C754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02780"/>
    <w:pPr>
      <w:tabs>
        <w:tab w:val="center" w:pos="4513"/>
        <w:tab w:val="right" w:pos="9026"/>
      </w:tabs>
    </w:pPr>
  </w:style>
  <w:style w:type="character" w:customStyle="1" w:styleId="HeaderChar">
    <w:name w:val="Header Char"/>
    <w:basedOn w:val="DefaultParagraphFont"/>
    <w:link w:val="Header"/>
    <w:uiPriority w:val="99"/>
    <w:rsid w:val="00C02780"/>
  </w:style>
  <w:style w:type="paragraph" w:styleId="Footer">
    <w:name w:val="footer"/>
    <w:basedOn w:val="Normal"/>
    <w:link w:val="FooterChar"/>
    <w:uiPriority w:val="99"/>
    <w:unhideWhenUsed/>
    <w:rsid w:val="00C02780"/>
    <w:pPr>
      <w:tabs>
        <w:tab w:val="center" w:pos="4513"/>
        <w:tab w:val="right" w:pos="9026"/>
      </w:tabs>
    </w:pPr>
  </w:style>
  <w:style w:type="character" w:customStyle="1" w:styleId="FooterChar">
    <w:name w:val="Footer Char"/>
    <w:basedOn w:val="DefaultParagraphFont"/>
    <w:link w:val="Footer"/>
    <w:uiPriority w:val="99"/>
    <w:rsid w:val="00C02780"/>
  </w:style>
  <w:style w:type="character" w:styleId="Hyperlink">
    <w:name w:val="Hyperlink"/>
    <w:basedOn w:val="DefaultParagraphFont"/>
    <w:uiPriority w:val="99"/>
    <w:unhideWhenUsed/>
    <w:rsid w:val="00C02780"/>
    <w:rPr>
      <w:color w:val="0563C1" w:themeColor="hyperlink"/>
      <w:u w:val="single"/>
    </w:rPr>
  </w:style>
  <w:style w:type="character" w:styleId="UnresolvedMention">
    <w:name w:val="Unresolved Mention"/>
    <w:basedOn w:val="DefaultParagraphFont"/>
    <w:uiPriority w:val="99"/>
    <w:semiHidden/>
    <w:unhideWhenUsed/>
    <w:rsid w:val="00C02780"/>
    <w:rPr>
      <w:color w:val="605E5C"/>
      <w:shd w:val="clear" w:color="auto" w:fill="E1DFDD"/>
    </w:rPr>
  </w:style>
  <w:style w:type="paragraph" w:styleId="BalloonText">
    <w:name w:val="Balloon Text"/>
    <w:basedOn w:val="Normal"/>
    <w:link w:val="BalloonTextChar"/>
    <w:uiPriority w:val="99"/>
    <w:semiHidden/>
    <w:unhideWhenUsed/>
    <w:rsid w:val="00487B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B7D"/>
    <w:rPr>
      <w:rFonts w:ascii="Times New Roman" w:hAnsi="Times New Roman" w:cs="Times New Roman"/>
      <w:sz w:val="18"/>
      <w:szCs w:val="18"/>
    </w:rPr>
  </w:style>
  <w:style w:type="paragraph" w:styleId="ListParagraph">
    <w:name w:val="List Paragraph"/>
    <w:basedOn w:val="Normal"/>
    <w:uiPriority w:val="34"/>
    <w:qFormat/>
    <w:rsid w:val="00DD0BF1"/>
    <w:pPr>
      <w:ind w:left="720"/>
      <w:contextualSpacing/>
    </w:p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unhideWhenUsed/>
    <w:qFormat/>
    <w:rsid w:val="005E32A7"/>
    <w:rPr>
      <w:sz w:val="20"/>
      <w:szCs w:val="20"/>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5E32A7"/>
    <w:rPr>
      <w:sz w:val="20"/>
      <w:szCs w:val="20"/>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
    <w:basedOn w:val="DefaultParagraphFont"/>
    <w:link w:val="4GCharCharChar"/>
    <w:unhideWhenUsed/>
    <w:qFormat/>
    <w:rsid w:val="005E32A7"/>
    <w:rPr>
      <w:vertAlign w:val="superscript"/>
    </w:rPr>
  </w:style>
  <w:style w:type="character" w:styleId="CommentReference">
    <w:name w:val="annotation reference"/>
    <w:basedOn w:val="DefaultParagraphFont"/>
    <w:uiPriority w:val="99"/>
    <w:semiHidden/>
    <w:unhideWhenUsed/>
    <w:rsid w:val="009C3AB0"/>
    <w:rPr>
      <w:sz w:val="16"/>
      <w:szCs w:val="16"/>
    </w:rPr>
  </w:style>
  <w:style w:type="paragraph" w:styleId="CommentText">
    <w:name w:val="annotation text"/>
    <w:basedOn w:val="Normal"/>
    <w:link w:val="CommentTextChar"/>
    <w:uiPriority w:val="99"/>
    <w:unhideWhenUsed/>
    <w:rsid w:val="009C3AB0"/>
    <w:rPr>
      <w:sz w:val="20"/>
      <w:szCs w:val="20"/>
    </w:rPr>
  </w:style>
  <w:style w:type="character" w:customStyle="1" w:styleId="CommentTextChar">
    <w:name w:val="Comment Text Char"/>
    <w:basedOn w:val="DefaultParagraphFont"/>
    <w:link w:val="CommentText"/>
    <w:uiPriority w:val="99"/>
    <w:rsid w:val="009C3AB0"/>
    <w:rPr>
      <w:sz w:val="20"/>
      <w:szCs w:val="20"/>
    </w:rPr>
  </w:style>
  <w:style w:type="paragraph" w:styleId="CommentSubject">
    <w:name w:val="annotation subject"/>
    <w:basedOn w:val="CommentText"/>
    <w:next w:val="CommentText"/>
    <w:link w:val="CommentSubjectChar"/>
    <w:uiPriority w:val="99"/>
    <w:semiHidden/>
    <w:unhideWhenUsed/>
    <w:rsid w:val="009C3AB0"/>
    <w:rPr>
      <w:b/>
      <w:bCs/>
    </w:rPr>
  </w:style>
  <w:style w:type="character" w:customStyle="1" w:styleId="CommentSubjectChar">
    <w:name w:val="Comment Subject Char"/>
    <w:basedOn w:val="CommentTextChar"/>
    <w:link w:val="CommentSubject"/>
    <w:uiPriority w:val="99"/>
    <w:semiHidden/>
    <w:rsid w:val="009C3AB0"/>
    <w:rPr>
      <w:b/>
      <w:bCs/>
      <w:sz w:val="20"/>
      <w:szCs w:val="20"/>
    </w:rPr>
  </w:style>
  <w:style w:type="paragraph" w:customStyle="1" w:styleId="SingleTxtG">
    <w:name w:val="_ Single Txt_G"/>
    <w:basedOn w:val="Normal"/>
    <w:link w:val="SingleTxtGCar"/>
    <w:qFormat/>
    <w:rsid w:val="0062429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62429C"/>
    <w:rPr>
      <w:rFonts w:ascii="Times New Roman" w:eastAsia="Times New Roman" w:hAnsi="Times New Roman" w:cs="Times New Roman"/>
      <w:sz w:val="20"/>
      <w:szCs w:val="20"/>
      <w:lang w:val="en-GB"/>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62429C"/>
    <w:pPr>
      <w:spacing w:after="160" w:line="240" w:lineRule="exact"/>
      <w:jc w:val="both"/>
    </w:pPr>
    <w:rPr>
      <w:vertAlign w:val="superscript"/>
    </w:rPr>
  </w:style>
  <w:style w:type="paragraph" w:customStyle="1" w:styleId="HChG">
    <w:name w:val="_ H _Ch_G"/>
    <w:basedOn w:val="Normal"/>
    <w:next w:val="Normal"/>
    <w:qFormat/>
    <w:rsid w:val="007159A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qFormat/>
    <w:rsid w:val="00335ED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ullet1G">
    <w:name w:val="_Bullet 1_G"/>
    <w:basedOn w:val="Normal"/>
    <w:rsid w:val="00FF050F"/>
    <w:pPr>
      <w:numPr>
        <w:numId w:val="6"/>
      </w:numPr>
      <w:suppressAutoHyphens/>
      <w:spacing w:after="120" w:line="240" w:lineRule="atLeast"/>
      <w:ind w:right="1134"/>
      <w:jc w:val="both"/>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ohchr.org/en/hrbodies/crc/pages/discussion2018.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gNhBmxo4aWqBbCwgS9pboCU6MBw==">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</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81E7A-02F5-4D76-BF2F-78A4E0305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14C5C33-7581-4D5D-9544-7F443EA23741}"/>
</file>

<file path=customXml/itemProps4.xml><?xml version="1.0" encoding="utf-8"?>
<ds:datastoreItem xmlns:ds="http://schemas.openxmlformats.org/officeDocument/2006/customXml" ds:itemID="{C1089594-E8D9-415D-9BF5-C40C3D3DB720}">
  <ds:schemaRefs>
    <ds:schemaRef ds:uri="http://schemas.openxmlformats.org/officeDocument/2006/bibliography"/>
  </ds:schemaRefs>
</ds:datastoreItem>
</file>

<file path=customXml/itemProps5.xml><?xml version="1.0" encoding="utf-8"?>
<ds:datastoreItem xmlns:ds="http://schemas.openxmlformats.org/officeDocument/2006/customXml" ds:itemID="{E1C923D7-1510-4A93-9E63-9B8C68232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2965</Words>
  <Characters>16902</Characters>
  <Application>Microsoft Office Word</Application>
  <DocSecurity>4</DocSecurity>
  <Lines>140</Lines>
  <Paragraphs>39</Paragraphs>
  <ScaleCrop>false</ScaleCrop>
  <Company/>
  <LinksUpToDate>false</LinksUpToDate>
  <CharactersWithSpaces>19828</CharactersWithSpaces>
  <SharedDoc>false</SharedDoc>
  <HLinks>
    <vt:vector size="6" baseType="variant">
      <vt:variant>
        <vt:i4>2228324</vt:i4>
      </vt:variant>
      <vt:variant>
        <vt:i4>0</vt:i4>
      </vt:variant>
      <vt:variant>
        <vt:i4>0</vt:i4>
      </vt:variant>
      <vt:variant>
        <vt:i4>5</vt:i4>
      </vt:variant>
      <vt:variant>
        <vt:lpwstr>https://www.ohchr.org/en/hrbodies/crc/pages/discussion2018.aspx</vt:lpwstr>
      </vt:variant>
      <vt:variant>
        <vt:lpwstr>:~:text=Day%20of%20General%20Discussion%3A%20%22Protecting,instrument%2C%20with%20196%20States%20parties.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Martinez Sainz</dc:creator>
  <cp:keywords/>
  <cp:lastModifiedBy>Olivia Solari Yrigoyen</cp:lastModifiedBy>
  <cp:revision>187</cp:revision>
  <dcterms:created xsi:type="dcterms:W3CDTF">2020-11-04T19:28:00Z</dcterms:created>
  <dcterms:modified xsi:type="dcterms:W3CDTF">2020-11-20T20:49:00Z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