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A22" w:rsidRDefault="00F712E1" w:rsidP="00447DEE">
      <w:pPr>
        <w:pStyle w:val="Standard"/>
        <w:tabs>
          <w:tab w:val="left" w:pos="3000"/>
        </w:tabs>
        <w:jc w:val="center"/>
        <w:rPr>
          <w:rStyle w:val="Ninguno"/>
          <w:b/>
          <w:bCs/>
          <w:sz w:val="32"/>
          <w:szCs w:val="32"/>
        </w:rPr>
      </w:pPr>
      <w:r>
        <w:rPr>
          <w:rStyle w:val="Ninguno"/>
          <w:b/>
          <w:bCs/>
          <w:sz w:val="32"/>
          <w:szCs w:val="32"/>
        </w:rPr>
        <w:t>Lineamientos de las presentaciones para El Día</w:t>
      </w:r>
      <w:r w:rsidR="00447DEE">
        <w:rPr>
          <w:rStyle w:val="Ninguno"/>
          <w:b/>
          <w:bCs/>
          <w:sz w:val="32"/>
          <w:szCs w:val="32"/>
        </w:rPr>
        <w:t xml:space="preserve"> </w:t>
      </w:r>
    </w:p>
    <w:p w:rsidR="00447DEE" w:rsidRPr="00447DEE" w:rsidRDefault="00447DEE" w:rsidP="00447DEE">
      <w:pPr>
        <w:pStyle w:val="Standard"/>
        <w:tabs>
          <w:tab w:val="left" w:pos="3000"/>
        </w:tabs>
        <w:jc w:val="center"/>
        <w:rPr>
          <w:rStyle w:val="Ninguno"/>
          <w:b/>
          <w:bCs/>
          <w:sz w:val="32"/>
          <w:szCs w:val="32"/>
        </w:rPr>
      </w:pPr>
      <w:r w:rsidRPr="00447DEE">
        <w:rPr>
          <w:rStyle w:val="Ninguno"/>
          <w:b/>
          <w:bCs/>
          <w:sz w:val="32"/>
          <w:szCs w:val="32"/>
        </w:rPr>
        <w:t>„</w:t>
      </w:r>
      <w:r w:rsidRPr="00447DEE">
        <w:rPr>
          <w:rStyle w:val="Ninguno"/>
          <w:b/>
          <w:bCs/>
          <w:i/>
          <w:sz w:val="32"/>
          <w:szCs w:val="32"/>
        </w:rPr>
        <w:t>Protegiendo y Empoderando a los Niños, Niñas y Adolescentes como Defensores de los Derechos Humanos</w:t>
      </w:r>
      <w:r w:rsidRPr="00447DEE">
        <w:rPr>
          <w:rStyle w:val="Ninguno"/>
          <w:b/>
          <w:bCs/>
          <w:sz w:val="32"/>
          <w:szCs w:val="32"/>
        </w:rPr>
        <w:t>“</w:t>
      </w:r>
    </w:p>
    <w:p w:rsidR="00423C45" w:rsidRPr="00447DEE" w:rsidRDefault="00423C45">
      <w:pPr>
        <w:pStyle w:val="Standard"/>
        <w:suppressAutoHyphens w:val="0"/>
        <w:jc w:val="both"/>
        <w:rPr>
          <w:rStyle w:val="Ninguno"/>
          <w:b/>
          <w:bCs/>
          <w:sz w:val="32"/>
          <w:szCs w:val="32"/>
        </w:rPr>
      </w:pPr>
    </w:p>
    <w:p w:rsidR="00423C45" w:rsidRDefault="00F712E1">
      <w:pPr>
        <w:pStyle w:val="ListParagraph"/>
        <w:numPr>
          <w:ilvl w:val="0"/>
          <w:numId w:val="2"/>
        </w:numPr>
        <w:suppressAutoHyphens w:val="0"/>
        <w:jc w:val="both"/>
        <w:rPr>
          <w:b/>
          <w:bCs/>
          <w:sz w:val="22"/>
          <w:szCs w:val="22"/>
          <w:lang w:val="es-ES_tradnl"/>
        </w:rPr>
      </w:pPr>
      <w:r>
        <w:rPr>
          <w:rStyle w:val="Ninguno"/>
          <w:b/>
          <w:bCs/>
          <w:sz w:val="22"/>
          <w:szCs w:val="22"/>
        </w:rPr>
        <w:t xml:space="preserve">Modalidades para NNA  </w:t>
      </w:r>
    </w:p>
    <w:p w:rsidR="00423C45" w:rsidRDefault="00423C45">
      <w:pPr>
        <w:pStyle w:val="Standard"/>
        <w:suppressAutoHyphens w:val="0"/>
        <w:jc w:val="both"/>
      </w:pPr>
    </w:p>
    <w:p w:rsidR="00423C45" w:rsidRPr="000D07E4" w:rsidRDefault="00F712E1">
      <w:pPr>
        <w:pStyle w:val="Standard"/>
        <w:suppressAutoHyphens w:val="0"/>
        <w:jc w:val="both"/>
        <w:rPr>
          <w:lang w:val="es-ES"/>
        </w:rPr>
      </w:pPr>
      <w:r>
        <w:rPr>
          <w:rStyle w:val="Ninguno"/>
          <w:sz w:val="22"/>
          <w:szCs w:val="22"/>
        </w:rPr>
        <w:t xml:space="preserve">Bajo la coordinación general de Child Rights Connect se está llevando acabo una consulta a </w:t>
      </w:r>
      <w:r w:rsidR="00212EC3" w:rsidRPr="00212EC3">
        <w:rPr>
          <w:rStyle w:val="Ninguno"/>
          <w:sz w:val="22"/>
          <w:szCs w:val="22"/>
        </w:rPr>
        <w:t xml:space="preserve">Niños, Niñas y Adolescentes </w:t>
      </w:r>
      <w:r w:rsidR="00212EC3">
        <w:rPr>
          <w:rStyle w:val="Ninguno"/>
          <w:sz w:val="22"/>
          <w:szCs w:val="22"/>
        </w:rPr>
        <w:t>(</w:t>
      </w:r>
      <w:r>
        <w:rPr>
          <w:rStyle w:val="Ninguno"/>
          <w:sz w:val="22"/>
          <w:szCs w:val="22"/>
        </w:rPr>
        <w:t>NNA</w:t>
      </w:r>
      <w:r w:rsidR="00212EC3">
        <w:rPr>
          <w:rStyle w:val="Ninguno"/>
          <w:sz w:val="22"/>
          <w:szCs w:val="22"/>
        </w:rPr>
        <w:t>)</w:t>
      </w:r>
      <w:r>
        <w:rPr>
          <w:rStyle w:val="Ninguno"/>
          <w:sz w:val="22"/>
          <w:szCs w:val="22"/>
        </w:rPr>
        <w:t xml:space="preserve"> a nivel mundial con el fin de recolectar sus puntos de vista sobre el rol, la protección y el empoderamiento de NNA defensores de los derechos humanos. Se exhorta firmemente a que NNA participen en persona en los talleres organizados por Child Rights Connect, </w:t>
      </w:r>
      <w:r w:rsidR="000D07E4">
        <w:rPr>
          <w:rStyle w:val="Ninguno"/>
          <w:sz w:val="22"/>
          <w:szCs w:val="22"/>
        </w:rPr>
        <w:t>así</w:t>
      </w:r>
      <w:r>
        <w:rPr>
          <w:rStyle w:val="Ninguno"/>
          <w:sz w:val="22"/>
          <w:szCs w:val="22"/>
        </w:rPr>
        <w:t xml:space="preserve"> como también en aquellos que se realicen a nivel local, nacional y regional; y/u ofrecer información a través de la encuesta en línea que podrán encontrar en la </w:t>
      </w:r>
      <w:hyperlink r:id="rId11" w:history="1">
        <w:r w:rsidRPr="00080DB3">
          <w:rPr>
            <w:rStyle w:val="Hyperlink"/>
            <w:color w:val="0563C1"/>
            <w:sz w:val="22"/>
            <w:szCs w:val="22"/>
            <w:lang w:val="es-ES_tradnl"/>
          </w:rPr>
          <w:t>página web</w:t>
        </w:r>
      </w:hyperlink>
      <w:r w:rsidRPr="006612AF">
        <w:rPr>
          <w:rStyle w:val="Ninguno"/>
          <w:color w:val="auto"/>
          <w:sz w:val="22"/>
          <w:szCs w:val="22"/>
        </w:rPr>
        <w:t xml:space="preserve"> </w:t>
      </w:r>
      <w:r>
        <w:rPr>
          <w:rStyle w:val="Ninguno"/>
          <w:sz w:val="22"/>
          <w:szCs w:val="22"/>
        </w:rPr>
        <w:t xml:space="preserve">de </w:t>
      </w:r>
      <w:proofErr w:type="spellStart"/>
      <w:r>
        <w:rPr>
          <w:rStyle w:val="Ninguno"/>
          <w:sz w:val="22"/>
          <w:szCs w:val="22"/>
        </w:rPr>
        <w:t>Child</w:t>
      </w:r>
      <w:proofErr w:type="spellEnd"/>
      <w:r>
        <w:rPr>
          <w:rStyle w:val="Ninguno"/>
          <w:sz w:val="22"/>
          <w:szCs w:val="22"/>
        </w:rPr>
        <w:t xml:space="preserve"> </w:t>
      </w:r>
      <w:proofErr w:type="spellStart"/>
      <w:r>
        <w:rPr>
          <w:rStyle w:val="Ninguno"/>
          <w:sz w:val="22"/>
          <w:szCs w:val="22"/>
        </w:rPr>
        <w:t>Rights</w:t>
      </w:r>
      <w:proofErr w:type="spellEnd"/>
      <w:r>
        <w:rPr>
          <w:rStyle w:val="Ninguno"/>
          <w:sz w:val="22"/>
          <w:szCs w:val="22"/>
        </w:rPr>
        <w:t xml:space="preserve"> </w:t>
      </w:r>
      <w:proofErr w:type="spellStart"/>
      <w:r>
        <w:rPr>
          <w:rStyle w:val="Ninguno"/>
          <w:sz w:val="22"/>
          <w:szCs w:val="22"/>
        </w:rPr>
        <w:t>Connect</w:t>
      </w:r>
      <w:proofErr w:type="spellEnd"/>
      <w:r>
        <w:rPr>
          <w:rStyle w:val="Ninguno"/>
          <w:sz w:val="22"/>
          <w:szCs w:val="22"/>
        </w:rPr>
        <w:t xml:space="preserve">. Los resultados de esta consulta serán presentados mediante una publicación apta para NNA, esta será presentada por Child Rights Connect y subida a la página web de El </w:t>
      </w:r>
      <w:r w:rsidR="00212EC3">
        <w:rPr>
          <w:rStyle w:val="Ninguno"/>
          <w:sz w:val="22"/>
          <w:szCs w:val="22"/>
        </w:rPr>
        <w:t>Comité de los Derechos del Niño de las Naciones Unidas (Comité)</w:t>
      </w:r>
      <w:r>
        <w:rPr>
          <w:rStyle w:val="Ninguno"/>
          <w:sz w:val="22"/>
          <w:szCs w:val="22"/>
        </w:rPr>
        <w:t xml:space="preserve">. Para mayor información sobre las consultas nacionales le pedimos visite la </w:t>
      </w:r>
      <w:hyperlink r:id="rId12" w:history="1">
        <w:r w:rsidR="006612AF" w:rsidRPr="00080DB3">
          <w:rPr>
            <w:rStyle w:val="Hyperlink"/>
            <w:color w:val="0563C1"/>
            <w:sz w:val="22"/>
            <w:szCs w:val="22"/>
            <w:lang w:val="es-ES_tradnl"/>
          </w:rPr>
          <w:t>página web</w:t>
        </w:r>
      </w:hyperlink>
      <w:r w:rsidR="006612AF">
        <w:rPr>
          <w:rStyle w:val="Ninguno"/>
          <w:color w:val="0000FF"/>
          <w:sz w:val="22"/>
          <w:szCs w:val="22"/>
        </w:rPr>
        <w:t xml:space="preserve"> </w:t>
      </w:r>
      <w:r>
        <w:rPr>
          <w:rStyle w:val="Ninguno"/>
          <w:sz w:val="22"/>
          <w:szCs w:val="22"/>
        </w:rPr>
        <w:t xml:space="preserve">de </w:t>
      </w:r>
      <w:proofErr w:type="spellStart"/>
      <w:r>
        <w:rPr>
          <w:rStyle w:val="Ninguno"/>
          <w:sz w:val="22"/>
          <w:szCs w:val="22"/>
        </w:rPr>
        <w:t>Child</w:t>
      </w:r>
      <w:proofErr w:type="spellEnd"/>
      <w:r>
        <w:rPr>
          <w:rStyle w:val="Ninguno"/>
          <w:sz w:val="22"/>
          <w:szCs w:val="22"/>
        </w:rPr>
        <w:t xml:space="preserve"> </w:t>
      </w:r>
      <w:proofErr w:type="spellStart"/>
      <w:r>
        <w:rPr>
          <w:rStyle w:val="Ninguno"/>
          <w:sz w:val="22"/>
          <w:szCs w:val="22"/>
        </w:rPr>
        <w:t>Rights</w:t>
      </w:r>
      <w:proofErr w:type="spellEnd"/>
      <w:r>
        <w:rPr>
          <w:rStyle w:val="Ninguno"/>
          <w:sz w:val="22"/>
          <w:szCs w:val="22"/>
        </w:rPr>
        <w:t xml:space="preserve"> </w:t>
      </w:r>
      <w:proofErr w:type="spellStart"/>
      <w:r>
        <w:rPr>
          <w:rStyle w:val="Ninguno"/>
          <w:sz w:val="22"/>
          <w:szCs w:val="22"/>
        </w:rPr>
        <w:t>Connect</w:t>
      </w:r>
      <w:proofErr w:type="spellEnd"/>
      <w:r>
        <w:rPr>
          <w:rStyle w:val="Ninguno"/>
          <w:sz w:val="22"/>
          <w:szCs w:val="22"/>
        </w:rPr>
        <w:t>.</w:t>
      </w:r>
    </w:p>
    <w:p w:rsidR="00423C45" w:rsidRPr="000D07E4" w:rsidRDefault="00423C45">
      <w:pPr>
        <w:pStyle w:val="Standard"/>
        <w:suppressAutoHyphens w:val="0"/>
        <w:jc w:val="both"/>
        <w:rPr>
          <w:lang w:val="es-ES"/>
        </w:rPr>
      </w:pPr>
    </w:p>
    <w:p w:rsidR="00423C45" w:rsidRPr="000D07E4" w:rsidRDefault="00F712E1">
      <w:pPr>
        <w:pStyle w:val="Standard"/>
        <w:suppressAutoHyphens w:val="0"/>
        <w:jc w:val="both"/>
        <w:rPr>
          <w:lang w:val="es-ES"/>
        </w:rPr>
      </w:pPr>
      <w:r>
        <w:rPr>
          <w:rStyle w:val="Ninguno"/>
          <w:sz w:val="22"/>
          <w:szCs w:val="22"/>
        </w:rPr>
        <w:t>Los NNA también podrán enviar todo tipo de presentaciones (reportes, películas, estudios, fotografías y dibujos) directamente al Comité,</w:t>
      </w:r>
      <w:r w:rsidR="00212EC3">
        <w:rPr>
          <w:rStyle w:val="Ninguno"/>
          <w:sz w:val="22"/>
          <w:szCs w:val="22"/>
        </w:rPr>
        <w:t xml:space="preserve"> contactando a la Secretaría del Comité </w:t>
      </w:r>
      <w:r>
        <w:rPr>
          <w:rStyle w:val="Ninguno"/>
          <w:sz w:val="22"/>
          <w:szCs w:val="22"/>
        </w:rPr>
        <w:t>(</w:t>
      </w:r>
      <w:hyperlink r:id="rId13" w:history="1">
        <w:r w:rsidR="00F15D71" w:rsidRPr="00F15D71">
          <w:rPr>
            <w:rFonts w:cs="Times New Roman"/>
            <w:color w:val="0563C1"/>
            <w:kern w:val="0"/>
            <w:sz w:val="22"/>
            <w:szCs w:val="22"/>
            <w:u w:val="single"/>
            <w:lang w:val="es-ES" w:eastAsia="en-US"/>
          </w:rPr>
          <w:t>crc@ohchr.org</w:t>
        </w:r>
      </w:hyperlink>
      <w:r>
        <w:rPr>
          <w:rStyle w:val="Ninguno"/>
          <w:sz w:val="22"/>
          <w:szCs w:val="22"/>
        </w:rPr>
        <w:t xml:space="preserve">). Se invita a NNA a preparar sus presentaciones basadas en las preguntas guía que se encuentran en la sección III de este documento. Así mismo, pueden enviar al Comité cualquier otro tipo de material relevante que deseen compartir (incluyendo dibujos, videos, etc.), ya sea de manera confidencial o pública. Las presentaciones públicas serán subidas en su idioma original a la </w:t>
      </w:r>
      <w:hyperlink r:id="rId14" w:history="1">
        <w:r w:rsidRPr="00283D1F">
          <w:rPr>
            <w:rStyle w:val="Hyperlink"/>
            <w:color w:val="0563C1"/>
            <w:sz w:val="22"/>
            <w:szCs w:val="22"/>
            <w:lang w:val="es-ES_tradnl"/>
          </w:rPr>
          <w:t>página web</w:t>
        </w:r>
      </w:hyperlink>
      <w:r w:rsidRPr="006612AF">
        <w:rPr>
          <w:rStyle w:val="Ninguno"/>
          <w:color w:val="auto"/>
          <w:sz w:val="22"/>
          <w:szCs w:val="22"/>
        </w:rPr>
        <w:t xml:space="preserve"> </w:t>
      </w:r>
      <w:r>
        <w:rPr>
          <w:rStyle w:val="Ninguno"/>
          <w:sz w:val="22"/>
          <w:szCs w:val="22"/>
        </w:rPr>
        <w:t xml:space="preserve">de El Día 2018 del Comité. La fecha límite para el envío de presentaciones es el </w:t>
      </w:r>
      <w:r>
        <w:rPr>
          <w:rStyle w:val="Ninguno"/>
          <w:b/>
          <w:bCs/>
          <w:sz w:val="22"/>
          <w:szCs w:val="22"/>
        </w:rPr>
        <w:t>1 de julio de 2018</w:t>
      </w:r>
      <w:r>
        <w:rPr>
          <w:rStyle w:val="Ninguno"/>
          <w:sz w:val="22"/>
          <w:szCs w:val="22"/>
        </w:rPr>
        <w:t>.</w:t>
      </w:r>
    </w:p>
    <w:p w:rsidR="00423C45" w:rsidRPr="000D07E4" w:rsidRDefault="00423C45">
      <w:pPr>
        <w:pStyle w:val="Standard"/>
        <w:suppressAutoHyphens w:val="0"/>
        <w:jc w:val="both"/>
        <w:rPr>
          <w:lang w:val="es-ES"/>
        </w:rPr>
      </w:pPr>
    </w:p>
    <w:p w:rsidR="00F15D71" w:rsidRDefault="00F712E1">
      <w:pPr>
        <w:pStyle w:val="Standard"/>
        <w:suppressAutoHyphens w:val="0"/>
        <w:jc w:val="both"/>
        <w:rPr>
          <w:rStyle w:val="Ninguno"/>
          <w:sz w:val="22"/>
          <w:szCs w:val="22"/>
        </w:rPr>
      </w:pPr>
      <w:r>
        <w:rPr>
          <w:rStyle w:val="Ninguno"/>
          <w:sz w:val="22"/>
          <w:szCs w:val="22"/>
        </w:rPr>
        <w:t>Una versión apta para NNA de estos lineamientos podrá ser encontrada</w:t>
      </w:r>
      <w:r w:rsidR="00C8250D">
        <w:rPr>
          <w:rStyle w:val="Ninguno"/>
          <w:sz w:val="22"/>
          <w:szCs w:val="22"/>
        </w:rPr>
        <w:t xml:space="preserve"> en la</w:t>
      </w:r>
      <w:r>
        <w:rPr>
          <w:rStyle w:val="Ninguno"/>
          <w:sz w:val="22"/>
          <w:szCs w:val="22"/>
        </w:rPr>
        <w:t xml:space="preserve"> </w:t>
      </w:r>
      <w:hyperlink r:id="rId15" w:history="1">
        <w:r w:rsidR="00C8250D" w:rsidRPr="00080DB3">
          <w:rPr>
            <w:rStyle w:val="Hyperlink"/>
            <w:color w:val="0563C1"/>
            <w:sz w:val="22"/>
            <w:szCs w:val="22"/>
            <w:lang w:val="es-ES_tradnl"/>
          </w:rPr>
          <w:t>página web</w:t>
        </w:r>
      </w:hyperlink>
      <w:r w:rsidR="00C8250D">
        <w:rPr>
          <w:rStyle w:val="Ninguno"/>
          <w:color w:val="0000FF"/>
          <w:sz w:val="22"/>
          <w:szCs w:val="22"/>
        </w:rPr>
        <w:t xml:space="preserve"> </w:t>
      </w:r>
      <w:r w:rsidR="00C8250D">
        <w:rPr>
          <w:rStyle w:val="Ninguno"/>
          <w:sz w:val="22"/>
          <w:szCs w:val="22"/>
        </w:rPr>
        <w:t xml:space="preserve">de </w:t>
      </w:r>
      <w:proofErr w:type="spellStart"/>
      <w:r w:rsidR="00C8250D">
        <w:rPr>
          <w:rStyle w:val="Ninguno"/>
          <w:sz w:val="22"/>
          <w:szCs w:val="22"/>
        </w:rPr>
        <w:t>Child</w:t>
      </w:r>
      <w:proofErr w:type="spellEnd"/>
      <w:r w:rsidR="00C8250D">
        <w:rPr>
          <w:rStyle w:val="Ninguno"/>
          <w:sz w:val="22"/>
          <w:szCs w:val="22"/>
        </w:rPr>
        <w:t xml:space="preserve"> </w:t>
      </w:r>
      <w:proofErr w:type="spellStart"/>
      <w:r w:rsidR="00C8250D">
        <w:rPr>
          <w:rStyle w:val="Ninguno"/>
          <w:sz w:val="22"/>
          <w:szCs w:val="22"/>
        </w:rPr>
        <w:t>Rights</w:t>
      </w:r>
      <w:proofErr w:type="spellEnd"/>
      <w:r w:rsidR="00C8250D">
        <w:rPr>
          <w:rStyle w:val="Ninguno"/>
          <w:sz w:val="22"/>
          <w:szCs w:val="22"/>
        </w:rPr>
        <w:t xml:space="preserve"> </w:t>
      </w:r>
      <w:proofErr w:type="spellStart"/>
      <w:r w:rsidR="00C8250D">
        <w:rPr>
          <w:rStyle w:val="Ninguno"/>
          <w:sz w:val="22"/>
          <w:szCs w:val="22"/>
        </w:rPr>
        <w:t>Connect</w:t>
      </w:r>
      <w:proofErr w:type="spellEnd"/>
      <w:r w:rsidR="00C8250D" w:rsidRPr="00C8250D">
        <w:rPr>
          <w:rStyle w:val="Ninguno"/>
          <w:sz w:val="22"/>
          <w:szCs w:val="22"/>
        </w:rPr>
        <w:t>.</w:t>
      </w:r>
      <w:r>
        <w:rPr>
          <w:rStyle w:val="Ninguno"/>
          <w:sz w:val="22"/>
          <w:szCs w:val="22"/>
        </w:rPr>
        <w:t xml:space="preserve"> En caso de tener dudas sobre la participación de NNA favor de contactar a Child Rights C</w:t>
      </w:r>
      <w:r w:rsidR="00F15D71">
        <w:rPr>
          <w:rStyle w:val="Ninguno"/>
          <w:sz w:val="22"/>
          <w:szCs w:val="22"/>
        </w:rPr>
        <w:t>onnect</w:t>
      </w:r>
    </w:p>
    <w:p w:rsidR="00423C45" w:rsidRPr="00F15D71" w:rsidRDefault="00F15D71">
      <w:pPr>
        <w:pStyle w:val="Standard"/>
        <w:suppressAutoHyphens w:val="0"/>
        <w:jc w:val="both"/>
        <w:rPr>
          <w:lang w:val="es-ES"/>
        </w:rPr>
      </w:pPr>
      <w:r w:rsidRPr="00F15D71">
        <w:rPr>
          <w:rFonts w:eastAsia="Times New Roman" w:cs="Times New Roman"/>
          <w:color w:val="auto"/>
          <w:kern w:val="0"/>
          <w:sz w:val="22"/>
          <w:szCs w:val="22"/>
          <w:bdr w:val="none" w:sz="0" w:space="0" w:color="auto"/>
          <w:lang w:val="es-ES" w:eastAsia="ar-SA"/>
        </w:rPr>
        <w:t>(</w:t>
      </w:r>
      <w:hyperlink r:id="rId16" w:history="1">
        <w:r w:rsidRPr="00F15D71">
          <w:rPr>
            <w:rFonts w:eastAsia="Times New Roman" w:cs="Times New Roman"/>
            <w:color w:val="0563C1"/>
            <w:kern w:val="0"/>
            <w:sz w:val="22"/>
            <w:szCs w:val="22"/>
            <w:u w:val="single"/>
            <w:bdr w:val="none" w:sz="0" w:space="0" w:color="auto"/>
            <w:lang w:val="es-ES" w:eastAsia="ar-SA"/>
          </w:rPr>
          <w:t>secretariat@childrightsconnect.org</w:t>
        </w:r>
      </w:hyperlink>
      <w:r w:rsidRPr="00F15D71">
        <w:rPr>
          <w:rFonts w:eastAsia="Times New Roman" w:cs="Times New Roman"/>
          <w:color w:val="auto"/>
          <w:kern w:val="0"/>
          <w:sz w:val="22"/>
          <w:szCs w:val="22"/>
          <w:bdr w:val="none" w:sz="0" w:space="0" w:color="auto"/>
          <w:lang w:val="es-ES" w:eastAsia="ar-SA"/>
        </w:rPr>
        <w:t>).</w:t>
      </w:r>
    </w:p>
    <w:p w:rsidR="00423C45" w:rsidRPr="000D07E4" w:rsidRDefault="00423C45">
      <w:pPr>
        <w:pStyle w:val="Standard"/>
        <w:suppressAutoHyphens w:val="0"/>
        <w:jc w:val="both"/>
        <w:rPr>
          <w:lang w:val="es-ES"/>
        </w:rPr>
      </w:pPr>
    </w:p>
    <w:p w:rsidR="00423C45" w:rsidRDefault="00F712E1">
      <w:pPr>
        <w:pStyle w:val="ListParagraph"/>
        <w:numPr>
          <w:ilvl w:val="0"/>
          <w:numId w:val="2"/>
        </w:numPr>
        <w:suppressAutoHyphens w:val="0"/>
        <w:jc w:val="both"/>
        <w:rPr>
          <w:b/>
          <w:bCs/>
          <w:sz w:val="22"/>
          <w:szCs w:val="22"/>
          <w:lang w:val="es-ES_tradnl"/>
        </w:rPr>
      </w:pPr>
      <w:r>
        <w:rPr>
          <w:rStyle w:val="Hyperlink0"/>
          <w:b/>
          <w:bCs/>
          <w:sz w:val="22"/>
          <w:szCs w:val="22"/>
        </w:rPr>
        <w:t>Modalidades para adultos</w:t>
      </w:r>
    </w:p>
    <w:p w:rsidR="00423C45" w:rsidRDefault="00423C45">
      <w:pPr>
        <w:pStyle w:val="Standard"/>
        <w:suppressAutoHyphens w:val="0"/>
        <w:jc w:val="both"/>
      </w:pPr>
    </w:p>
    <w:p w:rsidR="00423C45" w:rsidRPr="000D07E4" w:rsidRDefault="00F712E1">
      <w:pPr>
        <w:pStyle w:val="Standard"/>
        <w:suppressAutoHyphens w:val="0"/>
        <w:jc w:val="both"/>
        <w:rPr>
          <w:lang w:val="es-ES"/>
        </w:rPr>
      </w:pPr>
      <w:r>
        <w:rPr>
          <w:rStyle w:val="Ninguno"/>
          <w:sz w:val="22"/>
          <w:szCs w:val="22"/>
        </w:rPr>
        <w:t>Se invita a todos los participantes adultos a enviar contribuciones escritas (exclusivamente en formato electrónico) en cualquiera de los idiomas de trabajo del Comité: inglés, francés o español. La presentación de videos será bien recibida, siempre y cuando estén en alguno de los idiomas antes mencionados. Las presentaciones públicas serán subidas en su idioma original a</w:t>
      </w:r>
      <w:r w:rsidR="00080DB3">
        <w:rPr>
          <w:rStyle w:val="Ninguno"/>
          <w:sz w:val="22"/>
          <w:szCs w:val="22"/>
        </w:rPr>
        <w:t xml:space="preserve"> la</w:t>
      </w:r>
      <w:r w:rsidRPr="00080DB3">
        <w:rPr>
          <w:rStyle w:val="Ninguno"/>
          <w:color w:val="0563C1"/>
          <w:sz w:val="22"/>
          <w:szCs w:val="22"/>
        </w:rPr>
        <w:t xml:space="preserve"> </w:t>
      </w:r>
      <w:bookmarkStart w:id="0" w:name="_GoBack"/>
      <w:r w:rsidR="00283D1F" w:rsidRPr="00283D1F">
        <w:rPr>
          <w:rStyle w:val="Hyperlink"/>
          <w:color w:val="0563C1"/>
        </w:rPr>
        <w:fldChar w:fldCharType="begin"/>
      </w:r>
      <w:r w:rsidR="00283D1F" w:rsidRPr="00283D1F">
        <w:rPr>
          <w:rStyle w:val="Hyperlink"/>
          <w:color w:val="0563C1"/>
        </w:rPr>
        <w:instrText xml:space="preserve"> HYPERLINK "http://www.ohchr.org/EN/HRBodies/CRC/Pages/Discussion2018.aspx" </w:instrText>
      </w:r>
      <w:r w:rsidR="00283D1F" w:rsidRPr="00283D1F">
        <w:rPr>
          <w:rStyle w:val="Hyperlink"/>
          <w:color w:val="0563C1"/>
        </w:rPr>
      </w:r>
      <w:r w:rsidR="00283D1F" w:rsidRPr="00283D1F">
        <w:rPr>
          <w:rStyle w:val="Hyperlink"/>
          <w:color w:val="0563C1"/>
        </w:rPr>
        <w:fldChar w:fldCharType="separate"/>
      </w:r>
      <w:r w:rsidRPr="00283D1F">
        <w:rPr>
          <w:rStyle w:val="Hyperlink"/>
          <w:color w:val="0563C1"/>
          <w:sz w:val="22"/>
          <w:szCs w:val="22"/>
          <w:lang w:val="es-ES_tradnl"/>
        </w:rPr>
        <w:t>página web</w:t>
      </w:r>
      <w:r w:rsidR="00283D1F" w:rsidRPr="00283D1F">
        <w:rPr>
          <w:rStyle w:val="Hyperlink"/>
          <w:color w:val="0563C1"/>
        </w:rPr>
        <w:fldChar w:fldCharType="end"/>
      </w:r>
      <w:bookmarkEnd w:id="0"/>
      <w:r w:rsidRPr="006612AF">
        <w:rPr>
          <w:rStyle w:val="Ninguno"/>
          <w:color w:val="auto"/>
          <w:sz w:val="22"/>
          <w:szCs w:val="22"/>
        </w:rPr>
        <w:t xml:space="preserve"> </w:t>
      </w:r>
      <w:r>
        <w:rPr>
          <w:rStyle w:val="Ninguno"/>
          <w:sz w:val="22"/>
          <w:szCs w:val="22"/>
        </w:rPr>
        <w:t>del Comité. Las presentaciones que no cuenten con la autorización de ser publicadas se mantendrán confidenciales.</w:t>
      </w:r>
    </w:p>
    <w:p w:rsidR="00423C45" w:rsidRPr="000D07E4" w:rsidRDefault="00423C45">
      <w:pPr>
        <w:pStyle w:val="Standard"/>
        <w:suppressAutoHyphens w:val="0"/>
        <w:jc w:val="both"/>
        <w:rPr>
          <w:lang w:val="es-ES"/>
        </w:rPr>
      </w:pPr>
    </w:p>
    <w:p w:rsidR="00423C45" w:rsidRPr="000D07E4" w:rsidRDefault="00F712E1">
      <w:pPr>
        <w:pStyle w:val="Standard"/>
        <w:suppressAutoHyphens w:val="0"/>
        <w:jc w:val="both"/>
        <w:rPr>
          <w:lang w:val="es-ES"/>
        </w:rPr>
      </w:pPr>
      <w:r>
        <w:rPr>
          <w:rStyle w:val="Ninguno"/>
          <w:sz w:val="22"/>
          <w:szCs w:val="22"/>
        </w:rPr>
        <w:t xml:space="preserve">La fecha límite para el envío de presentaciones es el </w:t>
      </w:r>
      <w:r>
        <w:rPr>
          <w:rStyle w:val="Hyperlink1"/>
          <w:rFonts w:eastAsia="Arial Unicode MS"/>
        </w:rPr>
        <w:t>1 de julio de 2018</w:t>
      </w:r>
      <w:r>
        <w:rPr>
          <w:rStyle w:val="Ninguno"/>
          <w:sz w:val="22"/>
          <w:szCs w:val="22"/>
        </w:rPr>
        <w:t>. El Comité solicita que las contribuciones escritas se limiten a un máximo de 2,500 palabras.</w:t>
      </w:r>
    </w:p>
    <w:p w:rsidR="00423C45" w:rsidRPr="000D07E4" w:rsidRDefault="00423C45">
      <w:pPr>
        <w:pStyle w:val="Standard"/>
        <w:suppressAutoHyphens w:val="0"/>
        <w:jc w:val="both"/>
        <w:rPr>
          <w:lang w:val="es-ES"/>
        </w:rPr>
      </w:pPr>
    </w:p>
    <w:p w:rsidR="00423C45" w:rsidRPr="000D07E4" w:rsidRDefault="00F712E1">
      <w:pPr>
        <w:pStyle w:val="Standard"/>
        <w:jc w:val="both"/>
        <w:rPr>
          <w:lang w:val="es-ES"/>
        </w:rPr>
      </w:pPr>
      <w:r>
        <w:rPr>
          <w:rStyle w:val="Ninguno"/>
          <w:sz w:val="22"/>
          <w:szCs w:val="22"/>
        </w:rPr>
        <w:t xml:space="preserve">Materiales publicados anteriormente también pueden ser presentados al Comité y publicados en su </w:t>
      </w:r>
      <w:hyperlink r:id="rId17" w:history="1">
        <w:r w:rsidRPr="00283D1F">
          <w:rPr>
            <w:rStyle w:val="Hyperlink"/>
            <w:color w:val="0563C1"/>
            <w:sz w:val="22"/>
            <w:szCs w:val="22"/>
            <w:lang w:val="es-ES_tradnl"/>
          </w:rPr>
          <w:t>página web</w:t>
        </w:r>
      </w:hyperlink>
      <w:r>
        <w:rPr>
          <w:rStyle w:val="Ninguno"/>
          <w:sz w:val="22"/>
          <w:szCs w:val="22"/>
        </w:rPr>
        <w:t>. En el caso de materiales publicados anteriormente y que excedan 7 páginas, es necesario que los participantes se aseguren de acompañar estos materiales con un resumen ejecutivo y un índice.</w:t>
      </w:r>
    </w:p>
    <w:p w:rsidR="00423C45" w:rsidRPr="000D07E4" w:rsidRDefault="00423C45">
      <w:pPr>
        <w:pStyle w:val="Standard"/>
        <w:jc w:val="both"/>
        <w:rPr>
          <w:lang w:val="es-ES"/>
        </w:rPr>
      </w:pPr>
    </w:p>
    <w:p w:rsidR="00423C45" w:rsidRPr="000D07E4" w:rsidRDefault="00F712E1">
      <w:pPr>
        <w:pStyle w:val="Standard"/>
        <w:jc w:val="both"/>
        <w:rPr>
          <w:lang w:val="es-ES"/>
        </w:rPr>
      </w:pPr>
      <w:r>
        <w:rPr>
          <w:rStyle w:val="Ninguno"/>
          <w:sz w:val="22"/>
          <w:szCs w:val="22"/>
        </w:rPr>
        <w:t>El Comité se reserva el derecho de negar la publicación de cualquier contenido que considere inapropiado o que contenga lenguaje ofensivo.</w:t>
      </w:r>
    </w:p>
    <w:p w:rsidR="00080DB3" w:rsidRPr="00010A1B" w:rsidRDefault="00080DB3" w:rsidP="00080DB3">
      <w:pPr>
        <w:autoSpaceDE w:val="0"/>
        <w:autoSpaceDN w:val="0"/>
        <w:adjustRightInd w:val="0"/>
        <w:jc w:val="both"/>
        <w:rPr>
          <w:sz w:val="22"/>
          <w:szCs w:val="22"/>
          <w:lang w:val="es-ES"/>
        </w:rPr>
      </w:pPr>
      <w:r w:rsidRPr="004D41BD">
        <w:rPr>
          <w:noProof/>
          <w:sz w:val="22"/>
          <w:szCs w:val="22"/>
          <w:lang w:val="en-GB" w:eastAsia="en-GB"/>
        </w:rPr>
        <mc:AlternateContent>
          <mc:Choice Requires="wps">
            <w:drawing>
              <wp:anchor distT="45720" distB="45720" distL="114300" distR="114300" simplePos="0" relativeHeight="251659264" behindDoc="0" locked="0" layoutInCell="1" allowOverlap="1" wp14:anchorId="46445823" wp14:editId="46F62130">
                <wp:simplePos x="0" y="0"/>
                <wp:positionH relativeFrom="column">
                  <wp:posOffset>-13970</wp:posOffset>
                </wp:positionH>
                <wp:positionV relativeFrom="paragraph">
                  <wp:posOffset>351155</wp:posOffset>
                </wp:positionV>
                <wp:extent cx="57912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rsidR="00B11E82" w:rsidRPr="0056738B" w:rsidRDefault="00FD2E7E" w:rsidP="0056738B">
                            <w:pPr>
                              <w:spacing w:after="120"/>
                              <w:rPr>
                                <w:b/>
                                <w:sz w:val="22"/>
                                <w:szCs w:val="22"/>
                                <w:lang w:val="es-ES"/>
                              </w:rPr>
                            </w:pPr>
                            <w:r w:rsidRPr="00FD2E7E">
                              <w:rPr>
                                <w:b/>
                                <w:sz w:val="22"/>
                                <w:szCs w:val="22"/>
                                <w:lang w:val="es-ES"/>
                              </w:rPr>
                              <w:t xml:space="preserve">Nota importante para </w:t>
                            </w:r>
                            <w:proofErr w:type="gramStart"/>
                            <w:r w:rsidRPr="00FD2E7E">
                              <w:rPr>
                                <w:b/>
                                <w:sz w:val="22"/>
                                <w:szCs w:val="22"/>
                                <w:lang w:val="es-ES"/>
                              </w:rPr>
                              <w:t>todos</w:t>
                            </w:r>
                            <w:r w:rsidRPr="00FD2E7E">
                              <w:rPr>
                                <w:sz w:val="22"/>
                                <w:lang w:val="es-ES"/>
                              </w:rPr>
                              <w:br/>
                              <w:t>Unas</w:t>
                            </w:r>
                            <w:proofErr w:type="gramEnd"/>
                            <w:r w:rsidRPr="00FD2E7E">
                              <w:rPr>
                                <w:sz w:val="22"/>
                                <w:lang w:val="es-ES"/>
                              </w:rPr>
                              <w:t xml:space="preserve"> semanas antes de El Día, el Comité publicará un documento de </w:t>
                            </w:r>
                            <w:r w:rsidR="00010A1B">
                              <w:rPr>
                                <w:sz w:val="22"/>
                                <w:lang w:val="es-ES"/>
                              </w:rPr>
                              <w:t>información</w:t>
                            </w:r>
                            <w:r w:rsidR="00212EC3">
                              <w:rPr>
                                <w:sz w:val="22"/>
                                <w:lang w:val="es-ES"/>
                              </w:rPr>
                              <w:t xml:space="preserve"> sobre</w:t>
                            </w:r>
                            <w:r w:rsidRPr="00FD2E7E">
                              <w:rPr>
                                <w:sz w:val="22"/>
                                <w:lang w:val="es-ES"/>
                              </w:rPr>
                              <w:t xml:space="preserve"> El Día que </w:t>
                            </w:r>
                            <w:r w:rsidR="00212EC3" w:rsidRPr="00FD2E7E">
                              <w:rPr>
                                <w:sz w:val="22"/>
                                <w:lang w:val="es-ES"/>
                              </w:rPr>
                              <w:t>resumi</w:t>
                            </w:r>
                            <w:r w:rsidR="00212EC3">
                              <w:rPr>
                                <w:sz w:val="22"/>
                                <w:lang w:val="es-ES"/>
                              </w:rPr>
                              <w:t>rá</w:t>
                            </w:r>
                            <w:r w:rsidRPr="00FD2E7E">
                              <w:rPr>
                                <w:sz w:val="22"/>
                                <w:lang w:val="es-ES"/>
                              </w:rPr>
                              <w:t xml:space="preserve"> los principales </w:t>
                            </w:r>
                            <w:r w:rsidRPr="00010A1B">
                              <w:rPr>
                                <w:sz w:val="22"/>
                                <w:lang w:val="es-ES"/>
                              </w:rPr>
                              <w:t xml:space="preserve">puntos </w:t>
                            </w:r>
                            <w:r w:rsidR="00010A1B" w:rsidRPr="00010A1B">
                              <w:rPr>
                                <w:sz w:val="22"/>
                                <w:lang w:val="es-ES"/>
                              </w:rPr>
                              <w:t xml:space="preserve">relevantes </w:t>
                            </w:r>
                            <w:r w:rsidRPr="00010A1B">
                              <w:rPr>
                                <w:sz w:val="22"/>
                                <w:lang w:val="es-ES"/>
                              </w:rPr>
                              <w:t>planteados en las presentaciones públicas, tanto por adultos como por niños. Sin embargo, esto solo será posible si las presentaciones serán en inglés, francés o español.</w:t>
                            </w:r>
                            <w:r w:rsidRPr="00FD2E7E">
                              <w:rPr>
                                <w:sz w:val="22"/>
                                <w:lang w:val="es-ES"/>
                              </w:rPr>
                              <w:br/>
                            </w:r>
                            <w:r w:rsidR="00B11E82" w:rsidRPr="00B11E82">
                              <w:rPr>
                                <w:sz w:val="22"/>
                                <w:lang w:val="es-ES"/>
                              </w:rPr>
                              <w:t xml:space="preserve">El Comité no distribuirá </w:t>
                            </w:r>
                            <w:r w:rsidR="00B11E82" w:rsidRPr="00FD2E7E">
                              <w:rPr>
                                <w:sz w:val="22"/>
                                <w:lang w:val="es-ES"/>
                              </w:rPr>
                              <w:t>ninguna copia</w:t>
                            </w:r>
                            <w:r w:rsidR="00B11E82" w:rsidRPr="00B11E82">
                              <w:rPr>
                                <w:sz w:val="22"/>
                                <w:lang w:val="es-ES"/>
                              </w:rPr>
                              <w:t xml:space="preserve"> impresa de las presentaciones. Sin embargo, los participantes d</w:t>
                            </w:r>
                            <w:r w:rsidR="00B11E82">
                              <w:rPr>
                                <w:sz w:val="22"/>
                                <w:lang w:val="es-ES"/>
                              </w:rPr>
                              <w:t>e E</w:t>
                            </w:r>
                            <w:r w:rsidR="00B11E82" w:rsidRPr="00B11E82">
                              <w:rPr>
                                <w:sz w:val="22"/>
                                <w:lang w:val="es-ES"/>
                              </w:rPr>
                              <w:t>l Día tendrán la oportunidad de compartirlos en oficinas de publicaciones específicas.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445823" id="_x0000_t202" coordsize="21600,21600" o:spt="202" path="m,l,21600r21600,l21600,xe">
                <v:stroke joinstyle="miter"/>
                <v:path gradientshapeok="t" o:connecttype="rect"/>
              </v:shapetype>
              <v:shape id="Text Box 2" o:spid="_x0000_s1026" type="#_x0000_t202" style="position:absolute;left:0;text-align:left;margin-left:-1.1pt;margin-top:27.65pt;width:4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EgJA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">
                <v:textbox style="mso-fit-shape-to-text:t">
                  <w:txbxContent>
                    <w:p w:rsidR="00B11E82" w:rsidRPr="0056738B" w:rsidRDefault="00FD2E7E" w:rsidP="0056738B">
                      <w:pPr>
                        <w:spacing w:after="120"/>
                        <w:rPr>
                          <w:b/>
                          <w:sz w:val="22"/>
                          <w:szCs w:val="22"/>
                          <w:lang w:val="es-ES"/>
                        </w:rPr>
                      </w:pPr>
                      <w:r w:rsidRPr="00FD2E7E">
                        <w:rPr>
                          <w:b/>
                          <w:sz w:val="22"/>
                          <w:szCs w:val="22"/>
                          <w:lang w:val="es-ES"/>
                        </w:rPr>
                        <w:t xml:space="preserve">Nota importante para </w:t>
                      </w:r>
                      <w:proofErr w:type="gramStart"/>
                      <w:r w:rsidRPr="00FD2E7E">
                        <w:rPr>
                          <w:b/>
                          <w:sz w:val="22"/>
                          <w:szCs w:val="22"/>
                          <w:lang w:val="es-ES"/>
                        </w:rPr>
                        <w:t>todos</w:t>
                      </w:r>
                      <w:r w:rsidRPr="00FD2E7E">
                        <w:rPr>
                          <w:sz w:val="22"/>
                          <w:lang w:val="es-ES"/>
                        </w:rPr>
                        <w:br/>
                        <w:t>Unas</w:t>
                      </w:r>
                      <w:proofErr w:type="gramEnd"/>
                      <w:r w:rsidRPr="00FD2E7E">
                        <w:rPr>
                          <w:sz w:val="22"/>
                          <w:lang w:val="es-ES"/>
                        </w:rPr>
                        <w:t xml:space="preserve"> semanas antes de El Día, el Comité publicará un documento de </w:t>
                      </w:r>
                      <w:r w:rsidR="00010A1B">
                        <w:rPr>
                          <w:sz w:val="22"/>
                          <w:lang w:val="es-ES"/>
                        </w:rPr>
                        <w:t>información</w:t>
                      </w:r>
                      <w:r w:rsidR="00212EC3">
                        <w:rPr>
                          <w:sz w:val="22"/>
                          <w:lang w:val="es-ES"/>
                        </w:rPr>
                        <w:t xml:space="preserve"> sobre</w:t>
                      </w:r>
                      <w:r w:rsidRPr="00FD2E7E">
                        <w:rPr>
                          <w:sz w:val="22"/>
                          <w:lang w:val="es-ES"/>
                        </w:rPr>
                        <w:t xml:space="preserve"> El Día que </w:t>
                      </w:r>
                      <w:r w:rsidR="00212EC3" w:rsidRPr="00FD2E7E">
                        <w:rPr>
                          <w:sz w:val="22"/>
                          <w:lang w:val="es-ES"/>
                        </w:rPr>
                        <w:t>resumi</w:t>
                      </w:r>
                      <w:r w:rsidR="00212EC3">
                        <w:rPr>
                          <w:sz w:val="22"/>
                          <w:lang w:val="es-ES"/>
                        </w:rPr>
                        <w:t>rá</w:t>
                      </w:r>
                      <w:r w:rsidRPr="00FD2E7E">
                        <w:rPr>
                          <w:sz w:val="22"/>
                          <w:lang w:val="es-ES"/>
                        </w:rPr>
                        <w:t xml:space="preserve"> los principales </w:t>
                      </w:r>
                      <w:r w:rsidRPr="00010A1B">
                        <w:rPr>
                          <w:sz w:val="22"/>
                          <w:lang w:val="es-ES"/>
                        </w:rPr>
                        <w:t xml:space="preserve">puntos </w:t>
                      </w:r>
                      <w:r w:rsidR="00010A1B" w:rsidRPr="00010A1B">
                        <w:rPr>
                          <w:sz w:val="22"/>
                          <w:lang w:val="es-ES"/>
                        </w:rPr>
                        <w:t xml:space="preserve">relevantes </w:t>
                      </w:r>
                      <w:r w:rsidRPr="00010A1B">
                        <w:rPr>
                          <w:sz w:val="22"/>
                          <w:lang w:val="es-ES"/>
                        </w:rPr>
                        <w:t>planteados en las presentaciones públicas, tanto por adultos como por niños. Sin embargo, esto solo será posible si las presentaciones serán en inglés, francés o español.</w:t>
                      </w:r>
                      <w:r w:rsidRPr="00FD2E7E">
                        <w:rPr>
                          <w:sz w:val="22"/>
                          <w:lang w:val="es-ES"/>
                        </w:rPr>
                        <w:br/>
                      </w:r>
                      <w:r w:rsidR="00B11E82" w:rsidRPr="00B11E82">
                        <w:rPr>
                          <w:sz w:val="22"/>
                          <w:lang w:val="es-ES"/>
                        </w:rPr>
                        <w:t xml:space="preserve">El Comité no distribuirá </w:t>
                      </w:r>
                      <w:r w:rsidR="00B11E82" w:rsidRPr="00FD2E7E">
                        <w:rPr>
                          <w:sz w:val="22"/>
                          <w:lang w:val="es-ES"/>
                        </w:rPr>
                        <w:t>ninguna copia</w:t>
                      </w:r>
                      <w:r w:rsidR="00B11E82" w:rsidRPr="00B11E82">
                        <w:rPr>
                          <w:sz w:val="22"/>
                          <w:lang w:val="es-ES"/>
                        </w:rPr>
                        <w:t xml:space="preserve"> impresa de las presentaciones. Sin embargo, los participantes d</w:t>
                      </w:r>
                      <w:r w:rsidR="00B11E82">
                        <w:rPr>
                          <w:sz w:val="22"/>
                          <w:lang w:val="es-ES"/>
                        </w:rPr>
                        <w:t>e E</w:t>
                      </w:r>
                      <w:r w:rsidR="00B11E82" w:rsidRPr="00B11E82">
                        <w:rPr>
                          <w:sz w:val="22"/>
                          <w:lang w:val="es-ES"/>
                        </w:rPr>
                        <w:t>l Día tendrán la oportunidad de compartirlos en oficinas de publicaciones específicas.</w:t>
                      </w:r>
                    </w:p>
                  </w:txbxContent>
                </v:textbox>
                <w10:wrap type="square"/>
              </v:shape>
            </w:pict>
          </mc:Fallback>
        </mc:AlternateContent>
      </w:r>
    </w:p>
    <w:p w:rsidR="00423C45" w:rsidRDefault="00F712E1">
      <w:pPr>
        <w:pStyle w:val="ListParagraph"/>
        <w:numPr>
          <w:ilvl w:val="0"/>
          <w:numId w:val="2"/>
        </w:numPr>
        <w:suppressAutoHyphens w:val="0"/>
        <w:jc w:val="both"/>
        <w:rPr>
          <w:b/>
          <w:bCs/>
          <w:sz w:val="22"/>
          <w:szCs w:val="22"/>
          <w:lang w:val="es-ES_tradnl"/>
        </w:rPr>
      </w:pPr>
      <w:r>
        <w:rPr>
          <w:rStyle w:val="Hyperlink0"/>
          <w:b/>
          <w:bCs/>
          <w:sz w:val="22"/>
          <w:szCs w:val="22"/>
        </w:rPr>
        <w:lastRenderedPageBreak/>
        <w:t>Contenido de las presentaciones</w:t>
      </w:r>
    </w:p>
    <w:p w:rsidR="00423C45" w:rsidRDefault="00423C45">
      <w:pPr>
        <w:pStyle w:val="Standard"/>
        <w:suppressAutoHyphens w:val="0"/>
        <w:jc w:val="both"/>
      </w:pPr>
    </w:p>
    <w:p w:rsidR="00423C45" w:rsidRDefault="00F712E1">
      <w:pPr>
        <w:pStyle w:val="Standard"/>
        <w:suppressAutoHyphens w:val="0"/>
        <w:jc w:val="both"/>
      </w:pPr>
      <w:r>
        <w:rPr>
          <w:rStyle w:val="Ninguno"/>
          <w:sz w:val="22"/>
          <w:szCs w:val="22"/>
        </w:rPr>
        <w:t xml:space="preserve">Todos los interesados en preparar una presentación o enviar materiales ya existentes deberán asegurarse de que estos sean relevantes a los </w:t>
      </w:r>
      <w:r>
        <w:rPr>
          <w:rStyle w:val="Hyperlink1"/>
          <w:rFonts w:eastAsia="Arial Unicode MS"/>
        </w:rPr>
        <w:t>objetivos específicos de El Día</w:t>
      </w:r>
      <w:r>
        <w:rPr>
          <w:rStyle w:val="Ninguno"/>
          <w:sz w:val="22"/>
          <w:szCs w:val="22"/>
        </w:rPr>
        <w:t xml:space="preserve">, delineados en la nota conceptual. Los objetivos son:  </w:t>
      </w:r>
    </w:p>
    <w:p w:rsidR="00423C45" w:rsidRDefault="00423C45">
      <w:pPr>
        <w:pStyle w:val="Standard"/>
        <w:suppressAutoHyphens w:val="0"/>
        <w:jc w:val="both"/>
      </w:pPr>
    </w:p>
    <w:p w:rsidR="00423C45" w:rsidRDefault="00F712E1" w:rsidP="003B6AE3">
      <w:pPr>
        <w:pStyle w:val="ListParagraph"/>
        <w:numPr>
          <w:ilvl w:val="0"/>
          <w:numId w:val="4"/>
        </w:numPr>
        <w:suppressAutoHyphens w:val="0"/>
        <w:ind w:left="714" w:hanging="357"/>
        <w:jc w:val="both"/>
        <w:rPr>
          <w:sz w:val="22"/>
          <w:szCs w:val="22"/>
          <w:lang w:val="es-ES_tradnl"/>
        </w:rPr>
      </w:pPr>
      <w:r>
        <w:rPr>
          <w:rStyle w:val="Hyperlink0"/>
          <w:sz w:val="22"/>
          <w:szCs w:val="22"/>
        </w:rPr>
        <w:t>Recolectar las opiniones de NNA sobre sus experiencias como defensores de los derechos humanos;</w:t>
      </w:r>
    </w:p>
    <w:p w:rsidR="00423C45" w:rsidRDefault="00F712E1">
      <w:pPr>
        <w:pStyle w:val="ListParagraph"/>
        <w:numPr>
          <w:ilvl w:val="0"/>
          <w:numId w:val="4"/>
        </w:numPr>
        <w:suppressAutoHyphens w:val="0"/>
        <w:jc w:val="both"/>
        <w:rPr>
          <w:sz w:val="22"/>
          <w:szCs w:val="22"/>
          <w:lang w:val="es-ES_tradnl"/>
        </w:rPr>
      </w:pPr>
      <w:r>
        <w:rPr>
          <w:rStyle w:val="Hyperlink0"/>
          <w:sz w:val="22"/>
          <w:szCs w:val="22"/>
        </w:rPr>
        <w:t xml:space="preserve">Evaluar la legislación, las políticas y prácticas dirigidas a proteger y empoderar a los NNA defensores de los derechos humanos, y ofrecer ejemplos de prácticas apropiadas y retos, incluyendo desde la perspectiva de NNA;  </w:t>
      </w:r>
    </w:p>
    <w:p w:rsidR="00423C45" w:rsidRDefault="00F712E1">
      <w:pPr>
        <w:pStyle w:val="ListParagraph"/>
        <w:numPr>
          <w:ilvl w:val="0"/>
          <w:numId w:val="4"/>
        </w:numPr>
        <w:suppressAutoHyphens w:val="0"/>
        <w:jc w:val="both"/>
        <w:rPr>
          <w:sz w:val="22"/>
          <w:szCs w:val="22"/>
          <w:lang w:val="es-ES_tradnl"/>
        </w:rPr>
      </w:pPr>
      <w:r>
        <w:rPr>
          <w:rStyle w:val="Hyperlink0"/>
          <w:sz w:val="22"/>
          <w:szCs w:val="22"/>
        </w:rPr>
        <w:t>Precisar las obligaciones de los Estados aplicables a NNA defensores de los derechos humanos, bajo los estándares de la</w:t>
      </w:r>
      <w:r w:rsidR="00E91687">
        <w:rPr>
          <w:rStyle w:val="Hyperlink0"/>
          <w:sz w:val="22"/>
          <w:szCs w:val="22"/>
        </w:rPr>
        <w:t xml:space="preserve"> Convención sobre los derechos del niño</w:t>
      </w:r>
      <w:r>
        <w:rPr>
          <w:rStyle w:val="Hyperlink0"/>
          <w:sz w:val="22"/>
          <w:szCs w:val="22"/>
        </w:rPr>
        <w:t xml:space="preserve"> </w:t>
      </w:r>
      <w:r w:rsidR="00E91687">
        <w:rPr>
          <w:rStyle w:val="Hyperlink0"/>
          <w:sz w:val="22"/>
          <w:szCs w:val="22"/>
        </w:rPr>
        <w:t>(</w:t>
      </w:r>
      <w:r>
        <w:rPr>
          <w:rStyle w:val="Hyperlink0"/>
          <w:sz w:val="22"/>
          <w:szCs w:val="22"/>
        </w:rPr>
        <w:t>CDN</w:t>
      </w:r>
      <w:r w:rsidR="00E91687">
        <w:rPr>
          <w:rStyle w:val="Hyperlink0"/>
          <w:sz w:val="22"/>
          <w:szCs w:val="22"/>
        </w:rPr>
        <w:t>)</w:t>
      </w:r>
      <w:r>
        <w:rPr>
          <w:rStyle w:val="Hyperlink0"/>
          <w:sz w:val="22"/>
          <w:szCs w:val="22"/>
        </w:rPr>
        <w:t xml:space="preserve"> y los existentes para defensores de los derechos humanos;  </w:t>
      </w:r>
    </w:p>
    <w:p w:rsidR="00423C45" w:rsidRDefault="00F712E1">
      <w:pPr>
        <w:pStyle w:val="ListParagraph"/>
        <w:numPr>
          <w:ilvl w:val="0"/>
          <w:numId w:val="4"/>
        </w:numPr>
        <w:jc w:val="both"/>
        <w:rPr>
          <w:sz w:val="22"/>
          <w:szCs w:val="22"/>
          <w:lang w:val="es-ES_tradnl"/>
        </w:rPr>
      </w:pPr>
      <w:r>
        <w:rPr>
          <w:rStyle w:val="Hyperlink0"/>
          <w:sz w:val="22"/>
          <w:szCs w:val="22"/>
        </w:rPr>
        <w:t xml:space="preserve">Identificar elementos clave para una implementación efectiva de un enfoque basado en derechos infantiles para los NNA que son, o desean ser, defensores de los derechos humanos, incluyendo recomendaciones específicas para los titulares de deberes quienes pueden dar información sobre las recomendaciones del Comité a los Estados.  </w:t>
      </w:r>
    </w:p>
    <w:p w:rsidR="00423C45" w:rsidRPr="000D07E4" w:rsidRDefault="00423C45">
      <w:pPr>
        <w:pStyle w:val="Standard"/>
        <w:jc w:val="both"/>
        <w:rPr>
          <w:lang w:val="es-ES"/>
        </w:rPr>
      </w:pPr>
    </w:p>
    <w:p w:rsidR="00423C45" w:rsidRPr="000D07E4" w:rsidRDefault="00F712E1">
      <w:pPr>
        <w:pStyle w:val="Standard"/>
        <w:jc w:val="both"/>
        <w:rPr>
          <w:lang w:val="es-ES"/>
        </w:rPr>
      </w:pPr>
      <w:r>
        <w:rPr>
          <w:rStyle w:val="Ninguno"/>
          <w:sz w:val="22"/>
          <w:szCs w:val="22"/>
        </w:rPr>
        <w:t xml:space="preserve">Se invita a todos los participantes interesados a utilizar las siguientes </w:t>
      </w:r>
      <w:r>
        <w:rPr>
          <w:rStyle w:val="Hyperlink1"/>
          <w:rFonts w:eastAsia="Arial Unicode MS"/>
        </w:rPr>
        <w:t xml:space="preserve">preguntas guía </w:t>
      </w:r>
      <w:r>
        <w:rPr>
          <w:rStyle w:val="Ninguno"/>
          <w:sz w:val="22"/>
          <w:szCs w:val="22"/>
        </w:rPr>
        <w:t xml:space="preserve">para preparar sus presentaciones:  </w:t>
      </w:r>
    </w:p>
    <w:p w:rsidR="00423C45" w:rsidRPr="000D07E4" w:rsidRDefault="00423C45">
      <w:pPr>
        <w:pStyle w:val="Standard"/>
        <w:jc w:val="both"/>
        <w:rPr>
          <w:lang w:val="es-ES"/>
        </w:rPr>
      </w:pPr>
    </w:p>
    <w:p w:rsidR="00423C45" w:rsidRDefault="00F712E1">
      <w:pPr>
        <w:pStyle w:val="ListParagraph"/>
        <w:numPr>
          <w:ilvl w:val="0"/>
          <w:numId w:val="6"/>
        </w:numPr>
        <w:suppressAutoHyphens w:val="0"/>
        <w:jc w:val="both"/>
        <w:rPr>
          <w:sz w:val="22"/>
          <w:szCs w:val="22"/>
          <w:lang w:val="es-ES_tradnl"/>
        </w:rPr>
      </w:pPr>
      <w:r>
        <w:rPr>
          <w:rStyle w:val="Hyperlink0"/>
          <w:sz w:val="22"/>
          <w:szCs w:val="22"/>
        </w:rPr>
        <w:t>¿Quiénes deben ser reconocidos como NNA defensores de los derechos humanos?</w:t>
      </w:r>
    </w:p>
    <w:p w:rsidR="00423C45" w:rsidRDefault="00F712E1">
      <w:pPr>
        <w:pStyle w:val="ListParagraph"/>
        <w:numPr>
          <w:ilvl w:val="0"/>
          <w:numId w:val="6"/>
        </w:numPr>
        <w:suppressAutoHyphens w:val="0"/>
        <w:jc w:val="both"/>
        <w:rPr>
          <w:sz w:val="22"/>
          <w:szCs w:val="22"/>
          <w:lang w:val="es-ES_tradnl"/>
        </w:rPr>
      </w:pPr>
      <w:r>
        <w:rPr>
          <w:rStyle w:val="Hyperlink0"/>
          <w:sz w:val="22"/>
          <w:szCs w:val="22"/>
        </w:rPr>
        <w:t xml:space="preserve">¿Como es que NNA de diferente edad, género y antecedentes (tales como NNA con discapacidad, en </w:t>
      </w:r>
      <w:r w:rsidR="000D07E4">
        <w:rPr>
          <w:rStyle w:val="Hyperlink0"/>
          <w:sz w:val="22"/>
          <w:szCs w:val="22"/>
        </w:rPr>
        <w:t>situación</w:t>
      </w:r>
      <w:r>
        <w:rPr>
          <w:rStyle w:val="Hyperlink0"/>
          <w:sz w:val="22"/>
          <w:szCs w:val="22"/>
        </w:rPr>
        <w:t xml:space="preserve"> de pobreza, indígenas, pertenecientes a minorías, etc.) utilizan sus capacidades, competencias y experiencias para actuar como defensores?</w:t>
      </w:r>
    </w:p>
    <w:p w:rsidR="00423C45" w:rsidRDefault="00F712E1">
      <w:pPr>
        <w:pStyle w:val="ListParagraph"/>
        <w:numPr>
          <w:ilvl w:val="0"/>
          <w:numId w:val="6"/>
        </w:numPr>
        <w:suppressAutoHyphens w:val="0"/>
        <w:jc w:val="both"/>
        <w:rPr>
          <w:sz w:val="22"/>
          <w:szCs w:val="22"/>
          <w:lang w:val="es-ES_tradnl"/>
        </w:rPr>
      </w:pPr>
      <w:r>
        <w:rPr>
          <w:rStyle w:val="Hyperlink0"/>
          <w:sz w:val="22"/>
          <w:szCs w:val="22"/>
        </w:rPr>
        <w:t>¿Cuál es el rol que representan NNA defensores de los derechos humanos en la sociedad?</w:t>
      </w:r>
    </w:p>
    <w:p w:rsidR="00423C45" w:rsidRDefault="00F712E1">
      <w:pPr>
        <w:pStyle w:val="ListParagraph"/>
        <w:numPr>
          <w:ilvl w:val="0"/>
          <w:numId w:val="6"/>
        </w:numPr>
        <w:suppressAutoHyphens w:val="0"/>
        <w:jc w:val="both"/>
        <w:rPr>
          <w:sz w:val="22"/>
          <w:szCs w:val="22"/>
          <w:lang w:val="es-ES_tradnl"/>
        </w:rPr>
      </w:pPr>
      <w:r>
        <w:rPr>
          <w:rStyle w:val="Hyperlink0"/>
          <w:sz w:val="22"/>
          <w:szCs w:val="22"/>
        </w:rPr>
        <w:t>¿Qué es lo que permite a NNA actuar como defensores de los derechos humanos?</w:t>
      </w:r>
    </w:p>
    <w:p w:rsidR="00423C45" w:rsidRDefault="00F712E1">
      <w:pPr>
        <w:pStyle w:val="ListParagraph"/>
        <w:numPr>
          <w:ilvl w:val="0"/>
          <w:numId w:val="6"/>
        </w:numPr>
        <w:suppressAutoHyphens w:val="0"/>
        <w:jc w:val="both"/>
        <w:rPr>
          <w:sz w:val="22"/>
          <w:szCs w:val="22"/>
          <w:lang w:val="es-ES_tradnl"/>
        </w:rPr>
      </w:pPr>
      <w:r>
        <w:rPr>
          <w:rStyle w:val="Hyperlink0"/>
          <w:sz w:val="22"/>
          <w:szCs w:val="22"/>
        </w:rPr>
        <w:t>¿Cuáles son los obstáculos que enfrentan NNA defensores de derechos humanos, en todo nivel (local, nacional, regional, internacional)?</w:t>
      </w:r>
    </w:p>
    <w:p w:rsidR="00423C45" w:rsidRDefault="00F712E1">
      <w:pPr>
        <w:pStyle w:val="ListParagraph"/>
        <w:numPr>
          <w:ilvl w:val="0"/>
          <w:numId w:val="6"/>
        </w:numPr>
        <w:suppressAutoHyphens w:val="0"/>
        <w:jc w:val="both"/>
        <w:rPr>
          <w:sz w:val="22"/>
          <w:szCs w:val="22"/>
          <w:lang w:val="es-ES_tradnl"/>
        </w:rPr>
      </w:pPr>
      <w:r>
        <w:rPr>
          <w:rStyle w:val="Hyperlink0"/>
          <w:sz w:val="22"/>
          <w:szCs w:val="22"/>
        </w:rPr>
        <w:t>¿Como quieren ser empoderados NNA y que tipo de apoyo es el quieren recibir de adultos y autoridades?</w:t>
      </w:r>
    </w:p>
    <w:p w:rsidR="00423C45" w:rsidRDefault="00F712E1">
      <w:pPr>
        <w:pStyle w:val="ListParagraph"/>
        <w:numPr>
          <w:ilvl w:val="0"/>
          <w:numId w:val="6"/>
        </w:numPr>
        <w:suppressAutoHyphens w:val="0"/>
        <w:jc w:val="both"/>
        <w:rPr>
          <w:sz w:val="22"/>
          <w:szCs w:val="22"/>
          <w:lang w:val="es-ES_tradnl"/>
        </w:rPr>
      </w:pPr>
      <w:r>
        <w:rPr>
          <w:rStyle w:val="Hyperlink0"/>
          <w:sz w:val="22"/>
          <w:szCs w:val="22"/>
        </w:rPr>
        <w:t>¿Como pueden NNA defensores de los derechos humanos empoderar a otros NNA y recibir apoyo para ellos?</w:t>
      </w:r>
    </w:p>
    <w:p w:rsidR="00423C45" w:rsidRDefault="00F712E1">
      <w:pPr>
        <w:pStyle w:val="ListParagraph"/>
        <w:numPr>
          <w:ilvl w:val="0"/>
          <w:numId w:val="6"/>
        </w:numPr>
        <w:suppressAutoHyphens w:val="0"/>
        <w:jc w:val="both"/>
        <w:rPr>
          <w:sz w:val="22"/>
          <w:szCs w:val="22"/>
          <w:lang w:val="es-ES_tradnl"/>
        </w:rPr>
      </w:pPr>
      <w:r>
        <w:rPr>
          <w:rStyle w:val="Hyperlink0"/>
          <w:sz w:val="22"/>
          <w:szCs w:val="22"/>
        </w:rPr>
        <w:t>¿Cuáles son los riesgos que enfrentan NNA defensores de los derechos humanos?</w:t>
      </w:r>
    </w:p>
    <w:p w:rsidR="00423C45" w:rsidRDefault="00F712E1">
      <w:pPr>
        <w:pStyle w:val="ListParagraph"/>
        <w:numPr>
          <w:ilvl w:val="0"/>
          <w:numId w:val="6"/>
        </w:numPr>
        <w:suppressAutoHyphens w:val="0"/>
        <w:jc w:val="both"/>
        <w:rPr>
          <w:sz w:val="22"/>
          <w:szCs w:val="22"/>
          <w:lang w:val="es-ES_tradnl"/>
        </w:rPr>
      </w:pPr>
      <w:r>
        <w:rPr>
          <w:rStyle w:val="Hyperlink0"/>
          <w:sz w:val="22"/>
          <w:szCs w:val="22"/>
        </w:rPr>
        <w:t>¿Cuáles son las medidas de seguridad necesarias para garantizar la protección de NNA defensores de los derechos humanos?</w:t>
      </w:r>
    </w:p>
    <w:p w:rsidR="00423C45" w:rsidRDefault="00F712E1">
      <w:pPr>
        <w:pStyle w:val="ListParagraph"/>
        <w:numPr>
          <w:ilvl w:val="0"/>
          <w:numId w:val="6"/>
        </w:numPr>
        <w:suppressAutoHyphens w:val="0"/>
        <w:jc w:val="both"/>
        <w:rPr>
          <w:sz w:val="22"/>
          <w:szCs w:val="22"/>
          <w:lang w:val="es-ES_tradnl"/>
        </w:rPr>
      </w:pPr>
      <w:r>
        <w:rPr>
          <w:rStyle w:val="Hyperlink0"/>
          <w:sz w:val="22"/>
          <w:szCs w:val="22"/>
        </w:rPr>
        <w:t>¿Cuáles son los mecanismos que pueden ser utilizados por NNA defensores de derechos para reclamar sus derechos en caso de que exista una violación a los mismos?</w:t>
      </w:r>
    </w:p>
    <w:p w:rsidR="00423C45" w:rsidRDefault="00F712E1">
      <w:pPr>
        <w:pStyle w:val="ListParagraph"/>
        <w:numPr>
          <w:ilvl w:val="0"/>
          <w:numId w:val="6"/>
        </w:numPr>
        <w:suppressAutoHyphens w:val="0"/>
        <w:jc w:val="both"/>
        <w:rPr>
          <w:sz w:val="22"/>
          <w:szCs w:val="22"/>
          <w:lang w:val="es-ES_tradnl"/>
        </w:rPr>
      </w:pPr>
      <w:r>
        <w:rPr>
          <w:rStyle w:val="Hyperlink0"/>
          <w:sz w:val="22"/>
          <w:szCs w:val="22"/>
        </w:rPr>
        <w:t>¿De qué forma, y con que alcance, se consideran los derechos de NNA defensores de los derechos humanos dentro de la legislación, políticas, programas y prácticas existentes relacionadas a los defensores de derechos humanos?</w:t>
      </w:r>
    </w:p>
    <w:p w:rsidR="00423C45" w:rsidRDefault="00F712E1">
      <w:pPr>
        <w:pStyle w:val="ListParagraph"/>
        <w:numPr>
          <w:ilvl w:val="0"/>
          <w:numId w:val="7"/>
        </w:numPr>
        <w:suppressAutoHyphens w:val="0"/>
        <w:jc w:val="both"/>
        <w:rPr>
          <w:sz w:val="22"/>
          <w:szCs w:val="22"/>
          <w:lang w:val="es-ES_tradnl"/>
        </w:rPr>
      </w:pPr>
      <w:r>
        <w:rPr>
          <w:rStyle w:val="Ninguno"/>
          <w:sz w:val="22"/>
          <w:szCs w:val="22"/>
        </w:rPr>
        <w:t>¿Son apropiados para NNA los mecanismos de protección existentes para los defensores de los derechos humanos</w:t>
      </w:r>
      <w:r>
        <w:rPr>
          <w:rStyle w:val="Ninguno"/>
          <w:sz w:val="22"/>
          <w:szCs w:val="22"/>
          <w:vertAlign w:val="superscript"/>
        </w:rPr>
        <w:footnoteReference w:id="2"/>
      </w:r>
      <w:r>
        <w:rPr>
          <w:rStyle w:val="Ninguno"/>
          <w:sz w:val="22"/>
          <w:szCs w:val="22"/>
        </w:rPr>
        <w:t>? ¿Han sido evaluados mediante un análisis del impacto sobre los derechos infantiles?</w:t>
      </w:r>
    </w:p>
    <w:p w:rsidR="00423C45" w:rsidRDefault="00F712E1">
      <w:pPr>
        <w:pStyle w:val="ListParagraph"/>
        <w:numPr>
          <w:ilvl w:val="0"/>
          <w:numId w:val="6"/>
        </w:numPr>
        <w:suppressAutoHyphens w:val="0"/>
        <w:jc w:val="both"/>
        <w:rPr>
          <w:sz w:val="22"/>
          <w:szCs w:val="22"/>
          <w:lang w:val="es-ES_tradnl"/>
        </w:rPr>
      </w:pPr>
      <w:r>
        <w:rPr>
          <w:rStyle w:val="Hyperlink0"/>
          <w:sz w:val="22"/>
          <w:szCs w:val="22"/>
        </w:rPr>
        <w:lastRenderedPageBreak/>
        <w:t>¿Cuál es el contenido específico de las obligaciones del Estado que se desprenden de la CDN y la Declaración de los Defensores de los Derechos Humanos de la ONU, en relación al empoderamiento y protección de NNA defensores de los derechos humanos?</w:t>
      </w:r>
    </w:p>
    <w:p w:rsidR="00423C45" w:rsidRDefault="00F712E1">
      <w:pPr>
        <w:pStyle w:val="ListParagraph"/>
        <w:numPr>
          <w:ilvl w:val="0"/>
          <w:numId w:val="6"/>
        </w:numPr>
        <w:suppressAutoHyphens w:val="0"/>
        <w:jc w:val="both"/>
        <w:rPr>
          <w:sz w:val="22"/>
          <w:szCs w:val="22"/>
          <w:lang w:val="es-ES_tradnl"/>
        </w:rPr>
      </w:pPr>
      <w:r>
        <w:rPr>
          <w:rStyle w:val="Hyperlink0"/>
          <w:sz w:val="22"/>
          <w:szCs w:val="22"/>
        </w:rPr>
        <w:t>¿Cuáles son los estándares internacionales relevantes para asegurar que NNA puedan ejercer sus derechos al mismo tiempo en que actúan como defensores de los derechos humanos? ¿Son suficientemente claros estos estándares para que sean aplicados de manera efectiva por los Estados?</w:t>
      </w:r>
    </w:p>
    <w:p w:rsidR="00423C45" w:rsidRPr="000D07E4" w:rsidRDefault="00423C45">
      <w:pPr>
        <w:pStyle w:val="Standard"/>
        <w:rPr>
          <w:lang w:val="es-ES"/>
        </w:rPr>
      </w:pPr>
    </w:p>
    <w:p w:rsidR="00423C45" w:rsidRPr="000D07E4" w:rsidRDefault="00423C45">
      <w:pPr>
        <w:pStyle w:val="Standard"/>
        <w:rPr>
          <w:lang w:val="es-ES"/>
        </w:rPr>
      </w:pPr>
    </w:p>
    <w:p w:rsidR="00423C45" w:rsidRPr="000D07E4" w:rsidRDefault="00F712E1">
      <w:pPr>
        <w:pStyle w:val="Standard"/>
        <w:jc w:val="both"/>
        <w:rPr>
          <w:lang w:val="es-ES"/>
        </w:rPr>
      </w:pPr>
      <w:r>
        <w:rPr>
          <w:rStyle w:val="Ninguno"/>
          <w:sz w:val="22"/>
          <w:szCs w:val="22"/>
        </w:rPr>
        <w:t xml:space="preserve">Se alienta a los autores de presentaciones a destacar diferencias contextuales regionales e incluir estadísticas e información relevante desglosada; así como recomendaciones clave dirigidas a participantes específicos tales como:  </w:t>
      </w:r>
    </w:p>
    <w:p w:rsidR="00423C45" w:rsidRPr="000D07E4" w:rsidRDefault="00423C45">
      <w:pPr>
        <w:pStyle w:val="Standard"/>
        <w:rPr>
          <w:lang w:val="es-ES"/>
        </w:rPr>
      </w:pPr>
    </w:p>
    <w:p w:rsidR="00423C45" w:rsidRDefault="00F712E1">
      <w:pPr>
        <w:pStyle w:val="ListParagraph"/>
        <w:numPr>
          <w:ilvl w:val="0"/>
          <w:numId w:val="9"/>
        </w:numPr>
        <w:suppressAutoHyphens w:val="0"/>
        <w:jc w:val="both"/>
        <w:rPr>
          <w:sz w:val="22"/>
          <w:szCs w:val="22"/>
          <w:lang w:val="es-ES_tradnl"/>
        </w:rPr>
      </w:pPr>
      <w:r>
        <w:rPr>
          <w:rStyle w:val="Hyperlink0"/>
          <w:sz w:val="22"/>
          <w:szCs w:val="22"/>
        </w:rPr>
        <w:t>El Comité de los Derechos del Niño de la ONU y otros órganos de tratados;</w:t>
      </w:r>
    </w:p>
    <w:p w:rsidR="00423C45" w:rsidRDefault="00F712E1">
      <w:pPr>
        <w:pStyle w:val="ListParagraph"/>
        <w:numPr>
          <w:ilvl w:val="0"/>
          <w:numId w:val="9"/>
        </w:numPr>
        <w:suppressAutoHyphens w:val="0"/>
        <w:jc w:val="both"/>
        <w:rPr>
          <w:sz w:val="22"/>
          <w:szCs w:val="22"/>
          <w:lang w:val="es-ES_tradnl"/>
        </w:rPr>
      </w:pPr>
      <w:r>
        <w:rPr>
          <w:rStyle w:val="Hyperlink0"/>
          <w:sz w:val="22"/>
          <w:szCs w:val="22"/>
        </w:rPr>
        <w:t>El Relator Especial de la ONU sobre los defensores de los derechos humanos y otros procedimientos especiales;</w:t>
      </w:r>
    </w:p>
    <w:p w:rsidR="00423C45" w:rsidRDefault="00F712E1">
      <w:pPr>
        <w:pStyle w:val="ListParagraph"/>
        <w:numPr>
          <w:ilvl w:val="0"/>
          <w:numId w:val="9"/>
        </w:numPr>
        <w:suppressAutoHyphens w:val="0"/>
        <w:jc w:val="both"/>
        <w:rPr>
          <w:sz w:val="22"/>
          <w:szCs w:val="22"/>
          <w:lang w:val="es-ES_tradnl"/>
        </w:rPr>
      </w:pPr>
      <w:r>
        <w:rPr>
          <w:rStyle w:val="Hyperlink0"/>
          <w:sz w:val="22"/>
          <w:szCs w:val="22"/>
        </w:rPr>
        <w:t>Estados (gobiernos, parlamentos, poderes judiciales);</w:t>
      </w:r>
    </w:p>
    <w:p w:rsidR="00423C45" w:rsidRDefault="00F712E1">
      <w:pPr>
        <w:pStyle w:val="ListParagraph"/>
        <w:numPr>
          <w:ilvl w:val="0"/>
          <w:numId w:val="9"/>
        </w:numPr>
        <w:suppressAutoHyphens w:val="0"/>
        <w:jc w:val="both"/>
        <w:rPr>
          <w:sz w:val="22"/>
          <w:szCs w:val="22"/>
          <w:lang w:val="es-ES_tradnl"/>
        </w:rPr>
      </w:pPr>
      <w:r>
        <w:rPr>
          <w:rStyle w:val="Hyperlink0"/>
          <w:sz w:val="22"/>
          <w:szCs w:val="22"/>
        </w:rPr>
        <w:t>Defensores de NNA e Instituciones Nacionales en Derechos Humanos;</w:t>
      </w:r>
    </w:p>
    <w:p w:rsidR="00423C45" w:rsidRDefault="0081137B">
      <w:pPr>
        <w:pStyle w:val="ListParagraph"/>
        <w:numPr>
          <w:ilvl w:val="0"/>
          <w:numId w:val="9"/>
        </w:numPr>
        <w:suppressAutoHyphens w:val="0"/>
        <w:jc w:val="both"/>
        <w:rPr>
          <w:sz w:val="22"/>
          <w:szCs w:val="22"/>
          <w:lang w:val="es-ES_tradnl"/>
        </w:rPr>
      </w:pPr>
      <w:r>
        <w:rPr>
          <w:rStyle w:val="Hyperlink0"/>
          <w:sz w:val="22"/>
          <w:szCs w:val="22"/>
        </w:rPr>
        <w:t>UNICEF y ACNUDH (OHCHR su sigla</w:t>
      </w:r>
      <w:r w:rsidR="00F712E1">
        <w:rPr>
          <w:rStyle w:val="Hyperlink0"/>
          <w:sz w:val="22"/>
          <w:szCs w:val="22"/>
        </w:rPr>
        <w:t xml:space="preserve"> en inglés);</w:t>
      </w:r>
    </w:p>
    <w:p w:rsidR="00423C45" w:rsidRDefault="00F712E1">
      <w:pPr>
        <w:pStyle w:val="ListParagraph"/>
        <w:numPr>
          <w:ilvl w:val="0"/>
          <w:numId w:val="9"/>
        </w:numPr>
        <w:suppressAutoHyphens w:val="0"/>
        <w:jc w:val="both"/>
        <w:rPr>
          <w:sz w:val="22"/>
          <w:szCs w:val="22"/>
          <w:lang w:val="es-ES_tradnl"/>
        </w:rPr>
      </w:pPr>
      <w:r>
        <w:rPr>
          <w:rStyle w:val="Hyperlink0"/>
          <w:sz w:val="22"/>
          <w:szCs w:val="22"/>
        </w:rPr>
        <w:t>Otros mecanismos de derechos humanos regionales o de la ONU;</w:t>
      </w:r>
    </w:p>
    <w:p w:rsidR="00423C45" w:rsidRDefault="00F712E1">
      <w:pPr>
        <w:pStyle w:val="ListParagraph"/>
        <w:numPr>
          <w:ilvl w:val="0"/>
          <w:numId w:val="9"/>
        </w:numPr>
        <w:suppressAutoHyphens w:val="0"/>
        <w:jc w:val="both"/>
        <w:rPr>
          <w:sz w:val="22"/>
          <w:szCs w:val="22"/>
          <w:lang w:val="es-ES_tradnl"/>
        </w:rPr>
      </w:pPr>
      <w:r>
        <w:rPr>
          <w:rStyle w:val="Hyperlink0"/>
          <w:sz w:val="22"/>
          <w:szCs w:val="22"/>
        </w:rPr>
        <w:t>Organizaciones de la sociedad civil;</w:t>
      </w:r>
    </w:p>
    <w:p w:rsidR="00423C45" w:rsidRDefault="00F712E1">
      <w:pPr>
        <w:pStyle w:val="ListParagraph"/>
        <w:numPr>
          <w:ilvl w:val="0"/>
          <w:numId w:val="9"/>
        </w:numPr>
        <w:suppressAutoHyphens w:val="0"/>
        <w:jc w:val="both"/>
        <w:rPr>
          <w:sz w:val="22"/>
          <w:szCs w:val="22"/>
          <w:lang w:val="es-ES_tradnl"/>
        </w:rPr>
      </w:pPr>
      <w:r>
        <w:rPr>
          <w:rStyle w:val="Hyperlink0"/>
          <w:sz w:val="22"/>
          <w:szCs w:val="22"/>
        </w:rPr>
        <w:t>Sector privado;</w:t>
      </w:r>
    </w:p>
    <w:p w:rsidR="00423C45" w:rsidRDefault="00F712E1">
      <w:pPr>
        <w:pStyle w:val="ListParagraph"/>
        <w:numPr>
          <w:ilvl w:val="0"/>
          <w:numId w:val="9"/>
        </w:numPr>
        <w:suppressAutoHyphens w:val="0"/>
        <w:jc w:val="both"/>
        <w:rPr>
          <w:sz w:val="22"/>
          <w:szCs w:val="22"/>
          <w:lang w:val="es-ES_tradnl"/>
        </w:rPr>
      </w:pPr>
      <w:r>
        <w:rPr>
          <w:rStyle w:val="Hyperlink0"/>
          <w:sz w:val="22"/>
          <w:szCs w:val="22"/>
        </w:rPr>
        <w:t>Padres de familia, maestros y tutores;</w:t>
      </w:r>
    </w:p>
    <w:p w:rsidR="00423C45" w:rsidRDefault="00F712E1">
      <w:pPr>
        <w:pStyle w:val="ListParagraph"/>
        <w:numPr>
          <w:ilvl w:val="0"/>
          <w:numId w:val="9"/>
        </w:numPr>
        <w:suppressAutoHyphens w:val="0"/>
        <w:jc w:val="both"/>
        <w:rPr>
          <w:sz w:val="22"/>
          <w:szCs w:val="22"/>
          <w:lang w:val="es-ES_tradnl"/>
        </w:rPr>
      </w:pPr>
      <w:r>
        <w:rPr>
          <w:rStyle w:val="Hyperlink0"/>
          <w:sz w:val="22"/>
          <w:szCs w:val="22"/>
        </w:rPr>
        <w:t>NNA.</w:t>
      </w:r>
    </w:p>
    <w:sectPr w:rsidR="00423C45">
      <w:headerReference w:type="default" r:id="rId18"/>
      <w:footerReference w:type="default" r:id="rId19"/>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450" w:rsidRDefault="00F712E1">
      <w:r>
        <w:separator/>
      </w:r>
    </w:p>
  </w:endnote>
  <w:endnote w:type="continuationSeparator" w:id="0">
    <w:p w:rsidR="00AF3450" w:rsidRDefault="00F7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C45" w:rsidRDefault="00423C45">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C45" w:rsidRDefault="00F712E1">
      <w:r>
        <w:separator/>
      </w:r>
    </w:p>
  </w:footnote>
  <w:footnote w:type="continuationSeparator" w:id="0">
    <w:p w:rsidR="00423C45" w:rsidRDefault="00F712E1">
      <w:r>
        <w:continuationSeparator/>
      </w:r>
    </w:p>
  </w:footnote>
  <w:footnote w:type="continuationNotice" w:id="1">
    <w:p w:rsidR="00423C45" w:rsidRDefault="00423C45"/>
  </w:footnote>
  <w:footnote w:id="2">
    <w:p w:rsidR="00423C45" w:rsidRPr="000D07E4" w:rsidRDefault="00F712E1">
      <w:pPr>
        <w:pStyle w:val="FootnoteText"/>
        <w:jc w:val="both"/>
        <w:rPr>
          <w:lang w:val="es-ES"/>
        </w:rPr>
      </w:pPr>
      <w:r>
        <w:rPr>
          <w:rStyle w:val="Ninguno"/>
          <w:sz w:val="22"/>
          <w:szCs w:val="22"/>
          <w:vertAlign w:val="superscript"/>
        </w:rPr>
        <w:footnoteRef/>
      </w:r>
      <w:r>
        <w:rPr>
          <w:rStyle w:val="Hyperlink0"/>
        </w:rPr>
        <w:t>A partir de febrero del 2018 se han adoptado leyes específicas para la protección de los defensores de los derechos humanos en Bélgica, Brasil, Burkina Faso, Colombia, Congo, Costa de Marfil, Guatemala, Honduras, Indonesia, Mali, México, Nepal, y Filipinas. Existen borradores de ley en la República Democrática del Congo y Sierra Leona mientras que en Suiza, Canadá, Comunidad Europea, OSCE, Estados Unidos, Noruega y Finlandia se han adoptado lineamientos para la protección de los defensores de los derechos humanos.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C45" w:rsidRDefault="00423C45">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498"/>
    <w:multiLevelType w:val="multilevel"/>
    <w:tmpl w:val="D0C0052E"/>
    <w:styleLink w:val="WWNum5"/>
    <w:lvl w:ilvl="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0A160B1"/>
    <w:multiLevelType w:val="hybridMultilevel"/>
    <w:tmpl w:val="3F82B534"/>
    <w:styleLink w:val="WWNum1"/>
    <w:lvl w:ilvl="0" w:tplc="FB429C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2413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F4FC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CE14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0661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4C35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78DC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628A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E60E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F945B54"/>
    <w:multiLevelType w:val="hybridMultilevel"/>
    <w:tmpl w:val="177A1530"/>
    <w:numStyleLink w:val="WWNum6"/>
  </w:abstractNum>
  <w:abstractNum w:abstractNumId="3">
    <w:nsid w:val="41F75FAC"/>
    <w:multiLevelType w:val="hybridMultilevel"/>
    <w:tmpl w:val="177A1530"/>
    <w:styleLink w:val="WWNum6"/>
    <w:lvl w:ilvl="0" w:tplc="3CA864EE">
      <w:start w:val="1"/>
      <w:numFmt w:val="bullet"/>
      <w:lvlText w:val="•"/>
      <w:lvlJc w:val="left"/>
      <w:pPr>
        <w:ind w:left="75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DD2DF68">
      <w:start w:val="1"/>
      <w:numFmt w:val="bullet"/>
      <w:lvlText w:val="➢"/>
      <w:lvlJc w:val="left"/>
      <w:pPr>
        <w:ind w:left="117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F88222">
      <w:start w:val="1"/>
      <w:numFmt w:val="bullet"/>
      <w:lvlText w:val="◇"/>
      <w:lvlJc w:val="left"/>
      <w:pPr>
        <w:ind w:left="159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9A5F80">
      <w:start w:val="1"/>
      <w:numFmt w:val="bullet"/>
      <w:lvlText w:val="●"/>
      <w:lvlJc w:val="left"/>
      <w:pPr>
        <w:ind w:left="201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074DAA2">
      <w:start w:val="1"/>
      <w:numFmt w:val="bullet"/>
      <w:lvlText w:val="➢"/>
      <w:lvlJc w:val="left"/>
      <w:pPr>
        <w:ind w:left="243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A4D29C">
      <w:start w:val="1"/>
      <w:numFmt w:val="bullet"/>
      <w:lvlText w:val="◇"/>
      <w:lvlJc w:val="left"/>
      <w:pPr>
        <w:ind w:left="285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8EF09C">
      <w:start w:val="1"/>
      <w:numFmt w:val="bullet"/>
      <w:lvlText w:val="●"/>
      <w:lvlJc w:val="left"/>
      <w:pPr>
        <w:ind w:left="327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436A9EC">
      <w:start w:val="1"/>
      <w:numFmt w:val="bullet"/>
      <w:lvlText w:val="➢"/>
      <w:lvlJc w:val="left"/>
      <w:pPr>
        <w:ind w:left="369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74A9DE">
      <w:start w:val="1"/>
      <w:numFmt w:val="bullet"/>
      <w:lvlText w:val="◇"/>
      <w:lvlJc w:val="left"/>
      <w:pPr>
        <w:ind w:left="411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457267CE"/>
    <w:multiLevelType w:val="hybridMultilevel"/>
    <w:tmpl w:val="3F82B534"/>
    <w:numStyleLink w:val="WWNum1"/>
  </w:abstractNum>
  <w:abstractNum w:abstractNumId="5">
    <w:nsid w:val="590B4406"/>
    <w:multiLevelType w:val="multilevel"/>
    <w:tmpl w:val="C7B60554"/>
    <w:numStyleLink w:val="WWNum3"/>
  </w:abstractNum>
  <w:abstractNum w:abstractNumId="6">
    <w:nsid w:val="633D7669"/>
    <w:multiLevelType w:val="multilevel"/>
    <w:tmpl w:val="C7B60554"/>
    <w:styleLink w:val="WWNum3"/>
    <w:lvl w:ilvl="0">
      <w:start w:val="1"/>
      <w:numFmt w:val="upperRoman"/>
      <w:lvlText w:val="%1."/>
      <w:lvlJc w:val="left"/>
      <w:pPr>
        <w:ind w:left="720" w:hanging="47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6AE4055B"/>
    <w:multiLevelType w:val="multilevel"/>
    <w:tmpl w:val="D0C0052E"/>
    <w:numStyleLink w:val="WWNum5"/>
  </w:abstractNum>
  <w:num w:numId="1">
    <w:abstractNumId w:val="6"/>
  </w:num>
  <w:num w:numId="2">
    <w:abstractNumId w:val="5"/>
  </w:num>
  <w:num w:numId="3">
    <w:abstractNumId w:val="0"/>
  </w:num>
  <w:num w:numId="4">
    <w:abstractNumId w:val="7"/>
  </w:num>
  <w:num w:numId="5">
    <w:abstractNumId w:val="1"/>
  </w:num>
  <w:num w:numId="6">
    <w:abstractNumId w:val="4"/>
  </w:num>
  <w:num w:numId="7">
    <w:abstractNumId w:val="4"/>
    <w:lvlOverride w:ilvl="0">
      <w:lvl w:ilvl="0" w:tplc="B7220C5E">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B65C756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5594671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AE9665E6">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89D063E8">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802225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83A83126">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D800F068">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4E6014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45"/>
    <w:rsid w:val="00010A1B"/>
    <w:rsid w:val="00080DB3"/>
    <w:rsid w:val="000D07E4"/>
    <w:rsid w:val="00212EC3"/>
    <w:rsid w:val="00283D1F"/>
    <w:rsid w:val="003B6AE3"/>
    <w:rsid w:val="00423C45"/>
    <w:rsid w:val="00447DEE"/>
    <w:rsid w:val="004B5C70"/>
    <w:rsid w:val="00536A1C"/>
    <w:rsid w:val="0056738B"/>
    <w:rsid w:val="005A4A22"/>
    <w:rsid w:val="006612AF"/>
    <w:rsid w:val="0081137B"/>
    <w:rsid w:val="00AD1EAA"/>
    <w:rsid w:val="00AF3450"/>
    <w:rsid w:val="00B11E82"/>
    <w:rsid w:val="00C8250D"/>
    <w:rsid w:val="00CE33A8"/>
    <w:rsid w:val="00E07A2E"/>
    <w:rsid w:val="00E91687"/>
    <w:rsid w:val="00F15D71"/>
    <w:rsid w:val="00F712E1"/>
    <w:rsid w:val="00F8599A"/>
    <w:rsid w:val="00FD2E7E"/>
    <w:rsid w:val="00FD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05015-4043-4274-80D2-AE71D399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Standard">
    <w:name w:val="Standard"/>
    <w:pPr>
      <w:suppressAutoHyphens/>
    </w:pPr>
    <w:rPr>
      <w:rFonts w:cs="Arial Unicode MS"/>
      <w:color w:val="000000"/>
      <w:kern w:val="3"/>
      <w:sz w:val="24"/>
      <w:szCs w:val="24"/>
      <w:u w:color="000000"/>
      <w:lang w:val="en-US"/>
    </w:rPr>
  </w:style>
  <w:style w:type="character" w:customStyle="1" w:styleId="Ninguno">
    <w:name w:val="Ninguno"/>
    <w:rPr>
      <w:lang w:val="es-ES_tradnl"/>
    </w:rPr>
  </w:style>
  <w:style w:type="paragraph" w:styleId="ListParagraph">
    <w:name w:val="List Paragraph"/>
    <w:pPr>
      <w:suppressAutoHyphens/>
      <w:ind w:left="720"/>
    </w:pPr>
    <w:rPr>
      <w:rFonts w:cs="Arial Unicode MS"/>
      <w:color w:val="000000"/>
      <w:kern w:val="3"/>
      <w:sz w:val="24"/>
      <w:szCs w:val="24"/>
      <w:u w:color="000000"/>
      <w:lang w:val="en-US"/>
    </w:rPr>
  </w:style>
  <w:style w:type="numbering" w:customStyle="1" w:styleId="WWNum3">
    <w:name w:val="WWNum3"/>
    <w:pPr>
      <w:numPr>
        <w:numId w:val="1"/>
      </w:numPr>
    </w:pPr>
  </w:style>
  <w:style w:type="character" w:customStyle="1" w:styleId="Hyperlink0">
    <w:name w:val="Hyperlink.0"/>
    <w:basedOn w:val="Ninguno"/>
    <w:rPr>
      <w:lang w:val="es-ES_tradnl"/>
    </w:rPr>
  </w:style>
  <w:style w:type="character" w:customStyle="1" w:styleId="Hyperlink1">
    <w:name w:val="Hyperlink.1"/>
    <w:basedOn w:val="Ninguno"/>
    <w:rPr>
      <w:rFonts w:ascii="Times New Roman" w:eastAsia="Times New Roman" w:hAnsi="Times New Roman" w:cs="Times New Roman"/>
      <w:b/>
      <w:bCs/>
      <w:sz w:val="22"/>
      <w:szCs w:val="22"/>
      <w:lang w:val="es-ES_tradnl"/>
    </w:rPr>
  </w:style>
  <w:style w:type="numbering" w:customStyle="1" w:styleId="WWNum5">
    <w:name w:val="WWNum5"/>
    <w:pPr>
      <w:numPr>
        <w:numId w:val="3"/>
      </w:numPr>
    </w:pPr>
  </w:style>
  <w:style w:type="numbering" w:customStyle="1" w:styleId="WWNum1">
    <w:name w:val="WWNum1"/>
    <w:pPr>
      <w:numPr>
        <w:numId w:val="5"/>
      </w:numPr>
    </w:pPr>
  </w:style>
  <w:style w:type="paragraph" w:styleId="FootnoteText">
    <w:name w:val="footnote text"/>
    <w:pPr>
      <w:suppressAutoHyphens/>
    </w:pPr>
    <w:rPr>
      <w:rFonts w:eastAsia="Times New Roman"/>
      <w:color w:val="000000"/>
      <w:kern w:val="3"/>
      <w:u w:color="000000"/>
      <w:lang w:val="en-US"/>
    </w:rPr>
  </w:style>
  <w:style w:type="numbering" w:customStyle="1" w:styleId="WWNum6">
    <w:name w:val="WWNum6"/>
    <w:pPr>
      <w:numPr>
        <w:numId w:val="8"/>
      </w:numPr>
    </w:pPr>
  </w:style>
  <w:style w:type="paragraph" w:styleId="BalloonText">
    <w:name w:val="Balloon Text"/>
    <w:basedOn w:val="Normal"/>
    <w:link w:val="BalloonTextChar"/>
    <w:uiPriority w:val="99"/>
    <w:semiHidden/>
    <w:unhideWhenUsed/>
    <w:rsid w:val="000D0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7E4"/>
    <w:rPr>
      <w:rFonts w:ascii="Segoe UI" w:hAnsi="Segoe UI" w:cs="Segoe UI"/>
      <w:sz w:val="18"/>
      <w:szCs w:val="18"/>
      <w:lang w:val="en-US" w:eastAsia="en-US"/>
    </w:rPr>
  </w:style>
  <w:style w:type="character" w:customStyle="1" w:styleId="UnresolvedMention">
    <w:name w:val="Unresolved Mention"/>
    <w:basedOn w:val="DefaultParagraphFont"/>
    <w:uiPriority w:val="99"/>
    <w:semiHidden/>
    <w:unhideWhenUsed/>
    <w:rsid w:val="006612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c@ohchr.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hildrightsconnect.org/connect-with-the-un-2/committee-on-the-rights-of-the-child/days-of-general-discussion/sp/" TargetMode="External"/><Relationship Id="rId17" Type="http://schemas.openxmlformats.org/officeDocument/2006/relationships/hyperlink" Target="https://www.ohchr.org/EN/HRBodies/CRC/Pages/Discussion2018.aspx" TargetMode="External"/><Relationship Id="rId2" Type="http://schemas.openxmlformats.org/officeDocument/2006/relationships/customXml" Target="../customXml/item2.xml"/><Relationship Id="rId16" Type="http://schemas.openxmlformats.org/officeDocument/2006/relationships/hyperlink" Target="mailto:secretariat@childrightsconnec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ildrightsconnect.org/connect-with-the-un-2/committee-on-the-rights-of-the-child/days-of-general-discussion/sp/" TargetMode="External"/><Relationship Id="rId5" Type="http://schemas.openxmlformats.org/officeDocument/2006/relationships/numbering" Target="numbering.xml"/><Relationship Id="rId15" Type="http://schemas.openxmlformats.org/officeDocument/2006/relationships/hyperlink" Target="http://www.childrightsconnect.org/connect-with-the-un-2/committee-on-the-rights-of-the-child/days-of-general-discussion/s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HRBodies/CRC/Pages/Discussion2018.asp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E9FE2-A49B-4F37-A97A-D65FAFD00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BADA7-8CEE-447E-951C-A3042353EF55}">
  <ds:schemaRefs>
    <ds:schemaRef ds:uri="http://schemas.microsoft.com/sharepoint/v3"/>
    <ds:schemaRef ds:uri="http://schemas.microsoft.com/office/2006/documentManagement/types"/>
    <ds:schemaRef ds:uri="http://purl.org/dc/term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2E99E20-2CD0-4EBF-9B4F-32AF0AA08644}">
  <ds:schemaRefs>
    <ds:schemaRef ds:uri="http://schemas.microsoft.com/sharepoint/v3/contenttype/forms"/>
  </ds:schemaRefs>
</ds:datastoreItem>
</file>

<file path=customXml/itemProps4.xml><?xml version="1.0" encoding="utf-8"?>
<ds:datastoreItem xmlns:ds="http://schemas.openxmlformats.org/officeDocument/2006/customXml" ds:itemID="{3DC2C89F-1ED7-43CD-B9F4-F0FB8BC2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Fanny Chappuis</dc:creator>
  <cp:lastModifiedBy>BOIT James</cp:lastModifiedBy>
  <cp:revision>2</cp:revision>
  <dcterms:created xsi:type="dcterms:W3CDTF">2018-03-01T14:07:00Z</dcterms:created>
  <dcterms:modified xsi:type="dcterms:W3CDTF">2018-03-01T14:07:00Z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