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CE9B4" w14:textId="77777777" w:rsidR="00D70E28" w:rsidRPr="00D70E28" w:rsidRDefault="00D70E28" w:rsidP="00D70E28">
      <w:pPr>
        <w:jc w:val="center"/>
        <w:rPr>
          <w:rFonts w:ascii="Baskerville Old Face" w:hAnsi="Baskerville Old Face" w:cs="Times New Roman"/>
          <w:b/>
          <w:color w:val="000000"/>
        </w:rPr>
      </w:pPr>
      <w:r w:rsidRPr="00D70E28">
        <w:rPr>
          <w:rFonts w:ascii="Baskerville Old Face" w:hAnsi="Baskerville Old Face" w:cs="Times New Roman"/>
          <w:b/>
          <w:color w:val="000000"/>
        </w:rPr>
        <w:t>Comentario de Guatemala a observación general No. 5 (2020) sobre los derechos de los migrantes, elaborada por el Comité sobre Trabajadores Migratorios</w:t>
      </w:r>
    </w:p>
    <w:p w14:paraId="1CFE4EB9" w14:textId="77777777" w:rsidR="00D70E28" w:rsidRDefault="00D70E28" w:rsidP="00D70E28">
      <w:pPr>
        <w:ind w:firstLine="708"/>
        <w:jc w:val="both"/>
        <w:rPr>
          <w:rFonts w:ascii="Baskerville Old Face" w:hAnsi="Baskerville Old Face" w:cs="Times New Roman"/>
          <w:i/>
          <w:color w:val="000000"/>
        </w:rPr>
      </w:pPr>
    </w:p>
    <w:p w14:paraId="631EC8C0" w14:textId="77777777" w:rsidR="00D70E28" w:rsidRDefault="00D70E28" w:rsidP="00D70E28">
      <w:pPr>
        <w:ind w:firstLine="708"/>
        <w:jc w:val="both"/>
        <w:rPr>
          <w:rFonts w:ascii="Baskerville Old Face" w:hAnsi="Baskerville Old Face" w:cs="Times New Roman"/>
          <w:i/>
          <w:color w:val="000000"/>
        </w:rPr>
      </w:pPr>
    </w:p>
    <w:p w14:paraId="2F085AC6" w14:textId="77777777" w:rsidR="00D70E28" w:rsidRDefault="00D70E28" w:rsidP="00D70E28">
      <w:pPr>
        <w:ind w:firstLine="708"/>
        <w:jc w:val="both"/>
        <w:rPr>
          <w:rFonts w:ascii="Baskerville Old Face" w:hAnsi="Baskerville Old Face" w:cs="Times New Roman"/>
          <w:i/>
          <w:color w:val="000000"/>
        </w:rPr>
      </w:pPr>
      <w:r>
        <w:rPr>
          <w:rFonts w:ascii="Baskerville Old Face" w:hAnsi="Baskerville Old Face" w:cs="Times New Roman"/>
          <w:i/>
          <w:color w:val="000000"/>
        </w:rPr>
        <w:t>En el punto número seis se indica que: “La información reunida por el Comité muestra que la detención tiene numerosos efectos sobre la salud y la integridad personal de los migrantes, entre ellos la aparición de ansiedad, depresión, trastorno por estrés postraumático. Estos efectos negativos son el resultado de factores, como la duración indeterminada de la detención, la arbitrariedad e incertidumbre que lo rodean, el hacinamiento, la falta de acceso de alimentos, agua y atención médica, la reclusión prolongada en régimen de aislamiento y malos tratos físicos y psicológicos infligidos deliberadamente por funcionarios del Estado, guardias privados y otros detenidos…”.</w:t>
      </w:r>
    </w:p>
    <w:p w14:paraId="6E8F1C6B" w14:textId="77777777" w:rsidR="00D70E28" w:rsidRDefault="00D70E28" w:rsidP="00D70E28">
      <w:pPr>
        <w:ind w:firstLine="708"/>
        <w:jc w:val="both"/>
        <w:rPr>
          <w:rFonts w:ascii="Baskerville Old Face" w:hAnsi="Baskerville Old Face" w:cs="Times New Roman"/>
          <w:i/>
          <w:color w:val="000000"/>
        </w:rPr>
      </w:pPr>
    </w:p>
    <w:p w14:paraId="03422172" w14:textId="77777777" w:rsidR="00D70E28" w:rsidRDefault="00D70E28" w:rsidP="00D70E28">
      <w:pPr>
        <w:ind w:firstLine="708"/>
        <w:jc w:val="both"/>
        <w:rPr>
          <w:rFonts w:ascii="Baskerville Old Face" w:hAnsi="Baskerville Old Face" w:cs="Times New Roman"/>
          <w:i/>
          <w:color w:val="000000"/>
        </w:rPr>
      </w:pPr>
      <w:r>
        <w:rPr>
          <w:rFonts w:ascii="Baskerville Old Face" w:hAnsi="Baskerville Old Face" w:cs="Times New Roman"/>
          <w:i/>
          <w:color w:val="000000"/>
        </w:rPr>
        <w:t xml:space="preserve">Se considera que, si bien pueden existir registros de casos comprobados en los que se ha determinado participación de algún funcionario del Estado involucrado, la redacción actual da la impresión que estos actos son realizados por todos los funcionarios del Estado. Por lo que se recomienda revisar la redacción. </w:t>
      </w:r>
    </w:p>
    <w:p w14:paraId="1B09CD89" w14:textId="77777777" w:rsidR="00D70E28" w:rsidRDefault="00D70E28" w:rsidP="00D70E28">
      <w:pPr>
        <w:ind w:firstLine="708"/>
        <w:jc w:val="both"/>
        <w:rPr>
          <w:rFonts w:ascii="Baskerville Old Face" w:hAnsi="Baskerville Old Face" w:cs="Times New Roman"/>
          <w:i/>
          <w:color w:val="000000"/>
        </w:rPr>
      </w:pPr>
    </w:p>
    <w:p w14:paraId="621EC04F" w14:textId="77777777" w:rsidR="00D70E28" w:rsidRDefault="00D70E28" w:rsidP="00D70E28">
      <w:pPr>
        <w:ind w:firstLine="708"/>
        <w:jc w:val="both"/>
        <w:rPr>
          <w:rFonts w:ascii="Baskerville Old Face" w:hAnsi="Baskerville Old Face" w:cs="Times New Roman"/>
          <w:i/>
          <w:color w:val="000000"/>
        </w:rPr>
      </w:pPr>
      <w:r>
        <w:rPr>
          <w:rFonts w:ascii="Baskerville Old Face" w:hAnsi="Baskerville Old Face" w:cs="Times New Roman"/>
          <w:i/>
          <w:color w:val="000000"/>
        </w:rPr>
        <w:t>Por otro lado, al final el mismo punto número 6, afirma que “</w:t>
      </w:r>
      <w:r w:rsidR="000D42F8">
        <w:rPr>
          <w:rFonts w:ascii="Baskerville Old Face" w:hAnsi="Baskerville Old Face" w:cs="Times New Roman"/>
          <w:i/>
          <w:color w:val="000000"/>
        </w:rPr>
        <w:t>…</w:t>
      </w:r>
      <w:bookmarkStart w:id="0" w:name="_GoBack"/>
      <w:bookmarkEnd w:id="0"/>
      <w:r>
        <w:rPr>
          <w:rFonts w:ascii="Baskerville Old Face" w:hAnsi="Baskerville Old Face" w:cs="Times New Roman"/>
          <w:i/>
          <w:color w:val="000000"/>
        </w:rPr>
        <w:t>Esos malos tratos incluyen actos de tortura, tratos o penas crueles, inhumanos y degradantes, violencia sexual, extorsión, y trata de personas con fines de explotación laboral, trabajo forzoso o esclavitud.”, considerando que estos son delitos que deben ser comprobados ante los tribunales correspondientes, se sugiere que se revise la reduacción en sentido afirmativo y plantearlo como una posibilidad, como por ejemplo: “Esos malos tratos pueden incluir actos…”.</w:t>
      </w:r>
    </w:p>
    <w:p w14:paraId="50C488BD" w14:textId="77777777" w:rsidR="004D1F71" w:rsidRDefault="004D1F71"/>
    <w:sectPr w:rsidR="004D1F71" w:rsidSect="00DC1D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28"/>
    <w:rsid w:val="000D42F8"/>
    <w:rsid w:val="004D1F71"/>
    <w:rsid w:val="00D70E28"/>
    <w:rsid w:val="00DC1D49"/>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F465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GT"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GT"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83DD02-7015-41B0-B03A-0EAD3CA1369A}"/>
</file>

<file path=customXml/itemProps2.xml><?xml version="1.0" encoding="utf-8"?>
<ds:datastoreItem xmlns:ds="http://schemas.openxmlformats.org/officeDocument/2006/customXml" ds:itemID="{A1D99837-D2C9-44DC-91B5-8D66FB1B648A}"/>
</file>

<file path=customXml/itemProps3.xml><?xml version="1.0" encoding="utf-8"?>
<ds:datastoreItem xmlns:ds="http://schemas.openxmlformats.org/officeDocument/2006/customXml" ds:itemID="{6001713D-BC6C-44C0-9174-F321B4C55951}"/>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1416</Characters>
  <Application>Microsoft Macintosh Word</Application>
  <DocSecurity>0</DocSecurity>
  <Lines>11</Lines>
  <Paragraphs>3</Paragraphs>
  <ScaleCrop>false</ScaleCrop>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CM</dc:creator>
  <cp:keywords/>
  <dc:description/>
  <cp:lastModifiedBy>Andrea CM</cp:lastModifiedBy>
  <cp:revision>2</cp:revision>
  <dcterms:created xsi:type="dcterms:W3CDTF">2020-10-26T14:06:00Z</dcterms:created>
  <dcterms:modified xsi:type="dcterms:W3CDTF">2020-10-26T14:17:00Z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