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40B4" w14:textId="4291DA1D" w:rsidR="00D91BCA" w:rsidRDefault="00683EF5" w:rsidP="00D91BCA">
      <w:pPr>
        <w:ind w:left="720"/>
        <w:jc w:val="center"/>
        <w:rPr>
          <w:rFonts w:ascii="MetaNormal-Roman" w:hAnsi="MetaNormal-Roman"/>
          <w:b/>
          <w:bCs/>
          <w:sz w:val="28"/>
          <w:szCs w:val="28"/>
        </w:rPr>
      </w:pPr>
      <w:r w:rsidRPr="009C5E0F">
        <w:rPr>
          <w:rFonts w:ascii="MetaNormal-Roman" w:hAnsi="MetaNormal-Roman"/>
          <w:noProof/>
          <w:lang w:eastAsia="en-GB"/>
        </w:rPr>
        <w:drawing>
          <wp:inline distT="0" distB="0" distL="0" distR="0" wp14:anchorId="29C34345" wp14:editId="42F871A7">
            <wp:extent cx="1266825" cy="1266825"/>
            <wp:effectExtent l="0" t="0" r="9525" b="9525"/>
            <wp:docPr id="1" name="Picture"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RWLogo"/>
                    <pic:cNvPicPr>
                      <a:picLocks noChangeAspect="1" noChangeArrowheads="1"/>
                    </pic:cNvPicPr>
                  </pic:nvPicPr>
                  <pic:blipFill>
                    <a:blip r:embed="rId7"/>
                    <a:stretch>
                      <a:fillRect/>
                    </a:stretch>
                  </pic:blipFill>
                  <pic:spPr bwMode="auto">
                    <a:xfrm>
                      <a:off x="0" y="0"/>
                      <a:ext cx="1266825" cy="1266825"/>
                    </a:xfrm>
                    <a:prstGeom prst="rect">
                      <a:avLst/>
                    </a:prstGeom>
                    <a:noFill/>
                    <a:ln w="9525">
                      <a:noFill/>
                      <a:miter lim="800000"/>
                      <a:headEnd/>
                      <a:tailEnd/>
                    </a:ln>
                  </pic:spPr>
                </pic:pic>
              </a:graphicData>
            </a:graphic>
          </wp:inline>
        </w:drawing>
      </w:r>
    </w:p>
    <w:p w14:paraId="7C8731AC" w14:textId="061944A6" w:rsidR="00D91BCA" w:rsidRPr="00DC69DF" w:rsidRDefault="00D91BCA" w:rsidP="00D91BCA">
      <w:pPr>
        <w:spacing w:after="0" w:line="240" w:lineRule="auto"/>
        <w:ind w:left="720"/>
        <w:jc w:val="center"/>
        <w:rPr>
          <w:rFonts w:ascii="MetaNormal-Roman" w:hAnsi="MetaNormal-Roman"/>
          <w:b/>
          <w:bCs/>
        </w:rPr>
      </w:pPr>
      <w:r w:rsidRPr="00DC69DF">
        <w:rPr>
          <w:rFonts w:ascii="MetaNormal-Roman" w:hAnsi="MetaNormal-Roman"/>
          <w:b/>
          <w:bCs/>
        </w:rPr>
        <w:t xml:space="preserve">Human Rights Watch Submission to the Committee on the Protection of the Rights of All Migrant Workers and Members of Their Families General </w:t>
      </w:r>
      <w:r w:rsidR="00D80805">
        <w:rPr>
          <w:rFonts w:ascii="MetaNormal-Roman" w:hAnsi="MetaNormal-Roman"/>
          <w:b/>
          <w:bCs/>
        </w:rPr>
        <w:t>C</w:t>
      </w:r>
      <w:r w:rsidRPr="00DC69DF">
        <w:rPr>
          <w:rFonts w:ascii="MetaNormal-Roman" w:hAnsi="MetaNormal-Roman"/>
          <w:b/>
          <w:bCs/>
        </w:rPr>
        <w:t>omment No. 5 (2020) on migrants’ rights to liberty and freedom from arbitrary detention</w:t>
      </w:r>
    </w:p>
    <w:p w14:paraId="69897EA1" w14:textId="410CD1ED" w:rsidR="00D91BCA" w:rsidRPr="00DC69DF" w:rsidRDefault="005937A2" w:rsidP="00D91BCA">
      <w:pPr>
        <w:jc w:val="center"/>
        <w:rPr>
          <w:rFonts w:ascii="MetaNormal-Roman" w:hAnsi="MetaNormal-Roman"/>
          <w:i/>
          <w:iCs/>
        </w:rPr>
      </w:pPr>
      <w:r>
        <w:rPr>
          <w:rFonts w:ascii="MetaNormal-Roman" w:hAnsi="MetaNormal-Roman"/>
          <w:i/>
          <w:iCs/>
        </w:rPr>
        <w:t xml:space="preserve">November </w:t>
      </w:r>
      <w:r w:rsidR="006F0DE1">
        <w:rPr>
          <w:rFonts w:ascii="MetaNormal-Roman" w:hAnsi="MetaNormal-Roman"/>
          <w:i/>
          <w:iCs/>
        </w:rPr>
        <w:t>3</w:t>
      </w:r>
      <w:r w:rsidR="00A95C65">
        <w:rPr>
          <w:rFonts w:ascii="MetaNormal-Roman" w:hAnsi="MetaNormal-Roman"/>
          <w:i/>
          <w:iCs/>
        </w:rPr>
        <w:t>,</w:t>
      </w:r>
      <w:r w:rsidR="00D91BCA" w:rsidRPr="00DC69DF">
        <w:rPr>
          <w:rFonts w:ascii="MetaNormal-Roman" w:hAnsi="MetaNormal-Roman"/>
          <w:i/>
          <w:iCs/>
        </w:rPr>
        <w:t xml:space="preserve"> 2020</w:t>
      </w:r>
    </w:p>
    <w:p w14:paraId="5ACBDD19" w14:textId="17D07243" w:rsidR="00D91BCA" w:rsidRPr="00DC69DF" w:rsidRDefault="00D91BCA" w:rsidP="00D91BCA">
      <w:pPr>
        <w:rPr>
          <w:rFonts w:ascii="MetaNormal-Roman" w:hAnsi="MetaNormal-Roman"/>
        </w:rPr>
      </w:pPr>
      <w:r w:rsidRPr="00DC69DF">
        <w:rPr>
          <w:rFonts w:ascii="MetaNormal-Roman" w:hAnsi="MetaNormal-Roman"/>
        </w:rPr>
        <w:t xml:space="preserve">Human Rights Watch welcomes the opportunity to provide input to the Committee on Protection of the Rights of All Migrant Workers and Members of Their Families </w:t>
      </w:r>
      <w:r w:rsidR="00DB5F9C">
        <w:rPr>
          <w:rFonts w:ascii="MetaNormal-Roman" w:hAnsi="MetaNormal-Roman"/>
        </w:rPr>
        <w:t>for</w:t>
      </w:r>
      <w:r w:rsidRPr="00DC69DF">
        <w:rPr>
          <w:rFonts w:ascii="MetaNormal-Roman" w:hAnsi="MetaNormal-Roman"/>
        </w:rPr>
        <w:t xml:space="preserve"> its General </w:t>
      </w:r>
      <w:r w:rsidR="00D80805">
        <w:rPr>
          <w:rFonts w:ascii="MetaNormal-Roman" w:hAnsi="MetaNormal-Roman"/>
        </w:rPr>
        <w:t>C</w:t>
      </w:r>
      <w:r w:rsidR="00D80805" w:rsidRPr="00DC69DF">
        <w:rPr>
          <w:rFonts w:ascii="MetaNormal-Roman" w:hAnsi="MetaNormal-Roman"/>
        </w:rPr>
        <w:t xml:space="preserve">omment </w:t>
      </w:r>
      <w:r w:rsidRPr="00DC69DF">
        <w:rPr>
          <w:rFonts w:ascii="MetaNormal-Roman" w:hAnsi="MetaNormal-Roman"/>
        </w:rPr>
        <w:t>No. 5 (2020) on migrants’ rights to liberty and freedom from arbitrary detention. Our suggestions below are based on Human Rights Watch’s research on this topic across different countries</w:t>
      </w:r>
      <w:r w:rsidR="00133C54">
        <w:rPr>
          <w:rFonts w:ascii="MetaNormal-Roman" w:hAnsi="MetaNormal-Roman"/>
        </w:rPr>
        <w:t xml:space="preserve"> and</w:t>
      </w:r>
      <w:r w:rsidRPr="00DC69DF">
        <w:rPr>
          <w:rFonts w:ascii="MetaNormal-Roman" w:hAnsi="MetaNormal-Roman"/>
        </w:rPr>
        <w:t xml:space="preserve"> legal systems. </w:t>
      </w:r>
    </w:p>
    <w:p w14:paraId="59EDF686" w14:textId="3682CE4A" w:rsidR="00D91BCA" w:rsidRDefault="00D91BCA" w:rsidP="00D91BCA">
      <w:pPr>
        <w:rPr>
          <w:rFonts w:ascii="MetaNormal-Roman" w:hAnsi="MetaNormal-Roman"/>
        </w:rPr>
      </w:pPr>
      <w:r w:rsidRPr="00DC69DF">
        <w:rPr>
          <w:rFonts w:ascii="MetaNormal-Roman" w:hAnsi="MetaNormal-Roman"/>
        </w:rPr>
        <w:t xml:space="preserve">This submission follows the structure of the Committee on the Protection of the Rights of All Migrant Workers and Members of Their Families draft General </w:t>
      </w:r>
      <w:r w:rsidR="00D80805">
        <w:rPr>
          <w:rFonts w:ascii="MetaNormal-Roman" w:hAnsi="MetaNormal-Roman"/>
        </w:rPr>
        <w:t>C</w:t>
      </w:r>
      <w:r w:rsidR="00D80805" w:rsidRPr="00DC69DF">
        <w:rPr>
          <w:rFonts w:ascii="MetaNormal-Roman" w:hAnsi="MetaNormal-Roman"/>
        </w:rPr>
        <w:t>omment</w:t>
      </w:r>
      <w:r w:rsidRPr="00DC69DF">
        <w:rPr>
          <w:rFonts w:ascii="MetaNormal-Roman" w:hAnsi="MetaNormal-Roman"/>
        </w:rPr>
        <w:t xml:space="preserve">. </w:t>
      </w:r>
    </w:p>
    <w:p w14:paraId="6530895D" w14:textId="78A0B2CB" w:rsidR="002B2906" w:rsidRDefault="002B2906" w:rsidP="00D91BCA">
      <w:pPr>
        <w:rPr>
          <w:rFonts w:ascii="MetaNormal-Roman" w:hAnsi="MetaNormal-Roman"/>
          <w:b/>
          <w:bCs/>
          <w:u w:val="single"/>
        </w:rPr>
      </w:pPr>
      <w:r>
        <w:rPr>
          <w:rFonts w:ascii="MetaNormal-Roman" w:hAnsi="MetaNormal-Roman"/>
          <w:b/>
          <w:bCs/>
          <w:u w:val="single"/>
        </w:rPr>
        <w:t>Introduction</w:t>
      </w:r>
    </w:p>
    <w:p w14:paraId="2F55AF6D" w14:textId="204BC21E" w:rsidR="00D81B89" w:rsidRPr="002B2906" w:rsidRDefault="00D81B89" w:rsidP="00D81B89">
      <w:pPr>
        <w:rPr>
          <w:rFonts w:ascii="MetaNormal-Roman" w:hAnsi="MetaNormal-Roman"/>
        </w:rPr>
      </w:pPr>
      <w:r>
        <w:rPr>
          <w:rFonts w:ascii="MetaNormal-Roman" w:hAnsi="MetaNormal-Roman"/>
        </w:rPr>
        <w:t xml:space="preserve">Paragraph 7 refers to the Covid-19 pandemic as posing new challenges for </w:t>
      </w:r>
      <w:r w:rsidR="00D52912">
        <w:rPr>
          <w:rFonts w:ascii="MetaNormal-Roman" w:hAnsi="MetaNormal-Roman"/>
        </w:rPr>
        <w:t>s</w:t>
      </w:r>
      <w:r>
        <w:rPr>
          <w:rFonts w:ascii="MetaNormal-Roman" w:hAnsi="MetaNormal-Roman"/>
        </w:rPr>
        <w:t xml:space="preserve">tates. We agree that the unique situation posed by Covid-19 calls for innovative approaches and alternatives to detention. However, we recommend that the Committee also include in its General </w:t>
      </w:r>
      <w:r w:rsidR="00473B50">
        <w:rPr>
          <w:rFonts w:ascii="MetaNormal-Roman" w:hAnsi="MetaNormal-Roman"/>
        </w:rPr>
        <w:t>C</w:t>
      </w:r>
      <w:r>
        <w:rPr>
          <w:rFonts w:ascii="MetaNormal-Roman" w:hAnsi="MetaNormal-Roman"/>
        </w:rPr>
        <w:t>omment specific reference to situations in which</w:t>
      </w:r>
      <w:r w:rsidR="00D52912">
        <w:rPr>
          <w:rFonts w:ascii="MetaNormal-Roman" w:hAnsi="MetaNormal-Roman"/>
        </w:rPr>
        <w:t xml:space="preserve"> s</w:t>
      </w:r>
      <w:r>
        <w:rPr>
          <w:rFonts w:ascii="MetaNormal-Roman" w:hAnsi="MetaNormal-Roman"/>
        </w:rPr>
        <w:t xml:space="preserve">tates have used Covid-19 as a pretext for detention. Human Rights Watch’s research has shown that </w:t>
      </w:r>
      <w:r w:rsidR="00D52912">
        <w:rPr>
          <w:rFonts w:ascii="MetaNormal-Roman" w:hAnsi="MetaNormal-Roman"/>
        </w:rPr>
        <w:t>s</w:t>
      </w:r>
      <w:r>
        <w:rPr>
          <w:rFonts w:ascii="MetaNormal-Roman" w:hAnsi="MetaNormal-Roman"/>
        </w:rPr>
        <w:t>tates, such as Greece, have forced migrants into unsanitary conditions in overcrowded detention centers used to quarantine new arrivals.</w:t>
      </w:r>
      <w:r>
        <w:rPr>
          <w:rStyle w:val="FootnoteReference"/>
          <w:rFonts w:ascii="MetaNormal-Roman" w:hAnsi="MetaNormal-Roman"/>
        </w:rPr>
        <w:footnoteReference w:id="1"/>
      </w:r>
      <w:r>
        <w:rPr>
          <w:rFonts w:ascii="MetaNormal-Roman" w:hAnsi="MetaNormal-Roman"/>
        </w:rPr>
        <w:t xml:space="preserve"> The conditions in the</w:t>
      </w:r>
      <w:r w:rsidR="00D52912">
        <w:rPr>
          <w:rFonts w:ascii="MetaNormal-Roman" w:hAnsi="MetaNormal-Roman"/>
        </w:rPr>
        <w:t>se</w:t>
      </w:r>
      <w:r>
        <w:rPr>
          <w:rFonts w:ascii="MetaNormal-Roman" w:hAnsi="MetaNormal-Roman"/>
        </w:rPr>
        <w:t xml:space="preserve"> centers</w:t>
      </w:r>
      <w:r w:rsidR="00D52912">
        <w:rPr>
          <w:rFonts w:ascii="MetaNormal-Roman" w:hAnsi="MetaNormal-Roman"/>
        </w:rPr>
        <w:t>, including inability to socially distance</w:t>
      </w:r>
      <w:r>
        <w:rPr>
          <w:rFonts w:ascii="MetaNormal-Roman" w:hAnsi="MetaNormal-Roman"/>
        </w:rPr>
        <w:t xml:space="preserve"> and the lack </w:t>
      </w:r>
      <w:r w:rsidR="00D97A39">
        <w:rPr>
          <w:rFonts w:ascii="MetaNormal-Roman" w:hAnsi="MetaNormal-Roman"/>
        </w:rPr>
        <w:t>of access to basic necessities such as soap and water</w:t>
      </w:r>
      <w:r w:rsidR="00BE56EE">
        <w:rPr>
          <w:rFonts w:ascii="MetaNormal-Roman" w:hAnsi="MetaNormal-Roman"/>
        </w:rPr>
        <w:t>,</w:t>
      </w:r>
      <w:r>
        <w:rPr>
          <w:rFonts w:ascii="MetaNormal-Roman" w:hAnsi="MetaNormal-Roman"/>
        </w:rPr>
        <w:t xml:space="preserve"> put detainees at higher risk of contracting the virus.</w:t>
      </w:r>
      <w:r>
        <w:rPr>
          <w:rStyle w:val="FootnoteReference"/>
          <w:rFonts w:ascii="MetaNormal-Roman" w:hAnsi="MetaNormal-Roman"/>
        </w:rPr>
        <w:footnoteReference w:id="2"/>
      </w:r>
      <w:r>
        <w:rPr>
          <w:rFonts w:ascii="MetaNormal-Roman" w:hAnsi="MetaNormal-Roman"/>
        </w:rPr>
        <w:t xml:space="preserve"> Further, Human Rights Watch has documented cases in which migrants returning to their country of origin are being quarantined in </w:t>
      </w:r>
      <w:r w:rsidR="001B186C">
        <w:rPr>
          <w:rFonts w:ascii="MetaNormal-Roman" w:hAnsi="MetaNormal-Roman"/>
        </w:rPr>
        <w:t xml:space="preserve">abusive </w:t>
      </w:r>
      <w:r>
        <w:rPr>
          <w:rFonts w:ascii="MetaNormal-Roman" w:hAnsi="MetaNormal-Roman"/>
        </w:rPr>
        <w:t>conditions upon reentry. In Venezuela, for example, returnees were held in cramped and unsanitary quarantine centers for weeks longer than the 14 days recommended by the World Health Organization (WHO).</w:t>
      </w:r>
      <w:r>
        <w:rPr>
          <w:rStyle w:val="FootnoteReference"/>
          <w:rFonts w:ascii="MetaNormal-Roman" w:hAnsi="MetaNormal-Roman"/>
        </w:rPr>
        <w:footnoteReference w:id="3"/>
      </w:r>
      <w:r>
        <w:rPr>
          <w:rFonts w:ascii="MetaNormal-Roman" w:hAnsi="MetaNormal-Roman"/>
        </w:rPr>
        <w:t xml:space="preserve"> </w:t>
      </w:r>
    </w:p>
    <w:p w14:paraId="45F6D923" w14:textId="3962149F" w:rsidR="004874E2" w:rsidRDefault="00A041B2">
      <w:pPr>
        <w:rPr>
          <w:rFonts w:ascii="MetaNormal-Roman" w:hAnsi="MetaNormal-Roman"/>
          <w:b/>
          <w:bCs/>
          <w:u w:val="single"/>
        </w:rPr>
      </w:pPr>
      <w:r w:rsidRPr="00DC69DF">
        <w:rPr>
          <w:rFonts w:ascii="MetaNormal-Roman" w:hAnsi="MetaNormal-Roman"/>
          <w:b/>
          <w:bCs/>
          <w:u w:val="single"/>
        </w:rPr>
        <w:t xml:space="preserve">Regulatory framework on protection of the right to liberty of </w:t>
      </w:r>
      <w:r w:rsidR="0058678E" w:rsidRPr="00DC69DF">
        <w:rPr>
          <w:rFonts w:ascii="MetaNormal-Roman" w:hAnsi="MetaNormal-Roman"/>
          <w:b/>
          <w:bCs/>
          <w:u w:val="single"/>
        </w:rPr>
        <w:t xml:space="preserve">migrant workers </w:t>
      </w:r>
      <w:r w:rsidR="002046DF" w:rsidRPr="00DC69DF">
        <w:rPr>
          <w:rFonts w:ascii="MetaNormal-Roman" w:hAnsi="MetaNormal-Roman"/>
          <w:b/>
          <w:bCs/>
          <w:u w:val="single"/>
        </w:rPr>
        <w:t>and members of their families</w:t>
      </w:r>
    </w:p>
    <w:p w14:paraId="3EA8DDAA" w14:textId="058A0FE7" w:rsidR="00E45364" w:rsidRDefault="007C1BBC">
      <w:pPr>
        <w:rPr>
          <w:rFonts w:ascii="MetaNormal-Roman" w:hAnsi="MetaNormal-Roman"/>
        </w:rPr>
      </w:pPr>
      <w:r>
        <w:rPr>
          <w:rFonts w:ascii="MetaNormal-Roman" w:hAnsi="MetaNormal-Roman"/>
        </w:rPr>
        <w:t>Par</w:t>
      </w:r>
      <w:r w:rsidR="00A51F8B">
        <w:rPr>
          <w:rFonts w:ascii="MetaNormal-Roman" w:hAnsi="MetaNormal-Roman"/>
        </w:rPr>
        <w:t>t A</w:t>
      </w:r>
      <w:r w:rsidR="00801935">
        <w:rPr>
          <w:rFonts w:ascii="MetaNormal-Roman" w:hAnsi="MetaNormal-Roman"/>
        </w:rPr>
        <w:t xml:space="preserve"> of this section</w:t>
      </w:r>
      <w:r w:rsidR="00A51F8B">
        <w:rPr>
          <w:rFonts w:ascii="MetaNormal-Roman" w:hAnsi="MetaNormal-Roman"/>
        </w:rPr>
        <w:t xml:space="preserve"> </w:t>
      </w:r>
      <w:r w:rsidR="00251174">
        <w:rPr>
          <w:rFonts w:ascii="MetaNormal-Roman" w:hAnsi="MetaNormal-Roman"/>
        </w:rPr>
        <w:t xml:space="preserve">references </w:t>
      </w:r>
      <w:r w:rsidR="006A7D9D">
        <w:rPr>
          <w:rFonts w:ascii="MetaNormal-Roman" w:hAnsi="MetaNormal-Roman"/>
        </w:rPr>
        <w:t>article</w:t>
      </w:r>
      <w:r w:rsidR="00801935">
        <w:rPr>
          <w:rFonts w:ascii="MetaNormal-Roman" w:hAnsi="MetaNormal-Roman"/>
        </w:rPr>
        <w:t>s</w:t>
      </w:r>
      <w:r w:rsidR="006A7D9D">
        <w:rPr>
          <w:rFonts w:ascii="MetaNormal-Roman" w:hAnsi="MetaNormal-Roman"/>
        </w:rPr>
        <w:t xml:space="preserve"> 16 and 17 of the Convention, the </w:t>
      </w:r>
      <w:r w:rsidR="00251174">
        <w:rPr>
          <w:rFonts w:ascii="MetaNormal-Roman" w:hAnsi="MetaNormal-Roman"/>
        </w:rPr>
        <w:t>right</w:t>
      </w:r>
      <w:r w:rsidR="00801935">
        <w:rPr>
          <w:rFonts w:ascii="MetaNormal-Roman" w:hAnsi="MetaNormal-Roman"/>
        </w:rPr>
        <w:t xml:space="preserve"> </w:t>
      </w:r>
      <w:r w:rsidR="00251174">
        <w:rPr>
          <w:rFonts w:ascii="MetaNormal-Roman" w:hAnsi="MetaNormal-Roman"/>
        </w:rPr>
        <w:t>to liberty and security</w:t>
      </w:r>
      <w:r w:rsidR="00D52912">
        <w:rPr>
          <w:rFonts w:ascii="MetaNormal-Roman" w:hAnsi="MetaNormal-Roman"/>
        </w:rPr>
        <w:t xml:space="preserve"> and protection when deprived of liberty</w:t>
      </w:r>
      <w:r w:rsidR="006A7D9D">
        <w:rPr>
          <w:rFonts w:ascii="MetaNormal-Roman" w:hAnsi="MetaNormal-Roman"/>
        </w:rPr>
        <w:t xml:space="preserve">. </w:t>
      </w:r>
      <w:r w:rsidR="008F44DB">
        <w:rPr>
          <w:rFonts w:ascii="MetaNormal-Roman" w:hAnsi="MetaNormal-Roman"/>
        </w:rPr>
        <w:t xml:space="preserve">We suggest that </w:t>
      </w:r>
      <w:r w:rsidR="002B4BB7">
        <w:rPr>
          <w:rFonts w:ascii="MetaNormal-Roman" w:hAnsi="MetaNormal-Roman"/>
        </w:rPr>
        <w:t>t</w:t>
      </w:r>
      <w:r w:rsidR="00CE2D93">
        <w:rPr>
          <w:rFonts w:ascii="MetaNormal-Roman" w:hAnsi="MetaNormal-Roman"/>
        </w:rPr>
        <w:t>he Committee also</w:t>
      </w:r>
      <w:r w:rsidR="008F44DB">
        <w:rPr>
          <w:rFonts w:ascii="MetaNormal-Roman" w:hAnsi="MetaNormal-Roman"/>
        </w:rPr>
        <w:t xml:space="preserve"> </w:t>
      </w:r>
      <w:r w:rsidR="00250CE3">
        <w:rPr>
          <w:rFonts w:ascii="MetaNormal-Roman" w:hAnsi="MetaNormal-Roman"/>
        </w:rPr>
        <w:t>include</w:t>
      </w:r>
      <w:r w:rsidR="002B4BB7">
        <w:rPr>
          <w:rFonts w:ascii="MetaNormal-Roman" w:hAnsi="MetaNormal-Roman"/>
        </w:rPr>
        <w:t xml:space="preserve"> a</w:t>
      </w:r>
      <w:r w:rsidR="00250CE3">
        <w:rPr>
          <w:rFonts w:ascii="MetaNormal-Roman" w:hAnsi="MetaNormal-Roman"/>
        </w:rPr>
        <w:t xml:space="preserve"> reference to </w:t>
      </w:r>
      <w:r w:rsidR="00EE7FEA">
        <w:rPr>
          <w:rFonts w:ascii="MetaNormal-Roman" w:hAnsi="MetaNormal-Roman"/>
        </w:rPr>
        <w:lastRenderedPageBreak/>
        <w:t xml:space="preserve">article 10, </w:t>
      </w:r>
      <w:r w:rsidR="00A22368">
        <w:rPr>
          <w:rFonts w:ascii="MetaNormal-Roman" w:hAnsi="MetaNormal-Roman"/>
        </w:rPr>
        <w:t>the rig</w:t>
      </w:r>
      <w:r w:rsidR="0012049C">
        <w:rPr>
          <w:rFonts w:ascii="MetaNormal-Roman" w:hAnsi="MetaNormal-Roman"/>
        </w:rPr>
        <w:t xml:space="preserve">ht to protection from torture or cruel, inhuman or degrading </w:t>
      </w:r>
      <w:r w:rsidR="003A4592">
        <w:rPr>
          <w:rFonts w:ascii="MetaNormal-Roman" w:hAnsi="MetaNormal-Roman"/>
        </w:rPr>
        <w:t xml:space="preserve">conditions or treatment. </w:t>
      </w:r>
      <w:r w:rsidR="00974251">
        <w:rPr>
          <w:rFonts w:ascii="MetaNormal-Roman" w:hAnsi="MetaNormal-Roman"/>
        </w:rPr>
        <w:t>Article 10</w:t>
      </w:r>
      <w:r w:rsidR="00A00EED">
        <w:rPr>
          <w:rFonts w:ascii="MetaNormal-Roman" w:hAnsi="MetaNormal-Roman"/>
        </w:rPr>
        <w:t xml:space="preserve"> is relevant to </w:t>
      </w:r>
      <w:r w:rsidR="00FB2DBB">
        <w:rPr>
          <w:rFonts w:ascii="MetaNormal-Roman" w:hAnsi="MetaNormal-Roman"/>
        </w:rPr>
        <w:t xml:space="preserve">the obligation on </w:t>
      </w:r>
      <w:r w:rsidR="00D52912">
        <w:rPr>
          <w:rFonts w:ascii="MetaNormal-Roman" w:hAnsi="MetaNormal-Roman"/>
        </w:rPr>
        <w:t>s</w:t>
      </w:r>
      <w:r w:rsidR="00FB2DBB">
        <w:rPr>
          <w:rFonts w:ascii="MetaNormal-Roman" w:hAnsi="MetaNormal-Roman"/>
        </w:rPr>
        <w:t xml:space="preserve">tates to guarantee </w:t>
      </w:r>
      <w:r w:rsidR="00AF2767">
        <w:rPr>
          <w:rFonts w:ascii="MetaNormal-Roman" w:hAnsi="MetaNormal-Roman"/>
        </w:rPr>
        <w:t>adequate conditions in</w:t>
      </w:r>
      <w:r w:rsidR="00D80805">
        <w:rPr>
          <w:rFonts w:ascii="MetaNormal-Roman" w:hAnsi="MetaNormal-Roman"/>
        </w:rPr>
        <w:t xml:space="preserve"> places of</w:t>
      </w:r>
      <w:r w:rsidR="00AF2767">
        <w:rPr>
          <w:rFonts w:ascii="MetaNormal-Roman" w:hAnsi="MetaNormal-Roman"/>
        </w:rPr>
        <w:t xml:space="preserve"> detention. </w:t>
      </w:r>
    </w:p>
    <w:p w14:paraId="7CDE941A" w14:textId="3395DB4E" w:rsidR="0097710F" w:rsidRDefault="00E45364">
      <w:pPr>
        <w:rPr>
          <w:rFonts w:ascii="MetaNormal-Roman" w:hAnsi="MetaNormal-Roman"/>
        </w:rPr>
      </w:pPr>
      <w:r>
        <w:rPr>
          <w:rFonts w:ascii="MetaNormal-Roman" w:hAnsi="MetaNormal-Roman"/>
        </w:rPr>
        <w:t xml:space="preserve">Paragraph 11 </w:t>
      </w:r>
      <w:r w:rsidR="00BA607D">
        <w:rPr>
          <w:rFonts w:ascii="MetaNormal-Roman" w:hAnsi="MetaNormal-Roman"/>
        </w:rPr>
        <w:t>re</w:t>
      </w:r>
      <w:r w:rsidR="00DE359B">
        <w:rPr>
          <w:rFonts w:ascii="MetaNormal-Roman" w:hAnsi="MetaNormal-Roman"/>
        </w:rPr>
        <w:t>fers to</w:t>
      </w:r>
      <w:r w:rsidR="006C1C04">
        <w:rPr>
          <w:rFonts w:ascii="MetaNormal-Roman" w:hAnsi="MetaNormal-Roman"/>
        </w:rPr>
        <w:t xml:space="preserve"> article 17</w:t>
      </w:r>
      <w:r w:rsidR="009B3072">
        <w:rPr>
          <w:rFonts w:ascii="MetaNormal-Roman" w:hAnsi="MetaNormal-Roman"/>
        </w:rPr>
        <w:t xml:space="preserve"> of the Convention</w:t>
      </w:r>
      <w:r w:rsidR="00BA607D">
        <w:rPr>
          <w:rFonts w:ascii="MetaNormal-Roman" w:hAnsi="MetaNormal-Roman"/>
        </w:rPr>
        <w:t>,</w:t>
      </w:r>
      <w:r w:rsidR="009B3072">
        <w:rPr>
          <w:rFonts w:ascii="MetaNormal-Roman" w:hAnsi="MetaNormal-Roman"/>
        </w:rPr>
        <w:t xml:space="preserve"> the right of all migrant work</w:t>
      </w:r>
      <w:r w:rsidR="00807DFD">
        <w:rPr>
          <w:rFonts w:ascii="MetaNormal-Roman" w:hAnsi="MetaNormal-Roman"/>
        </w:rPr>
        <w:t>er</w:t>
      </w:r>
      <w:r w:rsidR="009B3072">
        <w:rPr>
          <w:rFonts w:ascii="MetaNormal-Roman" w:hAnsi="MetaNormal-Roman"/>
        </w:rPr>
        <w:t xml:space="preserve">s and members of their families to be treated with humanity and </w:t>
      </w:r>
      <w:r w:rsidR="00807DFD">
        <w:rPr>
          <w:rFonts w:ascii="MetaNormal-Roman" w:hAnsi="MetaNormal-Roman"/>
        </w:rPr>
        <w:t xml:space="preserve">respect for the inherent dignity of the human person and for their cultural identity. We recommend that </w:t>
      </w:r>
      <w:r w:rsidR="00796D56">
        <w:rPr>
          <w:rFonts w:ascii="MetaNormal-Roman" w:hAnsi="MetaNormal-Roman"/>
        </w:rPr>
        <w:t>the Committee</w:t>
      </w:r>
      <w:r w:rsidR="00353A39">
        <w:rPr>
          <w:rFonts w:ascii="MetaNormal-Roman" w:hAnsi="MetaNormal-Roman"/>
        </w:rPr>
        <w:t xml:space="preserve"> include a specific reference to </w:t>
      </w:r>
      <w:r w:rsidR="003425F7">
        <w:rPr>
          <w:rFonts w:ascii="MetaNormal-Roman" w:hAnsi="MetaNormal-Roman"/>
        </w:rPr>
        <w:t xml:space="preserve">the language in article 17 calling for </w:t>
      </w:r>
      <w:r w:rsidR="00C45CC6">
        <w:rPr>
          <w:rFonts w:ascii="MetaNormal-Roman" w:hAnsi="MetaNormal-Roman"/>
        </w:rPr>
        <w:t>the separation of migrant workers and members of their families from convicted persons</w:t>
      </w:r>
      <w:r w:rsidR="00F935EC">
        <w:rPr>
          <w:rFonts w:ascii="MetaNormal-Roman" w:hAnsi="MetaNormal-Roman"/>
        </w:rPr>
        <w:t>. We also suggest you includ</w:t>
      </w:r>
      <w:r w:rsidR="00A105BA">
        <w:rPr>
          <w:rFonts w:ascii="MetaNormal-Roman" w:hAnsi="MetaNormal-Roman"/>
        </w:rPr>
        <w:t xml:space="preserve">e a statement calling for the </w:t>
      </w:r>
      <w:r w:rsidR="003A2683">
        <w:rPr>
          <w:rFonts w:ascii="MetaNormal-Roman" w:hAnsi="MetaNormal-Roman"/>
        </w:rPr>
        <w:t>appropriate treatment</w:t>
      </w:r>
      <w:r w:rsidR="00A105BA">
        <w:rPr>
          <w:rFonts w:ascii="MetaNormal-Roman" w:hAnsi="MetaNormal-Roman"/>
        </w:rPr>
        <w:t xml:space="preserve"> of migrants</w:t>
      </w:r>
      <w:r w:rsidR="003A2683">
        <w:rPr>
          <w:rFonts w:ascii="MetaNormal-Roman" w:hAnsi="MetaNormal-Roman"/>
        </w:rPr>
        <w:t xml:space="preserve"> as </w:t>
      </w:r>
      <w:r w:rsidR="00A105BA">
        <w:rPr>
          <w:rFonts w:ascii="MetaNormal-Roman" w:hAnsi="MetaNormal-Roman"/>
        </w:rPr>
        <w:t>“unconvicted persons</w:t>
      </w:r>
      <w:r w:rsidR="0097710F">
        <w:rPr>
          <w:rFonts w:ascii="MetaNormal-Roman" w:hAnsi="MetaNormal-Roman"/>
        </w:rPr>
        <w:t>.</w:t>
      </w:r>
      <w:r w:rsidR="00A105BA">
        <w:rPr>
          <w:rFonts w:ascii="MetaNormal-Roman" w:hAnsi="MetaNormal-Roman"/>
        </w:rPr>
        <w:t>”</w:t>
      </w:r>
      <w:r w:rsidR="0097710F">
        <w:rPr>
          <w:rFonts w:ascii="MetaNormal-Roman" w:hAnsi="MetaNormal-Roman"/>
        </w:rPr>
        <w:t xml:space="preserve"> </w:t>
      </w:r>
      <w:r w:rsidR="00E911F6">
        <w:rPr>
          <w:rFonts w:ascii="MetaNormal-Roman" w:hAnsi="MetaNormal-Roman"/>
        </w:rPr>
        <w:t xml:space="preserve">It is </w:t>
      </w:r>
      <w:r w:rsidR="00F3644A">
        <w:rPr>
          <w:rFonts w:ascii="MetaNormal-Roman" w:hAnsi="MetaNormal-Roman"/>
        </w:rPr>
        <w:t>critical to</w:t>
      </w:r>
      <w:r w:rsidR="00E911F6">
        <w:rPr>
          <w:rFonts w:ascii="MetaNormal-Roman" w:hAnsi="MetaNormal-Roman"/>
        </w:rPr>
        <w:t xml:space="preserve"> reinforce the </w:t>
      </w:r>
      <w:r w:rsidR="00BC73E6">
        <w:rPr>
          <w:rFonts w:ascii="MetaNormal-Roman" w:hAnsi="MetaNormal-Roman"/>
        </w:rPr>
        <w:t xml:space="preserve">distinction between migrants and </w:t>
      </w:r>
      <w:r w:rsidR="00E911F6">
        <w:rPr>
          <w:rFonts w:ascii="MetaNormal-Roman" w:hAnsi="MetaNormal-Roman"/>
        </w:rPr>
        <w:t xml:space="preserve">individuals convicted </w:t>
      </w:r>
      <w:r w:rsidR="00C6775E">
        <w:rPr>
          <w:rFonts w:ascii="MetaNormal-Roman" w:hAnsi="MetaNormal-Roman"/>
        </w:rPr>
        <w:t xml:space="preserve">of </w:t>
      </w:r>
      <w:r w:rsidR="00E911F6">
        <w:rPr>
          <w:rFonts w:ascii="MetaNormal-Roman" w:hAnsi="MetaNormal-Roman"/>
        </w:rPr>
        <w:t>criminal offenses.</w:t>
      </w:r>
      <w:r w:rsidR="00BC73E6">
        <w:rPr>
          <w:rFonts w:ascii="MetaNormal-Roman" w:hAnsi="MetaNormal-Roman"/>
        </w:rPr>
        <w:t xml:space="preserve"> </w:t>
      </w:r>
    </w:p>
    <w:p w14:paraId="1D1D18C9" w14:textId="63CB9E64" w:rsidR="008B4360" w:rsidRPr="00375B15" w:rsidRDefault="00641E58">
      <w:pPr>
        <w:rPr>
          <w:rFonts w:ascii="MetaNormal-Roman" w:hAnsi="MetaNormal-Roman" w:cstheme="minorHAnsi"/>
        </w:rPr>
      </w:pPr>
      <w:r w:rsidRPr="00375B15">
        <w:rPr>
          <w:rFonts w:ascii="MetaNormal-Roman" w:hAnsi="MetaNormal-Roman" w:cstheme="minorHAnsi"/>
        </w:rPr>
        <w:t xml:space="preserve">Paragraph 13 </w:t>
      </w:r>
      <w:r w:rsidR="003515A0" w:rsidRPr="00375B15">
        <w:rPr>
          <w:rFonts w:ascii="MetaNormal-Roman" w:hAnsi="MetaNormal-Roman" w:cstheme="minorHAnsi"/>
        </w:rPr>
        <w:t xml:space="preserve">lists euphemisms for detention, but then includes the word </w:t>
      </w:r>
      <w:r w:rsidRPr="00375B15">
        <w:rPr>
          <w:rFonts w:ascii="MetaNormal-Roman" w:hAnsi="MetaNormal-Roman" w:cstheme="minorHAnsi"/>
        </w:rPr>
        <w:t>“detention</w:t>
      </w:r>
      <w:r w:rsidR="00A659A7" w:rsidRPr="00375B15">
        <w:rPr>
          <w:rFonts w:ascii="MetaNormal-Roman" w:hAnsi="MetaNormal-Roman" w:cstheme="minorHAnsi"/>
        </w:rPr>
        <w:t>”</w:t>
      </w:r>
      <w:r w:rsidR="003515A0" w:rsidRPr="00375B15">
        <w:rPr>
          <w:rFonts w:ascii="MetaNormal-Roman" w:hAnsi="MetaNormal-Roman" w:cstheme="minorHAnsi"/>
        </w:rPr>
        <w:t xml:space="preserve"> </w:t>
      </w:r>
      <w:r w:rsidR="000220EE">
        <w:rPr>
          <w:rFonts w:ascii="MetaNormal-Roman" w:hAnsi="MetaNormal-Roman" w:cstheme="minorHAnsi"/>
        </w:rPr>
        <w:t>i</w:t>
      </w:r>
      <w:r w:rsidR="003515A0" w:rsidRPr="00375B15">
        <w:rPr>
          <w:rFonts w:ascii="MetaNormal-Roman" w:hAnsi="MetaNormal-Roman" w:cstheme="minorHAnsi"/>
        </w:rPr>
        <w:t xml:space="preserve">tself in that list. </w:t>
      </w:r>
      <w:r w:rsidR="00A659A7" w:rsidRPr="00375B15">
        <w:rPr>
          <w:rFonts w:ascii="MetaNormal-Roman" w:hAnsi="MetaNormal-Roman" w:cstheme="minorHAnsi"/>
        </w:rPr>
        <w:t xml:space="preserve"> We recommend that you</w:t>
      </w:r>
      <w:r w:rsidR="0010606E" w:rsidRPr="00375B15">
        <w:rPr>
          <w:rFonts w:ascii="MetaNormal-Roman" w:hAnsi="MetaNormal-Roman" w:cstheme="minorHAnsi"/>
        </w:rPr>
        <w:t xml:space="preserve"> </w:t>
      </w:r>
      <w:r w:rsidR="003515A0" w:rsidRPr="00375B15">
        <w:rPr>
          <w:rFonts w:ascii="MetaNormal-Roman" w:hAnsi="MetaNormal-Roman" w:cstheme="minorHAnsi"/>
        </w:rPr>
        <w:t>delete</w:t>
      </w:r>
      <w:r w:rsidR="0010606E" w:rsidRPr="00375B15">
        <w:rPr>
          <w:rFonts w:ascii="MetaNormal-Roman" w:hAnsi="MetaNormal-Roman" w:cstheme="minorHAnsi"/>
        </w:rPr>
        <w:t xml:space="preserve"> the word</w:t>
      </w:r>
      <w:r w:rsidR="00A659A7" w:rsidRPr="00375B15">
        <w:rPr>
          <w:rFonts w:ascii="MetaNormal-Roman" w:hAnsi="MetaNormal-Roman" w:cstheme="minorHAnsi"/>
        </w:rPr>
        <w:t xml:space="preserve"> “detention</w:t>
      </w:r>
      <w:r w:rsidR="0010606E" w:rsidRPr="00375B15">
        <w:rPr>
          <w:rFonts w:ascii="MetaNormal-Roman" w:hAnsi="MetaNormal-Roman" w:cstheme="minorHAnsi"/>
        </w:rPr>
        <w:t>”</w:t>
      </w:r>
      <w:r w:rsidR="003515A0" w:rsidRPr="00375B15">
        <w:rPr>
          <w:rFonts w:ascii="MetaNormal-Roman" w:hAnsi="MetaNormal-Roman" w:cstheme="minorHAnsi"/>
        </w:rPr>
        <w:t xml:space="preserve"> where it first appears in quotes and add the word “reception,” so instead of saying, “such as ‘filing and accommodation’, ‘detention’ and ‘placement’”, it should say, “such as ‘filing and accommodation’, ‘reception’ and ‘placement’.” </w:t>
      </w:r>
      <w:r w:rsidR="00491140">
        <w:rPr>
          <w:rFonts w:ascii="MetaNormal-Roman" w:hAnsi="MetaNormal-Roman" w:cstheme="minorHAnsi"/>
        </w:rPr>
        <w:t xml:space="preserve">Reception </w:t>
      </w:r>
      <w:r w:rsidR="00DF13D1">
        <w:rPr>
          <w:rFonts w:ascii="MetaNormal-Roman" w:hAnsi="MetaNormal-Roman" w:cstheme="minorHAnsi"/>
        </w:rPr>
        <w:t xml:space="preserve">centers sometimes </w:t>
      </w:r>
      <w:r w:rsidR="00491140">
        <w:rPr>
          <w:rFonts w:ascii="MetaNormal-Roman" w:hAnsi="MetaNormal-Roman" w:cstheme="minorHAnsi"/>
        </w:rPr>
        <w:t>operate</w:t>
      </w:r>
      <w:r w:rsidR="00DF13D1">
        <w:rPr>
          <w:rFonts w:ascii="MetaNormal-Roman" w:hAnsi="MetaNormal-Roman" w:cstheme="minorHAnsi"/>
        </w:rPr>
        <w:t xml:space="preserve"> as </w:t>
      </w:r>
      <w:r w:rsidR="00491140">
        <w:rPr>
          <w:rFonts w:ascii="MetaNormal-Roman" w:hAnsi="MetaNormal-Roman" w:cstheme="minorHAnsi"/>
        </w:rPr>
        <w:t xml:space="preserve">detention </w:t>
      </w:r>
      <w:r w:rsidR="00DF13D1">
        <w:rPr>
          <w:rFonts w:ascii="MetaNormal-Roman" w:hAnsi="MetaNormal-Roman" w:cstheme="minorHAnsi"/>
        </w:rPr>
        <w:t>centers</w:t>
      </w:r>
      <w:r w:rsidR="00276057">
        <w:rPr>
          <w:rFonts w:ascii="MetaNormal-Roman" w:hAnsi="MetaNormal-Roman" w:cstheme="minorHAnsi"/>
        </w:rPr>
        <w:t xml:space="preserve">. </w:t>
      </w:r>
      <w:r w:rsidR="00276057">
        <w:rPr>
          <w:rFonts w:ascii="MetaNormal-Roman" w:hAnsi="MetaNormal-Roman"/>
        </w:rPr>
        <w:t>For example, the Lampedusa “reception center,” operated by the Italian government, was a detention center, despite its nomenclature.</w:t>
      </w:r>
      <w:r w:rsidR="00276057">
        <w:rPr>
          <w:rStyle w:val="FootnoteReference"/>
          <w:rFonts w:ascii="MetaNormal-Roman" w:hAnsi="MetaNormal-Roman"/>
        </w:rPr>
        <w:footnoteReference w:id="4"/>
      </w:r>
    </w:p>
    <w:p w14:paraId="2823EAE4" w14:textId="27A869BE" w:rsidR="007762CB" w:rsidRDefault="007762CB">
      <w:pPr>
        <w:rPr>
          <w:rFonts w:ascii="MetaNormal-Roman" w:hAnsi="MetaNormal-Roman"/>
        </w:rPr>
      </w:pPr>
      <w:r w:rsidRPr="00D351D9">
        <w:rPr>
          <w:rFonts w:ascii="MetaNormal-Roman" w:hAnsi="MetaNormal-Roman"/>
        </w:rPr>
        <w:t>Paragraph 15</w:t>
      </w:r>
      <w:r w:rsidR="00BC0879">
        <w:rPr>
          <w:rFonts w:ascii="MetaNormal-Roman" w:hAnsi="MetaNormal-Roman"/>
        </w:rPr>
        <w:t xml:space="preserve"> clarifies that immigration detention includes </w:t>
      </w:r>
      <w:r w:rsidR="00491140">
        <w:rPr>
          <w:rFonts w:ascii="MetaNormal-Roman" w:hAnsi="MetaNormal-Roman"/>
        </w:rPr>
        <w:t>when</w:t>
      </w:r>
      <w:r w:rsidR="00BC0879">
        <w:rPr>
          <w:rFonts w:ascii="MetaNormal-Roman" w:hAnsi="MetaNormal-Roman"/>
        </w:rPr>
        <w:t xml:space="preserve"> migrants</w:t>
      </w:r>
      <w:r w:rsidR="00491140">
        <w:rPr>
          <w:rFonts w:ascii="MetaNormal-Roman" w:hAnsi="MetaNormal-Roman"/>
        </w:rPr>
        <w:t xml:space="preserve"> are deprived of their liberty</w:t>
      </w:r>
      <w:r w:rsidR="00BC0879">
        <w:rPr>
          <w:rFonts w:ascii="MetaNormal-Roman" w:hAnsi="MetaNormal-Roman"/>
        </w:rPr>
        <w:t xml:space="preserve"> in </w:t>
      </w:r>
      <w:r w:rsidR="00C70737">
        <w:rPr>
          <w:rFonts w:ascii="MetaNormal-Roman" w:hAnsi="MetaNormal-Roman"/>
        </w:rPr>
        <w:t>“</w:t>
      </w:r>
      <w:r w:rsidR="00BC0879">
        <w:rPr>
          <w:rFonts w:ascii="MetaNormal-Roman" w:hAnsi="MetaNormal-Roman"/>
        </w:rPr>
        <w:t xml:space="preserve">prisons, police stations, immigration detention </w:t>
      </w:r>
      <w:r w:rsidR="00D80805">
        <w:rPr>
          <w:rFonts w:ascii="MetaNormal-Roman" w:hAnsi="MetaNormal-Roman"/>
        </w:rPr>
        <w:t>center</w:t>
      </w:r>
      <w:r w:rsidR="00BC0879">
        <w:rPr>
          <w:rFonts w:ascii="MetaNormal-Roman" w:hAnsi="MetaNormal-Roman"/>
        </w:rPr>
        <w:t>s and other enclosed spaces.</w:t>
      </w:r>
      <w:r w:rsidR="00C70737">
        <w:rPr>
          <w:rFonts w:ascii="MetaNormal-Roman" w:hAnsi="MetaNormal-Roman"/>
        </w:rPr>
        <w:t>”</w:t>
      </w:r>
      <w:r w:rsidR="00BC0879">
        <w:rPr>
          <w:rFonts w:ascii="MetaNormal-Roman" w:hAnsi="MetaNormal-Roman"/>
        </w:rPr>
        <w:t xml:space="preserve"> </w:t>
      </w:r>
      <w:r w:rsidR="00D77881">
        <w:rPr>
          <w:rFonts w:ascii="MetaNormal-Roman" w:hAnsi="MetaNormal-Roman"/>
        </w:rPr>
        <w:t xml:space="preserve">We </w:t>
      </w:r>
      <w:r w:rsidR="00FF0685">
        <w:rPr>
          <w:rFonts w:ascii="MetaNormal-Roman" w:hAnsi="MetaNormal-Roman"/>
        </w:rPr>
        <w:t>suggest</w:t>
      </w:r>
      <w:r w:rsidR="00D77881">
        <w:rPr>
          <w:rFonts w:ascii="MetaNormal-Roman" w:hAnsi="MetaNormal-Roman"/>
        </w:rPr>
        <w:t xml:space="preserve"> that the Committee </w:t>
      </w:r>
      <w:r w:rsidR="00D7612E">
        <w:rPr>
          <w:rFonts w:ascii="MetaNormal-Roman" w:hAnsi="MetaNormal-Roman"/>
        </w:rPr>
        <w:t xml:space="preserve">add </w:t>
      </w:r>
      <w:r w:rsidR="004D19FF">
        <w:rPr>
          <w:rFonts w:ascii="MetaNormal-Roman" w:hAnsi="MetaNormal-Roman"/>
        </w:rPr>
        <w:t>“camps</w:t>
      </w:r>
      <w:r w:rsidR="00507250">
        <w:rPr>
          <w:rFonts w:ascii="MetaNormal-Roman" w:hAnsi="MetaNormal-Roman"/>
        </w:rPr>
        <w:t xml:space="preserve">” and “reception </w:t>
      </w:r>
      <w:r w:rsidR="00D80805">
        <w:rPr>
          <w:rFonts w:ascii="MetaNormal-Roman" w:hAnsi="MetaNormal-Roman"/>
        </w:rPr>
        <w:t>center</w:t>
      </w:r>
      <w:r w:rsidR="00507250">
        <w:rPr>
          <w:rFonts w:ascii="MetaNormal-Roman" w:hAnsi="MetaNormal-Roman"/>
        </w:rPr>
        <w:t xml:space="preserve">s” to this </w:t>
      </w:r>
      <w:r w:rsidR="00593BAC">
        <w:rPr>
          <w:rFonts w:ascii="MetaNormal-Roman" w:hAnsi="MetaNormal-Roman"/>
        </w:rPr>
        <w:t>list</w:t>
      </w:r>
      <w:r w:rsidR="003C52AD">
        <w:rPr>
          <w:rFonts w:ascii="MetaNormal-Roman" w:hAnsi="MetaNormal-Roman"/>
        </w:rPr>
        <w:t xml:space="preserve">, as it </w:t>
      </w:r>
      <w:r w:rsidR="008F7B04">
        <w:rPr>
          <w:rFonts w:ascii="MetaNormal-Roman" w:hAnsi="MetaNormal-Roman"/>
        </w:rPr>
        <w:t xml:space="preserve">makes this list </w:t>
      </w:r>
      <w:r w:rsidR="003C52AD">
        <w:rPr>
          <w:rFonts w:ascii="MetaNormal-Roman" w:hAnsi="MetaNormal-Roman"/>
        </w:rPr>
        <w:t>more comprehensive</w:t>
      </w:r>
      <w:r w:rsidR="008F7B04">
        <w:rPr>
          <w:rFonts w:ascii="MetaNormal-Roman" w:hAnsi="MetaNormal-Roman"/>
        </w:rPr>
        <w:t>.</w:t>
      </w:r>
    </w:p>
    <w:p w14:paraId="05D2F7DC" w14:textId="07B03C5E" w:rsidR="00542B6A" w:rsidRDefault="00542B6A">
      <w:pPr>
        <w:rPr>
          <w:rFonts w:ascii="MetaNormal-Roman" w:hAnsi="MetaNormal-Roman"/>
        </w:rPr>
      </w:pPr>
      <w:r>
        <w:rPr>
          <w:rFonts w:ascii="MetaNormal-Roman" w:hAnsi="MetaNormal-Roman"/>
        </w:rPr>
        <w:t xml:space="preserve">Paragraph 16 </w:t>
      </w:r>
      <w:r w:rsidR="003F4AC0">
        <w:rPr>
          <w:rFonts w:ascii="MetaNormal-Roman" w:hAnsi="MetaNormal-Roman"/>
        </w:rPr>
        <w:t xml:space="preserve">also includes examples of </w:t>
      </w:r>
      <w:r w:rsidR="00751EDB">
        <w:rPr>
          <w:rFonts w:ascii="MetaNormal-Roman" w:hAnsi="MetaNormal-Roman"/>
        </w:rPr>
        <w:t xml:space="preserve">systems of </w:t>
      </w:r>
      <w:r w:rsidR="003F4AC0">
        <w:rPr>
          <w:rFonts w:ascii="MetaNormal-Roman" w:hAnsi="MetaNormal-Roman"/>
        </w:rPr>
        <w:t xml:space="preserve">deprivation of liberty imposed on migrants. Again, we suggest the addition </w:t>
      </w:r>
      <w:r w:rsidR="00BF728E">
        <w:rPr>
          <w:rFonts w:ascii="MetaNormal-Roman" w:hAnsi="MetaNormal-Roman"/>
        </w:rPr>
        <w:t xml:space="preserve">of </w:t>
      </w:r>
      <w:r w:rsidR="003F4AC0">
        <w:rPr>
          <w:rFonts w:ascii="MetaNormal-Roman" w:hAnsi="MetaNormal-Roman"/>
        </w:rPr>
        <w:t xml:space="preserve">“camps” and “reception </w:t>
      </w:r>
      <w:r w:rsidR="00D80805">
        <w:rPr>
          <w:rFonts w:ascii="MetaNormal-Roman" w:hAnsi="MetaNormal-Roman"/>
        </w:rPr>
        <w:t>center</w:t>
      </w:r>
      <w:r w:rsidR="003F4AC0">
        <w:rPr>
          <w:rFonts w:ascii="MetaNormal-Roman" w:hAnsi="MetaNormal-Roman"/>
        </w:rPr>
        <w:t xml:space="preserve">s” to this list. </w:t>
      </w:r>
    </w:p>
    <w:p w14:paraId="48066F0B" w14:textId="0F5C8F05" w:rsidR="00B941B6" w:rsidRPr="00E8217E" w:rsidRDefault="00B941B6" w:rsidP="00B941B6">
      <w:pPr>
        <w:tabs>
          <w:tab w:val="left" w:pos="1703"/>
        </w:tabs>
        <w:rPr>
          <w:rFonts w:ascii="MetaNormal-Roman" w:hAnsi="MetaNormal-Roman"/>
        </w:rPr>
      </w:pPr>
      <w:r>
        <w:rPr>
          <w:rFonts w:ascii="MetaNormal-Roman" w:hAnsi="MetaNormal-Roman"/>
        </w:rPr>
        <w:t>Paragraph 18 provides that “</w:t>
      </w:r>
      <w:r w:rsidRPr="00F61CF3">
        <w:rPr>
          <w:rFonts w:ascii="MetaNormal-Roman" w:hAnsi="MetaNormal-Roman"/>
        </w:rPr>
        <w:t>The Committee expresses its serious concern at the criminalization of the irregular entry</w:t>
      </w:r>
      <w:r w:rsidR="00147F3B">
        <w:rPr>
          <w:rFonts w:ascii="MetaNormal-Roman" w:hAnsi="MetaNormal-Roman"/>
        </w:rPr>
        <w:t xml:space="preserve"> </w:t>
      </w:r>
      <w:r w:rsidRPr="00F61CF3">
        <w:rPr>
          <w:rFonts w:ascii="MetaNormal-Roman" w:hAnsi="MetaNormal-Roman"/>
        </w:rPr>
        <w:t>or stay of migrant workers and members of their families and the practice of punishing such conduct with deprivation of liberty.</w:t>
      </w:r>
      <w:r>
        <w:rPr>
          <w:rFonts w:ascii="MetaNormal-Roman" w:hAnsi="MetaNormal-Roman"/>
        </w:rPr>
        <w:t xml:space="preserve">” </w:t>
      </w:r>
      <w:r w:rsidR="00004695">
        <w:rPr>
          <w:rFonts w:ascii="MetaNormal-Roman" w:hAnsi="MetaNormal-Roman"/>
        </w:rPr>
        <w:t>We recommend that the Committee add the word “reentry” to this sentence, so that it reads “</w:t>
      </w:r>
      <w:r w:rsidR="00A95BC2">
        <w:rPr>
          <w:rFonts w:ascii="MetaNormal-Roman" w:hAnsi="MetaNormal-Roman"/>
        </w:rPr>
        <w:t xml:space="preserve">The Committee expresses its serious concern at the criminalization of the irregular entry, </w:t>
      </w:r>
      <w:r w:rsidR="00A95BC2" w:rsidRPr="00A87146">
        <w:rPr>
          <w:rFonts w:ascii="MetaNormal-Roman" w:hAnsi="MetaNormal-Roman"/>
          <w:i/>
          <w:iCs/>
        </w:rPr>
        <w:t>reentry</w:t>
      </w:r>
      <w:r w:rsidR="00A95BC2">
        <w:rPr>
          <w:rFonts w:ascii="MetaNormal-Roman" w:hAnsi="MetaNormal-Roman"/>
        </w:rPr>
        <w:t xml:space="preserve"> or stay of migrant workers and members of their families and the practice of punishing such conduct with deprivation of liberty.”</w:t>
      </w:r>
      <w:r w:rsidR="00C43BB5">
        <w:rPr>
          <w:rFonts w:ascii="MetaNormal-Roman" w:hAnsi="MetaNormal-Roman"/>
        </w:rPr>
        <w:t xml:space="preserve"> We</w:t>
      </w:r>
      <w:r w:rsidR="00A87146">
        <w:rPr>
          <w:rFonts w:ascii="MetaNormal-Roman" w:hAnsi="MetaNormal-Roman"/>
        </w:rPr>
        <w:t xml:space="preserve"> </w:t>
      </w:r>
      <w:r w:rsidR="00FC057C">
        <w:rPr>
          <w:rFonts w:ascii="MetaNormal-Roman" w:hAnsi="MetaNormal-Roman"/>
        </w:rPr>
        <w:t xml:space="preserve">also </w:t>
      </w:r>
      <w:r>
        <w:rPr>
          <w:rFonts w:ascii="MetaNormal-Roman" w:hAnsi="MetaNormal-Roman"/>
        </w:rPr>
        <w:t>recommend that the committee add the following sentence</w:t>
      </w:r>
      <w:r w:rsidR="00CF70DD">
        <w:rPr>
          <w:rFonts w:ascii="MetaNormal-Roman" w:hAnsi="MetaNormal-Roman"/>
        </w:rPr>
        <w:t xml:space="preserve"> a</w:t>
      </w:r>
      <w:r w:rsidR="004E6E23">
        <w:rPr>
          <w:rFonts w:ascii="MetaNormal-Roman" w:hAnsi="MetaNormal-Roman"/>
        </w:rPr>
        <w:t>fter</w:t>
      </w:r>
      <w:r>
        <w:rPr>
          <w:rFonts w:ascii="MetaNormal-Roman" w:hAnsi="MetaNormal-Roman"/>
        </w:rPr>
        <w:t xml:space="preserve"> this:</w:t>
      </w:r>
      <w:r w:rsidRPr="00F61CF3">
        <w:rPr>
          <w:rFonts w:ascii="MetaNormal-Roman" w:hAnsi="MetaNormal-Roman"/>
        </w:rPr>
        <w:t xml:space="preserve"> </w:t>
      </w:r>
      <w:r>
        <w:rPr>
          <w:rFonts w:ascii="MetaNormal-Roman" w:hAnsi="MetaNormal-Roman"/>
        </w:rPr>
        <w:t>“</w:t>
      </w:r>
      <w:r w:rsidRPr="00F61CF3">
        <w:rPr>
          <w:rFonts w:ascii="MetaNormal-Roman" w:hAnsi="MetaNormal-Roman"/>
        </w:rPr>
        <w:t xml:space="preserve">It is also concerned with the employer-tied visa systems, such as the </w:t>
      </w:r>
      <w:r w:rsidRPr="009C159F">
        <w:rPr>
          <w:rFonts w:ascii="MetaNormal-Roman" w:hAnsi="MetaNormal-Roman"/>
          <w:i/>
          <w:iCs/>
        </w:rPr>
        <w:t>kafala</w:t>
      </w:r>
      <w:r w:rsidRPr="00F61CF3">
        <w:rPr>
          <w:rFonts w:ascii="MetaNormal-Roman" w:hAnsi="MetaNormal-Roman"/>
        </w:rPr>
        <w:t xml:space="preserve"> (sponsorship) system, which gives employers control over migrant workers’ legal status in which employers’ can fail to issue or renew residency visas or report workers as ‘absconding’ leaving migrants liable to arrest and detention. Such systems have allowed employers to use the threat of deprivation of liberty to subject workers to abusive conditions including trafficking and forced labour.</w:t>
      </w:r>
      <w:r>
        <w:rPr>
          <w:rFonts w:ascii="MetaNormal-Roman" w:hAnsi="MetaNormal-Roman"/>
        </w:rPr>
        <w:t>”</w:t>
      </w:r>
    </w:p>
    <w:p w14:paraId="2304F1E5" w14:textId="47710BDA" w:rsidR="00391C4C" w:rsidRDefault="00B941B6">
      <w:pPr>
        <w:rPr>
          <w:rFonts w:ascii="MetaNormal-Roman" w:hAnsi="MetaNormal-Roman"/>
        </w:rPr>
      </w:pPr>
      <w:r w:rsidRPr="00DC69DF">
        <w:rPr>
          <w:rFonts w:ascii="MetaNormal-Roman" w:hAnsi="MetaNormal-Roman"/>
        </w:rPr>
        <w:t xml:space="preserve">We </w:t>
      </w:r>
      <w:r>
        <w:rPr>
          <w:rFonts w:ascii="MetaNormal-Roman" w:hAnsi="MetaNormal-Roman"/>
        </w:rPr>
        <w:t>believe the Committee should include such a</w:t>
      </w:r>
      <w:r w:rsidRPr="00DC69DF">
        <w:rPr>
          <w:rFonts w:ascii="MetaNormal-Roman" w:hAnsi="MetaNormal-Roman"/>
        </w:rPr>
        <w:t xml:space="preserve"> reference to employer tied-visa systems, </w:t>
      </w:r>
      <w:r>
        <w:rPr>
          <w:rFonts w:ascii="MetaNormal-Roman" w:hAnsi="MetaNormal-Roman"/>
        </w:rPr>
        <w:t xml:space="preserve">like the </w:t>
      </w:r>
      <w:r w:rsidRPr="00DC69DF">
        <w:rPr>
          <w:rFonts w:ascii="MetaNormal-Roman" w:hAnsi="MetaNormal-Roman"/>
          <w:i/>
          <w:iCs/>
        </w:rPr>
        <w:t>kafala</w:t>
      </w:r>
      <w:r w:rsidRPr="00DC69DF">
        <w:rPr>
          <w:rFonts w:ascii="MetaNormal-Roman" w:hAnsi="MetaNormal-Roman"/>
        </w:rPr>
        <w:t xml:space="preserve"> </w:t>
      </w:r>
      <w:r>
        <w:rPr>
          <w:rFonts w:ascii="MetaNormal-Roman" w:hAnsi="MetaNormal-Roman"/>
        </w:rPr>
        <w:t xml:space="preserve">(sponsorship) </w:t>
      </w:r>
      <w:r w:rsidRPr="00DC69DF">
        <w:rPr>
          <w:rFonts w:ascii="MetaNormal-Roman" w:hAnsi="MetaNormal-Roman"/>
        </w:rPr>
        <w:t>system</w:t>
      </w:r>
      <w:r>
        <w:rPr>
          <w:rFonts w:ascii="MetaNormal-Roman" w:hAnsi="MetaNormal-Roman"/>
        </w:rPr>
        <w:t>, which exists in varying degrees in the Middle East, as such systems allow employers to threaten and punish migrant workers with immigration detention</w:t>
      </w:r>
      <w:r w:rsidRPr="00DC69DF">
        <w:rPr>
          <w:rFonts w:ascii="MetaNormal-Roman" w:hAnsi="MetaNormal-Roman"/>
        </w:rPr>
        <w:t>.</w:t>
      </w:r>
      <w:r>
        <w:rPr>
          <w:rStyle w:val="FootnoteReference"/>
          <w:rFonts w:ascii="MetaNormal-Roman" w:hAnsi="MetaNormal-Roman"/>
        </w:rPr>
        <w:footnoteReference w:id="5"/>
      </w:r>
      <w:r>
        <w:rPr>
          <w:rFonts w:ascii="MetaNormal-Roman" w:hAnsi="MetaNormal-Roman"/>
        </w:rPr>
        <w:t xml:space="preserve"> </w:t>
      </w:r>
      <w:r w:rsidRPr="00DC69DF">
        <w:rPr>
          <w:rFonts w:ascii="MetaNormal-Roman" w:hAnsi="MetaNormal-Roman"/>
        </w:rPr>
        <w:t xml:space="preserve">Under these </w:t>
      </w:r>
      <w:r w:rsidRPr="00DC69DF">
        <w:rPr>
          <w:rFonts w:ascii="MetaNormal-Roman" w:hAnsi="MetaNormal-Roman"/>
        </w:rPr>
        <w:lastRenderedPageBreak/>
        <w:t>systems</w:t>
      </w:r>
      <w:r>
        <w:rPr>
          <w:rFonts w:ascii="MetaNormal-Roman" w:hAnsi="MetaNormal-Roman"/>
        </w:rPr>
        <w:t>, migrant</w:t>
      </w:r>
      <w:r w:rsidRPr="00DC69DF">
        <w:rPr>
          <w:rFonts w:ascii="MetaNormal-Roman" w:hAnsi="MetaNormal-Roman"/>
        </w:rPr>
        <w:t xml:space="preserve"> workers are sponsored by an employer</w:t>
      </w:r>
      <w:r>
        <w:rPr>
          <w:rFonts w:ascii="MetaNormal-Roman" w:hAnsi="MetaNormal-Roman"/>
        </w:rPr>
        <w:t xml:space="preserve"> to enter the country, and their employer has immense control over their legal status in the country, including </w:t>
      </w:r>
      <w:r w:rsidRPr="00DC69DF">
        <w:rPr>
          <w:rFonts w:ascii="MetaNormal-Roman" w:hAnsi="MetaNormal-Roman"/>
        </w:rPr>
        <w:t xml:space="preserve">control over </w:t>
      </w:r>
      <w:r>
        <w:rPr>
          <w:rFonts w:ascii="MetaNormal-Roman" w:hAnsi="MetaNormal-Roman"/>
        </w:rPr>
        <w:t xml:space="preserve">issuing or </w:t>
      </w:r>
      <w:r w:rsidRPr="00DC69DF">
        <w:rPr>
          <w:rFonts w:ascii="MetaNormal-Roman" w:hAnsi="MetaNormal-Roman"/>
        </w:rPr>
        <w:t>renewal of a migrant worker’s residence permit</w:t>
      </w:r>
      <w:r>
        <w:rPr>
          <w:rFonts w:ascii="MetaNormal-Roman" w:hAnsi="MetaNormal-Roman"/>
        </w:rPr>
        <w:t>, and can decide whether a migrant worker can leave or change jobs</w:t>
      </w:r>
      <w:r w:rsidR="00122F00">
        <w:rPr>
          <w:rFonts w:ascii="MetaNormal-Roman" w:hAnsi="MetaNormal-Roman"/>
        </w:rPr>
        <w:t>.</w:t>
      </w:r>
      <w:r w:rsidRPr="00DC69DF">
        <w:rPr>
          <w:rStyle w:val="FootnoteReference"/>
          <w:rFonts w:ascii="MetaNormal-Roman" w:hAnsi="MetaNormal-Roman"/>
        </w:rPr>
        <w:footnoteReference w:id="6"/>
      </w:r>
      <w:r w:rsidRPr="00DC69DF">
        <w:rPr>
          <w:rFonts w:ascii="MetaNormal-Roman" w:hAnsi="MetaNormal-Roman"/>
        </w:rPr>
        <w:t xml:space="preserve"> </w:t>
      </w:r>
      <w:r w:rsidR="004D7D1E">
        <w:rPr>
          <w:rFonts w:ascii="MetaNormal-Roman" w:hAnsi="MetaNormal-Roman"/>
        </w:rPr>
        <w:t xml:space="preserve">In some countries, </w:t>
      </w:r>
      <w:r w:rsidR="00D6501E">
        <w:rPr>
          <w:rFonts w:ascii="MetaNormal-Roman" w:hAnsi="MetaNormal-Roman"/>
        </w:rPr>
        <w:t>the tie to the employer extends to the</w:t>
      </w:r>
      <w:r w:rsidR="00277647">
        <w:rPr>
          <w:rFonts w:ascii="MetaNormal-Roman" w:hAnsi="MetaNormal-Roman"/>
        </w:rPr>
        <w:t xml:space="preserve"> migrant</w:t>
      </w:r>
      <w:r w:rsidR="00D6501E">
        <w:rPr>
          <w:rFonts w:ascii="MetaNormal-Roman" w:hAnsi="MetaNormal-Roman"/>
        </w:rPr>
        <w:t xml:space="preserve"> workers’ residence.</w:t>
      </w:r>
      <w:r w:rsidR="00277647">
        <w:rPr>
          <w:rFonts w:ascii="MetaNormal-Roman" w:hAnsi="MetaNormal-Roman"/>
        </w:rPr>
        <w:t xml:space="preserve"> Workers </w:t>
      </w:r>
      <w:r w:rsidR="003F6244">
        <w:rPr>
          <w:rFonts w:ascii="MetaNormal-Roman" w:hAnsi="MetaNormal-Roman"/>
        </w:rPr>
        <w:t>may be required to live</w:t>
      </w:r>
      <w:r w:rsidR="00B9401D">
        <w:rPr>
          <w:rFonts w:ascii="MetaNormal-Roman" w:hAnsi="MetaNormal-Roman"/>
        </w:rPr>
        <w:t xml:space="preserve"> at the</w:t>
      </w:r>
      <w:r w:rsidR="00936EAC">
        <w:rPr>
          <w:rFonts w:ascii="MetaNormal-Roman" w:hAnsi="MetaNormal-Roman"/>
        </w:rPr>
        <w:t xml:space="preserve">ir employer’s </w:t>
      </w:r>
      <w:r w:rsidR="00113C88">
        <w:rPr>
          <w:rFonts w:ascii="MetaNormal-Roman" w:hAnsi="MetaNormal-Roman"/>
        </w:rPr>
        <w:t>residence, severely restricting their liberty of movement.</w:t>
      </w:r>
      <w:r w:rsidR="00B0304B">
        <w:rPr>
          <w:rStyle w:val="FootnoteReference"/>
          <w:rFonts w:ascii="MetaNormal-Roman" w:hAnsi="MetaNormal-Roman"/>
        </w:rPr>
        <w:footnoteReference w:id="7"/>
      </w:r>
      <w:r w:rsidR="00113C88">
        <w:rPr>
          <w:rFonts w:ascii="MetaNormal-Roman" w:hAnsi="MetaNormal-Roman"/>
        </w:rPr>
        <w:t xml:space="preserve"> </w:t>
      </w:r>
      <w:r w:rsidRPr="00DC69DF">
        <w:rPr>
          <w:rFonts w:ascii="MetaNormal-Roman" w:hAnsi="MetaNormal-Roman"/>
        </w:rPr>
        <w:t xml:space="preserve">Migrant workers </w:t>
      </w:r>
      <w:r>
        <w:rPr>
          <w:rFonts w:ascii="MetaNormal-Roman" w:hAnsi="MetaNormal-Roman"/>
        </w:rPr>
        <w:t>may</w:t>
      </w:r>
      <w:r w:rsidRPr="00DC69DF">
        <w:rPr>
          <w:rFonts w:ascii="MetaNormal-Roman" w:hAnsi="MetaNormal-Roman"/>
        </w:rPr>
        <w:t xml:space="preserve"> be punished with imprisonment, fines and deportation for </w:t>
      </w:r>
      <w:r>
        <w:rPr>
          <w:rFonts w:ascii="MetaNormal-Roman" w:hAnsi="MetaNormal-Roman"/>
        </w:rPr>
        <w:t xml:space="preserve">“absconding” - </w:t>
      </w:r>
      <w:r w:rsidRPr="00DC69DF">
        <w:rPr>
          <w:rFonts w:ascii="MetaNormal-Roman" w:hAnsi="MetaNormal-Roman"/>
        </w:rPr>
        <w:t>leaving their employer without obtaining permission.</w:t>
      </w:r>
      <w:r w:rsidRPr="00DC69DF">
        <w:rPr>
          <w:rStyle w:val="FootnoteReference"/>
          <w:rFonts w:ascii="MetaNormal-Roman" w:hAnsi="MetaNormal-Roman"/>
        </w:rPr>
        <w:footnoteReference w:id="8"/>
      </w:r>
      <w:r w:rsidRPr="00DC69DF">
        <w:rPr>
          <w:rFonts w:ascii="MetaNormal-Roman" w:hAnsi="MetaNormal-Roman"/>
        </w:rPr>
        <w:t xml:space="preserve"> Human Rights Watch research has shown that these systems can lead to extortion and abuse by employers,</w:t>
      </w:r>
      <w:r>
        <w:rPr>
          <w:rFonts w:ascii="MetaNormal-Roman" w:hAnsi="MetaNormal-Roman"/>
        </w:rPr>
        <w:t xml:space="preserve"> including forcing workers to work without pay, or delayed wages, long working hours, and other abuse that can amount to forced labor. Employers</w:t>
      </w:r>
      <w:r w:rsidRPr="00DC69DF">
        <w:rPr>
          <w:rFonts w:ascii="MetaNormal-Roman" w:hAnsi="MetaNormal-Roman"/>
        </w:rPr>
        <w:t xml:space="preserve"> may retaliate against workers by </w:t>
      </w:r>
      <w:r>
        <w:rPr>
          <w:rFonts w:ascii="MetaNormal-Roman" w:hAnsi="MetaNormal-Roman"/>
        </w:rPr>
        <w:t xml:space="preserve">threatening to not issue or renew their residency or </w:t>
      </w:r>
      <w:r w:rsidRPr="00DC69DF">
        <w:rPr>
          <w:rFonts w:ascii="MetaNormal-Roman" w:hAnsi="MetaNormal-Roman"/>
        </w:rPr>
        <w:t>report them for “absconding</w:t>
      </w:r>
      <w:r w:rsidR="00B0689B">
        <w:rPr>
          <w:rFonts w:ascii="MetaNormal-Roman" w:hAnsi="MetaNormal-Roman"/>
        </w:rPr>
        <w:t>,</w:t>
      </w:r>
      <w:r w:rsidRPr="00DC69DF">
        <w:rPr>
          <w:rFonts w:ascii="MetaNormal-Roman" w:hAnsi="MetaNormal-Roman"/>
        </w:rPr>
        <w:t>”</w:t>
      </w:r>
      <w:r>
        <w:rPr>
          <w:rFonts w:ascii="MetaNormal-Roman" w:hAnsi="MetaNormal-Roman"/>
        </w:rPr>
        <w:t xml:space="preserve"> which automatically leaves workers undocumented and liable to arrest</w:t>
      </w:r>
      <w:r w:rsidR="00CB3E0E">
        <w:rPr>
          <w:rFonts w:ascii="MetaNormal-Roman" w:hAnsi="MetaNormal-Roman"/>
        </w:rPr>
        <w:t>.</w:t>
      </w:r>
      <w:r w:rsidRPr="00DC69DF">
        <w:rPr>
          <w:rStyle w:val="FootnoteReference"/>
          <w:rFonts w:ascii="MetaNormal-Roman" w:hAnsi="MetaNormal-Roman"/>
        </w:rPr>
        <w:footnoteReference w:id="9"/>
      </w:r>
      <w:r w:rsidRPr="00DC69DF">
        <w:rPr>
          <w:rFonts w:ascii="MetaNormal-Roman" w:hAnsi="MetaNormal-Roman"/>
        </w:rPr>
        <w:t xml:space="preserve"> </w:t>
      </w:r>
      <w:r>
        <w:rPr>
          <w:rFonts w:ascii="MetaNormal-Roman" w:hAnsi="MetaNormal-Roman"/>
        </w:rPr>
        <w:t>Migrant domestic workers who escaped their employers’ homes and</w:t>
      </w:r>
      <w:r w:rsidR="00DD1D2D">
        <w:rPr>
          <w:rFonts w:ascii="MetaNormal-Roman" w:hAnsi="MetaNormal-Roman"/>
        </w:rPr>
        <w:t xml:space="preserve"> </w:t>
      </w:r>
      <w:r>
        <w:rPr>
          <w:rFonts w:ascii="MetaNormal-Roman" w:hAnsi="MetaNormal-Roman"/>
        </w:rPr>
        <w:t xml:space="preserve">attempted to report abuse to police </w:t>
      </w:r>
      <w:r w:rsidR="00DD1D2D">
        <w:rPr>
          <w:rFonts w:ascii="MetaNormal-Roman" w:hAnsi="MetaNormal-Roman"/>
        </w:rPr>
        <w:t xml:space="preserve">said they were </w:t>
      </w:r>
      <w:r>
        <w:rPr>
          <w:rFonts w:ascii="MetaNormal-Roman" w:hAnsi="MetaNormal-Roman"/>
        </w:rPr>
        <w:t xml:space="preserve">arrested </w:t>
      </w:r>
      <w:r w:rsidR="00DD1D2D">
        <w:rPr>
          <w:rFonts w:ascii="MetaNormal-Roman" w:hAnsi="MetaNormal-Roman"/>
        </w:rPr>
        <w:t xml:space="preserve">instead </w:t>
      </w:r>
      <w:r>
        <w:rPr>
          <w:rFonts w:ascii="MetaNormal-Roman" w:hAnsi="MetaNormal-Roman"/>
        </w:rPr>
        <w:t>for ‘absconding’ and returned to their employers or subject to detention before deportation.</w:t>
      </w:r>
      <w:r w:rsidR="00DD1D2D">
        <w:rPr>
          <w:rStyle w:val="FootnoteReference"/>
          <w:rFonts w:ascii="MetaNormal-Roman" w:hAnsi="MetaNormal-Roman"/>
        </w:rPr>
        <w:footnoteReference w:id="10"/>
      </w:r>
      <w:r>
        <w:rPr>
          <w:rFonts w:ascii="MetaNormal-Roman" w:hAnsi="MetaNormal-Roman"/>
        </w:rPr>
        <w:t xml:space="preserve"> </w:t>
      </w:r>
      <w:r w:rsidR="00DD1D2D">
        <w:rPr>
          <w:rFonts w:ascii="MetaNormal-Roman" w:hAnsi="MetaNormal-Roman"/>
        </w:rPr>
        <w:t>Th</w:t>
      </w:r>
      <w:r w:rsidR="0010797E">
        <w:rPr>
          <w:rFonts w:ascii="MetaNormal-Roman" w:hAnsi="MetaNormal-Roman"/>
        </w:rPr>
        <w:t xml:space="preserve">is issue has worsened during the </w:t>
      </w:r>
      <w:r w:rsidR="008339AA">
        <w:rPr>
          <w:rFonts w:ascii="MetaNormal-Roman" w:hAnsi="MetaNormal-Roman"/>
        </w:rPr>
        <w:t>Covid</w:t>
      </w:r>
      <w:r w:rsidRPr="00DC69DF">
        <w:rPr>
          <w:rFonts w:ascii="MetaNormal-Roman" w:hAnsi="MetaNormal-Roman"/>
        </w:rPr>
        <w:t>-19</w:t>
      </w:r>
      <w:r w:rsidR="00DD1D2D">
        <w:rPr>
          <w:rFonts w:ascii="MetaNormal-Roman" w:hAnsi="MetaNormal-Roman"/>
        </w:rPr>
        <w:t xml:space="preserve"> pandemic</w:t>
      </w:r>
      <w:r w:rsidRPr="00DC69DF">
        <w:rPr>
          <w:rFonts w:ascii="MetaNormal-Roman" w:hAnsi="MetaNormal-Roman"/>
        </w:rPr>
        <w:t>, with employers using the pandemic as an excuse to withhold wages</w:t>
      </w:r>
      <w:r w:rsidR="00DD1D2D">
        <w:rPr>
          <w:rFonts w:ascii="MetaNormal-Roman" w:hAnsi="MetaNormal-Roman"/>
        </w:rPr>
        <w:t xml:space="preserve"> or to abuse migrant workers even further</w:t>
      </w:r>
      <w:r w:rsidRPr="00DC69DF">
        <w:rPr>
          <w:rFonts w:ascii="MetaNormal-Roman" w:hAnsi="MetaNormal-Roman"/>
        </w:rPr>
        <w:t>.</w:t>
      </w:r>
      <w:r w:rsidRPr="00DC69DF">
        <w:rPr>
          <w:rStyle w:val="FootnoteReference"/>
          <w:rFonts w:ascii="MetaNormal-Roman" w:hAnsi="MetaNormal-Roman"/>
        </w:rPr>
        <w:footnoteReference w:id="11"/>
      </w:r>
      <w:r w:rsidR="00391C4C">
        <w:rPr>
          <w:rFonts w:ascii="MetaNormal-Roman" w:hAnsi="MetaNormal-Roman"/>
        </w:rPr>
        <w:t xml:space="preserve"> </w:t>
      </w:r>
    </w:p>
    <w:p w14:paraId="06013609" w14:textId="011BCFF1" w:rsidR="005D001C" w:rsidRDefault="0097534B">
      <w:pPr>
        <w:rPr>
          <w:rFonts w:ascii="MetaNormal-Roman" w:hAnsi="MetaNormal-Roman"/>
        </w:rPr>
      </w:pPr>
      <w:r>
        <w:rPr>
          <w:rFonts w:ascii="MetaNormal-Roman" w:hAnsi="MetaNormal-Roman"/>
        </w:rPr>
        <w:t xml:space="preserve">We suggest that </w:t>
      </w:r>
      <w:r w:rsidR="00543962">
        <w:rPr>
          <w:rFonts w:ascii="MetaNormal-Roman" w:hAnsi="MetaNormal-Roman"/>
        </w:rPr>
        <w:t xml:space="preserve">you remove the first sentence of paragraph 20. Referring to immigration detention as an </w:t>
      </w:r>
      <w:r w:rsidR="00AF0765">
        <w:rPr>
          <w:rFonts w:ascii="MetaNormal-Roman" w:hAnsi="MetaNormal-Roman"/>
        </w:rPr>
        <w:t>“</w:t>
      </w:r>
      <w:r w:rsidR="00543962">
        <w:rPr>
          <w:rFonts w:ascii="MetaNormal-Roman" w:hAnsi="MetaNormal-Roman"/>
        </w:rPr>
        <w:t>undesirable measure</w:t>
      </w:r>
      <w:r w:rsidR="00AF0765">
        <w:rPr>
          <w:rFonts w:ascii="MetaNormal-Roman" w:hAnsi="MetaNormal-Roman"/>
        </w:rPr>
        <w:t>”</w:t>
      </w:r>
      <w:r w:rsidR="00543962">
        <w:rPr>
          <w:rFonts w:ascii="MetaNormal-Roman" w:hAnsi="MetaNormal-Roman"/>
        </w:rPr>
        <w:t xml:space="preserve"> </w:t>
      </w:r>
      <w:r w:rsidR="002428E4">
        <w:rPr>
          <w:rFonts w:ascii="MetaNormal-Roman" w:hAnsi="MetaNormal-Roman"/>
        </w:rPr>
        <w:t>may</w:t>
      </w:r>
      <w:r w:rsidR="00211F87">
        <w:rPr>
          <w:rFonts w:ascii="MetaNormal-Roman" w:hAnsi="MetaNormal-Roman"/>
        </w:rPr>
        <w:t xml:space="preserve"> </w:t>
      </w:r>
      <w:r w:rsidR="00D80805">
        <w:rPr>
          <w:rFonts w:ascii="MetaNormal-Roman" w:hAnsi="MetaNormal-Roman"/>
        </w:rPr>
        <w:t xml:space="preserve">appear to </w:t>
      </w:r>
      <w:r w:rsidR="00211F87">
        <w:rPr>
          <w:rFonts w:ascii="MetaNormal-Roman" w:hAnsi="MetaNormal-Roman"/>
        </w:rPr>
        <w:t>minimize</w:t>
      </w:r>
      <w:r w:rsidR="000741AC">
        <w:rPr>
          <w:rFonts w:ascii="MetaNormal-Roman" w:hAnsi="MetaNormal-Roman"/>
        </w:rPr>
        <w:t xml:space="preserve"> the </w:t>
      </w:r>
      <w:r w:rsidR="008F3672">
        <w:rPr>
          <w:rFonts w:ascii="MetaNormal-Roman" w:hAnsi="MetaNormal-Roman"/>
        </w:rPr>
        <w:t xml:space="preserve">Committee’s position </w:t>
      </w:r>
      <w:r w:rsidR="000741AC">
        <w:rPr>
          <w:rFonts w:ascii="MetaNormal-Roman" w:hAnsi="MetaNormal-Roman"/>
        </w:rPr>
        <w:t xml:space="preserve">of </w:t>
      </w:r>
      <w:r w:rsidR="00130FF4">
        <w:rPr>
          <w:rFonts w:ascii="MetaNormal-Roman" w:hAnsi="MetaNormal-Roman"/>
        </w:rPr>
        <w:t xml:space="preserve">using </w:t>
      </w:r>
      <w:r w:rsidR="000741AC">
        <w:rPr>
          <w:rFonts w:ascii="MetaNormal-Roman" w:hAnsi="MetaNormal-Roman"/>
        </w:rPr>
        <w:t>detention as a</w:t>
      </w:r>
      <w:r w:rsidR="00D80805">
        <w:rPr>
          <w:rFonts w:ascii="MetaNormal-Roman" w:hAnsi="MetaNormal-Roman"/>
        </w:rPr>
        <w:t>n exceptional measure of</w:t>
      </w:r>
      <w:r w:rsidR="000C6D5D">
        <w:rPr>
          <w:rFonts w:ascii="MetaNormal-Roman" w:hAnsi="MetaNormal-Roman"/>
        </w:rPr>
        <w:t xml:space="preserve"> </w:t>
      </w:r>
      <w:r w:rsidR="000741AC">
        <w:rPr>
          <w:rFonts w:ascii="MetaNormal-Roman" w:hAnsi="MetaNormal-Roman"/>
        </w:rPr>
        <w:t>last resort</w:t>
      </w:r>
      <w:r w:rsidR="005127BD">
        <w:rPr>
          <w:rFonts w:ascii="MetaNormal-Roman" w:hAnsi="MetaNormal-Roman"/>
        </w:rPr>
        <w:t xml:space="preserve">. </w:t>
      </w:r>
      <w:r w:rsidR="0005395F">
        <w:rPr>
          <w:rFonts w:ascii="MetaNormal-Roman" w:hAnsi="MetaNormal-Roman"/>
        </w:rPr>
        <w:t>Instead, we recommend that you begin paragraph 20 with the second sentence</w:t>
      </w:r>
      <w:r w:rsidR="002B1A08">
        <w:rPr>
          <w:rFonts w:ascii="MetaNormal-Roman" w:hAnsi="MetaNormal-Roman"/>
        </w:rPr>
        <w:t>:</w:t>
      </w:r>
      <w:r w:rsidR="008C77C1">
        <w:rPr>
          <w:rFonts w:ascii="MetaNormal-Roman" w:hAnsi="MetaNormal-Roman"/>
        </w:rPr>
        <w:t xml:space="preserve"> “There should always be a presumption against detention and therefore in favour of freedom.”</w:t>
      </w:r>
      <w:r w:rsidR="000B6297">
        <w:rPr>
          <w:rFonts w:ascii="MetaNormal-Roman" w:hAnsi="MetaNormal-Roman"/>
        </w:rPr>
        <w:t xml:space="preserve"> This sentence </w:t>
      </w:r>
      <w:r w:rsidR="00F93DCD">
        <w:rPr>
          <w:rFonts w:ascii="MetaNormal-Roman" w:hAnsi="MetaNormal-Roman"/>
        </w:rPr>
        <w:t xml:space="preserve">reflects the views of the Committee that </w:t>
      </w:r>
      <w:r w:rsidR="00EF5518">
        <w:rPr>
          <w:rFonts w:ascii="MetaNormal-Roman" w:hAnsi="MetaNormal-Roman"/>
        </w:rPr>
        <w:t>immigration detention should be an exceptional measure of last resort</w:t>
      </w:r>
      <w:r w:rsidR="00DF272D">
        <w:rPr>
          <w:rFonts w:ascii="MetaNormal-Roman" w:hAnsi="MetaNormal-Roman"/>
        </w:rPr>
        <w:t>.</w:t>
      </w:r>
      <w:r w:rsidR="00DF549A">
        <w:rPr>
          <w:rFonts w:ascii="MetaNormal-Roman" w:hAnsi="MetaNormal-Roman"/>
        </w:rPr>
        <w:t xml:space="preserve"> Including this at the beginning of the paragraph</w:t>
      </w:r>
      <w:r w:rsidR="00EF5518">
        <w:rPr>
          <w:rFonts w:ascii="MetaNormal-Roman" w:hAnsi="MetaNormal-Roman"/>
        </w:rPr>
        <w:t xml:space="preserve"> </w:t>
      </w:r>
      <w:r w:rsidR="00A6562F">
        <w:rPr>
          <w:rFonts w:ascii="MetaNormal-Roman" w:hAnsi="MetaNormal-Roman"/>
        </w:rPr>
        <w:t>ensures that th</w:t>
      </w:r>
      <w:r w:rsidR="00DF549A">
        <w:rPr>
          <w:rFonts w:ascii="MetaNormal-Roman" w:hAnsi="MetaNormal-Roman"/>
        </w:rPr>
        <w:t xml:space="preserve">e Committee’s </w:t>
      </w:r>
      <w:r w:rsidR="00A6562F">
        <w:rPr>
          <w:rFonts w:ascii="MetaNormal-Roman" w:hAnsi="MetaNormal-Roman"/>
        </w:rPr>
        <w:t>message is communicated clearly</w:t>
      </w:r>
      <w:r w:rsidR="002914CE">
        <w:rPr>
          <w:rFonts w:ascii="MetaNormal-Roman" w:hAnsi="MetaNormal-Roman"/>
        </w:rPr>
        <w:t xml:space="preserve"> and prevents the risk of reducing </w:t>
      </w:r>
      <w:r w:rsidR="00AF0765">
        <w:rPr>
          <w:rFonts w:ascii="MetaNormal-Roman" w:hAnsi="MetaNormal-Roman"/>
        </w:rPr>
        <w:t>immigration detention to</w:t>
      </w:r>
      <w:r w:rsidR="004466E0">
        <w:rPr>
          <w:rFonts w:ascii="MetaNormal-Roman" w:hAnsi="MetaNormal-Roman"/>
        </w:rPr>
        <w:t xml:space="preserve"> </w:t>
      </w:r>
      <w:r w:rsidR="008B1B4D">
        <w:rPr>
          <w:rFonts w:ascii="MetaNormal-Roman" w:hAnsi="MetaNormal-Roman"/>
        </w:rPr>
        <w:t>an</w:t>
      </w:r>
      <w:r w:rsidR="00AF0765">
        <w:rPr>
          <w:rFonts w:ascii="MetaNormal-Roman" w:hAnsi="MetaNormal-Roman"/>
        </w:rPr>
        <w:t xml:space="preserve"> “undesirable measure</w:t>
      </w:r>
      <w:r w:rsidR="004466E0">
        <w:rPr>
          <w:rFonts w:ascii="MetaNormal-Roman" w:hAnsi="MetaNormal-Roman"/>
        </w:rPr>
        <w:t xml:space="preserve">,” rather than a </w:t>
      </w:r>
      <w:r w:rsidR="000C16BE">
        <w:rPr>
          <w:rFonts w:ascii="MetaNormal-Roman" w:hAnsi="MetaNormal-Roman"/>
        </w:rPr>
        <w:t xml:space="preserve">recourse to be </w:t>
      </w:r>
      <w:r w:rsidR="007B6F59">
        <w:rPr>
          <w:rFonts w:ascii="MetaNormal-Roman" w:hAnsi="MetaNormal-Roman"/>
        </w:rPr>
        <w:t>implemented</w:t>
      </w:r>
      <w:r w:rsidR="000C16BE">
        <w:rPr>
          <w:rFonts w:ascii="MetaNormal-Roman" w:hAnsi="MetaNormal-Roman"/>
        </w:rPr>
        <w:t xml:space="preserve"> only when all other options have been exhausted.</w:t>
      </w:r>
      <w:r w:rsidR="008B1B4D">
        <w:rPr>
          <w:rFonts w:ascii="MetaNormal-Roman" w:hAnsi="MetaNormal-Roman"/>
        </w:rPr>
        <w:t xml:space="preserve"> </w:t>
      </w:r>
    </w:p>
    <w:p w14:paraId="356401F4" w14:textId="08BBDB3F" w:rsidR="008B4360" w:rsidRDefault="005D001C">
      <w:pPr>
        <w:rPr>
          <w:rFonts w:ascii="MetaNormal-Roman" w:hAnsi="MetaNormal-Roman"/>
        </w:rPr>
      </w:pPr>
      <w:r>
        <w:rPr>
          <w:rFonts w:ascii="MetaNormal-Roman" w:hAnsi="MetaNormal-Roman"/>
        </w:rPr>
        <w:t xml:space="preserve">Paragraph 20 </w:t>
      </w:r>
      <w:r w:rsidR="00705299">
        <w:rPr>
          <w:rFonts w:ascii="MetaNormal-Roman" w:hAnsi="MetaNormal-Roman"/>
        </w:rPr>
        <w:t>calls for</w:t>
      </w:r>
      <w:r w:rsidR="00496F52" w:rsidRPr="00DC69DF">
        <w:rPr>
          <w:rFonts w:ascii="MetaNormal-Roman" w:hAnsi="MetaNormal-Roman"/>
        </w:rPr>
        <w:t xml:space="preserve"> context-specific assessment</w:t>
      </w:r>
      <w:r w:rsidR="00490895">
        <w:rPr>
          <w:rFonts w:ascii="MetaNormal-Roman" w:hAnsi="MetaNormal-Roman"/>
        </w:rPr>
        <w:t>s</w:t>
      </w:r>
      <w:r w:rsidR="00496F52" w:rsidRPr="00DC69DF">
        <w:rPr>
          <w:rFonts w:ascii="MetaNormal-Roman" w:hAnsi="MetaNormal-Roman"/>
        </w:rPr>
        <w:t xml:space="preserve"> </w:t>
      </w:r>
      <w:r w:rsidR="002747A3" w:rsidRPr="00DC69DF">
        <w:rPr>
          <w:rFonts w:ascii="MetaNormal-Roman" w:hAnsi="MetaNormal-Roman"/>
        </w:rPr>
        <w:t>in determining the necessity of detention of migrants and members of their families. We are pleased to see this languag</w:t>
      </w:r>
      <w:r w:rsidR="00342780">
        <w:rPr>
          <w:rFonts w:ascii="MetaNormal-Roman" w:hAnsi="MetaNormal-Roman"/>
        </w:rPr>
        <w:t>e</w:t>
      </w:r>
      <w:r w:rsidR="00B72AED">
        <w:rPr>
          <w:rFonts w:ascii="MetaNormal-Roman" w:hAnsi="MetaNormal-Roman"/>
        </w:rPr>
        <w:t xml:space="preserve"> </w:t>
      </w:r>
      <w:r w:rsidR="00342780">
        <w:rPr>
          <w:rFonts w:ascii="MetaNormal-Roman" w:hAnsi="MetaNormal-Roman"/>
        </w:rPr>
        <w:t>but</w:t>
      </w:r>
      <w:r w:rsidR="00B72AED">
        <w:rPr>
          <w:rFonts w:ascii="MetaNormal-Roman" w:hAnsi="MetaNormal-Roman"/>
        </w:rPr>
        <w:t xml:space="preserve"> recommend that </w:t>
      </w:r>
      <w:r w:rsidR="006E05D2">
        <w:rPr>
          <w:rFonts w:ascii="MetaNormal-Roman" w:hAnsi="MetaNormal-Roman"/>
        </w:rPr>
        <w:t xml:space="preserve">the Committee </w:t>
      </w:r>
      <w:r w:rsidR="003D4A20">
        <w:rPr>
          <w:rFonts w:ascii="MetaNormal-Roman" w:hAnsi="MetaNormal-Roman"/>
        </w:rPr>
        <w:t>clarify the</w:t>
      </w:r>
      <w:r w:rsidR="00FD38A5">
        <w:rPr>
          <w:rFonts w:ascii="MetaNormal-Roman" w:hAnsi="MetaNormal-Roman"/>
        </w:rPr>
        <w:t xml:space="preserve"> requirements</w:t>
      </w:r>
      <w:r w:rsidR="002B6B02">
        <w:rPr>
          <w:rFonts w:ascii="MetaNormal-Roman" w:hAnsi="MetaNormal-Roman"/>
        </w:rPr>
        <w:t xml:space="preserve"> for carrying out </w:t>
      </w:r>
      <w:r w:rsidR="00236AE4">
        <w:rPr>
          <w:rFonts w:ascii="MetaNormal-Roman" w:hAnsi="MetaNormal-Roman"/>
        </w:rPr>
        <w:t>these</w:t>
      </w:r>
      <w:r w:rsidR="002B6B02">
        <w:rPr>
          <w:rFonts w:ascii="MetaNormal-Roman" w:hAnsi="MetaNormal-Roman"/>
        </w:rPr>
        <w:t xml:space="preserve"> assessments. </w:t>
      </w:r>
      <w:r w:rsidR="00D23F5E">
        <w:rPr>
          <w:rFonts w:ascii="MetaNormal-Roman" w:hAnsi="MetaNormal-Roman"/>
        </w:rPr>
        <w:t xml:space="preserve">We suggest that you include </w:t>
      </w:r>
      <w:r w:rsidR="002A400C">
        <w:rPr>
          <w:rFonts w:ascii="MetaNormal-Roman" w:hAnsi="MetaNormal-Roman"/>
        </w:rPr>
        <w:t xml:space="preserve">language calling upon </w:t>
      </w:r>
      <w:r w:rsidR="00196CC2">
        <w:rPr>
          <w:rFonts w:ascii="MetaNormal-Roman" w:hAnsi="MetaNormal-Roman"/>
        </w:rPr>
        <w:t xml:space="preserve">relevant authorities </w:t>
      </w:r>
      <w:r w:rsidR="002A400C">
        <w:rPr>
          <w:rFonts w:ascii="MetaNormal-Roman" w:hAnsi="MetaNormal-Roman"/>
        </w:rPr>
        <w:t>to</w:t>
      </w:r>
      <w:r w:rsidR="00236AE4">
        <w:rPr>
          <w:rFonts w:ascii="MetaNormal-Roman" w:hAnsi="MetaNormal-Roman"/>
        </w:rPr>
        <w:t xml:space="preserve"> carry out </w:t>
      </w:r>
      <w:r w:rsidR="00236AE4" w:rsidRPr="00846B88">
        <w:rPr>
          <w:rFonts w:ascii="MetaNormal-Roman" w:hAnsi="MetaNormal-Roman"/>
          <w:i/>
          <w:iCs/>
        </w:rPr>
        <w:t>individualized</w:t>
      </w:r>
      <w:r w:rsidR="00236AE4">
        <w:rPr>
          <w:rFonts w:ascii="MetaNormal-Roman" w:hAnsi="MetaNormal-Roman"/>
        </w:rPr>
        <w:t xml:space="preserve"> </w:t>
      </w:r>
      <w:r w:rsidR="00E73E00">
        <w:rPr>
          <w:rFonts w:ascii="MetaNormal-Roman" w:hAnsi="MetaNormal-Roman"/>
        </w:rPr>
        <w:t>context-specific assessments</w:t>
      </w:r>
      <w:r w:rsidR="00C31B3E">
        <w:rPr>
          <w:rFonts w:ascii="MetaNormal-Roman" w:hAnsi="MetaNormal-Roman"/>
        </w:rPr>
        <w:t xml:space="preserve"> of the migrant’s personal situation and </w:t>
      </w:r>
      <w:r w:rsidR="00986D69">
        <w:rPr>
          <w:rFonts w:ascii="MetaNormal-Roman" w:hAnsi="MetaNormal-Roman"/>
        </w:rPr>
        <w:t xml:space="preserve">ensure that </w:t>
      </w:r>
      <w:r w:rsidR="007071E9">
        <w:rPr>
          <w:rFonts w:ascii="MetaNormal-Roman" w:hAnsi="MetaNormal-Roman"/>
        </w:rPr>
        <w:t xml:space="preserve">the period for detaining that </w:t>
      </w:r>
      <w:r w:rsidR="007071E9">
        <w:rPr>
          <w:rFonts w:ascii="MetaNormal-Roman" w:hAnsi="MetaNormal-Roman"/>
        </w:rPr>
        <w:lastRenderedPageBreak/>
        <w:t xml:space="preserve">person is as short as possible. </w:t>
      </w:r>
      <w:r w:rsidR="001C5B09">
        <w:rPr>
          <w:rFonts w:ascii="MetaNormal-Roman" w:hAnsi="MetaNormal-Roman"/>
        </w:rPr>
        <w:t>This</w:t>
      </w:r>
      <w:r w:rsidR="006E05D2">
        <w:rPr>
          <w:rFonts w:ascii="MetaNormal-Roman" w:hAnsi="MetaNormal-Roman"/>
        </w:rPr>
        <w:t xml:space="preserve"> language</w:t>
      </w:r>
      <w:r w:rsidR="001C5B09">
        <w:rPr>
          <w:rFonts w:ascii="MetaNormal-Roman" w:hAnsi="MetaNormal-Roman"/>
        </w:rPr>
        <w:t xml:space="preserve"> would</w:t>
      </w:r>
      <w:r w:rsidR="00F93695">
        <w:rPr>
          <w:rFonts w:ascii="MetaNormal-Roman" w:hAnsi="MetaNormal-Roman"/>
        </w:rPr>
        <w:t xml:space="preserve"> provide guidance to </w:t>
      </w:r>
      <w:r w:rsidR="00D52912">
        <w:rPr>
          <w:rFonts w:ascii="MetaNormal-Roman" w:hAnsi="MetaNormal-Roman"/>
        </w:rPr>
        <w:t>s</w:t>
      </w:r>
      <w:r w:rsidR="00F93695">
        <w:rPr>
          <w:rFonts w:ascii="MetaNormal-Roman" w:hAnsi="MetaNormal-Roman"/>
        </w:rPr>
        <w:t>tates in conducting such assessments.</w:t>
      </w:r>
    </w:p>
    <w:p w14:paraId="2A696F97" w14:textId="103F8013" w:rsidR="001311C9" w:rsidRDefault="001311C9">
      <w:pPr>
        <w:rPr>
          <w:rFonts w:ascii="MetaNormal-Roman" w:hAnsi="MetaNormal-Roman"/>
        </w:rPr>
      </w:pPr>
      <w:r>
        <w:rPr>
          <w:rFonts w:ascii="MetaNormal-Roman" w:hAnsi="MetaNormal-Roman"/>
        </w:rPr>
        <w:t xml:space="preserve">Paragraph 23 </w:t>
      </w:r>
      <w:r w:rsidR="00B351E1">
        <w:rPr>
          <w:rFonts w:ascii="MetaNormal-Roman" w:hAnsi="MetaNormal-Roman"/>
        </w:rPr>
        <w:t xml:space="preserve">notes that the Special Rapporteur on the human rights of migrants and the Office of the United Nations High Commissioner for Refugees (UNHCR) </w:t>
      </w:r>
      <w:r w:rsidR="0064293E">
        <w:rPr>
          <w:rFonts w:ascii="MetaNormal-Roman" w:hAnsi="MetaNormal-Roman"/>
        </w:rPr>
        <w:t xml:space="preserve">have indicated that “immigration detention can be justified only if a person poses a danger to himself or herself or to society, or if there is a risk that he or she will avoid administrative or other proceedings.” </w:t>
      </w:r>
      <w:r w:rsidR="00F004D8">
        <w:rPr>
          <w:rFonts w:ascii="MetaNormal-Roman" w:hAnsi="MetaNormal-Roman"/>
        </w:rPr>
        <w:t xml:space="preserve">If immigration authorities are able to detain migrants </w:t>
      </w:r>
      <w:r w:rsidR="00DA5582">
        <w:rPr>
          <w:rFonts w:ascii="MetaNormal-Roman" w:hAnsi="MetaNormal-Roman"/>
        </w:rPr>
        <w:t>because</w:t>
      </w:r>
      <w:r w:rsidR="00F004D8">
        <w:rPr>
          <w:rFonts w:ascii="MetaNormal-Roman" w:hAnsi="MetaNormal-Roman"/>
        </w:rPr>
        <w:t xml:space="preserve"> there is a</w:t>
      </w:r>
      <w:r w:rsidR="00E346EC">
        <w:rPr>
          <w:rFonts w:ascii="MetaNormal-Roman" w:hAnsi="MetaNormal-Roman"/>
        </w:rPr>
        <w:t xml:space="preserve"> possibility of</w:t>
      </w:r>
      <w:r w:rsidR="00F004D8">
        <w:rPr>
          <w:rFonts w:ascii="MetaNormal-Roman" w:hAnsi="MetaNormal-Roman"/>
        </w:rPr>
        <w:t xml:space="preserve"> avoiding administrative proceedings, there is a risk that they will use detention as a means to coerce </w:t>
      </w:r>
      <w:r w:rsidR="00817C9D">
        <w:rPr>
          <w:rFonts w:ascii="MetaNormal-Roman" w:hAnsi="MetaNormal-Roman"/>
        </w:rPr>
        <w:t xml:space="preserve">a migrant’s </w:t>
      </w:r>
      <w:r w:rsidR="00F004D8">
        <w:rPr>
          <w:rFonts w:ascii="MetaNormal-Roman" w:hAnsi="MetaNormal-Roman"/>
        </w:rPr>
        <w:t xml:space="preserve">cooperation in </w:t>
      </w:r>
      <w:r w:rsidR="00E346EC">
        <w:rPr>
          <w:rFonts w:ascii="MetaNormal-Roman" w:hAnsi="MetaNormal-Roman"/>
        </w:rPr>
        <w:t xml:space="preserve">their own </w:t>
      </w:r>
      <w:r w:rsidR="00F004D8">
        <w:rPr>
          <w:rFonts w:ascii="MetaNormal-Roman" w:hAnsi="MetaNormal-Roman"/>
        </w:rPr>
        <w:t>removal</w:t>
      </w:r>
      <w:r w:rsidR="008B280C">
        <w:rPr>
          <w:rFonts w:ascii="MetaNormal-Roman" w:hAnsi="MetaNormal-Roman"/>
        </w:rPr>
        <w:t>.</w:t>
      </w:r>
      <w:r w:rsidR="00DA5582">
        <w:rPr>
          <w:rFonts w:ascii="MetaNormal-Roman" w:hAnsi="MetaNormal-Roman"/>
        </w:rPr>
        <w:t xml:space="preserve"> Bearing in mind that detention should be an exceptional measure of last resort, we think detention should only be employed as a graduated measure of control after it has been shown that the migrant who does not pose a danger did not appear for proceedings when alternatives to detention were provided.  We suggest amending this to be a Committee recommendation that “immigration detention can be justified only if a person poses a danger to himself or herself or to society, or if </w:t>
      </w:r>
      <w:r w:rsidR="00DA5582" w:rsidRPr="006715B1">
        <w:rPr>
          <w:rFonts w:ascii="MetaNormal-Roman" w:hAnsi="MetaNormal-Roman"/>
          <w:i/>
          <w:iCs/>
        </w:rPr>
        <w:t>the</w:t>
      </w:r>
      <w:r w:rsidR="00483F07" w:rsidRPr="006715B1">
        <w:rPr>
          <w:rFonts w:ascii="MetaNormal-Roman" w:hAnsi="MetaNormal-Roman"/>
          <w:i/>
          <w:iCs/>
        </w:rPr>
        <w:t xml:space="preserve"> person has</w:t>
      </w:r>
      <w:r w:rsidR="00483F07">
        <w:rPr>
          <w:rFonts w:ascii="MetaNormal-Roman" w:hAnsi="MetaNormal-Roman"/>
        </w:rPr>
        <w:t xml:space="preserve"> </w:t>
      </w:r>
      <w:r w:rsidR="00483F07" w:rsidRPr="006715B1">
        <w:rPr>
          <w:rFonts w:ascii="MetaNormal-Roman" w:hAnsi="MetaNormal-Roman"/>
          <w:i/>
          <w:iCs/>
        </w:rPr>
        <w:t>d</w:t>
      </w:r>
      <w:r w:rsidR="00DA5582" w:rsidRPr="006715B1">
        <w:rPr>
          <w:rFonts w:ascii="MetaNormal-Roman" w:hAnsi="MetaNormal-Roman"/>
          <w:i/>
          <w:iCs/>
        </w:rPr>
        <w:t xml:space="preserve">emonstrated </w:t>
      </w:r>
      <w:r w:rsidR="00483F07" w:rsidRPr="006715B1">
        <w:rPr>
          <w:rFonts w:ascii="MetaNormal-Roman" w:hAnsi="MetaNormal-Roman"/>
          <w:i/>
          <w:iCs/>
        </w:rPr>
        <w:t>unwillingness to</w:t>
      </w:r>
      <w:r w:rsidR="00DA5582" w:rsidRPr="006715B1">
        <w:rPr>
          <w:rFonts w:ascii="MetaNormal-Roman" w:hAnsi="MetaNormal-Roman"/>
          <w:i/>
          <w:iCs/>
        </w:rPr>
        <w:t xml:space="preserve"> appear at</w:t>
      </w:r>
      <w:r w:rsidR="00DA5582">
        <w:rPr>
          <w:rFonts w:ascii="MetaNormal-Roman" w:hAnsi="MetaNormal-Roman"/>
        </w:rPr>
        <w:t xml:space="preserve"> administrative or other proceedings.”</w:t>
      </w:r>
      <w:r w:rsidR="00DA2770">
        <w:rPr>
          <w:rFonts w:ascii="MetaNormal-Roman" w:hAnsi="MetaNormal-Roman"/>
        </w:rPr>
        <w:t xml:space="preserve"> We also </w:t>
      </w:r>
      <w:r w:rsidR="00E72634">
        <w:rPr>
          <w:rFonts w:ascii="MetaNormal-Roman" w:hAnsi="MetaNormal-Roman"/>
        </w:rPr>
        <w:t>suggest</w:t>
      </w:r>
      <w:r w:rsidR="00B157EA">
        <w:rPr>
          <w:rFonts w:ascii="MetaNormal-Roman" w:hAnsi="MetaNormal-Roman"/>
        </w:rPr>
        <w:t xml:space="preserve"> that</w:t>
      </w:r>
      <w:r w:rsidR="00122BB3">
        <w:rPr>
          <w:rFonts w:ascii="MetaNormal-Roman" w:hAnsi="MetaNormal-Roman"/>
        </w:rPr>
        <w:t xml:space="preserve"> the Committee clarify what is meant by the language “poses a danger to himself or herself or to society.”</w:t>
      </w:r>
      <w:r w:rsidR="0006321F">
        <w:rPr>
          <w:rFonts w:ascii="MetaNormal-Roman" w:hAnsi="MetaNormal-Roman"/>
        </w:rPr>
        <w:t xml:space="preserve"> The language is broad, and we </w:t>
      </w:r>
      <w:r w:rsidR="00E72634">
        <w:rPr>
          <w:rFonts w:ascii="MetaNormal-Roman" w:hAnsi="MetaNormal-Roman"/>
        </w:rPr>
        <w:t xml:space="preserve">recommend that the Committee provide </w:t>
      </w:r>
      <w:r w:rsidR="00B157EA">
        <w:rPr>
          <w:rFonts w:ascii="MetaNormal-Roman" w:hAnsi="MetaNormal-Roman"/>
        </w:rPr>
        <w:t xml:space="preserve">further guidance on what </w:t>
      </w:r>
      <w:r w:rsidR="0042780A">
        <w:rPr>
          <w:rFonts w:ascii="MetaNormal-Roman" w:hAnsi="MetaNormal-Roman"/>
        </w:rPr>
        <w:t>constitutes a danger to society.</w:t>
      </w:r>
      <w:r w:rsidR="008B280C">
        <w:rPr>
          <w:rFonts w:ascii="MetaNormal-Roman" w:hAnsi="MetaNormal-Roman"/>
        </w:rPr>
        <w:t xml:space="preserve"> </w:t>
      </w:r>
      <w:r w:rsidR="00F202BF">
        <w:rPr>
          <w:rFonts w:ascii="MetaNormal-Roman" w:hAnsi="MetaNormal-Roman"/>
        </w:rPr>
        <w:t xml:space="preserve">Relatedly, we recommend that </w:t>
      </w:r>
      <w:r w:rsidR="009C4035">
        <w:rPr>
          <w:rFonts w:ascii="MetaNormal-Roman" w:hAnsi="MetaNormal-Roman"/>
        </w:rPr>
        <w:t xml:space="preserve">you add </w:t>
      </w:r>
      <w:r w:rsidR="00F664B5">
        <w:rPr>
          <w:rFonts w:ascii="MetaNormal-Roman" w:hAnsi="MetaNormal-Roman"/>
        </w:rPr>
        <w:t>language to the last sentence of paragraph 23</w:t>
      </w:r>
      <w:r w:rsidR="000417BA">
        <w:rPr>
          <w:rFonts w:ascii="MetaNormal-Roman" w:hAnsi="MetaNormal-Roman"/>
        </w:rPr>
        <w:t xml:space="preserve">, so that the sentence reads “In any event, the threat posed by those two scenarios must be substantiated by proven facts </w:t>
      </w:r>
      <w:r w:rsidR="00036883" w:rsidRPr="002A6547">
        <w:rPr>
          <w:rFonts w:ascii="MetaNormal-Roman" w:hAnsi="MetaNormal-Roman"/>
          <w:i/>
          <w:iCs/>
        </w:rPr>
        <w:t>specific and relevant to the individual being detained</w:t>
      </w:r>
      <w:r w:rsidR="00036883">
        <w:rPr>
          <w:rFonts w:ascii="MetaNormal-Roman" w:hAnsi="MetaNormal-Roman"/>
        </w:rPr>
        <w:t xml:space="preserve">.” </w:t>
      </w:r>
      <w:r w:rsidR="000A7E20">
        <w:rPr>
          <w:rFonts w:ascii="MetaNormal-Roman" w:hAnsi="MetaNormal-Roman"/>
        </w:rPr>
        <w:t xml:space="preserve">Providing clearer guidelines </w:t>
      </w:r>
      <w:r w:rsidR="004068A4">
        <w:rPr>
          <w:rFonts w:ascii="MetaNormal-Roman" w:hAnsi="MetaNormal-Roman"/>
        </w:rPr>
        <w:t xml:space="preserve">reduces the </w:t>
      </w:r>
      <w:r w:rsidR="00774B0D">
        <w:rPr>
          <w:rFonts w:ascii="MetaNormal-Roman" w:hAnsi="MetaNormal-Roman"/>
        </w:rPr>
        <w:t xml:space="preserve">likelihood </w:t>
      </w:r>
      <w:r w:rsidR="004068A4">
        <w:rPr>
          <w:rFonts w:ascii="MetaNormal-Roman" w:hAnsi="MetaNormal-Roman"/>
        </w:rPr>
        <w:t xml:space="preserve">that </w:t>
      </w:r>
      <w:r w:rsidR="00713B0B">
        <w:rPr>
          <w:rFonts w:ascii="MetaNormal-Roman" w:hAnsi="MetaNormal-Roman"/>
        </w:rPr>
        <w:t xml:space="preserve">the criteria will be applied overbroadly </w:t>
      </w:r>
      <w:r w:rsidR="001918C8">
        <w:rPr>
          <w:rFonts w:ascii="MetaNormal-Roman" w:hAnsi="MetaNormal-Roman"/>
        </w:rPr>
        <w:t>without a</w:t>
      </w:r>
      <w:r w:rsidR="00F10CE8">
        <w:rPr>
          <w:rFonts w:ascii="MetaNormal-Roman" w:hAnsi="MetaNormal-Roman"/>
        </w:rPr>
        <w:t>n</w:t>
      </w:r>
      <w:r w:rsidR="001918C8">
        <w:rPr>
          <w:rFonts w:ascii="MetaNormal-Roman" w:hAnsi="MetaNormal-Roman"/>
        </w:rPr>
        <w:t xml:space="preserve"> individualized and tailored assessment </w:t>
      </w:r>
      <w:r w:rsidR="00D1549E">
        <w:rPr>
          <w:rFonts w:ascii="MetaNormal-Roman" w:hAnsi="MetaNormal-Roman"/>
        </w:rPr>
        <w:t xml:space="preserve">of the risks that a particular individual </w:t>
      </w:r>
      <w:r w:rsidR="00F10CE8">
        <w:rPr>
          <w:rFonts w:ascii="MetaNormal-Roman" w:hAnsi="MetaNormal-Roman"/>
        </w:rPr>
        <w:t xml:space="preserve">poses to themselves or society. </w:t>
      </w:r>
    </w:p>
    <w:p w14:paraId="797F7734" w14:textId="235CE903" w:rsidR="00C16EC3" w:rsidRDefault="00C16EC3">
      <w:pPr>
        <w:rPr>
          <w:rFonts w:ascii="MetaNormal-Roman" w:hAnsi="MetaNormal-Roman"/>
        </w:rPr>
      </w:pPr>
      <w:r>
        <w:rPr>
          <w:rFonts w:ascii="MetaNormal-Roman" w:hAnsi="MetaNormal-Roman"/>
        </w:rPr>
        <w:t xml:space="preserve">Paragraph 30 refers to </w:t>
      </w:r>
      <w:r w:rsidR="0096698B">
        <w:rPr>
          <w:rFonts w:ascii="MetaNormal-Roman" w:hAnsi="MetaNormal-Roman"/>
        </w:rPr>
        <w:t xml:space="preserve">the obligation on states parties to “respect and guarantee the rights enshrined in the Convention to all migrant workers and members of their families within their territory or subject to their jurisdiction.” We recommend that the Committee </w:t>
      </w:r>
      <w:r w:rsidR="00B92DF5">
        <w:rPr>
          <w:rFonts w:ascii="MetaNormal-Roman" w:hAnsi="MetaNormal-Roman"/>
        </w:rPr>
        <w:t>use the comment to remind s</w:t>
      </w:r>
      <w:r w:rsidR="002A3D8D">
        <w:rPr>
          <w:rFonts w:ascii="MetaNormal-Roman" w:hAnsi="MetaNormal-Roman"/>
        </w:rPr>
        <w:t>tates parties</w:t>
      </w:r>
      <w:r w:rsidR="00C670DD">
        <w:rPr>
          <w:rFonts w:ascii="MetaNormal-Roman" w:hAnsi="MetaNormal-Roman"/>
        </w:rPr>
        <w:t>’</w:t>
      </w:r>
      <w:r w:rsidR="002A3D8D">
        <w:rPr>
          <w:rFonts w:ascii="MetaNormal-Roman" w:hAnsi="MetaNormal-Roman"/>
        </w:rPr>
        <w:t xml:space="preserve"> </w:t>
      </w:r>
      <w:r w:rsidR="00B92DF5">
        <w:rPr>
          <w:rFonts w:ascii="MetaNormal-Roman" w:hAnsi="MetaNormal-Roman"/>
        </w:rPr>
        <w:t xml:space="preserve">that those subject to their “jurisdiction” includes those subject to their [effective] control. The sentence could read “within their territory or subject to their jurisdiction, </w:t>
      </w:r>
      <w:r w:rsidR="00B92DF5" w:rsidRPr="009E2BCD">
        <w:rPr>
          <w:rFonts w:ascii="MetaNormal-Roman" w:hAnsi="MetaNormal-Roman"/>
          <w:i/>
          <w:iCs/>
        </w:rPr>
        <w:t>including those under their control</w:t>
      </w:r>
      <w:r w:rsidR="00FF4E8B">
        <w:rPr>
          <w:rFonts w:ascii="MetaNormal-Roman" w:hAnsi="MetaNormal-Roman"/>
          <w:i/>
          <w:iCs/>
        </w:rPr>
        <w:t>.</w:t>
      </w:r>
      <w:r w:rsidR="00B92DF5">
        <w:rPr>
          <w:rFonts w:ascii="MetaNormal-Roman" w:hAnsi="MetaNormal-Roman"/>
          <w:i/>
          <w:iCs/>
        </w:rPr>
        <w:t xml:space="preserve">” </w:t>
      </w:r>
      <w:r w:rsidR="00F80725">
        <w:rPr>
          <w:rStyle w:val="FootnoteReference"/>
          <w:rFonts w:ascii="MetaNormal-Roman" w:hAnsi="MetaNormal-Roman"/>
        </w:rPr>
        <w:footnoteReference w:id="12"/>
      </w:r>
      <w:r w:rsidR="001B6588">
        <w:rPr>
          <w:rFonts w:ascii="MetaNormal-Roman" w:hAnsi="MetaNormal-Roman"/>
        </w:rPr>
        <w:t xml:space="preserve"> This</w:t>
      </w:r>
      <w:r w:rsidR="004E2BCA">
        <w:rPr>
          <w:rFonts w:ascii="MetaNormal-Roman" w:hAnsi="MetaNormal-Roman"/>
        </w:rPr>
        <w:t xml:space="preserve"> </w:t>
      </w:r>
      <w:r w:rsidR="00B92DF5">
        <w:rPr>
          <w:rFonts w:ascii="MetaNormal-Roman" w:hAnsi="MetaNormal-Roman"/>
        </w:rPr>
        <w:t xml:space="preserve">underscores </w:t>
      </w:r>
      <w:r w:rsidR="004E2BCA">
        <w:rPr>
          <w:rFonts w:ascii="MetaNormal-Roman" w:hAnsi="MetaNormal-Roman"/>
        </w:rPr>
        <w:t xml:space="preserve">that </w:t>
      </w:r>
      <w:r w:rsidR="00B92DF5">
        <w:rPr>
          <w:rFonts w:ascii="MetaNormal-Roman" w:hAnsi="MetaNormal-Roman"/>
        </w:rPr>
        <w:t>a</w:t>
      </w:r>
      <w:r w:rsidR="004E2BCA">
        <w:rPr>
          <w:rFonts w:ascii="MetaNormal-Roman" w:hAnsi="MetaNormal-Roman"/>
        </w:rPr>
        <w:t xml:space="preserve"> state</w:t>
      </w:r>
      <w:r w:rsidR="00B92DF5">
        <w:rPr>
          <w:rFonts w:ascii="MetaNormal-Roman" w:hAnsi="MetaNormal-Roman"/>
        </w:rPr>
        <w:t>’s</w:t>
      </w:r>
      <w:r w:rsidR="004E2BCA">
        <w:rPr>
          <w:rFonts w:ascii="MetaNormal-Roman" w:hAnsi="MetaNormal-Roman"/>
        </w:rPr>
        <w:t xml:space="preserve"> jurisdiction </w:t>
      </w:r>
      <w:r w:rsidR="00B92DF5">
        <w:rPr>
          <w:rFonts w:ascii="MetaNormal-Roman" w:hAnsi="MetaNormal-Roman"/>
        </w:rPr>
        <w:t xml:space="preserve">includes anywhere it enjoys effective control including </w:t>
      </w:r>
      <w:r w:rsidR="00485E97">
        <w:rPr>
          <w:rFonts w:ascii="MetaNormal-Roman" w:hAnsi="MetaNormal-Roman"/>
        </w:rPr>
        <w:t>extraterritorially</w:t>
      </w:r>
      <w:r w:rsidR="00DA7967">
        <w:rPr>
          <w:rFonts w:ascii="MetaNormal-Roman" w:hAnsi="MetaNormal-Roman"/>
        </w:rPr>
        <w:t>. Furth</w:t>
      </w:r>
      <w:r w:rsidR="00127F11">
        <w:rPr>
          <w:rFonts w:ascii="MetaNormal-Roman" w:hAnsi="MetaNormal-Roman"/>
        </w:rPr>
        <w:t xml:space="preserve">er, it </w:t>
      </w:r>
      <w:r w:rsidR="00A01070">
        <w:rPr>
          <w:rFonts w:ascii="MetaNormal-Roman" w:hAnsi="MetaNormal-Roman"/>
        </w:rPr>
        <w:t xml:space="preserve">reflects the language used </w:t>
      </w:r>
      <w:r w:rsidR="005029C0">
        <w:rPr>
          <w:rFonts w:ascii="MetaNormal-Roman" w:hAnsi="MetaNormal-Roman"/>
        </w:rPr>
        <w:t xml:space="preserve">in paragraph 30 to describe the obligations on </w:t>
      </w:r>
      <w:r w:rsidR="008B1499">
        <w:rPr>
          <w:rFonts w:ascii="MetaNormal-Roman" w:hAnsi="MetaNormal-Roman"/>
        </w:rPr>
        <w:t>s</w:t>
      </w:r>
      <w:r w:rsidR="005029C0">
        <w:rPr>
          <w:rFonts w:ascii="MetaNormal-Roman" w:hAnsi="MetaNormal-Roman"/>
        </w:rPr>
        <w:t>tates parties with regards to the right to liberty.</w:t>
      </w:r>
    </w:p>
    <w:p w14:paraId="5EDC66BD" w14:textId="187A284A" w:rsidR="0059527F" w:rsidRDefault="0059527F">
      <w:pPr>
        <w:rPr>
          <w:rFonts w:ascii="MetaNormal-Roman" w:hAnsi="MetaNormal-Roman"/>
        </w:rPr>
      </w:pPr>
      <w:r>
        <w:rPr>
          <w:rFonts w:ascii="MetaNormal-Roman" w:hAnsi="MetaNormal-Roman"/>
        </w:rPr>
        <w:t>Paragraphs 30 and 31 refer</w:t>
      </w:r>
      <w:r w:rsidR="0052095C">
        <w:rPr>
          <w:rFonts w:ascii="MetaNormal-Roman" w:hAnsi="MetaNormal-Roman"/>
        </w:rPr>
        <w:t xml:space="preserve"> to “detention </w:t>
      </w:r>
      <w:r w:rsidR="00D80805">
        <w:rPr>
          <w:rFonts w:ascii="MetaNormal-Roman" w:hAnsi="MetaNormal-Roman"/>
        </w:rPr>
        <w:t>center</w:t>
      </w:r>
      <w:r w:rsidR="0052095C">
        <w:rPr>
          <w:rFonts w:ascii="MetaNormal-Roman" w:hAnsi="MetaNormal-Roman"/>
        </w:rPr>
        <w:t xml:space="preserve">s.” This </w:t>
      </w:r>
      <w:r w:rsidR="007E5499">
        <w:rPr>
          <w:rFonts w:ascii="MetaNormal-Roman" w:hAnsi="MetaNormal-Roman"/>
        </w:rPr>
        <w:t xml:space="preserve">wording may be too narrow. </w:t>
      </w:r>
      <w:r w:rsidR="00B2376B">
        <w:rPr>
          <w:rFonts w:ascii="MetaNormal-Roman" w:hAnsi="MetaNormal-Roman"/>
        </w:rPr>
        <w:t xml:space="preserve">We recommend </w:t>
      </w:r>
      <w:r w:rsidR="003E272A">
        <w:rPr>
          <w:rFonts w:ascii="MetaNormal-Roman" w:hAnsi="MetaNormal-Roman"/>
        </w:rPr>
        <w:t xml:space="preserve">that you replace “detention </w:t>
      </w:r>
      <w:r w:rsidR="00D80805">
        <w:rPr>
          <w:rFonts w:ascii="MetaNormal-Roman" w:hAnsi="MetaNormal-Roman"/>
        </w:rPr>
        <w:t>center</w:t>
      </w:r>
      <w:r w:rsidR="003E272A">
        <w:rPr>
          <w:rFonts w:ascii="MetaNormal-Roman" w:hAnsi="MetaNormal-Roman"/>
        </w:rPr>
        <w:t xml:space="preserve">s” with </w:t>
      </w:r>
      <w:r w:rsidR="00190B22">
        <w:rPr>
          <w:rFonts w:ascii="MetaNormal-Roman" w:hAnsi="MetaNormal-Roman"/>
        </w:rPr>
        <w:t xml:space="preserve">“places of detention.” </w:t>
      </w:r>
      <w:r w:rsidR="00317CB3">
        <w:rPr>
          <w:rFonts w:ascii="MetaNormal-Roman" w:hAnsi="MetaNormal-Roman"/>
        </w:rPr>
        <w:t xml:space="preserve">“Places of detention” </w:t>
      </w:r>
      <w:r w:rsidR="008D2A0E">
        <w:rPr>
          <w:rFonts w:ascii="MetaNormal-Roman" w:hAnsi="MetaNormal-Roman"/>
        </w:rPr>
        <w:t>captures the many different forms of detention</w:t>
      </w:r>
      <w:r w:rsidR="00FF4E8B">
        <w:rPr>
          <w:rFonts w:ascii="MetaNormal-Roman" w:hAnsi="MetaNormal-Roman"/>
        </w:rPr>
        <w:t>.</w:t>
      </w:r>
    </w:p>
    <w:p w14:paraId="14050F56" w14:textId="1E7FE109" w:rsidR="000E3984" w:rsidRDefault="000E3984">
      <w:pPr>
        <w:rPr>
          <w:rFonts w:ascii="MetaNormal-Roman" w:hAnsi="MetaNormal-Roman"/>
        </w:rPr>
      </w:pPr>
      <w:r>
        <w:rPr>
          <w:rFonts w:ascii="MetaNormal-Roman" w:hAnsi="MetaNormal-Roman"/>
        </w:rPr>
        <w:t xml:space="preserve">Paragraph 32 </w:t>
      </w:r>
      <w:r w:rsidR="00B32500">
        <w:rPr>
          <w:rFonts w:ascii="MetaNormal-Roman" w:hAnsi="MetaNormal-Roman"/>
        </w:rPr>
        <w:t>includes</w:t>
      </w:r>
      <w:r w:rsidR="00E70D92">
        <w:rPr>
          <w:rFonts w:ascii="MetaNormal-Roman" w:hAnsi="MetaNormal-Roman"/>
        </w:rPr>
        <w:t xml:space="preserve"> obligations on states when entering into transfer agreements. Part (e) </w:t>
      </w:r>
      <w:r w:rsidR="00D40E83">
        <w:rPr>
          <w:rFonts w:ascii="MetaNormal-Roman" w:hAnsi="MetaNormal-Roman"/>
        </w:rPr>
        <w:t xml:space="preserve">requires states to </w:t>
      </w:r>
      <w:r w:rsidR="005D02D9">
        <w:rPr>
          <w:rFonts w:ascii="MetaNormal-Roman" w:hAnsi="MetaNormal-Roman"/>
        </w:rPr>
        <w:t xml:space="preserve">“improve asylum conditions in the receiving State, the transferring State, and/or the region as a whole, when entering into transfer agreements.” We suggest that the Committee clarify </w:t>
      </w:r>
      <w:r w:rsidR="002B3CD7">
        <w:rPr>
          <w:rFonts w:ascii="MetaNormal-Roman" w:hAnsi="MetaNormal-Roman"/>
        </w:rPr>
        <w:t xml:space="preserve">what is meant by </w:t>
      </w:r>
      <w:r w:rsidR="00336F8A">
        <w:rPr>
          <w:rFonts w:ascii="MetaNormal-Roman" w:hAnsi="MetaNormal-Roman"/>
        </w:rPr>
        <w:t>“[improving]</w:t>
      </w:r>
      <w:r w:rsidR="002B3CD7">
        <w:rPr>
          <w:rFonts w:ascii="MetaNormal-Roman" w:hAnsi="MetaNormal-Roman"/>
        </w:rPr>
        <w:t xml:space="preserve"> asylum conditions</w:t>
      </w:r>
      <w:r w:rsidR="00922C2C">
        <w:rPr>
          <w:rFonts w:ascii="MetaNormal-Roman" w:hAnsi="MetaNormal-Roman"/>
        </w:rPr>
        <w:t>.</w:t>
      </w:r>
      <w:r w:rsidR="00F04BBD">
        <w:rPr>
          <w:rFonts w:ascii="MetaNormal-Roman" w:hAnsi="MetaNormal-Roman"/>
        </w:rPr>
        <w:t>”</w:t>
      </w:r>
      <w:r w:rsidR="00922C2C">
        <w:rPr>
          <w:rFonts w:ascii="MetaNormal-Roman" w:hAnsi="MetaNormal-Roman"/>
        </w:rPr>
        <w:t xml:space="preserve"> </w:t>
      </w:r>
      <w:r w:rsidR="00A93E7C">
        <w:rPr>
          <w:rFonts w:ascii="MetaNormal-Roman" w:hAnsi="MetaNormal-Roman"/>
        </w:rPr>
        <w:t xml:space="preserve">It may </w:t>
      </w:r>
      <w:r w:rsidR="00AE27EE">
        <w:rPr>
          <w:rFonts w:ascii="MetaNormal-Roman" w:hAnsi="MetaNormal-Roman"/>
        </w:rPr>
        <w:t>be helpful to</w:t>
      </w:r>
      <w:r w:rsidR="00336F8A">
        <w:rPr>
          <w:rFonts w:ascii="MetaNormal-Roman" w:hAnsi="MetaNormal-Roman"/>
        </w:rPr>
        <w:t xml:space="preserve"> provide </w:t>
      </w:r>
      <w:r w:rsidR="008B1499">
        <w:rPr>
          <w:rFonts w:ascii="MetaNormal-Roman" w:hAnsi="MetaNormal-Roman"/>
        </w:rPr>
        <w:t>s</w:t>
      </w:r>
      <w:r w:rsidR="00783FF0">
        <w:rPr>
          <w:rFonts w:ascii="MetaNormal-Roman" w:hAnsi="MetaNormal-Roman"/>
        </w:rPr>
        <w:t>tates with</w:t>
      </w:r>
      <w:r w:rsidR="002C083D">
        <w:rPr>
          <w:rFonts w:ascii="MetaNormal-Roman" w:hAnsi="MetaNormal-Roman"/>
        </w:rPr>
        <w:t xml:space="preserve"> guidance regarding their obligations.</w:t>
      </w:r>
      <w:r w:rsidR="00783FF0">
        <w:rPr>
          <w:rFonts w:ascii="MetaNormal-Roman" w:hAnsi="MetaNormal-Roman"/>
        </w:rPr>
        <w:t xml:space="preserve"> </w:t>
      </w:r>
      <w:r w:rsidR="007D43E3">
        <w:rPr>
          <w:rFonts w:ascii="MetaNormal-Roman" w:hAnsi="MetaNormal-Roman"/>
        </w:rPr>
        <w:t>For example, requiring states to</w:t>
      </w:r>
      <w:r w:rsidR="00557E51">
        <w:rPr>
          <w:rFonts w:ascii="MetaNormal-Roman" w:hAnsi="MetaNormal-Roman"/>
        </w:rPr>
        <w:t xml:space="preserve"> </w:t>
      </w:r>
      <w:r w:rsidR="00275549">
        <w:rPr>
          <w:rFonts w:ascii="MetaNormal-Roman" w:hAnsi="MetaNormal-Roman"/>
        </w:rPr>
        <w:t>“</w:t>
      </w:r>
      <w:r w:rsidR="00557E51">
        <w:rPr>
          <w:rFonts w:ascii="MetaNormal-Roman" w:hAnsi="MetaNormal-Roman"/>
        </w:rPr>
        <w:t>ensur</w:t>
      </w:r>
      <w:r w:rsidR="007D43E3">
        <w:rPr>
          <w:rFonts w:ascii="MetaNormal-Roman" w:hAnsi="MetaNormal-Roman"/>
        </w:rPr>
        <w:t xml:space="preserve">e </w:t>
      </w:r>
      <w:r w:rsidR="00557E51">
        <w:rPr>
          <w:rFonts w:ascii="MetaNormal-Roman" w:hAnsi="MetaNormal-Roman"/>
        </w:rPr>
        <w:t>safe</w:t>
      </w:r>
      <w:r w:rsidR="00B85800">
        <w:rPr>
          <w:rFonts w:ascii="MetaNormal-Roman" w:hAnsi="MetaNormal-Roman"/>
        </w:rPr>
        <w:t xml:space="preserve">, decent, and </w:t>
      </w:r>
      <w:r w:rsidR="00B85800">
        <w:rPr>
          <w:rFonts w:ascii="MetaNormal-Roman" w:hAnsi="MetaNormal-Roman"/>
        </w:rPr>
        <w:lastRenderedPageBreak/>
        <w:t xml:space="preserve">humane </w:t>
      </w:r>
      <w:r w:rsidR="00D87185">
        <w:rPr>
          <w:rFonts w:ascii="MetaNormal-Roman" w:hAnsi="MetaNormal-Roman"/>
        </w:rPr>
        <w:t xml:space="preserve">conditions in the process of </w:t>
      </w:r>
      <w:r w:rsidR="00397A05">
        <w:rPr>
          <w:rFonts w:ascii="MetaNormal-Roman" w:hAnsi="MetaNormal-Roman"/>
        </w:rPr>
        <w:t xml:space="preserve">transfer and reception </w:t>
      </w:r>
      <w:r w:rsidR="00E84A35">
        <w:rPr>
          <w:rFonts w:ascii="MetaNormal-Roman" w:hAnsi="MetaNormal-Roman"/>
        </w:rPr>
        <w:t>and for the duration of detention</w:t>
      </w:r>
      <w:r w:rsidR="00275549">
        <w:rPr>
          <w:rFonts w:ascii="MetaNormal-Roman" w:hAnsi="MetaNormal-Roman"/>
        </w:rPr>
        <w:t>,”</w:t>
      </w:r>
      <w:r w:rsidR="00517128">
        <w:rPr>
          <w:rFonts w:ascii="MetaNormal-Roman" w:hAnsi="MetaNormal-Roman"/>
        </w:rPr>
        <w:t xml:space="preserve"> provides a framework for</w:t>
      </w:r>
      <w:r w:rsidR="00275549">
        <w:rPr>
          <w:rFonts w:ascii="MetaNormal-Roman" w:hAnsi="MetaNormal-Roman"/>
        </w:rPr>
        <w:t xml:space="preserve"> </w:t>
      </w:r>
      <w:r w:rsidR="008B1499">
        <w:rPr>
          <w:rFonts w:ascii="MetaNormal-Roman" w:hAnsi="MetaNormal-Roman"/>
        </w:rPr>
        <w:t>s</w:t>
      </w:r>
      <w:r w:rsidR="00517128">
        <w:rPr>
          <w:rFonts w:ascii="MetaNormal-Roman" w:hAnsi="MetaNormal-Roman"/>
        </w:rPr>
        <w:t xml:space="preserve">tates </w:t>
      </w:r>
      <w:r w:rsidR="00275549">
        <w:rPr>
          <w:rFonts w:ascii="MetaNormal-Roman" w:hAnsi="MetaNormal-Roman"/>
        </w:rPr>
        <w:t xml:space="preserve">parties </w:t>
      </w:r>
      <w:r w:rsidR="00517128">
        <w:rPr>
          <w:rFonts w:ascii="MetaNormal-Roman" w:hAnsi="MetaNormal-Roman"/>
        </w:rPr>
        <w:t xml:space="preserve">to follow. </w:t>
      </w:r>
    </w:p>
    <w:p w14:paraId="0228B5E0" w14:textId="682DA9A6" w:rsidR="00171719" w:rsidRPr="00DC69DF" w:rsidRDefault="003576B1">
      <w:pPr>
        <w:rPr>
          <w:rFonts w:ascii="MetaNormal-Roman" w:hAnsi="MetaNormal-Roman"/>
          <w:b/>
          <w:bCs/>
          <w:u w:val="single"/>
        </w:rPr>
      </w:pPr>
      <w:r w:rsidRPr="00DC69DF">
        <w:rPr>
          <w:rFonts w:ascii="MetaNormal-Roman" w:hAnsi="MetaNormal-Roman"/>
          <w:b/>
          <w:bCs/>
          <w:u w:val="single"/>
        </w:rPr>
        <w:t xml:space="preserve">Legal </w:t>
      </w:r>
      <w:r w:rsidR="006F7006" w:rsidRPr="00DC69DF">
        <w:rPr>
          <w:rFonts w:ascii="MetaNormal-Roman" w:hAnsi="MetaNormal-Roman"/>
          <w:b/>
          <w:bCs/>
          <w:u w:val="single"/>
        </w:rPr>
        <w:t>o</w:t>
      </w:r>
      <w:r w:rsidRPr="00DC69DF">
        <w:rPr>
          <w:rFonts w:ascii="MetaNormal-Roman" w:hAnsi="MetaNormal-Roman"/>
          <w:b/>
          <w:bCs/>
          <w:u w:val="single"/>
        </w:rPr>
        <w:t xml:space="preserve">bligations </w:t>
      </w:r>
      <w:r w:rsidR="006F7006" w:rsidRPr="00DC69DF">
        <w:rPr>
          <w:rFonts w:ascii="MetaNormal-Roman" w:hAnsi="MetaNormal-Roman"/>
          <w:b/>
          <w:bCs/>
          <w:u w:val="single"/>
        </w:rPr>
        <w:t xml:space="preserve">of </w:t>
      </w:r>
      <w:r w:rsidR="00997966">
        <w:rPr>
          <w:rFonts w:ascii="MetaNormal-Roman" w:hAnsi="MetaNormal-Roman"/>
          <w:b/>
          <w:bCs/>
          <w:u w:val="single"/>
        </w:rPr>
        <w:t>s</w:t>
      </w:r>
      <w:r w:rsidR="00F64614" w:rsidRPr="00DC69DF">
        <w:rPr>
          <w:rFonts w:ascii="MetaNormal-Roman" w:hAnsi="MetaNormal-Roman"/>
          <w:b/>
          <w:bCs/>
          <w:u w:val="single"/>
        </w:rPr>
        <w:t xml:space="preserve">tates parties to the Convention to </w:t>
      </w:r>
      <w:r w:rsidR="009622D2" w:rsidRPr="00DC69DF">
        <w:rPr>
          <w:rFonts w:ascii="MetaNormal-Roman" w:hAnsi="MetaNormal-Roman"/>
          <w:b/>
          <w:bCs/>
          <w:u w:val="single"/>
        </w:rPr>
        <w:t xml:space="preserve">protect the </w:t>
      </w:r>
      <w:r w:rsidR="00407318" w:rsidRPr="00DC69DF">
        <w:rPr>
          <w:rFonts w:ascii="MetaNormal-Roman" w:hAnsi="MetaNormal-Roman"/>
          <w:b/>
          <w:bCs/>
          <w:u w:val="single"/>
        </w:rPr>
        <w:t>right to liberty of migrant workers</w:t>
      </w:r>
      <w:r w:rsidR="00BA33F4" w:rsidRPr="00DC69DF">
        <w:rPr>
          <w:rFonts w:ascii="MetaNormal-Roman" w:hAnsi="MetaNormal-Roman"/>
          <w:b/>
          <w:bCs/>
          <w:u w:val="single"/>
        </w:rPr>
        <w:t xml:space="preserve"> and members of their families</w:t>
      </w:r>
    </w:p>
    <w:p w14:paraId="629B91A9" w14:textId="3AD23F37" w:rsidR="00EE501E" w:rsidRDefault="00171719">
      <w:pPr>
        <w:rPr>
          <w:rFonts w:ascii="MetaNormal-Roman" w:hAnsi="MetaNormal-Roman"/>
        </w:rPr>
      </w:pPr>
      <w:r w:rsidRPr="00DC69DF">
        <w:rPr>
          <w:rFonts w:ascii="MetaNormal-Roman" w:hAnsi="MetaNormal-Roman"/>
        </w:rPr>
        <w:t xml:space="preserve">We found the section on </w:t>
      </w:r>
      <w:r w:rsidR="00670D66" w:rsidRPr="00DC69DF">
        <w:rPr>
          <w:rFonts w:ascii="MetaNormal-Roman" w:hAnsi="MetaNormal-Roman"/>
        </w:rPr>
        <w:t xml:space="preserve">the legal obligations of </w:t>
      </w:r>
      <w:r w:rsidR="00997966">
        <w:rPr>
          <w:rFonts w:ascii="MetaNormal-Roman" w:hAnsi="MetaNormal-Roman"/>
        </w:rPr>
        <w:t>s</w:t>
      </w:r>
      <w:r w:rsidR="00670D66" w:rsidRPr="00DC69DF">
        <w:rPr>
          <w:rFonts w:ascii="MetaNormal-Roman" w:hAnsi="MetaNormal-Roman"/>
        </w:rPr>
        <w:t>tates parties to the Convention to protect the right to liberty of migrant workers and members of their families</w:t>
      </w:r>
      <w:r w:rsidRPr="00DC69DF">
        <w:rPr>
          <w:rFonts w:ascii="MetaNormal-Roman" w:hAnsi="MetaNormal-Roman"/>
        </w:rPr>
        <w:t xml:space="preserve"> to be very detailed and </w:t>
      </w:r>
      <w:r w:rsidR="00F34CE6" w:rsidRPr="00DC69DF">
        <w:rPr>
          <w:rFonts w:ascii="MetaNormal-Roman" w:hAnsi="MetaNormal-Roman"/>
        </w:rPr>
        <w:t>informative</w:t>
      </w:r>
      <w:r w:rsidRPr="00DC69DF">
        <w:rPr>
          <w:rFonts w:ascii="MetaNormal-Roman" w:hAnsi="MetaNormal-Roman"/>
        </w:rPr>
        <w:t xml:space="preserve">, and are pleased to see that the Committee </w:t>
      </w:r>
      <w:r w:rsidR="00E77541" w:rsidRPr="00DC69DF">
        <w:rPr>
          <w:rFonts w:ascii="MetaNormal-Roman" w:hAnsi="MetaNormal-Roman"/>
        </w:rPr>
        <w:t xml:space="preserve">is </w:t>
      </w:r>
      <w:r w:rsidR="00E05E33">
        <w:rPr>
          <w:rFonts w:ascii="MetaNormal-Roman" w:hAnsi="MetaNormal-Roman"/>
        </w:rPr>
        <w:t>committed</w:t>
      </w:r>
      <w:r w:rsidR="00E77541" w:rsidRPr="00DC69DF">
        <w:rPr>
          <w:rFonts w:ascii="MetaNormal-Roman" w:hAnsi="MetaNormal-Roman"/>
        </w:rPr>
        <w:t xml:space="preserve"> to </w:t>
      </w:r>
      <w:r w:rsidR="003B7ACC" w:rsidRPr="00DC69DF">
        <w:rPr>
          <w:rFonts w:ascii="MetaNormal-Roman" w:hAnsi="MetaNormal-Roman"/>
        </w:rPr>
        <w:t xml:space="preserve">fair and reasonable </w:t>
      </w:r>
      <w:r w:rsidR="00BE518B" w:rsidRPr="00DC69DF">
        <w:rPr>
          <w:rFonts w:ascii="MetaNormal-Roman" w:hAnsi="MetaNormal-Roman"/>
        </w:rPr>
        <w:t xml:space="preserve">alternatives to detention. </w:t>
      </w:r>
      <w:r w:rsidR="0072602F" w:rsidRPr="00DC69DF">
        <w:rPr>
          <w:rFonts w:ascii="MetaNormal-Roman" w:hAnsi="MetaNormal-Roman"/>
        </w:rPr>
        <w:t>We also support the Committee’s</w:t>
      </w:r>
      <w:r w:rsidR="003D3B03" w:rsidRPr="00DC69DF">
        <w:rPr>
          <w:rFonts w:ascii="MetaNormal-Roman" w:hAnsi="MetaNormal-Roman"/>
        </w:rPr>
        <w:t xml:space="preserve"> </w:t>
      </w:r>
      <w:r w:rsidRPr="00DC69DF">
        <w:rPr>
          <w:rFonts w:ascii="MetaNormal-Roman" w:hAnsi="MetaNormal-Roman"/>
        </w:rPr>
        <w:t>reject</w:t>
      </w:r>
      <w:r w:rsidR="0072602F" w:rsidRPr="00DC69DF">
        <w:rPr>
          <w:rFonts w:ascii="MetaNormal-Roman" w:hAnsi="MetaNormal-Roman"/>
        </w:rPr>
        <w:t>ion of</w:t>
      </w:r>
      <w:r w:rsidRPr="00DC69DF">
        <w:rPr>
          <w:rFonts w:ascii="MetaNormal-Roman" w:hAnsi="MetaNormal-Roman"/>
        </w:rPr>
        <w:t xml:space="preserve"> the use of measures in the field of criminal justice as </w:t>
      </w:r>
      <w:r w:rsidR="00EE501E" w:rsidRPr="00DC69DF">
        <w:rPr>
          <w:rFonts w:ascii="MetaNormal-Roman" w:hAnsi="MetaNormal-Roman"/>
        </w:rPr>
        <w:t xml:space="preserve">viable alternatives to detention. </w:t>
      </w:r>
      <w:r w:rsidR="00431E63" w:rsidRPr="00DC69DF">
        <w:rPr>
          <w:rFonts w:ascii="MetaNormal-Roman" w:hAnsi="MetaNormal-Roman"/>
        </w:rPr>
        <w:t xml:space="preserve"> </w:t>
      </w:r>
      <w:r w:rsidR="00EE501E" w:rsidRPr="00DC69DF">
        <w:rPr>
          <w:rFonts w:ascii="MetaNormal-Roman" w:hAnsi="MetaNormal-Roman"/>
        </w:rPr>
        <w:t xml:space="preserve"> </w:t>
      </w:r>
      <w:r w:rsidR="003A6CF8">
        <w:rPr>
          <w:rFonts w:ascii="MetaNormal-Roman" w:hAnsi="MetaNormal-Roman"/>
        </w:rPr>
        <w:t xml:space="preserve"> </w:t>
      </w:r>
    </w:p>
    <w:p w14:paraId="5DDC4D74" w14:textId="16490364" w:rsidR="009C4B11" w:rsidRDefault="009C4B11">
      <w:pPr>
        <w:rPr>
          <w:rFonts w:ascii="MetaNormal-Roman" w:hAnsi="MetaNormal-Roman"/>
        </w:rPr>
      </w:pPr>
      <w:r>
        <w:rPr>
          <w:rFonts w:ascii="MetaNormal-Roman" w:hAnsi="MetaNormal-Roman"/>
        </w:rPr>
        <w:t xml:space="preserve">Paragraph 52 </w:t>
      </w:r>
      <w:r w:rsidR="004F242D">
        <w:rPr>
          <w:rFonts w:ascii="MetaNormal-Roman" w:hAnsi="MetaNormal-Roman"/>
        </w:rPr>
        <w:t xml:space="preserve">provides classes of individuals </w:t>
      </w:r>
      <w:r w:rsidR="00997966">
        <w:rPr>
          <w:rFonts w:ascii="MetaNormal-Roman" w:hAnsi="MetaNormal-Roman"/>
        </w:rPr>
        <w:t>s</w:t>
      </w:r>
      <w:r w:rsidR="00B7615C">
        <w:rPr>
          <w:rFonts w:ascii="MetaNormal-Roman" w:hAnsi="MetaNormal-Roman"/>
        </w:rPr>
        <w:t>tates should avoid detaining</w:t>
      </w:r>
      <w:r w:rsidR="008B7594">
        <w:rPr>
          <w:rFonts w:ascii="MetaNormal-Roman" w:hAnsi="MetaNormal-Roman"/>
        </w:rPr>
        <w:t xml:space="preserve">, which includes </w:t>
      </w:r>
      <w:r w:rsidR="00552F5C">
        <w:rPr>
          <w:rFonts w:ascii="MetaNormal-Roman" w:hAnsi="MetaNormal-Roman"/>
        </w:rPr>
        <w:t>“persons with disabilities</w:t>
      </w:r>
      <w:r w:rsidR="00373461">
        <w:rPr>
          <w:rFonts w:ascii="MetaNormal-Roman" w:hAnsi="MetaNormal-Roman"/>
        </w:rPr>
        <w:t xml:space="preserve">.” We recommend that the Committee amend this language </w:t>
      </w:r>
      <w:r w:rsidR="00F9106E">
        <w:rPr>
          <w:rFonts w:ascii="MetaNormal-Roman" w:hAnsi="MetaNormal-Roman"/>
        </w:rPr>
        <w:t xml:space="preserve">to read “persons with </w:t>
      </w:r>
      <w:r w:rsidR="00F9106E" w:rsidRPr="002842EC">
        <w:rPr>
          <w:rFonts w:ascii="MetaNormal-Roman" w:hAnsi="MetaNormal-Roman"/>
          <w:i/>
          <w:iCs/>
        </w:rPr>
        <w:t>mental health conditions and other disabilities</w:t>
      </w:r>
      <w:r w:rsidR="00F9106E">
        <w:rPr>
          <w:rFonts w:ascii="MetaNormal-Roman" w:hAnsi="MetaNormal-Roman"/>
        </w:rPr>
        <w:t>.” This language encompasses a broader range of i</w:t>
      </w:r>
      <w:r w:rsidR="008B7594">
        <w:rPr>
          <w:rFonts w:ascii="MetaNormal-Roman" w:hAnsi="MetaNormal-Roman"/>
        </w:rPr>
        <w:t>ndividual</w:t>
      </w:r>
      <w:r w:rsidR="00363455">
        <w:rPr>
          <w:rFonts w:ascii="MetaNormal-Roman" w:hAnsi="MetaNormal-Roman"/>
        </w:rPr>
        <w:t xml:space="preserve">s. Relatedly, we suggest you remove the </w:t>
      </w:r>
      <w:r w:rsidR="00501B3A">
        <w:rPr>
          <w:rFonts w:ascii="MetaNormal-Roman" w:hAnsi="MetaNormal-Roman"/>
        </w:rPr>
        <w:t>phrase</w:t>
      </w:r>
      <w:r w:rsidR="00363455">
        <w:rPr>
          <w:rFonts w:ascii="MetaNormal-Roman" w:hAnsi="MetaNormal-Roman"/>
        </w:rPr>
        <w:t xml:space="preserve"> “migrants with special physical or mental health needs.” </w:t>
      </w:r>
      <w:r w:rsidR="00501B3A">
        <w:rPr>
          <w:rFonts w:ascii="MetaNormal-Roman" w:hAnsi="MetaNormal-Roman"/>
        </w:rPr>
        <w:t xml:space="preserve">Referring to individuals as having “special needs” </w:t>
      </w:r>
      <w:r w:rsidR="006F3F7B">
        <w:rPr>
          <w:rFonts w:ascii="MetaNormal-Roman" w:hAnsi="MetaNormal-Roman"/>
        </w:rPr>
        <w:t>is</w:t>
      </w:r>
      <w:r w:rsidR="00501B3A">
        <w:rPr>
          <w:rFonts w:ascii="MetaNormal-Roman" w:hAnsi="MetaNormal-Roman"/>
        </w:rPr>
        <w:t xml:space="preserve"> problematic</w:t>
      </w:r>
      <w:r w:rsidR="006619AB">
        <w:rPr>
          <w:rFonts w:ascii="MetaNormal-Roman" w:hAnsi="MetaNormal-Roman"/>
        </w:rPr>
        <w:t>; we recommend that the Committee amend this language to read</w:t>
      </w:r>
      <w:r w:rsidR="005E0D97">
        <w:rPr>
          <w:rFonts w:ascii="MetaNormal-Roman" w:hAnsi="MetaNormal-Roman"/>
        </w:rPr>
        <w:t xml:space="preserve"> </w:t>
      </w:r>
      <w:r w:rsidR="006619AB">
        <w:rPr>
          <w:rFonts w:ascii="MetaNormal-Roman" w:hAnsi="MetaNormal-Roman"/>
        </w:rPr>
        <w:t xml:space="preserve">“persons with </w:t>
      </w:r>
      <w:r w:rsidR="008936C4">
        <w:rPr>
          <w:rFonts w:ascii="MetaNormal-Roman" w:hAnsi="MetaNormal-Roman"/>
          <w:i/>
          <w:iCs/>
        </w:rPr>
        <w:t>physical or mental health needs, including</w:t>
      </w:r>
      <w:r w:rsidR="006619AB" w:rsidRPr="002842EC">
        <w:rPr>
          <w:rFonts w:ascii="MetaNormal-Roman" w:hAnsi="MetaNormal-Roman"/>
          <w:i/>
          <w:iCs/>
        </w:rPr>
        <w:t xml:space="preserve"> disabilities</w:t>
      </w:r>
      <w:r w:rsidR="006619AB">
        <w:rPr>
          <w:rFonts w:ascii="MetaNormal-Roman" w:hAnsi="MetaNormal-Roman"/>
        </w:rPr>
        <w:t>.”</w:t>
      </w:r>
      <w:r w:rsidR="00501B3A">
        <w:rPr>
          <w:rFonts w:ascii="MetaNormal-Roman" w:hAnsi="MetaNormal-Roman"/>
        </w:rPr>
        <w:t xml:space="preserve"> </w:t>
      </w:r>
    </w:p>
    <w:p w14:paraId="05E7D519" w14:textId="65D733CD" w:rsidR="007810C8" w:rsidRDefault="007810C8">
      <w:pPr>
        <w:rPr>
          <w:rFonts w:ascii="MetaNormal-Roman" w:hAnsi="MetaNormal-Roman"/>
        </w:rPr>
      </w:pPr>
      <w:r>
        <w:rPr>
          <w:rFonts w:ascii="MetaNormal-Roman" w:hAnsi="MetaNormal-Roman"/>
        </w:rPr>
        <w:t xml:space="preserve">We </w:t>
      </w:r>
      <w:r w:rsidR="00F872F7">
        <w:rPr>
          <w:rFonts w:ascii="MetaNormal-Roman" w:hAnsi="MetaNormal-Roman"/>
        </w:rPr>
        <w:t xml:space="preserve">suggest that you include </w:t>
      </w:r>
      <w:r w:rsidR="008C61C7">
        <w:rPr>
          <w:rFonts w:ascii="MetaNormal-Roman" w:hAnsi="MetaNormal-Roman"/>
        </w:rPr>
        <w:t xml:space="preserve">an additional paragraph </w:t>
      </w:r>
      <w:r w:rsidR="00833449">
        <w:rPr>
          <w:rFonts w:ascii="MetaNormal-Roman" w:hAnsi="MetaNormal-Roman"/>
        </w:rPr>
        <w:t xml:space="preserve">after paragraph 53 highlighting </w:t>
      </w:r>
      <w:r w:rsidR="003F1ECE">
        <w:rPr>
          <w:rFonts w:ascii="MetaNormal-Roman" w:hAnsi="MetaNormal-Roman"/>
        </w:rPr>
        <w:t xml:space="preserve">the harmful effects </w:t>
      </w:r>
      <w:r w:rsidR="00A22B24">
        <w:rPr>
          <w:rFonts w:ascii="MetaNormal-Roman" w:hAnsi="MetaNormal-Roman"/>
        </w:rPr>
        <w:t xml:space="preserve">of even brief </w:t>
      </w:r>
      <w:r w:rsidR="009B639E">
        <w:rPr>
          <w:rFonts w:ascii="MetaNormal-Roman" w:hAnsi="MetaNormal-Roman"/>
        </w:rPr>
        <w:t xml:space="preserve">experiences in </w:t>
      </w:r>
      <w:r w:rsidR="00A22B24">
        <w:rPr>
          <w:rFonts w:ascii="MetaNormal-Roman" w:hAnsi="MetaNormal-Roman"/>
        </w:rPr>
        <w:t>immigration detention</w:t>
      </w:r>
      <w:r w:rsidR="009B639E">
        <w:rPr>
          <w:rFonts w:ascii="MetaNormal-Roman" w:hAnsi="MetaNormal-Roman"/>
        </w:rPr>
        <w:t xml:space="preserve">. </w:t>
      </w:r>
      <w:r w:rsidR="00C379A6">
        <w:rPr>
          <w:rFonts w:ascii="MetaNormal-Roman" w:hAnsi="MetaNormal-Roman"/>
        </w:rPr>
        <w:t>We recommend that you include the following language: “Widespread research indicates that immigration detention can have severe consequences for the physical and mental health of all migrants, such that immigration detainees can become persons in vulnerable situations as a result of even brief periods of detention.</w:t>
      </w:r>
      <w:r w:rsidR="00F75B09">
        <w:rPr>
          <w:rStyle w:val="FootnoteReference"/>
          <w:rFonts w:ascii="MetaNormal-Roman" w:hAnsi="MetaNormal-Roman"/>
        </w:rPr>
        <w:footnoteReference w:id="13"/>
      </w:r>
      <w:r w:rsidR="00C9265E">
        <w:rPr>
          <w:rFonts w:ascii="MetaNormal-Roman" w:hAnsi="MetaNormal-Roman"/>
        </w:rPr>
        <w:t xml:space="preserve"> </w:t>
      </w:r>
      <w:r w:rsidR="00C379A6">
        <w:rPr>
          <w:rFonts w:ascii="MetaNormal-Roman" w:hAnsi="MetaNormal-Roman"/>
        </w:rPr>
        <w:t>Adjudicative proceedings should be carried out in a sensitive manner that protects individuals in vulnerable circumstances.”</w:t>
      </w:r>
      <w:r w:rsidR="00A22B24">
        <w:rPr>
          <w:rFonts w:ascii="MetaNormal-Roman" w:hAnsi="MetaNormal-Roman"/>
        </w:rPr>
        <w:t xml:space="preserve"> </w:t>
      </w:r>
      <w:r w:rsidR="00F872F7">
        <w:rPr>
          <w:rFonts w:ascii="MetaNormal-Roman" w:hAnsi="MetaNormal-Roman"/>
        </w:rPr>
        <w:t xml:space="preserve"> </w:t>
      </w:r>
      <w:r>
        <w:rPr>
          <w:rFonts w:ascii="MetaNormal-Roman" w:hAnsi="MetaNormal-Roman"/>
        </w:rPr>
        <w:t xml:space="preserve"> </w:t>
      </w:r>
    </w:p>
    <w:p w14:paraId="2F88C4E0" w14:textId="346FB0D6" w:rsidR="00926307" w:rsidRPr="00DC69DF" w:rsidRDefault="00926307">
      <w:pPr>
        <w:rPr>
          <w:rFonts w:ascii="MetaNormal-Roman" w:hAnsi="MetaNormal-Roman"/>
        </w:rPr>
      </w:pPr>
      <w:r>
        <w:rPr>
          <w:rFonts w:ascii="MetaNormal-Roman" w:hAnsi="MetaNormal-Roman"/>
        </w:rPr>
        <w:t xml:space="preserve">Paragraph 54 </w:t>
      </w:r>
      <w:r w:rsidR="00ED5059">
        <w:rPr>
          <w:rFonts w:ascii="MetaNormal-Roman" w:hAnsi="MetaNormal-Roman"/>
        </w:rPr>
        <w:t xml:space="preserve">calls on </w:t>
      </w:r>
      <w:r w:rsidR="00997966">
        <w:rPr>
          <w:rFonts w:ascii="MetaNormal-Roman" w:hAnsi="MetaNormal-Roman"/>
        </w:rPr>
        <w:t>s</w:t>
      </w:r>
      <w:r w:rsidR="00ED5059">
        <w:rPr>
          <w:rFonts w:ascii="MetaNormal-Roman" w:hAnsi="MetaNormal-Roman"/>
        </w:rPr>
        <w:t xml:space="preserve">tates to “take measures to abolish immigration detention gradually.” We recommend that </w:t>
      </w:r>
      <w:r w:rsidR="000C4BD2">
        <w:rPr>
          <w:rFonts w:ascii="MetaNormal-Roman" w:hAnsi="MetaNormal-Roman"/>
        </w:rPr>
        <w:t>you delete the word “gradually</w:t>
      </w:r>
      <w:r w:rsidR="00A54D21">
        <w:rPr>
          <w:rFonts w:ascii="MetaNormal-Roman" w:hAnsi="MetaNormal-Roman"/>
        </w:rPr>
        <w:t xml:space="preserve">,” and </w:t>
      </w:r>
      <w:r w:rsidR="0042372A">
        <w:rPr>
          <w:rFonts w:ascii="MetaNormal-Roman" w:hAnsi="MetaNormal-Roman"/>
        </w:rPr>
        <w:t xml:space="preserve">amend </w:t>
      </w:r>
      <w:r w:rsidR="00A54D21">
        <w:rPr>
          <w:rFonts w:ascii="MetaNormal-Roman" w:hAnsi="MetaNormal-Roman"/>
        </w:rPr>
        <w:t>this sentence to read “</w:t>
      </w:r>
      <w:r w:rsidR="007E172F">
        <w:rPr>
          <w:rFonts w:ascii="MetaNormal-Roman" w:hAnsi="MetaNormal-Roman"/>
        </w:rPr>
        <w:t xml:space="preserve">The Committee considers that </w:t>
      </w:r>
      <w:r w:rsidR="00997966">
        <w:rPr>
          <w:rFonts w:ascii="MetaNormal-Roman" w:hAnsi="MetaNormal-Roman"/>
        </w:rPr>
        <w:t>s</w:t>
      </w:r>
      <w:r w:rsidR="007E172F">
        <w:rPr>
          <w:rFonts w:ascii="MetaNormal-Roman" w:hAnsi="MetaNormal-Roman"/>
        </w:rPr>
        <w:t xml:space="preserve">tates </w:t>
      </w:r>
      <w:r w:rsidR="00B01EA8">
        <w:rPr>
          <w:rFonts w:ascii="MetaNormal-Roman" w:hAnsi="MetaNormal-Roman"/>
        </w:rPr>
        <w:t xml:space="preserve">should take </w:t>
      </w:r>
      <w:r w:rsidR="00B01EA8" w:rsidRPr="006C6D2D">
        <w:rPr>
          <w:rFonts w:ascii="MetaNormal-Roman" w:hAnsi="MetaNormal-Roman"/>
          <w:i/>
          <w:iCs/>
        </w:rPr>
        <w:t xml:space="preserve">progressive </w:t>
      </w:r>
      <w:r w:rsidR="00D86D0C" w:rsidRPr="006C6D2D">
        <w:rPr>
          <w:rFonts w:ascii="MetaNormal-Roman" w:hAnsi="MetaNormal-Roman"/>
          <w:i/>
          <w:iCs/>
        </w:rPr>
        <w:t>measures towar</w:t>
      </w:r>
      <w:r w:rsidR="0087503F" w:rsidRPr="006C6D2D">
        <w:rPr>
          <w:rFonts w:ascii="MetaNormal-Roman" w:hAnsi="MetaNormal-Roman"/>
          <w:i/>
          <w:iCs/>
        </w:rPr>
        <w:t>d</w:t>
      </w:r>
      <w:r w:rsidR="002D5B5D">
        <w:rPr>
          <w:rFonts w:ascii="MetaNormal-Roman" w:hAnsi="MetaNormal-Roman"/>
          <w:i/>
          <w:iCs/>
        </w:rPr>
        <w:t xml:space="preserve"> rapidly</w:t>
      </w:r>
      <w:r w:rsidR="0087503F" w:rsidRPr="006C6D2D">
        <w:rPr>
          <w:rFonts w:ascii="MetaNormal-Roman" w:hAnsi="MetaNormal-Roman"/>
          <w:i/>
          <w:iCs/>
        </w:rPr>
        <w:t xml:space="preserve"> abolishing immigration detention</w:t>
      </w:r>
      <w:r w:rsidR="0087503F">
        <w:rPr>
          <w:rFonts w:ascii="MetaNormal-Roman" w:hAnsi="MetaNormal-Roman"/>
        </w:rPr>
        <w:t>.”</w:t>
      </w:r>
      <w:r w:rsidR="003D5B22">
        <w:rPr>
          <w:rFonts w:ascii="MetaNormal-Roman" w:hAnsi="MetaNormal-Roman"/>
        </w:rPr>
        <w:t xml:space="preserve"> </w:t>
      </w:r>
      <w:r w:rsidR="001D71C5">
        <w:rPr>
          <w:rFonts w:ascii="MetaNormal-Roman" w:hAnsi="MetaNormal-Roman"/>
        </w:rPr>
        <w:t xml:space="preserve">This </w:t>
      </w:r>
      <w:r w:rsidR="0003172A">
        <w:rPr>
          <w:rFonts w:ascii="MetaNormal-Roman" w:hAnsi="MetaNormal-Roman"/>
        </w:rPr>
        <w:t>strengthens the</w:t>
      </w:r>
      <w:r w:rsidR="001D71C5">
        <w:rPr>
          <w:rFonts w:ascii="MetaNormal-Roman" w:hAnsi="MetaNormal-Roman"/>
        </w:rPr>
        <w:t xml:space="preserve"> message that </w:t>
      </w:r>
      <w:r w:rsidR="007411EF">
        <w:rPr>
          <w:rFonts w:ascii="MetaNormal-Roman" w:hAnsi="MetaNormal-Roman"/>
        </w:rPr>
        <w:t xml:space="preserve">abolishing immigration detention is urgent </w:t>
      </w:r>
      <w:r w:rsidR="00D60203">
        <w:rPr>
          <w:rFonts w:ascii="MetaNormal-Roman" w:hAnsi="MetaNormal-Roman"/>
        </w:rPr>
        <w:t>and critical</w:t>
      </w:r>
      <w:r w:rsidR="007B1E67">
        <w:rPr>
          <w:rFonts w:ascii="MetaNormal-Roman" w:hAnsi="MetaNormal-Roman"/>
        </w:rPr>
        <w:t xml:space="preserve"> and should proceed apace</w:t>
      </w:r>
      <w:r w:rsidR="00D60203">
        <w:rPr>
          <w:rFonts w:ascii="MetaNormal-Roman" w:hAnsi="MetaNormal-Roman"/>
        </w:rPr>
        <w:t>.</w:t>
      </w:r>
    </w:p>
    <w:p w14:paraId="6CFD5415" w14:textId="52042DD5" w:rsidR="00681F21" w:rsidRDefault="006F0DF5">
      <w:pPr>
        <w:rPr>
          <w:rFonts w:ascii="MetaNormal-Roman" w:hAnsi="MetaNormal-Roman"/>
        </w:rPr>
      </w:pPr>
      <w:r w:rsidRPr="00DC69DF">
        <w:rPr>
          <w:rFonts w:ascii="MetaNormal-Roman" w:hAnsi="MetaNormal-Roman"/>
        </w:rPr>
        <w:t xml:space="preserve">We welcome the use of language in </w:t>
      </w:r>
      <w:r w:rsidR="00D60203">
        <w:rPr>
          <w:rFonts w:ascii="MetaNormal-Roman" w:hAnsi="MetaNormal-Roman"/>
        </w:rPr>
        <w:t>p</w:t>
      </w:r>
      <w:r w:rsidR="00405E42" w:rsidRPr="00DC69DF">
        <w:rPr>
          <w:rFonts w:ascii="MetaNormal-Roman" w:hAnsi="MetaNormal-Roman"/>
        </w:rPr>
        <w:t xml:space="preserve">aragraph 61 </w:t>
      </w:r>
      <w:r w:rsidR="00C43357" w:rsidRPr="00DC69DF">
        <w:rPr>
          <w:rFonts w:ascii="MetaNormal-Roman" w:hAnsi="MetaNormal-Roman"/>
        </w:rPr>
        <w:t>discuss</w:t>
      </w:r>
      <w:r w:rsidRPr="00DC69DF">
        <w:rPr>
          <w:rFonts w:ascii="MetaNormal-Roman" w:hAnsi="MetaNormal-Roman"/>
        </w:rPr>
        <w:t>ing</w:t>
      </w:r>
      <w:r w:rsidR="00C43357" w:rsidRPr="00DC69DF">
        <w:rPr>
          <w:rFonts w:ascii="MetaNormal-Roman" w:hAnsi="MetaNormal-Roman"/>
        </w:rPr>
        <w:t xml:space="preserve"> the benefits of alternatives to detention</w:t>
      </w:r>
      <w:r w:rsidR="00713E8C" w:rsidRPr="00DC69DF">
        <w:rPr>
          <w:rFonts w:ascii="MetaNormal-Roman" w:hAnsi="MetaNormal-Roman"/>
        </w:rPr>
        <w:t xml:space="preserve">, including </w:t>
      </w:r>
      <w:r w:rsidR="00E61473" w:rsidRPr="00DC69DF">
        <w:rPr>
          <w:rFonts w:ascii="MetaNormal-Roman" w:hAnsi="MetaNormal-Roman"/>
        </w:rPr>
        <w:t>that they are less costly</w:t>
      </w:r>
      <w:r w:rsidR="006F432B" w:rsidRPr="00DC69DF">
        <w:rPr>
          <w:rFonts w:ascii="MetaNormal-Roman" w:hAnsi="MetaNormal-Roman"/>
        </w:rPr>
        <w:t xml:space="preserve"> and</w:t>
      </w:r>
      <w:r w:rsidR="00E61473" w:rsidRPr="00DC69DF">
        <w:rPr>
          <w:rFonts w:ascii="MetaNormal-Roman" w:hAnsi="MetaNormal-Roman"/>
        </w:rPr>
        <w:t xml:space="preserve"> more humane</w:t>
      </w:r>
      <w:r w:rsidR="006F432B" w:rsidRPr="00DC69DF">
        <w:rPr>
          <w:rFonts w:ascii="MetaNormal-Roman" w:hAnsi="MetaNormal-Roman"/>
        </w:rPr>
        <w:t xml:space="preserve">. </w:t>
      </w:r>
      <w:r w:rsidR="00B75E2C" w:rsidRPr="00DC69DF">
        <w:rPr>
          <w:rFonts w:ascii="MetaNormal-Roman" w:hAnsi="MetaNormal-Roman"/>
        </w:rPr>
        <w:t xml:space="preserve">We recommend that </w:t>
      </w:r>
      <w:r w:rsidR="00180E27" w:rsidRPr="00DC69DF">
        <w:rPr>
          <w:rFonts w:ascii="MetaNormal-Roman" w:hAnsi="MetaNormal-Roman"/>
        </w:rPr>
        <w:t>yo</w:t>
      </w:r>
      <w:r w:rsidR="00964598" w:rsidRPr="00DC69DF">
        <w:rPr>
          <w:rFonts w:ascii="MetaNormal-Roman" w:hAnsi="MetaNormal-Roman"/>
        </w:rPr>
        <w:t xml:space="preserve">u </w:t>
      </w:r>
      <w:r w:rsidR="004044D0" w:rsidRPr="00DC69DF">
        <w:rPr>
          <w:rFonts w:ascii="MetaNormal-Roman" w:hAnsi="MetaNormal-Roman"/>
        </w:rPr>
        <w:t>strengthen this message</w:t>
      </w:r>
      <w:r w:rsidR="00A31093" w:rsidRPr="00DC69DF">
        <w:rPr>
          <w:rFonts w:ascii="MetaNormal-Roman" w:hAnsi="MetaNormal-Roman"/>
        </w:rPr>
        <w:t xml:space="preserve"> </w:t>
      </w:r>
      <w:r w:rsidR="00CC3DAE" w:rsidRPr="00DC69DF">
        <w:rPr>
          <w:rFonts w:ascii="MetaNormal-Roman" w:hAnsi="MetaNormal-Roman"/>
        </w:rPr>
        <w:t xml:space="preserve">by discussing additional advantages of alternatives to detention. </w:t>
      </w:r>
      <w:r w:rsidR="00671D8A" w:rsidRPr="00DC69DF">
        <w:rPr>
          <w:rFonts w:ascii="MetaNormal-Roman" w:hAnsi="MetaNormal-Roman"/>
        </w:rPr>
        <w:t xml:space="preserve">Alternatives to </w:t>
      </w:r>
      <w:r w:rsidR="00671D8A" w:rsidRPr="00DC69DF">
        <w:rPr>
          <w:rFonts w:ascii="MetaNormal-Roman" w:hAnsi="MetaNormal-Roman"/>
        </w:rPr>
        <w:lastRenderedPageBreak/>
        <w:t>detention</w:t>
      </w:r>
      <w:r w:rsidR="001B6D9F" w:rsidRPr="00DC69DF">
        <w:rPr>
          <w:rFonts w:ascii="MetaNormal-Roman" w:hAnsi="MetaNormal-Roman"/>
        </w:rPr>
        <w:t xml:space="preserve"> </w:t>
      </w:r>
      <w:r w:rsidR="00DC496B" w:rsidRPr="00DC69DF">
        <w:rPr>
          <w:rFonts w:ascii="MetaNormal-Roman" w:hAnsi="MetaNormal-Roman"/>
        </w:rPr>
        <w:t xml:space="preserve">also reduce overcrowding in </w:t>
      </w:r>
      <w:r w:rsidR="007B1E67">
        <w:rPr>
          <w:rFonts w:ascii="MetaNormal-Roman" w:hAnsi="MetaNormal-Roman"/>
        </w:rPr>
        <w:t>places of</w:t>
      </w:r>
      <w:r w:rsidR="007B1E67" w:rsidRPr="00DC69DF">
        <w:rPr>
          <w:rFonts w:ascii="MetaNormal-Roman" w:hAnsi="MetaNormal-Roman"/>
        </w:rPr>
        <w:t xml:space="preserve"> </w:t>
      </w:r>
      <w:r w:rsidR="00DC496B" w:rsidRPr="00DC69DF">
        <w:rPr>
          <w:rFonts w:ascii="MetaNormal-Roman" w:hAnsi="MetaNormal-Roman"/>
        </w:rPr>
        <w:t>detentio</w:t>
      </w:r>
      <w:r w:rsidR="007B1E67">
        <w:rPr>
          <w:rFonts w:ascii="MetaNormal-Roman" w:hAnsi="MetaNormal-Roman"/>
        </w:rPr>
        <w:t>n</w:t>
      </w:r>
      <w:r w:rsidR="00DC496B" w:rsidRPr="00DC69DF">
        <w:rPr>
          <w:rFonts w:ascii="MetaNormal-Roman" w:hAnsi="MetaNormal-Roman"/>
        </w:rPr>
        <w:t>,</w:t>
      </w:r>
      <w:r w:rsidR="00620771" w:rsidRPr="00DC69DF">
        <w:rPr>
          <w:rStyle w:val="FootnoteReference"/>
          <w:rFonts w:ascii="MetaNormal-Roman" w:hAnsi="MetaNormal-Roman"/>
        </w:rPr>
        <w:footnoteReference w:id="14"/>
      </w:r>
      <w:r w:rsidR="00DC496B" w:rsidRPr="00DC69DF">
        <w:rPr>
          <w:rFonts w:ascii="MetaNormal-Roman" w:hAnsi="MetaNormal-Roman"/>
        </w:rPr>
        <w:t xml:space="preserve"> which may be of particular importance due to</w:t>
      </w:r>
      <w:r w:rsidR="00097806" w:rsidRPr="00DC69DF">
        <w:rPr>
          <w:rFonts w:ascii="MetaNormal-Roman" w:hAnsi="MetaNormal-Roman"/>
        </w:rPr>
        <w:t xml:space="preserve"> risks associated with</w:t>
      </w:r>
      <w:r w:rsidR="00DC496B" w:rsidRPr="00DC69DF">
        <w:rPr>
          <w:rFonts w:ascii="MetaNormal-Roman" w:hAnsi="MetaNormal-Roman"/>
        </w:rPr>
        <w:t xml:space="preserve"> C</w:t>
      </w:r>
      <w:r w:rsidR="00F97AB8">
        <w:rPr>
          <w:rFonts w:ascii="MetaNormal-Roman" w:hAnsi="MetaNormal-Roman"/>
        </w:rPr>
        <w:t>ovid</w:t>
      </w:r>
      <w:r w:rsidR="00DC496B" w:rsidRPr="00DC69DF">
        <w:rPr>
          <w:rFonts w:ascii="MetaNormal-Roman" w:hAnsi="MetaNormal-Roman"/>
        </w:rPr>
        <w:t>-19.</w:t>
      </w:r>
      <w:r w:rsidR="00CC624F" w:rsidRPr="00DC69DF">
        <w:rPr>
          <w:rFonts w:ascii="MetaNormal-Roman" w:hAnsi="MetaNormal-Roman"/>
        </w:rPr>
        <w:t xml:space="preserve"> </w:t>
      </w:r>
    </w:p>
    <w:p w14:paraId="5CC7A46C" w14:textId="236B7BBD" w:rsidR="00943333" w:rsidRDefault="00856692">
      <w:pPr>
        <w:rPr>
          <w:rFonts w:ascii="MetaNormal-Roman" w:hAnsi="MetaNormal-Roman"/>
        </w:rPr>
      </w:pPr>
      <w:r>
        <w:rPr>
          <w:rFonts w:ascii="MetaNormal-Roman" w:hAnsi="MetaNormal-Roman"/>
        </w:rPr>
        <w:t>We are pleased to see that the Committee highlights the importance of community-based non-custodial options as alternative</w:t>
      </w:r>
      <w:r w:rsidR="00C80E8A">
        <w:rPr>
          <w:rFonts w:ascii="MetaNormal-Roman" w:hAnsi="MetaNormal-Roman"/>
        </w:rPr>
        <w:t>s</w:t>
      </w:r>
      <w:r>
        <w:rPr>
          <w:rFonts w:ascii="MetaNormal-Roman" w:hAnsi="MetaNormal-Roman"/>
        </w:rPr>
        <w:t xml:space="preserve"> to detention. </w:t>
      </w:r>
      <w:r w:rsidR="00ED2D8F">
        <w:rPr>
          <w:rFonts w:ascii="MetaNormal-Roman" w:hAnsi="MetaNormal-Roman"/>
        </w:rPr>
        <w:t>We recommend that the Committee expand on this section</w:t>
      </w:r>
      <w:r w:rsidR="00BA26C1">
        <w:rPr>
          <w:rFonts w:ascii="MetaNormal-Roman" w:hAnsi="MetaNormal-Roman"/>
        </w:rPr>
        <w:t xml:space="preserve"> in paragraph </w:t>
      </w:r>
      <w:r w:rsidR="00FA67DE">
        <w:rPr>
          <w:rFonts w:ascii="MetaNormal-Roman" w:hAnsi="MetaNormal-Roman"/>
        </w:rPr>
        <w:t xml:space="preserve">62 by addressing specific alternatives. </w:t>
      </w:r>
      <w:r w:rsidR="003366F5">
        <w:rPr>
          <w:rFonts w:ascii="MetaNormal-Roman" w:hAnsi="MetaNormal-Roman"/>
        </w:rPr>
        <w:t>Asking</w:t>
      </w:r>
      <w:r w:rsidR="004778F9">
        <w:rPr>
          <w:rFonts w:ascii="MetaNormal-Roman" w:hAnsi="MetaNormal-Roman"/>
        </w:rPr>
        <w:t xml:space="preserve"> migrants</w:t>
      </w:r>
      <w:r w:rsidR="002A19EC">
        <w:rPr>
          <w:rFonts w:ascii="MetaNormal-Roman" w:hAnsi="MetaNormal-Roman"/>
        </w:rPr>
        <w:t xml:space="preserve"> to</w:t>
      </w:r>
      <w:r w:rsidR="004778F9">
        <w:rPr>
          <w:rFonts w:ascii="MetaNormal-Roman" w:hAnsi="MetaNormal-Roman"/>
        </w:rPr>
        <w:t xml:space="preserve"> register with authorities</w:t>
      </w:r>
      <w:r w:rsidR="003366F5">
        <w:rPr>
          <w:rFonts w:ascii="MetaNormal-Roman" w:hAnsi="MetaNormal-Roman"/>
        </w:rPr>
        <w:t xml:space="preserve"> and issuing them temporary documentation is one such alternative.</w:t>
      </w:r>
      <w:r w:rsidR="00BC56CE">
        <w:rPr>
          <w:rStyle w:val="FootnoteReference"/>
          <w:rFonts w:ascii="MetaNormal-Roman" w:hAnsi="MetaNormal-Roman"/>
        </w:rPr>
        <w:footnoteReference w:id="15"/>
      </w:r>
      <w:r w:rsidR="003366F5">
        <w:rPr>
          <w:rFonts w:ascii="MetaNormal-Roman" w:hAnsi="MetaNormal-Roman"/>
        </w:rPr>
        <w:t xml:space="preserve"> </w:t>
      </w:r>
      <w:r w:rsidR="00047C22">
        <w:rPr>
          <w:rFonts w:ascii="MetaNormal-Roman" w:hAnsi="MetaNormal-Roman"/>
        </w:rPr>
        <w:t>This method allows migrants liberty and freedom of movement</w:t>
      </w:r>
      <w:r w:rsidR="00A44FAB">
        <w:rPr>
          <w:rFonts w:ascii="MetaNormal-Roman" w:hAnsi="MetaNormal-Roman"/>
        </w:rPr>
        <w:t xml:space="preserve">. Further, it is a </w:t>
      </w:r>
      <w:r w:rsidR="00407212">
        <w:rPr>
          <w:rFonts w:ascii="MetaNormal-Roman" w:hAnsi="MetaNormal-Roman"/>
        </w:rPr>
        <w:t xml:space="preserve">practical </w:t>
      </w:r>
      <w:r w:rsidR="00A44FAB">
        <w:rPr>
          <w:rFonts w:ascii="MetaNormal-Roman" w:hAnsi="MetaNormal-Roman"/>
        </w:rPr>
        <w:t xml:space="preserve">solution </w:t>
      </w:r>
      <w:r w:rsidR="002748EB">
        <w:rPr>
          <w:rFonts w:ascii="MetaNormal-Roman" w:hAnsi="MetaNormal-Roman"/>
        </w:rPr>
        <w:t xml:space="preserve">since </w:t>
      </w:r>
      <w:r w:rsidR="00407212">
        <w:rPr>
          <w:rFonts w:ascii="MetaNormal-Roman" w:hAnsi="MetaNormal-Roman"/>
        </w:rPr>
        <w:t xml:space="preserve">many </w:t>
      </w:r>
      <w:r w:rsidR="008B1499">
        <w:rPr>
          <w:rFonts w:ascii="MetaNormal-Roman" w:hAnsi="MetaNormal-Roman"/>
        </w:rPr>
        <w:t>s</w:t>
      </w:r>
      <w:r w:rsidR="00407212">
        <w:rPr>
          <w:rFonts w:ascii="MetaNormal-Roman" w:hAnsi="MetaNormal-Roman"/>
        </w:rPr>
        <w:t xml:space="preserve">tates already have systems in place to </w:t>
      </w:r>
      <w:r w:rsidR="00A44FAB">
        <w:rPr>
          <w:rFonts w:ascii="MetaNormal-Roman" w:hAnsi="MetaNormal-Roman"/>
        </w:rPr>
        <w:t xml:space="preserve">support </w:t>
      </w:r>
      <w:r w:rsidR="00C436B5">
        <w:rPr>
          <w:rFonts w:ascii="MetaNormal-Roman" w:hAnsi="MetaNormal-Roman"/>
        </w:rPr>
        <w:t>this approach</w:t>
      </w:r>
      <w:r w:rsidR="009F051C">
        <w:rPr>
          <w:rFonts w:ascii="MetaNormal-Roman" w:hAnsi="MetaNormal-Roman"/>
        </w:rPr>
        <w:t>.</w:t>
      </w:r>
      <w:r w:rsidR="009F051C">
        <w:rPr>
          <w:rStyle w:val="FootnoteReference"/>
          <w:rFonts w:ascii="MetaNormal-Roman" w:hAnsi="MetaNormal-Roman"/>
        </w:rPr>
        <w:footnoteReference w:id="16"/>
      </w:r>
      <w:r w:rsidR="00A76BB1">
        <w:rPr>
          <w:rFonts w:ascii="MetaNormal-Roman" w:hAnsi="MetaNormal-Roman"/>
        </w:rPr>
        <w:t xml:space="preserve"> Another alternative is </w:t>
      </w:r>
      <w:r w:rsidR="00643447">
        <w:rPr>
          <w:rFonts w:ascii="MetaNormal-Roman" w:hAnsi="MetaNormal-Roman"/>
        </w:rPr>
        <w:t>to provide migrants with case management or case worker support.</w:t>
      </w:r>
      <w:r w:rsidR="00081244">
        <w:rPr>
          <w:rStyle w:val="FootnoteReference"/>
          <w:rFonts w:ascii="MetaNormal-Roman" w:hAnsi="MetaNormal-Roman"/>
        </w:rPr>
        <w:footnoteReference w:id="17"/>
      </w:r>
      <w:r w:rsidR="00643447">
        <w:rPr>
          <w:rFonts w:ascii="MetaNormal-Roman" w:hAnsi="MetaNormal-Roman"/>
        </w:rPr>
        <w:t xml:space="preserve"> Case workers assist migrants in all aspects of the</w:t>
      </w:r>
      <w:r w:rsidR="005D0515">
        <w:rPr>
          <w:rFonts w:ascii="MetaNormal-Roman" w:hAnsi="MetaNormal-Roman"/>
        </w:rPr>
        <w:t xml:space="preserve"> application process</w:t>
      </w:r>
      <w:r w:rsidR="00DE5BF0">
        <w:rPr>
          <w:rFonts w:ascii="MetaNormal-Roman" w:hAnsi="MetaNormal-Roman"/>
        </w:rPr>
        <w:t xml:space="preserve">, </w:t>
      </w:r>
      <w:r w:rsidR="00572654">
        <w:rPr>
          <w:rFonts w:ascii="MetaNormal-Roman" w:hAnsi="MetaNormal-Roman"/>
        </w:rPr>
        <w:t xml:space="preserve">such as providing </w:t>
      </w:r>
      <w:r w:rsidR="005C3C17">
        <w:rPr>
          <w:rFonts w:ascii="MetaNormal-Roman" w:hAnsi="MetaNormal-Roman"/>
        </w:rPr>
        <w:t>critical information and</w:t>
      </w:r>
      <w:r w:rsidR="00DE5BF0">
        <w:rPr>
          <w:rFonts w:ascii="MetaNormal-Roman" w:hAnsi="MetaNormal-Roman"/>
        </w:rPr>
        <w:t xml:space="preserve"> </w:t>
      </w:r>
      <w:r w:rsidR="005C3C17">
        <w:rPr>
          <w:rFonts w:ascii="MetaNormal-Roman" w:hAnsi="MetaNormal-Roman"/>
        </w:rPr>
        <w:t>representation during immigration procedures</w:t>
      </w:r>
      <w:r w:rsidR="005D0515">
        <w:rPr>
          <w:rFonts w:ascii="MetaNormal-Roman" w:hAnsi="MetaNormal-Roman"/>
        </w:rPr>
        <w:t>.</w:t>
      </w:r>
      <w:r w:rsidR="004E46D9">
        <w:rPr>
          <w:rStyle w:val="FootnoteReference"/>
          <w:rFonts w:ascii="MetaNormal-Roman" w:hAnsi="MetaNormal-Roman"/>
        </w:rPr>
        <w:footnoteReference w:id="18"/>
      </w:r>
      <w:r w:rsidR="005D0515">
        <w:rPr>
          <w:rFonts w:ascii="MetaNormal-Roman" w:hAnsi="MetaNormal-Roman"/>
        </w:rPr>
        <w:t xml:space="preserve"> This </w:t>
      </w:r>
      <w:r w:rsidR="00C418C8">
        <w:rPr>
          <w:rFonts w:ascii="MetaNormal-Roman" w:hAnsi="MetaNormal-Roman"/>
        </w:rPr>
        <w:t>method</w:t>
      </w:r>
      <w:r w:rsidR="00F536B1">
        <w:rPr>
          <w:rFonts w:ascii="MetaNormal-Roman" w:hAnsi="MetaNormal-Roman"/>
        </w:rPr>
        <w:t xml:space="preserve"> helps migrants navigate complicated </w:t>
      </w:r>
      <w:r w:rsidR="00A27C32">
        <w:rPr>
          <w:rFonts w:ascii="MetaNormal-Roman" w:hAnsi="MetaNormal-Roman"/>
        </w:rPr>
        <w:t>processes</w:t>
      </w:r>
      <w:r w:rsidR="00C418C8">
        <w:rPr>
          <w:rFonts w:ascii="MetaNormal-Roman" w:hAnsi="MetaNormal-Roman"/>
        </w:rPr>
        <w:t xml:space="preserve"> </w:t>
      </w:r>
      <w:r w:rsidR="00F536B1">
        <w:rPr>
          <w:rFonts w:ascii="MetaNormal-Roman" w:hAnsi="MetaNormal-Roman"/>
        </w:rPr>
        <w:t>and</w:t>
      </w:r>
      <w:r w:rsidR="00C418C8">
        <w:rPr>
          <w:rFonts w:ascii="MetaNormal-Roman" w:hAnsi="MetaNormal-Roman"/>
        </w:rPr>
        <w:t xml:space="preserve"> ensures that</w:t>
      </w:r>
      <w:r w:rsidR="004B45BA">
        <w:rPr>
          <w:rFonts w:ascii="MetaNormal-Roman" w:hAnsi="MetaNormal-Roman"/>
        </w:rPr>
        <w:t xml:space="preserve"> they </w:t>
      </w:r>
      <w:r w:rsidR="00B84648">
        <w:rPr>
          <w:rFonts w:ascii="MetaNormal-Roman" w:hAnsi="MetaNormal-Roman"/>
        </w:rPr>
        <w:t xml:space="preserve">are </w:t>
      </w:r>
      <w:r w:rsidR="004E46D9">
        <w:rPr>
          <w:rFonts w:ascii="MetaNormal-Roman" w:hAnsi="MetaNormal-Roman"/>
        </w:rPr>
        <w:t>provided with</w:t>
      </w:r>
      <w:r w:rsidR="00B84648">
        <w:rPr>
          <w:rFonts w:ascii="MetaNormal-Roman" w:hAnsi="MetaNormal-Roman"/>
        </w:rPr>
        <w:t xml:space="preserve"> </w:t>
      </w:r>
      <w:r w:rsidR="00CB3BF5">
        <w:rPr>
          <w:rFonts w:ascii="MetaNormal-Roman" w:hAnsi="MetaNormal-Roman"/>
        </w:rPr>
        <w:t>ad</w:t>
      </w:r>
      <w:r w:rsidR="0066099B">
        <w:rPr>
          <w:rFonts w:ascii="MetaNormal-Roman" w:hAnsi="MetaNormal-Roman"/>
        </w:rPr>
        <w:t>equate access to justice</w:t>
      </w:r>
      <w:r w:rsidR="000927AD">
        <w:rPr>
          <w:rFonts w:ascii="MetaNormal-Roman" w:hAnsi="MetaNormal-Roman"/>
        </w:rPr>
        <w:t xml:space="preserve"> if arbitrarily arrested or detained. </w:t>
      </w:r>
      <w:r w:rsidR="00CC59D4">
        <w:rPr>
          <w:rFonts w:ascii="MetaNormal-Roman" w:hAnsi="MetaNormal-Roman"/>
        </w:rPr>
        <w:t xml:space="preserve">Including </w:t>
      </w:r>
      <w:r w:rsidR="000A6740">
        <w:rPr>
          <w:rFonts w:ascii="MetaNormal-Roman" w:hAnsi="MetaNormal-Roman"/>
        </w:rPr>
        <w:t xml:space="preserve">specific alternatives provided further guidance to states parties. </w:t>
      </w:r>
    </w:p>
    <w:p w14:paraId="7DC1B363" w14:textId="2BCAC8E9" w:rsidR="00EA037F" w:rsidRDefault="00EA037F">
      <w:pPr>
        <w:rPr>
          <w:rFonts w:ascii="MetaNormal-Roman" w:hAnsi="MetaNormal-Roman"/>
        </w:rPr>
      </w:pPr>
      <w:r>
        <w:rPr>
          <w:rFonts w:ascii="MetaNormal-Roman" w:hAnsi="MetaNormal-Roman"/>
        </w:rPr>
        <w:t xml:space="preserve">Paragraph 64 states that if there are obstacles to deportation which are not attributable to the individual, “thus making deportation or expulsion impossible, the detained person must be released in order to avoid indefinite detention, which would be arbitrary.” We suggest that this language be amended to say that where obstacles arise that “make deportation or expulsion impossible, </w:t>
      </w:r>
      <w:r w:rsidRPr="00EA75F0">
        <w:rPr>
          <w:rFonts w:ascii="MetaNormal-Roman" w:hAnsi="MetaNormal-Roman"/>
          <w:i/>
          <w:iCs/>
        </w:rPr>
        <w:t xml:space="preserve">that person must not be detained and a detained person who cannot be removed </w:t>
      </w:r>
      <w:r w:rsidRPr="000B17D7">
        <w:rPr>
          <w:rFonts w:ascii="MetaNormal-Roman" w:hAnsi="MetaNormal-Roman"/>
        </w:rPr>
        <w:t>must be released in</w:t>
      </w:r>
      <w:r>
        <w:rPr>
          <w:rFonts w:ascii="MetaNormal-Roman" w:hAnsi="MetaNormal-Roman"/>
        </w:rPr>
        <w:t xml:space="preserve"> order to avoid indefinite detention, which would be arbitrary.” This language reflects the view that an individual should not be detained </w:t>
      </w:r>
      <w:r w:rsidR="006544D9">
        <w:rPr>
          <w:rFonts w:ascii="MetaNormal-Roman" w:hAnsi="MetaNormal-Roman"/>
        </w:rPr>
        <w:t>for any period of time</w:t>
      </w:r>
      <w:r>
        <w:rPr>
          <w:rFonts w:ascii="MetaNormal-Roman" w:hAnsi="MetaNormal-Roman"/>
        </w:rPr>
        <w:t xml:space="preserve"> if detention would be arbitrary.  </w:t>
      </w:r>
    </w:p>
    <w:p w14:paraId="5EC83C6C" w14:textId="149064F8" w:rsidR="00943333" w:rsidRDefault="00943333">
      <w:pPr>
        <w:rPr>
          <w:rFonts w:ascii="MetaNormal-Roman" w:hAnsi="MetaNormal-Roman"/>
        </w:rPr>
      </w:pPr>
      <w:r w:rsidRPr="00DC69DF">
        <w:rPr>
          <w:rFonts w:ascii="MetaNormal-Roman" w:hAnsi="MetaNormal-Roman"/>
        </w:rPr>
        <w:t xml:space="preserve">The General </w:t>
      </w:r>
      <w:r w:rsidR="00114591">
        <w:rPr>
          <w:rFonts w:ascii="MetaNormal-Roman" w:hAnsi="MetaNormal-Roman"/>
        </w:rPr>
        <w:t>C</w:t>
      </w:r>
      <w:r w:rsidRPr="00DC69DF">
        <w:rPr>
          <w:rFonts w:ascii="MetaNormal-Roman" w:hAnsi="MetaNormal-Roman"/>
        </w:rPr>
        <w:t>omment comprehensively reviews judicial guarantees and includes important language regarding the lack of safeguards afforded to migrants</w:t>
      </w:r>
      <w:r w:rsidR="00E35E31">
        <w:rPr>
          <w:rFonts w:ascii="MetaNormal-Roman" w:hAnsi="MetaNormal-Roman"/>
        </w:rPr>
        <w:t xml:space="preserve"> in paragraph 68</w:t>
      </w:r>
      <w:r w:rsidRPr="00DC69DF">
        <w:rPr>
          <w:rFonts w:ascii="MetaNormal-Roman" w:hAnsi="MetaNormal-Roman"/>
        </w:rPr>
        <w:t xml:space="preserve">. However, we recommend that the Committee expand the section on </w:t>
      </w:r>
      <w:r w:rsidR="000917FC">
        <w:rPr>
          <w:rFonts w:ascii="MetaNormal-Roman" w:hAnsi="MetaNormal-Roman"/>
        </w:rPr>
        <w:t>j</w:t>
      </w:r>
      <w:r w:rsidR="000917FC" w:rsidRPr="00DC69DF">
        <w:rPr>
          <w:rFonts w:ascii="MetaNormal-Roman" w:hAnsi="MetaNormal-Roman"/>
        </w:rPr>
        <w:t xml:space="preserve">udicial </w:t>
      </w:r>
      <w:r w:rsidRPr="00DC69DF">
        <w:rPr>
          <w:rFonts w:ascii="MetaNormal-Roman" w:hAnsi="MetaNormal-Roman"/>
        </w:rPr>
        <w:t xml:space="preserve">guarantees to address the impacts of </w:t>
      </w:r>
      <w:r w:rsidR="004E6A0D">
        <w:rPr>
          <w:rFonts w:ascii="MetaNormal-Roman" w:hAnsi="MetaNormal-Roman"/>
        </w:rPr>
        <w:t>the Covid-19 pandemic</w:t>
      </w:r>
      <w:r w:rsidRPr="00DC69DF">
        <w:rPr>
          <w:rFonts w:ascii="MetaNormal-Roman" w:hAnsi="MetaNormal-Roman"/>
        </w:rPr>
        <w:t xml:space="preserve"> on access to courts and other complaint mechanisms. Human Rights Watch research has shown that</w:t>
      </w:r>
      <w:r>
        <w:rPr>
          <w:rFonts w:ascii="MetaNormal-Roman" w:hAnsi="MetaNormal-Roman"/>
        </w:rPr>
        <w:t xml:space="preserve"> at the peak of the global pandemic</w:t>
      </w:r>
      <w:r w:rsidRPr="00DC69DF">
        <w:rPr>
          <w:rFonts w:ascii="MetaNormal-Roman" w:hAnsi="MetaNormal-Roman"/>
        </w:rPr>
        <w:t xml:space="preserve"> the Greek government halted access to asylum procedures, even while continuing to detain asylum seekers arriving in the country.</w:t>
      </w:r>
      <w:r w:rsidRPr="00DC69DF">
        <w:rPr>
          <w:rStyle w:val="FootnoteReference"/>
          <w:rFonts w:ascii="MetaNormal-Roman" w:hAnsi="MetaNormal-Roman"/>
        </w:rPr>
        <w:footnoteReference w:id="19"/>
      </w:r>
      <w:r>
        <w:rPr>
          <w:rFonts w:ascii="MetaNormal-Roman" w:hAnsi="MetaNormal-Roman"/>
        </w:rPr>
        <w:t xml:space="preserve"> Further, there is evidence that migrants are being denied entry to the country without being afforded a fair assessment of their asylum claims.</w:t>
      </w:r>
      <w:r>
        <w:rPr>
          <w:rStyle w:val="FootnoteReference"/>
          <w:rFonts w:ascii="MetaNormal-Roman" w:hAnsi="MetaNormal-Roman"/>
        </w:rPr>
        <w:footnoteReference w:id="20"/>
      </w:r>
      <w:r w:rsidRPr="00DC69DF">
        <w:rPr>
          <w:rFonts w:ascii="MetaNormal-Roman" w:hAnsi="MetaNormal-Roman"/>
        </w:rPr>
        <w:t xml:space="preserve"> </w:t>
      </w:r>
      <w:r>
        <w:rPr>
          <w:rFonts w:ascii="MetaNormal-Roman" w:hAnsi="MetaNormal-Roman"/>
        </w:rPr>
        <w:t>We recommend that the Committee take into account the threat of similar future actions</w:t>
      </w:r>
      <w:r w:rsidR="002E28E1">
        <w:rPr>
          <w:rFonts w:ascii="MetaNormal-Roman" w:hAnsi="MetaNormal-Roman"/>
        </w:rPr>
        <w:t xml:space="preserve"> by </w:t>
      </w:r>
      <w:r w:rsidR="00997966">
        <w:rPr>
          <w:rFonts w:ascii="MetaNormal-Roman" w:hAnsi="MetaNormal-Roman"/>
        </w:rPr>
        <w:t>s</w:t>
      </w:r>
      <w:r w:rsidR="002E28E1">
        <w:rPr>
          <w:rFonts w:ascii="MetaNormal-Roman" w:hAnsi="MetaNormal-Roman"/>
        </w:rPr>
        <w:t>tates</w:t>
      </w:r>
      <w:r w:rsidR="00557B27">
        <w:rPr>
          <w:rFonts w:ascii="MetaNormal-Roman" w:hAnsi="MetaNormal-Roman"/>
        </w:rPr>
        <w:t xml:space="preserve">. </w:t>
      </w:r>
    </w:p>
    <w:p w14:paraId="5D4D9B9C" w14:textId="1E60FF0F" w:rsidR="00A44763" w:rsidRDefault="00A44763">
      <w:pPr>
        <w:rPr>
          <w:rFonts w:ascii="MetaNormal-Roman" w:hAnsi="MetaNormal-Roman"/>
        </w:rPr>
      </w:pPr>
      <w:r>
        <w:rPr>
          <w:rFonts w:ascii="MetaNormal-Roman" w:hAnsi="MetaNormal-Roman"/>
        </w:rPr>
        <w:lastRenderedPageBreak/>
        <w:t xml:space="preserve">Paragraph 71 </w:t>
      </w:r>
      <w:r w:rsidR="00ED2A1A">
        <w:rPr>
          <w:rFonts w:ascii="MetaNormal-Roman" w:hAnsi="MetaNormal-Roman"/>
        </w:rPr>
        <w:t xml:space="preserve">calls on authorities to </w:t>
      </w:r>
      <w:r w:rsidR="00C208AD">
        <w:rPr>
          <w:rFonts w:ascii="MetaNormal-Roman" w:hAnsi="MetaNormal-Roman"/>
        </w:rPr>
        <w:t xml:space="preserve">“inform the migrant worker </w:t>
      </w:r>
      <w:r w:rsidR="002354F7">
        <w:rPr>
          <w:rFonts w:ascii="MetaNormal-Roman" w:hAnsi="MetaNormal-Roman"/>
        </w:rPr>
        <w:t xml:space="preserve">about the reasons for detention as soon as possible and, as far as possible, in a language </w:t>
      </w:r>
      <w:r w:rsidR="00E23509">
        <w:rPr>
          <w:rFonts w:ascii="MetaNormal-Roman" w:hAnsi="MetaNormal-Roman"/>
        </w:rPr>
        <w:t xml:space="preserve">that the person understands…” </w:t>
      </w:r>
      <w:r w:rsidR="00B84FA3">
        <w:rPr>
          <w:rFonts w:ascii="MetaNormal-Roman" w:hAnsi="MetaNormal-Roman"/>
        </w:rPr>
        <w:t xml:space="preserve">We recommend that the Committee remove the language “as far as possible” from this sentence, in order to </w:t>
      </w:r>
      <w:r w:rsidR="004D68D4">
        <w:rPr>
          <w:rFonts w:ascii="MetaNormal-Roman" w:hAnsi="MetaNormal-Roman"/>
        </w:rPr>
        <w:t>strengthen</w:t>
      </w:r>
      <w:r w:rsidR="00B84FA3">
        <w:rPr>
          <w:rFonts w:ascii="MetaNormal-Roman" w:hAnsi="MetaNormal-Roman"/>
        </w:rPr>
        <w:t xml:space="preserve"> the message that authorities are required to inform migrants about the reason for their detention in a language </w:t>
      </w:r>
      <w:r w:rsidR="004D68D4">
        <w:rPr>
          <w:rFonts w:ascii="MetaNormal-Roman" w:hAnsi="MetaNormal-Roman"/>
        </w:rPr>
        <w:t xml:space="preserve">they understand. </w:t>
      </w:r>
      <w:r w:rsidR="008A354A">
        <w:rPr>
          <w:rFonts w:ascii="MetaNormal-Roman" w:hAnsi="MetaNormal-Roman"/>
        </w:rPr>
        <w:t xml:space="preserve">We also recommend that </w:t>
      </w:r>
      <w:r w:rsidR="0032688F">
        <w:rPr>
          <w:rFonts w:ascii="MetaNormal-Roman" w:hAnsi="MetaNormal-Roman"/>
        </w:rPr>
        <w:t>you replace the word “disability</w:t>
      </w:r>
      <w:r w:rsidR="00F96C70">
        <w:rPr>
          <w:rFonts w:ascii="MetaNormal-Roman" w:hAnsi="MetaNormal-Roman"/>
        </w:rPr>
        <w:t>” in this sentence with “</w:t>
      </w:r>
      <w:r w:rsidR="00347DC3">
        <w:rPr>
          <w:rFonts w:ascii="MetaNormal-Roman" w:hAnsi="MetaNormal-Roman"/>
        </w:rPr>
        <w:t>mental health condition or other disability</w:t>
      </w:r>
      <w:r w:rsidR="001343CF">
        <w:rPr>
          <w:rFonts w:ascii="MetaNormal-Roman" w:hAnsi="MetaNormal-Roman"/>
        </w:rPr>
        <w:t>,</w:t>
      </w:r>
      <w:r w:rsidR="00347DC3">
        <w:rPr>
          <w:rFonts w:ascii="MetaNormal-Roman" w:hAnsi="MetaNormal-Roman"/>
        </w:rPr>
        <w:t>”</w:t>
      </w:r>
      <w:r w:rsidR="00826C61">
        <w:rPr>
          <w:rFonts w:ascii="MetaNormal-Roman" w:hAnsi="MetaNormal-Roman"/>
        </w:rPr>
        <w:t xml:space="preserve"> in order</w:t>
      </w:r>
      <w:r w:rsidR="00347DC3">
        <w:rPr>
          <w:rFonts w:ascii="MetaNormal-Roman" w:hAnsi="MetaNormal-Roman"/>
        </w:rPr>
        <w:t xml:space="preserve"> to increase inclusivity.  </w:t>
      </w:r>
    </w:p>
    <w:p w14:paraId="0FC229E7" w14:textId="0E892343" w:rsidR="00471D01" w:rsidRDefault="00471D01">
      <w:pPr>
        <w:rPr>
          <w:rFonts w:ascii="MetaNormal-Roman" w:hAnsi="MetaNormal-Roman"/>
        </w:rPr>
      </w:pPr>
      <w:r>
        <w:rPr>
          <w:rFonts w:ascii="MetaNormal-Roman" w:hAnsi="MetaNormal-Roman"/>
        </w:rPr>
        <w:t xml:space="preserve">Paragraph 72 </w:t>
      </w:r>
      <w:r w:rsidR="00971161">
        <w:rPr>
          <w:rFonts w:ascii="MetaNormal-Roman" w:hAnsi="MetaNormal-Roman"/>
        </w:rPr>
        <w:t xml:space="preserve">notes the obligations on states to </w:t>
      </w:r>
      <w:r w:rsidR="00485ACA">
        <w:rPr>
          <w:rFonts w:ascii="MetaNormal-Roman" w:hAnsi="MetaNormal-Roman"/>
        </w:rPr>
        <w:t>make available “</w:t>
      </w:r>
      <w:r w:rsidR="00971161">
        <w:rPr>
          <w:rFonts w:ascii="MetaNormal-Roman" w:hAnsi="MetaNormal-Roman"/>
        </w:rPr>
        <w:t xml:space="preserve">economic and human resources” </w:t>
      </w:r>
      <w:r w:rsidR="00485ACA">
        <w:rPr>
          <w:rFonts w:ascii="MetaNormal-Roman" w:hAnsi="MetaNormal-Roman"/>
        </w:rPr>
        <w:t xml:space="preserve">necessary to allow migrants to understand the procedures and procedural safeguards they may invoke if faced with a human rights violation. We recommend you expand this to include “economic, </w:t>
      </w:r>
      <w:r w:rsidR="00485ACA" w:rsidRPr="00E22D04">
        <w:rPr>
          <w:rFonts w:ascii="MetaNormal-Roman" w:hAnsi="MetaNormal-Roman"/>
          <w:i/>
          <w:iCs/>
        </w:rPr>
        <w:t>legal, medical</w:t>
      </w:r>
      <w:r w:rsidR="007300F9" w:rsidRPr="00E22D04">
        <w:rPr>
          <w:rFonts w:ascii="MetaNormal-Roman" w:hAnsi="MetaNormal-Roman"/>
          <w:i/>
          <w:iCs/>
        </w:rPr>
        <w:t>,</w:t>
      </w:r>
      <w:r w:rsidR="00485ACA" w:rsidRPr="00E22D04">
        <w:rPr>
          <w:rFonts w:ascii="MetaNormal-Roman" w:hAnsi="MetaNormal-Roman"/>
          <w:i/>
          <w:iCs/>
        </w:rPr>
        <w:t xml:space="preserve"> social</w:t>
      </w:r>
      <w:r w:rsidR="00485ACA">
        <w:rPr>
          <w:rFonts w:ascii="MetaNormal-Roman" w:hAnsi="MetaNormal-Roman"/>
        </w:rPr>
        <w:t xml:space="preserve"> and human resources.” </w:t>
      </w:r>
      <w:r w:rsidR="007300F9">
        <w:rPr>
          <w:rFonts w:ascii="MetaNormal-Roman" w:hAnsi="MetaNormal-Roman"/>
        </w:rPr>
        <w:t xml:space="preserve">We also recommend that </w:t>
      </w:r>
      <w:r w:rsidR="0042367B">
        <w:rPr>
          <w:rFonts w:ascii="MetaNormal-Roman" w:hAnsi="MetaNormal-Roman"/>
        </w:rPr>
        <w:t>you amend the language in this paragraph to r</w:t>
      </w:r>
      <w:r w:rsidR="00B273FD">
        <w:rPr>
          <w:rFonts w:ascii="MetaNormal-Roman" w:hAnsi="MetaNormal-Roman"/>
        </w:rPr>
        <w:t xml:space="preserve">equire </w:t>
      </w:r>
      <w:r w:rsidR="00997966">
        <w:rPr>
          <w:rFonts w:ascii="MetaNormal-Roman" w:hAnsi="MetaNormal-Roman"/>
        </w:rPr>
        <w:t>s</w:t>
      </w:r>
      <w:r w:rsidR="00E22D04">
        <w:rPr>
          <w:rFonts w:ascii="MetaNormal-Roman" w:hAnsi="MetaNormal-Roman"/>
        </w:rPr>
        <w:t xml:space="preserve">tates to “provide migrants with information in a language and </w:t>
      </w:r>
      <w:r w:rsidR="00E22D04" w:rsidRPr="00E22D04">
        <w:rPr>
          <w:rFonts w:ascii="MetaNormal-Roman" w:hAnsi="MetaNormal-Roman"/>
          <w:i/>
          <w:iCs/>
        </w:rPr>
        <w:t>in a manner</w:t>
      </w:r>
      <w:r w:rsidR="00E22D04">
        <w:rPr>
          <w:rFonts w:ascii="MetaNormal-Roman" w:hAnsi="MetaNormal-Roman"/>
        </w:rPr>
        <w:t xml:space="preserve"> </w:t>
      </w:r>
      <w:r w:rsidR="00E9442E">
        <w:rPr>
          <w:rFonts w:ascii="MetaNormal-Roman" w:hAnsi="MetaNormal-Roman"/>
        </w:rPr>
        <w:t xml:space="preserve"> </w:t>
      </w:r>
      <w:r w:rsidR="00E22D04">
        <w:rPr>
          <w:rFonts w:ascii="MetaNormal-Roman" w:hAnsi="MetaNormal-Roman"/>
        </w:rPr>
        <w:t xml:space="preserve">that allows them to clearly understand </w:t>
      </w:r>
      <w:r w:rsidR="00E22D04" w:rsidRPr="00E22D04">
        <w:rPr>
          <w:rFonts w:ascii="MetaNormal-Roman" w:hAnsi="MetaNormal-Roman"/>
          <w:i/>
          <w:iCs/>
        </w:rPr>
        <w:t>their legal rights, as well as</w:t>
      </w:r>
      <w:r w:rsidR="00E22D04">
        <w:rPr>
          <w:rFonts w:ascii="MetaNormal-Roman" w:hAnsi="MetaNormal-Roman"/>
        </w:rPr>
        <w:t xml:space="preserve"> the procedures and procedural safeguard</w:t>
      </w:r>
      <w:r w:rsidR="000765AF">
        <w:rPr>
          <w:rFonts w:ascii="MetaNormal-Roman" w:hAnsi="MetaNormal-Roman"/>
        </w:rPr>
        <w:t>s</w:t>
      </w:r>
      <w:r w:rsidR="00E22D04">
        <w:rPr>
          <w:rFonts w:ascii="MetaNormal-Roman" w:hAnsi="MetaNormal-Roman"/>
        </w:rPr>
        <w:t xml:space="preserve"> they may invoke if they face a violation of their human rights.”</w:t>
      </w:r>
      <w:r w:rsidR="0009653A">
        <w:rPr>
          <w:rFonts w:ascii="MetaNormal-Roman" w:hAnsi="MetaNormal-Roman"/>
        </w:rPr>
        <w:t xml:space="preserve"> </w:t>
      </w:r>
      <w:r w:rsidR="00B81B5E">
        <w:rPr>
          <w:rFonts w:ascii="MetaNormal-Roman" w:hAnsi="MetaNormal-Roman"/>
        </w:rPr>
        <w:t xml:space="preserve">This </w:t>
      </w:r>
      <w:r w:rsidR="000669E4">
        <w:rPr>
          <w:rFonts w:ascii="MetaNormal-Roman" w:hAnsi="MetaNormal-Roman"/>
        </w:rPr>
        <w:t xml:space="preserve">highlights the importance of </w:t>
      </w:r>
      <w:r w:rsidR="0065750A">
        <w:rPr>
          <w:rFonts w:ascii="MetaNormal-Roman" w:hAnsi="MetaNormal-Roman"/>
        </w:rPr>
        <w:t xml:space="preserve">making information accessible to all </w:t>
      </w:r>
      <w:r w:rsidR="00A262F4">
        <w:rPr>
          <w:rFonts w:ascii="MetaNormal-Roman" w:hAnsi="MetaNormal-Roman"/>
        </w:rPr>
        <w:t>migrants.</w:t>
      </w:r>
    </w:p>
    <w:p w14:paraId="45B00B06" w14:textId="77777777" w:rsidR="002A02C6" w:rsidRDefault="004A6BE0">
      <w:pPr>
        <w:rPr>
          <w:rFonts w:ascii="MetaNormal-Roman" w:hAnsi="MetaNormal-Roman"/>
        </w:rPr>
      </w:pPr>
      <w:r>
        <w:rPr>
          <w:rFonts w:ascii="MetaNormal-Roman" w:hAnsi="MetaNormal-Roman"/>
        </w:rPr>
        <w:t xml:space="preserve">We recommend the addition of language in </w:t>
      </w:r>
      <w:r w:rsidR="008A198C">
        <w:rPr>
          <w:rFonts w:ascii="MetaNormal-Roman" w:hAnsi="MetaNormal-Roman"/>
        </w:rPr>
        <w:t>p</w:t>
      </w:r>
      <w:r>
        <w:rPr>
          <w:rFonts w:ascii="MetaNormal-Roman" w:hAnsi="MetaNormal-Roman"/>
        </w:rPr>
        <w:t xml:space="preserve">aragraph 73 regarding </w:t>
      </w:r>
      <w:r w:rsidR="00525E61">
        <w:rPr>
          <w:rFonts w:ascii="MetaNormal-Roman" w:hAnsi="MetaNormal-Roman"/>
        </w:rPr>
        <w:t xml:space="preserve">the obligation on </w:t>
      </w:r>
      <w:r w:rsidR="00997966">
        <w:rPr>
          <w:rFonts w:ascii="MetaNormal-Roman" w:hAnsi="MetaNormal-Roman"/>
        </w:rPr>
        <w:t>s</w:t>
      </w:r>
      <w:r w:rsidR="00525E61">
        <w:rPr>
          <w:rFonts w:ascii="MetaNormal-Roman" w:hAnsi="MetaNormal-Roman"/>
        </w:rPr>
        <w:t xml:space="preserve">tates to </w:t>
      </w:r>
      <w:r w:rsidR="005E45F2">
        <w:rPr>
          <w:rFonts w:ascii="MetaNormal-Roman" w:hAnsi="MetaNormal-Roman"/>
        </w:rPr>
        <w:t xml:space="preserve">ensure that migrants understand the nature </w:t>
      </w:r>
      <w:r w:rsidR="008A198C">
        <w:rPr>
          <w:rFonts w:ascii="MetaNormal-Roman" w:hAnsi="MetaNormal-Roman"/>
        </w:rPr>
        <w:t xml:space="preserve">of </w:t>
      </w:r>
      <w:r w:rsidR="00F01CB3">
        <w:rPr>
          <w:rFonts w:ascii="MetaNormal-Roman" w:hAnsi="MetaNormal-Roman"/>
        </w:rPr>
        <w:t>notification</w:t>
      </w:r>
      <w:r w:rsidR="008A198C">
        <w:rPr>
          <w:rFonts w:ascii="MetaNormal-Roman" w:hAnsi="MetaNormal-Roman"/>
        </w:rPr>
        <w:t xml:space="preserve"> forms and arrest warrants. We recommend the Committee include the following language after the last sentence in paragraph 73</w:t>
      </w:r>
      <w:r w:rsidR="004458BE">
        <w:rPr>
          <w:rFonts w:ascii="MetaNormal-Roman" w:hAnsi="MetaNormal-Roman"/>
        </w:rPr>
        <w:t>: “The information in the forms and arrest warrant</w:t>
      </w:r>
      <w:r w:rsidR="00FB224C">
        <w:rPr>
          <w:rFonts w:ascii="MetaNormal-Roman" w:hAnsi="MetaNormal-Roman"/>
        </w:rPr>
        <w:t>s</w:t>
      </w:r>
      <w:r w:rsidR="004458BE">
        <w:rPr>
          <w:rFonts w:ascii="MetaNormal-Roman" w:hAnsi="MetaNormal-Roman"/>
        </w:rPr>
        <w:t xml:space="preserve"> should be thoroughly explained in a language and sensitive manner that allows migrants to clearly understand their legal rights</w:t>
      </w:r>
      <w:r w:rsidR="0009653A">
        <w:rPr>
          <w:rFonts w:ascii="MetaNormal-Roman" w:hAnsi="MetaNormal-Roman"/>
        </w:rPr>
        <w:t>.</w:t>
      </w:r>
      <w:r w:rsidR="003A76A3">
        <w:rPr>
          <w:rFonts w:ascii="MetaNormal-Roman" w:hAnsi="MetaNormal-Roman"/>
        </w:rPr>
        <w:t xml:space="preserve"> Immigration detainees should be able to immediately access an individual</w:t>
      </w:r>
      <w:r w:rsidR="00EA6F6C">
        <w:rPr>
          <w:rFonts w:ascii="MetaNormal-Roman" w:hAnsi="MetaNormal-Roman"/>
        </w:rPr>
        <w:t xml:space="preserve">, </w:t>
      </w:r>
      <w:r w:rsidR="00B91850">
        <w:rPr>
          <w:rFonts w:ascii="MetaNormal-Roman" w:hAnsi="MetaNormal-Roman"/>
        </w:rPr>
        <w:t>independent from the detaining authority and</w:t>
      </w:r>
      <w:r w:rsidR="003A76A3">
        <w:rPr>
          <w:rFonts w:ascii="MetaNormal-Roman" w:hAnsi="MetaNormal-Roman"/>
        </w:rPr>
        <w:t xml:space="preserve"> authorized to provide legal advice, who could thoroughly explain the information in the forms and arrest warrants in a language and sensitive manner tha</w:t>
      </w:r>
      <w:r w:rsidR="006235F9">
        <w:rPr>
          <w:rFonts w:ascii="MetaNormal-Roman" w:hAnsi="MetaNormal-Roman"/>
        </w:rPr>
        <w:t>t</w:t>
      </w:r>
      <w:r w:rsidR="003A76A3">
        <w:rPr>
          <w:rFonts w:ascii="MetaNormal-Roman" w:hAnsi="MetaNormal-Roman"/>
        </w:rPr>
        <w:t xml:space="preserve"> ensures detainees have a clear understanding of their legal rights.</w:t>
      </w:r>
      <w:r w:rsidR="0094490D">
        <w:rPr>
          <w:rFonts w:ascii="MetaNormal-Roman" w:hAnsi="MetaNormal-Roman"/>
        </w:rPr>
        <w:t>”</w:t>
      </w:r>
      <w:r w:rsidR="0009653A">
        <w:rPr>
          <w:rFonts w:ascii="MetaNormal-Roman" w:hAnsi="MetaNormal-Roman"/>
        </w:rPr>
        <w:t xml:space="preserve"> </w:t>
      </w:r>
      <w:r w:rsidR="003A0A74">
        <w:rPr>
          <w:rFonts w:ascii="MetaNormal-Roman" w:hAnsi="MetaNormal-Roman"/>
        </w:rPr>
        <w:t xml:space="preserve">This </w:t>
      </w:r>
      <w:r w:rsidR="0058102C">
        <w:rPr>
          <w:rFonts w:ascii="MetaNormal-Roman" w:hAnsi="MetaNormal-Roman"/>
        </w:rPr>
        <w:t xml:space="preserve">language provides further guidance to </w:t>
      </w:r>
      <w:r w:rsidR="00997966">
        <w:rPr>
          <w:rFonts w:ascii="MetaNormal-Roman" w:hAnsi="MetaNormal-Roman"/>
        </w:rPr>
        <w:t>s</w:t>
      </w:r>
      <w:r w:rsidR="0058102C">
        <w:rPr>
          <w:rFonts w:ascii="MetaNormal-Roman" w:hAnsi="MetaNormal-Roman"/>
        </w:rPr>
        <w:t xml:space="preserve">tates </w:t>
      </w:r>
      <w:r w:rsidR="00314FF3">
        <w:rPr>
          <w:rFonts w:ascii="MetaNormal-Roman" w:hAnsi="MetaNormal-Roman"/>
        </w:rPr>
        <w:t xml:space="preserve">regarding their obligation </w:t>
      </w:r>
      <w:r w:rsidR="00532B88">
        <w:rPr>
          <w:rFonts w:ascii="MetaNormal-Roman" w:hAnsi="MetaNormal-Roman"/>
        </w:rPr>
        <w:t>to ensure migrants are adequately informed.</w:t>
      </w:r>
    </w:p>
    <w:p w14:paraId="49A3455F" w14:textId="5E883BAF" w:rsidR="00D34C11" w:rsidRDefault="00D34C11">
      <w:pPr>
        <w:rPr>
          <w:rFonts w:ascii="MetaNormal-Roman" w:hAnsi="MetaNormal-Roman"/>
        </w:rPr>
      </w:pPr>
      <w:r>
        <w:rPr>
          <w:rFonts w:ascii="MetaNormal-Roman" w:hAnsi="MetaNormal-Roman"/>
        </w:rPr>
        <w:t xml:space="preserve">We recommend </w:t>
      </w:r>
      <w:r w:rsidR="003C572A">
        <w:rPr>
          <w:rFonts w:ascii="MetaNormal-Roman" w:hAnsi="MetaNormal-Roman"/>
        </w:rPr>
        <w:t xml:space="preserve">the addition of language in paragraph 74, after mention of </w:t>
      </w:r>
      <w:r w:rsidR="00E53ECD">
        <w:rPr>
          <w:rFonts w:ascii="MetaNormal-Roman" w:hAnsi="MetaNormal-Roman"/>
        </w:rPr>
        <w:t xml:space="preserve">the right to be brought promptly before </w:t>
      </w:r>
      <w:r w:rsidR="00373AD5">
        <w:rPr>
          <w:rFonts w:ascii="MetaNormal-Roman" w:hAnsi="MetaNormal-Roman"/>
        </w:rPr>
        <w:t xml:space="preserve">a judge or court in the criminal law context that states the Committee recommends this right be applied to all migrant workers </w:t>
      </w:r>
      <w:r w:rsidR="00433E60">
        <w:rPr>
          <w:rFonts w:ascii="MetaNormal-Roman" w:hAnsi="MetaNormal-Roman"/>
        </w:rPr>
        <w:t>and members of their family deprived of their liberty, reflecting the need for judicial review and control of detention as</w:t>
      </w:r>
      <w:r w:rsidR="00F66638">
        <w:rPr>
          <w:rFonts w:ascii="MetaNormal-Roman" w:hAnsi="MetaNormal-Roman"/>
        </w:rPr>
        <w:t xml:space="preserve"> an </w:t>
      </w:r>
      <w:r w:rsidR="002403A3">
        <w:rPr>
          <w:rFonts w:ascii="MetaNormal-Roman" w:hAnsi="MetaNormal-Roman"/>
        </w:rPr>
        <w:t xml:space="preserve">essential and non-deportable right, and that the legal basis for detention of </w:t>
      </w:r>
      <w:r w:rsidR="004130C8">
        <w:rPr>
          <w:rFonts w:ascii="MetaNormal-Roman" w:hAnsi="MetaNormal-Roman"/>
        </w:rPr>
        <w:t xml:space="preserve">migrant workers may be unclear from the start. We also recommend an additional  sentence in paragraph 74 that says </w:t>
      </w:r>
      <w:r w:rsidR="006E2F7B">
        <w:rPr>
          <w:rFonts w:ascii="MetaNormal-Roman" w:hAnsi="MetaNormal-Roman"/>
        </w:rPr>
        <w:t>“</w:t>
      </w:r>
      <w:r w:rsidR="004130C8">
        <w:rPr>
          <w:rFonts w:ascii="MetaNormal-Roman" w:hAnsi="MetaNormal-Roman"/>
        </w:rPr>
        <w:t>promptly</w:t>
      </w:r>
      <w:r w:rsidR="006E2F7B">
        <w:rPr>
          <w:rFonts w:ascii="MetaNormal-Roman" w:hAnsi="MetaNormal-Roman"/>
        </w:rPr>
        <w:t>”</w:t>
      </w:r>
      <w:r w:rsidR="004130C8">
        <w:rPr>
          <w:rFonts w:ascii="MetaNormal-Roman" w:hAnsi="MetaNormal-Roman"/>
        </w:rPr>
        <w:t xml:space="preserve"> should mean a maximum of 48 hours from the moment of detention, or 24 hours for children and other vulnerable detainees, reflecting comments of the Human Rights Committee and other expert bodies.</w:t>
      </w:r>
    </w:p>
    <w:p w14:paraId="36288306" w14:textId="68116E85" w:rsidR="001678CA" w:rsidRDefault="001D0502">
      <w:pPr>
        <w:rPr>
          <w:rFonts w:ascii="MetaNormal-Roman" w:hAnsi="MetaNormal-Roman"/>
        </w:rPr>
      </w:pPr>
      <w:r>
        <w:rPr>
          <w:rFonts w:ascii="MetaNormal-Roman" w:hAnsi="MetaNormal-Roman"/>
        </w:rPr>
        <w:t>The last sentence in p</w:t>
      </w:r>
      <w:r w:rsidR="001678CA">
        <w:rPr>
          <w:rFonts w:ascii="MetaNormal-Roman" w:hAnsi="MetaNormal-Roman"/>
        </w:rPr>
        <w:t xml:space="preserve">aragraph 79 </w:t>
      </w:r>
      <w:r w:rsidR="00B6270E">
        <w:rPr>
          <w:rFonts w:ascii="MetaNormal-Roman" w:hAnsi="MetaNormal-Roman"/>
        </w:rPr>
        <w:t xml:space="preserve">refers to the obligation on </w:t>
      </w:r>
      <w:r w:rsidR="00997966">
        <w:rPr>
          <w:rFonts w:ascii="MetaNormal-Roman" w:hAnsi="MetaNormal-Roman"/>
        </w:rPr>
        <w:t>s</w:t>
      </w:r>
      <w:r w:rsidR="00B6270E">
        <w:rPr>
          <w:rFonts w:ascii="MetaNormal-Roman" w:hAnsi="MetaNormal-Roman"/>
        </w:rPr>
        <w:t xml:space="preserve">tates to </w:t>
      </w:r>
      <w:r>
        <w:rPr>
          <w:rFonts w:ascii="MetaNormal-Roman" w:hAnsi="MetaNormal-Roman"/>
        </w:rPr>
        <w:t xml:space="preserve">provide information to migrant workers in “understandable terms free of technicalities.” </w:t>
      </w:r>
      <w:r w:rsidR="00DF611F">
        <w:rPr>
          <w:rFonts w:ascii="MetaNormal-Roman" w:hAnsi="MetaNormal-Roman"/>
        </w:rPr>
        <w:t>We suggest that you replace</w:t>
      </w:r>
      <w:r w:rsidR="002A7000">
        <w:rPr>
          <w:rFonts w:ascii="MetaNormal-Roman" w:hAnsi="MetaNormal-Roman"/>
        </w:rPr>
        <w:t xml:space="preserve"> this </w:t>
      </w:r>
      <w:r w:rsidR="00153B8B">
        <w:rPr>
          <w:rFonts w:ascii="MetaNormal-Roman" w:hAnsi="MetaNormal-Roman"/>
        </w:rPr>
        <w:t xml:space="preserve">with the requirement that such </w:t>
      </w:r>
      <w:r w:rsidR="002A7000">
        <w:rPr>
          <w:rFonts w:ascii="MetaNormal-Roman" w:hAnsi="MetaNormal-Roman"/>
        </w:rPr>
        <w:t>information be provided “</w:t>
      </w:r>
      <w:r w:rsidR="002A7000">
        <w:rPr>
          <w:rFonts w:ascii="MetaNormal-Roman" w:hAnsi="MetaNormal-Roman"/>
          <w:i/>
          <w:iCs/>
        </w:rPr>
        <w:t>in plain language and</w:t>
      </w:r>
      <w:r w:rsidR="002A7000">
        <w:rPr>
          <w:rFonts w:ascii="MetaNormal-Roman" w:hAnsi="MetaNormal-Roman"/>
        </w:rPr>
        <w:t xml:space="preserve"> free of technicalities.” </w:t>
      </w:r>
      <w:r w:rsidR="00A47EE8">
        <w:rPr>
          <w:rFonts w:ascii="MetaNormal-Roman" w:hAnsi="MetaNormal-Roman"/>
        </w:rPr>
        <w:t xml:space="preserve">We also suggest </w:t>
      </w:r>
      <w:r w:rsidR="002145ED">
        <w:rPr>
          <w:rFonts w:ascii="MetaNormal-Roman" w:hAnsi="MetaNormal-Roman"/>
        </w:rPr>
        <w:t xml:space="preserve">that you add </w:t>
      </w:r>
      <w:r w:rsidR="00B250E5">
        <w:rPr>
          <w:rFonts w:ascii="MetaNormal-Roman" w:hAnsi="MetaNormal-Roman"/>
        </w:rPr>
        <w:t xml:space="preserve">the following </w:t>
      </w:r>
      <w:r w:rsidR="002145ED">
        <w:rPr>
          <w:rFonts w:ascii="MetaNormal-Roman" w:hAnsi="MetaNormal-Roman"/>
        </w:rPr>
        <w:t>sentence at the end of paragraph 79: “Information should be accessible and interpretation services should include qualified sign language to accommodate individuals with</w:t>
      </w:r>
      <w:r w:rsidR="001C7B0E">
        <w:rPr>
          <w:rFonts w:ascii="MetaNormal-Roman" w:hAnsi="MetaNormal-Roman"/>
        </w:rPr>
        <w:t xml:space="preserve"> hearing</w:t>
      </w:r>
      <w:r w:rsidR="002145ED">
        <w:rPr>
          <w:rFonts w:ascii="MetaNormal-Roman" w:hAnsi="MetaNormal-Roman"/>
        </w:rPr>
        <w:t xml:space="preserve"> disabilities.” </w:t>
      </w:r>
      <w:r w:rsidR="00E94557">
        <w:rPr>
          <w:rFonts w:ascii="MetaNormal-Roman" w:hAnsi="MetaNormal-Roman"/>
        </w:rPr>
        <w:t xml:space="preserve">This </w:t>
      </w:r>
      <w:r w:rsidR="004E5B40">
        <w:rPr>
          <w:rFonts w:ascii="MetaNormal-Roman" w:hAnsi="MetaNormal-Roman"/>
        </w:rPr>
        <w:t>provides additional details to</w:t>
      </w:r>
      <w:r w:rsidR="008B1499">
        <w:rPr>
          <w:rFonts w:ascii="MetaNormal-Roman" w:hAnsi="MetaNormal-Roman"/>
        </w:rPr>
        <w:t xml:space="preserve"> s</w:t>
      </w:r>
      <w:r w:rsidR="004E5B40">
        <w:rPr>
          <w:rFonts w:ascii="MetaNormal-Roman" w:hAnsi="MetaNormal-Roman"/>
        </w:rPr>
        <w:t xml:space="preserve">tates </w:t>
      </w:r>
      <w:r w:rsidR="00441488">
        <w:rPr>
          <w:rFonts w:ascii="MetaNormal-Roman" w:hAnsi="MetaNormal-Roman"/>
        </w:rPr>
        <w:t xml:space="preserve">regarding their obligation to </w:t>
      </w:r>
      <w:r w:rsidR="007A36AE">
        <w:rPr>
          <w:rFonts w:ascii="MetaNormal-Roman" w:hAnsi="MetaNormal-Roman"/>
        </w:rPr>
        <w:t>assist individuals with disabilities.</w:t>
      </w:r>
    </w:p>
    <w:p w14:paraId="6C942704" w14:textId="26E5310A" w:rsidR="00AD22B2" w:rsidRDefault="00AD22B2">
      <w:pPr>
        <w:rPr>
          <w:rFonts w:ascii="MetaNormal-Roman" w:hAnsi="MetaNormal-Roman"/>
        </w:rPr>
      </w:pPr>
      <w:r>
        <w:rPr>
          <w:rFonts w:ascii="MetaNormal-Roman" w:hAnsi="MetaNormal-Roman"/>
        </w:rPr>
        <w:t xml:space="preserve">Paragraph 83 </w:t>
      </w:r>
      <w:r w:rsidR="004E0C18">
        <w:rPr>
          <w:rFonts w:ascii="MetaNormal-Roman" w:hAnsi="MetaNormal-Roman"/>
        </w:rPr>
        <w:t xml:space="preserve">refers to </w:t>
      </w:r>
      <w:r w:rsidR="003D4617">
        <w:rPr>
          <w:rFonts w:ascii="MetaNormal-Roman" w:hAnsi="MetaNormal-Roman"/>
        </w:rPr>
        <w:t xml:space="preserve">“women, girls and members of the LGBT+ community” as being </w:t>
      </w:r>
      <w:r w:rsidR="00654554">
        <w:rPr>
          <w:rFonts w:ascii="MetaNormal-Roman" w:hAnsi="MetaNormal-Roman"/>
        </w:rPr>
        <w:t>“</w:t>
      </w:r>
      <w:r w:rsidR="003D4617">
        <w:rPr>
          <w:rFonts w:ascii="MetaNormal-Roman" w:hAnsi="MetaNormal-Roman"/>
        </w:rPr>
        <w:t>highly vulnerable to abuse</w:t>
      </w:r>
      <w:r w:rsidR="00654554">
        <w:rPr>
          <w:rFonts w:ascii="MetaNormal-Roman" w:hAnsi="MetaNormal-Roman"/>
        </w:rPr>
        <w:t>”</w:t>
      </w:r>
      <w:r w:rsidR="003D4617">
        <w:rPr>
          <w:rFonts w:ascii="MetaNormal-Roman" w:hAnsi="MetaNormal-Roman"/>
        </w:rPr>
        <w:t xml:space="preserve"> in detention </w:t>
      </w:r>
      <w:r w:rsidR="00D80805">
        <w:rPr>
          <w:rFonts w:ascii="MetaNormal-Roman" w:hAnsi="MetaNormal-Roman"/>
        </w:rPr>
        <w:t>center</w:t>
      </w:r>
      <w:r w:rsidR="003D4617">
        <w:rPr>
          <w:rFonts w:ascii="MetaNormal-Roman" w:hAnsi="MetaNormal-Roman"/>
        </w:rPr>
        <w:t>s. We recommend that you amend this language to</w:t>
      </w:r>
      <w:r w:rsidR="00B250E5">
        <w:rPr>
          <w:rFonts w:ascii="MetaNormal-Roman" w:hAnsi="MetaNormal-Roman"/>
        </w:rPr>
        <w:t xml:space="preserve"> reflect</w:t>
      </w:r>
      <w:r w:rsidR="003D4617">
        <w:rPr>
          <w:rFonts w:ascii="MetaNormal-Roman" w:hAnsi="MetaNormal-Roman"/>
        </w:rPr>
        <w:t xml:space="preserve"> </w:t>
      </w:r>
      <w:r w:rsidR="006C37B0">
        <w:rPr>
          <w:rFonts w:ascii="MetaNormal-Roman" w:hAnsi="MetaNormal-Roman"/>
        </w:rPr>
        <w:lastRenderedPageBreak/>
        <w:t xml:space="preserve">the following: </w:t>
      </w:r>
      <w:r w:rsidR="003D4617">
        <w:rPr>
          <w:rFonts w:ascii="MetaNormal-Roman" w:hAnsi="MetaNormal-Roman"/>
        </w:rPr>
        <w:t xml:space="preserve">“women, girls, members of the LGBT+ community, </w:t>
      </w:r>
      <w:r w:rsidR="003D4617" w:rsidRPr="006A5262">
        <w:rPr>
          <w:rFonts w:ascii="MetaNormal-Roman" w:hAnsi="MetaNormal-Roman"/>
          <w:i/>
          <w:iCs/>
        </w:rPr>
        <w:t xml:space="preserve">and persons with </w:t>
      </w:r>
      <w:r w:rsidR="006C37B0" w:rsidRPr="006A5262">
        <w:rPr>
          <w:rFonts w:ascii="MetaNormal-Roman" w:hAnsi="MetaNormal-Roman"/>
          <w:i/>
          <w:iCs/>
        </w:rPr>
        <w:t>mental health conditions</w:t>
      </w:r>
      <w:r w:rsidR="006C37B0">
        <w:rPr>
          <w:rFonts w:ascii="MetaNormal-Roman" w:hAnsi="MetaNormal-Roman"/>
        </w:rPr>
        <w:t xml:space="preserve"> are highly </w:t>
      </w:r>
      <w:r w:rsidR="00654554" w:rsidRPr="00C33A88">
        <w:rPr>
          <w:rFonts w:ascii="MetaNormal-Roman" w:hAnsi="MetaNormal-Roman"/>
          <w:i/>
          <w:iCs/>
        </w:rPr>
        <w:t xml:space="preserve">exposed </w:t>
      </w:r>
      <w:r w:rsidR="006C37B0">
        <w:rPr>
          <w:rFonts w:ascii="MetaNormal-Roman" w:hAnsi="MetaNormal-Roman"/>
        </w:rPr>
        <w:t xml:space="preserve">to abuse in immigration detention </w:t>
      </w:r>
      <w:r w:rsidR="00D80805">
        <w:rPr>
          <w:rFonts w:ascii="MetaNormal-Roman" w:hAnsi="MetaNormal-Roman"/>
        </w:rPr>
        <w:t>center</w:t>
      </w:r>
      <w:r w:rsidR="006A5262">
        <w:rPr>
          <w:rFonts w:ascii="MetaNormal-Roman" w:hAnsi="MetaNormal-Roman"/>
        </w:rPr>
        <w:t>s.”</w:t>
      </w:r>
      <w:r w:rsidR="00B97B02">
        <w:rPr>
          <w:rFonts w:ascii="MetaNormal-Roman" w:hAnsi="MetaNormal-Roman"/>
        </w:rPr>
        <w:t xml:space="preserve"> This </w:t>
      </w:r>
      <w:r w:rsidR="00970AE1">
        <w:rPr>
          <w:rFonts w:ascii="MetaNormal-Roman" w:hAnsi="MetaNormal-Roman"/>
        </w:rPr>
        <w:t>draws attention to the vulnerabilities of persons with mental health conditions in such situations</w:t>
      </w:r>
      <w:r w:rsidR="00654554">
        <w:rPr>
          <w:rFonts w:ascii="MetaNormal-Roman" w:hAnsi="MetaNormal-Roman"/>
        </w:rPr>
        <w:t>, and by replacing vulnerable with exposed, the comment can avoid reinforcing the notion that such groups are inherently vulnerable but are made vulnerable</w:t>
      </w:r>
      <w:r w:rsidR="00970AE1">
        <w:rPr>
          <w:rFonts w:ascii="MetaNormal-Roman" w:hAnsi="MetaNormal-Roman"/>
        </w:rPr>
        <w:t xml:space="preserve">. </w:t>
      </w:r>
    </w:p>
    <w:p w14:paraId="67D57780" w14:textId="07D9FBE8" w:rsidR="00364315" w:rsidRPr="00014F1C" w:rsidRDefault="00364315">
      <w:pPr>
        <w:rPr>
          <w:rFonts w:ascii="MetaNormal-Roman" w:hAnsi="MetaNormal-Roman"/>
        </w:rPr>
      </w:pPr>
      <w:r>
        <w:rPr>
          <w:rFonts w:ascii="MetaNormal-Roman" w:hAnsi="MetaNormal-Roman"/>
        </w:rPr>
        <w:t xml:space="preserve">Paragraph 84 </w:t>
      </w:r>
      <w:r w:rsidR="00ED6FD7">
        <w:rPr>
          <w:rFonts w:ascii="MetaNormal-Roman" w:hAnsi="MetaNormal-Roman"/>
        </w:rPr>
        <w:t xml:space="preserve">highlights the negative health effects of solitary confinement. </w:t>
      </w:r>
      <w:r w:rsidR="00936DF2">
        <w:rPr>
          <w:rFonts w:ascii="MetaNormal-Roman" w:hAnsi="MetaNormal-Roman"/>
        </w:rPr>
        <w:t xml:space="preserve">We recommend that the Committee </w:t>
      </w:r>
      <w:r w:rsidR="000B6186">
        <w:rPr>
          <w:rFonts w:ascii="MetaNormal-Roman" w:hAnsi="MetaNormal-Roman"/>
        </w:rPr>
        <w:t>amend the language in the third sentence of paragraph 84 to re</w:t>
      </w:r>
      <w:r w:rsidR="00785AA5">
        <w:rPr>
          <w:rFonts w:ascii="MetaNormal-Roman" w:hAnsi="MetaNormal-Roman"/>
        </w:rPr>
        <w:t xml:space="preserve">flect the view that </w:t>
      </w:r>
      <w:r w:rsidR="00AA180F">
        <w:rPr>
          <w:rFonts w:ascii="MetaNormal-Roman" w:hAnsi="MetaNormal-Roman"/>
        </w:rPr>
        <w:t>“</w:t>
      </w:r>
      <w:r w:rsidR="00785AA5">
        <w:rPr>
          <w:rFonts w:ascii="MetaNormal-Roman" w:hAnsi="MetaNormal-Roman"/>
        </w:rPr>
        <w:t>solitary confinement is not appropriat</w:t>
      </w:r>
      <w:r w:rsidR="00AA1926">
        <w:rPr>
          <w:rFonts w:ascii="MetaNormal-Roman" w:hAnsi="MetaNormal-Roman"/>
        </w:rPr>
        <w:t xml:space="preserve">e to </w:t>
      </w:r>
      <w:r w:rsidR="00AA180F">
        <w:rPr>
          <w:rFonts w:ascii="MetaNormal-Roman" w:hAnsi="MetaNormal-Roman"/>
        </w:rPr>
        <w:t xml:space="preserve">manage or ensure the protection </w:t>
      </w:r>
      <w:r w:rsidR="00620DF9">
        <w:rPr>
          <w:rFonts w:ascii="MetaNormal-Roman" w:hAnsi="MetaNormal-Roman"/>
        </w:rPr>
        <w:t xml:space="preserve">of migrants, stateless person, </w:t>
      </w:r>
      <w:r w:rsidR="00620DF9">
        <w:rPr>
          <w:rFonts w:ascii="MetaNormal-Roman" w:hAnsi="MetaNormal-Roman"/>
          <w:i/>
          <w:iCs/>
        </w:rPr>
        <w:t xml:space="preserve">persons with </w:t>
      </w:r>
      <w:r w:rsidR="00014F1C">
        <w:rPr>
          <w:rFonts w:ascii="MetaNormal-Roman" w:hAnsi="MetaNormal-Roman"/>
          <w:i/>
          <w:iCs/>
        </w:rPr>
        <w:t>mental health conditions</w:t>
      </w:r>
      <w:r w:rsidR="00014F1C">
        <w:rPr>
          <w:rFonts w:ascii="MetaNormal-Roman" w:hAnsi="MetaNormal-Roman"/>
        </w:rPr>
        <w:t>, asylum seekers or refugees.”</w:t>
      </w:r>
      <w:r w:rsidR="006E0A91">
        <w:rPr>
          <w:rFonts w:ascii="MetaNormal-Roman" w:hAnsi="MetaNormal-Roman"/>
        </w:rPr>
        <w:t xml:space="preserve"> </w:t>
      </w:r>
    </w:p>
    <w:p w14:paraId="48EAA73B" w14:textId="48F01E26" w:rsidR="00EA037F" w:rsidRDefault="00807806">
      <w:pPr>
        <w:rPr>
          <w:rFonts w:ascii="MetaNormal-Roman" w:hAnsi="MetaNormal-Roman"/>
        </w:rPr>
      </w:pPr>
      <w:r>
        <w:rPr>
          <w:rFonts w:ascii="MetaNormal-Roman" w:hAnsi="MetaNormal-Roman"/>
        </w:rPr>
        <w:t xml:space="preserve">Paragraph 86 </w:t>
      </w:r>
      <w:r w:rsidR="00F05310">
        <w:rPr>
          <w:rFonts w:ascii="MetaNormal-Roman" w:hAnsi="MetaNormal-Roman"/>
        </w:rPr>
        <w:t xml:space="preserve">discusses </w:t>
      </w:r>
      <w:r w:rsidR="00DA5DD5">
        <w:rPr>
          <w:rFonts w:ascii="MetaNormal-Roman" w:hAnsi="MetaNormal-Roman"/>
        </w:rPr>
        <w:t xml:space="preserve">forced and compulsory </w:t>
      </w:r>
      <w:r w:rsidR="000917FC">
        <w:rPr>
          <w:rFonts w:ascii="MetaNormal-Roman" w:hAnsi="MetaNormal-Roman"/>
        </w:rPr>
        <w:t>labor</w:t>
      </w:r>
      <w:r w:rsidR="00DA5DD5">
        <w:rPr>
          <w:rFonts w:ascii="MetaNormal-Roman" w:hAnsi="MetaNormal-Roman"/>
        </w:rPr>
        <w:t xml:space="preserve"> imposed on migrant workers, including within immigration detention </w:t>
      </w:r>
      <w:r w:rsidR="00D80805">
        <w:rPr>
          <w:rFonts w:ascii="MetaNormal-Roman" w:hAnsi="MetaNormal-Roman"/>
        </w:rPr>
        <w:t>center</w:t>
      </w:r>
      <w:r w:rsidR="00DA5DD5">
        <w:rPr>
          <w:rFonts w:ascii="MetaNormal-Roman" w:hAnsi="MetaNormal-Roman"/>
        </w:rPr>
        <w:t xml:space="preserve">s. We </w:t>
      </w:r>
      <w:r w:rsidR="002E6F95">
        <w:rPr>
          <w:rFonts w:ascii="MetaNormal-Roman" w:hAnsi="MetaNormal-Roman"/>
        </w:rPr>
        <w:t>recommend th</w:t>
      </w:r>
      <w:r w:rsidR="00F158B7">
        <w:rPr>
          <w:rFonts w:ascii="MetaNormal-Roman" w:hAnsi="MetaNormal-Roman"/>
        </w:rPr>
        <w:t xml:space="preserve">at the Committee </w:t>
      </w:r>
      <w:r w:rsidR="00415E73">
        <w:rPr>
          <w:rFonts w:ascii="MetaNormal-Roman" w:hAnsi="MetaNormal-Roman"/>
        </w:rPr>
        <w:t xml:space="preserve">expand this section to include </w:t>
      </w:r>
      <w:r w:rsidR="00D63AC1">
        <w:rPr>
          <w:rFonts w:ascii="MetaNormal-Roman" w:hAnsi="MetaNormal-Roman"/>
        </w:rPr>
        <w:t xml:space="preserve">reference </w:t>
      </w:r>
      <w:r w:rsidR="0074416C">
        <w:rPr>
          <w:rFonts w:ascii="MetaNormal-Roman" w:hAnsi="MetaNormal-Roman"/>
        </w:rPr>
        <w:t xml:space="preserve">to </w:t>
      </w:r>
      <w:r w:rsidR="00FA1E7D">
        <w:rPr>
          <w:rFonts w:ascii="MetaNormal-Roman" w:hAnsi="MetaNormal-Roman"/>
        </w:rPr>
        <w:t xml:space="preserve">human trafficking networks </w:t>
      </w:r>
      <w:r w:rsidR="00466F24">
        <w:rPr>
          <w:rFonts w:ascii="MetaNormal-Roman" w:hAnsi="MetaNormal-Roman"/>
        </w:rPr>
        <w:t xml:space="preserve">operated </w:t>
      </w:r>
      <w:r w:rsidR="00AD0D9F">
        <w:rPr>
          <w:rFonts w:ascii="MetaNormal-Roman" w:hAnsi="MetaNormal-Roman"/>
        </w:rPr>
        <w:t xml:space="preserve">by </w:t>
      </w:r>
      <w:r w:rsidR="00C96FC2">
        <w:rPr>
          <w:rFonts w:ascii="MetaNormal-Roman" w:hAnsi="MetaNormal-Roman"/>
        </w:rPr>
        <w:t xml:space="preserve">detention </w:t>
      </w:r>
      <w:r w:rsidR="00AD0D9F">
        <w:rPr>
          <w:rFonts w:ascii="MetaNormal-Roman" w:hAnsi="MetaNormal-Roman"/>
        </w:rPr>
        <w:t>authorities themselves.</w:t>
      </w:r>
      <w:r w:rsidR="00901304">
        <w:rPr>
          <w:rFonts w:ascii="MetaNormal-Roman" w:hAnsi="MetaNormal-Roman"/>
        </w:rPr>
        <w:t xml:space="preserve"> </w:t>
      </w:r>
      <w:r w:rsidR="00DE0E1E">
        <w:rPr>
          <w:rFonts w:ascii="MetaNormal-Roman" w:hAnsi="MetaNormal-Roman"/>
        </w:rPr>
        <w:t>Human Rights Watch</w:t>
      </w:r>
      <w:r w:rsidR="006F6649">
        <w:rPr>
          <w:rFonts w:ascii="MetaNormal-Roman" w:hAnsi="MetaNormal-Roman"/>
        </w:rPr>
        <w:t xml:space="preserve"> has documented </w:t>
      </w:r>
      <w:r w:rsidR="008F4681">
        <w:rPr>
          <w:rFonts w:ascii="MetaNormal-Roman" w:hAnsi="MetaNormal-Roman"/>
        </w:rPr>
        <w:t>incidents in which individuals have been forced to work without pay</w:t>
      </w:r>
      <w:r w:rsidR="00D34A0A">
        <w:rPr>
          <w:rFonts w:ascii="MetaNormal-Roman" w:hAnsi="MetaNormal-Roman"/>
        </w:rPr>
        <w:t xml:space="preserve"> </w:t>
      </w:r>
      <w:r w:rsidR="008F4681">
        <w:rPr>
          <w:rFonts w:ascii="MetaNormal-Roman" w:hAnsi="MetaNormal-Roman"/>
        </w:rPr>
        <w:t xml:space="preserve">while </w:t>
      </w:r>
      <w:r w:rsidR="000C7B8D">
        <w:rPr>
          <w:rFonts w:ascii="MetaNormal-Roman" w:hAnsi="MetaNormal-Roman"/>
        </w:rPr>
        <w:t>detained i</w:t>
      </w:r>
      <w:r w:rsidR="008F4681">
        <w:rPr>
          <w:rFonts w:ascii="MetaNormal-Roman" w:hAnsi="MetaNormal-Roman"/>
        </w:rPr>
        <w:t xml:space="preserve">n detention </w:t>
      </w:r>
      <w:r w:rsidR="00D80805">
        <w:rPr>
          <w:rFonts w:ascii="MetaNormal-Roman" w:hAnsi="MetaNormal-Roman"/>
        </w:rPr>
        <w:t>center</w:t>
      </w:r>
      <w:r w:rsidR="008F4681">
        <w:rPr>
          <w:rFonts w:ascii="MetaNormal-Roman" w:hAnsi="MetaNormal-Roman"/>
        </w:rPr>
        <w:t>s</w:t>
      </w:r>
      <w:r w:rsidR="00EF1368">
        <w:rPr>
          <w:rFonts w:ascii="MetaNormal-Roman" w:hAnsi="MetaNormal-Roman"/>
        </w:rPr>
        <w:t xml:space="preserve"> </w:t>
      </w:r>
      <w:r w:rsidR="000C7B8D">
        <w:rPr>
          <w:rFonts w:ascii="MetaNormal-Roman" w:hAnsi="MetaNormal-Roman"/>
        </w:rPr>
        <w:t>in</w:t>
      </w:r>
      <w:r w:rsidR="008F4681">
        <w:rPr>
          <w:rFonts w:ascii="MetaNormal-Roman" w:hAnsi="MetaNormal-Roman"/>
        </w:rPr>
        <w:t xml:space="preserve"> Libya</w:t>
      </w:r>
      <w:r w:rsidR="00693B24">
        <w:rPr>
          <w:rFonts w:ascii="MetaNormal-Roman" w:hAnsi="MetaNormal-Roman"/>
        </w:rPr>
        <w:t>.</w:t>
      </w:r>
      <w:r w:rsidR="00FB2BCB">
        <w:rPr>
          <w:rStyle w:val="FootnoteReference"/>
          <w:rFonts w:ascii="MetaNormal-Roman" w:hAnsi="MetaNormal-Roman"/>
        </w:rPr>
        <w:footnoteReference w:id="21"/>
      </w:r>
      <w:r w:rsidR="00D34A0A">
        <w:rPr>
          <w:rFonts w:ascii="MetaNormal-Roman" w:hAnsi="MetaNormal-Roman"/>
        </w:rPr>
        <w:t xml:space="preserve"> </w:t>
      </w:r>
    </w:p>
    <w:p w14:paraId="4F9D75C3" w14:textId="1AC9C830" w:rsidR="005D6B6D" w:rsidRDefault="005D6B6D">
      <w:pPr>
        <w:rPr>
          <w:rFonts w:ascii="MetaNormal-Roman" w:hAnsi="MetaNormal-Roman"/>
        </w:rPr>
      </w:pPr>
      <w:r>
        <w:rPr>
          <w:rFonts w:ascii="MetaNormal-Roman" w:hAnsi="MetaNormal-Roman"/>
        </w:rPr>
        <w:t xml:space="preserve">Paragraph 90 </w:t>
      </w:r>
      <w:r w:rsidR="00DC5908">
        <w:rPr>
          <w:rFonts w:ascii="MetaNormal-Roman" w:hAnsi="MetaNormal-Roman"/>
        </w:rPr>
        <w:t xml:space="preserve">refers to difficulties </w:t>
      </w:r>
      <w:r w:rsidR="00654554">
        <w:rPr>
          <w:rFonts w:ascii="MetaNormal-Roman" w:hAnsi="MetaNormal-Roman"/>
        </w:rPr>
        <w:t xml:space="preserve">that </w:t>
      </w:r>
      <w:r w:rsidR="00DC5908">
        <w:rPr>
          <w:rFonts w:ascii="MetaNormal-Roman" w:hAnsi="MetaNormal-Roman"/>
        </w:rPr>
        <w:t>migrants have in accessing</w:t>
      </w:r>
      <w:r w:rsidR="00B168EC">
        <w:rPr>
          <w:rFonts w:ascii="MetaNormal-Roman" w:hAnsi="MetaNormal-Roman"/>
        </w:rPr>
        <w:t xml:space="preserve"> health services and medical care in detention </w:t>
      </w:r>
      <w:r w:rsidR="00D80805">
        <w:rPr>
          <w:rFonts w:ascii="MetaNormal-Roman" w:hAnsi="MetaNormal-Roman"/>
        </w:rPr>
        <w:t>center</w:t>
      </w:r>
      <w:r w:rsidR="00B168EC">
        <w:rPr>
          <w:rFonts w:ascii="MetaNormal-Roman" w:hAnsi="MetaNormal-Roman"/>
        </w:rPr>
        <w:t>s. We suggest that the Committee include</w:t>
      </w:r>
      <w:r w:rsidR="0071734A">
        <w:rPr>
          <w:rFonts w:ascii="MetaNormal-Roman" w:hAnsi="MetaNormal-Roman"/>
        </w:rPr>
        <w:t xml:space="preserve"> the following language after the first sentence of paragraph 90:</w:t>
      </w:r>
      <w:r w:rsidR="00205790">
        <w:rPr>
          <w:rFonts w:ascii="MetaNormal-Roman" w:hAnsi="MetaNormal-Roman"/>
        </w:rPr>
        <w:t xml:space="preserve"> “This is particularly so for persons </w:t>
      </w:r>
      <w:r w:rsidR="00BC6325">
        <w:rPr>
          <w:rFonts w:ascii="MetaNormal-Roman" w:hAnsi="MetaNormal-Roman"/>
        </w:rPr>
        <w:t xml:space="preserve">with mental health conditions and other disabilities.” </w:t>
      </w:r>
      <w:r w:rsidR="00DB1826">
        <w:rPr>
          <w:rFonts w:ascii="MetaNormal-Roman" w:hAnsi="MetaNormal-Roman"/>
        </w:rPr>
        <w:t xml:space="preserve">This emphasizes the challenges people with mental health conditions and other disabilities face in detention </w:t>
      </w:r>
      <w:r w:rsidR="00D80805">
        <w:rPr>
          <w:rFonts w:ascii="MetaNormal-Roman" w:hAnsi="MetaNormal-Roman"/>
        </w:rPr>
        <w:t>center</w:t>
      </w:r>
      <w:r w:rsidR="00DB1826">
        <w:rPr>
          <w:rFonts w:ascii="MetaNormal-Roman" w:hAnsi="MetaNormal-Roman"/>
        </w:rPr>
        <w:t>s.</w:t>
      </w:r>
    </w:p>
    <w:p w14:paraId="42BE29DB" w14:textId="1A55A104" w:rsidR="00210D9A" w:rsidRDefault="0071734A" w:rsidP="0071734A">
      <w:pPr>
        <w:tabs>
          <w:tab w:val="left" w:pos="1703"/>
        </w:tabs>
        <w:rPr>
          <w:rFonts w:ascii="MetaNormal-Roman" w:hAnsi="MetaNormal-Roman"/>
        </w:rPr>
      </w:pPr>
      <w:r>
        <w:rPr>
          <w:rFonts w:ascii="MetaNormal-Roman" w:hAnsi="MetaNormal-Roman"/>
        </w:rPr>
        <w:t>Parag</w:t>
      </w:r>
      <w:r w:rsidR="00A84661">
        <w:rPr>
          <w:rFonts w:ascii="MetaNormal-Roman" w:hAnsi="MetaNormal-Roman"/>
        </w:rPr>
        <w:t>r</w:t>
      </w:r>
      <w:r>
        <w:rPr>
          <w:rFonts w:ascii="MetaNormal-Roman" w:hAnsi="MetaNormal-Roman"/>
        </w:rPr>
        <w:t>aph 91</w:t>
      </w:r>
      <w:r w:rsidR="000D4173">
        <w:rPr>
          <w:rFonts w:ascii="MetaNormal-Roman" w:hAnsi="MetaNormal-Roman"/>
        </w:rPr>
        <w:t xml:space="preserve"> calls on </w:t>
      </w:r>
      <w:r w:rsidR="008B1499">
        <w:rPr>
          <w:rFonts w:ascii="MetaNormal-Roman" w:hAnsi="MetaNormal-Roman"/>
        </w:rPr>
        <w:t>s</w:t>
      </w:r>
      <w:r w:rsidR="000D4173">
        <w:rPr>
          <w:rFonts w:ascii="MetaNormal-Roman" w:hAnsi="MetaNormal-Roman"/>
        </w:rPr>
        <w:t xml:space="preserve">tates to </w:t>
      </w:r>
      <w:r w:rsidR="00596AC8">
        <w:rPr>
          <w:rFonts w:ascii="MetaNormal-Roman" w:hAnsi="MetaNormal-Roman"/>
        </w:rPr>
        <w:t xml:space="preserve">ensure detained migrants have access to health services. We recommend that the Committee include </w:t>
      </w:r>
      <w:r w:rsidR="0083030B">
        <w:rPr>
          <w:rFonts w:ascii="MetaNormal-Roman" w:hAnsi="MetaNormal-Roman"/>
        </w:rPr>
        <w:t xml:space="preserve">specific </w:t>
      </w:r>
      <w:r w:rsidR="00596AC8">
        <w:rPr>
          <w:rFonts w:ascii="MetaNormal-Roman" w:hAnsi="MetaNormal-Roman"/>
        </w:rPr>
        <w:t>language that calls on</w:t>
      </w:r>
      <w:r w:rsidR="008B1499">
        <w:rPr>
          <w:rFonts w:ascii="MetaNormal-Roman" w:hAnsi="MetaNormal-Roman"/>
        </w:rPr>
        <w:t xml:space="preserve"> s</w:t>
      </w:r>
      <w:r w:rsidR="00596AC8">
        <w:rPr>
          <w:rFonts w:ascii="MetaNormal-Roman" w:hAnsi="MetaNormal-Roman"/>
        </w:rPr>
        <w:t xml:space="preserve">tates to </w:t>
      </w:r>
      <w:r w:rsidR="0083030B">
        <w:rPr>
          <w:rFonts w:ascii="MetaNormal-Roman" w:hAnsi="MetaNormal-Roman"/>
        </w:rPr>
        <w:t>provide</w:t>
      </w:r>
      <w:r w:rsidR="003274E2">
        <w:rPr>
          <w:rFonts w:ascii="MetaNormal-Roman" w:hAnsi="MetaNormal-Roman"/>
        </w:rPr>
        <w:t xml:space="preserve"> “mental health care</w:t>
      </w:r>
      <w:r w:rsidR="0083030B">
        <w:rPr>
          <w:rFonts w:ascii="MetaNormal-Roman" w:hAnsi="MetaNormal-Roman"/>
        </w:rPr>
        <w:t>” in addition to</w:t>
      </w:r>
      <w:r w:rsidR="009E6705">
        <w:rPr>
          <w:rFonts w:ascii="MetaNormal-Roman" w:hAnsi="MetaNormal-Roman"/>
        </w:rPr>
        <w:t xml:space="preserve"> the call for</w:t>
      </w:r>
      <w:r w:rsidR="009270C9">
        <w:rPr>
          <w:rFonts w:ascii="MetaNormal-Roman" w:hAnsi="MetaNormal-Roman"/>
        </w:rPr>
        <w:t xml:space="preserve"> </w:t>
      </w:r>
      <w:r w:rsidR="00210D9A">
        <w:rPr>
          <w:rFonts w:ascii="MetaNormal-Roman" w:hAnsi="MetaNormal-Roman"/>
        </w:rPr>
        <w:t>sexual and reproductive health</w:t>
      </w:r>
      <w:r w:rsidR="00EC216B">
        <w:rPr>
          <w:rFonts w:ascii="MetaNormal-Roman" w:hAnsi="MetaNormal-Roman"/>
        </w:rPr>
        <w:t xml:space="preserve"> care already mentioned in the General comment</w:t>
      </w:r>
      <w:r w:rsidR="00A73714">
        <w:rPr>
          <w:rFonts w:ascii="MetaNormal-Roman" w:hAnsi="MetaNormal-Roman"/>
        </w:rPr>
        <w:t xml:space="preserve">. We also recommend that </w:t>
      </w:r>
      <w:r w:rsidR="00B235AA">
        <w:rPr>
          <w:rFonts w:ascii="MetaNormal-Roman" w:hAnsi="MetaNormal-Roman"/>
        </w:rPr>
        <w:t xml:space="preserve">the second sentence in paragraph 91 </w:t>
      </w:r>
      <w:r w:rsidR="00E438FD">
        <w:rPr>
          <w:rFonts w:ascii="MetaNormal-Roman" w:hAnsi="MetaNormal-Roman"/>
        </w:rPr>
        <w:t>be</w:t>
      </w:r>
      <w:r w:rsidR="00B235AA">
        <w:rPr>
          <w:rFonts w:ascii="MetaNormal-Roman" w:hAnsi="MetaNormal-Roman"/>
        </w:rPr>
        <w:t xml:space="preserve"> amended to r</w:t>
      </w:r>
      <w:r w:rsidR="006C49DB">
        <w:rPr>
          <w:rFonts w:ascii="MetaNormal-Roman" w:hAnsi="MetaNormal-Roman"/>
        </w:rPr>
        <w:t xml:space="preserve">ead the </w:t>
      </w:r>
      <w:r w:rsidR="00B235AA">
        <w:rPr>
          <w:rFonts w:ascii="MetaNormal-Roman" w:hAnsi="MetaNormal-Roman"/>
        </w:rPr>
        <w:t>following: “Detained migrants</w:t>
      </w:r>
      <w:r w:rsidR="0018638C">
        <w:rPr>
          <w:rFonts w:ascii="MetaNormal-Roman" w:hAnsi="MetaNormal-Roman"/>
        </w:rPr>
        <w:t>,</w:t>
      </w:r>
      <w:r w:rsidR="00B235AA">
        <w:rPr>
          <w:rFonts w:ascii="MetaNormal-Roman" w:hAnsi="MetaNormal-Roman"/>
        </w:rPr>
        <w:t xml:space="preserve"> </w:t>
      </w:r>
      <w:r w:rsidR="0018638C">
        <w:rPr>
          <w:rFonts w:ascii="MetaNormal-Roman" w:hAnsi="MetaNormal-Roman"/>
        </w:rPr>
        <w:t xml:space="preserve">including pregnant women, and those </w:t>
      </w:r>
      <w:r w:rsidR="00B235AA">
        <w:rPr>
          <w:rFonts w:ascii="MetaNormal-Roman" w:hAnsi="MetaNormal-Roman"/>
        </w:rPr>
        <w:t xml:space="preserve">in need of medical </w:t>
      </w:r>
      <w:r w:rsidR="00C924C1" w:rsidRPr="00B0306D">
        <w:rPr>
          <w:rFonts w:ascii="MetaNormal-Roman" w:hAnsi="MetaNormal-Roman"/>
          <w:i/>
          <w:iCs/>
        </w:rPr>
        <w:t>or mental health</w:t>
      </w:r>
      <w:r w:rsidR="00C924C1">
        <w:rPr>
          <w:rFonts w:ascii="MetaNormal-Roman" w:hAnsi="MetaNormal-Roman"/>
        </w:rPr>
        <w:t xml:space="preserve"> care should be transferred to adequate facilities </w:t>
      </w:r>
      <w:r w:rsidR="00C924C1" w:rsidRPr="00055C67">
        <w:rPr>
          <w:rFonts w:ascii="MetaNormal-Roman" w:hAnsi="MetaNormal-Roman"/>
          <w:i/>
          <w:iCs/>
        </w:rPr>
        <w:t xml:space="preserve">or released from </w:t>
      </w:r>
      <w:r w:rsidR="00551D3F" w:rsidRPr="00055C67">
        <w:rPr>
          <w:rFonts w:ascii="MetaNormal-Roman" w:hAnsi="MetaNormal-Roman"/>
          <w:i/>
          <w:iCs/>
        </w:rPr>
        <w:t xml:space="preserve">detention, in recognition of the fact that deprivation of liberty contributes to </w:t>
      </w:r>
      <w:r w:rsidR="008A7C33" w:rsidRPr="00055C67">
        <w:rPr>
          <w:rFonts w:ascii="MetaNormal-Roman" w:hAnsi="MetaNormal-Roman"/>
          <w:i/>
          <w:iCs/>
        </w:rPr>
        <w:t>deterioration of health and wellbeing</w:t>
      </w:r>
      <w:r w:rsidR="008A7C33">
        <w:rPr>
          <w:rFonts w:ascii="MetaNormal-Roman" w:hAnsi="MetaNormal-Roman"/>
        </w:rPr>
        <w:t>.”</w:t>
      </w:r>
      <w:r w:rsidR="00C568AF">
        <w:rPr>
          <w:rFonts w:ascii="MetaNormal-Roman" w:hAnsi="MetaNormal-Roman"/>
        </w:rPr>
        <w:t xml:space="preserve"> Further, we suggest that in the last sentence of paragraph 91, the Committee </w:t>
      </w:r>
      <w:r w:rsidR="00BC7D46">
        <w:rPr>
          <w:rFonts w:ascii="MetaNormal-Roman" w:hAnsi="MetaNormal-Roman"/>
        </w:rPr>
        <w:t xml:space="preserve">call on </w:t>
      </w:r>
      <w:r w:rsidR="00997966">
        <w:rPr>
          <w:rFonts w:ascii="MetaNormal-Roman" w:hAnsi="MetaNormal-Roman"/>
        </w:rPr>
        <w:t>s</w:t>
      </w:r>
      <w:r w:rsidR="00BC7D46">
        <w:rPr>
          <w:rFonts w:ascii="MetaNormal-Roman" w:hAnsi="MetaNormal-Roman"/>
        </w:rPr>
        <w:t xml:space="preserve">tates to provide </w:t>
      </w:r>
      <w:r w:rsidR="00D40ABD">
        <w:rPr>
          <w:rFonts w:ascii="MetaNormal-Roman" w:hAnsi="MetaNormal-Roman"/>
        </w:rPr>
        <w:t>“access to emergency medical care,</w:t>
      </w:r>
      <w:r w:rsidR="00D40ABD" w:rsidRPr="00E875C8">
        <w:rPr>
          <w:rFonts w:ascii="MetaNormal-Roman" w:hAnsi="MetaNormal-Roman"/>
          <w:i/>
          <w:iCs/>
        </w:rPr>
        <w:t xml:space="preserve"> </w:t>
      </w:r>
      <w:r w:rsidR="0018638C" w:rsidRPr="00E875C8">
        <w:rPr>
          <w:rFonts w:ascii="MetaNormal-Roman" w:hAnsi="MetaNormal-Roman"/>
          <w:i/>
          <w:iCs/>
        </w:rPr>
        <w:t xml:space="preserve">pre and postnatal care, </w:t>
      </w:r>
      <w:r w:rsidR="00D40ABD">
        <w:rPr>
          <w:rFonts w:ascii="MetaNormal-Roman" w:hAnsi="MetaNormal-Roman"/>
          <w:i/>
          <w:iCs/>
        </w:rPr>
        <w:t>mental health care</w:t>
      </w:r>
      <w:r w:rsidR="00D40ABD">
        <w:rPr>
          <w:rFonts w:ascii="MetaNormal-Roman" w:hAnsi="MetaNormal-Roman"/>
        </w:rPr>
        <w:t xml:space="preserve">, and </w:t>
      </w:r>
      <w:r w:rsidR="006F785E">
        <w:rPr>
          <w:rFonts w:ascii="MetaNormal-Roman" w:hAnsi="MetaNormal-Roman"/>
        </w:rPr>
        <w:t>basic health services under the same conditions as nationals of the State party.”</w:t>
      </w:r>
      <w:r w:rsidR="00C568AF">
        <w:rPr>
          <w:rFonts w:ascii="MetaNormal-Roman" w:hAnsi="MetaNormal-Roman"/>
        </w:rPr>
        <w:t xml:space="preserve"> </w:t>
      </w:r>
      <w:r w:rsidR="002D799D">
        <w:rPr>
          <w:rFonts w:ascii="MetaNormal-Roman" w:hAnsi="MetaNormal-Roman"/>
        </w:rPr>
        <w:t xml:space="preserve">The inclusion of mental health care conveys the message that the Committee </w:t>
      </w:r>
      <w:r w:rsidR="00467D86">
        <w:rPr>
          <w:rFonts w:ascii="MetaNormal-Roman" w:hAnsi="MetaNormal-Roman"/>
        </w:rPr>
        <w:t>views this as a priority</w:t>
      </w:r>
      <w:r w:rsidR="009B0751">
        <w:rPr>
          <w:rFonts w:ascii="MetaNormal-Roman" w:hAnsi="MetaNormal-Roman"/>
        </w:rPr>
        <w:t xml:space="preserve"> along with </w:t>
      </w:r>
      <w:r w:rsidR="009B0751">
        <w:rPr>
          <w:rFonts w:ascii="MetaNormal-Roman" w:hAnsi="MetaNormal-Roman"/>
        </w:rPr>
        <w:lastRenderedPageBreak/>
        <w:t>physical health care</w:t>
      </w:r>
      <w:r w:rsidR="0018638C">
        <w:rPr>
          <w:rFonts w:ascii="MetaNormal-Roman" w:hAnsi="MetaNormal-Roman"/>
        </w:rPr>
        <w:t xml:space="preserve"> as well as prioritizing the importance of pre and postnatal healthcare where states might not otherwise deem it as basic or emergency healthcare</w:t>
      </w:r>
      <w:r w:rsidR="00467D86">
        <w:rPr>
          <w:rFonts w:ascii="MetaNormal-Roman" w:hAnsi="MetaNormal-Roman"/>
        </w:rPr>
        <w:t>.</w:t>
      </w:r>
    </w:p>
    <w:p w14:paraId="6B82D065" w14:textId="620EE666" w:rsidR="002F149D" w:rsidRDefault="002F149D" w:rsidP="0071734A">
      <w:pPr>
        <w:tabs>
          <w:tab w:val="left" w:pos="1703"/>
        </w:tabs>
        <w:rPr>
          <w:rFonts w:ascii="MetaNormal-Roman" w:hAnsi="MetaNormal-Roman"/>
        </w:rPr>
      </w:pPr>
      <w:r>
        <w:rPr>
          <w:rFonts w:ascii="MetaNormal-Roman" w:hAnsi="MetaNormal-Roman"/>
        </w:rPr>
        <w:t xml:space="preserve">In paragraph 92, we again recommend that the Committee include </w:t>
      </w:r>
      <w:r w:rsidR="00A21167">
        <w:rPr>
          <w:rFonts w:ascii="MetaNormal-Roman" w:hAnsi="MetaNormal-Roman"/>
        </w:rPr>
        <w:t>reference to mental health care in the last sentence. We suggest th</w:t>
      </w:r>
      <w:r w:rsidR="00CF7A35">
        <w:rPr>
          <w:rFonts w:ascii="MetaNormal-Roman" w:hAnsi="MetaNormal-Roman"/>
        </w:rPr>
        <w:t xml:space="preserve">at you </w:t>
      </w:r>
      <w:r w:rsidR="00AE2834">
        <w:rPr>
          <w:rFonts w:ascii="MetaNormal-Roman" w:hAnsi="MetaNormal-Roman"/>
        </w:rPr>
        <w:t xml:space="preserve">call on </w:t>
      </w:r>
      <w:r w:rsidR="00997966">
        <w:rPr>
          <w:rFonts w:ascii="MetaNormal-Roman" w:hAnsi="MetaNormal-Roman"/>
        </w:rPr>
        <w:t>s</w:t>
      </w:r>
      <w:r w:rsidR="00AE2834">
        <w:rPr>
          <w:rFonts w:ascii="MetaNormal-Roman" w:hAnsi="MetaNormal-Roman"/>
        </w:rPr>
        <w:t xml:space="preserve">tates to ensure that </w:t>
      </w:r>
      <w:r w:rsidR="00F56F3A">
        <w:rPr>
          <w:rFonts w:ascii="MetaNormal-Roman" w:hAnsi="MetaNormal-Roman"/>
        </w:rPr>
        <w:t xml:space="preserve">detained migrants have access to “appropriate levels of medical </w:t>
      </w:r>
      <w:r w:rsidR="00F56F3A">
        <w:rPr>
          <w:rFonts w:ascii="MetaNormal-Roman" w:hAnsi="MetaNormal-Roman"/>
          <w:i/>
          <w:iCs/>
        </w:rPr>
        <w:t>and mental health</w:t>
      </w:r>
      <w:r w:rsidR="00F56F3A">
        <w:rPr>
          <w:rFonts w:ascii="MetaNormal-Roman" w:hAnsi="MetaNormal-Roman"/>
        </w:rPr>
        <w:t xml:space="preserve"> care</w:t>
      </w:r>
      <w:r w:rsidR="003E7CE5">
        <w:rPr>
          <w:rFonts w:ascii="MetaNormal-Roman" w:hAnsi="MetaNormal-Roman"/>
        </w:rPr>
        <w:t>.”</w:t>
      </w:r>
    </w:p>
    <w:p w14:paraId="37079663" w14:textId="1BBBA1CE" w:rsidR="00247387" w:rsidRDefault="00247387" w:rsidP="0071734A">
      <w:pPr>
        <w:tabs>
          <w:tab w:val="left" w:pos="1703"/>
        </w:tabs>
        <w:rPr>
          <w:rFonts w:ascii="MetaNormal-Roman" w:hAnsi="MetaNormal-Roman"/>
        </w:rPr>
      </w:pPr>
      <w:r>
        <w:rPr>
          <w:rFonts w:ascii="MetaNormal-Roman" w:hAnsi="MetaNormal-Roman"/>
        </w:rPr>
        <w:t>Paragraph 97</w:t>
      </w:r>
      <w:r w:rsidR="002108CB">
        <w:rPr>
          <w:rFonts w:ascii="MetaNormal-Roman" w:hAnsi="MetaNormal-Roman"/>
        </w:rPr>
        <w:t xml:space="preserve"> </w:t>
      </w:r>
      <w:r w:rsidR="00C11924">
        <w:rPr>
          <w:rFonts w:ascii="MetaNormal-Roman" w:hAnsi="MetaNormal-Roman"/>
        </w:rPr>
        <w:t xml:space="preserve">highlights the risk that poor </w:t>
      </w:r>
      <w:r w:rsidR="00E91FBC">
        <w:rPr>
          <w:rFonts w:ascii="MetaNormal-Roman" w:hAnsi="MetaNormal-Roman"/>
        </w:rPr>
        <w:t xml:space="preserve">conditions </w:t>
      </w:r>
      <w:r w:rsidR="00B44B50">
        <w:rPr>
          <w:rFonts w:ascii="MetaNormal-Roman" w:hAnsi="MetaNormal-Roman"/>
        </w:rPr>
        <w:t>of</w:t>
      </w:r>
      <w:r w:rsidR="00E91FBC">
        <w:rPr>
          <w:rFonts w:ascii="MetaNormal-Roman" w:hAnsi="MetaNormal-Roman"/>
        </w:rPr>
        <w:t xml:space="preserve"> detention may </w:t>
      </w:r>
      <w:r w:rsidR="007C6285">
        <w:rPr>
          <w:rFonts w:ascii="MetaNormal-Roman" w:hAnsi="MetaNormal-Roman"/>
        </w:rPr>
        <w:t xml:space="preserve">constitute cruel, inhuman or degrading treatment. We recommend that the Committee add language </w:t>
      </w:r>
      <w:r w:rsidR="00351F94">
        <w:rPr>
          <w:rFonts w:ascii="MetaNormal-Roman" w:hAnsi="MetaNormal-Roman"/>
        </w:rPr>
        <w:t xml:space="preserve">in the second sentence </w:t>
      </w:r>
      <w:r w:rsidR="000932ED">
        <w:rPr>
          <w:rFonts w:ascii="MetaNormal-Roman" w:hAnsi="MetaNormal-Roman"/>
        </w:rPr>
        <w:t xml:space="preserve">to read: “torture may </w:t>
      </w:r>
      <w:r w:rsidR="00B87E4D">
        <w:rPr>
          <w:rFonts w:ascii="MetaNormal-Roman" w:hAnsi="MetaNormal-Roman"/>
        </w:rPr>
        <w:t>occur if inadequate detention conditions are  intentionally</w:t>
      </w:r>
      <w:r w:rsidR="00441D88">
        <w:rPr>
          <w:rFonts w:ascii="MetaNormal-Roman" w:hAnsi="MetaNormal-Roman"/>
        </w:rPr>
        <w:t xml:space="preserve"> imposed</w:t>
      </w:r>
      <w:r w:rsidR="00DF4D20">
        <w:rPr>
          <w:rFonts w:ascii="MetaNormal-Roman" w:hAnsi="MetaNormal-Roman"/>
        </w:rPr>
        <w:t>, encourage</w:t>
      </w:r>
      <w:r w:rsidR="00F43AEC">
        <w:rPr>
          <w:rFonts w:ascii="MetaNormal-Roman" w:hAnsi="MetaNormal-Roman"/>
        </w:rPr>
        <w:t>d</w:t>
      </w:r>
      <w:r w:rsidR="00DF4D20">
        <w:rPr>
          <w:rFonts w:ascii="MetaNormal-Roman" w:hAnsi="MetaNormal-Roman"/>
        </w:rPr>
        <w:t xml:space="preserve"> or tolerated by the State </w:t>
      </w:r>
      <w:r w:rsidR="000F0FD7">
        <w:rPr>
          <w:rFonts w:ascii="MetaNormal-Roman" w:hAnsi="MetaNormal-Roman"/>
        </w:rPr>
        <w:t xml:space="preserve">on the basis of </w:t>
      </w:r>
      <w:r w:rsidR="0034405E">
        <w:rPr>
          <w:rFonts w:ascii="MetaNormal-Roman" w:hAnsi="MetaNormal-Roman"/>
        </w:rPr>
        <w:t xml:space="preserve">discrimination of any kind, including immigration status, </w:t>
      </w:r>
      <w:r w:rsidR="0018638C">
        <w:rPr>
          <w:rFonts w:ascii="MetaNormal-Roman" w:hAnsi="MetaNormal-Roman"/>
          <w:i/>
          <w:iCs/>
        </w:rPr>
        <w:t>gender</w:t>
      </w:r>
      <w:r w:rsidR="0018638C" w:rsidRPr="00E875C8">
        <w:rPr>
          <w:rFonts w:ascii="MetaNormal-Roman" w:hAnsi="MetaNormal-Roman"/>
          <w:i/>
          <w:iCs/>
        </w:rPr>
        <w:t>,</w:t>
      </w:r>
      <w:r w:rsidR="0018638C">
        <w:rPr>
          <w:rFonts w:ascii="MetaNormal-Roman" w:hAnsi="MetaNormal-Roman"/>
        </w:rPr>
        <w:t xml:space="preserve"> </w:t>
      </w:r>
      <w:r w:rsidR="0034405E">
        <w:rPr>
          <w:rFonts w:ascii="MetaNormal-Roman" w:hAnsi="MetaNormal-Roman"/>
          <w:i/>
          <w:iCs/>
        </w:rPr>
        <w:t xml:space="preserve">disability, </w:t>
      </w:r>
      <w:r w:rsidR="00E8217E">
        <w:rPr>
          <w:rFonts w:ascii="MetaNormal-Roman" w:hAnsi="MetaNormal-Roman"/>
          <w:i/>
          <w:iCs/>
        </w:rPr>
        <w:t>and race</w:t>
      </w:r>
      <w:r w:rsidR="009F64D2">
        <w:rPr>
          <w:rFonts w:ascii="MetaNormal-Roman" w:hAnsi="MetaNormal-Roman"/>
        </w:rPr>
        <w:t>…”</w:t>
      </w:r>
      <w:r w:rsidR="004469FC">
        <w:rPr>
          <w:rFonts w:ascii="MetaNormal-Roman" w:hAnsi="MetaNormal-Roman"/>
        </w:rPr>
        <w:t xml:space="preserve"> </w:t>
      </w:r>
      <w:r w:rsidR="005B265B">
        <w:rPr>
          <w:rFonts w:ascii="MetaNormal-Roman" w:hAnsi="MetaNormal-Roman"/>
        </w:rPr>
        <w:t>This language</w:t>
      </w:r>
      <w:r w:rsidR="003C2FD1">
        <w:rPr>
          <w:rFonts w:ascii="MetaNormal-Roman" w:hAnsi="MetaNormal-Roman"/>
        </w:rPr>
        <w:t xml:space="preserve"> is clearer and more direct.</w:t>
      </w:r>
    </w:p>
    <w:p w14:paraId="0B8B9800" w14:textId="41EFD688" w:rsidR="00A9315C" w:rsidRDefault="00A9315C" w:rsidP="0071734A">
      <w:pPr>
        <w:tabs>
          <w:tab w:val="left" w:pos="1703"/>
        </w:tabs>
        <w:rPr>
          <w:rFonts w:ascii="MetaNormal-Roman" w:hAnsi="MetaNormal-Roman"/>
        </w:rPr>
      </w:pPr>
      <w:r>
        <w:rPr>
          <w:rFonts w:ascii="MetaNormal-Roman" w:hAnsi="MetaNormal-Roman"/>
        </w:rPr>
        <w:t>Paragraph 98</w:t>
      </w:r>
      <w:r w:rsidR="00763A47">
        <w:rPr>
          <w:rFonts w:ascii="MetaNormal-Roman" w:hAnsi="MetaNormal-Roman"/>
        </w:rPr>
        <w:t xml:space="preserve"> </w:t>
      </w:r>
      <w:r w:rsidR="00F77A1C">
        <w:rPr>
          <w:rFonts w:ascii="MetaNormal-Roman" w:hAnsi="MetaNormal-Roman"/>
        </w:rPr>
        <w:t xml:space="preserve">notes that immigration detention facilities should </w:t>
      </w:r>
      <w:r w:rsidR="00BB6E52">
        <w:rPr>
          <w:rFonts w:ascii="MetaNormal-Roman" w:hAnsi="MetaNormal-Roman"/>
        </w:rPr>
        <w:t>ensure the dignity and well-being of detainees</w:t>
      </w:r>
      <w:r w:rsidR="00A63056">
        <w:rPr>
          <w:rFonts w:ascii="MetaNormal-Roman" w:hAnsi="MetaNormal-Roman"/>
        </w:rPr>
        <w:t xml:space="preserve"> and meet</w:t>
      </w:r>
      <w:r w:rsidR="008D70A8">
        <w:rPr>
          <w:rFonts w:ascii="MetaNormal-Roman" w:hAnsi="MetaNormal-Roman"/>
        </w:rPr>
        <w:t xml:space="preserve"> the standards required </w:t>
      </w:r>
      <w:r w:rsidR="00D07BCC">
        <w:rPr>
          <w:rFonts w:ascii="MetaNormal-Roman" w:hAnsi="MetaNormal-Roman"/>
        </w:rPr>
        <w:t xml:space="preserve">for </w:t>
      </w:r>
      <w:r w:rsidR="005C2E12">
        <w:rPr>
          <w:rFonts w:ascii="MetaNormal-Roman" w:hAnsi="MetaNormal-Roman"/>
        </w:rPr>
        <w:t>detention facilities in</w:t>
      </w:r>
      <w:r w:rsidR="0000456C">
        <w:rPr>
          <w:rFonts w:ascii="MetaNormal-Roman" w:hAnsi="MetaNormal-Roman"/>
        </w:rPr>
        <w:t xml:space="preserve"> the</w:t>
      </w:r>
      <w:r w:rsidR="005C2E12">
        <w:rPr>
          <w:rFonts w:ascii="MetaNormal-Roman" w:hAnsi="MetaNormal-Roman"/>
        </w:rPr>
        <w:t xml:space="preserve"> criminal context. </w:t>
      </w:r>
      <w:r w:rsidR="0000456C">
        <w:rPr>
          <w:rFonts w:ascii="MetaNormal-Roman" w:hAnsi="MetaNormal-Roman"/>
        </w:rPr>
        <w:t xml:space="preserve">We recommend that the Committee </w:t>
      </w:r>
      <w:r w:rsidR="00B8055F">
        <w:rPr>
          <w:rFonts w:ascii="MetaNormal-Roman" w:hAnsi="MetaNormal-Roman"/>
        </w:rPr>
        <w:t xml:space="preserve">remove the reference to detention facilities in the criminal context. </w:t>
      </w:r>
      <w:r w:rsidR="00A601D0">
        <w:rPr>
          <w:rFonts w:ascii="MetaNormal-Roman" w:hAnsi="MetaNormal-Roman"/>
        </w:rPr>
        <w:t>C</w:t>
      </w:r>
      <w:r w:rsidR="0024595E">
        <w:rPr>
          <w:rFonts w:ascii="MetaNormal-Roman" w:hAnsi="MetaNormal-Roman"/>
        </w:rPr>
        <w:t>riminal standard</w:t>
      </w:r>
      <w:r w:rsidR="00A601D0">
        <w:rPr>
          <w:rFonts w:ascii="MetaNormal-Roman" w:hAnsi="MetaNormal-Roman"/>
        </w:rPr>
        <w:t>s</w:t>
      </w:r>
      <w:r w:rsidR="0024595E">
        <w:rPr>
          <w:rFonts w:ascii="MetaNormal-Roman" w:hAnsi="MetaNormal-Roman"/>
        </w:rPr>
        <w:t xml:space="preserve"> should not be imposed in the case of administrative infringements</w:t>
      </w:r>
      <w:r w:rsidR="00170E0C">
        <w:rPr>
          <w:rFonts w:ascii="MetaNormal-Roman" w:hAnsi="MetaNormal-Roman"/>
        </w:rPr>
        <w:t xml:space="preserve"> and to refer </w:t>
      </w:r>
      <w:r w:rsidR="00B334D1">
        <w:rPr>
          <w:rFonts w:ascii="MetaNormal-Roman" w:hAnsi="MetaNormal-Roman"/>
        </w:rPr>
        <w:t xml:space="preserve">to such standards creates a risk of </w:t>
      </w:r>
      <w:r w:rsidR="00556870">
        <w:rPr>
          <w:rFonts w:ascii="MetaNormal-Roman" w:hAnsi="MetaNormal-Roman"/>
        </w:rPr>
        <w:t xml:space="preserve">misinterpretation. </w:t>
      </w:r>
    </w:p>
    <w:p w14:paraId="6B4D427F" w14:textId="3DE2BA3A" w:rsidR="00EE69F5" w:rsidRDefault="00EE69F5" w:rsidP="0071734A">
      <w:pPr>
        <w:tabs>
          <w:tab w:val="left" w:pos="1703"/>
        </w:tabs>
        <w:rPr>
          <w:rFonts w:ascii="MetaNormal-Roman" w:hAnsi="MetaNormal-Roman"/>
        </w:rPr>
      </w:pPr>
      <w:r>
        <w:rPr>
          <w:rFonts w:ascii="MetaNormal-Roman" w:hAnsi="MetaNormal-Roman"/>
        </w:rPr>
        <w:t xml:space="preserve">Paragraph 99 </w:t>
      </w:r>
      <w:r w:rsidR="00C524B6">
        <w:rPr>
          <w:rFonts w:ascii="MetaNormal-Roman" w:hAnsi="MetaNormal-Roman"/>
        </w:rPr>
        <w:t xml:space="preserve">helpfully </w:t>
      </w:r>
      <w:r w:rsidR="00281BA4">
        <w:rPr>
          <w:rFonts w:ascii="MetaNormal-Roman" w:hAnsi="MetaNormal-Roman"/>
        </w:rPr>
        <w:t xml:space="preserve">references the </w:t>
      </w:r>
      <w:r w:rsidR="00DC265C">
        <w:rPr>
          <w:rFonts w:ascii="MetaNormal-Roman" w:hAnsi="MetaNormal-Roman"/>
        </w:rPr>
        <w:t xml:space="preserve">United Nations Standard Minimum Rules for the Treatment of Prisoners (the Nelson Mandela Rules) and the United Nations Rules for the Treatment of Women Prisoners and Non-custodial Measures for Women Offenders (the Bangkok Rules). </w:t>
      </w:r>
      <w:r w:rsidR="000C2219">
        <w:rPr>
          <w:rFonts w:ascii="MetaNormal-Roman" w:hAnsi="MetaNormal-Roman"/>
        </w:rPr>
        <w:t xml:space="preserve">In part (e) of paragraph 99, the Committee notes the guarantee that facilities </w:t>
      </w:r>
      <w:r w:rsidR="00EF7325">
        <w:rPr>
          <w:rFonts w:ascii="MetaNormal-Roman" w:hAnsi="MetaNormal-Roman"/>
        </w:rPr>
        <w:t xml:space="preserve">provide </w:t>
      </w:r>
      <w:r w:rsidR="000C2219">
        <w:rPr>
          <w:rFonts w:ascii="MetaNormal-Roman" w:hAnsi="MetaNormal-Roman"/>
        </w:rPr>
        <w:t>open space for coexistence and recreation. We recommend th</w:t>
      </w:r>
      <w:r w:rsidR="0057357C">
        <w:rPr>
          <w:rFonts w:ascii="MetaNormal-Roman" w:hAnsi="MetaNormal-Roman"/>
        </w:rPr>
        <w:t>at you add</w:t>
      </w:r>
      <w:r w:rsidR="000C2219">
        <w:rPr>
          <w:rFonts w:ascii="MetaNormal-Roman" w:hAnsi="MetaNormal-Roman"/>
        </w:rPr>
        <w:t xml:space="preserve"> language that </w:t>
      </w:r>
      <w:r w:rsidR="00EF7325">
        <w:rPr>
          <w:rFonts w:ascii="MetaNormal-Roman" w:hAnsi="MetaNormal-Roman"/>
        </w:rPr>
        <w:t>this</w:t>
      </w:r>
      <w:r w:rsidR="0012296B">
        <w:rPr>
          <w:rFonts w:ascii="MetaNormal-Roman" w:hAnsi="MetaNormal-Roman"/>
        </w:rPr>
        <w:t xml:space="preserve"> guarantee</w:t>
      </w:r>
      <w:r w:rsidR="00EF7325">
        <w:rPr>
          <w:rFonts w:ascii="MetaNormal-Roman" w:hAnsi="MetaNormal-Roman"/>
        </w:rPr>
        <w:t xml:space="preserve"> includes “private spaces for religious and group activities.” </w:t>
      </w:r>
      <w:r w:rsidR="005F4DE7">
        <w:rPr>
          <w:rFonts w:ascii="MetaNormal-Roman" w:hAnsi="MetaNormal-Roman"/>
        </w:rPr>
        <w:t>We</w:t>
      </w:r>
      <w:r w:rsidR="008B509F">
        <w:rPr>
          <w:rFonts w:ascii="MetaNormal-Roman" w:hAnsi="MetaNormal-Roman"/>
        </w:rPr>
        <w:t xml:space="preserve"> also</w:t>
      </w:r>
      <w:r w:rsidR="005F4DE7">
        <w:rPr>
          <w:rFonts w:ascii="MetaNormal-Roman" w:hAnsi="MetaNormal-Roman"/>
        </w:rPr>
        <w:t xml:space="preserve"> recommend that you include the following </w:t>
      </w:r>
      <w:r w:rsidR="001E30CA">
        <w:rPr>
          <w:rFonts w:ascii="MetaNormal-Roman" w:hAnsi="MetaNormal-Roman"/>
        </w:rPr>
        <w:t>guarantees</w:t>
      </w:r>
      <w:r w:rsidR="00EB77CF">
        <w:rPr>
          <w:rFonts w:ascii="MetaNormal-Roman" w:hAnsi="MetaNormal-Roman"/>
        </w:rPr>
        <w:t xml:space="preserve"> in paragraph 99</w:t>
      </w:r>
      <w:r w:rsidR="00EF5D19">
        <w:rPr>
          <w:rFonts w:ascii="MetaNormal-Roman" w:hAnsi="MetaNormal-Roman"/>
        </w:rPr>
        <w:t>: access to health care is provided, including health care professionals equipped to diagnose and treat mental health conditions on a voluntary basis, and who are independent from detaining authorities; facilities have spaces available for confidential visits from legal representation, social supports and family; facilities are not run like prisons, using strict rules and routines that limit mobility, recreational activities and meal</w:t>
      </w:r>
      <w:r w:rsidR="002B173E">
        <w:rPr>
          <w:rFonts w:ascii="MetaNormal-Roman" w:hAnsi="MetaNormal-Roman"/>
        </w:rPr>
        <w:t xml:space="preserve"> times. </w:t>
      </w:r>
      <w:r w:rsidR="00FA2C43">
        <w:rPr>
          <w:rFonts w:ascii="MetaNormal-Roman" w:hAnsi="MetaNormal-Roman"/>
        </w:rPr>
        <w:t xml:space="preserve">This provides a more comprehensive </w:t>
      </w:r>
      <w:r w:rsidR="00471009">
        <w:rPr>
          <w:rFonts w:ascii="MetaNormal-Roman" w:hAnsi="MetaNormal-Roman"/>
        </w:rPr>
        <w:t xml:space="preserve">overview of the requirements. </w:t>
      </w:r>
    </w:p>
    <w:p w14:paraId="7A896185" w14:textId="48BEB300" w:rsidR="00702B2B" w:rsidRPr="00496F52" w:rsidRDefault="00702B2B"/>
    <w:sectPr w:rsidR="00702B2B" w:rsidRPr="00496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C672" w14:textId="77777777" w:rsidR="005C5FE6" w:rsidRDefault="005C5FE6" w:rsidP="00A0129E">
      <w:pPr>
        <w:spacing w:after="0" w:line="240" w:lineRule="auto"/>
      </w:pPr>
      <w:r>
        <w:separator/>
      </w:r>
    </w:p>
  </w:endnote>
  <w:endnote w:type="continuationSeparator" w:id="0">
    <w:p w14:paraId="2B4DB5FA" w14:textId="77777777" w:rsidR="005C5FE6" w:rsidRDefault="005C5FE6" w:rsidP="00A0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7DAC" w14:textId="77777777" w:rsidR="005C5FE6" w:rsidRDefault="005C5FE6" w:rsidP="00A0129E">
      <w:pPr>
        <w:spacing w:after="0" w:line="240" w:lineRule="auto"/>
      </w:pPr>
      <w:r>
        <w:separator/>
      </w:r>
    </w:p>
  </w:footnote>
  <w:footnote w:type="continuationSeparator" w:id="0">
    <w:p w14:paraId="1CFD2144" w14:textId="77777777" w:rsidR="005C5FE6" w:rsidRDefault="005C5FE6" w:rsidP="00A0129E">
      <w:pPr>
        <w:spacing w:after="0" w:line="240" w:lineRule="auto"/>
      </w:pPr>
      <w:r>
        <w:continuationSeparator/>
      </w:r>
    </w:p>
  </w:footnote>
  <w:footnote w:id="1">
    <w:p w14:paraId="43AD1C94" w14:textId="77777777" w:rsidR="00D81B89" w:rsidRDefault="00D81B89" w:rsidP="00D81B89">
      <w:pPr>
        <w:pStyle w:val="FootnoteText"/>
      </w:pPr>
      <w:r>
        <w:rPr>
          <w:rStyle w:val="FootnoteReference"/>
        </w:rPr>
        <w:footnoteRef/>
      </w:r>
      <w:r>
        <w:t xml:space="preserve"> Human Rights Watch, </w:t>
      </w:r>
      <w:r>
        <w:rPr>
          <w:i/>
          <w:iCs/>
        </w:rPr>
        <w:t>Greece: Nearly 2,000 New Arrivals Detained in Overcrowded, Mainland Camps</w:t>
      </w:r>
      <w:r>
        <w:t xml:space="preserve">, March 31, 2020, </w:t>
      </w:r>
      <w:hyperlink r:id="rId1" w:history="1">
        <w:r w:rsidRPr="00207E16">
          <w:rPr>
            <w:rStyle w:val="Hyperlink"/>
          </w:rPr>
          <w:t>https://www.hrw.org/news/2020/03/31/greece-nearly-2000-new-arrivals-detained-overcrowded-mainland-camps</w:t>
        </w:r>
      </w:hyperlink>
      <w:r>
        <w:t>.</w:t>
      </w:r>
    </w:p>
  </w:footnote>
  <w:footnote w:id="2">
    <w:p w14:paraId="632E42D0" w14:textId="77777777" w:rsidR="00D81B89" w:rsidRDefault="00D81B89" w:rsidP="00D81B89">
      <w:pPr>
        <w:pStyle w:val="FootnoteText"/>
      </w:pPr>
      <w:r>
        <w:rPr>
          <w:rStyle w:val="FootnoteReference"/>
        </w:rPr>
        <w:footnoteRef/>
      </w:r>
      <w:r>
        <w:t xml:space="preserve"> Ibid.</w:t>
      </w:r>
    </w:p>
  </w:footnote>
  <w:footnote w:id="3">
    <w:p w14:paraId="00C618BB" w14:textId="77777777" w:rsidR="00D81B89" w:rsidRDefault="00D81B89" w:rsidP="00D81B89">
      <w:pPr>
        <w:pStyle w:val="FootnoteText"/>
      </w:pPr>
      <w:r>
        <w:rPr>
          <w:rStyle w:val="FootnoteReference"/>
        </w:rPr>
        <w:footnoteRef/>
      </w:r>
      <w:r>
        <w:t xml:space="preserve"> Human Rights Watch, </w:t>
      </w:r>
      <w:r>
        <w:rPr>
          <w:i/>
          <w:iCs/>
        </w:rPr>
        <w:t>Venezuela: Abusive Treatment of Returnees</w:t>
      </w:r>
      <w:r>
        <w:t xml:space="preserve">, October 13, 2020, </w:t>
      </w:r>
      <w:hyperlink r:id="rId2" w:history="1">
        <w:r w:rsidRPr="00207E16">
          <w:rPr>
            <w:rStyle w:val="Hyperlink"/>
          </w:rPr>
          <w:t>https://www.hrw.org/news/2020/10/13/venezuela-abusive-treatment-returnees</w:t>
        </w:r>
      </w:hyperlink>
      <w:r>
        <w:t xml:space="preserve">. </w:t>
      </w:r>
    </w:p>
  </w:footnote>
  <w:footnote w:id="4">
    <w:p w14:paraId="2A5BCD60" w14:textId="77777777" w:rsidR="00276057" w:rsidRDefault="00276057" w:rsidP="00276057">
      <w:pPr>
        <w:pStyle w:val="FootnoteText"/>
      </w:pPr>
      <w:r>
        <w:rPr>
          <w:rStyle w:val="FootnoteReference"/>
        </w:rPr>
        <w:footnoteRef/>
      </w:r>
      <w:r>
        <w:t xml:space="preserve"> Judith Sunderland (Human Rights Watch), “Lampedusa: a National Shame for Italy,” Dispatch, December 18, 2013, </w:t>
      </w:r>
      <w:hyperlink r:id="rId3" w:history="1">
        <w:r w:rsidRPr="00D1158A">
          <w:rPr>
            <w:rStyle w:val="Hyperlink"/>
          </w:rPr>
          <w:t>https://www.hrw.org/news/2013/12/18/dispatches-lampedusa-national-shame-italy</w:t>
        </w:r>
      </w:hyperlink>
      <w:r>
        <w:t>.</w:t>
      </w:r>
    </w:p>
  </w:footnote>
  <w:footnote w:id="5">
    <w:p w14:paraId="32EF5D10" w14:textId="77777777" w:rsidR="00B941B6" w:rsidRDefault="00B941B6" w:rsidP="00B941B6">
      <w:pPr>
        <w:pStyle w:val="FootnoteText"/>
      </w:pPr>
      <w:r>
        <w:rPr>
          <w:rStyle w:val="FootnoteReference"/>
        </w:rPr>
        <w:footnoteRef/>
      </w:r>
      <w:r>
        <w:t xml:space="preserve"> </w:t>
      </w:r>
      <w:bookmarkStart w:id="0" w:name="_Hlk54019889"/>
      <w:r>
        <w:t>Human Rights Watch, “</w:t>
      </w:r>
      <w:r>
        <w:rPr>
          <w:i/>
          <w:iCs/>
        </w:rPr>
        <w:t>How Can We Work Without Wages?”: Salary Abuses Facing Migrant Workers Ahead of Qatar’s FIFA World Cup 2022</w:t>
      </w:r>
      <w:r>
        <w:t xml:space="preserve"> (Human Rights Watch, August, 2020), p. 16, </w:t>
      </w:r>
      <w:hyperlink r:id="rId4" w:history="1">
        <w:r w:rsidRPr="00D1158A">
          <w:rPr>
            <w:rStyle w:val="Hyperlink"/>
          </w:rPr>
          <w:t>https://www.hrw.org/report/2020/08/24/how-can-we-work-without-wages/salary-abuses-facing-migrant-workers-ahead-qatars</w:t>
        </w:r>
      </w:hyperlink>
      <w:r>
        <w:t>.</w:t>
      </w:r>
      <w:bookmarkEnd w:id="0"/>
    </w:p>
  </w:footnote>
  <w:footnote w:id="6">
    <w:p w14:paraId="23D20821" w14:textId="77777777" w:rsidR="00B941B6" w:rsidRDefault="00B941B6" w:rsidP="00B941B6">
      <w:pPr>
        <w:pStyle w:val="FootnoteText"/>
      </w:pPr>
      <w:r>
        <w:rPr>
          <w:rStyle w:val="FootnoteReference"/>
        </w:rPr>
        <w:footnoteRef/>
      </w:r>
      <w:r>
        <w:t xml:space="preserve"> Human Rights Watch, </w:t>
      </w:r>
      <w:r>
        <w:rPr>
          <w:i/>
          <w:iCs/>
        </w:rPr>
        <w:t>Gulf States: Ease Immigration Detention in Pandemic</w:t>
      </w:r>
      <w:r>
        <w:t xml:space="preserve">, April 7, 2020, </w:t>
      </w:r>
      <w:hyperlink r:id="rId5" w:history="1">
        <w:r w:rsidRPr="00D1158A">
          <w:rPr>
            <w:rStyle w:val="Hyperlink"/>
          </w:rPr>
          <w:t>https://www.hrw.org/news/2020/04/07/gulf-states-ease-immigration-detention-pandemic</w:t>
        </w:r>
      </w:hyperlink>
      <w:r>
        <w:t>.</w:t>
      </w:r>
    </w:p>
  </w:footnote>
  <w:footnote w:id="7">
    <w:p w14:paraId="08A40416" w14:textId="304BE2EA" w:rsidR="00B0304B" w:rsidRPr="00733EED" w:rsidRDefault="00B0304B">
      <w:pPr>
        <w:pStyle w:val="FootnoteText"/>
      </w:pPr>
      <w:r>
        <w:rPr>
          <w:rStyle w:val="FootnoteReference"/>
        </w:rPr>
        <w:footnoteRef/>
      </w:r>
      <w:r>
        <w:t xml:space="preserve"> Human Rights Watch, </w:t>
      </w:r>
      <w:r w:rsidR="00733EED">
        <w:rPr>
          <w:i/>
          <w:iCs/>
        </w:rPr>
        <w:t>Lebanon: Abolish Kafala (Sponsorship) System</w:t>
      </w:r>
      <w:r w:rsidR="00733EED">
        <w:t xml:space="preserve">, </w:t>
      </w:r>
      <w:r w:rsidR="00605894">
        <w:t xml:space="preserve">July 27, 2020, </w:t>
      </w:r>
      <w:hyperlink r:id="rId6" w:history="1">
        <w:r w:rsidR="00605894" w:rsidRPr="00891D11">
          <w:rPr>
            <w:rStyle w:val="Hyperlink"/>
          </w:rPr>
          <w:t>https://www.hrw.org/news/2020/07/27/lebanon-abolish-kafala-sponsorship-system</w:t>
        </w:r>
      </w:hyperlink>
      <w:r w:rsidR="00605894">
        <w:t xml:space="preserve">. </w:t>
      </w:r>
    </w:p>
  </w:footnote>
  <w:footnote w:id="8">
    <w:p w14:paraId="39CCBDC3" w14:textId="77777777" w:rsidR="00B941B6" w:rsidRDefault="00B941B6" w:rsidP="00B941B6">
      <w:pPr>
        <w:pStyle w:val="FootnoteText"/>
      </w:pPr>
      <w:r>
        <w:rPr>
          <w:rStyle w:val="FootnoteReference"/>
        </w:rPr>
        <w:footnoteRef/>
      </w:r>
      <w:r>
        <w:t xml:space="preserve"> Ibid.</w:t>
      </w:r>
    </w:p>
  </w:footnote>
  <w:footnote w:id="9">
    <w:p w14:paraId="7E98AD70" w14:textId="77777777" w:rsidR="00B941B6" w:rsidRDefault="00B941B6" w:rsidP="00B941B6">
      <w:pPr>
        <w:pStyle w:val="FootnoteText"/>
      </w:pPr>
      <w:r>
        <w:rPr>
          <w:rStyle w:val="FootnoteReference"/>
        </w:rPr>
        <w:footnoteRef/>
      </w:r>
      <w:r>
        <w:t xml:space="preserve"> </w:t>
      </w:r>
      <w:r w:rsidRPr="00C35C5E">
        <w:t>Ibid.</w:t>
      </w:r>
      <w:r>
        <w:t xml:space="preserve"> </w:t>
      </w:r>
    </w:p>
  </w:footnote>
  <w:footnote w:id="10">
    <w:p w14:paraId="459BB57E" w14:textId="55827FBE" w:rsidR="00DD1D2D" w:rsidRDefault="00DD1D2D" w:rsidP="00DD1D2D">
      <w:pPr>
        <w:pStyle w:val="FootnoteText"/>
      </w:pPr>
      <w:r>
        <w:rPr>
          <w:rStyle w:val="FootnoteReference"/>
        </w:rPr>
        <w:footnoteRef/>
      </w:r>
      <w:r>
        <w:t xml:space="preserve"> See Human Rights Watch, </w:t>
      </w:r>
      <w:r w:rsidRPr="004C4EB0">
        <w:rPr>
          <w:i/>
          <w:iCs/>
        </w:rPr>
        <w:t>“I Was Sold”: Abuse and Exploitation of Migrant Domestic Workers in Oman</w:t>
      </w:r>
      <w:r>
        <w:t xml:space="preserve">, July 2016, </w:t>
      </w:r>
      <w:hyperlink r:id="rId7" w:history="1">
        <w:r w:rsidR="00457AD3" w:rsidRPr="00FE0248">
          <w:rPr>
            <w:rStyle w:val="Hyperlink"/>
          </w:rPr>
          <w:t>https://www.hrw.org/report/2016/07/13/i-was-sold/abuse-and-exploitation-migrant-domestic-workers-oman</w:t>
        </w:r>
      </w:hyperlink>
      <w:r w:rsidR="00457AD3">
        <w:t>.</w:t>
      </w:r>
    </w:p>
  </w:footnote>
  <w:footnote w:id="11">
    <w:p w14:paraId="12DEC745" w14:textId="77777777" w:rsidR="00B941B6" w:rsidRDefault="00B941B6" w:rsidP="00B941B6">
      <w:pPr>
        <w:pStyle w:val="FootnoteText"/>
      </w:pPr>
      <w:r>
        <w:rPr>
          <w:rStyle w:val="FootnoteReference"/>
        </w:rPr>
        <w:footnoteRef/>
      </w:r>
      <w:r>
        <w:t xml:space="preserve"> Human Rights Watch, </w:t>
      </w:r>
      <w:r>
        <w:rPr>
          <w:i/>
          <w:iCs/>
        </w:rPr>
        <w:t>Qatar: Little Progress on Protecting Migrant Workers</w:t>
      </w:r>
      <w:r>
        <w:t xml:space="preserve">, August 24, 2020, </w:t>
      </w:r>
      <w:hyperlink r:id="rId8" w:history="1">
        <w:r w:rsidRPr="00207E16">
          <w:rPr>
            <w:rStyle w:val="Hyperlink"/>
          </w:rPr>
          <w:t>https://www.hrw.org/news/2020/08/24/qatar-little-progress-protecting-migrant-workers</w:t>
        </w:r>
      </w:hyperlink>
      <w:r>
        <w:t xml:space="preserve">. </w:t>
      </w:r>
    </w:p>
  </w:footnote>
  <w:footnote w:id="12">
    <w:p w14:paraId="6346EE6C" w14:textId="6C709DC3" w:rsidR="00F80725" w:rsidRPr="00813971" w:rsidRDefault="00F80725">
      <w:pPr>
        <w:pStyle w:val="FootnoteText"/>
        <w:rPr>
          <w:rFonts w:cstheme="minorHAnsi"/>
        </w:rPr>
      </w:pPr>
      <w:r w:rsidRPr="00813971">
        <w:rPr>
          <w:rStyle w:val="FootnoteReference"/>
          <w:rFonts w:cstheme="minorHAnsi"/>
        </w:rPr>
        <w:footnoteRef/>
      </w:r>
      <w:r w:rsidRPr="00813971">
        <w:rPr>
          <w:rFonts w:cstheme="minorHAnsi"/>
        </w:rPr>
        <w:t xml:space="preserve"> </w:t>
      </w:r>
      <w:r w:rsidR="00EF283D" w:rsidRPr="00813971">
        <w:rPr>
          <w:rFonts w:cstheme="minorHAnsi"/>
        </w:rPr>
        <w:t xml:space="preserve">See </w:t>
      </w:r>
      <w:r w:rsidR="00EF283D" w:rsidRPr="00813971">
        <w:rPr>
          <w:rStyle w:val="sb8d990e2"/>
          <w:rFonts w:cstheme="minorHAnsi"/>
          <w:color w:val="000000"/>
          <w:shd w:val="clear" w:color="auto" w:fill="FFFFFF"/>
        </w:rPr>
        <w:t> </w:t>
      </w:r>
      <w:r w:rsidR="00EF283D" w:rsidRPr="00813971">
        <w:rPr>
          <w:rStyle w:val="s6b621b36"/>
          <w:rFonts w:cstheme="minorHAnsi"/>
          <w:i/>
          <w:iCs/>
          <w:color w:val="000000"/>
          <w:shd w:val="clear" w:color="auto" w:fill="FFFFFF"/>
        </w:rPr>
        <w:t>Al-Skeini and Others v. the United Kingdom</w:t>
      </w:r>
      <w:r w:rsidR="00EF283D" w:rsidRPr="00813971">
        <w:rPr>
          <w:rStyle w:val="sb8d990e2"/>
          <w:rFonts w:cstheme="minorHAnsi"/>
          <w:color w:val="000000"/>
          <w:shd w:val="clear" w:color="auto" w:fill="FFFFFF"/>
        </w:rPr>
        <w:t> [GC], no. </w:t>
      </w:r>
      <w:hyperlink r:id="rId9" w:anchor="{%22appno%22:[%2255721/07%22]}" w:tgtFrame="_blank" w:history="1">
        <w:r w:rsidR="00EF283D" w:rsidRPr="00813971">
          <w:rPr>
            <w:rStyle w:val="Hyperlink"/>
            <w:rFonts w:cstheme="minorHAnsi"/>
            <w:color w:val="0069D6"/>
          </w:rPr>
          <w:t>55721/07</w:t>
        </w:r>
      </w:hyperlink>
      <w:r w:rsidR="00EF283D" w:rsidRPr="00813971">
        <w:rPr>
          <w:rStyle w:val="sb8d990e2"/>
          <w:rFonts w:cstheme="minorHAnsi"/>
          <w:color w:val="000000"/>
          <w:shd w:val="clear" w:color="auto" w:fill="FFFFFF"/>
        </w:rPr>
        <w:t>, § 136, ECHR 2011, and </w:t>
      </w:r>
      <w:r w:rsidR="00EF283D" w:rsidRPr="00813971">
        <w:rPr>
          <w:rStyle w:val="s6b621b36"/>
          <w:rFonts w:cstheme="minorHAnsi"/>
          <w:i/>
          <w:iCs/>
          <w:color w:val="000000"/>
          <w:shd w:val="clear" w:color="auto" w:fill="FFFFFF"/>
        </w:rPr>
        <w:t>Medvedyev and Others</w:t>
      </w:r>
      <w:r w:rsidR="00EF283D" w:rsidRPr="00813971">
        <w:rPr>
          <w:rStyle w:val="sb8d990e2"/>
          <w:rFonts w:cstheme="minorHAnsi"/>
          <w:color w:val="000000"/>
          <w:shd w:val="clear" w:color="auto" w:fill="FFFFFF"/>
        </w:rPr>
        <w:t>, § 67</w:t>
      </w:r>
      <w:r w:rsidR="000B7FF1">
        <w:rPr>
          <w:rStyle w:val="sb8d990e2"/>
          <w:rFonts w:cstheme="minorHAnsi"/>
          <w:color w:val="000000"/>
          <w:shd w:val="clear" w:color="auto" w:fill="FFFFFF"/>
        </w:rPr>
        <w:t xml:space="preserve"> (holding </w:t>
      </w:r>
      <w:r w:rsidR="00884243" w:rsidRPr="00813971">
        <w:rPr>
          <w:rFonts w:cstheme="minorHAnsi"/>
        </w:rPr>
        <w:t>“</w:t>
      </w:r>
      <w:r w:rsidR="00F36459" w:rsidRPr="00813971">
        <w:rPr>
          <w:rFonts w:cstheme="minorHAnsi"/>
        </w:rPr>
        <w:t xml:space="preserve">… in certain circumstances, </w:t>
      </w:r>
      <w:r w:rsidR="00884243" w:rsidRPr="00813971">
        <w:rPr>
          <w:rFonts w:cstheme="minorHAnsi"/>
        </w:rPr>
        <w:t xml:space="preserve">the use of force by a State’s agents operating outside its territory may bring the individual </w:t>
      </w:r>
      <w:r w:rsidR="00F36459" w:rsidRPr="00813971">
        <w:rPr>
          <w:rFonts w:cstheme="minorHAnsi"/>
        </w:rPr>
        <w:t xml:space="preserve">thereby </w:t>
      </w:r>
      <w:r w:rsidR="00910842" w:rsidRPr="00813971">
        <w:rPr>
          <w:rFonts w:cstheme="minorHAnsi"/>
        </w:rPr>
        <w:t>brought under the control of the State’</w:t>
      </w:r>
      <w:r w:rsidR="001A0E40" w:rsidRPr="00813971">
        <w:rPr>
          <w:rFonts w:cstheme="minorHAnsi"/>
        </w:rPr>
        <w:t xml:space="preserve">s </w:t>
      </w:r>
      <w:r w:rsidR="00910842" w:rsidRPr="00813971">
        <w:rPr>
          <w:rFonts w:cstheme="minorHAnsi"/>
        </w:rPr>
        <w:t>authorities into the State’s Article 1 jurisdiction</w:t>
      </w:r>
      <w:r w:rsidR="003D7E9D">
        <w:rPr>
          <w:rFonts w:cstheme="minorHAnsi"/>
        </w:rPr>
        <w:t>.</w:t>
      </w:r>
      <w:r w:rsidR="001A0E40" w:rsidRPr="00813971">
        <w:rPr>
          <w:rFonts w:cstheme="minorHAnsi"/>
        </w:rPr>
        <w:t>”</w:t>
      </w:r>
      <w:r w:rsidR="000B7FF1">
        <w:rPr>
          <w:rFonts w:cstheme="minorHAnsi"/>
        </w:rPr>
        <w:t xml:space="preserve">). </w:t>
      </w:r>
      <w:r w:rsidR="001A0E40" w:rsidRPr="00813971">
        <w:rPr>
          <w:rFonts w:cstheme="minorHAnsi"/>
        </w:rPr>
        <w:t xml:space="preserve"> </w:t>
      </w:r>
    </w:p>
  </w:footnote>
  <w:footnote w:id="13">
    <w:p w14:paraId="421A9250" w14:textId="6DA205F7" w:rsidR="00F75B09" w:rsidRPr="00A10D50" w:rsidRDefault="00F75B09">
      <w:pPr>
        <w:pStyle w:val="FootnoteText"/>
      </w:pPr>
      <w:r>
        <w:rPr>
          <w:rStyle w:val="FootnoteReference"/>
        </w:rPr>
        <w:footnoteRef/>
      </w:r>
      <w:r>
        <w:t xml:space="preserve"> </w:t>
      </w:r>
      <w:r w:rsidR="00C13D2A">
        <w:t>M v</w:t>
      </w:r>
      <w:r w:rsidR="005C1A5D">
        <w:t>on Werthern et al., “The impact of immigration detention on mental health: a systematic overview” (2018),</w:t>
      </w:r>
      <w:r w:rsidR="00605D38">
        <w:t xml:space="preserve"> 18:382 BMC Psychiatry, </w:t>
      </w:r>
      <w:hyperlink r:id="rId10" w:history="1">
        <w:r w:rsidR="00605D38" w:rsidRPr="008E5A3A">
          <w:rPr>
            <w:rStyle w:val="Hyperlink"/>
          </w:rPr>
          <w:t>https://bmcpsychiatry.biomedcentral.com/articles/10.1186/s12888-018-1945-y</w:t>
        </w:r>
      </w:hyperlink>
      <w:r w:rsidR="00556BF0">
        <w:t xml:space="preserve">; </w:t>
      </w:r>
      <w:r w:rsidR="00C11C28">
        <w:t xml:space="preserve">Zachary Steel et al, “Psychiatric status of asylum seeker families held for a protracted period in a remote detention centre in Australia” (2004) 28:6 Australian and New Zealand Journal of Public Health 527; </w:t>
      </w:r>
      <w:r w:rsidR="00334DCB">
        <w:t>Janet Cleveland, Rachel Kronick, Hanna Gros and</w:t>
      </w:r>
      <w:r w:rsidR="00D048C4">
        <w:t xml:space="preserve"> </w:t>
      </w:r>
      <w:r w:rsidR="0065592B">
        <w:rPr>
          <w:color w:val="000000"/>
          <w:shd w:val="clear" w:color="auto" w:fill="FFFFFF"/>
        </w:rPr>
        <w:t>Cécile Rousseau</w:t>
      </w:r>
      <w:r w:rsidR="00334DCB">
        <w:rPr>
          <w:color w:val="000000"/>
          <w:shd w:val="clear" w:color="auto" w:fill="FFFFFF"/>
        </w:rPr>
        <w:t>, "</w:t>
      </w:r>
      <w:r w:rsidR="00F00A90">
        <w:rPr>
          <w:color w:val="000000"/>
        </w:rPr>
        <w:t>Symbolic violence and disempowerment as factors in the adverse impact of immigration detention on adult asylum seekers' mental health" (2018) 63:12 International Journal of Public Health.</w:t>
      </w:r>
    </w:p>
  </w:footnote>
  <w:footnote w:id="14">
    <w:p w14:paraId="60F839E2" w14:textId="0C88C61E" w:rsidR="00620771" w:rsidRDefault="00620771">
      <w:pPr>
        <w:pStyle w:val="FootnoteText"/>
      </w:pPr>
      <w:r>
        <w:rPr>
          <w:rStyle w:val="FootnoteReference"/>
        </w:rPr>
        <w:footnoteRef/>
      </w:r>
      <w:r w:rsidR="00A120F5">
        <w:t xml:space="preserve"> International Detention Coalition,</w:t>
      </w:r>
      <w:r w:rsidR="00A120F5" w:rsidRPr="002A2371">
        <w:rPr>
          <w:i/>
          <w:iCs/>
        </w:rPr>
        <w:t xml:space="preserve"> </w:t>
      </w:r>
      <w:r w:rsidR="005F2A3C" w:rsidRPr="002A2371">
        <w:rPr>
          <w:i/>
          <w:iCs/>
        </w:rPr>
        <w:t>There are alternatives: A handbook for preventing unnecessary immigration detention (revised edition)</w:t>
      </w:r>
      <w:r w:rsidR="0051385E">
        <w:t xml:space="preserve"> (</w:t>
      </w:r>
      <w:r w:rsidR="00A33FFA">
        <w:t xml:space="preserve">International Detention Coalition), pp. </w:t>
      </w:r>
      <w:r w:rsidR="00606CB3">
        <w:t>8-9,</w:t>
      </w:r>
      <w:r>
        <w:t xml:space="preserve"> </w:t>
      </w:r>
      <w:hyperlink r:id="rId11" w:history="1">
        <w:r w:rsidR="00E86630" w:rsidRPr="00D1158A">
          <w:rPr>
            <w:rStyle w:val="Hyperlink"/>
          </w:rPr>
          <w:t>https://idcoalition.org/wp-content/uploads/2016/01/There-Are-Alternatives-2015.pdf</w:t>
        </w:r>
      </w:hyperlink>
      <w:r w:rsidR="003805AF">
        <w:t>.</w:t>
      </w:r>
    </w:p>
  </w:footnote>
  <w:footnote w:id="15">
    <w:p w14:paraId="074756AC" w14:textId="4F71CF1D" w:rsidR="00BC56CE" w:rsidRDefault="00BC56CE">
      <w:pPr>
        <w:pStyle w:val="FootnoteText"/>
      </w:pPr>
      <w:r>
        <w:rPr>
          <w:rStyle w:val="FootnoteReference"/>
        </w:rPr>
        <w:footnoteRef/>
      </w:r>
      <w:r>
        <w:t xml:space="preserve"> </w:t>
      </w:r>
      <w:r w:rsidR="00EE2357">
        <w:t xml:space="preserve">Council of Europe, Human Rights and Migration: Legal and practical </w:t>
      </w:r>
      <w:r w:rsidR="00D0344C">
        <w:t>aspects of effective alternatives to detention in the context of migration (Analysis of the Steering Committee for Human Rights, Adopted on 7 December 2017), p</w:t>
      </w:r>
      <w:r w:rsidR="00213776">
        <w:t>p</w:t>
      </w:r>
      <w:r w:rsidR="00D0344C">
        <w:t xml:space="preserve">. </w:t>
      </w:r>
      <w:r w:rsidR="00F06A7F">
        <w:t>102</w:t>
      </w:r>
      <w:r w:rsidR="00213776">
        <w:t>-03</w:t>
      </w:r>
      <w:r w:rsidR="00BB2504">
        <w:t xml:space="preserve">, </w:t>
      </w:r>
      <w:hyperlink r:id="rId12" w:history="1">
        <w:r w:rsidR="00BB2504" w:rsidRPr="00207E16">
          <w:rPr>
            <w:rStyle w:val="Hyperlink"/>
          </w:rPr>
          <w:t>https://rm.coe.int/legal-and-practical-aspects-of-effective-alternatives-to-detention-in-/16808f699f</w:t>
        </w:r>
      </w:hyperlink>
      <w:r w:rsidR="00D0344C">
        <w:t xml:space="preserve">. </w:t>
      </w:r>
    </w:p>
  </w:footnote>
  <w:footnote w:id="16">
    <w:p w14:paraId="2F91B7AC" w14:textId="6C8B08A8" w:rsidR="009F051C" w:rsidRDefault="009F051C">
      <w:pPr>
        <w:pStyle w:val="FootnoteText"/>
      </w:pPr>
      <w:r>
        <w:rPr>
          <w:rStyle w:val="FootnoteReference"/>
        </w:rPr>
        <w:footnoteRef/>
      </w:r>
      <w:r>
        <w:t xml:space="preserve"> </w:t>
      </w:r>
      <w:r w:rsidR="00AB4745" w:rsidRPr="00AB4745">
        <w:t>I</w:t>
      </w:r>
      <w:r w:rsidR="00AB4745">
        <w:t>bid</w:t>
      </w:r>
      <w:r w:rsidR="00213776">
        <w:t>.</w:t>
      </w:r>
    </w:p>
  </w:footnote>
  <w:footnote w:id="17">
    <w:p w14:paraId="1CD33324" w14:textId="7420669D" w:rsidR="00081244" w:rsidRDefault="00081244">
      <w:pPr>
        <w:pStyle w:val="FootnoteText"/>
      </w:pPr>
      <w:r>
        <w:rPr>
          <w:rStyle w:val="FootnoteReference"/>
        </w:rPr>
        <w:footnoteRef/>
      </w:r>
      <w:r>
        <w:t xml:space="preserve"> </w:t>
      </w:r>
      <w:r w:rsidR="00482B28" w:rsidRPr="00482B28">
        <w:t>Ibi</w:t>
      </w:r>
      <w:r w:rsidR="00482B28">
        <w:t xml:space="preserve">d at 104-05. </w:t>
      </w:r>
      <w:r>
        <w:t xml:space="preserve"> </w:t>
      </w:r>
    </w:p>
  </w:footnote>
  <w:footnote w:id="18">
    <w:p w14:paraId="63B10BB2" w14:textId="08B098F4" w:rsidR="004E46D9" w:rsidRDefault="004E46D9">
      <w:pPr>
        <w:pStyle w:val="FootnoteText"/>
      </w:pPr>
      <w:r>
        <w:rPr>
          <w:rStyle w:val="FootnoteReference"/>
        </w:rPr>
        <w:footnoteRef/>
      </w:r>
      <w:r>
        <w:t xml:space="preserve"> </w:t>
      </w:r>
      <w:r w:rsidR="00482B28" w:rsidRPr="00482B28">
        <w:t>I</w:t>
      </w:r>
      <w:r w:rsidR="00482B28">
        <w:t>bid.</w:t>
      </w:r>
      <w:r>
        <w:t xml:space="preserve"> </w:t>
      </w:r>
    </w:p>
  </w:footnote>
  <w:footnote w:id="19">
    <w:p w14:paraId="4BD61923" w14:textId="449D6197" w:rsidR="00943333" w:rsidRDefault="00943333" w:rsidP="00943333">
      <w:pPr>
        <w:pStyle w:val="FootnoteText"/>
      </w:pPr>
      <w:r>
        <w:rPr>
          <w:rStyle w:val="FootnoteReference"/>
        </w:rPr>
        <w:footnoteRef/>
      </w:r>
      <w:r w:rsidR="005824B3">
        <w:t xml:space="preserve"> Human Rights Watch, </w:t>
      </w:r>
      <w:r w:rsidR="005824B3">
        <w:rPr>
          <w:i/>
          <w:iCs/>
        </w:rPr>
        <w:t>Europe: Curb Immigration Detention Amid Pandemic</w:t>
      </w:r>
      <w:r w:rsidR="005824B3">
        <w:t>, March 27, 2020,</w:t>
      </w:r>
      <w:r>
        <w:t xml:space="preserve"> </w:t>
      </w:r>
      <w:hyperlink r:id="rId13" w:history="1">
        <w:r w:rsidR="00482B28" w:rsidRPr="00207E16">
          <w:rPr>
            <w:rStyle w:val="Hyperlink"/>
          </w:rPr>
          <w:t>https://www.hrw.org/news/2020/03/27/europe-curb-immigration-detention-amid-pandemic</w:t>
        </w:r>
      </w:hyperlink>
      <w:r w:rsidR="005824B3">
        <w:t xml:space="preserve">. </w:t>
      </w:r>
    </w:p>
  </w:footnote>
  <w:footnote w:id="20">
    <w:p w14:paraId="6F8F3126" w14:textId="4823865A" w:rsidR="00943333" w:rsidRDefault="00943333" w:rsidP="00943333">
      <w:pPr>
        <w:pStyle w:val="FootnoteText"/>
      </w:pPr>
      <w:r>
        <w:rPr>
          <w:rStyle w:val="FootnoteReference"/>
        </w:rPr>
        <w:footnoteRef/>
      </w:r>
      <w:r w:rsidR="0093743A">
        <w:t xml:space="preserve"> Human Rights Watch, </w:t>
      </w:r>
      <w:r w:rsidR="0093743A">
        <w:rPr>
          <w:i/>
          <w:iCs/>
        </w:rPr>
        <w:t>Greece: Violence Against Asylum Seekers at Border</w:t>
      </w:r>
      <w:r w:rsidR="0093743A">
        <w:t>, March 17, 2020,</w:t>
      </w:r>
      <w:r>
        <w:t xml:space="preserve"> </w:t>
      </w:r>
      <w:hyperlink r:id="rId14" w:history="1">
        <w:r w:rsidR="005824B3" w:rsidRPr="00207E16">
          <w:rPr>
            <w:rStyle w:val="Hyperlink"/>
          </w:rPr>
          <w:t>https://www.hrw.org/news/2020/03/17/greece-violence-against-asylum-seekers-border</w:t>
        </w:r>
      </w:hyperlink>
      <w:r w:rsidR="0093743A">
        <w:t xml:space="preserve">. </w:t>
      </w:r>
    </w:p>
  </w:footnote>
  <w:footnote w:id="21">
    <w:p w14:paraId="0142A300" w14:textId="722718D2" w:rsidR="00FB2BCB" w:rsidRDefault="00FB2BCB">
      <w:pPr>
        <w:pStyle w:val="FootnoteText"/>
      </w:pPr>
      <w:r>
        <w:rPr>
          <w:rStyle w:val="FootnoteReference"/>
        </w:rPr>
        <w:footnoteRef/>
      </w:r>
      <w:r w:rsidR="0093743A">
        <w:t xml:space="preserve"> Human Rights Watch, </w:t>
      </w:r>
      <w:r w:rsidR="0093743A">
        <w:rPr>
          <w:i/>
          <w:iCs/>
        </w:rPr>
        <w:t>No Escape from Hel</w:t>
      </w:r>
      <w:r w:rsidR="00E925E6">
        <w:rPr>
          <w:i/>
          <w:iCs/>
        </w:rPr>
        <w:t>l: EU Policies Contribute to Abuse of Migrants in Libya</w:t>
      </w:r>
      <w:r w:rsidR="00C16F74">
        <w:t>, (Human Rights Watch, January, 2019),</w:t>
      </w:r>
      <w:r>
        <w:t xml:space="preserve"> </w:t>
      </w:r>
      <w:hyperlink r:id="rId15" w:anchor="_ftn21" w:history="1">
        <w:r w:rsidR="00482B28" w:rsidRPr="00207E16">
          <w:rPr>
            <w:rStyle w:val="Hyperlink"/>
          </w:rPr>
          <w:t>https://www.hrw.org/report/2019/01/21/no-escape-hell/eu-policies-contribute-abuse-migrants-libya#_ftn21</w:t>
        </w:r>
      </w:hyperlink>
      <w:r w:rsidR="0004257E">
        <w:t>;</w:t>
      </w:r>
      <w:r w:rsidR="00890D2D">
        <w:t xml:space="preserve"> Katy Murdza (Immigration Impact), </w:t>
      </w:r>
      <w:r w:rsidR="00890D2D">
        <w:rPr>
          <w:i/>
          <w:iCs/>
        </w:rPr>
        <w:t>Thousands in ICE Detention Sue Private Prison Company for Forced Labor</w:t>
      </w:r>
      <w:r w:rsidR="00890D2D">
        <w:t>, December 16, 2019,</w:t>
      </w:r>
      <w:r w:rsidR="00901CC6">
        <w:t xml:space="preserve"> </w:t>
      </w:r>
      <w:hyperlink r:id="rId16" w:anchor=".X433KkBFw2w" w:history="1">
        <w:r w:rsidR="006B6233" w:rsidRPr="00207E16">
          <w:rPr>
            <w:rStyle w:val="Hyperlink"/>
          </w:rPr>
          <w:t>https://immigrationimpact.com/2019/12/16/ice-private-prison-forced-labor-lawsuit/#.X433KkBFw2w</w:t>
        </w:r>
      </w:hyperlink>
      <w:r w:rsidR="00890D2D">
        <w:t xml:space="preserve"> (Instances of forced labor have also been documented in the United States. Detainees in the privately operated Adelanto Detention Facility filed a lawsuit against the GEO Group, which contracts with U.S. Immigration and Customs Enforcement (ICE) to run detention </w:t>
      </w:r>
      <w:r w:rsidR="00D80805">
        <w:t>center</w:t>
      </w:r>
      <w:r w:rsidR="00890D2D">
        <w:t xml:space="preserve">s. The detainees alleged that they were forced to participate in a work program while they were detained. If they refused, they were denied basic necessities such as food, water and hygiene supplies, which could only be purchased at the detention </w:t>
      </w:r>
      <w:r w:rsidR="00D80805">
        <w:t>center</w:t>
      </w:r>
      <w:r w:rsidR="00890D2D">
        <w:t>’s commissary. Detainees alleged that they “were threatened with solitary confinement, use of force and legal repercussions” if they refused to participate in the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7210"/>
    <w:multiLevelType w:val="multilevel"/>
    <w:tmpl w:val="4154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CA"/>
    <w:rsid w:val="0000456C"/>
    <w:rsid w:val="00004695"/>
    <w:rsid w:val="0000613C"/>
    <w:rsid w:val="0000691E"/>
    <w:rsid w:val="00011616"/>
    <w:rsid w:val="000122E7"/>
    <w:rsid w:val="00014F1C"/>
    <w:rsid w:val="000220EE"/>
    <w:rsid w:val="00025520"/>
    <w:rsid w:val="000263F4"/>
    <w:rsid w:val="000301F2"/>
    <w:rsid w:val="0003172A"/>
    <w:rsid w:val="00031983"/>
    <w:rsid w:val="00031B4B"/>
    <w:rsid w:val="00036883"/>
    <w:rsid w:val="000417BA"/>
    <w:rsid w:val="0004257E"/>
    <w:rsid w:val="00047ACB"/>
    <w:rsid w:val="00047C22"/>
    <w:rsid w:val="0005055F"/>
    <w:rsid w:val="00050577"/>
    <w:rsid w:val="0005395F"/>
    <w:rsid w:val="00055C67"/>
    <w:rsid w:val="0006321F"/>
    <w:rsid w:val="000669E4"/>
    <w:rsid w:val="00072D9A"/>
    <w:rsid w:val="000736C5"/>
    <w:rsid w:val="000741AC"/>
    <w:rsid w:val="0007513C"/>
    <w:rsid w:val="000765AF"/>
    <w:rsid w:val="000779DA"/>
    <w:rsid w:val="00081244"/>
    <w:rsid w:val="000917FC"/>
    <w:rsid w:val="000927AD"/>
    <w:rsid w:val="000932ED"/>
    <w:rsid w:val="0009653A"/>
    <w:rsid w:val="00097806"/>
    <w:rsid w:val="00097DC7"/>
    <w:rsid w:val="000A6740"/>
    <w:rsid w:val="000A7E20"/>
    <w:rsid w:val="000B17D7"/>
    <w:rsid w:val="000B6186"/>
    <w:rsid w:val="000B6297"/>
    <w:rsid w:val="000B7875"/>
    <w:rsid w:val="000B7F36"/>
    <w:rsid w:val="000B7FF1"/>
    <w:rsid w:val="000C16BE"/>
    <w:rsid w:val="000C2219"/>
    <w:rsid w:val="000C2657"/>
    <w:rsid w:val="000C47DE"/>
    <w:rsid w:val="000C4BD2"/>
    <w:rsid w:val="000C6D5D"/>
    <w:rsid w:val="000C739A"/>
    <w:rsid w:val="000C7B8D"/>
    <w:rsid w:val="000D4173"/>
    <w:rsid w:val="000E3984"/>
    <w:rsid w:val="000E6FD6"/>
    <w:rsid w:val="000F0FD7"/>
    <w:rsid w:val="000F1FD7"/>
    <w:rsid w:val="000F3FBB"/>
    <w:rsid w:val="001008DA"/>
    <w:rsid w:val="00103234"/>
    <w:rsid w:val="00103502"/>
    <w:rsid w:val="0010606E"/>
    <w:rsid w:val="0010797E"/>
    <w:rsid w:val="00111227"/>
    <w:rsid w:val="00111B07"/>
    <w:rsid w:val="001122C4"/>
    <w:rsid w:val="00113C88"/>
    <w:rsid w:val="00114591"/>
    <w:rsid w:val="00115DB4"/>
    <w:rsid w:val="001167B5"/>
    <w:rsid w:val="00120033"/>
    <w:rsid w:val="0012049C"/>
    <w:rsid w:val="0012296B"/>
    <w:rsid w:val="00122BB3"/>
    <w:rsid w:val="00122F00"/>
    <w:rsid w:val="00124C0C"/>
    <w:rsid w:val="00126256"/>
    <w:rsid w:val="00127F11"/>
    <w:rsid w:val="00130FF4"/>
    <w:rsid w:val="001311C9"/>
    <w:rsid w:val="00133A11"/>
    <w:rsid w:val="00133C54"/>
    <w:rsid w:val="001343CF"/>
    <w:rsid w:val="00140834"/>
    <w:rsid w:val="00143856"/>
    <w:rsid w:val="001473D6"/>
    <w:rsid w:val="00147F3B"/>
    <w:rsid w:val="00153B8B"/>
    <w:rsid w:val="00154DBF"/>
    <w:rsid w:val="001550EE"/>
    <w:rsid w:val="001614A5"/>
    <w:rsid w:val="00163308"/>
    <w:rsid w:val="00163457"/>
    <w:rsid w:val="001657EC"/>
    <w:rsid w:val="00167752"/>
    <w:rsid w:val="001678CA"/>
    <w:rsid w:val="00170E0C"/>
    <w:rsid w:val="00171719"/>
    <w:rsid w:val="00176245"/>
    <w:rsid w:val="00180045"/>
    <w:rsid w:val="00180CA2"/>
    <w:rsid w:val="00180E27"/>
    <w:rsid w:val="00182E7D"/>
    <w:rsid w:val="001862E2"/>
    <w:rsid w:val="0018638C"/>
    <w:rsid w:val="00190B22"/>
    <w:rsid w:val="001918C8"/>
    <w:rsid w:val="00196AA3"/>
    <w:rsid w:val="00196CC2"/>
    <w:rsid w:val="0019797F"/>
    <w:rsid w:val="001A0E40"/>
    <w:rsid w:val="001A1E2B"/>
    <w:rsid w:val="001A5582"/>
    <w:rsid w:val="001B186C"/>
    <w:rsid w:val="001B6588"/>
    <w:rsid w:val="001B6D9F"/>
    <w:rsid w:val="001C2329"/>
    <w:rsid w:val="001C2963"/>
    <w:rsid w:val="001C332F"/>
    <w:rsid w:val="001C5B09"/>
    <w:rsid w:val="001C7B0E"/>
    <w:rsid w:val="001D0502"/>
    <w:rsid w:val="001D71C5"/>
    <w:rsid w:val="001E2D08"/>
    <w:rsid w:val="001E2E4D"/>
    <w:rsid w:val="001E30CA"/>
    <w:rsid w:val="001E41F9"/>
    <w:rsid w:val="00204154"/>
    <w:rsid w:val="002046DF"/>
    <w:rsid w:val="00205401"/>
    <w:rsid w:val="00205610"/>
    <w:rsid w:val="00205790"/>
    <w:rsid w:val="00206F4F"/>
    <w:rsid w:val="002108CB"/>
    <w:rsid w:val="00210D9A"/>
    <w:rsid w:val="00210DC1"/>
    <w:rsid w:val="00211F87"/>
    <w:rsid w:val="00213776"/>
    <w:rsid w:val="002145ED"/>
    <w:rsid w:val="0022297B"/>
    <w:rsid w:val="0023434E"/>
    <w:rsid w:val="002354F7"/>
    <w:rsid w:val="00236AE4"/>
    <w:rsid w:val="00237F48"/>
    <w:rsid w:val="002403A3"/>
    <w:rsid w:val="002428E4"/>
    <w:rsid w:val="0024399F"/>
    <w:rsid w:val="0024595E"/>
    <w:rsid w:val="00247387"/>
    <w:rsid w:val="00247818"/>
    <w:rsid w:val="00250CE3"/>
    <w:rsid w:val="00251174"/>
    <w:rsid w:val="00266E03"/>
    <w:rsid w:val="002709D8"/>
    <w:rsid w:val="00273BF7"/>
    <w:rsid w:val="0027449C"/>
    <w:rsid w:val="002747A3"/>
    <w:rsid w:val="002748EB"/>
    <w:rsid w:val="00275549"/>
    <w:rsid w:val="00276057"/>
    <w:rsid w:val="00277647"/>
    <w:rsid w:val="002818DE"/>
    <w:rsid w:val="00281BA4"/>
    <w:rsid w:val="00283005"/>
    <w:rsid w:val="002842EC"/>
    <w:rsid w:val="00291147"/>
    <w:rsid w:val="002914CE"/>
    <w:rsid w:val="00292A14"/>
    <w:rsid w:val="0029451B"/>
    <w:rsid w:val="00295E28"/>
    <w:rsid w:val="002A02C6"/>
    <w:rsid w:val="002A19EC"/>
    <w:rsid w:val="002A2371"/>
    <w:rsid w:val="002A3BF9"/>
    <w:rsid w:val="002A3D8D"/>
    <w:rsid w:val="002A400C"/>
    <w:rsid w:val="002A5432"/>
    <w:rsid w:val="002A6547"/>
    <w:rsid w:val="002A7000"/>
    <w:rsid w:val="002B173E"/>
    <w:rsid w:val="002B1A08"/>
    <w:rsid w:val="002B2906"/>
    <w:rsid w:val="002B3CD7"/>
    <w:rsid w:val="002B4BB7"/>
    <w:rsid w:val="002B6B02"/>
    <w:rsid w:val="002C083D"/>
    <w:rsid w:val="002C0862"/>
    <w:rsid w:val="002D3A89"/>
    <w:rsid w:val="002D413D"/>
    <w:rsid w:val="002D4B3F"/>
    <w:rsid w:val="002D5B5D"/>
    <w:rsid w:val="002D799D"/>
    <w:rsid w:val="002D7A3C"/>
    <w:rsid w:val="002E28E1"/>
    <w:rsid w:val="002E6F95"/>
    <w:rsid w:val="002F0DB9"/>
    <w:rsid w:val="002F149D"/>
    <w:rsid w:val="002F68E9"/>
    <w:rsid w:val="003045F4"/>
    <w:rsid w:val="00304DAE"/>
    <w:rsid w:val="00311FA7"/>
    <w:rsid w:val="003125A9"/>
    <w:rsid w:val="0031324A"/>
    <w:rsid w:val="00314FF3"/>
    <w:rsid w:val="00315AD9"/>
    <w:rsid w:val="00317CB3"/>
    <w:rsid w:val="003241A4"/>
    <w:rsid w:val="0032688F"/>
    <w:rsid w:val="003274E2"/>
    <w:rsid w:val="0033073A"/>
    <w:rsid w:val="00334DCB"/>
    <w:rsid w:val="003366F5"/>
    <w:rsid w:val="00336F8A"/>
    <w:rsid w:val="0033791B"/>
    <w:rsid w:val="0034212E"/>
    <w:rsid w:val="003425F7"/>
    <w:rsid w:val="00342780"/>
    <w:rsid w:val="00343D08"/>
    <w:rsid w:val="00344025"/>
    <w:rsid w:val="0034405E"/>
    <w:rsid w:val="00347DC3"/>
    <w:rsid w:val="003515A0"/>
    <w:rsid w:val="00351F94"/>
    <w:rsid w:val="00353245"/>
    <w:rsid w:val="00353A39"/>
    <w:rsid w:val="0035684A"/>
    <w:rsid w:val="003576B1"/>
    <w:rsid w:val="0036099E"/>
    <w:rsid w:val="00360FF4"/>
    <w:rsid w:val="003611F4"/>
    <w:rsid w:val="00363455"/>
    <w:rsid w:val="00364315"/>
    <w:rsid w:val="00365DD6"/>
    <w:rsid w:val="00367802"/>
    <w:rsid w:val="00373461"/>
    <w:rsid w:val="00373AD5"/>
    <w:rsid w:val="003751A1"/>
    <w:rsid w:val="00375B15"/>
    <w:rsid w:val="00376624"/>
    <w:rsid w:val="003805AF"/>
    <w:rsid w:val="003868A5"/>
    <w:rsid w:val="0038759F"/>
    <w:rsid w:val="00391C4C"/>
    <w:rsid w:val="003953B0"/>
    <w:rsid w:val="00397A05"/>
    <w:rsid w:val="003A0A74"/>
    <w:rsid w:val="003A2683"/>
    <w:rsid w:val="003A4592"/>
    <w:rsid w:val="003A5057"/>
    <w:rsid w:val="003A5F21"/>
    <w:rsid w:val="003A6BD1"/>
    <w:rsid w:val="003A6CF8"/>
    <w:rsid w:val="003A76A3"/>
    <w:rsid w:val="003B7ACC"/>
    <w:rsid w:val="003C2FD1"/>
    <w:rsid w:val="003C52AD"/>
    <w:rsid w:val="003C572A"/>
    <w:rsid w:val="003D3B03"/>
    <w:rsid w:val="003D4617"/>
    <w:rsid w:val="003D4A20"/>
    <w:rsid w:val="003D5A01"/>
    <w:rsid w:val="003D5B22"/>
    <w:rsid w:val="003D7E9D"/>
    <w:rsid w:val="003E272A"/>
    <w:rsid w:val="003E7CE5"/>
    <w:rsid w:val="003E7DE7"/>
    <w:rsid w:val="003F1ECE"/>
    <w:rsid w:val="003F4AC0"/>
    <w:rsid w:val="003F4E04"/>
    <w:rsid w:val="003F6244"/>
    <w:rsid w:val="003F7773"/>
    <w:rsid w:val="00400496"/>
    <w:rsid w:val="004044D0"/>
    <w:rsid w:val="00405E42"/>
    <w:rsid w:val="004068A4"/>
    <w:rsid w:val="00407212"/>
    <w:rsid w:val="00407318"/>
    <w:rsid w:val="0041160E"/>
    <w:rsid w:val="004130C8"/>
    <w:rsid w:val="00415E73"/>
    <w:rsid w:val="00420196"/>
    <w:rsid w:val="0042367B"/>
    <w:rsid w:val="0042372A"/>
    <w:rsid w:val="0042780A"/>
    <w:rsid w:val="0043179F"/>
    <w:rsid w:val="00431E63"/>
    <w:rsid w:val="00433262"/>
    <w:rsid w:val="00433E60"/>
    <w:rsid w:val="00433F94"/>
    <w:rsid w:val="00441488"/>
    <w:rsid w:val="00441D88"/>
    <w:rsid w:val="004458BE"/>
    <w:rsid w:val="004466E0"/>
    <w:rsid w:val="004469FC"/>
    <w:rsid w:val="004511F6"/>
    <w:rsid w:val="00451442"/>
    <w:rsid w:val="004532B3"/>
    <w:rsid w:val="0045606C"/>
    <w:rsid w:val="00457974"/>
    <w:rsid w:val="00457AD3"/>
    <w:rsid w:val="00457FAD"/>
    <w:rsid w:val="00466F24"/>
    <w:rsid w:val="00467D86"/>
    <w:rsid w:val="00471009"/>
    <w:rsid w:val="00471D01"/>
    <w:rsid w:val="00473094"/>
    <w:rsid w:val="00473B50"/>
    <w:rsid w:val="004778F9"/>
    <w:rsid w:val="00480CB8"/>
    <w:rsid w:val="00482B28"/>
    <w:rsid w:val="00483F07"/>
    <w:rsid w:val="004856DA"/>
    <w:rsid w:val="00485ACA"/>
    <w:rsid w:val="00485E97"/>
    <w:rsid w:val="00486B78"/>
    <w:rsid w:val="004874E2"/>
    <w:rsid w:val="00490895"/>
    <w:rsid w:val="00491140"/>
    <w:rsid w:val="00493183"/>
    <w:rsid w:val="00496F52"/>
    <w:rsid w:val="004A6BE0"/>
    <w:rsid w:val="004A7C0B"/>
    <w:rsid w:val="004B0B46"/>
    <w:rsid w:val="004B45BA"/>
    <w:rsid w:val="004B70D1"/>
    <w:rsid w:val="004B7200"/>
    <w:rsid w:val="004C4EB0"/>
    <w:rsid w:val="004D19FF"/>
    <w:rsid w:val="004D68D4"/>
    <w:rsid w:val="004D7D1E"/>
    <w:rsid w:val="004E0C18"/>
    <w:rsid w:val="004E184B"/>
    <w:rsid w:val="004E2BCA"/>
    <w:rsid w:val="004E46D9"/>
    <w:rsid w:val="004E4B8E"/>
    <w:rsid w:val="004E5B40"/>
    <w:rsid w:val="004E6A0D"/>
    <w:rsid w:val="004E6E23"/>
    <w:rsid w:val="004F242D"/>
    <w:rsid w:val="004F4A7A"/>
    <w:rsid w:val="004F7399"/>
    <w:rsid w:val="004F7EEE"/>
    <w:rsid w:val="00501A30"/>
    <w:rsid w:val="00501B3A"/>
    <w:rsid w:val="005029C0"/>
    <w:rsid w:val="00507250"/>
    <w:rsid w:val="005127BD"/>
    <w:rsid w:val="0051385E"/>
    <w:rsid w:val="00517128"/>
    <w:rsid w:val="0052095C"/>
    <w:rsid w:val="00521C7E"/>
    <w:rsid w:val="00522C8A"/>
    <w:rsid w:val="00525E61"/>
    <w:rsid w:val="005328E0"/>
    <w:rsid w:val="00532B88"/>
    <w:rsid w:val="00537323"/>
    <w:rsid w:val="005403BD"/>
    <w:rsid w:val="00540866"/>
    <w:rsid w:val="00541EAE"/>
    <w:rsid w:val="00542B6A"/>
    <w:rsid w:val="00543962"/>
    <w:rsid w:val="00551D3F"/>
    <w:rsid w:val="00552F5C"/>
    <w:rsid w:val="00556870"/>
    <w:rsid w:val="00556BF0"/>
    <w:rsid w:val="005570FD"/>
    <w:rsid w:val="00557B27"/>
    <w:rsid w:val="00557E51"/>
    <w:rsid w:val="00572654"/>
    <w:rsid w:val="0057345F"/>
    <w:rsid w:val="0057357C"/>
    <w:rsid w:val="005760DA"/>
    <w:rsid w:val="0058102C"/>
    <w:rsid w:val="005824B3"/>
    <w:rsid w:val="00584094"/>
    <w:rsid w:val="00584EC4"/>
    <w:rsid w:val="00585E23"/>
    <w:rsid w:val="0058678E"/>
    <w:rsid w:val="005922FE"/>
    <w:rsid w:val="005937A2"/>
    <w:rsid w:val="00593BAC"/>
    <w:rsid w:val="0059527F"/>
    <w:rsid w:val="00596AC8"/>
    <w:rsid w:val="005A73FD"/>
    <w:rsid w:val="005B265B"/>
    <w:rsid w:val="005C1789"/>
    <w:rsid w:val="005C1A5D"/>
    <w:rsid w:val="005C2E12"/>
    <w:rsid w:val="005C3396"/>
    <w:rsid w:val="005C3C17"/>
    <w:rsid w:val="005C5FE6"/>
    <w:rsid w:val="005C6D7D"/>
    <w:rsid w:val="005D001C"/>
    <w:rsid w:val="005D02D9"/>
    <w:rsid w:val="005D0515"/>
    <w:rsid w:val="005D6444"/>
    <w:rsid w:val="005D6B6D"/>
    <w:rsid w:val="005E0D97"/>
    <w:rsid w:val="005E14A9"/>
    <w:rsid w:val="005E3E66"/>
    <w:rsid w:val="005E3F2B"/>
    <w:rsid w:val="005E45F2"/>
    <w:rsid w:val="005F03E7"/>
    <w:rsid w:val="005F2A3C"/>
    <w:rsid w:val="005F4467"/>
    <w:rsid w:val="005F4DE7"/>
    <w:rsid w:val="006048FE"/>
    <w:rsid w:val="00605894"/>
    <w:rsid w:val="00605D38"/>
    <w:rsid w:val="00606821"/>
    <w:rsid w:val="00606CB3"/>
    <w:rsid w:val="006074B5"/>
    <w:rsid w:val="00615C10"/>
    <w:rsid w:val="00620771"/>
    <w:rsid w:val="00620DF9"/>
    <w:rsid w:val="006235F9"/>
    <w:rsid w:val="00626E35"/>
    <w:rsid w:val="00641E58"/>
    <w:rsid w:val="0064293E"/>
    <w:rsid w:val="00643447"/>
    <w:rsid w:val="00643899"/>
    <w:rsid w:val="00651E23"/>
    <w:rsid w:val="00653AD6"/>
    <w:rsid w:val="006544D9"/>
    <w:rsid w:val="00654554"/>
    <w:rsid w:val="0065592B"/>
    <w:rsid w:val="00656660"/>
    <w:rsid w:val="0065750A"/>
    <w:rsid w:val="00660659"/>
    <w:rsid w:val="0066099B"/>
    <w:rsid w:val="006619AB"/>
    <w:rsid w:val="00670D66"/>
    <w:rsid w:val="006715B1"/>
    <w:rsid w:val="00671D8A"/>
    <w:rsid w:val="00675313"/>
    <w:rsid w:val="00675850"/>
    <w:rsid w:val="006817FA"/>
    <w:rsid w:val="00681F21"/>
    <w:rsid w:val="00682049"/>
    <w:rsid w:val="00683EF5"/>
    <w:rsid w:val="00686FEE"/>
    <w:rsid w:val="00690C7B"/>
    <w:rsid w:val="00691F33"/>
    <w:rsid w:val="00693B24"/>
    <w:rsid w:val="006944C1"/>
    <w:rsid w:val="0069663F"/>
    <w:rsid w:val="006A0F00"/>
    <w:rsid w:val="006A3525"/>
    <w:rsid w:val="006A5262"/>
    <w:rsid w:val="006A7D9D"/>
    <w:rsid w:val="006B0AAF"/>
    <w:rsid w:val="006B6233"/>
    <w:rsid w:val="006C1C04"/>
    <w:rsid w:val="006C37B0"/>
    <w:rsid w:val="006C3F12"/>
    <w:rsid w:val="006C49DB"/>
    <w:rsid w:val="006C6D2D"/>
    <w:rsid w:val="006C6E8D"/>
    <w:rsid w:val="006C7A27"/>
    <w:rsid w:val="006D1842"/>
    <w:rsid w:val="006D240C"/>
    <w:rsid w:val="006E05D2"/>
    <w:rsid w:val="006E0A91"/>
    <w:rsid w:val="006E191E"/>
    <w:rsid w:val="006E2EAC"/>
    <w:rsid w:val="006E2F7B"/>
    <w:rsid w:val="006F0DE1"/>
    <w:rsid w:val="006F0DF5"/>
    <w:rsid w:val="006F28C5"/>
    <w:rsid w:val="006F3F7B"/>
    <w:rsid w:val="006F432B"/>
    <w:rsid w:val="006F6649"/>
    <w:rsid w:val="006F69DE"/>
    <w:rsid w:val="006F7006"/>
    <w:rsid w:val="006F785E"/>
    <w:rsid w:val="00702B2B"/>
    <w:rsid w:val="007031E1"/>
    <w:rsid w:val="00703BCC"/>
    <w:rsid w:val="00705299"/>
    <w:rsid w:val="007059F7"/>
    <w:rsid w:val="00705BA0"/>
    <w:rsid w:val="007071E9"/>
    <w:rsid w:val="0070791D"/>
    <w:rsid w:val="00711B68"/>
    <w:rsid w:val="0071243C"/>
    <w:rsid w:val="00712D1E"/>
    <w:rsid w:val="00713B0B"/>
    <w:rsid w:val="00713E8C"/>
    <w:rsid w:val="0071734A"/>
    <w:rsid w:val="00721510"/>
    <w:rsid w:val="007257CD"/>
    <w:rsid w:val="00725842"/>
    <w:rsid w:val="0072602F"/>
    <w:rsid w:val="007300F9"/>
    <w:rsid w:val="00732FF9"/>
    <w:rsid w:val="00733EED"/>
    <w:rsid w:val="00735E84"/>
    <w:rsid w:val="00737E48"/>
    <w:rsid w:val="007411EF"/>
    <w:rsid w:val="0074416C"/>
    <w:rsid w:val="0074547A"/>
    <w:rsid w:val="00747DB0"/>
    <w:rsid w:val="007508F5"/>
    <w:rsid w:val="00751EDB"/>
    <w:rsid w:val="00761374"/>
    <w:rsid w:val="00762C0E"/>
    <w:rsid w:val="00763516"/>
    <w:rsid w:val="00763A47"/>
    <w:rsid w:val="00767C7F"/>
    <w:rsid w:val="00774B0D"/>
    <w:rsid w:val="007760C8"/>
    <w:rsid w:val="007762CB"/>
    <w:rsid w:val="007810C8"/>
    <w:rsid w:val="00783194"/>
    <w:rsid w:val="00783FF0"/>
    <w:rsid w:val="00785AA5"/>
    <w:rsid w:val="00790EDE"/>
    <w:rsid w:val="00796572"/>
    <w:rsid w:val="00796D56"/>
    <w:rsid w:val="007A0093"/>
    <w:rsid w:val="007A2DFD"/>
    <w:rsid w:val="007A3376"/>
    <w:rsid w:val="007A36AE"/>
    <w:rsid w:val="007A56E5"/>
    <w:rsid w:val="007A57AB"/>
    <w:rsid w:val="007A6395"/>
    <w:rsid w:val="007A7A91"/>
    <w:rsid w:val="007B1BCF"/>
    <w:rsid w:val="007B1E67"/>
    <w:rsid w:val="007B5475"/>
    <w:rsid w:val="007B5971"/>
    <w:rsid w:val="007B6F59"/>
    <w:rsid w:val="007B70A5"/>
    <w:rsid w:val="007C1127"/>
    <w:rsid w:val="007C1748"/>
    <w:rsid w:val="007C1BBC"/>
    <w:rsid w:val="007C2758"/>
    <w:rsid w:val="007C6285"/>
    <w:rsid w:val="007D43E3"/>
    <w:rsid w:val="007E172F"/>
    <w:rsid w:val="007E24D1"/>
    <w:rsid w:val="007E4784"/>
    <w:rsid w:val="007E4A62"/>
    <w:rsid w:val="007E5499"/>
    <w:rsid w:val="007E7BAC"/>
    <w:rsid w:val="007F1987"/>
    <w:rsid w:val="0080080D"/>
    <w:rsid w:val="00801935"/>
    <w:rsid w:val="0080437C"/>
    <w:rsid w:val="008052E4"/>
    <w:rsid w:val="00807806"/>
    <w:rsid w:val="00807DFD"/>
    <w:rsid w:val="00813971"/>
    <w:rsid w:val="00815ED1"/>
    <w:rsid w:val="00817C9D"/>
    <w:rsid w:val="00822100"/>
    <w:rsid w:val="00824051"/>
    <w:rsid w:val="00824166"/>
    <w:rsid w:val="00826C61"/>
    <w:rsid w:val="008274A0"/>
    <w:rsid w:val="0083030B"/>
    <w:rsid w:val="00833449"/>
    <w:rsid w:val="008339AA"/>
    <w:rsid w:val="00834906"/>
    <w:rsid w:val="00837F40"/>
    <w:rsid w:val="008446EA"/>
    <w:rsid w:val="00844AF8"/>
    <w:rsid w:val="00846B88"/>
    <w:rsid w:val="00846FFD"/>
    <w:rsid w:val="00850262"/>
    <w:rsid w:val="0085180A"/>
    <w:rsid w:val="008531AB"/>
    <w:rsid w:val="00854CCA"/>
    <w:rsid w:val="0085626F"/>
    <w:rsid w:val="00856692"/>
    <w:rsid w:val="008667C9"/>
    <w:rsid w:val="008673AD"/>
    <w:rsid w:val="00872DDC"/>
    <w:rsid w:val="00872E90"/>
    <w:rsid w:val="00874D3E"/>
    <w:rsid w:val="0087503F"/>
    <w:rsid w:val="00875F11"/>
    <w:rsid w:val="00882B46"/>
    <w:rsid w:val="00884243"/>
    <w:rsid w:val="00890D2D"/>
    <w:rsid w:val="008936C4"/>
    <w:rsid w:val="00893B9F"/>
    <w:rsid w:val="008A198C"/>
    <w:rsid w:val="008A354A"/>
    <w:rsid w:val="008A3C65"/>
    <w:rsid w:val="008A73B1"/>
    <w:rsid w:val="008A7C33"/>
    <w:rsid w:val="008B0677"/>
    <w:rsid w:val="008B1499"/>
    <w:rsid w:val="008B1B4D"/>
    <w:rsid w:val="008B280C"/>
    <w:rsid w:val="008B2C8F"/>
    <w:rsid w:val="008B4360"/>
    <w:rsid w:val="008B509F"/>
    <w:rsid w:val="008B738A"/>
    <w:rsid w:val="008B7594"/>
    <w:rsid w:val="008C1397"/>
    <w:rsid w:val="008C3C93"/>
    <w:rsid w:val="008C3CBE"/>
    <w:rsid w:val="008C61C7"/>
    <w:rsid w:val="008C77C1"/>
    <w:rsid w:val="008C7FC3"/>
    <w:rsid w:val="008D16B8"/>
    <w:rsid w:val="008D2A0E"/>
    <w:rsid w:val="008D6363"/>
    <w:rsid w:val="008D6F8F"/>
    <w:rsid w:val="008D70A8"/>
    <w:rsid w:val="008E0399"/>
    <w:rsid w:val="008E0844"/>
    <w:rsid w:val="008E7824"/>
    <w:rsid w:val="008E7E41"/>
    <w:rsid w:val="008F3672"/>
    <w:rsid w:val="008F44DB"/>
    <w:rsid w:val="008F4681"/>
    <w:rsid w:val="008F4B7E"/>
    <w:rsid w:val="008F5447"/>
    <w:rsid w:val="008F7B04"/>
    <w:rsid w:val="00901304"/>
    <w:rsid w:val="00901CC6"/>
    <w:rsid w:val="00905409"/>
    <w:rsid w:val="00910842"/>
    <w:rsid w:val="00910AF8"/>
    <w:rsid w:val="00911B07"/>
    <w:rsid w:val="009146EE"/>
    <w:rsid w:val="00921E74"/>
    <w:rsid w:val="009223BC"/>
    <w:rsid w:val="00922C2C"/>
    <w:rsid w:val="0092500C"/>
    <w:rsid w:val="00925A85"/>
    <w:rsid w:val="00926307"/>
    <w:rsid w:val="009270C9"/>
    <w:rsid w:val="00932359"/>
    <w:rsid w:val="009351CB"/>
    <w:rsid w:val="00936DF2"/>
    <w:rsid w:val="00936EAC"/>
    <w:rsid w:val="0093743A"/>
    <w:rsid w:val="00940D31"/>
    <w:rsid w:val="009410C0"/>
    <w:rsid w:val="00941440"/>
    <w:rsid w:val="00943333"/>
    <w:rsid w:val="00944465"/>
    <w:rsid w:val="0094490D"/>
    <w:rsid w:val="00952C42"/>
    <w:rsid w:val="009532A8"/>
    <w:rsid w:val="00956F39"/>
    <w:rsid w:val="009622D2"/>
    <w:rsid w:val="00964598"/>
    <w:rsid w:val="0096698B"/>
    <w:rsid w:val="00970AE1"/>
    <w:rsid w:val="00971161"/>
    <w:rsid w:val="00973018"/>
    <w:rsid w:val="00974251"/>
    <w:rsid w:val="009751D4"/>
    <w:rsid w:val="0097534B"/>
    <w:rsid w:val="009759E1"/>
    <w:rsid w:val="00976EBA"/>
    <w:rsid w:val="0097710F"/>
    <w:rsid w:val="00986B87"/>
    <w:rsid w:val="00986D69"/>
    <w:rsid w:val="00992548"/>
    <w:rsid w:val="00997892"/>
    <w:rsid w:val="00997966"/>
    <w:rsid w:val="00997F19"/>
    <w:rsid w:val="009A2CAC"/>
    <w:rsid w:val="009A5ACC"/>
    <w:rsid w:val="009B0751"/>
    <w:rsid w:val="009B0CCC"/>
    <w:rsid w:val="009B2DCB"/>
    <w:rsid w:val="009B3072"/>
    <w:rsid w:val="009B4C4B"/>
    <w:rsid w:val="009B639E"/>
    <w:rsid w:val="009C159F"/>
    <w:rsid w:val="009C4035"/>
    <w:rsid w:val="009C4B11"/>
    <w:rsid w:val="009D0391"/>
    <w:rsid w:val="009D23F5"/>
    <w:rsid w:val="009E2007"/>
    <w:rsid w:val="009E2BCD"/>
    <w:rsid w:val="009E6705"/>
    <w:rsid w:val="009F0414"/>
    <w:rsid w:val="009F051C"/>
    <w:rsid w:val="009F0BBC"/>
    <w:rsid w:val="009F1B2B"/>
    <w:rsid w:val="009F64D2"/>
    <w:rsid w:val="00A00EED"/>
    <w:rsid w:val="00A01070"/>
    <w:rsid w:val="00A0129E"/>
    <w:rsid w:val="00A041B2"/>
    <w:rsid w:val="00A105BA"/>
    <w:rsid w:val="00A10D50"/>
    <w:rsid w:val="00A11535"/>
    <w:rsid w:val="00A120F5"/>
    <w:rsid w:val="00A1277D"/>
    <w:rsid w:val="00A136B3"/>
    <w:rsid w:val="00A168C0"/>
    <w:rsid w:val="00A1781E"/>
    <w:rsid w:val="00A20AE6"/>
    <w:rsid w:val="00A21167"/>
    <w:rsid w:val="00A22368"/>
    <w:rsid w:val="00A22B24"/>
    <w:rsid w:val="00A23FF5"/>
    <w:rsid w:val="00A262F4"/>
    <w:rsid w:val="00A26C4E"/>
    <w:rsid w:val="00A275EF"/>
    <w:rsid w:val="00A27B24"/>
    <w:rsid w:val="00A27C32"/>
    <w:rsid w:val="00A31093"/>
    <w:rsid w:val="00A33E3D"/>
    <w:rsid w:val="00A33FFA"/>
    <w:rsid w:val="00A44763"/>
    <w:rsid w:val="00A44FAB"/>
    <w:rsid w:val="00A47310"/>
    <w:rsid w:val="00A47EE8"/>
    <w:rsid w:val="00A51F8B"/>
    <w:rsid w:val="00A54D21"/>
    <w:rsid w:val="00A5641E"/>
    <w:rsid w:val="00A57C02"/>
    <w:rsid w:val="00A601D0"/>
    <w:rsid w:val="00A60F33"/>
    <w:rsid w:val="00A61C18"/>
    <w:rsid w:val="00A63056"/>
    <w:rsid w:val="00A6562F"/>
    <w:rsid w:val="00A659A7"/>
    <w:rsid w:val="00A7211D"/>
    <w:rsid w:val="00A73714"/>
    <w:rsid w:val="00A748F6"/>
    <w:rsid w:val="00A76BB1"/>
    <w:rsid w:val="00A77887"/>
    <w:rsid w:val="00A84661"/>
    <w:rsid w:val="00A87146"/>
    <w:rsid w:val="00A9091E"/>
    <w:rsid w:val="00A9315C"/>
    <w:rsid w:val="00A9378E"/>
    <w:rsid w:val="00A93E7C"/>
    <w:rsid w:val="00A95BC2"/>
    <w:rsid w:val="00A95C65"/>
    <w:rsid w:val="00AA162B"/>
    <w:rsid w:val="00AA180F"/>
    <w:rsid w:val="00AA1926"/>
    <w:rsid w:val="00AB4745"/>
    <w:rsid w:val="00AC26C2"/>
    <w:rsid w:val="00AC47E6"/>
    <w:rsid w:val="00AC65E0"/>
    <w:rsid w:val="00AD0D9F"/>
    <w:rsid w:val="00AD22B2"/>
    <w:rsid w:val="00AD458F"/>
    <w:rsid w:val="00AE0EE2"/>
    <w:rsid w:val="00AE27EE"/>
    <w:rsid w:val="00AE2834"/>
    <w:rsid w:val="00AE4FC4"/>
    <w:rsid w:val="00AF0765"/>
    <w:rsid w:val="00AF2767"/>
    <w:rsid w:val="00AF2B35"/>
    <w:rsid w:val="00AF6C39"/>
    <w:rsid w:val="00AF7877"/>
    <w:rsid w:val="00B01EA8"/>
    <w:rsid w:val="00B02DFE"/>
    <w:rsid w:val="00B0304B"/>
    <w:rsid w:val="00B0306D"/>
    <w:rsid w:val="00B03FDA"/>
    <w:rsid w:val="00B0689B"/>
    <w:rsid w:val="00B112BB"/>
    <w:rsid w:val="00B13670"/>
    <w:rsid w:val="00B157EA"/>
    <w:rsid w:val="00B168EC"/>
    <w:rsid w:val="00B215C1"/>
    <w:rsid w:val="00B22B78"/>
    <w:rsid w:val="00B23507"/>
    <w:rsid w:val="00B235AA"/>
    <w:rsid w:val="00B2376B"/>
    <w:rsid w:val="00B250E5"/>
    <w:rsid w:val="00B273FD"/>
    <w:rsid w:val="00B310C4"/>
    <w:rsid w:val="00B32500"/>
    <w:rsid w:val="00B334D1"/>
    <w:rsid w:val="00B351E1"/>
    <w:rsid w:val="00B407CA"/>
    <w:rsid w:val="00B44B50"/>
    <w:rsid w:val="00B467A9"/>
    <w:rsid w:val="00B47CDF"/>
    <w:rsid w:val="00B55ADF"/>
    <w:rsid w:val="00B604E3"/>
    <w:rsid w:val="00B6270E"/>
    <w:rsid w:val="00B72AED"/>
    <w:rsid w:val="00B75540"/>
    <w:rsid w:val="00B75E2C"/>
    <w:rsid w:val="00B7615C"/>
    <w:rsid w:val="00B8055F"/>
    <w:rsid w:val="00B817B4"/>
    <w:rsid w:val="00B81B5E"/>
    <w:rsid w:val="00B83285"/>
    <w:rsid w:val="00B84048"/>
    <w:rsid w:val="00B84648"/>
    <w:rsid w:val="00B84FA3"/>
    <w:rsid w:val="00B85800"/>
    <w:rsid w:val="00B87E4D"/>
    <w:rsid w:val="00B9014B"/>
    <w:rsid w:val="00B90E4F"/>
    <w:rsid w:val="00B91850"/>
    <w:rsid w:val="00B92DF5"/>
    <w:rsid w:val="00B9401D"/>
    <w:rsid w:val="00B941B6"/>
    <w:rsid w:val="00B9470F"/>
    <w:rsid w:val="00B94BCE"/>
    <w:rsid w:val="00B95F32"/>
    <w:rsid w:val="00B97B02"/>
    <w:rsid w:val="00BA022B"/>
    <w:rsid w:val="00BA1CB6"/>
    <w:rsid w:val="00BA26C1"/>
    <w:rsid w:val="00BA33F4"/>
    <w:rsid w:val="00BA607D"/>
    <w:rsid w:val="00BB220D"/>
    <w:rsid w:val="00BB2504"/>
    <w:rsid w:val="00BB6E52"/>
    <w:rsid w:val="00BC0879"/>
    <w:rsid w:val="00BC1CA7"/>
    <w:rsid w:val="00BC288A"/>
    <w:rsid w:val="00BC3F9A"/>
    <w:rsid w:val="00BC56CE"/>
    <w:rsid w:val="00BC6325"/>
    <w:rsid w:val="00BC73E6"/>
    <w:rsid w:val="00BC7D46"/>
    <w:rsid w:val="00BD0062"/>
    <w:rsid w:val="00BD0DED"/>
    <w:rsid w:val="00BE518B"/>
    <w:rsid w:val="00BE56EE"/>
    <w:rsid w:val="00BE59D1"/>
    <w:rsid w:val="00BE6C17"/>
    <w:rsid w:val="00BE713D"/>
    <w:rsid w:val="00BF728E"/>
    <w:rsid w:val="00C11924"/>
    <w:rsid w:val="00C11C28"/>
    <w:rsid w:val="00C136C2"/>
    <w:rsid w:val="00C13D2A"/>
    <w:rsid w:val="00C16EC3"/>
    <w:rsid w:val="00C16F74"/>
    <w:rsid w:val="00C208AD"/>
    <w:rsid w:val="00C31B3E"/>
    <w:rsid w:val="00C33A88"/>
    <w:rsid w:val="00C35929"/>
    <w:rsid w:val="00C35C5E"/>
    <w:rsid w:val="00C3690E"/>
    <w:rsid w:val="00C379A6"/>
    <w:rsid w:val="00C40C74"/>
    <w:rsid w:val="00C418C8"/>
    <w:rsid w:val="00C43357"/>
    <w:rsid w:val="00C436B5"/>
    <w:rsid w:val="00C43BB5"/>
    <w:rsid w:val="00C45CC6"/>
    <w:rsid w:val="00C45E9A"/>
    <w:rsid w:val="00C524B6"/>
    <w:rsid w:val="00C566EF"/>
    <w:rsid w:val="00C568AF"/>
    <w:rsid w:val="00C670DD"/>
    <w:rsid w:val="00C6775E"/>
    <w:rsid w:val="00C70737"/>
    <w:rsid w:val="00C74B70"/>
    <w:rsid w:val="00C80E8A"/>
    <w:rsid w:val="00C8151D"/>
    <w:rsid w:val="00C8659F"/>
    <w:rsid w:val="00C866B9"/>
    <w:rsid w:val="00C87BF2"/>
    <w:rsid w:val="00C924C1"/>
    <w:rsid w:val="00C9265E"/>
    <w:rsid w:val="00C94459"/>
    <w:rsid w:val="00C96FC2"/>
    <w:rsid w:val="00CA1073"/>
    <w:rsid w:val="00CA280E"/>
    <w:rsid w:val="00CA32A4"/>
    <w:rsid w:val="00CA4505"/>
    <w:rsid w:val="00CB3BF5"/>
    <w:rsid w:val="00CB3E0E"/>
    <w:rsid w:val="00CB5BCE"/>
    <w:rsid w:val="00CC3DAE"/>
    <w:rsid w:val="00CC59D4"/>
    <w:rsid w:val="00CC624F"/>
    <w:rsid w:val="00CD0290"/>
    <w:rsid w:val="00CD127F"/>
    <w:rsid w:val="00CD3263"/>
    <w:rsid w:val="00CD48A1"/>
    <w:rsid w:val="00CD73AA"/>
    <w:rsid w:val="00CE2D93"/>
    <w:rsid w:val="00CF438B"/>
    <w:rsid w:val="00CF70DD"/>
    <w:rsid w:val="00CF7A35"/>
    <w:rsid w:val="00D0344C"/>
    <w:rsid w:val="00D03CC1"/>
    <w:rsid w:val="00D048C4"/>
    <w:rsid w:val="00D05EB7"/>
    <w:rsid w:val="00D07BCC"/>
    <w:rsid w:val="00D11B84"/>
    <w:rsid w:val="00D1549E"/>
    <w:rsid w:val="00D234F7"/>
    <w:rsid w:val="00D23F5E"/>
    <w:rsid w:val="00D34A0A"/>
    <w:rsid w:val="00D34C11"/>
    <w:rsid w:val="00D351D9"/>
    <w:rsid w:val="00D40ABD"/>
    <w:rsid w:val="00D40E83"/>
    <w:rsid w:val="00D47664"/>
    <w:rsid w:val="00D47C03"/>
    <w:rsid w:val="00D52912"/>
    <w:rsid w:val="00D53525"/>
    <w:rsid w:val="00D53DE7"/>
    <w:rsid w:val="00D54A6A"/>
    <w:rsid w:val="00D60203"/>
    <w:rsid w:val="00D61702"/>
    <w:rsid w:val="00D63AC1"/>
    <w:rsid w:val="00D64492"/>
    <w:rsid w:val="00D6501E"/>
    <w:rsid w:val="00D65ADD"/>
    <w:rsid w:val="00D66455"/>
    <w:rsid w:val="00D67DA4"/>
    <w:rsid w:val="00D7612E"/>
    <w:rsid w:val="00D77881"/>
    <w:rsid w:val="00D80805"/>
    <w:rsid w:val="00D81B89"/>
    <w:rsid w:val="00D820D1"/>
    <w:rsid w:val="00D841D8"/>
    <w:rsid w:val="00D86D0C"/>
    <w:rsid w:val="00D87185"/>
    <w:rsid w:val="00D91381"/>
    <w:rsid w:val="00D91BCA"/>
    <w:rsid w:val="00D9680F"/>
    <w:rsid w:val="00D97484"/>
    <w:rsid w:val="00D97A39"/>
    <w:rsid w:val="00DA2770"/>
    <w:rsid w:val="00DA3605"/>
    <w:rsid w:val="00DA4287"/>
    <w:rsid w:val="00DA5582"/>
    <w:rsid w:val="00DA5DD5"/>
    <w:rsid w:val="00DA5F96"/>
    <w:rsid w:val="00DA7967"/>
    <w:rsid w:val="00DB1826"/>
    <w:rsid w:val="00DB5F9C"/>
    <w:rsid w:val="00DB7C33"/>
    <w:rsid w:val="00DC265C"/>
    <w:rsid w:val="00DC496B"/>
    <w:rsid w:val="00DC5908"/>
    <w:rsid w:val="00DC69DF"/>
    <w:rsid w:val="00DC6CC6"/>
    <w:rsid w:val="00DD1D2D"/>
    <w:rsid w:val="00DD5007"/>
    <w:rsid w:val="00DD581E"/>
    <w:rsid w:val="00DE0E1E"/>
    <w:rsid w:val="00DE359B"/>
    <w:rsid w:val="00DE5BF0"/>
    <w:rsid w:val="00DF13D1"/>
    <w:rsid w:val="00DF272D"/>
    <w:rsid w:val="00DF4D20"/>
    <w:rsid w:val="00DF549A"/>
    <w:rsid w:val="00DF611F"/>
    <w:rsid w:val="00DF7AFB"/>
    <w:rsid w:val="00E03B0F"/>
    <w:rsid w:val="00E04033"/>
    <w:rsid w:val="00E05E33"/>
    <w:rsid w:val="00E06865"/>
    <w:rsid w:val="00E068E8"/>
    <w:rsid w:val="00E15AF9"/>
    <w:rsid w:val="00E22D04"/>
    <w:rsid w:val="00E23509"/>
    <w:rsid w:val="00E25809"/>
    <w:rsid w:val="00E330E4"/>
    <w:rsid w:val="00E3323C"/>
    <w:rsid w:val="00E346EC"/>
    <w:rsid w:val="00E35E31"/>
    <w:rsid w:val="00E41355"/>
    <w:rsid w:val="00E438FD"/>
    <w:rsid w:val="00E45364"/>
    <w:rsid w:val="00E53BC8"/>
    <w:rsid w:val="00E53ECD"/>
    <w:rsid w:val="00E61473"/>
    <w:rsid w:val="00E70D92"/>
    <w:rsid w:val="00E72634"/>
    <w:rsid w:val="00E73E00"/>
    <w:rsid w:val="00E77541"/>
    <w:rsid w:val="00E77E55"/>
    <w:rsid w:val="00E80324"/>
    <w:rsid w:val="00E8217E"/>
    <w:rsid w:val="00E84A35"/>
    <w:rsid w:val="00E86630"/>
    <w:rsid w:val="00E87315"/>
    <w:rsid w:val="00E875C8"/>
    <w:rsid w:val="00E911F6"/>
    <w:rsid w:val="00E91FBC"/>
    <w:rsid w:val="00E925E6"/>
    <w:rsid w:val="00E9442E"/>
    <w:rsid w:val="00E94557"/>
    <w:rsid w:val="00E9711B"/>
    <w:rsid w:val="00E973C2"/>
    <w:rsid w:val="00EA037F"/>
    <w:rsid w:val="00EA1039"/>
    <w:rsid w:val="00EA6825"/>
    <w:rsid w:val="00EA6F6C"/>
    <w:rsid w:val="00EA75F0"/>
    <w:rsid w:val="00EB39DE"/>
    <w:rsid w:val="00EB525F"/>
    <w:rsid w:val="00EB77CF"/>
    <w:rsid w:val="00EC1DF5"/>
    <w:rsid w:val="00EC216B"/>
    <w:rsid w:val="00ED2A1A"/>
    <w:rsid w:val="00ED2D8F"/>
    <w:rsid w:val="00ED5059"/>
    <w:rsid w:val="00ED6FD7"/>
    <w:rsid w:val="00EE2357"/>
    <w:rsid w:val="00EE501E"/>
    <w:rsid w:val="00EE5048"/>
    <w:rsid w:val="00EE69F5"/>
    <w:rsid w:val="00EE7FEA"/>
    <w:rsid w:val="00EF1368"/>
    <w:rsid w:val="00EF283D"/>
    <w:rsid w:val="00EF5518"/>
    <w:rsid w:val="00EF5D19"/>
    <w:rsid w:val="00EF7325"/>
    <w:rsid w:val="00F00011"/>
    <w:rsid w:val="00F004D8"/>
    <w:rsid w:val="00F00A90"/>
    <w:rsid w:val="00F017E8"/>
    <w:rsid w:val="00F01CB3"/>
    <w:rsid w:val="00F04BBD"/>
    <w:rsid w:val="00F05310"/>
    <w:rsid w:val="00F0622B"/>
    <w:rsid w:val="00F06A7F"/>
    <w:rsid w:val="00F10CE8"/>
    <w:rsid w:val="00F158B7"/>
    <w:rsid w:val="00F17FC2"/>
    <w:rsid w:val="00F202BF"/>
    <w:rsid w:val="00F31FC0"/>
    <w:rsid w:val="00F34CE6"/>
    <w:rsid w:val="00F3644A"/>
    <w:rsid w:val="00F36459"/>
    <w:rsid w:val="00F43AEC"/>
    <w:rsid w:val="00F45F4A"/>
    <w:rsid w:val="00F52038"/>
    <w:rsid w:val="00F536B1"/>
    <w:rsid w:val="00F56F3A"/>
    <w:rsid w:val="00F61CF3"/>
    <w:rsid w:val="00F6390E"/>
    <w:rsid w:val="00F64614"/>
    <w:rsid w:val="00F664B5"/>
    <w:rsid w:val="00F66638"/>
    <w:rsid w:val="00F707E1"/>
    <w:rsid w:val="00F716E0"/>
    <w:rsid w:val="00F75B09"/>
    <w:rsid w:val="00F77A1C"/>
    <w:rsid w:val="00F77E9F"/>
    <w:rsid w:val="00F80725"/>
    <w:rsid w:val="00F8291A"/>
    <w:rsid w:val="00F85343"/>
    <w:rsid w:val="00F872F7"/>
    <w:rsid w:val="00F9106E"/>
    <w:rsid w:val="00F935EC"/>
    <w:rsid w:val="00F93695"/>
    <w:rsid w:val="00F93DCD"/>
    <w:rsid w:val="00F96C70"/>
    <w:rsid w:val="00F97AB8"/>
    <w:rsid w:val="00FA1E7D"/>
    <w:rsid w:val="00FA2C43"/>
    <w:rsid w:val="00FA67DE"/>
    <w:rsid w:val="00FB1EBE"/>
    <w:rsid w:val="00FB224C"/>
    <w:rsid w:val="00FB23AA"/>
    <w:rsid w:val="00FB2BCB"/>
    <w:rsid w:val="00FB2DBB"/>
    <w:rsid w:val="00FB3363"/>
    <w:rsid w:val="00FB39B5"/>
    <w:rsid w:val="00FB657A"/>
    <w:rsid w:val="00FC057C"/>
    <w:rsid w:val="00FC2ECC"/>
    <w:rsid w:val="00FC3B83"/>
    <w:rsid w:val="00FC4EF1"/>
    <w:rsid w:val="00FC516E"/>
    <w:rsid w:val="00FC6AB1"/>
    <w:rsid w:val="00FD38A5"/>
    <w:rsid w:val="00FE7075"/>
    <w:rsid w:val="00FF0685"/>
    <w:rsid w:val="00FF4E8B"/>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5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29E"/>
    <w:rPr>
      <w:sz w:val="20"/>
      <w:szCs w:val="20"/>
    </w:rPr>
  </w:style>
  <w:style w:type="character" w:styleId="FootnoteReference">
    <w:name w:val="footnote reference"/>
    <w:basedOn w:val="DefaultParagraphFont"/>
    <w:uiPriority w:val="99"/>
    <w:semiHidden/>
    <w:unhideWhenUsed/>
    <w:rsid w:val="00A0129E"/>
    <w:rPr>
      <w:vertAlign w:val="superscript"/>
    </w:rPr>
  </w:style>
  <w:style w:type="character" w:styleId="Hyperlink">
    <w:name w:val="Hyperlink"/>
    <w:basedOn w:val="DefaultParagraphFont"/>
    <w:uiPriority w:val="99"/>
    <w:unhideWhenUsed/>
    <w:rsid w:val="00097806"/>
    <w:rPr>
      <w:color w:val="0563C1" w:themeColor="hyperlink"/>
      <w:u w:val="single"/>
    </w:rPr>
  </w:style>
  <w:style w:type="character" w:styleId="UnresolvedMention">
    <w:name w:val="Unresolved Mention"/>
    <w:basedOn w:val="DefaultParagraphFont"/>
    <w:uiPriority w:val="99"/>
    <w:semiHidden/>
    <w:unhideWhenUsed/>
    <w:rsid w:val="00097806"/>
    <w:rPr>
      <w:color w:val="605E5C"/>
      <w:shd w:val="clear" w:color="auto" w:fill="E1DFDD"/>
    </w:rPr>
  </w:style>
  <w:style w:type="character" w:styleId="FollowedHyperlink">
    <w:name w:val="FollowedHyperlink"/>
    <w:basedOn w:val="DefaultParagraphFont"/>
    <w:uiPriority w:val="99"/>
    <w:semiHidden/>
    <w:unhideWhenUsed/>
    <w:rsid w:val="00AE4FC4"/>
    <w:rPr>
      <w:color w:val="954F72" w:themeColor="followedHyperlink"/>
      <w:u w:val="single"/>
    </w:rPr>
  </w:style>
  <w:style w:type="paragraph" w:styleId="Header">
    <w:name w:val="header"/>
    <w:basedOn w:val="Normal"/>
    <w:link w:val="HeaderChar"/>
    <w:uiPriority w:val="99"/>
    <w:unhideWhenUsed/>
    <w:rsid w:val="0018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7D"/>
  </w:style>
  <w:style w:type="paragraph" w:styleId="Footer">
    <w:name w:val="footer"/>
    <w:basedOn w:val="Normal"/>
    <w:link w:val="FooterChar"/>
    <w:uiPriority w:val="99"/>
    <w:unhideWhenUsed/>
    <w:rsid w:val="0018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E7D"/>
  </w:style>
  <w:style w:type="paragraph" w:styleId="BalloonText">
    <w:name w:val="Balloon Text"/>
    <w:basedOn w:val="Normal"/>
    <w:link w:val="BalloonTextChar"/>
    <w:uiPriority w:val="99"/>
    <w:semiHidden/>
    <w:unhideWhenUsed/>
    <w:rsid w:val="006F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C5"/>
    <w:rPr>
      <w:rFonts w:ascii="Segoe UI" w:hAnsi="Segoe UI" w:cs="Segoe UI"/>
      <w:sz w:val="18"/>
      <w:szCs w:val="18"/>
    </w:rPr>
  </w:style>
  <w:style w:type="character" w:customStyle="1" w:styleId="sb8d990e2">
    <w:name w:val="sb8d990e2"/>
    <w:basedOn w:val="DefaultParagraphFont"/>
    <w:rsid w:val="00EF283D"/>
  </w:style>
  <w:style w:type="character" w:customStyle="1" w:styleId="s6b621b36">
    <w:name w:val="s6b621b36"/>
    <w:basedOn w:val="DefaultParagraphFont"/>
    <w:rsid w:val="00EF283D"/>
  </w:style>
  <w:style w:type="paragraph" w:styleId="ListParagraph">
    <w:name w:val="List Paragraph"/>
    <w:basedOn w:val="Normal"/>
    <w:uiPriority w:val="34"/>
    <w:qFormat/>
    <w:rsid w:val="00875F11"/>
    <w:pPr>
      <w:ind w:left="720"/>
      <w:contextualSpacing/>
    </w:pPr>
  </w:style>
  <w:style w:type="character" w:styleId="CommentReference">
    <w:name w:val="annotation reference"/>
    <w:basedOn w:val="DefaultParagraphFont"/>
    <w:uiPriority w:val="99"/>
    <w:semiHidden/>
    <w:unhideWhenUsed/>
    <w:rsid w:val="00C379A6"/>
    <w:rPr>
      <w:sz w:val="16"/>
      <w:szCs w:val="16"/>
    </w:rPr>
  </w:style>
  <w:style w:type="paragraph" w:styleId="CommentText">
    <w:name w:val="annotation text"/>
    <w:basedOn w:val="Normal"/>
    <w:link w:val="CommentTextChar"/>
    <w:uiPriority w:val="99"/>
    <w:unhideWhenUsed/>
    <w:rsid w:val="00C379A6"/>
    <w:pPr>
      <w:spacing w:line="240" w:lineRule="auto"/>
    </w:pPr>
    <w:rPr>
      <w:sz w:val="20"/>
      <w:szCs w:val="20"/>
    </w:rPr>
  </w:style>
  <w:style w:type="character" w:customStyle="1" w:styleId="CommentTextChar">
    <w:name w:val="Comment Text Char"/>
    <w:basedOn w:val="DefaultParagraphFont"/>
    <w:link w:val="CommentText"/>
    <w:uiPriority w:val="99"/>
    <w:rsid w:val="00C379A6"/>
    <w:rPr>
      <w:sz w:val="20"/>
      <w:szCs w:val="20"/>
    </w:rPr>
  </w:style>
  <w:style w:type="paragraph" w:styleId="CommentSubject">
    <w:name w:val="annotation subject"/>
    <w:basedOn w:val="CommentText"/>
    <w:next w:val="CommentText"/>
    <w:link w:val="CommentSubjectChar"/>
    <w:uiPriority w:val="99"/>
    <w:semiHidden/>
    <w:unhideWhenUsed/>
    <w:rsid w:val="00C379A6"/>
    <w:rPr>
      <w:b/>
      <w:bCs/>
    </w:rPr>
  </w:style>
  <w:style w:type="character" w:customStyle="1" w:styleId="CommentSubjectChar">
    <w:name w:val="Comment Subject Char"/>
    <w:basedOn w:val="CommentTextChar"/>
    <w:link w:val="CommentSubject"/>
    <w:uiPriority w:val="99"/>
    <w:semiHidden/>
    <w:rsid w:val="00C37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268796">
      <w:bodyDiv w:val="1"/>
      <w:marLeft w:val="0"/>
      <w:marRight w:val="0"/>
      <w:marTop w:val="0"/>
      <w:marBottom w:val="0"/>
      <w:divBdr>
        <w:top w:val="none" w:sz="0" w:space="0" w:color="auto"/>
        <w:left w:val="none" w:sz="0" w:space="0" w:color="auto"/>
        <w:bottom w:val="none" w:sz="0" w:space="0" w:color="auto"/>
        <w:right w:val="none" w:sz="0" w:space="0" w:color="auto"/>
      </w:divBdr>
    </w:div>
    <w:div w:id="20367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20/08/24/qatar-little-progress-protecting-migrant-workers" TargetMode="External"/><Relationship Id="rId13" Type="http://schemas.openxmlformats.org/officeDocument/2006/relationships/hyperlink" Target="https://www.hrw.org/news/2020/03/27/europe-curb-immigration-detention-amid-pandemic" TargetMode="External"/><Relationship Id="rId3" Type="http://schemas.openxmlformats.org/officeDocument/2006/relationships/hyperlink" Target="https://www.hrw.org/news/2013/12/18/dispatches-lampedusa-national-shame-italy" TargetMode="External"/><Relationship Id="rId7" Type="http://schemas.openxmlformats.org/officeDocument/2006/relationships/hyperlink" Target="https://www.hrw.org/report/2016/07/13/i-was-sold/abuse-and-exploitation-migrant-domestic-workers-oman" TargetMode="External"/><Relationship Id="rId12" Type="http://schemas.openxmlformats.org/officeDocument/2006/relationships/hyperlink" Target="https://rm.coe.int/legal-and-practical-aspects-of-effective-alternatives-to-detention-in-/16808f699f" TargetMode="External"/><Relationship Id="rId2" Type="http://schemas.openxmlformats.org/officeDocument/2006/relationships/hyperlink" Target="https://www.hrw.org/news/2020/10/13/venezuela-abusive-treatment-returnees" TargetMode="External"/><Relationship Id="rId16" Type="http://schemas.openxmlformats.org/officeDocument/2006/relationships/hyperlink" Target="https://immigrationimpact.com/2019/12/16/ice-private-prison-forced-labor-lawsuit/" TargetMode="External"/><Relationship Id="rId1" Type="http://schemas.openxmlformats.org/officeDocument/2006/relationships/hyperlink" Target="https://www.hrw.org/news/2020/03/31/greece-nearly-2000-new-arrivals-detained-overcrowded-mainland-camps" TargetMode="External"/><Relationship Id="rId6" Type="http://schemas.openxmlformats.org/officeDocument/2006/relationships/hyperlink" Target="https://www.hrw.org/news/2020/07/27/lebanon-abolish-kafala-sponsorship-system" TargetMode="External"/><Relationship Id="rId11" Type="http://schemas.openxmlformats.org/officeDocument/2006/relationships/hyperlink" Target="https://idcoalition.org/wp-content/uploads/2016/01/There-Are-Alternatives-2015.pdf" TargetMode="External"/><Relationship Id="rId5" Type="http://schemas.openxmlformats.org/officeDocument/2006/relationships/hyperlink" Target="https://www.hrw.org/news/2020/04/07/gulf-states-ease-immigration-detention-pandemic" TargetMode="External"/><Relationship Id="rId15" Type="http://schemas.openxmlformats.org/officeDocument/2006/relationships/hyperlink" Target="https://www.hrw.org/report/2019/01/21/no-escape-hell/eu-policies-contribute-abuse-migrants-libya" TargetMode="External"/><Relationship Id="rId10" Type="http://schemas.openxmlformats.org/officeDocument/2006/relationships/hyperlink" Target="https://bmcpsychiatry.biomedcentral.com/articles/10.1186/s12888-018-1945-y" TargetMode="External"/><Relationship Id="rId4" Type="http://schemas.openxmlformats.org/officeDocument/2006/relationships/hyperlink" Target="https://www.hrw.org/report/2020/08/24/how-can-we-work-without-wages/salary-abuses-facing-migrant-workers-ahead-qatars" TargetMode="External"/><Relationship Id="rId9" Type="http://schemas.openxmlformats.org/officeDocument/2006/relationships/hyperlink" Target="https://hudoc.echr.coe.int/eng" TargetMode="External"/><Relationship Id="rId14" Type="http://schemas.openxmlformats.org/officeDocument/2006/relationships/hyperlink" Target="https://www.hrw.org/news/2020/03/17/greece-violence-against-asylum-seekers-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5C34E-BE1E-4027-8641-993828DEBB8D}"/>
</file>

<file path=customXml/itemProps2.xml><?xml version="1.0" encoding="utf-8"?>
<ds:datastoreItem xmlns:ds="http://schemas.openxmlformats.org/officeDocument/2006/customXml" ds:itemID="{957AEAF1-EAF1-4D49-9685-919A67B1531C}"/>
</file>

<file path=customXml/itemProps3.xml><?xml version="1.0" encoding="utf-8"?>
<ds:datastoreItem xmlns:ds="http://schemas.openxmlformats.org/officeDocument/2006/customXml" ds:itemID="{3BC7E0EF-713A-43D2-A8E5-E62EFA30B57C}"/>
</file>

<file path=docProps/app.xml><?xml version="1.0" encoding="utf-8"?>
<Properties xmlns="http://schemas.openxmlformats.org/officeDocument/2006/extended-properties" xmlns:vt="http://schemas.openxmlformats.org/officeDocument/2006/docPropsVTypes">
  <Template>Normal</Template>
  <TotalTime>0</TotalTime>
  <Pages>9</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2020-11-03T20:42:00Z</dcterms:created>
  <dcterms:modified xsi:type="dcterms:W3CDTF">2020-11-03T21:53:00Z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