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B7010" w14:textId="77777777" w:rsidR="00861DEF" w:rsidRPr="006E0DB4" w:rsidRDefault="00861DEF" w:rsidP="00F348E7">
      <w:pPr>
        <w:rPr>
          <w:rFonts w:ascii="Arial" w:hAnsi="Arial" w:cs="Arial"/>
          <w:b/>
          <w:sz w:val="22"/>
          <w:szCs w:val="22"/>
        </w:rPr>
      </w:pPr>
    </w:p>
    <w:p w14:paraId="4927ECA2" w14:textId="77777777" w:rsidR="00861DEF" w:rsidRPr="006E0DB4" w:rsidRDefault="00861DEF" w:rsidP="00F348E7">
      <w:pPr>
        <w:rPr>
          <w:rFonts w:ascii="Arial" w:hAnsi="Arial" w:cs="Arial"/>
          <w:b/>
          <w:sz w:val="22"/>
          <w:szCs w:val="22"/>
        </w:rPr>
      </w:pPr>
    </w:p>
    <w:p w14:paraId="78543FD5" w14:textId="77777777" w:rsidR="00861DEF" w:rsidRPr="006E0DB4" w:rsidRDefault="00861DEF" w:rsidP="00F348E7">
      <w:pPr>
        <w:rPr>
          <w:rFonts w:ascii="Arial" w:hAnsi="Arial" w:cs="Arial"/>
          <w:b/>
          <w:sz w:val="22"/>
          <w:szCs w:val="22"/>
        </w:rPr>
      </w:pPr>
    </w:p>
    <w:p w14:paraId="5069D99F" w14:textId="09BB9BFF" w:rsidR="00861DEF" w:rsidRPr="006E0DB4" w:rsidRDefault="00861DEF" w:rsidP="00F348E7">
      <w:pPr>
        <w:rPr>
          <w:rFonts w:ascii="Arial" w:hAnsi="Arial" w:cs="Arial"/>
          <w:b/>
          <w:sz w:val="22"/>
          <w:szCs w:val="22"/>
        </w:rPr>
      </w:pPr>
      <w:r w:rsidRPr="006E0DB4">
        <w:rPr>
          <w:rFonts w:ascii="Avenir Next Condensed" w:hAnsi="Avenir Next Condensed"/>
          <w:b/>
          <w:bCs/>
          <w:noProof/>
          <w:color w:val="0C587B"/>
          <w:sz w:val="20"/>
          <w:szCs w:val="20"/>
        </w:rPr>
        <w:drawing>
          <wp:anchor distT="0" distB="0" distL="114300" distR="114300" simplePos="0" relativeHeight="251656192" behindDoc="1" locked="0" layoutInCell="1" allowOverlap="1" wp14:anchorId="5BD5E7A8" wp14:editId="22D1A106">
            <wp:simplePos x="0" y="0"/>
            <wp:positionH relativeFrom="column">
              <wp:posOffset>-1265922</wp:posOffset>
            </wp:positionH>
            <wp:positionV relativeFrom="paragraph">
              <wp:posOffset>215265</wp:posOffset>
            </wp:positionV>
            <wp:extent cx="7871140" cy="2331720"/>
            <wp:effectExtent l="0" t="0" r="3175" b="508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 Header.png"/>
                    <pic:cNvPicPr/>
                  </pic:nvPicPr>
                  <pic:blipFill>
                    <a:blip r:embed="rId8">
                      <a:extLst>
                        <a:ext uri="{28A0092B-C50C-407E-A947-70E740481C1C}">
                          <a14:useLocalDpi xmlns:a14="http://schemas.microsoft.com/office/drawing/2010/main" val="0"/>
                        </a:ext>
                      </a:extLst>
                    </a:blip>
                    <a:stretch>
                      <a:fillRect/>
                    </a:stretch>
                  </pic:blipFill>
                  <pic:spPr>
                    <a:xfrm>
                      <a:off x="0" y="0"/>
                      <a:ext cx="7880055" cy="2334361"/>
                    </a:xfrm>
                    <a:prstGeom prst="rect">
                      <a:avLst/>
                    </a:prstGeom>
                  </pic:spPr>
                </pic:pic>
              </a:graphicData>
            </a:graphic>
            <wp14:sizeRelH relativeFrom="page">
              <wp14:pctWidth>0</wp14:pctWidth>
            </wp14:sizeRelH>
            <wp14:sizeRelV relativeFrom="page">
              <wp14:pctHeight>0</wp14:pctHeight>
            </wp14:sizeRelV>
          </wp:anchor>
        </w:drawing>
      </w:r>
    </w:p>
    <w:p w14:paraId="17C007C4" w14:textId="3356C054" w:rsidR="00861DEF" w:rsidRPr="006E0DB4" w:rsidRDefault="00861DEF" w:rsidP="00F348E7">
      <w:pPr>
        <w:rPr>
          <w:rFonts w:ascii="Arial" w:hAnsi="Arial" w:cs="Arial"/>
          <w:b/>
          <w:sz w:val="22"/>
          <w:szCs w:val="22"/>
        </w:rPr>
      </w:pPr>
    </w:p>
    <w:p w14:paraId="60645BD5" w14:textId="7D5C32F7" w:rsidR="00861DEF" w:rsidRPr="006E0DB4" w:rsidRDefault="00861DEF" w:rsidP="00F348E7">
      <w:pPr>
        <w:rPr>
          <w:rFonts w:ascii="Arial" w:hAnsi="Arial" w:cs="Arial"/>
          <w:b/>
          <w:sz w:val="22"/>
          <w:szCs w:val="22"/>
        </w:rPr>
      </w:pPr>
      <w:r w:rsidRPr="006E0DB4">
        <w:rPr>
          <w:rFonts w:ascii="Avenir Next Condensed" w:hAnsi="Avenir Next Condensed"/>
          <w:b/>
          <w:bCs/>
          <w:noProof/>
          <w:color w:val="0C587B"/>
          <w:sz w:val="20"/>
          <w:szCs w:val="20"/>
        </w:rPr>
        <mc:AlternateContent>
          <mc:Choice Requires="wps">
            <w:drawing>
              <wp:anchor distT="0" distB="0" distL="114300" distR="114300" simplePos="0" relativeHeight="251658240" behindDoc="0" locked="0" layoutInCell="1" allowOverlap="1" wp14:anchorId="35E5ECAB" wp14:editId="32D4D9E9">
                <wp:simplePos x="0" y="0"/>
                <wp:positionH relativeFrom="column">
                  <wp:posOffset>1120140</wp:posOffset>
                </wp:positionH>
                <wp:positionV relativeFrom="paragraph">
                  <wp:posOffset>156845</wp:posOffset>
                </wp:positionV>
                <wp:extent cx="5349240" cy="1816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49240" cy="181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B5EF80" w14:textId="625B0A89" w:rsidR="00BA54C4" w:rsidRPr="00BE1A32" w:rsidRDefault="00BA54C4" w:rsidP="00861DEF">
                            <w:pPr>
                              <w:jc w:val="center"/>
                            </w:pPr>
                            <w:r>
                              <w:rPr>
                                <w:rFonts w:ascii="Avenir Next Condensed" w:hAnsi="Avenir Next Condensed"/>
                                <w:b/>
                                <w:bCs/>
                                <w:color w:val="000000" w:themeColor="text1"/>
                                <w:sz w:val="62"/>
                                <w:szCs w:val="62"/>
                              </w:rPr>
                              <w:t>SUBMISSION TO THE UN COMMITTEE ON MIGRANT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8.2pt;margin-top:12.35pt;width:421.2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" filled="f" stroked="f">
                <v:textbox>
                  <w:txbxContent>
                    <w:p w14:paraId="1DB5EF80" w14:textId="625B0A89" w:rsidR="00BA54C4" w:rsidRPr="00BE1A32" w:rsidRDefault="00BA54C4" w:rsidP="00861DEF">
                      <w:pPr>
                        <w:jc w:val="center"/>
                      </w:pPr>
                      <w:r>
                        <w:rPr>
                          <w:rFonts w:ascii="Avenir Next Condensed" w:hAnsi="Avenir Next Condensed"/>
                          <w:b/>
                          <w:bCs/>
                          <w:color w:val="000000" w:themeColor="text1"/>
                          <w:sz w:val="62"/>
                          <w:szCs w:val="62"/>
                        </w:rPr>
                        <w:t>SUBMISSION TO THE UN COMMITTEE ON MIGRANT WORKERS</w:t>
                      </w:r>
                    </w:p>
                  </w:txbxContent>
                </v:textbox>
                <w10:wrap type="square"/>
              </v:shape>
            </w:pict>
          </mc:Fallback>
        </mc:AlternateContent>
      </w:r>
    </w:p>
    <w:p w14:paraId="443452C2" w14:textId="5831FD58" w:rsidR="00861DEF" w:rsidRPr="006E0DB4" w:rsidRDefault="00861DEF" w:rsidP="00F348E7">
      <w:pPr>
        <w:rPr>
          <w:rFonts w:ascii="Arial" w:hAnsi="Arial" w:cs="Arial"/>
          <w:b/>
          <w:sz w:val="22"/>
          <w:szCs w:val="22"/>
        </w:rPr>
      </w:pPr>
    </w:p>
    <w:p w14:paraId="0E281108" w14:textId="77777777" w:rsidR="00861DEF" w:rsidRPr="006E0DB4" w:rsidRDefault="00861DEF" w:rsidP="00F348E7">
      <w:pPr>
        <w:rPr>
          <w:rFonts w:ascii="Arial" w:hAnsi="Arial" w:cs="Arial"/>
          <w:b/>
          <w:sz w:val="22"/>
          <w:szCs w:val="22"/>
        </w:rPr>
      </w:pPr>
    </w:p>
    <w:p w14:paraId="61DB166D" w14:textId="77777777" w:rsidR="00861DEF" w:rsidRPr="006E0DB4" w:rsidRDefault="00861DEF" w:rsidP="00F348E7">
      <w:pPr>
        <w:rPr>
          <w:rFonts w:ascii="Arial" w:hAnsi="Arial" w:cs="Arial"/>
          <w:b/>
          <w:sz w:val="22"/>
          <w:szCs w:val="22"/>
        </w:rPr>
      </w:pPr>
    </w:p>
    <w:p w14:paraId="48E5687F" w14:textId="77777777" w:rsidR="00861DEF" w:rsidRPr="006E0DB4" w:rsidRDefault="00861DEF" w:rsidP="00F348E7">
      <w:pPr>
        <w:rPr>
          <w:rFonts w:ascii="Arial" w:hAnsi="Arial" w:cs="Arial"/>
          <w:b/>
          <w:sz w:val="22"/>
          <w:szCs w:val="22"/>
        </w:rPr>
      </w:pPr>
    </w:p>
    <w:p w14:paraId="62DFEFD1" w14:textId="77777777" w:rsidR="00861DEF" w:rsidRPr="006E0DB4" w:rsidRDefault="00861DEF" w:rsidP="00F348E7">
      <w:pPr>
        <w:rPr>
          <w:rFonts w:ascii="Arial" w:hAnsi="Arial" w:cs="Arial"/>
          <w:b/>
          <w:sz w:val="22"/>
          <w:szCs w:val="22"/>
        </w:rPr>
      </w:pPr>
    </w:p>
    <w:p w14:paraId="542A39D5" w14:textId="77777777" w:rsidR="00861DEF" w:rsidRPr="006E0DB4" w:rsidRDefault="00861DEF" w:rsidP="00F348E7">
      <w:pPr>
        <w:rPr>
          <w:rFonts w:ascii="Arial" w:hAnsi="Arial" w:cs="Arial"/>
          <w:b/>
          <w:sz w:val="22"/>
          <w:szCs w:val="22"/>
        </w:rPr>
      </w:pPr>
    </w:p>
    <w:p w14:paraId="69763522" w14:textId="77777777" w:rsidR="00861DEF" w:rsidRPr="006E0DB4" w:rsidRDefault="00861DEF" w:rsidP="00F348E7">
      <w:pPr>
        <w:rPr>
          <w:rFonts w:ascii="Arial" w:hAnsi="Arial" w:cs="Arial"/>
          <w:b/>
          <w:sz w:val="22"/>
          <w:szCs w:val="22"/>
        </w:rPr>
      </w:pPr>
    </w:p>
    <w:p w14:paraId="3A361C4C" w14:textId="77777777" w:rsidR="00861DEF" w:rsidRPr="006E0DB4" w:rsidRDefault="00861DEF" w:rsidP="00F348E7">
      <w:pPr>
        <w:rPr>
          <w:rFonts w:ascii="Arial" w:hAnsi="Arial" w:cs="Arial"/>
          <w:b/>
          <w:sz w:val="22"/>
          <w:szCs w:val="22"/>
        </w:rPr>
      </w:pPr>
    </w:p>
    <w:p w14:paraId="187B22EF" w14:textId="77777777" w:rsidR="00861DEF" w:rsidRPr="006E0DB4" w:rsidRDefault="00861DEF" w:rsidP="00F348E7">
      <w:pPr>
        <w:rPr>
          <w:rFonts w:ascii="Arial" w:hAnsi="Arial" w:cs="Arial"/>
          <w:b/>
          <w:sz w:val="22"/>
          <w:szCs w:val="22"/>
        </w:rPr>
      </w:pPr>
    </w:p>
    <w:p w14:paraId="2EA7BB2E" w14:textId="77777777" w:rsidR="00861DEF" w:rsidRPr="006E0DB4" w:rsidRDefault="00861DEF" w:rsidP="00F348E7">
      <w:pPr>
        <w:rPr>
          <w:rFonts w:ascii="Arial" w:hAnsi="Arial" w:cs="Arial"/>
          <w:b/>
          <w:sz w:val="22"/>
          <w:szCs w:val="22"/>
        </w:rPr>
      </w:pPr>
    </w:p>
    <w:p w14:paraId="590F653E" w14:textId="77777777" w:rsidR="00861DEF" w:rsidRPr="006E0DB4" w:rsidRDefault="00861DEF" w:rsidP="00F348E7">
      <w:pPr>
        <w:rPr>
          <w:rFonts w:ascii="Arial" w:hAnsi="Arial" w:cs="Arial"/>
          <w:b/>
          <w:sz w:val="22"/>
          <w:szCs w:val="22"/>
        </w:rPr>
      </w:pPr>
    </w:p>
    <w:p w14:paraId="616A1F5A" w14:textId="77777777" w:rsidR="00861DEF" w:rsidRPr="006E0DB4" w:rsidRDefault="00861DEF" w:rsidP="00F348E7">
      <w:pPr>
        <w:rPr>
          <w:rFonts w:ascii="Arial" w:hAnsi="Arial" w:cs="Arial"/>
          <w:b/>
          <w:sz w:val="22"/>
          <w:szCs w:val="22"/>
        </w:rPr>
      </w:pPr>
    </w:p>
    <w:p w14:paraId="55079348" w14:textId="77777777" w:rsidR="00861DEF" w:rsidRPr="006E0DB4" w:rsidRDefault="00861DEF" w:rsidP="00F348E7">
      <w:pPr>
        <w:rPr>
          <w:rFonts w:ascii="Arial" w:hAnsi="Arial" w:cs="Arial"/>
          <w:b/>
          <w:sz w:val="22"/>
          <w:szCs w:val="22"/>
        </w:rPr>
      </w:pPr>
    </w:p>
    <w:p w14:paraId="5108A386" w14:textId="77777777" w:rsidR="00861DEF" w:rsidRPr="006E0DB4" w:rsidRDefault="00861DEF" w:rsidP="00F348E7">
      <w:pPr>
        <w:rPr>
          <w:rFonts w:ascii="Arial" w:hAnsi="Arial" w:cs="Arial"/>
          <w:b/>
          <w:sz w:val="22"/>
          <w:szCs w:val="22"/>
        </w:rPr>
      </w:pPr>
    </w:p>
    <w:p w14:paraId="776D46C5" w14:textId="77777777" w:rsidR="00861DEF" w:rsidRPr="006E0DB4" w:rsidRDefault="00861DEF" w:rsidP="00F348E7">
      <w:pPr>
        <w:rPr>
          <w:rFonts w:ascii="Arial" w:hAnsi="Arial" w:cs="Arial"/>
          <w:b/>
          <w:sz w:val="22"/>
          <w:szCs w:val="22"/>
        </w:rPr>
      </w:pPr>
    </w:p>
    <w:p w14:paraId="4F9CD6C4" w14:textId="77777777" w:rsidR="00861DEF" w:rsidRPr="006E0DB4" w:rsidRDefault="00861DEF" w:rsidP="00F348E7">
      <w:pPr>
        <w:rPr>
          <w:rFonts w:ascii="Avenir Next Condensed" w:hAnsi="Avenir Next Condensed" w:cs="Arial"/>
          <w:bCs/>
          <w:sz w:val="44"/>
          <w:szCs w:val="44"/>
        </w:rPr>
      </w:pPr>
    </w:p>
    <w:p w14:paraId="397C2669" w14:textId="4EE80DD2" w:rsidR="00861DEF" w:rsidRPr="006E0DB4" w:rsidRDefault="00861DEF" w:rsidP="00F348E7">
      <w:pPr>
        <w:jc w:val="center"/>
        <w:rPr>
          <w:rFonts w:ascii="Avenir Next Condensed" w:hAnsi="Avenir Next Condensed" w:cs="Arial"/>
          <w:bCs/>
          <w:sz w:val="44"/>
          <w:szCs w:val="44"/>
        </w:rPr>
      </w:pPr>
      <w:r w:rsidRPr="006E0DB4">
        <w:rPr>
          <w:rFonts w:ascii="Avenir Next Condensed" w:hAnsi="Avenir Next Condensed" w:cs="Arial"/>
          <w:bCs/>
          <w:sz w:val="44"/>
          <w:szCs w:val="44"/>
        </w:rPr>
        <w:t>DRAFT GENERAL COMMENT NO.5 ON MIGRANTS’ RIGHT TO LIBERTY AND FREEDOM FROM ARBITRARY DETENTION</w:t>
      </w:r>
    </w:p>
    <w:p w14:paraId="37670B5B" w14:textId="072B6247" w:rsidR="00861DEF" w:rsidRPr="006E0DB4" w:rsidRDefault="00861DEF" w:rsidP="00F348E7">
      <w:pPr>
        <w:jc w:val="center"/>
        <w:rPr>
          <w:rFonts w:ascii="Avenir Next Condensed" w:hAnsi="Avenir Next Condensed" w:cs="Arial"/>
          <w:bCs/>
          <w:sz w:val="44"/>
          <w:szCs w:val="44"/>
        </w:rPr>
      </w:pPr>
    </w:p>
    <w:p w14:paraId="2665E475" w14:textId="77777777" w:rsidR="00861DEF" w:rsidRPr="006E0DB4" w:rsidRDefault="00861DEF" w:rsidP="00F348E7">
      <w:pPr>
        <w:jc w:val="center"/>
        <w:rPr>
          <w:rFonts w:ascii="Avenir Next Condensed" w:hAnsi="Avenir Next Condensed" w:cs="Arial"/>
          <w:bCs/>
          <w:sz w:val="44"/>
          <w:szCs w:val="44"/>
        </w:rPr>
      </w:pPr>
    </w:p>
    <w:p w14:paraId="0BE8C983" w14:textId="7C87539E" w:rsidR="00861DEF" w:rsidRPr="006E0DB4" w:rsidRDefault="00861DEF" w:rsidP="00F348E7">
      <w:pPr>
        <w:jc w:val="center"/>
        <w:rPr>
          <w:rFonts w:ascii="Avenir Next Condensed" w:hAnsi="Avenir Next Condensed" w:cs="Arial"/>
          <w:bCs/>
          <w:sz w:val="44"/>
          <w:szCs w:val="44"/>
        </w:rPr>
      </w:pPr>
    </w:p>
    <w:p w14:paraId="6E9FDAF8" w14:textId="6A9A174C" w:rsidR="00861DEF" w:rsidRPr="006E0DB4" w:rsidRDefault="00861DEF" w:rsidP="00F348E7">
      <w:pPr>
        <w:jc w:val="center"/>
        <w:rPr>
          <w:rFonts w:ascii="Avenir Next Condensed" w:hAnsi="Avenir Next Condensed" w:cs="Arial"/>
          <w:bCs/>
          <w:i/>
          <w:iCs/>
          <w:sz w:val="44"/>
          <w:szCs w:val="44"/>
        </w:rPr>
      </w:pPr>
      <w:r w:rsidRPr="006E0DB4">
        <w:rPr>
          <w:rFonts w:ascii="Avenir Next Condensed" w:hAnsi="Avenir Next Condensed" w:cs="Arial"/>
          <w:bCs/>
          <w:i/>
          <w:iCs/>
          <w:sz w:val="44"/>
          <w:szCs w:val="44"/>
        </w:rPr>
        <w:t>SUBMITTED IN NOVEMBER 2020</w:t>
      </w:r>
    </w:p>
    <w:p w14:paraId="1414DF36" w14:textId="77777777" w:rsidR="00861DEF" w:rsidRPr="006E0DB4" w:rsidRDefault="00861DEF" w:rsidP="00F348E7">
      <w:pPr>
        <w:rPr>
          <w:rFonts w:ascii="Arial" w:hAnsi="Arial" w:cs="Arial"/>
          <w:b/>
          <w:sz w:val="22"/>
          <w:szCs w:val="22"/>
        </w:rPr>
      </w:pPr>
    </w:p>
    <w:p w14:paraId="70CE10E5" w14:textId="77777777" w:rsidR="00F45AFD" w:rsidRPr="006E0DB4" w:rsidRDefault="00F45AFD" w:rsidP="00F348E7">
      <w:pPr>
        <w:rPr>
          <w:rFonts w:ascii="Arial" w:hAnsi="Arial" w:cs="Arial"/>
          <w:b/>
          <w:sz w:val="22"/>
          <w:szCs w:val="22"/>
        </w:rPr>
      </w:pPr>
    </w:p>
    <w:p w14:paraId="542631E8" w14:textId="77777777" w:rsidR="00765C87" w:rsidRPr="006E0DB4" w:rsidRDefault="00765C87" w:rsidP="00F348E7">
      <w:pPr>
        <w:rPr>
          <w:rFonts w:ascii="Arial" w:hAnsi="Arial" w:cs="Arial"/>
          <w:b/>
          <w:sz w:val="22"/>
          <w:szCs w:val="22"/>
        </w:rPr>
      </w:pPr>
      <w:r w:rsidRPr="006E0DB4">
        <w:rPr>
          <w:rFonts w:ascii="Arial" w:hAnsi="Arial" w:cs="Arial"/>
          <w:b/>
          <w:sz w:val="22"/>
          <w:szCs w:val="22"/>
        </w:rPr>
        <w:br w:type="page"/>
      </w:r>
    </w:p>
    <w:p w14:paraId="2161F9E2" w14:textId="77777777" w:rsidR="00861DEF" w:rsidRPr="006E0DB4" w:rsidRDefault="00861DEF" w:rsidP="00F348E7">
      <w:pPr>
        <w:rPr>
          <w:rFonts w:ascii="Arial" w:hAnsi="Arial" w:cs="Arial"/>
          <w:b/>
          <w:sz w:val="22"/>
          <w:szCs w:val="22"/>
        </w:rPr>
      </w:pPr>
    </w:p>
    <w:p w14:paraId="4ED22FC6" w14:textId="77777777" w:rsidR="00861DEF" w:rsidRPr="006E0DB4" w:rsidRDefault="00861DEF" w:rsidP="00F348E7">
      <w:pPr>
        <w:pStyle w:val="NormalWeb"/>
        <w:jc w:val="center"/>
        <w:rPr>
          <w:rFonts w:ascii="Avenir Next Condensed" w:hAnsi="Avenir Next Condensed"/>
          <w:b/>
          <w:bCs/>
          <w:color w:val="1A5479"/>
          <w:sz w:val="36"/>
          <w:szCs w:val="36"/>
          <w:lang w:val="en-GB"/>
        </w:rPr>
      </w:pPr>
      <w:r w:rsidRPr="006E0DB4">
        <w:rPr>
          <w:rFonts w:ascii="Avenir Next Condensed" w:hAnsi="Avenir Next Condensed"/>
          <w:b/>
          <w:bCs/>
          <w:color w:val="1A5479"/>
          <w:sz w:val="36"/>
          <w:szCs w:val="36"/>
          <w:lang w:val="en-GB"/>
        </w:rPr>
        <w:t>THE GLOBAL DETENTION PROJECT MISSION</w:t>
      </w:r>
    </w:p>
    <w:p w14:paraId="707FA0A2" w14:textId="77777777" w:rsidR="00861DEF" w:rsidRPr="006E0DB4" w:rsidRDefault="00861DEF" w:rsidP="00F348E7">
      <w:pPr>
        <w:jc w:val="center"/>
        <w:rPr>
          <w:rFonts w:ascii="Avenir Next Condensed" w:eastAsia="Times New Roman" w:hAnsi="Avenir Next Condensed" w:cs="Arial"/>
          <w:color w:val="222222"/>
          <w:shd w:val="clear" w:color="auto" w:fill="FFFFFF"/>
        </w:rPr>
      </w:pPr>
      <w:r w:rsidRPr="006E0DB4">
        <w:rPr>
          <w:rFonts w:ascii="Avenir Next Condensed" w:eastAsia="Times New Roman" w:hAnsi="Avenir Next Condensed" w:cs="Arial"/>
          <w:color w:val="222222"/>
          <w:shd w:val="clear" w:color="auto" w:fill="FFFFFF"/>
        </w:rPr>
        <w:t>The Global Detention Project (GDP) is a non-profit organisation based in Geneva that promotes the human rights of people who have been detained for reasons related to their non-citizen status. Our mission is:</w:t>
      </w:r>
    </w:p>
    <w:p w14:paraId="6B4261A8" w14:textId="77777777" w:rsidR="00861DEF" w:rsidRPr="006E0DB4" w:rsidRDefault="00861DEF" w:rsidP="00F348E7">
      <w:pPr>
        <w:jc w:val="center"/>
        <w:rPr>
          <w:rFonts w:ascii="Avenir Next Condensed" w:eastAsia="Times New Roman" w:hAnsi="Avenir Next Condensed" w:cs="Arial"/>
          <w:color w:val="222222"/>
          <w:shd w:val="clear" w:color="auto" w:fill="FFFFFF"/>
        </w:rPr>
      </w:pPr>
    </w:p>
    <w:p w14:paraId="6CA95F24" w14:textId="77777777" w:rsidR="00861DEF" w:rsidRPr="006E0DB4" w:rsidRDefault="00861DEF" w:rsidP="00F348E7">
      <w:pPr>
        <w:pStyle w:val="BalloonText"/>
        <w:numPr>
          <w:ilvl w:val="0"/>
          <w:numId w:val="1"/>
        </w:numPr>
        <w:ind w:left="450"/>
        <w:rPr>
          <w:rFonts w:ascii="Avenir Next Condensed" w:eastAsia="Times New Roman" w:hAnsi="Avenir Next Condensed"/>
          <w:sz w:val="24"/>
          <w:szCs w:val="24"/>
        </w:rPr>
      </w:pPr>
      <w:r w:rsidRPr="006E0DB4">
        <w:rPr>
          <w:rFonts w:ascii="Avenir Next Condensed" w:eastAsia="Times New Roman" w:hAnsi="Avenir Next Condensed" w:cs="Arial"/>
          <w:color w:val="222222"/>
          <w:sz w:val="24"/>
          <w:szCs w:val="24"/>
          <w:shd w:val="clear" w:color="auto" w:fill="FFFFFF"/>
        </w:rPr>
        <w:t>To promote the human rights of detained migrants, refugees, and asylum seekers;</w:t>
      </w:r>
    </w:p>
    <w:p w14:paraId="38B3E4AF" w14:textId="77777777" w:rsidR="00861DEF" w:rsidRPr="006E0DB4" w:rsidRDefault="00861DEF" w:rsidP="00F348E7">
      <w:pPr>
        <w:pStyle w:val="BalloonText"/>
        <w:numPr>
          <w:ilvl w:val="0"/>
          <w:numId w:val="1"/>
        </w:numPr>
        <w:ind w:left="450"/>
        <w:rPr>
          <w:rFonts w:ascii="Avenir Next Condensed" w:eastAsia="Times New Roman" w:hAnsi="Avenir Next Condensed"/>
          <w:sz w:val="24"/>
          <w:szCs w:val="24"/>
        </w:rPr>
      </w:pPr>
      <w:r w:rsidRPr="006E0DB4">
        <w:rPr>
          <w:rFonts w:ascii="Avenir Next Condensed" w:eastAsia="Times New Roman" w:hAnsi="Avenir Next Condensed" w:cs="Arial"/>
          <w:color w:val="222222"/>
          <w:sz w:val="24"/>
          <w:szCs w:val="24"/>
          <w:shd w:val="clear" w:color="auto" w:fill="FFFFFF"/>
        </w:rPr>
        <w:t>To ensure transparency in the treatment of immigration detainees; </w:t>
      </w:r>
    </w:p>
    <w:p w14:paraId="6858EA1C" w14:textId="77777777" w:rsidR="00861DEF" w:rsidRPr="006E0DB4" w:rsidRDefault="00861DEF" w:rsidP="00F348E7">
      <w:pPr>
        <w:pStyle w:val="BalloonText"/>
        <w:numPr>
          <w:ilvl w:val="0"/>
          <w:numId w:val="1"/>
        </w:numPr>
        <w:ind w:left="450"/>
        <w:rPr>
          <w:rFonts w:ascii="Avenir Next Condensed" w:eastAsia="Times New Roman" w:hAnsi="Avenir Next Condensed"/>
          <w:sz w:val="24"/>
          <w:szCs w:val="24"/>
        </w:rPr>
      </w:pPr>
      <w:r w:rsidRPr="006E0DB4">
        <w:rPr>
          <w:rFonts w:ascii="Avenir Next Condensed" w:eastAsia="Times New Roman" w:hAnsi="Avenir Next Condensed" w:cs="Arial"/>
          <w:color w:val="222222"/>
          <w:sz w:val="24"/>
          <w:szCs w:val="24"/>
          <w:shd w:val="clear" w:color="auto" w:fill="FFFFFF"/>
        </w:rPr>
        <w:t>To reinforce advocacy aimed at reforming detention systems;</w:t>
      </w:r>
    </w:p>
    <w:p w14:paraId="361A1A86" w14:textId="77777777" w:rsidR="00861DEF" w:rsidRPr="006E0DB4" w:rsidRDefault="00861DEF" w:rsidP="00F348E7">
      <w:pPr>
        <w:pStyle w:val="BalloonText"/>
        <w:numPr>
          <w:ilvl w:val="0"/>
          <w:numId w:val="1"/>
        </w:numPr>
        <w:ind w:left="450"/>
        <w:rPr>
          <w:rFonts w:ascii="Avenir Next Condensed" w:eastAsia="Times New Roman" w:hAnsi="Avenir Next Condensed"/>
          <w:sz w:val="24"/>
          <w:szCs w:val="24"/>
        </w:rPr>
      </w:pPr>
      <w:r w:rsidRPr="006E0DB4">
        <w:rPr>
          <w:rFonts w:ascii="Avenir Next Condensed" w:eastAsia="Times New Roman" w:hAnsi="Avenir Next Condensed" w:cs="Arial"/>
          <w:color w:val="222222"/>
          <w:sz w:val="24"/>
          <w:szCs w:val="24"/>
          <w:shd w:val="clear" w:color="auto" w:fill="FFFFFF"/>
        </w:rPr>
        <w:t>To nurture policy-relevant scholarship on the causes and consequences of migration control policies. </w:t>
      </w:r>
    </w:p>
    <w:p w14:paraId="36860B3D" w14:textId="5028F880" w:rsidR="00861DEF" w:rsidRPr="006E0DB4" w:rsidRDefault="00861DEF" w:rsidP="00F348E7">
      <w:pPr>
        <w:rPr>
          <w:rFonts w:ascii="Arial" w:hAnsi="Arial" w:cs="Arial"/>
          <w:b/>
          <w:sz w:val="22"/>
          <w:szCs w:val="22"/>
        </w:rPr>
      </w:pPr>
    </w:p>
    <w:p w14:paraId="310A4FF0" w14:textId="77777777" w:rsidR="00861DEF" w:rsidRPr="006E0DB4" w:rsidRDefault="00861DEF" w:rsidP="00F348E7">
      <w:pPr>
        <w:rPr>
          <w:rFonts w:ascii="Arial" w:hAnsi="Arial" w:cs="Arial"/>
          <w:b/>
          <w:sz w:val="22"/>
          <w:szCs w:val="22"/>
        </w:rPr>
      </w:pPr>
    </w:p>
    <w:p w14:paraId="49A52D6E" w14:textId="00272B85" w:rsidR="00861DEF" w:rsidRPr="006E0DB4" w:rsidRDefault="00861DEF" w:rsidP="00F348E7">
      <w:pPr>
        <w:rPr>
          <w:rFonts w:ascii="Arial" w:hAnsi="Arial" w:cs="Arial"/>
          <w:b/>
          <w:sz w:val="22"/>
          <w:szCs w:val="22"/>
        </w:rPr>
      </w:pPr>
    </w:p>
    <w:p w14:paraId="79BD48F5" w14:textId="6DA4CF52" w:rsidR="00861DEF" w:rsidRPr="006E0DB4" w:rsidRDefault="00861DEF" w:rsidP="00F348E7">
      <w:pPr>
        <w:rPr>
          <w:rFonts w:ascii="Arial" w:hAnsi="Arial" w:cs="Arial"/>
          <w:b/>
          <w:sz w:val="22"/>
          <w:szCs w:val="22"/>
        </w:rPr>
      </w:pPr>
    </w:p>
    <w:p w14:paraId="66B26FCD" w14:textId="667804C8" w:rsidR="00861DEF" w:rsidRPr="006E0DB4" w:rsidRDefault="00861DEF" w:rsidP="00F348E7">
      <w:pPr>
        <w:rPr>
          <w:rFonts w:ascii="Arial" w:hAnsi="Arial" w:cs="Arial"/>
          <w:b/>
          <w:sz w:val="22"/>
          <w:szCs w:val="22"/>
        </w:rPr>
      </w:pPr>
    </w:p>
    <w:p w14:paraId="255C496B" w14:textId="607962C3" w:rsidR="00861DEF" w:rsidRPr="006E0DB4" w:rsidRDefault="00861DEF" w:rsidP="00F348E7">
      <w:pPr>
        <w:rPr>
          <w:rFonts w:ascii="Arial" w:hAnsi="Arial" w:cs="Arial"/>
          <w:b/>
          <w:sz w:val="22"/>
          <w:szCs w:val="22"/>
        </w:rPr>
      </w:pPr>
    </w:p>
    <w:p w14:paraId="2BCECB53" w14:textId="5F4160AC" w:rsidR="00861DEF" w:rsidRPr="006E0DB4" w:rsidRDefault="00861DEF" w:rsidP="00F348E7">
      <w:pPr>
        <w:rPr>
          <w:rFonts w:ascii="Arial" w:hAnsi="Arial" w:cs="Arial"/>
          <w:b/>
          <w:sz w:val="22"/>
          <w:szCs w:val="22"/>
        </w:rPr>
      </w:pPr>
    </w:p>
    <w:p w14:paraId="6A267ED3" w14:textId="61DC4469" w:rsidR="00861DEF" w:rsidRPr="006E0DB4" w:rsidRDefault="00861DEF" w:rsidP="00F348E7">
      <w:pPr>
        <w:rPr>
          <w:rFonts w:ascii="Arial" w:hAnsi="Arial" w:cs="Arial"/>
          <w:b/>
          <w:sz w:val="22"/>
          <w:szCs w:val="22"/>
        </w:rPr>
      </w:pPr>
    </w:p>
    <w:p w14:paraId="5A394F3A" w14:textId="63A1512A" w:rsidR="00861DEF" w:rsidRPr="006E0DB4" w:rsidRDefault="00861DEF" w:rsidP="00F348E7">
      <w:pPr>
        <w:rPr>
          <w:rFonts w:ascii="Arial" w:hAnsi="Arial" w:cs="Arial"/>
          <w:b/>
          <w:sz w:val="22"/>
          <w:szCs w:val="22"/>
        </w:rPr>
      </w:pPr>
    </w:p>
    <w:p w14:paraId="3EB3A414" w14:textId="0CAA7BB8" w:rsidR="00861DEF" w:rsidRPr="006E0DB4" w:rsidRDefault="00861DEF" w:rsidP="00F348E7">
      <w:pPr>
        <w:rPr>
          <w:rFonts w:ascii="Arial" w:hAnsi="Arial" w:cs="Arial"/>
          <w:b/>
          <w:sz w:val="22"/>
          <w:szCs w:val="22"/>
        </w:rPr>
      </w:pPr>
    </w:p>
    <w:p w14:paraId="0358FD44" w14:textId="07F8CEC2" w:rsidR="00861DEF" w:rsidRPr="006E0DB4" w:rsidRDefault="00861DEF" w:rsidP="00F348E7">
      <w:pPr>
        <w:rPr>
          <w:rFonts w:ascii="Arial" w:hAnsi="Arial" w:cs="Arial"/>
          <w:b/>
          <w:sz w:val="22"/>
          <w:szCs w:val="22"/>
        </w:rPr>
      </w:pPr>
    </w:p>
    <w:p w14:paraId="6F208CAA" w14:textId="4EC14BB2" w:rsidR="00861DEF" w:rsidRPr="006E0DB4" w:rsidRDefault="00861DEF" w:rsidP="00F348E7">
      <w:pPr>
        <w:rPr>
          <w:rFonts w:ascii="Arial" w:hAnsi="Arial" w:cs="Arial"/>
          <w:b/>
          <w:sz w:val="22"/>
          <w:szCs w:val="22"/>
        </w:rPr>
      </w:pPr>
    </w:p>
    <w:p w14:paraId="6881C1E8" w14:textId="54F8BDBE" w:rsidR="00861DEF" w:rsidRPr="006E0DB4" w:rsidRDefault="00861DEF" w:rsidP="00F348E7">
      <w:pPr>
        <w:rPr>
          <w:rFonts w:ascii="Arial" w:hAnsi="Arial" w:cs="Arial"/>
          <w:b/>
          <w:sz w:val="22"/>
          <w:szCs w:val="22"/>
        </w:rPr>
      </w:pPr>
    </w:p>
    <w:p w14:paraId="65940168" w14:textId="7A06D562" w:rsidR="00861DEF" w:rsidRPr="006E0DB4" w:rsidRDefault="00861DEF" w:rsidP="00F348E7">
      <w:pPr>
        <w:rPr>
          <w:rFonts w:ascii="Arial" w:hAnsi="Arial" w:cs="Arial"/>
          <w:b/>
          <w:sz w:val="22"/>
          <w:szCs w:val="22"/>
        </w:rPr>
      </w:pPr>
    </w:p>
    <w:p w14:paraId="7335124D" w14:textId="560BFDFF" w:rsidR="00861DEF" w:rsidRPr="006E0DB4" w:rsidRDefault="00861DEF" w:rsidP="00F348E7">
      <w:pPr>
        <w:rPr>
          <w:rFonts w:ascii="Arial" w:hAnsi="Arial" w:cs="Arial"/>
          <w:b/>
          <w:sz w:val="22"/>
          <w:szCs w:val="22"/>
        </w:rPr>
      </w:pPr>
    </w:p>
    <w:p w14:paraId="251BFA60" w14:textId="3D610D71" w:rsidR="00861DEF" w:rsidRPr="006E0DB4" w:rsidRDefault="00861DEF" w:rsidP="00F348E7">
      <w:pPr>
        <w:rPr>
          <w:rFonts w:ascii="Arial" w:hAnsi="Arial" w:cs="Arial"/>
          <w:b/>
          <w:sz w:val="22"/>
          <w:szCs w:val="22"/>
        </w:rPr>
      </w:pPr>
    </w:p>
    <w:p w14:paraId="4F4D765A" w14:textId="69C22D6A" w:rsidR="00861DEF" w:rsidRPr="006E0DB4" w:rsidRDefault="00861DEF" w:rsidP="00F348E7">
      <w:pPr>
        <w:rPr>
          <w:rFonts w:ascii="Arial" w:hAnsi="Arial" w:cs="Arial"/>
          <w:b/>
          <w:sz w:val="22"/>
          <w:szCs w:val="22"/>
        </w:rPr>
      </w:pPr>
    </w:p>
    <w:p w14:paraId="595529BA" w14:textId="332EA5D4" w:rsidR="00861DEF" w:rsidRPr="006E0DB4" w:rsidRDefault="00861DEF" w:rsidP="00F348E7">
      <w:pPr>
        <w:rPr>
          <w:rFonts w:ascii="Arial" w:hAnsi="Arial" w:cs="Arial"/>
          <w:b/>
          <w:sz w:val="22"/>
          <w:szCs w:val="22"/>
        </w:rPr>
      </w:pPr>
    </w:p>
    <w:p w14:paraId="1F9C8704" w14:textId="52F4657D" w:rsidR="00861DEF" w:rsidRPr="006E0DB4" w:rsidRDefault="00861DEF" w:rsidP="00F348E7">
      <w:pPr>
        <w:rPr>
          <w:rFonts w:ascii="Arial" w:hAnsi="Arial" w:cs="Arial"/>
          <w:b/>
          <w:sz w:val="22"/>
          <w:szCs w:val="22"/>
        </w:rPr>
      </w:pPr>
    </w:p>
    <w:p w14:paraId="04E65FBB" w14:textId="14F32AF4" w:rsidR="00861DEF" w:rsidRPr="006E0DB4" w:rsidRDefault="00861DEF" w:rsidP="00F348E7">
      <w:pPr>
        <w:rPr>
          <w:rFonts w:ascii="Arial" w:hAnsi="Arial" w:cs="Arial"/>
          <w:b/>
          <w:sz w:val="22"/>
          <w:szCs w:val="22"/>
        </w:rPr>
      </w:pPr>
    </w:p>
    <w:p w14:paraId="4FC397F3" w14:textId="1DA91FCB" w:rsidR="00861DEF" w:rsidRPr="006E0DB4" w:rsidRDefault="00861DEF" w:rsidP="00F348E7">
      <w:pPr>
        <w:rPr>
          <w:rFonts w:ascii="Arial" w:hAnsi="Arial" w:cs="Arial"/>
          <w:b/>
          <w:sz w:val="22"/>
          <w:szCs w:val="22"/>
        </w:rPr>
      </w:pPr>
    </w:p>
    <w:p w14:paraId="7C357267" w14:textId="2972DA72" w:rsidR="00861DEF" w:rsidRPr="006E0DB4" w:rsidRDefault="00861DEF" w:rsidP="00F348E7">
      <w:pPr>
        <w:rPr>
          <w:rFonts w:ascii="Arial" w:hAnsi="Arial" w:cs="Arial"/>
          <w:b/>
          <w:sz w:val="22"/>
          <w:szCs w:val="22"/>
        </w:rPr>
      </w:pPr>
    </w:p>
    <w:p w14:paraId="3250F9B8" w14:textId="77777777" w:rsidR="00861DEF" w:rsidRPr="006E0DB4" w:rsidRDefault="00861DEF" w:rsidP="00F348E7">
      <w:pPr>
        <w:rPr>
          <w:rFonts w:ascii="Arial" w:hAnsi="Arial" w:cs="Arial"/>
          <w:b/>
          <w:sz w:val="22"/>
          <w:szCs w:val="22"/>
        </w:rPr>
      </w:pPr>
    </w:p>
    <w:p w14:paraId="3AE7C4C6" w14:textId="77777777" w:rsidR="00861DEF" w:rsidRPr="006E0DB4" w:rsidRDefault="00861DEF" w:rsidP="00F348E7">
      <w:pPr>
        <w:rPr>
          <w:rFonts w:ascii="Arial" w:hAnsi="Arial" w:cs="Arial"/>
          <w:b/>
          <w:sz w:val="22"/>
          <w:szCs w:val="22"/>
        </w:rPr>
      </w:pPr>
    </w:p>
    <w:p w14:paraId="2771BF1D" w14:textId="77777777" w:rsidR="00861DEF" w:rsidRPr="006E0DB4" w:rsidRDefault="00861DEF" w:rsidP="00F348E7">
      <w:pPr>
        <w:rPr>
          <w:rFonts w:ascii="Arial" w:hAnsi="Arial" w:cs="Arial"/>
          <w:b/>
          <w:sz w:val="22"/>
          <w:szCs w:val="22"/>
        </w:rPr>
      </w:pPr>
    </w:p>
    <w:p w14:paraId="6C164F39" w14:textId="77777777" w:rsidR="00861DEF" w:rsidRPr="006E0DB4" w:rsidRDefault="00861DEF" w:rsidP="00F348E7">
      <w:pPr>
        <w:rPr>
          <w:rFonts w:ascii="Arial" w:hAnsi="Arial" w:cs="Arial"/>
          <w:b/>
          <w:sz w:val="22"/>
          <w:szCs w:val="22"/>
        </w:rPr>
      </w:pPr>
    </w:p>
    <w:p w14:paraId="4B6C5F03" w14:textId="77777777" w:rsidR="00861DEF" w:rsidRPr="006E0DB4" w:rsidRDefault="00861DEF" w:rsidP="00F348E7">
      <w:pPr>
        <w:rPr>
          <w:rFonts w:ascii="Avenir Next Condensed" w:hAnsi="Avenir Next Condensed"/>
          <w:b/>
          <w:bCs/>
          <w:color w:val="7F7F7F" w:themeColor="text1" w:themeTint="80"/>
        </w:rPr>
      </w:pPr>
      <w:r w:rsidRPr="006E0DB4">
        <w:rPr>
          <w:rFonts w:ascii="Avenir Next Condensed" w:hAnsi="Avenir Next Condensed"/>
          <w:b/>
          <w:bCs/>
          <w:color w:val="7F7F7F" w:themeColor="text1" w:themeTint="80"/>
        </w:rPr>
        <w:t>Global Detention Project</w:t>
      </w:r>
    </w:p>
    <w:p w14:paraId="1785DBEC" w14:textId="77777777" w:rsidR="00861DEF" w:rsidRPr="006E0DB4" w:rsidRDefault="00861DEF" w:rsidP="00F348E7">
      <w:pPr>
        <w:rPr>
          <w:rFonts w:ascii="Avenir Next Condensed" w:eastAsia="Times New Roman" w:hAnsi="Avenir Next Condensed"/>
          <w:color w:val="7F7F7F" w:themeColor="text1" w:themeTint="80"/>
        </w:rPr>
      </w:pPr>
      <w:r w:rsidRPr="006E0DB4">
        <w:rPr>
          <w:rFonts w:ascii="Avenir Next Condensed" w:eastAsia="Times New Roman" w:hAnsi="Avenir Next Condensed"/>
          <w:color w:val="7F7F7F" w:themeColor="text1" w:themeTint="80"/>
        </w:rPr>
        <w:t xml:space="preserve">3 rue de </w:t>
      </w:r>
      <w:proofErr w:type="spellStart"/>
      <w:r w:rsidRPr="006E0DB4">
        <w:rPr>
          <w:rFonts w:ascii="Avenir Next Condensed" w:eastAsia="Times New Roman" w:hAnsi="Avenir Next Condensed"/>
          <w:color w:val="7F7F7F" w:themeColor="text1" w:themeTint="80"/>
        </w:rPr>
        <w:t>Varembé</w:t>
      </w:r>
      <w:proofErr w:type="spellEnd"/>
    </w:p>
    <w:p w14:paraId="05529A72" w14:textId="77777777" w:rsidR="00861DEF" w:rsidRPr="006E0DB4" w:rsidRDefault="00861DEF" w:rsidP="00F348E7">
      <w:pPr>
        <w:rPr>
          <w:rFonts w:ascii="Avenir Next Condensed" w:eastAsia="Times New Roman" w:hAnsi="Avenir Next Condensed"/>
          <w:color w:val="7F7F7F" w:themeColor="text1" w:themeTint="80"/>
        </w:rPr>
      </w:pPr>
      <w:r w:rsidRPr="006E0DB4">
        <w:rPr>
          <w:rFonts w:ascii="Avenir Next Condensed" w:eastAsia="Times New Roman" w:hAnsi="Avenir Next Condensed"/>
          <w:color w:val="7F7F7F" w:themeColor="text1" w:themeTint="80"/>
        </w:rPr>
        <w:t xml:space="preserve">1202 Geneva </w:t>
      </w:r>
    </w:p>
    <w:p w14:paraId="4CFBB33F" w14:textId="77777777" w:rsidR="00861DEF" w:rsidRPr="006E0DB4" w:rsidRDefault="00861DEF" w:rsidP="00F348E7">
      <w:pPr>
        <w:rPr>
          <w:rFonts w:ascii="Avenir Next Condensed" w:eastAsia="Times New Roman" w:hAnsi="Avenir Next Condensed"/>
          <w:color w:val="7F7F7F" w:themeColor="text1" w:themeTint="80"/>
        </w:rPr>
      </w:pPr>
      <w:r w:rsidRPr="006E0DB4">
        <w:rPr>
          <w:rFonts w:ascii="Avenir Next Condensed" w:eastAsia="Times New Roman" w:hAnsi="Avenir Next Condensed"/>
          <w:color w:val="7F7F7F" w:themeColor="text1" w:themeTint="80"/>
        </w:rPr>
        <w:t>Switzerland</w:t>
      </w:r>
    </w:p>
    <w:p w14:paraId="6F185BB0" w14:textId="77777777" w:rsidR="00861DEF" w:rsidRPr="006E0DB4" w:rsidRDefault="00861DEF" w:rsidP="00F348E7">
      <w:pPr>
        <w:rPr>
          <w:rFonts w:ascii="Avenir Next Condensed" w:hAnsi="Avenir Next Condensed"/>
          <w:color w:val="7F7F7F" w:themeColor="text1" w:themeTint="80"/>
        </w:rPr>
      </w:pPr>
      <w:r w:rsidRPr="006E0DB4">
        <w:rPr>
          <w:rFonts w:ascii="Avenir Next Condensed" w:hAnsi="Avenir Next Condensed"/>
          <w:b/>
          <w:bCs/>
          <w:color w:val="7F7F7F" w:themeColor="text1" w:themeTint="80"/>
        </w:rPr>
        <w:t xml:space="preserve">Email: </w:t>
      </w:r>
      <w:hyperlink r:id="rId9" w:history="1">
        <w:r w:rsidRPr="006E0DB4">
          <w:rPr>
            <w:rStyle w:val="Hyperlink"/>
            <w:rFonts w:ascii="Avenir Next Condensed" w:hAnsi="Avenir Next Condensed"/>
            <w:color w:val="7F7F7F" w:themeColor="text1" w:themeTint="80"/>
          </w:rPr>
          <w:t>admin@globaldetentionproject.org</w:t>
        </w:r>
      </w:hyperlink>
      <w:r w:rsidRPr="006E0DB4">
        <w:rPr>
          <w:rFonts w:ascii="Avenir Next Condensed" w:hAnsi="Avenir Next Condensed"/>
          <w:color w:val="7F7F7F" w:themeColor="text1" w:themeTint="80"/>
        </w:rPr>
        <w:t xml:space="preserve"> </w:t>
      </w:r>
    </w:p>
    <w:p w14:paraId="60EA81E4" w14:textId="6874ADEE" w:rsidR="00861DEF" w:rsidRPr="006E0DB4" w:rsidRDefault="00861DEF" w:rsidP="00F348E7">
      <w:pPr>
        <w:rPr>
          <w:rFonts w:ascii="Avenir Next Condensed" w:hAnsi="Avenir Next Condensed"/>
          <w:color w:val="7F7F7F" w:themeColor="text1" w:themeTint="80"/>
        </w:rPr>
      </w:pPr>
      <w:r w:rsidRPr="006E0DB4">
        <w:rPr>
          <w:rFonts w:ascii="Avenir Next Condensed" w:hAnsi="Avenir Next Condensed"/>
          <w:b/>
          <w:bCs/>
          <w:color w:val="7F7F7F" w:themeColor="text1" w:themeTint="80"/>
        </w:rPr>
        <w:t>Website</w:t>
      </w:r>
      <w:r w:rsidRPr="006E0DB4">
        <w:rPr>
          <w:rFonts w:ascii="Avenir Next Condensed" w:hAnsi="Avenir Next Condensed"/>
          <w:color w:val="7F7F7F" w:themeColor="text1" w:themeTint="80"/>
        </w:rPr>
        <w:t xml:space="preserve">: </w:t>
      </w:r>
      <w:hyperlink r:id="rId10" w:history="1">
        <w:r w:rsidRPr="006E0DB4">
          <w:rPr>
            <w:rStyle w:val="Hyperlink"/>
            <w:rFonts w:ascii="Avenir Next Condensed" w:hAnsi="Avenir Next Condensed"/>
            <w:color w:val="7F7F7F" w:themeColor="text1" w:themeTint="80"/>
          </w:rPr>
          <w:t>www.globaldetentionproject.org</w:t>
        </w:r>
      </w:hyperlink>
    </w:p>
    <w:p w14:paraId="21CE219F" w14:textId="60BA2A02" w:rsidR="00861DEF" w:rsidRPr="006E0DB4" w:rsidRDefault="00861DEF" w:rsidP="00F348E7">
      <w:pPr>
        <w:rPr>
          <w:rFonts w:ascii="Arial" w:hAnsi="Arial" w:cs="Arial"/>
          <w:b/>
          <w:sz w:val="22"/>
          <w:szCs w:val="22"/>
        </w:rPr>
        <w:sectPr w:rsidR="00861DEF" w:rsidRPr="006E0DB4" w:rsidSect="00341EF7">
          <w:footerReference w:type="even" r:id="rId11"/>
          <w:footerReference w:type="default" r:id="rId12"/>
          <w:pgSz w:w="12240" w:h="15840"/>
          <w:pgMar w:top="1440" w:right="1440" w:bottom="1440" w:left="1800" w:header="720" w:footer="720" w:gutter="0"/>
          <w:cols w:space="720"/>
          <w:docGrid w:linePitch="360"/>
        </w:sectPr>
      </w:pPr>
    </w:p>
    <w:p w14:paraId="337C8B84" w14:textId="27DA06EA" w:rsidR="00F45AFD" w:rsidRPr="006E0DB4" w:rsidRDefault="00861DEF" w:rsidP="00F348E7">
      <w:pPr>
        <w:jc w:val="center"/>
        <w:rPr>
          <w:rFonts w:ascii="Avenir Next Condensed" w:hAnsi="Avenir Next Condensed" w:cs="Arial"/>
          <w:b/>
          <w:color w:val="195578"/>
        </w:rPr>
      </w:pPr>
      <w:r w:rsidRPr="006E0DB4">
        <w:rPr>
          <w:rFonts w:ascii="Avenir Next Condensed" w:hAnsi="Avenir Next Condensed" w:cs="Arial"/>
          <w:b/>
          <w:color w:val="195578"/>
        </w:rPr>
        <w:lastRenderedPageBreak/>
        <w:t>GLOBAL DETENTION PROJECT SUBMISSION TO THE UN COMMITTEE ON MIGRANT WORKERS</w:t>
      </w:r>
    </w:p>
    <w:p w14:paraId="4C0113C1" w14:textId="77777777" w:rsidR="00F45AFD" w:rsidRPr="006E0DB4" w:rsidRDefault="00F45AFD" w:rsidP="00F348E7">
      <w:pPr>
        <w:jc w:val="center"/>
        <w:rPr>
          <w:rFonts w:ascii="Avenir Next Condensed" w:hAnsi="Avenir Next Condensed" w:cs="Arial"/>
          <w:b/>
          <w:color w:val="195578"/>
        </w:rPr>
      </w:pPr>
    </w:p>
    <w:p w14:paraId="605FB3EB" w14:textId="4FA99423" w:rsidR="00F45AFD" w:rsidRPr="006E0DB4" w:rsidRDefault="00861DEF" w:rsidP="00F348E7">
      <w:pPr>
        <w:jc w:val="center"/>
        <w:rPr>
          <w:rFonts w:ascii="Avenir Next Condensed" w:hAnsi="Avenir Next Condensed" w:cs="Arial"/>
          <w:b/>
          <w:color w:val="195578"/>
        </w:rPr>
      </w:pPr>
      <w:r w:rsidRPr="006E0DB4">
        <w:rPr>
          <w:rFonts w:ascii="Avenir Next Condensed" w:hAnsi="Avenir Next Condensed" w:cs="Arial"/>
          <w:b/>
          <w:color w:val="195578"/>
        </w:rPr>
        <w:t>DRAFT GENERAL COMMENT NO.5 ON MIGRANTS’ RIGHT TO LIBERTY AND FREEDOM FROM ARBITRARY DETENTION</w:t>
      </w:r>
    </w:p>
    <w:p w14:paraId="52863249" w14:textId="77777777" w:rsidR="00F45AFD" w:rsidRPr="006E0DB4" w:rsidRDefault="00F45AFD" w:rsidP="00F348E7">
      <w:pPr>
        <w:rPr>
          <w:rFonts w:ascii="Arial" w:hAnsi="Arial" w:cs="Arial"/>
          <w:sz w:val="22"/>
          <w:szCs w:val="22"/>
        </w:rPr>
      </w:pPr>
    </w:p>
    <w:p w14:paraId="0143F44A" w14:textId="77777777" w:rsidR="00F45AFD" w:rsidRPr="006E0DB4" w:rsidRDefault="00F45AFD" w:rsidP="00F348E7">
      <w:pPr>
        <w:rPr>
          <w:rFonts w:ascii="Arial" w:hAnsi="Arial" w:cs="Arial"/>
          <w:sz w:val="22"/>
          <w:szCs w:val="22"/>
        </w:rPr>
      </w:pPr>
    </w:p>
    <w:p w14:paraId="26FF5F3A" w14:textId="5669067C" w:rsidR="00F45AFD" w:rsidRPr="006E0DB4" w:rsidRDefault="00F45AFD" w:rsidP="00F348E7">
      <w:pPr>
        <w:rPr>
          <w:rFonts w:ascii="Helvetica" w:hAnsi="Helvetica" w:cs="Arial"/>
          <w:sz w:val="22"/>
          <w:szCs w:val="22"/>
        </w:rPr>
      </w:pPr>
      <w:r w:rsidRPr="006E0DB4">
        <w:rPr>
          <w:rFonts w:ascii="Helvetica" w:hAnsi="Helvetica" w:cs="Arial"/>
          <w:sz w:val="22"/>
          <w:szCs w:val="22"/>
        </w:rPr>
        <w:t>The Global Detention Project (GDP) welcomes the opportunity to provide this submission concerning the Committee On Migrant Workers’ (CMW) Draft General Comment No.5 on Migrants’ Right to Liberty and Freedom from Arbitrary Detention. The GDP is an independent research centre based in Geneva that investigates immigration-related detention including national laws, policies, practices, places</w:t>
      </w:r>
      <w:r w:rsidR="00861DEF" w:rsidRPr="006E0DB4">
        <w:rPr>
          <w:rFonts w:ascii="Helvetica" w:hAnsi="Helvetica" w:cs="Arial"/>
          <w:sz w:val="22"/>
          <w:szCs w:val="22"/>
        </w:rPr>
        <w:t>,</w:t>
      </w:r>
      <w:r w:rsidRPr="006E0DB4">
        <w:rPr>
          <w:rFonts w:ascii="Helvetica" w:hAnsi="Helvetica" w:cs="Arial"/>
          <w:sz w:val="22"/>
          <w:szCs w:val="22"/>
        </w:rPr>
        <w:t xml:space="preserve"> and conditions of detention for migration-related reasons in all regions</w:t>
      </w:r>
      <w:r w:rsidR="00125B18" w:rsidRPr="006E0DB4">
        <w:rPr>
          <w:rFonts w:ascii="Helvetica" w:hAnsi="Helvetica" w:cs="Arial"/>
          <w:sz w:val="22"/>
          <w:szCs w:val="22"/>
        </w:rPr>
        <w:t xml:space="preserve"> of the world</w:t>
      </w:r>
      <w:r w:rsidRPr="006E0DB4">
        <w:rPr>
          <w:rFonts w:ascii="Helvetica" w:hAnsi="Helvetica" w:cs="Arial"/>
          <w:sz w:val="22"/>
          <w:szCs w:val="22"/>
        </w:rPr>
        <w:t xml:space="preserve">. </w:t>
      </w:r>
    </w:p>
    <w:p w14:paraId="162A9DCA" w14:textId="77777777" w:rsidR="00861DEF" w:rsidRPr="006E0DB4" w:rsidRDefault="00861DEF" w:rsidP="00F348E7">
      <w:pPr>
        <w:rPr>
          <w:rFonts w:ascii="Helvetica" w:hAnsi="Helvetica" w:cs="Arial"/>
          <w:sz w:val="22"/>
          <w:szCs w:val="22"/>
        </w:rPr>
      </w:pPr>
    </w:p>
    <w:p w14:paraId="2DF4EB38" w14:textId="77777777" w:rsidR="00F45AFD" w:rsidRPr="006E0DB4" w:rsidRDefault="00F45AFD" w:rsidP="00F348E7">
      <w:pPr>
        <w:rPr>
          <w:rFonts w:ascii="Avenir Next Condensed" w:hAnsi="Avenir Next Condensed" w:cs="Arial"/>
          <w:color w:val="195578"/>
        </w:rPr>
      </w:pPr>
    </w:p>
    <w:p w14:paraId="08D6F4A3" w14:textId="47E2FFAB" w:rsidR="00765C87" w:rsidRPr="006E0DB4" w:rsidRDefault="00861DEF" w:rsidP="00F348E7">
      <w:pPr>
        <w:widowControl w:val="0"/>
        <w:autoSpaceDE w:val="0"/>
        <w:autoSpaceDN w:val="0"/>
        <w:adjustRightInd w:val="0"/>
        <w:rPr>
          <w:rFonts w:ascii="Avenir Next Condensed" w:hAnsi="Avenir Next Condensed" w:cs="Arial"/>
          <w:b/>
          <w:color w:val="195578"/>
        </w:rPr>
      </w:pPr>
      <w:r w:rsidRPr="006E0DB4">
        <w:rPr>
          <w:rFonts w:ascii="Avenir Next Condensed" w:hAnsi="Avenir Next Condensed" w:cs="Arial"/>
          <w:b/>
          <w:color w:val="195578"/>
        </w:rPr>
        <w:t xml:space="preserve">I. INTRODUCTION </w:t>
      </w:r>
    </w:p>
    <w:p w14:paraId="27FA5B3C" w14:textId="77777777" w:rsidR="00765C87" w:rsidRPr="006E0DB4" w:rsidRDefault="00765C87" w:rsidP="00F348E7">
      <w:pPr>
        <w:widowControl w:val="0"/>
        <w:autoSpaceDE w:val="0"/>
        <w:autoSpaceDN w:val="0"/>
        <w:adjustRightInd w:val="0"/>
        <w:rPr>
          <w:rFonts w:ascii="Helvetica" w:hAnsi="Helvetica" w:cs="Arial"/>
          <w:sz w:val="22"/>
          <w:szCs w:val="22"/>
        </w:rPr>
      </w:pPr>
    </w:p>
    <w:p w14:paraId="02BD593F" w14:textId="6234AB82" w:rsidR="00830F84" w:rsidRPr="006E0DB4" w:rsidRDefault="00125B18"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sz w:val="22"/>
          <w:szCs w:val="22"/>
        </w:rPr>
        <w:t xml:space="preserve">The GDP congratulates the CMW for its success in producing </w:t>
      </w:r>
      <w:proofErr w:type="gramStart"/>
      <w:r w:rsidRPr="006E0DB4">
        <w:rPr>
          <w:rFonts w:ascii="Helvetica" w:hAnsi="Helvetica" w:cs="Arial"/>
          <w:sz w:val="22"/>
          <w:szCs w:val="22"/>
        </w:rPr>
        <w:t>a comprehensive</w:t>
      </w:r>
      <w:proofErr w:type="gramEnd"/>
      <w:r w:rsidRPr="006E0DB4">
        <w:rPr>
          <w:rFonts w:ascii="Helvetica" w:hAnsi="Helvetica" w:cs="Arial"/>
          <w:sz w:val="22"/>
          <w:szCs w:val="22"/>
        </w:rPr>
        <w:t xml:space="preserve">, thoughtful, and rigorous draft guidance for </w:t>
      </w:r>
      <w:r w:rsidR="00861DEF" w:rsidRPr="006E0DB4">
        <w:rPr>
          <w:rFonts w:ascii="Helvetica" w:hAnsi="Helvetica" w:cs="Arial"/>
          <w:sz w:val="22"/>
          <w:szCs w:val="22"/>
        </w:rPr>
        <w:t>S</w:t>
      </w:r>
      <w:r w:rsidRPr="006E0DB4">
        <w:rPr>
          <w:rFonts w:ascii="Helvetica" w:hAnsi="Helvetica" w:cs="Arial"/>
          <w:sz w:val="22"/>
          <w:szCs w:val="22"/>
        </w:rPr>
        <w:t>tates</w:t>
      </w:r>
      <w:r w:rsidR="00830F84" w:rsidRPr="006E0DB4">
        <w:rPr>
          <w:rFonts w:ascii="Helvetica" w:hAnsi="Helvetica" w:cs="Arial"/>
          <w:sz w:val="22"/>
          <w:szCs w:val="22"/>
        </w:rPr>
        <w:t xml:space="preserve"> </w:t>
      </w:r>
      <w:r w:rsidR="00861DEF" w:rsidRPr="006E0DB4">
        <w:rPr>
          <w:rFonts w:ascii="Helvetica" w:hAnsi="Helvetica" w:cs="Arial"/>
          <w:sz w:val="22"/>
          <w:szCs w:val="22"/>
        </w:rPr>
        <w:t>P</w:t>
      </w:r>
      <w:r w:rsidR="00830F84" w:rsidRPr="006E0DB4">
        <w:rPr>
          <w:rFonts w:ascii="Helvetica" w:hAnsi="Helvetica" w:cs="Arial"/>
          <w:sz w:val="22"/>
          <w:szCs w:val="22"/>
        </w:rPr>
        <w:t>arties</w:t>
      </w:r>
      <w:r w:rsidRPr="006E0DB4">
        <w:rPr>
          <w:rFonts w:ascii="Helvetica" w:hAnsi="Helvetica" w:cs="Arial"/>
          <w:sz w:val="22"/>
          <w:szCs w:val="22"/>
        </w:rPr>
        <w:t xml:space="preserve"> </w:t>
      </w:r>
      <w:r w:rsidR="00830F84" w:rsidRPr="006E0DB4">
        <w:rPr>
          <w:rFonts w:ascii="Helvetica" w:hAnsi="Helvetica" w:cs="Arial"/>
          <w:color w:val="000000"/>
          <w:sz w:val="22"/>
          <w:szCs w:val="22"/>
        </w:rPr>
        <w:t>on implementing their obligations concerning migrants’ right to liberty and security</w:t>
      </w:r>
      <w:r w:rsidR="00830F84" w:rsidRPr="006E0DB4">
        <w:rPr>
          <w:rFonts w:ascii="Helvetica" w:hAnsi="Helvetica" w:cs="Arial"/>
          <w:sz w:val="22"/>
          <w:szCs w:val="22"/>
        </w:rPr>
        <w:t xml:space="preserve"> under</w:t>
      </w:r>
      <w:r w:rsidRPr="006E0DB4">
        <w:rPr>
          <w:rFonts w:ascii="Helvetica" w:hAnsi="Helvetica" w:cs="Arial"/>
          <w:sz w:val="22"/>
          <w:szCs w:val="22"/>
        </w:rPr>
        <w:t xml:space="preserve"> the </w:t>
      </w:r>
      <w:r w:rsidRPr="006E0DB4">
        <w:rPr>
          <w:rFonts w:ascii="Helvetica" w:hAnsi="Helvetica" w:cs="Arial"/>
          <w:color w:val="000000"/>
          <w:sz w:val="22"/>
          <w:szCs w:val="22"/>
        </w:rPr>
        <w:t xml:space="preserve">Convention on the Protection of the Rights of All Migrant Workers and Members of their Families (ICRMW). </w:t>
      </w:r>
    </w:p>
    <w:p w14:paraId="157BA3D7" w14:textId="77777777" w:rsidR="00830F84" w:rsidRPr="006E0DB4" w:rsidRDefault="00830F84" w:rsidP="00F348E7">
      <w:pPr>
        <w:widowControl w:val="0"/>
        <w:autoSpaceDE w:val="0"/>
        <w:autoSpaceDN w:val="0"/>
        <w:adjustRightInd w:val="0"/>
        <w:rPr>
          <w:rFonts w:ascii="Helvetica" w:hAnsi="Helvetica" w:cs="Arial"/>
          <w:color w:val="000000"/>
          <w:sz w:val="22"/>
          <w:szCs w:val="22"/>
        </w:rPr>
      </w:pPr>
    </w:p>
    <w:p w14:paraId="2F2FE81E" w14:textId="2867AA40" w:rsidR="00125B18" w:rsidRPr="006E0DB4" w:rsidRDefault="00125B18"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color w:val="000000"/>
          <w:sz w:val="22"/>
          <w:szCs w:val="22"/>
        </w:rPr>
        <w:t xml:space="preserve">The guidance arrives at a critical time in the effort to </w:t>
      </w:r>
      <w:r w:rsidR="00156D4D" w:rsidRPr="006E0DB4">
        <w:rPr>
          <w:rFonts w:ascii="Helvetica" w:hAnsi="Helvetica" w:cs="Arial"/>
          <w:color w:val="000000"/>
          <w:sz w:val="22"/>
          <w:szCs w:val="22"/>
        </w:rPr>
        <w:t>promote</w:t>
      </w:r>
      <w:r w:rsidRPr="006E0DB4">
        <w:rPr>
          <w:rFonts w:ascii="Helvetica" w:hAnsi="Helvetica" w:cs="Arial"/>
          <w:color w:val="000000"/>
          <w:sz w:val="22"/>
          <w:szCs w:val="22"/>
        </w:rPr>
        <w:t xml:space="preserve"> </w:t>
      </w:r>
      <w:r w:rsidR="00156D4D" w:rsidRPr="006E0DB4">
        <w:rPr>
          <w:rFonts w:ascii="Helvetica" w:hAnsi="Helvetica" w:cs="Arial"/>
          <w:color w:val="000000"/>
          <w:sz w:val="22"/>
          <w:szCs w:val="22"/>
        </w:rPr>
        <w:t xml:space="preserve">the human rights of </w:t>
      </w:r>
      <w:r w:rsidR="00830F84" w:rsidRPr="006E0DB4">
        <w:rPr>
          <w:rFonts w:ascii="Helvetica" w:hAnsi="Helvetica" w:cs="Arial"/>
          <w:color w:val="000000"/>
          <w:sz w:val="22"/>
          <w:szCs w:val="22"/>
        </w:rPr>
        <w:t>migrant</w:t>
      </w:r>
      <w:r w:rsidRPr="006E0DB4">
        <w:rPr>
          <w:rFonts w:ascii="Helvetica" w:hAnsi="Helvetica" w:cs="Arial"/>
          <w:color w:val="000000"/>
          <w:sz w:val="22"/>
          <w:szCs w:val="22"/>
        </w:rPr>
        <w:t xml:space="preserve"> workers and their families</w:t>
      </w:r>
      <w:r w:rsidR="00084CC9" w:rsidRPr="006E0DB4">
        <w:rPr>
          <w:rFonts w:ascii="Helvetica" w:hAnsi="Helvetica" w:cs="Arial"/>
          <w:color w:val="000000"/>
          <w:sz w:val="22"/>
          <w:szCs w:val="22"/>
        </w:rPr>
        <w:t xml:space="preserve">, </w:t>
      </w:r>
      <w:r w:rsidRPr="006E0DB4">
        <w:rPr>
          <w:rFonts w:ascii="Helvetica" w:hAnsi="Helvetica" w:cs="Arial"/>
          <w:color w:val="000000"/>
          <w:sz w:val="22"/>
          <w:szCs w:val="22"/>
        </w:rPr>
        <w:t xml:space="preserve">as states </w:t>
      </w:r>
      <w:r w:rsidR="00830F84" w:rsidRPr="006E0DB4">
        <w:rPr>
          <w:rFonts w:ascii="Helvetica" w:hAnsi="Helvetica" w:cs="Arial"/>
          <w:color w:val="000000"/>
          <w:sz w:val="22"/>
          <w:szCs w:val="22"/>
        </w:rPr>
        <w:t>face multiple pressures from a surging global pandemic, economic and environmental hardships, and growing political polari</w:t>
      </w:r>
      <w:r w:rsidR="00861DEF" w:rsidRPr="006E0DB4">
        <w:rPr>
          <w:rFonts w:ascii="Helvetica" w:hAnsi="Helvetica" w:cs="Arial"/>
          <w:color w:val="000000"/>
          <w:sz w:val="22"/>
          <w:szCs w:val="22"/>
        </w:rPr>
        <w:t>s</w:t>
      </w:r>
      <w:r w:rsidR="00830F84" w:rsidRPr="006E0DB4">
        <w:rPr>
          <w:rFonts w:ascii="Helvetica" w:hAnsi="Helvetica" w:cs="Arial"/>
          <w:color w:val="000000"/>
          <w:sz w:val="22"/>
          <w:szCs w:val="22"/>
        </w:rPr>
        <w:t xml:space="preserve">ation. These pressures have spurred </w:t>
      </w:r>
      <w:r w:rsidR="00F9105F" w:rsidRPr="006E0DB4">
        <w:rPr>
          <w:rFonts w:ascii="Helvetica" w:hAnsi="Helvetica" w:cs="Arial"/>
          <w:color w:val="000000"/>
          <w:sz w:val="22"/>
          <w:szCs w:val="22"/>
        </w:rPr>
        <w:t>further</w:t>
      </w:r>
      <w:r w:rsidR="00830F84" w:rsidRPr="006E0DB4">
        <w:rPr>
          <w:rFonts w:ascii="Helvetica" w:hAnsi="Helvetica" w:cs="Arial"/>
          <w:color w:val="000000"/>
          <w:sz w:val="22"/>
          <w:szCs w:val="22"/>
        </w:rPr>
        <w:t xml:space="preserve"> marginali</w:t>
      </w:r>
      <w:r w:rsidR="00861DEF" w:rsidRPr="006E0DB4">
        <w:rPr>
          <w:rFonts w:ascii="Helvetica" w:hAnsi="Helvetica" w:cs="Arial"/>
          <w:color w:val="000000"/>
          <w:sz w:val="22"/>
          <w:szCs w:val="22"/>
        </w:rPr>
        <w:t>s</w:t>
      </w:r>
      <w:r w:rsidR="00830F84" w:rsidRPr="006E0DB4">
        <w:rPr>
          <w:rFonts w:ascii="Helvetica" w:hAnsi="Helvetica" w:cs="Arial"/>
          <w:color w:val="000000"/>
          <w:sz w:val="22"/>
          <w:szCs w:val="22"/>
        </w:rPr>
        <w:t xml:space="preserve">ation and scapegoating of migrants, leading to their increasing vulnerability to discrimination, </w:t>
      </w:r>
      <w:r w:rsidR="00156D4D" w:rsidRPr="006E0DB4">
        <w:rPr>
          <w:rFonts w:ascii="Helvetica" w:hAnsi="Helvetica" w:cs="Arial"/>
          <w:color w:val="000000"/>
          <w:sz w:val="22"/>
          <w:szCs w:val="22"/>
        </w:rPr>
        <w:t>illness</w:t>
      </w:r>
      <w:r w:rsidR="00830F84" w:rsidRPr="006E0DB4">
        <w:rPr>
          <w:rFonts w:ascii="Helvetica" w:hAnsi="Helvetica" w:cs="Arial"/>
          <w:color w:val="000000"/>
          <w:sz w:val="22"/>
          <w:szCs w:val="22"/>
        </w:rPr>
        <w:t xml:space="preserve">, destitution, physical abuse and torture, and emotional and psychological harm. </w:t>
      </w:r>
      <w:r w:rsidR="00F9105F" w:rsidRPr="006E0DB4">
        <w:rPr>
          <w:rFonts w:ascii="Helvetica" w:hAnsi="Helvetica" w:cs="Arial"/>
          <w:color w:val="000000"/>
          <w:sz w:val="22"/>
          <w:szCs w:val="22"/>
        </w:rPr>
        <w:t>Immigrat</w:t>
      </w:r>
      <w:r w:rsidR="00A13DAB" w:rsidRPr="006E0DB4">
        <w:rPr>
          <w:rFonts w:ascii="Helvetica" w:hAnsi="Helvetica" w:cs="Arial"/>
          <w:color w:val="000000"/>
          <w:sz w:val="22"/>
          <w:szCs w:val="22"/>
        </w:rPr>
        <w:t xml:space="preserve">ion detention can—and frequently does—exhibit </w:t>
      </w:r>
      <w:r w:rsidR="00F9105F" w:rsidRPr="006E0DB4">
        <w:rPr>
          <w:rFonts w:ascii="Helvetica" w:hAnsi="Helvetica" w:cs="Arial"/>
          <w:color w:val="000000"/>
          <w:sz w:val="22"/>
          <w:szCs w:val="22"/>
        </w:rPr>
        <w:t xml:space="preserve">all of these vulnerabilities and harms and thus is an extremely </w:t>
      </w:r>
      <w:r w:rsidR="0027685A" w:rsidRPr="006E0DB4">
        <w:rPr>
          <w:rFonts w:ascii="Helvetica" w:hAnsi="Helvetica" w:cs="Arial"/>
          <w:color w:val="000000"/>
          <w:sz w:val="22"/>
          <w:szCs w:val="22"/>
        </w:rPr>
        <w:t>important</w:t>
      </w:r>
      <w:r w:rsidR="00F9105F" w:rsidRPr="006E0DB4">
        <w:rPr>
          <w:rFonts w:ascii="Helvetica" w:hAnsi="Helvetica" w:cs="Arial"/>
          <w:color w:val="000000"/>
          <w:sz w:val="22"/>
          <w:szCs w:val="22"/>
        </w:rPr>
        <w:t xml:space="preserve"> focus of our attention today. </w:t>
      </w:r>
    </w:p>
    <w:p w14:paraId="02C5FBA3" w14:textId="06D6C20E" w:rsidR="00125B18" w:rsidRPr="006E0DB4" w:rsidRDefault="00125B18" w:rsidP="00F348E7">
      <w:pPr>
        <w:rPr>
          <w:rFonts w:ascii="Helvetica" w:hAnsi="Helvetica" w:cs="Arial"/>
          <w:sz w:val="22"/>
          <w:szCs w:val="22"/>
        </w:rPr>
      </w:pPr>
    </w:p>
    <w:p w14:paraId="7501C88B" w14:textId="7269B191" w:rsidR="00830F84" w:rsidRPr="006E0DB4" w:rsidRDefault="00830F84" w:rsidP="00F348E7">
      <w:pPr>
        <w:rPr>
          <w:rFonts w:ascii="Helvetica" w:hAnsi="Helvetica" w:cs="Arial"/>
          <w:sz w:val="22"/>
          <w:szCs w:val="22"/>
        </w:rPr>
      </w:pPr>
      <w:r w:rsidRPr="006E0DB4">
        <w:rPr>
          <w:rFonts w:ascii="Helvetica" w:hAnsi="Helvetica" w:cs="Arial"/>
          <w:sz w:val="22"/>
          <w:szCs w:val="22"/>
        </w:rPr>
        <w:t xml:space="preserve">At the same time, however, there are numerous </w:t>
      </w:r>
      <w:r w:rsidR="00F9105F" w:rsidRPr="006E0DB4">
        <w:rPr>
          <w:rFonts w:ascii="Helvetica" w:hAnsi="Helvetica" w:cs="Arial"/>
          <w:sz w:val="22"/>
          <w:szCs w:val="22"/>
        </w:rPr>
        <w:t>on-going</w:t>
      </w:r>
      <w:r w:rsidRPr="006E0DB4">
        <w:rPr>
          <w:rFonts w:ascii="Helvetica" w:hAnsi="Helvetica" w:cs="Arial"/>
          <w:sz w:val="22"/>
          <w:szCs w:val="22"/>
        </w:rPr>
        <w:t xml:space="preserve"> initiatives </w:t>
      </w:r>
      <w:r w:rsidR="00F9105F" w:rsidRPr="006E0DB4">
        <w:rPr>
          <w:rFonts w:ascii="Helvetica" w:hAnsi="Helvetica" w:cs="Arial"/>
          <w:sz w:val="22"/>
          <w:szCs w:val="22"/>
        </w:rPr>
        <w:t xml:space="preserve">occurring at local, regional, and international levels that </w:t>
      </w:r>
      <w:r w:rsidR="00CA52E9" w:rsidRPr="006E0DB4">
        <w:rPr>
          <w:rFonts w:ascii="Helvetica" w:hAnsi="Helvetica" w:cs="Arial"/>
          <w:sz w:val="22"/>
          <w:szCs w:val="22"/>
        </w:rPr>
        <w:t>can lead</w:t>
      </w:r>
      <w:r w:rsidR="00F9105F" w:rsidRPr="006E0DB4">
        <w:rPr>
          <w:rFonts w:ascii="Helvetica" w:hAnsi="Helvetica" w:cs="Arial"/>
          <w:sz w:val="22"/>
          <w:szCs w:val="22"/>
        </w:rPr>
        <w:t xml:space="preserve"> </w:t>
      </w:r>
      <w:r w:rsidR="00CA52E9" w:rsidRPr="006E0DB4">
        <w:rPr>
          <w:rFonts w:ascii="Helvetica" w:hAnsi="Helvetica" w:cs="Arial"/>
          <w:sz w:val="22"/>
          <w:szCs w:val="22"/>
        </w:rPr>
        <w:t>to</w:t>
      </w:r>
      <w:r w:rsidR="00F9105F" w:rsidRPr="006E0DB4">
        <w:rPr>
          <w:rFonts w:ascii="Helvetica" w:hAnsi="Helvetica" w:cs="Arial"/>
          <w:sz w:val="22"/>
          <w:szCs w:val="22"/>
        </w:rPr>
        <w:t xml:space="preserve"> the development of policies and </w:t>
      </w:r>
      <w:r w:rsidR="00CA52E9" w:rsidRPr="006E0DB4">
        <w:rPr>
          <w:rFonts w:ascii="Helvetica" w:hAnsi="Helvetica" w:cs="Arial"/>
          <w:sz w:val="22"/>
          <w:szCs w:val="22"/>
        </w:rPr>
        <w:t>practices</w:t>
      </w:r>
      <w:r w:rsidR="00F9105F" w:rsidRPr="006E0DB4">
        <w:rPr>
          <w:rFonts w:ascii="Helvetica" w:hAnsi="Helvetica" w:cs="Arial"/>
          <w:sz w:val="22"/>
          <w:szCs w:val="22"/>
        </w:rPr>
        <w:t xml:space="preserve"> that </w:t>
      </w:r>
      <w:r w:rsidR="00CA52E9" w:rsidRPr="006E0DB4">
        <w:rPr>
          <w:rFonts w:ascii="Helvetica" w:hAnsi="Helvetica" w:cs="Arial"/>
          <w:sz w:val="22"/>
          <w:szCs w:val="22"/>
        </w:rPr>
        <w:t>take into account the needs of migrants, acknowledge the benefits that migrant workers bring to their host communities, and clarify states’ responsibilities to these vulnerable members of their societies. Chief among these today is the UN Network on Migration, which is tasked with assist</w:t>
      </w:r>
      <w:r w:rsidR="0027685A" w:rsidRPr="006E0DB4">
        <w:rPr>
          <w:rFonts w:ascii="Helvetica" w:hAnsi="Helvetica" w:cs="Arial"/>
          <w:sz w:val="22"/>
          <w:szCs w:val="22"/>
        </w:rPr>
        <w:t xml:space="preserve">ing states in implementing the </w:t>
      </w:r>
      <w:r w:rsidR="0027685A" w:rsidRPr="006E0DB4">
        <w:rPr>
          <w:rFonts w:ascii="Helvetica" w:eastAsia="Times New Roman" w:hAnsi="Helvetica" w:cs="Arial"/>
          <w:sz w:val="22"/>
          <w:szCs w:val="22"/>
        </w:rPr>
        <w:t xml:space="preserve">Global Compact for Safe, Orderly and Regular Migration. We hope that the CMW’s </w:t>
      </w:r>
      <w:r w:rsidR="0027685A" w:rsidRPr="006E0DB4">
        <w:rPr>
          <w:rFonts w:ascii="Helvetica" w:hAnsi="Helvetica" w:cs="Arial"/>
          <w:sz w:val="22"/>
          <w:szCs w:val="22"/>
        </w:rPr>
        <w:t>Draft General Comment No.</w:t>
      </w:r>
      <w:r w:rsidR="00156D4D" w:rsidRPr="006E0DB4">
        <w:rPr>
          <w:rFonts w:ascii="Helvetica" w:hAnsi="Helvetica" w:cs="Arial"/>
          <w:sz w:val="22"/>
          <w:szCs w:val="22"/>
        </w:rPr>
        <w:t xml:space="preserve"> </w:t>
      </w:r>
      <w:r w:rsidR="0027685A" w:rsidRPr="006E0DB4">
        <w:rPr>
          <w:rFonts w:ascii="Helvetica" w:hAnsi="Helvetica" w:cs="Arial"/>
          <w:sz w:val="22"/>
          <w:szCs w:val="22"/>
        </w:rPr>
        <w:t>5</w:t>
      </w:r>
      <w:r w:rsidR="00765C87" w:rsidRPr="006E0DB4">
        <w:rPr>
          <w:rFonts w:ascii="Helvetica" w:hAnsi="Helvetica" w:cs="Arial"/>
          <w:sz w:val="22"/>
          <w:szCs w:val="22"/>
        </w:rPr>
        <w:t xml:space="preserve"> can help guide those of us</w:t>
      </w:r>
      <w:r w:rsidR="0027685A" w:rsidRPr="006E0DB4">
        <w:rPr>
          <w:rFonts w:ascii="Helvetica" w:hAnsi="Helvetica" w:cs="Arial"/>
          <w:sz w:val="22"/>
          <w:szCs w:val="22"/>
        </w:rPr>
        <w:t xml:space="preserve"> involved in these initiatives in better understanding the complex and multifaceted </w:t>
      </w:r>
      <w:r w:rsidR="00713F41" w:rsidRPr="006E0DB4">
        <w:rPr>
          <w:rFonts w:ascii="Helvetica" w:hAnsi="Helvetica" w:cs="Arial"/>
          <w:sz w:val="22"/>
          <w:szCs w:val="22"/>
        </w:rPr>
        <w:t>challenges</w:t>
      </w:r>
      <w:r w:rsidR="0027685A" w:rsidRPr="006E0DB4">
        <w:rPr>
          <w:rFonts w:ascii="Helvetica" w:hAnsi="Helvetica" w:cs="Arial"/>
          <w:sz w:val="22"/>
          <w:szCs w:val="22"/>
        </w:rPr>
        <w:t xml:space="preserve"> that </w:t>
      </w:r>
      <w:r w:rsidR="00713F41" w:rsidRPr="006E0DB4">
        <w:rPr>
          <w:rFonts w:ascii="Helvetica" w:hAnsi="Helvetica" w:cs="Arial"/>
          <w:sz w:val="22"/>
          <w:szCs w:val="22"/>
        </w:rPr>
        <w:t>immigration</w:t>
      </w:r>
      <w:r w:rsidR="0027685A" w:rsidRPr="006E0DB4">
        <w:rPr>
          <w:rFonts w:ascii="Helvetica" w:hAnsi="Helvetica" w:cs="Arial"/>
          <w:sz w:val="22"/>
          <w:szCs w:val="22"/>
        </w:rPr>
        <w:t xml:space="preserve"> </w:t>
      </w:r>
      <w:r w:rsidR="00713F41" w:rsidRPr="006E0DB4">
        <w:rPr>
          <w:rFonts w:ascii="Helvetica" w:hAnsi="Helvetica" w:cs="Arial"/>
          <w:sz w:val="22"/>
          <w:szCs w:val="22"/>
        </w:rPr>
        <w:t>detention</w:t>
      </w:r>
      <w:r w:rsidR="0027685A" w:rsidRPr="006E0DB4">
        <w:rPr>
          <w:rFonts w:ascii="Helvetica" w:hAnsi="Helvetica" w:cs="Arial"/>
          <w:sz w:val="22"/>
          <w:szCs w:val="22"/>
        </w:rPr>
        <w:t xml:space="preserve"> presents, as well as </w:t>
      </w:r>
      <w:r w:rsidR="00156D4D" w:rsidRPr="006E0DB4">
        <w:rPr>
          <w:rFonts w:ascii="Helvetica" w:hAnsi="Helvetica" w:cs="Arial"/>
          <w:sz w:val="22"/>
          <w:szCs w:val="22"/>
        </w:rPr>
        <w:t xml:space="preserve">provide </w:t>
      </w:r>
      <w:r w:rsidR="0027685A" w:rsidRPr="006E0DB4">
        <w:rPr>
          <w:rFonts w:ascii="Helvetica" w:hAnsi="Helvetica" w:cs="Arial"/>
          <w:sz w:val="22"/>
          <w:szCs w:val="22"/>
        </w:rPr>
        <w:t xml:space="preserve">a clear path for states seeking </w:t>
      </w:r>
      <w:r w:rsidR="00713F41" w:rsidRPr="006E0DB4">
        <w:rPr>
          <w:rFonts w:ascii="Helvetica" w:hAnsi="Helvetica" w:cs="Arial"/>
          <w:sz w:val="22"/>
          <w:szCs w:val="22"/>
        </w:rPr>
        <w:t xml:space="preserve">to adhere to their human rights obligations. </w:t>
      </w:r>
    </w:p>
    <w:p w14:paraId="3B232632" w14:textId="0A4F4678" w:rsidR="00713F41" w:rsidRPr="006E0DB4" w:rsidRDefault="00713F41" w:rsidP="00F348E7">
      <w:pPr>
        <w:rPr>
          <w:rFonts w:ascii="Helvetica" w:hAnsi="Helvetica" w:cs="Arial"/>
          <w:sz w:val="22"/>
          <w:szCs w:val="22"/>
        </w:rPr>
      </w:pPr>
    </w:p>
    <w:p w14:paraId="5BCE0F4B" w14:textId="77777777" w:rsidR="00156D4D" w:rsidRPr="006E0DB4" w:rsidRDefault="00713F41" w:rsidP="00F348E7">
      <w:pPr>
        <w:rPr>
          <w:rFonts w:ascii="Helvetica" w:hAnsi="Helvetica" w:cs="Arial"/>
          <w:sz w:val="22"/>
          <w:szCs w:val="22"/>
        </w:rPr>
      </w:pPr>
      <w:r w:rsidRPr="006E0DB4">
        <w:rPr>
          <w:rFonts w:ascii="Helvetica" w:hAnsi="Helvetica" w:cs="Arial"/>
          <w:b/>
          <w:sz w:val="22"/>
          <w:szCs w:val="22"/>
        </w:rPr>
        <w:t xml:space="preserve">The focus of this GDP submission is on the General Comment’s treatment of the role of necessity and proportionality in immigration detention decision-making, </w:t>
      </w:r>
      <w:r w:rsidR="00C61C5D" w:rsidRPr="006E0DB4">
        <w:rPr>
          <w:rFonts w:ascii="Helvetica" w:hAnsi="Helvetica" w:cs="Arial"/>
          <w:b/>
          <w:sz w:val="22"/>
          <w:szCs w:val="22"/>
        </w:rPr>
        <w:t xml:space="preserve">and </w:t>
      </w:r>
      <w:r w:rsidRPr="006E0DB4">
        <w:rPr>
          <w:rFonts w:ascii="Helvetica" w:hAnsi="Helvetica" w:cs="Arial"/>
          <w:b/>
          <w:sz w:val="22"/>
          <w:szCs w:val="22"/>
        </w:rPr>
        <w:t>in particular the function of non-custodial measures or “alternatives to detention” (ATDs)</w:t>
      </w:r>
      <w:r w:rsidR="00C61C5D" w:rsidRPr="006E0DB4">
        <w:rPr>
          <w:rFonts w:ascii="Helvetica" w:hAnsi="Helvetica" w:cs="Arial"/>
          <w:b/>
          <w:sz w:val="22"/>
          <w:szCs w:val="22"/>
        </w:rPr>
        <w:t xml:space="preserve"> in establishing whether detention is both necessary and proportionate </w:t>
      </w:r>
      <w:r w:rsidR="00765C87" w:rsidRPr="006E0DB4">
        <w:rPr>
          <w:rFonts w:ascii="Helvetica" w:hAnsi="Helvetica" w:cs="Arial"/>
          <w:b/>
          <w:sz w:val="22"/>
          <w:szCs w:val="22"/>
        </w:rPr>
        <w:t>in all cases</w:t>
      </w:r>
      <w:r w:rsidRPr="006E0DB4">
        <w:rPr>
          <w:rFonts w:ascii="Helvetica" w:hAnsi="Helvetica" w:cs="Arial"/>
          <w:b/>
          <w:sz w:val="22"/>
          <w:szCs w:val="22"/>
        </w:rPr>
        <w:t>.</w:t>
      </w:r>
      <w:r w:rsidRPr="006E0DB4">
        <w:rPr>
          <w:rFonts w:ascii="Helvetica" w:hAnsi="Helvetica" w:cs="Arial"/>
          <w:sz w:val="22"/>
          <w:szCs w:val="22"/>
        </w:rPr>
        <w:t xml:space="preserve"> </w:t>
      </w:r>
    </w:p>
    <w:p w14:paraId="71898C73" w14:textId="77777777" w:rsidR="00156D4D" w:rsidRPr="006E0DB4" w:rsidRDefault="00156D4D" w:rsidP="00F348E7">
      <w:pPr>
        <w:rPr>
          <w:rFonts w:ascii="Helvetica" w:hAnsi="Helvetica" w:cs="Arial"/>
          <w:sz w:val="22"/>
          <w:szCs w:val="22"/>
        </w:rPr>
      </w:pPr>
    </w:p>
    <w:p w14:paraId="611A30E4" w14:textId="42668A1A" w:rsidR="00C61C5D" w:rsidRPr="006E0DB4" w:rsidRDefault="0030666A" w:rsidP="00F348E7">
      <w:pPr>
        <w:rPr>
          <w:rFonts w:ascii="Helvetica" w:hAnsi="Helvetica" w:cs="Arial"/>
          <w:sz w:val="22"/>
          <w:szCs w:val="22"/>
        </w:rPr>
      </w:pPr>
      <w:r w:rsidRPr="006E0DB4">
        <w:rPr>
          <w:rFonts w:ascii="Helvetica" w:hAnsi="Helvetica" w:cs="Arial"/>
          <w:sz w:val="22"/>
          <w:szCs w:val="22"/>
        </w:rPr>
        <w:lastRenderedPageBreak/>
        <w:t>T</w:t>
      </w:r>
      <w:r w:rsidR="00713F41" w:rsidRPr="006E0DB4">
        <w:rPr>
          <w:rFonts w:ascii="Helvetica" w:hAnsi="Helvetica" w:cs="Arial"/>
          <w:sz w:val="22"/>
          <w:szCs w:val="22"/>
        </w:rPr>
        <w:t>he draft General Comment covers an enormous range of critical subject areas regarding detention and states’ obligation</w:t>
      </w:r>
      <w:r w:rsidRPr="006E0DB4">
        <w:rPr>
          <w:rFonts w:ascii="Helvetica" w:hAnsi="Helvetica" w:cs="Arial"/>
          <w:sz w:val="22"/>
          <w:szCs w:val="22"/>
        </w:rPr>
        <w:t>s</w:t>
      </w:r>
      <w:r w:rsidR="00713F41" w:rsidRPr="006E0DB4">
        <w:rPr>
          <w:rFonts w:ascii="Helvetica" w:hAnsi="Helvetica" w:cs="Arial"/>
          <w:sz w:val="22"/>
          <w:szCs w:val="22"/>
        </w:rPr>
        <w:t xml:space="preserve"> therein. Its treatment of issues ranging </w:t>
      </w:r>
      <w:r w:rsidR="00156D4D" w:rsidRPr="006E0DB4">
        <w:rPr>
          <w:rFonts w:ascii="Helvetica" w:hAnsi="Helvetica" w:cs="Arial"/>
          <w:sz w:val="22"/>
          <w:szCs w:val="22"/>
        </w:rPr>
        <w:t>from</w:t>
      </w:r>
      <w:r w:rsidR="00713F41" w:rsidRPr="006E0DB4">
        <w:rPr>
          <w:rFonts w:ascii="Helvetica" w:hAnsi="Helvetica" w:cs="Arial"/>
          <w:sz w:val="22"/>
          <w:szCs w:val="22"/>
        </w:rPr>
        <w:t xml:space="preserve"> criminalisation and discrimination to conditions of detention and monitoring mechanisms have provided the GDP team with considerable food for thought as we seek to improve how we collect data on detention systems. </w:t>
      </w:r>
    </w:p>
    <w:p w14:paraId="59EC491E" w14:textId="77777777" w:rsidR="00C61C5D" w:rsidRPr="006E0DB4" w:rsidRDefault="00C61C5D" w:rsidP="00F348E7">
      <w:pPr>
        <w:rPr>
          <w:rFonts w:ascii="Helvetica" w:hAnsi="Helvetica" w:cs="Arial"/>
          <w:sz w:val="22"/>
          <w:szCs w:val="22"/>
        </w:rPr>
      </w:pPr>
    </w:p>
    <w:p w14:paraId="4E7D222E" w14:textId="3A52F1B4" w:rsidR="00713F41" w:rsidRPr="006E0DB4" w:rsidRDefault="00713F41" w:rsidP="00F348E7">
      <w:pPr>
        <w:rPr>
          <w:rFonts w:ascii="Helvetica" w:hAnsi="Helvetica" w:cs="Arial"/>
          <w:sz w:val="22"/>
          <w:szCs w:val="22"/>
        </w:rPr>
      </w:pPr>
      <w:r w:rsidRPr="006E0DB4">
        <w:rPr>
          <w:rFonts w:ascii="Helvetica" w:hAnsi="Helvetica" w:cs="Arial"/>
          <w:sz w:val="22"/>
          <w:szCs w:val="22"/>
        </w:rPr>
        <w:t xml:space="preserve">However, today we are at a </w:t>
      </w:r>
      <w:r w:rsidR="005C12C6" w:rsidRPr="006E0DB4">
        <w:rPr>
          <w:rFonts w:ascii="Helvetica" w:hAnsi="Helvetica" w:cs="Arial"/>
          <w:sz w:val="22"/>
          <w:szCs w:val="22"/>
        </w:rPr>
        <w:t>crossroads i</w:t>
      </w:r>
      <w:r w:rsidR="00C61C5D" w:rsidRPr="006E0DB4">
        <w:rPr>
          <w:rFonts w:ascii="Helvetica" w:hAnsi="Helvetica" w:cs="Arial"/>
          <w:sz w:val="22"/>
          <w:szCs w:val="22"/>
        </w:rPr>
        <w:t>n how we move forward</w:t>
      </w:r>
      <w:r w:rsidR="005C12C6" w:rsidRPr="006E0DB4">
        <w:rPr>
          <w:rFonts w:ascii="Helvetica" w:hAnsi="Helvetica" w:cs="Arial"/>
          <w:sz w:val="22"/>
          <w:szCs w:val="22"/>
        </w:rPr>
        <w:t xml:space="preserve"> </w:t>
      </w:r>
      <w:r w:rsidR="00084CC9" w:rsidRPr="006E0DB4">
        <w:rPr>
          <w:rFonts w:ascii="Helvetica" w:hAnsi="Helvetica" w:cs="Arial"/>
          <w:sz w:val="22"/>
          <w:szCs w:val="22"/>
        </w:rPr>
        <w:t xml:space="preserve">in </w:t>
      </w:r>
      <w:r w:rsidR="00C61C5D" w:rsidRPr="006E0DB4">
        <w:rPr>
          <w:rFonts w:ascii="Helvetica" w:hAnsi="Helvetica" w:cs="Arial"/>
          <w:sz w:val="22"/>
          <w:szCs w:val="22"/>
        </w:rPr>
        <w:t>d</w:t>
      </w:r>
      <w:r w:rsidR="00A13DAB" w:rsidRPr="006E0DB4">
        <w:rPr>
          <w:rFonts w:ascii="Helvetica" w:hAnsi="Helvetica" w:cs="Arial"/>
          <w:sz w:val="22"/>
          <w:szCs w:val="22"/>
        </w:rPr>
        <w:t>eveloping an effective and harm-</w:t>
      </w:r>
      <w:r w:rsidR="00C61C5D" w:rsidRPr="006E0DB4">
        <w:rPr>
          <w:rFonts w:ascii="Helvetica" w:hAnsi="Helvetica" w:cs="Arial"/>
          <w:sz w:val="22"/>
          <w:szCs w:val="22"/>
        </w:rPr>
        <w:t>reducing set of strategies to reform</w:t>
      </w:r>
      <w:r w:rsidR="006E0DB4">
        <w:rPr>
          <w:rFonts w:ascii="Helvetica" w:hAnsi="Helvetica" w:cs="Arial"/>
          <w:sz w:val="22"/>
          <w:szCs w:val="22"/>
        </w:rPr>
        <w:t xml:space="preserve"> states’ detention systems. T</w:t>
      </w:r>
      <w:r w:rsidR="00C61C5D" w:rsidRPr="006E0DB4">
        <w:rPr>
          <w:rFonts w:ascii="Helvetica" w:hAnsi="Helvetica" w:cs="Arial"/>
          <w:sz w:val="22"/>
          <w:szCs w:val="22"/>
        </w:rPr>
        <w:t>he</w:t>
      </w:r>
      <w:r w:rsidR="006E0DB4">
        <w:rPr>
          <w:rFonts w:ascii="Helvetica" w:hAnsi="Helvetica" w:cs="Arial"/>
          <w:sz w:val="22"/>
          <w:szCs w:val="22"/>
        </w:rPr>
        <w:t xml:space="preserve"> fulcrum </w:t>
      </w:r>
      <w:r w:rsidR="00C61C5D" w:rsidRPr="006E0DB4">
        <w:rPr>
          <w:rFonts w:ascii="Helvetica" w:hAnsi="Helvetica" w:cs="Arial"/>
          <w:sz w:val="22"/>
          <w:szCs w:val="22"/>
        </w:rPr>
        <w:t xml:space="preserve">of this crossroads </w:t>
      </w:r>
      <w:r w:rsidR="00765C87" w:rsidRPr="006E0DB4">
        <w:rPr>
          <w:rFonts w:ascii="Helvetica" w:hAnsi="Helvetica" w:cs="Arial"/>
          <w:sz w:val="22"/>
          <w:szCs w:val="22"/>
        </w:rPr>
        <w:t>is</w:t>
      </w:r>
      <w:r w:rsidR="00C61C5D" w:rsidRPr="006E0DB4">
        <w:rPr>
          <w:rFonts w:ascii="Helvetica" w:hAnsi="Helvetica" w:cs="Arial"/>
          <w:sz w:val="22"/>
          <w:szCs w:val="22"/>
        </w:rPr>
        <w:t xml:space="preserve"> the important role that less coercive measures must play to avoid arbitrary, harmful detention situations</w:t>
      </w:r>
      <w:r w:rsidR="005C12C6" w:rsidRPr="006E0DB4">
        <w:rPr>
          <w:rFonts w:ascii="Helvetica" w:hAnsi="Helvetica" w:cs="Arial"/>
          <w:sz w:val="22"/>
          <w:szCs w:val="22"/>
        </w:rPr>
        <w:t xml:space="preserve">—namely </w:t>
      </w:r>
      <w:r w:rsidR="00C61C5D" w:rsidRPr="006E0DB4">
        <w:rPr>
          <w:rFonts w:ascii="Helvetica" w:hAnsi="Helvetica" w:cs="Arial"/>
          <w:sz w:val="22"/>
          <w:szCs w:val="22"/>
        </w:rPr>
        <w:t>by ensuring that detention is both necessary and p</w:t>
      </w:r>
      <w:r w:rsidR="00765C87" w:rsidRPr="006E0DB4">
        <w:rPr>
          <w:rFonts w:ascii="Helvetica" w:hAnsi="Helvetica" w:cs="Arial"/>
          <w:sz w:val="22"/>
          <w:szCs w:val="22"/>
        </w:rPr>
        <w:t>roportionate</w:t>
      </w:r>
      <w:r w:rsidR="00156D4D" w:rsidRPr="006E0DB4">
        <w:rPr>
          <w:rFonts w:ascii="Helvetica" w:hAnsi="Helvetica" w:cs="Arial"/>
          <w:sz w:val="22"/>
          <w:szCs w:val="22"/>
        </w:rPr>
        <w:t xml:space="preserve"> in all cases</w:t>
      </w:r>
      <w:r w:rsidR="00765C87" w:rsidRPr="006E0DB4">
        <w:rPr>
          <w:rFonts w:ascii="Helvetica" w:hAnsi="Helvetica" w:cs="Arial"/>
          <w:sz w:val="22"/>
          <w:szCs w:val="22"/>
        </w:rPr>
        <w:t xml:space="preserve">. </w:t>
      </w:r>
      <w:proofErr w:type="gramStart"/>
      <w:r w:rsidR="00765C87" w:rsidRPr="006E0DB4">
        <w:rPr>
          <w:rFonts w:ascii="Helvetica" w:hAnsi="Helvetica" w:cs="Arial"/>
          <w:sz w:val="22"/>
          <w:szCs w:val="22"/>
        </w:rPr>
        <w:t>This narrow, well-</w:t>
      </w:r>
      <w:r w:rsidR="00C61C5D" w:rsidRPr="006E0DB4">
        <w:rPr>
          <w:rFonts w:ascii="Helvetica" w:hAnsi="Helvetica" w:cs="Arial"/>
          <w:sz w:val="22"/>
          <w:szCs w:val="22"/>
        </w:rPr>
        <w:t xml:space="preserve">defined role for ATDs is </w:t>
      </w:r>
      <w:r w:rsidR="00765C87" w:rsidRPr="006E0DB4">
        <w:rPr>
          <w:rFonts w:ascii="Helvetica" w:hAnsi="Helvetica" w:cs="Arial"/>
          <w:sz w:val="22"/>
          <w:szCs w:val="22"/>
        </w:rPr>
        <w:t>carefully</w:t>
      </w:r>
      <w:r w:rsidR="00C61C5D" w:rsidRPr="006E0DB4">
        <w:rPr>
          <w:rFonts w:ascii="Helvetica" w:hAnsi="Helvetica" w:cs="Arial"/>
          <w:sz w:val="22"/>
          <w:szCs w:val="22"/>
        </w:rPr>
        <w:t xml:space="preserve"> spelled out </w:t>
      </w:r>
      <w:r w:rsidR="00765C87" w:rsidRPr="006E0DB4">
        <w:rPr>
          <w:rFonts w:ascii="Helvetica" w:hAnsi="Helvetica" w:cs="Arial"/>
          <w:sz w:val="22"/>
          <w:szCs w:val="22"/>
        </w:rPr>
        <w:t>in a recent study by the European Parliament regarding implementation of the EU Return Directive</w:t>
      </w:r>
      <w:proofErr w:type="gramEnd"/>
      <w:r w:rsidR="00765C87" w:rsidRPr="006E0DB4">
        <w:rPr>
          <w:rStyle w:val="FootnoteReference"/>
          <w:rFonts w:ascii="Helvetica" w:hAnsi="Helvetica" w:cs="Arial"/>
          <w:sz w:val="22"/>
          <w:szCs w:val="22"/>
        </w:rPr>
        <w:footnoteReference w:id="1"/>
      </w:r>
      <w:r w:rsidR="00765C87" w:rsidRPr="006E0DB4">
        <w:rPr>
          <w:rFonts w:ascii="Helvetica" w:hAnsi="Helvetica" w:cs="Arial"/>
          <w:sz w:val="22"/>
          <w:szCs w:val="22"/>
        </w:rPr>
        <w:t>:</w:t>
      </w:r>
    </w:p>
    <w:p w14:paraId="54B83696" w14:textId="77777777" w:rsidR="00691F38" w:rsidRPr="006E0DB4" w:rsidRDefault="00691F38" w:rsidP="00F348E7">
      <w:pPr>
        <w:rPr>
          <w:rFonts w:ascii="Helvetica" w:hAnsi="Helvetica" w:cs="Arial"/>
          <w:sz w:val="22"/>
          <w:szCs w:val="22"/>
        </w:rPr>
      </w:pPr>
    </w:p>
    <w:p w14:paraId="63B68886" w14:textId="50B37FF3" w:rsidR="00765C87" w:rsidRPr="006E0DB4" w:rsidRDefault="00765C87" w:rsidP="006E0DB4">
      <w:pPr>
        <w:widowControl w:val="0"/>
        <w:autoSpaceDE w:val="0"/>
        <w:autoSpaceDN w:val="0"/>
        <w:adjustRightInd w:val="0"/>
        <w:ind w:left="720" w:right="1080"/>
        <w:rPr>
          <w:rFonts w:ascii="Helvetica" w:hAnsi="Helvetica" w:cs="Arial"/>
          <w:color w:val="000000"/>
          <w:sz w:val="20"/>
          <w:szCs w:val="20"/>
        </w:rPr>
      </w:pPr>
      <w:r w:rsidRPr="006E0DB4">
        <w:rPr>
          <w:rFonts w:ascii="Helvetica" w:hAnsi="Helvetica" w:cs="Arial"/>
          <w:sz w:val="20"/>
          <w:szCs w:val="20"/>
        </w:rPr>
        <w:t>“</w:t>
      </w:r>
      <w:r w:rsidRPr="006E0DB4">
        <w:rPr>
          <w:rFonts w:ascii="Helvetica" w:hAnsi="Helvetica" w:cs="Arial"/>
          <w:color w:val="000000"/>
          <w:sz w:val="20"/>
          <w:szCs w:val="20"/>
        </w:rPr>
        <w:t>In line with consistent case-law of the UN Human Rights Committee (HRC), immigration detention ‘could be considered arbitrary if it is not necessary in all the circumstances of the case and proportionate to the ends sought, for example, to prevent absconding.’ Detention should be a last resort, where non-custodial measures (so-called alternatives to detention ATD) are not sufficient for ensuring an effective return. The principle of proportionality and the corresponding duty for considering ATD in the first place implies the obligation to individually assess the necessity of detaining a person.”</w:t>
      </w:r>
    </w:p>
    <w:p w14:paraId="344FDFD3" w14:textId="610B7531" w:rsidR="00765C87" w:rsidRPr="006E0DB4" w:rsidRDefault="00765C87" w:rsidP="00F348E7">
      <w:pPr>
        <w:rPr>
          <w:rFonts w:ascii="Helvetica" w:hAnsi="Helvetica" w:cs="Arial"/>
          <w:sz w:val="22"/>
          <w:szCs w:val="22"/>
        </w:rPr>
      </w:pPr>
    </w:p>
    <w:p w14:paraId="6D8769AA" w14:textId="219544A5" w:rsidR="00765C87" w:rsidRPr="006E0DB4" w:rsidRDefault="00765C87" w:rsidP="00F348E7">
      <w:pPr>
        <w:rPr>
          <w:rFonts w:ascii="Helvetica" w:hAnsi="Helvetica" w:cs="Arial"/>
          <w:sz w:val="22"/>
          <w:szCs w:val="22"/>
        </w:rPr>
      </w:pPr>
      <w:r w:rsidRPr="006E0DB4">
        <w:rPr>
          <w:rFonts w:ascii="Helvetica" w:hAnsi="Helvetica" w:cs="Arial"/>
          <w:sz w:val="22"/>
          <w:szCs w:val="22"/>
        </w:rPr>
        <w:t xml:space="preserve">This submission endeavours to provide the CMW with a careful analysis of how ATDs should properly be understood within the framework of </w:t>
      </w:r>
      <w:r w:rsidR="00770315" w:rsidRPr="006E0DB4">
        <w:rPr>
          <w:rFonts w:ascii="Helvetica" w:hAnsi="Helvetica" w:cs="Arial"/>
          <w:sz w:val="22"/>
          <w:szCs w:val="22"/>
        </w:rPr>
        <w:t xml:space="preserve">detention decision-making, highlighting pitfalls of certain </w:t>
      </w:r>
      <w:r w:rsidR="005C12C6" w:rsidRPr="006E0DB4">
        <w:rPr>
          <w:rFonts w:ascii="Helvetica" w:hAnsi="Helvetica" w:cs="Arial"/>
          <w:sz w:val="22"/>
          <w:szCs w:val="22"/>
        </w:rPr>
        <w:t xml:space="preserve">ATD </w:t>
      </w:r>
      <w:r w:rsidR="00770315" w:rsidRPr="006E0DB4">
        <w:rPr>
          <w:rFonts w:ascii="Helvetica" w:hAnsi="Helvetica" w:cs="Arial"/>
          <w:sz w:val="22"/>
          <w:szCs w:val="22"/>
        </w:rPr>
        <w:t xml:space="preserve">formulations, and urging a more careful use of these concepts in various </w:t>
      </w:r>
      <w:r w:rsidR="00156D4D" w:rsidRPr="006E0DB4">
        <w:rPr>
          <w:rFonts w:ascii="Helvetica" w:hAnsi="Helvetica" w:cs="Arial"/>
          <w:sz w:val="22"/>
          <w:szCs w:val="22"/>
        </w:rPr>
        <w:t>parts</w:t>
      </w:r>
      <w:r w:rsidR="00770315" w:rsidRPr="006E0DB4">
        <w:rPr>
          <w:rFonts w:ascii="Helvetica" w:hAnsi="Helvetica" w:cs="Arial"/>
          <w:sz w:val="22"/>
          <w:szCs w:val="22"/>
        </w:rPr>
        <w:t xml:space="preserve"> of the Draft General Comment. In so doing, the submission seeks to assist the CMW in bringing the General Comment’s treatment of ATDs in line with </w:t>
      </w:r>
      <w:r w:rsidR="005C12C6" w:rsidRPr="006E0DB4">
        <w:rPr>
          <w:rFonts w:ascii="Helvetica" w:hAnsi="Helvetica" w:cs="Arial"/>
          <w:sz w:val="22"/>
          <w:szCs w:val="22"/>
        </w:rPr>
        <w:t xml:space="preserve">that </w:t>
      </w:r>
      <w:r w:rsidR="00770315" w:rsidRPr="006E0DB4">
        <w:rPr>
          <w:rFonts w:ascii="Helvetica" w:hAnsi="Helvetica" w:cs="Arial"/>
          <w:sz w:val="22"/>
          <w:szCs w:val="22"/>
        </w:rPr>
        <w:t xml:space="preserve">of important partners, including the European Union, </w:t>
      </w:r>
      <w:r w:rsidR="00156D4D" w:rsidRPr="006E0DB4">
        <w:rPr>
          <w:rFonts w:ascii="Helvetica" w:hAnsi="Helvetica" w:cs="Arial"/>
          <w:sz w:val="22"/>
          <w:szCs w:val="22"/>
        </w:rPr>
        <w:t xml:space="preserve">the </w:t>
      </w:r>
      <w:r w:rsidR="00770315" w:rsidRPr="006E0DB4">
        <w:rPr>
          <w:rFonts w:ascii="Helvetica" w:hAnsi="Helvetica" w:cs="Arial"/>
          <w:sz w:val="22"/>
          <w:szCs w:val="22"/>
        </w:rPr>
        <w:t>UN High Commissioner for Refugees</w:t>
      </w:r>
      <w:r w:rsidR="005C12C6" w:rsidRPr="006E0DB4">
        <w:rPr>
          <w:rFonts w:ascii="Helvetica" w:hAnsi="Helvetica" w:cs="Arial"/>
          <w:sz w:val="22"/>
          <w:szCs w:val="22"/>
        </w:rPr>
        <w:t xml:space="preserve"> </w:t>
      </w:r>
      <w:r w:rsidR="00770315" w:rsidRPr="006E0DB4">
        <w:rPr>
          <w:rFonts w:ascii="Helvetica" w:hAnsi="Helvetica" w:cs="Arial"/>
          <w:sz w:val="22"/>
          <w:szCs w:val="22"/>
        </w:rPr>
        <w:t xml:space="preserve">and other human rights </w:t>
      </w:r>
      <w:r w:rsidR="00A13DAB" w:rsidRPr="006E0DB4">
        <w:rPr>
          <w:rFonts w:ascii="Helvetica" w:hAnsi="Helvetica" w:cs="Arial"/>
          <w:sz w:val="22"/>
          <w:szCs w:val="22"/>
        </w:rPr>
        <w:t>monitors operating</w:t>
      </w:r>
      <w:r w:rsidR="00770315" w:rsidRPr="006E0DB4">
        <w:rPr>
          <w:rFonts w:ascii="Helvetica" w:hAnsi="Helvetica" w:cs="Arial"/>
          <w:sz w:val="22"/>
          <w:szCs w:val="22"/>
        </w:rPr>
        <w:t xml:space="preserve"> at the UN level</w:t>
      </w:r>
      <w:r w:rsidR="005C12C6" w:rsidRPr="006E0DB4">
        <w:rPr>
          <w:rFonts w:ascii="Helvetica" w:hAnsi="Helvetica" w:cs="Arial"/>
          <w:sz w:val="22"/>
          <w:szCs w:val="22"/>
        </w:rPr>
        <w:t>,</w:t>
      </w:r>
      <w:r w:rsidR="00770315" w:rsidRPr="006E0DB4">
        <w:rPr>
          <w:rFonts w:ascii="Helvetica" w:hAnsi="Helvetica" w:cs="Arial"/>
          <w:sz w:val="22"/>
          <w:szCs w:val="22"/>
        </w:rPr>
        <w:t xml:space="preserve"> and regionally, </w:t>
      </w:r>
      <w:r w:rsidR="00A13DAB" w:rsidRPr="006E0DB4">
        <w:rPr>
          <w:rFonts w:ascii="Helvetica" w:hAnsi="Helvetica" w:cs="Arial"/>
          <w:sz w:val="22"/>
          <w:szCs w:val="22"/>
        </w:rPr>
        <w:t>as well as in civil society</w:t>
      </w:r>
      <w:r w:rsidR="00770315" w:rsidRPr="006E0DB4">
        <w:rPr>
          <w:rFonts w:ascii="Helvetica" w:hAnsi="Helvetica" w:cs="Arial"/>
          <w:sz w:val="22"/>
          <w:szCs w:val="22"/>
        </w:rPr>
        <w:t xml:space="preserve">. Developing a synergy and harmony in our concepts </w:t>
      </w:r>
      <w:r w:rsidR="00FB333C" w:rsidRPr="006E0DB4">
        <w:rPr>
          <w:rFonts w:ascii="Helvetica" w:hAnsi="Helvetica" w:cs="Arial"/>
          <w:sz w:val="22"/>
          <w:szCs w:val="22"/>
        </w:rPr>
        <w:t xml:space="preserve">of </w:t>
      </w:r>
      <w:r w:rsidR="00770315" w:rsidRPr="006E0DB4">
        <w:rPr>
          <w:rFonts w:ascii="Helvetica" w:hAnsi="Helvetica" w:cs="Arial"/>
          <w:sz w:val="22"/>
          <w:szCs w:val="22"/>
        </w:rPr>
        <w:t xml:space="preserve">this issue will be an invaluable service and </w:t>
      </w:r>
      <w:r w:rsidR="00FB333C" w:rsidRPr="006E0DB4">
        <w:rPr>
          <w:rFonts w:ascii="Helvetica" w:hAnsi="Helvetica" w:cs="Arial"/>
          <w:sz w:val="22"/>
          <w:szCs w:val="22"/>
        </w:rPr>
        <w:t xml:space="preserve">provide </w:t>
      </w:r>
      <w:r w:rsidR="00156D4D" w:rsidRPr="006E0DB4">
        <w:rPr>
          <w:rFonts w:ascii="Helvetica" w:hAnsi="Helvetica" w:cs="Arial"/>
          <w:sz w:val="22"/>
          <w:szCs w:val="22"/>
        </w:rPr>
        <w:t xml:space="preserve">a </w:t>
      </w:r>
      <w:r w:rsidR="00770315" w:rsidRPr="006E0DB4">
        <w:rPr>
          <w:rFonts w:ascii="Helvetica" w:hAnsi="Helvetica" w:cs="Arial"/>
          <w:sz w:val="22"/>
          <w:szCs w:val="22"/>
        </w:rPr>
        <w:t xml:space="preserve">substantive contribution to ensuring that the human rights of migrants are </w:t>
      </w:r>
      <w:r w:rsidR="00156D4D" w:rsidRPr="006E0DB4">
        <w:rPr>
          <w:rFonts w:ascii="Helvetica" w:hAnsi="Helvetica" w:cs="Arial"/>
          <w:sz w:val="22"/>
          <w:szCs w:val="22"/>
        </w:rPr>
        <w:t xml:space="preserve">effectively promoted and </w:t>
      </w:r>
      <w:r w:rsidR="00770315" w:rsidRPr="006E0DB4">
        <w:rPr>
          <w:rFonts w:ascii="Helvetica" w:hAnsi="Helvetica" w:cs="Arial"/>
          <w:sz w:val="22"/>
          <w:szCs w:val="22"/>
        </w:rPr>
        <w:t xml:space="preserve">protected. </w:t>
      </w:r>
    </w:p>
    <w:p w14:paraId="53749531" w14:textId="77777777" w:rsidR="00144109" w:rsidRPr="006E0DB4" w:rsidRDefault="00144109" w:rsidP="00F348E7">
      <w:pPr>
        <w:rPr>
          <w:rFonts w:ascii="Helvetica" w:hAnsi="Helvetica" w:cs="Arial"/>
          <w:sz w:val="22"/>
          <w:szCs w:val="22"/>
        </w:rPr>
      </w:pPr>
    </w:p>
    <w:p w14:paraId="1A9DB504" w14:textId="77777777" w:rsidR="005643B7" w:rsidRPr="006E0DB4" w:rsidRDefault="005643B7" w:rsidP="00F348E7">
      <w:pPr>
        <w:rPr>
          <w:rFonts w:ascii="Helvetica" w:hAnsi="Helvetica" w:cs="Arial"/>
          <w:sz w:val="22"/>
          <w:szCs w:val="22"/>
        </w:rPr>
      </w:pPr>
    </w:p>
    <w:p w14:paraId="4C15D5BF" w14:textId="585CCF5C" w:rsidR="00770315" w:rsidRPr="006E0DB4" w:rsidRDefault="00861DEF" w:rsidP="00F348E7">
      <w:pPr>
        <w:rPr>
          <w:rFonts w:ascii="Avenir Next Condensed" w:hAnsi="Avenir Next Condensed" w:cs="Arial"/>
          <w:sz w:val="22"/>
          <w:szCs w:val="22"/>
        </w:rPr>
      </w:pPr>
      <w:r w:rsidRPr="006E0DB4">
        <w:rPr>
          <w:rFonts w:ascii="Avenir Next Condensed" w:hAnsi="Avenir Next Condensed" w:cs="Arial"/>
          <w:b/>
          <w:color w:val="195578"/>
          <w:sz w:val="22"/>
          <w:szCs w:val="22"/>
        </w:rPr>
        <w:t xml:space="preserve">II. FRAMING THE ROLE OF </w:t>
      </w:r>
      <w:r w:rsidR="002D431C" w:rsidRPr="006E0DB4">
        <w:rPr>
          <w:rFonts w:ascii="Avenir Next Condensed" w:hAnsi="Avenir Next Condensed" w:cs="Arial"/>
          <w:b/>
          <w:color w:val="195578"/>
          <w:sz w:val="22"/>
          <w:szCs w:val="22"/>
        </w:rPr>
        <w:t xml:space="preserve">ATDs &amp; </w:t>
      </w:r>
      <w:r w:rsidRPr="006E0DB4">
        <w:rPr>
          <w:rFonts w:ascii="Avenir Next Condensed" w:hAnsi="Avenir Next Condensed" w:cs="Arial"/>
          <w:b/>
          <w:color w:val="195578"/>
          <w:sz w:val="22"/>
          <w:szCs w:val="22"/>
        </w:rPr>
        <w:t xml:space="preserve">NON-CUSTODIAL MEASURES </w:t>
      </w:r>
    </w:p>
    <w:p w14:paraId="4DA4429D" w14:textId="77777777" w:rsidR="00770315" w:rsidRPr="006E0DB4" w:rsidRDefault="00770315" w:rsidP="00F348E7">
      <w:pPr>
        <w:rPr>
          <w:rFonts w:ascii="Helvetica" w:hAnsi="Helvetica" w:cs="Arial"/>
          <w:sz w:val="22"/>
          <w:szCs w:val="22"/>
        </w:rPr>
      </w:pPr>
    </w:p>
    <w:p w14:paraId="49C506BC" w14:textId="22F06386" w:rsidR="002D7F58" w:rsidRPr="006E0DB4" w:rsidRDefault="009314A6" w:rsidP="00F348E7">
      <w:pPr>
        <w:widowControl w:val="0"/>
        <w:autoSpaceDE w:val="0"/>
        <w:autoSpaceDN w:val="0"/>
        <w:adjustRightInd w:val="0"/>
        <w:rPr>
          <w:rFonts w:ascii="Helvetica" w:hAnsi="Helvetica" w:cs="Arial"/>
          <w:sz w:val="22"/>
          <w:szCs w:val="22"/>
        </w:rPr>
      </w:pPr>
      <w:r w:rsidRPr="006E0DB4">
        <w:rPr>
          <w:rFonts w:ascii="Helvetica" w:hAnsi="Helvetica" w:cs="Arial"/>
          <w:sz w:val="22"/>
          <w:szCs w:val="22"/>
        </w:rPr>
        <w:t xml:space="preserve">Today it has become commonplace </w:t>
      </w:r>
      <w:r w:rsidR="00D931F2" w:rsidRPr="006E0DB4">
        <w:rPr>
          <w:rFonts w:ascii="Helvetica" w:hAnsi="Helvetica" w:cs="Arial"/>
          <w:sz w:val="22"/>
          <w:szCs w:val="22"/>
        </w:rPr>
        <w:t xml:space="preserve">to describe “alternatives to detention” and other non-custodial </w:t>
      </w:r>
      <w:r w:rsidR="00144109" w:rsidRPr="006E0DB4">
        <w:rPr>
          <w:rFonts w:ascii="Helvetica" w:hAnsi="Helvetica" w:cs="Arial"/>
          <w:sz w:val="22"/>
          <w:szCs w:val="22"/>
        </w:rPr>
        <w:t>“</w:t>
      </w:r>
      <w:r w:rsidR="00D931F2" w:rsidRPr="006E0DB4">
        <w:rPr>
          <w:rFonts w:ascii="Helvetica" w:hAnsi="Helvetica" w:cs="Arial"/>
          <w:sz w:val="22"/>
          <w:szCs w:val="22"/>
        </w:rPr>
        <w:t>alte</w:t>
      </w:r>
      <w:r w:rsidR="00144109" w:rsidRPr="006E0DB4">
        <w:rPr>
          <w:rFonts w:ascii="Helvetica" w:hAnsi="Helvetica" w:cs="Arial"/>
          <w:sz w:val="22"/>
          <w:szCs w:val="22"/>
        </w:rPr>
        <w:t>rnative</w:t>
      </w:r>
      <w:r w:rsidRPr="006E0DB4">
        <w:rPr>
          <w:rFonts w:ascii="Helvetica" w:hAnsi="Helvetica" w:cs="Arial"/>
          <w:sz w:val="22"/>
          <w:szCs w:val="22"/>
        </w:rPr>
        <w:t xml:space="preserve"> measures to detention</w:t>
      </w:r>
      <w:r w:rsidR="00144109" w:rsidRPr="006E0DB4">
        <w:rPr>
          <w:rFonts w:ascii="Helvetica" w:hAnsi="Helvetica" w:cs="Arial"/>
          <w:sz w:val="22"/>
          <w:szCs w:val="22"/>
        </w:rPr>
        <w:t>”</w:t>
      </w:r>
      <w:r w:rsidRPr="006E0DB4">
        <w:rPr>
          <w:rFonts w:ascii="Helvetica" w:hAnsi="Helvetica" w:cs="Arial"/>
          <w:sz w:val="22"/>
          <w:szCs w:val="22"/>
        </w:rPr>
        <w:t xml:space="preserve"> as any </w:t>
      </w:r>
      <w:r w:rsidR="002D7F58" w:rsidRPr="006E0DB4">
        <w:rPr>
          <w:rFonts w:ascii="Helvetica" w:hAnsi="Helvetica" w:cs="Arial"/>
          <w:sz w:val="22"/>
          <w:szCs w:val="22"/>
        </w:rPr>
        <w:t>policies or practices that help “avoid the use of</w:t>
      </w:r>
      <w:r w:rsidRPr="006E0DB4">
        <w:rPr>
          <w:rFonts w:ascii="Helvetica" w:hAnsi="Helvetica" w:cs="Arial"/>
          <w:sz w:val="22"/>
          <w:szCs w:val="22"/>
        </w:rPr>
        <w:t xml:space="preserve"> detention for reasons related to migration,” as </w:t>
      </w:r>
      <w:r w:rsidR="00067365" w:rsidRPr="006E0DB4">
        <w:rPr>
          <w:rFonts w:ascii="Helvetica" w:hAnsi="Helvetica" w:cs="Arial"/>
          <w:sz w:val="22"/>
          <w:szCs w:val="22"/>
        </w:rPr>
        <w:t>stated</w:t>
      </w:r>
      <w:r w:rsidRPr="006E0DB4">
        <w:rPr>
          <w:rFonts w:ascii="Helvetica" w:hAnsi="Helvetica" w:cs="Arial"/>
          <w:sz w:val="22"/>
          <w:szCs w:val="22"/>
        </w:rPr>
        <w:t xml:space="preserve"> in the Network on Migration’s recent guidance “</w:t>
      </w:r>
      <w:r w:rsidRPr="006E0DB4">
        <w:rPr>
          <w:rFonts w:ascii="Helvetica" w:hAnsi="Helvetica" w:cs="Arial"/>
          <w:bCs/>
          <w:sz w:val="22"/>
          <w:szCs w:val="22"/>
        </w:rPr>
        <w:t>COVID-19 &amp; Immigration Detention: What Can Governments and Other Stakeholders Do?”</w:t>
      </w:r>
      <w:r w:rsidRPr="006E0DB4">
        <w:rPr>
          <w:rStyle w:val="FootnoteReference"/>
          <w:rFonts w:ascii="Helvetica" w:hAnsi="Helvetica" w:cs="Arial"/>
          <w:bCs/>
          <w:sz w:val="22"/>
          <w:szCs w:val="22"/>
        </w:rPr>
        <w:footnoteReference w:id="2"/>
      </w:r>
      <w:r w:rsidR="002D7F58" w:rsidRPr="006E0DB4">
        <w:rPr>
          <w:rFonts w:ascii="Helvetica" w:hAnsi="Helvetica" w:cs="Arial"/>
          <w:bCs/>
          <w:sz w:val="22"/>
          <w:szCs w:val="22"/>
        </w:rPr>
        <w:t xml:space="preserve"> Similarly, many non-governmental groups that promote ATDs define these measures as “</w:t>
      </w:r>
      <w:r w:rsidR="002D7F58" w:rsidRPr="006E0DB4">
        <w:rPr>
          <w:rFonts w:ascii="Helvetica" w:hAnsi="Helvetica" w:cs="Arial"/>
          <w:iCs/>
          <w:color w:val="000000"/>
          <w:sz w:val="22"/>
          <w:szCs w:val="22"/>
        </w:rPr>
        <w:t>Any law, policy or practice by which persons are not detained for reasons relating to their migration status.”</w:t>
      </w:r>
      <w:r w:rsidR="002D7F58" w:rsidRPr="006E0DB4">
        <w:rPr>
          <w:rStyle w:val="FootnoteReference"/>
          <w:rFonts w:ascii="Helvetica" w:hAnsi="Helvetica" w:cs="Arial"/>
          <w:bCs/>
          <w:sz w:val="22"/>
          <w:szCs w:val="22"/>
        </w:rPr>
        <w:footnoteReference w:id="3"/>
      </w:r>
      <w:r w:rsidR="002D7F58" w:rsidRPr="006E0DB4">
        <w:rPr>
          <w:rFonts w:ascii="Helvetica" w:hAnsi="Helvetica" w:cs="Arial"/>
          <w:i/>
          <w:iCs/>
          <w:color w:val="000000"/>
          <w:sz w:val="22"/>
          <w:szCs w:val="22"/>
        </w:rPr>
        <w:t xml:space="preserve"> </w:t>
      </w:r>
    </w:p>
    <w:p w14:paraId="3F4CDBED" w14:textId="77777777" w:rsidR="00733A19" w:rsidRPr="006E0DB4" w:rsidRDefault="00733A19" w:rsidP="00F348E7">
      <w:pPr>
        <w:widowControl w:val="0"/>
        <w:autoSpaceDE w:val="0"/>
        <w:autoSpaceDN w:val="0"/>
        <w:adjustRightInd w:val="0"/>
        <w:rPr>
          <w:rFonts w:ascii="Helvetica" w:hAnsi="Helvetica" w:cs="Arial"/>
          <w:sz w:val="22"/>
          <w:szCs w:val="22"/>
        </w:rPr>
      </w:pPr>
    </w:p>
    <w:p w14:paraId="37623202" w14:textId="7E6D8D93" w:rsidR="002D7F58" w:rsidRPr="006E0DB4" w:rsidRDefault="002D7F58" w:rsidP="00F348E7">
      <w:pPr>
        <w:widowControl w:val="0"/>
        <w:autoSpaceDE w:val="0"/>
        <w:autoSpaceDN w:val="0"/>
        <w:adjustRightInd w:val="0"/>
        <w:rPr>
          <w:rFonts w:ascii="Helvetica" w:hAnsi="Helvetica" w:cs="Arial"/>
          <w:sz w:val="22"/>
          <w:szCs w:val="22"/>
        </w:rPr>
      </w:pPr>
      <w:r w:rsidRPr="006E0DB4">
        <w:rPr>
          <w:rFonts w:ascii="Helvetica" w:hAnsi="Helvetica" w:cs="Arial"/>
          <w:sz w:val="22"/>
          <w:szCs w:val="22"/>
        </w:rPr>
        <w:t xml:space="preserve">While these formulations correctly identify </w:t>
      </w:r>
      <w:r w:rsidR="00144109" w:rsidRPr="006E0DB4">
        <w:rPr>
          <w:rFonts w:ascii="Helvetica" w:hAnsi="Helvetica" w:cs="Arial"/>
          <w:sz w:val="22"/>
          <w:szCs w:val="22"/>
        </w:rPr>
        <w:t>limiting</w:t>
      </w:r>
      <w:r w:rsidRPr="006E0DB4">
        <w:rPr>
          <w:rFonts w:ascii="Helvetica" w:hAnsi="Helvetica" w:cs="Arial"/>
          <w:sz w:val="22"/>
          <w:szCs w:val="22"/>
        </w:rPr>
        <w:t xml:space="preserve"> the use of detention as a goal of ATDs, they stop short of fully conceptuali</w:t>
      </w:r>
      <w:r w:rsidR="005C12C6" w:rsidRPr="006E0DB4">
        <w:rPr>
          <w:rFonts w:ascii="Helvetica" w:hAnsi="Helvetica" w:cs="Arial"/>
          <w:sz w:val="22"/>
          <w:szCs w:val="22"/>
        </w:rPr>
        <w:t>s</w:t>
      </w:r>
      <w:r w:rsidRPr="006E0DB4">
        <w:rPr>
          <w:rFonts w:ascii="Helvetica" w:hAnsi="Helvetica" w:cs="Arial"/>
          <w:sz w:val="22"/>
          <w:szCs w:val="22"/>
        </w:rPr>
        <w:t>ing the proper role of ATD</w:t>
      </w:r>
      <w:r w:rsidR="00144109" w:rsidRPr="006E0DB4">
        <w:rPr>
          <w:rFonts w:ascii="Helvetica" w:hAnsi="Helvetica" w:cs="Arial"/>
          <w:sz w:val="22"/>
          <w:szCs w:val="22"/>
        </w:rPr>
        <w:t>s in law and policy. This way of defining ATDs makes them</w:t>
      </w:r>
      <w:r w:rsidRPr="006E0DB4">
        <w:rPr>
          <w:rFonts w:ascii="Helvetica" w:hAnsi="Helvetica" w:cs="Arial"/>
          <w:sz w:val="22"/>
          <w:szCs w:val="22"/>
        </w:rPr>
        <w:t xml:space="preserve"> vulnerable to misuse and to being </w:t>
      </w:r>
      <w:proofErr w:type="spellStart"/>
      <w:r w:rsidRPr="006E0DB4">
        <w:rPr>
          <w:rFonts w:ascii="Helvetica" w:hAnsi="Helvetica" w:cs="Arial"/>
          <w:sz w:val="22"/>
          <w:szCs w:val="22"/>
        </w:rPr>
        <w:t>instrumentalised</w:t>
      </w:r>
      <w:proofErr w:type="spellEnd"/>
      <w:r w:rsidRPr="006E0DB4">
        <w:rPr>
          <w:rFonts w:ascii="Helvetica" w:hAnsi="Helvetica" w:cs="Arial"/>
          <w:sz w:val="22"/>
          <w:szCs w:val="22"/>
        </w:rPr>
        <w:t xml:space="preserve"> by states in ways </w:t>
      </w:r>
      <w:r w:rsidR="00F348E7" w:rsidRPr="006E0DB4">
        <w:rPr>
          <w:rFonts w:ascii="Helvetica" w:hAnsi="Helvetica" w:cs="Arial"/>
          <w:sz w:val="22"/>
          <w:szCs w:val="22"/>
        </w:rPr>
        <w:t>that could result in violations of</w:t>
      </w:r>
      <w:r w:rsidRPr="006E0DB4">
        <w:rPr>
          <w:rFonts w:ascii="Helvetica" w:hAnsi="Helvetica" w:cs="Arial"/>
          <w:sz w:val="22"/>
          <w:szCs w:val="22"/>
        </w:rPr>
        <w:t xml:space="preserve"> the human rights of migrants. </w:t>
      </w:r>
    </w:p>
    <w:p w14:paraId="43662645" w14:textId="77777777" w:rsidR="00B44AC9" w:rsidRPr="006E0DB4" w:rsidRDefault="00B44AC9" w:rsidP="00F348E7">
      <w:pPr>
        <w:widowControl w:val="0"/>
        <w:autoSpaceDE w:val="0"/>
        <w:autoSpaceDN w:val="0"/>
        <w:adjustRightInd w:val="0"/>
        <w:rPr>
          <w:rFonts w:ascii="Helvetica" w:hAnsi="Helvetica" w:cs="Arial"/>
          <w:sz w:val="22"/>
          <w:szCs w:val="22"/>
        </w:rPr>
      </w:pPr>
    </w:p>
    <w:p w14:paraId="18B3BD3B" w14:textId="77777777" w:rsidR="00B228DC" w:rsidRPr="006E0DB4" w:rsidRDefault="00B44AC9"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sz w:val="22"/>
          <w:szCs w:val="22"/>
        </w:rPr>
        <w:t>In contrast, the European Parliament is careful to distinguish between types of measures and how they are applied in order to ensure that “</w:t>
      </w:r>
      <w:r w:rsidRPr="006E0DB4">
        <w:rPr>
          <w:rFonts w:ascii="Helvetica" w:hAnsi="Helvetica" w:cs="Arial"/>
          <w:color w:val="000000"/>
          <w:sz w:val="22"/>
          <w:szCs w:val="22"/>
        </w:rPr>
        <w:t>ATD are measures applied as alternatives to depriving liberty and not as alternatives to liberty.” Thus, for instance, it states, “When detention has no legal basis, when for instance, a person poses no risk of absconding, ATD are not applicable.”</w:t>
      </w:r>
      <w:r w:rsidRPr="006E0DB4">
        <w:rPr>
          <w:rStyle w:val="FootnoteReference"/>
          <w:rFonts w:ascii="Helvetica" w:hAnsi="Helvetica" w:cs="Arial"/>
          <w:sz w:val="22"/>
          <w:szCs w:val="22"/>
        </w:rPr>
        <w:footnoteReference w:id="4"/>
      </w:r>
      <w:r w:rsidR="00D62184" w:rsidRPr="006E0DB4">
        <w:rPr>
          <w:rFonts w:ascii="Helvetica" w:hAnsi="Helvetica" w:cs="Arial"/>
          <w:color w:val="000000"/>
          <w:sz w:val="22"/>
          <w:szCs w:val="22"/>
        </w:rPr>
        <w:t xml:space="preserve"> </w:t>
      </w:r>
    </w:p>
    <w:p w14:paraId="410FED55" w14:textId="77777777" w:rsidR="00B228DC" w:rsidRPr="006E0DB4" w:rsidRDefault="00B228DC" w:rsidP="00F348E7">
      <w:pPr>
        <w:widowControl w:val="0"/>
        <w:autoSpaceDE w:val="0"/>
        <w:autoSpaceDN w:val="0"/>
        <w:adjustRightInd w:val="0"/>
        <w:rPr>
          <w:rFonts w:ascii="Helvetica" w:hAnsi="Helvetica" w:cs="Arial"/>
          <w:color w:val="000000"/>
          <w:sz w:val="22"/>
          <w:szCs w:val="22"/>
        </w:rPr>
      </w:pPr>
    </w:p>
    <w:p w14:paraId="759EE774" w14:textId="6D629AE8" w:rsidR="00D62184" w:rsidRPr="006E0DB4" w:rsidRDefault="00067365"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color w:val="000000"/>
          <w:sz w:val="22"/>
          <w:szCs w:val="22"/>
        </w:rPr>
        <w:t>While the European Parliament notes that ATDs can be a broad set of different measures that change from one country to the next and can carry various names and titles</w:t>
      </w:r>
      <w:r w:rsidR="00D62184" w:rsidRPr="006E0DB4">
        <w:rPr>
          <w:rFonts w:ascii="Helvetica" w:hAnsi="Helvetica" w:cs="Arial"/>
          <w:color w:val="000000"/>
          <w:sz w:val="22"/>
          <w:szCs w:val="22"/>
        </w:rPr>
        <w:t xml:space="preserve">, it is careful to frame these measures as legally defined entities that function within the narrow scope of </w:t>
      </w:r>
      <w:r w:rsidR="00C53738" w:rsidRPr="006E0DB4">
        <w:rPr>
          <w:rFonts w:ascii="Helvetica" w:hAnsi="Helvetica" w:cs="Arial"/>
          <w:color w:val="000000"/>
          <w:sz w:val="22"/>
          <w:szCs w:val="22"/>
        </w:rPr>
        <w:t xml:space="preserve">ensuring </w:t>
      </w:r>
      <w:r w:rsidR="00D62184" w:rsidRPr="006E0DB4">
        <w:rPr>
          <w:rFonts w:ascii="Helvetica" w:hAnsi="Helvetica" w:cs="Arial"/>
          <w:color w:val="000000"/>
          <w:sz w:val="22"/>
          <w:szCs w:val="22"/>
        </w:rPr>
        <w:t xml:space="preserve">the necessity and proportionality of detention decisions. In EU legislation, this role is </w:t>
      </w:r>
      <w:r w:rsidR="00BD26A7" w:rsidRPr="006E0DB4">
        <w:rPr>
          <w:rFonts w:ascii="Helvetica" w:hAnsi="Helvetica" w:cs="Arial"/>
          <w:color w:val="000000"/>
          <w:sz w:val="22"/>
          <w:szCs w:val="22"/>
        </w:rPr>
        <w:t>provided</w:t>
      </w:r>
      <w:r w:rsidR="00D62184" w:rsidRPr="006E0DB4">
        <w:rPr>
          <w:rFonts w:ascii="Helvetica" w:hAnsi="Helvetica" w:cs="Arial"/>
          <w:color w:val="000000"/>
          <w:sz w:val="22"/>
          <w:szCs w:val="22"/>
        </w:rPr>
        <w:t xml:space="preserve"> in </w:t>
      </w:r>
      <w:r w:rsidR="00733A19" w:rsidRPr="006E0DB4">
        <w:rPr>
          <w:rFonts w:ascii="Helvetica" w:hAnsi="Helvetica" w:cs="Arial"/>
          <w:color w:val="000000"/>
          <w:sz w:val="22"/>
          <w:szCs w:val="22"/>
        </w:rPr>
        <w:t>Article</w:t>
      </w:r>
      <w:r w:rsidR="00D62184" w:rsidRPr="006E0DB4">
        <w:rPr>
          <w:rFonts w:ascii="Helvetica" w:hAnsi="Helvetica" w:cs="Arial"/>
          <w:color w:val="000000"/>
          <w:sz w:val="22"/>
          <w:szCs w:val="22"/>
        </w:rPr>
        <w:t xml:space="preserve"> 15(1) of the </w:t>
      </w:r>
      <w:r w:rsidR="00733A19" w:rsidRPr="006E0DB4">
        <w:rPr>
          <w:rFonts w:ascii="Helvetica" w:hAnsi="Helvetica" w:cs="Arial"/>
          <w:color w:val="000000"/>
          <w:sz w:val="22"/>
          <w:szCs w:val="22"/>
        </w:rPr>
        <w:t>Return</w:t>
      </w:r>
      <w:r w:rsidR="00D62184" w:rsidRPr="006E0DB4">
        <w:rPr>
          <w:rFonts w:ascii="Helvetica" w:hAnsi="Helvetica" w:cs="Arial"/>
          <w:color w:val="000000"/>
          <w:sz w:val="22"/>
          <w:szCs w:val="22"/>
        </w:rPr>
        <w:t xml:space="preserve"> Directive, which </w:t>
      </w:r>
      <w:r w:rsidR="00C53738" w:rsidRPr="006E0DB4">
        <w:rPr>
          <w:rFonts w:ascii="Helvetica" w:hAnsi="Helvetica" w:cs="Arial"/>
          <w:color w:val="000000"/>
          <w:sz w:val="22"/>
          <w:szCs w:val="22"/>
        </w:rPr>
        <w:t>as the European Parliament notes</w:t>
      </w:r>
      <w:r w:rsidR="005E58DB" w:rsidRPr="006E0DB4">
        <w:rPr>
          <w:rFonts w:ascii="Helvetica" w:hAnsi="Helvetica" w:cs="Arial"/>
          <w:color w:val="000000"/>
          <w:sz w:val="22"/>
          <w:szCs w:val="22"/>
        </w:rPr>
        <w:t>,</w:t>
      </w:r>
      <w:r w:rsidR="00C53738" w:rsidRPr="006E0DB4">
        <w:rPr>
          <w:rFonts w:ascii="Helvetica" w:hAnsi="Helvetica" w:cs="Arial"/>
          <w:color w:val="000000"/>
          <w:sz w:val="22"/>
          <w:szCs w:val="22"/>
        </w:rPr>
        <w:t xml:space="preserve"> </w:t>
      </w:r>
      <w:r w:rsidR="00D62184" w:rsidRPr="006E0DB4">
        <w:rPr>
          <w:rFonts w:ascii="Helvetica" w:hAnsi="Helvetica" w:cs="Arial"/>
          <w:color w:val="000000"/>
          <w:sz w:val="22"/>
          <w:szCs w:val="22"/>
        </w:rPr>
        <w:t>provides that “Member States may impose pre-removal detention unless other sufficient but less coercive measures can be effectively applied in a specific case. The preamble reiterates that detention is justified if the application of less coercive measures would not be sufficient (§16).”</w:t>
      </w:r>
    </w:p>
    <w:p w14:paraId="15D39DF8" w14:textId="77777777" w:rsidR="00D62184" w:rsidRPr="006E0DB4" w:rsidRDefault="00D62184" w:rsidP="00F348E7">
      <w:pPr>
        <w:widowControl w:val="0"/>
        <w:autoSpaceDE w:val="0"/>
        <w:autoSpaceDN w:val="0"/>
        <w:adjustRightInd w:val="0"/>
        <w:rPr>
          <w:rFonts w:ascii="Helvetica" w:hAnsi="Helvetica" w:cs="Arial"/>
          <w:color w:val="000000"/>
          <w:sz w:val="22"/>
          <w:szCs w:val="22"/>
        </w:rPr>
      </w:pPr>
    </w:p>
    <w:p w14:paraId="725FE6CB" w14:textId="56CD8F10" w:rsidR="00D62184" w:rsidRPr="006E0DB4" w:rsidRDefault="00D62184"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color w:val="000000"/>
          <w:sz w:val="22"/>
          <w:szCs w:val="22"/>
        </w:rPr>
        <w:t xml:space="preserve">In support of this </w:t>
      </w:r>
      <w:r w:rsidR="00BD26A7" w:rsidRPr="006E0DB4">
        <w:rPr>
          <w:rFonts w:ascii="Helvetica" w:hAnsi="Helvetica" w:cs="Arial"/>
          <w:color w:val="000000"/>
          <w:sz w:val="22"/>
          <w:szCs w:val="22"/>
        </w:rPr>
        <w:t>characteri</w:t>
      </w:r>
      <w:r w:rsidR="0040049B" w:rsidRPr="006E0DB4">
        <w:rPr>
          <w:rFonts w:ascii="Helvetica" w:hAnsi="Helvetica" w:cs="Arial"/>
          <w:color w:val="000000"/>
          <w:sz w:val="22"/>
          <w:szCs w:val="22"/>
        </w:rPr>
        <w:t>s</w:t>
      </w:r>
      <w:r w:rsidR="00BD26A7" w:rsidRPr="006E0DB4">
        <w:rPr>
          <w:rFonts w:ascii="Helvetica" w:hAnsi="Helvetica" w:cs="Arial"/>
          <w:color w:val="000000"/>
          <w:sz w:val="22"/>
          <w:szCs w:val="22"/>
        </w:rPr>
        <w:t>ation of ATDs</w:t>
      </w:r>
      <w:r w:rsidRPr="006E0DB4">
        <w:rPr>
          <w:rFonts w:ascii="Helvetica" w:hAnsi="Helvetica" w:cs="Arial"/>
          <w:color w:val="000000"/>
          <w:sz w:val="22"/>
          <w:szCs w:val="22"/>
        </w:rPr>
        <w:t xml:space="preserve">, the European </w:t>
      </w:r>
      <w:r w:rsidR="00733A19" w:rsidRPr="006E0DB4">
        <w:rPr>
          <w:rFonts w:ascii="Helvetica" w:hAnsi="Helvetica" w:cs="Arial"/>
          <w:color w:val="000000"/>
          <w:sz w:val="22"/>
          <w:szCs w:val="22"/>
        </w:rPr>
        <w:t>Parliament</w:t>
      </w:r>
      <w:r w:rsidRPr="006E0DB4">
        <w:rPr>
          <w:rFonts w:ascii="Helvetica" w:hAnsi="Helvetica" w:cs="Arial"/>
          <w:color w:val="000000"/>
          <w:sz w:val="22"/>
          <w:szCs w:val="22"/>
        </w:rPr>
        <w:t xml:space="preserve"> cites </w:t>
      </w:r>
      <w:r w:rsidR="00733A19" w:rsidRPr="006E0DB4">
        <w:rPr>
          <w:rFonts w:ascii="Helvetica" w:hAnsi="Helvetica" w:cs="Arial"/>
          <w:color w:val="000000"/>
          <w:sz w:val="22"/>
          <w:szCs w:val="22"/>
        </w:rPr>
        <w:t>jurisprudence</w:t>
      </w:r>
      <w:r w:rsidRPr="006E0DB4">
        <w:rPr>
          <w:rFonts w:ascii="Helvetica" w:hAnsi="Helvetica" w:cs="Arial"/>
          <w:color w:val="000000"/>
          <w:sz w:val="22"/>
          <w:szCs w:val="22"/>
        </w:rPr>
        <w:t xml:space="preserve"> at the Europ</w:t>
      </w:r>
      <w:r w:rsidR="00733A19" w:rsidRPr="006E0DB4">
        <w:rPr>
          <w:rFonts w:ascii="Helvetica" w:hAnsi="Helvetica" w:cs="Arial"/>
          <w:color w:val="000000"/>
          <w:sz w:val="22"/>
          <w:szCs w:val="22"/>
        </w:rPr>
        <w:t>ean Court of Justice: “I</w:t>
      </w:r>
      <w:r w:rsidRPr="006E0DB4">
        <w:rPr>
          <w:rFonts w:ascii="Helvetica" w:hAnsi="Helvetica" w:cs="Arial"/>
          <w:color w:val="000000"/>
          <w:sz w:val="22"/>
          <w:szCs w:val="22"/>
        </w:rPr>
        <w:t xml:space="preserve">n </w:t>
      </w:r>
      <w:r w:rsidRPr="006E0DB4">
        <w:rPr>
          <w:rFonts w:ascii="Helvetica" w:hAnsi="Helvetica" w:cs="Arial"/>
          <w:i/>
          <w:iCs/>
          <w:color w:val="000000"/>
          <w:sz w:val="22"/>
          <w:szCs w:val="22"/>
        </w:rPr>
        <w:t>FMS and Others</w:t>
      </w:r>
      <w:r w:rsidRPr="006E0DB4">
        <w:rPr>
          <w:rFonts w:ascii="Helvetica" w:hAnsi="Helvetica" w:cs="Arial"/>
          <w:color w:val="000000"/>
          <w:sz w:val="22"/>
          <w:szCs w:val="22"/>
        </w:rPr>
        <w:t>, the CJEU stressed that the imposition of an alternative measure to detention can only be envisaged if the reason which justified the detention of the person concerned was and remains valid, but the detention does not appear or no longer appears necessary or proportionate.”</w:t>
      </w:r>
    </w:p>
    <w:p w14:paraId="06065E18" w14:textId="77777777" w:rsidR="00D62184" w:rsidRPr="006E0DB4" w:rsidRDefault="00D62184" w:rsidP="00F348E7">
      <w:pPr>
        <w:widowControl w:val="0"/>
        <w:autoSpaceDE w:val="0"/>
        <w:autoSpaceDN w:val="0"/>
        <w:adjustRightInd w:val="0"/>
        <w:rPr>
          <w:rFonts w:ascii="Helvetica" w:hAnsi="Helvetica" w:cs="Arial"/>
          <w:color w:val="000000"/>
          <w:sz w:val="22"/>
          <w:szCs w:val="22"/>
        </w:rPr>
      </w:pPr>
    </w:p>
    <w:p w14:paraId="39227620" w14:textId="77777777" w:rsidR="006E0DB4" w:rsidRPr="006E0DB4" w:rsidRDefault="006E0DB4" w:rsidP="006E0DB4">
      <w:pPr>
        <w:widowControl w:val="0"/>
        <w:autoSpaceDE w:val="0"/>
        <w:autoSpaceDN w:val="0"/>
        <w:adjustRightInd w:val="0"/>
        <w:rPr>
          <w:rFonts w:ascii="Helvetica" w:hAnsi="Helvetica" w:cs="Arial"/>
          <w:color w:val="000000"/>
          <w:sz w:val="22"/>
          <w:szCs w:val="22"/>
        </w:rPr>
      </w:pPr>
      <w:r w:rsidRPr="006E0DB4">
        <w:rPr>
          <w:rFonts w:ascii="Helvetica" w:hAnsi="Helvetica" w:cs="Arial"/>
          <w:b/>
          <w:sz w:val="22"/>
          <w:szCs w:val="22"/>
        </w:rPr>
        <w:t xml:space="preserve">In other words, ATDs are only a legitimate immigration policy tool when they are considered in the application of a lawful detention decision procedure to assess whether a less coercive measure is available that can achieve the same goal as detention. In this way, ATDs underpin the necessity and proportionality of individual detention measures. </w:t>
      </w:r>
    </w:p>
    <w:p w14:paraId="7A1A6D6F" w14:textId="77777777" w:rsidR="006E0DB4" w:rsidRPr="006E0DB4" w:rsidRDefault="006E0DB4" w:rsidP="00F348E7">
      <w:pPr>
        <w:rPr>
          <w:rFonts w:ascii="Helvetica" w:hAnsi="Helvetica" w:cs="Arial"/>
          <w:color w:val="000000"/>
          <w:sz w:val="22"/>
          <w:szCs w:val="22"/>
        </w:rPr>
      </w:pPr>
    </w:p>
    <w:p w14:paraId="7B4E68DC" w14:textId="39D66071" w:rsidR="00443A77" w:rsidRPr="006E0DB4" w:rsidRDefault="0013053E" w:rsidP="00F348E7">
      <w:pPr>
        <w:rPr>
          <w:rFonts w:ascii="Helvetica" w:hAnsi="Helvetica" w:cs="Arial"/>
          <w:sz w:val="22"/>
          <w:szCs w:val="22"/>
        </w:rPr>
      </w:pPr>
      <w:r w:rsidRPr="006E0DB4">
        <w:rPr>
          <w:rFonts w:ascii="Helvetica" w:hAnsi="Helvetica" w:cs="Arial"/>
          <w:color w:val="000000"/>
          <w:sz w:val="22"/>
          <w:szCs w:val="22"/>
        </w:rPr>
        <w:t xml:space="preserve">Other institutions and human rights bodies have similarly sought to narrowly frame ATDs and </w:t>
      </w:r>
      <w:r w:rsidR="00C53738" w:rsidRPr="006E0DB4">
        <w:rPr>
          <w:rFonts w:ascii="Helvetica" w:hAnsi="Helvetica" w:cs="Arial"/>
          <w:color w:val="000000"/>
          <w:sz w:val="22"/>
          <w:szCs w:val="22"/>
        </w:rPr>
        <w:t xml:space="preserve">have </w:t>
      </w:r>
      <w:r w:rsidRPr="006E0DB4">
        <w:rPr>
          <w:rFonts w:ascii="Helvetica" w:hAnsi="Helvetica" w:cs="Arial"/>
          <w:color w:val="000000"/>
          <w:sz w:val="22"/>
          <w:szCs w:val="22"/>
        </w:rPr>
        <w:t>express</w:t>
      </w:r>
      <w:r w:rsidR="00C53738" w:rsidRPr="006E0DB4">
        <w:rPr>
          <w:rFonts w:ascii="Helvetica" w:hAnsi="Helvetica" w:cs="Arial"/>
          <w:color w:val="000000"/>
          <w:sz w:val="22"/>
          <w:szCs w:val="22"/>
        </w:rPr>
        <w:t>ed</w:t>
      </w:r>
      <w:r w:rsidRPr="006E0DB4">
        <w:rPr>
          <w:rFonts w:ascii="Helvetica" w:hAnsi="Helvetica" w:cs="Arial"/>
          <w:color w:val="000000"/>
          <w:sz w:val="22"/>
          <w:szCs w:val="22"/>
        </w:rPr>
        <w:t xml:space="preserve"> concern about </w:t>
      </w:r>
      <w:r w:rsidR="00C53738" w:rsidRPr="006E0DB4">
        <w:rPr>
          <w:rFonts w:ascii="Helvetica" w:hAnsi="Helvetica" w:cs="Arial"/>
          <w:color w:val="000000"/>
          <w:sz w:val="22"/>
          <w:szCs w:val="22"/>
        </w:rPr>
        <w:t>their</w:t>
      </w:r>
      <w:r w:rsidRPr="006E0DB4">
        <w:rPr>
          <w:rFonts w:ascii="Helvetica" w:hAnsi="Helvetica" w:cs="Arial"/>
          <w:color w:val="000000"/>
          <w:sz w:val="22"/>
          <w:szCs w:val="22"/>
        </w:rPr>
        <w:t xml:space="preserve"> misuse. The UN High Commissioner for Refugees has consistently characteri</w:t>
      </w:r>
      <w:r w:rsidR="0040049B" w:rsidRPr="006E0DB4">
        <w:rPr>
          <w:rFonts w:ascii="Helvetica" w:hAnsi="Helvetica" w:cs="Arial"/>
          <w:color w:val="000000"/>
          <w:sz w:val="22"/>
          <w:szCs w:val="22"/>
        </w:rPr>
        <w:t>s</w:t>
      </w:r>
      <w:r w:rsidR="00BD26A7" w:rsidRPr="006E0DB4">
        <w:rPr>
          <w:rFonts w:ascii="Helvetica" w:hAnsi="Helvetica" w:cs="Arial"/>
          <w:color w:val="000000"/>
          <w:sz w:val="22"/>
          <w:szCs w:val="22"/>
        </w:rPr>
        <w:t xml:space="preserve">ed national ATD measures as legitimate </w:t>
      </w:r>
      <w:r w:rsidRPr="006E0DB4">
        <w:rPr>
          <w:rFonts w:ascii="Helvetica" w:hAnsi="Helvetica" w:cs="Arial"/>
          <w:color w:val="000000"/>
          <w:sz w:val="22"/>
          <w:szCs w:val="22"/>
        </w:rPr>
        <w:t xml:space="preserve">only </w:t>
      </w:r>
      <w:r w:rsidR="00BD26A7" w:rsidRPr="006E0DB4">
        <w:rPr>
          <w:rFonts w:ascii="Helvetica" w:hAnsi="Helvetica" w:cs="Arial"/>
          <w:color w:val="000000"/>
          <w:sz w:val="22"/>
          <w:szCs w:val="22"/>
        </w:rPr>
        <w:t>when they</w:t>
      </w:r>
      <w:r w:rsidRPr="006E0DB4">
        <w:rPr>
          <w:rFonts w:ascii="Helvetica" w:hAnsi="Helvetica" w:cs="Arial"/>
          <w:color w:val="000000"/>
          <w:sz w:val="22"/>
          <w:szCs w:val="22"/>
        </w:rPr>
        <w:t xml:space="preserve"> are used in the context of people wh</w:t>
      </w:r>
      <w:r w:rsidR="00443A77" w:rsidRPr="006E0DB4">
        <w:rPr>
          <w:rFonts w:ascii="Helvetica" w:hAnsi="Helvetica" w:cs="Arial"/>
          <w:color w:val="000000"/>
          <w:sz w:val="22"/>
          <w:szCs w:val="22"/>
        </w:rPr>
        <w:t>o would otherwise be detained. Thus, for instance, UNHCR has critici</w:t>
      </w:r>
      <w:r w:rsidR="0040049B" w:rsidRPr="006E0DB4">
        <w:rPr>
          <w:rFonts w:ascii="Helvetica" w:hAnsi="Helvetica" w:cs="Arial"/>
          <w:color w:val="000000"/>
          <w:sz w:val="22"/>
          <w:szCs w:val="22"/>
        </w:rPr>
        <w:t>s</w:t>
      </w:r>
      <w:r w:rsidR="00443A77" w:rsidRPr="006E0DB4">
        <w:rPr>
          <w:rFonts w:ascii="Helvetica" w:hAnsi="Helvetica" w:cs="Arial"/>
          <w:color w:val="000000"/>
          <w:sz w:val="22"/>
          <w:szCs w:val="22"/>
        </w:rPr>
        <w:t xml:space="preserve">ed Malta’s policy framework for the use of ATDs in asylum cases, which stipulates </w:t>
      </w:r>
      <w:r w:rsidR="00443A77" w:rsidRPr="006E0DB4">
        <w:rPr>
          <w:rFonts w:ascii="Helvetica" w:hAnsi="Helvetica" w:cs="Arial"/>
          <w:sz w:val="22"/>
          <w:szCs w:val="22"/>
        </w:rPr>
        <w:t>that non-custodial measures are to be applied when no detention decision is issued. According to Malta’s regulations, when a recommendation is made not to detain an asylum seeker due to the lack of applicable grounds or the absence of a sufficiently high risk of absconding, “the Officer making the recommendation shall indicate whether alternatives to detention should be applied in the specific case and, if so, which.”</w:t>
      </w:r>
      <w:r w:rsidR="001B218E" w:rsidRPr="006E0DB4">
        <w:rPr>
          <w:rStyle w:val="FootnoteReference"/>
          <w:rFonts w:ascii="Helvetica" w:hAnsi="Helvetica" w:cs="Arial"/>
          <w:sz w:val="22"/>
          <w:szCs w:val="22"/>
        </w:rPr>
        <w:footnoteReference w:id="5"/>
      </w:r>
    </w:p>
    <w:p w14:paraId="1CE1CAC3" w14:textId="77777777" w:rsidR="00443A77" w:rsidRPr="006E0DB4" w:rsidRDefault="00443A77" w:rsidP="00F348E7">
      <w:pPr>
        <w:rPr>
          <w:rFonts w:ascii="Helvetica" w:hAnsi="Helvetica" w:cs="Arial"/>
          <w:sz w:val="22"/>
          <w:szCs w:val="22"/>
        </w:rPr>
      </w:pPr>
    </w:p>
    <w:p w14:paraId="4954D91F" w14:textId="233725CD" w:rsidR="00443A77" w:rsidRPr="006E0DB4" w:rsidRDefault="00443A77" w:rsidP="00F348E7">
      <w:pPr>
        <w:rPr>
          <w:rFonts w:ascii="Helvetica" w:hAnsi="Helvetica" w:cs="Arial"/>
          <w:sz w:val="22"/>
          <w:szCs w:val="22"/>
        </w:rPr>
      </w:pPr>
      <w:r w:rsidRPr="006E0DB4">
        <w:rPr>
          <w:rFonts w:ascii="Helvetica" w:hAnsi="Helvetica" w:cs="Arial"/>
          <w:sz w:val="22"/>
          <w:szCs w:val="22"/>
        </w:rPr>
        <w:t xml:space="preserve">UNHCR has stated that these regulations lack sufficient clarity to be considered “alternatives to detention,” particularly due to the fact that the measures can be applied when no detention decision has been taken. </w:t>
      </w:r>
      <w:r w:rsidR="00C53738" w:rsidRPr="006E0DB4">
        <w:rPr>
          <w:rFonts w:ascii="Helvetica" w:hAnsi="Helvetica" w:cs="Arial"/>
          <w:sz w:val="22"/>
          <w:szCs w:val="22"/>
        </w:rPr>
        <w:t>Echoing the European Parliament’s assessment of ATDs, UNHCR argued that</w:t>
      </w:r>
      <w:r w:rsidRPr="006E0DB4">
        <w:rPr>
          <w:rFonts w:ascii="Helvetica" w:hAnsi="Helvetica" w:cs="Arial"/>
          <w:sz w:val="22"/>
          <w:szCs w:val="22"/>
        </w:rPr>
        <w:t xml:space="preserve"> the conditions outlined in </w:t>
      </w:r>
      <w:r w:rsidR="00C53738" w:rsidRPr="006E0DB4">
        <w:rPr>
          <w:rFonts w:ascii="Helvetica" w:hAnsi="Helvetica" w:cs="Arial"/>
          <w:sz w:val="22"/>
          <w:szCs w:val="22"/>
        </w:rPr>
        <w:t>Malta’s</w:t>
      </w:r>
      <w:r w:rsidRPr="006E0DB4">
        <w:rPr>
          <w:rFonts w:ascii="Helvetica" w:hAnsi="Helvetica" w:cs="Arial"/>
          <w:sz w:val="22"/>
          <w:szCs w:val="22"/>
        </w:rPr>
        <w:t xml:space="preserve"> policy appear to be “alternative forms of liberty” rather than “alternatives to detention.” </w:t>
      </w:r>
      <w:r w:rsidR="00C53738" w:rsidRPr="006E0DB4">
        <w:rPr>
          <w:rFonts w:ascii="Helvetica" w:hAnsi="Helvetica" w:cs="Arial"/>
          <w:sz w:val="22"/>
          <w:szCs w:val="22"/>
        </w:rPr>
        <w:t>It further argued that</w:t>
      </w:r>
      <w:r w:rsidRPr="006E0DB4">
        <w:rPr>
          <w:rFonts w:ascii="Helvetica" w:hAnsi="Helvetica" w:cs="Arial"/>
          <w:sz w:val="22"/>
          <w:szCs w:val="22"/>
        </w:rPr>
        <w:t xml:space="preserve"> </w:t>
      </w:r>
      <w:r w:rsidR="00C53738" w:rsidRPr="006E0DB4">
        <w:rPr>
          <w:rFonts w:ascii="Helvetica" w:hAnsi="Helvetica" w:cs="Arial"/>
          <w:sz w:val="22"/>
          <w:szCs w:val="22"/>
        </w:rPr>
        <w:t>Malta’s</w:t>
      </w:r>
      <w:r w:rsidRPr="006E0DB4">
        <w:rPr>
          <w:rFonts w:ascii="Helvetica" w:hAnsi="Helvetica" w:cs="Arial"/>
          <w:sz w:val="22"/>
          <w:szCs w:val="22"/>
        </w:rPr>
        <w:t xml:space="preserve"> policy is </w:t>
      </w:r>
      <w:r w:rsidRPr="006E0DB4">
        <w:rPr>
          <w:rFonts w:ascii="Helvetica" w:hAnsi="Helvetica" w:cs="Arial"/>
          <w:sz w:val="22"/>
          <w:szCs w:val="22"/>
        </w:rPr>
        <w:lastRenderedPageBreak/>
        <w:t>based on an incorrect interpretation of the right to lib</w:t>
      </w:r>
      <w:r w:rsidR="00C53738" w:rsidRPr="006E0DB4">
        <w:rPr>
          <w:rFonts w:ascii="Helvetica" w:hAnsi="Helvetica" w:cs="Arial"/>
          <w:sz w:val="22"/>
          <w:szCs w:val="22"/>
        </w:rPr>
        <w:t xml:space="preserve">erty and security of person and </w:t>
      </w:r>
      <w:r w:rsidRPr="006E0DB4">
        <w:rPr>
          <w:rFonts w:ascii="Helvetica" w:hAnsi="Helvetica" w:cs="Arial"/>
          <w:sz w:val="22"/>
          <w:szCs w:val="22"/>
        </w:rPr>
        <w:t xml:space="preserve">fails to </w:t>
      </w:r>
      <w:r w:rsidR="00C53738" w:rsidRPr="006E0DB4">
        <w:rPr>
          <w:rFonts w:ascii="Helvetica" w:hAnsi="Helvetica" w:cs="Arial"/>
          <w:sz w:val="22"/>
          <w:szCs w:val="22"/>
        </w:rPr>
        <w:t xml:space="preserve">properly </w:t>
      </w:r>
      <w:r w:rsidRPr="006E0DB4">
        <w:rPr>
          <w:rFonts w:ascii="Helvetica" w:hAnsi="Helvetica" w:cs="Arial"/>
          <w:sz w:val="22"/>
          <w:szCs w:val="22"/>
        </w:rPr>
        <w:t>transpose Article 8(2) of the EU Reception Conditions.</w:t>
      </w:r>
      <w:r w:rsidR="001B218E" w:rsidRPr="006E0DB4">
        <w:rPr>
          <w:rStyle w:val="FootnoteReference"/>
          <w:rFonts w:ascii="Helvetica" w:hAnsi="Helvetica" w:cs="Arial"/>
          <w:sz w:val="22"/>
          <w:szCs w:val="22"/>
        </w:rPr>
        <w:footnoteReference w:id="6"/>
      </w:r>
    </w:p>
    <w:p w14:paraId="1D2C58BC" w14:textId="77777777" w:rsidR="00443A77" w:rsidRPr="006E0DB4" w:rsidRDefault="00443A77" w:rsidP="00F348E7">
      <w:pPr>
        <w:rPr>
          <w:rFonts w:ascii="Helvetica" w:hAnsi="Helvetica" w:cs="Arial"/>
          <w:sz w:val="22"/>
          <w:szCs w:val="22"/>
        </w:rPr>
      </w:pPr>
    </w:p>
    <w:p w14:paraId="0A19BB42" w14:textId="22F42FBB" w:rsidR="00443A77" w:rsidRPr="006E0DB4" w:rsidRDefault="00443A77" w:rsidP="00F348E7">
      <w:pPr>
        <w:rPr>
          <w:rFonts w:ascii="Helvetica" w:hAnsi="Helvetica" w:cs="Arial"/>
          <w:sz w:val="22"/>
          <w:szCs w:val="22"/>
        </w:rPr>
      </w:pPr>
      <w:r w:rsidRPr="006E0DB4">
        <w:rPr>
          <w:rFonts w:ascii="Helvetica" w:hAnsi="Helvetica" w:cs="Arial"/>
          <w:sz w:val="22"/>
          <w:szCs w:val="22"/>
        </w:rPr>
        <w:t xml:space="preserve">Malta’s framework governing non-custodial measures has also sparked criticism from civil society actors, </w:t>
      </w:r>
      <w:r w:rsidR="00067365" w:rsidRPr="006E0DB4">
        <w:rPr>
          <w:rFonts w:ascii="Helvetica" w:hAnsi="Helvetica" w:cs="Arial"/>
          <w:sz w:val="22"/>
          <w:szCs w:val="22"/>
        </w:rPr>
        <w:t>precisely</w:t>
      </w:r>
      <w:r w:rsidRPr="006E0DB4">
        <w:rPr>
          <w:rFonts w:ascii="Helvetica" w:hAnsi="Helvetica" w:cs="Arial"/>
          <w:sz w:val="22"/>
          <w:szCs w:val="22"/>
        </w:rPr>
        <w:t xml:space="preserve"> because both </w:t>
      </w:r>
      <w:r w:rsidR="00C53738" w:rsidRPr="006E0DB4">
        <w:rPr>
          <w:rFonts w:ascii="Helvetica" w:hAnsi="Helvetica" w:cs="Arial"/>
          <w:sz w:val="22"/>
          <w:szCs w:val="22"/>
        </w:rPr>
        <w:t>its</w:t>
      </w:r>
      <w:r w:rsidRPr="006E0DB4">
        <w:rPr>
          <w:rFonts w:ascii="Helvetica" w:hAnsi="Helvetica" w:cs="Arial"/>
          <w:sz w:val="22"/>
          <w:szCs w:val="22"/>
        </w:rPr>
        <w:t xml:space="preserve"> Reception Regulations and </w:t>
      </w:r>
      <w:r w:rsidR="00C53738" w:rsidRPr="006E0DB4">
        <w:rPr>
          <w:rFonts w:ascii="Helvetica" w:hAnsi="Helvetica" w:cs="Arial"/>
          <w:sz w:val="22"/>
          <w:szCs w:val="22"/>
        </w:rPr>
        <w:t>its related</w:t>
      </w:r>
      <w:r w:rsidRPr="006E0DB4">
        <w:rPr>
          <w:rFonts w:ascii="Helvetica" w:hAnsi="Helvetica" w:cs="Arial"/>
          <w:sz w:val="22"/>
          <w:szCs w:val="22"/>
        </w:rPr>
        <w:t xml:space="preserve"> strategy document</w:t>
      </w:r>
      <w:r w:rsidR="00C53738" w:rsidRPr="006E0DB4">
        <w:rPr>
          <w:rFonts w:ascii="Helvetica" w:hAnsi="Helvetica" w:cs="Arial"/>
          <w:sz w:val="22"/>
          <w:szCs w:val="22"/>
        </w:rPr>
        <w:t>s</w:t>
      </w:r>
      <w:r w:rsidRPr="006E0DB4">
        <w:rPr>
          <w:rFonts w:ascii="Helvetica" w:hAnsi="Helvetica" w:cs="Arial"/>
          <w:sz w:val="22"/>
          <w:szCs w:val="22"/>
        </w:rPr>
        <w:t xml:space="preserve"> appear to imply that such measures can be used for asylum seekers who would not otherwise be detained. As such, these measures should not be considered as “alternatives.” </w:t>
      </w:r>
      <w:proofErr w:type="spellStart"/>
      <w:r w:rsidRPr="006E0DB4">
        <w:rPr>
          <w:rFonts w:ascii="Helvetica" w:hAnsi="Helvetica" w:cs="Arial"/>
          <w:sz w:val="22"/>
          <w:szCs w:val="22"/>
        </w:rPr>
        <w:t>Aditus</w:t>
      </w:r>
      <w:proofErr w:type="spellEnd"/>
      <w:r w:rsidRPr="006E0DB4">
        <w:rPr>
          <w:rFonts w:ascii="Helvetica" w:hAnsi="Helvetica" w:cs="Arial"/>
          <w:sz w:val="22"/>
          <w:szCs w:val="22"/>
        </w:rPr>
        <w:t xml:space="preserve"> and the JRS report that there have been numerous cases where asylum seekers have been released from detention and one of these measures has been ordered, despite the detention grounds no longer existing.</w:t>
      </w:r>
      <w:r w:rsidR="0020506A" w:rsidRPr="006E0DB4">
        <w:rPr>
          <w:rStyle w:val="FootnoteReference"/>
          <w:rFonts w:ascii="Helvetica" w:hAnsi="Helvetica" w:cs="Arial"/>
          <w:color w:val="000000"/>
          <w:sz w:val="22"/>
          <w:szCs w:val="22"/>
        </w:rPr>
        <w:footnoteReference w:id="7"/>
      </w:r>
    </w:p>
    <w:p w14:paraId="286C975E" w14:textId="77777777" w:rsidR="00443A77" w:rsidRPr="006E0DB4" w:rsidRDefault="00443A77" w:rsidP="00F348E7">
      <w:pPr>
        <w:rPr>
          <w:rFonts w:ascii="Helvetica" w:hAnsi="Helvetica" w:cs="Arial"/>
          <w:sz w:val="22"/>
          <w:szCs w:val="22"/>
        </w:rPr>
      </w:pPr>
    </w:p>
    <w:p w14:paraId="39AFCD6F" w14:textId="2C330369" w:rsidR="00691231" w:rsidRPr="006E0DB4" w:rsidRDefault="00443A77"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sz w:val="22"/>
          <w:szCs w:val="22"/>
        </w:rPr>
        <w:t>What these human rights observers and international organisations are identifying</w:t>
      </w:r>
      <w:r w:rsidR="00144109" w:rsidRPr="006E0DB4">
        <w:rPr>
          <w:rFonts w:ascii="Helvetica" w:hAnsi="Helvetica" w:cs="Arial"/>
          <w:sz w:val="22"/>
          <w:szCs w:val="22"/>
        </w:rPr>
        <w:t xml:space="preserve"> in Malta</w:t>
      </w:r>
      <w:r w:rsidRPr="006E0DB4">
        <w:rPr>
          <w:rFonts w:ascii="Helvetica" w:hAnsi="Helvetica" w:cs="Arial"/>
          <w:sz w:val="22"/>
          <w:szCs w:val="22"/>
        </w:rPr>
        <w:t xml:space="preserve"> is what </w:t>
      </w:r>
      <w:r w:rsidR="00C53738" w:rsidRPr="006E0DB4">
        <w:rPr>
          <w:rFonts w:ascii="Helvetica" w:hAnsi="Helvetica" w:cs="Arial"/>
          <w:sz w:val="22"/>
          <w:szCs w:val="22"/>
        </w:rPr>
        <w:t>social scien</w:t>
      </w:r>
      <w:r w:rsidR="00691231" w:rsidRPr="006E0DB4">
        <w:rPr>
          <w:rFonts w:ascii="Helvetica" w:hAnsi="Helvetica" w:cs="Arial"/>
          <w:sz w:val="22"/>
          <w:szCs w:val="22"/>
        </w:rPr>
        <w:t>tists refer to as “net-widening.</w:t>
      </w:r>
      <w:r w:rsidR="00C53738" w:rsidRPr="006E0DB4">
        <w:rPr>
          <w:rFonts w:ascii="Helvetica" w:hAnsi="Helvetica" w:cs="Arial"/>
          <w:sz w:val="22"/>
          <w:szCs w:val="22"/>
        </w:rPr>
        <w:t xml:space="preserve">” </w:t>
      </w:r>
      <w:r w:rsidR="00691231" w:rsidRPr="006E0DB4">
        <w:rPr>
          <w:rFonts w:ascii="Helvetica" w:hAnsi="Helvetica" w:cs="Arial"/>
          <w:sz w:val="22"/>
          <w:szCs w:val="22"/>
        </w:rPr>
        <w:t>This</w:t>
      </w:r>
      <w:r w:rsidR="00C53738" w:rsidRPr="006E0DB4">
        <w:rPr>
          <w:rFonts w:ascii="Helvetica" w:hAnsi="Helvetica" w:cs="Arial"/>
          <w:sz w:val="22"/>
          <w:szCs w:val="22"/>
        </w:rPr>
        <w:t xml:space="preserve"> is “</w:t>
      </w:r>
      <w:r w:rsidR="00C53738" w:rsidRPr="006E0DB4">
        <w:rPr>
          <w:rFonts w:ascii="Helvetica" w:hAnsi="Helvetica" w:cs="Arial"/>
          <w:color w:val="000000"/>
          <w:sz w:val="22"/>
          <w:szCs w:val="22"/>
        </w:rPr>
        <w:t>a concept developed by sociologist Stanley Cohen (1985) in relation</w:t>
      </w:r>
      <w:r w:rsidR="00691231" w:rsidRPr="006E0DB4">
        <w:rPr>
          <w:rFonts w:ascii="Helvetica" w:hAnsi="Helvetica" w:cs="Arial"/>
          <w:color w:val="000000"/>
          <w:sz w:val="22"/>
          <w:szCs w:val="22"/>
        </w:rPr>
        <w:t xml:space="preserve"> to the criminal justice system [that] </w:t>
      </w:r>
      <w:r w:rsidR="00C53738" w:rsidRPr="006E0DB4">
        <w:rPr>
          <w:rFonts w:ascii="Helvetica" w:hAnsi="Helvetica" w:cs="Arial"/>
          <w:color w:val="000000"/>
          <w:sz w:val="22"/>
          <w:szCs w:val="22"/>
        </w:rPr>
        <w:t>refers to administrative or practical changes that, often unintentionally, result in a greater number of people being subject to systems of state control.”</w:t>
      </w:r>
      <w:r w:rsidR="00691231" w:rsidRPr="006E0DB4">
        <w:rPr>
          <w:rFonts w:ascii="Helvetica" w:hAnsi="Helvetica" w:cs="Arial"/>
          <w:color w:val="000000"/>
          <w:sz w:val="22"/>
          <w:szCs w:val="22"/>
        </w:rPr>
        <w:t xml:space="preserve"> In her exhaustive review of literature on ATDs for the UK Home Office, Oxford University </w:t>
      </w:r>
      <w:r w:rsidR="0020506A" w:rsidRPr="006E0DB4">
        <w:rPr>
          <w:rFonts w:ascii="Helvetica" w:hAnsi="Helvetica" w:cs="Arial"/>
          <w:color w:val="000000"/>
          <w:sz w:val="22"/>
          <w:szCs w:val="22"/>
        </w:rPr>
        <w:t>criminologist</w:t>
      </w:r>
      <w:r w:rsidR="00691231" w:rsidRPr="006E0DB4">
        <w:rPr>
          <w:rFonts w:ascii="Helvetica" w:hAnsi="Helvetica" w:cs="Arial"/>
          <w:color w:val="000000"/>
          <w:sz w:val="22"/>
          <w:szCs w:val="22"/>
        </w:rPr>
        <w:t xml:space="preserve"> Mary </w:t>
      </w:r>
      <w:r w:rsidR="000D1705" w:rsidRPr="006E0DB4">
        <w:rPr>
          <w:rFonts w:ascii="Helvetica" w:hAnsi="Helvetica" w:cs="Arial"/>
          <w:color w:val="000000"/>
          <w:sz w:val="22"/>
          <w:szCs w:val="22"/>
        </w:rPr>
        <w:t>Bosworth</w:t>
      </w:r>
      <w:r w:rsidR="00691231" w:rsidRPr="006E0DB4">
        <w:rPr>
          <w:rFonts w:ascii="Helvetica" w:hAnsi="Helvetica" w:cs="Arial"/>
          <w:color w:val="000000"/>
          <w:sz w:val="22"/>
          <w:szCs w:val="22"/>
        </w:rPr>
        <w:t xml:space="preserve"> writes that while </w:t>
      </w:r>
      <w:r w:rsidR="000D1705" w:rsidRPr="006E0DB4">
        <w:rPr>
          <w:rFonts w:ascii="Helvetica" w:hAnsi="Helvetica" w:cs="Arial"/>
          <w:color w:val="000000"/>
          <w:sz w:val="22"/>
          <w:szCs w:val="22"/>
        </w:rPr>
        <w:t>there</w:t>
      </w:r>
      <w:r w:rsidR="00691231" w:rsidRPr="006E0DB4">
        <w:rPr>
          <w:rFonts w:ascii="Helvetica" w:hAnsi="Helvetica" w:cs="Arial"/>
          <w:color w:val="000000"/>
          <w:sz w:val="22"/>
          <w:szCs w:val="22"/>
        </w:rPr>
        <w:t xml:space="preserve"> is evidence that “</w:t>
      </w:r>
      <w:r w:rsidR="00691231" w:rsidRPr="006E0DB4">
        <w:rPr>
          <w:rFonts w:ascii="Helvetica" w:hAnsi="Helvetica" w:cs="Arial"/>
          <w:sz w:val="22"/>
          <w:szCs w:val="22"/>
        </w:rPr>
        <w:t xml:space="preserve">suggests that alternatives to detention are cheaper than immigration detention … such cost-analysis does not take into account the net-widening effect of alternatives, but rather assumes a like-for-like substitution.” As a result, she </w:t>
      </w:r>
      <w:proofErr w:type="gramStart"/>
      <w:r w:rsidR="00691231" w:rsidRPr="006E0DB4">
        <w:rPr>
          <w:rFonts w:ascii="Helvetica" w:hAnsi="Helvetica" w:cs="Arial"/>
          <w:sz w:val="22"/>
          <w:szCs w:val="22"/>
        </w:rPr>
        <w:t>concludes that</w:t>
      </w:r>
      <w:proofErr w:type="gramEnd"/>
      <w:r w:rsidR="00691231" w:rsidRPr="006E0DB4">
        <w:rPr>
          <w:rFonts w:ascii="Helvetica" w:hAnsi="Helvetica" w:cs="Arial"/>
          <w:sz w:val="22"/>
          <w:szCs w:val="22"/>
        </w:rPr>
        <w:t xml:space="preserve"> “</w:t>
      </w:r>
      <w:r w:rsidR="00691231" w:rsidRPr="006E0DB4">
        <w:rPr>
          <w:rFonts w:ascii="Helvetica" w:hAnsi="Helvetica" w:cs="Arial"/>
          <w:color w:val="000000"/>
          <w:sz w:val="22"/>
          <w:szCs w:val="22"/>
        </w:rPr>
        <w:t>despite extensive evidence from the criminal justice system concerning the net-widening effect of non-custodial alternatives, and notwithstanding similarly negative accounts of ‘care in the community’ within the health sector literature, for the most part the literature on ATDs is upbeat.”</w:t>
      </w:r>
      <w:r w:rsidR="0020506A" w:rsidRPr="006E0DB4">
        <w:rPr>
          <w:rStyle w:val="FootnoteReference"/>
          <w:rFonts w:ascii="Helvetica" w:hAnsi="Helvetica" w:cs="Arial"/>
          <w:color w:val="000000"/>
          <w:sz w:val="22"/>
          <w:szCs w:val="22"/>
        </w:rPr>
        <w:footnoteReference w:id="8"/>
      </w:r>
      <w:r w:rsidR="00691231" w:rsidRPr="006E0DB4">
        <w:rPr>
          <w:rFonts w:ascii="Helvetica" w:hAnsi="Helvetica" w:cs="Arial"/>
          <w:color w:val="000000"/>
          <w:sz w:val="22"/>
          <w:szCs w:val="22"/>
        </w:rPr>
        <w:t xml:space="preserve"> </w:t>
      </w:r>
    </w:p>
    <w:p w14:paraId="09C88517" w14:textId="77D7173B" w:rsidR="00691231" w:rsidRPr="006E0DB4" w:rsidRDefault="00691231" w:rsidP="00F348E7">
      <w:pPr>
        <w:rPr>
          <w:rFonts w:ascii="Helvetica" w:hAnsi="Helvetica" w:cs="Arial"/>
          <w:sz w:val="22"/>
          <w:szCs w:val="22"/>
        </w:rPr>
      </w:pPr>
    </w:p>
    <w:p w14:paraId="3D547318" w14:textId="1F35AE65" w:rsidR="00D62184" w:rsidRPr="006E0DB4" w:rsidRDefault="00691231" w:rsidP="00F348E7">
      <w:pPr>
        <w:widowControl w:val="0"/>
        <w:autoSpaceDE w:val="0"/>
        <w:autoSpaceDN w:val="0"/>
        <w:adjustRightInd w:val="0"/>
        <w:rPr>
          <w:rFonts w:ascii="Helvetica" w:hAnsi="Helvetica" w:cs="Arial"/>
          <w:color w:val="000000"/>
          <w:sz w:val="22"/>
          <w:szCs w:val="22"/>
        </w:rPr>
      </w:pPr>
      <w:r w:rsidRPr="006E0DB4">
        <w:rPr>
          <w:rFonts w:ascii="Helvetica" w:hAnsi="Helvetica" w:cs="Arial"/>
          <w:color w:val="000000"/>
          <w:sz w:val="22"/>
          <w:szCs w:val="22"/>
        </w:rPr>
        <w:t xml:space="preserve">It is precisely because of these considerations that the GDP urges the CMW </w:t>
      </w:r>
      <w:r w:rsidR="001913A6" w:rsidRPr="006E0DB4">
        <w:rPr>
          <w:rFonts w:ascii="Helvetica" w:hAnsi="Helvetica" w:cs="Arial"/>
          <w:color w:val="000000"/>
          <w:sz w:val="22"/>
          <w:szCs w:val="22"/>
        </w:rPr>
        <w:t xml:space="preserve">to be </w:t>
      </w:r>
      <w:r w:rsidR="001913A6" w:rsidRPr="006E0DB4">
        <w:rPr>
          <w:rFonts w:ascii="Helvetica" w:hAnsi="Helvetica" w:cs="Arial"/>
          <w:sz w:val="22"/>
          <w:szCs w:val="22"/>
        </w:rPr>
        <w:t xml:space="preserve">cautious </w:t>
      </w:r>
      <w:r w:rsidR="0040049B" w:rsidRPr="006E0DB4">
        <w:rPr>
          <w:rFonts w:ascii="Helvetica" w:hAnsi="Helvetica" w:cs="Arial"/>
          <w:sz w:val="22"/>
          <w:szCs w:val="22"/>
        </w:rPr>
        <w:t xml:space="preserve">in </w:t>
      </w:r>
      <w:r w:rsidR="001913A6" w:rsidRPr="006E0DB4">
        <w:rPr>
          <w:rFonts w:ascii="Helvetica" w:hAnsi="Helvetica" w:cs="Arial"/>
          <w:sz w:val="22"/>
          <w:szCs w:val="22"/>
        </w:rPr>
        <w:t xml:space="preserve">how it employs </w:t>
      </w:r>
      <w:r w:rsidR="000F36FC">
        <w:rPr>
          <w:rFonts w:ascii="Helvetica" w:hAnsi="Helvetica" w:cs="Arial"/>
          <w:sz w:val="22"/>
          <w:szCs w:val="22"/>
        </w:rPr>
        <w:t>concepts like</w:t>
      </w:r>
      <w:r w:rsidR="001913A6" w:rsidRPr="006E0DB4">
        <w:rPr>
          <w:rFonts w:ascii="Helvetica" w:hAnsi="Helvetica" w:cs="Arial"/>
          <w:sz w:val="22"/>
          <w:szCs w:val="22"/>
        </w:rPr>
        <w:t xml:space="preserve"> “alternatives to detention” in </w:t>
      </w:r>
      <w:r w:rsidR="005643B7" w:rsidRPr="006E0DB4">
        <w:rPr>
          <w:rFonts w:ascii="Helvetica" w:hAnsi="Helvetica" w:cs="Arial"/>
          <w:sz w:val="22"/>
          <w:szCs w:val="22"/>
        </w:rPr>
        <w:t>this</w:t>
      </w:r>
      <w:r w:rsidR="001913A6" w:rsidRPr="006E0DB4">
        <w:rPr>
          <w:rFonts w:ascii="Helvetica" w:hAnsi="Helvetica" w:cs="Arial"/>
          <w:sz w:val="22"/>
          <w:szCs w:val="22"/>
        </w:rPr>
        <w:t xml:space="preserve"> General Comment. There is a clear need for a course correction in </w:t>
      </w:r>
      <w:r w:rsidR="0061056B" w:rsidRPr="006E0DB4">
        <w:rPr>
          <w:rFonts w:ascii="Helvetica" w:hAnsi="Helvetica" w:cs="Arial"/>
          <w:sz w:val="22"/>
          <w:szCs w:val="22"/>
        </w:rPr>
        <w:t>advocacy</w:t>
      </w:r>
      <w:r w:rsidR="001913A6" w:rsidRPr="006E0DB4">
        <w:rPr>
          <w:rFonts w:ascii="Helvetica" w:hAnsi="Helvetica" w:cs="Arial"/>
          <w:sz w:val="22"/>
          <w:szCs w:val="22"/>
        </w:rPr>
        <w:t xml:space="preserve"> on this </w:t>
      </w:r>
      <w:r w:rsidR="000D1705" w:rsidRPr="006E0DB4">
        <w:rPr>
          <w:rFonts w:ascii="Helvetica" w:hAnsi="Helvetica" w:cs="Arial"/>
          <w:sz w:val="22"/>
          <w:szCs w:val="22"/>
        </w:rPr>
        <w:t>issue</w:t>
      </w:r>
      <w:r w:rsidR="001913A6" w:rsidRPr="006E0DB4">
        <w:rPr>
          <w:rFonts w:ascii="Helvetica" w:hAnsi="Helvetica" w:cs="Arial"/>
          <w:sz w:val="22"/>
          <w:szCs w:val="22"/>
        </w:rPr>
        <w:t xml:space="preserve"> to ensure that ATDs </w:t>
      </w:r>
      <w:r w:rsidR="0040049B" w:rsidRPr="006E0DB4">
        <w:rPr>
          <w:rFonts w:ascii="Helvetica" w:hAnsi="Helvetica" w:cs="Arial"/>
          <w:sz w:val="22"/>
          <w:szCs w:val="22"/>
        </w:rPr>
        <w:t xml:space="preserve">do not </w:t>
      </w:r>
      <w:r w:rsidR="000D1705" w:rsidRPr="006E0DB4">
        <w:rPr>
          <w:rFonts w:ascii="Helvetica" w:hAnsi="Helvetica" w:cs="Arial"/>
          <w:sz w:val="22"/>
          <w:szCs w:val="22"/>
        </w:rPr>
        <w:t>end up creating</w:t>
      </w:r>
      <w:r w:rsidR="001913A6" w:rsidRPr="006E0DB4">
        <w:rPr>
          <w:rFonts w:ascii="Helvetica" w:hAnsi="Helvetica" w:cs="Arial"/>
          <w:sz w:val="22"/>
          <w:szCs w:val="22"/>
        </w:rPr>
        <w:t xml:space="preserve"> more </w:t>
      </w:r>
      <w:r w:rsidR="0061056B" w:rsidRPr="006E0DB4">
        <w:rPr>
          <w:rFonts w:ascii="Helvetica" w:hAnsi="Helvetica" w:cs="Arial"/>
          <w:sz w:val="22"/>
          <w:szCs w:val="22"/>
        </w:rPr>
        <w:t>problems</w:t>
      </w:r>
      <w:r w:rsidR="000D1705" w:rsidRPr="006E0DB4">
        <w:rPr>
          <w:rFonts w:ascii="Helvetica" w:hAnsi="Helvetica" w:cs="Arial"/>
          <w:sz w:val="22"/>
          <w:szCs w:val="22"/>
        </w:rPr>
        <w:t xml:space="preserve"> than they resolve. </w:t>
      </w:r>
      <w:r w:rsidR="001913A6" w:rsidRPr="006E0DB4">
        <w:rPr>
          <w:rFonts w:ascii="Helvetica" w:hAnsi="Helvetica" w:cs="Arial"/>
          <w:sz w:val="22"/>
          <w:szCs w:val="22"/>
        </w:rPr>
        <w:t>O</w:t>
      </w:r>
      <w:r w:rsidR="00144109" w:rsidRPr="006E0DB4">
        <w:rPr>
          <w:rFonts w:ascii="Helvetica" w:hAnsi="Helvetica" w:cs="Arial"/>
          <w:sz w:val="22"/>
          <w:szCs w:val="22"/>
        </w:rPr>
        <w:t>nce</w:t>
      </w:r>
      <w:r w:rsidR="001913A6" w:rsidRPr="006E0DB4">
        <w:rPr>
          <w:rFonts w:ascii="Helvetica" w:hAnsi="Helvetica" w:cs="Arial"/>
          <w:sz w:val="22"/>
          <w:szCs w:val="22"/>
        </w:rPr>
        <w:t xml:space="preserve"> </w:t>
      </w:r>
      <w:r w:rsidR="0061056B" w:rsidRPr="006E0DB4">
        <w:rPr>
          <w:rFonts w:ascii="Helvetica" w:hAnsi="Helvetica" w:cs="Arial"/>
          <w:sz w:val="22"/>
          <w:szCs w:val="22"/>
        </w:rPr>
        <w:t>ATDs</w:t>
      </w:r>
      <w:r w:rsidR="001913A6" w:rsidRPr="006E0DB4">
        <w:rPr>
          <w:rFonts w:ascii="Helvetica" w:hAnsi="Helvetica" w:cs="Arial"/>
          <w:sz w:val="22"/>
          <w:szCs w:val="22"/>
        </w:rPr>
        <w:t xml:space="preserve"> </w:t>
      </w:r>
      <w:r w:rsidR="0061056B" w:rsidRPr="006E0DB4">
        <w:rPr>
          <w:rFonts w:ascii="Helvetica" w:hAnsi="Helvetica" w:cs="Arial"/>
          <w:sz w:val="22"/>
          <w:szCs w:val="22"/>
        </w:rPr>
        <w:t>are</w:t>
      </w:r>
      <w:r w:rsidR="00144109" w:rsidRPr="006E0DB4">
        <w:rPr>
          <w:rFonts w:ascii="Helvetica" w:hAnsi="Helvetica" w:cs="Arial"/>
          <w:sz w:val="22"/>
          <w:szCs w:val="22"/>
        </w:rPr>
        <w:t xml:space="preserve"> taken out of the limited legal role </w:t>
      </w:r>
      <w:r w:rsidR="0061056B" w:rsidRPr="006E0DB4">
        <w:rPr>
          <w:rFonts w:ascii="Helvetica" w:hAnsi="Helvetica" w:cs="Arial"/>
          <w:sz w:val="22"/>
          <w:szCs w:val="22"/>
        </w:rPr>
        <w:t xml:space="preserve">with respect to demonstrating the </w:t>
      </w:r>
      <w:r w:rsidR="00144109" w:rsidRPr="006E0DB4">
        <w:rPr>
          <w:rFonts w:ascii="Helvetica" w:hAnsi="Helvetica" w:cs="Arial"/>
          <w:sz w:val="22"/>
          <w:szCs w:val="22"/>
        </w:rPr>
        <w:t>necessity and proportionality of detention decisions</w:t>
      </w:r>
      <w:r w:rsidR="0061056B" w:rsidRPr="006E0DB4">
        <w:rPr>
          <w:rFonts w:ascii="Helvetica" w:hAnsi="Helvetica" w:cs="Arial"/>
          <w:sz w:val="22"/>
          <w:szCs w:val="22"/>
        </w:rPr>
        <w:t xml:space="preserve"> </w:t>
      </w:r>
      <w:r w:rsidR="00144109" w:rsidRPr="006E0DB4">
        <w:rPr>
          <w:rFonts w:ascii="Helvetica" w:hAnsi="Helvetica" w:cs="Arial"/>
          <w:sz w:val="22"/>
          <w:szCs w:val="22"/>
        </w:rPr>
        <w:t xml:space="preserve">they can become </w:t>
      </w:r>
      <w:proofErr w:type="spellStart"/>
      <w:r w:rsidR="00144109" w:rsidRPr="006E0DB4">
        <w:rPr>
          <w:rFonts w:ascii="Helvetica" w:hAnsi="Helvetica" w:cs="Arial"/>
          <w:sz w:val="22"/>
          <w:szCs w:val="22"/>
        </w:rPr>
        <w:t>instrumentalised</w:t>
      </w:r>
      <w:proofErr w:type="spellEnd"/>
      <w:r w:rsidR="00144109" w:rsidRPr="006E0DB4">
        <w:rPr>
          <w:rFonts w:ascii="Helvetica" w:hAnsi="Helvetica" w:cs="Arial"/>
          <w:sz w:val="22"/>
          <w:szCs w:val="22"/>
        </w:rPr>
        <w:t xml:space="preserve"> in ways that </w:t>
      </w:r>
      <w:r w:rsidR="000D1705" w:rsidRPr="006E0DB4">
        <w:rPr>
          <w:rFonts w:ascii="Helvetica" w:hAnsi="Helvetica" w:cs="Arial"/>
          <w:sz w:val="22"/>
          <w:szCs w:val="22"/>
        </w:rPr>
        <w:t>can</w:t>
      </w:r>
      <w:r w:rsidR="0040049B" w:rsidRPr="006E0DB4">
        <w:rPr>
          <w:rFonts w:ascii="Helvetica" w:hAnsi="Helvetica" w:cs="Arial"/>
          <w:sz w:val="22"/>
          <w:szCs w:val="22"/>
        </w:rPr>
        <w:t xml:space="preserve"> </w:t>
      </w:r>
      <w:r w:rsidR="00144109" w:rsidRPr="006E0DB4">
        <w:rPr>
          <w:rFonts w:ascii="Helvetica" w:hAnsi="Helvetica" w:cs="Arial"/>
          <w:sz w:val="22"/>
          <w:szCs w:val="22"/>
        </w:rPr>
        <w:t>violate the human rights of migrants.</w:t>
      </w:r>
    </w:p>
    <w:p w14:paraId="374D8C97" w14:textId="77777777" w:rsidR="00144109" w:rsidRPr="006E0DB4" w:rsidRDefault="00144109" w:rsidP="00F348E7">
      <w:pPr>
        <w:widowControl w:val="0"/>
        <w:autoSpaceDE w:val="0"/>
        <w:autoSpaceDN w:val="0"/>
        <w:adjustRightInd w:val="0"/>
        <w:rPr>
          <w:rFonts w:ascii="Helvetica" w:hAnsi="Helvetica" w:cs="Arial"/>
          <w:sz w:val="22"/>
          <w:szCs w:val="22"/>
        </w:rPr>
      </w:pPr>
    </w:p>
    <w:p w14:paraId="5297F277" w14:textId="77777777" w:rsidR="00067365" w:rsidRPr="006E0DB4" w:rsidRDefault="00067365" w:rsidP="00F348E7">
      <w:pPr>
        <w:rPr>
          <w:rFonts w:ascii="Helvetica" w:hAnsi="Helvetica" w:cs="Arial"/>
          <w:i/>
          <w:sz w:val="22"/>
          <w:szCs w:val="22"/>
        </w:rPr>
      </w:pPr>
      <w:proofErr w:type="spellStart"/>
      <w:r w:rsidRPr="006E0DB4">
        <w:rPr>
          <w:rFonts w:ascii="Helvetica" w:hAnsi="Helvetica" w:cs="Arial"/>
          <w:i/>
          <w:sz w:val="22"/>
          <w:szCs w:val="22"/>
        </w:rPr>
        <w:t>IIa</w:t>
      </w:r>
      <w:proofErr w:type="spellEnd"/>
      <w:r w:rsidRPr="006E0DB4">
        <w:rPr>
          <w:rFonts w:ascii="Helvetica" w:hAnsi="Helvetica" w:cs="Arial"/>
          <w:i/>
          <w:sz w:val="22"/>
          <w:szCs w:val="22"/>
        </w:rPr>
        <w:t>. Children and ATDs</w:t>
      </w:r>
    </w:p>
    <w:p w14:paraId="18375870" w14:textId="77777777" w:rsidR="00067365" w:rsidRPr="006E0DB4" w:rsidRDefault="00067365" w:rsidP="00F348E7">
      <w:pPr>
        <w:rPr>
          <w:rFonts w:ascii="Helvetica" w:hAnsi="Helvetica" w:cs="Arial"/>
          <w:sz w:val="22"/>
          <w:szCs w:val="22"/>
        </w:rPr>
      </w:pPr>
    </w:p>
    <w:p w14:paraId="085D3958" w14:textId="38321926" w:rsidR="00144109" w:rsidRPr="006E0DB4" w:rsidRDefault="00144109" w:rsidP="00F348E7">
      <w:pPr>
        <w:rPr>
          <w:rFonts w:ascii="Helvetica" w:hAnsi="Helvetica" w:cs="Arial"/>
          <w:sz w:val="22"/>
          <w:szCs w:val="22"/>
        </w:rPr>
      </w:pPr>
      <w:r w:rsidRPr="006E0DB4">
        <w:rPr>
          <w:rFonts w:ascii="Helvetica" w:hAnsi="Helvetica" w:cs="Arial"/>
          <w:sz w:val="22"/>
          <w:szCs w:val="22"/>
        </w:rPr>
        <w:t xml:space="preserve">The case of children provides additional clarity for how we should frame ATDs. When </w:t>
      </w:r>
      <w:r w:rsidR="000D1705" w:rsidRPr="006E0DB4">
        <w:rPr>
          <w:rFonts w:ascii="Helvetica" w:hAnsi="Helvetica" w:cs="Arial"/>
          <w:sz w:val="22"/>
          <w:szCs w:val="22"/>
        </w:rPr>
        <w:t>properly understood in t</w:t>
      </w:r>
      <w:r w:rsidRPr="006E0DB4">
        <w:rPr>
          <w:rFonts w:ascii="Helvetica" w:hAnsi="Helvetica" w:cs="Arial"/>
          <w:sz w:val="22"/>
          <w:szCs w:val="22"/>
        </w:rPr>
        <w:t xml:space="preserve">heir limited role as </w:t>
      </w:r>
      <w:r w:rsidR="000D1705" w:rsidRPr="006E0DB4">
        <w:rPr>
          <w:rFonts w:ascii="Helvetica" w:hAnsi="Helvetica" w:cs="Arial"/>
          <w:sz w:val="22"/>
          <w:szCs w:val="22"/>
        </w:rPr>
        <w:t>being</w:t>
      </w:r>
      <w:r w:rsidRPr="006E0DB4">
        <w:rPr>
          <w:rFonts w:ascii="Helvetica" w:hAnsi="Helvetica" w:cs="Arial"/>
          <w:sz w:val="22"/>
          <w:szCs w:val="22"/>
        </w:rPr>
        <w:t xml:space="preserve"> tied to legitimate, lawful detention measures, ATDs quickly become irrelevant </w:t>
      </w:r>
      <w:r w:rsidR="000F36FC">
        <w:rPr>
          <w:rFonts w:ascii="Helvetica" w:hAnsi="Helvetica" w:cs="Arial"/>
          <w:sz w:val="22"/>
          <w:szCs w:val="22"/>
        </w:rPr>
        <w:t xml:space="preserve">with respect to protecting the </w:t>
      </w:r>
      <w:r w:rsidRPr="006E0DB4">
        <w:rPr>
          <w:rFonts w:ascii="Helvetica" w:hAnsi="Helvetica" w:cs="Arial"/>
          <w:sz w:val="22"/>
          <w:szCs w:val="22"/>
        </w:rPr>
        <w:t xml:space="preserve">human rights of </w:t>
      </w:r>
      <w:r w:rsidR="000D1705" w:rsidRPr="006E0DB4">
        <w:rPr>
          <w:rFonts w:ascii="Helvetica" w:hAnsi="Helvetica" w:cs="Arial"/>
          <w:sz w:val="22"/>
          <w:szCs w:val="22"/>
        </w:rPr>
        <w:t>child</w:t>
      </w:r>
      <w:r w:rsidRPr="006E0DB4">
        <w:rPr>
          <w:rFonts w:ascii="Helvetica" w:hAnsi="Helvetica" w:cs="Arial"/>
          <w:sz w:val="22"/>
          <w:szCs w:val="22"/>
        </w:rPr>
        <w:t xml:space="preserve"> migrants. </w:t>
      </w:r>
      <w:r w:rsidR="000F36FC">
        <w:rPr>
          <w:rFonts w:ascii="Helvetica" w:hAnsi="Helvetica" w:cs="Arial"/>
          <w:sz w:val="22"/>
          <w:szCs w:val="22"/>
        </w:rPr>
        <w:t>If</w:t>
      </w:r>
      <w:r w:rsidRPr="006E0DB4">
        <w:rPr>
          <w:rFonts w:ascii="Helvetica" w:hAnsi="Helvetica" w:cs="Arial"/>
          <w:sz w:val="22"/>
          <w:szCs w:val="22"/>
        </w:rPr>
        <w:t xml:space="preserve"> there </w:t>
      </w:r>
      <w:proofErr w:type="gramStart"/>
      <w:r w:rsidRPr="006E0DB4">
        <w:rPr>
          <w:rFonts w:ascii="Helvetica" w:hAnsi="Helvetica" w:cs="Arial"/>
          <w:sz w:val="22"/>
          <w:szCs w:val="22"/>
        </w:rPr>
        <w:t>is</w:t>
      </w:r>
      <w:proofErr w:type="gramEnd"/>
      <w:r w:rsidRPr="006E0DB4">
        <w:rPr>
          <w:rFonts w:ascii="Helvetica" w:hAnsi="Helvetica" w:cs="Arial"/>
          <w:sz w:val="22"/>
          <w:szCs w:val="22"/>
        </w:rPr>
        <w:t xml:space="preserve"> no lawful ground for detaining a child, </w:t>
      </w:r>
      <w:r w:rsidR="000F36FC">
        <w:rPr>
          <w:rFonts w:ascii="Helvetica" w:hAnsi="Helvetica" w:cs="Arial"/>
          <w:sz w:val="22"/>
          <w:szCs w:val="22"/>
        </w:rPr>
        <w:t xml:space="preserve">as numerous human rights bodies hold, </w:t>
      </w:r>
      <w:r w:rsidRPr="006E0DB4">
        <w:rPr>
          <w:rFonts w:ascii="Helvetica" w:hAnsi="Helvetica" w:cs="Arial"/>
          <w:sz w:val="22"/>
          <w:szCs w:val="22"/>
        </w:rPr>
        <w:t xml:space="preserve">it would be </w:t>
      </w:r>
      <w:r w:rsidRPr="006E0DB4">
        <w:rPr>
          <w:rFonts w:ascii="Helvetica" w:hAnsi="Helvetica" w:cs="Arial"/>
          <w:sz w:val="22"/>
          <w:szCs w:val="22"/>
        </w:rPr>
        <w:lastRenderedPageBreak/>
        <w:t xml:space="preserve">inappropriate to place him or her in an “alternatives to detention” measure. Rather, a child must be given proper care and security. </w:t>
      </w:r>
    </w:p>
    <w:p w14:paraId="6787B56B" w14:textId="77777777" w:rsidR="00144109" w:rsidRPr="006E0DB4" w:rsidRDefault="00144109" w:rsidP="00F348E7">
      <w:pPr>
        <w:rPr>
          <w:rFonts w:ascii="Helvetica" w:hAnsi="Helvetica" w:cs="Arial"/>
          <w:sz w:val="22"/>
          <w:szCs w:val="22"/>
        </w:rPr>
      </w:pPr>
    </w:p>
    <w:p w14:paraId="7B6D8722" w14:textId="71F9EDDC" w:rsidR="00144109" w:rsidRPr="006E0DB4" w:rsidRDefault="00144109" w:rsidP="00F348E7">
      <w:pPr>
        <w:rPr>
          <w:rFonts w:ascii="Helvetica" w:hAnsi="Helvetica" w:cs="Arial"/>
          <w:sz w:val="22"/>
          <w:szCs w:val="22"/>
        </w:rPr>
      </w:pPr>
      <w:r w:rsidRPr="006E0DB4">
        <w:rPr>
          <w:rFonts w:ascii="Helvetica" w:hAnsi="Helvetica" w:cs="Arial"/>
          <w:sz w:val="22"/>
          <w:szCs w:val="22"/>
        </w:rPr>
        <w:t xml:space="preserve">This point of view has been validated repeatedly by many international authorities, including the Committee on Migrant Workers and the Committee on the Rights of the Child </w:t>
      </w:r>
      <w:r w:rsidR="00084CC9" w:rsidRPr="006E0DB4">
        <w:rPr>
          <w:rFonts w:ascii="Helvetica" w:hAnsi="Helvetica" w:cs="Arial"/>
          <w:sz w:val="22"/>
          <w:szCs w:val="22"/>
        </w:rPr>
        <w:t xml:space="preserve">(CRC) </w:t>
      </w:r>
      <w:r w:rsidRPr="006E0DB4">
        <w:rPr>
          <w:rFonts w:ascii="Helvetica" w:hAnsi="Helvetica" w:cs="Arial"/>
          <w:sz w:val="22"/>
          <w:szCs w:val="22"/>
        </w:rPr>
        <w:t xml:space="preserve">in their 2017 “Joint General Comment on State Obligations Regarding the Human Rights of Children,” which pointedly makes no references to ATDs for children but rather states that “child protection and welfare actors, rather than immigration agencies should take primary responsibility for migrant children.” </w:t>
      </w:r>
    </w:p>
    <w:p w14:paraId="624CDE03" w14:textId="77777777" w:rsidR="00144109" w:rsidRPr="006E0DB4" w:rsidRDefault="00144109" w:rsidP="00F348E7">
      <w:pPr>
        <w:rPr>
          <w:rFonts w:ascii="Helvetica" w:hAnsi="Helvetica" w:cs="Arial"/>
          <w:sz w:val="22"/>
          <w:szCs w:val="22"/>
        </w:rPr>
      </w:pPr>
    </w:p>
    <w:p w14:paraId="33E61CF6" w14:textId="73919249" w:rsidR="00144109" w:rsidRPr="006E0DB4" w:rsidRDefault="00084CC9" w:rsidP="00F348E7">
      <w:pPr>
        <w:rPr>
          <w:rFonts w:ascii="Helvetica" w:hAnsi="Helvetica" w:cs="Arial"/>
          <w:sz w:val="22"/>
          <w:szCs w:val="22"/>
        </w:rPr>
      </w:pPr>
      <w:r w:rsidRPr="006E0DB4">
        <w:rPr>
          <w:rFonts w:ascii="Helvetica" w:hAnsi="Helvetica" w:cs="Arial"/>
          <w:sz w:val="22"/>
          <w:szCs w:val="22"/>
        </w:rPr>
        <w:t>I</w:t>
      </w:r>
      <w:r w:rsidR="00144109" w:rsidRPr="006E0DB4">
        <w:rPr>
          <w:rFonts w:ascii="Helvetica" w:hAnsi="Helvetica" w:cs="Arial"/>
          <w:sz w:val="22"/>
          <w:szCs w:val="22"/>
        </w:rPr>
        <w:t>n its 2018 alternatives to detention assessment toolkit,</w:t>
      </w:r>
      <w:r w:rsidRPr="006E0DB4">
        <w:rPr>
          <w:rFonts w:ascii="Helvetica" w:hAnsi="Helvetica" w:cs="Arial"/>
          <w:sz w:val="22"/>
          <w:szCs w:val="22"/>
        </w:rPr>
        <w:t xml:space="preserve"> the UN High Commissioner for Refugees</w:t>
      </w:r>
      <w:r w:rsidR="00144109" w:rsidRPr="006E0DB4">
        <w:rPr>
          <w:rFonts w:ascii="Helvetica" w:hAnsi="Helvetica" w:cs="Arial"/>
          <w:sz w:val="22"/>
          <w:szCs w:val="22"/>
        </w:rPr>
        <w:t xml:space="preserve"> similarly states: “It is improper to refer to [child] reception measures as alternatives to detention for children, because children should not be detained fo</w:t>
      </w:r>
      <w:r w:rsidR="0061056B" w:rsidRPr="006E0DB4">
        <w:rPr>
          <w:rFonts w:ascii="Helvetica" w:hAnsi="Helvetica" w:cs="Arial"/>
          <w:sz w:val="22"/>
          <w:szCs w:val="22"/>
        </w:rPr>
        <w:t>r immigration related purposes.”</w:t>
      </w:r>
      <w:r w:rsidR="0061056B" w:rsidRPr="006E0DB4">
        <w:rPr>
          <w:rStyle w:val="FootnoteReference"/>
          <w:rFonts w:ascii="Helvetica" w:hAnsi="Helvetica" w:cs="Arial"/>
          <w:sz w:val="22"/>
          <w:szCs w:val="22"/>
        </w:rPr>
        <w:footnoteReference w:id="9"/>
      </w:r>
    </w:p>
    <w:p w14:paraId="5C47BF5B" w14:textId="77777777" w:rsidR="00144109" w:rsidRPr="006E0DB4" w:rsidRDefault="00144109" w:rsidP="00F348E7">
      <w:pPr>
        <w:rPr>
          <w:rFonts w:ascii="Helvetica" w:hAnsi="Helvetica" w:cs="Arial"/>
          <w:sz w:val="22"/>
          <w:szCs w:val="22"/>
        </w:rPr>
      </w:pPr>
    </w:p>
    <w:p w14:paraId="67EFE8E9" w14:textId="74FBA237" w:rsidR="00067365" w:rsidRPr="006E0DB4" w:rsidRDefault="00067365" w:rsidP="00F348E7">
      <w:pPr>
        <w:widowControl w:val="0"/>
        <w:autoSpaceDE w:val="0"/>
        <w:autoSpaceDN w:val="0"/>
        <w:adjustRightInd w:val="0"/>
        <w:rPr>
          <w:rFonts w:ascii="Helvetica" w:hAnsi="Helvetica" w:cs="Arial"/>
          <w:bCs/>
          <w:color w:val="000000"/>
          <w:sz w:val="22"/>
          <w:szCs w:val="22"/>
        </w:rPr>
      </w:pPr>
      <w:r w:rsidRPr="006E0DB4">
        <w:rPr>
          <w:rFonts w:ascii="Helvetica" w:hAnsi="Helvetica" w:cs="Arial"/>
          <w:sz w:val="22"/>
          <w:szCs w:val="22"/>
        </w:rPr>
        <w:t>Two other recent international initiatives have also avoided promotion of ATDs in the case of children and families. The UN Global Study on Children Deprived of Liberty, echoing the CRC-CMW Joint General Comment, s</w:t>
      </w:r>
      <w:r w:rsidR="000F36FC">
        <w:rPr>
          <w:rFonts w:ascii="Helvetica" w:hAnsi="Helvetica" w:cs="Arial"/>
          <w:sz w:val="22"/>
          <w:szCs w:val="22"/>
        </w:rPr>
        <w:t>t</w:t>
      </w:r>
      <w:r w:rsidRPr="006E0DB4">
        <w:rPr>
          <w:rFonts w:ascii="Helvetica" w:hAnsi="Helvetica" w:cs="Arial"/>
          <w:sz w:val="22"/>
          <w:szCs w:val="22"/>
        </w:rPr>
        <w:t>ates: “</w:t>
      </w:r>
      <w:r w:rsidRPr="006E0DB4">
        <w:rPr>
          <w:rFonts w:ascii="Helvetica" w:eastAsia="Times New Roman" w:hAnsi="Helvetica" w:cs="Arial"/>
          <w:sz w:val="22"/>
          <w:szCs w:val="22"/>
        </w:rPr>
        <w:t>Compliance with the prohibition of immigration detention of children means that States have an obligation to provide migrant and refugee children with the same appropriate care and protection that all children are entitled to, consistent with the principle of non-discrimination.”</w:t>
      </w:r>
      <w:r w:rsidRPr="006E0DB4">
        <w:rPr>
          <w:rStyle w:val="FootnoteReference"/>
          <w:rFonts w:ascii="Helvetica" w:eastAsia="Times New Roman" w:hAnsi="Helvetica" w:cs="Arial"/>
          <w:sz w:val="22"/>
          <w:szCs w:val="22"/>
        </w:rPr>
        <w:footnoteReference w:id="10"/>
      </w:r>
      <w:r w:rsidRPr="006E0DB4">
        <w:rPr>
          <w:rFonts w:ascii="Helvetica" w:eastAsia="Times New Roman" w:hAnsi="Helvetica" w:cs="Arial"/>
          <w:sz w:val="22"/>
          <w:szCs w:val="22"/>
        </w:rPr>
        <w:t xml:space="preserve"> Similarly, the UN Special Rapporteur on the Human Rights of Migrants, in his 2020 thematic report “</w:t>
      </w:r>
      <w:r w:rsidRPr="006E0DB4">
        <w:rPr>
          <w:rFonts w:ascii="Helvetica" w:hAnsi="Helvetica" w:cs="Arial"/>
          <w:sz w:val="22"/>
          <w:szCs w:val="22"/>
        </w:rPr>
        <w:t>Ending immigration detention of children and providing adequate care and reception for them,” avoids promoting “alternatives to detention” for children and families, instead calling for “</w:t>
      </w:r>
      <w:r w:rsidRPr="006E0DB4">
        <w:rPr>
          <w:rFonts w:ascii="Helvetica" w:hAnsi="Helvetica" w:cs="Arial"/>
          <w:bCs/>
          <w:color w:val="000000"/>
          <w:sz w:val="22"/>
          <w:szCs w:val="22"/>
        </w:rPr>
        <w:t>a paradigm shift … away from a focus on enforcement and coercion … and towards providing human rights-based alternative care and reception.”</w:t>
      </w:r>
      <w:r w:rsidRPr="006E0DB4">
        <w:rPr>
          <w:rStyle w:val="FootnoteReference"/>
          <w:rFonts w:ascii="Helvetica" w:hAnsi="Helvetica" w:cs="Arial"/>
          <w:bCs/>
          <w:color w:val="000000"/>
          <w:sz w:val="22"/>
          <w:szCs w:val="22"/>
        </w:rPr>
        <w:footnoteReference w:id="11"/>
      </w:r>
    </w:p>
    <w:p w14:paraId="65B7F163" w14:textId="77777777" w:rsidR="00067365" w:rsidRPr="006E0DB4" w:rsidRDefault="00067365" w:rsidP="00F348E7">
      <w:pPr>
        <w:widowControl w:val="0"/>
        <w:autoSpaceDE w:val="0"/>
        <w:autoSpaceDN w:val="0"/>
        <w:adjustRightInd w:val="0"/>
        <w:rPr>
          <w:rFonts w:ascii="Helvetica" w:hAnsi="Helvetica" w:cs="Arial"/>
          <w:bCs/>
          <w:color w:val="000000"/>
          <w:sz w:val="22"/>
          <w:szCs w:val="22"/>
        </w:rPr>
      </w:pPr>
    </w:p>
    <w:p w14:paraId="35175E57" w14:textId="1F6C73CF" w:rsidR="00144109" w:rsidRPr="006E0DB4" w:rsidRDefault="00067365" w:rsidP="00F348E7">
      <w:pPr>
        <w:widowControl w:val="0"/>
        <w:autoSpaceDE w:val="0"/>
        <w:autoSpaceDN w:val="0"/>
        <w:adjustRightInd w:val="0"/>
        <w:rPr>
          <w:rFonts w:ascii="Helvetica" w:hAnsi="Helvetica" w:cs="Arial"/>
          <w:b/>
          <w:color w:val="000000"/>
          <w:sz w:val="22"/>
          <w:szCs w:val="22"/>
        </w:rPr>
      </w:pPr>
      <w:r w:rsidRPr="006E0DB4">
        <w:rPr>
          <w:rFonts w:ascii="Helvetica" w:hAnsi="Helvetica" w:cs="Arial"/>
          <w:sz w:val="22"/>
          <w:szCs w:val="22"/>
        </w:rPr>
        <w:t>In contrast to these recent international human rights initiatives, the Global Compact for Migration urges states to implement ATDs “especially in the case of families and children.” This language threatens to sidestep years of advocacy around ending the detention of children, which found expression in the CMW-CRC joint general comment</w:t>
      </w:r>
      <w:r w:rsidR="00F6674C">
        <w:rPr>
          <w:rFonts w:ascii="Helvetica" w:hAnsi="Helvetica" w:cs="Arial"/>
          <w:sz w:val="22"/>
          <w:szCs w:val="22"/>
        </w:rPr>
        <w:t xml:space="preserve"> and in numerous other initiatives since then</w:t>
      </w:r>
      <w:r w:rsidRPr="006E0DB4">
        <w:rPr>
          <w:rFonts w:ascii="Helvetica" w:hAnsi="Helvetica" w:cs="Arial"/>
          <w:sz w:val="22"/>
          <w:szCs w:val="22"/>
        </w:rPr>
        <w:t>. The Global Compact is a political document that by necessity makes comprises. However, the CMW’s General Comment No. 5, based on the principles of a human rights treaty, does not have to make the same compromises. Doing so may represent a step backwards in ending the detention of children and protecting the human rights of all migrants.</w:t>
      </w:r>
    </w:p>
    <w:p w14:paraId="78396969" w14:textId="2AEEF336" w:rsidR="00D62184" w:rsidRPr="006E0DB4" w:rsidRDefault="00D62184" w:rsidP="00F348E7">
      <w:pPr>
        <w:widowControl w:val="0"/>
        <w:autoSpaceDE w:val="0"/>
        <w:autoSpaceDN w:val="0"/>
        <w:adjustRightInd w:val="0"/>
        <w:rPr>
          <w:rFonts w:ascii="Helvetica" w:hAnsi="Helvetica" w:cs="Arial"/>
          <w:color w:val="000000"/>
          <w:sz w:val="22"/>
          <w:szCs w:val="22"/>
        </w:rPr>
      </w:pPr>
    </w:p>
    <w:p w14:paraId="49176D2A" w14:textId="77777777" w:rsidR="00067365" w:rsidRPr="006E0DB4" w:rsidRDefault="00067365" w:rsidP="00F348E7">
      <w:pPr>
        <w:rPr>
          <w:rFonts w:ascii="Helvetica" w:hAnsi="Helvetica" w:cs="Arial"/>
          <w:sz w:val="22"/>
          <w:szCs w:val="22"/>
        </w:rPr>
      </w:pPr>
      <w:proofErr w:type="spellStart"/>
      <w:r w:rsidRPr="006E0DB4">
        <w:rPr>
          <w:rFonts w:ascii="Helvetica" w:hAnsi="Helvetica" w:cs="Arial"/>
          <w:i/>
          <w:sz w:val="22"/>
          <w:szCs w:val="22"/>
        </w:rPr>
        <w:t>IIb</w:t>
      </w:r>
      <w:proofErr w:type="spellEnd"/>
      <w:r w:rsidRPr="006E0DB4">
        <w:rPr>
          <w:rFonts w:ascii="Helvetica" w:hAnsi="Helvetica" w:cs="Arial"/>
          <w:i/>
          <w:sz w:val="22"/>
          <w:szCs w:val="22"/>
        </w:rPr>
        <w:t>. The Slippery Slope of ATDs</w:t>
      </w:r>
      <w:r w:rsidRPr="006E0DB4">
        <w:rPr>
          <w:rFonts w:ascii="Helvetica" w:hAnsi="Helvetica" w:cs="Arial"/>
          <w:sz w:val="22"/>
          <w:szCs w:val="22"/>
        </w:rPr>
        <w:t xml:space="preserve"> </w:t>
      </w:r>
    </w:p>
    <w:p w14:paraId="4A74B5D9" w14:textId="77777777" w:rsidR="00067365" w:rsidRPr="006E0DB4" w:rsidRDefault="00067365" w:rsidP="00F348E7">
      <w:pPr>
        <w:rPr>
          <w:rFonts w:ascii="Helvetica" w:hAnsi="Helvetica" w:cs="Arial"/>
          <w:sz w:val="22"/>
          <w:szCs w:val="22"/>
        </w:rPr>
      </w:pPr>
    </w:p>
    <w:p w14:paraId="4A5CF1F9" w14:textId="5E25F578" w:rsidR="00C53738" w:rsidRPr="006E0DB4" w:rsidRDefault="000D1705" w:rsidP="00F348E7">
      <w:pPr>
        <w:rPr>
          <w:rFonts w:ascii="Helvetica" w:hAnsi="Helvetica" w:cs="Arial"/>
          <w:sz w:val="22"/>
          <w:szCs w:val="22"/>
        </w:rPr>
      </w:pPr>
      <w:r w:rsidRPr="00C31C7D">
        <w:rPr>
          <w:rFonts w:ascii="Helvetica" w:hAnsi="Helvetica" w:cs="Arial"/>
          <w:b/>
          <w:sz w:val="22"/>
          <w:szCs w:val="22"/>
        </w:rPr>
        <w:t>Clearly, ATDs have a critical role to play in protecting the human rights of migrants</w:t>
      </w:r>
      <w:r w:rsidR="00EF4F1C" w:rsidRPr="00C31C7D">
        <w:rPr>
          <w:rFonts w:ascii="Helvetica" w:hAnsi="Helvetica" w:cs="Arial"/>
          <w:b/>
          <w:sz w:val="22"/>
          <w:szCs w:val="22"/>
        </w:rPr>
        <w:t>, but only</w:t>
      </w:r>
      <w:r w:rsidRPr="00C31C7D">
        <w:rPr>
          <w:rFonts w:ascii="Helvetica" w:hAnsi="Helvetica" w:cs="Arial"/>
          <w:b/>
          <w:sz w:val="22"/>
          <w:szCs w:val="22"/>
        </w:rPr>
        <w:t xml:space="preserve"> when they are applied during legitimate detention decision</w:t>
      </w:r>
      <w:r w:rsidR="00EF4F1C" w:rsidRPr="00C31C7D">
        <w:rPr>
          <w:rFonts w:ascii="Helvetica" w:hAnsi="Helvetica" w:cs="Arial"/>
          <w:b/>
          <w:sz w:val="22"/>
          <w:szCs w:val="22"/>
        </w:rPr>
        <w:t>-making procedures and in the service of necessity and proportionality assessments.</w:t>
      </w:r>
      <w:r w:rsidR="00EF4F1C" w:rsidRPr="006E0DB4">
        <w:rPr>
          <w:rFonts w:ascii="Helvetica" w:hAnsi="Helvetica" w:cs="Arial"/>
          <w:sz w:val="22"/>
          <w:szCs w:val="22"/>
        </w:rPr>
        <w:t xml:space="preserve"> But </w:t>
      </w:r>
      <w:r w:rsidR="00C31C7D">
        <w:rPr>
          <w:rFonts w:ascii="Helvetica" w:hAnsi="Helvetica" w:cs="Arial"/>
          <w:sz w:val="22"/>
          <w:szCs w:val="22"/>
        </w:rPr>
        <w:t xml:space="preserve">as we have seen, </w:t>
      </w:r>
      <w:r w:rsidR="002D431C" w:rsidRPr="006E0DB4">
        <w:rPr>
          <w:rFonts w:ascii="Helvetica" w:hAnsi="Helvetica" w:cs="Arial"/>
          <w:sz w:val="22"/>
          <w:szCs w:val="22"/>
        </w:rPr>
        <w:t>according to the world’s foremost human rights authorities, this</w:t>
      </w:r>
      <w:r w:rsidR="00EF4F1C" w:rsidRPr="006E0DB4">
        <w:rPr>
          <w:rFonts w:ascii="Helvetica" w:hAnsi="Helvetica" w:cs="Arial"/>
          <w:sz w:val="22"/>
          <w:szCs w:val="22"/>
        </w:rPr>
        <w:t xml:space="preserve"> can never be the case with children.</w:t>
      </w:r>
      <w:r w:rsidR="00C53738" w:rsidRPr="006E0DB4">
        <w:rPr>
          <w:rFonts w:ascii="Helvetica" w:hAnsi="Helvetica" w:cs="Arial"/>
          <w:sz w:val="22"/>
          <w:szCs w:val="22"/>
        </w:rPr>
        <w:t xml:space="preserve"> If the immigration detention of children is fundamentally at odds with their best interests, then ATDs likewise should not apply since by definition they </w:t>
      </w:r>
      <w:r w:rsidR="00C53738" w:rsidRPr="006E0DB4">
        <w:rPr>
          <w:rFonts w:ascii="Helvetica" w:hAnsi="Helvetica" w:cs="Arial"/>
          <w:sz w:val="22"/>
          <w:szCs w:val="22"/>
        </w:rPr>
        <w:lastRenderedPageBreak/>
        <w:t>form part of detention procedures. In effect, encou</w:t>
      </w:r>
      <w:r w:rsidR="00156D4D" w:rsidRPr="006E0DB4">
        <w:rPr>
          <w:rFonts w:ascii="Helvetica" w:hAnsi="Helvetica" w:cs="Arial"/>
          <w:sz w:val="22"/>
          <w:szCs w:val="22"/>
        </w:rPr>
        <w:t xml:space="preserve">raging states to consider ATDs </w:t>
      </w:r>
      <w:r w:rsidR="00C53738" w:rsidRPr="006E0DB4">
        <w:rPr>
          <w:rFonts w:ascii="Helvetica" w:hAnsi="Helvetica" w:cs="Arial"/>
          <w:sz w:val="22"/>
          <w:szCs w:val="22"/>
        </w:rPr>
        <w:t>for children may reinforce or give rise to policies of detaining them. This is a quandary that we must not ignore. What is more, if immigration-related detention is never in children’s best interest, then not detaining them should arguably be framed as an obligation, not an alternative.</w:t>
      </w:r>
    </w:p>
    <w:p w14:paraId="1A93709A" w14:textId="77777777" w:rsidR="00156D4D" w:rsidRPr="006E0DB4" w:rsidRDefault="00156D4D" w:rsidP="00F348E7">
      <w:pPr>
        <w:jc w:val="both"/>
        <w:rPr>
          <w:rFonts w:ascii="Helvetica" w:hAnsi="Helvetica" w:cs="Arial"/>
          <w:sz w:val="22"/>
          <w:szCs w:val="22"/>
        </w:rPr>
      </w:pPr>
    </w:p>
    <w:p w14:paraId="71E3719C" w14:textId="0F27C94F" w:rsidR="00D83AFE" w:rsidRPr="006E0DB4" w:rsidRDefault="00C53738" w:rsidP="00F348E7">
      <w:pPr>
        <w:rPr>
          <w:rFonts w:ascii="Helvetica" w:hAnsi="Helvetica" w:cs="Arial"/>
          <w:sz w:val="22"/>
          <w:szCs w:val="22"/>
        </w:rPr>
      </w:pPr>
      <w:r w:rsidRPr="006E0DB4">
        <w:rPr>
          <w:rFonts w:ascii="Helvetica" w:hAnsi="Helvetica" w:cs="Arial"/>
          <w:sz w:val="22"/>
          <w:szCs w:val="22"/>
        </w:rPr>
        <w:t xml:space="preserve">One way </w:t>
      </w:r>
      <w:r w:rsidR="00084CC9" w:rsidRPr="006E0DB4">
        <w:rPr>
          <w:rFonts w:ascii="Helvetica" w:hAnsi="Helvetica" w:cs="Arial"/>
          <w:sz w:val="22"/>
          <w:szCs w:val="22"/>
        </w:rPr>
        <w:t xml:space="preserve">in which </w:t>
      </w:r>
      <w:r w:rsidRPr="006E0DB4">
        <w:rPr>
          <w:rFonts w:ascii="Helvetica" w:hAnsi="Helvetica" w:cs="Arial"/>
          <w:sz w:val="22"/>
          <w:szCs w:val="22"/>
        </w:rPr>
        <w:t>advocates have sought to sidestep this quandary is by framing ATDs as anything that is not detention, even measures that are applied outside lawful detention procedures</w:t>
      </w:r>
      <w:r w:rsidR="002D431C" w:rsidRPr="006E0DB4">
        <w:rPr>
          <w:rFonts w:ascii="Helvetica" w:hAnsi="Helvetica" w:cs="Arial"/>
          <w:sz w:val="22"/>
          <w:szCs w:val="22"/>
        </w:rPr>
        <w:t>, as discussed above in section II, “Framing the Role of ATDs &amp; Non-Custodial Measures</w:t>
      </w:r>
      <w:r w:rsidRPr="006E0DB4">
        <w:rPr>
          <w:rFonts w:ascii="Helvetica" w:hAnsi="Helvetica" w:cs="Arial"/>
          <w:sz w:val="22"/>
          <w:szCs w:val="22"/>
        </w:rPr>
        <w:t>.</w:t>
      </w:r>
      <w:r w:rsidR="002D431C" w:rsidRPr="006E0DB4">
        <w:rPr>
          <w:rFonts w:ascii="Helvetica" w:hAnsi="Helvetica" w:cs="Arial"/>
          <w:sz w:val="22"/>
          <w:szCs w:val="22"/>
        </w:rPr>
        <w:t>”</w:t>
      </w:r>
      <w:r w:rsidRPr="006E0DB4">
        <w:rPr>
          <w:rFonts w:ascii="Helvetica" w:hAnsi="Helvetica" w:cs="Arial"/>
          <w:sz w:val="22"/>
          <w:szCs w:val="22"/>
        </w:rPr>
        <w:t xml:space="preserve"> However, once you define ATDs in this way, </w:t>
      </w:r>
      <w:r w:rsidR="00C31C7D">
        <w:rPr>
          <w:rFonts w:ascii="Helvetica" w:hAnsi="Helvetica" w:cs="Arial"/>
          <w:sz w:val="22"/>
          <w:szCs w:val="22"/>
        </w:rPr>
        <w:t xml:space="preserve">not only do you make </w:t>
      </w:r>
      <w:r w:rsidR="00D64D93">
        <w:rPr>
          <w:rFonts w:ascii="Helvetica" w:hAnsi="Helvetica" w:cs="Arial"/>
          <w:sz w:val="22"/>
          <w:szCs w:val="22"/>
        </w:rPr>
        <w:t>such measures</w:t>
      </w:r>
      <w:r w:rsidR="00C31C7D">
        <w:rPr>
          <w:rFonts w:ascii="Helvetica" w:hAnsi="Helvetica" w:cs="Arial"/>
          <w:sz w:val="22"/>
          <w:szCs w:val="22"/>
        </w:rPr>
        <w:t xml:space="preserve"> vulnerable to harmful </w:t>
      </w:r>
      <w:proofErr w:type="spellStart"/>
      <w:r w:rsidR="00C31C7D">
        <w:rPr>
          <w:rFonts w:ascii="Helvetica" w:hAnsi="Helvetica" w:cs="Arial"/>
          <w:sz w:val="22"/>
          <w:szCs w:val="22"/>
        </w:rPr>
        <w:t>instrumentalisation</w:t>
      </w:r>
      <w:proofErr w:type="spellEnd"/>
      <w:r w:rsidR="00C31C7D">
        <w:rPr>
          <w:rFonts w:ascii="Helvetica" w:hAnsi="Helvetica" w:cs="Arial"/>
          <w:sz w:val="22"/>
          <w:szCs w:val="22"/>
        </w:rPr>
        <w:t xml:space="preserve">, you also </w:t>
      </w:r>
      <w:r w:rsidRPr="006E0DB4">
        <w:rPr>
          <w:rFonts w:ascii="Helvetica" w:hAnsi="Helvetica" w:cs="Arial"/>
          <w:sz w:val="22"/>
          <w:szCs w:val="22"/>
        </w:rPr>
        <w:t xml:space="preserve">open a </w:t>
      </w:r>
      <w:proofErr w:type="spellStart"/>
      <w:r w:rsidRPr="006E0DB4">
        <w:rPr>
          <w:rFonts w:ascii="Helvetica" w:hAnsi="Helvetica" w:cs="Arial"/>
          <w:sz w:val="22"/>
          <w:szCs w:val="22"/>
        </w:rPr>
        <w:t>pandora’s</w:t>
      </w:r>
      <w:proofErr w:type="spellEnd"/>
      <w:r w:rsidRPr="006E0DB4">
        <w:rPr>
          <w:rFonts w:ascii="Helvetica" w:hAnsi="Helvetica" w:cs="Arial"/>
          <w:sz w:val="22"/>
          <w:szCs w:val="22"/>
        </w:rPr>
        <w:t xml:space="preserve"> box—liberty itself may be considered an “alternative” rather than an inherent right. </w:t>
      </w:r>
    </w:p>
    <w:p w14:paraId="7ECC0867" w14:textId="77777777" w:rsidR="00D83AFE" w:rsidRPr="006E0DB4" w:rsidRDefault="00D83AFE" w:rsidP="00F348E7">
      <w:pPr>
        <w:rPr>
          <w:rFonts w:ascii="Helvetica" w:hAnsi="Helvetica" w:cs="Arial"/>
          <w:sz w:val="22"/>
          <w:szCs w:val="22"/>
        </w:rPr>
      </w:pPr>
    </w:p>
    <w:p w14:paraId="40427B76" w14:textId="34BAA302" w:rsidR="00C53738" w:rsidRPr="006E0DB4" w:rsidRDefault="00C53738" w:rsidP="00F348E7">
      <w:pPr>
        <w:rPr>
          <w:rFonts w:ascii="Helvetica" w:hAnsi="Helvetica" w:cs="Arial"/>
          <w:sz w:val="22"/>
          <w:szCs w:val="22"/>
        </w:rPr>
      </w:pPr>
      <w:r w:rsidRPr="006E0DB4">
        <w:rPr>
          <w:rFonts w:ascii="Helvetica" w:hAnsi="Helvetica" w:cs="Arial"/>
          <w:sz w:val="22"/>
          <w:szCs w:val="22"/>
        </w:rPr>
        <w:t>In fact, at the Global Detention Project we have on numerous occasions seen this result. In one case, an advocacy group characteri</w:t>
      </w:r>
      <w:r w:rsidR="00084CC9" w:rsidRPr="006E0DB4">
        <w:rPr>
          <w:rFonts w:ascii="Helvetica" w:hAnsi="Helvetica" w:cs="Arial"/>
          <w:sz w:val="22"/>
          <w:szCs w:val="22"/>
        </w:rPr>
        <w:t>s</w:t>
      </w:r>
      <w:r w:rsidRPr="006E0DB4">
        <w:rPr>
          <w:rFonts w:ascii="Helvetica" w:hAnsi="Helvetica" w:cs="Arial"/>
          <w:sz w:val="22"/>
          <w:szCs w:val="22"/>
        </w:rPr>
        <w:t>ed access to asylum procedures as an “alternative to detention,” even though it is in fact a globally recogni</w:t>
      </w:r>
      <w:r w:rsidR="00084CC9" w:rsidRPr="006E0DB4">
        <w:rPr>
          <w:rFonts w:ascii="Helvetica" w:hAnsi="Helvetica" w:cs="Arial"/>
          <w:sz w:val="22"/>
          <w:szCs w:val="22"/>
        </w:rPr>
        <w:t>s</w:t>
      </w:r>
      <w:r w:rsidRPr="006E0DB4">
        <w:rPr>
          <w:rFonts w:ascii="Helvetica" w:hAnsi="Helvetica" w:cs="Arial"/>
          <w:sz w:val="22"/>
          <w:szCs w:val="22"/>
        </w:rPr>
        <w:t>ed right provided in international law and most domestic legal frame</w:t>
      </w:r>
      <w:r w:rsidR="0061056B" w:rsidRPr="006E0DB4">
        <w:rPr>
          <w:rFonts w:ascii="Helvetica" w:hAnsi="Helvetica" w:cs="Arial"/>
          <w:sz w:val="22"/>
          <w:szCs w:val="22"/>
        </w:rPr>
        <w:t>works.</w:t>
      </w:r>
      <w:r w:rsidR="0061056B" w:rsidRPr="006E0DB4">
        <w:rPr>
          <w:rStyle w:val="FootnoteReference"/>
          <w:rFonts w:ascii="Helvetica" w:hAnsi="Helvetica" w:cs="Arial"/>
          <w:sz w:val="22"/>
          <w:szCs w:val="22"/>
        </w:rPr>
        <w:footnoteReference w:id="12"/>
      </w:r>
      <w:r w:rsidR="00D83AFE" w:rsidRPr="006E0DB4">
        <w:rPr>
          <w:rFonts w:ascii="Helvetica" w:hAnsi="Helvetica" w:cs="Arial"/>
          <w:sz w:val="22"/>
          <w:szCs w:val="22"/>
        </w:rPr>
        <w:t xml:space="preserve"> </w:t>
      </w:r>
      <w:r w:rsidRPr="006E0DB4">
        <w:rPr>
          <w:rFonts w:ascii="Helvetica" w:hAnsi="Helvetica" w:cs="Arial"/>
          <w:sz w:val="22"/>
          <w:szCs w:val="22"/>
        </w:rPr>
        <w:t xml:space="preserve">In another case, a UN human rights body circulated for comment </w:t>
      </w:r>
      <w:proofErr w:type="gramStart"/>
      <w:r w:rsidRPr="006E0DB4">
        <w:rPr>
          <w:rFonts w:ascii="Helvetica" w:hAnsi="Helvetica" w:cs="Arial"/>
          <w:sz w:val="22"/>
          <w:szCs w:val="22"/>
        </w:rPr>
        <w:t>a draft</w:t>
      </w:r>
      <w:proofErr w:type="gramEnd"/>
      <w:r w:rsidRPr="006E0DB4">
        <w:rPr>
          <w:rFonts w:ascii="Helvetica" w:hAnsi="Helvetica" w:cs="Arial"/>
          <w:sz w:val="22"/>
          <w:szCs w:val="22"/>
        </w:rPr>
        <w:t xml:space="preserve"> guidance on the human rights protection of migrants that stated that “legislation should include the obligation of administrative or judicial bodies to start from liberty as the first alternative.” Subsequent drafts eventually removed this language</w:t>
      </w:r>
      <w:r w:rsidR="00D64D93">
        <w:rPr>
          <w:rFonts w:ascii="Helvetica" w:hAnsi="Helvetica" w:cs="Arial"/>
          <w:sz w:val="22"/>
          <w:szCs w:val="22"/>
        </w:rPr>
        <w:t>, but only</w:t>
      </w:r>
      <w:r w:rsidRPr="006E0DB4">
        <w:rPr>
          <w:rFonts w:ascii="Helvetica" w:hAnsi="Helvetica" w:cs="Arial"/>
          <w:sz w:val="22"/>
          <w:szCs w:val="22"/>
        </w:rPr>
        <w:t xml:space="preserve"> after </w:t>
      </w:r>
      <w:r w:rsidR="00D64D93">
        <w:rPr>
          <w:rFonts w:ascii="Helvetica" w:hAnsi="Helvetica" w:cs="Arial"/>
          <w:sz w:val="22"/>
          <w:szCs w:val="22"/>
        </w:rPr>
        <w:t>various actors</w:t>
      </w:r>
      <w:r w:rsidRPr="006E0DB4">
        <w:rPr>
          <w:rFonts w:ascii="Helvetica" w:hAnsi="Helvetica" w:cs="Arial"/>
          <w:sz w:val="22"/>
          <w:szCs w:val="22"/>
        </w:rPr>
        <w:t xml:space="preserve"> strongly protested characteri</w:t>
      </w:r>
      <w:r w:rsidR="00084CC9" w:rsidRPr="006E0DB4">
        <w:rPr>
          <w:rFonts w:ascii="Helvetica" w:hAnsi="Helvetica" w:cs="Arial"/>
          <w:sz w:val="22"/>
          <w:szCs w:val="22"/>
        </w:rPr>
        <w:t>s</w:t>
      </w:r>
      <w:r w:rsidRPr="006E0DB4">
        <w:rPr>
          <w:rFonts w:ascii="Helvetica" w:hAnsi="Helvetica" w:cs="Arial"/>
          <w:sz w:val="22"/>
          <w:szCs w:val="22"/>
        </w:rPr>
        <w:t xml:space="preserve">ing “liberty” as anything other than an inherent right. </w:t>
      </w:r>
      <w:r w:rsidR="00C31C7D">
        <w:rPr>
          <w:rFonts w:ascii="Helvetica" w:hAnsi="Helvetica" w:cs="Arial"/>
          <w:sz w:val="22"/>
          <w:szCs w:val="22"/>
        </w:rPr>
        <w:t xml:space="preserve">However, such claims about viewing “liberty” as a “first alternative” continue to circulate in broader civil society endeavours across the globe. </w:t>
      </w:r>
    </w:p>
    <w:p w14:paraId="40D6F504" w14:textId="75AB7C75" w:rsidR="00B44AC9" w:rsidRPr="006E0DB4" w:rsidRDefault="00B44AC9" w:rsidP="00F348E7">
      <w:pPr>
        <w:widowControl w:val="0"/>
        <w:autoSpaceDE w:val="0"/>
        <w:autoSpaceDN w:val="0"/>
        <w:adjustRightInd w:val="0"/>
        <w:rPr>
          <w:rFonts w:ascii="Helvetica" w:hAnsi="Helvetica" w:cs="Arial"/>
          <w:sz w:val="22"/>
          <w:szCs w:val="22"/>
        </w:rPr>
      </w:pPr>
    </w:p>
    <w:p w14:paraId="501A4389" w14:textId="77777777" w:rsidR="005643B7" w:rsidRPr="006E0DB4" w:rsidRDefault="005643B7" w:rsidP="00F348E7">
      <w:pPr>
        <w:widowControl w:val="0"/>
        <w:autoSpaceDE w:val="0"/>
        <w:autoSpaceDN w:val="0"/>
        <w:adjustRightInd w:val="0"/>
        <w:rPr>
          <w:rFonts w:ascii="Helvetica" w:hAnsi="Helvetica" w:cs="Arial"/>
          <w:sz w:val="22"/>
          <w:szCs w:val="22"/>
        </w:rPr>
      </w:pPr>
    </w:p>
    <w:p w14:paraId="62BE203A" w14:textId="4289CEF3" w:rsidR="00EF4F1C" w:rsidRPr="006E0DB4" w:rsidRDefault="00861DEF" w:rsidP="00F348E7">
      <w:pPr>
        <w:widowControl w:val="0"/>
        <w:autoSpaceDE w:val="0"/>
        <w:autoSpaceDN w:val="0"/>
        <w:adjustRightInd w:val="0"/>
        <w:rPr>
          <w:rFonts w:ascii="Avenir Next Condensed" w:hAnsi="Avenir Next Condensed" w:cs="Arial"/>
          <w:b/>
          <w:color w:val="195578"/>
          <w:sz w:val="22"/>
          <w:szCs w:val="22"/>
        </w:rPr>
      </w:pPr>
      <w:r w:rsidRPr="006E0DB4">
        <w:rPr>
          <w:rFonts w:ascii="Avenir Next Condensed" w:hAnsi="Avenir Next Condensed" w:cs="Arial"/>
          <w:b/>
          <w:color w:val="195578"/>
          <w:sz w:val="22"/>
          <w:szCs w:val="22"/>
        </w:rPr>
        <w:t>III. COMMENTS ON SPECIFIC SECTIONS OF THE DRAFT GENERAL COMMENTS</w:t>
      </w:r>
    </w:p>
    <w:p w14:paraId="32E73AB8" w14:textId="77777777" w:rsidR="00EF4F1C" w:rsidRPr="006E0DB4" w:rsidRDefault="00EF4F1C" w:rsidP="00F348E7">
      <w:pPr>
        <w:widowControl w:val="0"/>
        <w:autoSpaceDE w:val="0"/>
        <w:autoSpaceDN w:val="0"/>
        <w:adjustRightInd w:val="0"/>
        <w:rPr>
          <w:rFonts w:ascii="Helvetica" w:hAnsi="Helvetica" w:cs="Arial"/>
          <w:sz w:val="22"/>
          <w:szCs w:val="22"/>
        </w:rPr>
      </w:pPr>
    </w:p>
    <w:p w14:paraId="6CE389BE" w14:textId="7200A166" w:rsidR="00EF4F1C" w:rsidRPr="006E0DB4" w:rsidRDefault="00067365" w:rsidP="00F348E7">
      <w:pPr>
        <w:widowControl w:val="0"/>
        <w:autoSpaceDE w:val="0"/>
        <w:autoSpaceDN w:val="0"/>
        <w:adjustRightInd w:val="0"/>
        <w:rPr>
          <w:rFonts w:ascii="Helvetica" w:hAnsi="Helvetica" w:cs="Arial"/>
          <w:sz w:val="22"/>
          <w:szCs w:val="22"/>
        </w:rPr>
      </w:pPr>
      <w:r w:rsidRPr="006E0DB4">
        <w:rPr>
          <w:rFonts w:ascii="Helvetica" w:hAnsi="Helvetica" w:cs="Arial"/>
          <w:sz w:val="22"/>
          <w:szCs w:val="22"/>
        </w:rPr>
        <w:t>In light of the consideration</w:t>
      </w:r>
      <w:r w:rsidR="00D83AFE" w:rsidRPr="006E0DB4">
        <w:rPr>
          <w:rFonts w:ascii="Helvetica" w:hAnsi="Helvetica" w:cs="Arial"/>
          <w:sz w:val="22"/>
          <w:szCs w:val="22"/>
        </w:rPr>
        <w:t>s</w:t>
      </w:r>
      <w:r w:rsidRPr="006E0DB4">
        <w:rPr>
          <w:rFonts w:ascii="Helvetica" w:hAnsi="Helvetica" w:cs="Arial"/>
          <w:sz w:val="22"/>
          <w:szCs w:val="22"/>
        </w:rPr>
        <w:t xml:space="preserve"> discussed in the preceding section, the GDP suggests the following editorial changes to </w:t>
      </w:r>
      <w:r w:rsidR="004B4DF1">
        <w:rPr>
          <w:rFonts w:ascii="Helvetica" w:hAnsi="Helvetica" w:cs="Arial"/>
          <w:sz w:val="22"/>
          <w:szCs w:val="22"/>
        </w:rPr>
        <w:t>various</w:t>
      </w:r>
      <w:r w:rsidRPr="006E0DB4">
        <w:rPr>
          <w:rFonts w:ascii="Helvetica" w:hAnsi="Helvetica" w:cs="Arial"/>
          <w:sz w:val="22"/>
          <w:szCs w:val="22"/>
        </w:rPr>
        <w:t xml:space="preserve"> paragraphs in the draft General Comment</w:t>
      </w:r>
      <w:r w:rsidR="00D64D93">
        <w:rPr>
          <w:rFonts w:ascii="Helvetica" w:hAnsi="Helvetica" w:cs="Arial"/>
          <w:sz w:val="22"/>
          <w:szCs w:val="22"/>
        </w:rPr>
        <w:t xml:space="preserve"> (additions or changes are </w:t>
      </w:r>
      <w:r w:rsidR="00D64D93" w:rsidRPr="00D64D93">
        <w:rPr>
          <w:rFonts w:ascii="Helvetica" w:hAnsi="Helvetica" w:cs="Arial"/>
          <w:sz w:val="22"/>
          <w:szCs w:val="22"/>
          <w:u w:val="single"/>
        </w:rPr>
        <w:t>underscored</w:t>
      </w:r>
      <w:r w:rsidR="00D64D93">
        <w:rPr>
          <w:rFonts w:ascii="Helvetica" w:hAnsi="Helvetica" w:cs="Arial"/>
          <w:sz w:val="22"/>
          <w:szCs w:val="22"/>
        </w:rPr>
        <w:t xml:space="preserve"> and in </w:t>
      </w:r>
      <w:r w:rsidR="00D64D93" w:rsidRPr="00D64D93">
        <w:rPr>
          <w:rFonts w:ascii="Helvetica" w:hAnsi="Helvetica" w:cs="Arial"/>
          <w:i/>
          <w:sz w:val="22"/>
          <w:szCs w:val="22"/>
        </w:rPr>
        <w:t>italics</w:t>
      </w:r>
      <w:r w:rsidR="00D64D93">
        <w:rPr>
          <w:rFonts w:ascii="Helvetica" w:hAnsi="Helvetica" w:cs="Arial"/>
          <w:sz w:val="22"/>
          <w:szCs w:val="22"/>
        </w:rPr>
        <w:t>)</w:t>
      </w:r>
      <w:r w:rsidRPr="006E0DB4">
        <w:rPr>
          <w:rFonts w:ascii="Helvetica" w:hAnsi="Helvetica" w:cs="Arial"/>
          <w:sz w:val="22"/>
          <w:szCs w:val="22"/>
        </w:rPr>
        <w:t xml:space="preserve">. </w:t>
      </w:r>
    </w:p>
    <w:p w14:paraId="2F55CBAB" w14:textId="77777777" w:rsidR="00341EF7" w:rsidRPr="006E0DB4" w:rsidRDefault="00341EF7" w:rsidP="00F348E7">
      <w:pPr>
        <w:widowControl w:val="0"/>
        <w:autoSpaceDE w:val="0"/>
        <w:autoSpaceDN w:val="0"/>
        <w:adjustRightInd w:val="0"/>
        <w:rPr>
          <w:rFonts w:ascii="Helvetica" w:hAnsi="Helvetica" w:cs="Arial"/>
          <w:sz w:val="22"/>
          <w:szCs w:val="22"/>
        </w:rPr>
      </w:pPr>
    </w:p>
    <w:p w14:paraId="4EC11B13" w14:textId="1D3CC00A" w:rsidR="00F348E7" w:rsidRPr="00D64D93" w:rsidRDefault="00F348E7" w:rsidP="00F348E7">
      <w:pPr>
        <w:widowControl w:val="0"/>
        <w:autoSpaceDE w:val="0"/>
        <w:autoSpaceDN w:val="0"/>
        <w:adjustRightInd w:val="0"/>
        <w:rPr>
          <w:rFonts w:ascii="Helvetica" w:hAnsi="Helvetica" w:cs="Arial"/>
          <w:sz w:val="22"/>
          <w:szCs w:val="22"/>
        </w:rPr>
      </w:pPr>
      <w:r w:rsidRPr="00D64D93">
        <w:rPr>
          <w:rFonts w:ascii="Helvetica" w:hAnsi="Helvetica" w:cs="Arial"/>
          <w:b/>
          <w:sz w:val="22"/>
          <w:szCs w:val="22"/>
        </w:rPr>
        <w:t>Paragraph 9</w:t>
      </w:r>
      <w:r w:rsidRPr="00D64D93">
        <w:rPr>
          <w:rFonts w:ascii="Helvetica" w:hAnsi="Helvetica" w:cs="Arial"/>
          <w:sz w:val="22"/>
          <w:szCs w:val="22"/>
        </w:rPr>
        <w:t>: Consider redrafting the final sentence</w:t>
      </w:r>
      <w:r w:rsidR="004B4DF1">
        <w:rPr>
          <w:rFonts w:ascii="Helvetica" w:hAnsi="Helvetica" w:cs="Arial"/>
          <w:sz w:val="22"/>
          <w:szCs w:val="22"/>
        </w:rPr>
        <w:t xml:space="preserve"> of this paragraph</w:t>
      </w:r>
      <w:r w:rsidRPr="00D64D93">
        <w:rPr>
          <w:rFonts w:ascii="Helvetica" w:hAnsi="Helvetica" w:cs="Arial"/>
          <w:sz w:val="22"/>
          <w:szCs w:val="22"/>
        </w:rPr>
        <w:t xml:space="preserve"> to read: “</w:t>
      </w:r>
      <w:r w:rsidRPr="00D64D93">
        <w:rPr>
          <w:rFonts w:ascii="Helvetica" w:hAnsi="Helvetica"/>
          <w:sz w:val="22"/>
          <w:szCs w:val="22"/>
        </w:rPr>
        <w:t xml:space="preserve">The obligation to </w:t>
      </w:r>
      <w:r w:rsidR="00D64D93" w:rsidRPr="00D64D93">
        <w:rPr>
          <w:rFonts w:ascii="Helvetica" w:hAnsi="Helvetica"/>
          <w:i/>
          <w:sz w:val="22"/>
          <w:szCs w:val="22"/>
          <w:u w:val="single"/>
        </w:rPr>
        <w:t>consider</w:t>
      </w:r>
      <w:r w:rsidRPr="00D64D93">
        <w:rPr>
          <w:rFonts w:ascii="Helvetica" w:hAnsi="Helvetica"/>
          <w:sz w:val="22"/>
          <w:szCs w:val="22"/>
        </w:rPr>
        <w:t xml:space="preserve"> alternative measures to immigration detention, </w:t>
      </w:r>
      <w:r w:rsidRPr="00D64D93">
        <w:rPr>
          <w:rFonts w:ascii="Helvetica" w:hAnsi="Helvetica"/>
          <w:i/>
          <w:sz w:val="22"/>
          <w:szCs w:val="22"/>
          <w:u w:val="single"/>
        </w:rPr>
        <w:t>in the context of ensuring that detention measures are both necessary and proportionate in every instance</w:t>
      </w:r>
      <w:r w:rsidRPr="00D64D93">
        <w:rPr>
          <w:rFonts w:ascii="Helvetica" w:hAnsi="Helvetica"/>
          <w:sz w:val="22"/>
          <w:szCs w:val="22"/>
        </w:rPr>
        <w:t>, is also addressed.</w:t>
      </w:r>
    </w:p>
    <w:p w14:paraId="7EA9AF90" w14:textId="77777777" w:rsidR="00F348E7" w:rsidRPr="00D64D93" w:rsidRDefault="00F348E7" w:rsidP="00F348E7">
      <w:pPr>
        <w:rPr>
          <w:rFonts w:ascii="Helvetica" w:hAnsi="Helvetica"/>
          <w:sz w:val="22"/>
          <w:szCs w:val="22"/>
        </w:rPr>
      </w:pPr>
    </w:p>
    <w:p w14:paraId="110C0013" w14:textId="21EE9825" w:rsidR="00D64D93" w:rsidRDefault="00D64D93" w:rsidP="00F348E7">
      <w:pPr>
        <w:widowControl w:val="0"/>
        <w:autoSpaceDE w:val="0"/>
        <w:autoSpaceDN w:val="0"/>
        <w:adjustRightInd w:val="0"/>
        <w:rPr>
          <w:rFonts w:ascii="Helvetica" w:hAnsi="Helvetica" w:cs="Arial"/>
          <w:b/>
          <w:sz w:val="22"/>
          <w:szCs w:val="22"/>
        </w:rPr>
      </w:pPr>
      <w:r>
        <w:rPr>
          <w:rFonts w:ascii="Helvetica" w:hAnsi="Helvetica" w:cs="Arial"/>
          <w:b/>
          <w:sz w:val="22"/>
          <w:szCs w:val="22"/>
        </w:rPr>
        <w:t xml:space="preserve">Paragraph 22: </w:t>
      </w:r>
      <w:r w:rsidRPr="00D64D93">
        <w:rPr>
          <w:rFonts w:ascii="Helvetica" w:hAnsi="Helvetica" w:cs="Arial"/>
          <w:sz w:val="22"/>
          <w:szCs w:val="22"/>
        </w:rPr>
        <w:t xml:space="preserve">Consider </w:t>
      </w:r>
      <w:r w:rsidR="00257B16">
        <w:rPr>
          <w:rFonts w:ascii="Helvetica" w:hAnsi="Helvetica" w:cs="Arial"/>
          <w:sz w:val="22"/>
          <w:szCs w:val="22"/>
        </w:rPr>
        <w:t>redrafting the final sentence and adding a final clarification to the paragraph</w:t>
      </w:r>
      <w:r w:rsidRPr="00D64D93">
        <w:rPr>
          <w:rFonts w:ascii="Helvetica" w:hAnsi="Helvetica" w:cs="Arial"/>
          <w:sz w:val="22"/>
          <w:szCs w:val="22"/>
        </w:rPr>
        <w:t>:</w:t>
      </w:r>
      <w:r>
        <w:rPr>
          <w:rFonts w:ascii="Helvetica" w:hAnsi="Helvetica" w:cs="Arial"/>
          <w:sz w:val="22"/>
          <w:szCs w:val="22"/>
        </w:rPr>
        <w:t xml:space="preserve"> </w:t>
      </w:r>
      <w:r w:rsidR="00257B16">
        <w:rPr>
          <w:rFonts w:ascii="Helvetica" w:hAnsi="Helvetica" w:cs="Arial"/>
          <w:sz w:val="22"/>
          <w:szCs w:val="22"/>
        </w:rPr>
        <w:t>“</w:t>
      </w:r>
      <w:r w:rsidR="00257B16" w:rsidRPr="00257B16">
        <w:rPr>
          <w:rFonts w:ascii="Helvetica" w:hAnsi="Helvetica" w:cs="Arial"/>
          <w:i/>
          <w:sz w:val="22"/>
          <w:szCs w:val="22"/>
          <w:u w:val="single"/>
        </w:rPr>
        <w:t xml:space="preserve">In cases where </w:t>
      </w:r>
      <w:r w:rsidRPr="00257B16">
        <w:rPr>
          <w:rFonts w:ascii="Helvetica" w:hAnsi="Helvetica" w:cs="Arial"/>
          <w:i/>
          <w:sz w:val="22"/>
          <w:szCs w:val="22"/>
          <w:u w:val="single"/>
        </w:rPr>
        <w:t>legitimate immigration polic</w:t>
      </w:r>
      <w:r w:rsidR="00257B16" w:rsidRPr="00257B16">
        <w:rPr>
          <w:rFonts w:ascii="Helvetica" w:hAnsi="Helvetica" w:cs="Arial"/>
          <w:i/>
          <w:sz w:val="22"/>
          <w:szCs w:val="22"/>
          <w:u w:val="single"/>
        </w:rPr>
        <w:t>y goals, such as removal, remain</w:t>
      </w:r>
      <w:r w:rsidRPr="00257B16">
        <w:rPr>
          <w:rFonts w:ascii="Helvetica" w:hAnsi="Helvetica" w:cs="Arial"/>
          <w:i/>
          <w:sz w:val="22"/>
          <w:szCs w:val="22"/>
          <w:u w:val="single"/>
        </w:rPr>
        <w:t xml:space="preserve"> viable despite Covid-19 related border closures and other emergency measures, States should expand use of alternatives to detention </w:t>
      </w:r>
      <w:r w:rsidR="00257B16" w:rsidRPr="00257B16">
        <w:rPr>
          <w:rFonts w:ascii="Helvetica" w:hAnsi="Helvetica" w:cs="Arial"/>
          <w:i/>
          <w:sz w:val="22"/>
          <w:szCs w:val="22"/>
          <w:u w:val="single"/>
        </w:rPr>
        <w:t xml:space="preserve">so that </w:t>
      </w:r>
      <w:r w:rsidRPr="00257B16">
        <w:rPr>
          <w:rFonts w:ascii="Helvetica" w:hAnsi="Helvetica"/>
          <w:i/>
          <w:sz w:val="22"/>
          <w:szCs w:val="22"/>
          <w:u w:val="single"/>
        </w:rPr>
        <w:t xml:space="preserve">the detainee population </w:t>
      </w:r>
      <w:r w:rsidR="00257B16" w:rsidRPr="00257B16">
        <w:rPr>
          <w:rFonts w:ascii="Helvetica" w:hAnsi="Helvetica"/>
          <w:i/>
          <w:sz w:val="22"/>
          <w:szCs w:val="22"/>
          <w:u w:val="single"/>
        </w:rPr>
        <w:t xml:space="preserve">is </w:t>
      </w:r>
      <w:r w:rsidRPr="00257B16">
        <w:rPr>
          <w:rFonts w:ascii="Helvetica" w:hAnsi="Helvetica"/>
          <w:sz w:val="22"/>
          <w:szCs w:val="22"/>
        </w:rPr>
        <w:t>reduced to the lowest possible level in order to prevent the spread of the virus in detention facilities.</w:t>
      </w:r>
      <w:r w:rsidR="00257B16">
        <w:rPr>
          <w:rFonts w:ascii="Helvetica" w:hAnsi="Helvetica"/>
          <w:sz w:val="22"/>
          <w:szCs w:val="22"/>
        </w:rPr>
        <w:t xml:space="preserve"> </w:t>
      </w:r>
      <w:r w:rsidR="00257B16" w:rsidRPr="00257B16">
        <w:rPr>
          <w:rFonts w:ascii="Helvetica" w:hAnsi="Helvetica"/>
          <w:i/>
          <w:sz w:val="22"/>
          <w:szCs w:val="22"/>
          <w:u w:val="single"/>
        </w:rPr>
        <w:t>However, if emergency measures nullify the objective of an individual’s detention order, States must promptly release the person into the community, providing any necessary care and assistance to ensure their well being outside detention</w:t>
      </w:r>
      <w:r w:rsidR="00257B16">
        <w:rPr>
          <w:rFonts w:ascii="Helvetica" w:hAnsi="Helvetica"/>
          <w:sz w:val="22"/>
          <w:szCs w:val="22"/>
        </w:rPr>
        <w:t>.”</w:t>
      </w:r>
    </w:p>
    <w:p w14:paraId="0028720E" w14:textId="77777777" w:rsidR="00D64D93" w:rsidRDefault="00D64D93" w:rsidP="00F348E7">
      <w:pPr>
        <w:widowControl w:val="0"/>
        <w:autoSpaceDE w:val="0"/>
        <w:autoSpaceDN w:val="0"/>
        <w:adjustRightInd w:val="0"/>
        <w:rPr>
          <w:rFonts w:ascii="Helvetica" w:hAnsi="Helvetica" w:cs="Arial"/>
          <w:b/>
          <w:sz w:val="22"/>
          <w:szCs w:val="22"/>
        </w:rPr>
      </w:pPr>
    </w:p>
    <w:p w14:paraId="594F75A4" w14:textId="57790D6D" w:rsidR="00257B16" w:rsidRDefault="00257B16" w:rsidP="00F348E7">
      <w:pPr>
        <w:widowControl w:val="0"/>
        <w:autoSpaceDE w:val="0"/>
        <w:autoSpaceDN w:val="0"/>
        <w:adjustRightInd w:val="0"/>
        <w:rPr>
          <w:rFonts w:ascii="Helvetica" w:hAnsi="Helvetica" w:cs="Arial"/>
          <w:b/>
          <w:sz w:val="22"/>
          <w:szCs w:val="22"/>
        </w:rPr>
      </w:pPr>
      <w:r>
        <w:rPr>
          <w:rFonts w:ascii="Helvetica" w:hAnsi="Helvetica" w:cs="Arial"/>
          <w:b/>
          <w:sz w:val="22"/>
          <w:szCs w:val="22"/>
        </w:rPr>
        <w:t>Paragraph 26:</w:t>
      </w:r>
      <w:r w:rsidRPr="00257B16">
        <w:rPr>
          <w:rFonts w:ascii="Helvetica" w:hAnsi="Helvetica" w:cs="Arial"/>
          <w:sz w:val="22"/>
          <w:szCs w:val="22"/>
        </w:rPr>
        <w:t xml:space="preserve"> Consider redrafting the paragraph to clarify the narrow, formal role of </w:t>
      </w:r>
      <w:r>
        <w:rPr>
          <w:rFonts w:ascii="Helvetica" w:hAnsi="Helvetica" w:cs="Arial"/>
          <w:sz w:val="22"/>
          <w:szCs w:val="22"/>
        </w:rPr>
        <w:t>non-custodial measures in immigration procedures</w:t>
      </w:r>
      <w:r w:rsidRPr="00257B16">
        <w:rPr>
          <w:rFonts w:ascii="Helvetica" w:hAnsi="Helvetica" w:cs="Arial"/>
          <w:sz w:val="22"/>
          <w:szCs w:val="22"/>
        </w:rPr>
        <w:t>: “</w:t>
      </w:r>
      <w:r w:rsidRPr="00257B16">
        <w:rPr>
          <w:rFonts w:ascii="Helvetica" w:hAnsi="Helvetica"/>
          <w:sz w:val="22"/>
          <w:szCs w:val="22"/>
        </w:rPr>
        <w:t xml:space="preserve">To guarantee the right to liberty, States should establish in their laws a presumption in favour of freedom, which is consistent with the duty of States </w:t>
      </w:r>
      <w:r w:rsidRPr="00257B16">
        <w:rPr>
          <w:rFonts w:ascii="Helvetica" w:hAnsi="Helvetica"/>
          <w:i/>
          <w:sz w:val="22"/>
          <w:szCs w:val="22"/>
          <w:u w:val="single"/>
        </w:rPr>
        <w:t>to assess whether any less coercive measures are available before resorting to detention in administrative immigration procedures involving</w:t>
      </w:r>
      <w:r w:rsidRPr="00257B16">
        <w:rPr>
          <w:rFonts w:ascii="Helvetica" w:hAnsi="Helvetica"/>
          <w:sz w:val="22"/>
          <w:szCs w:val="22"/>
        </w:rPr>
        <w:t xml:space="preserve"> migrant workers and members of their families.”</w:t>
      </w:r>
    </w:p>
    <w:p w14:paraId="1DAC623F" w14:textId="77777777" w:rsidR="00257B16" w:rsidRDefault="00257B16" w:rsidP="00F348E7">
      <w:pPr>
        <w:widowControl w:val="0"/>
        <w:autoSpaceDE w:val="0"/>
        <w:autoSpaceDN w:val="0"/>
        <w:adjustRightInd w:val="0"/>
        <w:rPr>
          <w:rFonts w:ascii="Helvetica" w:hAnsi="Helvetica" w:cs="Arial"/>
          <w:b/>
          <w:sz w:val="22"/>
          <w:szCs w:val="22"/>
        </w:rPr>
      </w:pPr>
    </w:p>
    <w:p w14:paraId="0973190B" w14:textId="45D94800" w:rsidR="00341EF7" w:rsidRDefault="00F348E7" w:rsidP="00F348E7">
      <w:pPr>
        <w:widowControl w:val="0"/>
        <w:autoSpaceDE w:val="0"/>
        <w:autoSpaceDN w:val="0"/>
        <w:adjustRightInd w:val="0"/>
        <w:rPr>
          <w:rFonts w:ascii="Helvetica" w:hAnsi="Helvetica" w:cs="Arial"/>
          <w:sz w:val="22"/>
          <w:szCs w:val="22"/>
        </w:rPr>
      </w:pPr>
      <w:r w:rsidRPr="00D64D93">
        <w:rPr>
          <w:rFonts w:ascii="Helvetica" w:hAnsi="Helvetica" w:cs="Arial"/>
          <w:b/>
          <w:sz w:val="22"/>
          <w:szCs w:val="22"/>
        </w:rPr>
        <w:t>Paragraph 28</w:t>
      </w:r>
      <w:r w:rsidRPr="00D64D93">
        <w:rPr>
          <w:rFonts w:ascii="Helvetica" w:hAnsi="Helvetica" w:cs="Arial"/>
          <w:sz w:val="22"/>
          <w:szCs w:val="22"/>
        </w:rPr>
        <w:t xml:space="preserve">: </w:t>
      </w:r>
      <w:r w:rsidR="00D64D93">
        <w:rPr>
          <w:rFonts w:ascii="Helvetica" w:hAnsi="Helvetica" w:cs="Arial"/>
          <w:sz w:val="22"/>
          <w:szCs w:val="22"/>
        </w:rPr>
        <w:t>C</w:t>
      </w:r>
      <w:r w:rsidR="00040A89">
        <w:rPr>
          <w:rFonts w:ascii="Helvetica" w:hAnsi="Helvetica" w:cs="Arial"/>
          <w:sz w:val="22"/>
          <w:szCs w:val="22"/>
        </w:rPr>
        <w:t xml:space="preserve">onsider replacing the phrase “alternatives to detention” with “non-custodial measures” or “less coercive measures” as the latter are more commonly used in law and policy. </w:t>
      </w:r>
    </w:p>
    <w:p w14:paraId="06CB4C56" w14:textId="77777777" w:rsidR="00040A89" w:rsidRDefault="00040A89" w:rsidP="00F348E7">
      <w:pPr>
        <w:widowControl w:val="0"/>
        <w:autoSpaceDE w:val="0"/>
        <w:autoSpaceDN w:val="0"/>
        <w:adjustRightInd w:val="0"/>
        <w:rPr>
          <w:rFonts w:ascii="Helvetica" w:hAnsi="Helvetica" w:cs="Arial"/>
          <w:sz w:val="22"/>
          <w:szCs w:val="22"/>
        </w:rPr>
      </w:pPr>
    </w:p>
    <w:p w14:paraId="403C41A1" w14:textId="63E92958" w:rsidR="00040A89" w:rsidRDefault="00040A89" w:rsidP="00F348E7">
      <w:pPr>
        <w:widowControl w:val="0"/>
        <w:autoSpaceDE w:val="0"/>
        <w:autoSpaceDN w:val="0"/>
        <w:adjustRightInd w:val="0"/>
        <w:rPr>
          <w:rFonts w:ascii="Helvetica" w:hAnsi="Helvetica" w:cs="Arial"/>
          <w:sz w:val="22"/>
          <w:szCs w:val="22"/>
        </w:rPr>
      </w:pPr>
      <w:r w:rsidRPr="00040A89">
        <w:rPr>
          <w:rFonts w:ascii="Helvetica" w:hAnsi="Helvetica" w:cs="Arial"/>
          <w:b/>
          <w:sz w:val="22"/>
          <w:szCs w:val="22"/>
        </w:rPr>
        <w:t>Paragraph 35</w:t>
      </w:r>
      <w:r>
        <w:rPr>
          <w:rFonts w:ascii="Helvetica" w:hAnsi="Helvetica" w:cs="Arial"/>
          <w:sz w:val="22"/>
          <w:szCs w:val="22"/>
        </w:rPr>
        <w:t>: Consider replacing the phrase “alternatives to detention” with “non-custodial measures” or “less coercive measures” as the latter are more commonly used in law and policy.</w:t>
      </w:r>
    </w:p>
    <w:p w14:paraId="02E40BBC" w14:textId="77777777" w:rsidR="00040A89" w:rsidRPr="00156D1D" w:rsidRDefault="00040A89" w:rsidP="00F348E7">
      <w:pPr>
        <w:widowControl w:val="0"/>
        <w:autoSpaceDE w:val="0"/>
        <w:autoSpaceDN w:val="0"/>
        <w:adjustRightInd w:val="0"/>
        <w:rPr>
          <w:rFonts w:ascii="Helvetica" w:hAnsi="Helvetica" w:cs="Arial"/>
          <w:sz w:val="22"/>
          <w:szCs w:val="22"/>
        </w:rPr>
      </w:pPr>
    </w:p>
    <w:p w14:paraId="6AB1B4AF" w14:textId="52950771" w:rsidR="00132292" w:rsidRDefault="00132292" w:rsidP="00F348E7">
      <w:pPr>
        <w:widowControl w:val="0"/>
        <w:autoSpaceDE w:val="0"/>
        <w:autoSpaceDN w:val="0"/>
        <w:adjustRightInd w:val="0"/>
        <w:rPr>
          <w:rFonts w:ascii="Helvetica" w:hAnsi="Helvetica" w:cs="Arial"/>
          <w:b/>
          <w:sz w:val="22"/>
          <w:szCs w:val="22"/>
        </w:rPr>
      </w:pPr>
      <w:r>
        <w:rPr>
          <w:rFonts w:ascii="Helvetica" w:hAnsi="Helvetica" w:cs="Arial"/>
          <w:b/>
          <w:sz w:val="22"/>
          <w:szCs w:val="22"/>
        </w:rPr>
        <w:t xml:space="preserve">Paragraph 49: </w:t>
      </w:r>
      <w:r>
        <w:rPr>
          <w:rFonts w:ascii="Helvetica" w:hAnsi="Helvetica" w:cs="Arial"/>
          <w:sz w:val="22"/>
          <w:szCs w:val="22"/>
        </w:rPr>
        <w:t>To bring this General Comment in line with the CMW-CRC Joint General Comment as well as numerous other related human rights initiatives, the Committee should consider</w:t>
      </w:r>
      <w:r w:rsidRPr="00A1093E">
        <w:rPr>
          <w:rFonts w:ascii="Helvetica" w:hAnsi="Helvetica" w:cs="Arial"/>
          <w:sz w:val="22"/>
          <w:szCs w:val="22"/>
        </w:rPr>
        <w:t xml:space="preserve"> a</w:t>
      </w:r>
      <w:r>
        <w:rPr>
          <w:rFonts w:ascii="Helvetica" w:hAnsi="Helvetica" w:cs="Arial"/>
          <w:sz w:val="22"/>
          <w:szCs w:val="22"/>
        </w:rPr>
        <w:t xml:space="preserve">mending this paragraph to replace </w:t>
      </w:r>
      <w:bookmarkStart w:id="0" w:name="_GoBack"/>
      <w:bookmarkEnd w:id="0"/>
      <w:r>
        <w:rPr>
          <w:rFonts w:ascii="Helvetica" w:hAnsi="Helvetica" w:cs="Arial"/>
          <w:sz w:val="22"/>
          <w:szCs w:val="22"/>
        </w:rPr>
        <w:t>references to “alternatives</w:t>
      </w:r>
      <w:r w:rsidR="00E7415A">
        <w:rPr>
          <w:rFonts w:ascii="Helvetica" w:hAnsi="Helvetica" w:cs="Arial"/>
          <w:sz w:val="22"/>
          <w:szCs w:val="22"/>
        </w:rPr>
        <w:t xml:space="preserve"> measures</w:t>
      </w:r>
      <w:r>
        <w:rPr>
          <w:rFonts w:ascii="Helvetica" w:hAnsi="Helvetica" w:cs="Arial"/>
          <w:sz w:val="22"/>
          <w:szCs w:val="22"/>
        </w:rPr>
        <w:t xml:space="preserve"> to detention” with a discussion of the appropriate care and reception of children.</w:t>
      </w:r>
    </w:p>
    <w:p w14:paraId="0E72EB28" w14:textId="77777777" w:rsidR="00132292" w:rsidRDefault="00132292" w:rsidP="00F348E7">
      <w:pPr>
        <w:widowControl w:val="0"/>
        <w:autoSpaceDE w:val="0"/>
        <w:autoSpaceDN w:val="0"/>
        <w:adjustRightInd w:val="0"/>
        <w:rPr>
          <w:rFonts w:ascii="Helvetica" w:hAnsi="Helvetica" w:cs="Arial"/>
          <w:b/>
          <w:sz w:val="22"/>
          <w:szCs w:val="22"/>
        </w:rPr>
      </w:pPr>
    </w:p>
    <w:p w14:paraId="6BD59199" w14:textId="3E6D9ED3" w:rsidR="00806302" w:rsidRPr="00A1093E" w:rsidRDefault="00040A89" w:rsidP="00F348E7">
      <w:pPr>
        <w:widowControl w:val="0"/>
        <w:autoSpaceDE w:val="0"/>
        <w:autoSpaceDN w:val="0"/>
        <w:adjustRightInd w:val="0"/>
        <w:rPr>
          <w:rFonts w:ascii="Helvetica" w:hAnsi="Helvetica"/>
          <w:sz w:val="22"/>
          <w:szCs w:val="22"/>
        </w:rPr>
      </w:pPr>
      <w:r w:rsidRPr="00A1093E">
        <w:rPr>
          <w:rFonts w:ascii="Helvetica" w:hAnsi="Helvetica" w:cs="Arial"/>
          <w:b/>
          <w:sz w:val="22"/>
          <w:szCs w:val="22"/>
        </w:rPr>
        <w:t>Paragraph 5</w:t>
      </w:r>
      <w:r w:rsidR="00806302" w:rsidRPr="00A1093E">
        <w:rPr>
          <w:rFonts w:ascii="Helvetica" w:hAnsi="Helvetica" w:cs="Arial"/>
          <w:b/>
          <w:sz w:val="22"/>
          <w:szCs w:val="22"/>
        </w:rPr>
        <w:t>8</w:t>
      </w:r>
      <w:r w:rsidR="00BA54C4">
        <w:rPr>
          <w:rFonts w:ascii="Helvetica" w:hAnsi="Helvetica" w:cs="Arial"/>
          <w:sz w:val="22"/>
          <w:szCs w:val="22"/>
        </w:rPr>
        <w:t>: Consider</w:t>
      </w:r>
      <w:r w:rsidRPr="00A1093E">
        <w:rPr>
          <w:rFonts w:ascii="Helvetica" w:hAnsi="Helvetica" w:cs="Arial"/>
          <w:sz w:val="22"/>
          <w:szCs w:val="22"/>
        </w:rPr>
        <w:t xml:space="preserve"> </w:t>
      </w:r>
      <w:r w:rsidR="00806302" w:rsidRPr="00A1093E">
        <w:rPr>
          <w:rFonts w:ascii="Helvetica" w:hAnsi="Helvetica" w:cs="Arial"/>
          <w:sz w:val="22"/>
          <w:szCs w:val="22"/>
        </w:rPr>
        <w:t>a</w:t>
      </w:r>
      <w:r w:rsidR="00A1093E">
        <w:rPr>
          <w:rFonts w:ascii="Helvetica" w:hAnsi="Helvetica" w:cs="Arial"/>
          <w:sz w:val="22"/>
          <w:szCs w:val="22"/>
        </w:rPr>
        <w:t>mending this paragraph and</w:t>
      </w:r>
      <w:r w:rsidR="00806302" w:rsidRPr="00A1093E">
        <w:rPr>
          <w:rFonts w:ascii="Helvetica" w:hAnsi="Helvetica" w:cs="Arial"/>
          <w:sz w:val="22"/>
          <w:szCs w:val="22"/>
        </w:rPr>
        <w:t xml:space="preserve"> </w:t>
      </w:r>
      <w:r w:rsidRPr="00A1093E">
        <w:rPr>
          <w:rFonts w:ascii="Helvetica" w:hAnsi="Helvetica" w:cs="Arial"/>
          <w:sz w:val="22"/>
          <w:szCs w:val="22"/>
        </w:rPr>
        <w:t xml:space="preserve">adding the accompanying source citations which are provided in this submission: </w:t>
      </w:r>
      <w:r w:rsidR="00A1093E">
        <w:rPr>
          <w:rFonts w:ascii="Helvetica" w:hAnsi="Helvetica" w:cs="Arial"/>
          <w:sz w:val="22"/>
          <w:szCs w:val="22"/>
        </w:rPr>
        <w:t>“</w:t>
      </w:r>
      <w:r w:rsidR="00806302" w:rsidRPr="00A1093E">
        <w:rPr>
          <w:rFonts w:ascii="Helvetica" w:hAnsi="Helvetica"/>
          <w:sz w:val="22"/>
          <w:szCs w:val="22"/>
        </w:rPr>
        <w:t xml:space="preserve">The Committee understands as alternatives to detention all community care measures or non-custodial accommodation solutions that are </w:t>
      </w:r>
      <w:r w:rsidR="00A1093E">
        <w:rPr>
          <w:rFonts w:ascii="Helvetica" w:hAnsi="Helvetica"/>
          <w:sz w:val="22"/>
          <w:szCs w:val="22"/>
        </w:rPr>
        <w:t>less restrictive than detention</w:t>
      </w:r>
      <w:r w:rsidR="00806302" w:rsidRPr="00A1093E">
        <w:rPr>
          <w:rFonts w:ascii="Helvetica" w:hAnsi="Helvetica"/>
          <w:sz w:val="22"/>
          <w:szCs w:val="22"/>
        </w:rPr>
        <w:t xml:space="preserve"> </w:t>
      </w:r>
      <w:r w:rsidR="00BA54C4">
        <w:rPr>
          <w:rFonts w:ascii="Helvetica" w:hAnsi="Helvetica" w:cs="Arial"/>
          <w:i/>
          <w:sz w:val="22"/>
          <w:szCs w:val="22"/>
          <w:u w:val="single"/>
        </w:rPr>
        <w:t>and which</w:t>
      </w:r>
      <w:r w:rsidR="00A1093E" w:rsidRPr="00A1093E">
        <w:rPr>
          <w:rFonts w:ascii="Helvetica" w:hAnsi="Helvetica" w:cs="Arial"/>
          <w:i/>
          <w:sz w:val="22"/>
          <w:szCs w:val="22"/>
          <w:u w:val="single"/>
        </w:rPr>
        <w:t xml:space="preserve"> must be considered in the context of lawful detention decision procedures to ensure that detention is necessary and proportionate in all cases, as stipulated by </w:t>
      </w:r>
      <w:r w:rsidR="00A1093E">
        <w:rPr>
          <w:rFonts w:ascii="Helvetica" w:hAnsi="Helvetica" w:cs="Arial"/>
          <w:i/>
          <w:sz w:val="22"/>
          <w:szCs w:val="22"/>
          <w:u w:val="single"/>
        </w:rPr>
        <w:t>numerous S</w:t>
      </w:r>
      <w:r w:rsidR="00A1093E" w:rsidRPr="00A1093E">
        <w:rPr>
          <w:rFonts w:ascii="Helvetica" w:hAnsi="Helvetica" w:cs="Arial"/>
          <w:i/>
          <w:sz w:val="22"/>
          <w:szCs w:val="22"/>
          <w:u w:val="single"/>
        </w:rPr>
        <w:t>tates, international organisations, and regional governance bodies.</w:t>
      </w:r>
      <w:r w:rsidR="00A1093E" w:rsidRPr="00A1093E">
        <w:rPr>
          <w:rStyle w:val="FootnoteReference"/>
          <w:rFonts w:ascii="Helvetica" w:hAnsi="Helvetica" w:cs="Arial"/>
          <w:sz w:val="22"/>
          <w:szCs w:val="22"/>
        </w:rPr>
        <w:footnoteReference w:id="13"/>
      </w:r>
      <w:r w:rsidR="00A1093E" w:rsidRPr="00A1093E">
        <w:rPr>
          <w:rFonts w:ascii="Helvetica" w:hAnsi="Helvetica"/>
          <w:sz w:val="22"/>
          <w:szCs w:val="22"/>
        </w:rPr>
        <w:t xml:space="preserve"> </w:t>
      </w:r>
      <w:r w:rsidR="00806302" w:rsidRPr="00A1093E">
        <w:rPr>
          <w:rFonts w:ascii="Helvetica" w:hAnsi="Helvetica"/>
          <w:sz w:val="22"/>
          <w:szCs w:val="22"/>
        </w:rPr>
        <w:t>The ideal alternatives to detention are those that respect the right to personal freedom and therefore do not create any related restrictions or conditions, but rather generate other legitimate mechanisms and measures that are in line with human rights standards.</w:t>
      </w:r>
      <w:r w:rsidR="00A1093E" w:rsidRPr="00A1093E">
        <w:rPr>
          <w:rFonts w:ascii="Helvetica" w:hAnsi="Helvetica" w:cs="Arial"/>
          <w:color w:val="000000"/>
          <w:sz w:val="22"/>
          <w:szCs w:val="22"/>
        </w:rPr>
        <w:t xml:space="preserve"> </w:t>
      </w:r>
      <w:r w:rsidR="00A1093E" w:rsidRPr="00A1093E">
        <w:rPr>
          <w:rFonts w:ascii="Helvetica" w:hAnsi="Helvetica" w:cs="Arial"/>
          <w:i/>
          <w:color w:val="000000"/>
          <w:sz w:val="22"/>
          <w:szCs w:val="22"/>
          <w:u w:val="single"/>
        </w:rPr>
        <w:t>In cases were detention no longer has a legal basis—for example, when removal is no longer a viable objective—alternatives to detention are no longer applicable</w:t>
      </w:r>
      <w:r w:rsidR="00A1093E" w:rsidRPr="00A1093E">
        <w:rPr>
          <w:rFonts w:ascii="Helvetica" w:hAnsi="Helvetica" w:cs="Arial"/>
          <w:color w:val="000000"/>
          <w:sz w:val="22"/>
          <w:szCs w:val="22"/>
        </w:rPr>
        <w:t>.”</w:t>
      </w:r>
      <w:r w:rsidR="00A1093E" w:rsidRPr="00A1093E">
        <w:rPr>
          <w:rStyle w:val="FootnoteReference"/>
          <w:rFonts w:ascii="Helvetica" w:hAnsi="Helvetica" w:cs="Arial"/>
          <w:sz w:val="22"/>
          <w:szCs w:val="22"/>
        </w:rPr>
        <w:footnoteReference w:id="14"/>
      </w:r>
    </w:p>
    <w:p w14:paraId="319C5B8D" w14:textId="578B010F" w:rsidR="00770315" w:rsidRPr="006E0DB4" w:rsidRDefault="00770315" w:rsidP="00F348E7">
      <w:pPr>
        <w:rPr>
          <w:rFonts w:ascii="Helvetica" w:hAnsi="Helvetica" w:cs="Arial"/>
          <w:sz w:val="22"/>
          <w:szCs w:val="22"/>
        </w:rPr>
      </w:pPr>
    </w:p>
    <w:p w14:paraId="1F947E22" w14:textId="353581AD" w:rsidR="00341EF7" w:rsidRDefault="00BA54C4" w:rsidP="00F348E7">
      <w:pPr>
        <w:rPr>
          <w:rFonts w:ascii="Helvetica" w:hAnsi="Helvetica" w:cs="Arial"/>
          <w:sz w:val="22"/>
          <w:szCs w:val="22"/>
        </w:rPr>
      </w:pPr>
      <w:r>
        <w:rPr>
          <w:rFonts w:ascii="Helvetica" w:hAnsi="Helvetica" w:cs="Arial"/>
          <w:b/>
          <w:sz w:val="22"/>
          <w:szCs w:val="22"/>
        </w:rPr>
        <w:t>Paragraph 8</w:t>
      </w:r>
      <w:r w:rsidRPr="00A1093E">
        <w:rPr>
          <w:rFonts w:ascii="Helvetica" w:hAnsi="Helvetica" w:cs="Arial"/>
          <w:b/>
          <w:sz w:val="22"/>
          <w:szCs w:val="22"/>
        </w:rPr>
        <w:t>8</w:t>
      </w:r>
      <w:r w:rsidRPr="00A1093E">
        <w:rPr>
          <w:rFonts w:ascii="Helvetica" w:hAnsi="Helvetica" w:cs="Arial"/>
          <w:sz w:val="22"/>
          <w:szCs w:val="22"/>
        </w:rPr>
        <w:t>:</w:t>
      </w:r>
      <w:r>
        <w:rPr>
          <w:rFonts w:ascii="Helvetica" w:hAnsi="Helvetica" w:cs="Arial"/>
          <w:sz w:val="22"/>
          <w:szCs w:val="22"/>
        </w:rPr>
        <w:t xml:space="preserve"> To bring this General Comment in line with the CMW-CRC Joint General Comment</w:t>
      </w:r>
      <w:r w:rsidR="00F71E79">
        <w:rPr>
          <w:rFonts w:ascii="Helvetica" w:hAnsi="Helvetica" w:cs="Arial"/>
          <w:sz w:val="22"/>
          <w:szCs w:val="22"/>
        </w:rPr>
        <w:t xml:space="preserve"> as well as numerous other related human rights initiatives</w:t>
      </w:r>
      <w:r>
        <w:rPr>
          <w:rFonts w:ascii="Helvetica" w:hAnsi="Helvetica" w:cs="Arial"/>
          <w:sz w:val="22"/>
          <w:szCs w:val="22"/>
        </w:rPr>
        <w:t>, the Committee should consider</w:t>
      </w:r>
      <w:r w:rsidRPr="00A1093E">
        <w:rPr>
          <w:rFonts w:ascii="Helvetica" w:hAnsi="Helvetica" w:cs="Arial"/>
          <w:sz w:val="22"/>
          <w:szCs w:val="22"/>
        </w:rPr>
        <w:t xml:space="preserve"> a</w:t>
      </w:r>
      <w:r>
        <w:rPr>
          <w:rFonts w:ascii="Helvetica" w:hAnsi="Helvetica" w:cs="Arial"/>
          <w:sz w:val="22"/>
          <w:szCs w:val="22"/>
        </w:rPr>
        <w:t xml:space="preserve">mending this paragraph to replace all references to “alternatives to detention” with a discussion of the </w:t>
      </w:r>
      <w:r w:rsidR="00F71E79">
        <w:rPr>
          <w:rFonts w:ascii="Helvetica" w:hAnsi="Helvetica" w:cs="Arial"/>
          <w:sz w:val="22"/>
          <w:szCs w:val="22"/>
        </w:rPr>
        <w:t>appropriate</w:t>
      </w:r>
      <w:r>
        <w:rPr>
          <w:rFonts w:ascii="Helvetica" w:hAnsi="Helvetica" w:cs="Arial"/>
          <w:sz w:val="22"/>
          <w:szCs w:val="22"/>
        </w:rPr>
        <w:t xml:space="preserve"> care and reception </w:t>
      </w:r>
      <w:r w:rsidR="00F71E79">
        <w:rPr>
          <w:rFonts w:ascii="Helvetica" w:hAnsi="Helvetica" w:cs="Arial"/>
          <w:sz w:val="22"/>
          <w:szCs w:val="22"/>
        </w:rPr>
        <w:t>of</w:t>
      </w:r>
      <w:r>
        <w:rPr>
          <w:rFonts w:ascii="Helvetica" w:hAnsi="Helvetica" w:cs="Arial"/>
          <w:sz w:val="22"/>
          <w:szCs w:val="22"/>
        </w:rPr>
        <w:t xml:space="preserve"> </w:t>
      </w:r>
      <w:r w:rsidR="00F71E79">
        <w:rPr>
          <w:rFonts w:ascii="Helvetica" w:hAnsi="Helvetica" w:cs="Arial"/>
          <w:sz w:val="22"/>
          <w:szCs w:val="22"/>
        </w:rPr>
        <w:t>children</w:t>
      </w:r>
      <w:r>
        <w:rPr>
          <w:rFonts w:ascii="Helvetica" w:hAnsi="Helvetica" w:cs="Arial"/>
          <w:sz w:val="22"/>
          <w:szCs w:val="22"/>
        </w:rPr>
        <w:t xml:space="preserve"> and families. </w:t>
      </w:r>
    </w:p>
    <w:p w14:paraId="193C2861" w14:textId="77777777" w:rsidR="00F3066A" w:rsidRDefault="00F3066A" w:rsidP="00F348E7">
      <w:pPr>
        <w:rPr>
          <w:rFonts w:ascii="Helvetica" w:hAnsi="Helvetica" w:cs="Arial"/>
          <w:sz w:val="22"/>
          <w:szCs w:val="22"/>
        </w:rPr>
      </w:pPr>
    </w:p>
    <w:p w14:paraId="33E5C1B8" w14:textId="3A7C2E44" w:rsidR="00F3066A" w:rsidRPr="006E0DB4" w:rsidRDefault="00F3066A" w:rsidP="00F348E7">
      <w:r>
        <w:rPr>
          <w:rFonts w:ascii="Helvetica" w:hAnsi="Helvetica" w:cs="Arial"/>
          <w:b/>
          <w:sz w:val="22"/>
          <w:szCs w:val="22"/>
        </w:rPr>
        <w:t>Paragraph 8</w:t>
      </w:r>
      <w:r w:rsidRPr="00A1093E">
        <w:rPr>
          <w:rFonts w:ascii="Helvetica" w:hAnsi="Helvetica" w:cs="Arial"/>
          <w:b/>
          <w:sz w:val="22"/>
          <w:szCs w:val="22"/>
        </w:rPr>
        <w:t>8</w:t>
      </w:r>
      <w:r w:rsidRPr="00A1093E">
        <w:rPr>
          <w:rFonts w:ascii="Helvetica" w:hAnsi="Helvetica" w:cs="Arial"/>
          <w:sz w:val="22"/>
          <w:szCs w:val="22"/>
        </w:rPr>
        <w:t>:</w:t>
      </w:r>
      <w:r>
        <w:rPr>
          <w:rFonts w:ascii="Helvetica" w:hAnsi="Helvetica" w:cs="Arial"/>
          <w:sz w:val="22"/>
          <w:szCs w:val="22"/>
        </w:rPr>
        <w:t xml:space="preserve"> </w:t>
      </w:r>
      <w:r>
        <w:rPr>
          <w:rFonts w:ascii="Helvetica" w:hAnsi="Helvetica" w:cs="Arial"/>
          <w:sz w:val="22"/>
          <w:szCs w:val="22"/>
        </w:rPr>
        <w:t xml:space="preserve">Consider amending this paragraph in light of the same considerations mentioned with respect to Paragraph 89. As it stands, this paragraph appears to contradict previous statements made by the Committee with respect to the prohibition of child migration detention and the appropriate care and reception of families. </w:t>
      </w:r>
    </w:p>
    <w:sectPr w:rsidR="00F3066A" w:rsidRPr="006E0DB4" w:rsidSect="005643B7">
      <w:pgSz w:w="12240" w:h="15840"/>
      <w:pgMar w:top="117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07E2" w14:textId="77777777" w:rsidR="00BA54C4" w:rsidRDefault="00BA54C4" w:rsidP="00765C87">
      <w:r>
        <w:separator/>
      </w:r>
    </w:p>
  </w:endnote>
  <w:endnote w:type="continuationSeparator" w:id="0">
    <w:p w14:paraId="5CAC49BE" w14:textId="77777777" w:rsidR="00BA54C4" w:rsidRDefault="00BA54C4" w:rsidP="0076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venir Next Condensed">
    <w:altName w:val="Avenir Next Condensed Regular"/>
    <w:charset w:val="00"/>
    <w:family w:val="swiss"/>
    <w:pitch w:val="variable"/>
    <w:sig w:usb0="8000002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5BED" w14:textId="77777777" w:rsidR="00BA54C4" w:rsidRDefault="00BA54C4" w:rsidP="002D7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06250" w14:textId="77777777" w:rsidR="00BA54C4" w:rsidRDefault="00BA54C4" w:rsidP="002D7F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2F56" w14:textId="77777777" w:rsidR="00BA54C4" w:rsidRDefault="00BA54C4" w:rsidP="002D7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D5E">
      <w:rPr>
        <w:rStyle w:val="PageNumber"/>
        <w:noProof/>
      </w:rPr>
      <w:t>10</w:t>
    </w:r>
    <w:r>
      <w:rPr>
        <w:rStyle w:val="PageNumber"/>
      </w:rPr>
      <w:fldChar w:fldCharType="end"/>
    </w:r>
  </w:p>
  <w:p w14:paraId="7814EBDB" w14:textId="77777777" w:rsidR="00BA54C4" w:rsidRDefault="00BA54C4" w:rsidP="002D7F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16DE" w14:textId="77777777" w:rsidR="00BA54C4" w:rsidRDefault="00BA54C4" w:rsidP="00765C87">
      <w:r>
        <w:separator/>
      </w:r>
    </w:p>
  </w:footnote>
  <w:footnote w:type="continuationSeparator" w:id="0">
    <w:p w14:paraId="4B67E9C4" w14:textId="77777777" w:rsidR="00BA54C4" w:rsidRDefault="00BA54C4" w:rsidP="00765C87">
      <w:r>
        <w:continuationSeparator/>
      </w:r>
    </w:p>
  </w:footnote>
  <w:footnote w:id="1">
    <w:p w14:paraId="7B65CFA7" w14:textId="04FD6515" w:rsidR="00BA54C4" w:rsidRPr="00156D1D" w:rsidRDefault="00BA54C4" w:rsidP="00156D1D">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European Parliament, “The Return Directive 2008/115/EC: European Implementation Assessment,” June 2020, pp. 90-92.</w:t>
      </w:r>
    </w:p>
  </w:footnote>
  <w:footnote w:id="2">
    <w:p w14:paraId="691F3A87" w14:textId="74B1C5B0" w:rsidR="00BA54C4" w:rsidRPr="00156D1D" w:rsidRDefault="00BA54C4" w:rsidP="00156D1D">
      <w:pPr>
        <w:pStyle w:val="FootnoteText"/>
        <w:spacing w:after="60"/>
        <w:rPr>
          <w:rFonts w:ascii="Arial" w:hAnsi="Arial" w:cs="Arial"/>
          <w:color w:val="195578"/>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United Nations Network on Migration, “</w:t>
      </w:r>
      <w:r w:rsidRPr="00156D1D">
        <w:rPr>
          <w:rFonts w:ascii="Arial" w:hAnsi="Arial" w:cs="Arial"/>
          <w:bCs/>
          <w:sz w:val="18"/>
          <w:szCs w:val="18"/>
        </w:rPr>
        <w:t>COVID-19 &amp; Immigration Detention: What Can Governments and Other Stakeholders Do?”</w:t>
      </w:r>
      <w:r w:rsidRPr="00156D1D">
        <w:rPr>
          <w:rFonts w:ascii="Arial" w:hAnsi="Arial" w:cs="Arial"/>
          <w:bCs/>
          <w:color w:val="195578"/>
          <w:sz w:val="18"/>
          <w:szCs w:val="18"/>
        </w:rPr>
        <w:t xml:space="preserve"> </w:t>
      </w:r>
      <w:hyperlink r:id="rId1" w:history="1">
        <w:r w:rsidRPr="00156D1D">
          <w:rPr>
            <w:rStyle w:val="Hyperlink"/>
            <w:rFonts w:ascii="Arial" w:hAnsi="Arial" w:cs="Arial"/>
            <w:bCs/>
            <w:color w:val="195578"/>
            <w:sz w:val="18"/>
            <w:szCs w:val="18"/>
            <w:u w:val="none"/>
          </w:rPr>
          <w:t>https://www.refworld.org/docid/5eac26514.html</w:t>
        </w:r>
      </w:hyperlink>
      <w:r w:rsidRPr="00156D1D">
        <w:rPr>
          <w:rFonts w:ascii="Arial" w:hAnsi="Arial" w:cs="Arial"/>
          <w:bCs/>
          <w:color w:val="195578"/>
          <w:sz w:val="18"/>
          <w:szCs w:val="18"/>
        </w:rPr>
        <w:t xml:space="preserve"> </w:t>
      </w:r>
    </w:p>
  </w:footnote>
  <w:footnote w:id="3">
    <w:p w14:paraId="57091093" w14:textId="23B1502F" w:rsidR="00BA54C4" w:rsidRPr="00156D1D" w:rsidRDefault="00BA54C4" w:rsidP="00156D1D">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International Detention Coalition, “There Are Alternatives, (Revised Edition),” 2015, </w:t>
      </w:r>
      <w:r w:rsidRPr="00156D1D">
        <w:rPr>
          <w:rFonts w:ascii="Arial" w:hAnsi="Arial" w:cs="Arial"/>
          <w:color w:val="195578"/>
          <w:sz w:val="18"/>
          <w:szCs w:val="18"/>
        </w:rPr>
        <w:t>https://idcoalition.org/wp-content/uploads/2016/01/There-Are-Alternatives-2015.pdf</w:t>
      </w:r>
    </w:p>
  </w:footnote>
  <w:footnote w:id="4">
    <w:p w14:paraId="290DB2B4" w14:textId="645DE88C" w:rsidR="00BA54C4" w:rsidRPr="00156D1D" w:rsidRDefault="00BA54C4" w:rsidP="00156D1D">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European Parliament, “The Return Directive 2008/115/EC: European Implementation Assessment,” June 2020, pp. 90-92. </w:t>
      </w:r>
    </w:p>
  </w:footnote>
  <w:footnote w:id="5">
    <w:p w14:paraId="71951A61" w14:textId="3A9E5AA4" w:rsidR="00BA54C4" w:rsidRPr="00156D1D" w:rsidRDefault="00BA54C4" w:rsidP="00156D1D">
      <w:pPr>
        <w:pStyle w:val="Heading1"/>
        <w:spacing w:before="0" w:beforeAutospacing="0" w:after="60" w:afterAutospacing="0"/>
        <w:rPr>
          <w:rFonts w:ascii="Arial" w:hAnsi="Arial" w:cs="Arial"/>
          <w:b w:val="0"/>
          <w:sz w:val="18"/>
          <w:szCs w:val="18"/>
        </w:rPr>
      </w:pPr>
      <w:r w:rsidRPr="00156D1D">
        <w:rPr>
          <w:rStyle w:val="FootnoteReference"/>
          <w:rFonts w:ascii="Arial" w:hAnsi="Arial" w:cs="Arial"/>
          <w:b w:val="0"/>
          <w:sz w:val="18"/>
          <w:szCs w:val="18"/>
          <w:lang w:val="en-GB"/>
        </w:rPr>
        <w:footnoteRef/>
      </w:r>
      <w:r w:rsidRPr="00156D1D">
        <w:rPr>
          <w:rFonts w:ascii="Arial" w:hAnsi="Arial" w:cs="Arial"/>
          <w:b w:val="0"/>
          <w:sz w:val="18"/>
          <w:szCs w:val="18"/>
          <w:lang w:val="en-GB"/>
        </w:rPr>
        <w:t xml:space="preserve"> For a discussion of Malta’s policy framework, see Global Detention Project, “</w:t>
      </w:r>
      <w:r w:rsidRPr="00156D1D">
        <w:rPr>
          <w:rFonts w:ascii="Arial" w:eastAsia="Times New Roman" w:hAnsi="Arial" w:cs="Arial"/>
          <w:b w:val="0"/>
          <w:sz w:val="18"/>
          <w:szCs w:val="18"/>
          <w:lang w:val="en-GB"/>
        </w:rPr>
        <w:t xml:space="preserve">Immigration Detention in Malta: ‘Betraying’ European Values?” June 2019, </w:t>
      </w:r>
      <w:hyperlink r:id="rId2" w:history="1">
        <w:r w:rsidRPr="00156D1D">
          <w:rPr>
            <w:rStyle w:val="Hyperlink"/>
            <w:rFonts w:ascii="Arial" w:eastAsia="Times New Roman" w:hAnsi="Arial" w:cs="Arial"/>
            <w:b w:val="0"/>
            <w:bCs w:val="0"/>
            <w:color w:val="195578"/>
            <w:sz w:val="18"/>
            <w:szCs w:val="18"/>
            <w:u w:val="none"/>
          </w:rPr>
          <w:t>https://www.globaldetentionproject.org/immigration-detention-malta-betraying-european-values</w:t>
        </w:r>
      </w:hyperlink>
      <w:r w:rsidRPr="00156D1D">
        <w:rPr>
          <w:rFonts w:ascii="Arial" w:eastAsia="Times New Roman" w:hAnsi="Arial" w:cs="Arial"/>
          <w:b w:val="0"/>
          <w:bCs w:val="0"/>
          <w:color w:val="195578"/>
          <w:sz w:val="18"/>
          <w:szCs w:val="18"/>
        </w:rPr>
        <w:t xml:space="preserve"> </w:t>
      </w:r>
    </w:p>
  </w:footnote>
  <w:footnote w:id="6">
    <w:p w14:paraId="15B1E02C" w14:textId="4177017C" w:rsidR="00BA54C4" w:rsidRPr="00156D1D" w:rsidRDefault="00BA54C4" w:rsidP="00156D1D">
      <w:pPr>
        <w:pStyle w:val="FootnoteText"/>
        <w:spacing w:after="60"/>
        <w:rPr>
          <w:rFonts w:ascii="Arial" w:hAnsi="Arial" w:cs="Arial"/>
          <w:color w:val="195578"/>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w:t>
      </w:r>
      <w:r w:rsidRPr="00156D1D">
        <w:rPr>
          <w:rFonts w:ascii="Arial" w:eastAsia="Times New Roman" w:hAnsi="Arial" w:cs="Arial"/>
          <w:sz w:val="18"/>
          <w:szCs w:val="18"/>
        </w:rPr>
        <w:t xml:space="preserve">United Nations High Commissioner for Human Rights (UNHCR), “UNHCR’s Observations on Malta’s Revised Legislative and Policy Framework for the Reception of Asylum-Seekers,” 25 February 2016, </w:t>
      </w:r>
      <w:hyperlink r:id="rId3" w:history="1">
        <w:r w:rsidRPr="00156D1D">
          <w:rPr>
            <w:rStyle w:val="Hyperlink"/>
            <w:rFonts w:ascii="Arial" w:eastAsia="Times New Roman" w:hAnsi="Arial" w:cs="Arial"/>
            <w:color w:val="195578"/>
            <w:sz w:val="18"/>
            <w:szCs w:val="18"/>
            <w:u w:val="none"/>
          </w:rPr>
          <w:t>https://www.refworld.org/docid/56e963824.html</w:t>
        </w:r>
      </w:hyperlink>
      <w:r w:rsidRPr="00156D1D">
        <w:rPr>
          <w:rFonts w:ascii="Arial" w:eastAsia="Times New Roman" w:hAnsi="Arial" w:cs="Arial"/>
          <w:color w:val="195578"/>
          <w:sz w:val="18"/>
          <w:szCs w:val="18"/>
        </w:rPr>
        <w:t xml:space="preserve"> </w:t>
      </w:r>
    </w:p>
  </w:footnote>
  <w:footnote w:id="7">
    <w:p w14:paraId="7A85CFB6" w14:textId="77777777" w:rsidR="00BA54C4" w:rsidRPr="00156D1D" w:rsidRDefault="00BA54C4" w:rsidP="00156D1D">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w:t>
      </w:r>
      <w:proofErr w:type="spellStart"/>
      <w:r w:rsidRPr="00156D1D">
        <w:rPr>
          <w:rFonts w:ascii="Arial" w:eastAsia="Times New Roman" w:hAnsi="Arial" w:cs="Arial"/>
          <w:sz w:val="18"/>
          <w:szCs w:val="18"/>
        </w:rPr>
        <w:t>Aditus</w:t>
      </w:r>
      <w:proofErr w:type="spellEnd"/>
      <w:r w:rsidRPr="00156D1D">
        <w:rPr>
          <w:rFonts w:ascii="Arial" w:eastAsia="Times New Roman" w:hAnsi="Arial" w:cs="Arial"/>
          <w:sz w:val="18"/>
          <w:szCs w:val="18"/>
        </w:rPr>
        <w:t xml:space="preserve"> and Jesuit Refugee Service (JRS), “Country Profile: Malta,” </w:t>
      </w:r>
      <w:r w:rsidRPr="00156D1D">
        <w:rPr>
          <w:rFonts w:ascii="Arial" w:eastAsia="Times New Roman" w:hAnsi="Arial" w:cs="Arial"/>
          <w:i/>
          <w:iCs/>
          <w:sz w:val="18"/>
          <w:szCs w:val="18"/>
        </w:rPr>
        <w:t>European Council for Refugees and Exiles (ECRE) and Asylum Information Database (AIDA)</w:t>
      </w:r>
      <w:r w:rsidRPr="00156D1D">
        <w:rPr>
          <w:rFonts w:ascii="Arial" w:eastAsia="Times New Roman" w:hAnsi="Arial" w:cs="Arial"/>
          <w:sz w:val="18"/>
          <w:szCs w:val="18"/>
        </w:rPr>
        <w:t xml:space="preserve">, March 2019, </w:t>
      </w:r>
      <w:hyperlink r:id="rId4" w:history="1">
        <w:r w:rsidRPr="00156D1D">
          <w:rPr>
            <w:rStyle w:val="Hyperlink"/>
            <w:rFonts w:ascii="Arial" w:eastAsia="Times New Roman" w:hAnsi="Arial" w:cs="Arial"/>
            <w:color w:val="195578"/>
            <w:sz w:val="18"/>
            <w:szCs w:val="18"/>
            <w:u w:val="none"/>
          </w:rPr>
          <w:t>http://www.asylumineurope.org/sites/default/files/report-download/aida_mt_2018update.pdf</w:t>
        </w:r>
      </w:hyperlink>
    </w:p>
  </w:footnote>
  <w:footnote w:id="8">
    <w:p w14:paraId="0D28E385" w14:textId="677C81AA" w:rsidR="00BA54C4" w:rsidRPr="00156D1D" w:rsidRDefault="00BA54C4" w:rsidP="00156D1D">
      <w:pPr>
        <w:pStyle w:val="Heading1"/>
        <w:spacing w:before="0" w:beforeAutospacing="0" w:after="60" w:afterAutospacing="0"/>
        <w:rPr>
          <w:rFonts w:ascii="Arial" w:eastAsia="Times New Roman" w:hAnsi="Arial" w:cs="Arial"/>
          <w:b w:val="0"/>
          <w:sz w:val="18"/>
          <w:szCs w:val="18"/>
        </w:rPr>
      </w:pPr>
      <w:r w:rsidRPr="00156D1D">
        <w:rPr>
          <w:rStyle w:val="FootnoteReference"/>
          <w:rFonts w:ascii="Arial" w:hAnsi="Arial" w:cs="Arial"/>
          <w:b w:val="0"/>
          <w:sz w:val="18"/>
          <w:szCs w:val="18"/>
          <w:lang w:val="en-GB"/>
        </w:rPr>
        <w:footnoteRef/>
      </w:r>
      <w:r w:rsidRPr="00156D1D">
        <w:rPr>
          <w:rFonts w:ascii="Arial" w:hAnsi="Arial" w:cs="Arial"/>
          <w:b w:val="0"/>
          <w:sz w:val="18"/>
          <w:szCs w:val="18"/>
          <w:lang w:val="en-GB"/>
        </w:rPr>
        <w:t xml:space="preserve"> M. Bosworth, </w:t>
      </w:r>
      <w:r w:rsidRPr="00156D1D">
        <w:rPr>
          <w:rFonts w:ascii="Arial" w:hAnsi="Arial" w:cs="Arial"/>
          <w:b w:val="0"/>
          <w:sz w:val="18"/>
          <w:szCs w:val="18"/>
        </w:rPr>
        <w:t>“</w:t>
      </w:r>
      <w:r w:rsidRPr="00156D1D">
        <w:rPr>
          <w:rFonts w:ascii="Arial" w:eastAsia="Times New Roman" w:hAnsi="Arial" w:cs="Arial"/>
          <w:b w:val="0"/>
          <w:sz w:val="18"/>
          <w:szCs w:val="18"/>
        </w:rPr>
        <w:t xml:space="preserve">Alternatives to Immigration Detention: A Literature Review: </w:t>
      </w:r>
      <w:r w:rsidRPr="00156D1D">
        <w:rPr>
          <w:rFonts w:ascii="Arial" w:hAnsi="Arial" w:cs="Arial"/>
          <w:b w:val="0"/>
          <w:sz w:val="18"/>
          <w:szCs w:val="18"/>
        </w:rPr>
        <w:t xml:space="preserve">Assessment of Government Progress in Implementing the Report on the Welfare in Detention of Vulnerable Persons: A Follow-Up Report to the Home Office,” S. Shaw </w:t>
      </w:r>
      <w:proofErr w:type="spellStart"/>
      <w:proofErr w:type="gramStart"/>
      <w:r w:rsidRPr="00156D1D">
        <w:rPr>
          <w:rFonts w:ascii="Arial" w:hAnsi="Arial" w:cs="Arial"/>
          <w:b w:val="0"/>
          <w:sz w:val="18"/>
          <w:szCs w:val="18"/>
        </w:rPr>
        <w:t>eds</w:t>
      </w:r>
      <w:proofErr w:type="spellEnd"/>
      <w:proofErr w:type="gramEnd"/>
      <w:r w:rsidRPr="00156D1D">
        <w:rPr>
          <w:rFonts w:ascii="Arial" w:hAnsi="Arial" w:cs="Arial"/>
          <w:b w:val="0"/>
          <w:sz w:val="18"/>
          <w:szCs w:val="18"/>
        </w:rPr>
        <w:t xml:space="preserve">, London: HMSO, pp. 213 – 247, </w:t>
      </w:r>
      <w:hyperlink r:id="rId5" w:history="1">
        <w:r w:rsidRPr="00156D1D">
          <w:rPr>
            <w:rStyle w:val="Hyperlink"/>
            <w:rFonts w:ascii="Arial" w:hAnsi="Arial" w:cs="Arial"/>
            <w:b w:val="0"/>
            <w:color w:val="195578"/>
            <w:sz w:val="18"/>
            <w:szCs w:val="18"/>
            <w:u w:val="none"/>
          </w:rPr>
          <w:t>https://papers.ssrn.com/sol3/papers.cfm?abstract_id=3299532</w:t>
        </w:r>
      </w:hyperlink>
      <w:r w:rsidRPr="00156D1D">
        <w:rPr>
          <w:rFonts w:ascii="Arial" w:hAnsi="Arial" w:cs="Arial"/>
          <w:b w:val="0"/>
          <w:color w:val="195578"/>
          <w:sz w:val="18"/>
          <w:szCs w:val="18"/>
        </w:rPr>
        <w:t xml:space="preserve"> </w:t>
      </w:r>
    </w:p>
    <w:p w14:paraId="50F8C8FA" w14:textId="24ABF032" w:rsidR="00BA54C4" w:rsidRPr="00156D1D" w:rsidRDefault="00BA54C4" w:rsidP="00156D1D">
      <w:pPr>
        <w:pStyle w:val="FootnoteText"/>
        <w:spacing w:after="60"/>
        <w:rPr>
          <w:rFonts w:ascii="Arial" w:hAnsi="Arial" w:cs="Arial"/>
          <w:sz w:val="18"/>
          <w:szCs w:val="18"/>
        </w:rPr>
      </w:pPr>
    </w:p>
  </w:footnote>
  <w:footnote w:id="9">
    <w:p w14:paraId="362C939E" w14:textId="49506441" w:rsidR="00BA54C4" w:rsidRPr="00156D1D" w:rsidRDefault="00BA54C4" w:rsidP="00156D1D">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UNHCR, “Guiding Questions for the Assessment of Alternatives to Detention,” </w:t>
      </w:r>
      <w:hyperlink r:id="rId6" w:history="1">
        <w:r w:rsidRPr="00156D1D">
          <w:rPr>
            <w:rStyle w:val="Hyperlink"/>
            <w:rFonts w:ascii="Arial" w:hAnsi="Arial" w:cs="Arial"/>
            <w:color w:val="195578"/>
            <w:sz w:val="18"/>
            <w:szCs w:val="18"/>
            <w:u w:val="none"/>
          </w:rPr>
          <w:t>https://www.unhcr.org/protection/detention/5b17d9c47/guiding-questions-assessment-alternatives-detention.html</w:t>
        </w:r>
      </w:hyperlink>
      <w:r w:rsidRPr="00156D1D">
        <w:rPr>
          <w:rStyle w:val="Hyperlink"/>
          <w:rFonts w:ascii="Arial" w:hAnsi="Arial" w:cs="Arial"/>
          <w:color w:val="195578"/>
          <w:sz w:val="18"/>
          <w:szCs w:val="18"/>
          <w:u w:val="none"/>
        </w:rPr>
        <w:t xml:space="preserve"> </w:t>
      </w:r>
    </w:p>
  </w:footnote>
  <w:footnote w:id="10">
    <w:p w14:paraId="0FAFF146" w14:textId="77777777" w:rsidR="00BA54C4" w:rsidRPr="00156D1D" w:rsidRDefault="00BA54C4" w:rsidP="00156D1D">
      <w:pPr>
        <w:pStyle w:val="FootnoteText"/>
        <w:spacing w:after="60"/>
        <w:rPr>
          <w:rFonts w:ascii="Arial" w:hAnsi="Arial" w:cs="Arial"/>
          <w:sz w:val="18"/>
          <w:szCs w:val="18"/>
          <w:lang w:val="fr-FR"/>
        </w:rPr>
      </w:pPr>
      <w:r w:rsidRPr="00156D1D">
        <w:rPr>
          <w:rStyle w:val="FootnoteReference"/>
          <w:rFonts w:ascii="Arial" w:hAnsi="Arial" w:cs="Arial"/>
          <w:sz w:val="18"/>
          <w:szCs w:val="18"/>
        </w:rPr>
        <w:footnoteRef/>
      </w:r>
      <w:r w:rsidRPr="00156D1D">
        <w:rPr>
          <w:rFonts w:ascii="Arial" w:hAnsi="Arial" w:cs="Arial"/>
          <w:sz w:val="18"/>
          <w:szCs w:val="18"/>
        </w:rPr>
        <w:t xml:space="preserve"> The UN Global Study on Children Deprived of Liberty, page 478. </w:t>
      </w:r>
    </w:p>
  </w:footnote>
  <w:footnote w:id="11">
    <w:p w14:paraId="6BC7B822" w14:textId="77777777" w:rsidR="00BA54C4" w:rsidRPr="00156D1D" w:rsidRDefault="00BA54C4" w:rsidP="00156D1D">
      <w:pPr>
        <w:pStyle w:val="FootnoteText"/>
        <w:spacing w:after="60"/>
        <w:rPr>
          <w:rFonts w:ascii="Arial" w:hAnsi="Arial" w:cs="Arial"/>
          <w:sz w:val="18"/>
          <w:szCs w:val="18"/>
          <w:lang w:val="fr-FR"/>
        </w:rPr>
      </w:pPr>
      <w:r w:rsidRPr="00156D1D">
        <w:rPr>
          <w:rStyle w:val="FootnoteReference"/>
          <w:rFonts w:ascii="Arial" w:hAnsi="Arial" w:cs="Arial"/>
          <w:sz w:val="18"/>
          <w:szCs w:val="18"/>
        </w:rPr>
        <w:footnoteRef/>
      </w:r>
      <w:r w:rsidRPr="00156D1D">
        <w:rPr>
          <w:rFonts w:ascii="Arial" w:hAnsi="Arial" w:cs="Arial"/>
          <w:sz w:val="18"/>
          <w:szCs w:val="18"/>
        </w:rPr>
        <w:t xml:space="preserve"> </w:t>
      </w:r>
      <w:r w:rsidRPr="00156D1D">
        <w:rPr>
          <w:rFonts w:ascii="Arial" w:eastAsia="Times New Roman" w:hAnsi="Arial" w:cs="Arial"/>
          <w:sz w:val="18"/>
          <w:szCs w:val="18"/>
        </w:rPr>
        <w:t>UN Special Rapporteur on the Human Rights of Migrants, in his 2020 thematic report “</w:t>
      </w:r>
      <w:r w:rsidRPr="00156D1D">
        <w:rPr>
          <w:rFonts w:ascii="Arial" w:hAnsi="Arial" w:cs="Arial"/>
          <w:sz w:val="18"/>
          <w:szCs w:val="18"/>
        </w:rPr>
        <w:t xml:space="preserve">Ending immigration detention of children and providing adequate care and reception for them,” paragraph 83. </w:t>
      </w:r>
    </w:p>
  </w:footnote>
  <w:footnote w:id="12">
    <w:p w14:paraId="3A0BD894" w14:textId="67A1536D" w:rsidR="00BA54C4" w:rsidRPr="00156D1D" w:rsidRDefault="00BA54C4" w:rsidP="00156D1D">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For a more detailed assessment of the challenges and pitfalls of advocating ATDs for children, see M. </w:t>
      </w:r>
      <w:r w:rsidRPr="00156D1D">
        <w:rPr>
          <w:rFonts w:ascii="Arial" w:eastAsia="Times New Roman" w:hAnsi="Arial" w:cs="Arial"/>
          <w:sz w:val="18"/>
          <w:szCs w:val="18"/>
        </w:rPr>
        <w:t xml:space="preserve">Flynn, “The Debate Over Alternatives to Immigration Detention of Children,” In </w:t>
      </w:r>
      <w:r w:rsidRPr="00156D1D">
        <w:rPr>
          <w:rStyle w:val="Emphasis"/>
          <w:rFonts w:ascii="Arial" w:eastAsia="Times New Roman" w:hAnsi="Arial" w:cs="Arial"/>
          <w:sz w:val="18"/>
          <w:szCs w:val="18"/>
        </w:rPr>
        <w:t>Migration, State Obligations, and Rights in a Globalized Context</w:t>
      </w:r>
      <w:r w:rsidRPr="00156D1D">
        <w:rPr>
          <w:rFonts w:ascii="Arial" w:eastAsia="Times New Roman" w:hAnsi="Arial" w:cs="Arial"/>
          <w:sz w:val="18"/>
          <w:szCs w:val="18"/>
        </w:rPr>
        <w:t xml:space="preserve"> (</w:t>
      </w:r>
      <w:r w:rsidRPr="00156D1D">
        <w:rPr>
          <w:rStyle w:val="Emphasis"/>
          <w:rFonts w:ascii="Arial" w:eastAsia="Times New Roman" w:hAnsi="Arial" w:cs="Arial"/>
          <w:sz w:val="18"/>
          <w:szCs w:val="18"/>
        </w:rPr>
        <w:t>Conference Proceedings from Geneva Human Rights Week Colloquium: 11-12 October 201</w:t>
      </w:r>
      <w:r w:rsidRPr="00156D1D">
        <w:rPr>
          <w:rFonts w:ascii="Arial" w:eastAsia="Times New Roman" w:hAnsi="Arial" w:cs="Arial"/>
          <w:sz w:val="18"/>
          <w:szCs w:val="18"/>
        </w:rPr>
        <w:t xml:space="preserve">7), pp. 115-117, Global Studies Institute (University of Geneva), 2019, </w:t>
      </w:r>
      <w:hyperlink r:id="rId7" w:history="1">
        <w:r w:rsidRPr="00156D1D">
          <w:rPr>
            <w:rStyle w:val="Hyperlink"/>
            <w:rFonts w:ascii="Arial" w:eastAsia="Times New Roman" w:hAnsi="Arial" w:cs="Arial"/>
            <w:color w:val="195578"/>
            <w:sz w:val="18"/>
            <w:szCs w:val="18"/>
            <w:u w:val="none"/>
          </w:rPr>
          <w:t>https://www.globaldetentionproject.org/the-debate-over-alternatives-to-immigration-detention-of-children</w:t>
        </w:r>
      </w:hyperlink>
      <w:r w:rsidRPr="00156D1D">
        <w:rPr>
          <w:rStyle w:val="Hyperlink"/>
          <w:rFonts w:ascii="Arial" w:eastAsia="Times New Roman" w:hAnsi="Arial" w:cs="Arial"/>
          <w:color w:val="auto"/>
          <w:sz w:val="18"/>
          <w:szCs w:val="18"/>
          <w:u w:val="none"/>
        </w:rPr>
        <w:t xml:space="preserve"> </w:t>
      </w:r>
    </w:p>
  </w:footnote>
  <w:footnote w:id="13">
    <w:p w14:paraId="4B25C54A" w14:textId="77777777" w:rsidR="00BA54C4" w:rsidRPr="00156D1D" w:rsidRDefault="00BA54C4" w:rsidP="00A1093E">
      <w:pPr>
        <w:pStyle w:val="FootnoteText"/>
        <w:spacing w:after="60"/>
        <w:rPr>
          <w:rFonts w:ascii="Arial" w:hAnsi="Arial" w:cs="Arial"/>
          <w:sz w:val="18"/>
          <w:szCs w:val="18"/>
          <w:lang w:val="en-US"/>
        </w:rPr>
      </w:pPr>
      <w:r w:rsidRPr="00156D1D">
        <w:rPr>
          <w:rStyle w:val="FootnoteReference"/>
          <w:rFonts w:ascii="Arial" w:hAnsi="Arial" w:cs="Arial"/>
          <w:sz w:val="18"/>
          <w:szCs w:val="18"/>
        </w:rPr>
        <w:footnoteRef/>
      </w:r>
      <w:r w:rsidRPr="00156D1D">
        <w:rPr>
          <w:rFonts w:ascii="Arial" w:hAnsi="Arial" w:cs="Arial"/>
          <w:sz w:val="18"/>
          <w:szCs w:val="18"/>
        </w:rPr>
        <w:t xml:space="preserve"> </w:t>
      </w:r>
      <w:r w:rsidRPr="00156D1D">
        <w:rPr>
          <w:rFonts w:ascii="Arial" w:hAnsi="Arial" w:cs="Arial"/>
          <w:sz w:val="18"/>
          <w:szCs w:val="18"/>
          <w:lang w:val="en-US"/>
        </w:rPr>
        <w:t xml:space="preserve">See, for instance: </w:t>
      </w:r>
    </w:p>
    <w:p w14:paraId="5F681E4F" w14:textId="77777777" w:rsidR="00BA54C4" w:rsidRPr="00806302" w:rsidRDefault="00BA54C4" w:rsidP="00A1093E">
      <w:pPr>
        <w:pStyle w:val="FootnoteText"/>
        <w:numPr>
          <w:ilvl w:val="0"/>
          <w:numId w:val="2"/>
        </w:numPr>
        <w:rPr>
          <w:rStyle w:val="Hyperlink"/>
          <w:rFonts w:ascii="Arial" w:hAnsi="Arial" w:cs="Arial"/>
          <w:color w:val="195578"/>
          <w:sz w:val="18"/>
          <w:szCs w:val="18"/>
          <w:u w:val="none"/>
        </w:rPr>
      </w:pPr>
      <w:r w:rsidRPr="00806302">
        <w:rPr>
          <w:rFonts w:ascii="Arial" w:hAnsi="Arial" w:cs="Arial"/>
          <w:sz w:val="18"/>
          <w:szCs w:val="18"/>
        </w:rPr>
        <w:t xml:space="preserve">UNHCR, “Guiding Questions for the Assessment of Alternatives to Detention,” </w:t>
      </w:r>
      <w:hyperlink r:id="rId8" w:history="1">
        <w:r w:rsidRPr="00806302">
          <w:rPr>
            <w:rStyle w:val="Hyperlink"/>
            <w:rFonts w:ascii="Arial" w:hAnsi="Arial" w:cs="Arial"/>
            <w:color w:val="195578"/>
            <w:sz w:val="18"/>
            <w:szCs w:val="18"/>
            <w:u w:val="none"/>
          </w:rPr>
          <w:t>https://www.unhcr.org/protection/detention/5b17d9c47/guiding-questions-assessment-alternatives-detention.html</w:t>
        </w:r>
      </w:hyperlink>
    </w:p>
    <w:p w14:paraId="385F980A" w14:textId="77777777" w:rsidR="00BA54C4" w:rsidRPr="00806302" w:rsidRDefault="00BA54C4" w:rsidP="00A1093E">
      <w:pPr>
        <w:pStyle w:val="Heading1"/>
        <w:numPr>
          <w:ilvl w:val="0"/>
          <w:numId w:val="2"/>
        </w:numPr>
        <w:spacing w:before="0" w:beforeAutospacing="0" w:after="0" w:afterAutospacing="0"/>
        <w:rPr>
          <w:rFonts w:ascii="Arial" w:eastAsia="Times New Roman" w:hAnsi="Arial" w:cs="Arial"/>
          <w:b w:val="0"/>
          <w:sz w:val="18"/>
          <w:szCs w:val="18"/>
        </w:rPr>
      </w:pPr>
      <w:r w:rsidRPr="00806302">
        <w:rPr>
          <w:rFonts w:ascii="Arial" w:eastAsia="Times New Roman" w:hAnsi="Arial" w:cs="Arial"/>
          <w:b w:val="0"/>
          <w:sz w:val="18"/>
          <w:szCs w:val="18"/>
        </w:rPr>
        <w:t xml:space="preserve">CJEU - Joined Cases C-924/19 PPU and C-925/19 PPU, FMS and Others v </w:t>
      </w:r>
      <w:proofErr w:type="spellStart"/>
      <w:r w:rsidRPr="00806302">
        <w:rPr>
          <w:rFonts w:ascii="Arial" w:eastAsia="Times New Roman" w:hAnsi="Arial" w:cs="Arial"/>
          <w:b w:val="0"/>
          <w:sz w:val="18"/>
          <w:szCs w:val="18"/>
        </w:rPr>
        <w:t>Országos</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Idegenrendészeti</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Főigazgatóság</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Dél-alföldi</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Regionális</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Igazgatóság</w:t>
      </w:r>
      <w:proofErr w:type="spellEnd"/>
      <w:r w:rsidRPr="00806302">
        <w:rPr>
          <w:rFonts w:ascii="Arial" w:eastAsia="Times New Roman" w:hAnsi="Arial" w:cs="Arial"/>
          <w:b w:val="0"/>
          <w:sz w:val="18"/>
          <w:szCs w:val="18"/>
        </w:rPr>
        <w:t xml:space="preserve"> and </w:t>
      </w:r>
      <w:proofErr w:type="spellStart"/>
      <w:r w:rsidRPr="00806302">
        <w:rPr>
          <w:rFonts w:ascii="Arial" w:eastAsia="Times New Roman" w:hAnsi="Arial" w:cs="Arial"/>
          <w:b w:val="0"/>
          <w:sz w:val="18"/>
          <w:szCs w:val="18"/>
        </w:rPr>
        <w:t>Országos</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Idegenrendészeti</w:t>
      </w:r>
      <w:proofErr w:type="spellEnd"/>
      <w:r w:rsidRPr="00806302">
        <w:rPr>
          <w:rFonts w:ascii="Arial" w:eastAsia="Times New Roman" w:hAnsi="Arial" w:cs="Arial"/>
          <w:b w:val="0"/>
          <w:sz w:val="18"/>
          <w:szCs w:val="18"/>
        </w:rPr>
        <w:t xml:space="preserve"> </w:t>
      </w:r>
      <w:proofErr w:type="spellStart"/>
      <w:r w:rsidRPr="00806302">
        <w:rPr>
          <w:rFonts w:ascii="Arial" w:eastAsia="Times New Roman" w:hAnsi="Arial" w:cs="Arial"/>
          <w:b w:val="0"/>
          <w:sz w:val="18"/>
          <w:szCs w:val="18"/>
        </w:rPr>
        <w:t>Főigazgatóság</w:t>
      </w:r>
      <w:proofErr w:type="spellEnd"/>
      <w:r w:rsidRPr="00806302">
        <w:rPr>
          <w:rFonts w:ascii="Arial" w:eastAsia="Times New Roman" w:hAnsi="Arial" w:cs="Arial"/>
          <w:b w:val="0"/>
          <w:sz w:val="18"/>
          <w:szCs w:val="18"/>
        </w:rPr>
        <w:t xml:space="preserve">, 14 May 2020, </w:t>
      </w:r>
      <w:hyperlink r:id="rId9" w:history="1">
        <w:r w:rsidRPr="00806302">
          <w:rPr>
            <w:rStyle w:val="Hyperlink"/>
            <w:rFonts w:ascii="Arial" w:eastAsia="Times New Roman" w:hAnsi="Arial" w:cs="Arial"/>
            <w:b w:val="0"/>
            <w:sz w:val="18"/>
            <w:szCs w:val="18"/>
          </w:rPr>
          <w:t>https://www.asylumlawdatabase.eu/en/content/cjeu-joined-cases-c-92419-ppu-and-c-92519-ppu-fms-and-others-v-orsz%C3</w:t>
        </w:r>
        <w:r w:rsidRPr="00806302">
          <w:rPr>
            <w:rStyle w:val="Hyperlink"/>
            <w:rFonts w:ascii="Arial" w:eastAsia="Times New Roman" w:hAnsi="Arial" w:cs="Arial"/>
            <w:b w:val="0"/>
            <w:sz w:val="18"/>
            <w:szCs w:val="18"/>
          </w:rPr>
          <w:t>%</w:t>
        </w:r>
        <w:r w:rsidRPr="00806302">
          <w:rPr>
            <w:rStyle w:val="Hyperlink"/>
            <w:rFonts w:ascii="Arial" w:eastAsia="Times New Roman" w:hAnsi="Arial" w:cs="Arial"/>
            <w:b w:val="0"/>
            <w:sz w:val="18"/>
            <w:szCs w:val="18"/>
          </w:rPr>
          <w:t>A1gos-idegenrend%C3%A9szeti</w:t>
        </w:r>
      </w:hyperlink>
      <w:r w:rsidRPr="00806302">
        <w:rPr>
          <w:rFonts w:ascii="Arial" w:eastAsia="Times New Roman" w:hAnsi="Arial" w:cs="Arial"/>
          <w:b w:val="0"/>
          <w:sz w:val="18"/>
          <w:szCs w:val="18"/>
        </w:rPr>
        <w:t xml:space="preserve"> </w:t>
      </w:r>
    </w:p>
    <w:p w14:paraId="4EEE5F56" w14:textId="2129ABC0" w:rsidR="00BA54C4" w:rsidRPr="00BA54C4" w:rsidRDefault="00BA54C4" w:rsidP="00BA54C4">
      <w:pPr>
        <w:pStyle w:val="Heading1"/>
        <w:numPr>
          <w:ilvl w:val="0"/>
          <w:numId w:val="2"/>
        </w:numPr>
        <w:spacing w:before="0" w:beforeAutospacing="0" w:after="60" w:afterAutospacing="0"/>
        <w:rPr>
          <w:rFonts w:ascii="Arial" w:eastAsia="Times New Roman" w:hAnsi="Arial" w:cs="Arial"/>
          <w:b w:val="0"/>
          <w:sz w:val="18"/>
          <w:szCs w:val="18"/>
        </w:rPr>
      </w:pPr>
      <w:r w:rsidRPr="00806302">
        <w:rPr>
          <w:rFonts w:ascii="Arial" w:hAnsi="Arial" w:cs="Arial"/>
          <w:b w:val="0"/>
          <w:color w:val="000000"/>
          <w:sz w:val="18"/>
          <w:szCs w:val="18"/>
        </w:rPr>
        <w:t xml:space="preserve">EU Return Directive, Article 15(1) </w:t>
      </w:r>
    </w:p>
  </w:footnote>
  <w:footnote w:id="14">
    <w:p w14:paraId="7305EBA5" w14:textId="77777777" w:rsidR="00BA54C4" w:rsidRPr="00156D1D" w:rsidRDefault="00BA54C4" w:rsidP="00BA54C4">
      <w:pPr>
        <w:pStyle w:val="FootnoteText"/>
        <w:spacing w:after="60"/>
        <w:rPr>
          <w:rFonts w:ascii="Arial" w:hAnsi="Arial" w:cs="Arial"/>
          <w:sz w:val="18"/>
          <w:szCs w:val="18"/>
        </w:rPr>
      </w:pPr>
      <w:r w:rsidRPr="00156D1D">
        <w:rPr>
          <w:rStyle w:val="FootnoteReference"/>
          <w:rFonts w:ascii="Arial" w:hAnsi="Arial" w:cs="Arial"/>
          <w:sz w:val="18"/>
          <w:szCs w:val="18"/>
        </w:rPr>
        <w:footnoteRef/>
      </w:r>
      <w:r w:rsidRPr="00156D1D">
        <w:rPr>
          <w:rFonts w:ascii="Arial" w:hAnsi="Arial" w:cs="Arial"/>
          <w:sz w:val="18"/>
          <w:szCs w:val="18"/>
        </w:rPr>
        <w:t xml:space="preserve"> European Parliament, “The Return Directive 2008/115/EC: European Implementation Assessment,” June 2020, pp. 90-92.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CB5"/>
    <w:multiLevelType w:val="hybridMultilevel"/>
    <w:tmpl w:val="F2CC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09326D"/>
    <w:multiLevelType w:val="hybridMultilevel"/>
    <w:tmpl w:val="68C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ie Welsford">
    <w15:presenceInfo w15:providerId="Windows Live" w15:userId="b502871436bd0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5F"/>
    <w:rsid w:val="00040A89"/>
    <w:rsid w:val="00051D5E"/>
    <w:rsid w:val="00067365"/>
    <w:rsid w:val="00084CC9"/>
    <w:rsid w:val="000D1705"/>
    <w:rsid w:val="000F36FC"/>
    <w:rsid w:val="00125B18"/>
    <w:rsid w:val="0013053E"/>
    <w:rsid w:val="00132292"/>
    <w:rsid w:val="00144109"/>
    <w:rsid w:val="00156D1D"/>
    <w:rsid w:val="00156D4D"/>
    <w:rsid w:val="001913A6"/>
    <w:rsid w:val="001B218E"/>
    <w:rsid w:val="001D6B21"/>
    <w:rsid w:val="0020506A"/>
    <w:rsid w:val="00257B16"/>
    <w:rsid w:val="0027685A"/>
    <w:rsid w:val="002D431C"/>
    <w:rsid w:val="002D7F58"/>
    <w:rsid w:val="0030666A"/>
    <w:rsid w:val="00341EF7"/>
    <w:rsid w:val="00393C63"/>
    <w:rsid w:val="0040049B"/>
    <w:rsid w:val="00443A77"/>
    <w:rsid w:val="004B4DF1"/>
    <w:rsid w:val="005643B7"/>
    <w:rsid w:val="00592ACF"/>
    <w:rsid w:val="005C12C6"/>
    <w:rsid w:val="005E58DB"/>
    <w:rsid w:val="0061056B"/>
    <w:rsid w:val="00691231"/>
    <w:rsid w:val="00691F38"/>
    <w:rsid w:val="006E0DB4"/>
    <w:rsid w:val="00713F41"/>
    <w:rsid w:val="00733A19"/>
    <w:rsid w:val="00765C87"/>
    <w:rsid w:val="00770315"/>
    <w:rsid w:val="00806302"/>
    <w:rsid w:val="00830F84"/>
    <w:rsid w:val="00861DEF"/>
    <w:rsid w:val="008B4EB3"/>
    <w:rsid w:val="009314A6"/>
    <w:rsid w:val="00A1093E"/>
    <w:rsid w:val="00A13DAB"/>
    <w:rsid w:val="00B228DC"/>
    <w:rsid w:val="00B44AC9"/>
    <w:rsid w:val="00B7185F"/>
    <w:rsid w:val="00BA54C4"/>
    <w:rsid w:val="00BD26A7"/>
    <w:rsid w:val="00C31C7D"/>
    <w:rsid w:val="00C53738"/>
    <w:rsid w:val="00C61C5D"/>
    <w:rsid w:val="00CA52E9"/>
    <w:rsid w:val="00D62184"/>
    <w:rsid w:val="00D64D93"/>
    <w:rsid w:val="00D83AFE"/>
    <w:rsid w:val="00D931F2"/>
    <w:rsid w:val="00E57A3F"/>
    <w:rsid w:val="00E7415A"/>
    <w:rsid w:val="00EF4F1C"/>
    <w:rsid w:val="00F3066A"/>
    <w:rsid w:val="00F348E7"/>
    <w:rsid w:val="00F45AFD"/>
    <w:rsid w:val="00F6674C"/>
    <w:rsid w:val="00F71E79"/>
    <w:rsid w:val="00F77022"/>
    <w:rsid w:val="00F9105F"/>
    <w:rsid w:val="00FB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9F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B218E"/>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85F"/>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765C87"/>
  </w:style>
  <w:style w:type="character" w:customStyle="1" w:styleId="FootnoteTextChar">
    <w:name w:val="Footnote Text Char"/>
    <w:basedOn w:val="DefaultParagraphFont"/>
    <w:link w:val="FootnoteText"/>
    <w:uiPriority w:val="99"/>
    <w:qFormat/>
    <w:rsid w:val="00765C87"/>
    <w:rPr>
      <w:lang w:val="en-GB"/>
    </w:rPr>
  </w:style>
  <w:style w:type="character" w:styleId="FootnoteReference">
    <w:name w:val="footnote reference"/>
    <w:aliases w:val="4_G"/>
    <w:basedOn w:val="DefaultParagraphFont"/>
    <w:uiPriority w:val="99"/>
    <w:unhideWhenUsed/>
    <w:qFormat/>
    <w:rsid w:val="00765C87"/>
    <w:rPr>
      <w:vertAlign w:val="superscript"/>
    </w:rPr>
  </w:style>
  <w:style w:type="character" w:styleId="CommentReference">
    <w:name w:val="annotation reference"/>
    <w:basedOn w:val="DefaultParagraphFont"/>
    <w:uiPriority w:val="99"/>
    <w:semiHidden/>
    <w:unhideWhenUsed/>
    <w:rsid w:val="009314A6"/>
    <w:rPr>
      <w:sz w:val="18"/>
      <w:szCs w:val="18"/>
    </w:rPr>
  </w:style>
  <w:style w:type="paragraph" w:styleId="CommentText">
    <w:name w:val="annotation text"/>
    <w:basedOn w:val="Normal"/>
    <w:link w:val="CommentTextChar"/>
    <w:uiPriority w:val="99"/>
    <w:semiHidden/>
    <w:unhideWhenUsed/>
    <w:rsid w:val="009314A6"/>
  </w:style>
  <w:style w:type="character" w:customStyle="1" w:styleId="CommentTextChar">
    <w:name w:val="Comment Text Char"/>
    <w:basedOn w:val="DefaultParagraphFont"/>
    <w:link w:val="CommentText"/>
    <w:uiPriority w:val="99"/>
    <w:semiHidden/>
    <w:rsid w:val="009314A6"/>
    <w:rPr>
      <w:lang w:val="en-GB"/>
    </w:rPr>
  </w:style>
  <w:style w:type="paragraph" w:styleId="CommentSubject">
    <w:name w:val="annotation subject"/>
    <w:basedOn w:val="CommentText"/>
    <w:next w:val="CommentText"/>
    <w:link w:val="CommentSubjectChar"/>
    <w:uiPriority w:val="99"/>
    <w:semiHidden/>
    <w:unhideWhenUsed/>
    <w:rsid w:val="009314A6"/>
    <w:rPr>
      <w:b/>
      <w:bCs/>
      <w:sz w:val="20"/>
      <w:szCs w:val="20"/>
    </w:rPr>
  </w:style>
  <w:style w:type="character" w:customStyle="1" w:styleId="CommentSubjectChar">
    <w:name w:val="Comment Subject Char"/>
    <w:basedOn w:val="CommentTextChar"/>
    <w:link w:val="CommentSubject"/>
    <w:uiPriority w:val="99"/>
    <w:semiHidden/>
    <w:rsid w:val="009314A6"/>
    <w:rPr>
      <w:b/>
      <w:bCs/>
      <w:sz w:val="20"/>
      <w:szCs w:val="20"/>
      <w:lang w:val="en-GB"/>
    </w:rPr>
  </w:style>
  <w:style w:type="paragraph" w:styleId="Footer">
    <w:name w:val="footer"/>
    <w:basedOn w:val="Normal"/>
    <w:link w:val="FooterChar"/>
    <w:uiPriority w:val="99"/>
    <w:unhideWhenUsed/>
    <w:rsid w:val="002D7F58"/>
    <w:pPr>
      <w:tabs>
        <w:tab w:val="center" w:pos="4320"/>
        <w:tab w:val="right" w:pos="8640"/>
      </w:tabs>
    </w:pPr>
  </w:style>
  <w:style w:type="character" w:customStyle="1" w:styleId="FooterChar">
    <w:name w:val="Footer Char"/>
    <w:basedOn w:val="DefaultParagraphFont"/>
    <w:link w:val="Footer"/>
    <w:uiPriority w:val="99"/>
    <w:rsid w:val="002D7F58"/>
    <w:rPr>
      <w:lang w:val="en-GB"/>
    </w:rPr>
  </w:style>
  <w:style w:type="character" w:styleId="PageNumber">
    <w:name w:val="page number"/>
    <w:basedOn w:val="DefaultParagraphFont"/>
    <w:uiPriority w:val="99"/>
    <w:semiHidden/>
    <w:unhideWhenUsed/>
    <w:rsid w:val="002D7F58"/>
  </w:style>
  <w:style w:type="character" w:styleId="Hyperlink">
    <w:name w:val="Hyperlink"/>
    <w:basedOn w:val="DefaultParagraphFont"/>
    <w:uiPriority w:val="99"/>
    <w:unhideWhenUsed/>
    <w:rsid w:val="00144109"/>
    <w:rPr>
      <w:color w:val="0000FF" w:themeColor="hyperlink"/>
      <w:u w:val="single"/>
    </w:rPr>
  </w:style>
  <w:style w:type="character" w:styleId="Emphasis">
    <w:name w:val="Emphasis"/>
    <w:basedOn w:val="DefaultParagraphFont"/>
    <w:uiPriority w:val="20"/>
    <w:qFormat/>
    <w:rsid w:val="00C53738"/>
    <w:rPr>
      <w:i/>
      <w:iCs/>
    </w:rPr>
  </w:style>
  <w:style w:type="character" w:customStyle="1" w:styleId="Heading1Char">
    <w:name w:val="Heading 1 Char"/>
    <w:basedOn w:val="DefaultParagraphFont"/>
    <w:link w:val="Heading1"/>
    <w:uiPriority w:val="9"/>
    <w:rsid w:val="001B218E"/>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B218E"/>
    <w:rPr>
      <w:color w:val="800080" w:themeColor="followedHyperlink"/>
      <w:u w:val="single"/>
    </w:rPr>
  </w:style>
  <w:style w:type="paragraph" w:styleId="NormalWeb">
    <w:name w:val="Normal (Web)"/>
    <w:basedOn w:val="Normal"/>
    <w:uiPriority w:val="99"/>
    <w:unhideWhenUsed/>
    <w:rsid w:val="0020506A"/>
    <w:pPr>
      <w:spacing w:before="100" w:beforeAutospacing="1" w:after="100" w:afterAutospacing="1"/>
    </w:pPr>
    <w:rPr>
      <w:rFonts w:ascii="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FB333C"/>
    <w:rPr>
      <w:color w:val="605E5C"/>
      <w:shd w:val="clear" w:color="auto" w:fill="E1DFDD"/>
    </w:rPr>
  </w:style>
  <w:style w:type="paragraph" w:customStyle="1" w:styleId="SingleTxtG">
    <w:name w:val="_ Single Txt_G"/>
    <w:basedOn w:val="Normal"/>
    <w:rsid w:val="00F348E7"/>
    <w:pPr>
      <w:suppressAutoHyphens/>
      <w:spacing w:after="120" w:line="240" w:lineRule="atLeast"/>
      <w:ind w:left="1134" w:right="1134"/>
      <w:jc w:val="both"/>
    </w:pPr>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B218E"/>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85F"/>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765C87"/>
  </w:style>
  <w:style w:type="character" w:customStyle="1" w:styleId="FootnoteTextChar">
    <w:name w:val="Footnote Text Char"/>
    <w:basedOn w:val="DefaultParagraphFont"/>
    <w:link w:val="FootnoteText"/>
    <w:uiPriority w:val="99"/>
    <w:qFormat/>
    <w:rsid w:val="00765C87"/>
    <w:rPr>
      <w:lang w:val="en-GB"/>
    </w:rPr>
  </w:style>
  <w:style w:type="character" w:styleId="FootnoteReference">
    <w:name w:val="footnote reference"/>
    <w:aliases w:val="4_G"/>
    <w:basedOn w:val="DefaultParagraphFont"/>
    <w:uiPriority w:val="99"/>
    <w:unhideWhenUsed/>
    <w:qFormat/>
    <w:rsid w:val="00765C87"/>
    <w:rPr>
      <w:vertAlign w:val="superscript"/>
    </w:rPr>
  </w:style>
  <w:style w:type="character" w:styleId="CommentReference">
    <w:name w:val="annotation reference"/>
    <w:basedOn w:val="DefaultParagraphFont"/>
    <w:uiPriority w:val="99"/>
    <w:semiHidden/>
    <w:unhideWhenUsed/>
    <w:rsid w:val="009314A6"/>
    <w:rPr>
      <w:sz w:val="18"/>
      <w:szCs w:val="18"/>
    </w:rPr>
  </w:style>
  <w:style w:type="paragraph" w:styleId="CommentText">
    <w:name w:val="annotation text"/>
    <w:basedOn w:val="Normal"/>
    <w:link w:val="CommentTextChar"/>
    <w:uiPriority w:val="99"/>
    <w:semiHidden/>
    <w:unhideWhenUsed/>
    <w:rsid w:val="009314A6"/>
  </w:style>
  <w:style w:type="character" w:customStyle="1" w:styleId="CommentTextChar">
    <w:name w:val="Comment Text Char"/>
    <w:basedOn w:val="DefaultParagraphFont"/>
    <w:link w:val="CommentText"/>
    <w:uiPriority w:val="99"/>
    <w:semiHidden/>
    <w:rsid w:val="009314A6"/>
    <w:rPr>
      <w:lang w:val="en-GB"/>
    </w:rPr>
  </w:style>
  <w:style w:type="paragraph" w:styleId="CommentSubject">
    <w:name w:val="annotation subject"/>
    <w:basedOn w:val="CommentText"/>
    <w:next w:val="CommentText"/>
    <w:link w:val="CommentSubjectChar"/>
    <w:uiPriority w:val="99"/>
    <w:semiHidden/>
    <w:unhideWhenUsed/>
    <w:rsid w:val="009314A6"/>
    <w:rPr>
      <w:b/>
      <w:bCs/>
      <w:sz w:val="20"/>
      <w:szCs w:val="20"/>
    </w:rPr>
  </w:style>
  <w:style w:type="character" w:customStyle="1" w:styleId="CommentSubjectChar">
    <w:name w:val="Comment Subject Char"/>
    <w:basedOn w:val="CommentTextChar"/>
    <w:link w:val="CommentSubject"/>
    <w:uiPriority w:val="99"/>
    <w:semiHidden/>
    <w:rsid w:val="009314A6"/>
    <w:rPr>
      <w:b/>
      <w:bCs/>
      <w:sz w:val="20"/>
      <w:szCs w:val="20"/>
      <w:lang w:val="en-GB"/>
    </w:rPr>
  </w:style>
  <w:style w:type="paragraph" w:styleId="Footer">
    <w:name w:val="footer"/>
    <w:basedOn w:val="Normal"/>
    <w:link w:val="FooterChar"/>
    <w:uiPriority w:val="99"/>
    <w:unhideWhenUsed/>
    <w:rsid w:val="002D7F58"/>
    <w:pPr>
      <w:tabs>
        <w:tab w:val="center" w:pos="4320"/>
        <w:tab w:val="right" w:pos="8640"/>
      </w:tabs>
    </w:pPr>
  </w:style>
  <w:style w:type="character" w:customStyle="1" w:styleId="FooterChar">
    <w:name w:val="Footer Char"/>
    <w:basedOn w:val="DefaultParagraphFont"/>
    <w:link w:val="Footer"/>
    <w:uiPriority w:val="99"/>
    <w:rsid w:val="002D7F58"/>
    <w:rPr>
      <w:lang w:val="en-GB"/>
    </w:rPr>
  </w:style>
  <w:style w:type="character" w:styleId="PageNumber">
    <w:name w:val="page number"/>
    <w:basedOn w:val="DefaultParagraphFont"/>
    <w:uiPriority w:val="99"/>
    <w:semiHidden/>
    <w:unhideWhenUsed/>
    <w:rsid w:val="002D7F58"/>
  </w:style>
  <w:style w:type="character" w:styleId="Hyperlink">
    <w:name w:val="Hyperlink"/>
    <w:basedOn w:val="DefaultParagraphFont"/>
    <w:uiPriority w:val="99"/>
    <w:unhideWhenUsed/>
    <w:rsid w:val="00144109"/>
    <w:rPr>
      <w:color w:val="0000FF" w:themeColor="hyperlink"/>
      <w:u w:val="single"/>
    </w:rPr>
  </w:style>
  <w:style w:type="character" w:styleId="Emphasis">
    <w:name w:val="Emphasis"/>
    <w:basedOn w:val="DefaultParagraphFont"/>
    <w:uiPriority w:val="20"/>
    <w:qFormat/>
    <w:rsid w:val="00C53738"/>
    <w:rPr>
      <w:i/>
      <w:iCs/>
    </w:rPr>
  </w:style>
  <w:style w:type="character" w:customStyle="1" w:styleId="Heading1Char">
    <w:name w:val="Heading 1 Char"/>
    <w:basedOn w:val="DefaultParagraphFont"/>
    <w:link w:val="Heading1"/>
    <w:uiPriority w:val="9"/>
    <w:rsid w:val="001B218E"/>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B218E"/>
    <w:rPr>
      <w:color w:val="800080" w:themeColor="followedHyperlink"/>
      <w:u w:val="single"/>
    </w:rPr>
  </w:style>
  <w:style w:type="paragraph" w:styleId="NormalWeb">
    <w:name w:val="Normal (Web)"/>
    <w:basedOn w:val="Normal"/>
    <w:uiPriority w:val="99"/>
    <w:unhideWhenUsed/>
    <w:rsid w:val="0020506A"/>
    <w:pPr>
      <w:spacing w:before="100" w:beforeAutospacing="1" w:after="100" w:afterAutospacing="1"/>
    </w:pPr>
    <w:rPr>
      <w:rFonts w:ascii="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FB333C"/>
    <w:rPr>
      <w:color w:val="605E5C"/>
      <w:shd w:val="clear" w:color="auto" w:fill="E1DFDD"/>
    </w:rPr>
  </w:style>
  <w:style w:type="paragraph" w:customStyle="1" w:styleId="SingleTxtG">
    <w:name w:val="_ Single Txt_G"/>
    <w:basedOn w:val="Normal"/>
    <w:rsid w:val="00F348E7"/>
    <w:pPr>
      <w:suppressAutoHyphens/>
      <w:spacing w:after="120" w:line="240" w:lineRule="atLeast"/>
      <w:ind w:left="1134" w:right="1134"/>
      <w:jc w:val="both"/>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6939">
      <w:bodyDiv w:val="1"/>
      <w:marLeft w:val="0"/>
      <w:marRight w:val="0"/>
      <w:marTop w:val="0"/>
      <w:marBottom w:val="0"/>
      <w:divBdr>
        <w:top w:val="none" w:sz="0" w:space="0" w:color="auto"/>
        <w:left w:val="none" w:sz="0" w:space="0" w:color="auto"/>
        <w:bottom w:val="none" w:sz="0" w:space="0" w:color="auto"/>
        <w:right w:val="none" w:sz="0" w:space="0" w:color="auto"/>
      </w:divBdr>
    </w:div>
    <w:div w:id="1800299996">
      <w:bodyDiv w:val="1"/>
      <w:marLeft w:val="0"/>
      <w:marRight w:val="0"/>
      <w:marTop w:val="0"/>
      <w:marBottom w:val="0"/>
      <w:divBdr>
        <w:top w:val="none" w:sz="0" w:space="0" w:color="auto"/>
        <w:left w:val="none" w:sz="0" w:space="0" w:color="auto"/>
        <w:bottom w:val="none" w:sz="0" w:space="0" w:color="auto"/>
        <w:right w:val="none" w:sz="0" w:space="0" w:color="auto"/>
      </w:divBdr>
      <w:divsChild>
        <w:div w:id="642387224">
          <w:marLeft w:val="0"/>
          <w:marRight w:val="0"/>
          <w:marTop w:val="0"/>
          <w:marBottom w:val="0"/>
          <w:divBdr>
            <w:top w:val="none" w:sz="0" w:space="0" w:color="auto"/>
            <w:left w:val="none" w:sz="0" w:space="0" w:color="auto"/>
            <w:bottom w:val="none" w:sz="0" w:space="0" w:color="auto"/>
            <w:right w:val="none" w:sz="0" w:space="0" w:color="auto"/>
          </w:divBdr>
        </w:div>
      </w:divsChild>
    </w:div>
    <w:div w:id="2074500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www.globaldetentionproject.org"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globaldetentionprojec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docid/56e963824.html" TargetMode="External"/><Relationship Id="rId4" Type="http://schemas.openxmlformats.org/officeDocument/2006/relationships/hyperlink" Target="http://www.asylumineurope.org/sites/default/files/report-download/aida_mt_2018update.pdf" TargetMode="External"/><Relationship Id="rId5" Type="http://schemas.openxmlformats.org/officeDocument/2006/relationships/hyperlink" Target="https://papers.ssrn.com/sol3/papers.cfm?abstract_id=3299532" TargetMode="External"/><Relationship Id="rId6" Type="http://schemas.openxmlformats.org/officeDocument/2006/relationships/hyperlink" Target="https://www.unhcr.org/protection/detention/5b17d9c47/guiding-questions-assessment-alternatives-detention.html" TargetMode="External"/><Relationship Id="rId7" Type="http://schemas.openxmlformats.org/officeDocument/2006/relationships/hyperlink" Target="https://www.globaldetentionproject.org/the-debate-over-alternatives-to-immigration-detention-of-children" TargetMode="External"/><Relationship Id="rId8" Type="http://schemas.openxmlformats.org/officeDocument/2006/relationships/hyperlink" Target="https://www.unhcr.org/protection/detention/5b17d9c47/guiding-questions-assessment-alternatives-detention.html" TargetMode="External"/><Relationship Id="rId9" Type="http://schemas.openxmlformats.org/officeDocument/2006/relationships/hyperlink" Target="https://www.asylumlawdatabase.eu/en/content/cjeu-joined-cases-c-92419-ppu-and-c-92519-ppu-fms-and-others-v-orsz%C3%A1gos-idegenrend%C3%A9szeti" TargetMode="External"/><Relationship Id="rId1" Type="http://schemas.openxmlformats.org/officeDocument/2006/relationships/hyperlink" Target="https://www.refworld.org/docid/5eac26514.html" TargetMode="External"/><Relationship Id="rId2" Type="http://schemas.openxmlformats.org/officeDocument/2006/relationships/hyperlink" Target="https://www.globaldetentionproject.org/immigration-detention-malta-betraying-europea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94369C-6C22-400B-8B96-495C21B0C97F}"/>
</file>

<file path=customXml/itemProps2.xml><?xml version="1.0" encoding="utf-8"?>
<ds:datastoreItem xmlns:ds="http://schemas.openxmlformats.org/officeDocument/2006/customXml" ds:itemID="{FEA6124B-3D12-486E-B0E1-EC2E0DC1F824}"/>
</file>

<file path=customXml/itemProps3.xml><?xml version="1.0" encoding="utf-8"?>
<ds:datastoreItem xmlns:ds="http://schemas.openxmlformats.org/officeDocument/2006/customXml" ds:itemID="{412A90B4-246A-47A9-9806-08330649D79C}"/>
</file>

<file path=docProps/app.xml><?xml version="1.0" encoding="utf-8"?>
<Properties xmlns="http://schemas.openxmlformats.org/officeDocument/2006/extended-properties" xmlns:vt="http://schemas.openxmlformats.org/officeDocument/2006/docPropsVTypes">
  <Template>Normal.dotm</Template>
  <TotalTime>66</TotalTime>
  <Pages>10</Pages>
  <Words>3324</Words>
  <Characters>18953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Global Detention Project</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16</cp:revision>
  <dcterms:created xsi:type="dcterms:W3CDTF">2020-11-16T12:43:00Z</dcterms:created>
  <dcterms:modified xsi:type="dcterms:W3CDTF">2020-11-16T15:52:00Z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