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3D97" w14:textId="02A16579" w:rsidR="00701C45" w:rsidRPr="00701C45" w:rsidRDefault="00701C45" w:rsidP="00701C45">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outlineLvl w:val="0"/>
        <w:rPr>
          <w:rFonts w:asciiTheme="minorHAnsi" w:hAnsiTheme="minorHAnsi" w:cstheme="minorHAnsi"/>
          <w:b/>
          <w:bCs/>
          <w:color w:val="3C7A12"/>
        </w:rPr>
      </w:pPr>
      <w:bookmarkStart w:id="0" w:name="_Hlk20571476"/>
      <w:bookmarkStart w:id="1" w:name="_Hlk71728391"/>
      <w:r>
        <w:rPr>
          <w:noProof/>
          <w:lang w:val="en-GB" w:eastAsia="ko-KR"/>
        </w:rPr>
        <w:drawing>
          <wp:anchor distT="0" distB="0" distL="114300" distR="114300" simplePos="0" relativeHeight="251659264" behindDoc="1" locked="0" layoutInCell="1" allowOverlap="1" wp14:anchorId="656A29EA" wp14:editId="77781BAC">
            <wp:simplePos x="0" y="0"/>
            <wp:positionH relativeFrom="margin">
              <wp:align>center</wp:align>
            </wp:positionH>
            <wp:positionV relativeFrom="page">
              <wp:posOffset>99588</wp:posOffset>
            </wp:positionV>
            <wp:extent cx="3153600" cy="792000"/>
            <wp:effectExtent l="0" t="0" r="8890" b="8255"/>
            <wp:wrapThrough wrapText="bothSides">
              <wp:wrapPolygon edited="0">
                <wp:start x="0" y="0"/>
                <wp:lineTo x="0" y="21306"/>
                <wp:lineTo x="21530" y="21306"/>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6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C7A12"/>
        </w:rPr>
        <w:tab/>
      </w:r>
      <w:r w:rsidRPr="00701C45">
        <w:rPr>
          <w:rFonts w:asciiTheme="minorHAnsi" w:hAnsiTheme="minorHAnsi" w:cstheme="minorHAnsi"/>
          <w:b/>
          <w:bCs/>
          <w:color w:val="3C7A12"/>
        </w:rPr>
        <w:tab/>
      </w:r>
      <w:r w:rsidRPr="00701C45">
        <w:rPr>
          <w:rFonts w:asciiTheme="minorHAnsi" w:hAnsiTheme="minorHAnsi" w:cstheme="minorHAnsi"/>
          <w:b/>
          <w:bCs/>
          <w:color w:val="3C7A12"/>
        </w:rPr>
        <w:tab/>
      </w:r>
    </w:p>
    <w:p w14:paraId="7EE40782" w14:textId="2BC3E525" w:rsidR="00701C45" w:rsidRPr="00701C45" w:rsidRDefault="00701C45" w:rsidP="00701C45">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outlineLvl w:val="0"/>
        <w:rPr>
          <w:rFonts w:asciiTheme="minorHAnsi" w:hAnsiTheme="minorHAnsi" w:cstheme="minorHAnsi"/>
          <w:b/>
          <w:bCs/>
          <w:color w:val="3C7A12"/>
        </w:rPr>
      </w:pPr>
    </w:p>
    <w:p w14:paraId="5517528D" w14:textId="77777777" w:rsidR="00701C45" w:rsidRDefault="00701C45" w:rsidP="00ED6A76">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jc w:val="center"/>
        <w:outlineLvl w:val="0"/>
        <w:rPr>
          <w:rFonts w:asciiTheme="minorHAnsi" w:hAnsiTheme="minorHAnsi" w:cstheme="minorHAnsi"/>
          <w:color w:val="auto"/>
        </w:rPr>
      </w:pPr>
    </w:p>
    <w:p w14:paraId="6E1DF157" w14:textId="55CA832E" w:rsidR="00686690" w:rsidRPr="00701C45" w:rsidRDefault="00ED6A76" w:rsidP="00ED6A76">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jc w:val="center"/>
        <w:outlineLvl w:val="0"/>
        <w:rPr>
          <w:rFonts w:asciiTheme="minorHAnsi" w:hAnsiTheme="minorHAnsi" w:cstheme="minorHAnsi"/>
          <w:b/>
          <w:bCs/>
          <w:color w:val="auto"/>
        </w:rPr>
      </w:pPr>
      <w:r w:rsidRPr="00701C45">
        <w:rPr>
          <w:rFonts w:asciiTheme="minorHAnsi" w:hAnsiTheme="minorHAnsi" w:cstheme="minorHAnsi"/>
          <w:b/>
          <w:bCs/>
          <w:color w:val="auto"/>
        </w:rPr>
        <w:t>Input to the CESCR draft General Comment on Land and Economic, Social and Cultural Rights</w:t>
      </w:r>
    </w:p>
    <w:p w14:paraId="5ED615DB" w14:textId="0C60EB2B" w:rsidR="00ED6A76" w:rsidRPr="00ED6A76" w:rsidRDefault="00ED6A76" w:rsidP="00ED6A76">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jc w:val="center"/>
        <w:outlineLvl w:val="0"/>
        <w:rPr>
          <w:rFonts w:asciiTheme="minorHAnsi" w:hAnsiTheme="minorHAnsi" w:cstheme="minorHAnsi"/>
          <w:i/>
          <w:iCs/>
          <w:color w:val="auto"/>
        </w:rPr>
      </w:pPr>
      <w:r w:rsidRPr="00ED6A76">
        <w:rPr>
          <w:rFonts w:asciiTheme="minorHAnsi" w:hAnsiTheme="minorHAnsi" w:cstheme="minorHAnsi"/>
          <w:i/>
          <w:iCs/>
          <w:color w:val="auto"/>
        </w:rPr>
        <w:t>Submitted by Housing and Land Rights Network – Habitat International Coalition</w:t>
      </w:r>
    </w:p>
    <w:p w14:paraId="7D2A7E66" w14:textId="77777777" w:rsidR="00ED6A76" w:rsidRPr="00ED6A76" w:rsidRDefault="00ED6A76" w:rsidP="00ED6A76">
      <w:pPr>
        <w:pStyle w:val="Body"/>
        <w:keepNext/>
        <w:keepLines/>
        <w:pBdr>
          <w:top w:val="none" w:sz="0" w:space="0" w:color="auto"/>
          <w:left w:val="none" w:sz="0" w:space="0" w:color="auto"/>
          <w:bottom w:val="none" w:sz="0" w:space="0" w:color="auto"/>
          <w:right w:val="none" w:sz="0" w:space="0" w:color="auto"/>
        </w:pBdr>
        <w:shd w:val="clear" w:color="auto" w:fill="FFFFFF"/>
        <w:spacing w:after="0" w:line="240" w:lineRule="auto"/>
        <w:jc w:val="lowKashida"/>
        <w:outlineLvl w:val="0"/>
        <w:rPr>
          <w:rFonts w:asciiTheme="minorHAnsi" w:hAnsiTheme="minorHAnsi" w:cstheme="minorHAnsi"/>
          <w:color w:val="auto"/>
        </w:rPr>
      </w:pPr>
    </w:p>
    <w:p w14:paraId="7A4E9808" w14:textId="4DFAD329" w:rsidR="00A175BA" w:rsidRPr="00ED6A76" w:rsidRDefault="00EE1613"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Everybody </w:t>
      </w:r>
      <w:r w:rsidR="002C54DD" w:rsidRPr="00ED6A76">
        <w:rPr>
          <w:rFonts w:asciiTheme="minorHAnsi" w:hAnsiTheme="minorHAnsi" w:cstheme="minorHAnsi"/>
          <w:color w:val="auto"/>
          <w:spacing w:val="-2"/>
          <w:sz w:val="20"/>
          <w:szCs w:val="20"/>
        </w:rPr>
        <w:t xml:space="preserve">needs and </w:t>
      </w:r>
      <w:r w:rsidRPr="00ED6A76">
        <w:rPr>
          <w:rFonts w:asciiTheme="minorHAnsi" w:hAnsiTheme="minorHAnsi" w:cstheme="minorHAnsi"/>
          <w:color w:val="auto"/>
          <w:spacing w:val="-2"/>
          <w:sz w:val="20"/>
          <w:szCs w:val="20"/>
        </w:rPr>
        <w:t xml:space="preserve">uses </w:t>
      </w:r>
      <w:r w:rsidR="005621EA" w:rsidRPr="00ED6A76">
        <w:rPr>
          <w:rFonts w:asciiTheme="minorHAnsi" w:hAnsiTheme="minorHAnsi" w:cstheme="minorHAnsi"/>
          <w:color w:val="auto"/>
          <w:spacing w:val="-2"/>
          <w:sz w:val="20"/>
          <w:szCs w:val="20"/>
        </w:rPr>
        <w:t>land</w:t>
      </w:r>
      <w:r w:rsidRPr="00ED6A76">
        <w:rPr>
          <w:rFonts w:asciiTheme="minorHAnsi" w:hAnsiTheme="minorHAnsi" w:cstheme="minorHAnsi"/>
          <w:color w:val="auto"/>
          <w:spacing w:val="-2"/>
          <w:sz w:val="20"/>
          <w:szCs w:val="20"/>
        </w:rPr>
        <w:t xml:space="preserve">. </w:t>
      </w:r>
      <w:r w:rsidR="002C54DD" w:rsidRPr="00ED6A76">
        <w:rPr>
          <w:rFonts w:asciiTheme="minorHAnsi" w:hAnsiTheme="minorHAnsi" w:cstheme="minorHAnsi"/>
          <w:color w:val="auto"/>
          <w:spacing w:val="-2"/>
          <w:sz w:val="20"/>
          <w:szCs w:val="20"/>
        </w:rPr>
        <w:t>Land is indispensable to many aspects of human life on this planet.  Moreover,</w:t>
      </w:r>
      <w:r w:rsidR="00405ED6" w:rsidRPr="00ED6A76">
        <w:rPr>
          <w:rFonts w:asciiTheme="minorHAnsi" w:hAnsiTheme="minorHAnsi" w:cstheme="minorHAnsi"/>
          <w:color w:val="auto"/>
          <w:spacing w:val="-2"/>
          <w:sz w:val="20"/>
          <w:szCs w:val="20"/>
        </w:rPr>
        <w:t xml:space="preserve"> as a matter of state</w:t>
      </w:r>
      <w:r w:rsidR="00D7788B" w:rsidRPr="00ED6A76">
        <w:rPr>
          <w:rFonts w:asciiTheme="minorHAnsi" w:hAnsiTheme="minorHAnsi" w:cstheme="minorHAnsi"/>
          <w:color w:val="auto"/>
          <w:spacing w:val="-2"/>
          <w:sz w:val="20"/>
          <w:szCs w:val="20"/>
        </w:rPr>
        <w:t>,</w:t>
      </w:r>
      <w:r w:rsidR="002C54DD" w:rsidRPr="00ED6A76">
        <w:rPr>
          <w:rFonts w:asciiTheme="minorHAnsi" w:hAnsiTheme="minorHAnsi" w:cstheme="minorHAnsi"/>
          <w:color w:val="auto"/>
          <w:spacing w:val="-2"/>
          <w:sz w:val="20"/>
          <w:szCs w:val="20"/>
        </w:rPr>
        <w:t xml:space="preserve"> l</w:t>
      </w:r>
      <w:r w:rsidR="00603EAC" w:rsidRPr="00ED6A76">
        <w:rPr>
          <w:rFonts w:asciiTheme="minorHAnsi" w:hAnsiTheme="minorHAnsi" w:cstheme="minorHAnsi"/>
          <w:color w:val="auto"/>
          <w:spacing w:val="-2"/>
          <w:sz w:val="20"/>
          <w:szCs w:val="20"/>
        </w:rPr>
        <w:t xml:space="preserve">and and land </w:t>
      </w:r>
      <w:r w:rsidR="002C54DD" w:rsidRPr="00ED6A76">
        <w:rPr>
          <w:rFonts w:asciiTheme="minorHAnsi" w:hAnsiTheme="minorHAnsi" w:cstheme="minorHAnsi"/>
          <w:color w:val="auto"/>
          <w:spacing w:val="-2"/>
          <w:sz w:val="20"/>
          <w:szCs w:val="20"/>
        </w:rPr>
        <w:t>administration</w:t>
      </w:r>
      <w:r w:rsidR="00603EAC" w:rsidRPr="00ED6A76">
        <w:rPr>
          <w:rFonts w:asciiTheme="minorHAnsi" w:hAnsiTheme="minorHAnsi" w:cstheme="minorHAnsi"/>
          <w:color w:val="auto"/>
          <w:spacing w:val="-2"/>
          <w:sz w:val="20"/>
          <w:szCs w:val="20"/>
        </w:rPr>
        <w:t xml:space="preserve"> </w:t>
      </w:r>
      <w:r w:rsidR="005621EA" w:rsidRPr="00ED6A76">
        <w:rPr>
          <w:rFonts w:asciiTheme="minorHAnsi" w:hAnsiTheme="minorHAnsi" w:cstheme="minorHAnsi"/>
          <w:color w:val="auto"/>
          <w:spacing w:val="-2"/>
          <w:sz w:val="20"/>
          <w:szCs w:val="20"/>
        </w:rPr>
        <w:t xml:space="preserve">are essential factors </w:t>
      </w:r>
      <w:r w:rsidRPr="00ED6A76">
        <w:rPr>
          <w:rFonts w:asciiTheme="minorHAnsi" w:hAnsiTheme="minorHAnsi" w:cstheme="minorHAnsi"/>
          <w:color w:val="auto"/>
          <w:spacing w:val="-2"/>
          <w:sz w:val="20"/>
          <w:szCs w:val="20"/>
        </w:rPr>
        <w:t>in</w:t>
      </w:r>
      <w:r w:rsidR="008C4EED" w:rsidRPr="00ED6A76">
        <w:rPr>
          <w:rFonts w:asciiTheme="minorHAnsi" w:hAnsiTheme="minorHAnsi" w:cstheme="minorHAnsi"/>
          <w:color w:val="auto"/>
          <w:spacing w:val="-2"/>
          <w:sz w:val="20"/>
          <w:szCs w:val="20"/>
        </w:rPr>
        <w:t xml:space="preserve"> </w:t>
      </w:r>
      <w:r w:rsidR="002C54DD" w:rsidRPr="00ED6A76">
        <w:rPr>
          <w:rFonts w:asciiTheme="minorHAnsi" w:hAnsiTheme="minorHAnsi" w:cstheme="minorHAnsi"/>
          <w:color w:val="auto"/>
          <w:spacing w:val="-2"/>
          <w:sz w:val="20"/>
          <w:szCs w:val="20"/>
        </w:rPr>
        <w:t xml:space="preserve">governance and world order, as well as </w:t>
      </w:r>
      <w:r w:rsidRPr="00ED6A76">
        <w:rPr>
          <w:rFonts w:asciiTheme="minorHAnsi" w:hAnsiTheme="minorHAnsi" w:cstheme="minorHAnsi"/>
          <w:color w:val="auto"/>
          <w:spacing w:val="-2"/>
          <w:sz w:val="20"/>
          <w:szCs w:val="20"/>
        </w:rPr>
        <w:t xml:space="preserve">specific </w:t>
      </w:r>
      <w:r w:rsidR="008C4EED" w:rsidRPr="00ED6A76">
        <w:rPr>
          <w:rFonts w:asciiTheme="minorHAnsi" w:hAnsiTheme="minorHAnsi" w:cstheme="minorHAnsi"/>
          <w:color w:val="auto"/>
          <w:spacing w:val="-2"/>
          <w:sz w:val="20"/>
          <w:szCs w:val="20"/>
        </w:rPr>
        <w:t xml:space="preserve">contexts of conflict, </w:t>
      </w:r>
      <w:r w:rsidR="00603EAC" w:rsidRPr="00ED6A76">
        <w:rPr>
          <w:rFonts w:asciiTheme="minorHAnsi" w:hAnsiTheme="minorHAnsi" w:cstheme="minorHAnsi"/>
          <w:color w:val="auto"/>
          <w:spacing w:val="-2"/>
          <w:sz w:val="20"/>
          <w:szCs w:val="20"/>
        </w:rPr>
        <w:t>peace</w:t>
      </w:r>
      <w:r w:rsidR="008C4EED" w:rsidRPr="00ED6A76">
        <w:rPr>
          <w:rFonts w:asciiTheme="minorHAnsi" w:hAnsiTheme="minorHAnsi" w:cstheme="minorHAnsi"/>
          <w:color w:val="auto"/>
          <w:spacing w:val="-2"/>
          <w:sz w:val="20"/>
          <w:szCs w:val="20"/>
        </w:rPr>
        <w:t xml:space="preserve"> building</w:t>
      </w:r>
      <w:r w:rsidR="00603EAC" w:rsidRPr="00ED6A76">
        <w:rPr>
          <w:rFonts w:asciiTheme="minorHAnsi" w:hAnsiTheme="minorHAnsi" w:cstheme="minorHAnsi"/>
          <w:color w:val="auto"/>
          <w:spacing w:val="-2"/>
          <w:sz w:val="20"/>
          <w:szCs w:val="20"/>
        </w:rPr>
        <w:t xml:space="preserve">, sustainable development and human rights. </w:t>
      </w:r>
    </w:p>
    <w:p w14:paraId="786B2BD7" w14:textId="4F3C735D" w:rsidR="00CA4E90" w:rsidRPr="00ED6A76" w:rsidRDefault="002C54DD"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While land is a constant subject of our daily lives, it has figured prominently in global policy instruments and the reviews of n</w:t>
      </w:r>
      <w:r w:rsidR="005621EA" w:rsidRPr="00ED6A76">
        <w:rPr>
          <w:rFonts w:asciiTheme="minorHAnsi" w:hAnsiTheme="minorHAnsi" w:cstheme="minorHAnsi"/>
          <w:color w:val="auto"/>
          <w:spacing w:val="-2"/>
          <w:sz w:val="20"/>
          <w:szCs w:val="20"/>
        </w:rPr>
        <w:t>umerous state</w:t>
      </w:r>
      <w:r w:rsidRPr="00ED6A76">
        <w:rPr>
          <w:rFonts w:asciiTheme="minorHAnsi" w:hAnsiTheme="minorHAnsi" w:cstheme="minorHAnsi"/>
          <w:color w:val="auto"/>
          <w:spacing w:val="-2"/>
          <w:sz w:val="20"/>
          <w:szCs w:val="20"/>
        </w:rPr>
        <w:t>s’ implementation of treaty obligations</w:t>
      </w:r>
      <w:r w:rsidR="00864DE6"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w:t>
      </w:r>
      <w:r w:rsidR="00603EAC" w:rsidRPr="00ED6A76">
        <w:rPr>
          <w:rFonts w:asciiTheme="minorHAnsi" w:hAnsiTheme="minorHAnsi" w:cstheme="minorHAnsi"/>
          <w:color w:val="auto"/>
          <w:spacing w:val="-2"/>
          <w:sz w:val="20"/>
          <w:szCs w:val="20"/>
        </w:rPr>
        <w:t xml:space="preserve">With </w:t>
      </w:r>
      <w:r w:rsidR="00A175BA" w:rsidRPr="00ED6A76">
        <w:rPr>
          <w:rFonts w:asciiTheme="minorHAnsi" w:hAnsiTheme="minorHAnsi" w:cstheme="minorHAnsi"/>
          <w:color w:val="auto"/>
          <w:spacing w:val="-2"/>
          <w:sz w:val="20"/>
          <w:szCs w:val="20"/>
        </w:rPr>
        <w:t>its</w:t>
      </w:r>
      <w:r w:rsidR="00603EAC" w:rsidRPr="00ED6A76">
        <w:rPr>
          <w:rFonts w:asciiTheme="minorHAnsi" w:hAnsiTheme="minorHAnsi" w:cstheme="minorHAnsi"/>
          <w:color w:val="auto"/>
          <w:spacing w:val="-2"/>
          <w:sz w:val="20"/>
          <w:szCs w:val="20"/>
        </w:rPr>
        <w:t xml:space="preserve"> mandate to </w:t>
      </w:r>
      <w:r w:rsidRPr="00ED6A76">
        <w:rPr>
          <w:rFonts w:asciiTheme="minorHAnsi" w:hAnsiTheme="minorHAnsi" w:cstheme="minorHAnsi"/>
          <w:color w:val="auto"/>
          <w:spacing w:val="-2"/>
          <w:sz w:val="20"/>
          <w:szCs w:val="20"/>
        </w:rPr>
        <w:t xml:space="preserve">monitor and interpret the International Covenant on Economic, Social and Cultural Rights (ICESCR), </w:t>
      </w:r>
      <w:r w:rsidR="00603EAC" w:rsidRPr="00ED6A76">
        <w:rPr>
          <w:rFonts w:asciiTheme="minorHAnsi" w:hAnsiTheme="minorHAnsi" w:cstheme="minorHAnsi"/>
          <w:color w:val="auto"/>
          <w:spacing w:val="-2"/>
          <w:sz w:val="20"/>
          <w:szCs w:val="20"/>
        </w:rPr>
        <w:t>the UN Committee on Economic, Social and Cultural Rights (</w:t>
      </w:r>
      <w:r w:rsidR="00686690" w:rsidRPr="00ED6A76">
        <w:rPr>
          <w:rFonts w:asciiTheme="minorHAnsi" w:hAnsiTheme="minorHAnsi" w:cstheme="minorHAnsi"/>
          <w:color w:val="auto"/>
          <w:spacing w:val="-2"/>
          <w:sz w:val="20"/>
          <w:szCs w:val="20"/>
        </w:rPr>
        <w:t>CESCR</w:t>
      </w:r>
      <w:r w:rsidR="00603EAC"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has found land </w:t>
      </w:r>
      <w:r w:rsidR="003A4302" w:rsidRPr="00ED6A76">
        <w:rPr>
          <w:rFonts w:asciiTheme="minorHAnsi" w:hAnsiTheme="minorHAnsi" w:cstheme="minorHAnsi"/>
          <w:color w:val="auto"/>
          <w:spacing w:val="-2"/>
          <w:sz w:val="20"/>
          <w:szCs w:val="20"/>
        </w:rPr>
        <w:t xml:space="preserve">to be </w:t>
      </w:r>
      <w:r w:rsidRPr="00ED6A76">
        <w:rPr>
          <w:rFonts w:asciiTheme="minorHAnsi" w:hAnsiTheme="minorHAnsi" w:cstheme="minorHAnsi"/>
          <w:color w:val="auto"/>
          <w:spacing w:val="-2"/>
          <w:sz w:val="20"/>
          <w:szCs w:val="20"/>
        </w:rPr>
        <w:t>a constant subject of states’ periodic treaty performance</w:t>
      </w:r>
      <w:r w:rsidR="001E2385" w:rsidRPr="00ED6A76">
        <w:rPr>
          <w:rFonts w:asciiTheme="minorHAnsi" w:hAnsiTheme="minorHAnsi" w:cstheme="minorHAnsi"/>
          <w:color w:val="auto"/>
          <w:spacing w:val="-2"/>
          <w:sz w:val="20"/>
          <w:szCs w:val="20"/>
        </w:rPr>
        <w:t xml:space="preserve"> reviews</w:t>
      </w:r>
      <w:r w:rsidR="003A4302" w:rsidRPr="00ED6A76">
        <w:rPr>
          <w:rFonts w:asciiTheme="minorHAnsi" w:hAnsiTheme="minorHAnsi" w:cstheme="minorHAnsi"/>
          <w:color w:val="auto"/>
          <w:spacing w:val="-2"/>
          <w:sz w:val="20"/>
          <w:szCs w:val="20"/>
        </w:rPr>
        <w:t>, although ICESCR does not mention land explicitly</w:t>
      </w:r>
      <w:r w:rsidR="00603EAC" w:rsidRPr="00ED6A76">
        <w:rPr>
          <w:rFonts w:asciiTheme="minorHAnsi" w:hAnsiTheme="minorHAnsi" w:cstheme="minorHAnsi"/>
          <w:color w:val="auto"/>
          <w:spacing w:val="-2"/>
          <w:sz w:val="20"/>
          <w:szCs w:val="20"/>
        </w:rPr>
        <w:t xml:space="preserve">. </w:t>
      </w:r>
    </w:p>
    <w:p w14:paraId="7F42D01E" w14:textId="470AA37E" w:rsidR="00603EAC" w:rsidRPr="00ED6A76" w:rsidRDefault="00603EAC"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In </w:t>
      </w:r>
      <w:r w:rsidR="003A4302" w:rsidRPr="00ED6A76">
        <w:rPr>
          <w:rFonts w:asciiTheme="minorHAnsi" w:hAnsiTheme="minorHAnsi" w:cstheme="minorHAnsi"/>
          <w:color w:val="auto"/>
          <w:spacing w:val="-2"/>
          <w:sz w:val="20"/>
          <w:szCs w:val="20"/>
        </w:rPr>
        <w:t>fulfilling its mandate</w:t>
      </w:r>
      <w:r w:rsidRPr="00ED6A76">
        <w:rPr>
          <w:rFonts w:asciiTheme="minorHAnsi" w:hAnsiTheme="minorHAnsi" w:cstheme="minorHAnsi"/>
          <w:color w:val="auto"/>
          <w:spacing w:val="-2"/>
          <w:sz w:val="20"/>
          <w:szCs w:val="20"/>
        </w:rPr>
        <w:t xml:space="preserve">, CESCR has </w:t>
      </w:r>
      <w:r w:rsidR="003A4302" w:rsidRPr="00ED6A76">
        <w:rPr>
          <w:rFonts w:asciiTheme="minorHAnsi" w:hAnsiTheme="minorHAnsi" w:cstheme="minorHAnsi"/>
          <w:color w:val="auto"/>
          <w:spacing w:val="-2"/>
          <w:sz w:val="20"/>
          <w:szCs w:val="20"/>
        </w:rPr>
        <w:t xml:space="preserve">taken up </w:t>
      </w:r>
      <w:r w:rsidRPr="00ED6A76">
        <w:rPr>
          <w:rFonts w:asciiTheme="minorHAnsi" w:hAnsiTheme="minorHAnsi" w:cstheme="minorHAnsi"/>
          <w:color w:val="auto"/>
          <w:spacing w:val="-2"/>
          <w:sz w:val="20"/>
          <w:szCs w:val="20"/>
        </w:rPr>
        <w:t>the</w:t>
      </w:r>
      <w:r w:rsidR="00686690" w:rsidRPr="00ED6A76">
        <w:rPr>
          <w:rFonts w:asciiTheme="minorHAnsi" w:hAnsiTheme="minorHAnsi" w:cstheme="minorHAnsi"/>
          <w:color w:val="auto"/>
          <w:spacing w:val="-2"/>
          <w:sz w:val="20"/>
          <w:szCs w:val="20"/>
        </w:rPr>
        <w:t xml:space="preserve"> challenge </w:t>
      </w:r>
      <w:r w:rsidRPr="00ED6A76">
        <w:rPr>
          <w:rFonts w:asciiTheme="minorHAnsi" w:hAnsiTheme="minorHAnsi" w:cstheme="minorHAnsi"/>
          <w:color w:val="auto"/>
          <w:spacing w:val="-2"/>
          <w:sz w:val="20"/>
          <w:szCs w:val="20"/>
        </w:rPr>
        <w:t xml:space="preserve">to interpret state obligations </w:t>
      </w:r>
      <w:r w:rsidR="00686690" w:rsidRPr="00ED6A76">
        <w:rPr>
          <w:rFonts w:asciiTheme="minorHAnsi" w:hAnsiTheme="minorHAnsi" w:cstheme="minorHAnsi"/>
          <w:color w:val="auto"/>
          <w:spacing w:val="-2"/>
          <w:sz w:val="20"/>
          <w:szCs w:val="20"/>
        </w:rPr>
        <w:t>under the Covenant</w:t>
      </w:r>
      <w:r w:rsidRPr="00ED6A76">
        <w:rPr>
          <w:rFonts w:asciiTheme="minorHAnsi" w:hAnsiTheme="minorHAnsi" w:cstheme="minorHAnsi"/>
          <w:color w:val="auto"/>
          <w:spacing w:val="-2"/>
          <w:sz w:val="20"/>
          <w:szCs w:val="20"/>
        </w:rPr>
        <w:t xml:space="preserve"> in </w:t>
      </w:r>
      <w:r w:rsidR="00D7788B" w:rsidRPr="00ED6A76">
        <w:rPr>
          <w:rFonts w:asciiTheme="minorHAnsi" w:hAnsiTheme="minorHAnsi" w:cstheme="minorHAnsi"/>
          <w:color w:val="auto"/>
          <w:spacing w:val="-2"/>
          <w:sz w:val="20"/>
          <w:szCs w:val="20"/>
        </w:rPr>
        <w:t xml:space="preserve">relation to </w:t>
      </w:r>
      <w:r w:rsidRPr="00ED6A76">
        <w:rPr>
          <w:rFonts w:asciiTheme="minorHAnsi" w:hAnsiTheme="minorHAnsi" w:cstheme="minorHAnsi"/>
          <w:color w:val="auto"/>
          <w:spacing w:val="-2"/>
          <w:sz w:val="20"/>
          <w:szCs w:val="20"/>
        </w:rPr>
        <w:t>land</w:t>
      </w:r>
      <w:r w:rsidR="00064576" w:rsidRPr="00ED6A76">
        <w:rPr>
          <w:rFonts w:asciiTheme="minorHAnsi" w:hAnsiTheme="minorHAnsi" w:cstheme="minorHAnsi"/>
          <w:color w:val="auto"/>
          <w:spacing w:val="-2"/>
          <w:sz w:val="20"/>
          <w:szCs w:val="20"/>
        </w:rPr>
        <w:t xml:space="preserve"> in a new General Comment (GC)</w:t>
      </w:r>
      <w:r w:rsidR="00686690" w:rsidRPr="00ED6A76">
        <w:rPr>
          <w:rFonts w:asciiTheme="minorHAnsi" w:hAnsiTheme="minorHAnsi" w:cstheme="minorHAnsi"/>
          <w:color w:val="auto"/>
          <w:spacing w:val="-2"/>
          <w:sz w:val="20"/>
          <w:szCs w:val="20"/>
        </w:rPr>
        <w:t xml:space="preserve">. However, </w:t>
      </w:r>
      <w:r w:rsidRPr="00ED6A76">
        <w:rPr>
          <w:rFonts w:asciiTheme="minorHAnsi" w:hAnsiTheme="minorHAnsi" w:cstheme="minorHAnsi"/>
          <w:color w:val="auto"/>
          <w:spacing w:val="-2"/>
          <w:sz w:val="20"/>
          <w:szCs w:val="20"/>
        </w:rPr>
        <w:t xml:space="preserve">this </w:t>
      </w:r>
      <w:r w:rsidR="00CA4E90" w:rsidRPr="00ED6A76">
        <w:rPr>
          <w:rFonts w:asciiTheme="minorHAnsi" w:hAnsiTheme="minorHAnsi" w:cstheme="minorHAnsi"/>
          <w:color w:val="auto"/>
          <w:spacing w:val="-2"/>
          <w:sz w:val="20"/>
          <w:szCs w:val="20"/>
        </w:rPr>
        <w:t>attempt at legally defining land</w:t>
      </w:r>
      <w:r w:rsidR="00E634C3" w:rsidRPr="00ED6A76">
        <w:rPr>
          <w:rFonts w:asciiTheme="minorHAnsi" w:hAnsiTheme="minorHAnsi" w:cstheme="minorHAnsi"/>
          <w:color w:val="auto"/>
          <w:spacing w:val="-2"/>
          <w:sz w:val="20"/>
          <w:szCs w:val="20"/>
        </w:rPr>
        <w:t xml:space="preserve">-related obligations and recommended actions toward respect, protection and fulfillment </w:t>
      </w:r>
      <w:r w:rsidR="00D7788B" w:rsidRPr="00ED6A76">
        <w:rPr>
          <w:rFonts w:asciiTheme="minorHAnsi" w:hAnsiTheme="minorHAnsi" w:cstheme="minorHAnsi"/>
          <w:color w:val="auto"/>
          <w:spacing w:val="-2"/>
          <w:sz w:val="20"/>
          <w:szCs w:val="20"/>
        </w:rPr>
        <w:t xml:space="preserve">of human rights </w:t>
      </w:r>
      <w:r w:rsidR="00CA4E90" w:rsidRPr="00ED6A76">
        <w:rPr>
          <w:rFonts w:asciiTheme="minorHAnsi" w:hAnsiTheme="minorHAnsi" w:cstheme="minorHAnsi"/>
          <w:color w:val="auto"/>
          <w:spacing w:val="-2"/>
          <w:sz w:val="20"/>
          <w:szCs w:val="20"/>
        </w:rPr>
        <w:t xml:space="preserve">under the Covenant </w:t>
      </w:r>
      <w:r w:rsidR="00D7788B" w:rsidRPr="00ED6A76">
        <w:rPr>
          <w:rFonts w:asciiTheme="minorHAnsi" w:hAnsiTheme="minorHAnsi" w:cstheme="minorHAnsi"/>
          <w:color w:val="auto"/>
          <w:spacing w:val="-2"/>
          <w:sz w:val="20"/>
          <w:szCs w:val="20"/>
        </w:rPr>
        <w:t xml:space="preserve">should </w:t>
      </w:r>
      <w:r w:rsidR="00CA4E90" w:rsidRPr="00ED6A76">
        <w:rPr>
          <w:rFonts w:asciiTheme="minorHAnsi" w:hAnsiTheme="minorHAnsi" w:cstheme="minorHAnsi"/>
          <w:color w:val="auto"/>
          <w:spacing w:val="-2"/>
          <w:sz w:val="20"/>
          <w:szCs w:val="20"/>
        </w:rPr>
        <w:t>address</w:t>
      </w:r>
      <w:r w:rsidRPr="00ED6A76">
        <w:rPr>
          <w:rFonts w:asciiTheme="minorHAnsi" w:hAnsiTheme="minorHAnsi" w:cstheme="minorHAnsi"/>
          <w:color w:val="auto"/>
          <w:spacing w:val="-2"/>
          <w:sz w:val="20"/>
          <w:szCs w:val="20"/>
        </w:rPr>
        <w:t xml:space="preserve"> </w:t>
      </w:r>
      <w:r w:rsidR="00CA4E90" w:rsidRPr="00ED6A76">
        <w:rPr>
          <w:rFonts w:asciiTheme="minorHAnsi" w:hAnsiTheme="minorHAnsi" w:cstheme="minorHAnsi"/>
          <w:color w:val="auto"/>
          <w:spacing w:val="-2"/>
          <w:sz w:val="20"/>
          <w:szCs w:val="20"/>
        </w:rPr>
        <w:t>land</w:t>
      </w:r>
      <w:r w:rsidR="001B50E1" w:rsidRPr="00ED6A76">
        <w:rPr>
          <w:rFonts w:asciiTheme="minorHAnsi" w:hAnsiTheme="minorHAnsi" w:cstheme="minorHAnsi"/>
          <w:color w:val="auto"/>
          <w:spacing w:val="-2"/>
          <w:sz w:val="20"/>
          <w:szCs w:val="20"/>
        </w:rPr>
        <w:t>,</w:t>
      </w:r>
      <w:r w:rsidR="00CA4E90"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not </w:t>
      </w:r>
      <w:r w:rsidR="00E634C3" w:rsidRPr="00ED6A76">
        <w:rPr>
          <w:rFonts w:asciiTheme="minorHAnsi" w:hAnsiTheme="minorHAnsi" w:cstheme="minorHAnsi"/>
          <w:color w:val="auto"/>
          <w:spacing w:val="-2"/>
          <w:sz w:val="20"/>
          <w:szCs w:val="20"/>
        </w:rPr>
        <w:t xml:space="preserve">land </w:t>
      </w:r>
      <w:r w:rsidRPr="00ED6A76">
        <w:rPr>
          <w:rFonts w:asciiTheme="minorHAnsi" w:hAnsiTheme="minorHAnsi" w:cstheme="minorHAnsi"/>
          <w:color w:val="auto"/>
          <w:spacing w:val="-2"/>
          <w:sz w:val="20"/>
          <w:szCs w:val="20"/>
        </w:rPr>
        <w:t xml:space="preserve">only as a policy context, but </w:t>
      </w:r>
      <w:r w:rsidR="00CA4E90" w:rsidRPr="00ED6A76">
        <w:rPr>
          <w:rFonts w:asciiTheme="minorHAnsi" w:hAnsiTheme="minorHAnsi" w:cstheme="minorHAnsi"/>
          <w:color w:val="auto"/>
          <w:spacing w:val="-2"/>
          <w:sz w:val="20"/>
          <w:szCs w:val="20"/>
        </w:rPr>
        <w:t xml:space="preserve">as </w:t>
      </w:r>
      <w:r w:rsidRPr="00ED6A76">
        <w:rPr>
          <w:rFonts w:asciiTheme="minorHAnsi" w:hAnsiTheme="minorHAnsi" w:cstheme="minorHAnsi"/>
          <w:color w:val="auto"/>
          <w:spacing w:val="-2"/>
          <w:sz w:val="20"/>
          <w:szCs w:val="20"/>
        </w:rPr>
        <w:t>a</w:t>
      </w:r>
      <w:r w:rsidR="00CA4E90" w:rsidRPr="00ED6A76">
        <w:rPr>
          <w:rFonts w:asciiTheme="minorHAnsi" w:hAnsiTheme="minorHAnsi" w:cstheme="minorHAnsi"/>
          <w:color w:val="auto"/>
          <w:spacing w:val="-2"/>
          <w:sz w:val="20"/>
          <w:szCs w:val="20"/>
        </w:rPr>
        <w:t xml:space="preserve"> common</w:t>
      </w:r>
      <w:r w:rsidRPr="00ED6A76">
        <w:rPr>
          <w:rFonts w:asciiTheme="minorHAnsi" w:hAnsiTheme="minorHAnsi" w:cstheme="minorHAnsi"/>
          <w:color w:val="auto"/>
          <w:spacing w:val="-2"/>
          <w:sz w:val="20"/>
          <w:szCs w:val="20"/>
        </w:rPr>
        <w:t xml:space="preserve"> economic, social and cultural </w:t>
      </w:r>
      <w:r w:rsidR="008C4EED" w:rsidRPr="00ED6A76">
        <w:rPr>
          <w:rFonts w:asciiTheme="minorHAnsi" w:hAnsiTheme="minorHAnsi" w:cstheme="minorHAnsi"/>
          <w:color w:val="auto"/>
          <w:spacing w:val="-2"/>
          <w:sz w:val="20"/>
          <w:szCs w:val="20"/>
        </w:rPr>
        <w:t>asset</w:t>
      </w:r>
      <w:r w:rsidR="00CA4E90" w:rsidRPr="00ED6A76">
        <w:rPr>
          <w:rFonts w:asciiTheme="minorHAnsi" w:hAnsiTheme="minorHAnsi" w:cstheme="minorHAnsi"/>
          <w:color w:val="auto"/>
          <w:spacing w:val="-2"/>
          <w:sz w:val="20"/>
          <w:szCs w:val="20"/>
        </w:rPr>
        <w:t>/resource</w:t>
      </w:r>
      <w:r w:rsidR="008C4EED"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and potential subject of a formal human right. </w:t>
      </w:r>
      <w:r w:rsidR="003A4302" w:rsidRPr="00ED6A76">
        <w:rPr>
          <w:rFonts w:asciiTheme="minorHAnsi" w:hAnsiTheme="minorHAnsi" w:cstheme="minorHAnsi"/>
          <w:color w:val="auto"/>
          <w:spacing w:val="-2"/>
          <w:sz w:val="20"/>
          <w:szCs w:val="20"/>
        </w:rPr>
        <w:t>This exercise inevitably confronts the question of a “human right to land,” in the sense that land constitutes a universal human need. To do so, the Committee is compelled, once again, to navigate the unfamiliar territory at the convergence of law and natural science.</w:t>
      </w:r>
      <w:r w:rsidR="00064576" w:rsidRPr="00ED6A76">
        <w:rPr>
          <w:rFonts w:asciiTheme="minorHAnsi" w:hAnsiTheme="minorHAnsi" w:cstheme="minorHAnsi"/>
          <w:color w:val="auto"/>
          <w:spacing w:val="-2"/>
          <w:sz w:val="20"/>
          <w:szCs w:val="20"/>
        </w:rPr>
        <w:t xml:space="preserve"> To do so would fulfill a main purpose of the Committee’s previous GC; i.e., “to develop the relationship more broadly between science and economic, social and cultural rights.”</w:t>
      </w:r>
      <w:r w:rsidR="00064576" w:rsidRPr="00ED6A76">
        <w:rPr>
          <w:rStyle w:val="EndnoteReference"/>
          <w:rFonts w:asciiTheme="minorHAnsi" w:hAnsiTheme="minorHAnsi" w:cstheme="minorHAnsi"/>
          <w:color w:val="auto"/>
          <w:spacing w:val="-2"/>
          <w:sz w:val="20"/>
          <w:szCs w:val="20"/>
        </w:rPr>
        <w:endnoteReference w:id="1"/>
      </w:r>
      <w:r w:rsidR="00B46EC4" w:rsidRPr="00ED6A76">
        <w:rPr>
          <w:rFonts w:asciiTheme="minorHAnsi" w:hAnsiTheme="minorHAnsi" w:cstheme="minorHAnsi"/>
          <w:color w:val="auto"/>
          <w:spacing w:val="-2"/>
          <w:sz w:val="20"/>
          <w:szCs w:val="20"/>
        </w:rPr>
        <w:t xml:space="preserve"> That also would fulfill the call from at least one UN Special Procedure and </w:t>
      </w:r>
      <w:r w:rsidR="00DC3232" w:rsidRPr="00ED6A76">
        <w:rPr>
          <w:rFonts w:asciiTheme="minorHAnsi" w:hAnsiTheme="minorHAnsi" w:cstheme="minorHAnsi"/>
          <w:color w:val="auto"/>
          <w:spacing w:val="-2"/>
          <w:sz w:val="20"/>
          <w:szCs w:val="20"/>
        </w:rPr>
        <w:t>former</w:t>
      </w:r>
      <w:r w:rsidR="00B46EC4" w:rsidRPr="00ED6A76">
        <w:rPr>
          <w:rFonts w:asciiTheme="minorHAnsi" w:hAnsiTheme="minorHAnsi" w:cstheme="minorHAnsi"/>
          <w:color w:val="auto"/>
          <w:spacing w:val="-2"/>
          <w:sz w:val="20"/>
          <w:szCs w:val="20"/>
        </w:rPr>
        <w:t xml:space="preserve"> member of the Committee for CESCR to recognize the human right to land.</w:t>
      </w:r>
      <w:r w:rsidR="00B46EC4" w:rsidRPr="00ED6A76">
        <w:rPr>
          <w:rStyle w:val="EndnoteReference"/>
          <w:rFonts w:asciiTheme="minorHAnsi" w:hAnsiTheme="minorHAnsi" w:cstheme="minorHAnsi"/>
          <w:color w:val="auto"/>
          <w:spacing w:val="-2"/>
          <w:sz w:val="20"/>
          <w:szCs w:val="20"/>
        </w:rPr>
        <w:t xml:space="preserve"> </w:t>
      </w:r>
      <w:r w:rsidR="00B46EC4" w:rsidRPr="00ED6A76">
        <w:rPr>
          <w:rStyle w:val="EndnoteReference"/>
          <w:rFonts w:asciiTheme="minorHAnsi" w:hAnsiTheme="minorHAnsi" w:cstheme="minorHAnsi"/>
          <w:color w:val="auto"/>
          <w:spacing w:val="-2"/>
          <w:sz w:val="20"/>
          <w:szCs w:val="20"/>
        </w:rPr>
        <w:endnoteReference w:id="2"/>
      </w:r>
      <w:r w:rsidR="00B46EC4" w:rsidRPr="00ED6A76">
        <w:rPr>
          <w:rFonts w:asciiTheme="minorHAnsi" w:hAnsiTheme="minorHAnsi" w:cstheme="minorHAnsi"/>
          <w:color w:val="auto"/>
          <w:spacing w:val="-2"/>
          <w:sz w:val="20"/>
          <w:szCs w:val="20"/>
        </w:rPr>
        <w:t xml:space="preserve"> </w:t>
      </w:r>
    </w:p>
    <w:p w14:paraId="08A36066" w14:textId="2569F675" w:rsidR="00E026F4" w:rsidRPr="00ED6A76" w:rsidRDefault="00E026F4"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u w:color="231F20"/>
        </w:rPr>
      </w:pPr>
      <w:r w:rsidRPr="00ED6A76">
        <w:rPr>
          <w:rFonts w:asciiTheme="minorHAnsi" w:hAnsiTheme="minorHAnsi" w:cstheme="minorHAnsi"/>
          <w:color w:val="auto"/>
          <w:spacing w:val="-2"/>
          <w:sz w:val="20"/>
          <w:szCs w:val="20"/>
        </w:rPr>
        <w:lastRenderedPageBreak/>
        <w:t>Since the adoption of ICESCR in 1966, land has remained an issue of competition and disput</w:t>
      </w:r>
      <w:bookmarkStart w:id="2" w:name="_GoBack"/>
      <w:bookmarkEnd w:id="2"/>
      <w:r w:rsidRPr="00ED6A76">
        <w:rPr>
          <w:rFonts w:asciiTheme="minorHAnsi" w:hAnsiTheme="minorHAnsi" w:cstheme="minorHAnsi"/>
          <w:color w:val="auto"/>
          <w:spacing w:val="-2"/>
          <w:sz w:val="20"/>
          <w:szCs w:val="20"/>
        </w:rPr>
        <w:t>e, and various scales of conflict over land have been more common than examples of cooperation in its use and governance.</w:t>
      </w:r>
      <w:r w:rsidRPr="00ED6A76">
        <w:rPr>
          <w:rStyle w:val="EndnoteReference"/>
          <w:rFonts w:asciiTheme="minorHAnsi" w:hAnsiTheme="minorHAnsi" w:cstheme="minorHAnsi"/>
          <w:color w:val="auto"/>
          <w:spacing w:val="-2"/>
          <w:sz w:val="20"/>
          <w:szCs w:val="20"/>
        </w:rPr>
        <w:endnoteReference w:id="3"/>
      </w:r>
      <w:r w:rsidRPr="00ED6A76">
        <w:rPr>
          <w:rFonts w:asciiTheme="minorHAnsi" w:hAnsiTheme="minorHAnsi" w:cstheme="minorHAnsi"/>
          <w:color w:val="auto"/>
          <w:spacing w:val="-2"/>
          <w:sz w:val="20"/>
          <w:szCs w:val="20"/>
        </w:rPr>
        <w:t xml:space="preserve"> Many CESCR reviews of states’ treaty performance reveal a pattern of Covenant rights affected by inequitable access to, use of, and/or control over land; the concentration of land tenure, including ownership, as a feature of unprecedented global disparity in wealth and income</w:t>
      </w:r>
      <w:r w:rsidRPr="00ED6A76">
        <w:rPr>
          <w:rStyle w:val="EndnoteReference"/>
          <w:rFonts w:asciiTheme="minorHAnsi" w:hAnsiTheme="minorHAnsi" w:cstheme="minorHAnsi"/>
          <w:color w:val="auto"/>
          <w:spacing w:val="-2"/>
          <w:sz w:val="20"/>
          <w:szCs w:val="20"/>
        </w:rPr>
        <w:endnoteReference w:id="4"/>
      </w:r>
      <w:r w:rsidRPr="00ED6A76">
        <w:rPr>
          <w:rFonts w:asciiTheme="minorHAnsi" w:hAnsiTheme="minorHAnsi" w:cstheme="minorHAnsi"/>
          <w:color w:val="auto"/>
          <w:spacing w:val="-2"/>
          <w:sz w:val="20"/>
          <w:szCs w:val="20"/>
        </w:rPr>
        <w:t xml:space="preserve">; the core subject in non-self-governing territories; and </w:t>
      </w:r>
      <w:r w:rsidRPr="00ED6A76">
        <w:rPr>
          <w:rFonts w:asciiTheme="minorHAnsi" w:hAnsiTheme="minorHAnsi" w:cstheme="minorHAnsi"/>
          <w:color w:val="auto"/>
          <w:spacing w:val="-2"/>
          <w:sz w:val="20"/>
          <w:szCs w:val="20"/>
          <w:u w:color="231F20"/>
        </w:rPr>
        <w:t xml:space="preserve">unsettled claims over indigenous, occupied, traditional and rural peoples’ to their lands and related natural resources. In such cases, land lies at the source of conflict and its prevention, as well as </w:t>
      </w:r>
      <w:r w:rsidR="00A175BA" w:rsidRPr="00ED6A76">
        <w:rPr>
          <w:rFonts w:asciiTheme="minorHAnsi" w:hAnsiTheme="minorHAnsi" w:cstheme="minorHAnsi"/>
          <w:color w:val="auto"/>
          <w:spacing w:val="-2"/>
          <w:sz w:val="20"/>
          <w:szCs w:val="20"/>
          <w:u w:color="231F20"/>
        </w:rPr>
        <w:t xml:space="preserve">its </w:t>
      </w:r>
      <w:r w:rsidRPr="00ED6A76">
        <w:rPr>
          <w:rFonts w:asciiTheme="minorHAnsi" w:hAnsiTheme="minorHAnsi" w:cstheme="minorHAnsi"/>
          <w:color w:val="auto"/>
          <w:spacing w:val="-2"/>
          <w:sz w:val="20"/>
          <w:szCs w:val="20"/>
          <w:u w:color="231F20"/>
        </w:rPr>
        <w:t>resolution and remedy.</w:t>
      </w:r>
      <w:r w:rsidRPr="00ED6A76">
        <w:rPr>
          <w:rStyle w:val="EndnoteReference"/>
          <w:rFonts w:asciiTheme="minorHAnsi" w:hAnsiTheme="minorHAnsi" w:cstheme="minorHAnsi"/>
          <w:color w:val="auto"/>
          <w:spacing w:val="-2"/>
          <w:sz w:val="20"/>
          <w:szCs w:val="20"/>
          <w:u w:color="231F20"/>
        </w:rPr>
        <w:endnoteReference w:id="5"/>
      </w:r>
      <w:r w:rsidRPr="00ED6A76">
        <w:rPr>
          <w:rFonts w:asciiTheme="minorHAnsi" w:hAnsiTheme="minorHAnsi" w:cstheme="minorHAnsi"/>
          <w:color w:val="auto"/>
          <w:spacing w:val="-2"/>
          <w:sz w:val="20"/>
          <w:szCs w:val="20"/>
          <w:u w:color="231F20"/>
        </w:rPr>
        <w:t xml:space="preserve"> Nonetheless, contention over land has helped to make the human right to land politically untouchable in multilateral forums, but also a reason why its understanding and treatment as a human right is so important, timely and needed.</w:t>
      </w:r>
    </w:p>
    <w:p w14:paraId="2A8A99BF" w14:textId="26E755B6" w:rsidR="003C6B9E" w:rsidRPr="00ED6A76" w:rsidRDefault="003A4302"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After decades of encouragement by its periodic reviews of states</w:t>
      </w:r>
      <w:r w:rsidR="00A175BA" w:rsidRPr="00ED6A76">
        <w:rPr>
          <w:rFonts w:asciiTheme="minorHAnsi" w:hAnsiTheme="minorHAnsi" w:cstheme="minorHAnsi"/>
          <w:color w:val="auto"/>
          <w:spacing w:val="-2"/>
          <w:sz w:val="20"/>
          <w:szCs w:val="20"/>
        </w:rPr>
        <w:t xml:space="preserve"> and other stakeholders of the Covenant</w:t>
      </w:r>
      <w:r w:rsidRPr="00ED6A76">
        <w:rPr>
          <w:rFonts w:asciiTheme="minorHAnsi" w:hAnsiTheme="minorHAnsi" w:cstheme="minorHAnsi"/>
          <w:color w:val="auto"/>
          <w:spacing w:val="-2"/>
          <w:sz w:val="20"/>
          <w:szCs w:val="20"/>
        </w:rPr>
        <w:t xml:space="preserve">, </w:t>
      </w:r>
      <w:r w:rsidR="001856EC" w:rsidRPr="00ED6A76">
        <w:rPr>
          <w:rFonts w:asciiTheme="minorHAnsi" w:hAnsiTheme="minorHAnsi" w:cstheme="minorHAnsi"/>
          <w:color w:val="auto"/>
          <w:spacing w:val="-2"/>
          <w:sz w:val="20"/>
          <w:szCs w:val="20"/>
        </w:rPr>
        <w:t>including calls for recognizing a “human right to land,”</w:t>
      </w:r>
      <w:r w:rsidR="00B46EC4" w:rsidRPr="00ED6A76">
        <w:rPr>
          <w:rStyle w:val="EndnoteReference"/>
          <w:rFonts w:asciiTheme="minorHAnsi" w:hAnsiTheme="minorHAnsi" w:cstheme="minorHAnsi"/>
          <w:color w:val="auto"/>
          <w:spacing w:val="-2"/>
          <w:sz w:val="20"/>
          <w:szCs w:val="20"/>
        </w:rPr>
        <w:endnoteReference w:id="6"/>
      </w:r>
      <w:r w:rsidR="001856EC"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CESCR completed the </w:t>
      </w:r>
      <w:r w:rsidR="00A35CAA" w:rsidRPr="00ED6A76">
        <w:rPr>
          <w:rFonts w:asciiTheme="minorHAnsi" w:hAnsiTheme="minorHAnsi" w:cstheme="minorHAnsi"/>
          <w:color w:val="auto"/>
          <w:spacing w:val="-2"/>
          <w:sz w:val="20"/>
          <w:szCs w:val="20"/>
        </w:rPr>
        <w:t xml:space="preserve">first reading of its draft General Comment </w:t>
      </w:r>
      <w:r w:rsidRPr="00ED6A76">
        <w:rPr>
          <w:rFonts w:asciiTheme="minorHAnsi" w:hAnsiTheme="minorHAnsi" w:cstheme="minorHAnsi"/>
          <w:color w:val="auto"/>
          <w:spacing w:val="-2"/>
          <w:sz w:val="20"/>
          <w:szCs w:val="20"/>
        </w:rPr>
        <w:t xml:space="preserve">No. 26 </w:t>
      </w:r>
      <w:r w:rsidR="00A35CAA" w:rsidRPr="00ED6A76">
        <w:rPr>
          <w:rFonts w:asciiTheme="minorHAnsi" w:hAnsiTheme="minorHAnsi" w:cstheme="minorHAnsi"/>
          <w:color w:val="auto"/>
          <w:spacing w:val="-2"/>
          <w:sz w:val="20"/>
          <w:szCs w:val="20"/>
        </w:rPr>
        <w:t xml:space="preserve">on </w:t>
      </w:r>
      <w:r w:rsidRPr="00ED6A76">
        <w:rPr>
          <w:rFonts w:asciiTheme="minorHAnsi" w:hAnsiTheme="minorHAnsi" w:cstheme="minorHAnsi"/>
          <w:color w:val="auto"/>
          <w:spacing w:val="-2"/>
          <w:sz w:val="20"/>
          <w:szCs w:val="20"/>
        </w:rPr>
        <w:t>Land and Economic, Social and Cultural Rights at its autumn 2020 session</w:t>
      </w:r>
      <w:r w:rsidR="003C6B9E" w:rsidRPr="00ED6A76">
        <w:rPr>
          <w:rFonts w:asciiTheme="minorHAnsi" w:hAnsiTheme="minorHAnsi" w:cstheme="minorHAnsi"/>
          <w:color w:val="auto"/>
          <w:spacing w:val="-2"/>
          <w:sz w:val="20"/>
          <w:szCs w:val="20"/>
        </w:rPr>
        <w:t>, and t</w:t>
      </w:r>
      <w:r w:rsidR="001856EC" w:rsidRPr="00ED6A76">
        <w:rPr>
          <w:rFonts w:asciiTheme="minorHAnsi" w:hAnsiTheme="minorHAnsi" w:cstheme="minorHAnsi"/>
          <w:color w:val="auto"/>
          <w:spacing w:val="-2"/>
          <w:sz w:val="20"/>
          <w:szCs w:val="20"/>
        </w:rPr>
        <w:t>he draft GC is currently available and open for input.</w:t>
      </w:r>
      <w:r w:rsidR="001856EC" w:rsidRPr="00ED6A76">
        <w:rPr>
          <w:rStyle w:val="EndnoteReference"/>
          <w:rFonts w:asciiTheme="minorHAnsi" w:hAnsiTheme="minorHAnsi" w:cstheme="minorHAnsi"/>
          <w:color w:val="auto"/>
          <w:spacing w:val="-2"/>
          <w:sz w:val="20"/>
          <w:szCs w:val="20"/>
        </w:rPr>
        <w:endnoteReference w:id="7"/>
      </w:r>
      <w:r w:rsidR="001856EC" w:rsidRPr="00ED6A76">
        <w:rPr>
          <w:rFonts w:asciiTheme="minorHAnsi" w:hAnsiTheme="minorHAnsi" w:cstheme="minorHAnsi"/>
          <w:color w:val="auto"/>
          <w:spacing w:val="-2"/>
          <w:sz w:val="20"/>
          <w:szCs w:val="20"/>
        </w:rPr>
        <w:t xml:space="preserve"> </w:t>
      </w:r>
    </w:p>
    <w:p w14:paraId="4C3F775C" w14:textId="22390EFA" w:rsidR="00542F6F" w:rsidRPr="00ED6A76" w:rsidRDefault="001856EC"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In drafting the GC, the Committee faced the </w:t>
      </w:r>
      <w:r w:rsidR="008C4EED" w:rsidRPr="00ED6A76">
        <w:rPr>
          <w:rFonts w:asciiTheme="minorHAnsi" w:hAnsiTheme="minorHAnsi" w:cstheme="minorHAnsi"/>
          <w:color w:val="auto"/>
          <w:spacing w:val="-2"/>
          <w:sz w:val="20"/>
          <w:szCs w:val="20"/>
        </w:rPr>
        <w:t>dilemma o</w:t>
      </w:r>
      <w:r w:rsidR="00E634C3" w:rsidRPr="00ED6A76">
        <w:rPr>
          <w:rFonts w:asciiTheme="minorHAnsi" w:hAnsiTheme="minorHAnsi" w:cstheme="minorHAnsi"/>
          <w:color w:val="auto"/>
          <w:spacing w:val="-2"/>
          <w:sz w:val="20"/>
          <w:szCs w:val="20"/>
        </w:rPr>
        <w:t>ver</w:t>
      </w:r>
      <w:r w:rsidR="008C4EED" w:rsidRPr="00ED6A76">
        <w:rPr>
          <w:rFonts w:asciiTheme="minorHAnsi" w:hAnsiTheme="minorHAnsi" w:cstheme="minorHAnsi"/>
          <w:color w:val="auto"/>
          <w:spacing w:val="-2"/>
          <w:sz w:val="20"/>
          <w:szCs w:val="20"/>
        </w:rPr>
        <w:t xml:space="preserve"> whether to </w:t>
      </w:r>
      <w:r w:rsidR="00CA4E90" w:rsidRPr="00ED6A76">
        <w:rPr>
          <w:rFonts w:asciiTheme="minorHAnsi" w:hAnsiTheme="minorHAnsi" w:cstheme="minorHAnsi"/>
          <w:color w:val="auto"/>
          <w:spacing w:val="-2"/>
          <w:sz w:val="20"/>
          <w:szCs w:val="20"/>
        </w:rPr>
        <w:t xml:space="preserve">(1) </w:t>
      </w:r>
      <w:r w:rsidRPr="00ED6A76">
        <w:rPr>
          <w:rFonts w:asciiTheme="minorHAnsi" w:hAnsiTheme="minorHAnsi" w:cstheme="minorHAnsi"/>
          <w:color w:val="auto"/>
          <w:spacing w:val="-2"/>
          <w:sz w:val="20"/>
          <w:szCs w:val="20"/>
        </w:rPr>
        <w:t xml:space="preserve">recognize </w:t>
      </w:r>
      <w:r w:rsidR="00E634C3" w:rsidRPr="00ED6A76">
        <w:rPr>
          <w:rFonts w:asciiTheme="minorHAnsi" w:hAnsiTheme="minorHAnsi" w:cstheme="minorHAnsi"/>
          <w:color w:val="auto"/>
          <w:spacing w:val="-2"/>
          <w:sz w:val="20"/>
          <w:szCs w:val="20"/>
        </w:rPr>
        <w:t xml:space="preserve">the element of </w:t>
      </w:r>
      <w:r w:rsidR="008C4EED" w:rsidRPr="00ED6A76">
        <w:rPr>
          <w:rFonts w:asciiTheme="minorHAnsi" w:hAnsiTheme="minorHAnsi" w:cstheme="minorHAnsi"/>
          <w:color w:val="auto"/>
          <w:spacing w:val="-2"/>
          <w:sz w:val="20"/>
          <w:szCs w:val="20"/>
        </w:rPr>
        <w:t xml:space="preserve">land </w:t>
      </w:r>
      <w:r w:rsidRPr="00ED6A76">
        <w:rPr>
          <w:rFonts w:asciiTheme="minorHAnsi" w:hAnsiTheme="minorHAnsi" w:cstheme="minorHAnsi"/>
          <w:color w:val="auto"/>
          <w:spacing w:val="-2"/>
          <w:sz w:val="20"/>
          <w:szCs w:val="20"/>
        </w:rPr>
        <w:t xml:space="preserve">as a </w:t>
      </w:r>
      <w:r w:rsidR="008C4EED" w:rsidRPr="00ED6A76">
        <w:rPr>
          <w:rFonts w:asciiTheme="minorHAnsi" w:hAnsiTheme="minorHAnsi" w:cstheme="minorHAnsi"/>
          <w:i/>
          <w:iCs/>
          <w:color w:val="auto"/>
          <w:spacing w:val="-2"/>
          <w:sz w:val="20"/>
          <w:szCs w:val="20"/>
        </w:rPr>
        <w:t>bona fide</w:t>
      </w:r>
      <w:r w:rsidR="008C4EED" w:rsidRPr="00ED6A76">
        <w:rPr>
          <w:rFonts w:asciiTheme="minorHAnsi" w:hAnsiTheme="minorHAnsi" w:cstheme="minorHAnsi"/>
          <w:color w:val="auto"/>
          <w:spacing w:val="-2"/>
          <w:sz w:val="20"/>
          <w:szCs w:val="20"/>
        </w:rPr>
        <w:t xml:space="preserve"> human right that states parties must respect, protect and fulfill, or (2) </w:t>
      </w:r>
      <w:r w:rsidR="00BC67E0" w:rsidRPr="00ED6A76">
        <w:rPr>
          <w:rFonts w:asciiTheme="minorHAnsi" w:hAnsiTheme="minorHAnsi" w:cstheme="minorHAnsi"/>
          <w:color w:val="auto"/>
          <w:spacing w:val="-2"/>
          <w:sz w:val="20"/>
          <w:szCs w:val="20"/>
        </w:rPr>
        <w:t xml:space="preserve">treat land as </w:t>
      </w:r>
      <w:r w:rsidR="00E634C3" w:rsidRPr="00ED6A76">
        <w:rPr>
          <w:rFonts w:asciiTheme="minorHAnsi" w:hAnsiTheme="minorHAnsi" w:cstheme="minorHAnsi"/>
          <w:color w:val="auto"/>
          <w:spacing w:val="-2"/>
          <w:sz w:val="20"/>
          <w:szCs w:val="20"/>
        </w:rPr>
        <w:t>one in a chain of elements</w:t>
      </w:r>
      <w:r w:rsidRPr="00ED6A76">
        <w:rPr>
          <w:rFonts w:asciiTheme="minorHAnsi" w:hAnsiTheme="minorHAnsi" w:cstheme="minorHAnsi"/>
          <w:color w:val="auto"/>
          <w:spacing w:val="-2"/>
          <w:sz w:val="20"/>
          <w:szCs w:val="20"/>
        </w:rPr>
        <w:t xml:space="preserve"> needed to fulfill other human rights guaranteed in ICESCR</w:t>
      </w:r>
      <w:r w:rsidR="00E634C3" w:rsidRPr="00ED6A76">
        <w:rPr>
          <w:rFonts w:asciiTheme="minorHAnsi" w:hAnsiTheme="minorHAnsi" w:cstheme="minorHAnsi"/>
          <w:color w:val="auto"/>
          <w:spacing w:val="-2"/>
          <w:sz w:val="20"/>
          <w:szCs w:val="20"/>
        </w:rPr>
        <w:t xml:space="preserve">, </w:t>
      </w:r>
      <w:r w:rsidR="00542F6F" w:rsidRPr="00ED6A76">
        <w:rPr>
          <w:rFonts w:asciiTheme="minorHAnsi" w:hAnsiTheme="minorHAnsi" w:cstheme="minorHAnsi"/>
          <w:color w:val="auto"/>
          <w:spacing w:val="-2"/>
          <w:sz w:val="20"/>
          <w:szCs w:val="20"/>
        </w:rPr>
        <w:t>and/</w:t>
      </w:r>
      <w:r w:rsidR="00E634C3" w:rsidRPr="00ED6A76">
        <w:rPr>
          <w:rFonts w:asciiTheme="minorHAnsi" w:hAnsiTheme="minorHAnsi" w:cstheme="minorHAnsi"/>
          <w:color w:val="auto"/>
          <w:spacing w:val="-2"/>
          <w:sz w:val="20"/>
          <w:szCs w:val="20"/>
        </w:rPr>
        <w:t xml:space="preserve">or </w:t>
      </w:r>
      <w:r w:rsidRPr="00ED6A76">
        <w:rPr>
          <w:rFonts w:asciiTheme="minorHAnsi" w:hAnsiTheme="minorHAnsi" w:cstheme="minorHAnsi"/>
          <w:color w:val="auto"/>
          <w:spacing w:val="-2"/>
          <w:sz w:val="20"/>
          <w:szCs w:val="20"/>
        </w:rPr>
        <w:t xml:space="preserve">(3) address states’ role </w:t>
      </w:r>
      <w:r w:rsidR="00BC67E0" w:rsidRPr="00ED6A76">
        <w:rPr>
          <w:rFonts w:asciiTheme="minorHAnsi" w:hAnsiTheme="minorHAnsi" w:cstheme="minorHAnsi"/>
          <w:color w:val="auto"/>
          <w:spacing w:val="-2"/>
          <w:sz w:val="20"/>
          <w:szCs w:val="20"/>
        </w:rPr>
        <w:t xml:space="preserve">in </w:t>
      </w:r>
      <w:r w:rsidR="00DC6822" w:rsidRPr="00ED6A76">
        <w:rPr>
          <w:rFonts w:asciiTheme="minorHAnsi" w:hAnsiTheme="minorHAnsi" w:cstheme="minorHAnsi"/>
          <w:color w:val="auto"/>
          <w:spacing w:val="-2"/>
          <w:sz w:val="20"/>
          <w:szCs w:val="20"/>
        </w:rPr>
        <w:t xml:space="preserve">the context of land </w:t>
      </w:r>
      <w:r w:rsidRPr="00ED6A76">
        <w:rPr>
          <w:rFonts w:asciiTheme="minorHAnsi" w:hAnsiTheme="minorHAnsi" w:cstheme="minorHAnsi"/>
          <w:color w:val="auto"/>
          <w:spacing w:val="-2"/>
          <w:sz w:val="20"/>
          <w:szCs w:val="20"/>
        </w:rPr>
        <w:t>administ</w:t>
      </w:r>
      <w:r w:rsidR="00DC6822" w:rsidRPr="00ED6A76">
        <w:rPr>
          <w:rFonts w:asciiTheme="minorHAnsi" w:hAnsiTheme="minorHAnsi" w:cstheme="minorHAnsi"/>
          <w:color w:val="auto"/>
          <w:spacing w:val="-2"/>
          <w:sz w:val="20"/>
          <w:szCs w:val="20"/>
        </w:rPr>
        <w:t>ration</w:t>
      </w:r>
      <w:r w:rsidR="00542F6F" w:rsidRPr="00ED6A76">
        <w:rPr>
          <w:rFonts w:asciiTheme="minorHAnsi" w:hAnsiTheme="minorHAnsi" w:cstheme="minorHAnsi"/>
          <w:color w:val="auto"/>
          <w:spacing w:val="-2"/>
          <w:sz w:val="20"/>
          <w:szCs w:val="20"/>
        </w:rPr>
        <w:t xml:space="preserve">. In </w:t>
      </w:r>
      <w:r w:rsidR="00DC6822" w:rsidRPr="00ED6A76">
        <w:rPr>
          <w:rFonts w:asciiTheme="minorHAnsi" w:hAnsiTheme="minorHAnsi" w:cstheme="minorHAnsi"/>
          <w:color w:val="auto"/>
          <w:spacing w:val="-2"/>
          <w:sz w:val="20"/>
          <w:szCs w:val="20"/>
        </w:rPr>
        <w:t xml:space="preserve">options </w:t>
      </w:r>
      <w:r w:rsidR="00542F6F" w:rsidRPr="00ED6A76">
        <w:rPr>
          <w:rFonts w:asciiTheme="minorHAnsi" w:hAnsiTheme="minorHAnsi" w:cstheme="minorHAnsi"/>
          <w:color w:val="auto"/>
          <w:spacing w:val="-2"/>
          <w:sz w:val="20"/>
          <w:szCs w:val="20"/>
        </w:rPr>
        <w:t>1 and 2, CESCR would have to, first, define the nature of land as a discrete subject</w:t>
      </w:r>
      <w:r w:rsidR="00DC6822" w:rsidRPr="00ED6A76">
        <w:rPr>
          <w:rFonts w:asciiTheme="minorHAnsi" w:hAnsiTheme="minorHAnsi" w:cstheme="minorHAnsi"/>
          <w:color w:val="auto"/>
          <w:spacing w:val="-2"/>
          <w:sz w:val="20"/>
          <w:szCs w:val="20"/>
        </w:rPr>
        <w:t>. In any approach</w:t>
      </w:r>
      <w:r w:rsidR="00542F6F" w:rsidRPr="00ED6A76">
        <w:rPr>
          <w:rFonts w:asciiTheme="minorHAnsi" w:hAnsiTheme="minorHAnsi" w:cstheme="minorHAnsi"/>
          <w:color w:val="auto"/>
          <w:spacing w:val="-2"/>
          <w:sz w:val="20"/>
          <w:szCs w:val="20"/>
        </w:rPr>
        <w:t xml:space="preserve">, </w:t>
      </w:r>
      <w:r w:rsidR="00DC6822" w:rsidRPr="00ED6A76">
        <w:rPr>
          <w:rFonts w:asciiTheme="minorHAnsi" w:hAnsiTheme="minorHAnsi" w:cstheme="minorHAnsi"/>
          <w:color w:val="auto"/>
          <w:spacing w:val="-2"/>
          <w:sz w:val="20"/>
          <w:szCs w:val="20"/>
        </w:rPr>
        <w:t xml:space="preserve">the GC would have to </w:t>
      </w:r>
      <w:r w:rsidR="00542F6F" w:rsidRPr="00ED6A76">
        <w:rPr>
          <w:rFonts w:asciiTheme="minorHAnsi" w:hAnsiTheme="minorHAnsi" w:cstheme="minorHAnsi"/>
          <w:color w:val="auto"/>
          <w:spacing w:val="-2"/>
          <w:sz w:val="20"/>
          <w:szCs w:val="20"/>
        </w:rPr>
        <w:t>consider the obligations of</w:t>
      </w:r>
      <w:r w:rsidR="00BC67E0" w:rsidRPr="00ED6A76">
        <w:rPr>
          <w:rFonts w:asciiTheme="minorHAnsi" w:hAnsiTheme="minorHAnsi" w:cstheme="minorHAnsi"/>
          <w:color w:val="auto"/>
          <w:spacing w:val="-2"/>
          <w:sz w:val="20"/>
          <w:szCs w:val="20"/>
        </w:rPr>
        <w:t xml:space="preserve"> </w:t>
      </w:r>
      <w:r w:rsidR="008C4EED" w:rsidRPr="00ED6A76">
        <w:rPr>
          <w:rFonts w:asciiTheme="minorHAnsi" w:hAnsiTheme="minorHAnsi" w:cstheme="minorHAnsi"/>
          <w:color w:val="auto"/>
          <w:spacing w:val="-2"/>
          <w:sz w:val="20"/>
          <w:szCs w:val="20"/>
        </w:rPr>
        <w:t>state</w:t>
      </w:r>
      <w:r w:rsidR="00BC67E0" w:rsidRPr="00ED6A76">
        <w:rPr>
          <w:rFonts w:asciiTheme="minorHAnsi" w:hAnsiTheme="minorHAnsi" w:cstheme="minorHAnsi"/>
          <w:color w:val="auto"/>
          <w:spacing w:val="-2"/>
          <w:sz w:val="20"/>
          <w:szCs w:val="20"/>
        </w:rPr>
        <w:t xml:space="preserve"> partie</w:t>
      </w:r>
      <w:r w:rsidR="008C4EED" w:rsidRPr="00ED6A76">
        <w:rPr>
          <w:rFonts w:asciiTheme="minorHAnsi" w:hAnsiTheme="minorHAnsi" w:cstheme="minorHAnsi"/>
          <w:color w:val="auto"/>
          <w:spacing w:val="-2"/>
          <w:sz w:val="20"/>
          <w:szCs w:val="20"/>
        </w:rPr>
        <w:t xml:space="preserve">s </w:t>
      </w:r>
      <w:r w:rsidR="00DC6822" w:rsidRPr="00ED6A76">
        <w:rPr>
          <w:rFonts w:asciiTheme="minorHAnsi" w:hAnsiTheme="minorHAnsi" w:cstheme="minorHAnsi"/>
          <w:color w:val="auto"/>
          <w:spacing w:val="-2"/>
          <w:sz w:val="20"/>
          <w:szCs w:val="20"/>
        </w:rPr>
        <w:t xml:space="preserve">to ensure </w:t>
      </w:r>
      <w:r w:rsidR="00542F6F" w:rsidRPr="00ED6A76">
        <w:rPr>
          <w:rFonts w:asciiTheme="minorHAnsi" w:hAnsiTheme="minorHAnsi" w:cstheme="minorHAnsi"/>
          <w:color w:val="auto"/>
          <w:spacing w:val="-2"/>
          <w:sz w:val="20"/>
          <w:szCs w:val="20"/>
        </w:rPr>
        <w:t xml:space="preserve">land’s functions </w:t>
      </w:r>
      <w:r w:rsidR="00DC6822" w:rsidRPr="00ED6A76">
        <w:rPr>
          <w:rFonts w:asciiTheme="minorHAnsi" w:hAnsiTheme="minorHAnsi" w:cstheme="minorHAnsi"/>
          <w:color w:val="auto"/>
          <w:spacing w:val="-2"/>
          <w:sz w:val="20"/>
          <w:szCs w:val="20"/>
        </w:rPr>
        <w:t xml:space="preserve">to respect, protect and fulfil </w:t>
      </w:r>
      <w:r w:rsidR="00542F6F" w:rsidRPr="00ED6A76">
        <w:rPr>
          <w:rFonts w:asciiTheme="minorHAnsi" w:hAnsiTheme="minorHAnsi" w:cstheme="minorHAnsi"/>
          <w:color w:val="auto"/>
          <w:spacing w:val="-2"/>
          <w:sz w:val="20"/>
          <w:szCs w:val="20"/>
        </w:rPr>
        <w:t xml:space="preserve">the bundle of </w:t>
      </w:r>
      <w:r w:rsidR="008C4EED" w:rsidRPr="00ED6A76">
        <w:rPr>
          <w:rFonts w:asciiTheme="minorHAnsi" w:hAnsiTheme="minorHAnsi" w:cstheme="minorHAnsi"/>
          <w:color w:val="auto"/>
          <w:spacing w:val="-2"/>
          <w:sz w:val="20"/>
          <w:szCs w:val="20"/>
        </w:rPr>
        <w:t xml:space="preserve">other covenanted </w:t>
      </w:r>
      <w:r w:rsidR="00E634C3" w:rsidRPr="00ED6A76">
        <w:rPr>
          <w:rFonts w:asciiTheme="minorHAnsi" w:hAnsiTheme="minorHAnsi" w:cstheme="minorHAnsi"/>
          <w:color w:val="auto"/>
          <w:spacing w:val="-2"/>
          <w:sz w:val="20"/>
          <w:szCs w:val="20"/>
        </w:rPr>
        <w:t xml:space="preserve">individual or collective </w:t>
      </w:r>
      <w:r w:rsidR="008C4EED" w:rsidRPr="00ED6A76">
        <w:rPr>
          <w:rFonts w:asciiTheme="minorHAnsi" w:hAnsiTheme="minorHAnsi" w:cstheme="minorHAnsi"/>
          <w:color w:val="auto"/>
          <w:spacing w:val="-2"/>
          <w:sz w:val="20"/>
          <w:szCs w:val="20"/>
        </w:rPr>
        <w:t>human rights</w:t>
      </w:r>
      <w:r w:rsidR="00E634C3" w:rsidRPr="00ED6A76">
        <w:rPr>
          <w:rFonts w:asciiTheme="minorHAnsi" w:hAnsiTheme="minorHAnsi" w:cstheme="minorHAnsi"/>
          <w:color w:val="auto"/>
          <w:spacing w:val="-2"/>
          <w:sz w:val="20"/>
          <w:szCs w:val="20"/>
        </w:rPr>
        <w:t xml:space="preserve"> such as housing, food, self-determination and culture</w:t>
      </w:r>
      <w:r w:rsidR="008C4EED" w:rsidRPr="00ED6A76">
        <w:rPr>
          <w:rFonts w:asciiTheme="minorHAnsi" w:hAnsiTheme="minorHAnsi" w:cstheme="minorHAnsi"/>
          <w:color w:val="auto"/>
          <w:spacing w:val="-2"/>
          <w:sz w:val="20"/>
          <w:szCs w:val="20"/>
        </w:rPr>
        <w:t xml:space="preserve">. </w:t>
      </w:r>
    </w:p>
    <w:p w14:paraId="1A800997" w14:textId="77777777" w:rsidR="00DC6822" w:rsidRPr="00ED6A76" w:rsidRDefault="008C4EED"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This </w:t>
      </w:r>
      <w:r w:rsidR="006E25B7" w:rsidRPr="00ED6A76">
        <w:rPr>
          <w:rFonts w:asciiTheme="minorHAnsi" w:hAnsiTheme="minorHAnsi" w:cstheme="minorHAnsi"/>
          <w:color w:val="auto"/>
          <w:spacing w:val="-2"/>
          <w:sz w:val="20"/>
          <w:szCs w:val="20"/>
        </w:rPr>
        <w:t>paper</w:t>
      </w:r>
      <w:r w:rsidRPr="00ED6A76">
        <w:rPr>
          <w:rFonts w:asciiTheme="minorHAnsi" w:hAnsiTheme="minorHAnsi" w:cstheme="minorHAnsi"/>
          <w:color w:val="auto"/>
          <w:spacing w:val="-2"/>
          <w:sz w:val="20"/>
          <w:szCs w:val="20"/>
        </w:rPr>
        <w:t xml:space="preserve"> argues that </w:t>
      </w:r>
      <w:r w:rsidR="00542F6F" w:rsidRPr="00ED6A76">
        <w:rPr>
          <w:rFonts w:asciiTheme="minorHAnsi" w:hAnsiTheme="minorHAnsi" w:cstheme="minorHAnsi"/>
          <w:color w:val="auto"/>
          <w:spacing w:val="-2"/>
          <w:sz w:val="20"/>
          <w:szCs w:val="20"/>
        </w:rPr>
        <w:t xml:space="preserve">choosing among </w:t>
      </w:r>
      <w:r w:rsidRPr="00ED6A76">
        <w:rPr>
          <w:rFonts w:asciiTheme="minorHAnsi" w:hAnsiTheme="minorHAnsi" w:cstheme="minorHAnsi"/>
          <w:color w:val="auto"/>
          <w:spacing w:val="-2"/>
          <w:sz w:val="20"/>
          <w:szCs w:val="20"/>
        </w:rPr>
        <w:t>1</w:t>
      </w:r>
      <w:r w:rsidR="00542F6F" w:rsidRPr="00ED6A76">
        <w:rPr>
          <w:rFonts w:asciiTheme="minorHAnsi" w:hAnsiTheme="minorHAnsi" w:cstheme="minorHAnsi"/>
          <w:color w:val="auto"/>
          <w:spacing w:val="-2"/>
          <w:sz w:val="20"/>
          <w:szCs w:val="20"/>
        </w:rPr>
        <w:t xml:space="preserve">, 2 </w:t>
      </w:r>
      <w:r w:rsidRPr="00ED6A76">
        <w:rPr>
          <w:rFonts w:asciiTheme="minorHAnsi" w:hAnsiTheme="minorHAnsi" w:cstheme="minorHAnsi"/>
          <w:color w:val="auto"/>
          <w:spacing w:val="-2"/>
          <w:sz w:val="20"/>
          <w:szCs w:val="20"/>
        </w:rPr>
        <w:t xml:space="preserve">and </w:t>
      </w:r>
      <w:r w:rsidR="00542F6F" w:rsidRPr="00ED6A76">
        <w:rPr>
          <w:rFonts w:asciiTheme="minorHAnsi" w:hAnsiTheme="minorHAnsi" w:cstheme="minorHAnsi"/>
          <w:color w:val="auto"/>
          <w:spacing w:val="-2"/>
          <w:sz w:val="20"/>
          <w:szCs w:val="20"/>
        </w:rPr>
        <w:t xml:space="preserve">3 would be a false dilemma. Rather, the subject of land under ICESCR calls for </w:t>
      </w:r>
      <w:r w:rsidR="00DC6822" w:rsidRPr="00ED6A76">
        <w:rPr>
          <w:rFonts w:asciiTheme="minorHAnsi" w:hAnsiTheme="minorHAnsi" w:cstheme="minorHAnsi"/>
          <w:color w:val="auto"/>
          <w:spacing w:val="-2"/>
          <w:sz w:val="20"/>
          <w:szCs w:val="20"/>
        </w:rPr>
        <w:t xml:space="preserve">all three, beginning with </w:t>
      </w:r>
      <w:r w:rsidR="00542F6F" w:rsidRPr="00ED6A76">
        <w:rPr>
          <w:rFonts w:asciiTheme="minorHAnsi" w:hAnsiTheme="minorHAnsi" w:cstheme="minorHAnsi"/>
          <w:color w:val="auto"/>
          <w:spacing w:val="-2"/>
          <w:sz w:val="20"/>
          <w:szCs w:val="20"/>
        </w:rPr>
        <w:t>the recognition</w:t>
      </w:r>
      <w:r w:rsidR="00794FD3" w:rsidRPr="00ED6A76">
        <w:rPr>
          <w:rFonts w:asciiTheme="minorHAnsi" w:hAnsiTheme="minorHAnsi" w:cstheme="minorHAnsi"/>
          <w:color w:val="auto"/>
          <w:spacing w:val="-2"/>
          <w:sz w:val="20"/>
          <w:szCs w:val="20"/>
        </w:rPr>
        <w:t xml:space="preserve"> that everyone has a universal human right to land</w:t>
      </w:r>
      <w:r w:rsidR="00DC6822" w:rsidRPr="00ED6A76">
        <w:rPr>
          <w:rFonts w:asciiTheme="minorHAnsi" w:hAnsiTheme="minorHAnsi" w:cstheme="minorHAnsi"/>
          <w:color w:val="auto"/>
          <w:spacing w:val="-2"/>
          <w:sz w:val="20"/>
          <w:szCs w:val="20"/>
        </w:rPr>
        <w:t>. This reality</w:t>
      </w:r>
      <w:r w:rsidR="00F02FAE" w:rsidRPr="00ED6A76">
        <w:rPr>
          <w:rFonts w:asciiTheme="minorHAnsi" w:hAnsiTheme="minorHAnsi" w:cstheme="minorHAnsi"/>
          <w:color w:val="auto"/>
          <w:spacing w:val="-2"/>
          <w:sz w:val="20"/>
          <w:szCs w:val="20"/>
        </w:rPr>
        <w:t xml:space="preserve"> aris</w:t>
      </w:r>
      <w:r w:rsidR="00DC6822" w:rsidRPr="00ED6A76">
        <w:rPr>
          <w:rFonts w:asciiTheme="minorHAnsi" w:hAnsiTheme="minorHAnsi" w:cstheme="minorHAnsi"/>
          <w:color w:val="auto"/>
          <w:spacing w:val="-2"/>
          <w:sz w:val="20"/>
          <w:szCs w:val="20"/>
        </w:rPr>
        <w:t>es</w:t>
      </w:r>
      <w:r w:rsidR="00F02FAE" w:rsidRPr="00ED6A76">
        <w:rPr>
          <w:rFonts w:asciiTheme="minorHAnsi" w:hAnsiTheme="minorHAnsi" w:cstheme="minorHAnsi"/>
          <w:color w:val="auto"/>
          <w:spacing w:val="-2"/>
          <w:sz w:val="20"/>
          <w:szCs w:val="20"/>
        </w:rPr>
        <w:t xml:space="preserve"> from </w:t>
      </w:r>
      <w:r w:rsidR="00542F6F" w:rsidRPr="00ED6A76">
        <w:rPr>
          <w:rFonts w:asciiTheme="minorHAnsi" w:hAnsiTheme="minorHAnsi" w:cstheme="minorHAnsi"/>
          <w:color w:val="auto"/>
          <w:spacing w:val="-2"/>
          <w:sz w:val="20"/>
          <w:szCs w:val="20"/>
        </w:rPr>
        <w:t xml:space="preserve">both </w:t>
      </w:r>
      <w:r w:rsidR="00F02FAE" w:rsidRPr="00ED6A76">
        <w:rPr>
          <w:rFonts w:asciiTheme="minorHAnsi" w:hAnsiTheme="minorHAnsi" w:cstheme="minorHAnsi"/>
          <w:color w:val="auto"/>
          <w:spacing w:val="-2"/>
          <w:sz w:val="20"/>
          <w:szCs w:val="20"/>
        </w:rPr>
        <w:t>the universal human need for land,</w:t>
      </w:r>
      <w:r w:rsidR="00794FD3" w:rsidRPr="00ED6A76">
        <w:rPr>
          <w:rFonts w:asciiTheme="minorHAnsi" w:hAnsiTheme="minorHAnsi" w:cstheme="minorHAnsi"/>
          <w:color w:val="auto"/>
          <w:spacing w:val="-2"/>
          <w:sz w:val="20"/>
          <w:szCs w:val="20"/>
        </w:rPr>
        <w:t xml:space="preserve"> and </w:t>
      </w:r>
      <w:r w:rsidR="00DC6822" w:rsidRPr="00ED6A76">
        <w:rPr>
          <w:rFonts w:asciiTheme="minorHAnsi" w:hAnsiTheme="minorHAnsi" w:cstheme="minorHAnsi"/>
          <w:color w:val="auto"/>
          <w:spacing w:val="-2"/>
          <w:sz w:val="20"/>
          <w:szCs w:val="20"/>
        </w:rPr>
        <w:t xml:space="preserve">the fact </w:t>
      </w:r>
      <w:r w:rsidR="00794FD3" w:rsidRPr="00ED6A76">
        <w:rPr>
          <w:rFonts w:asciiTheme="minorHAnsi" w:hAnsiTheme="minorHAnsi" w:cstheme="minorHAnsi"/>
          <w:color w:val="auto"/>
          <w:spacing w:val="-2"/>
          <w:sz w:val="20"/>
          <w:szCs w:val="20"/>
        </w:rPr>
        <w:t>that land is the first element in a chain that enables the realization of a bund</w:t>
      </w:r>
      <w:r w:rsidR="00E833E8" w:rsidRPr="00ED6A76">
        <w:rPr>
          <w:rFonts w:asciiTheme="minorHAnsi" w:hAnsiTheme="minorHAnsi" w:cstheme="minorHAnsi"/>
          <w:color w:val="auto"/>
          <w:spacing w:val="-2"/>
          <w:sz w:val="20"/>
          <w:szCs w:val="20"/>
        </w:rPr>
        <w:t>l</w:t>
      </w:r>
      <w:r w:rsidR="00794FD3" w:rsidRPr="00ED6A76">
        <w:rPr>
          <w:rFonts w:asciiTheme="minorHAnsi" w:hAnsiTheme="minorHAnsi" w:cstheme="minorHAnsi"/>
          <w:color w:val="auto"/>
          <w:spacing w:val="-2"/>
          <w:sz w:val="20"/>
          <w:szCs w:val="20"/>
        </w:rPr>
        <w:t>e of other universal human rights</w:t>
      </w:r>
      <w:r w:rsidR="00DC6822" w:rsidRPr="00ED6A76">
        <w:rPr>
          <w:rFonts w:asciiTheme="minorHAnsi" w:hAnsiTheme="minorHAnsi" w:cstheme="minorHAnsi"/>
          <w:color w:val="auto"/>
          <w:spacing w:val="-2"/>
          <w:sz w:val="20"/>
          <w:szCs w:val="20"/>
        </w:rPr>
        <w:t>. As well as a specialized field of public administration</w:t>
      </w:r>
      <w:r w:rsidR="00794FD3" w:rsidRPr="00ED6A76">
        <w:rPr>
          <w:rFonts w:asciiTheme="minorHAnsi" w:hAnsiTheme="minorHAnsi" w:cstheme="minorHAnsi"/>
          <w:color w:val="auto"/>
          <w:spacing w:val="-2"/>
          <w:sz w:val="20"/>
          <w:szCs w:val="20"/>
        </w:rPr>
        <w:t>.</w:t>
      </w:r>
      <w:r w:rsidR="00E833E8" w:rsidRPr="00ED6A76">
        <w:rPr>
          <w:rFonts w:asciiTheme="minorHAnsi" w:hAnsiTheme="minorHAnsi" w:cstheme="minorHAnsi"/>
          <w:color w:val="auto"/>
          <w:spacing w:val="-2"/>
          <w:sz w:val="20"/>
          <w:szCs w:val="20"/>
        </w:rPr>
        <w:t xml:space="preserve"> </w:t>
      </w:r>
    </w:p>
    <w:p w14:paraId="5C9C4786" w14:textId="7202EED6" w:rsidR="00686690" w:rsidRPr="00ED6A76" w:rsidRDefault="00E833E8"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lastRenderedPageBreak/>
        <w:t>The seeming dilemma over how to treat land within the field of human rights</w:t>
      </w:r>
      <w:r w:rsidR="00440840" w:rsidRPr="00ED6A76">
        <w:rPr>
          <w:rFonts w:asciiTheme="minorHAnsi" w:hAnsiTheme="minorHAnsi" w:cstheme="minorHAnsi"/>
          <w:color w:val="auto"/>
          <w:spacing w:val="-2"/>
          <w:sz w:val="20"/>
          <w:szCs w:val="20"/>
        </w:rPr>
        <w:t xml:space="preserve">, in general, and </w:t>
      </w:r>
      <w:r w:rsidR="00DC6822" w:rsidRPr="00ED6A76">
        <w:rPr>
          <w:rFonts w:asciiTheme="minorHAnsi" w:hAnsiTheme="minorHAnsi" w:cstheme="minorHAnsi"/>
          <w:color w:val="auto"/>
          <w:spacing w:val="-2"/>
          <w:sz w:val="20"/>
          <w:szCs w:val="20"/>
        </w:rPr>
        <w:t xml:space="preserve">within </w:t>
      </w:r>
      <w:r w:rsidR="00440840" w:rsidRPr="00ED6A76">
        <w:rPr>
          <w:rFonts w:asciiTheme="minorHAnsi" w:hAnsiTheme="minorHAnsi" w:cstheme="minorHAnsi"/>
          <w:color w:val="auto"/>
          <w:spacing w:val="-2"/>
          <w:sz w:val="20"/>
          <w:szCs w:val="20"/>
        </w:rPr>
        <w:t>ICESCR, in particular,</w:t>
      </w:r>
      <w:r w:rsidRPr="00ED6A76">
        <w:rPr>
          <w:rFonts w:asciiTheme="minorHAnsi" w:hAnsiTheme="minorHAnsi" w:cstheme="minorHAnsi"/>
          <w:color w:val="auto"/>
          <w:spacing w:val="-2"/>
          <w:sz w:val="20"/>
          <w:szCs w:val="20"/>
        </w:rPr>
        <w:t xml:space="preserve"> </w:t>
      </w:r>
      <w:r w:rsidR="00686690" w:rsidRPr="00ED6A76">
        <w:rPr>
          <w:rFonts w:asciiTheme="minorHAnsi" w:hAnsiTheme="minorHAnsi" w:cstheme="minorHAnsi"/>
          <w:color w:val="auto"/>
          <w:spacing w:val="-2"/>
          <w:sz w:val="20"/>
          <w:szCs w:val="20"/>
        </w:rPr>
        <w:t xml:space="preserve">can be resolved by adopting </w:t>
      </w:r>
      <w:r w:rsidR="00440840" w:rsidRPr="00ED6A76">
        <w:rPr>
          <w:rFonts w:asciiTheme="minorHAnsi" w:hAnsiTheme="minorHAnsi" w:cstheme="minorHAnsi"/>
          <w:color w:val="auto"/>
          <w:spacing w:val="-2"/>
          <w:sz w:val="20"/>
          <w:szCs w:val="20"/>
        </w:rPr>
        <w:t xml:space="preserve">the established </w:t>
      </w:r>
      <w:r w:rsidR="00686690" w:rsidRPr="00ED6A76">
        <w:rPr>
          <w:rFonts w:asciiTheme="minorHAnsi" w:hAnsiTheme="minorHAnsi" w:cstheme="minorHAnsi"/>
          <w:color w:val="auto"/>
          <w:spacing w:val="-2"/>
          <w:sz w:val="20"/>
          <w:szCs w:val="20"/>
        </w:rPr>
        <w:t>methodology and approach</w:t>
      </w:r>
      <w:r w:rsidR="00440840" w:rsidRPr="00ED6A76">
        <w:rPr>
          <w:rFonts w:asciiTheme="minorHAnsi" w:hAnsiTheme="minorHAnsi" w:cstheme="minorHAnsi"/>
          <w:color w:val="auto"/>
          <w:spacing w:val="-2"/>
          <w:sz w:val="20"/>
          <w:szCs w:val="20"/>
        </w:rPr>
        <w:t xml:space="preserve"> of human rights </w:t>
      </w:r>
      <w:r w:rsidR="00DC6822" w:rsidRPr="00ED6A76">
        <w:rPr>
          <w:rFonts w:asciiTheme="minorHAnsi" w:hAnsiTheme="minorHAnsi" w:cstheme="minorHAnsi"/>
          <w:color w:val="auto"/>
          <w:spacing w:val="-2"/>
          <w:sz w:val="20"/>
          <w:szCs w:val="20"/>
        </w:rPr>
        <w:t>interpret</w:t>
      </w:r>
      <w:r w:rsidR="00440840" w:rsidRPr="00ED6A76">
        <w:rPr>
          <w:rFonts w:asciiTheme="minorHAnsi" w:hAnsiTheme="minorHAnsi" w:cstheme="minorHAnsi"/>
          <w:color w:val="auto"/>
          <w:spacing w:val="-2"/>
          <w:sz w:val="20"/>
          <w:szCs w:val="20"/>
        </w:rPr>
        <w:t>ation</w:t>
      </w:r>
      <w:r w:rsidR="00F02FAE" w:rsidRPr="00ED6A76">
        <w:rPr>
          <w:rFonts w:asciiTheme="minorHAnsi" w:hAnsiTheme="minorHAnsi" w:cstheme="minorHAnsi"/>
          <w:color w:val="auto"/>
          <w:spacing w:val="-2"/>
          <w:sz w:val="20"/>
          <w:szCs w:val="20"/>
        </w:rPr>
        <w:t xml:space="preserve"> in foregoing GCs</w:t>
      </w:r>
      <w:r w:rsidR="00542F6F" w:rsidRPr="00ED6A76">
        <w:rPr>
          <w:rFonts w:asciiTheme="minorHAnsi" w:hAnsiTheme="minorHAnsi" w:cstheme="minorHAnsi"/>
          <w:color w:val="auto"/>
          <w:spacing w:val="-2"/>
          <w:sz w:val="20"/>
          <w:szCs w:val="20"/>
        </w:rPr>
        <w:t xml:space="preserve">, in particular, the Committee’s 2002 recognition and codification of </w:t>
      </w:r>
      <w:r w:rsidR="00DC6822" w:rsidRPr="00ED6A76">
        <w:rPr>
          <w:rFonts w:asciiTheme="minorHAnsi" w:hAnsiTheme="minorHAnsi" w:cstheme="minorHAnsi"/>
          <w:color w:val="auto"/>
          <w:spacing w:val="-2"/>
          <w:sz w:val="20"/>
          <w:szCs w:val="20"/>
        </w:rPr>
        <w:t>a</w:t>
      </w:r>
      <w:r w:rsidR="00542F6F" w:rsidRPr="00ED6A76">
        <w:rPr>
          <w:rFonts w:asciiTheme="minorHAnsi" w:hAnsiTheme="minorHAnsi" w:cstheme="minorHAnsi"/>
          <w:color w:val="auto"/>
          <w:spacing w:val="-2"/>
          <w:sz w:val="20"/>
          <w:szCs w:val="20"/>
        </w:rPr>
        <w:t xml:space="preserve"> dis</w:t>
      </w:r>
      <w:r w:rsidR="00DC6822" w:rsidRPr="00ED6A76">
        <w:rPr>
          <w:rFonts w:asciiTheme="minorHAnsi" w:hAnsiTheme="minorHAnsi" w:cstheme="minorHAnsi"/>
          <w:color w:val="auto"/>
          <w:spacing w:val="-2"/>
          <w:sz w:val="20"/>
          <w:szCs w:val="20"/>
        </w:rPr>
        <w:t>tinct</w:t>
      </w:r>
      <w:r w:rsidR="00542F6F" w:rsidRPr="00ED6A76">
        <w:rPr>
          <w:rFonts w:asciiTheme="minorHAnsi" w:hAnsiTheme="minorHAnsi" w:cstheme="minorHAnsi"/>
          <w:color w:val="auto"/>
          <w:spacing w:val="-2"/>
          <w:sz w:val="20"/>
          <w:szCs w:val="20"/>
        </w:rPr>
        <w:t xml:space="preserve"> “human right to water.” In that rare moment, CESCR </w:t>
      </w:r>
      <w:r w:rsidR="006E25B7" w:rsidRPr="00ED6A76">
        <w:rPr>
          <w:rFonts w:asciiTheme="minorHAnsi" w:hAnsiTheme="minorHAnsi" w:cstheme="minorHAnsi"/>
          <w:color w:val="auto"/>
          <w:spacing w:val="-2"/>
          <w:sz w:val="20"/>
          <w:szCs w:val="20"/>
        </w:rPr>
        <w:t xml:space="preserve">affirmed a human right not explicit in ICESCR, </w:t>
      </w:r>
      <w:r w:rsidR="00DC6822" w:rsidRPr="00ED6A76">
        <w:rPr>
          <w:rFonts w:asciiTheme="minorHAnsi" w:hAnsiTheme="minorHAnsi" w:cstheme="minorHAnsi"/>
          <w:color w:val="auto"/>
          <w:spacing w:val="-2"/>
          <w:sz w:val="20"/>
          <w:szCs w:val="20"/>
        </w:rPr>
        <w:t>while</w:t>
      </w:r>
      <w:r w:rsidR="006E25B7" w:rsidRPr="00ED6A76">
        <w:rPr>
          <w:rFonts w:asciiTheme="minorHAnsi" w:hAnsiTheme="minorHAnsi" w:cstheme="minorHAnsi"/>
          <w:color w:val="auto"/>
          <w:spacing w:val="-2"/>
          <w:sz w:val="20"/>
          <w:szCs w:val="20"/>
        </w:rPr>
        <w:t xml:space="preserve"> “making full use of technical and scientific knowledge,”</w:t>
      </w:r>
      <w:r w:rsidR="006E25B7" w:rsidRPr="00ED6A76">
        <w:rPr>
          <w:rStyle w:val="EndnoteReference"/>
          <w:rFonts w:asciiTheme="minorHAnsi" w:hAnsiTheme="minorHAnsi" w:cstheme="minorHAnsi"/>
          <w:color w:val="auto"/>
          <w:spacing w:val="-2"/>
          <w:sz w:val="20"/>
          <w:szCs w:val="20"/>
        </w:rPr>
        <w:endnoteReference w:id="8"/>
      </w:r>
      <w:r w:rsidR="006E25B7" w:rsidRPr="00ED6A76">
        <w:rPr>
          <w:rFonts w:asciiTheme="minorHAnsi" w:hAnsiTheme="minorHAnsi" w:cstheme="minorHAnsi"/>
          <w:color w:val="auto"/>
          <w:spacing w:val="-2"/>
          <w:sz w:val="20"/>
          <w:szCs w:val="20"/>
        </w:rPr>
        <w:t xml:space="preserve"> </w:t>
      </w:r>
      <w:r w:rsidR="00DC6822" w:rsidRPr="00ED6A76">
        <w:rPr>
          <w:rFonts w:asciiTheme="minorHAnsi" w:hAnsiTheme="minorHAnsi" w:cstheme="minorHAnsi"/>
          <w:color w:val="auto"/>
          <w:spacing w:val="-2"/>
          <w:sz w:val="20"/>
          <w:szCs w:val="20"/>
        </w:rPr>
        <w:t xml:space="preserve">by </w:t>
      </w:r>
      <w:r w:rsidR="00542F6F" w:rsidRPr="00ED6A76">
        <w:rPr>
          <w:rFonts w:asciiTheme="minorHAnsi" w:hAnsiTheme="minorHAnsi" w:cstheme="minorHAnsi"/>
          <w:color w:val="auto"/>
          <w:spacing w:val="-2"/>
          <w:sz w:val="20"/>
          <w:szCs w:val="20"/>
        </w:rPr>
        <w:t>reach</w:t>
      </w:r>
      <w:r w:rsidR="00DC6822" w:rsidRPr="00ED6A76">
        <w:rPr>
          <w:rFonts w:asciiTheme="minorHAnsi" w:hAnsiTheme="minorHAnsi" w:cstheme="minorHAnsi"/>
          <w:color w:val="auto"/>
          <w:spacing w:val="-2"/>
          <w:sz w:val="20"/>
          <w:szCs w:val="20"/>
        </w:rPr>
        <w:t>ing</w:t>
      </w:r>
      <w:r w:rsidR="00542F6F" w:rsidRPr="00ED6A76">
        <w:rPr>
          <w:rFonts w:asciiTheme="minorHAnsi" w:hAnsiTheme="minorHAnsi" w:cstheme="minorHAnsi"/>
          <w:color w:val="auto"/>
          <w:spacing w:val="-2"/>
          <w:sz w:val="20"/>
          <w:szCs w:val="20"/>
        </w:rPr>
        <w:t xml:space="preserve"> out to natural science to </w:t>
      </w:r>
      <w:r w:rsidR="006E25B7" w:rsidRPr="00ED6A76">
        <w:rPr>
          <w:rFonts w:asciiTheme="minorHAnsi" w:hAnsiTheme="minorHAnsi" w:cstheme="minorHAnsi"/>
          <w:color w:val="auto"/>
          <w:spacing w:val="-2"/>
          <w:sz w:val="20"/>
          <w:szCs w:val="20"/>
        </w:rPr>
        <w:t>inform that ground-breaking interpretation.</w:t>
      </w:r>
    </w:p>
    <w:p w14:paraId="5CDC35C2" w14:textId="3BAC122B" w:rsidR="00A72C7D" w:rsidRPr="00ED6A76" w:rsidRDefault="00B063B8"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i/>
          <w:iCs/>
          <w:color w:val="auto"/>
          <w:spacing w:val="-2"/>
          <w:sz w:val="20"/>
          <w:szCs w:val="20"/>
        </w:rPr>
        <w:t>B</w:t>
      </w:r>
      <w:r w:rsidR="00E026F4" w:rsidRPr="00ED6A76">
        <w:rPr>
          <w:rFonts w:asciiTheme="minorHAnsi" w:hAnsiTheme="minorHAnsi" w:cstheme="minorHAnsi"/>
          <w:i/>
          <w:iCs/>
          <w:color w:val="auto"/>
          <w:spacing w:val="-2"/>
          <w:sz w:val="20"/>
          <w:szCs w:val="20"/>
        </w:rPr>
        <w:t>eyond Property</w:t>
      </w:r>
      <w:r w:rsidRPr="00ED6A76">
        <w:rPr>
          <w:rFonts w:asciiTheme="minorHAnsi" w:hAnsiTheme="minorHAnsi" w:cstheme="minorHAnsi"/>
          <w:i/>
          <w:iCs/>
          <w:color w:val="auto"/>
          <w:spacing w:val="-2"/>
          <w:sz w:val="20"/>
          <w:szCs w:val="20"/>
        </w:rPr>
        <w:t xml:space="preserve"> and Tenure</w:t>
      </w:r>
    </w:p>
    <w:p w14:paraId="58EF65DF" w14:textId="1E22AE8D" w:rsidR="00A175BA" w:rsidRPr="00ED6A76" w:rsidRDefault="00686690"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Although not explicitly mentioned in the Covenant, land arguably </w:t>
      </w:r>
      <w:r w:rsidR="00BC67E0" w:rsidRPr="00ED6A76">
        <w:rPr>
          <w:rFonts w:asciiTheme="minorHAnsi" w:hAnsiTheme="minorHAnsi" w:cstheme="minorHAnsi"/>
          <w:color w:val="auto"/>
          <w:spacing w:val="-2"/>
          <w:sz w:val="20"/>
          <w:szCs w:val="20"/>
        </w:rPr>
        <w:t xml:space="preserve">represents a </w:t>
      </w:r>
      <w:r w:rsidRPr="00ED6A76">
        <w:rPr>
          <w:rFonts w:asciiTheme="minorHAnsi" w:hAnsiTheme="minorHAnsi" w:cstheme="minorHAnsi"/>
          <w:color w:val="auto"/>
          <w:spacing w:val="-2"/>
          <w:sz w:val="20"/>
          <w:szCs w:val="20"/>
        </w:rPr>
        <w:t>subject of human right</w:t>
      </w:r>
      <w:r w:rsidR="00440840" w:rsidRPr="00ED6A76">
        <w:rPr>
          <w:rFonts w:asciiTheme="minorHAnsi" w:hAnsiTheme="minorHAnsi" w:cstheme="minorHAnsi"/>
          <w:color w:val="auto"/>
          <w:spacing w:val="-2"/>
          <w:sz w:val="20"/>
          <w:szCs w:val="20"/>
        </w:rPr>
        <w:t>s</w:t>
      </w:r>
      <w:r w:rsidRPr="00ED6A76">
        <w:rPr>
          <w:rFonts w:asciiTheme="minorHAnsi" w:hAnsiTheme="minorHAnsi" w:cstheme="minorHAnsi"/>
          <w:color w:val="auto"/>
          <w:spacing w:val="-2"/>
          <w:sz w:val="20"/>
          <w:szCs w:val="20"/>
        </w:rPr>
        <w:t xml:space="preserve">; i.e., the “human right to land.” </w:t>
      </w:r>
      <w:r w:rsidR="00BC67E0" w:rsidRPr="00ED6A76">
        <w:rPr>
          <w:rFonts w:asciiTheme="minorHAnsi" w:hAnsiTheme="minorHAnsi" w:cstheme="minorHAnsi"/>
          <w:color w:val="auto"/>
          <w:spacing w:val="-2"/>
          <w:sz w:val="20"/>
          <w:szCs w:val="20"/>
        </w:rPr>
        <w:t>However, r</w:t>
      </w:r>
      <w:r w:rsidRPr="00ED6A76">
        <w:rPr>
          <w:rFonts w:asciiTheme="minorHAnsi" w:hAnsiTheme="minorHAnsi" w:cstheme="minorHAnsi"/>
          <w:color w:val="auto"/>
          <w:spacing w:val="-2"/>
          <w:sz w:val="20"/>
          <w:szCs w:val="20"/>
        </w:rPr>
        <w:t>ecogni</w:t>
      </w:r>
      <w:r w:rsidR="00EC2691" w:rsidRPr="00ED6A76">
        <w:rPr>
          <w:rFonts w:asciiTheme="minorHAnsi" w:hAnsiTheme="minorHAnsi" w:cstheme="minorHAnsi"/>
          <w:color w:val="auto"/>
          <w:spacing w:val="-2"/>
          <w:sz w:val="20"/>
          <w:szCs w:val="20"/>
        </w:rPr>
        <w:t>zing</w:t>
      </w:r>
      <w:r w:rsidRPr="00ED6A76">
        <w:rPr>
          <w:rFonts w:asciiTheme="minorHAnsi" w:hAnsiTheme="minorHAnsi" w:cstheme="minorHAnsi"/>
          <w:color w:val="auto"/>
          <w:spacing w:val="-2"/>
          <w:sz w:val="20"/>
          <w:szCs w:val="20"/>
        </w:rPr>
        <w:t xml:space="preserve"> </w:t>
      </w:r>
      <w:r w:rsidR="006E25B7" w:rsidRPr="00ED6A76">
        <w:rPr>
          <w:rFonts w:asciiTheme="minorHAnsi" w:hAnsiTheme="minorHAnsi" w:cstheme="minorHAnsi"/>
          <w:color w:val="auto"/>
          <w:spacing w:val="-2"/>
          <w:sz w:val="20"/>
          <w:szCs w:val="20"/>
        </w:rPr>
        <w:t xml:space="preserve">land as </w:t>
      </w:r>
      <w:r w:rsidR="00EC2691" w:rsidRPr="00ED6A76">
        <w:rPr>
          <w:rFonts w:asciiTheme="minorHAnsi" w:hAnsiTheme="minorHAnsi" w:cstheme="minorHAnsi"/>
          <w:color w:val="auto"/>
          <w:spacing w:val="-2"/>
          <w:sz w:val="20"/>
          <w:szCs w:val="20"/>
        </w:rPr>
        <w:t xml:space="preserve">a </w:t>
      </w:r>
      <w:r w:rsidRPr="00ED6A76">
        <w:rPr>
          <w:rFonts w:asciiTheme="minorHAnsi" w:hAnsiTheme="minorHAnsi" w:cstheme="minorHAnsi"/>
          <w:color w:val="auto"/>
          <w:spacing w:val="-2"/>
          <w:sz w:val="20"/>
          <w:szCs w:val="20"/>
        </w:rPr>
        <w:t xml:space="preserve">human right </w:t>
      </w:r>
      <w:r w:rsidR="006E25B7" w:rsidRPr="00ED6A76">
        <w:rPr>
          <w:rFonts w:asciiTheme="minorHAnsi" w:hAnsiTheme="minorHAnsi" w:cstheme="minorHAnsi"/>
          <w:color w:val="auto"/>
          <w:spacing w:val="-2"/>
          <w:sz w:val="20"/>
          <w:szCs w:val="20"/>
        </w:rPr>
        <w:t>requires</w:t>
      </w:r>
      <w:r w:rsidRPr="00ED6A76">
        <w:rPr>
          <w:rFonts w:asciiTheme="minorHAnsi" w:hAnsiTheme="minorHAnsi" w:cstheme="minorHAnsi"/>
          <w:color w:val="auto"/>
          <w:spacing w:val="-2"/>
          <w:sz w:val="20"/>
          <w:szCs w:val="20"/>
        </w:rPr>
        <w:t xml:space="preserve"> exploring th</w:t>
      </w:r>
      <w:r w:rsidR="006E25B7" w:rsidRPr="00ED6A76">
        <w:rPr>
          <w:rFonts w:asciiTheme="minorHAnsi" w:hAnsiTheme="minorHAnsi" w:cstheme="minorHAnsi"/>
          <w:color w:val="auto"/>
          <w:spacing w:val="-2"/>
          <w:sz w:val="20"/>
          <w:szCs w:val="20"/>
        </w:rPr>
        <w:t>at</w:t>
      </w:r>
      <w:r w:rsidRPr="00ED6A76">
        <w:rPr>
          <w:rFonts w:asciiTheme="minorHAnsi" w:hAnsiTheme="minorHAnsi" w:cstheme="minorHAnsi"/>
          <w:color w:val="auto"/>
          <w:spacing w:val="-2"/>
          <w:sz w:val="20"/>
          <w:szCs w:val="20"/>
        </w:rPr>
        <w:t xml:space="preserve"> classical element</w:t>
      </w:r>
      <w:r w:rsidR="003D6194"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beyond the usual consideration of </w:t>
      </w:r>
      <w:r w:rsidR="00F02FAE" w:rsidRPr="00ED6A76">
        <w:rPr>
          <w:rFonts w:asciiTheme="minorHAnsi" w:hAnsiTheme="minorHAnsi" w:cstheme="minorHAnsi"/>
          <w:color w:val="auto"/>
          <w:spacing w:val="-2"/>
          <w:sz w:val="20"/>
          <w:szCs w:val="20"/>
        </w:rPr>
        <w:t xml:space="preserve">landed </w:t>
      </w:r>
      <w:r w:rsidR="00EC2691" w:rsidRPr="00ED6A76">
        <w:rPr>
          <w:rFonts w:asciiTheme="minorHAnsi" w:hAnsiTheme="minorHAnsi" w:cstheme="minorHAnsi"/>
          <w:color w:val="auto"/>
          <w:spacing w:val="-2"/>
          <w:sz w:val="20"/>
          <w:szCs w:val="20"/>
        </w:rPr>
        <w:t xml:space="preserve">property, </w:t>
      </w:r>
      <w:r w:rsidR="00F02FAE" w:rsidRPr="00ED6A76">
        <w:rPr>
          <w:rFonts w:asciiTheme="minorHAnsi" w:hAnsiTheme="minorHAnsi" w:cstheme="minorHAnsi"/>
          <w:color w:val="auto"/>
          <w:spacing w:val="-2"/>
          <w:sz w:val="20"/>
          <w:szCs w:val="20"/>
        </w:rPr>
        <w:t xml:space="preserve">as </w:t>
      </w:r>
      <w:r w:rsidR="008A610C" w:rsidRPr="00ED6A76">
        <w:rPr>
          <w:rFonts w:asciiTheme="minorHAnsi" w:hAnsiTheme="minorHAnsi" w:cstheme="minorHAnsi"/>
          <w:color w:val="auto"/>
          <w:spacing w:val="-2"/>
          <w:sz w:val="20"/>
          <w:szCs w:val="20"/>
        </w:rPr>
        <w:t xml:space="preserve">is </w:t>
      </w:r>
      <w:r w:rsidR="00F02FAE" w:rsidRPr="00ED6A76">
        <w:rPr>
          <w:rFonts w:asciiTheme="minorHAnsi" w:hAnsiTheme="minorHAnsi" w:cstheme="minorHAnsi"/>
          <w:color w:val="auto"/>
          <w:spacing w:val="-2"/>
          <w:sz w:val="20"/>
          <w:szCs w:val="20"/>
        </w:rPr>
        <w:t>typical in domestic law</w:t>
      </w:r>
      <w:r w:rsidR="006410E5" w:rsidRPr="00ED6A76">
        <w:rPr>
          <w:rFonts w:asciiTheme="minorHAnsi" w:hAnsiTheme="minorHAnsi" w:cstheme="minorHAnsi"/>
          <w:color w:val="auto"/>
          <w:spacing w:val="-2"/>
          <w:sz w:val="20"/>
          <w:szCs w:val="20"/>
        </w:rPr>
        <w:t>, or as a factor/input of production in classical economics</w:t>
      </w:r>
      <w:r w:rsidR="00F02FAE" w:rsidRPr="00ED6A76">
        <w:rPr>
          <w:rFonts w:asciiTheme="minorHAnsi" w:hAnsiTheme="minorHAnsi" w:cstheme="minorHAnsi"/>
          <w:color w:val="auto"/>
          <w:spacing w:val="-2"/>
          <w:sz w:val="20"/>
          <w:szCs w:val="20"/>
        </w:rPr>
        <w:t xml:space="preserve">. Those references express </w:t>
      </w:r>
      <w:r w:rsidRPr="00ED6A76">
        <w:rPr>
          <w:rFonts w:asciiTheme="minorHAnsi" w:hAnsiTheme="minorHAnsi" w:cstheme="minorHAnsi"/>
          <w:color w:val="auto"/>
          <w:spacing w:val="-2"/>
          <w:sz w:val="20"/>
          <w:szCs w:val="20"/>
        </w:rPr>
        <w:t xml:space="preserve">a “right to land” as a material thing to be possessed </w:t>
      </w:r>
      <w:r w:rsidR="00EC2691" w:rsidRPr="00ED6A76">
        <w:rPr>
          <w:rFonts w:asciiTheme="minorHAnsi" w:hAnsiTheme="minorHAnsi" w:cstheme="minorHAnsi"/>
          <w:color w:val="auto"/>
          <w:spacing w:val="-2"/>
          <w:sz w:val="20"/>
          <w:szCs w:val="20"/>
        </w:rPr>
        <w:t>or exchanged</w:t>
      </w:r>
      <w:r w:rsidR="00F02FAE" w:rsidRPr="00ED6A76">
        <w:rPr>
          <w:rFonts w:asciiTheme="minorHAnsi" w:hAnsiTheme="minorHAnsi" w:cstheme="minorHAnsi"/>
          <w:color w:val="auto"/>
          <w:spacing w:val="-2"/>
          <w:sz w:val="20"/>
          <w:szCs w:val="20"/>
        </w:rPr>
        <w:t>, or even corresponding entitlements or privilege,</w:t>
      </w:r>
      <w:r w:rsidR="00EC2691" w:rsidRPr="00ED6A76">
        <w:rPr>
          <w:rFonts w:asciiTheme="minorHAnsi" w:hAnsiTheme="minorHAnsi" w:cstheme="minorHAnsi"/>
          <w:color w:val="auto"/>
          <w:spacing w:val="-2"/>
          <w:sz w:val="20"/>
          <w:szCs w:val="20"/>
        </w:rPr>
        <w:t xml:space="preserve"> </w:t>
      </w:r>
      <w:r w:rsidR="00F02FAE" w:rsidRPr="00ED6A76">
        <w:rPr>
          <w:rFonts w:asciiTheme="minorHAnsi" w:hAnsiTheme="minorHAnsi" w:cstheme="minorHAnsi"/>
          <w:color w:val="auto"/>
          <w:spacing w:val="-2"/>
          <w:sz w:val="20"/>
          <w:szCs w:val="20"/>
        </w:rPr>
        <w:t xml:space="preserve">toward the realization of </w:t>
      </w:r>
      <w:r w:rsidRPr="00ED6A76">
        <w:rPr>
          <w:rFonts w:asciiTheme="minorHAnsi" w:hAnsiTheme="minorHAnsi" w:cstheme="minorHAnsi"/>
          <w:color w:val="auto"/>
          <w:spacing w:val="-2"/>
          <w:sz w:val="20"/>
          <w:szCs w:val="20"/>
        </w:rPr>
        <w:t xml:space="preserve">other already-codified </w:t>
      </w:r>
      <w:r w:rsidR="00EC2691" w:rsidRPr="00ED6A76">
        <w:rPr>
          <w:rFonts w:asciiTheme="minorHAnsi" w:hAnsiTheme="minorHAnsi" w:cstheme="minorHAnsi"/>
          <w:color w:val="auto"/>
          <w:spacing w:val="-2"/>
          <w:sz w:val="20"/>
          <w:szCs w:val="20"/>
        </w:rPr>
        <w:t xml:space="preserve">economic </w:t>
      </w:r>
      <w:r w:rsidRPr="00ED6A76">
        <w:rPr>
          <w:rFonts w:asciiTheme="minorHAnsi" w:hAnsiTheme="minorHAnsi" w:cstheme="minorHAnsi"/>
          <w:color w:val="auto"/>
          <w:spacing w:val="-2"/>
          <w:sz w:val="20"/>
          <w:szCs w:val="20"/>
        </w:rPr>
        <w:t>human rights</w:t>
      </w:r>
      <w:r w:rsidR="00F02FAE" w:rsidRPr="00ED6A76">
        <w:rPr>
          <w:rFonts w:asciiTheme="minorHAnsi" w:hAnsiTheme="minorHAnsi" w:cstheme="minorHAnsi"/>
          <w:color w:val="auto"/>
          <w:spacing w:val="-2"/>
          <w:sz w:val="20"/>
          <w:szCs w:val="20"/>
        </w:rPr>
        <w:t>, even at the expense of the human rights of others</w:t>
      </w:r>
      <w:r w:rsidR="006E25B7" w:rsidRPr="00ED6A76">
        <w:rPr>
          <w:rFonts w:asciiTheme="minorHAnsi" w:hAnsiTheme="minorHAnsi" w:cstheme="minorHAnsi"/>
          <w:color w:val="auto"/>
          <w:spacing w:val="-2"/>
          <w:sz w:val="20"/>
          <w:szCs w:val="20"/>
        </w:rPr>
        <w:t xml:space="preserve"> less advantaged</w:t>
      </w:r>
      <w:r w:rsidRPr="00ED6A76">
        <w:rPr>
          <w:rFonts w:asciiTheme="minorHAnsi" w:hAnsiTheme="minorHAnsi" w:cstheme="minorHAnsi"/>
          <w:color w:val="auto"/>
          <w:spacing w:val="-2"/>
          <w:sz w:val="20"/>
          <w:szCs w:val="20"/>
        </w:rPr>
        <w:t>.</w:t>
      </w:r>
    </w:p>
    <w:p w14:paraId="3FB0ACA1"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The treatment of land as only a material object to be possessed or exchanged is not available to the guardians of, or states parties to ICESCR. For the Covenant enshrines no “human right to property” with corresponding state obligations. That right is only theorized in the narrow sense of </w:t>
      </w:r>
      <w:r w:rsidRPr="00ED6A76">
        <w:rPr>
          <w:rFonts w:asciiTheme="minorHAnsi" w:hAnsiTheme="minorHAnsi" w:cstheme="minorHAnsi"/>
          <w:i/>
          <w:iCs/>
          <w:color w:val="auto"/>
          <w:spacing w:val="-2"/>
          <w:sz w:val="20"/>
          <w:szCs w:val="20"/>
        </w:rPr>
        <w:t xml:space="preserve">ownership </w:t>
      </w:r>
      <w:r w:rsidRPr="00ED6A76">
        <w:rPr>
          <w:rFonts w:asciiTheme="minorHAnsi" w:hAnsiTheme="minorHAnsi" w:cstheme="minorHAnsi"/>
          <w:color w:val="auto"/>
          <w:spacing w:val="-2"/>
          <w:sz w:val="20"/>
          <w:szCs w:val="20"/>
        </w:rPr>
        <w:t>individually, or in association with others</w:t>
      </w:r>
      <w:r w:rsidR="008A610C"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in the Universal Declaration of Human Rights,</w:t>
      </w:r>
      <w:r w:rsidRPr="00ED6A76">
        <w:rPr>
          <w:rStyle w:val="EndnoteReference"/>
          <w:rFonts w:asciiTheme="minorHAnsi" w:hAnsiTheme="minorHAnsi" w:cstheme="minorHAnsi"/>
          <w:color w:val="auto"/>
          <w:spacing w:val="-2"/>
          <w:sz w:val="20"/>
          <w:szCs w:val="20"/>
        </w:rPr>
        <w:endnoteReference w:id="9"/>
      </w:r>
      <w:r w:rsidRPr="00ED6A76">
        <w:rPr>
          <w:rFonts w:asciiTheme="minorHAnsi" w:hAnsiTheme="minorHAnsi" w:cstheme="minorHAnsi"/>
          <w:color w:val="auto"/>
          <w:spacing w:val="-2"/>
          <w:sz w:val="20"/>
          <w:szCs w:val="20"/>
        </w:rPr>
        <w:t xml:space="preserve"> with no binding effect in international law, except as an unenforceable customary law principle.</w:t>
      </w:r>
    </w:p>
    <w:p w14:paraId="3A45DB74"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Thus, precisely because of this omission of a “human right to property, in ICESCR, it is </w:t>
      </w:r>
      <w:r w:rsidRPr="00ED6A76">
        <w:rPr>
          <w:rFonts w:asciiTheme="minorHAnsi" w:hAnsiTheme="minorHAnsi" w:cstheme="minorHAnsi"/>
          <w:i/>
          <w:iCs/>
          <w:color w:val="auto"/>
          <w:spacing w:val="-2"/>
          <w:sz w:val="20"/>
          <w:szCs w:val="20"/>
        </w:rPr>
        <w:t>the</w:t>
      </w:r>
      <w:r w:rsidRPr="00ED6A76">
        <w:rPr>
          <w:rFonts w:asciiTheme="minorHAnsi" w:hAnsiTheme="minorHAnsi" w:cstheme="minorHAnsi"/>
          <w:color w:val="auto"/>
          <w:spacing w:val="-2"/>
          <w:sz w:val="20"/>
          <w:szCs w:val="20"/>
        </w:rPr>
        <w:t xml:space="preserve"> appropriate instrument to frame the recognition and understanding of the human right to land, since its silence on property enables—indeed requires—a focus rather on the symbiotic relationship between the land and its people as a matter of equity</w:t>
      </w:r>
      <w:r w:rsidR="008A610C" w:rsidRPr="00ED6A76">
        <w:rPr>
          <w:rFonts w:asciiTheme="minorHAnsi" w:hAnsiTheme="minorHAnsi" w:cstheme="minorHAnsi"/>
          <w:color w:val="auto"/>
          <w:spacing w:val="-2"/>
          <w:sz w:val="20"/>
          <w:szCs w:val="20"/>
        </w:rPr>
        <w:t xml:space="preserve"> and human need</w:t>
      </w:r>
      <w:r w:rsidRPr="00ED6A76">
        <w:rPr>
          <w:rFonts w:asciiTheme="minorHAnsi" w:hAnsiTheme="minorHAnsi" w:cstheme="minorHAnsi"/>
          <w:color w:val="auto"/>
          <w:spacing w:val="-2"/>
          <w:sz w:val="20"/>
          <w:szCs w:val="20"/>
        </w:rPr>
        <w:t>, not merely as a subject of freehold tenure or exchange value. ICESCR also enables the simultaneous consideration of land’s combined economic, social and cultural dimensions.</w:t>
      </w:r>
    </w:p>
    <w:p w14:paraId="2500CDD4"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i/>
          <w:iCs/>
          <w:color w:val="auto"/>
          <w:spacing w:val="-2"/>
          <w:sz w:val="20"/>
          <w:szCs w:val="20"/>
        </w:rPr>
        <w:t>Legal Lacunæ</w:t>
      </w:r>
    </w:p>
    <w:p w14:paraId="7D3988B8" w14:textId="282E7410"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spacing w:val="-2"/>
          <w:sz w:val="20"/>
          <w:szCs w:val="20"/>
        </w:rPr>
      </w:pPr>
      <w:r w:rsidRPr="00ED6A76">
        <w:rPr>
          <w:rFonts w:asciiTheme="minorHAnsi" w:hAnsiTheme="minorHAnsi" w:cstheme="minorHAnsi"/>
          <w:spacing w:val="-2"/>
          <w:sz w:val="20"/>
          <w:szCs w:val="20"/>
        </w:rPr>
        <w:t xml:space="preserve">Human reproduction, population dynamics, sustainable development, politics, participation in culture and </w:t>
      </w:r>
      <w:r w:rsidR="00F12B71" w:rsidRPr="00ED6A76">
        <w:rPr>
          <w:rFonts w:asciiTheme="minorHAnsi" w:hAnsiTheme="minorHAnsi" w:cstheme="minorHAnsi"/>
          <w:spacing w:val="-2"/>
          <w:sz w:val="20"/>
          <w:szCs w:val="20"/>
        </w:rPr>
        <w:t xml:space="preserve">the </w:t>
      </w:r>
      <w:r w:rsidRPr="00ED6A76">
        <w:rPr>
          <w:rFonts w:asciiTheme="minorHAnsi" w:hAnsiTheme="minorHAnsi" w:cstheme="minorHAnsi"/>
          <w:spacing w:val="-2"/>
          <w:sz w:val="20"/>
          <w:szCs w:val="20"/>
        </w:rPr>
        <w:t>econom</w:t>
      </w:r>
      <w:r w:rsidR="00F12B71" w:rsidRPr="00ED6A76">
        <w:rPr>
          <w:rFonts w:asciiTheme="minorHAnsi" w:hAnsiTheme="minorHAnsi" w:cstheme="minorHAnsi"/>
          <w:spacing w:val="-2"/>
          <w:sz w:val="20"/>
          <w:szCs w:val="20"/>
        </w:rPr>
        <w:t>y</w:t>
      </w:r>
      <w:r w:rsidRPr="00ED6A76">
        <w:rPr>
          <w:rFonts w:asciiTheme="minorHAnsi" w:hAnsiTheme="minorHAnsi" w:cstheme="minorHAnsi"/>
          <w:spacing w:val="-2"/>
          <w:sz w:val="20"/>
          <w:szCs w:val="20"/>
        </w:rPr>
        <w:t xml:space="preserve"> are broad categories of human endeavor that depend upon land. More-specific contexts requiring an appreciation of the human need and, therefore, human right to land include human settlements, housing and urbanization; rural and terri</w:t>
      </w:r>
      <w:r w:rsidRPr="00ED6A76">
        <w:rPr>
          <w:rFonts w:asciiTheme="minorHAnsi" w:hAnsiTheme="minorHAnsi" w:cstheme="minorHAnsi"/>
          <w:spacing w:val="-2"/>
          <w:sz w:val="20"/>
          <w:szCs w:val="20"/>
        </w:rPr>
        <w:lastRenderedPageBreak/>
        <w:t xml:space="preserve">torial development; governance; urban </w:t>
      </w:r>
      <w:r w:rsidR="008A610C" w:rsidRPr="00ED6A76">
        <w:rPr>
          <w:rFonts w:asciiTheme="minorHAnsi" w:hAnsiTheme="minorHAnsi" w:cstheme="minorHAnsi"/>
          <w:spacing w:val="-2"/>
          <w:sz w:val="20"/>
          <w:szCs w:val="20"/>
        </w:rPr>
        <w:t>planning</w:t>
      </w:r>
      <w:r w:rsidRPr="00ED6A76">
        <w:rPr>
          <w:rFonts w:asciiTheme="minorHAnsi" w:hAnsiTheme="minorHAnsi" w:cstheme="minorHAnsi"/>
          <w:spacing w:val="-2"/>
          <w:sz w:val="20"/>
          <w:szCs w:val="20"/>
        </w:rPr>
        <w:t>; conflict resolution and peace-making; natural and other resource allocation for public and private purposes; environmental policy, project implementation; extractivism; infrastructure development; environmental protection; nature conservation; biodiversity protection and preservation; climate change; trade and investment; food security, food sovereignty and food systems; non-self-governing territories; foreign occupation</w:t>
      </w:r>
      <w:r w:rsidR="00F12B71" w:rsidRPr="00ED6A76">
        <w:rPr>
          <w:rFonts w:asciiTheme="minorHAnsi" w:hAnsiTheme="minorHAnsi" w:cstheme="minorHAnsi"/>
          <w:spacing w:val="-2"/>
          <w:sz w:val="20"/>
          <w:szCs w:val="20"/>
        </w:rPr>
        <w:t>, colonization</w:t>
      </w:r>
      <w:r w:rsidRPr="00ED6A76">
        <w:rPr>
          <w:rFonts w:asciiTheme="minorHAnsi" w:hAnsiTheme="minorHAnsi" w:cstheme="minorHAnsi"/>
          <w:spacing w:val="-2"/>
          <w:sz w:val="20"/>
          <w:szCs w:val="20"/>
        </w:rPr>
        <w:t xml:space="preserve"> and the exercise of nation’s and peoples’ self-determination and its economic, social and cultural human rights dimensions. </w:t>
      </w:r>
    </w:p>
    <w:p w14:paraId="2AE50BF1"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spacing w:val="-2"/>
          <w:sz w:val="20"/>
          <w:szCs w:val="20"/>
        </w:rPr>
        <w:t xml:space="preserve">Human rights law </w:t>
      </w:r>
      <w:r w:rsidR="008A610C" w:rsidRPr="00ED6A76">
        <w:rPr>
          <w:rFonts w:asciiTheme="minorHAnsi" w:hAnsiTheme="minorHAnsi" w:cstheme="minorHAnsi"/>
          <w:spacing w:val="-2"/>
          <w:sz w:val="20"/>
          <w:szCs w:val="20"/>
        </w:rPr>
        <w:t xml:space="preserve">and global policy ostensibly aligned with human rights </w:t>
      </w:r>
      <w:r w:rsidRPr="00ED6A76">
        <w:rPr>
          <w:rFonts w:asciiTheme="minorHAnsi" w:hAnsiTheme="minorHAnsi" w:cstheme="minorHAnsi"/>
          <w:spacing w:val="-2"/>
          <w:sz w:val="20"/>
          <w:szCs w:val="20"/>
        </w:rPr>
        <w:t xml:space="preserve">establish criteria for each of these human endeavors, but the guidance </w:t>
      </w:r>
      <w:r w:rsidR="00C734E3" w:rsidRPr="00ED6A76">
        <w:rPr>
          <w:rFonts w:asciiTheme="minorHAnsi" w:hAnsiTheme="minorHAnsi" w:cstheme="minorHAnsi"/>
          <w:spacing w:val="-2"/>
          <w:sz w:val="20"/>
          <w:szCs w:val="20"/>
        </w:rPr>
        <w:t>until now</w:t>
      </w:r>
      <w:r w:rsidR="008A610C" w:rsidRPr="00ED6A76">
        <w:rPr>
          <w:rFonts w:asciiTheme="minorHAnsi" w:hAnsiTheme="minorHAnsi" w:cstheme="minorHAnsi"/>
          <w:spacing w:val="-2"/>
          <w:sz w:val="20"/>
          <w:szCs w:val="20"/>
        </w:rPr>
        <w:t xml:space="preserve"> </w:t>
      </w:r>
      <w:r w:rsidR="00C734E3" w:rsidRPr="00ED6A76">
        <w:rPr>
          <w:rFonts w:asciiTheme="minorHAnsi" w:hAnsiTheme="minorHAnsi" w:cstheme="minorHAnsi"/>
          <w:spacing w:val="-2"/>
          <w:sz w:val="20"/>
          <w:szCs w:val="20"/>
        </w:rPr>
        <w:t xml:space="preserve">remains </w:t>
      </w:r>
      <w:r w:rsidRPr="00ED6A76">
        <w:rPr>
          <w:rFonts w:asciiTheme="minorHAnsi" w:hAnsiTheme="minorHAnsi" w:cstheme="minorHAnsi"/>
          <w:spacing w:val="-2"/>
          <w:sz w:val="20"/>
          <w:szCs w:val="20"/>
        </w:rPr>
        <w:t>general and non-specific as to the position of human rights applied to land, an essential element in each pursuit. As every complex task requires getting the theory right, constructing a “human right to land” requires a multidisciplinary approach found at the con</w:t>
      </w:r>
      <w:r w:rsidR="00C734E3" w:rsidRPr="00ED6A76">
        <w:rPr>
          <w:rFonts w:asciiTheme="minorHAnsi" w:hAnsiTheme="minorHAnsi" w:cstheme="minorHAnsi"/>
          <w:spacing w:val="-2"/>
          <w:sz w:val="20"/>
          <w:szCs w:val="20"/>
        </w:rPr>
        <w:t>flu</w:t>
      </w:r>
      <w:r w:rsidRPr="00ED6A76">
        <w:rPr>
          <w:rFonts w:asciiTheme="minorHAnsi" w:hAnsiTheme="minorHAnsi" w:cstheme="minorHAnsi"/>
          <w:spacing w:val="-2"/>
          <w:sz w:val="20"/>
          <w:szCs w:val="20"/>
        </w:rPr>
        <w:t>ence of legal, social and physical sciences, a</w:t>
      </w:r>
      <w:r w:rsidR="00C734E3" w:rsidRPr="00ED6A76">
        <w:rPr>
          <w:rFonts w:asciiTheme="minorHAnsi" w:hAnsiTheme="minorHAnsi" w:cstheme="minorHAnsi"/>
          <w:spacing w:val="-2"/>
          <w:sz w:val="20"/>
          <w:szCs w:val="20"/>
        </w:rPr>
        <w:t>s well as</w:t>
      </w:r>
      <w:r w:rsidRPr="00ED6A76">
        <w:rPr>
          <w:rFonts w:asciiTheme="minorHAnsi" w:hAnsiTheme="minorHAnsi" w:cstheme="minorHAnsi"/>
          <w:spacing w:val="-2"/>
          <w:sz w:val="20"/>
          <w:szCs w:val="20"/>
        </w:rPr>
        <w:t xml:space="preserve"> evidence-informed practice. Of these, the law—i.e., international human rights law—remains the weakest link and latest-coming of all theoretical fields. As mentioned, more-developed domestic law </w:t>
      </w:r>
      <w:r w:rsidR="00CB5C7F" w:rsidRPr="00ED6A76">
        <w:rPr>
          <w:rFonts w:asciiTheme="minorHAnsi" w:hAnsiTheme="minorHAnsi" w:cstheme="minorHAnsi"/>
          <w:spacing w:val="-2"/>
          <w:sz w:val="20"/>
          <w:szCs w:val="20"/>
        </w:rPr>
        <w:t xml:space="preserve">pertaining to land </w:t>
      </w:r>
      <w:r w:rsidRPr="00ED6A76">
        <w:rPr>
          <w:rFonts w:asciiTheme="minorHAnsi" w:hAnsiTheme="minorHAnsi" w:cstheme="minorHAnsi"/>
          <w:spacing w:val="-2"/>
          <w:sz w:val="20"/>
          <w:szCs w:val="20"/>
        </w:rPr>
        <w:t xml:space="preserve">only treats land as a property to be held and exchanged for ulterior purposes. Therefore, the consideration of land as a </w:t>
      </w:r>
      <w:r w:rsidR="00CB5C7F" w:rsidRPr="00ED6A76">
        <w:rPr>
          <w:rFonts w:asciiTheme="minorHAnsi" w:hAnsiTheme="minorHAnsi" w:cstheme="minorHAnsi"/>
          <w:spacing w:val="-2"/>
          <w:sz w:val="20"/>
          <w:szCs w:val="20"/>
        </w:rPr>
        <w:t xml:space="preserve">discrete </w:t>
      </w:r>
      <w:r w:rsidRPr="00ED6A76">
        <w:rPr>
          <w:rFonts w:asciiTheme="minorHAnsi" w:hAnsiTheme="minorHAnsi" w:cstheme="minorHAnsi"/>
          <w:spacing w:val="-2"/>
          <w:sz w:val="20"/>
          <w:szCs w:val="20"/>
        </w:rPr>
        <w:t>subject of international law governing states’ human rights behavior has little choice but to rely on the other</w:t>
      </w:r>
      <w:r w:rsidR="00C734E3" w:rsidRPr="00ED6A76">
        <w:rPr>
          <w:rFonts w:asciiTheme="minorHAnsi" w:hAnsiTheme="minorHAnsi" w:cstheme="minorHAnsi"/>
          <w:spacing w:val="-2"/>
          <w:sz w:val="20"/>
          <w:szCs w:val="20"/>
        </w:rPr>
        <w:t>,</w:t>
      </w:r>
      <w:r w:rsidRPr="00ED6A76">
        <w:rPr>
          <w:rFonts w:asciiTheme="minorHAnsi" w:hAnsiTheme="minorHAnsi" w:cstheme="minorHAnsi"/>
          <w:spacing w:val="-2"/>
          <w:sz w:val="20"/>
          <w:szCs w:val="20"/>
        </w:rPr>
        <w:t xml:space="preserve"> more-advanced fields relating to the subject.</w:t>
      </w:r>
    </w:p>
    <w:p w14:paraId="3007F2CB"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 xml:space="preserve">A strictly legal case could rest on black-letter treaty law, in particular, the provisions of the Covenant and its jurisprudence, CESCR’s state-party reviews, as well as relevant general principles and peremptory norms of international law. However, </w:t>
      </w:r>
      <w:r w:rsidR="00C734E3" w:rsidRPr="00ED6A76">
        <w:rPr>
          <w:rFonts w:asciiTheme="minorHAnsi" w:hAnsiTheme="minorHAnsi" w:cstheme="minorHAnsi"/>
          <w:color w:val="auto"/>
          <w:spacing w:val="-2"/>
          <w:sz w:val="20"/>
          <w:szCs w:val="20"/>
        </w:rPr>
        <w:t xml:space="preserve">such </w:t>
      </w:r>
      <w:r w:rsidRPr="00ED6A76">
        <w:rPr>
          <w:rFonts w:asciiTheme="minorHAnsi" w:hAnsiTheme="minorHAnsi" w:cstheme="minorHAnsi"/>
          <w:color w:val="auto"/>
          <w:spacing w:val="-2"/>
          <w:sz w:val="20"/>
          <w:szCs w:val="20"/>
        </w:rPr>
        <w:t xml:space="preserve">a legalistic approach </w:t>
      </w:r>
      <w:r w:rsidR="00C734E3" w:rsidRPr="00ED6A76">
        <w:rPr>
          <w:rFonts w:asciiTheme="minorHAnsi" w:hAnsiTheme="minorHAnsi" w:cstheme="minorHAnsi"/>
          <w:color w:val="auto"/>
          <w:spacing w:val="-2"/>
          <w:sz w:val="20"/>
          <w:szCs w:val="20"/>
        </w:rPr>
        <w:t>would be</w:t>
      </w:r>
      <w:r w:rsidRPr="00ED6A76">
        <w:rPr>
          <w:rFonts w:asciiTheme="minorHAnsi" w:hAnsiTheme="minorHAnsi" w:cstheme="minorHAnsi"/>
          <w:color w:val="auto"/>
          <w:spacing w:val="-2"/>
          <w:sz w:val="20"/>
          <w:szCs w:val="20"/>
        </w:rPr>
        <w:t xml:space="preserve"> insufficient, since the available case law, so far, also has demurred on the question of land as a human right. </w:t>
      </w:r>
    </w:p>
    <w:p w14:paraId="3BFA3235"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Therefore, other disciplines are needed to complement the lawyer’s usual references and tools of the trade. The social sciences offer crucial sources on the theories of human need</w:t>
      </w:r>
      <w:r w:rsidRPr="00ED6A76">
        <w:rPr>
          <w:rStyle w:val="EndnoteReference"/>
          <w:rFonts w:asciiTheme="minorHAnsi" w:hAnsiTheme="minorHAnsi" w:cstheme="minorHAnsi"/>
          <w:color w:val="auto"/>
          <w:spacing w:val="-2"/>
          <w:sz w:val="20"/>
          <w:szCs w:val="20"/>
        </w:rPr>
        <w:endnoteReference w:id="10"/>
      </w:r>
      <w:r w:rsidRPr="00ED6A76">
        <w:rPr>
          <w:rFonts w:asciiTheme="minorHAnsi" w:hAnsiTheme="minorHAnsi" w:cstheme="minorHAnsi"/>
          <w:color w:val="auto"/>
          <w:spacing w:val="-2"/>
          <w:sz w:val="20"/>
          <w:szCs w:val="20"/>
        </w:rPr>
        <w:t xml:space="preserve"> and justice,</w:t>
      </w:r>
      <w:r w:rsidRPr="00ED6A76">
        <w:rPr>
          <w:rStyle w:val="EndnoteReference"/>
          <w:rFonts w:asciiTheme="minorHAnsi" w:hAnsiTheme="minorHAnsi" w:cstheme="minorHAnsi"/>
          <w:color w:val="auto"/>
          <w:spacing w:val="-2"/>
          <w:sz w:val="20"/>
          <w:szCs w:val="20"/>
        </w:rPr>
        <w:endnoteReference w:id="11"/>
      </w:r>
      <w:r w:rsidRPr="00ED6A76">
        <w:rPr>
          <w:rFonts w:asciiTheme="minorHAnsi" w:hAnsiTheme="minorHAnsi" w:cstheme="minorHAnsi"/>
          <w:color w:val="auto"/>
          <w:spacing w:val="-2"/>
          <w:sz w:val="20"/>
          <w:szCs w:val="20"/>
        </w:rPr>
        <w:t xml:space="preserve"> but these only infer the importance of land to human well-being.</w:t>
      </w:r>
      <w:r w:rsidR="00CB5C7F" w:rsidRPr="00ED6A76">
        <w:rPr>
          <w:rFonts w:asciiTheme="minorHAnsi" w:hAnsiTheme="minorHAnsi" w:cstheme="minorHAnsi"/>
          <w:color w:val="auto"/>
          <w:spacing w:val="-2"/>
          <w:sz w:val="20"/>
          <w:szCs w:val="20"/>
        </w:rPr>
        <w:t xml:space="preserve"> Economic theory addresses the process by which land</w:t>
      </w:r>
      <w:r w:rsidR="007D14C8" w:rsidRPr="00ED6A76">
        <w:rPr>
          <w:rFonts w:asciiTheme="minorHAnsi" w:hAnsiTheme="minorHAnsi" w:cstheme="minorHAnsi"/>
          <w:color w:val="auto"/>
          <w:spacing w:val="-2"/>
          <w:sz w:val="20"/>
          <w:szCs w:val="20"/>
        </w:rPr>
        <w:t>, as capital,</w:t>
      </w:r>
      <w:r w:rsidR="00CB5C7F" w:rsidRPr="00ED6A76">
        <w:rPr>
          <w:rFonts w:asciiTheme="minorHAnsi" w:hAnsiTheme="minorHAnsi" w:cstheme="minorHAnsi"/>
          <w:color w:val="auto"/>
          <w:spacing w:val="-2"/>
          <w:sz w:val="20"/>
          <w:szCs w:val="20"/>
        </w:rPr>
        <w:t xml:space="preserve"> becomes a commodity</w:t>
      </w:r>
      <w:r w:rsidR="007D14C8" w:rsidRPr="00ED6A76">
        <w:rPr>
          <w:rFonts w:asciiTheme="minorHAnsi" w:hAnsiTheme="minorHAnsi" w:cstheme="minorHAnsi"/>
          <w:color w:val="auto"/>
          <w:spacing w:val="-2"/>
          <w:sz w:val="20"/>
          <w:szCs w:val="20"/>
        </w:rPr>
        <w:t xml:space="preserve"> (</w:t>
      </w:r>
      <w:r w:rsidR="001C1FB4" w:rsidRPr="00ED6A76">
        <w:rPr>
          <w:rFonts w:asciiTheme="minorHAnsi" w:hAnsiTheme="minorHAnsi" w:cstheme="minorHAnsi"/>
          <w:color w:val="auto"/>
          <w:spacing w:val="-2"/>
          <w:sz w:val="20"/>
          <w:szCs w:val="20"/>
        </w:rPr>
        <w:t>wheth</w:t>
      </w:r>
      <w:r w:rsidR="007D14C8" w:rsidRPr="00ED6A76">
        <w:rPr>
          <w:rFonts w:asciiTheme="minorHAnsi" w:hAnsiTheme="minorHAnsi" w:cstheme="minorHAnsi"/>
          <w:color w:val="auto"/>
          <w:spacing w:val="-2"/>
          <w:sz w:val="20"/>
          <w:szCs w:val="20"/>
        </w:rPr>
        <w:t xml:space="preserve">er </w:t>
      </w:r>
      <w:r w:rsidR="0032676E" w:rsidRPr="00ED6A76">
        <w:rPr>
          <w:rFonts w:asciiTheme="minorHAnsi" w:hAnsiTheme="minorHAnsi" w:cstheme="minorHAnsi"/>
          <w:color w:val="auto"/>
          <w:spacing w:val="-2"/>
          <w:sz w:val="20"/>
          <w:szCs w:val="20"/>
        </w:rPr>
        <w:t xml:space="preserve">real or </w:t>
      </w:r>
      <w:r w:rsidR="007D14C8" w:rsidRPr="00ED6A76">
        <w:rPr>
          <w:rFonts w:asciiTheme="minorHAnsi" w:hAnsiTheme="minorHAnsi" w:cstheme="minorHAnsi"/>
          <w:color w:val="auto"/>
          <w:spacing w:val="-2"/>
          <w:sz w:val="20"/>
          <w:szCs w:val="20"/>
        </w:rPr>
        <w:t>fictitious)</w:t>
      </w:r>
      <w:r w:rsidR="00CB5C7F" w:rsidRPr="00ED6A76">
        <w:rPr>
          <w:rFonts w:asciiTheme="minorHAnsi" w:hAnsiTheme="minorHAnsi" w:cstheme="minorHAnsi"/>
          <w:color w:val="auto"/>
          <w:spacing w:val="-2"/>
          <w:sz w:val="20"/>
          <w:szCs w:val="20"/>
        </w:rPr>
        <w:t>.</w:t>
      </w:r>
      <w:r w:rsidR="00CB5C7F" w:rsidRPr="00ED6A76">
        <w:rPr>
          <w:rStyle w:val="EndnoteReference"/>
          <w:rFonts w:asciiTheme="minorHAnsi" w:hAnsiTheme="minorHAnsi" w:cstheme="minorHAnsi"/>
          <w:color w:val="auto"/>
          <w:spacing w:val="-2"/>
          <w:sz w:val="20"/>
          <w:szCs w:val="20"/>
        </w:rPr>
        <w:endnoteReference w:id="12"/>
      </w:r>
    </w:p>
    <w:p w14:paraId="7677F412"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b/>
          <w:bCs/>
          <w:color w:val="auto"/>
          <w:spacing w:val="-2"/>
          <w:sz w:val="20"/>
          <w:szCs w:val="20"/>
        </w:rPr>
      </w:pPr>
      <w:r w:rsidRPr="00ED6A76">
        <w:rPr>
          <w:rFonts w:asciiTheme="minorHAnsi" w:hAnsiTheme="minorHAnsi" w:cstheme="minorHAnsi"/>
          <w:b/>
          <w:bCs/>
          <w:color w:val="auto"/>
          <w:spacing w:val="-2"/>
          <w:sz w:val="20"/>
          <w:szCs w:val="20"/>
        </w:rPr>
        <w:t>The Universal Human Need for Land</w:t>
      </w:r>
    </w:p>
    <w:p w14:paraId="487B5F06" w14:textId="00417C75"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Complementing legal philosophy and beyond ideological considerations, the physical sciences bring needed clarity to the essential nature of this classical element of land</w:t>
      </w:r>
      <w:r w:rsidRPr="00ED6A76">
        <w:rPr>
          <w:rStyle w:val="EndnoteReference"/>
          <w:rFonts w:asciiTheme="minorHAnsi" w:hAnsiTheme="minorHAnsi" w:cstheme="minorHAnsi"/>
          <w:color w:val="auto"/>
          <w:spacing w:val="-2"/>
          <w:sz w:val="20"/>
          <w:szCs w:val="20"/>
        </w:rPr>
        <w:endnoteReference w:id="13"/>
      </w:r>
      <w:r w:rsidRPr="00ED6A76">
        <w:rPr>
          <w:rFonts w:asciiTheme="minorHAnsi" w:hAnsiTheme="minorHAnsi" w:cstheme="minorHAnsi"/>
          <w:color w:val="auto"/>
          <w:spacing w:val="-2"/>
          <w:sz w:val="20"/>
          <w:szCs w:val="20"/>
        </w:rPr>
        <w:t xml:space="preserve"> as a requisite to human well-being, dignity, </w:t>
      </w:r>
      <w:r w:rsidR="00C734E3" w:rsidRPr="00ED6A76">
        <w:rPr>
          <w:rFonts w:asciiTheme="minorHAnsi" w:hAnsiTheme="minorHAnsi" w:cstheme="minorHAnsi"/>
          <w:color w:val="auto"/>
          <w:spacing w:val="-2"/>
          <w:sz w:val="20"/>
          <w:szCs w:val="20"/>
        </w:rPr>
        <w:t>physical growth</w:t>
      </w:r>
      <w:r w:rsidRPr="00ED6A76">
        <w:rPr>
          <w:rFonts w:asciiTheme="minorHAnsi" w:hAnsiTheme="minorHAnsi" w:cstheme="minorHAnsi"/>
          <w:color w:val="auto"/>
          <w:spacing w:val="-2"/>
          <w:sz w:val="20"/>
          <w:szCs w:val="20"/>
        </w:rPr>
        <w:t xml:space="preserve"> and, indeed, survival. Thus, </w:t>
      </w:r>
      <w:r w:rsidR="00CB5C7F" w:rsidRPr="00ED6A76">
        <w:rPr>
          <w:rFonts w:asciiTheme="minorHAnsi" w:hAnsiTheme="minorHAnsi" w:cstheme="minorHAnsi"/>
          <w:color w:val="auto"/>
          <w:spacing w:val="-2"/>
          <w:sz w:val="20"/>
          <w:szCs w:val="20"/>
        </w:rPr>
        <w:t>a</w:t>
      </w:r>
      <w:r w:rsidRPr="00ED6A76">
        <w:rPr>
          <w:rFonts w:asciiTheme="minorHAnsi" w:hAnsiTheme="minorHAnsi" w:cstheme="minorHAnsi"/>
          <w:color w:val="auto"/>
          <w:spacing w:val="-2"/>
          <w:sz w:val="20"/>
          <w:szCs w:val="20"/>
        </w:rPr>
        <w:t xml:space="preserve"> hybrid approach is indispensable to understanding the normative content of the human right to </w:t>
      </w:r>
      <w:r w:rsidRPr="00ED6A76">
        <w:rPr>
          <w:rFonts w:asciiTheme="minorHAnsi" w:hAnsiTheme="minorHAnsi" w:cstheme="minorHAnsi"/>
          <w:color w:val="auto"/>
          <w:spacing w:val="-2"/>
          <w:sz w:val="20"/>
          <w:szCs w:val="20"/>
        </w:rPr>
        <w:lastRenderedPageBreak/>
        <w:t xml:space="preserve">land through the inextricable link between land and humans’ physiological (and </w:t>
      </w:r>
      <w:r w:rsidR="00CB5C7F" w:rsidRPr="00ED6A76">
        <w:rPr>
          <w:rFonts w:asciiTheme="minorHAnsi" w:hAnsiTheme="minorHAnsi" w:cstheme="minorHAnsi"/>
          <w:color w:val="auto"/>
          <w:spacing w:val="-2"/>
          <w:sz w:val="20"/>
          <w:szCs w:val="20"/>
        </w:rPr>
        <w:t xml:space="preserve">related </w:t>
      </w:r>
      <w:r w:rsidRPr="00ED6A76">
        <w:rPr>
          <w:rFonts w:asciiTheme="minorHAnsi" w:hAnsiTheme="minorHAnsi" w:cstheme="minorHAnsi"/>
          <w:color w:val="auto"/>
          <w:spacing w:val="-2"/>
          <w:sz w:val="20"/>
          <w:szCs w:val="20"/>
        </w:rPr>
        <w:t xml:space="preserve">spiritual) needs. And this within a framework of equity and social justice, which is where human rights discipline comes in. </w:t>
      </w:r>
    </w:p>
    <w:p w14:paraId="62AFD360"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Establishing this hybrid construct is the first logical step to be taken before applying the human right to land of particular groups and in various circumstances.</w:t>
      </w:r>
      <w:r w:rsidRPr="00ED6A76">
        <w:rPr>
          <w:rFonts w:asciiTheme="minorHAnsi" w:hAnsiTheme="minorHAnsi" w:cstheme="minorHAnsi"/>
          <w:spacing w:val="-2"/>
          <w:sz w:val="20"/>
          <w:szCs w:val="20"/>
        </w:rPr>
        <w:t xml:space="preserve"> Such a forensic method has operated in the emergence of water (and sanitation) as a human right, first elaborated in the CESCR’s legal interpretation of state parties’ related obligations under ICESCR,</w:t>
      </w:r>
      <w:r w:rsidRPr="00ED6A76">
        <w:rPr>
          <w:rStyle w:val="EndnoteReference"/>
          <w:rFonts w:asciiTheme="minorHAnsi" w:hAnsiTheme="minorHAnsi" w:cstheme="minorHAnsi"/>
          <w:spacing w:val="-2"/>
          <w:sz w:val="20"/>
          <w:szCs w:val="20"/>
        </w:rPr>
        <w:endnoteReference w:id="14"/>
      </w:r>
      <w:r w:rsidRPr="00ED6A76">
        <w:rPr>
          <w:rFonts w:asciiTheme="minorHAnsi" w:hAnsiTheme="minorHAnsi" w:cstheme="minorHAnsi"/>
          <w:spacing w:val="-2"/>
          <w:sz w:val="20"/>
          <w:szCs w:val="20"/>
        </w:rPr>
        <w:t xml:space="preserve"> and then as adopted by the UN General Assembly.</w:t>
      </w:r>
      <w:r w:rsidRPr="00ED6A76">
        <w:rPr>
          <w:rStyle w:val="EndnoteReference"/>
          <w:rFonts w:asciiTheme="minorHAnsi" w:hAnsiTheme="minorHAnsi" w:cstheme="minorHAnsi"/>
          <w:spacing w:val="-2"/>
          <w:sz w:val="20"/>
          <w:szCs w:val="20"/>
        </w:rPr>
        <w:endnoteReference w:id="15"/>
      </w:r>
      <w:r w:rsidRPr="00ED6A76">
        <w:rPr>
          <w:rFonts w:asciiTheme="minorHAnsi" w:hAnsiTheme="minorHAnsi" w:cstheme="minorHAnsi"/>
          <w:spacing w:val="-2"/>
          <w:sz w:val="20"/>
          <w:szCs w:val="20"/>
        </w:rPr>
        <w:t xml:space="preserve"> By comparison, the codification model of the human right to water is especially apt, since that classic element also evaded the drafters and negotiators of ICESCR.</w:t>
      </w:r>
    </w:p>
    <w:p w14:paraId="7E1A4FA6"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i/>
          <w:iCs/>
          <w:color w:val="auto"/>
          <w:spacing w:val="-2"/>
          <w:sz w:val="20"/>
          <w:szCs w:val="20"/>
        </w:rPr>
        <w:t>Normative Content</w:t>
      </w:r>
      <w:r w:rsidR="00CC1B3C" w:rsidRPr="00ED6A76">
        <w:rPr>
          <w:rFonts w:asciiTheme="minorHAnsi" w:hAnsiTheme="minorHAnsi" w:cstheme="minorHAnsi"/>
          <w:i/>
          <w:iCs/>
          <w:color w:val="auto"/>
          <w:spacing w:val="-2"/>
          <w:sz w:val="20"/>
          <w:szCs w:val="20"/>
        </w:rPr>
        <w:t xml:space="preserve"> Derived from Science</w:t>
      </w:r>
    </w:p>
    <w:p w14:paraId="2D6E2934" w14:textId="73076E31"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spacing w:val="-2"/>
          <w:sz w:val="20"/>
          <w:szCs w:val="20"/>
        </w:rPr>
        <w:t xml:space="preserve">The recognition and elaboration of land as a human right in international law would both complement and remain distinct from domestic legislation regulating land, which primarily treats the property relationship of </w:t>
      </w:r>
      <w:r w:rsidR="00CB5C7F" w:rsidRPr="00ED6A76">
        <w:rPr>
          <w:rFonts w:asciiTheme="minorHAnsi" w:hAnsiTheme="minorHAnsi" w:cstheme="minorHAnsi"/>
          <w:spacing w:val="-2"/>
          <w:sz w:val="20"/>
          <w:szCs w:val="20"/>
        </w:rPr>
        <w:t xml:space="preserve">natural and </w:t>
      </w:r>
      <w:r w:rsidRPr="00ED6A76">
        <w:rPr>
          <w:rFonts w:asciiTheme="minorHAnsi" w:hAnsiTheme="minorHAnsi" w:cstheme="minorHAnsi"/>
          <w:spacing w:val="-2"/>
          <w:sz w:val="20"/>
          <w:szCs w:val="20"/>
        </w:rPr>
        <w:t>legal persons with real property. Rather, land, analogous to water, constitutes an element upon which human life, dignity and well-being depend.</w:t>
      </w:r>
    </w:p>
    <w:p w14:paraId="526E8425" w14:textId="5D229EEF"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spacing w:val="-2"/>
          <w:sz w:val="20"/>
          <w:szCs w:val="20"/>
        </w:rPr>
        <w:t xml:space="preserve">As any internationally recognized human right must pass the test of universality, the value or condition recognized as a human right must relate to a commonly shared human need for a life of well-being with dignity, not only to certain segments of society, or in particular circumstances. </w:t>
      </w:r>
      <w:r w:rsidRPr="00ED6A76">
        <w:rPr>
          <w:rFonts w:asciiTheme="minorHAnsi" w:hAnsiTheme="minorHAnsi" w:cstheme="minorHAnsi"/>
          <w:color w:val="auto"/>
          <w:spacing w:val="-2"/>
          <w:sz w:val="20"/>
          <w:szCs w:val="20"/>
        </w:rPr>
        <w:t>Land is always and everywhere one such essential natural resource of finite quantity and a public good fundamental</w:t>
      </w:r>
      <w:r w:rsidRPr="00ED6A76">
        <w:rPr>
          <w:rFonts w:asciiTheme="minorHAnsi" w:hAnsiTheme="minorHAnsi" w:cstheme="minorHAnsi"/>
          <w:i/>
          <w:color w:val="auto"/>
          <w:spacing w:val="-2"/>
          <w:sz w:val="20"/>
          <w:szCs w:val="20"/>
        </w:rPr>
        <w:t xml:space="preserve"> </w:t>
      </w:r>
      <w:r w:rsidRPr="00ED6A76">
        <w:rPr>
          <w:rFonts w:asciiTheme="minorHAnsi" w:hAnsiTheme="minorHAnsi" w:cstheme="minorHAnsi"/>
          <w:iCs/>
          <w:color w:val="auto"/>
          <w:spacing w:val="-2"/>
          <w:sz w:val="20"/>
          <w:szCs w:val="20"/>
        </w:rPr>
        <w:t>to a life</w:t>
      </w:r>
      <w:r w:rsidRPr="00ED6A76">
        <w:rPr>
          <w:rFonts w:asciiTheme="minorHAnsi" w:hAnsiTheme="minorHAnsi" w:cstheme="minorHAnsi"/>
          <w:i/>
          <w:color w:val="auto"/>
          <w:spacing w:val="-2"/>
          <w:sz w:val="20"/>
          <w:szCs w:val="20"/>
        </w:rPr>
        <w:t xml:space="preserve"> </w:t>
      </w:r>
      <w:r w:rsidRPr="00ED6A76">
        <w:rPr>
          <w:rFonts w:asciiTheme="minorHAnsi" w:hAnsiTheme="minorHAnsi" w:cstheme="minorHAnsi"/>
          <w:iCs/>
          <w:color w:val="auto"/>
          <w:spacing w:val="-2"/>
          <w:sz w:val="20"/>
          <w:szCs w:val="20"/>
        </w:rPr>
        <w:t xml:space="preserve">of well-being and dignity </w:t>
      </w:r>
      <w:r w:rsidRPr="00ED6A76">
        <w:rPr>
          <w:rFonts w:asciiTheme="minorHAnsi" w:hAnsiTheme="minorHAnsi" w:cstheme="minorHAnsi"/>
          <w:color w:val="auto"/>
          <w:spacing w:val="-2"/>
          <w:sz w:val="20"/>
          <w:szCs w:val="20"/>
        </w:rPr>
        <w:t>for human beings as an earth-bound species. That is where the natural science</w:t>
      </w:r>
      <w:r w:rsidR="00606EF6" w:rsidRPr="00ED6A76">
        <w:rPr>
          <w:rFonts w:asciiTheme="minorHAnsi" w:hAnsiTheme="minorHAnsi" w:cstheme="minorHAnsi"/>
          <w:color w:val="auto"/>
          <w:spacing w:val="-2"/>
          <w:sz w:val="20"/>
          <w:szCs w:val="20"/>
        </w:rPr>
        <w:t xml:space="preserve"> discipline</w:t>
      </w:r>
      <w:r w:rsidRPr="00ED6A76">
        <w:rPr>
          <w:rFonts w:asciiTheme="minorHAnsi" w:hAnsiTheme="minorHAnsi" w:cstheme="minorHAnsi"/>
          <w:color w:val="auto"/>
          <w:spacing w:val="-2"/>
          <w:sz w:val="20"/>
          <w:szCs w:val="20"/>
        </w:rPr>
        <w:t xml:space="preserve"> come</w:t>
      </w:r>
      <w:r w:rsidR="001E2385" w:rsidRPr="00ED6A76">
        <w:rPr>
          <w:rFonts w:asciiTheme="minorHAnsi" w:hAnsiTheme="minorHAnsi" w:cstheme="minorHAnsi"/>
          <w:color w:val="auto"/>
          <w:spacing w:val="-2"/>
          <w:sz w:val="20"/>
          <w:szCs w:val="20"/>
        </w:rPr>
        <w:t>s</w:t>
      </w:r>
      <w:r w:rsidRPr="00ED6A76">
        <w:rPr>
          <w:rFonts w:asciiTheme="minorHAnsi" w:hAnsiTheme="minorHAnsi" w:cstheme="minorHAnsi"/>
          <w:color w:val="auto"/>
          <w:spacing w:val="-2"/>
          <w:sz w:val="20"/>
          <w:szCs w:val="20"/>
        </w:rPr>
        <w:t xml:space="preserve"> in.</w:t>
      </w:r>
    </w:p>
    <w:p w14:paraId="74D06E8F"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spacing w:val="-2"/>
          <w:sz w:val="20"/>
          <w:szCs w:val="20"/>
        </w:rPr>
        <w:t xml:space="preserve">With this </w:t>
      </w:r>
      <w:r w:rsidR="00CB5C7F" w:rsidRPr="00ED6A76">
        <w:rPr>
          <w:rFonts w:asciiTheme="minorHAnsi" w:hAnsiTheme="minorHAnsi" w:cstheme="minorHAnsi"/>
          <w:spacing w:val="-2"/>
          <w:sz w:val="20"/>
          <w:szCs w:val="20"/>
        </w:rPr>
        <w:t xml:space="preserve">evidence-informed </w:t>
      </w:r>
      <w:r w:rsidRPr="00ED6A76">
        <w:rPr>
          <w:rFonts w:asciiTheme="minorHAnsi" w:hAnsiTheme="minorHAnsi" w:cstheme="minorHAnsi"/>
          <w:spacing w:val="-2"/>
          <w:sz w:val="20"/>
          <w:szCs w:val="20"/>
        </w:rPr>
        <w:t xml:space="preserve">grounding, as it were, land as a human right becomes a common element to be administered—i.e., monitored, distributed, </w:t>
      </w:r>
      <w:r w:rsidR="00CB5C7F" w:rsidRPr="00ED6A76">
        <w:rPr>
          <w:rFonts w:asciiTheme="minorHAnsi" w:hAnsiTheme="minorHAnsi" w:cstheme="minorHAnsi"/>
          <w:spacing w:val="-2"/>
          <w:sz w:val="20"/>
          <w:szCs w:val="20"/>
        </w:rPr>
        <w:t xml:space="preserve">consumed, </w:t>
      </w:r>
      <w:r w:rsidRPr="00ED6A76">
        <w:rPr>
          <w:rFonts w:asciiTheme="minorHAnsi" w:hAnsiTheme="minorHAnsi" w:cstheme="minorHAnsi"/>
          <w:spacing w:val="-2"/>
          <w:sz w:val="20"/>
          <w:szCs w:val="20"/>
        </w:rPr>
        <w:t xml:space="preserve">administered, protected and preserved for current and future generations—as any finite </w:t>
      </w:r>
      <w:r w:rsidR="00CB5C7F" w:rsidRPr="00ED6A76">
        <w:rPr>
          <w:rFonts w:asciiTheme="minorHAnsi" w:hAnsiTheme="minorHAnsi" w:cstheme="minorHAnsi"/>
          <w:spacing w:val="-2"/>
          <w:sz w:val="20"/>
          <w:szCs w:val="20"/>
        </w:rPr>
        <w:t xml:space="preserve">natural and </w:t>
      </w:r>
      <w:r w:rsidRPr="00ED6A76">
        <w:rPr>
          <w:rFonts w:asciiTheme="minorHAnsi" w:hAnsiTheme="minorHAnsi" w:cstheme="minorHAnsi"/>
          <w:spacing w:val="-2"/>
          <w:sz w:val="20"/>
          <w:szCs w:val="20"/>
        </w:rPr>
        <w:t>public resource in the context of human activity. So, what is this element and what are its characteristics? And how does it relate to the four fundamental forces of nature: gravity, electromagnetism and nuclear forces, both weak and strong.</w:t>
      </w:r>
    </w:p>
    <w:p w14:paraId="7B2E4C19"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In the first instance, the functioning of every human body ultimately relies on a relationship to land by virtue of its coexistence with the physical forces of gravity.</w:t>
      </w:r>
      <w:r w:rsidRPr="00ED6A76">
        <w:rPr>
          <w:rStyle w:val="EndnoteReference"/>
          <w:rFonts w:asciiTheme="minorHAnsi" w:hAnsiTheme="minorHAnsi" w:cstheme="minorHAnsi"/>
          <w:color w:val="auto"/>
          <w:spacing w:val="-2"/>
          <w:sz w:val="20"/>
          <w:szCs w:val="20"/>
        </w:rPr>
        <w:endnoteReference w:id="16"/>
      </w:r>
      <w:r w:rsidRPr="00ED6A76">
        <w:rPr>
          <w:rFonts w:asciiTheme="minorHAnsi" w:hAnsiTheme="minorHAnsi" w:cstheme="minorHAnsi"/>
          <w:color w:val="auto"/>
          <w:spacing w:val="-2"/>
          <w:sz w:val="20"/>
          <w:szCs w:val="20"/>
        </w:rPr>
        <w:t xml:space="preserve"> Human life originated and evolved on Earth constantly adjusting to the gravitational force that was already an integral part of the </w:t>
      </w:r>
      <w:r w:rsidR="00CC1B3C" w:rsidRPr="00ED6A76">
        <w:rPr>
          <w:rFonts w:asciiTheme="minorHAnsi" w:hAnsiTheme="minorHAnsi" w:cstheme="minorHAnsi"/>
          <w:color w:val="auto"/>
          <w:spacing w:val="-2"/>
          <w:sz w:val="20"/>
          <w:szCs w:val="20"/>
        </w:rPr>
        <w:t>land</w:t>
      </w:r>
      <w:r w:rsidRPr="00ED6A76">
        <w:rPr>
          <w:rFonts w:asciiTheme="minorHAnsi" w:hAnsiTheme="minorHAnsi" w:cstheme="minorHAnsi"/>
          <w:color w:val="auto"/>
          <w:spacing w:val="-2"/>
          <w:sz w:val="20"/>
          <w:szCs w:val="20"/>
        </w:rPr>
        <w:t>mass on which humans found their habitat.</w:t>
      </w:r>
    </w:p>
    <w:p w14:paraId="0305F36A"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lastRenderedPageBreak/>
        <w:t xml:space="preserve">Of the fundamental forces of nature cited, only gravity and electromagnetism influence life processes. Electromagnetism is directly associated with all biochemical processes that sustain life, from birth, growth, reproduction, death and recycling. Gravity has no direct involvement in the chemistry of life, but indirectly influences organisms to respond to </w:t>
      </w:r>
      <w:r w:rsidR="00606EF6" w:rsidRPr="00ED6A76">
        <w:rPr>
          <w:rFonts w:asciiTheme="minorHAnsi" w:hAnsiTheme="minorHAnsi" w:cstheme="minorHAnsi"/>
          <w:color w:val="auto"/>
          <w:spacing w:val="-2"/>
          <w:sz w:val="20"/>
          <w:szCs w:val="20"/>
        </w:rPr>
        <w:t>biochemistry</w:t>
      </w:r>
      <w:r w:rsidRPr="00ED6A76">
        <w:rPr>
          <w:rFonts w:asciiTheme="minorHAnsi" w:hAnsiTheme="minorHAnsi" w:cstheme="minorHAnsi"/>
          <w:color w:val="auto"/>
          <w:spacing w:val="-2"/>
          <w:sz w:val="20"/>
          <w:szCs w:val="20"/>
        </w:rPr>
        <w:t xml:space="preserve">. </w:t>
      </w:r>
    </w:p>
    <w:p w14:paraId="1657CAEE" w14:textId="3FF7D9DD"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The gravitational force on the surface of the Earth is generally described as one g (1g</w:t>
      </w:r>
      <w:r w:rsidR="00CC1B3C" w:rsidRPr="00ED6A76">
        <w:rPr>
          <w:rFonts w:asciiTheme="minorHAnsi" w:hAnsiTheme="minorHAnsi" w:cstheme="minorHAnsi"/>
          <w:color w:val="auto"/>
          <w:spacing w:val="-2"/>
          <w:sz w:val="20"/>
          <w:szCs w:val="20"/>
          <w:vertAlign w:val="subscript"/>
        </w:rPr>
        <w:t>n</w:t>
      </w:r>
      <w:r w:rsidRPr="00ED6A76">
        <w:rPr>
          <w:rFonts w:asciiTheme="minorHAnsi" w:hAnsiTheme="minorHAnsi" w:cstheme="minorHAnsi"/>
          <w:color w:val="auto"/>
          <w:spacing w:val="-2"/>
          <w:sz w:val="20"/>
          <w:szCs w:val="20"/>
        </w:rPr>
        <w:t>).</w:t>
      </w:r>
      <w:r w:rsidRPr="00ED6A76">
        <w:rPr>
          <w:rStyle w:val="EndnoteReference"/>
          <w:rFonts w:asciiTheme="minorHAnsi" w:hAnsiTheme="minorHAnsi" w:cstheme="minorHAnsi"/>
          <w:color w:val="auto"/>
          <w:spacing w:val="-2"/>
          <w:sz w:val="20"/>
          <w:szCs w:val="20"/>
        </w:rPr>
        <w:endnoteReference w:id="17"/>
      </w:r>
      <w:r w:rsidRPr="00ED6A76">
        <w:rPr>
          <w:rFonts w:asciiTheme="minorHAnsi" w:hAnsiTheme="minorHAnsi" w:cstheme="minorHAnsi"/>
          <w:color w:val="auto"/>
          <w:spacing w:val="-2"/>
          <w:sz w:val="20"/>
          <w:szCs w:val="20"/>
        </w:rPr>
        <w:t xml:space="preserve"> Plants, for instance, have developed mechanisms to sense this g</w:t>
      </w:r>
      <w:r w:rsidR="00606EF6"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force and developed a variety of physiological and mechanical strategies</w:t>
      </w:r>
      <w:r w:rsidR="0078037E" w:rsidRPr="00ED6A76">
        <w:rPr>
          <w:rFonts w:asciiTheme="minorHAnsi" w:hAnsiTheme="minorHAnsi" w:cstheme="minorHAnsi"/>
          <w:color w:val="auto"/>
          <w:spacing w:val="-2"/>
          <w:sz w:val="20"/>
          <w:szCs w:val="20"/>
        </w:rPr>
        <w:t xml:space="preserve"> accordingly</w:t>
      </w:r>
      <w:r w:rsidRPr="00ED6A76">
        <w:rPr>
          <w:rFonts w:asciiTheme="minorHAnsi" w:hAnsiTheme="minorHAnsi" w:cstheme="minorHAnsi"/>
          <w:color w:val="auto"/>
          <w:spacing w:val="-2"/>
          <w:sz w:val="20"/>
          <w:szCs w:val="20"/>
        </w:rPr>
        <w:t>. These enable roots to grow toward the center of Earth (positively gravitropic), and shoots to growth upward toward the sun (negatively gravitropic), enabling branching patterns. This fact establishes land as a</w:t>
      </w:r>
      <w:r w:rsidR="00CC1B3C" w:rsidRPr="00ED6A76">
        <w:rPr>
          <w:rFonts w:asciiTheme="minorHAnsi" w:hAnsiTheme="minorHAnsi" w:cstheme="minorHAnsi"/>
          <w:color w:val="auto"/>
          <w:spacing w:val="-2"/>
          <w:sz w:val="20"/>
          <w:szCs w:val="20"/>
        </w:rPr>
        <w:t>n indispensable element in the</w:t>
      </w:r>
      <w:r w:rsidRPr="00ED6A76">
        <w:rPr>
          <w:rFonts w:asciiTheme="minorHAnsi" w:hAnsiTheme="minorHAnsi" w:cstheme="minorHAnsi"/>
          <w:color w:val="auto"/>
          <w:spacing w:val="-2"/>
          <w:sz w:val="20"/>
          <w:szCs w:val="20"/>
        </w:rPr>
        <w:t xml:space="preserve"> normative </w:t>
      </w:r>
      <w:r w:rsidR="00CC1B3C" w:rsidRPr="00ED6A76">
        <w:rPr>
          <w:rFonts w:asciiTheme="minorHAnsi" w:hAnsiTheme="minorHAnsi" w:cstheme="minorHAnsi"/>
          <w:color w:val="auto"/>
          <w:spacing w:val="-2"/>
          <w:sz w:val="20"/>
          <w:szCs w:val="20"/>
        </w:rPr>
        <w:t xml:space="preserve">content </w:t>
      </w:r>
      <w:r w:rsidRPr="00ED6A76">
        <w:rPr>
          <w:rFonts w:asciiTheme="minorHAnsi" w:hAnsiTheme="minorHAnsi" w:cstheme="minorHAnsi"/>
          <w:color w:val="auto"/>
          <w:spacing w:val="-2"/>
          <w:sz w:val="20"/>
          <w:szCs w:val="20"/>
        </w:rPr>
        <w:t>of the human right to adequate food (ICESCR, Article 12) and, eventually, a human right to (a clean, safe, healthy and sustainable) environment.</w:t>
      </w:r>
    </w:p>
    <w:p w14:paraId="3AB18216" w14:textId="77777777" w:rsidR="00A175BA" w:rsidRPr="00ED6A76" w:rsidRDefault="00A4091E" w:rsidP="00250F0B">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color w:val="auto"/>
          <w:spacing w:val="-2"/>
          <w:sz w:val="20"/>
          <w:szCs w:val="20"/>
        </w:rPr>
        <w:t>Humans</w:t>
      </w:r>
      <w:r w:rsidR="00CC1B3C" w:rsidRPr="00ED6A76">
        <w:rPr>
          <w:rFonts w:asciiTheme="minorHAnsi" w:hAnsiTheme="minorHAnsi" w:cstheme="minorHAnsi"/>
          <w:color w:val="auto"/>
          <w:spacing w:val="-2"/>
          <w:sz w:val="20"/>
          <w:szCs w:val="20"/>
        </w:rPr>
        <w:t xml:space="preserve"> (genus homo)</w:t>
      </w:r>
      <w:r w:rsidRPr="00ED6A76">
        <w:rPr>
          <w:rFonts w:asciiTheme="minorHAnsi" w:hAnsiTheme="minorHAnsi" w:cstheme="minorHAnsi"/>
          <w:color w:val="auto"/>
          <w:spacing w:val="-2"/>
          <w:sz w:val="20"/>
          <w:szCs w:val="20"/>
        </w:rPr>
        <w:t xml:space="preserve">, too, have evolved a variety of mechanisms to sense position, maintain balance and uprightness, maintain circulation and other vital bodily functions. This nature evolved through the human experience over 2.4 million years, enabling blood to regularly reach </w:t>
      </w:r>
      <w:r w:rsidR="00CC1B3C" w:rsidRPr="00ED6A76">
        <w:rPr>
          <w:rFonts w:asciiTheme="minorHAnsi" w:hAnsiTheme="minorHAnsi" w:cstheme="minorHAnsi"/>
          <w:color w:val="auto"/>
          <w:spacing w:val="-2"/>
          <w:sz w:val="20"/>
          <w:szCs w:val="20"/>
        </w:rPr>
        <w:t>the</w:t>
      </w:r>
      <w:r w:rsidRPr="00ED6A76">
        <w:rPr>
          <w:rFonts w:asciiTheme="minorHAnsi" w:hAnsiTheme="minorHAnsi" w:cstheme="minorHAnsi"/>
          <w:color w:val="auto"/>
          <w:spacing w:val="-2"/>
          <w:sz w:val="20"/>
          <w:szCs w:val="20"/>
        </w:rPr>
        <w:t xml:space="preserve"> heart and brains. This makes land an essential element to the normative content of the human right to the highest attainable standard of mental and physical health (ICESCR, Article 14).</w:t>
      </w:r>
    </w:p>
    <w:p w14:paraId="6263AC5D" w14:textId="77777777" w:rsidR="00ED6A76" w:rsidRDefault="00A4091E" w:rsidP="00ED6A76">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Our musculoskeletal system has evolved to support body mass and provide structural and postural stability, as well as mobility</w:t>
      </w:r>
      <w:r w:rsidR="006000F5"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to animals and humans. The sensory-motor system evolved so that organisms can recognize the gravity vector and orient themselves. This normative marker adds to land’s additional link to the human right to freedom of movement (ICC</w:t>
      </w:r>
      <w:r w:rsidR="006000F5" w:rsidRPr="00ED6A76">
        <w:rPr>
          <w:rFonts w:asciiTheme="minorHAnsi" w:hAnsiTheme="minorHAnsi" w:cstheme="minorHAnsi"/>
          <w:color w:val="auto"/>
          <w:spacing w:val="-2"/>
          <w:sz w:val="20"/>
          <w:szCs w:val="20"/>
        </w:rPr>
        <w:t>P</w:t>
      </w:r>
      <w:r w:rsidRPr="00ED6A76">
        <w:rPr>
          <w:rFonts w:asciiTheme="minorHAnsi" w:hAnsiTheme="minorHAnsi" w:cstheme="minorHAnsi"/>
          <w:color w:val="auto"/>
          <w:spacing w:val="-2"/>
          <w:sz w:val="20"/>
          <w:szCs w:val="20"/>
        </w:rPr>
        <w:t>R, Article 12).</w:t>
      </w:r>
    </w:p>
    <w:p w14:paraId="69A53FF4" w14:textId="3383CD31" w:rsidR="00A4091E" w:rsidRPr="00ED6A76" w:rsidRDefault="00A4091E" w:rsidP="00ED6A76">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The 1g force of land’s gravity also keeps moisture and gases from escaping from the surface of the Earth into the æther, </w:t>
      </w:r>
      <w:r w:rsidR="00736F43" w:rsidRPr="00ED6A76">
        <w:rPr>
          <w:rFonts w:asciiTheme="minorHAnsi" w:hAnsiTheme="minorHAnsi" w:cstheme="minorHAnsi"/>
          <w:color w:val="auto"/>
          <w:spacing w:val="-2"/>
          <w:sz w:val="20"/>
          <w:szCs w:val="20"/>
        </w:rPr>
        <w:t>ensuring that</w:t>
      </w:r>
      <w:r w:rsidRPr="00ED6A76">
        <w:rPr>
          <w:rFonts w:asciiTheme="minorHAnsi" w:hAnsiTheme="minorHAnsi" w:cstheme="minorHAnsi"/>
          <w:color w:val="auto"/>
          <w:spacing w:val="-2"/>
          <w:sz w:val="20"/>
          <w:szCs w:val="20"/>
        </w:rPr>
        <w:t xml:space="preserve"> vital oxygen </w:t>
      </w:r>
      <w:r w:rsidR="00736F43" w:rsidRPr="00ED6A76">
        <w:rPr>
          <w:rFonts w:asciiTheme="minorHAnsi" w:hAnsiTheme="minorHAnsi" w:cstheme="minorHAnsi"/>
          <w:color w:val="auto"/>
          <w:spacing w:val="-2"/>
          <w:sz w:val="20"/>
          <w:szCs w:val="20"/>
        </w:rPr>
        <w:t xml:space="preserve">remains around </w:t>
      </w:r>
      <w:r w:rsidRPr="00ED6A76">
        <w:rPr>
          <w:rFonts w:asciiTheme="minorHAnsi" w:hAnsiTheme="minorHAnsi" w:cstheme="minorHAnsi"/>
          <w:color w:val="auto"/>
          <w:spacing w:val="-2"/>
          <w:sz w:val="20"/>
          <w:szCs w:val="20"/>
        </w:rPr>
        <w:t>us. Humans</w:t>
      </w:r>
      <w:r w:rsidR="00CC1B3C"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dependent relationships with photosynthesizing plants especially rel</w:t>
      </w:r>
      <w:r w:rsidR="00736F43" w:rsidRPr="00ED6A76">
        <w:rPr>
          <w:rFonts w:asciiTheme="minorHAnsi" w:hAnsiTheme="minorHAnsi" w:cstheme="minorHAnsi"/>
          <w:color w:val="auto"/>
          <w:spacing w:val="-2"/>
          <w:sz w:val="20"/>
          <w:szCs w:val="20"/>
        </w:rPr>
        <w:t>y</w:t>
      </w:r>
      <w:r w:rsidRPr="00ED6A76">
        <w:rPr>
          <w:rFonts w:asciiTheme="minorHAnsi" w:hAnsiTheme="minorHAnsi" w:cstheme="minorHAnsi"/>
          <w:color w:val="auto"/>
          <w:spacing w:val="-2"/>
          <w:sz w:val="20"/>
          <w:szCs w:val="20"/>
        </w:rPr>
        <w:t xml:space="preserve"> on plants taking in </w:t>
      </w:r>
      <w:r w:rsidR="00CC1B3C" w:rsidRPr="00ED6A76">
        <w:rPr>
          <w:rFonts w:asciiTheme="minorHAnsi" w:hAnsiTheme="minorHAnsi" w:cstheme="minorHAnsi"/>
          <w:color w:val="auto"/>
          <w:spacing w:val="-2"/>
          <w:sz w:val="20"/>
          <w:szCs w:val="20"/>
        </w:rPr>
        <w:t>carbon dioxide (</w:t>
      </w:r>
      <w:r w:rsidRPr="00ED6A76">
        <w:rPr>
          <w:rFonts w:asciiTheme="minorHAnsi" w:hAnsiTheme="minorHAnsi" w:cstheme="minorHAnsi"/>
          <w:color w:val="auto"/>
          <w:spacing w:val="-2"/>
          <w:sz w:val="20"/>
          <w:szCs w:val="20"/>
        </w:rPr>
        <w:t>CO</w:t>
      </w:r>
      <w:r w:rsidRPr="00ED6A76">
        <w:rPr>
          <w:rFonts w:asciiTheme="minorHAnsi" w:hAnsiTheme="minorHAnsi" w:cstheme="minorHAnsi"/>
          <w:color w:val="auto"/>
          <w:spacing w:val="-2"/>
          <w:sz w:val="20"/>
          <w:szCs w:val="20"/>
          <w:vertAlign w:val="subscript"/>
        </w:rPr>
        <w:t>2</w:t>
      </w:r>
      <w:r w:rsidR="00CC1B3C"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 xml:space="preserve">within the same gravitational </w:t>
      </w:r>
      <w:r w:rsidR="00CC1B3C" w:rsidRPr="00ED6A76">
        <w:rPr>
          <w:rFonts w:asciiTheme="minorHAnsi" w:hAnsiTheme="minorHAnsi" w:cstheme="minorHAnsi"/>
          <w:color w:val="auto"/>
          <w:spacing w:val="-2"/>
          <w:sz w:val="20"/>
          <w:szCs w:val="20"/>
        </w:rPr>
        <w:t>sphere</w:t>
      </w:r>
      <w:r w:rsidRPr="00ED6A76">
        <w:rPr>
          <w:rFonts w:asciiTheme="minorHAnsi" w:hAnsiTheme="minorHAnsi" w:cstheme="minorHAnsi"/>
          <w:color w:val="auto"/>
          <w:spacing w:val="-2"/>
          <w:sz w:val="20"/>
          <w:szCs w:val="20"/>
        </w:rPr>
        <w:t>.</w:t>
      </w:r>
    </w:p>
    <w:p w14:paraId="03936FCD" w14:textId="2F73FE6D" w:rsidR="00A4091E" w:rsidRPr="00ED6A76" w:rsidRDefault="00A4091E"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lastRenderedPageBreak/>
        <w:t xml:space="preserve">Of the 94 naturally occurring elements, plants are made up of about 17, and humans about 25. Six of these (carbon, hydrogen, nitrogen, oxygen, phosphorus and sulfur) are absolutely essential for all life found </w:t>
      </w:r>
      <w:r w:rsidR="00CC1B3C" w:rsidRPr="00ED6A76">
        <w:rPr>
          <w:rFonts w:asciiTheme="minorHAnsi" w:hAnsiTheme="minorHAnsi" w:cstheme="minorHAnsi"/>
          <w:color w:val="auto"/>
          <w:spacing w:val="-2"/>
          <w:sz w:val="20"/>
          <w:szCs w:val="20"/>
        </w:rPr>
        <w:t>o</w:t>
      </w:r>
      <w:r w:rsidRPr="00ED6A76">
        <w:rPr>
          <w:rFonts w:asciiTheme="minorHAnsi" w:hAnsiTheme="minorHAnsi" w:cstheme="minorHAnsi"/>
          <w:color w:val="auto"/>
          <w:spacing w:val="-2"/>
          <w:sz w:val="20"/>
          <w:szCs w:val="20"/>
        </w:rPr>
        <w:t>n the Earth; i.e., land and its gravitational biosphere. Hence, land</w:t>
      </w:r>
      <w:r w:rsidR="00CC1B3C" w:rsidRPr="00ED6A76">
        <w:rPr>
          <w:rFonts w:asciiTheme="minorHAnsi" w:hAnsiTheme="minorHAnsi" w:cstheme="minorHAnsi"/>
          <w:color w:val="auto"/>
          <w:spacing w:val="-2"/>
          <w:sz w:val="20"/>
          <w:szCs w:val="20"/>
        </w:rPr>
        <w:t>, as the source of these vital elements,</w:t>
      </w:r>
      <w:r w:rsidRPr="00ED6A76">
        <w:rPr>
          <w:rFonts w:asciiTheme="minorHAnsi" w:hAnsiTheme="minorHAnsi" w:cstheme="minorHAnsi"/>
          <w:color w:val="auto"/>
          <w:spacing w:val="-2"/>
          <w:sz w:val="20"/>
          <w:szCs w:val="20"/>
        </w:rPr>
        <w:t xml:space="preserve"> is essential to </w:t>
      </w:r>
      <w:r w:rsidR="00CC1B3C" w:rsidRPr="00ED6A76">
        <w:rPr>
          <w:rFonts w:asciiTheme="minorHAnsi" w:hAnsiTheme="minorHAnsi" w:cstheme="minorHAnsi"/>
          <w:color w:val="auto"/>
          <w:spacing w:val="-2"/>
          <w:sz w:val="20"/>
          <w:szCs w:val="20"/>
        </w:rPr>
        <w:t xml:space="preserve">realizing </w:t>
      </w:r>
      <w:r w:rsidRPr="00ED6A76">
        <w:rPr>
          <w:rFonts w:asciiTheme="minorHAnsi" w:hAnsiTheme="minorHAnsi" w:cstheme="minorHAnsi"/>
          <w:color w:val="auto"/>
          <w:spacing w:val="-2"/>
          <w:sz w:val="20"/>
          <w:szCs w:val="20"/>
        </w:rPr>
        <w:t xml:space="preserve">the human right to life (ICCPR, Article 6). </w:t>
      </w:r>
    </w:p>
    <w:p w14:paraId="4A34BE20" w14:textId="08498DBE" w:rsidR="00A4091E" w:rsidRPr="00ED6A76" w:rsidRDefault="00A4091E"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The land pulls fruits and seeds down </w:t>
      </w:r>
      <w:r w:rsidR="00370142" w:rsidRPr="00ED6A76">
        <w:rPr>
          <w:rFonts w:asciiTheme="minorHAnsi" w:hAnsiTheme="minorHAnsi" w:cstheme="minorHAnsi"/>
          <w:color w:val="auto"/>
          <w:spacing w:val="-2"/>
          <w:sz w:val="20"/>
          <w:szCs w:val="20"/>
        </w:rPr>
        <w:t xml:space="preserve">to </w:t>
      </w:r>
      <w:r w:rsidRPr="00ED6A76">
        <w:rPr>
          <w:rFonts w:asciiTheme="minorHAnsi" w:hAnsiTheme="minorHAnsi" w:cstheme="minorHAnsi"/>
          <w:color w:val="auto"/>
          <w:spacing w:val="-2"/>
          <w:sz w:val="20"/>
          <w:szCs w:val="20"/>
        </w:rPr>
        <w:t>Earth so that the next generation of plants can grow, replenishing the earthly habitat. Even at this legally abstract</w:t>
      </w:r>
      <w:r w:rsidR="00370142"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but</w:t>
      </w:r>
      <w:r w:rsidR="00370142" w:rsidRPr="00ED6A76">
        <w:rPr>
          <w:rFonts w:asciiTheme="minorHAnsi" w:hAnsiTheme="minorHAnsi" w:cstheme="minorHAnsi"/>
          <w:color w:val="auto"/>
          <w:spacing w:val="-2"/>
          <w:sz w:val="20"/>
          <w:szCs w:val="20"/>
        </w:rPr>
        <w:t xml:space="preserve"> </w:t>
      </w:r>
      <w:r w:rsidRPr="00ED6A76">
        <w:rPr>
          <w:rFonts w:asciiTheme="minorHAnsi" w:hAnsiTheme="minorHAnsi" w:cstheme="minorHAnsi"/>
          <w:color w:val="auto"/>
          <w:spacing w:val="-2"/>
          <w:sz w:val="20"/>
          <w:szCs w:val="20"/>
        </w:rPr>
        <w:t>biologically indispensable</w:t>
      </w:r>
      <w:r w:rsidR="00370142"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point, the now-codified human right to water relates to land in many forms. We then store land-bound and gravitationally flowing water for numerous basic human needs and uses, including agriculture, domestic use (</w:t>
      </w:r>
      <w:r w:rsidR="00C0229E" w:rsidRPr="00ED6A76">
        <w:rPr>
          <w:rFonts w:asciiTheme="minorHAnsi" w:hAnsiTheme="minorHAnsi" w:cstheme="minorHAnsi"/>
          <w:color w:val="auto"/>
          <w:spacing w:val="-2"/>
          <w:sz w:val="20"/>
          <w:szCs w:val="20"/>
        </w:rPr>
        <w:t xml:space="preserve">adequate food and </w:t>
      </w:r>
      <w:r w:rsidRPr="00ED6A76">
        <w:rPr>
          <w:rFonts w:asciiTheme="minorHAnsi" w:hAnsiTheme="minorHAnsi" w:cstheme="minorHAnsi"/>
          <w:color w:val="auto"/>
          <w:spacing w:val="-2"/>
          <w:sz w:val="20"/>
          <w:szCs w:val="20"/>
        </w:rPr>
        <w:t>adequate housing</w:t>
      </w:r>
      <w:r w:rsidR="00C0229E" w:rsidRPr="00ED6A76">
        <w:rPr>
          <w:rFonts w:asciiTheme="minorHAnsi" w:hAnsiTheme="minorHAnsi" w:cstheme="minorHAnsi"/>
          <w:color w:val="auto"/>
          <w:spacing w:val="-2"/>
          <w:sz w:val="20"/>
          <w:szCs w:val="20"/>
        </w:rPr>
        <w:t>, ICESCR Article 11</w:t>
      </w:r>
      <w:r w:rsidRPr="00ED6A76">
        <w:rPr>
          <w:rFonts w:asciiTheme="minorHAnsi" w:hAnsiTheme="minorHAnsi" w:cstheme="minorHAnsi"/>
          <w:color w:val="auto"/>
          <w:spacing w:val="-2"/>
          <w:sz w:val="20"/>
          <w:szCs w:val="20"/>
        </w:rPr>
        <w:t xml:space="preserve">), energy generation and industry. </w:t>
      </w:r>
    </w:p>
    <w:p w14:paraId="646EA35F" w14:textId="159ACEAC" w:rsidR="00A4091E" w:rsidRPr="00ED6A76" w:rsidRDefault="00A4091E"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Water could be lacking, in such abundance as to cause floods and other hazards and crises, or it could be non-potable, highly polluted, contaminated and </w:t>
      </w:r>
      <w:r w:rsidR="00370142" w:rsidRPr="00ED6A76">
        <w:rPr>
          <w:rFonts w:asciiTheme="minorHAnsi" w:hAnsiTheme="minorHAnsi" w:cstheme="minorHAnsi"/>
          <w:color w:val="auto"/>
          <w:spacing w:val="-2"/>
          <w:sz w:val="20"/>
          <w:szCs w:val="20"/>
        </w:rPr>
        <w:t xml:space="preserve">otherwise </w:t>
      </w:r>
      <w:r w:rsidRPr="00ED6A76">
        <w:rPr>
          <w:rFonts w:asciiTheme="minorHAnsi" w:hAnsiTheme="minorHAnsi" w:cstheme="minorHAnsi"/>
          <w:color w:val="auto"/>
          <w:spacing w:val="-2"/>
          <w:sz w:val="20"/>
          <w:szCs w:val="20"/>
        </w:rPr>
        <w:t>denied due to private interest. However, gravity is constant. On Earth's landed surface, gravity could be altered for experimental purposes only in laboratories.</w:t>
      </w:r>
    </w:p>
    <w:p w14:paraId="037E53E0" w14:textId="01B80824" w:rsidR="00A4091E" w:rsidRPr="00ED6A76" w:rsidRDefault="00A4091E" w:rsidP="00250F0B">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inorHAnsi" w:hAnsiTheme="minorHAnsi" w:cstheme="minorHAnsi"/>
          <w:spacing w:val="-2"/>
          <w:sz w:val="20"/>
          <w:szCs w:val="20"/>
        </w:rPr>
      </w:pPr>
      <w:r w:rsidRPr="00ED6A76">
        <w:rPr>
          <w:rFonts w:asciiTheme="minorHAnsi" w:hAnsiTheme="minorHAnsi" w:cstheme="minorHAnsi"/>
          <w:spacing w:val="-2"/>
          <w:sz w:val="20"/>
          <w:szCs w:val="20"/>
        </w:rPr>
        <w:t>Human contact with land also represents a potential treatment and remedy to a variety of degenerative diseases,</w:t>
      </w:r>
      <w:r w:rsidRPr="00ED6A76">
        <w:rPr>
          <w:rStyle w:val="EndnoteReference"/>
          <w:rFonts w:asciiTheme="minorHAnsi" w:hAnsiTheme="minorHAnsi" w:cstheme="minorHAnsi"/>
          <w:spacing w:val="-2"/>
          <w:sz w:val="20"/>
          <w:szCs w:val="20"/>
        </w:rPr>
        <w:endnoteReference w:id="18"/>
      </w:r>
      <w:r w:rsidRPr="00ED6A76">
        <w:rPr>
          <w:rFonts w:asciiTheme="minorHAnsi" w:hAnsiTheme="minorHAnsi" w:cstheme="minorHAnsi"/>
          <w:spacing w:val="-2"/>
          <w:sz w:val="20"/>
          <w:szCs w:val="20"/>
        </w:rPr>
        <w:t xml:space="preserve"> and a primary factor in regulating the endocrine and nervous system.</w:t>
      </w:r>
      <w:r w:rsidRPr="00ED6A76">
        <w:rPr>
          <w:rStyle w:val="EndnoteReference"/>
          <w:rFonts w:asciiTheme="minorHAnsi" w:hAnsiTheme="minorHAnsi" w:cstheme="minorHAnsi"/>
          <w:spacing w:val="-2"/>
          <w:sz w:val="20"/>
          <w:szCs w:val="20"/>
        </w:rPr>
        <w:endnoteReference w:id="19"/>
      </w:r>
      <w:r w:rsidRPr="00ED6A76">
        <w:rPr>
          <w:rFonts w:asciiTheme="minorHAnsi" w:hAnsiTheme="minorHAnsi" w:cstheme="minorHAnsi"/>
          <w:spacing w:val="-2"/>
          <w:sz w:val="20"/>
          <w:szCs w:val="20"/>
        </w:rPr>
        <w:t xml:space="preserve"> This link to, and indispensable content of the human right to health (ICESCR, Article 14) can be explained by science</w:t>
      </w:r>
      <w:r w:rsidR="00370142" w:rsidRPr="00ED6A76">
        <w:rPr>
          <w:rFonts w:asciiTheme="minorHAnsi" w:hAnsiTheme="minorHAnsi" w:cstheme="minorHAnsi"/>
          <w:spacing w:val="-2"/>
          <w:sz w:val="20"/>
          <w:szCs w:val="20"/>
        </w:rPr>
        <w:t>, but not affected by human-made law</w:t>
      </w:r>
      <w:r w:rsidRPr="00ED6A76">
        <w:rPr>
          <w:rFonts w:asciiTheme="minorHAnsi" w:hAnsiTheme="minorHAnsi" w:cstheme="minorHAnsi"/>
          <w:spacing w:val="-2"/>
          <w:sz w:val="20"/>
          <w:szCs w:val="20"/>
        </w:rPr>
        <w:t>.</w:t>
      </w:r>
    </w:p>
    <w:p w14:paraId="452EB707" w14:textId="64AA3E2E" w:rsidR="00A4091E" w:rsidRPr="00ED6A76" w:rsidRDefault="000D7F25" w:rsidP="00250F0B">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inorHAnsi" w:hAnsiTheme="minorHAnsi" w:cstheme="minorHAnsi"/>
          <w:spacing w:val="-2"/>
          <w:sz w:val="20"/>
          <w:szCs w:val="20"/>
        </w:rPr>
      </w:pPr>
      <w:r w:rsidRPr="00ED6A76">
        <w:rPr>
          <w:rFonts w:asciiTheme="minorHAnsi" w:hAnsiTheme="minorHAnsi" w:cstheme="minorHAnsi"/>
          <w:spacing w:val="-2"/>
          <w:sz w:val="20"/>
          <w:szCs w:val="20"/>
        </w:rPr>
        <w:t>T</w:t>
      </w:r>
      <w:r w:rsidR="00A4091E" w:rsidRPr="00ED6A76">
        <w:rPr>
          <w:rFonts w:asciiTheme="minorHAnsi" w:hAnsiTheme="minorHAnsi" w:cstheme="minorHAnsi"/>
          <w:spacing w:val="-2"/>
          <w:sz w:val="20"/>
          <w:szCs w:val="20"/>
        </w:rPr>
        <w:t>he dominant electromagnetic frequency of the earth (7.83 Hz)</w:t>
      </w:r>
      <w:r w:rsidR="00A4091E" w:rsidRPr="00ED6A76">
        <w:rPr>
          <w:rStyle w:val="EndnoteReference"/>
          <w:rFonts w:asciiTheme="minorHAnsi" w:hAnsiTheme="minorHAnsi" w:cstheme="minorHAnsi"/>
          <w:spacing w:val="-2"/>
          <w:sz w:val="20"/>
          <w:szCs w:val="20"/>
        </w:rPr>
        <w:endnoteReference w:id="20"/>
      </w:r>
      <w:r w:rsidR="00A4091E" w:rsidRPr="00ED6A76">
        <w:rPr>
          <w:rFonts w:asciiTheme="minorHAnsi" w:hAnsiTheme="minorHAnsi" w:cstheme="minorHAnsi"/>
          <w:spacing w:val="-2"/>
          <w:sz w:val="20"/>
          <w:szCs w:val="20"/>
        </w:rPr>
        <w:t xml:space="preserve"> is the same as the dominant frequency of the human brain and extremely close to that of alpha rhythms,</w:t>
      </w:r>
      <w:r w:rsidR="00A4091E" w:rsidRPr="00ED6A76">
        <w:rPr>
          <w:rStyle w:val="EndnoteReference"/>
          <w:rFonts w:asciiTheme="minorHAnsi" w:hAnsiTheme="minorHAnsi" w:cstheme="minorHAnsi"/>
          <w:spacing w:val="-2"/>
          <w:sz w:val="20"/>
          <w:szCs w:val="20"/>
        </w:rPr>
        <w:endnoteReference w:id="21"/>
      </w:r>
      <w:r w:rsidR="00A4091E" w:rsidRPr="00ED6A76">
        <w:rPr>
          <w:rFonts w:asciiTheme="minorHAnsi" w:hAnsiTheme="minorHAnsi" w:cstheme="minorHAnsi"/>
          <w:spacing w:val="-2"/>
          <w:sz w:val="20"/>
          <w:szCs w:val="20"/>
        </w:rPr>
        <w:t xml:space="preserve"> the electrical frequency of the human brain at rest. </w:t>
      </w:r>
      <w:r w:rsidR="00370142" w:rsidRPr="00ED6A76">
        <w:rPr>
          <w:rFonts w:asciiTheme="minorHAnsi" w:hAnsiTheme="minorHAnsi" w:cstheme="minorHAnsi"/>
          <w:spacing w:val="-2"/>
          <w:sz w:val="20"/>
          <w:szCs w:val="20"/>
        </w:rPr>
        <w:t>Through</w:t>
      </w:r>
      <w:r w:rsidR="00A4091E" w:rsidRPr="00ED6A76">
        <w:rPr>
          <w:rFonts w:asciiTheme="minorHAnsi" w:hAnsiTheme="minorHAnsi" w:cstheme="minorHAnsi"/>
          <w:spacing w:val="-2"/>
          <w:sz w:val="20"/>
          <w:szCs w:val="20"/>
        </w:rPr>
        <w:t xml:space="preserve"> the technological age</w:t>
      </w:r>
      <w:r w:rsidR="00370142" w:rsidRPr="00ED6A76">
        <w:rPr>
          <w:rFonts w:asciiTheme="minorHAnsi" w:hAnsiTheme="minorHAnsi" w:cstheme="minorHAnsi"/>
          <w:spacing w:val="-2"/>
          <w:sz w:val="20"/>
          <w:szCs w:val="20"/>
        </w:rPr>
        <w:t>,</w:t>
      </w:r>
      <w:r w:rsidR="00A4091E" w:rsidRPr="00ED6A76">
        <w:rPr>
          <w:rFonts w:asciiTheme="minorHAnsi" w:hAnsiTheme="minorHAnsi" w:cstheme="minorHAnsi"/>
          <w:spacing w:val="-2"/>
          <w:sz w:val="20"/>
          <w:szCs w:val="20"/>
        </w:rPr>
        <w:t xml:space="preserve"> humans are inundated with multiple electronic—including wireless—signals, while the earth remains the constant source of the natural frequency that human mental and physical existence require to function in a healthy way. </w:t>
      </w:r>
    </w:p>
    <w:p w14:paraId="23DEFA4B" w14:textId="77777777" w:rsidR="00ED6A76" w:rsidRPr="00ED6A76" w:rsidRDefault="00A4091E" w:rsidP="00ED6A76">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inorHAnsi" w:hAnsiTheme="minorHAnsi" w:cstheme="minorHAnsi"/>
          <w:spacing w:val="-6"/>
          <w:sz w:val="20"/>
          <w:szCs w:val="20"/>
          <w:lang w:val="en-GB"/>
        </w:rPr>
      </w:pPr>
      <w:r w:rsidRPr="00ED6A76">
        <w:rPr>
          <w:rFonts w:asciiTheme="minorHAnsi" w:hAnsiTheme="minorHAnsi" w:cstheme="minorHAnsi"/>
          <w:spacing w:val="-6"/>
          <w:sz w:val="20"/>
          <w:szCs w:val="20"/>
        </w:rPr>
        <w:t>In the current environment in which the human is bombarded by multiple electromagnetic frequencies, we are becoming increasingly aware of how rises in electromagnetic field</w:t>
      </w:r>
      <w:r w:rsidR="00370142" w:rsidRPr="00ED6A76">
        <w:rPr>
          <w:rFonts w:asciiTheme="minorHAnsi" w:hAnsiTheme="minorHAnsi" w:cstheme="minorHAnsi"/>
          <w:spacing w:val="-6"/>
          <w:sz w:val="20"/>
          <w:szCs w:val="20"/>
        </w:rPr>
        <w:t>s</w:t>
      </w:r>
      <w:r w:rsidRPr="00ED6A76">
        <w:rPr>
          <w:rFonts w:asciiTheme="minorHAnsi" w:hAnsiTheme="minorHAnsi" w:cstheme="minorHAnsi"/>
          <w:spacing w:val="-6"/>
          <w:sz w:val="20"/>
          <w:szCs w:val="20"/>
        </w:rPr>
        <w:t xml:space="preserve"> in the human environment factor among multiple environmental pollutions affecting human health and well-being.</w:t>
      </w:r>
      <w:r w:rsidRPr="00ED6A76">
        <w:rPr>
          <w:rStyle w:val="EndnoteReference"/>
          <w:rFonts w:asciiTheme="minorHAnsi" w:hAnsiTheme="minorHAnsi" w:cstheme="minorHAnsi"/>
          <w:spacing w:val="-6"/>
          <w:sz w:val="20"/>
          <w:szCs w:val="20"/>
        </w:rPr>
        <w:endnoteReference w:id="22"/>
      </w:r>
      <w:r w:rsidRPr="00ED6A76">
        <w:rPr>
          <w:rFonts w:asciiTheme="minorHAnsi" w:hAnsiTheme="minorHAnsi" w:cstheme="minorHAnsi"/>
          <w:spacing w:val="-6"/>
          <w:sz w:val="20"/>
          <w:szCs w:val="20"/>
        </w:rPr>
        <w:t xml:space="preserve"> The intense negative charge carried by the </w:t>
      </w:r>
      <w:r w:rsidR="00346474" w:rsidRPr="00ED6A76">
        <w:rPr>
          <w:rFonts w:asciiTheme="minorHAnsi" w:hAnsiTheme="minorHAnsi" w:cstheme="minorHAnsi"/>
          <w:spacing w:val="-6"/>
          <w:sz w:val="20"/>
          <w:szCs w:val="20"/>
        </w:rPr>
        <w:t>E</w:t>
      </w:r>
      <w:r w:rsidRPr="00ED6A76">
        <w:rPr>
          <w:rFonts w:asciiTheme="minorHAnsi" w:hAnsiTheme="minorHAnsi" w:cstheme="minorHAnsi"/>
          <w:spacing w:val="-6"/>
          <w:sz w:val="20"/>
          <w:szCs w:val="20"/>
        </w:rPr>
        <w:t xml:space="preserve">arth is electron rich, and the human body’s direct physical contact with the land is a potent antioxidant. </w:t>
      </w:r>
      <w:r w:rsidRPr="00ED6A76">
        <w:rPr>
          <w:rFonts w:asciiTheme="minorHAnsi" w:hAnsiTheme="minorHAnsi" w:cstheme="minorHAnsi"/>
          <w:spacing w:val="-6"/>
          <w:sz w:val="20"/>
          <w:szCs w:val="20"/>
          <w:lang w:val="en-GB"/>
        </w:rPr>
        <w:t>Actual contact with land represents a potential treatment/solution to a variety of degenerative diseases,</w:t>
      </w:r>
      <w:r w:rsidRPr="00ED6A76">
        <w:rPr>
          <w:rFonts w:asciiTheme="minorHAnsi" w:hAnsiTheme="minorHAnsi" w:cstheme="minorHAnsi"/>
          <w:spacing w:val="-6"/>
          <w:sz w:val="20"/>
          <w:szCs w:val="20"/>
          <w:vertAlign w:val="superscript"/>
          <w:lang w:val="en-GB"/>
        </w:rPr>
        <w:endnoteReference w:id="23"/>
      </w:r>
      <w:r w:rsidRPr="00ED6A76">
        <w:rPr>
          <w:rFonts w:asciiTheme="minorHAnsi" w:hAnsiTheme="minorHAnsi" w:cstheme="minorHAnsi"/>
          <w:spacing w:val="-6"/>
          <w:sz w:val="20"/>
          <w:szCs w:val="20"/>
          <w:lang w:val="en-GB"/>
        </w:rPr>
        <w:t xml:space="preserve"> ranging from chronic stress to autonomic nervous system dysfunction, inflammation, pain, poor sleep, heart rate variability, hyper-coagulable blood and cardiovascular disease,</w:t>
      </w:r>
      <w:r w:rsidRPr="00ED6A76">
        <w:rPr>
          <w:rFonts w:asciiTheme="minorHAnsi" w:hAnsiTheme="minorHAnsi" w:cstheme="minorHAnsi"/>
          <w:spacing w:val="-6"/>
          <w:sz w:val="20"/>
          <w:szCs w:val="20"/>
          <w:vertAlign w:val="superscript"/>
          <w:lang w:val="en-GB"/>
        </w:rPr>
        <w:endnoteReference w:id="24"/>
      </w:r>
      <w:r w:rsidRPr="00ED6A76">
        <w:rPr>
          <w:rFonts w:asciiTheme="minorHAnsi" w:hAnsiTheme="minorHAnsi" w:cstheme="minorHAnsi"/>
          <w:spacing w:val="-6"/>
          <w:sz w:val="20"/>
          <w:szCs w:val="20"/>
          <w:lang w:val="en-GB"/>
        </w:rPr>
        <w:t xml:space="preserve"> and a primary factor in regulating the endocrine and nervous system</w:t>
      </w:r>
      <w:r w:rsidR="00F46B51" w:rsidRPr="00ED6A76">
        <w:rPr>
          <w:rFonts w:asciiTheme="minorHAnsi" w:hAnsiTheme="minorHAnsi" w:cstheme="minorHAnsi"/>
          <w:spacing w:val="-6"/>
          <w:sz w:val="20"/>
          <w:szCs w:val="20"/>
          <w:lang w:val="en-GB"/>
        </w:rPr>
        <w:t>s</w:t>
      </w:r>
      <w:r w:rsidRPr="00ED6A76">
        <w:rPr>
          <w:rFonts w:asciiTheme="minorHAnsi" w:hAnsiTheme="minorHAnsi" w:cstheme="minorHAnsi"/>
          <w:spacing w:val="-6"/>
          <w:sz w:val="20"/>
          <w:szCs w:val="20"/>
          <w:lang w:val="en-GB"/>
        </w:rPr>
        <w:t>.</w:t>
      </w:r>
      <w:r w:rsidRPr="00ED6A76">
        <w:rPr>
          <w:rFonts w:asciiTheme="minorHAnsi" w:hAnsiTheme="minorHAnsi" w:cstheme="minorHAnsi"/>
          <w:spacing w:val="-6"/>
          <w:sz w:val="20"/>
          <w:szCs w:val="20"/>
          <w:vertAlign w:val="superscript"/>
          <w:lang w:val="en-GB"/>
        </w:rPr>
        <w:endnoteReference w:id="25"/>
      </w:r>
      <w:r w:rsidRPr="00ED6A76">
        <w:rPr>
          <w:rFonts w:asciiTheme="minorHAnsi" w:hAnsiTheme="minorHAnsi" w:cstheme="minorHAnsi"/>
          <w:spacing w:val="-6"/>
          <w:sz w:val="20"/>
          <w:szCs w:val="20"/>
          <w:lang w:val="en-GB"/>
        </w:rPr>
        <w:t xml:space="preserve"> </w:t>
      </w:r>
    </w:p>
    <w:p w14:paraId="6204662F" w14:textId="4C52E9C5" w:rsidR="00A4091E" w:rsidRPr="00ED6A76" w:rsidRDefault="00A4091E" w:rsidP="00ED6A76">
      <w:pPr>
        <w:keepNext/>
        <w:keepLines/>
        <w:pBdr>
          <w:top w:val="none" w:sz="0" w:space="0" w:color="auto"/>
          <w:left w:val="none" w:sz="0" w:space="0" w:color="auto"/>
          <w:bottom w:val="none" w:sz="0" w:space="0" w:color="auto"/>
          <w:right w:val="none" w:sz="0" w:space="0" w:color="auto"/>
        </w:pBdr>
        <w:shd w:val="clear" w:color="auto" w:fill="FFFFFF"/>
        <w:jc w:val="lowKashida"/>
        <w:outlineLvl w:val="0"/>
        <w:rPr>
          <w:rFonts w:asciiTheme="minorHAnsi" w:hAnsiTheme="minorHAnsi" w:cstheme="minorHAnsi"/>
          <w:spacing w:val="-2"/>
          <w:sz w:val="20"/>
          <w:szCs w:val="20"/>
        </w:rPr>
      </w:pPr>
      <w:r w:rsidRPr="00ED6A76">
        <w:rPr>
          <w:rFonts w:asciiTheme="minorHAnsi" w:hAnsiTheme="minorHAnsi" w:cstheme="minorHAnsi"/>
          <w:spacing w:val="-2"/>
          <w:sz w:val="20"/>
          <w:szCs w:val="20"/>
          <w:lang w:val="en-GB"/>
        </w:rPr>
        <w:lastRenderedPageBreak/>
        <w:t xml:space="preserve">In the age of multiple wireless technologies, the earth still provides the natural signal that human mental and physical existence requires </w:t>
      </w:r>
      <w:r w:rsidR="00F46B51" w:rsidRPr="00ED6A76">
        <w:rPr>
          <w:rFonts w:asciiTheme="minorHAnsi" w:hAnsiTheme="minorHAnsi" w:cstheme="minorHAnsi"/>
          <w:spacing w:val="-2"/>
          <w:sz w:val="20"/>
          <w:szCs w:val="20"/>
          <w:lang w:val="en-GB"/>
        </w:rPr>
        <w:t>for healthy</w:t>
      </w:r>
      <w:r w:rsidRPr="00ED6A76">
        <w:rPr>
          <w:rFonts w:asciiTheme="minorHAnsi" w:hAnsiTheme="minorHAnsi" w:cstheme="minorHAnsi"/>
          <w:spacing w:val="-2"/>
          <w:sz w:val="20"/>
          <w:szCs w:val="20"/>
          <w:lang w:val="en-GB"/>
        </w:rPr>
        <w:t xml:space="preserve"> function</w:t>
      </w:r>
      <w:r w:rsidR="00F46B51" w:rsidRPr="00ED6A76">
        <w:rPr>
          <w:rFonts w:asciiTheme="minorHAnsi" w:hAnsiTheme="minorHAnsi" w:cstheme="minorHAnsi"/>
          <w:spacing w:val="-2"/>
          <w:sz w:val="20"/>
          <w:szCs w:val="20"/>
          <w:lang w:val="en-GB"/>
        </w:rPr>
        <w:t>ing</w:t>
      </w:r>
      <w:r w:rsidRPr="00ED6A76">
        <w:rPr>
          <w:rFonts w:asciiTheme="minorHAnsi" w:hAnsiTheme="minorHAnsi" w:cstheme="minorHAnsi"/>
          <w:spacing w:val="-2"/>
          <w:sz w:val="20"/>
          <w:szCs w:val="20"/>
          <w:lang w:val="en-GB"/>
        </w:rPr>
        <w:t>, and</w:t>
      </w:r>
      <w:r w:rsidRPr="00ED6A76">
        <w:rPr>
          <w:rFonts w:asciiTheme="minorHAnsi" w:hAnsiTheme="minorHAnsi" w:cstheme="minorHAnsi"/>
          <w:spacing w:val="-2"/>
          <w:sz w:val="20"/>
          <w:szCs w:val="20"/>
        </w:rPr>
        <w:t xml:space="preserve"> </w:t>
      </w:r>
      <w:r w:rsidRPr="00ED6A76">
        <w:rPr>
          <w:rFonts w:asciiTheme="minorHAnsi" w:hAnsiTheme="minorHAnsi" w:cstheme="minorHAnsi"/>
          <w:spacing w:val="-2"/>
          <w:sz w:val="20"/>
          <w:szCs w:val="20"/>
          <w:lang w:val="en-GB"/>
        </w:rPr>
        <w:t xml:space="preserve">earthing the human body may be essential </w:t>
      </w:r>
      <w:r w:rsidR="004E0AA9" w:rsidRPr="00ED6A76">
        <w:rPr>
          <w:rFonts w:asciiTheme="minorHAnsi" w:hAnsiTheme="minorHAnsi" w:cstheme="minorHAnsi"/>
          <w:spacing w:val="-2"/>
          <w:sz w:val="20"/>
          <w:szCs w:val="20"/>
          <w:lang w:val="en-GB"/>
        </w:rPr>
        <w:t>to</w:t>
      </w:r>
      <w:r w:rsidRPr="00ED6A76">
        <w:rPr>
          <w:rFonts w:asciiTheme="minorHAnsi" w:hAnsiTheme="minorHAnsi" w:cstheme="minorHAnsi"/>
          <w:spacing w:val="-2"/>
          <w:sz w:val="20"/>
          <w:szCs w:val="20"/>
          <w:lang w:val="en-GB"/>
        </w:rPr>
        <w:t xml:space="preserve"> the human health equation</w:t>
      </w:r>
      <w:r w:rsidR="00370142" w:rsidRPr="00ED6A76">
        <w:rPr>
          <w:rFonts w:asciiTheme="minorHAnsi" w:hAnsiTheme="minorHAnsi" w:cstheme="minorHAnsi"/>
          <w:spacing w:val="-2"/>
          <w:sz w:val="20"/>
          <w:szCs w:val="20"/>
          <w:lang w:val="en-GB"/>
        </w:rPr>
        <w:t>,</w:t>
      </w:r>
      <w:r w:rsidRPr="00ED6A76">
        <w:rPr>
          <w:rFonts w:asciiTheme="minorHAnsi" w:hAnsiTheme="minorHAnsi" w:cstheme="minorHAnsi"/>
          <w:spacing w:val="-2"/>
          <w:sz w:val="20"/>
          <w:szCs w:val="20"/>
          <w:lang w:val="en-GB"/>
        </w:rPr>
        <w:t xml:space="preserve"> along with sunshine, clean air and water, nutritious food, and physical activity.</w:t>
      </w:r>
      <w:r w:rsidRPr="00ED6A76">
        <w:rPr>
          <w:rFonts w:asciiTheme="minorHAnsi" w:hAnsiTheme="minorHAnsi" w:cstheme="minorHAnsi"/>
          <w:spacing w:val="-2"/>
          <w:sz w:val="20"/>
          <w:szCs w:val="20"/>
          <w:vertAlign w:val="superscript"/>
          <w:lang w:val="en-GB"/>
        </w:rPr>
        <w:endnoteReference w:id="26"/>
      </w:r>
      <w:r w:rsidRPr="00ED6A76">
        <w:rPr>
          <w:rFonts w:asciiTheme="minorHAnsi" w:hAnsiTheme="minorHAnsi" w:cstheme="minorHAnsi"/>
          <w:spacing w:val="-2"/>
          <w:sz w:val="20"/>
          <w:szCs w:val="20"/>
          <w:lang w:val="en-GB"/>
        </w:rPr>
        <w:t xml:space="preserve"> On the planet Earth, this grounding is inextricably linked to physical access to land as an indispensable factor of human well-being</w:t>
      </w:r>
      <w:r w:rsidR="00370142" w:rsidRPr="00ED6A76">
        <w:rPr>
          <w:rFonts w:asciiTheme="minorHAnsi" w:hAnsiTheme="minorHAnsi" w:cstheme="minorHAnsi"/>
          <w:spacing w:val="-2"/>
          <w:sz w:val="20"/>
          <w:szCs w:val="20"/>
          <w:lang w:val="en-GB"/>
        </w:rPr>
        <w:t>, whether</w:t>
      </w:r>
      <w:r w:rsidRPr="00ED6A76">
        <w:rPr>
          <w:rFonts w:asciiTheme="minorHAnsi" w:hAnsiTheme="minorHAnsi" w:cstheme="minorHAnsi"/>
          <w:spacing w:val="-2"/>
          <w:sz w:val="20"/>
          <w:szCs w:val="20"/>
          <w:lang w:val="en-GB"/>
        </w:rPr>
        <w:t xml:space="preserve"> in </w:t>
      </w:r>
      <w:r w:rsidR="004E0AA9" w:rsidRPr="00ED6A76">
        <w:rPr>
          <w:rFonts w:asciiTheme="minorHAnsi" w:hAnsiTheme="minorHAnsi" w:cstheme="minorHAnsi"/>
          <w:spacing w:val="-2"/>
          <w:sz w:val="20"/>
          <w:szCs w:val="20"/>
          <w:lang w:val="en-GB"/>
        </w:rPr>
        <w:t>humans’</w:t>
      </w:r>
      <w:r w:rsidRPr="00ED6A76">
        <w:rPr>
          <w:rFonts w:asciiTheme="minorHAnsi" w:hAnsiTheme="minorHAnsi" w:cstheme="minorHAnsi"/>
          <w:spacing w:val="-2"/>
          <w:sz w:val="20"/>
          <w:szCs w:val="20"/>
          <w:lang w:val="en-GB"/>
        </w:rPr>
        <w:t xml:space="preserve"> primordial habitat and/or built environment.</w:t>
      </w:r>
      <w:r w:rsidRPr="00ED6A76">
        <w:rPr>
          <w:rFonts w:asciiTheme="minorHAnsi" w:hAnsiTheme="minorHAnsi" w:cstheme="minorHAnsi"/>
          <w:spacing w:val="-2"/>
          <w:sz w:val="20"/>
          <w:szCs w:val="20"/>
        </w:rPr>
        <w:t xml:space="preserve"> In this contemporary context, a return “back to the land” takes on a physiological value. </w:t>
      </w:r>
    </w:p>
    <w:p w14:paraId="70C806FB" w14:textId="4EF89093"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b/>
          <w:bCs/>
          <w:spacing w:val="-2"/>
          <w:sz w:val="20"/>
          <w:szCs w:val="20"/>
          <w:lang w:val="en-GB"/>
        </w:rPr>
      </w:pPr>
      <w:r w:rsidRPr="00ED6A76">
        <w:rPr>
          <w:rFonts w:asciiTheme="minorHAnsi" w:hAnsiTheme="minorHAnsi" w:cstheme="minorHAnsi"/>
          <w:b/>
          <w:bCs/>
          <w:spacing w:val="-2"/>
          <w:sz w:val="20"/>
          <w:szCs w:val="20"/>
        </w:rPr>
        <w:t xml:space="preserve">Land’s Organic Link to </w:t>
      </w:r>
      <w:r w:rsidR="0033199B" w:rsidRPr="00ED6A76">
        <w:rPr>
          <w:rFonts w:asciiTheme="minorHAnsi" w:hAnsiTheme="minorHAnsi" w:cstheme="minorHAnsi"/>
          <w:b/>
          <w:bCs/>
          <w:spacing w:val="-2"/>
          <w:sz w:val="20"/>
          <w:szCs w:val="20"/>
        </w:rPr>
        <w:t xml:space="preserve">the Human Right to Participate in </w:t>
      </w:r>
      <w:r w:rsidRPr="00ED6A76">
        <w:rPr>
          <w:rFonts w:asciiTheme="minorHAnsi" w:hAnsiTheme="minorHAnsi" w:cstheme="minorHAnsi"/>
          <w:b/>
          <w:bCs/>
          <w:spacing w:val="-2"/>
          <w:sz w:val="20"/>
          <w:szCs w:val="20"/>
        </w:rPr>
        <w:t>Cultur</w:t>
      </w:r>
      <w:r w:rsidR="0033199B" w:rsidRPr="00ED6A76">
        <w:rPr>
          <w:rFonts w:asciiTheme="minorHAnsi" w:hAnsiTheme="minorHAnsi" w:cstheme="minorHAnsi"/>
          <w:b/>
          <w:bCs/>
          <w:spacing w:val="-2"/>
          <w:sz w:val="20"/>
          <w:szCs w:val="20"/>
        </w:rPr>
        <w:t>e</w:t>
      </w:r>
    </w:p>
    <w:p w14:paraId="44C0B249" w14:textId="570DEA88"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The notion of land</w:t>
      </w:r>
      <w:r w:rsidR="00A1581E"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as a common</w:t>
      </w:r>
      <w:r w:rsidRPr="00ED6A76">
        <w:rPr>
          <w:rFonts w:asciiTheme="minorHAnsi" w:hAnsiTheme="minorHAnsi" w:cstheme="minorHAnsi"/>
          <w:color w:val="auto"/>
          <w:spacing w:val="-2"/>
          <w:sz w:val="20"/>
          <w:szCs w:val="20"/>
          <w:lang w:bidi="ar-SY"/>
        </w:rPr>
        <w:t xml:space="preserve"> and indispensable </w:t>
      </w:r>
      <w:r w:rsidRPr="00ED6A76">
        <w:rPr>
          <w:rFonts w:asciiTheme="minorHAnsi" w:hAnsiTheme="minorHAnsi" w:cstheme="minorHAnsi"/>
          <w:color w:val="auto"/>
          <w:spacing w:val="-2"/>
          <w:sz w:val="20"/>
          <w:szCs w:val="20"/>
        </w:rPr>
        <w:t>part of the human habitat</w:t>
      </w:r>
      <w:r w:rsidR="00A1581E"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is expressed in many cultures. Inherent in the traditions and customs of traditional and indigenous peoples is the concept of collective guardianship of land and the prohibition against land’s treatment as a commodity. Notably in Islamic cultures is the prophetic Tradition that “people share in three things: water, (pasture) land and fire” and “it is forbidden to put a price on them.”</w:t>
      </w:r>
      <w:r w:rsidRPr="00ED6A76">
        <w:rPr>
          <w:rStyle w:val="EndnoteReference"/>
          <w:rFonts w:asciiTheme="minorHAnsi" w:hAnsiTheme="minorHAnsi" w:cstheme="minorHAnsi"/>
          <w:color w:val="auto"/>
          <w:spacing w:val="-2"/>
          <w:sz w:val="20"/>
          <w:szCs w:val="20"/>
        </w:rPr>
        <w:endnoteReference w:id="27"/>
      </w:r>
    </w:p>
    <w:p w14:paraId="2F8471F6" w14:textId="560EDC49"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spacing w:val="-2"/>
          <w:sz w:val="20"/>
          <w:szCs w:val="20"/>
        </w:rPr>
      </w:pPr>
      <w:r w:rsidRPr="00ED6A76">
        <w:rPr>
          <w:rFonts w:asciiTheme="minorHAnsi" w:hAnsiTheme="minorHAnsi" w:cstheme="minorHAnsi"/>
          <w:spacing w:val="-2"/>
          <w:sz w:val="20"/>
          <w:szCs w:val="20"/>
        </w:rPr>
        <w:t>In many earthly human cultures, this synchronicity and symbiosis are considered sacrosanct.</w:t>
      </w:r>
      <w:r w:rsidRPr="00ED6A76">
        <w:rPr>
          <w:rStyle w:val="EndnoteReference"/>
          <w:rFonts w:asciiTheme="minorHAnsi" w:hAnsiTheme="minorHAnsi" w:cstheme="minorHAnsi"/>
          <w:spacing w:val="-2"/>
          <w:sz w:val="20"/>
          <w:szCs w:val="20"/>
        </w:rPr>
        <w:endnoteReference w:id="28"/>
      </w:r>
      <w:r w:rsidRPr="00ED6A76">
        <w:rPr>
          <w:rFonts w:asciiTheme="minorHAnsi" w:hAnsiTheme="minorHAnsi" w:cstheme="minorHAnsi"/>
          <w:spacing w:val="-2"/>
          <w:sz w:val="20"/>
          <w:szCs w:val="20"/>
        </w:rPr>
        <w:t xml:space="preserve"> For millennia, Sioux people have expressed the life-giving force of the land and soil as part of their nature.</w:t>
      </w:r>
      <w:r w:rsidRPr="00ED6A76">
        <w:rPr>
          <w:rStyle w:val="EndnoteReference"/>
          <w:rFonts w:asciiTheme="minorHAnsi" w:hAnsiTheme="minorHAnsi" w:cstheme="minorHAnsi"/>
          <w:spacing w:val="-2"/>
          <w:sz w:val="20"/>
          <w:szCs w:val="20"/>
        </w:rPr>
        <w:endnoteReference w:id="29"/>
      </w:r>
      <w:r w:rsidRPr="00ED6A76">
        <w:rPr>
          <w:rFonts w:asciiTheme="minorHAnsi" w:hAnsiTheme="minorHAnsi" w:cstheme="minorHAnsi"/>
          <w:spacing w:val="-2"/>
          <w:sz w:val="20"/>
          <w:szCs w:val="20"/>
        </w:rPr>
        <w:t xml:space="preserve"> Modern cultures still consider physical access to land as a therapy known as “grounding,” or “earthing,” or what Germans call </w:t>
      </w:r>
      <w:r w:rsidRPr="00ED6A76">
        <w:rPr>
          <w:rFonts w:asciiTheme="minorHAnsi" w:hAnsiTheme="minorHAnsi" w:cstheme="minorHAnsi"/>
          <w:i/>
          <w:iCs/>
          <w:spacing w:val="-2"/>
          <w:sz w:val="20"/>
          <w:szCs w:val="20"/>
        </w:rPr>
        <w:t xml:space="preserve">Waldbaden </w:t>
      </w:r>
      <w:r w:rsidRPr="00ED6A76">
        <w:rPr>
          <w:rFonts w:asciiTheme="minorHAnsi" w:hAnsiTheme="minorHAnsi" w:cstheme="minorHAnsi"/>
          <w:spacing w:val="-2"/>
          <w:sz w:val="20"/>
          <w:szCs w:val="20"/>
        </w:rPr>
        <w:t xml:space="preserve">and Japanese refer to as </w:t>
      </w:r>
      <w:r w:rsidRPr="00ED6A76">
        <w:rPr>
          <w:rFonts w:asciiTheme="minorHAnsi" w:hAnsiTheme="minorHAnsi" w:cstheme="minorHAnsi"/>
          <w:i/>
          <w:iCs/>
          <w:spacing w:val="-2"/>
          <w:sz w:val="20"/>
          <w:szCs w:val="20"/>
        </w:rPr>
        <w:t xml:space="preserve">shinrin’yoku </w:t>
      </w:r>
      <w:r w:rsidRPr="00ED6A76">
        <w:rPr>
          <w:rFonts w:asciiTheme="minorHAnsi" w:hAnsiTheme="minorHAnsi" w:cstheme="minorHAnsi"/>
          <w:spacing w:val="-2"/>
          <w:sz w:val="20"/>
          <w:szCs w:val="20"/>
        </w:rPr>
        <w:t>(</w:t>
      </w:r>
      <w:r w:rsidRPr="00ED6A76">
        <w:rPr>
          <w:rFonts w:asciiTheme="minorHAnsi" w:eastAsia="MS Mincho" w:hAnsiTheme="minorHAnsi" w:cstheme="minorHAnsi"/>
          <w:spacing w:val="-2"/>
          <w:sz w:val="20"/>
          <w:szCs w:val="20"/>
        </w:rPr>
        <w:t>森林浴</w:t>
      </w:r>
      <w:r w:rsidRPr="00ED6A76">
        <w:rPr>
          <w:rFonts w:asciiTheme="minorHAnsi" w:hAnsiTheme="minorHAnsi" w:cstheme="minorHAnsi"/>
          <w:spacing w:val="-2"/>
          <w:sz w:val="20"/>
          <w:szCs w:val="20"/>
        </w:rPr>
        <w:t>).</w:t>
      </w:r>
    </w:p>
    <w:p w14:paraId="0714C33C" w14:textId="29D18D96"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Land is also attributed with multiple functions: economic, social, cultural and ecological.</w:t>
      </w:r>
      <w:r w:rsidRPr="00ED6A76">
        <w:rPr>
          <w:rStyle w:val="EndnoteReference"/>
          <w:rFonts w:asciiTheme="minorHAnsi" w:hAnsiTheme="minorHAnsi" w:cstheme="minorHAnsi"/>
          <w:color w:val="auto"/>
          <w:spacing w:val="-2"/>
          <w:sz w:val="20"/>
          <w:szCs w:val="20"/>
        </w:rPr>
        <w:endnoteReference w:id="30"/>
      </w:r>
      <w:r w:rsidRPr="00ED6A76">
        <w:rPr>
          <w:rFonts w:asciiTheme="minorHAnsi" w:hAnsiTheme="minorHAnsi" w:cstheme="minorHAnsi"/>
          <w:color w:val="auto"/>
          <w:spacing w:val="-2"/>
          <w:sz w:val="20"/>
          <w:szCs w:val="20"/>
        </w:rPr>
        <w:t xml:space="preserve"> Respecting, protecting and fulfilling secure and equitable access, management, use and secure tenure of adequate land constitute primary elements in a domino causality toward the realization of other human rights.</w:t>
      </w:r>
    </w:p>
    <w:p w14:paraId="55E813A6" w14:textId="29BA7E88" w:rsidR="00370142"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Both expressions of land as a universal human need and human right, as well as the special relationship of certain human populations to the basic element and resource of land, underscore these economic, social and environmental functions of land as a common good and resource. Land as a human right makes it both an individual and collective prerequisite to the realization of other internationally guaranteed rights, including the human right to participation in culture</w:t>
      </w:r>
      <w:r w:rsidR="004E0AA9" w:rsidRPr="00ED6A76">
        <w:rPr>
          <w:rFonts w:asciiTheme="minorHAnsi" w:hAnsiTheme="minorHAnsi" w:cstheme="minorHAnsi"/>
          <w:color w:val="auto"/>
          <w:spacing w:val="-2"/>
          <w:sz w:val="20"/>
          <w:szCs w:val="20"/>
        </w:rPr>
        <w:t xml:space="preserve"> (ICESCR, Article 15</w:t>
      </w:r>
      <w:r w:rsidR="00DB2105"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 xml:space="preserve">. Identifiable land territory and the community’s habitual relations to, and interaction with it are essential to the sustainability of land-based cultures. </w:t>
      </w:r>
    </w:p>
    <w:p w14:paraId="30BD26F1" w14:textId="7DE5999A" w:rsidR="00370142" w:rsidRPr="00ED6A76" w:rsidRDefault="00421A70"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In</w:t>
      </w:r>
      <w:r w:rsidR="00370142" w:rsidRPr="00ED6A76">
        <w:rPr>
          <w:rFonts w:asciiTheme="minorHAnsi" w:hAnsiTheme="minorHAnsi" w:cstheme="minorHAnsi"/>
          <w:color w:val="auto"/>
          <w:spacing w:val="-2"/>
          <w:sz w:val="20"/>
          <w:szCs w:val="20"/>
        </w:rPr>
        <w:t xml:space="preserve"> indigenous and other land-based cultures, </w:t>
      </w:r>
      <w:r w:rsidR="004E0AA9" w:rsidRPr="00ED6A76">
        <w:rPr>
          <w:rFonts w:asciiTheme="minorHAnsi" w:hAnsiTheme="minorHAnsi" w:cstheme="minorHAnsi"/>
          <w:color w:val="auto"/>
          <w:spacing w:val="-2"/>
          <w:sz w:val="20"/>
          <w:szCs w:val="20"/>
        </w:rPr>
        <w:t xml:space="preserve">practitioners </w:t>
      </w:r>
      <w:r w:rsidR="00223DA6" w:rsidRPr="00ED6A76">
        <w:rPr>
          <w:rFonts w:asciiTheme="minorHAnsi" w:hAnsiTheme="minorHAnsi" w:cstheme="minorHAnsi"/>
          <w:color w:val="auto"/>
          <w:spacing w:val="-2"/>
          <w:sz w:val="20"/>
          <w:szCs w:val="20"/>
        </w:rPr>
        <w:t>retain their</w:t>
      </w:r>
      <w:r w:rsidR="00370142" w:rsidRPr="00ED6A76">
        <w:rPr>
          <w:rFonts w:asciiTheme="minorHAnsi" w:hAnsiTheme="minorHAnsi" w:cstheme="minorHAnsi"/>
          <w:color w:val="auto"/>
          <w:spacing w:val="-2"/>
          <w:sz w:val="20"/>
          <w:szCs w:val="20"/>
        </w:rPr>
        <w:t xml:space="preserve"> organic relations</w:t>
      </w:r>
      <w:r w:rsidR="00223DA6" w:rsidRPr="00ED6A76">
        <w:rPr>
          <w:rFonts w:asciiTheme="minorHAnsi" w:hAnsiTheme="minorHAnsi" w:cstheme="minorHAnsi"/>
          <w:color w:val="auto"/>
          <w:spacing w:val="-2"/>
          <w:sz w:val="20"/>
          <w:szCs w:val="20"/>
        </w:rPr>
        <w:t xml:space="preserve">hip to land and, in the legal definition of indigenous peoples, to a </w:t>
      </w:r>
      <w:r w:rsidR="00223DA6" w:rsidRPr="00ED6A76">
        <w:rPr>
          <w:rFonts w:asciiTheme="minorHAnsi" w:hAnsiTheme="minorHAnsi" w:cstheme="minorHAnsi"/>
          <w:i/>
          <w:iCs/>
          <w:color w:val="auto"/>
          <w:spacing w:val="-2"/>
          <w:sz w:val="20"/>
          <w:szCs w:val="20"/>
        </w:rPr>
        <w:t xml:space="preserve">particular </w:t>
      </w:r>
      <w:r w:rsidR="00223DA6" w:rsidRPr="00ED6A76">
        <w:rPr>
          <w:rFonts w:asciiTheme="minorHAnsi" w:hAnsiTheme="minorHAnsi" w:cstheme="minorHAnsi"/>
          <w:color w:val="auto"/>
          <w:spacing w:val="-2"/>
          <w:sz w:val="20"/>
          <w:szCs w:val="20"/>
        </w:rPr>
        <w:t>land.</w:t>
      </w:r>
      <w:r w:rsidRPr="00ED6A76">
        <w:rPr>
          <w:rStyle w:val="EndnoteReference"/>
          <w:rFonts w:asciiTheme="minorHAnsi" w:hAnsiTheme="minorHAnsi" w:cstheme="minorHAnsi"/>
          <w:color w:val="auto"/>
          <w:spacing w:val="-2"/>
          <w:sz w:val="20"/>
          <w:szCs w:val="20"/>
        </w:rPr>
        <w:endnoteReference w:id="31"/>
      </w:r>
      <w:r w:rsidRPr="00ED6A76">
        <w:rPr>
          <w:rFonts w:asciiTheme="minorHAnsi" w:hAnsiTheme="minorHAnsi" w:cstheme="minorHAnsi"/>
          <w:color w:val="auto"/>
          <w:spacing w:val="-2"/>
          <w:sz w:val="20"/>
          <w:szCs w:val="20"/>
        </w:rPr>
        <w:t xml:space="preserve"> Their strong </w:t>
      </w:r>
      <w:r w:rsidRPr="00ED6A76">
        <w:rPr>
          <w:rFonts w:asciiTheme="minorHAnsi" w:hAnsiTheme="minorHAnsi" w:cstheme="minorHAnsi"/>
          <w:color w:val="auto"/>
          <w:spacing w:val="-2"/>
          <w:sz w:val="20"/>
          <w:szCs w:val="20"/>
        </w:rPr>
        <w:lastRenderedPageBreak/>
        <w:t xml:space="preserve">link to territories and surrounding natural resources is often expressed in spiritual and even mystic terms. </w:t>
      </w:r>
      <w:r w:rsidR="00DF1386" w:rsidRPr="00ED6A76">
        <w:rPr>
          <w:rFonts w:asciiTheme="minorHAnsi" w:hAnsiTheme="minorHAnsi" w:cstheme="minorHAnsi"/>
          <w:color w:val="auto"/>
          <w:spacing w:val="-2"/>
          <w:sz w:val="20"/>
          <w:szCs w:val="20"/>
        </w:rPr>
        <w:t>T</w:t>
      </w:r>
      <w:r w:rsidR="004E0AA9" w:rsidRPr="00ED6A76">
        <w:rPr>
          <w:rFonts w:asciiTheme="minorHAnsi" w:hAnsiTheme="minorHAnsi" w:cstheme="minorHAnsi"/>
          <w:color w:val="auto"/>
          <w:spacing w:val="-2"/>
          <w:sz w:val="20"/>
          <w:szCs w:val="20"/>
        </w:rPr>
        <w:t>o outsiders, t</w:t>
      </w:r>
      <w:r w:rsidRPr="00ED6A76">
        <w:rPr>
          <w:rFonts w:asciiTheme="minorHAnsi" w:hAnsiTheme="minorHAnsi" w:cstheme="minorHAnsi"/>
          <w:color w:val="auto"/>
          <w:spacing w:val="-2"/>
          <w:sz w:val="20"/>
          <w:szCs w:val="20"/>
        </w:rPr>
        <w:t xml:space="preserve">his </w:t>
      </w:r>
      <w:r w:rsidR="00DF1386" w:rsidRPr="00ED6A76">
        <w:rPr>
          <w:rFonts w:asciiTheme="minorHAnsi" w:hAnsiTheme="minorHAnsi" w:cstheme="minorHAnsi"/>
          <w:color w:val="auto"/>
          <w:spacing w:val="-2"/>
          <w:sz w:val="20"/>
          <w:szCs w:val="20"/>
        </w:rPr>
        <w:t>relationship is often seen as exotic, colorful, earthy</w:t>
      </w:r>
      <w:r w:rsidR="004E0AA9" w:rsidRPr="00ED6A76">
        <w:rPr>
          <w:rFonts w:asciiTheme="minorHAnsi" w:hAnsiTheme="minorHAnsi" w:cstheme="minorHAnsi"/>
          <w:color w:val="auto"/>
          <w:spacing w:val="-2"/>
          <w:sz w:val="20"/>
          <w:szCs w:val="20"/>
        </w:rPr>
        <w:t>,</w:t>
      </w:r>
      <w:r w:rsidR="00DF1386" w:rsidRPr="00ED6A76">
        <w:rPr>
          <w:rFonts w:asciiTheme="minorHAnsi" w:hAnsiTheme="minorHAnsi" w:cstheme="minorHAnsi"/>
          <w:color w:val="auto"/>
          <w:spacing w:val="-2"/>
          <w:sz w:val="20"/>
          <w:szCs w:val="20"/>
        </w:rPr>
        <w:t xml:space="preserve"> </w:t>
      </w:r>
      <w:r w:rsidR="004E0AA9" w:rsidRPr="00ED6A76">
        <w:rPr>
          <w:rFonts w:asciiTheme="minorHAnsi" w:hAnsiTheme="minorHAnsi" w:cstheme="minorHAnsi"/>
          <w:color w:val="auto"/>
          <w:spacing w:val="-2"/>
          <w:sz w:val="20"/>
          <w:szCs w:val="20"/>
        </w:rPr>
        <w:t xml:space="preserve">quaint, </w:t>
      </w:r>
      <w:r w:rsidR="00DF1386" w:rsidRPr="00ED6A76">
        <w:rPr>
          <w:rFonts w:asciiTheme="minorHAnsi" w:hAnsiTheme="minorHAnsi" w:cstheme="minorHAnsi"/>
          <w:color w:val="auto"/>
          <w:spacing w:val="-2"/>
          <w:sz w:val="20"/>
          <w:szCs w:val="20"/>
        </w:rPr>
        <w:t>poetically expressed</w:t>
      </w:r>
      <w:r w:rsidR="004E0AA9" w:rsidRPr="00ED6A76">
        <w:rPr>
          <w:rFonts w:asciiTheme="minorHAnsi" w:hAnsiTheme="minorHAnsi" w:cstheme="minorHAnsi"/>
          <w:color w:val="auto"/>
          <w:spacing w:val="-2"/>
          <w:sz w:val="20"/>
          <w:szCs w:val="20"/>
        </w:rPr>
        <w:t xml:space="preserve"> and geographically isolated</w:t>
      </w:r>
      <w:r w:rsidR="00DF1386" w:rsidRPr="00ED6A76">
        <w:rPr>
          <w:rFonts w:asciiTheme="minorHAnsi" w:hAnsiTheme="minorHAnsi" w:cstheme="minorHAnsi"/>
          <w:color w:val="auto"/>
          <w:spacing w:val="-2"/>
          <w:sz w:val="20"/>
          <w:szCs w:val="20"/>
        </w:rPr>
        <w:t>. However, rather than romanticizing this vital land-people relationship as uniquely indigenous, the sciences clarify for modern audiences what makes the land so sacred</w:t>
      </w:r>
      <w:r w:rsidR="00E5231E" w:rsidRPr="00ED6A76">
        <w:rPr>
          <w:rFonts w:asciiTheme="minorHAnsi" w:hAnsiTheme="minorHAnsi" w:cstheme="minorHAnsi"/>
          <w:color w:val="auto"/>
          <w:spacing w:val="-2"/>
          <w:sz w:val="20"/>
          <w:szCs w:val="20"/>
        </w:rPr>
        <w:t xml:space="preserve"> from time immemorial</w:t>
      </w:r>
      <w:r w:rsidR="00DF1386" w:rsidRPr="00ED6A76">
        <w:rPr>
          <w:rFonts w:asciiTheme="minorHAnsi" w:hAnsiTheme="minorHAnsi" w:cstheme="minorHAnsi"/>
          <w:color w:val="auto"/>
          <w:spacing w:val="-2"/>
          <w:sz w:val="20"/>
          <w:szCs w:val="20"/>
        </w:rPr>
        <w:t>.</w:t>
      </w:r>
    </w:p>
    <w:p w14:paraId="4292989B" w14:textId="466F7991" w:rsidR="00A4091E" w:rsidRPr="00ED6A76" w:rsidRDefault="00DF1386"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In fact, m</w:t>
      </w:r>
      <w:r w:rsidR="00A4091E" w:rsidRPr="00ED6A76">
        <w:rPr>
          <w:rFonts w:asciiTheme="minorHAnsi" w:hAnsiTheme="minorHAnsi" w:cstheme="minorHAnsi"/>
          <w:color w:val="auto"/>
          <w:spacing w:val="-2"/>
          <w:sz w:val="20"/>
          <w:szCs w:val="20"/>
        </w:rPr>
        <w:t xml:space="preserve">any—but not necessarily all—human cultures emanate from </w:t>
      </w:r>
      <w:r w:rsidR="00E5231E" w:rsidRPr="00ED6A76">
        <w:rPr>
          <w:rFonts w:asciiTheme="minorHAnsi" w:hAnsiTheme="minorHAnsi" w:cstheme="minorHAnsi"/>
          <w:color w:val="auto"/>
          <w:spacing w:val="-2"/>
          <w:sz w:val="20"/>
          <w:szCs w:val="20"/>
        </w:rPr>
        <w:t xml:space="preserve">such a </w:t>
      </w:r>
      <w:r w:rsidR="00A4091E" w:rsidRPr="00ED6A76">
        <w:rPr>
          <w:rFonts w:asciiTheme="minorHAnsi" w:hAnsiTheme="minorHAnsi" w:cstheme="minorHAnsi"/>
          <w:color w:val="auto"/>
          <w:spacing w:val="-2"/>
          <w:sz w:val="20"/>
          <w:szCs w:val="20"/>
        </w:rPr>
        <w:t xml:space="preserve">relationship with the land, </w:t>
      </w:r>
      <w:r w:rsidR="00E5231E" w:rsidRPr="00ED6A76">
        <w:rPr>
          <w:rFonts w:asciiTheme="minorHAnsi" w:hAnsiTheme="minorHAnsi" w:cstheme="minorHAnsi"/>
          <w:color w:val="auto"/>
          <w:spacing w:val="-2"/>
          <w:sz w:val="20"/>
          <w:szCs w:val="20"/>
        </w:rPr>
        <w:t>despite</w:t>
      </w:r>
      <w:r w:rsidR="00A4091E" w:rsidRPr="00ED6A76">
        <w:rPr>
          <w:rFonts w:asciiTheme="minorHAnsi" w:hAnsiTheme="minorHAnsi" w:cstheme="minorHAnsi"/>
          <w:color w:val="auto"/>
          <w:spacing w:val="-2"/>
          <w:sz w:val="20"/>
          <w:szCs w:val="20"/>
        </w:rPr>
        <w:t xml:space="preserve"> the common urban and class bias, national amnesia and discrimination against rural populations</w:t>
      </w:r>
      <w:r w:rsidR="00370142" w:rsidRPr="00ED6A76">
        <w:rPr>
          <w:rFonts w:asciiTheme="minorHAnsi" w:hAnsiTheme="minorHAnsi" w:cstheme="minorHAnsi"/>
          <w:color w:val="auto"/>
          <w:spacing w:val="-2"/>
          <w:sz w:val="20"/>
          <w:szCs w:val="20"/>
        </w:rPr>
        <w:t xml:space="preserve"> that </w:t>
      </w:r>
      <w:r w:rsidR="00E5231E" w:rsidRPr="00ED6A76">
        <w:rPr>
          <w:rFonts w:asciiTheme="minorHAnsi" w:hAnsiTheme="minorHAnsi" w:cstheme="minorHAnsi"/>
          <w:color w:val="auto"/>
          <w:spacing w:val="-2"/>
          <w:sz w:val="20"/>
          <w:szCs w:val="20"/>
        </w:rPr>
        <w:t xml:space="preserve">often </w:t>
      </w:r>
      <w:r w:rsidR="00370142" w:rsidRPr="00ED6A76">
        <w:rPr>
          <w:rFonts w:asciiTheme="minorHAnsi" w:hAnsiTheme="minorHAnsi" w:cstheme="minorHAnsi"/>
          <w:color w:val="auto"/>
          <w:spacing w:val="-2"/>
          <w:sz w:val="20"/>
          <w:szCs w:val="20"/>
        </w:rPr>
        <w:t>prevails</w:t>
      </w:r>
      <w:r w:rsidR="00A4091E" w:rsidRPr="00ED6A76">
        <w:rPr>
          <w:rFonts w:asciiTheme="minorHAnsi" w:hAnsiTheme="minorHAnsi" w:cstheme="minorHAnsi"/>
          <w:color w:val="auto"/>
          <w:spacing w:val="-2"/>
          <w:sz w:val="20"/>
          <w:szCs w:val="20"/>
        </w:rPr>
        <w:t xml:space="preserve">. This </w:t>
      </w:r>
      <w:r w:rsidR="00E5231E" w:rsidRPr="00ED6A76">
        <w:rPr>
          <w:rFonts w:asciiTheme="minorHAnsi" w:hAnsiTheme="minorHAnsi" w:cstheme="minorHAnsi"/>
          <w:color w:val="auto"/>
          <w:spacing w:val="-2"/>
          <w:sz w:val="20"/>
          <w:szCs w:val="20"/>
        </w:rPr>
        <w:t xml:space="preserve">loss of memory and perspective </w:t>
      </w:r>
      <w:r w:rsidR="00A4091E" w:rsidRPr="00ED6A76">
        <w:rPr>
          <w:rFonts w:asciiTheme="minorHAnsi" w:hAnsiTheme="minorHAnsi" w:cstheme="minorHAnsi"/>
          <w:color w:val="auto"/>
          <w:spacing w:val="-2"/>
          <w:sz w:val="20"/>
          <w:szCs w:val="20"/>
        </w:rPr>
        <w:t xml:space="preserve">highlights the importance of </w:t>
      </w:r>
      <w:bookmarkStart w:id="9" w:name="_Hlk21621767"/>
      <w:r w:rsidR="00A4091E" w:rsidRPr="00ED6A76">
        <w:rPr>
          <w:rFonts w:asciiTheme="minorHAnsi" w:hAnsiTheme="minorHAnsi" w:cstheme="minorHAnsi"/>
          <w:color w:val="auto"/>
          <w:spacing w:val="-2"/>
          <w:sz w:val="20"/>
          <w:szCs w:val="20"/>
        </w:rPr>
        <w:t>articulating clear and consistent human rights obligations of states, as well as shared responsibilities, in relation to land as a distinct human right</w:t>
      </w:r>
      <w:bookmarkEnd w:id="9"/>
      <w:r w:rsidR="00A4091E" w:rsidRPr="00ED6A76">
        <w:rPr>
          <w:rFonts w:asciiTheme="minorHAnsi" w:hAnsiTheme="minorHAnsi" w:cstheme="minorHAnsi"/>
          <w:color w:val="auto"/>
          <w:spacing w:val="-2"/>
          <w:sz w:val="20"/>
          <w:szCs w:val="20"/>
        </w:rPr>
        <w:t>, as well as an essential element for the realization of other rights guaranteed in the Covenant to which they are party.</w:t>
      </w:r>
    </w:p>
    <w:p w14:paraId="3BAD6600" w14:textId="5341E08C"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b/>
          <w:bCs/>
          <w:color w:val="auto"/>
          <w:spacing w:val="-2"/>
          <w:sz w:val="20"/>
          <w:szCs w:val="20"/>
        </w:rPr>
      </w:pPr>
      <w:r w:rsidRPr="00ED6A76">
        <w:rPr>
          <w:rFonts w:asciiTheme="minorHAnsi" w:hAnsiTheme="minorHAnsi" w:cstheme="minorHAnsi"/>
          <w:b/>
          <w:bCs/>
          <w:color w:val="auto"/>
          <w:spacing w:val="-2"/>
          <w:sz w:val="20"/>
          <w:szCs w:val="20"/>
        </w:rPr>
        <w:t xml:space="preserve">Equity </w:t>
      </w:r>
    </w:p>
    <w:p w14:paraId="062EE12D" w14:textId="47F3CCFA"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bCs/>
          <w:spacing w:val="-2"/>
          <w:sz w:val="20"/>
          <w:szCs w:val="20"/>
        </w:rPr>
        <w:t>Many</w:t>
      </w:r>
      <w:r w:rsidR="00B063B8" w:rsidRPr="00ED6A76">
        <w:rPr>
          <w:rFonts w:asciiTheme="minorHAnsi" w:hAnsiTheme="minorHAnsi" w:cstheme="minorHAnsi"/>
          <w:bCs/>
          <w:spacing w:val="-2"/>
          <w:sz w:val="20"/>
          <w:szCs w:val="20"/>
        </w:rPr>
        <w:t xml:space="preserve"> people</w:t>
      </w:r>
      <w:r w:rsidRPr="00ED6A76">
        <w:rPr>
          <w:rFonts w:asciiTheme="minorHAnsi" w:hAnsiTheme="minorHAnsi" w:cstheme="minorHAnsi"/>
          <w:bCs/>
          <w:spacing w:val="-2"/>
          <w:sz w:val="20"/>
          <w:szCs w:val="20"/>
        </w:rPr>
        <w:t xml:space="preserve">, including </w:t>
      </w:r>
      <w:r w:rsidR="00B063B8" w:rsidRPr="00ED6A76">
        <w:rPr>
          <w:rFonts w:asciiTheme="minorHAnsi" w:hAnsiTheme="minorHAnsi" w:cstheme="minorHAnsi"/>
          <w:bCs/>
          <w:spacing w:val="-2"/>
          <w:sz w:val="20"/>
          <w:szCs w:val="20"/>
        </w:rPr>
        <w:t xml:space="preserve">some colleagues </w:t>
      </w:r>
      <w:r w:rsidRPr="00ED6A76">
        <w:rPr>
          <w:rFonts w:asciiTheme="minorHAnsi" w:hAnsiTheme="minorHAnsi" w:cstheme="minorHAnsi"/>
          <w:bCs/>
          <w:spacing w:val="-2"/>
          <w:sz w:val="20"/>
          <w:szCs w:val="20"/>
        </w:rPr>
        <w:t xml:space="preserve">in human rights fields, </w:t>
      </w:r>
      <w:r w:rsidR="007A0E96" w:rsidRPr="00ED6A76">
        <w:rPr>
          <w:rFonts w:asciiTheme="minorHAnsi" w:hAnsiTheme="minorHAnsi" w:cstheme="minorHAnsi"/>
          <w:bCs/>
          <w:spacing w:val="-2"/>
          <w:sz w:val="20"/>
          <w:szCs w:val="20"/>
        </w:rPr>
        <w:t xml:space="preserve">still </w:t>
      </w:r>
      <w:r w:rsidRPr="00ED6A76">
        <w:rPr>
          <w:rFonts w:asciiTheme="minorHAnsi" w:hAnsiTheme="minorHAnsi" w:cstheme="minorHAnsi"/>
          <w:bCs/>
          <w:spacing w:val="-2"/>
          <w:sz w:val="20"/>
          <w:szCs w:val="20"/>
        </w:rPr>
        <w:t xml:space="preserve">intuitively perceive the “human right to land” as a </w:t>
      </w:r>
      <w:r w:rsidR="007A0E96" w:rsidRPr="00ED6A76">
        <w:rPr>
          <w:rFonts w:asciiTheme="minorHAnsi" w:hAnsiTheme="minorHAnsi" w:cstheme="minorHAnsi"/>
          <w:bCs/>
          <w:spacing w:val="-2"/>
          <w:sz w:val="20"/>
          <w:szCs w:val="20"/>
        </w:rPr>
        <w:t>“</w:t>
      </w:r>
      <w:r w:rsidRPr="00ED6A76">
        <w:rPr>
          <w:rFonts w:asciiTheme="minorHAnsi" w:hAnsiTheme="minorHAnsi" w:cstheme="minorHAnsi"/>
          <w:bCs/>
          <w:spacing w:val="-2"/>
          <w:sz w:val="20"/>
          <w:szCs w:val="20"/>
        </w:rPr>
        <w:t>property</w:t>
      </w:r>
      <w:r w:rsidR="007A0E96" w:rsidRPr="00ED6A76">
        <w:rPr>
          <w:rFonts w:asciiTheme="minorHAnsi" w:hAnsiTheme="minorHAnsi" w:cstheme="minorHAnsi"/>
          <w:bCs/>
          <w:spacing w:val="-2"/>
          <w:sz w:val="20"/>
          <w:szCs w:val="20"/>
        </w:rPr>
        <w:t>”</w:t>
      </w:r>
      <w:r w:rsidRPr="00ED6A76">
        <w:rPr>
          <w:rFonts w:asciiTheme="minorHAnsi" w:hAnsiTheme="minorHAnsi" w:cstheme="minorHAnsi"/>
          <w:bCs/>
          <w:spacing w:val="-2"/>
          <w:sz w:val="20"/>
          <w:szCs w:val="20"/>
        </w:rPr>
        <w:t xml:space="preserve"> right. </w:t>
      </w:r>
      <w:r w:rsidR="00B063B8" w:rsidRPr="00ED6A76">
        <w:rPr>
          <w:rFonts w:asciiTheme="minorHAnsi" w:hAnsiTheme="minorHAnsi" w:cstheme="minorHAnsi"/>
          <w:bCs/>
          <w:spacing w:val="-2"/>
          <w:sz w:val="20"/>
          <w:szCs w:val="20"/>
        </w:rPr>
        <w:t xml:space="preserve">With its narrow interpretation of land as a matter of “tenure,” the current draft GC follows—indeed, promotes—that </w:t>
      </w:r>
      <w:r w:rsidR="00F1334A" w:rsidRPr="00ED6A76">
        <w:rPr>
          <w:rFonts w:asciiTheme="minorHAnsi" w:hAnsiTheme="minorHAnsi" w:cstheme="minorHAnsi"/>
          <w:bCs/>
          <w:spacing w:val="-2"/>
          <w:sz w:val="20"/>
          <w:szCs w:val="20"/>
        </w:rPr>
        <w:t xml:space="preserve">materialistic </w:t>
      </w:r>
      <w:r w:rsidR="00B063B8" w:rsidRPr="00ED6A76">
        <w:rPr>
          <w:rFonts w:asciiTheme="minorHAnsi" w:hAnsiTheme="minorHAnsi" w:cstheme="minorHAnsi"/>
          <w:bCs/>
          <w:spacing w:val="-2"/>
          <w:sz w:val="20"/>
          <w:szCs w:val="20"/>
        </w:rPr>
        <w:t xml:space="preserve">trend. </w:t>
      </w:r>
      <w:r w:rsidRPr="00ED6A76">
        <w:rPr>
          <w:rFonts w:asciiTheme="minorHAnsi" w:hAnsiTheme="minorHAnsi" w:cstheme="minorHAnsi"/>
          <w:bCs/>
          <w:spacing w:val="-2"/>
          <w:sz w:val="20"/>
          <w:szCs w:val="20"/>
        </w:rPr>
        <w:t xml:space="preserve">However, the codification of “land as a human right” through the ICESR </w:t>
      </w:r>
      <w:r w:rsidR="00B063B8" w:rsidRPr="00ED6A76">
        <w:rPr>
          <w:rFonts w:asciiTheme="minorHAnsi" w:hAnsiTheme="minorHAnsi" w:cstheme="minorHAnsi"/>
          <w:bCs/>
          <w:spacing w:val="-2"/>
          <w:sz w:val="20"/>
          <w:szCs w:val="20"/>
        </w:rPr>
        <w:t xml:space="preserve">should </w:t>
      </w:r>
      <w:r w:rsidRPr="00ED6A76">
        <w:rPr>
          <w:rFonts w:asciiTheme="minorHAnsi" w:hAnsiTheme="minorHAnsi" w:cstheme="minorHAnsi"/>
          <w:bCs/>
          <w:spacing w:val="-2"/>
          <w:sz w:val="20"/>
          <w:szCs w:val="20"/>
        </w:rPr>
        <w:t xml:space="preserve">disabuse us of that premise. </w:t>
      </w:r>
      <w:r w:rsidR="007A0E96" w:rsidRPr="00ED6A76">
        <w:rPr>
          <w:rFonts w:asciiTheme="minorHAnsi" w:hAnsiTheme="minorHAnsi" w:cstheme="minorHAnsi"/>
          <w:bCs/>
          <w:spacing w:val="-2"/>
          <w:sz w:val="20"/>
          <w:szCs w:val="20"/>
        </w:rPr>
        <w:t xml:space="preserve">And the </w:t>
      </w:r>
      <w:r w:rsidR="00B063B8" w:rsidRPr="00ED6A76">
        <w:rPr>
          <w:rFonts w:asciiTheme="minorHAnsi" w:hAnsiTheme="minorHAnsi" w:cstheme="minorHAnsi"/>
          <w:bCs/>
          <w:spacing w:val="-2"/>
          <w:sz w:val="20"/>
          <w:szCs w:val="20"/>
        </w:rPr>
        <w:t xml:space="preserve">forthcoming GC </w:t>
      </w:r>
      <w:r w:rsidR="007A0E96" w:rsidRPr="00ED6A76">
        <w:rPr>
          <w:rFonts w:asciiTheme="minorHAnsi" w:hAnsiTheme="minorHAnsi" w:cstheme="minorHAnsi"/>
          <w:bCs/>
          <w:spacing w:val="-2"/>
          <w:sz w:val="20"/>
          <w:szCs w:val="20"/>
        </w:rPr>
        <w:t xml:space="preserve">should make that explicit. </w:t>
      </w:r>
      <w:r w:rsidRPr="00ED6A76">
        <w:rPr>
          <w:rFonts w:asciiTheme="minorHAnsi" w:hAnsiTheme="minorHAnsi" w:cstheme="minorHAnsi"/>
          <w:bCs/>
          <w:spacing w:val="-2"/>
          <w:sz w:val="20"/>
          <w:szCs w:val="20"/>
        </w:rPr>
        <w:t xml:space="preserve">Therefore, the elaboration of land within human rights methodology requires </w:t>
      </w:r>
      <w:r w:rsidR="007A0E96" w:rsidRPr="00ED6A76">
        <w:rPr>
          <w:rFonts w:asciiTheme="minorHAnsi" w:hAnsiTheme="minorHAnsi" w:cstheme="minorHAnsi"/>
          <w:bCs/>
          <w:spacing w:val="-2"/>
          <w:sz w:val="20"/>
          <w:szCs w:val="20"/>
        </w:rPr>
        <w:t xml:space="preserve">thoughtful </w:t>
      </w:r>
      <w:r w:rsidRPr="00ED6A76">
        <w:rPr>
          <w:rFonts w:asciiTheme="minorHAnsi" w:hAnsiTheme="minorHAnsi" w:cstheme="minorHAnsi"/>
          <w:bCs/>
          <w:spacing w:val="-2"/>
          <w:sz w:val="20"/>
          <w:szCs w:val="20"/>
        </w:rPr>
        <w:t>consider</w:t>
      </w:r>
      <w:r w:rsidR="007A0E96" w:rsidRPr="00ED6A76">
        <w:rPr>
          <w:rFonts w:asciiTheme="minorHAnsi" w:hAnsiTheme="minorHAnsi" w:cstheme="minorHAnsi"/>
          <w:bCs/>
          <w:spacing w:val="-2"/>
          <w:sz w:val="20"/>
          <w:szCs w:val="20"/>
        </w:rPr>
        <w:t>ation of</w:t>
      </w:r>
      <w:r w:rsidRPr="00ED6A76">
        <w:rPr>
          <w:rFonts w:asciiTheme="minorHAnsi" w:hAnsiTheme="minorHAnsi" w:cstheme="minorHAnsi"/>
          <w:bCs/>
          <w:spacing w:val="-2"/>
          <w:sz w:val="20"/>
          <w:szCs w:val="20"/>
        </w:rPr>
        <w:t xml:space="preserve"> land rather as a subject of equity. </w:t>
      </w:r>
      <w:r w:rsidR="007A0E96" w:rsidRPr="00ED6A76">
        <w:rPr>
          <w:rFonts w:asciiTheme="minorHAnsi" w:hAnsiTheme="minorHAnsi" w:cstheme="minorHAnsi"/>
          <w:bCs/>
          <w:spacing w:val="-2"/>
          <w:sz w:val="20"/>
          <w:szCs w:val="20"/>
        </w:rPr>
        <w:t>Otherwise, t</w:t>
      </w:r>
      <w:r w:rsidRPr="00ED6A76">
        <w:rPr>
          <w:rFonts w:asciiTheme="minorHAnsi" w:hAnsiTheme="minorHAnsi" w:cstheme="minorHAnsi"/>
          <w:bCs/>
          <w:spacing w:val="-2"/>
          <w:sz w:val="20"/>
          <w:szCs w:val="20"/>
        </w:rPr>
        <w:t xml:space="preserve">he alternative </w:t>
      </w:r>
      <w:r w:rsidR="00E5231E" w:rsidRPr="00ED6A76">
        <w:rPr>
          <w:rFonts w:asciiTheme="minorHAnsi" w:hAnsiTheme="minorHAnsi" w:cstheme="minorHAnsi"/>
          <w:bCs/>
          <w:spacing w:val="-2"/>
          <w:sz w:val="20"/>
          <w:szCs w:val="20"/>
        </w:rPr>
        <w:t xml:space="preserve">property approach </w:t>
      </w:r>
      <w:r w:rsidRPr="00ED6A76">
        <w:rPr>
          <w:rFonts w:asciiTheme="minorHAnsi" w:hAnsiTheme="minorHAnsi" w:cstheme="minorHAnsi"/>
          <w:bCs/>
          <w:spacing w:val="-2"/>
          <w:sz w:val="20"/>
          <w:szCs w:val="20"/>
        </w:rPr>
        <w:t xml:space="preserve">may be a slippery slope toward </w:t>
      </w:r>
      <w:r w:rsidR="00E5231E" w:rsidRPr="00ED6A76">
        <w:rPr>
          <w:rFonts w:asciiTheme="minorHAnsi" w:hAnsiTheme="minorHAnsi" w:cstheme="minorHAnsi"/>
          <w:bCs/>
          <w:spacing w:val="-2"/>
          <w:sz w:val="20"/>
          <w:szCs w:val="20"/>
        </w:rPr>
        <w:t xml:space="preserve">land-related </w:t>
      </w:r>
      <w:r w:rsidRPr="00ED6A76">
        <w:rPr>
          <w:rFonts w:asciiTheme="minorHAnsi" w:hAnsiTheme="minorHAnsi" w:cstheme="minorHAnsi"/>
          <w:bCs/>
          <w:spacing w:val="-2"/>
          <w:sz w:val="20"/>
          <w:szCs w:val="20"/>
        </w:rPr>
        <w:t xml:space="preserve">tyranny, the antithesis of human rights. </w:t>
      </w:r>
    </w:p>
    <w:p w14:paraId="27C07F6A" w14:textId="77777777"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i/>
          <w:iCs/>
          <w:color w:val="auto"/>
          <w:spacing w:val="-2"/>
          <w:sz w:val="20"/>
          <w:szCs w:val="20"/>
        </w:rPr>
      </w:pPr>
      <w:r w:rsidRPr="00ED6A76">
        <w:rPr>
          <w:rFonts w:asciiTheme="minorHAnsi" w:hAnsiTheme="minorHAnsi" w:cstheme="minorHAnsi"/>
          <w:bCs/>
          <w:spacing w:val="-2"/>
          <w:sz w:val="20"/>
          <w:szCs w:val="20"/>
        </w:rPr>
        <w:t>The Vancouver Declaration and Action Plan, Habitat I (1976) noted that “The ideologies of States are reflected in their human settlement policies. These being powerful instruments for change, they must not be used to dispossess people from their land or entrench privilege and exploitation.”</w:t>
      </w:r>
      <w:r w:rsidRPr="00ED6A76">
        <w:rPr>
          <w:rFonts w:asciiTheme="minorHAnsi" w:hAnsiTheme="minorHAnsi" w:cstheme="minorHAnsi"/>
          <w:bCs/>
          <w:spacing w:val="-2"/>
          <w:sz w:val="20"/>
          <w:szCs w:val="20"/>
          <w:vertAlign w:val="superscript"/>
        </w:rPr>
        <w:endnoteReference w:id="32"/>
      </w:r>
      <w:r w:rsidRPr="00ED6A76">
        <w:rPr>
          <w:rFonts w:asciiTheme="minorHAnsi" w:hAnsiTheme="minorHAnsi" w:cstheme="minorHAnsi"/>
          <w:bCs/>
          <w:spacing w:val="-2"/>
          <w:sz w:val="20"/>
          <w:szCs w:val="20"/>
        </w:rPr>
        <w:t xml:space="preserve"> This injunction echoes the Human Rights Covenants, which both warn in their common Article 1.2 “In no case may a people be deprived of its own means of subsistence.”</w:t>
      </w:r>
    </w:p>
    <w:p w14:paraId="4C5C3662" w14:textId="4AF84A13"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 xml:space="preserve">Nonetheless, the historic pattern involves more-powerful humans occupying and appropriating a disproportionate amount of land, pushing out other humans and other life. </w:t>
      </w:r>
      <w:r w:rsidR="00BF421E" w:rsidRPr="00ED6A76">
        <w:rPr>
          <w:rFonts w:asciiTheme="minorHAnsi" w:hAnsiTheme="minorHAnsi" w:cstheme="minorHAnsi"/>
          <w:color w:val="auto"/>
          <w:spacing w:val="-2"/>
          <w:sz w:val="20"/>
          <w:szCs w:val="20"/>
        </w:rPr>
        <w:t>The long and continuous legacy of colonialism bears this out. Despite its sacr</w:t>
      </w:r>
      <w:r w:rsidR="00E5231E" w:rsidRPr="00ED6A76">
        <w:rPr>
          <w:rFonts w:asciiTheme="minorHAnsi" w:hAnsiTheme="minorHAnsi" w:cstheme="minorHAnsi"/>
          <w:color w:val="auto"/>
          <w:spacing w:val="-2"/>
          <w:sz w:val="20"/>
          <w:szCs w:val="20"/>
        </w:rPr>
        <w:t>ed</w:t>
      </w:r>
      <w:r w:rsidR="00BF421E" w:rsidRPr="00ED6A76">
        <w:rPr>
          <w:rFonts w:asciiTheme="minorHAnsi" w:hAnsiTheme="minorHAnsi" w:cstheme="minorHAnsi"/>
          <w:color w:val="auto"/>
          <w:spacing w:val="-2"/>
          <w:sz w:val="20"/>
          <w:szCs w:val="20"/>
        </w:rPr>
        <w:t xml:space="preserve"> qualities, l</w:t>
      </w:r>
      <w:r w:rsidRPr="00ED6A76">
        <w:rPr>
          <w:rFonts w:asciiTheme="minorHAnsi" w:hAnsiTheme="minorHAnsi" w:cstheme="minorHAnsi"/>
          <w:color w:val="auto"/>
          <w:spacing w:val="-2"/>
          <w:sz w:val="20"/>
          <w:szCs w:val="20"/>
        </w:rPr>
        <w:t xml:space="preserve">and has become a platform for </w:t>
      </w:r>
      <w:r w:rsidR="00BF421E" w:rsidRPr="00ED6A76">
        <w:rPr>
          <w:rFonts w:asciiTheme="minorHAnsi" w:hAnsiTheme="minorHAnsi" w:cstheme="minorHAnsi"/>
          <w:color w:val="auto"/>
          <w:spacing w:val="-2"/>
          <w:sz w:val="20"/>
          <w:szCs w:val="20"/>
        </w:rPr>
        <w:t>humans</w:t>
      </w:r>
      <w:r w:rsidRPr="00ED6A76">
        <w:rPr>
          <w:rFonts w:asciiTheme="minorHAnsi" w:hAnsiTheme="minorHAnsi" w:cstheme="minorHAnsi"/>
          <w:color w:val="auto"/>
          <w:spacing w:val="-2"/>
          <w:sz w:val="20"/>
          <w:szCs w:val="20"/>
        </w:rPr>
        <w:t xml:space="preserve"> to stage conflict, rather than a living space to share</w:t>
      </w:r>
      <w:r w:rsidR="00BF421E" w:rsidRPr="00ED6A76">
        <w:rPr>
          <w:rFonts w:asciiTheme="minorHAnsi" w:hAnsiTheme="minorHAnsi" w:cstheme="minorHAnsi"/>
          <w:color w:val="auto"/>
          <w:spacing w:val="-2"/>
          <w:sz w:val="20"/>
          <w:szCs w:val="20"/>
        </w:rPr>
        <w:t xml:space="preserve"> </w:t>
      </w:r>
      <w:r w:rsidR="00E5231E" w:rsidRPr="00ED6A76">
        <w:rPr>
          <w:rFonts w:asciiTheme="minorHAnsi" w:hAnsiTheme="minorHAnsi" w:cstheme="minorHAnsi"/>
          <w:color w:val="auto"/>
          <w:spacing w:val="-2"/>
          <w:sz w:val="20"/>
          <w:szCs w:val="20"/>
        </w:rPr>
        <w:t xml:space="preserve">and enjoy </w:t>
      </w:r>
      <w:r w:rsidR="00BF421E" w:rsidRPr="00ED6A76">
        <w:rPr>
          <w:rFonts w:asciiTheme="minorHAnsi" w:hAnsiTheme="minorHAnsi" w:cstheme="minorHAnsi"/>
          <w:color w:val="auto"/>
          <w:spacing w:val="-2"/>
          <w:sz w:val="20"/>
          <w:szCs w:val="20"/>
        </w:rPr>
        <w:t>responsibly and equitably</w:t>
      </w:r>
      <w:r w:rsidRPr="00ED6A76">
        <w:rPr>
          <w:rFonts w:asciiTheme="minorHAnsi" w:hAnsiTheme="minorHAnsi" w:cstheme="minorHAnsi"/>
          <w:color w:val="auto"/>
          <w:spacing w:val="-2"/>
          <w:sz w:val="20"/>
          <w:szCs w:val="20"/>
        </w:rPr>
        <w:t xml:space="preserve">. This </w:t>
      </w:r>
      <w:r w:rsidR="00E5231E" w:rsidRPr="00ED6A76">
        <w:rPr>
          <w:rFonts w:asciiTheme="minorHAnsi" w:hAnsiTheme="minorHAnsi" w:cstheme="minorHAnsi"/>
          <w:color w:val="auto"/>
          <w:spacing w:val="-2"/>
          <w:sz w:val="20"/>
          <w:szCs w:val="20"/>
        </w:rPr>
        <w:t xml:space="preserve">land-grabbing </w:t>
      </w:r>
      <w:r w:rsidRPr="00ED6A76">
        <w:rPr>
          <w:rFonts w:asciiTheme="minorHAnsi" w:hAnsiTheme="minorHAnsi" w:cstheme="minorHAnsi"/>
          <w:color w:val="auto"/>
          <w:spacing w:val="-2"/>
          <w:sz w:val="20"/>
          <w:szCs w:val="20"/>
        </w:rPr>
        <w:t>pattern has been replicated until the present day, acquiring acceptance as normal. The recognition and codification of land as a human right would be crucial step toward developing critical thought</w:t>
      </w:r>
      <w:r w:rsidR="00BF421E" w:rsidRPr="00ED6A76">
        <w:rPr>
          <w:rFonts w:asciiTheme="minorHAnsi" w:hAnsiTheme="minorHAnsi" w:cstheme="minorHAnsi"/>
          <w:color w:val="auto"/>
          <w:spacing w:val="-2"/>
          <w:sz w:val="20"/>
          <w:szCs w:val="20"/>
        </w:rPr>
        <w:t>, policy</w:t>
      </w:r>
      <w:r w:rsidRPr="00ED6A76">
        <w:rPr>
          <w:rFonts w:asciiTheme="minorHAnsi" w:hAnsiTheme="minorHAnsi" w:cstheme="minorHAnsi"/>
          <w:color w:val="auto"/>
          <w:spacing w:val="-2"/>
          <w:sz w:val="20"/>
          <w:szCs w:val="20"/>
        </w:rPr>
        <w:t xml:space="preserve"> and </w:t>
      </w:r>
      <w:r w:rsidR="00BF421E" w:rsidRPr="00ED6A76">
        <w:rPr>
          <w:rFonts w:asciiTheme="minorHAnsi" w:hAnsiTheme="minorHAnsi" w:cstheme="minorHAnsi"/>
          <w:color w:val="auto"/>
          <w:spacing w:val="-2"/>
          <w:sz w:val="20"/>
          <w:szCs w:val="20"/>
        </w:rPr>
        <w:t xml:space="preserve">behavioral </w:t>
      </w:r>
      <w:r w:rsidRPr="00ED6A76">
        <w:rPr>
          <w:rFonts w:asciiTheme="minorHAnsi" w:hAnsiTheme="minorHAnsi" w:cstheme="minorHAnsi"/>
          <w:color w:val="auto"/>
          <w:spacing w:val="-2"/>
          <w:sz w:val="20"/>
          <w:szCs w:val="20"/>
        </w:rPr>
        <w:t>alternatives to current treatment of land in all jurisdictions.</w:t>
      </w:r>
    </w:p>
    <w:p w14:paraId="324C89C5" w14:textId="4309873F" w:rsidR="006213EC" w:rsidRPr="00ED6A76" w:rsidRDefault="007B5D70" w:rsidP="00701C45">
      <w:pPr>
        <w:pStyle w:val="Body"/>
        <w:pBdr>
          <w:top w:val="none" w:sz="96" w:space="14" w:color="FFFFFF" w:shadow="1" w:frame="1"/>
        </w:pBdr>
        <w:spacing w:after="120" w:line="240" w:lineRule="auto"/>
        <w:jc w:val="lowKashida"/>
        <w:rPr>
          <w:rFonts w:asciiTheme="minorHAnsi" w:hAnsiTheme="minorHAnsi" w:cstheme="minorHAnsi"/>
          <w:color w:val="auto"/>
          <w:spacing w:val="-2"/>
          <w:sz w:val="18"/>
          <w:szCs w:val="18"/>
        </w:rPr>
      </w:pPr>
      <w:r w:rsidRPr="00ED6A76">
        <w:rPr>
          <w:rFonts w:asciiTheme="minorHAnsi" w:hAnsiTheme="minorHAnsi" w:cstheme="minorHAnsi"/>
          <w:color w:val="auto"/>
          <w:spacing w:val="-2"/>
          <w:sz w:val="20"/>
          <w:szCs w:val="20"/>
        </w:rPr>
        <w:lastRenderedPageBreak/>
        <w:t>Noting the</w:t>
      </w:r>
      <w:r w:rsidR="006213EC" w:rsidRPr="00ED6A76">
        <w:rPr>
          <w:rFonts w:asciiTheme="minorHAnsi" w:hAnsiTheme="minorHAnsi" w:cstheme="minorHAnsi"/>
          <w:color w:val="auto"/>
          <w:spacing w:val="-2"/>
          <w:sz w:val="20"/>
          <w:szCs w:val="20"/>
        </w:rPr>
        <w:t xml:space="preserve"> distinct approaches to rights and obligations, Cherokee elder Stan Rushworth has explained</w:t>
      </w:r>
      <w:r w:rsidR="00701C45">
        <w:rPr>
          <w:rFonts w:asciiTheme="minorHAnsi" w:hAnsiTheme="minorHAnsi" w:cstheme="minorHAnsi"/>
          <w:color w:val="auto"/>
          <w:spacing w:val="-2"/>
          <w:sz w:val="20"/>
          <w:szCs w:val="20"/>
        </w:rPr>
        <w:t xml:space="preserve"> </w:t>
      </w:r>
      <w:r w:rsidR="006213EC" w:rsidRPr="00ED6A76">
        <w:rPr>
          <w:rFonts w:asciiTheme="minorHAnsi" w:hAnsiTheme="minorHAnsi" w:cstheme="minorHAnsi"/>
          <w:color w:val="auto"/>
          <w:spacing w:val="-2"/>
          <w:sz w:val="18"/>
          <w:szCs w:val="18"/>
        </w:rPr>
        <w:t>“…the difference between a Western settler mindset of ‘I have rights’ and an indigenous mindset of ‘I have an obligation.’ Instead of thinking that I am born with rights, I choose to think that I was born with obligations to serve past, present, and future generations, and the planet herself.”</w:t>
      </w:r>
      <w:r w:rsidR="006A3E14" w:rsidRPr="00ED6A76">
        <w:rPr>
          <w:rStyle w:val="EndnoteReference"/>
          <w:rFonts w:asciiTheme="minorHAnsi" w:hAnsiTheme="minorHAnsi" w:cstheme="minorHAnsi"/>
          <w:color w:val="auto"/>
          <w:spacing w:val="-2"/>
          <w:sz w:val="18"/>
          <w:szCs w:val="18"/>
        </w:rPr>
        <w:endnoteReference w:id="33"/>
      </w:r>
    </w:p>
    <w:p w14:paraId="5F428E7E" w14:textId="27479B50" w:rsidR="00A4091E" w:rsidRPr="00701C45" w:rsidRDefault="00A4091E" w:rsidP="00250F0B">
      <w:pPr>
        <w:pStyle w:val="Body"/>
        <w:pBdr>
          <w:top w:val="none" w:sz="96" w:space="14" w:color="FFFFFF" w:shadow="1" w:frame="1"/>
        </w:pBdr>
        <w:spacing w:after="120" w:line="240" w:lineRule="auto"/>
        <w:jc w:val="lowKashida"/>
        <w:rPr>
          <w:rFonts w:asciiTheme="minorHAnsi" w:hAnsiTheme="minorHAnsi" w:cstheme="minorHAnsi"/>
          <w:i/>
          <w:iCs/>
          <w:color w:val="auto"/>
          <w:spacing w:val="-4"/>
          <w:sz w:val="20"/>
          <w:szCs w:val="20"/>
        </w:rPr>
      </w:pPr>
      <w:r w:rsidRPr="00701C45">
        <w:rPr>
          <w:rFonts w:asciiTheme="minorHAnsi" w:hAnsiTheme="minorHAnsi" w:cstheme="minorHAnsi"/>
          <w:spacing w:val="-4"/>
          <w:sz w:val="20"/>
          <w:szCs w:val="20"/>
          <w:lang w:val="en-GB"/>
        </w:rPr>
        <w:t>Although far from a human right</w:t>
      </w:r>
      <w:r w:rsidR="00BF421E" w:rsidRPr="00701C45">
        <w:rPr>
          <w:rFonts w:asciiTheme="minorHAnsi" w:hAnsiTheme="minorHAnsi" w:cstheme="minorHAnsi"/>
          <w:spacing w:val="-4"/>
          <w:sz w:val="20"/>
          <w:szCs w:val="20"/>
          <w:lang w:val="en-GB"/>
        </w:rPr>
        <w:t>s-affirming</w:t>
      </w:r>
      <w:r w:rsidRPr="00701C45">
        <w:rPr>
          <w:rFonts w:asciiTheme="minorHAnsi" w:hAnsiTheme="minorHAnsi" w:cstheme="minorHAnsi"/>
          <w:spacing w:val="-4"/>
          <w:sz w:val="20"/>
          <w:szCs w:val="20"/>
          <w:lang w:val="en-GB"/>
        </w:rPr>
        <w:t xml:space="preserve"> process, Habitat III </w:t>
      </w:r>
      <w:r w:rsidR="00BF421E" w:rsidRPr="00701C45">
        <w:rPr>
          <w:rFonts w:asciiTheme="minorHAnsi" w:hAnsiTheme="minorHAnsi" w:cstheme="minorHAnsi"/>
          <w:spacing w:val="-4"/>
          <w:sz w:val="20"/>
          <w:szCs w:val="20"/>
          <w:lang w:val="en-GB"/>
        </w:rPr>
        <w:t>n</w:t>
      </w:r>
      <w:r w:rsidR="00BE4AB7" w:rsidRPr="00701C45">
        <w:rPr>
          <w:rFonts w:asciiTheme="minorHAnsi" w:hAnsiTheme="minorHAnsi" w:cstheme="minorHAnsi"/>
          <w:spacing w:val="-4"/>
          <w:sz w:val="20"/>
          <w:szCs w:val="20"/>
          <w:lang w:val="en-GB"/>
        </w:rPr>
        <w:t>e</w:t>
      </w:r>
      <w:r w:rsidR="00BF421E" w:rsidRPr="00701C45">
        <w:rPr>
          <w:rFonts w:asciiTheme="minorHAnsi" w:hAnsiTheme="minorHAnsi" w:cstheme="minorHAnsi"/>
          <w:spacing w:val="-4"/>
          <w:sz w:val="20"/>
          <w:szCs w:val="20"/>
          <w:lang w:val="en-GB"/>
        </w:rPr>
        <w:t xml:space="preserve">vertheless </w:t>
      </w:r>
      <w:r w:rsidRPr="00701C45">
        <w:rPr>
          <w:rFonts w:asciiTheme="minorHAnsi" w:hAnsiTheme="minorHAnsi" w:cstheme="minorHAnsi"/>
          <w:spacing w:val="-4"/>
          <w:sz w:val="20"/>
          <w:szCs w:val="20"/>
          <w:lang w:val="en-GB"/>
        </w:rPr>
        <w:t>culminated in the 2016 “New Urban Agenda,” which further envisaged “cities and human settlements that [f]ulfil their social function, including the social and ecological function of land, with a view to progressively achieving the full realization of the right to adequate housing as a component of the right to an adequate standard of living, without discrimination…”</w:t>
      </w:r>
      <w:r w:rsidRPr="00701C45">
        <w:rPr>
          <w:rFonts w:asciiTheme="minorHAnsi" w:hAnsiTheme="minorHAnsi" w:cstheme="minorHAnsi"/>
          <w:spacing w:val="-4"/>
          <w:sz w:val="20"/>
          <w:szCs w:val="20"/>
          <w:vertAlign w:val="superscript"/>
          <w:lang w:val="en-GB"/>
        </w:rPr>
        <w:endnoteReference w:id="34"/>
      </w:r>
      <w:r w:rsidRPr="00701C45">
        <w:rPr>
          <w:rFonts w:asciiTheme="minorHAnsi" w:hAnsiTheme="minorHAnsi" w:cstheme="minorHAnsi"/>
          <w:spacing w:val="-4"/>
          <w:sz w:val="20"/>
          <w:szCs w:val="20"/>
          <w:lang w:val="en-GB"/>
        </w:rPr>
        <w:t xml:space="preserve"> This recognition tethers land to a single human right (adequate housing) and complements that link already observed in connection with legal security of tenure in CESCR’s General Comment No. 4 on the normative content of the right: </w:t>
      </w:r>
    </w:p>
    <w:p w14:paraId="0F9B16A3" w14:textId="405BC45B" w:rsidR="00A4091E" w:rsidRPr="00ED6A76" w:rsidRDefault="00A4091E" w:rsidP="00250F0B">
      <w:pPr>
        <w:pStyle w:val="Body"/>
        <w:pBdr>
          <w:top w:val="none" w:sz="96" w:space="14" w:color="FFFFFF" w:shadow="1" w:frame="1"/>
        </w:pBdr>
        <w:spacing w:after="120" w:line="240" w:lineRule="auto"/>
        <w:ind w:firstLine="284"/>
        <w:jc w:val="lowKashida"/>
        <w:rPr>
          <w:rFonts w:asciiTheme="minorHAnsi" w:hAnsiTheme="minorHAnsi" w:cstheme="minorHAnsi"/>
          <w:color w:val="auto"/>
          <w:spacing w:val="-2"/>
          <w:sz w:val="20"/>
          <w:szCs w:val="20"/>
          <w:lang w:val="en-GB"/>
        </w:rPr>
      </w:pPr>
      <w:r w:rsidRPr="00ED6A76">
        <w:rPr>
          <w:rFonts w:asciiTheme="minorHAnsi" w:hAnsiTheme="minorHAnsi" w:cstheme="minorHAnsi"/>
          <w:color w:val="auto"/>
          <w:spacing w:val="-2"/>
          <w:sz w:val="20"/>
          <w:szCs w:val="20"/>
          <w:lang w:val="en-GB"/>
        </w:rPr>
        <w:t>“Tenure takes a variety of forms, including rental (public and private) accommodation, cooperative housing, lease, owner occupation, emergency housing and informal settlements, including occupation of land or property</w:t>
      </w:r>
      <w:r w:rsidR="00742F88" w:rsidRPr="00ED6A76">
        <w:rPr>
          <w:rFonts w:asciiTheme="minorHAnsi" w:hAnsiTheme="minorHAnsi" w:cstheme="minorHAnsi"/>
          <w:color w:val="auto"/>
          <w:spacing w:val="-2"/>
          <w:sz w:val="20"/>
          <w:szCs w:val="20"/>
          <w:lang w:val="en-GB"/>
        </w:rPr>
        <w:t>. Notwithstanding the type of tenure, all persons should possess a degree of security of tenure which guarantees legal protection against forced eviction, harassment and other threats. States parties should consequently take immediate measures aimed at conferring legal security of tenure upon those persons and households currently lacking such protection, in genuine consultation with affected persons and groups;</w:t>
      </w:r>
      <w:r w:rsidRPr="00ED6A76">
        <w:rPr>
          <w:rFonts w:asciiTheme="minorHAnsi" w:hAnsiTheme="minorHAnsi" w:cstheme="minorHAnsi"/>
          <w:color w:val="auto"/>
          <w:spacing w:val="-2"/>
          <w:sz w:val="20"/>
          <w:szCs w:val="20"/>
          <w:lang w:val="en-GB"/>
        </w:rPr>
        <w:t>”</w:t>
      </w:r>
      <w:r w:rsidR="00C8698C" w:rsidRPr="00ED6A76">
        <w:rPr>
          <w:rStyle w:val="EndnoteReference"/>
          <w:rFonts w:asciiTheme="minorHAnsi" w:hAnsiTheme="minorHAnsi" w:cstheme="minorHAnsi"/>
          <w:color w:val="auto"/>
          <w:spacing w:val="-2"/>
          <w:sz w:val="20"/>
          <w:szCs w:val="20"/>
          <w:lang w:val="en-GB"/>
        </w:rPr>
        <w:endnoteReference w:id="35"/>
      </w:r>
    </w:p>
    <w:p w14:paraId="4C02AC2D" w14:textId="1DF3F62C" w:rsidR="00A4091E" w:rsidRPr="00ED6A76" w:rsidRDefault="00A4091E"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lang w:val="en-GB"/>
        </w:rPr>
      </w:pPr>
      <w:r w:rsidRPr="00ED6A76">
        <w:rPr>
          <w:rFonts w:asciiTheme="minorHAnsi" w:hAnsiTheme="minorHAnsi" w:cstheme="minorHAnsi"/>
          <w:color w:val="auto"/>
          <w:spacing w:val="-2"/>
          <w:sz w:val="20"/>
          <w:szCs w:val="20"/>
          <w:lang w:val="en-GB"/>
        </w:rPr>
        <w:t xml:space="preserve">Identifying the inequity of denying that human right, CESCR </w:t>
      </w:r>
      <w:r w:rsidR="00BF421E" w:rsidRPr="00ED6A76">
        <w:rPr>
          <w:rFonts w:asciiTheme="minorHAnsi" w:hAnsiTheme="minorHAnsi" w:cstheme="minorHAnsi"/>
          <w:color w:val="auto"/>
          <w:spacing w:val="-2"/>
          <w:sz w:val="20"/>
          <w:szCs w:val="20"/>
          <w:lang w:val="en-GB"/>
        </w:rPr>
        <w:t xml:space="preserve">has </w:t>
      </w:r>
      <w:r w:rsidRPr="00ED6A76">
        <w:rPr>
          <w:rFonts w:asciiTheme="minorHAnsi" w:hAnsiTheme="minorHAnsi" w:cstheme="minorHAnsi"/>
          <w:color w:val="auto"/>
          <w:spacing w:val="-2"/>
          <w:sz w:val="20"/>
          <w:szCs w:val="20"/>
          <w:lang w:val="en-GB"/>
        </w:rPr>
        <w:t>define</w:t>
      </w:r>
      <w:r w:rsidR="00BF421E" w:rsidRPr="00ED6A76">
        <w:rPr>
          <w:rFonts w:asciiTheme="minorHAnsi" w:hAnsiTheme="minorHAnsi" w:cstheme="minorHAnsi"/>
          <w:color w:val="auto"/>
          <w:spacing w:val="-2"/>
          <w:sz w:val="20"/>
          <w:szCs w:val="20"/>
          <w:lang w:val="en-GB"/>
        </w:rPr>
        <w:t>d</w:t>
      </w:r>
      <w:r w:rsidRPr="00ED6A76">
        <w:rPr>
          <w:rFonts w:asciiTheme="minorHAnsi" w:hAnsiTheme="minorHAnsi" w:cstheme="minorHAnsi"/>
          <w:color w:val="auto"/>
          <w:spacing w:val="-2"/>
          <w:sz w:val="20"/>
          <w:szCs w:val="20"/>
          <w:lang w:val="en-GB"/>
        </w:rPr>
        <w:t xml:space="preserve"> the </w:t>
      </w:r>
      <w:r w:rsidR="00BF421E" w:rsidRPr="00ED6A76">
        <w:rPr>
          <w:rFonts w:asciiTheme="minorHAnsi" w:hAnsiTheme="minorHAnsi" w:cstheme="minorHAnsi"/>
          <w:color w:val="auto"/>
          <w:spacing w:val="-2"/>
          <w:sz w:val="20"/>
          <w:szCs w:val="20"/>
          <w:lang w:val="en-GB"/>
        </w:rPr>
        <w:t>single most-</w:t>
      </w:r>
      <w:r w:rsidR="00E5231E" w:rsidRPr="00ED6A76">
        <w:rPr>
          <w:rFonts w:asciiTheme="minorHAnsi" w:hAnsiTheme="minorHAnsi" w:cstheme="minorHAnsi"/>
          <w:color w:val="auto"/>
          <w:spacing w:val="-2"/>
          <w:sz w:val="20"/>
          <w:szCs w:val="20"/>
          <w:lang w:val="en-GB"/>
        </w:rPr>
        <w:t>habitual</w:t>
      </w:r>
      <w:r w:rsidRPr="00ED6A76">
        <w:rPr>
          <w:rFonts w:asciiTheme="minorHAnsi" w:hAnsiTheme="minorHAnsi" w:cstheme="minorHAnsi"/>
          <w:color w:val="auto"/>
          <w:spacing w:val="-2"/>
          <w:sz w:val="20"/>
          <w:szCs w:val="20"/>
          <w:lang w:val="en-GB"/>
        </w:rPr>
        <w:t xml:space="preserve"> violation of adequate housing</w:t>
      </w:r>
      <w:r w:rsidR="00A35D33" w:rsidRPr="00ED6A76">
        <w:rPr>
          <w:rFonts w:asciiTheme="minorHAnsi" w:hAnsiTheme="minorHAnsi" w:cstheme="minorHAnsi"/>
          <w:color w:val="auto"/>
          <w:spacing w:val="-2"/>
          <w:sz w:val="20"/>
          <w:szCs w:val="20"/>
          <w:lang w:val="en-GB"/>
        </w:rPr>
        <w:t xml:space="preserve"> </w:t>
      </w:r>
      <w:r w:rsidR="0097275E" w:rsidRPr="00ED6A76">
        <w:rPr>
          <w:rFonts w:asciiTheme="minorHAnsi" w:hAnsiTheme="minorHAnsi" w:cstheme="minorHAnsi"/>
          <w:color w:val="auto"/>
          <w:spacing w:val="-2"/>
          <w:sz w:val="20"/>
          <w:szCs w:val="20"/>
          <w:lang w:val="en-GB"/>
        </w:rPr>
        <w:t xml:space="preserve">as the antithesis of secure tenure </w:t>
      </w:r>
      <w:r w:rsidR="00A35D33" w:rsidRPr="00ED6A76">
        <w:rPr>
          <w:rFonts w:asciiTheme="minorHAnsi" w:hAnsiTheme="minorHAnsi" w:cstheme="minorHAnsi"/>
          <w:color w:val="auto"/>
          <w:spacing w:val="-2"/>
          <w:sz w:val="20"/>
          <w:szCs w:val="20"/>
          <w:lang w:val="en-GB"/>
        </w:rPr>
        <w:t>in the practice of “forced eviction,” as</w:t>
      </w:r>
      <w:r w:rsidRPr="00ED6A76">
        <w:rPr>
          <w:rFonts w:asciiTheme="minorHAnsi" w:hAnsiTheme="minorHAnsi" w:cstheme="minorHAnsi"/>
          <w:color w:val="auto"/>
          <w:spacing w:val="-2"/>
          <w:sz w:val="20"/>
          <w:szCs w:val="20"/>
          <w:lang w:val="en-GB"/>
        </w:rPr>
        <w:t>:</w:t>
      </w:r>
    </w:p>
    <w:p w14:paraId="356DF03F" w14:textId="51B069FD" w:rsidR="00A4091E" w:rsidRPr="00ED6A76" w:rsidRDefault="00A4091E" w:rsidP="00250F0B">
      <w:pPr>
        <w:pStyle w:val="Body"/>
        <w:pBdr>
          <w:top w:val="none" w:sz="96" w:space="14" w:color="FFFFFF" w:shadow="1" w:frame="1"/>
        </w:pBdr>
        <w:spacing w:after="120" w:line="240" w:lineRule="auto"/>
        <w:ind w:firstLine="426"/>
        <w:jc w:val="lowKashida"/>
        <w:rPr>
          <w:rFonts w:asciiTheme="minorHAnsi" w:hAnsiTheme="minorHAnsi" w:cstheme="minorHAnsi"/>
          <w:color w:val="auto"/>
          <w:spacing w:val="-2"/>
          <w:sz w:val="18"/>
          <w:szCs w:val="18"/>
        </w:rPr>
      </w:pPr>
      <w:r w:rsidRPr="00ED6A76">
        <w:rPr>
          <w:rFonts w:asciiTheme="minorHAnsi" w:hAnsiTheme="minorHAnsi" w:cstheme="minorHAnsi"/>
          <w:color w:val="auto"/>
          <w:spacing w:val="-2"/>
          <w:sz w:val="18"/>
          <w:szCs w:val="18"/>
          <w:lang w:val="en-GB"/>
        </w:rPr>
        <w:t>“the permanent or temporary removal against their will of individuals, families and/or communities from the homes and/or land</w:t>
      </w:r>
      <w:r w:rsidR="00F12B71" w:rsidRPr="00ED6A76">
        <w:rPr>
          <w:rFonts w:asciiTheme="minorHAnsi" w:hAnsiTheme="minorHAnsi" w:cstheme="minorHAnsi"/>
          <w:color w:val="auto"/>
          <w:spacing w:val="-2"/>
          <w:sz w:val="18"/>
          <w:szCs w:val="18"/>
          <w:lang w:val="en-GB"/>
        </w:rPr>
        <w:t xml:space="preserve"> which they occupy, without the provision of, and access to, appropriate forms of legal or other protection.”</w:t>
      </w:r>
      <w:r w:rsidR="00F43C74" w:rsidRPr="00ED6A76">
        <w:rPr>
          <w:rStyle w:val="EndnoteReference"/>
          <w:rFonts w:asciiTheme="minorHAnsi" w:hAnsiTheme="minorHAnsi" w:cstheme="minorHAnsi"/>
          <w:color w:val="auto"/>
          <w:spacing w:val="-2"/>
          <w:sz w:val="18"/>
          <w:szCs w:val="18"/>
          <w:lang w:val="en-GB"/>
        </w:rPr>
        <w:endnoteReference w:id="36"/>
      </w:r>
    </w:p>
    <w:p w14:paraId="4FAA8A3A" w14:textId="1BB31F3D" w:rsidR="00F12B71" w:rsidRPr="00ED6A76" w:rsidRDefault="00F12B71" w:rsidP="00250F0B">
      <w:pPr>
        <w:pStyle w:val="Body"/>
        <w:pBdr>
          <w:top w:val="none" w:sz="96" w:space="14" w:color="FFFFFF" w:shadow="1" w:frame="1"/>
        </w:pBdr>
        <w:spacing w:after="120" w:line="240" w:lineRule="auto"/>
        <w:jc w:val="lowKashida"/>
        <w:rPr>
          <w:rFonts w:asciiTheme="minorHAnsi" w:hAnsiTheme="minorHAnsi" w:cstheme="minorHAnsi"/>
          <w:b/>
          <w:bCs/>
          <w:color w:val="auto"/>
          <w:spacing w:val="-2"/>
          <w:sz w:val="20"/>
          <w:szCs w:val="20"/>
          <w:lang w:val="en-GB"/>
        </w:rPr>
      </w:pPr>
      <w:r w:rsidRPr="00ED6A76">
        <w:rPr>
          <w:rFonts w:asciiTheme="minorHAnsi" w:hAnsiTheme="minorHAnsi" w:cstheme="minorHAnsi"/>
          <w:b/>
          <w:bCs/>
          <w:color w:val="auto"/>
          <w:spacing w:val="-2"/>
          <w:sz w:val="20"/>
          <w:szCs w:val="20"/>
          <w:lang w:val="en-GB"/>
        </w:rPr>
        <w:t>Toward a General Comment on the Human Right to Land</w:t>
      </w:r>
    </w:p>
    <w:p w14:paraId="72D3DD2C" w14:textId="17ADEA54" w:rsidR="00A175BA" w:rsidRPr="00ED6A76" w:rsidRDefault="00F12B71"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lang w:val="en-GB"/>
        </w:rPr>
      </w:pPr>
      <w:r w:rsidRPr="00ED6A76">
        <w:rPr>
          <w:rFonts w:asciiTheme="minorHAnsi" w:hAnsiTheme="minorHAnsi" w:cstheme="minorHAnsi"/>
          <w:color w:val="auto"/>
          <w:spacing w:val="-2"/>
          <w:sz w:val="20"/>
          <w:szCs w:val="20"/>
          <w:lang w:val="en-GB"/>
        </w:rPr>
        <w:t xml:space="preserve">In order to articulate the obligations of states </w:t>
      </w:r>
      <w:r w:rsidR="00BF421E" w:rsidRPr="00ED6A76">
        <w:rPr>
          <w:rFonts w:asciiTheme="minorHAnsi" w:hAnsiTheme="minorHAnsi" w:cstheme="minorHAnsi"/>
          <w:color w:val="auto"/>
          <w:spacing w:val="-2"/>
          <w:sz w:val="20"/>
          <w:szCs w:val="20"/>
          <w:lang w:val="en-GB"/>
        </w:rPr>
        <w:t xml:space="preserve">parties to ICESCR </w:t>
      </w:r>
      <w:r w:rsidRPr="00ED6A76">
        <w:rPr>
          <w:rFonts w:asciiTheme="minorHAnsi" w:hAnsiTheme="minorHAnsi" w:cstheme="minorHAnsi"/>
          <w:color w:val="auto"/>
          <w:spacing w:val="-2"/>
          <w:sz w:val="20"/>
          <w:szCs w:val="20"/>
          <w:lang w:val="en-GB"/>
        </w:rPr>
        <w:t xml:space="preserve">in relation to land as a distinct human right, CESCR’s authoritative interpretation could overcome the methodological dilemma by treating land not merely as a context in which other Covenant rights are to be respected, protected and fulfilled. By comparison, the Committee’s foregoing General Comment No. 24 exemplifies an interpretation of established rights in the context of business activities. Land, however, is not merely a human activity or particular circumstance </w:t>
      </w:r>
      <w:r w:rsidR="00A35D33" w:rsidRPr="00ED6A76">
        <w:rPr>
          <w:rFonts w:asciiTheme="minorHAnsi" w:hAnsiTheme="minorHAnsi" w:cstheme="minorHAnsi"/>
          <w:color w:val="auto"/>
          <w:spacing w:val="-2"/>
          <w:sz w:val="20"/>
          <w:szCs w:val="20"/>
          <w:lang w:val="en-GB"/>
        </w:rPr>
        <w:t xml:space="preserve">in which </w:t>
      </w:r>
      <w:r w:rsidRPr="00ED6A76">
        <w:rPr>
          <w:rFonts w:asciiTheme="minorHAnsi" w:hAnsiTheme="minorHAnsi" w:cstheme="minorHAnsi"/>
          <w:color w:val="auto"/>
          <w:spacing w:val="-2"/>
          <w:sz w:val="20"/>
          <w:szCs w:val="20"/>
          <w:lang w:val="en-GB"/>
        </w:rPr>
        <w:lastRenderedPageBreak/>
        <w:t>to consider other human rights. Indeed, it constitutes an indispensable need and value of human existence and is present in every context and human endeavor.</w:t>
      </w:r>
    </w:p>
    <w:p w14:paraId="0F33D6AE" w14:textId="5A1EFE60" w:rsidR="00A175BA" w:rsidRPr="00ED6A76" w:rsidRDefault="00F12B71" w:rsidP="00250F0B">
      <w:pPr>
        <w:pStyle w:val="Body"/>
        <w:pBdr>
          <w:top w:val="none" w:sz="96" w:space="14" w:color="FFFFFF" w:shadow="1" w:frame="1"/>
        </w:pBdr>
        <w:spacing w:after="120" w:line="240" w:lineRule="auto"/>
        <w:jc w:val="lowKashida"/>
        <w:rPr>
          <w:rFonts w:asciiTheme="minorHAnsi" w:hAnsiTheme="minorHAnsi" w:cstheme="minorHAnsi"/>
          <w:color w:val="auto"/>
          <w:spacing w:val="-2"/>
          <w:sz w:val="20"/>
          <w:szCs w:val="20"/>
        </w:rPr>
      </w:pPr>
      <w:r w:rsidRPr="00ED6A76">
        <w:rPr>
          <w:rFonts w:asciiTheme="minorHAnsi" w:hAnsiTheme="minorHAnsi" w:cstheme="minorHAnsi"/>
          <w:color w:val="auto"/>
          <w:spacing w:val="-2"/>
          <w:sz w:val="20"/>
          <w:szCs w:val="20"/>
        </w:rPr>
        <w:t>As developed through the CESCR’s interpretation of state party obligations corresponding to other specific human rights, a G</w:t>
      </w:r>
      <w:r w:rsidR="00A35D33" w:rsidRPr="00ED6A76">
        <w:rPr>
          <w:rFonts w:asciiTheme="minorHAnsi" w:hAnsiTheme="minorHAnsi" w:cstheme="minorHAnsi"/>
          <w:color w:val="auto"/>
          <w:spacing w:val="-2"/>
          <w:sz w:val="20"/>
          <w:szCs w:val="20"/>
        </w:rPr>
        <w:t>C</w:t>
      </w:r>
      <w:r w:rsidRPr="00ED6A76">
        <w:rPr>
          <w:rFonts w:asciiTheme="minorHAnsi" w:hAnsiTheme="minorHAnsi" w:cstheme="minorHAnsi"/>
          <w:color w:val="auto"/>
          <w:spacing w:val="-2"/>
          <w:sz w:val="20"/>
          <w:szCs w:val="20"/>
        </w:rPr>
        <w:t xml:space="preserve"> on the human right to land should follow a similar forensic method. Therefore, building on the multidisciplinary approach </w:t>
      </w:r>
      <w:r w:rsidR="00BF421E" w:rsidRPr="00ED6A76">
        <w:rPr>
          <w:rFonts w:asciiTheme="minorHAnsi" w:hAnsiTheme="minorHAnsi" w:cstheme="minorHAnsi"/>
          <w:color w:val="auto"/>
          <w:spacing w:val="-2"/>
          <w:sz w:val="20"/>
          <w:szCs w:val="20"/>
        </w:rPr>
        <w:t>proposed here</w:t>
      </w:r>
      <w:r w:rsidRPr="00ED6A76">
        <w:rPr>
          <w:rFonts w:asciiTheme="minorHAnsi" w:hAnsiTheme="minorHAnsi" w:cstheme="minorHAnsi"/>
          <w:color w:val="auto"/>
          <w:spacing w:val="-2"/>
          <w:sz w:val="20"/>
          <w:szCs w:val="20"/>
        </w:rPr>
        <w:t xml:space="preserve">, </w:t>
      </w:r>
      <w:r w:rsidR="0031445F" w:rsidRPr="00ED6A76">
        <w:rPr>
          <w:rFonts w:asciiTheme="minorHAnsi" w:hAnsiTheme="minorHAnsi" w:cstheme="minorHAnsi"/>
          <w:color w:val="auto"/>
          <w:spacing w:val="-2"/>
          <w:sz w:val="20"/>
          <w:szCs w:val="20"/>
        </w:rPr>
        <w:t>any</w:t>
      </w:r>
      <w:r w:rsidR="00BF421E" w:rsidRPr="00ED6A76">
        <w:rPr>
          <w:rFonts w:asciiTheme="minorHAnsi" w:hAnsiTheme="minorHAnsi" w:cstheme="minorHAnsi"/>
          <w:color w:val="auto"/>
          <w:spacing w:val="-2"/>
          <w:sz w:val="20"/>
          <w:szCs w:val="20"/>
        </w:rPr>
        <w:t xml:space="preserve"> forthcoming</w:t>
      </w:r>
      <w:r w:rsidRPr="00ED6A76">
        <w:rPr>
          <w:rFonts w:asciiTheme="minorHAnsi" w:hAnsiTheme="minorHAnsi" w:cstheme="minorHAnsi"/>
          <w:color w:val="auto"/>
          <w:spacing w:val="-2"/>
          <w:sz w:val="20"/>
          <w:szCs w:val="20"/>
        </w:rPr>
        <w:t xml:space="preserve"> G</w:t>
      </w:r>
      <w:r w:rsidR="00A35D33" w:rsidRPr="00ED6A76">
        <w:rPr>
          <w:rFonts w:asciiTheme="minorHAnsi" w:hAnsiTheme="minorHAnsi" w:cstheme="minorHAnsi"/>
          <w:color w:val="auto"/>
          <w:spacing w:val="-2"/>
          <w:sz w:val="20"/>
          <w:szCs w:val="20"/>
        </w:rPr>
        <w:t>C</w:t>
      </w:r>
      <w:r w:rsidRPr="00ED6A76">
        <w:rPr>
          <w:rFonts w:asciiTheme="minorHAnsi" w:hAnsiTheme="minorHAnsi" w:cstheme="minorHAnsi"/>
          <w:color w:val="auto"/>
          <w:spacing w:val="-2"/>
          <w:sz w:val="20"/>
          <w:szCs w:val="20"/>
        </w:rPr>
        <w:t xml:space="preserve"> on land should </w:t>
      </w:r>
      <w:r w:rsidR="00BF421E" w:rsidRPr="00ED6A76">
        <w:rPr>
          <w:rFonts w:asciiTheme="minorHAnsi" w:hAnsiTheme="minorHAnsi" w:cstheme="minorHAnsi"/>
          <w:color w:val="auto"/>
          <w:spacing w:val="-2"/>
          <w:sz w:val="20"/>
          <w:szCs w:val="20"/>
        </w:rPr>
        <w:t>interpret</w:t>
      </w:r>
      <w:r w:rsidRPr="00ED6A76">
        <w:rPr>
          <w:rFonts w:asciiTheme="minorHAnsi" w:hAnsiTheme="minorHAnsi" w:cstheme="minorHAnsi"/>
          <w:color w:val="auto"/>
          <w:spacing w:val="-2"/>
          <w:sz w:val="20"/>
          <w:szCs w:val="20"/>
        </w:rPr>
        <w:t xml:space="preserve"> the normative content, sources in law, state obligations and violations pertaining to </w:t>
      </w:r>
      <w:r w:rsidR="00BF421E" w:rsidRPr="00ED6A76">
        <w:rPr>
          <w:rFonts w:asciiTheme="minorHAnsi" w:hAnsiTheme="minorHAnsi" w:cstheme="minorHAnsi"/>
          <w:color w:val="auto"/>
          <w:spacing w:val="-2"/>
          <w:sz w:val="20"/>
          <w:szCs w:val="20"/>
        </w:rPr>
        <w:t>“</w:t>
      </w:r>
      <w:r w:rsidRPr="00ED6A76">
        <w:rPr>
          <w:rFonts w:asciiTheme="minorHAnsi" w:hAnsiTheme="minorHAnsi" w:cstheme="minorHAnsi"/>
          <w:color w:val="auto"/>
          <w:spacing w:val="-2"/>
          <w:sz w:val="20"/>
          <w:szCs w:val="20"/>
        </w:rPr>
        <w:t>the human right to land.</w:t>
      </w:r>
      <w:r w:rsidR="00BF421E" w:rsidRPr="00ED6A76">
        <w:rPr>
          <w:rFonts w:asciiTheme="minorHAnsi" w:hAnsiTheme="minorHAnsi" w:cstheme="minorHAnsi"/>
          <w:color w:val="auto"/>
          <w:spacing w:val="-2"/>
          <w:sz w:val="20"/>
          <w:szCs w:val="20"/>
        </w:rPr>
        <w:t>”</w:t>
      </w:r>
    </w:p>
    <w:p w14:paraId="52BF8270" w14:textId="442E8977" w:rsidR="00A00D24" w:rsidRPr="00ED6A76" w:rsidRDefault="00F12B71" w:rsidP="00250F0B">
      <w:pPr>
        <w:pStyle w:val="Body"/>
        <w:pBdr>
          <w:top w:val="none" w:sz="96" w:space="14" w:color="FFFFFF" w:shadow="1" w:frame="1"/>
        </w:pBdr>
        <w:spacing w:after="120" w:line="240" w:lineRule="auto"/>
        <w:jc w:val="lowKashida"/>
        <w:rPr>
          <w:rStyle w:val="None"/>
          <w:rFonts w:asciiTheme="minorHAnsi" w:eastAsiaTheme="minorHAnsi" w:hAnsiTheme="minorHAnsi" w:cstheme="minorHAnsi"/>
          <w:b/>
          <w:bCs/>
          <w:spacing w:val="-2"/>
          <w:sz w:val="20"/>
          <w:szCs w:val="20"/>
        </w:rPr>
      </w:pPr>
      <w:r w:rsidRPr="00ED6A76">
        <w:rPr>
          <w:rFonts w:asciiTheme="minorHAnsi" w:hAnsiTheme="minorHAnsi" w:cstheme="minorHAnsi"/>
          <w:spacing w:val="-2"/>
          <w:sz w:val="20"/>
          <w:szCs w:val="20"/>
        </w:rPr>
        <w:t xml:space="preserve">The sources of the human right to land in law are inherent </w:t>
      </w:r>
      <w:r w:rsidR="00A35D33" w:rsidRPr="00ED6A76">
        <w:rPr>
          <w:rFonts w:asciiTheme="minorHAnsi" w:hAnsiTheme="minorHAnsi" w:cstheme="minorHAnsi"/>
          <w:spacing w:val="-2"/>
          <w:sz w:val="20"/>
          <w:szCs w:val="20"/>
        </w:rPr>
        <w:t>i</w:t>
      </w:r>
      <w:r w:rsidRPr="00ED6A76">
        <w:rPr>
          <w:rFonts w:asciiTheme="minorHAnsi" w:hAnsiTheme="minorHAnsi" w:cstheme="minorHAnsi"/>
          <w:spacing w:val="-2"/>
          <w:sz w:val="20"/>
          <w:szCs w:val="20"/>
        </w:rPr>
        <w:t xml:space="preserve">n the Covenant, as recognized in </w:t>
      </w:r>
      <w:r w:rsidR="0031445F" w:rsidRPr="00ED6A76">
        <w:rPr>
          <w:rFonts w:asciiTheme="minorHAnsi" w:hAnsiTheme="minorHAnsi" w:cstheme="minorHAnsi"/>
          <w:spacing w:val="-2"/>
          <w:sz w:val="20"/>
          <w:szCs w:val="20"/>
        </w:rPr>
        <w:t xml:space="preserve">numerous </w:t>
      </w:r>
      <w:r w:rsidRPr="00ED6A76">
        <w:rPr>
          <w:rFonts w:asciiTheme="minorHAnsi" w:hAnsiTheme="minorHAnsi" w:cstheme="minorHAnsi"/>
          <w:spacing w:val="-2"/>
          <w:sz w:val="20"/>
          <w:szCs w:val="20"/>
        </w:rPr>
        <w:t>foregoing General Comments.</w:t>
      </w:r>
      <w:r w:rsidRPr="00ED6A76">
        <w:rPr>
          <w:rFonts w:asciiTheme="minorHAnsi" w:hAnsiTheme="minorHAnsi" w:cstheme="minorHAnsi"/>
          <w:spacing w:val="-2"/>
          <w:sz w:val="20"/>
          <w:szCs w:val="20"/>
          <w:vertAlign w:val="superscript"/>
        </w:rPr>
        <w:endnoteReference w:id="37"/>
      </w:r>
      <w:r w:rsidRPr="00ED6A76">
        <w:rPr>
          <w:rFonts w:asciiTheme="minorHAnsi" w:hAnsiTheme="minorHAnsi" w:cstheme="minorHAnsi"/>
          <w:spacing w:val="-2"/>
          <w:sz w:val="20"/>
          <w:szCs w:val="20"/>
        </w:rPr>
        <w:t xml:space="preserve"> Land </w:t>
      </w:r>
      <w:r w:rsidR="00BF421E" w:rsidRPr="00ED6A76">
        <w:rPr>
          <w:rFonts w:asciiTheme="minorHAnsi" w:hAnsiTheme="minorHAnsi" w:cstheme="minorHAnsi"/>
          <w:spacing w:val="-2"/>
          <w:sz w:val="20"/>
          <w:szCs w:val="20"/>
        </w:rPr>
        <w:t xml:space="preserve">already </w:t>
      </w:r>
      <w:r w:rsidRPr="00ED6A76">
        <w:rPr>
          <w:rFonts w:asciiTheme="minorHAnsi" w:hAnsiTheme="minorHAnsi" w:cstheme="minorHAnsi"/>
          <w:spacing w:val="-2"/>
          <w:sz w:val="20"/>
          <w:szCs w:val="20"/>
        </w:rPr>
        <w:t>has been referenced repeatedly in previous G</w:t>
      </w:r>
      <w:r w:rsidR="00A35D33" w:rsidRPr="00ED6A76">
        <w:rPr>
          <w:rFonts w:asciiTheme="minorHAnsi" w:hAnsiTheme="minorHAnsi" w:cstheme="minorHAnsi"/>
          <w:spacing w:val="-2"/>
          <w:sz w:val="20"/>
          <w:szCs w:val="20"/>
        </w:rPr>
        <w:t>Cs</w:t>
      </w:r>
      <w:r w:rsidRPr="00ED6A76">
        <w:rPr>
          <w:rFonts w:asciiTheme="minorHAnsi" w:hAnsiTheme="minorHAnsi" w:cstheme="minorHAnsi"/>
          <w:spacing w:val="-2"/>
          <w:sz w:val="20"/>
          <w:szCs w:val="20"/>
        </w:rPr>
        <w:t xml:space="preserve"> as essential to the domino causality required for the realization of other Covenant rights. However, given the human need for land as essential to sustain human life, its treatment </w:t>
      </w:r>
      <w:r w:rsidR="00A35D33" w:rsidRPr="00ED6A76">
        <w:rPr>
          <w:rFonts w:asciiTheme="minorHAnsi" w:hAnsiTheme="minorHAnsi" w:cstheme="minorHAnsi"/>
          <w:spacing w:val="-2"/>
          <w:sz w:val="20"/>
          <w:szCs w:val="20"/>
        </w:rPr>
        <w:t xml:space="preserve">now </w:t>
      </w:r>
      <w:r w:rsidRPr="00ED6A76">
        <w:rPr>
          <w:rFonts w:asciiTheme="minorHAnsi" w:hAnsiTheme="minorHAnsi" w:cstheme="minorHAnsi"/>
          <w:spacing w:val="-2"/>
          <w:sz w:val="20"/>
          <w:szCs w:val="20"/>
        </w:rPr>
        <w:t>should follow the same method of interpret</w:t>
      </w:r>
      <w:r w:rsidR="0031445F" w:rsidRPr="00ED6A76">
        <w:rPr>
          <w:rFonts w:asciiTheme="minorHAnsi" w:hAnsiTheme="minorHAnsi" w:cstheme="minorHAnsi"/>
          <w:spacing w:val="-2"/>
          <w:sz w:val="20"/>
          <w:szCs w:val="20"/>
        </w:rPr>
        <w:t>ing</w:t>
      </w:r>
      <w:r w:rsidRPr="00ED6A76">
        <w:rPr>
          <w:rFonts w:asciiTheme="minorHAnsi" w:hAnsiTheme="minorHAnsi" w:cstheme="minorHAnsi"/>
          <w:spacing w:val="-2"/>
          <w:sz w:val="20"/>
          <w:szCs w:val="20"/>
        </w:rPr>
        <w:t xml:space="preserve"> other human rights enshrined in ICESCR</w:t>
      </w:r>
      <w:r w:rsidR="00A35D33" w:rsidRPr="00ED6A76">
        <w:rPr>
          <w:rFonts w:asciiTheme="minorHAnsi" w:hAnsiTheme="minorHAnsi" w:cstheme="minorHAnsi"/>
          <w:spacing w:val="-2"/>
          <w:sz w:val="20"/>
          <w:szCs w:val="20"/>
        </w:rPr>
        <w:t>,</w:t>
      </w:r>
      <w:r w:rsidRPr="00ED6A76">
        <w:rPr>
          <w:rFonts w:asciiTheme="minorHAnsi" w:hAnsiTheme="minorHAnsi" w:cstheme="minorHAnsi"/>
          <w:spacing w:val="-2"/>
          <w:sz w:val="20"/>
          <w:szCs w:val="20"/>
        </w:rPr>
        <w:t xml:space="preserve"> </w:t>
      </w:r>
      <w:r w:rsidR="0031445F" w:rsidRPr="00ED6A76">
        <w:rPr>
          <w:rFonts w:asciiTheme="minorHAnsi" w:hAnsiTheme="minorHAnsi" w:cstheme="minorHAnsi"/>
          <w:spacing w:val="-2"/>
          <w:sz w:val="20"/>
          <w:szCs w:val="20"/>
        </w:rPr>
        <w:t xml:space="preserve">as well as water, which is not. Land is </w:t>
      </w:r>
      <w:r w:rsidRPr="00ED6A76">
        <w:rPr>
          <w:rFonts w:asciiTheme="minorHAnsi" w:hAnsiTheme="minorHAnsi" w:cstheme="minorHAnsi"/>
          <w:spacing w:val="-2"/>
          <w:sz w:val="20"/>
          <w:szCs w:val="20"/>
        </w:rPr>
        <w:t>not as a mere context in which other human rights may be affected</w:t>
      </w:r>
      <w:r w:rsidR="00A35D33" w:rsidRPr="00ED6A76">
        <w:rPr>
          <w:rFonts w:asciiTheme="minorHAnsi" w:hAnsiTheme="minorHAnsi" w:cstheme="minorHAnsi"/>
          <w:spacing w:val="-2"/>
          <w:sz w:val="20"/>
          <w:szCs w:val="20"/>
        </w:rPr>
        <w:t>. The</w:t>
      </w:r>
      <w:r w:rsidRPr="00ED6A76">
        <w:rPr>
          <w:rFonts w:asciiTheme="minorHAnsi" w:hAnsiTheme="minorHAnsi" w:cstheme="minorHAnsi"/>
          <w:spacing w:val="-2"/>
          <w:sz w:val="20"/>
          <w:szCs w:val="20"/>
        </w:rPr>
        <w:t xml:space="preserve"> human right </w:t>
      </w:r>
      <w:r w:rsidR="00A35D33" w:rsidRPr="00ED6A76">
        <w:rPr>
          <w:rFonts w:asciiTheme="minorHAnsi" w:hAnsiTheme="minorHAnsi" w:cstheme="minorHAnsi"/>
          <w:spacing w:val="-2"/>
          <w:sz w:val="20"/>
          <w:szCs w:val="20"/>
        </w:rPr>
        <w:t xml:space="preserve">to land possesses </w:t>
      </w:r>
      <w:r w:rsidRPr="00ED6A76">
        <w:rPr>
          <w:rFonts w:asciiTheme="minorHAnsi" w:hAnsiTheme="minorHAnsi" w:cstheme="minorHAnsi"/>
          <w:spacing w:val="-2"/>
          <w:sz w:val="20"/>
          <w:szCs w:val="20"/>
        </w:rPr>
        <w:t xml:space="preserve">its own attributes as </w:t>
      </w:r>
      <w:r w:rsidR="00A35D33" w:rsidRPr="00ED6A76">
        <w:rPr>
          <w:rFonts w:asciiTheme="minorHAnsi" w:hAnsiTheme="minorHAnsi" w:cstheme="minorHAnsi"/>
          <w:spacing w:val="-2"/>
          <w:sz w:val="20"/>
          <w:szCs w:val="20"/>
        </w:rPr>
        <w:t xml:space="preserve">universally </w:t>
      </w:r>
      <w:r w:rsidRPr="00ED6A76">
        <w:rPr>
          <w:rFonts w:asciiTheme="minorHAnsi" w:hAnsiTheme="minorHAnsi" w:cstheme="minorHAnsi"/>
          <w:spacing w:val="-2"/>
          <w:sz w:val="20"/>
          <w:szCs w:val="20"/>
        </w:rPr>
        <w:t xml:space="preserve">needed for human life, with equitable treatment </w:t>
      </w:r>
      <w:r w:rsidR="00A35D33" w:rsidRPr="00ED6A76">
        <w:rPr>
          <w:rFonts w:asciiTheme="minorHAnsi" w:hAnsiTheme="minorHAnsi" w:cstheme="minorHAnsi"/>
          <w:spacing w:val="-2"/>
          <w:sz w:val="20"/>
          <w:szCs w:val="20"/>
        </w:rPr>
        <w:t xml:space="preserve">as a state obligation under ICESCR to </w:t>
      </w:r>
      <w:r w:rsidRPr="00ED6A76">
        <w:rPr>
          <w:rFonts w:asciiTheme="minorHAnsi" w:hAnsiTheme="minorHAnsi" w:cstheme="minorHAnsi"/>
          <w:spacing w:val="-2"/>
          <w:sz w:val="20"/>
          <w:szCs w:val="20"/>
        </w:rPr>
        <w:t>ensur</w:t>
      </w:r>
      <w:r w:rsidR="00A35D33" w:rsidRPr="00ED6A76">
        <w:rPr>
          <w:rFonts w:asciiTheme="minorHAnsi" w:hAnsiTheme="minorHAnsi" w:cstheme="minorHAnsi"/>
          <w:spacing w:val="-2"/>
          <w:sz w:val="20"/>
          <w:szCs w:val="20"/>
        </w:rPr>
        <w:t>e</w:t>
      </w:r>
      <w:r w:rsidRPr="00ED6A76">
        <w:rPr>
          <w:rFonts w:asciiTheme="minorHAnsi" w:hAnsiTheme="minorHAnsi" w:cstheme="minorHAnsi"/>
          <w:spacing w:val="-2"/>
          <w:sz w:val="20"/>
          <w:szCs w:val="20"/>
        </w:rPr>
        <w:t xml:space="preserve"> that life with dignity.</w:t>
      </w:r>
      <w:r w:rsidR="00BF421E" w:rsidRPr="00ED6A76">
        <w:rPr>
          <w:rFonts w:asciiTheme="minorHAnsi" w:hAnsiTheme="minorHAnsi" w:cstheme="minorHAnsi"/>
          <w:spacing w:val="-2"/>
          <w:sz w:val="20"/>
          <w:szCs w:val="20"/>
        </w:rPr>
        <w:t xml:space="preserve"> Through the </w:t>
      </w:r>
      <w:r w:rsidR="00785E0F" w:rsidRPr="00ED6A76">
        <w:rPr>
          <w:rFonts w:asciiTheme="minorHAnsi" w:hAnsiTheme="minorHAnsi" w:cstheme="minorHAnsi"/>
          <w:spacing w:val="-2"/>
          <w:sz w:val="20"/>
          <w:szCs w:val="20"/>
        </w:rPr>
        <w:t>indispensable</w:t>
      </w:r>
      <w:r w:rsidR="00BF421E" w:rsidRPr="00ED6A76">
        <w:rPr>
          <w:rFonts w:asciiTheme="minorHAnsi" w:hAnsiTheme="minorHAnsi" w:cstheme="minorHAnsi"/>
          <w:spacing w:val="-2"/>
          <w:sz w:val="20"/>
          <w:szCs w:val="20"/>
        </w:rPr>
        <w:t xml:space="preserve"> multidisciplinary lens of law and </w:t>
      </w:r>
      <w:r w:rsidR="0031445F" w:rsidRPr="00ED6A76">
        <w:rPr>
          <w:rFonts w:asciiTheme="minorHAnsi" w:hAnsiTheme="minorHAnsi" w:cstheme="minorHAnsi"/>
          <w:spacing w:val="-2"/>
          <w:sz w:val="20"/>
          <w:szCs w:val="20"/>
        </w:rPr>
        <w:t xml:space="preserve">the social and </w:t>
      </w:r>
      <w:r w:rsidR="00BF421E" w:rsidRPr="00ED6A76">
        <w:rPr>
          <w:rFonts w:asciiTheme="minorHAnsi" w:hAnsiTheme="minorHAnsi" w:cstheme="minorHAnsi"/>
          <w:spacing w:val="-2"/>
          <w:sz w:val="20"/>
          <w:szCs w:val="20"/>
        </w:rPr>
        <w:t>natural sciences, overcoming a self-inflicted dilemma over whether or not formally to recognize the human right to land</w:t>
      </w:r>
      <w:r w:rsidR="00BE4AB7" w:rsidRPr="00ED6A76">
        <w:rPr>
          <w:rFonts w:asciiTheme="minorHAnsi" w:hAnsiTheme="minorHAnsi" w:cstheme="minorHAnsi"/>
          <w:spacing w:val="-2"/>
          <w:sz w:val="20"/>
          <w:szCs w:val="20"/>
        </w:rPr>
        <w:t xml:space="preserve">, we do not </w:t>
      </w:r>
      <w:r w:rsidR="00785E0F" w:rsidRPr="00ED6A76">
        <w:rPr>
          <w:rFonts w:asciiTheme="minorHAnsi" w:hAnsiTheme="minorHAnsi" w:cstheme="minorHAnsi"/>
          <w:spacing w:val="-2"/>
          <w:sz w:val="20"/>
          <w:szCs w:val="20"/>
        </w:rPr>
        <w:t xml:space="preserve">find ourselves </w:t>
      </w:r>
      <w:r w:rsidR="00BE4AB7" w:rsidRPr="00ED6A76">
        <w:rPr>
          <w:rFonts w:asciiTheme="minorHAnsi" w:hAnsiTheme="minorHAnsi" w:cstheme="minorHAnsi"/>
          <w:spacing w:val="-2"/>
          <w:sz w:val="20"/>
          <w:szCs w:val="20"/>
        </w:rPr>
        <w:t xml:space="preserve">divided by </w:t>
      </w:r>
      <w:r w:rsidR="00864DE6" w:rsidRPr="00ED6A76">
        <w:rPr>
          <w:rFonts w:asciiTheme="minorHAnsi" w:hAnsiTheme="minorHAnsi" w:cstheme="minorHAnsi"/>
          <w:spacing w:val="-2"/>
          <w:sz w:val="20"/>
          <w:szCs w:val="20"/>
        </w:rPr>
        <w:t>ideology</w:t>
      </w:r>
      <w:r w:rsidR="00626D34" w:rsidRPr="00ED6A76">
        <w:rPr>
          <w:rFonts w:asciiTheme="minorHAnsi" w:hAnsiTheme="minorHAnsi" w:cstheme="minorHAnsi"/>
          <w:spacing w:val="-2"/>
          <w:sz w:val="20"/>
          <w:szCs w:val="20"/>
        </w:rPr>
        <w:t xml:space="preserve"> as much as we are </w:t>
      </w:r>
      <w:r w:rsidR="00A175BA" w:rsidRPr="00ED6A76">
        <w:rPr>
          <w:rFonts w:asciiTheme="minorHAnsi" w:hAnsiTheme="minorHAnsi" w:cstheme="minorHAnsi"/>
          <w:spacing w:val="-2"/>
          <w:sz w:val="20"/>
          <w:szCs w:val="20"/>
        </w:rPr>
        <w:t>united</w:t>
      </w:r>
      <w:r w:rsidR="00BE4AB7" w:rsidRPr="00ED6A76">
        <w:rPr>
          <w:rFonts w:asciiTheme="minorHAnsi" w:hAnsiTheme="minorHAnsi" w:cstheme="minorHAnsi"/>
          <w:spacing w:val="-2"/>
          <w:sz w:val="20"/>
          <w:szCs w:val="20"/>
        </w:rPr>
        <w:t xml:space="preserve"> </w:t>
      </w:r>
      <w:r w:rsidR="0031445F" w:rsidRPr="00ED6A76">
        <w:rPr>
          <w:rFonts w:asciiTheme="minorHAnsi" w:hAnsiTheme="minorHAnsi" w:cstheme="minorHAnsi"/>
          <w:spacing w:val="-2"/>
          <w:sz w:val="20"/>
          <w:szCs w:val="20"/>
        </w:rPr>
        <w:t>in</w:t>
      </w:r>
      <w:r w:rsidR="00BE4AB7" w:rsidRPr="00ED6A76">
        <w:rPr>
          <w:rFonts w:asciiTheme="minorHAnsi" w:hAnsiTheme="minorHAnsi" w:cstheme="minorHAnsi"/>
          <w:spacing w:val="-2"/>
          <w:sz w:val="20"/>
          <w:szCs w:val="20"/>
        </w:rPr>
        <w:t xml:space="preserve"> </w:t>
      </w:r>
      <w:r w:rsidR="00864DE6" w:rsidRPr="00ED6A76">
        <w:rPr>
          <w:rFonts w:asciiTheme="minorHAnsi" w:hAnsiTheme="minorHAnsi" w:cstheme="minorHAnsi"/>
          <w:spacing w:val="-2"/>
          <w:sz w:val="20"/>
          <w:szCs w:val="20"/>
        </w:rPr>
        <w:t>biology.</w:t>
      </w:r>
    </w:p>
    <w:p w14:paraId="0C1B40E7" w14:textId="4BA8B9EB" w:rsidR="00A4091E" w:rsidRPr="00864DE6" w:rsidRDefault="00A4091E" w:rsidP="00ED6A76">
      <w:pPr>
        <w:pStyle w:val="ListParagraph"/>
        <w:shd w:val="clear" w:color="auto" w:fill="FFFFFF"/>
        <w:ind w:left="0"/>
        <w:contextualSpacing w:val="0"/>
        <w:rPr>
          <w:rFonts w:asciiTheme="minorHAnsi" w:hAnsiTheme="minorHAnsi" w:cstheme="minorHAnsi"/>
        </w:rPr>
      </w:pPr>
      <w:r w:rsidRPr="00864DE6">
        <w:rPr>
          <w:rStyle w:val="None"/>
          <w:rFonts w:asciiTheme="minorHAnsi" w:hAnsiTheme="minorHAnsi" w:cstheme="minorHAnsi"/>
          <w:b/>
          <w:bCs/>
        </w:rPr>
        <w:t>Endnotes:</w:t>
      </w:r>
      <w:bookmarkEnd w:id="0"/>
      <w:bookmarkEnd w:id="1"/>
    </w:p>
    <w:sectPr w:rsidR="00A4091E" w:rsidRPr="00864DE6" w:rsidSect="00701C45">
      <w:headerReference w:type="default" r:id="rId9"/>
      <w:footerReference w:type="default" r:id="rId10"/>
      <w:footnotePr>
        <w:numFmt w:val="chicago"/>
      </w:footnotePr>
      <w:endnotePr>
        <w:numFmt w:val="decimal"/>
      </w:endnotePr>
      <w:pgSz w:w="11900" w:h="16840" w:code="9"/>
      <w:pgMar w:top="720" w:right="720" w:bottom="720" w:left="720" w:header="113"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BFF7" w14:textId="77777777" w:rsidR="00B14952" w:rsidRDefault="00B14952" w:rsidP="00686690">
      <w:r>
        <w:separator/>
      </w:r>
    </w:p>
  </w:endnote>
  <w:endnote w:type="continuationSeparator" w:id="0">
    <w:p w14:paraId="3D988A1A" w14:textId="77777777" w:rsidR="00B14952" w:rsidRDefault="00B14952" w:rsidP="00686690">
      <w:r>
        <w:continuationSeparator/>
      </w:r>
    </w:p>
  </w:endnote>
  <w:endnote w:id="1">
    <w:p w14:paraId="29DCD712" w14:textId="35D0FC83" w:rsidR="00064576" w:rsidRPr="00064576" w:rsidRDefault="00064576" w:rsidP="00064576">
      <w:pPr>
        <w:pStyle w:val="EndnoteText"/>
        <w:ind w:left="227" w:hanging="227"/>
        <w:jc w:val="lowKashida"/>
        <w:rPr>
          <w:sz w:val="16"/>
          <w:szCs w:val="16"/>
        </w:rPr>
      </w:pPr>
      <w:r w:rsidRPr="00064576">
        <w:rPr>
          <w:rStyle w:val="EndnoteReference"/>
          <w:sz w:val="16"/>
          <w:szCs w:val="16"/>
        </w:rPr>
        <w:endnoteRef/>
      </w:r>
      <w:r w:rsidRPr="00064576">
        <w:rPr>
          <w:sz w:val="16"/>
          <w:szCs w:val="16"/>
        </w:rPr>
        <w:t xml:space="preserve"> </w:t>
      </w:r>
      <w:r>
        <w:rPr>
          <w:sz w:val="16"/>
          <w:szCs w:val="16"/>
        </w:rPr>
        <w:tab/>
      </w:r>
      <w:r w:rsidRPr="00064576">
        <w:rPr>
          <w:sz w:val="16"/>
          <w:szCs w:val="16"/>
        </w:rPr>
        <w:t xml:space="preserve">General comment No. 25 (2020) on science and economic, social and cultural rights (article 15 (1) (b), (2), (3) and (4) of the International Covenant on Economic, Social and Cultural Rights), E/C.12/GC/25, 30 April 2020, para. 3, </w:t>
      </w:r>
      <w:hyperlink r:id="rId1" w:history="1">
        <w:r w:rsidR="00A21862" w:rsidRPr="00AA61B8">
          <w:rPr>
            <w:rStyle w:val="Hyperlink"/>
            <w:sz w:val="16"/>
            <w:szCs w:val="16"/>
          </w:rPr>
          <w:t>https://tbinternet.ohchr.org/_layouts/15/treatybodyexternal/Download.aspx?symbolno=E%2fC.12%2fGC%2f25&amp;Lang=en</w:t>
        </w:r>
      </w:hyperlink>
      <w:r w:rsidR="00A21862">
        <w:rPr>
          <w:sz w:val="16"/>
          <w:szCs w:val="16"/>
        </w:rPr>
        <w:t xml:space="preserve">. </w:t>
      </w:r>
    </w:p>
  </w:endnote>
  <w:endnote w:id="2">
    <w:p w14:paraId="443F68B8" w14:textId="2D66A523" w:rsidR="00B46EC4" w:rsidRDefault="00B46EC4" w:rsidP="00B46EC4">
      <w:pPr>
        <w:pStyle w:val="EndnoteText"/>
        <w:ind w:left="227" w:hanging="227"/>
        <w:jc w:val="lowKashida"/>
      </w:pPr>
      <w:r w:rsidRPr="003C6B9E">
        <w:rPr>
          <w:rStyle w:val="EndnoteReference"/>
          <w:sz w:val="16"/>
          <w:szCs w:val="16"/>
        </w:rPr>
        <w:endnoteRef/>
      </w:r>
      <w:r w:rsidRPr="003C6B9E">
        <w:rPr>
          <w:sz w:val="16"/>
          <w:szCs w:val="16"/>
        </w:rPr>
        <w:t xml:space="preserve"> </w:t>
      </w:r>
      <w:r>
        <w:rPr>
          <w:sz w:val="16"/>
          <w:szCs w:val="16"/>
        </w:rPr>
        <w:tab/>
      </w:r>
      <w:r w:rsidRPr="003C6B9E">
        <w:rPr>
          <w:sz w:val="16"/>
          <w:szCs w:val="16"/>
        </w:rPr>
        <w:t>Report of the Special Rapporteur on the right to adequate food, Olivier de</w:t>
      </w:r>
      <w:r>
        <w:rPr>
          <w:sz w:val="16"/>
          <w:szCs w:val="16"/>
        </w:rPr>
        <w:t xml:space="preserve"> </w:t>
      </w:r>
      <w:r w:rsidRPr="003C6B9E">
        <w:rPr>
          <w:sz w:val="16"/>
          <w:szCs w:val="16"/>
        </w:rPr>
        <w:t>Schutter, A/65/281</w:t>
      </w:r>
      <w:r>
        <w:rPr>
          <w:sz w:val="16"/>
          <w:szCs w:val="16"/>
        </w:rPr>
        <w:t xml:space="preserve">, 6 March 2020, </w:t>
      </w:r>
      <w:hyperlink r:id="rId2" w:history="1">
        <w:r w:rsidRPr="00AA61B8">
          <w:rPr>
            <w:rStyle w:val="Hyperlink"/>
            <w:sz w:val="16"/>
            <w:szCs w:val="16"/>
          </w:rPr>
          <w:t>https://tbinternet.ohchr.org/_layouts/15/treatybodyexternal/Download.aspx?symbolno=E%2fC.12%2fGC%2f25&amp;Lang=en</w:t>
        </w:r>
      </w:hyperlink>
      <w:r w:rsidRPr="003C6B9E">
        <w:rPr>
          <w:sz w:val="16"/>
          <w:szCs w:val="16"/>
        </w:rPr>
        <w:t>.</w:t>
      </w:r>
      <w:r>
        <w:rPr>
          <w:sz w:val="16"/>
          <w:szCs w:val="16"/>
        </w:rPr>
        <w:t xml:space="preserve"> </w:t>
      </w:r>
    </w:p>
  </w:endnote>
  <w:endnote w:id="3">
    <w:p w14:paraId="2195222F" w14:textId="0B05EAF3" w:rsidR="00E026F4" w:rsidRPr="00B8488F" w:rsidRDefault="00E026F4" w:rsidP="00E026F4">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r>
      <w:r w:rsidRPr="00B8488F">
        <w:rPr>
          <w:rFonts w:cs="Calibri"/>
          <w:i/>
          <w:iCs/>
          <w:sz w:val="16"/>
          <w:szCs w:val="16"/>
        </w:rPr>
        <w:t xml:space="preserve">Land and Human Rights, Standards and Application </w:t>
      </w:r>
      <w:r w:rsidRPr="00B8488F">
        <w:rPr>
          <w:rFonts w:cs="Calibri"/>
          <w:sz w:val="16"/>
          <w:szCs w:val="16"/>
        </w:rPr>
        <w:t xml:space="preserve">(Geneva: OHCHR, 2015), </w:t>
      </w:r>
    </w:p>
    <w:p w14:paraId="714D2E6D" w14:textId="7D133315" w:rsidR="00E026F4" w:rsidRPr="00B8488F" w:rsidRDefault="00E026F4" w:rsidP="00E026F4">
      <w:pPr>
        <w:pStyle w:val="EndnoteText"/>
        <w:ind w:left="227" w:hanging="227"/>
        <w:jc w:val="lowKashida"/>
        <w:rPr>
          <w:rFonts w:cs="Calibri"/>
          <w:sz w:val="16"/>
          <w:szCs w:val="16"/>
        </w:rPr>
      </w:pPr>
      <w:r w:rsidRPr="00B8488F">
        <w:rPr>
          <w:rFonts w:cs="Calibri"/>
          <w:sz w:val="16"/>
          <w:szCs w:val="16"/>
        </w:rPr>
        <w:tab/>
      </w:r>
      <w:hyperlink r:id="rId3" w:history="1">
        <w:r w:rsidRPr="00B8488F">
          <w:rPr>
            <w:rStyle w:val="Hyperlink"/>
            <w:rFonts w:cs="Calibri"/>
            <w:sz w:val="16"/>
            <w:szCs w:val="16"/>
          </w:rPr>
          <w:t>http://www.ohchr.org/Documents/Publications/Land_HR-StandardsApplications.pdf</w:t>
        </w:r>
      </w:hyperlink>
      <w:r w:rsidRPr="00B8488F">
        <w:rPr>
          <w:rFonts w:cs="Calibri"/>
          <w:sz w:val="16"/>
          <w:szCs w:val="16"/>
        </w:rPr>
        <w:t xml:space="preserve">; </w:t>
      </w:r>
      <w:r w:rsidRPr="00B8488F">
        <w:rPr>
          <w:rFonts w:cs="Calibri"/>
          <w:i/>
          <w:iCs/>
          <w:sz w:val="16"/>
          <w:szCs w:val="16"/>
        </w:rPr>
        <w:t>Land and Human Rights: Annotated Compilation of Case Law</w:t>
      </w:r>
      <w:r w:rsidRPr="00B8488F">
        <w:rPr>
          <w:rFonts w:cs="Calibri"/>
          <w:sz w:val="16"/>
          <w:szCs w:val="16"/>
        </w:rPr>
        <w:t xml:space="preserve"> (Geneva: OHCHR, 2015), </w:t>
      </w:r>
    </w:p>
    <w:p w14:paraId="38FB0522" w14:textId="649B9F6B" w:rsidR="00E026F4" w:rsidRPr="00B8488F" w:rsidRDefault="00E026F4" w:rsidP="00E026F4">
      <w:pPr>
        <w:pStyle w:val="EndnoteText"/>
        <w:ind w:left="227" w:hanging="227"/>
        <w:jc w:val="lowKashida"/>
        <w:rPr>
          <w:rFonts w:cs="Calibri"/>
          <w:sz w:val="16"/>
          <w:szCs w:val="16"/>
        </w:rPr>
      </w:pPr>
      <w:r w:rsidRPr="00B8488F">
        <w:rPr>
          <w:rFonts w:cs="Calibri"/>
          <w:sz w:val="16"/>
          <w:szCs w:val="16"/>
        </w:rPr>
        <w:tab/>
      </w:r>
      <w:hyperlink r:id="rId4" w:history="1">
        <w:r w:rsidRPr="00B8488F">
          <w:rPr>
            <w:rStyle w:val="Hyperlink"/>
            <w:rFonts w:cs="Calibri"/>
            <w:sz w:val="16"/>
            <w:szCs w:val="16"/>
          </w:rPr>
          <w:t>http://www.ohchr.org/Documents/Publications/Land_HR-CaseLaw.pdf</w:t>
        </w:r>
      </w:hyperlink>
      <w:r w:rsidRPr="00B8488F">
        <w:rPr>
          <w:rFonts w:cs="Calibri"/>
          <w:sz w:val="16"/>
          <w:szCs w:val="16"/>
        </w:rPr>
        <w:t xml:space="preserve">; </w:t>
      </w:r>
      <w:r w:rsidRPr="00B8488F">
        <w:rPr>
          <w:rFonts w:cs="Calibri"/>
          <w:i/>
          <w:iCs/>
          <w:sz w:val="16"/>
          <w:szCs w:val="16"/>
        </w:rPr>
        <w:t>Realizing Women’s Rights to Land and Other Productive Resources</w:t>
      </w:r>
      <w:r w:rsidRPr="00B8488F">
        <w:rPr>
          <w:rFonts w:cs="Calibri"/>
          <w:sz w:val="16"/>
          <w:szCs w:val="16"/>
        </w:rPr>
        <w:t xml:space="preserve"> (Geneva: OHCHR, 2013), </w:t>
      </w:r>
    </w:p>
    <w:p w14:paraId="1100B4CF" w14:textId="413FB033" w:rsidR="00E026F4" w:rsidRPr="00B8488F" w:rsidRDefault="00E026F4" w:rsidP="00E026F4">
      <w:pPr>
        <w:pStyle w:val="EndnoteText"/>
        <w:ind w:left="227" w:hanging="227"/>
        <w:jc w:val="lowKashida"/>
        <w:rPr>
          <w:rFonts w:cs="Calibri"/>
          <w:sz w:val="16"/>
          <w:szCs w:val="16"/>
        </w:rPr>
      </w:pPr>
      <w:r w:rsidRPr="00B8488F">
        <w:rPr>
          <w:rFonts w:cs="Calibri"/>
          <w:sz w:val="16"/>
          <w:szCs w:val="16"/>
        </w:rPr>
        <w:tab/>
      </w:r>
      <w:hyperlink r:id="rId5" w:history="1">
        <w:r w:rsidRPr="00B8488F">
          <w:rPr>
            <w:rStyle w:val="Hyperlink"/>
            <w:rFonts w:cs="Calibri"/>
            <w:sz w:val="16"/>
            <w:szCs w:val="16"/>
          </w:rPr>
          <w:t>http://www.ohchr.org/Documents/Publications/RealizingWomensRightstoLand.pdf</w:t>
        </w:r>
      </w:hyperlink>
      <w:r w:rsidRPr="00B8488F">
        <w:rPr>
          <w:rFonts w:cs="Calibri"/>
          <w:sz w:val="16"/>
          <w:szCs w:val="16"/>
        </w:rPr>
        <w:t xml:space="preserve">; Report of the United Nations High Commissioner for Human Rights on land and human rights, E/2014/86, </w:t>
      </w:r>
    </w:p>
    <w:p w14:paraId="6325194D" w14:textId="77777777" w:rsidR="00E026F4" w:rsidRPr="00B8488F" w:rsidRDefault="00E026F4" w:rsidP="00E026F4">
      <w:pPr>
        <w:pStyle w:val="EndnoteText"/>
        <w:ind w:left="227" w:hanging="227"/>
        <w:jc w:val="lowKashida"/>
        <w:rPr>
          <w:rFonts w:cs="Calibri"/>
          <w:sz w:val="16"/>
          <w:szCs w:val="16"/>
        </w:rPr>
      </w:pPr>
      <w:r w:rsidRPr="00B8488F">
        <w:rPr>
          <w:rFonts w:cs="Calibri"/>
          <w:sz w:val="16"/>
          <w:szCs w:val="16"/>
        </w:rPr>
        <w:tab/>
      </w:r>
      <w:hyperlink r:id="rId6" w:history="1">
        <w:r w:rsidRPr="00B8488F">
          <w:rPr>
            <w:rStyle w:val="Hyperlink"/>
            <w:rFonts w:cs="Calibri"/>
            <w:sz w:val="16"/>
            <w:szCs w:val="16"/>
          </w:rPr>
          <w:t>http://www.un.org/Docs/journal/asp/ws.asp?m=E/2014/86</w:t>
        </w:r>
      </w:hyperlink>
      <w:r w:rsidRPr="00B8488F">
        <w:rPr>
          <w:rFonts w:cs="Calibri"/>
          <w:sz w:val="16"/>
          <w:szCs w:val="16"/>
        </w:rPr>
        <w:t xml:space="preserve">. </w:t>
      </w:r>
    </w:p>
  </w:endnote>
  <w:endnote w:id="4">
    <w:p w14:paraId="21489057" w14:textId="3BC44E53" w:rsidR="00E026F4" w:rsidRPr="00B8488F" w:rsidRDefault="00E026F4" w:rsidP="00A21862">
      <w:pPr>
        <w:pStyle w:val="EndnoteText"/>
        <w:ind w:left="227" w:hanging="227"/>
        <w:jc w:val="lowKashida"/>
        <w:rPr>
          <w:rFonts w:cs="Calibri"/>
          <w:spacing w:val="-4"/>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r>
      <w:r w:rsidRPr="00B8488F">
        <w:rPr>
          <w:rFonts w:cs="Calibri"/>
          <w:spacing w:val="-4"/>
          <w:sz w:val="16"/>
          <w:szCs w:val="16"/>
        </w:rPr>
        <w:t xml:space="preserve">“Capital and land: The return of wealth is about more than housing,” </w:t>
      </w:r>
      <w:r w:rsidRPr="00B8488F">
        <w:rPr>
          <w:rFonts w:cs="Calibri"/>
          <w:i/>
          <w:iCs/>
          <w:spacing w:val="-4"/>
          <w:sz w:val="16"/>
          <w:szCs w:val="16"/>
        </w:rPr>
        <w:t xml:space="preserve">The Economist </w:t>
      </w:r>
      <w:r w:rsidRPr="00B8488F">
        <w:rPr>
          <w:rFonts w:cs="Calibri"/>
          <w:spacing w:val="-4"/>
          <w:sz w:val="16"/>
          <w:szCs w:val="16"/>
        </w:rPr>
        <w:t xml:space="preserve">(4 February 2014), </w:t>
      </w:r>
      <w:hyperlink r:id="rId7" w:history="1">
        <w:r w:rsidR="00A21862" w:rsidRPr="00AA61B8">
          <w:rPr>
            <w:rStyle w:val="Hyperlink"/>
            <w:rFonts w:cs="Calibri"/>
            <w:spacing w:val="-4"/>
            <w:sz w:val="16"/>
            <w:szCs w:val="16"/>
          </w:rPr>
          <w:t>https://www.economist.com/free-exchange/2014/02/04/capital-and-land</w:t>
        </w:r>
      </w:hyperlink>
      <w:r w:rsidRPr="00B8488F">
        <w:rPr>
          <w:rFonts w:cs="Calibri"/>
          <w:spacing w:val="-4"/>
          <w:sz w:val="16"/>
          <w:szCs w:val="16"/>
        </w:rPr>
        <w:t>;</w:t>
      </w:r>
      <w:r w:rsidR="00A21862">
        <w:rPr>
          <w:rFonts w:cs="Calibri"/>
          <w:spacing w:val="-4"/>
          <w:sz w:val="16"/>
          <w:szCs w:val="16"/>
        </w:rPr>
        <w:t xml:space="preserve"> </w:t>
      </w:r>
      <w:r w:rsidRPr="00B8488F">
        <w:rPr>
          <w:rFonts w:cs="Calibri"/>
          <w:spacing w:val="-4"/>
          <w:sz w:val="16"/>
          <w:szCs w:val="16"/>
        </w:rPr>
        <w:t xml:space="preserve">Sam Moyo, “Land Ownership Patterns and Income inequality in Southern Africa,” Identities, Conflict and Cohesion Programme Paper Number10 December 2004 (Geneva: United Nations Research Institute for Social Development, 2015), </w:t>
      </w:r>
    </w:p>
    <w:p w14:paraId="77D62C9F" w14:textId="77777777" w:rsidR="00E026F4" w:rsidRPr="00B8488F" w:rsidRDefault="00941A4E" w:rsidP="00E026F4">
      <w:pPr>
        <w:pStyle w:val="EndnoteText"/>
        <w:ind w:left="227" w:firstLine="0"/>
        <w:jc w:val="lowKashida"/>
        <w:rPr>
          <w:rFonts w:cs="Calibri"/>
          <w:spacing w:val="-4"/>
          <w:sz w:val="16"/>
          <w:szCs w:val="16"/>
        </w:rPr>
      </w:pPr>
      <w:hyperlink r:id="rId8" w:history="1">
        <w:r w:rsidR="00E026F4" w:rsidRPr="00B23C44">
          <w:rPr>
            <w:rStyle w:val="Hyperlink"/>
            <w:rFonts w:cs="Calibri"/>
            <w:spacing w:val="-4"/>
            <w:sz w:val="16"/>
            <w:szCs w:val="16"/>
          </w:rPr>
          <w:t>http://www.unrisd.org/80256B3C005BCCF9/(httpAuxPages)/101C4E46DE4EA2B080256B6D005786F0/$file/moyo.pdf</w:t>
        </w:r>
      </w:hyperlink>
      <w:r w:rsidR="00E026F4" w:rsidRPr="00B8488F">
        <w:rPr>
          <w:rFonts w:cs="Calibri"/>
          <w:spacing w:val="-4"/>
          <w:sz w:val="16"/>
          <w:szCs w:val="16"/>
        </w:rPr>
        <w:t xml:space="preserve"> and </w:t>
      </w:r>
    </w:p>
    <w:p w14:paraId="6E7AD9DA" w14:textId="40F284D1" w:rsidR="00E026F4" w:rsidRPr="00B8488F" w:rsidRDefault="00941A4E" w:rsidP="00E026F4">
      <w:pPr>
        <w:pStyle w:val="EndnoteText"/>
        <w:ind w:left="227" w:firstLine="0"/>
        <w:jc w:val="lowKashida"/>
        <w:rPr>
          <w:rFonts w:cs="Calibri"/>
          <w:spacing w:val="-4"/>
          <w:sz w:val="16"/>
          <w:szCs w:val="16"/>
        </w:rPr>
      </w:pPr>
      <w:hyperlink r:id="rId9" w:history="1">
        <w:r w:rsidR="00E026F4" w:rsidRPr="00B23C44">
          <w:rPr>
            <w:rStyle w:val="Hyperlink"/>
            <w:rFonts w:cs="Calibri"/>
            <w:spacing w:val="-4"/>
            <w:sz w:val="16"/>
            <w:szCs w:val="16"/>
          </w:rPr>
          <w:t>https://pdfs.semanticscholar.org/4b6d/5d9142a42693e17ca28d35e38ff5299d8136.pdf</w:t>
        </w:r>
      </w:hyperlink>
      <w:r w:rsidR="00E026F4" w:rsidRPr="00B8488F">
        <w:rPr>
          <w:rFonts w:cs="Calibri"/>
          <w:spacing w:val="-4"/>
          <w:sz w:val="16"/>
          <w:szCs w:val="16"/>
        </w:rPr>
        <w:t xml:space="preserve">; Michael R. Carter, “Land Ownership Inequality and the Income Distribution Consequences of Economic Growth,” Working Papers No. 201 (Helsinki: United Nations University, World Institute for Development Economics Research, 2000), </w:t>
      </w:r>
      <w:hyperlink r:id="rId10" w:history="1">
        <w:r w:rsidR="00E026F4" w:rsidRPr="00B8488F">
          <w:rPr>
            <w:rStyle w:val="Hyperlink"/>
            <w:rFonts w:cs="Calibri"/>
            <w:spacing w:val="-4"/>
            <w:sz w:val="16"/>
            <w:szCs w:val="16"/>
          </w:rPr>
          <w:t>https://pdfs.semanticscholar.org/4025/00aed5f49cddcb53705693a7f47b56490c7c.pdf</w:t>
        </w:r>
      </w:hyperlink>
      <w:r w:rsidR="00E026F4" w:rsidRPr="00B8488F">
        <w:rPr>
          <w:rFonts w:cs="Calibri"/>
          <w:spacing w:val="-4"/>
          <w:sz w:val="16"/>
          <w:szCs w:val="16"/>
        </w:rPr>
        <w:t xml:space="preserve">; Klaus Deininger and Pedro Olinto, “Asset distribution, inequality, and growth” (Washington: The World Bank, 2000), </w:t>
      </w:r>
    </w:p>
    <w:p w14:paraId="7A047767" w14:textId="32DE1B45" w:rsidR="00E026F4" w:rsidRPr="00B8488F" w:rsidRDefault="00941A4E" w:rsidP="00E026F4">
      <w:pPr>
        <w:pStyle w:val="EndnoteText"/>
        <w:ind w:left="227" w:firstLine="0"/>
        <w:jc w:val="lowKashida"/>
        <w:rPr>
          <w:rFonts w:cs="Calibri"/>
          <w:spacing w:val="-4"/>
          <w:sz w:val="16"/>
          <w:szCs w:val="16"/>
        </w:rPr>
      </w:pPr>
      <w:hyperlink r:id="rId11" w:history="1">
        <w:r w:rsidR="00E026F4" w:rsidRPr="00B23C44">
          <w:rPr>
            <w:rStyle w:val="Hyperlink"/>
            <w:rFonts w:cs="Calibri"/>
            <w:spacing w:val="-4"/>
            <w:sz w:val="16"/>
            <w:szCs w:val="16"/>
          </w:rPr>
          <w:t>http://web.worldbank.org/archive/website01066/WEB/IMAGES/127527-2.PDF</w:t>
        </w:r>
      </w:hyperlink>
      <w:r w:rsidR="00E026F4" w:rsidRPr="00B8488F">
        <w:rPr>
          <w:rFonts w:cs="Calibri"/>
          <w:spacing w:val="-4"/>
          <w:sz w:val="16"/>
          <w:szCs w:val="16"/>
        </w:rPr>
        <w:t xml:space="preserve">;  Keith Griffin, Azizur Rahman Khan and Amy Ickowitz, “Poverty and the Distribution of Land,” </w:t>
      </w:r>
      <w:r w:rsidR="00E026F4" w:rsidRPr="00B8488F">
        <w:rPr>
          <w:rFonts w:cs="Calibri"/>
          <w:i/>
          <w:iCs/>
          <w:spacing w:val="-4"/>
          <w:sz w:val="16"/>
          <w:szCs w:val="16"/>
        </w:rPr>
        <w:t>Journal of Agrarian Change</w:t>
      </w:r>
      <w:r w:rsidR="00E026F4" w:rsidRPr="00B8488F">
        <w:rPr>
          <w:rFonts w:cs="Calibri"/>
          <w:spacing w:val="-4"/>
          <w:sz w:val="16"/>
          <w:szCs w:val="16"/>
        </w:rPr>
        <w:t xml:space="preserve">, Vol. 2 No. 3 (July 2002), pp. 279–330; </w:t>
      </w:r>
      <w:r w:rsidR="00E026F4" w:rsidRPr="00B8488F">
        <w:rPr>
          <w:rFonts w:cs="Calibri"/>
          <w:i/>
          <w:iCs/>
          <w:spacing w:val="-4"/>
          <w:sz w:val="16"/>
          <w:szCs w:val="16"/>
        </w:rPr>
        <w:t>Land inequality and decentralized governance in LDCs</w:t>
      </w:r>
      <w:r w:rsidR="00E026F4" w:rsidRPr="00B8488F">
        <w:rPr>
          <w:rFonts w:cs="Calibri"/>
          <w:spacing w:val="-4"/>
          <w:sz w:val="16"/>
          <w:szCs w:val="16"/>
        </w:rPr>
        <w:t xml:space="preserve"> (Helsinki: United Nations University, World Institute for Development Economics Research, 2000), </w:t>
      </w:r>
    </w:p>
    <w:p w14:paraId="1865AA53" w14:textId="435776AF" w:rsidR="00E026F4" w:rsidRPr="00B8488F" w:rsidRDefault="00941A4E" w:rsidP="00E026F4">
      <w:pPr>
        <w:pStyle w:val="EndnoteText"/>
        <w:ind w:left="227" w:firstLine="0"/>
        <w:jc w:val="lowKashida"/>
        <w:rPr>
          <w:rFonts w:cs="Calibri"/>
          <w:sz w:val="16"/>
          <w:szCs w:val="16"/>
        </w:rPr>
      </w:pPr>
      <w:hyperlink r:id="rId12" w:history="1">
        <w:r w:rsidR="00E026F4" w:rsidRPr="00B23C44">
          <w:rPr>
            <w:rStyle w:val="Hyperlink"/>
            <w:rFonts w:cs="Calibri"/>
            <w:spacing w:val="-4"/>
            <w:sz w:val="16"/>
            <w:szCs w:val="16"/>
          </w:rPr>
          <w:t>https://www.wider.unu.edu/project/land-inequality-and-decentralized-governance-ldcs</w:t>
        </w:r>
      </w:hyperlink>
      <w:r w:rsidR="00E026F4" w:rsidRPr="00B8488F">
        <w:rPr>
          <w:rFonts w:cs="Calibri"/>
          <w:spacing w:val="-4"/>
          <w:sz w:val="16"/>
          <w:szCs w:val="16"/>
        </w:rPr>
        <w:t>; Paolo Verme, Branko Milanovic, Sherine Al-Shawarby, Sahar El Tawila, May Gadallah and Enas Ali A.</w:t>
      </w:r>
      <w:r w:rsidR="00A21862">
        <w:rPr>
          <w:rFonts w:cs="Calibri"/>
          <w:spacing w:val="-4"/>
          <w:sz w:val="16"/>
          <w:szCs w:val="16"/>
        </w:rPr>
        <w:t xml:space="preserve"> </w:t>
      </w:r>
      <w:r w:rsidR="00E026F4" w:rsidRPr="00B8488F">
        <w:rPr>
          <w:rFonts w:cs="Calibri"/>
          <w:spacing w:val="-4"/>
          <w:sz w:val="16"/>
          <w:szCs w:val="16"/>
        </w:rPr>
        <w:t xml:space="preserve">El-Majeed, </w:t>
      </w:r>
      <w:r w:rsidR="00E026F4" w:rsidRPr="00B8488F">
        <w:rPr>
          <w:rFonts w:cs="Calibri"/>
          <w:i/>
          <w:iCs/>
          <w:spacing w:val="-4"/>
          <w:sz w:val="16"/>
          <w:szCs w:val="16"/>
        </w:rPr>
        <w:t xml:space="preserve">Inside Inequality in the Arab Republic of Egypt </w:t>
      </w:r>
      <w:r w:rsidR="00E026F4" w:rsidRPr="00B8488F">
        <w:rPr>
          <w:rFonts w:cs="Calibri"/>
          <w:spacing w:val="-4"/>
          <w:sz w:val="16"/>
          <w:szCs w:val="16"/>
        </w:rPr>
        <w:t xml:space="preserve">(Washington: World Bank, 2014), </w:t>
      </w:r>
      <w:hyperlink r:id="rId13" w:history="1">
        <w:r w:rsidR="00E026F4" w:rsidRPr="00B8488F">
          <w:rPr>
            <w:rStyle w:val="Hyperlink"/>
            <w:rFonts w:cs="Calibri"/>
            <w:spacing w:val="-4"/>
            <w:sz w:val="16"/>
            <w:szCs w:val="16"/>
          </w:rPr>
          <w:t>http://www.worldbank.org/content/dam/Worldbank/egypt-inequality-book.pdf</w:t>
        </w:r>
      </w:hyperlink>
      <w:r w:rsidR="00E026F4" w:rsidRPr="00B8488F">
        <w:rPr>
          <w:rFonts w:cs="Calibri"/>
          <w:spacing w:val="-4"/>
          <w:sz w:val="16"/>
          <w:szCs w:val="16"/>
        </w:rPr>
        <w:t xml:space="preserve">; </w:t>
      </w:r>
      <w:r w:rsidR="00E026F4" w:rsidRPr="00B8488F">
        <w:rPr>
          <w:rFonts w:cs="Calibri"/>
          <w:i/>
          <w:iCs/>
          <w:spacing w:val="-4"/>
          <w:sz w:val="16"/>
          <w:szCs w:val="16"/>
        </w:rPr>
        <w:t xml:space="preserve">Unearthed: Land, Power and Inequality in Latin America </w:t>
      </w:r>
      <w:r w:rsidR="00E026F4" w:rsidRPr="00B8488F">
        <w:rPr>
          <w:rFonts w:cs="Calibri"/>
          <w:spacing w:val="-4"/>
          <w:sz w:val="16"/>
          <w:szCs w:val="16"/>
        </w:rPr>
        <w:t xml:space="preserve">(Oxford: Oxfam International November 2016), </w:t>
      </w:r>
      <w:hyperlink r:id="rId14" w:history="1">
        <w:r w:rsidR="00E026F4" w:rsidRPr="00B8488F">
          <w:rPr>
            <w:rStyle w:val="Hyperlink"/>
            <w:rFonts w:cs="Calibri"/>
            <w:spacing w:val="-4"/>
            <w:sz w:val="16"/>
            <w:szCs w:val="16"/>
          </w:rPr>
          <w:t>https://www.oxfam.org/sites/www.oxfam.org/files/file_attachments/bp-land-power-inequality-latin-america-301116-en.pdf</w:t>
        </w:r>
      </w:hyperlink>
      <w:r w:rsidR="00E026F4" w:rsidRPr="00B8488F">
        <w:rPr>
          <w:rFonts w:cs="Calibri"/>
          <w:spacing w:val="-4"/>
          <w:sz w:val="16"/>
          <w:szCs w:val="16"/>
        </w:rPr>
        <w:t xml:space="preserve">; Paolo Verme, Branko Milanovic, Sherine Al-Shawarby, Sahar El Tawila, May Gadallah, and Enas Ali A.El-Majeed, Inside Inequality in the Arab Republic of Egypt: Facts and Perceptions across People, Time, and Space (Washington: The World Bank, 2014), </w:t>
      </w:r>
      <w:hyperlink r:id="rId15" w:history="1">
        <w:r w:rsidR="00E026F4" w:rsidRPr="00B8488F">
          <w:rPr>
            <w:rStyle w:val="Hyperlink"/>
            <w:rFonts w:cs="Calibri"/>
            <w:spacing w:val="-4"/>
            <w:sz w:val="16"/>
            <w:szCs w:val="16"/>
          </w:rPr>
          <w:t>http://www.worldbank.org/content/dam/Worldbank/egypt-inequality-book.pdf</w:t>
        </w:r>
      </w:hyperlink>
      <w:r w:rsidR="00E026F4" w:rsidRPr="00B8488F">
        <w:rPr>
          <w:rFonts w:cs="Calibri"/>
          <w:spacing w:val="-4"/>
          <w:sz w:val="16"/>
          <w:szCs w:val="16"/>
        </w:rPr>
        <w:t xml:space="preserve">. </w:t>
      </w:r>
    </w:p>
  </w:endnote>
  <w:endnote w:id="5">
    <w:p w14:paraId="0F43E807" w14:textId="33419F93" w:rsidR="00E026F4" w:rsidRPr="00B8488F" w:rsidRDefault="00E026F4" w:rsidP="00E026F4">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The United Nations and Land and Conflict Guidance Note of the Secretary-General, March 2019, </w:t>
      </w:r>
    </w:p>
    <w:p w14:paraId="3B291F06" w14:textId="77777777" w:rsidR="00E026F4" w:rsidRPr="00B8488F" w:rsidRDefault="00941A4E" w:rsidP="00E026F4">
      <w:pPr>
        <w:pStyle w:val="EndnoteText"/>
        <w:ind w:left="227" w:firstLine="0"/>
        <w:jc w:val="lowKashida"/>
        <w:rPr>
          <w:rFonts w:cs="Calibri"/>
          <w:sz w:val="16"/>
          <w:szCs w:val="16"/>
        </w:rPr>
      </w:pPr>
      <w:hyperlink r:id="rId16" w:history="1">
        <w:r w:rsidR="00E026F4" w:rsidRPr="00B23C44">
          <w:rPr>
            <w:rStyle w:val="Hyperlink"/>
            <w:rFonts w:cs="Calibri"/>
            <w:sz w:val="16"/>
            <w:szCs w:val="16"/>
          </w:rPr>
          <w:t>https://gltn.net/2019/03/15/guidance-note-of-the-secretary-general-the-united-nations-and-land-and-conflict-march-2019/</w:t>
        </w:r>
      </w:hyperlink>
      <w:r w:rsidR="00E026F4" w:rsidRPr="00B8488F">
        <w:rPr>
          <w:rFonts w:cs="Calibri"/>
          <w:sz w:val="16"/>
          <w:szCs w:val="16"/>
        </w:rPr>
        <w:t xml:space="preserve">. </w:t>
      </w:r>
    </w:p>
  </w:endnote>
  <w:endnote w:id="6">
    <w:p w14:paraId="13CFDC65" w14:textId="6A9A47AC" w:rsidR="00B46EC4" w:rsidRPr="00B46EC4" w:rsidRDefault="00B46EC4" w:rsidP="00B46EC4">
      <w:pPr>
        <w:pStyle w:val="EndnoteText"/>
        <w:ind w:left="227" w:hanging="227"/>
        <w:jc w:val="lowKashida"/>
        <w:rPr>
          <w:sz w:val="16"/>
          <w:szCs w:val="16"/>
        </w:rPr>
      </w:pPr>
      <w:r w:rsidRPr="00B46EC4">
        <w:rPr>
          <w:rStyle w:val="EndnoteReference"/>
          <w:sz w:val="16"/>
          <w:szCs w:val="16"/>
        </w:rPr>
        <w:endnoteRef/>
      </w:r>
      <w:r w:rsidRPr="00B46EC4">
        <w:rPr>
          <w:sz w:val="16"/>
          <w:szCs w:val="16"/>
        </w:rPr>
        <w:t xml:space="preserve"> </w:t>
      </w:r>
      <w:r>
        <w:rPr>
          <w:sz w:val="16"/>
          <w:szCs w:val="16"/>
        </w:rPr>
        <w:tab/>
      </w:r>
      <w:r w:rsidRPr="00B46EC4">
        <w:rPr>
          <w:sz w:val="16"/>
          <w:szCs w:val="16"/>
        </w:rPr>
        <w:t>Notably, Housing and Land Rights network – Habitat International Coalition, FIAN International and other civil society organizations.</w:t>
      </w:r>
    </w:p>
  </w:endnote>
  <w:endnote w:id="7">
    <w:p w14:paraId="54549D40" w14:textId="72960DFB" w:rsidR="001856EC" w:rsidRPr="001856EC" w:rsidRDefault="001856EC" w:rsidP="001856EC">
      <w:pPr>
        <w:pStyle w:val="EndnoteText"/>
        <w:ind w:left="227" w:hanging="227"/>
        <w:jc w:val="lowKashida"/>
        <w:rPr>
          <w:rFonts w:asciiTheme="minorHAnsi" w:hAnsiTheme="minorHAnsi" w:cstheme="minorHAnsi"/>
          <w:sz w:val="16"/>
          <w:szCs w:val="16"/>
        </w:rPr>
      </w:pPr>
      <w:r w:rsidRPr="001856EC">
        <w:rPr>
          <w:rStyle w:val="EndnoteReference"/>
          <w:rFonts w:asciiTheme="minorHAnsi" w:hAnsiTheme="minorHAnsi" w:cstheme="minorHAnsi"/>
          <w:sz w:val="16"/>
          <w:szCs w:val="16"/>
        </w:rPr>
        <w:endnoteRef/>
      </w:r>
      <w:r w:rsidRPr="001856EC">
        <w:rPr>
          <w:rFonts w:asciiTheme="minorHAnsi" w:hAnsiTheme="minorHAnsi" w:cstheme="minorHAnsi"/>
          <w:sz w:val="16"/>
          <w:szCs w:val="16"/>
        </w:rPr>
        <w:t xml:space="preserve"> </w:t>
      </w:r>
      <w:r w:rsidRPr="001856EC">
        <w:rPr>
          <w:rFonts w:asciiTheme="minorHAnsi" w:hAnsiTheme="minorHAnsi" w:cstheme="minorHAnsi"/>
          <w:sz w:val="16"/>
          <w:szCs w:val="16"/>
        </w:rPr>
        <w:tab/>
        <w:t>D</w:t>
      </w:r>
      <w:r w:rsidRPr="001856EC">
        <w:rPr>
          <w:rFonts w:asciiTheme="minorHAnsi" w:hAnsiTheme="minorHAnsi" w:cstheme="minorHAnsi"/>
          <w:color w:val="212529"/>
          <w:sz w:val="16"/>
          <w:szCs w:val="16"/>
          <w:shd w:val="clear" w:color="auto" w:fill="FFFFFF"/>
        </w:rPr>
        <w:t>raft General Comment No. 26 on Land and Economic, Social and Cultural Rights (</w:t>
      </w:r>
      <w:bookmarkStart w:id="3" w:name="_Hlk71719115"/>
      <w:r w:rsidRPr="001856EC">
        <w:rPr>
          <w:rFonts w:asciiTheme="minorHAnsi" w:hAnsiTheme="minorHAnsi" w:cstheme="minorHAnsi"/>
          <w:color w:val="E38937"/>
          <w:sz w:val="16"/>
          <w:szCs w:val="16"/>
          <w:u w:val="single"/>
          <w:shd w:val="clear" w:color="auto" w:fill="FFFFFF"/>
        </w:rPr>
        <w:fldChar w:fldCharType="begin"/>
      </w:r>
      <w:r w:rsidR="005E2A1D">
        <w:rPr>
          <w:rFonts w:asciiTheme="minorHAnsi" w:hAnsiTheme="minorHAnsi" w:cstheme="minorHAnsi"/>
          <w:color w:val="E38937"/>
          <w:sz w:val="16"/>
          <w:szCs w:val="16"/>
          <w:u w:val="single"/>
          <w:shd w:val="clear" w:color="auto" w:fill="FFFFFF"/>
        </w:rPr>
        <w:instrText>HYPERLINK "F:\\HIC-HLRN\\Articles\\in English"</w:instrText>
      </w:r>
      <w:r w:rsidRPr="001856EC">
        <w:rPr>
          <w:rFonts w:asciiTheme="minorHAnsi" w:hAnsiTheme="minorHAnsi" w:cstheme="minorHAnsi"/>
          <w:color w:val="E38937"/>
          <w:sz w:val="16"/>
          <w:szCs w:val="16"/>
          <w:u w:val="single"/>
          <w:shd w:val="clear" w:color="auto" w:fill="FFFFFF"/>
        </w:rPr>
        <w:fldChar w:fldCharType="separate"/>
      </w:r>
      <w:r w:rsidRPr="001856EC">
        <w:rPr>
          <w:rStyle w:val="Hyperlink"/>
          <w:rFonts w:asciiTheme="minorHAnsi" w:hAnsiTheme="minorHAnsi" w:cstheme="minorHAnsi"/>
          <w:sz w:val="16"/>
          <w:szCs w:val="16"/>
          <w:shd w:val="clear" w:color="auto" w:fill="FFFFFF"/>
        </w:rPr>
        <w:t>in English</w:t>
      </w:r>
      <w:bookmarkEnd w:id="3"/>
      <w:r w:rsidRPr="001856EC">
        <w:rPr>
          <w:rFonts w:asciiTheme="minorHAnsi" w:hAnsiTheme="minorHAnsi" w:cstheme="minorHAnsi"/>
          <w:color w:val="E38937"/>
          <w:sz w:val="16"/>
          <w:szCs w:val="16"/>
          <w:u w:val="single"/>
          <w:shd w:val="clear" w:color="auto" w:fill="FFFFFF"/>
        </w:rPr>
        <w:fldChar w:fldCharType="end"/>
      </w:r>
      <w:r w:rsidRPr="001856EC">
        <w:rPr>
          <w:rFonts w:asciiTheme="minorHAnsi" w:hAnsiTheme="minorHAnsi" w:cstheme="minorHAnsi"/>
          <w:color w:val="212529"/>
          <w:sz w:val="16"/>
          <w:szCs w:val="16"/>
          <w:shd w:val="clear" w:color="auto" w:fill="FFFFFF"/>
        </w:rPr>
        <w:t>) is available </w:t>
      </w:r>
      <w:hyperlink r:id="rId17" w:history="1">
        <w:r w:rsidRPr="001856EC">
          <w:rPr>
            <w:rStyle w:val="Hyperlink"/>
            <w:rFonts w:asciiTheme="minorHAnsi" w:hAnsiTheme="minorHAnsi" w:cstheme="minorHAnsi"/>
            <w:sz w:val="16"/>
            <w:szCs w:val="16"/>
            <w:shd w:val="clear" w:color="auto" w:fill="FFFFFF"/>
          </w:rPr>
          <w:t>https://www.ohchr.org/Documents/HRBodies/CESCR/Contributions/CESCR-draft-GC-26.docx</w:t>
        </w:r>
      </w:hyperlink>
      <w:r w:rsidRPr="001856EC">
        <w:rPr>
          <w:rFonts w:asciiTheme="minorHAnsi" w:hAnsiTheme="minorHAnsi" w:cstheme="minorHAnsi"/>
          <w:color w:val="212529"/>
          <w:sz w:val="16"/>
          <w:szCs w:val="16"/>
          <w:shd w:val="clear" w:color="auto" w:fill="FFFFFF"/>
        </w:rPr>
        <w:t xml:space="preserve">. </w:t>
      </w:r>
    </w:p>
  </w:endnote>
  <w:endnote w:id="8">
    <w:p w14:paraId="31DCEDA2" w14:textId="213FB13D" w:rsidR="006E25B7" w:rsidRPr="006E25B7" w:rsidRDefault="006E25B7" w:rsidP="006E25B7">
      <w:pPr>
        <w:pStyle w:val="EndnoteText"/>
        <w:ind w:left="227" w:hanging="227"/>
        <w:jc w:val="lowKashida"/>
        <w:rPr>
          <w:sz w:val="16"/>
          <w:szCs w:val="16"/>
        </w:rPr>
      </w:pPr>
      <w:r w:rsidRPr="006E25B7">
        <w:rPr>
          <w:rStyle w:val="EndnoteReference"/>
          <w:sz w:val="16"/>
          <w:szCs w:val="16"/>
        </w:rPr>
        <w:endnoteRef/>
      </w:r>
      <w:r w:rsidRPr="006E25B7">
        <w:rPr>
          <w:sz w:val="16"/>
          <w:szCs w:val="16"/>
        </w:rPr>
        <w:t xml:space="preserve"> </w:t>
      </w:r>
      <w:r>
        <w:rPr>
          <w:sz w:val="16"/>
          <w:szCs w:val="16"/>
        </w:rPr>
        <w:tab/>
      </w:r>
      <w:r w:rsidRPr="006E25B7">
        <w:rPr>
          <w:sz w:val="16"/>
          <w:szCs w:val="16"/>
        </w:rPr>
        <w:t xml:space="preserve">As called for under Article 11.2(a), International Covenant on Economic, Social and Cultural Rights, General Assembly resolution 2200A (XXI), 16 December 1966, </w:t>
      </w:r>
      <w:hyperlink r:id="rId18" w:history="1">
        <w:r w:rsidRPr="006E25B7">
          <w:rPr>
            <w:rStyle w:val="Hyperlink"/>
            <w:sz w:val="16"/>
            <w:szCs w:val="16"/>
          </w:rPr>
          <w:t>https://www.ohchr.org/en/professionalinterest/pages/cescr.aspx</w:t>
        </w:r>
      </w:hyperlink>
      <w:r w:rsidRPr="006E25B7">
        <w:rPr>
          <w:sz w:val="16"/>
          <w:szCs w:val="16"/>
        </w:rPr>
        <w:t xml:space="preserve">. </w:t>
      </w:r>
    </w:p>
  </w:endnote>
  <w:endnote w:id="9">
    <w:p w14:paraId="0C95A21B" w14:textId="754D38FD" w:rsidR="00A4091E" w:rsidRPr="00B8488F" w:rsidRDefault="00A4091E" w:rsidP="00A4091E">
      <w:pPr>
        <w:pStyle w:val="EndnoteText"/>
        <w:ind w:left="227" w:hanging="227"/>
        <w:jc w:val="lowKashida"/>
        <w:rPr>
          <w:sz w:val="16"/>
          <w:szCs w:val="16"/>
        </w:rPr>
      </w:pPr>
      <w:r w:rsidRPr="00B8488F">
        <w:rPr>
          <w:rStyle w:val="EndnoteReference"/>
          <w:sz w:val="16"/>
          <w:szCs w:val="16"/>
        </w:rPr>
        <w:endnoteRef/>
      </w:r>
      <w:r w:rsidRPr="00B8488F">
        <w:rPr>
          <w:sz w:val="16"/>
          <w:szCs w:val="16"/>
        </w:rPr>
        <w:t xml:space="preserve"> </w:t>
      </w:r>
      <w:r w:rsidRPr="00B8488F">
        <w:rPr>
          <w:sz w:val="16"/>
          <w:szCs w:val="16"/>
        </w:rPr>
        <w:tab/>
        <w:t xml:space="preserve">Universal Declaration of Human Rights, A/RES/III/217A, 10 December 1948, Article 17, </w:t>
      </w:r>
      <w:hyperlink r:id="rId19" w:history="1">
        <w:r w:rsidRPr="00B8488F">
          <w:rPr>
            <w:rStyle w:val="Hyperlink"/>
            <w:sz w:val="16"/>
            <w:szCs w:val="16"/>
          </w:rPr>
          <w:t>https://www.un.org/en/universal-declaration-human-rights/</w:t>
        </w:r>
      </w:hyperlink>
      <w:r w:rsidRPr="00B8488F">
        <w:rPr>
          <w:sz w:val="16"/>
          <w:szCs w:val="16"/>
        </w:rPr>
        <w:t xml:space="preserve">. </w:t>
      </w:r>
    </w:p>
  </w:endnote>
  <w:endnote w:id="10">
    <w:p w14:paraId="6378A486" w14:textId="77777777" w:rsidR="00A4091E" w:rsidRPr="00B8488F" w:rsidRDefault="00A4091E" w:rsidP="00A4091E">
      <w:pPr>
        <w:pStyle w:val="EndnoteText"/>
        <w:ind w:left="227" w:hanging="227"/>
        <w:jc w:val="lowKashida"/>
        <w:rPr>
          <w:rFonts w:cs="Calibri"/>
          <w:i/>
          <w:iCs/>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Len Doyle and Ian Gough, </w:t>
      </w:r>
      <w:r w:rsidRPr="00B8488F">
        <w:rPr>
          <w:rFonts w:cs="Calibri"/>
          <w:i/>
          <w:iCs/>
          <w:sz w:val="16"/>
          <w:szCs w:val="16"/>
        </w:rPr>
        <w:t>A Theory of Human Need</w:t>
      </w:r>
      <w:r w:rsidRPr="00B8488F">
        <w:rPr>
          <w:rFonts w:cs="Calibri"/>
          <w:sz w:val="16"/>
          <w:szCs w:val="16"/>
        </w:rPr>
        <w:t xml:space="preserve"> (London: MacMillan, 1991).</w:t>
      </w:r>
    </w:p>
  </w:endnote>
  <w:endnote w:id="11">
    <w:p w14:paraId="264C83CB" w14:textId="2E902724"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John Rawls, </w:t>
      </w:r>
      <w:r w:rsidRPr="00B8488F">
        <w:rPr>
          <w:rFonts w:cs="Calibri"/>
          <w:i/>
          <w:iCs/>
          <w:sz w:val="16"/>
          <w:szCs w:val="16"/>
        </w:rPr>
        <w:t xml:space="preserve">A Theory of Justice </w:t>
      </w:r>
      <w:r w:rsidRPr="00B8488F">
        <w:rPr>
          <w:rFonts w:cs="Calibri"/>
          <w:sz w:val="16"/>
          <w:szCs w:val="16"/>
        </w:rPr>
        <w:t xml:space="preserve">(Cambridge MA: The Belknap Press of Harvard University Press, revised edition, 1999), </w:t>
      </w:r>
      <w:hyperlink r:id="rId20" w:history="1">
        <w:r w:rsidRPr="00B8488F">
          <w:rPr>
            <w:rStyle w:val="Hyperlink"/>
            <w:rFonts w:cs="Calibri"/>
            <w:sz w:val="16"/>
            <w:szCs w:val="16"/>
          </w:rPr>
          <w:t>http://www.consiglio.regione.campania.it/cms/CM_PORTALE_CRC/servlet/Docs?dir=docs_biblio&amp;file=BiblioContenuto_3641.pdf</w:t>
        </w:r>
      </w:hyperlink>
      <w:r w:rsidRPr="00B8488F">
        <w:rPr>
          <w:rFonts w:cs="Calibri"/>
          <w:sz w:val="16"/>
          <w:szCs w:val="16"/>
        </w:rPr>
        <w:t xml:space="preserve">. </w:t>
      </w:r>
    </w:p>
  </w:endnote>
  <w:endnote w:id="12">
    <w:p w14:paraId="65AE6686" w14:textId="44A73EBE" w:rsidR="00CB5C7F" w:rsidRPr="00A717E0" w:rsidRDefault="00CB5C7F" w:rsidP="008B550A">
      <w:pPr>
        <w:pStyle w:val="EndnoteText"/>
        <w:ind w:left="227" w:hanging="227"/>
        <w:rPr>
          <w:sz w:val="16"/>
          <w:szCs w:val="16"/>
        </w:rPr>
      </w:pPr>
      <w:r w:rsidRPr="00CB5C7F">
        <w:rPr>
          <w:rStyle w:val="EndnoteReference"/>
          <w:sz w:val="16"/>
          <w:szCs w:val="16"/>
        </w:rPr>
        <w:endnoteRef/>
      </w:r>
      <w:r w:rsidRPr="00CB5C7F">
        <w:rPr>
          <w:sz w:val="16"/>
          <w:szCs w:val="16"/>
        </w:rPr>
        <w:t xml:space="preserve"> </w:t>
      </w:r>
      <w:r>
        <w:rPr>
          <w:sz w:val="16"/>
          <w:szCs w:val="16"/>
        </w:rPr>
        <w:tab/>
      </w:r>
      <w:r w:rsidR="00A717E0" w:rsidRPr="00A717E0">
        <w:rPr>
          <w:sz w:val="16"/>
          <w:szCs w:val="16"/>
        </w:rPr>
        <w:t>Brett Christophers</w:t>
      </w:r>
      <w:r w:rsidR="00A717E0">
        <w:rPr>
          <w:sz w:val="16"/>
          <w:szCs w:val="16"/>
        </w:rPr>
        <w:t>, “</w:t>
      </w:r>
      <w:r w:rsidR="00A717E0" w:rsidRPr="00A717E0">
        <w:rPr>
          <w:sz w:val="16"/>
          <w:szCs w:val="16"/>
        </w:rPr>
        <w:t>For real: land as capital and commodity</w:t>
      </w:r>
      <w:r w:rsidR="00A717E0">
        <w:rPr>
          <w:sz w:val="16"/>
          <w:szCs w:val="16"/>
        </w:rPr>
        <w:t xml:space="preserve">,” </w:t>
      </w:r>
      <w:r w:rsidR="0058720F">
        <w:rPr>
          <w:i/>
          <w:iCs/>
          <w:sz w:val="16"/>
          <w:szCs w:val="16"/>
        </w:rPr>
        <w:t xml:space="preserve">Transactions </w:t>
      </w:r>
      <w:r w:rsidR="0058720F">
        <w:rPr>
          <w:sz w:val="16"/>
          <w:szCs w:val="16"/>
        </w:rPr>
        <w:t xml:space="preserve">(2016), </w:t>
      </w:r>
      <w:hyperlink r:id="rId21" w:history="1">
        <w:r w:rsidR="0058720F" w:rsidRPr="00D95852">
          <w:rPr>
            <w:rStyle w:val="Hyperlink"/>
            <w:sz w:val="16"/>
            <w:szCs w:val="16"/>
          </w:rPr>
          <w:t>https://rgs-ibg.onlinelibrary.wiley.com/doi/pdfdirect/10.1111/tran.12111</w:t>
        </w:r>
      </w:hyperlink>
      <w:r w:rsidR="00226A5D">
        <w:rPr>
          <w:sz w:val="16"/>
          <w:szCs w:val="16"/>
        </w:rPr>
        <w:t xml:space="preserve">. </w:t>
      </w:r>
    </w:p>
  </w:endnote>
  <w:endnote w:id="13">
    <w:p w14:paraId="6068D7CA" w14:textId="77777777" w:rsidR="00A4091E" w:rsidRPr="00B8488F" w:rsidRDefault="00A4091E" w:rsidP="00A4091E">
      <w:pPr>
        <w:pStyle w:val="EndnoteText"/>
        <w:ind w:left="227" w:hanging="227"/>
        <w:jc w:val="lowKashida"/>
        <w:rPr>
          <w:sz w:val="16"/>
          <w:szCs w:val="16"/>
        </w:rPr>
      </w:pPr>
      <w:r w:rsidRPr="00B8488F">
        <w:rPr>
          <w:rStyle w:val="EndnoteReference"/>
          <w:sz w:val="16"/>
          <w:szCs w:val="16"/>
        </w:rPr>
        <w:endnoteRef/>
      </w:r>
      <w:r w:rsidRPr="00B8488F">
        <w:rPr>
          <w:sz w:val="16"/>
          <w:szCs w:val="16"/>
        </w:rPr>
        <w:t xml:space="preserve"> </w:t>
      </w:r>
      <w:r w:rsidRPr="00B8488F">
        <w:rPr>
          <w:sz w:val="16"/>
          <w:szCs w:val="16"/>
        </w:rPr>
        <w:tab/>
        <w:t xml:space="preserve">Classical elements typically refer to water, earth, fire, air, and (later) </w:t>
      </w:r>
      <w:r w:rsidRPr="00B8488F">
        <w:rPr>
          <w:rFonts w:cs="Calibri"/>
          <w:sz w:val="16"/>
          <w:szCs w:val="16"/>
        </w:rPr>
        <w:t>æ</w:t>
      </w:r>
      <w:r w:rsidRPr="00B8488F">
        <w:rPr>
          <w:sz w:val="16"/>
          <w:szCs w:val="16"/>
        </w:rPr>
        <w:t xml:space="preserve">ther, which were proposed to explain the nature and complexity of all matter. </w:t>
      </w:r>
      <w:r w:rsidRPr="0058720F">
        <w:rPr>
          <w:i/>
          <w:iCs/>
          <w:sz w:val="16"/>
          <w:szCs w:val="16"/>
        </w:rPr>
        <w:t>See</w:t>
      </w:r>
      <w:r w:rsidRPr="00B8488F">
        <w:rPr>
          <w:sz w:val="16"/>
          <w:szCs w:val="16"/>
        </w:rPr>
        <w:t xml:space="preserve"> </w:t>
      </w:r>
      <w:bookmarkStart w:id="4" w:name="_Hlk74843350"/>
      <w:r w:rsidRPr="0058720F">
        <w:rPr>
          <w:sz w:val="16"/>
          <w:szCs w:val="16"/>
        </w:rPr>
        <w:t>T.J.M. Boyd and J.J. Sanderson,</w:t>
      </w:r>
      <w:r w:rsidRPr="00B8488F">
        <w:rPr>
          <w:i/>
          <w:iCs/>
          <w:sz w:val="16"/>
          <w:szCs w:val="16"/>
        </w:rPr>
        <w:t xml:space="preserve"> The Physics of Plasmas </w:t>
      </w:r>
      <w:r w:rsidRPr="00B8488F">
        <w:rPr>
          <w:sz w:val="16"/>
          <w:szCs w:val="16"/>
        </w:rPr>
        <w:t>(Cambridge, England; New York: Cambridge University Press, 2003); and Philip Ball,</w:t>
      </w:r>
      <w:r w:rsidRPr="00B8488F">
        <w:rPr>
          <w:i/>
          <w:iCs/>
          <w:sz w:val="16"/>
          <w:szCs w:val="16"/>
        </w:rPr>
        <w:t xml:space="preserve"> The Elements: A Very Short Introduction</w:t>
      </w:r>
      <w:r w:rsidRPr="00B8488F">
        <w:rPr>
          <w:sz w:val="16"/>
          <w:szCs w:val="16"/>
        </w:rPr>
        <w:t xml:space="preserve"> (Oxford: Oxford University Press, 2004).</w:t>
      </w:r>
      <w:r w:rsidRPr="00B8488F">
        <w:rPr>
          <w:i/>
          <w:iCs/>
          <w:sz w:val="16"/>
          <w:szCs w:val="16"/>
        </w:rPr>
        <w:t> </w:t>
      </w:r>
      <w:bookmarkEnd w:id="4"/>
    </w:p>
  </w:endnote>
  <w:endnote w:id="14">
    <w:p w14:paraId="312B4071" w14:textId="6B3A52D6"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CESCR, General Comment No. 15: The right to water, E/C.12/2002/11, 20 January 2003, </w:t>
      </w:r>
    </w:p>
    <w:p w14:paraId="635403A5" w14:textId="77777777" w:rsidR="00A4091E" w:rsidRPr="00B8488F" w:rsidRDefault="00941A4E" w:rsidP="00A4091E">
      <w:pPr>
        <w:pStyle w:val="EndnoteText"/>
        <w:ind w:left="227" w:firstLine="0"/>
        <w:jc w:val="lowKashida"/>
        <w:rPr>
          <w:rFonts w:cs="Calibri"/>
          <w:sz w:val="16"/>
          <w:szCs w:val="16"/>
        </w:rPr>
      </w:pPr>
      <w:hyperlink r:id="rId22" w:history="1">
        <w:r w:rsidR="00A4091E" w:rsidRPr="00B23C44">
          <w:rPr>
            <w:rStyle w:val="Hyperlink"/>
            <w:rFonts w:cs="Calibri"/>
            <w:sz w:val="16"/>
            <w:szCs w:val="16"/>
          </w:rPr>
          <w:t>https://tbinternet.ohchr.org/_layouts/15/treatybodyexternal/Download.aspx?symbolno=E%2fC.12%2f2002%2f11&amp;Lang=en</w:t>
        </w:r>
      </w:hyperlink>
      <w:r w:rsidR="00A4091E" w:rsidRPr="00B8488F">
        <w:rPr>
          <w:rFonts w:cs="Calibri"/>
          <w:sz w:val="16"/>
          <w:szCs w:val="16"/>
        </w:rPr>
        <w:t xml:space="preserve">. </w:t>
      </w:r>
    </w:p>
  </w:endnote>
  <w:endnote w:id="15">
    <w:p w14:paraId="291CAD8E" w14:textId="3788D5E0"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The human right to water and sanitation, A/RES/64/292, 3 August 2010, </w:t>
      </w:r>
    </w:p>
    <w:p w14:paraId="4C3AE78B" w14:textId="1781CF37" w:rsidR="00A4091E" w:rsidRPr="00B8488F" w:rsidRDefault="00941A4E" w:rsidP="00A4091E">
      <w:pPr>
        <w:pStyle w:val="EndnoteText"/>
        <w:ind w:left="227" w:firstLine="0"/>
        <w:jc w:val="lowKashida"/>
        <w:rPr>
          <w:rFonts w:cs="Calibri"/>
          <w:sz w:val="16"/>
          <w:szCs w:val="16"/>
        </w:rPr>
      </w:pPr>
      <w:hyperlink r:id="rId23" w:history="1">
        <w:r w:rsidR="00A4091E" w:rsidRPr="00B23C44">
          <w:rPr>
            <w:rStyle w:val="Hyperlink"/>
            <w:rFonts w:cs="Calibri"/>
            <w:sz w:val="16"/>
            <w:szCs w:val="16"/>
          </w:rPr>
          <w:t>https://www.un.org/en/ga/search/view_doc.asp?symbol=A/RES/64/292</w:t>
        </w:r>
      </w:hyperlink>
      <w:r w:rsidR="00A4091E" w:rsidRPr="00B8488F">
        <w:rPr>
          <w:rFonts w:cs="Calibri"/>
          <w:sz w:val="16"/>
          <w:szCs w:val="16"/>
        </w:rPr>
        <w:t xml:space="preserve">; and The human rights to safe drinking water and sanitation, A/RES/70/169, 22 February 2016, </w:t>
      </w:r>
      <w:hyperlink r:id="rId24" w:history="1">
        <w:r w:rsidR="00A4091E" w:rsidRPr="00B8488F">
          <w:rPr>
            <w:rStyle w:val="Hyperlink"/>
            <w:rFonts w:cs="Calibri"/>
            <w:sz w:val="16"/>
            <w:szCs w:val="16"/>
          </w:rPr>
          <w:t>https://undocs.org/A/RES/70/169</w:t>
        </w:r>
      </w:hyperlink>
      <w:r w:rsidR="00A4091E" w:rsidRPr="00B8488F">
        <w:rPr>
          <w:rFonts w:cs="Calibri"/>
          <w:sz w:val="16"/>
          <w:szCs w:val="16"/>
        </w:rPr>
        <w:t xml:space="preserve">. </w:t>
      </w:r>
    </w:p>
  </w:endnote>
  <w:endnote w:id="16">
    <w:p w14:paraId="2BB154A2" w14:textId="4197820B" w:rsidR="00A4091E" w:rsidRPr="00B8488F" w:rsidRDefault="00A4091E" w:rsidP="00351DC3">
      <w:pPr>
        <w:pStyle w:val="EndnoteText"/>
        <w:ind w:left="227" w:hanging="227"/>
        <w:jc w:val="lowKashida"/>
        <w:rPr>
          <w:sz w:val="16"/>
          <w:szCs w:val="16"/>
        </w:rPr>
      </w:pPr>
      <w:r w:rsidRPr="00B8488F">
        <w:rPr>
          <w:rStyle w:val="EndnoteReference"/>
          <w:sz w:val="16"/>
          <w:szCs w:val="16"/>
        </w:rPr>
        <w:endnoteRef/>
      </w:r>
      <w:r w:rsidRPr="00B8488F">
        <w:rPr>
          <w:sz w:val="16"/>
          <w:szCs w:val="16"/>
        </w:rPr>
        <w:t xml:space="preserve"> </w:t>
      </w:r>
      <w:r w:rsidRPr="00B8488F">
        <w:rPr>
          <w:sz w:val="16"/>
          <w:szCs w:val="16"/>
        </w:rPr>
        <w:tab/>
      </w:r>
      <w:bookmarkStart w:id="5" w:name="_Hlk74844035"/>
      <w:r w:rsidRPr="00B8488F">
        <w:rPr>
          <w:sz w:val="16"/>
          <w:szCs w:val="16"/>
        </w:rPr>
        <w:t xml:space="preserve">As affirmed in gravitational biology, human physical development is adapted to life on land, as the factor gravity enables functions of the spine, internal organs, digestion, elimination of waste, flexible mobility, reproduction and the circulation of blood and oxygen. See </w:t>
      </w:r>
      <w:bookmarkStart w:id="6" w:name="_Hlk74844318"/>
      <w:r w:rsidRPr="00B8488F">
        <w:rPr>
          <w:sz w:val="16"/>
          <w:szCs w:val="16"/>
        </w:rPr>
        <w:t>Ralf H. Anken and Hinrich Rahmann, "Gravitational Zoology: How Animals Use and Cope with Gravity</w:t>
      </w:r>
      <w:r w:rsidR="00351DC3">
        <w:rPr>
          <w:sz w:val="16"/>
          <w:szCs w:val="16"/>
        </w:rPr>
        <w:t>,</w:t>
      </w:r>
      <w:r w:rsidRPr="00B8488F">
        <w:rPr>
          <w:sz w:val="16"/>
          <w:szCs w:val="16"/>
        </w:rPr>
        <w:t xml:space="preserve">" </w:t>
      </w:r>
      <w:r w:rsidR="00351DC3" w:rsidRPr="00351DC3">
        <w:rPr>
          <w:i/>
          <w:iCs/>
          <w:sz w:val="16"/>
          <w:szCs w:val="16"/>
        </w:rPr>
        <w:t>Astrobiology: The Living Universe - Gravitational Biology</w:t>
      </w:r>
      <w:r w:rsidR="00351DC3" w:rsidRPr="00B8488F">
        <w:rPr>
          <w:sz w:val="16"/>
          <w:szCs w:val="16"/>
        </w:rPr>
        <w:t xml:space="preserve"> </w:t>
      </w:r>
      <w:r w:rsidR="00351DC3">
        <w:rPr>
          <w:sz w:val="16"/>
          <w:szCs w:val="16"/>
        </w:rPr>
        <w:t>(</w:t>
      </w:r>
      <w:r w:rsidRPr="00B8488F">
        <w:rPr>
          <w:sz w:val="16"/>
          <w:szCs w:val="16"/>
        </w:rPr>
        <w:t>2001</w:t>
      </w:r>
      <w:r w:rsidR="00351DC3">
        <w:rPr>
          <w:sz w:val="16"/>
          <w:szCs w:val="16"/>
        </w:rPr>
        <w:t>)</w:t>
      </w:r>
      <w:r w:rsidRPr="00B8488F">
        <w:rPr>
          <w:sz w:val="16"/>
          <w:szCs w:val="16"/>
        </w:rPr>
        <w:t>,</w:t>
      </w:r>
      <w:r w:rsidR="00351DC3">
        <w:rPr>
          <w:sz w:val="16"/>
          <w:szCs w:val="16"/>
        </w:rPr>
        <w:t xml:space="preserve"> </w:t>
      </w:r>
      <w:hyperlink r:id="rId25" w:history="1">
        <w:r w:rsidR="00351DC3" w:rsidRPr="00D95852">
          <w:rPr>
            <w:rStyle w:val="Hyperlink"/>
            <w:sz w:val="16"/>
            <w:szCs w:val="16"/>
          </w:rPr>
          <w:t>http://www.dlr.de/me/Institut/Abteilungen/Strahlenbiologie/pdf/astrobiologie/P4_20.pdf</w:t>
        </w:r>
      </w:hyperlink>
      <w:r w:rsidRPr="00B8488F">
        <w:rPr>
          <w:sz w:val="16"/>
          <w:szCs w:val="16"/>
        </w:rPr>
        <w:t xml:space="preserve">; Janet Tou, April Ronca, Richard Grindeland and Charles Wade, “Models to Study Gravitational Biology of Mammalian Reproduction,” Biology of Reproduction, Vol. 67 (2002),  </w:t>
      </w:r>
      <w:hyperlink r:id="rId26" w:history="1">
        <w:r w:rsidRPr="00B23C44">
          <w:rPr>
            <w:rStyle w:val="Hyperlink"/>
            <w:sz w:val="16"/>
            <w:szCs w:val="16"/>
          </w:rPr>
          <w:t>http://www.biolreprod.org/cgi/content/abstract/biolreprod.102.007252v1</w:t>
        </w:r>
      </w:hyperlink>
      <w:r w:rsidRPr="00B8488F">
        <w:rPr>
          <w:sz w:val="16"/>
          <w:szCs w:val="16"/>
        </w:rPr>
        <w:t>.</w:t>
      </w:r>
      <w:bookmarkEnd w:id="5"/>
      <w:bookmarkEnd w:id="6"/>
    </w:p>
  </w:endnote>
  <w:endnote w:id="17">
    <w:p w14:paraId="4D089BB3" w14:textId="77777777" w:rsidR="00A4091E" w:rsidRPr="00B8488F" w:rsidRDefault="00A4091E" w:rsidP="00A4091E">
      <w:pPr>
        <w:pStyle w:val="EndnoteText"/>
        <w:ind w:left="227" w:hanging="227"/>
        <w:jc w:val="lowKashida"/>
        <w:rPr>
          <w:sz w:val="16"/>
          <w:szCs w:val="16"/>
        </w:rPr>
      </w:pPr>
      <w:r w:rsidRPr="00B8488F">
        <w:rPr>
          <w:rStyle w:val="EndnoteReference"/>
          <w:sz w:val="16"/>
          <w:szCs w:val="16"/>
        </w:rPr>
        <w:endnoteRef/>
      </w:r>
      <w:r w:rsidRPr="00B8488F">
        <w:rPr>
          <w:sz w:val="16"/>
          <w:szCs w:val="16"/>
        </w:rPr>
        <w:t xml:space="preserve"> </w:t>
      </w:r>
      <w:r w:rsidRPr="00B8488F">
        <w:rPr>
          <w:sz w:val="16"/>
          <w:szCs w:val="16"/>
        </w:rPr>
        <w:tab/>
        <w:t>One g is the force per unit mass due to gravity at the Earth's surface and is the standard gravity (symbol: gn), defined as 9.80665 meters per second squared, or equivalently 9.80665 newtons of force per kilogram of mass.</w:t>
      </w:r>
    </w:p>
  </w:endnote>
  <w:endnote w:id="18">
    <w:p w14:paraId="5E49FB7D" w14:textId="153DAFCC"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These range from ranging from chronic stress to autonomic nervous system dysfunction, inflammation, pain, poor sleep, heart rate variability, hyper-coagulable blood and cardiovascular disease. See </w:t>
      </w:r>
      <w:bookmarkStart w:id="7" w:name="_Hlk74845231"/>
      <w:r w:rsidRPr="00B8488F">
        <w:rPr>
          <w:rFonts w:cs="Calibri"/>
          <w:sz w:val="16"/>
          <w:szCs w:val="16"/>
        </w:rPr>
        <w:t xml:space="preserve">James L Oschman, Gaétan Chevalier, Richard Brown, “The effects of grounding (earthing) on inflammation, the immune response, wound healing, and prevention and treatment of chronic inflammatory and autoimmune diseases,” Journal of Inflammation Research, Vol. 8 (24 March 2015), </w:t>
      </w:r>
      <w:hyperlink r:id="rId27" w:history="1">
        <w:r w:rsidRPr="00B8488F">
          <w:rPr>
            <w:rStyle w:val="Hyperlink"/>
            <w:rFonts w:cs="Calibri"/>
            <w:sz w:val="16"/>
            <w:szCs w:val="16"/>
          </w:rPr>
          <w:t>https://www.dovepress.com/the-effects-of-grounding-earthing-on-inflammation-the-immune-response--peer-reviewed-article-JIR</w:t>
        </w:r>
      </w:hyperlink>
      <w:r w:rsidRPr="00B8488F">
        <w:rPr>
          <w:rFonts w:cs="Calibri"/>
          <w:sz w:val="16"/>
          <w:szCs w:val="16"/>
        </w:rPr>
        <w:t xml:space="preserve">; Joseph Mercola, “The Effects of Grounding” (21 November 2015), </w:t>
      </w:r>
      <w:hyperlink r:id="rId28" w:history="1">
        <w:r w:rsidRPr="00B8488F">
          <w:rPr>
            <w:rStyle w:val="Hyperlink"/>
            <w:rFonts w:cs="Calibri"/>
            <w:sz w:val="16"/>
            <w:szCs w:val="16"/>
          </w:rPr>
          <w:t>https://articles.mercola.com/sites/articles/archive/2015/11/21/grounding-effects.aspx</w:t>
        </w:r>
      </w:hyperlink>
      <w:r w:rsidRPr="00B8488F">
        <w:rPr>
          <w:rFonts w:cs="Calibri"/>
          <w:sz w:val="16"/>
          <w:szCs w:val="16"/>
        </w:rPr>
        <w:t xml:space="preserve">; Gaétan Chevalier, Stephen T. Sinatra, James L. Oschman, and Richard M. Delany, “Earthing (Grounding) the Human Body Reduces Blood Viscosity—a Major Factor in Cardiovascular Disease,” The Journal of Alternative and Complementary Medicine, Vol. 19, No. 2 (2013), </w:t>
      </w:r>
      <w:hyperlink r:id="rId29" w:history="1">
        <w:r w:rsidRPr="00B8488F">
          <w:rPr>
            <w:rStyle w:val="Hyperlink"/>
            <w:rFonts w:cs="Calibri"/>
            <w:sz w:val="16"/>
            <w:szCs w:val="16"/>
          </w:rPr>
          <w:t>https://www.liebertpub.com/doi/pdfplus/10.1089/acm.2011.0820</w:t>
        </w:r>
      </w:hyperlink>
      <w:r w:rsidRPr="00B8488F">
        <w:rPr>
          <w:rStyle w:val="Hyperlink"/>
          <w:rFonts w:cs="Calibri"/>
          <w:sz w:val="16"/>
          <w:szCs w:val="16"/>
        </w:rPr>
        <w:t xml:space="preserve">. Direct contact with land (earthing) during exercise also can inhibit hepatic protein catabolism or increase renal urea excretion, resulting in a positive nitrogen balance. This phenomenon has fundamental importance in understanding human metabolic processes. </w:t>
      </w:r>
      <w:r w:rsidRPr="00B8488F">
        <w:rPr>
          <w:rFonts w:cs="Calibri"/>
          <w:sz w:val="16"/>
          <w:szCs w:val="16"/>
        </w:rPr>
        <w:t xml:space="preserve">Paweł Sokal, Zbigniew Jastrzębski, Ewelina Jaskulska, Karol Sokal, Maria Jastrzębska, Łukasz Radzimiński, Robert Dargiewicz, and Piotr Zieliński, “Differences in Blood Urea and Creatinine Concentrations in Earthed and Unearthed Subjects during Cycling Exercise and Recovery,” Evidence-Based Complementary and Alternative Medicine, Vol. 2013 (2013), </w:t>
      </w:r>
      <w:hyperlink r:id="rId30" w:history="1">
        <w:r w:rsidRPr="00B8488F">
          <w:rPr>
            <w:rStyle w:val="Hyperlink"/>
            <w:rFonts w:cs="Calibri"/>
            <w:sz w:val="16"/>
            <w:szCs w:val="16"/>
          </w:rPr>
          <w:t>http://dx.doi.org/10.1155/2013/382643</w:t>
        </w:r>
      </w:hyperlink>
      <w:r w:rsidRPr="00B8488F">
        <w:rPr>
          <w:rFonts w:cs="Calibri"/>
          <w:sz w:val="16"/>
          <w:szCs w:val="16"/>
        </w:rPr>
        <w:t>.</w:t>
      </w:r>
      <w:bookmarkEnd w:id="7"/>
    </w:p>
  </w:endnote>
  <w:endnote w:id="19">
    <w:p w14:paraId="162022BA" w14:textId="5396C448" w:rsidR="00A4091E" w:rsidRPr="00B8488F" w:rsidRDefault="00A4091E" w:rsidP="00BD7CAA">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Karol Sokal and Pawel Sokal, “Earthing the Human Body Influences Physiologic Processes,” </w:t>
      </w:r>
      <w:r w:rsidRPr="00B8488F">
        <w:rPr>
          <w:rFonts w:cs="Calibri"/>
          <w:i/>
          <w:iCs/>
          <w:sz w:val="16"/>
          <w:szCs w:val="16"/>
        </w:rPr>
        <w:t>The Journal of Alternative and Complementary Medicine</w:t>
      </w:r>
      <w:r w:rsidRPr="00B8488F">
        <w:rPr>
          <w:rFonts w:cs="Calibri"/>
          <w:sz w:val="16"/>
          <w:szCs w:val="16"/>
        </w:rPr>
        <w:t xml:space="preserve">, Vol. 17, Issue 4 (April 2011), </w:t>
      </w:r>
      <w:hyperlink r:id="rId31" w:history="1">
        <w:r w:rsidRPr="00B8488F">
          <w:rPr>
            <w:rStyle w:val="Hyperlink"/>
            <w:rFonts w:cs="Calibri"/>
            <w:sz w:val="16"/>
            <w:szCs w:val="16"/>
          </w:rPr>
          <w:t>https://www.liebertpub.com/doi/abs/10.1089/acm.2010.0687</w:t>
        </w:r>
      </w:hyperlink>
      <w:r w:rsidRPr="00B8488F">
        <w:rPr>
          <w:rFonts w:cs="Calibri"/>
          <w:sz w:val="16"/>
          <w:szCs w:val="16"/>
        </w:rPr>
        <w:t xml:space="preserve">.  </w:t>
      </w:r>
    </w:p>
  </w:endnote>
  <w:endnote w:id="20">
    <w:p w14:paraId="69E105EC" w14:textId="319D82EE"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Also referred to as the “Schumann resonance,” named after the physicist who first studied the theoretical aspects of the global resonances of the earth–ionosphere waveguide system. Winfried Otto Schumann, “Über die strahlungslosen Eigenschwingungen einer leitenden Kugel, die von einer Luftschicht und einer Ionosphärenhülle umgeben ist,” </w:t>
      </w:r>
      <w:r w:rsidRPr="00B8488F">
        <w:rPr>
          <w:rFonts w:cs="Calibri"/>
          <w:i/>
          <w:iCs/>
          <w:sz w:val="16"/>
          <w:szCs w:val="16"/>
        </w:rPr>
        <w:t>Zeitschrift für Naturforschung</w:t>
      </w:r>
      <w:r w:rsidRPr="00B8488F">
        <w:rPr>
          <w:rFonts w:cs="Calibri"/>
          <w:sz w:val="16"/>
          <w:szCs w:val="16"/>
        </w:rPr>
        <w:t xml:space="preserve">, Vol. 7, No 2 (1952), </w:t>
      </w:r>
      <w:hyperlink r:id="rId32" w:history="1">
        <w:r w:rsidRPr="00B8488F">
          <w:rPr>
            <w:rStyle w:val="Hyperlink"/>
            <w:rFonts w:cs="Calibri"/>
            <w:sz w:val="16"/>
            <w:szCs w:val="16"/>
          </w:rPr>
          <w:t>https://www.degruyter.com/downloadpdf/j/zna.1952.7.issue-2/zna-1952-0202/zna-1952-0202.pdf</w:t>
        </w:r>
      </w:hyperlink>
      <w:r w:rsidRPr="00B8488F">
        <w:rPr>
          <w:rFonts w:cs="Calibri"/>
          <w:sz w:val="16"/>
          <w:szCs w:val="16"/>
        </w:rPr>
        <w:t xml:space="preserve">.  </w:t>
      </w:r>
    </w:p>
  </w:endnote>
  <w:endnote w:id="21">
    <w:p w14:paraId="78AD0C18" w14:textId="77777777"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The neural oscillations in the frequency range of 7.5–12.5 Hz arising from synchronous and coherent (in phase or constructive) electrical activity of thalamic pacemaker cells in humans when a person is awake and relaxed. </w:t>
      </w:r>
    </w:p>
  </w:endnote>
  <w:endnote w:id="22">
    <w:p w14:paraId="21B5DB00" w14:textId="02B4A6A0" w:rsidR="00A4091E" w:rsidRPr="00B8488F" w:rsidRDefault="00A4091E" w:rsidP="00A4091E">
      <w:pPr>
        <w:pStyle w:val="EndnoteText"/>
        <w:ind w:left="227" w:hanging="227"/>
        <w:jc w:val="lowKashida"/>
        <w:rPr>
          <w:sz w:val="16"/>
          <w:szCs w:val="16"/>
        </w:rPr>
      </w:pPr>
      <w:r w:rsidRPr="00B8488F">
        <w:rPr>
          <w:rStyle w:val="EndnoteReference"/>
          <w:sz w:val="16"/>
          <w:szCs w:val="16"/>
        </w:rPr>
        <w:endnoteRef/>
      </w:r>
      <w:r w:rsidRPr="00B8488F">
        <w:rPr>
          <w:sz w:val="16"/>
          <w:szCs w:val="16"/>
        </w:rPr>
        <w:t xml:space="preserve"> </w:t>
      </w:r>
      <w:r w:rsidRPr="00B8488F">
        <w:rPr>
          <w:sz w:val="16"/>
          <w:szCs w:val="16"/>
        </w:rPr>
        <w:tab/>
      </w:r>
      <w:r w:rsidRPr="00B8488F">
        <w:rPr>
          <w:rFonts w:asciiTheme="minorHAnsi" w:hAnsiTheme="minorHAnsi" w:cstheme="minorHAnsi"/>
          <w:sz w:val="16"/>
          <w:szCs w:val="16"/>
        </w:rPr>
        <w:t xml:space="preserve">Colin Pritchard, Anne Silka and Lars Hansen, “Are rises in Electro-Magnetic Field in the human environment, interacting with multiple environmental pollutions, the tipping point for increases in neurological deaths in the Western World?” </w:t>
      </w:r>
      <w:r w:rsidRPr="00B8488F">
        <w:rPr>
          <w:rFonts w:asciiTheme="minorHAnsi" w:hAnsiTheme="minorHAnsi" w:cstheme="minorHAnsi"/>
          <w:i/>
          <w:iCs/>
          <w:sz w:val="16"/>
          <w:szCs w:val="16"/>
        </w:rPr>
        <w:t>Medical Hypotheses</w:t>
      </w:r>
      <w:r w:rsidRPr="00B8488F">
        <w:rPr>
          <w:rFonts w:asciiTheme="minorHAnsi" w:hAnsiTheme="minorHAnsi" w:cstheme="minorHAnsi"/>
          <w:sz w:val="16"/>
          <w:szCs w:val="16"/>
        </w:rPr>
        <w:t xml:space="preserve">, Vol. 127 (June 2019), pp 76–83, </w:t>
      </w:r>
      <w:hyperlink r:id="rId33" w:history="1">
        <w:r w:rsidRPr="00B8488F">
          <w:rPr>
            <w:rStyle w:val="Hyperlink"/>
            <w:rFonts w:asciiTheme="minorHAnsi" w:hAnsiTheme="minorHAnsi" w:cstheme="minorHAnsi"/>
            <w:sz w:val="16"/>
            <w:szCs w:val="16"/>
          </w:rPr>
          <w:t>https://www.sciencedirect.com/science/article/pii/S0306987719300040</w:t>
        </w:r>
      </w:hyperlink>
      <w:r w:rsidRPr="00B8488F">
        <w:rPr>
          <w:rFonts w:asciiTheme="minorHAnsi" w:hAnsiTheme="minorHAnsi" w:cstheme="minorHAnsi"/>
          <w:sz w:val="16"/>
          <w:szCs w:val="16"/>
        </w:rPr>
        <w:t>.</w:t>
      </w:r>
      <w:r w:rsidRPr="00B8488F">
        <w:rPr>
          <w:sz w:val="16"/>
          <w:szCs w:val="16"/>
        </w:rPr>
        <w:t xml:space="preserve"> </w:t>
      </w:r>
    </w:p>
  </w:endnote>
  <w:endnote w:id="23">
    <w:p w14:paraId="589F403A" w14:textId="67690A82"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Oschman, Chevalier</w:t>
      </w:r>
      <w:r>
        <w:rPr>
          <w:rFonts w:cs="Calibri"/>
          <w:sz w:val="16"/>
          <w:szCs w:val="16"/>
        </w:rPr>
        <w:t xml:space="preserve"> and </w:t>
      </w:r>
      <w:r w:rsidRPr="00B8488F">
        <w:rPr>
          <w:rFonts w:cs="Calibri"/>
          <w:sz w:val="16"/>
          <w:szCs w:val="16"/>
        </w:rPr>
        <w:t xml:space="preserve">Brown, </w:t>
      </w:r>
      <w:r>
        <w:rPr>
          <w:rFonts w:cs="Calibri"/>
          <w:i/>
          <w:iCs/>
          <w:sz w:val="16"/>
          <w:szCs w:val="16"/>
        </w:rPr>
        <w:t>op. cit</w:t>
      </w:r>
      <w:r w:rsidRPr="00B8488F">
        <w:rPr>
          <w:rFonts w:cs="Calibri"/>
          <w:sz w:val="16"/>
          <w:szCs w:val="16"/>
        </w:rPr>
        <w:t xml:space="preserve">; Joseph Mercola, “The Effects of Grounding” (21 November 2015), </w:t>
      </w:r>
      <w:hyperlink r:id="rId34" w:history="1">
        <w:r w:rsidRPr="00B8488F">
          <w:rPr>
            <w:rStyle w:val="Hyperlink"/>
            <w:rFonts w:cs="Calibri"/>
            <w:sz w:val="16"/>
            <w:szCs w:val="16"/>
          </w:rPr>
          <w:t>https://articles.mercola.com/sites/articles/archive/2015/11/21/grounding-effects.aspx</w:t>
        </w:r>
      </w:hyperlink>
      <w:r w:rsidRPr="00B8488F">
        <w:rPr>
          <w:rFonts w:cs="Calibri"/>
          <w:sz w:val="16"/>
          <w:szCs w:val="16"/>
        </w:rPr>
        <w:t xml:space="preserve">. </w:t>
      </w:r>
    </w:p>
  </w:endnote>
  <w:endnote w:id="24">
    <w:p w14:paraId="706FD7DF" w14:textId="77777777"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Chevalier, Sinatra, Oschman and Delany, </w:t>
      </w:r>
      <w:r>
        <w:rPr>
          <w:rFonts w:cs="Calibri"/>
          <w:i/>
          <w:iCs/>
          <w:sz w:val="16"/>
          <w:szCs w:val="16"/>
        </w:rPr>
        <w:t xml:space="preserve">op. cit.; </w:t>
      </w:r>
      <w:r w:rsidRPr="00B8488F">
        <w:rPr>
          <w:rFonts w:cs="Calibri"/>
          <w:sz w:val="16"/>
          <w:szCs w:val="16"/>
        </w:rPr>
        <w:t xml:space="preserve">Sokal, Jastrzębski, Jaskulska, Sokal, Jastrzębska, Radzimiński, Dargiewicz and Zieliński, </w:t>
      </w:r>
      <w:r>
        <w:rPr>
          <w:rFonts w:cs="Calibri"/>
          <w:i/>
          <w:iCs/>
          <w:sz w:val="16"/>
          <w:szCs w:val="16"/>
        </w:rPr>
        <w:t>op. cit</w:t>
      </w:r>
      <w:r w:rsidRPr="00B8488F">
        <w:rPr>
          <w:rFonts w:cs="Calibri"/>
          <w:sz w:val="16"/>
          <w:szCs w:val="16"/>
        </w:rPr>
        <w:t xml:space="preserve">. </w:t>
      </w:r>
    </w:p>
  </w:endnote>
  <w:endnote w:id="25">
    <w:p w14:paraId="0DB967F2" w14:textId="77777777" w:rsidR="00A4091E" w:rsidRPr="00B8488F" w:rsidRDefault="00A4091E" w:rsidP="00A4091E">
      <w:pPr>
        <w:pStyle w:val="EndnoteText"/>
        <w:ind w:left="227" w:hanging="227"/>
        <w:jc w:val="lowKashida"/>
        <w:rPr>
          <w:rFonts w:cs="Calibri"/>
          <w:spacing w:val="-4"/>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r>
      <w:r w:rsidRPr="00B8488F">
        <w:rPr>
          <w:rFonts w:cs="Calibri"/>
          <w:spacing w:val="-4"/>
          <w:sz w:val="16"/>
          <w:szCs w:val="16"/>
        </w:rPr>
        <w:t xml:space="preserve">Sokal and Sokal, </w:t>
      </w:r>
      <w:r>
        <w:rPr>
          <w:rFonts w:cs="Calibri"/>
          <w:i/>
          <w:iCs/>
          <w:spacing w:val="-4"/>
          <w:sz w:val="16"/>
          <w:szCs w:val="16"/>
        </w:rPr>
        <w:t xml:space="preserve">op. cit. </w:t>
      </w:r>
    </w:p>
  </w:endnote>
  <w:endnote w:id="26">
    <w:p w14:paraId="1CD571FA" w14:textId="4A9F6758"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Gaétan Chevalier, Stephen T. Sinatra, James L. Oschman, Karol Sokal and Pawel Sokal, “Earthing: Health Implications of Reconnecting the Human Body to the Earth's Surface Electrons,” </w:t>
      </w:r>
      <w:r w:rsidRPr="00B8488F">
        <w:rPr>
          <w:rFonts w:cs="Calibri"/>
          <w:i/>
          <w:iCs/>
          <w:sz w:val="16"/>
          <w:szCs w:val="16"/>
        </w:rPr>
        <w:t>Journal of Environment and Public Health</w:t>
      </w:r>
      <w:r w:rsidRPr="00B8488F">
        <w:rPr>
          <w:rFonts w:cs="Calibri"/>
          <w:sz w:val="16"/>
          <w:szCs w:val="16"/>
        </w:rPr>
        <w:t xml:space="preserve">, Vol. 2012 (2012), </w:t>
      </w:r>
      <w:hyperlink r:id="rId35" w:history="1">
        <w:r w:rsidRPr="00B8488F">
          <w:rPr>
            <w:rStyle w:val="Hyperlink"/>
            <w:rFonts w:cs="Calibri"/>
            <w:sz w:val="16"/>
            <w:szCs w:val="16"/>
          </w:rPr>
          <w:t>http://dx.doi.org/10.1155/2012/291541</w:t>
        </w:r>
      </w:hyperlink>
      <w:r w:rsidRPr="00B8488F">
        <w:rPr>
          <w:rFonts w:cs="Calibri"/>
          <w:sz w:val="16"/>
          <w:szCs w:val="16"/>
        </w:rPr>
        <w:t xml:space="preserve">. </w:t>
      </w:r>
    </w:p>
  </w:endnote>
  <w:endnote w:id="27">
    <w:p w14:paraId="5A37D81F" w14:textId="7BA53208"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bookmarkStart w:id="8" w:name="_Hlk20608050"/>
      <w:r w:rsidRPr="00B8488F">
        <w:rPr>
          <w:rFonts w:cs="Calibri"/>
          <w:sz w:val="16"/>
          <w:szCs w:val="16"/>
          <w:rtl/>
        </w:rPr>
        <w:t>﴿المسلمون شركاء في ثلاث في الماء والكلأ والنار وثمنه حرام﴾</w:t>
      </w:r>
      <w:r w:rsidRPr="00B8488F">
        <w:rPr>
          <w:rFonts w:cs="Calibri"/>
          <w:sz w:val="16"/>
          <w:szCs w:val="16"/>
        </w:rPr>
        <w:t xml:space="preserve"> or </w:t>
      </w:r>
      <w:r w:rsidRPr="00B8488F">
        <w:rPr>
          <w:rFonts w:cs="Calibri"/>
          <w:sz w:val="16"/>
          <w:szCs w:val="16"/>
          <w:rtl/>
        </w:rPr>
        <w:t>﴿ الناس شركاء في ثلاثة: في الكلأ، والماء، والنار﴾</w:t>
      </w:r>
      <w:r w:rsidRPr="00B8488F">
        <w:rPr>
          <w:rFonts w:cs="Calibri"/>
          <w:sz w:val="16"/>
          <w:szCs w:val="16"/>
        </w:rPr>
        <w:t xml:space="preserve">, Hadith no. 2472, by the authority of Ibn Abbas, and Hadith no. 2473 by the authority of Abu Hurairah, </w:t>
      </w:r>
      <w:hyperlink r:id="rId36" w:history="1">
        <w:r w:rsidRPr="00B8488F">
          <w:rPr>
            <w:rStyle w:val="Hyperlink"/>
            <w:rFonts w:cs="Calibri"/>
            <w:sz w:val="16"/>
            <w:szCs w:val="16"/>
          </w:rPr>
          <w:t>http://mobile.ahadith.co.uk/chapter.php?page=4&amp;cid=175</w:t>
        </w:r>
      </w:hyperlink>
      <w:r w:rsidRPr="00B8488F">
        <w:rPr>
          <w:rFonts w:cs="Calibri"/>
          <w:sz w:val="16"/>
          <w:szCs w:val="16"/>
        </w:rPr>
        <w:t xml:space="preserve"> and </w:t>
      </w:r>
      <w:hyperlink r:id="rId37" w:history="1">
        <w:r w:rsidRPr="00B8488F">
          <w:rPr>
            <w:rStyle w:val="Hyperlink"/>
            <w:rFonts w:cs="Calibri"/>
            <w:sz w:val="16"/>
            <w:szCs w:val="16"/>
          </w:rPr>
          <w:t>http://www.taimiah.org/Display.Asp?f=bc9051100010.htm</w:t>
        </w:r>
      </w:hyperlink>
      <w:r w:rsidRPr="00B8488F">
        <w:rPr>
          <w:rFonts w:cs="Calibri"/>
          <w:sz w:val="16"/>
          <w:szCs w:val="16"/>
        </w:rPr>
        <w:t xml:space="preserve">. See also the Ahadith related by Abu-Dawud, Ibn Majah and al-Khallal, </w:t>
      </w:r>
      <w:r w:rsidRPr="00B8488F">
        <w:rPr>
          <w:rFonts w:cs="Calibri"/>
          <w:i/>
          <w:iCs/>
          <w:sz w:val="16"/>
          <w:szCs w:val="16"/>
        </w:rPr>
        <w:t>Islamset</w:t>
      </w:r>
      <w:r w:rsidRPr="00B8488F">
        <w:rPr>
          <w:rFonts w:cs="Calibri"/>
          <w:sz w:val="16"/>
          <w:szCs w:val="16"/>
        </w:rPr>
        <w:t xml:space="preserve">, </w:t>
      </w:r>
      <w:hyperlink r:id="rId38" w:history="1">
        <w:r w:rsidRPr="00B8488F">
          <w:rPr>
            <w:rStyle w:val="Hyperlink"/>
            <w:rFonts w:cs="Calibri"/>
            <w:sz w:val="16"/>
            <w:szCs w:val="16"/>
          </w:rPr>
          <w:t>http://www.islamset.com/env/contenv.html</w:t>
        </w:r>
      </w:hyperlink>
      <w:r w:rsidRPr="00B8488F">
        <w:rPr>
          <w:rFonts w:cs="Calibri"/>
          <w:sz w:val="16"/>
          <w:szCs w:val="16"/>
        </w:rPr>
        <w:t xml:space="preserve">.  </w:t>
      </w:r>
      <w:bookmarkEnd w:id="8"/>
    </w:p>
  </w:endnote>
  <w:endnote w:id="28">
    <w:p w14:paraId="2B6B0424" w14:textId="77777777"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See Roger S. Gottlieb, ed., </w:t>
      </w:r>
      <w:r w:rsidRPr="00B8488F">
        <w:rPr>
          <w:rFonts w:cs="Calibri"/>
          <w:i/>
          <w:iCs/>
          <w:sz w:val="16"/>
          <w:szCs w:val="16"/>
        </w:rPr>
        <w:t>This Sacred Earth: Religion, Nature, Environment</w:t>
      </w:r>
      <w:r w:rsidRPr="00B8488F">
        <w:rPr>
          <w:rFonts w:cs="Calibri"/>
          <w:sz w:val="16"/>
          <w:szCs w:val="16"/>
        </w:rPr>
        <w:t xml:space="preserve"> (New York: Routledge, 2nd edition 2004).</w:t>
      </w:r>
    </w:p>
  </w:endnote>
  <w:endnote w:id="29">
    <w:p w14:paraId="438A9B9D" w14:textId="77777777"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Luther Standing Bear (a.k.a. Ota Kte or Mochunozhin), </w:t>
      </w:r>
      <w:r w:rsidRPr="00B8488F">
        <w:rPr>
          <w:rFonts w:cs="Calibri"/>
          <w:i/>
          <w:iCs/>
          <w:sz w:val="16"/>
          <w:szCs w:val="16"/>
        </w:rPr>
        <w:t xml:space="preserve">Land of the Spotted Eagle </w:t>
      </w:r>
      <w:r w:rsidRPr="00B8488F">
        <w:rPr>
          <w:rFonts w:cs="Calibri"/>
          <w:sz w:val="16"/>
          <w:szCs w:val="16"/>
        </w:rPr>
        <w:t>(Lincoln NE and London: University of Nebraska Press, 1933; Bison Book reprinting, 1978).</w:t>
      </w:r>
    </w:p>
  </w:endnote>
  <w:endnote w:id="30">
    <w:p w14:paraId="3780BB44" w14:textId="0B7D4642" w:rsidR="00A4091E" w:rsidRPr="00B8488F" w:rsidRDefault="00A4091E" w:rsidP="00A4091E">
      <w:pPr>
        <w:pStyle w:val="EndnoteText"/>
        <w:ind w:left="227" w:hanging="227"/>
        <w:jc w:val="lowKashida"/>
        <w:rPr>
          <w:rFonts w:cs="Calibri"/>
          <w:sz w:val="16"/>
          <w:szCs w:val="16"/>
        </w:rPr>
      </w:pPr>
      <w:r w:rsidRPr="00B8488F">
        <w:rPr>
          <w:rStyle w:val="EndnoteReference"/>
          <w:rFonts w:cs="Calibri"/>
          <w:sz w:val="16"/>
          <w:szCs w:val="16"/>
        </w:rPr>
        <w:endnoteRef/>
      </w:r>
      <w:r w:rsidRPr="00B8488F">
        <w:rPr>
          <w:rFonts w:cs="Calibri"/>
          <w:sz w:val="16"/>
          <w:szCs w:val="16"/>
        </w:rPr>
        <w:t xml:space="preserve">  </w:t>
      </w:r>
      <w:r w:rsidRPr="00B8488F">
        <w:rPr>
          <w:rFonts w:cs="Calibri"/>
          <w:sz w:val="16"/>
          <w:szCs w:val="16"/>
        </w:rPr>
        <w:tab/>
        <w:t xml:space="preserve">The New Urban Agenda, adopted by the General Assembly on 23 December 2016, recognizes the “social and ecological function of land, with a view to progressively achieving the full realization of the right to adequate housing as a component of the right to an adequate standard of living, without discrimination, universal access to safe and affordable drinking water and sanitation, as well as equal access for all to public goods and quality services in areas such as food security and nutrition, health, education, infrastructure, mobility and transportation, energy, air quality and livelihood through decent works…” A/RES/71/256, 25 January 2017, para. 13, </w:t>
      </w:r>
    </w:p>
    <w:p w14:paraId="609CE263" w14:textId="77777777" w:rsidR="00A4091E" w:rsidRPr="00B8488F" w:rsidRDefault="00A4091E" w:rsidP="00A4091E">
      <w:pPr>
        <w:pStyle w:val="EndnoteText"/>
        <w:ind w:left="227" w:hanging="227"/>
        <w:jc w:val="lowKashida"/>
        <w:rPr>
          <w:rFonts w:cs="Calibri"/>
          <w:sz w:val="16"/>
          <w:szCs w:val="16"/>
        </w:rPr>
      </w:pPr>
      <w:r w:rsidRPr="00B8488F">
        <w:rPr>
          <w:rFonts w:cs="Calibri"/>
          <w:sz w:val="16"/>
          <w:szCs w:val="16"/>
        </w:rPr>
        <w:tab/>
      </w:r>
      <w:hyperlink r:id="rId39" w:history="1">
        <w:r w:rsidRPr="00B8488F">
          <w:rPr>
            <w:rStyle w:val="Hyperlink"/>
            <w:rFonts w:cs="Calibri"/>
            <w:sz w:val="16"/>
            <w:szCs w:val="16"/>
          </w:rPr>
          <w:t>http://www.un.org/en/ga/search/view_doc.asp?symbol=A/RES/71/256</w:t>
        </w:r>
      </w:hyperlink>
      <w:r w:rsidRPr="00B8488F">
        <w:rPr>
          <w:rFonts w:cs="Calibri"/>
          <w:sz w:val="16"/>
          <w:szCs w:val="16"/>
        </w:rPr>
        <w:t xml:space="preserve">; </w:t>
      </w:r>
    </w:p>
  </w:endnote>
  <w:endnote w:id="31">
    <w:p w14:paraId="7855DD52" w14:textId="3701BB49" w:rsidR="00421A70" w:rsidRPr="00421A70" w:rsidRDefault="00421A70" w:rsidP="00421A70">
      <w:pPr>
        <w:pStyle w:val="EndnoteText"/>
        <w:ind w:left="227" w:hanging="227"/>
        <w:jc w:val="lowKashida"/>
        <w:rPr>
          <w:sz w:val="16"/>
          <w:szCs w:val="16"/>
        </w:rPr>
      </w:pPr>
      <w:r w:rsidRPr="00421A70">
        <w:rPr>
          <w:rStyle w:val="EndnoteReference"/>
          <w:sz w:val="16"/>
          <w:szCs w:val="16"/>
        </w:rPr>
        <w:endnoteRef/>
      </w:r>
      <w:r w:rsidRPr="00421A70">
        <w:rPr>
          <w:sz w:val="16"/>
          <w:szCs w:val="16"/>
        </w:rPr>
        <w:t xml:space="preserve"> </w:t>
      </w:r>
      <w:r>
        <w:rPr>
          <w:sz w:val="16"/>
          <w:szCs w:val="16"/>
        </w:rPr>
        <w:tab/>
      </w:r>
      <w:r w:rsidRPr="00421A70">
        <w:rPr>
          <w:spacing w:val="-4"/>
          <w:sz w:val="16"/>
          <w:szCs w:val="16"/>
        </w:rPr>
        <w:t xml:space="preserve">Indigenous peoples are those populations possessing the following four basic characteristics: (1) presence before a process of colonization or massive immigration, (2) continuous presence in a defined territory, (3) practicing a culture distinct from the dominant society and (4) self-identification as indigenous people. </w:t>
      </w:r>
      <w:r w:rsidRPr="00421A70">
        <w:rPr>
          <w:i/>
          <w:iCs/>
          <w:spacing w:val="-4"/>
          <w:sz w:val="16"/>
          <w:szCs w:val="16"/>
        </w:rPr>
        <w:t xml:space="preserve">See </w:t>
      </w:r>
      <w:r w:rsidRPr="00421A70">
        <w:rPr>
          <w:spacing w:val="-4"/>
          <w:sz w:val="16"/>
          <w:szCs w:val="16"/>
        </w:rPr>
        <w:t xml:space="preserve">Jose R. Martinez Cobo, the Special Rapporteur of the Sub-Commission on Prevention of Discrimination and Protection of Minorities, “Study on the Problem of Discrimination against Indigenous Populations,” UN Doc. E/CN.4/Sub.2/1986/7 and Add. 1-4. The conclusions and recommendations of the study, in Addendum 4, are also available as a United Nations sales publication (U.N. Sales No. E.86.XIV.3),  </w:t>
      </w:r>
      <w:hyperlink r:id="rId40" w:history="1">
        <w:r w:rsidRPr="00421A70">
          <w:rPr>
            <w:rStyle w:val="Hyperlink"/>
            <w:spacing w:val="-4"/>
            <w:sz w:val="16"/>
            <w:szCs w:val="16"/>
          </w:rPr>
          <w:t>https://www.un.org/development/desa/indigenouspeoples/publications/martinez-cobo-study.html</w:t>
        </w:r>
      </w:hyperlink>
      <w:r w:rsidRPr="00421A70">
        <w:rPr>
          <w:spacing w:val="-4"/>
          <w:sz w:val="16"/>
          <w:szCs w:val="16"/>
        </w:rPr>
        <w:t>.</w:t>
      </w:r>
    </w:p>
  </w:endnote>
  <w:endnote w:id="32">
    <w:p w14:paraId="7DA5E320" w14:textId="7E44DF14" w:rsidR="00A4091E" w:rsidRPr="00B8488F" w:rsidRDefault="00A4091E" w:rsidP="00A4091E">
      <w:pPr>
        <w:pStyle w:val="EndnoteText"/>
        <w:ind w:left="227" w:hanging="227"/>
        <w:jc w:val="lowKashida"/>
        <w:rPr>
          <w:rFonts w:cstheme="minorHAnsi"/>
          <w:sz w:val="16"/>
          <w:szCs w:val="16"/>
        </w:rPr>
      </w:pPr>
      <w:r w:rsidRPr="00B8488F">
        <w:rPr>
          <w:rStyle w:val="EndnoteReference"/>
          <w:rFonts w:cstheme="minorHAnsi"/>
          <w:sz w:val="16"/>
          <w:szCs w:val="16"/>
        </w:rPr>
        <w:endnoteRef/>
      </w:r>
      <w:r w:rsidRPr="00B8488F">
        <w:rPr>
          <w:rFonts w:cstheme="minorHAnsi"/>
          <w:sz w:val="16"/>
          <w:szCs w:val="16"/>
        </w:rPr>
        <w:t xml:space="preserve">  </w:t>
      </w:r>
      <w:r w:rsidR="00244D23">
        <w:rPr>
          <w:rFonts w:cstheme="minorHAnsi"/>
          <w:sz w:val="16"/>
          <w:szCs w:val="16"/>
        </w:rPr>
        <w:tab/>
      </w:r>
      <w:r w:rsidRPr="00B8488F">
        <w:rPr>
          <w:rFonts w:cstheme="minorHAnsi"/>
          <w:spacing w:val="-2"/>
          <w:sz w:val="16"/>
          <w:szCs w:val="16"/>
        </w:rPr>
        <w:t xml:space="preserve">The Vancouver Action Plan, Preamble, para. 3, </w:t>
      </w:r>
      <w:hyperlink r:id="rId41" w:history="1">
        <w:r w:rsidRPr="00B8488F">
          <w:rPr>
            <w:rStyle w:val="Hyperlink"/>
            <w:rFonts w:eastAsiaTheme="majorEastAsia" w:cstheme="minorHAnsi"/>
            <w:spacing w:val="-2"/>
            <w:sz w:val="16"/>
            <w:szCs w:val="16"/>
          </w:rPr>
          <w:t>http://www.hlrn.org/img/documents/The_Vancouver_Declaration_19761.pdf</w:t>
        </w:r>
      </w:hyperlink>
      <w:r w:rsidRPr="00B8488F">
        <w:rPr>
          <w:rFonts w:cstheme="minorHAnsi"/>
          <w:spacing w:val="-2"/>
          <w:sz w:val="16"/>
          <w:szCs w:val="16"/>
        </w:rPr>
        <w:t>.</w:t>
      </w:r>
      <w:r w:rsidRPr="00B8488F">
        <w:rPr>
          <w:rFonts w:cstheme="minorHAnsi"/>
          <w:sz w:val="16"/>
          <w:szCs w:val="16"/>
        </w:rPr>
        <w:t xml:space="preserve"> </w:t>
      </w:r>
    </w:p>
  </w:endnote>
  <w:endnote w:id="33">
    <w:p w14:paraId="30DD5FB0" w14:textId="1D2C9ECA" w:rsidR="006A3E14" w:rsidRPr="00241053" w:rsidRDefault="006A3E14" w:rsidP="00241053">
      <w:pPr>
        <w:pStyle w:val="EndnoteText"/>
        <w:ind w:left="227" w:hanging="227"/>
        <w:jc w:val="lowKashida"/>
        <w:rPr>
          <w:sz w:val="16"/>
          <w:szCs w:val="16"/>
        </w:rPr>
      </w:pPr>
      <w:r w:rsidRPr="00241053">
        <w:rPr>
          <w:rStyle w:val="EndnoteReference"/>
          <w:sz w:val="16"/>
          <w:szCs w:val="16"/>
        </w:rPr>
        <w:endnoteRef/>
      </w:r>
      <w:r w:rsidRPr="00241053">
        <w:rPr>
          <w:sz w:val="16"/>
          <w:szCs w:val="16"/>
        </w:rPr>
        <w:t xml:space="preserve"> </w:t>
      </w:r>
      <w:r w:rsidR="00241053">
        <w:rPr>
          <w:sz w:val="16"/>
          <w:szCs w:val="16"/>
        </w:rPr>
        <w:tab/>
      </w:r>
      <w:r w:rsidRPr="00241053">
        <w:rPr>
          <w:sz w:val="16"/>
          <w:szCs w:val="16"/>
        </w:rPr>
        <w:t xml:space="preserve">Hal Atwood, “The End of Ice,” </w:t>
      </w:r>
      <w:r w:rsidRPr="00241053">
        <w:rPr>
          <w:i/>
          <w:iCs/>
          <w:sz w:val="16"/>
          <w:szCs w:val="16"/>
        </w:rPr>
        <w:t xml:space="preserve">Lion’s Roar </w:t>
      </w:r>
      <w:r w:rsidRPr="00241053">
        <w:rPr>
          <w:sz w:val="16"/>
          <w:szCs w:val="16"/>
        </w:rPr>
        <w:t xml:space="preserve">(2 October 2019), </w:t>
      </w:r>
      <w:hyperlink r:id="rId42" w:history="1">
        <w:r w:rsidRPr="00241053">
          <w:rPr>
            <w:rStyle w:val="Hyperlink"/>
            <w:sz w:val="16"/>
            <w:szCs w:val="16"/>
          </w:rPr>
          <w:t>https://www.lionsroar.com/the-end-of-ice/</w:t>
        </w:r>
      </w:hyperlink>
      <w:r w:rsidRPr="00241053">
        <w:rPr>
          <w:sz w:val="16"/>
          <w:szCs w:val="16"/>
        </w:rPr>
        <w:t xml:space="preserve">, from an interview with mountaineer and former war reporter Dahr Jamail about his book </w:t>
      </w:r>
      <w:r w:rsidR="00241053" w:rsidRPr="00241053">
        <w:rPr>
          <w:i/>
          <w:iCs/>
          <w:sz w:val="16"/>
          <w:szCs w:val="16"/>
        </w:rPr>
        <w:t xml:space="preserve">The End of Ice: Bearing Witness and Finding Meaning in the Path of Climate Disruption </w:t>
      </w:r>
      <w:r w:rsidR="00241053" w:rsidRPr="00241053">
        <w:rPr>
          <w:sz w:val="16"/>
          <w:szCs w:val="16"/>
        </w:rPr>
        <w:t>(New York and London: The New Press, 2019).</w:t>
      </w:r>
    </w:p>
  </w:endnote>
  <w:endnote w:id="34">
    <w:p w14:paraId="600749CB" w14:textId="62A6CE54" w:rsidR="00A4091E" w:rsidRPr="00B8488F" w:rsidRDefault="00A4091E" w:rsidP="00A4091E">
      <w:pPr>
        <w:pStyle w:val="EndnoteText"/>
        <w:ind w:left="227" w:hanging="227"/>
        <w:jc w:val="lowKashida"/>
        <w:rPr>
          <w:rFonts w:cs="Calibri"/>
          <w:sz w:val="16"/>
          <w:szCs w:val="16"/>
          <w:lang w:val="es-MX"/>
        </w:rPr>
      </w:pPr>
      <w:r w:rsidRPr="00241053">
        <w:rPr>
          <w:rStyle w:val="EndnoteReference"/>
          <w:rFonts w:cs="Calibri"/>
          <w:sz w:val="16"/>
          <w:szCs w:val="16"/>
        </w:rPr>
        <w:endnoteRef/>
      </w:r>
      <w:r w:rsidRPr="00241053">
        <w:rPr>
          <w:rFonts w:cs="Calibri"/>
          <w:sz w:val="16"/>
          <w:szCs w:val="16"/>
          <w:lang w:val="es-MX"/>
        </w:rPr>
        <w:t xml:space="preserve">  </w:t>
      </w:r>
      <w:r w:rsidR="00244D23" w:rsidRPr="00241053">
        <w:rPr>
          <w:rFonts w:cs="Calibri"/>
          <w:sz w:val="16"/>
          <w:szCs w:val="16"/>
          <w:lang w:val="es-MX"/>
        </w:rPr>
        <w:tab/>
      </w:r>
      <w:r w:rsidRPr="00241053">
        <w:rPr>
          <w:rFonts w:cs="Calibri"/>
          <w:sz w:val="16"/>
          <w:szCs w:val="16"/>
          <w:lang w:val="es-MX"/>
        </w:rPr>
        <w:t xml:space="preserve">New Urban Agenda, </w:t>
      </w:r>
      <w:r w:rsidRPr="00241053">
        <w:rPr>
          <w:rFonts w:cs="Calibri"/>
          <w:i/>
          <w:iCs/>
          <w:sz w:val="16"/>
          <w:szCs w:val="16"/>
          <w:lang w:val="es-MX"/>
        </w:rPr>
        <w:t>op. cit</w:t>
      </w:r>
      <w:r w:rsidRPr="00241053">
        <w:rPr>
          <w:rFonts w:cs="Calibri"/>
          <w:sz w:val="16"/>
          <w:szCs w:val="16"/>
          <w:lang w:val="es-MX"/>
        </w:rPr>
        <w:t>.</w:t>
      </w:r>
      <w:r w:rsidR="00C8698C" w:rsidRPr="00241053">
        <w:rPr>
          <w:rFonts w:cs="Calibri"/>
          <w:sz w:val="16"/>
          <w:szCs w:val="16"/>
        </w:rPr>
        <w:t>, para. 13.</w:t>
      </w:r>
      <w:r w:rsidRPr="00B8488F">
        <w:rPr>
          <w:rFonts w:cs="Calibri"/>
          <w:sz w:val="16"/>
          <w:szCs w:val="16"/>
          <w:lang w:val="es-MX"/>
        </w:rPr>
        <w:t xml:space="preserve"> </w:t>
      </w:r>
    </w:p>
  </w:endnote>
  <w:endnote w:id="35">
    <w:p w14:paraId="4EB7E952" w14:textId="01A60A2B" w:rsidR="00C8698C" w:rsidRPr="00EF5BC8" w:rsidRDefault="00C8698C" w:rsidP="00EF5BC8">
      <w:pPr>
        <w:pStyle w:val="EndnoteText"/>
        <w:ind w:left="227" w:hanging="227"/>
        <w:rPr>
          <w:sz w:val="16"/>
          <w:szCs w:val="16"/>
          <w:rtl/>
          <w:lang w:bidi="ar-SY"/>
        </w:rPr>
      </w:pPr>
      <w:r w:rsidRPr="00EF5BC8">
        <w:rPr>
          <w:rStyle w:val="EndnoteReference"/>
          <w:sz w:val="16"/>
          <w:szCs w:val="16"/>
        </w:rPr>
        <w:endnoteRef/>
      </w:r>
      <w:r w:rsidRPr="00EF5BC8">
        <w:rPr>
          <w:sz w:val="16"/>
          <w:szCs w:val="16"/>
        </w:rPr>
        <w:t xml:space="preserve"> </w:t>
      </w:r>
      <w:r w:rsidR="00EF5BC8">
        <w:rPr>
          <w:sz w:val="16"/>
          <w:szCs w:val="16"/>
        </w:rPr>
        <w:tab/>
      </w:r>
      <w:r w:rsidR="00D87CC0" w:rsidRPr="00EF5BC8">
        <w:rPr>
          <w:sz w:val="16"/>
          <w:szCs w:val="16"/>
        </w:rPr>
        <w:t>CESCR</w:t>
      </w:r>
      <w:r w:rsidR="00EF5BC8" w:rsidRPr="00EF5BC8">
        <w:rPr>
          <w:sz w:val="16"/>
          <w:szCs w:val="16"/>
        </w:rPr>
        <w:t>,</w:t>
      </w:r>
      <w:r w:rsidR="00D87CC0" w:rsidRPr="00EF5BC8">
        <w:rPr>
          <w:sz w:val="16"/>
          <w:szCs w:val="16"/>
        </w:rPr>
        <w:t xml:space="preserve"> General Comment No. 4 on the Right to Adequate Housing (1991), contained in UN Doc. E/1992/23, para. 8(a)</w:t>
      </w:r>
      <w:r w:rsidR="00EF5BC8">
        <w:rPr>
          <w:sz w:val="16"/>
          <w:szCs w:val="16"/>
        </w:rPr>
        <w:t xml:space="preserve">, </w:t>
      </w:r>
      <w:hyperlink r:id="rId43" w:history="1">
        <w:r w:rsidR="00EF5BC8" w:rsidRPr="00D95852">
          <w:rPr>
            <w:rStyle w:val="Hyperlink"/>
            <w:sz w:val="16"/>
            <w:szCs w:val="16"/>
          </w:rPr>
          <w:t>https://tbinternet.ohchr.org/Treaties/CESCR/Shared%20Documents/1_Global/INT_CESCR_GEC_4759_E.doc</w:t>
        </w:r>
      </w:hyperlink>
      <w:r w:rsidR="00EF5BC8" w:rsidRPr="00EF5BC8">
        <w:rPr>
          <w:sz w:val="16"/>
          <w:szCs w:val="16"/>
        </w:rPr>
        <w:t>.</w:t>
      </w:r>
      <w:r w:rsidR="00EF5BC8">
        <w:rPr>
          <w:sz w:val="16"/>
          <w:szCs w:val="16"/>
        </w:rPr>
        <w:t xml:space="preserve"> </w:t>
      </w:r>
    </w:p>
  </w:endnote>
  <w:endnote w:id="36">
    <w:p w14:paraId="77DEF569" w14:textId="37D27710" w:rsidR="00F43C74" w:rsidRPr="00F43C74" w:rsidRDefault="00F43C74" w:rsidP="00F43C74">
      <w:pPr>
        <w:pStyle w:val="EndnoteText"/>
        <w:ind w:left="227" w:hanging="227"/>
        <w:jc w:val="lowKashida"/>
        <w:rPr>
          <w:sz w:val="16"/>
          <w:szCs w:val="16"/>
        </w:rPr>
      </w:pPr>
      <w:r w:rsidRPr="00F43C74">
        <w:rPr>
          <w:rStyle w:val="EndnoteReference"/>
          <w:sz w:val="16"/>
          <w:szCs w:val="16"/>
        </w:rPr>
        <w:endnoteRef/>
      </w:r>
      <w:r w:rsidRPr="00F43C74">
        <w:rPr>
          <w:sz w:val="16"/>
          <w:szCs w:val="16"/>
        </w:rPr>
        <w:t xml:space="preserve"> </w:t>
      </w:r>
      <w:r>
        <w:rPr>
          <w:sz w:val="16"/>
          <w:szCs w:val="16"/>
        </w:rPr>
        <w:tab/>
      </w:r>
      <w:bookmarkStart w:id="10" w:name="_Hlk74852178"/>
      <w:r w:rsidRPr="00F43C74">
        <w:rPr>
          <w:sz w:val="16"/>
          <w:szCs w:val="16"/>
        </w:rPr>
        <w:t>CESCR</w:t>
      </w:r>
      <w:bookmarkEnd w:id="10"/>
      <w:r w:rsidRPr="00F43C74">
        <w:rPr>
          <w:sz w:val="16"/>
          <w:szCs w:val="16"/>
        </w:rPr>
        <w:t xml:space="preserve">, General Comment No. 7: The right to adequate housing (art. 11 (1) of the Covenant):  Forced evictions, para. 3, </w:t>
      </w:r>
      <w:hyperlink r:id="rId44" w:history="1">
        <w:r w:rsidRPr="00F43C74">
          <w:rPr>
            <w:rStyle w:val="Hyperlink"/>
            <w:sz w:val="16"/>
            <w:szCs w:val="16"/>
          </w:rPr>
          <w:t>https://tbinternet.ohchr.org/Treaties/CESCR/Shared%20Documents/1_Global/INT_CESCR_GEC_6430_E.doc</w:t>
        </w:r>
      </w:hyperlink>
      <w:r w:rsidRPr="00F43C74">
        <w:rPr>
          <w:sz w:val="16"/>
          <w:szCs w:val="16"/>
        </w:rPr>
        <w:t xml:space="preserve">. </w:t>
      </w:r>
    </w:p>
  </w:endnote>
  <w:endnote w:id="37">
    <w:p w14:paraId="5B04AD1A" w14:textId="2C573770" w:rsidR="00F12B71" w:rsidRPr="00B8488F" w:rsidRDefault="00F12B71" w:rsidP="00F12B71">
      <w:pPr>
        <w:pStyle w:val="EndnoteText"/>
        <w:ind w:left="227" w:hanging="227"/>
        <w:jc w:val="lowKashida"/>
        <w:rPr>
          <w:rFonts w:cs="Calibri"/>
          <w:sz w:val="16"/>
          <w:szCs w:val="16"/>
        </w:rPr>
      </w:pPr>
      <w:r w:rsidRPr="00B8488F">
        <w:rPr>
          <w:rFonts w:cs="Calibri"/>
          <w:sz w:val="16"/>
          <w:szCs w:val="16"/>
          <w:vertAlign w:val="superscript"/>
        </w:rPr>
        <w:endnoteRef/>
      </w:r>
      <w:r w:rsidRPr="00B8488F">
        <w:rPr>
          <w:rFonts w:cs="Calibri"/>
          <w:sz w:val="16"/>
          <w:szCs w:val="16"/>
        </w:rPr>
        <w:t xml:space="preserve"> </w:t>
      </w:r>
      <w:r w:rsidRPr="00B8488F">
        <w:rPr>
          <w:rFonts w:cs="Calibri"/>
          <w:sz w:val="16"/>
          <w:szCs w:val="16"/>
        </w:rPr>
        <w:tab/>
      </w:r>
      <w:bookmarkStart w:id="11" w:name="_Hlk74850878"/>
      <w:r w:rsidRPr="00B8488F">
        <w:rPr>
          <w:rFonts w:cs="Calibri"/>
          <w:sz w:val="16"/>
          <w:szCs w:val="16"/>
        </w:rPr>
        <w:t>See CESCR General Comment No. 4</w:t>
      </w:r>
      <w:r w:rsidR="00EF5BC8">
        <w:rPr>
          <w:rFonts w:cs="Calibri"/>
          <w:sz w:val="16"/>
          <w:szCs w:val="16"/>
        </w:rPr>
        <w:t xml:space="preserve">, </w:t>
      </w:r>
      <w:r w:rsidR="00EF5BC8">
        <w:rPr>
          <w:rFonts w:cs="Calibri"/>
          <w:i/>
          <w:iCs/>
          <w:sz w:val="16"/>
          <w:szCs w:val="16"/>
        </w:rPr>
        <w:t>op. cit.</w:t>
      </w:r>
      <w:r w:rsidR="00EF5BC8">
        <w:rPr>
          <w:rFonts w:cs="Calibri"/>
          <w:sz w:val="16"/>
          <w:szCs w:val="16"/>
        </w:rPr>
        <w:t xml:space="preserve">, </w:t>
      </w:r>
      <w:r w:rsidRPr="00B8488F">
        <w:rPr>
          <w:rFonts w:cs="Calibri"/>
          <w:sz w:val="16"/>
          <w:szCs w:val="16"/>
        </w:rPr>
        <w:t>paras. 8(a)</w:t>
      </w:r>
      <w:bookmarkEnd w:id="11"/>
      <w:r w:rsidRPr="00B8488F">
        <w:rPr>
          <w:rFonts w:cs="Calibri"/>
          <w:sz w:val="16"/>
          <w:szCs w:val="16"/>
        </w:rPr>
        <w:t xml:space="preserve"> and (e); CESCR General Comment No. 7 (1997) on Forced Evictions, contained in UN Doc. E/1998/22, annex IV., at paras. 2, 3, 7, 9, 15 and 16</w:t>
      </w:r>
      <w:r w:rsidR="00EF5BC8">
        <w:rPr>
          <w:rFonts w:cs="Calibri"/>
          <w:sz w:val="16"/>
          <w:szCs w:val="16"/>
        </w:rPr>
        <w:t xml:space="preserve">, </w:t>
      </w:r>
      <w:hyperlink r:id="rId45" w:history="1">
        <w:r w:rsidR="00EF5BC8" w:rsidRPr="00D95852">
          <w:rPr>
            <w:rStyle w:val="Hyperlink"/>
            <w:rFonts w:cs="Calibri"/>
            <w:sz w:val="16"/>
            <w:szCs w:val="16"/>
          </w:rPr>
          <w:t>https://tbinternet.ohchr.org/Treaties/CESCR/Shared%20Documents/1_Global/INT_CESCR_GEC_6430_A.doc</w:t>
        </w:r>
      </w:hyperlink>
      <w:r w:rsidRPr="00B8488F">
        <w:rPr>
          <w:rFonts w:cs="Calibri"/>
          <w:sz w:val="16"/>
          <w:szCs w:val="16"/>
        </w:rPr>
        <w:t>;</w:t>
      </w:r>
      <w:r w:rsidR="00EF5BC8">
        <w:rPr>
          <w:rFonts w:cs="Calibri"/>
          <w:sz w:val="16"/>
          <w:szCs w:val="16"/>
        </w:rPr>
        <w:t xml:space="preserve"> </w:t>
      </w:r>
      <w:r w:rsidRPr="00B8488F">
        <w:rPr>
          <w:rFonts w:cs="Calibri"/>
          <w:sz w:val="16"/>
          <w:szCs w:val="16"/>
        </w:rPr>
        <w:t>CESCR General Comment No. 12 (1999) on the Right to Adequate Food, UN Doc. E/C.12/1999/5, at paras. 12, 13 and 26</w:t>
      </w:r>
      <w:r w:rsidR="00EF5BC8">
        <w:rPr>
          <w:rFonts w:cs="Calibri"/>
          <w:sz w:val="16"/>
          <w:szCs w:val="16"/>
        </w:rPr>
        <w:t xml:space="preserve">, </w:t>
      </w:r>
      <w:hyperlink r:id="rId46" w:history="1">
        <w:r w:rsidR="00EF5BC8" w:rsidRPr="00D95852">
          <w:rPr>
            <w:rStyle w:val="Hyperlink"/>
            <w:rFonts w:cs="Calibri"/>
            <w:sz w:val="16"/>
            <w:szCs w:val="16"/>
          </w:rPr>
          <w:t>https://docstore.ohchr.org/SelfServices/FilesHandler.ashx?enc=4slQ6QSmlBEDzFEovLCuW%2bKyH%2bnXprasyMzd2e8mx4fouQpDVshj73SoMLU1JTdjtZDTDYerYia%2bctGqO8NrWmRL%2ft1OyyKtqjxnygkOzYPp9tCfBWVc0bkQ1mCWULU7</w:t>
        </w:r>
      </w:hyperlink>
      <w:r w:rsidRPr="00B8488F">
        <w:rPr>
          <w:rFonts w:cs="Calibri"/>
          <w:sz w:val="16"/>
          <w:szCs w:val="16"/>
        </w:rPr>
        <w:t>;</w:t>
      </w:r>
      <w:r w:rsidR="00EF5BC8">
        <w:rPr>
          <w:rFonts w:cs="Calibri"/>
          <w:sz w:val="16"/>
          <w:szCs w:val="16"/>
        </w:rPr>
        <w:t xml:space="preserve"> </w:t>
      </w:r>
      <w:r w:rsidRPr="00B8488F">
        <w:rPr>
          <w:rFonts w:cs="Calibri"/>
          <w:sz w:val="16"/>
          <w:szCs w:val="16"/>
        </w:rPr>
        <w:t>CESCR General Comment No. 14 (2000) on the Right to the Highest Attainable Standard of Health, UN Doc. E/C.12/2000/4, at para. 27</w:t>
      </w:r>
      <w:r w:rsidR="00EF5BC8">
        <w:rPr>
          <w:rFonts w:cs="Calibri"/>
          <w:sz w:val="16"/>
          <w:szCs w:val="16"/>
        </w:rPr>
        <w:t xml:space="preserve">, </w:t>
      </w:r>
      <w:hyperlink r:id="rId47" w:history="1">
        <w:r w:rsidR="00EF5BC8" w:rsidRPr="00D95852">
          <w:rPr>
            <w:rStyle w:val="Hyperlink"/>
            <w:rFonts w:cs="Calibri"/>
            <w:sz w:val="16"/>
            <w:szCs w:val="16"/>
          </w:rPr>
          <w:t>https://docstore.ohchr.org/SelfServices/FilesHandler.ashx?enc=4slQ6QSmlBEDzFEovLCuW1AVC1NkPsgUedPlF1vfPMJ2c7ey6PAz2qaojTzDJmC0y%2b9t%2bsAtGDNzdEqA6SuP2q1Egtk1Ow%2fkX8Ui%2bxlzyE445PEm%2bvfROsIzbHO%2fiwla</w:t>
        </w:r>
      </w:hyperlink>
      <w:r w:rsidRPr="00B8488F">
        <w:rPr>
          <w:rFonts w:cs="Calibri"/>
          <w:sz w:val="16"/>
          <w:szCs w:val="16"/>
        </w:rPr>
        <w:t>;</w:t>
      </w:r>
      <w:r w:rsidR="00EF5BC8">
        <w:rPr>
          <w:rFonts w:cs="Calibri"/>
          <w:sz w:val="16"/>
          <w:szCs w:val="16"/>
        </w:rPr>
        <w:t xml:space="preserve"> </w:t>
      </w:r>
      <w:r w:rsidRPr="00B8488F">
        <w:rPr>
          <w:rFonts w:cs="Calibri"/>
          <w:sz w:val="16"/>
          <w:szCs w:val="16"/>
        </w:rPr>
        <w:t xml:space="preserve">CESCR General Comment No. 15 (2002) on the Human right to </w:t>
      </w:r>
      <w:r w:rsidR="00EF5BC8">
        <w:rPr>
          <w:rFonts w:cs="Calibri"/>
          <w:sz w:val="16"/>
          <w:szCs w:val="16"/>
        </w:rPr>
        <w:t>water</w:t>
      </w:r>
      <w:r w:rsidRPr="00B8488F">
        <w:rPr>
          <w:rFonts w:cs="Calibri"/>
          <w:sz w:val="16"/>
          <w:szCs w:val="16"/>
        </w:rPr>
        <w:t>, UN Doc. E/C.12/2002/11, at paras. 16(c) and (d)</w:t>
      </w:r>
      <w:r w:rsidR="00EF5BC8">
        <w:rPr>
          <w:rFonts w:cs="Calibri"/>
          <w:sz w:val="16"/>
          <w:szCs w:val="16"/>
        </w:rPr>
        <w:t xml:space="preserve">, </w:t>
      </w:r>
      <w:hyperlink r:id="rId48" w:history="1">
        <w:r w:rsidR="00EF5BC8" w:rsidRPr="00D95852">
          <w:rPr>
            <w:rStyle w:val="Hyperlink"/>
            <w:rFonts w:cs="Calibri"/>
            <w:sz w:val="16"/>
            <w:szCs w:val="16"/>
          </w:rPr>
          <w:t>https://docstore.ohchr.org/SelfServices/FilesHandler.ashx?enc=4slQ6QSmlBEDzFEovLCuW1AVC1NkPsgUedPlF1vfPMJGPrCK5aXxG4bAqt2RQ8OBgsAGw8XJOuajoG9jmUjYRQ5MFTYfmhvQ3AV3OHC0EpZ0Zj1BrdYR43fQjTM%2fzAgW</w:t>
        </w:r>
      </w:hyperlink>
      <w:r w:rsidRPr="00B8488F">
        <w:rPr>
          <w:rFonts w:cs="Calibri"/>
          <w:sz w:val="16"/>
          <w:szCs w:val="16"/>
        </w:rPr>
        <w:t>;</w:t>
      </w:r>
      <w:r w:rsidR="00EF5BC8">
        <w:rPr>
          <w:rFonts w:cs="Calibri"/>
          <w:sz w:val="16"/>
          <w:szCs w:val="16"/>
        </w:rPr>
        <w:t xml:space="preserve"> </w:t>
      </w:r>
      <w:r w:rsidRPr="00B8488F">
        <w:rPr>
          <w:rFonts w:cs="Calibri"/>
          <w:sz w:val="16"/>
          <w:szCs w:val="16"/>
        </w:rPr>
        <w:t>CESCR General Comment No. 16 (2005) on the Equal Right of Men and Women to the Enjoyment of all Economic, Social and Cultural Rights, UN Doc. E/C.12/2005/4, at para. 28</w:t>
      </w:r>
      <w:r w:rsidR="00EF5BC8">
        <w:rPr>
          <w:rFonts w:cs="Calibri"/>
          <w:sz w:val="16"/>
          <w:szCs w:val="16"/>
        </w:rPr>
        <w:t xml:space="preserve">, </w:t>
      </w:r>
      <w:hyperlink r:id="rId49" w:history="1">
        <w:r w:rsidR="00EF5BC8" w:rsidRPr="00D95852">
          <w:rPr>
            <w:rStyle w:val="Hyperlink"/>
            <w:rFonts w:cs="Calibri"/>
            <w:sz w:val="16"/>
            <w:szCs w:val="16"/>
          </w:rPr>
          <w:t>https://docstore.ohchr.org/SelfServices/FilesHandler.ashx?enc=4slQ6QSmlBEDzFEovLCuW1AVC1NkPsgUedPlF1vfPMJpdX7m2Tx5L7detnk4aL8Sk%2bOCLoaHsUFVMh6SviNU98K5SduLm26zwGFbhyc3dEjHiMSnjfnn6SMHL2Csfi1g</w:t>
        </w:r>
      </w:hyperlink>
      <w:r w:rsidRPr="00B8488F">
        <w:rPr>
          <w:rFonts w:cs="Calibri"/>
          <w:sz w:val="16"/>
          <w:szCs w:val="16"/>
        </w:rPr>
        <w:t>;</w:t>
      </w:r>
      <w:r w:rsidR="00EF5BC8">
        <w:rPr>
          <w:rFonts w:cs="Calibri"/>
          <w:sz w:val="16"/>
          <w:szCs w:val="16"/>
        </w:rPr>
        <w:t xml:space="preserve"> </w:t>
      </w:r>
      <w:r w:rsidRPr="00B8488F">
        <w:rPr>
          <w:rFonts w:cs="Calibri"/>
          <w:sz w:val="16"/>
          <w:szCs w:val="16"/>
        </w:rPr>
        <w:t>CESCR General Comment No. 21 (2009) on the Right of Everyone to Take Part in Cultural Life, E/C.12/GC/21, at paras. 3, 15(b), 36, 49(d), and 50(c)</w:t>
      </w:r>
      <w:r w:rsidR="00EF5BC8">
        <w:rPr>
          <w:rFonts w:cs="Calibri"/>
          <w:sz w:val="16"/>
          <w:szCs w:val="16"/>
        </w:rPr>
        <w:t xml:space="preserve">, </w:t>
      </w:r>
      <w:hyperlink r:id="rId50" w:history="1">
        <w:r w:rsidR="00EF5BC8" w:rsidRPr="00D95852">
          <w:rPr>
            <w:rStyle w:val="Hyperlink"/>
            <w:rFonts w:cs="Calibri"/>
            <w:sz w:val="16"/>
            <w:szCs w:val="16"/>
          </w:rPr>
          <w:t>https://docstore.ohchr.org/SelfServices/FilesHandler.ashx?enc=4slQ6QSmlBEDzFEovLCuW1a0Szab0oXTdImnsJZZVQc5ReG9hKvddWC2ML5U76E63nT%2beY%2btmSVIRS0ynN0q4DVe7VNwOqDL65M0T9xmC2uem8o3Rcj9A7IcPhcoi2lc</w:t>
        </w:r>
      </w:hyperlink>
      <w:r w:rsidRPr="00B8488F">
        <w:rPr>
          <w:rFonts w:cs="Calibri"/>
          <w:sz w:val="16"/>
          <w:szCs w:val="16"/>
        </w:rPr>
        <w:t>.</w:t>
      </w:r>
      <w:r w:rsidR="00EF5BC8">
        <w:rPr>
          <w:rFonts w:cs="Calibri"/>
          <w:sz w:val="16"/>
          <w:szCs w:val="16"/>
        </w:rPr>
        <w:t xml:space="preserve"> </w:t>
      </w:r>
      <w:r w:rsidRPr="00B8488F">
        <w:rPr>
          <w:rFonts w:cs="Calibri"/>
          <w:sz w:val="16"/>
          <w:szCs w:val="16"/>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14765"/>
      <w:docPartObj>
        <w:docPartGallery w:val="Page Numbers (Bottom of Page)"/>
        <w:docPartUnique/>
      </w:docPartObj>
    </w:sdtPr>
    <w:sdtEndPr>
      <w:rPr>
        <w:noProof/>
      </w:rPr>
    </w:sdtEndPr>
    <w:sdtContent>
      <w:p w14:paraId="343EE66A" w14:textId="312E2994" w:rsidR="00D3441B" w:rsidRDefault="00D3441B">
        <w:pPr>
          <w:pStyle w:val="Footer"/>
          <w:jc w:val="center"/>
        </w:pPr>
        <w:r>
          <w:fldChar w:fldCharType="begin"/>
        </w:r>
        <w:r>
          <w:instrText xml:space="preserve"> PAGE   \* MERGEFORMAT </w:instrText>
        </w:r>
        <w:r>
          <w:fldChar w:fldCharType="separate"/>
        </w:r>
        <w:r w:rsidR="00941A4E">
          <w:rPr>
            <w:noProof/>
          </w:rPr>
          <w:t>2</w:t>
        </w:r>
        <w:r>
          <w:rPr>
            <w:noProof/>
          </w:rPr>
          <w:fldChar w:fldCharType="end"/>
        </w:r>
      </w:p>
    </w:sdtContent>
  </w:sdt>
  <w:p w14:paraId="6C1A30CB" w14:textId="77777777" w:rsidR="00D3441B" w:rsidRDefault="00D3441B" w:rsidP="00B6759B">
    <w:pPr>
      <w:pStyle w:val="Footer"/>
      <w:tabs>
        <w:tab w:val="right" w:pos="90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EDA6" w14:textId="77777777" w:rsidR="00B14952" w:rsidRDefault="00B14952" w:rsidP="00686690">
      <w:r>
        <w:separator/>
      </w:r>
    </w:p>
  </w:footnote>
  <w:footnote w:type="continuationSeparator" w:id="0">
    <w:p w14:paraId="2530837C" w14:textId="77777777" w:rsidR="00B14952" w:rsidRDefault="00B14952" w:rsidP="0068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BDBA" w14:textId="116D827D" w:rsidR="00D3441B" w:rsidRDefault="00D3441B" w:rsidP="00BE4AB7">
    <w:pPr>
      <w:pStyle w:val="Heade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16C"/>
    <w:multiLevelType w:val="multilevel"/>
    <w:tmpl w:val="D0F4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7468B"/>
    <w:multiLevelType w:val="hybridMultilevel"/>
    <w:tmpl w:val="16343F90"/>
    <w:styleLink w:val="ImportedStyle7"/>
    <w:lvl w:ilvl="0" w:tplc="C87CC1FA">
      <w:start w:val="1"/>
      <w:numFmt w:val="decimal"/>
      <w:lvlText w:val="%1."/>
      <w:lvlJc w:val="left"/>
      <w:pPr>
        <w:ind w:left="90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04AC7A0E">
      <w:start w:val="1"/>
      <w:numFmt w:val="lowerLetter"/>
      <w:lvlText w:val="%2."/>
      <w:lvlJc w:val="left"/>
      <w:pPr>
        <w:ind w:left="1260" w:hanging="360"/>
      </w:pPr>
      <w:rPr>
        <w:rFonts w:hAnsi="Arial Unicode MS" w:cs="Times New Roman"/>
        <w:caps w:val="0"/>
        <w:smallCaps w:val="0"/>
        <w:strike w:val="0"/>
        <w:dstrike w:val="0"/>
        <w:color w:val="000000"/>
        <w:spacing w:val="0"/>
        <w:w w:val="100"/>
        <w:kern w:val="0"/>
        <w:position w:val="0"/>
        <w:vertAlign w:val="baseline"/>
      </w:rPr>
    </w:lvl>
    <w:lvl w:ilvl="2" w:tplc="FA8EC836">
      <w:start w:val="1"/>
      <w:numFmt w:val="lowerRoman"/>
      <w:lvlText w:val="%3."/>
      <w:lvlJc w:val="left"/>
      <w:pPr>
        <w:ind w:left="1980" w:hanging="278"/>
      </w:pPr>
      <w:rPr>
        <w:rFonts w:hAnsi="Arial Unicode MS" w:cs="Times New Roman"/>
        <w:caps w:val="0"/>
        <w:smallCaps w:val="0"/>
        <w:strike w:val="0"/>
        <w:dstrike w:val="0"/>
        <w:color w:val="000000"/>
        <w:spacing w:val="0"/>
        <w:w w:val="100"/>
        <w:kern w:val="0"/>
        <w:position w:val="0"/>
        <w:vertAlign w:val="baseline"/>
      </w:rPr>
    </w:lvl>
    <w:lvl w:ilvl="3" w:tplc="5BD43AF0">
      <w:start w:val="1"/>
      <w:numFmt w:val="decimal"/>
      <w:lvlText w:val="%4."/>
      <w:lvlJc w:val="left"/>
      <w:pPr>
        <w:ind w:left="2700" w:hanging="360"/>
      </w:pPr>
      <w:rPr>
        <w:rFonts w:hAnsi="Arial Unicode MS" w:cs="Times New Roman"/>
        <w:caps w:val="0"/>
        <w:smallCaps w:val="0"/>
        <w:strike w:val="0"/>
        <w:dstrike w:val="0"/>
        <w:color w:val="000000"/>
        <w:spacing w:val="0"/>
        <w:w w:val="100"/>
        <w:kern w:val="0"/>
        <w:position w:val="0"/>
        <w:vertAlign w:val="baseline"/>
      </w:rPr>
    </w:lvl>
    <w:lvl w:ilvl="4" w:tplc="6616F936">
      <w:start w:val="1"/>
      <w:numFmt w:val="lowerLetter"/>
      <w:lvlText w:val="%5."/>
      <w:lvlJc w:val="left"/>
      <w:pPr>
        <w:ind w:left="3420" w:hanging="360"/>
      </w:pPr>
      <w:rPr>
        <w:rFonts w:hAnsi="Arial Unicode MS" w:cs="Times New Roman"/>
        <w:caps w:val="0"/>
        <w:smallCaps w:val="0"/>
        <w:strike w:val="0"/>
        <w:dstrike w:val="0"/>
        <w:color w:val="000000"/>
        <w:spacing w:val="0"/>
        <w:w w:val="100"/>
        <w:kern w:val="0"/>
        <w:position w:val="0"/>
        <w:vertAlign w:val="baseline"/>
      </w:rPr>
    </w:lvl>
    <w:lvl w:ilvl="5" w:tplc="325EBFD6">
      <w:start w:val="1"/>
      <w:numFmt w:val="lowerRoman"/>
      <w:lvlText w:val="%6."/>
      <w:lvlJc w:val="left"/>
      <w:pPr>
        <w:ind w:left="4140" w:hanging="278"/>
      </w:pPr>
      <w:rPr>
        <w:rFonts w:hAnsi="Arial Unicode MS" w:cs="Times New Roman"/>
        <w:caps w:val="0"/>
        <w:smallCaps w:val="0"/>
        <w:strike w:val="0"/>
        <w:dstrike w:val="0"/>
        <w:color w:val="000000"/>
        <w:spacing w:val="0"/>
        <w:w w:val="100"/>
        <w:kern w:val="0"/>
        <w:position w:val="0"/>
        <w:vertAlign w:val="baseline"/>
      </w:rPr>
    </w:lvl>
    <w:lvl w:ilvl="6" w:tplc="F8382366">
      <w:start w:val="1"/>
      <w:numFmt w:val="decimal"/>
      <w:lvlText w:val="%7."/>
      <w:lvlJc w:val="left"/>
      <w:pPr>
        <w:ind w:left="4860" w:hanging="360"/>
      </w:pPr>
      <w:rPr>
        <w:rFonts w:hAnsi="Arial Unicode MS" w:cs="Times New Roman"/>
        <w:caps w:val="0"/>
        <w:smallCaps w:val="0"/>
        <w:strike w:val="0"/>
        <w:dstrike w:val="0"/>
        <w:color w:val="000000"/>
        <w:spacing w:val="0"/>
        <w:w w:val="100"/>
        <w:kern w:val="0"/>
        <w:position w:val="0"/>
        <w:vertAlign w:val="baseline"/>
      </w:rPr>
    </w:lvl>
    <w:lvl w:ilvl="7" w:tplc="44AE17DE">
      <w:start w:val="1"/>
      <w:numFmt w:val="lowerLetter"/>
      <w:lvlText w:val="%8."/>
      <w:lvlJc w:val="left"/>
      <w:pPr>
        <w:ind w:left="5580" w:hanging="360"/>
      </w:pPr>
      <w:rPr>
        <w:rFonts w:hAnsi="Arial Unicode MS" w:cs="Times New Roman"/>
        <w:caps w:val="0"/>
        <w:smallCaps w:val="0"/>
        <w:strike w:val="0"/>
        <w:dstrike w:val="0"/>
        <w:color w:val="000000"/>
        <w:spacing w:val="0"/>
        <w:w w:val="100"/>
        <w:kern w:val="0"/>
        <w:position w:val="0"/>
        <w:vertAlign w:val="baseline"/>
      </w:rPr>
    </w:lvl>
    <w:lvl w:ilvl="8" w:tplc="F3ACD5D8">
      <w:start w:val="1"/>
      <w:numFmt w:val="lowerRoman"/>
      <w:lvlText w:val="%9."/>
      <w:lvlJc w:val="left"/>
      <w:pPr>
        <w:ind w:left="630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43EC7B28"/>
    <w:multiLevelType w:val="multilevel"/>
    <w:tmpl w:val="16343F90"/>
    <w:numStyleLink w:val="ImportedStyle7"/>
  </w:abstractNum>
  <w:num w:numId="1">
    <w:abstractNumId w:val="0"/>
  </w:num>
  <w:num w:numId="2">
    <w:abstractNumId w:val="1"/>
  </w:num>
  <w:num w:numId="3">
    <w:abstractNumId w:val="2"/>
    <w:lvlOverride w:ilvl="0">
      <w:lvl w:ilvl="0">
        <w:start w:val="1"/>
        <w:numFmt w:val="decimal"/>
        <w:lvlText w:val="%1."/>
        <w:lvlJc w:val="left"/>
        <w:pPr>
          <w:ind w:left="90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Override>
    <w:lvlOverride w:ilvl="1">
      <w:lvl w:ilvl="1">
        <w:start w:val="1"/>
        <w:numFmt w:val="lowerLetter"/>
        <w:lvlText w:val="%2."/>
        <w:lvlJc w:val="left"/>
        <w:pPr>
          <w:ind w:left="1260" w:hanging="360"/>
        </w:pPr>
        <w:rPr>
          <w:rFonts w:hAnsi="Arial Unicode MS" w:cs="Times New Roman"/>
          <w:caps w:val="0"/>
          <w:smallCaps w:val="0"/>
          <w:strike w:val="0"/>
          <w:dstrike w:val="0"/>
          <w:color w:val="000000"/>
          <w:spacing w:val="0"/>
          <w:w w:val="100"/>
          <w:kern w:val="0"/>
          <w:position w:val="0"/>
          <w:vertAlign w:val="baseline"/>
        </w:rPr>
      </w:lvl>
    </w:lvlOverride>
    <w:lvlOverride w:ilvl="2">
      <w:lvl w:ilvl="2">
        <w:start w:val="1"/>
        <w:numFmt w:val="lowerRoman"/>
        <w:lvlText w:val="%3."/>
        <w:lvlJc w:val="left"/>
        <w:pPr>
          <w:ind w:left="1980" w:hanging="278"/>
        </w:pPr>
        <w:rPr>
          <w:rFonts w:hAnsi="Arial Unicode MS" w:cs="Times New Roman"/>
          <w:caps w:val="0"/>
          <w:smallCaps w:val="0"/>
          <w:strike w:val="0"/>
          <w:dstrike w:val="0"/>
          <w:color w:val="000000"/>
          <w:spacing w:val="0"/>
          <w:w w:val="100"/>
          <w:kern w:val="0"/>
          <w:position w:val="0"/>
          <w:vertAlign w:val="baseline"/>
        </w:rPr>
      </w:lvl>
    </w:lvlOverride>
    <w:lvlOverride w:ilvl="3">
      <w:lvl w:ilvl="3">
        <w:start w:val="1"/>
        <w:numFmt w:val="decimal"/>
        <w:lvlText w:val="%4."/>
        <w:lvlJc w:val="left"/>
        <w:pPr>
          <w:ind w:left="2700" w:hanging="360"/>
        </w:pPr>
        <w:rPr>
          <w:rFonts w:hAnsi="Arial Unicode MS" w:cs="Times New Roman"/>
          <w:caps w:val="0"/>
          <w:smallCaps w:val="0"/>
          <w:strike w:val="0"/>
          <w:dstrike w:val="0"/>
          <w:color w:val="000000"/>
          <w:spacing w:val="0"/>
          <w:w w:val="100"/>
          <w:kern w:val="0"/>
          <w:position w:val="0"/>
          <w:vertAlign w:val="baseline"/>
        </w:rPr>
      </w:lvl>
    </w:lvlOverride>
    <w:lvlOverride w:ilvl="4">
      <w:lvl w:ilvl="4">
        <w:start w:val="1"/>
        <w:numFmt w:val="lowerLetter"/>
        <w:lvlText w:val="%5."/>
        <w:lvlJc w:val="left"/>
        <w:pPr>
          <w:ind w:left="3420" w:hanging="360"/>
        </w:pPr>
        <w:rPr>
          <w:rFonts w:hAnsi="Arial Unicode MS" w:cs="Times New Roman"/>
          <w:caps w:val="0"/>
          <w:smallCaps w:val="0"/>
          <w:strike w:val="0"/>
          <w:dstrike w:val="0"/>
          <w:color w:val="000000"/>
          <w:spacing w:val="0"/>
          <w:w w:val="100"/>
          <w:kern w:val="0"/>
          <w:position w:val="0"/>
          <w:vertAlign w:val="baseline"/>
        </w:rPr>
      </w:lvl>
    </w:lvlOverride>
    <w:lvlOverride w:ilvl="5">
      <w:lvl w:ilvl="5">
        <w:start w:val="1"/>
        <w:numFmt w:val="lowerRoman"/>
        <w:lvlText w:val="%6."/>
        <w:lvlJc w:val="left"/>
        <w:pPr>
          <w:ind w:left="4140" w:hanging="278"/>
        </w:pPr>
        <w:rPr>
          <w:rFonts w:hAnsi="Arial Unicode MS" w:cs="Times New Roman"/>
          <w:caps w:val="0"/>
          <w:smallCaps w:val="0"/>
          <w:strike w:val="0"/>
          <w:dstrike w:val="0"/>
          <w:color w:val="000000"/>
          <w:spacing w:val="0"/>
          <w:w w:val="100"/>
          <w:kern w:val="0"/>
          <w:position w:val="0"/>
          <w:vertAlign w:val="baseline"/>
        </w:rPr>
      </w:lvl>
    </w:lvlOverride>
    <w:lvlOverride w:ilvl="6">
      <w:lvl w:ilvl="6">
        <w:start w:val="1"/>
        <w:numFmt w:val="decimal"/>
        <w:lvlText w:val="%7."/>
        <w:lvlJc w:val="left"/>
        <w:pPr>
          <w:ind w:left="4860" w:hanging="360"/>
        </w:pPr>
        <w:rPr>
          <w:rFonts w:hAnsi="Arial Unicode MS" w:cs="Times New Roman"/>
          <w:caps w:val="0"/>
          <w:smallCaps w:val="0"/>
          <w:strike w:val="0"/>
          <w:dstrike w:val="0"/>
          <w:color w:val="000000"/>
          <w:spacing w:val="0"/>
          <w:w w:val="100"/>
          <w:kern w:val="0"/>
          <w:position w:val="0"/>
          <w:vertAlign w:val="baseline"/>
        </w:rPr>
      </w:lvl>
    </w:lvlOverride>
    <w:lvlOverride w:ilvl="7">
      <w:lvl w:ilvl="7">
        <w:start w:val="1"/>
        <w:numFmt w:val="lowerLetter"/>
        <w:lvlText w:val="%8."/>
        <w:lvlJc w:val="left"/>
        <w:pPr>
          <w:ind w:left="5580" w:hanging="360"/>
        </w:pPr>
        <w:rPr>
          <w:rFonts w:hAnsi="Arial Unicode MS" w:cs="Times New Roman"/>
          <w:caps w:val="0"/>
          <w:smallCaps w:val="0"/>
          <w:strike w:val="0"/>
          <w:dstrike w:val="0"/>
          <w:color w:val="000000"/>
          <w:spacing w:val="0"/>
          <w:w w:val="100"/>
          <w:kern w:val="0"/>
          <w:position w:val="0"/>
          <w:vertAlign w:val="baseline"/>
        </w:rPr>
      </w:lvl>
    </w:lvlOverride>
    <w:lvlOverride w:ilvl="8">
      <w:lvl w:ilvl="8">
        <w:start w:val="1"/>
        <w:numFmt w:val="lowerRoman"/>
        <w:lvlText w:val="%9."/>
        <w:lvlJc w:val="left"/>
        <w:pPr>
          <w:ind w:left="6300" w:hanging="278"/>
        </w:pPr>
        <w:rPr>
          <w:rFonts w:hAnsi="Arial Unicode MS" w:cs="Times New Roman"/>
          <w:caps w:val="0"/>
          <w:smallCaps w:val="0"/>
          <w:strike w:val="0"/>
          <w:dstrike w:val="0"/>
          <w:color w:val="00000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90"/>
    <w:rsid w:val="00012809"/>
    <w:rsid w:val="00050A37"/>
    <w:rsid w:val="00064576"/>
    <w:rsid w:val="00093538"/>
    <w:rsid w:val="000C3210"/>
    <w:rsid w:val="000D7F25"/>
    <w:rsid w:val="001329FE"/>
    <w:rsid w:val="001451B5"/>
    <w:rsid w:val="00153C47"/>
    <w:rsid w:val="00170713"/>
    <w:rsid w:val="00170885"/>
    <w:rsid w:val="001856EC"/>
    <w:rsid w:val="001B50E1"/>
    <w:rsid w:val="001C1FB4"/>
    <w:rsid w:val="001E0036"/>
    <w:rsid w:val="001E2385"/>
    <w:rsid w:val="001E7EF6"/>
    <w:rsid w:val="00207B96"/>
    <w:rsid w:val="0021488D"/>
    <w:rsid w:val="00215C7F"/>
    <w:rsid w:val="00223DA6"/>
    <w:rsid w:val="00226A5D"/>
    <w:rsid w:val="00241053"/>
    <w:rsid w:val="00244D23"/>
    <w:rsid w:val="00250F0B"/>
    <w:rsid w:val="0025335B"/>
    <w:rsid w:val="00263FF0"/>
    <w:rsid w:val="00295D07"/>
    <w:rsid w:val="002C54DD"/>
    <w:rsid w:val="002C67CB"/>
    <w:rsid w:val="002D33BF"/>
    <w:rsid w:val="002E7BC0"/>
    <w:rsid w:val="0031445F"/>
    <w:rsid w:val="0032676E"/>
    <w:rsid w:val="0033199B"/>
    <w:rsid w:val="00335032"/>
    <w:rsid w:val="00346474"/>
    <w:rsid w:val="00346E81"/>
    <w:rsid w:val="00351DC3"/>
    <w:rsid w:val="00370142"/>
    <w:rsid w:val="00372F5F"/>
    <w:rsid w:val="003A4302"/>
    <w:rsid w:val="003C4E29"/>
    <w:rsid w:val="003C6B9E"/>
    <w:rsid w:val="003D6194"/>
    <w:rsid w:val="003E09D1"/>
    <w:rsid w:val="003F16B9"/>
    <w:rsid w:val="003F73BC"/>
    <w:rsid w:val="00405ED6"/>
    <w:rsid w:val="00421A70"/>
    <w:rsid w:val="00440840"/>
    <w:rsid w:val="0045217E"/>
    <w:rsid w:val="0046574D"/>
    <w:rsid w:val="00466163"/>
    <w:rsid w:val="00466660"/>
    <w:rsid w:val="0047474F"/>
    <w:rsid w:val="00484168"/>
    <w:rsid w:val="004C4556"/>
    <w:rsid w:val="004C62F2"/>
    <w:rsid w:val="004E0AA9"/>
    <w:rsid w:val="004E62F1"/>
    <w:rsid w:val="005236F0"/>
    <w:rsid w:val="0053366A"/>
    <w:rsid w:val="00542F6F"/>
    <w:rsid w:val="005621EA"/>
    <w:rsid w:val="0057680E"/>
    <w:rsid w:val="00576BEC"/>
    <w:rsid w:val="0058720F"/>
    <w:rsid w:val="005B1788"/>
    <w:rsid w:val="005C34C5"/>
    <w:rsid w:val="005D6118"/>
    <w:rsid w:val="005E2A1D"/>
    <w:rsid w:val="005F1312"/>
    <w:rsid w:val="006000F5"/>
    <w:rsid w:val="00603EAC"/>
    <w:rsid w:val="00606EF6"/>
    <w:rsid w:val="0062121D"/>
    <w:rsid w:val="006213EC"/>
    <w:rsid w:val="00626D34"/>
    <w:rsid w:val="00630E29"/>
    <w:rsid w:val="006410E5"/>
    <w:rsid w:val="00663C05"/>
    <w:rsid w:val="00685725"/>
    <w:rsid w:val="00686690"/>
    <w:rsid w:val="006A0588"/>
    <w:rsid w:val="006A3E14"/>
    <w:rsid w:val="006A509F"/>
    <w:rsid w:val="006B3EE1"/>
    <w:rsid w:val="006E25B7"/>
    <w:rsid w:val="006E3409"/>
    <w:rsid w:val="006F0213"/>
    <w:rsid w:val="00701C45"/>
    <w:rsid w:val="007121BD"/>
    <w:rsid w:val="00732241"/>
    <w:rsid w:val="00736F43"/>
    <w:rsid w:val="00742F88"/>
    <w:rsid w:val="007663C3"/>
    <w:rsid w:val="0078037E"/>
    <w:rsid w:val="00785E0F"/>
    <w:rsid w:val="00794FD3"/>
    <w:rsid w:val="007A0E96"/>
    <w:rsid w:val="007B5D70"/>
    <w:rsid w:val="007C4105"/>
    <w:rsid w:val="007D14C8"/>
    <w:rsid w:val="007E78B7"/>
    <w:rsid w:val="007E7F9A"/>
    <w:rsid w:val="00800482"/>
    <w:rsid w:val="008511E8"/>
    <w:rsid w:val="00864DE6"/>
    <w:rsid w:val="008933D6"/>
    <w:rsid w:val="008A53BD"/>
    <w:rsid w:val="008A610C"/>
    <w:rsid w:val="008B550A"/>
    <w:rsid w:val="008C4EED"/>
    <w:rsid w:val="00926D63"/>
    <w:rsid w:val="00941A4E"/>
    <w:rsid w:val="00946E44"/>
    <w:rsid w:val="0097275E"/>
    <w:rsid w:val="009D1E75"/>
    <w:rsid w:val="009F3AED"/>
    <w:rsid w:val="009F5069"/>
    <w:rsid w:val="00A00D24"/>
    <w:rsid w:val="00A1581E"/>
    <w:rsid w:val="00A175BA"/>
    <w:rsid w:val="00A21862"/>
    <w:rsid w:val="00A35CAA"/>
    <w:rsid w:val="00A35D33"/>
    <w:rsid w:val="00A4091E"/>
    <w:rsid w:val="00A458D5"/>
    <w:rsid w:val="00A63C5B"/>
    <w:rsid w:val="00A7071F"/>
    <w:rsid w:val="00A7089F"/>
    <w:rsid w:val="00A717E0"/>
    <w:rsid w:val="00A72C7D"/>
    <w:rsid w:val="00A7722D"/>
    <w:rsid w:val="00AE2412"/>
    <w:rsid w:val="00B063B8"/>
    <w:rsid w:val="00B12FD3"/>
    <w:rsid w:val="00B14952"/>
    <w:rsid w:val="00B46EC4"/>
    <w:rsid w:val="00B6759B"/>
    <w:rsid w:val="00B77683"/>
    <w:rsid w:val="00B77C5C"/>
    <w:rsid w:val="00B8488F"/>
    <w:rsid w:val="00BA51FC"/>
    <w:rsid w:val="00BC6315"/>
    <w:rsid w:val="00BC67E0"/>
    <w:rsid w:val="00BD7CAA"/>
    <w:rsid w:val="00BE4AB7"/>
    <w:rsid w:val="00BF421E"/>
    <w:rsid w:val="00BF5555"/>
    <w:rsid w:val="00C0229E"/>
    <w:rsid w:val="00C10CAF"/>
    <w:rsid w:val="00C30FA5"/>
    <w:rsid w:val="00C41047"/>
    <w:rsid w:val="00C62BA5"/>
    <w:rsid w:val="00C65F30"/>
    <w:rsid w:val="00C734E3"/>
    <w:rsid w:val="00C82D32"/>
    <w:rsid w:val="00C8698C"/>
    <w:rsid w:val="00C94F23"/>
    <w:rsid w:val="00CA4E90"/>
    <w:rsid w:val="00CB5C7F"/>
    <w:rsid w:val="00CC1B3C"/>
    <w:rsid w:val="00CC7898"/>
    <w:rsid w:val="00CF74A5"/>
    <w:rsid w:val="00D10701"/>
    <w:rsid w:val="00D3441B"/>
    <w:rsid w:val="00D3618B"/>
    <w:rsid w:val="00D56194"/>
    <w:rsid w:val="00D71976"/>
    <w:rsid w:val="00D7788B"/>
    <w:rsid w:val="00D87CC0"/>
    <w:rsid w:val="00D93002"/>
    <w:rsid w:val="00DA27A5"/>
    <w:rsid w:val="00DB2105"/>
    <w:rsid w:val="00DB53CE"/>
    <w:rsid w:val="00DC008E"/>
    <w:rsid w:val="00DC2DBB"/>
    <w:rsid w:val="00DC3232"/>
    <w:rsid w:val="00DC6822"/>
    <w:rsid w:val="00DF1386"/>
    <w:rsid w:val="00E026F4"/>
    <w:rsid w:val="00E04803"/>
    <w:rsid w:val="00E5231E"/>
    <w:rsid w:val="00E634C3"/>
    <w:rsid w:val="00E64889"/>
    <w:rsid w:val="00E70F71"/>
    <w:rsid w:val="00E833E8"/>
    <w:rsid w:val="00EB6AB8"/>
    <w:rsid w:val="00EC1E38"/>
    <w:rsid w:val="00EC2691"/>
    <w:rsid w:val="00ED6A76"/>
    <w:rsid w:val="00EE1613"/>
    <w:rsid w:val="00EF5BC8"/>
    <w:rsid w:val="00F02FAE"/>
    <w:rsid w:val="00F12B71"/>
    <w:rsid w:val="00F1334A"/>
    <w:rsid w:val="00F201F1"/>
    <w:rsid w:val="00F40A6C"/>
    <w:rsid w:val="00F43C74"/>
    <w:rsid w:val="00F46B51"/>
    <w:rsid w:val="00F472C8"/>
    <w:rsid w:val="00F513AB"/>
    <w:rsid w:val="00F646DB"/>
    <w:rsid w:val="00F87C7A"/>
    <w:rsid w:val="00FA7255"/>
    <w:rsid w:val="00FB50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6F81"/>
  <w15:chartTrackingRefBased/>
  <w15:docId w15:val="{D3C7A130-FE56-4791-BB64-F20DEA91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6690"/>
    <w:pPr>
      <w:pBdr>
        <w:top w:val="none" w:sz="96" w:space="31" w:color="FFFFFF" w:shadow="1" w:frame="1"/>
        <w:left w:val="none" w:sz="96" w:space="31" w:color="FFFFFF" w:shadow="1" w:frame="1"/>
        <w:bottom w:val="none" w:sz="96" w:space="31" w:color="FFFFFF" w:shadow="1" w:frame="1"/>
        <w:right w:val="none" w:sz="96" w:space="31" w:color="FFFFFF" w:shadow="1" w:frame="1"/>
      </w:pBd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3538"/>
    <w:pPr>
      <w:keepNext/>
      <w:keepLines/>
      <w:pBdr>
        <w:top w:val="none" w:sz="0" w:space="0" w:color="auto"/>
        <w:left w:val="none" w:sz="0" w:space="0" w:color="auto"/>
        <w:bottom w:val="none" w:sz="0" w:space="0" w:color="auto"/>
        <w:right w:val="none" w:sz="0" w:space="0" w:color="auto"/>
      </w:pBdr>
      <w:spacing w:before="480"/>
      <w:jc w:val="lowKashida"/>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53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093538"/>
    <w:rPr>
      <w:rFonts w:asciiTheme="majorHAnsi" w:eastAsiaTheme="majorEastAsia" w:hAnsiTheme="majorHAnsi" w:cstheme="majorBidi"/>
      <w:b/>
      <w:bCs/>
      <w:color w:val="2F5496" w:themeColor="accent1" w:themeShade="BF"/>
      <w:sz w:val="28"/>
      <w:szCs w:val="28"/>
    </w:rPr>
  </w:style>
  <w:style w:type="paragraph" w:styleId="FootnoteText">
    <w:name w:val="footnote text"/>
    <w:basedOn w:val="Normal"/>
    <w:link w:val="FootnoteTextChar"/>
    <w:uiPriority w:val="99"/>
    <w:semiHidden/>
    <w:unhideWhenUsed/>
    <w:rsid w:val="00093538"/>
    <w:pPr>
      <w:pBdr>
        <w:top w:val="none" w:sz="0" w:space="0" w:color="auto"/>
        <w:left w:val="none" w:sz="0" w:space="0" w:color="auto"/>
        <w:bottom w:val="none" w:sz="0" w:space="0" w:color="auto"/>
        <w:right w:val="none" w:sz="0" w:space="0" w:color="auto"/>
      </w:pBdr>
      <w:jc w:val="lowKashida"/>
    </w:pPr>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semiHidden/>
    <w:rsid w:val="00093538"/>
    <w:rPr>
      <w:sz w:val="20"/>
      <w:szCs w:val="20"/>
    </w:rPr>
  </w:style>
  <w:style w:type="paragraph" w:styleId="Header">
    <w:name w:val="header"/>
    <w:basedOn w:val="Normal"/>
    <w:link w:val="HeaderChar"/>
    <w:uiPriority w:val="99"/>
    <w:unhideWhenUsed/>
    <w:rsid w:val="00093538"/>
    <w:pPr>
      <w:pBdr>
        <w:top w:val="none" w:sz="0" w:space="0" w:color="auto"/>
        <w:left w:val="none" w:sz="0" w:space="0" w:color="auto"/>
        <w:bottom w:val="none" w:sz="0" w:space="0" w:color="auto"/>
        <w:right w:val="none" w:sz="0" w:space="0" w:color="auto"/>
      </w:pBdr>
      <w:tabs>
        <w:tab w:val="center" w:pos="4680"/>
        <w:tab w:val="right" w:pos="9360"/>
      </w:tabs>
      <w:jc w:val="lowKashida"/>
    </w:pPr>
    <w:rPr>
      <w:rFonts w:ascii="Calibri" w:eastAsiaTheme="minorHAnsi" w:hAnsi="Calibri" w:cstheme="minorBidi"/>
      <w:sz w:val="22"/>
      <w:szCs w:val="22"/>
    </w:rPr>
  </w:style>
  <w:style w:type="character" w:customStyle="1" w:styleId="HeaderChar">
    <w:name w:val="Header Char"/>
    <w:basedOn w:val="DefaultParagraphFont"/>
    <w:link w:val="Header"/>
    <w:uiPriority w:val="99"/>
    <w:rsid w:val="00093538"/>
  </w:style>
  <w:style w:type="paragraph" w:styleId="Footer">
    <w:name w:val="footer"/>
    <w:basedOn w:val="Normal"/>
    <w:link w:val="FooterChar"/>
    <w:uiPriority w:val="99"/>
    <w:unhideWhenUsed/>
    <w:rsid w:val="00093538"/>
    <w:pPr>
      <w:pBdr>
        <w:top w:val="none" w:sz="0" w:space="0" w:color="auto"/>
        <w:left w:val="none" w:sz="0" w:space="0" w:color="auto"/>
        <w:bottom w:val="none" w:sz="0" w:space="0" w:color="auto"/>
        <w:right w:val="none" w:sz="0" w:space="0" w:color="auto"/>
      </w:pBdr>
      <w:tabs>
        <w:tab w:val="center" w:pos="4680"/>
        <w:tab w:val="right" w:pos="9360"/>
      </w:tabs>
      <w:jc w:val="lowKashida"/>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093538"/>
  </w:style>
  <w:style w:type="character" w:styleId="FootnoteReference">
    <w:name w:val="footnote reference"/>
    <w:basedOn w:val="DefaultParagraphFont"/>
    <w:uiPriority w:val="99"/>
    <w:semiHidden/>
    <w:unhideWhenUsed/>
    <w:rsid w:val="00093538"/>
    <w:rPr>
      <w:vertAlign w:val="superscript"/>
    </w:rPr>
  </w:style>
  <w:style w:type="paragraph" w:styleId="Title">
    <w:name w:val="Title"/>
    <w:basedOn w:val="Normal"/>
    <w:next w:val="Normal"/>
    <w:link w:val="TitleChar"/>
    <w:uiPriority w:val="10"/>
    <w:qFormat/>
    <w:rsid w:val="00093538"/>
    <w:pPr>
      <w:pBdr>
        <w:top w:val="none" w:sz="0" w:space="0" w:color="auto"/>
        <w:left w:val="none" w:sz="0" w:space="0" w:color="auto"/>
        <w:bottom w:val="single" w:sz="8" w:space="4" w:color="4472C4" w:themeColor="accent1"/>
        <w:right w:val="none" w:sz="0" w:space="0" w:color="auto"/>
      </w:pBdr>
      <w:spacing w:after="300"/>
      <w:contextualSpacing/>
      <w:jc w:val="lowKashida"/>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353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093538"/>
    <w:rPr>
      <w:color w:val="0000FF"/>
      <w:u w:val="single"/>
    </w:rPr>
  </w:style>
  <w:style w:type="paragraph" w:styleId="NormalWeb">
    <w:name w:val="Normal (Web)"/>
    <w:basedOn w:val="Normal"/>
    <w:uiPriority w:val="99"/>
    <w:unhideWhenUsed/>
    <w:rsid w:val="00093538"/>
    <w:pPr>
      <w:pBdr>
        <w:top w:val="none" w:sz="0" w:space="0" w:color="auto"/>
        <w:left w:val="none" w:sz="0" w:space="0" w:color="auto"/>
        <w:bottom w:val="none" w:sz="0" w:space="0" w:color="auto"/>
        <w:right w:val="none" w:sz="0" w:space="0" w:color="auto"/>
      </w:pBdr>
      <w:spacing w:before="100" w:beforeAutospacing="1" w:after="100" w:afterAutospacing="1"/>
      <w:jc w:val="lowKashida"/>
    </w:pPr>
  </w:style>
  <w:style w:type="paragraph" w:styleId="ListParagraph">
    <w:name w:val="List Paragraph"/>
    <w:basedOn w:val="Normal"/>
    <w:uiPriority w:val="34"/>
    <w:qFormat/>
    <w:rsid w:val="00093538"/>
    <w:pPr>
      <w:pBdr>
        <w:top w:val="none" w:sz="0" w:space="0" w:color="auto"/>
        <w:left w:val="none" w:sz="0" w:space="0" w:color="auto"/>
        <w:bottom w:val="none" w:sz="0" w:space="0" w:color="auto"/>
        <w:right w:val="none" w:sz="0" w:space="0" w:color="auto"/>
      </w:pBdr>
      <w:ind w:left="720"/>
      <w:contextualSpacing/>
      <w:jc w:val="lowKashida"/>
    </w:pPr>
    <w:rPr>
      <w:rFonts w:ascii="Calibri" w:eastAsiaTheme="minorHAnsi" w:hAnsi="Calibri" w:cstheme="minorBidi"/>
      <w:sz w:val="22"/>
      <w:szCs w:val="22"/>
    </w:rPr>
  </w:style>
  <w:style w:type="paragraph" w:styleId="Caption">
    <w:name w:val="caption"/>
    <w:basedOn w:val="Normal"/>
    <w:uiPriority w:val="35"/>
    <w:rsid w:val="00686690"/>
    <w:pPr>
      <w:suppressAutoHyphens/>
      <w:outlineLvl w:val="0"/>
    </w:pPr>
    <w:rPr>
      <w:rFonts w:ascii="Calibri" w:hAnsi="Calibri" w:cs="Calibri"/>
      <w:color w:val="000000"/>
      <w:sz w:val="36"/>
      <w:szCs w:val="36"/>
      <w:lang w:eastAsia="en-IN"/>
    </w:rPr>
  </w:style>
  <w:style w:type="paragraph" w:customStyle="1" w:styleId="Body">
    <w:name w:val="Body"/>
    <w:rsid w:val="00686690"/>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jc w:val="left"/>
    </w:pPr>
    <w:rPr>
      <w:rFonts w:eastAsia="Times New Roman" w:cs="Calibri"/>
      <w:color w:val="000000"/>
      <w:u w:color="000000"/>
      <w:lang w:eastAsia="en-IN"/>
    </w:rPr>
  </w:style>
  <w:style w:type="character" w:customStyle="1" w:styleId="None">
    <w:name w:val="None"/>
    <w:rsid w:val="00686690"/>
  </w:style>
  <w:style w:type="paragraph" w:styleId="EndnoteText">
    <w:name w:val="endnote text"/>
    <w:basedOn w:val="Normal"/>
    <w:link w:val="EndnoteTextChar"/>
    <w:uiPriority w:val="99"/>
    <w:rsid w:val="00686690"/>
    <w:pPr>
      <w:pBdr>
        <w:top w:val="none" w:sz="0" w:space="0" w:color="auto"/>
        <w:left w:val="none" w:sz="0" w:space="0" w:color="auto"/>
        <w:bottom w:val="none" w:sz="0" w:space="0" w:color="auto"/>
        <w:right w:val="none" w:sz="0" w:space="0" w:color="auto"/>
      </w:pBdr>
      <w:suppressAutoHyphens/>
      <w:autoSpaceDN w:val="0"/>
      <w:ind w:left="144" w:hanging="144"/>
      <w:textAlignment w:val="baseline"/>
    </w:pPr>
    <w:rPr>
      <w:rFonts w:ascii="Calibri" w:hAnsi="Calibri" w:cs="Arial"/>
      <w:sz w:val="20"/>
      <w:szCs w:val="20"/>
    </w:rPr>
  </w:style>
  <w:style w:type="character" w:customStyle="1" w:styleId="EndnoteTextChar">
    <w:name w:val="Endnote Text Char"/>
    <w:basedOn w:val="DefaultParagraphFont"/>
    <w:link w:val="EndnoteText"/>
    <w:uiPriority w:val="99"/>
    <w:rsid w:val="00686690"/>
    <w:rPr>
      <w:rFonts w:eastAsia="Times New Roman" w:cs="Arial"/>
      <w:sz w:val="20"/>
      <w:szCs w:val="20"/>
    </w:rPr>
  </w:style>
  <w:style w:type="character" w:styleId="EndnoteReference">
    <w:name w:val="endnote reference"/>
    <w:uiPriority w:val="99"/>
    <w:rsid w:val="00686690"/>
    <w:rPr>
      <w:position w:val="0"/>
      <w:vertAlign w:val="superscript"/>
    </w:rPr>
  </w:style>
  <w:style w:type="character" w:customStyle="1" w:styleId="UnresolvedMention">
    <w:name w:val="Unresolved Mention"/>
    <w:basedOn w:val="DefaultParagraphFont"/>
    <w:uiPriority w:val="99"/>
    <w:semiHidden/>
    <w:unhideWhenUsed/>
    <w:rsid w:val="00D3618B"/>
    <w:rPr>
      <w:color w:val="605E5C"/>
      <w:shd w:val="clear" w:color="auto" w:fill="E1DFDD"/>
    </w:rPr>
  </w:style>
  <w:style w:type="character" w:styleId="FollowedHyperlink">
    <w:name w:val="FollowedHyperlink"/>
    <w:basedOn w:val="DefaultParagraphFont"/>
    <w:uiPriority w:val="99"/>
    <w:semiHidden/>
    <w:unhideWhenUsed/>
    <w:rsid w:val="0047474F"/>
    <w:rPr>
      <w:color w:val="954F72" w:themeColor="followedHyperlink"/>
      <w:u w:val="single"/>
    </w:rPr>
  </w:style>
  <w:style w:type="numbering" w:customStyle="1" w:styleId="ImportedStyle7">
    <w:name w:val="Imported Style 7"/>
    <w:rsid w:val="00EC1E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9819">
      <w:bodyDiv w:val="1"/>
      <w:marLeft w:val="0"/>
      <w:marRight w:val="0"/>
      <w:marTop w:val="0"/>
      <w:marBottom w:val="0"/>
      <w:divBdr>
        <w:top w:val="none" w:sz="0" w:space="0" w:color="auto"/>
        <w:left w:val="none" w:sz="0" w:space="0" w:color="auto"/>
        <w:bottom w:val="none" w:sz="0" w:space="0" w:color="auto"/>
        <w:right w:val="none" w:sz="0" w:space="0" w:color="auto"/>
      </w:divBdr>
    </w:div>
    <w:div w:id="14537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3" Type="http://schemas.openxmlformats.org/officeDocument/2006/relationships/hyperlink" Target="http://www.worldbank.org/content/dam/Worldbank/egypt-inequality-book.pdf" TargetMode="External"/><Relationship Id="rId18" Type="http://schemas.openxmlformats.org/officeDocument/2006/relationships/hyperlink" Target="https://www.ohchr.org/en/professionalinterest/pages/cescr.aspx" TargetMode="External"/><Relationship Id="rId26" Type="http://schemas.openxmlformats.org/officeDocument/2006/relationships/hyperlink" Target="http://www.biolreprod.org/cgi/content/abstract/biolreprod.102.007252v1" TargetMode="External"/><Relationship Id="rId39" Type="http://schemas.openxmlformats.org/officeDocument/2006/relationships/hyperlink" Target="http://www.un.org/en/ga/search/view_doc.asp?symbol=A/RES/71/256" TargetMode="External"/><Relationship Id="rId3" Type="http://schemas.openxmlformats.org/officeDocument/2006/relationships/hyperlink" Target="http://www.ohchr.org/Documents/Publications/Land_HR-StandardsApplications.pdf" TargetMode="External"/><Relationship Id="rId21" Type="http://schemas.openxmlformats.org/officeDocument/2006/relationships/hyperlink" Target="https://rgs-ibg.onlinelibrary.wiley.com/doi/pdfdirect/10.1111/tran.12111" TargetMode="External"/><Relationship Id="rId34" Type="http://schemas.openxmlformats.org/officeDocument/2006/relationships/hyperlink" Target="https://articles.mercola.com/sites/articles/archive/2015/11/21/grounding-effects.aspx" TargetMode="External"/><Relationship Id="rId42" Type="http://schemas.openxmlformats.org/officeDocument/2006/relationships/hyperlink" Target="https://www.lionsroar.com/the-end-of-ice/" TargetMode="External"/><Relationship Id="rId47" Type="http://schemas.openxmlformats.org/officeDocument/2006/relationships/hyperlink" Target="https://docstore.ohchr.org/SelfServices/FilesHandler.ashx?enc=4slQ6QSmlBEDzFEovLCuW1AVC1NkPsgUedPlF1vfPMJ2c7ey6PAz2qaojTzDJmC0y%2b9t%2bsAtGDNzdEqA6SuP2q1Egtk1Ow%2fkX8Ui%2bxlzyE445PEm%2bvfROsIzbHO%2fiwla" TargetMode="External"/><Relationship Id="rId50" Type="http://schemas.openxmlformats.org/officeDocument/2006/relationships/hyperlink" Target="https://docstore.ohchr.org/SelfServices/FilesHandler.ashx?enc=4slQ6QSmlBEDzFEovLCuW1a0Szab0oXTdImnsJZZVQc5ReG9hKvddWC2ML5U76E63nT%2beY%2btmSVIRS0ynN0q4DVe7VNwOqDL65M0T9xmC2uem8o3Rcj9A7IcPhcoi2lc" TargetMode="External"/><Relationship Id="rId7" Type="http://schemas.openxmlformats.org/officeDocument/2006/relationships/hyperlink" Target="https://www.economist.com/free-exchange/2014/02/04/capital-and-land" TargetMode="External"/><Relationship Id="rId12" Type="http://schemas.openxmlformats.org/officeDocument/2006/relationships/hyperlink" Target="https://www.wider.unu.edu/project/land-inequality-and-decentralized-governance-ldcs" TargetMode="External"/><Relationship Id="rId17" Type="http://schemas.openxmlformats.org/officeDocument/2006/relationships/hyperlink" Target="https://www.ohchr.org/Documents/HRBodies/CESCR/Contributions/CESCR-draft-GC-26.docx" TargetMode="External"/><Relationship Id="rId25" Type="http://schemas.openxmlformats.org/officeDocument/2006/relationships/hyperlink" Target="http://www.dlr.de/me/Institut/Abteilungen/Strahlenbiologie/pdf/astrobiologie/P4_20.pdf" TargetMode="External"/><Relationship Id="rId33" Type="http://schemas.openxmlformats.org/officeDocument/2006/relationships/hyperlink" Target="https://www.sciencedirect.com/science/article/pii/S0306987719300040" TargetMode="External"/><Relationship Id="rId38" Type="http://schemas.openxmlformats.org/officeDocument/2006/relationships/hyperlink" Target="http://www.islamset.com/env/contenv.html" TargetMode="External"/><Relationship Id="rId46" Type="http://schemas.openxmlformats.org/officeDocument/2006/relationships/hyperlink" Target="https://docstore.ohchr.org/SelfServices/FilesHandler.ashx?enc=4slQ6QSmlBEDzFEovLCuW%2bKyH%2bnXprasyMzd2e8mx4fouQpDVshj73SoMLU1JTdjtZDTDYerYia%2bctGqO8NrWmRL%2ft1OyyKtqjxnygkOzYPp9tCfBWVc0bkQ1mCWULU7" TargetMode="External"/><Relationship Id="rId2" Type="http://schemas.openxmlformats.org/officeDocument/2006/relationships/hyperlink" Target="https://tbinternet.ohchr.org/_layouts/15/treatybodyexternal/Download.aspx?symbolno=E%2fC.12%2fGC%2f25&amp;Lang=en" TargetMode="External"/><Relationship Id="rId16" Type="http://schemas.openxmlformats.org/officeDocument/2006/relationships/hyperlink" Target="https://gltn.net/2019/03/15/guidance-note-of-the-secretary-general-the-united-nations-and-land-and-conflict-march-2019/" TargetMode="External"/><Relationship Id="rId20" Type="http://schemas.openxmlformats.org/officeDocument/2006/relationships/hyperlink" Target="http://www.consiglio.regione.campania.it/cms/CM_PORTALE_CRC/servlet/Docs?dir=docs_biblio&amp;file=BiblioContenuto_3641.pdf" TargetMode="External"/><Relationship Id="rId29" Type="http://schemas.openxmlformats.org/officeDocument/2006/relationships/hyperlink" Target="https://www.liebertpub.com/doi/pdfplus/10.1089/acm.2011.0820" TargetMode="External"/><Relationship Id="rId41" Type="http://schemas.openxmlformats.org/officeDocument/2006/relationships/hyperlink" Target="http://www.hlrn.org/img/documents/The_Vancouver_Declaration_19761.pdf" TargetMode="External"/><Relationship Id="rId1" Type="http://schemas.openxmlformats.org/officeDocument/2006/relationships/hyperlink" Target="https://tbinternet.ohchr.org/_layouts/15/treatybodyexternal/Download.aspx?symbolno=E%2fC.12%2fGC%2f25&amp;Lang=en" TargetMode="External"/><Relationship Id="rId6" Type="http://schemas.openxmlformats.org/officeDocument/2006/relationships/hyperlink" Target="http://www.un.org/Docs/journal/asp/ws.asp?m=E/2014/86" TargetMode="External"/><Relationship Id="rId11" Type="http://schemas.openxmlformats.org/officeDocument/2006/relationships/hyperlink" Target="http://web.worldbank.org/archive/website01066/WEB/IMAGES/127527-2.PDF" TargetMode="External"/><Relationship Id="rId24" Type="http://schemas.openxmlformats.org/officeDocument/2006/relationships/hyperlink" Target="https://undocs.org/A/RES/70/169" TargetMode="External"/><Relationship Id="rId32" Type="http://schemas.openxmlformats.org/officeDocument/2006/relationships/hyperlink" Target="https://www.degruyter.com/downloadpdf/j/zna.1952.7.issue-2/zna-1952-0202/zna-1952-0202.pdf" TargetMode="External"/><Relationship Id="rId37" Type="http://schemas.openxmlformats.org/officeDocument/2006/relationships/hyperlink" Target="http://www.taimiah.org/Display.Asp?f=bc9051100010.htm" TargetMode="External"/><Relationship Id="rId40" Type="http://schemas.openxmlformats.org/officeDocument/2006/relationships/hyperlink" Target="https://www.un.org/development/desa/indigenouspeoples/publications/martinez-cobo-study.html" TargetMode="External"/><Relationship Id="rId45" Type="http://schemas.openxmlformats.org/officeDocument/2006/relationships/hyperlink" Target="https://tbinternet.ohchr.org/Treaties/CESCR/Shared%20Documents/1_Global/INT_CESCR_GEC_6430_A.doc" TargetMode="External"/><Relationship Id="rId5" Type="http://schemas.openxmlformats.org/officeDocument/2006/relationships/hyperlink" Target="http://www.ohchr.org/Documents/Publications/RealizingWomensRightstoLand.pdf" TargetMode="External"/><Relationship Id="rId15" Type="http://schemas.openxmlformats.org/officeDocument/2006/relationships/hyperlink" Target="http://www.worldbank.org/content/dam/Worldbank/egypt-inequality-book.pdf" TargetMode="External"/><Relationship Id="rId23" Type="http://schemas.openxmlformats.org/officeDocument/2006/relationships/hyperlink" Target="https://www.un.org/en/ga/search/view_doc.asp?symbol=A/RES/64/292" TargetMode="External"/><Relationship Id="rId28" Type="http://schemas.openxmlformats.org/officeDocument/2006/relationships/hyperlink" Target="https://articles.mercola.com/sites/articles/archive/2015/11/21/grounding-effects.aspx" TargetMode="External"/><Relationship Id="rId36" Type="http://schemas.openxmlformats.org/officeDocument/2006/relationships/hyperlink" Target="http://mobile.ahadith.co.uk/chapter.php?page=4&amp;cid=175" TargetMode="External"/><Relationship Id="rId49" Type="http://schemas.openxmlformats.org/officeDocument/2006/relationships/hyperlink" Target="https://docstore.ohchr.org/SelfServices/FilesHandler.ashx?enc=4slQ6QSmlBEDzFEovLCuW1AVC1NkPsgUedPlF1vfPMJpdX7m2Tx5L7detnk4aL8Sk%2bOCLoaHsUFVMh6SviNU98K5SduLm26zwGFbhyc3dEjHiMSnjfnn6SMHL2Csfi1g" TargetMode="External"/><Relationship Id="rId10" Type="http://schemas.openxmlformats.org/officeDocument/2006/relationships/hyperlink" Target="https://pdfs.semanticscholar.org/4025/00aed5f49cddcb53705693a7f47b56490c7c.pdf" TargetMode="External"/><Relationship Id="rId19" Type="http://schemas.openxmlformats.org/officeDocument/2006/relationships/hyperlink" Target="https://www.un.org/en/universal-declaration-human-rights/" TargetMode="External"/><Relationship Id="rId31" Type="http://schemas.openxmlformats.org/officeDocument/2006/relationships/hyperlink" Target="https://www.liebertpub.com/doi/abs/10.1089/acm.2010.0687" TargetMode="External"/><Relationship Id="rId44" Type="http://schemas.openxmlformats.org/officeDocument/2006/relationships/hyperlink" Target="https://tbinternet.ohchr.org/Treaties/CESCR/Shared%20Documents/1_Global/INT_CESCR_GEC_6430_E.doc" TargetMode="External"/><Relationship Id="rId4" Type="http://schemas.openxmlformats.org/officeDocument/2006/relationships/hyperlink" Target="http://www.ohchr.org/Documents/Publications/Land_HR-CaseLaw.pdf" TargetMode="External"/><Relationship Id="rId9" Type="http://schemas.openxmlformats.org/officeDocument/2006/relationships/hyperlink" Target="https://pdfs.semanticscholar.org/4b6d/5d9142a42693e17ca28d35e38ff5299d8136.pdf" TargetMode="External"/><Relationship Id="rId14" Type="http://schemas.openxmlformats.org/officeDocument/2006/relationships/hyperlink" Target="https://www.oxfam.org/sites/www.oxfam.org/files/file_attachments/bp-land-power-inequality-latin-america-301116-en.pdf" TargetMode="External"/><Relationship Id="rId22" Type="http://schemas.openxmlformats.org/officeDocument/2006/relationships/hyperlink" Target="https://tbinternet.ohchr.org/_layouts/15/treatybodyexternal/Download.aspx?symbolno=E%2fC.12%2f2002%2f11&amp;Lang=en" TargetMode="External"/><Relationship Id="rId27" Type="http://schemas.openxmlformats.org/officeDocument/2006/relationships/hyperlink" Target="https://www.dovepress.com/the-effects-of-grounding-earthing-on-inflammation-the-immune-response--peer-reviewed-article-JIR" TargetMode="External"/><Relationship Id="rId30" Type="http://schemas.openxmlformats.org/officeDocument/2006/relationships/hyperlink" Target="http://dx.doi.org/10.1155/2013/382643" TargetMode="External"/><Relationship Id="rId35" Type="http://schemas.openxmlformats.org/officeDocument/2006/relationships/hyperlink" Target="http://dx.doi.org/10.1155/2012/291541" TargetMode="External"/><Relationship Id="rId43" Type="http://schemas.openxmlformats.org/officeDocument/2006/relationships/hyperlink" Target="https://tbinternet.ohchr.org/Treaties/CESCR/Shared%20Documents/1_Global/INT_CESCR_GEC_4759_E.doc" TargetMode="External"/><Relationship Id="rId48" Type="http://schemas.openxmlformats.org/officeDocument/2006/relationships/hyperlink" Target="https://docstore.ohchr.org/SelfServices/FilesHandler.ashx?enc=4slQ6QSmlBEDzFEovLCuW1AVC1NkPsgUedPlF1vfPMJGPrCK5aXxG4bAqt2RQ8OBgsAGw8XJOuajoG9jmUjYRQ5MFTYfmhvQ3AV3OHC0EpZ0Zj1BrdYR43fQjTM%2fzAgW" TargetMode="External"/><Relationship Id="rId8" Type="http://schemas.openxmlformats.org/officeDocument/2006/relationships/hyperlink" Target="http://www.unrisd.org/80256B3C005BCCF9/(httpAuxPages)/101C4E46DE4EA2B080256B6D005786F0/$file/moy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44B4F-C590-4232-9343-DA73546240DB}">
  <ds:schemaRefs>
    <ds:schemaRef ds:uri="http://schemas.openxmlformats.org/officeDocument/2006/bibliography"/>
  </ds:schemaRefs>
</ds:datastoreItem>
</file>

<file path=customXml/itemProps2.xml><?xml version="1.0" encoding="utf-8"?>
<ds:datastoreItem xmlns:ds="http://schemas.openxmlformats.org/officeDocument/2006/customXml" ds:itemID="{CD65D1E4-C26D-4CE6-9381-F5E92ADC7FB1}"/>
</file>

<file path=customXml/itemProps3.xml><?xml version="1.0" encoding="utf-8"?>
<ds:datastoreItem xmlns:ds="http://schemas.openxmlformats.org/officeDocument/2006/customXml" ds:itemID="{7AC5942E-C9B8-476C-9350-B1512D1D084D}"/>
</file>

<file path=customXml/itemProps4.xml><?xml version="1.0" encoding="utf-8"?>
<ds:datastoreItem xmlns:ds="http://schemas.openxmlformats.org/officeDocument/2006/customXml" ds:itemID="{4805139D-B8B8-4349-99CD-D60889D9FCC9}"/>
</file>

<file path=docProps/app.xml><?xml version="1.0" encoding="utf-8"?>
<Properties xmlns="http://schemas.openxmlformats.org/officeDocument/2006/extended-properties" xmlns:vt="http://schemas.openxmlformats.org/officeDocument/2006/docPropsVTypes">
  <Template>Normal.dotm</Template>
  <TotalTime>0</TotalTime>
  <Pages>7</Pages>
  <Words>4111</Words>
  <Characters>23434</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KIM Jung Rin</cp:lastModifiedBy>
  <cp:revision>2</cp:revision>
  <cp:lastPrinted>2021-07-08T21:23:00Z</cp:lastPrinted>
  <dcterms:created xsi:type="dcterms:W3CDTF">2021-07-15T07:55:00Z</dcterms:created>
  <dcterms:modified xsi:type="dcterms:W3CDTF">2021-07-15T07:55:00Z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