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BB" w:rsidRPr="0060123D" w:rsidRDefault="005953BB" w:rsidP="000C43CD">
      <w:pPr>
        <w:spacing w:after="0" w:line="240" w:lineRule="auto"/>
        <w:rPr>
          <w:rFonts w:ascii="Times New Roman" w:hAnsi="Times New Roman"/>
          <w:sz w:val="24"/>
          <w:szCs w:val="24"/>
        </w:rPr>
      </w:pPr>
      <w:bookmarkStart w:id="0" w:name="_GoBack"/>
      <w:bookmarkEnd w:id="0"/>
    </w:p>
    <w:p w:rsidR="005953BB" w:rsidRPr="0060123D" w:rsidRDefault="005953BB" w:rsidP="000C43CD">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6345"/>
        <w:gridCol w:w="3258"/>
      </w:tblGrid>
      <w:tr w:rsidR="005953BB" w:rsidRPr="0060123D" w:rsidTr="00881B9A">
        <w:tc>
          <w:tcPr>
            <w:tcW w:w="6345" w:type="dxa"/>
            <w:shd w:val="clear" w:color="auto" w:fill="auto"/>
          </w:tcPr>
          <w:p w:rsidR="005953BB" w:rsidRPr="0060123D" w:rsidRDefault="00B32D43" w:rsidP="00881B9A">
            <w:pPr>
              <w:spacing w:after="0" w:line="240" w:lineRule="auto"/>
              <w:rPr>
                <w:rFonts w:ascii="Times New Roman" w:hAnsi="Times New Roman"/>
                <w:sz w:val="24"/>
                <w:szCs w:val="24"/>
              </w:rPr>
            </w:pPr>
            <w:r w:rsidRPr="0060123D">
              <w:rPr>
                <w:sz w:val="24"/>
                <w:szCs w:val="24"/>
                <w:lang w:eastAsia="ko-KR"/>
              </w:rPr>
              <w:drawing>
                <wp:inline distT="0" distB="0" distL="0" distR="0">
                  <wp:extent cx="3817620" cy="1059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3817620" cy="1059180"/>
                          </a:xfrm>
                          <a:prstGeom prst="rect">
                            <a:avLst/>
                          </a:prstGeom>
                          <a:noFill/>
                          <a:ln>
                            <a:noFill/>
                          </a:ln>
                        </pic:spPr>
                      </pic:pic>
                    </a:graphicData>
                  </a:graphic>
                </wp:inline>
              </w:drawing>
            </w:r>
          </w:p>
        </w:tc>
        <w:tc>
          <w:tcPr>
            <w:tcW w:w="3261" w:type="dxa"/>
            <w:shd w:val="clear" w:color="auto" w:fill="auto"/>
          </w:tcPr>
          <w:p w:rsidR="005953BB" w:rsidRPr="0060123D" w:rsidRDefault="005953BB" w:rsidP="00881B9A">
            <w:pPr>
              <w:spacing w:after="0" w:line="240" w:lineRule="auto"/>
              <w:rPr>
                <w:rFonts w:ascii="Calibri Light" w:hAnsi="Calibri Light" w:cs="Calibri Light"/>
                <w:sz w:val="24"/>
                <w:szCs w:val="24"/>
              </w:rPr>
            </w:pPr>
          </w:p>
          <w:p w:rsidR="00C10D2A" w:rsidRPr="0060123D" w:rsidRDefault="00C10D2A" w:rsidP="00881B9A">
            <w:pPr>
              <w:spacing w:after="0" w:line="240" w:lineRule="auto"/>
              <w:rPr>
                <w:rFonts w:ascii="Calibri Light" w:hAnsi="Calibri Light" w:cs="Calibri Light"/>
                <w:sz w:val="20"/>
                <w:szCs w:val="20"/>
              </w:rPr>
            </w:pPr>
            <w:bookmarkStart w:id="1" w:name="_Hlk79844239"/>
          </w:p>
          <w:p w:rsidR="005953BB" w:rsidRPr="0060123D" w:rsidRDefault="005953BB" w:rsidP="00881B9A">
            <w:pPr>
              <w:spacing w:after="0" w:line="240" w:lineRule="auto"/>
              <w:rPr>
                <w:rFonts w:ascii="Calibri Light" w:hAnsi="Calibri Light" w:cs="Calibri Light"/>
                <w:sz w:val="20"/>
                <w:szCs w:val="20"/>
              </w:rPr>
            </w:pPr>
            <w:r w:rsidRPr="0060123D">
              <w:rPr>
                <w:rFonts w:ascii="Calibri Light" w:hAnsi="Calibri Light" w:cs="Calibri Light"/>
                <w:sz w:val="20"/>
                <w:szCs w:val="20"/>
              </w:rPr>
              <w:t xml:space="preserve">Law Faculty </w:t>
            </w:r>
          </w:p>
          <w:p w:rsidR="005953BB" w:rsidRPr="0060123D" w:rsidRDefault="005953BB" w:rsidP="00881B9A">
            <w:pPr>
              <w:spacing w:after="0" w:line="240" w:lineRule="auto"/>
              <w:rPr>
                <w:rFonts w:ascii="Calibri Light" w:hAnsi="Calibri Light" w:cs="Calibri Light"/>
                <w:sz w:val="20"/>
                <w:szCs w:val="20"/>
              </w:rPr>
            </w:pPr>
            <w:r w:rsidRPr="0060123D">
              <w:rPr>
                <w:rFonts w:ascii="Calibri Light" w:hAnsi="Calibri Light" w:cs="Calibri Light"/>
                <w:sz w:val="20"/>
                <w:szCs w:val="20"/>
              </w:rPr>
              <w:t xml:space="preserve">Atma Jaya Yogyakarta University </w:t>
            </w:r>
          </w:p>
          <w:p w:rsidR="00B370EB" w:rsidRPr="0060123D" w:rsidRDefault="00B370EB" w:rsidP="00881B9A">
            <w:pPr>
              <w:spacing w:after="0" w:line="240" w:lineRule="auto"/>
              <w:rPr>
                <w:rFonts w:ascii="Calibri Light" w:hAnsi="Calibri Light" w:cs="Calibri Light"/>
                <w:sz w:val="20"/>
                <w:szCs w:val="20"/>
              </w:rPr>
            </w:pPr>
            <w:r w:rsidRPr="0060123D">
              <w:rPr>
                <w:rFonts w:ascii="Calibri Light" w:hAnsi="Calibri Light" w:cs="Calibri Light"/>
                <w:sz w:val="20"/>
                <w:szCs w:val="20"/>
              </w:rPr>
              <w:t xml:space="preserve">Indonesia </w:t>
            </w:r>
          </w:p>
          <w:p w:rsidR="00B370EB" w:rsidRPr="0060123D" w:rsidRDefault="00B370EB" w:rsidP="00881B9A">
            <w:pPr>
              <w:spacing w:after="0" w:line="240" w:lineRule="auto"/>
              <w:rPr>
                <w:rFonts w:ascii="Calibri Light" w:hAnsi="Calibri Light" w:cs="Calibri Light"/>
                <w:sz w:val="20"/>
                <w:szCs w:val="20"/>
              </w:rPr>
            </w:pPr>
            <w:r w:rsidRPr="0060123D">
              <w:rPr>
                <w:rFonts w:ascii="Calibri Light" w:hAnsi="Calibri Light" w:cs="Calibri Light"/>
                <w:sz w:val="20"/>
                <w:szCs w:val="20"/>
              </w:rPr>
              <w:t>https://fh.uajy.ac.id/</w:t>
            </w:r>
          </w:p>
          <w:bookmarkEnd w:id="1"/>
          <w:p w:rsidR="005953BB" w:rsidRPr="0060123D" w:rsidRDefault="005953BB" w:rsidP="00881B9A">
            <w:pPr>
              <w:spacing w:after="0" w:line="240" w:lineRule="auto"/>
              <w:rPr>
                <w:rFonts w:ascii="Calibri Light" w:hAnsi="Calibri Light" w:cs="Calibri Light"/>
                <w:sz w:val="24"/>
                <w:szCs w:val="24"/>
              </w:rPr>
            </w:pPr>
          </w:p>
        </w:tc>
      </w:tr>
      <w:tr w:rsidR="005953BB" w:rsidRPr="0060123D" w:rsidTr="00881B9A">
        <w:tc>
          <w:tcPr>
            <w:tcW w:w="6345" w:type="dxa"/>
            <w:shd w:val="clear" w:color="auto" w:fill="auto"/>
          </w:tcPr>
          <w:p w:rsidR="005953BB" w:rsidRPr="0060123D" w:rsidRDefault="005953BB" w:rsidP="00881B9A">
            <w:pPr>
              <w:spacing w:after="0" w:line="240" w:lineRule="auto"/>
              <w:rPr>
                <w:rFonts w:ascii="Times New Roman" w:hAnsi="Times New Roman"/>
                <w:sz w:val="24"/>
                <w:szCs w:val="24"/>
              </w:rPr>
            </w:pPr>
          </w:p>
        </w:tc>
        <w:tc>
          <w:tcPr>
            <w:tcW w:w="3261" w:type="dxa"/>
            <w:shd w:val="clear" w:color="auto" w:fill="auto"/>
          </w:tcPr>
          <w:p w:rsidR="005953BB" w:rsidRPr="0060123D" w:rsidRDefault="005953BB" w:rsidP="00881B9A">
            <w:pPr>
              <w:spacing w:after="0" w:line="240" w:lineRule="auto"/>
              <w:rPr>
                <w:rFonts w:ascii="Times New Roman" w:hAnsi="Times New Roman"/>
                <w:sz w:val="24"/>
                <w:szCs w:val="24"/>
              </w:rPr>
            </w:pPr>
          </w:p>
        </w:tc>
      </w:tr>
    </w:tbl>
    <w:p w:rsidR="005953BB" w:rsidRDefault="005953BB" w:rsidP="000C43CD">
      <w:pPr>
        <w:spacing w:after="0" w:line="240" w:lineRule="auto"/>
        <w:rPr>
          <w:rFonts w:ascii="Times New Roman" w:hAnsi="Times New Roman"/>
          <w:sz w:val="24"/>
          <w:szCs w:val="24"/>
        </w:rPr>
      </w:pPr>
    </w:p>
    <w:p w:rsidR="009C53CA" w:rsidRPr="0060123D" w:rsidRDefault="009C53CA" w:rsidP="000C43CD">
      <w:pPr>
        <w:spacing w:after="0" w:line="240" w:lineRule="auto"/>
        <w:rPr>
          <w:rFonts w:ascii="Times New Roman" w:hAnsi="Times New Roman"/>
          <w:sz w:val="24"/>
          <w:szCs w:val="24"/>
        </w:rPr>
      </w:pPr>
      <w:r w:rsidRPr="009C53CA">
        <w:rPr>
          <w:rFonts w:ascii="Times New Roman" w:hAnsi="Times New Roman"/>
          <w:sz w:val="24"/>
          <w:szCs w:val="24"/>
        </w:rPr>
        <w:t>Written contributions – GC on land and ICESCR</w:t>
      </w:r>
    </w:p>
    <w:p w:rsidR="005953BB" w:rsidRDefault="005953BB" w:rsidP="000C43CD">
      <w:pPr>
        <w:spacing w:after="0" w:line="240" w:lineRule="auto"/>
        <w:rPr>
          <w:rFonts w:ascii="Times New Roman" w:hAnsi="Times New Roman"/>
          <w:sz w:val="24"/>
          <w:szCs w:val="24"/>
        </w:rPr>
      </w:pPr>
    </w:p>
    <w:p w:rsidR="009C53CA" w:rsidRDefault="009C53CA" w:rsidP="000C43CD">
      <w:pPr>
        <w:spacing w:after="0" w:line="240" w:lineRule="auto"/>
        <w:rPr>
          <w:rFonts w:ascii="Times New Roman" w:hAnsi="Times New Roman"/>
          <w:sz w:val="24"/>
          <w:szCs w:val="24"/>
        </w:rPr>
      </w:pPr>
    </w:p>
    <w:p w:rsidR="009C53CA" w:rsidRPr="0060123D" w:rsidRDefault="009C53CA" w:rsidP="000C43CD">
      <w:pPr>
        <w:spacing w:after="0" w:line="240" w:lineRule="auto"/>
        <w:rPr>
          <w:rFonts w:ascii="Times New Roman" w:hAnsi="Times New Roman"/>
          <w:sz w:val="24"/>
          <w:szCs w:val="24"/>
        </w:rPr>
      </w:pPr>
    </w:p>
    <w:p w:rsidR="004A246D" w:rsidRPr="0060123D" w:rsidRDefault="000161AB" w:rsidP="000C43CD">
      <w:pPr>
        <w:spacing w:after="0" w:line="240" w:lineRule="auto"/>
        <w:rPr>
          <w:rFonts w:ascii="Times New Roman" w:hAnsi="Times New Roman"/>
          <w:sz w:val="24"/>
          <w:szCs w:val="24"/>
        </w:rPr>
      </w:pPr>
      <w:r w:rsidRPr="0060123D">
        <w:rPr>
          <w:rFonts w:ascii="Times New Roman" w:hAnsi="Times New Roman"/>
          <w:sz w:val="24"/>
          <w:szCs w:val="24"/>
        </w:rPr>
        <w:t xml:space="preserve">Contribution to </w:t>
      </w:r>
      <w:r w:rsidR="006504E6" w:rsidRPr="0060123D">
        <w:rPr>
          <w:rFonts w:ascii="Times New Roman" w:hAnsi="Times New Roman"/>
          <w:sz w:val="24"/>
          <w:szCs w:val="24"/>
        </w:rPr>
        <w:t xml:space="preserve">invitation by CESCR for written contributions to the draft general comment on Land and Economic, Social, Cultural Rights </w:t>
      </w:r>
    </w:p>
    <w:p w:rsidR="006504E6" w:rsidRPr="0060123D" w:rsidRDefault="00243B42" w:rsidP="000C43CD">
      <w:pPr>
        <w:spacing w:after="0" w:line="240" w:lineRule="auto"/>
        <w:rPr>
          <w:rFonts w:ascii="Times New Roman" w:hAnsi="Times New Roman"/>
          <w:sz w:val="24"/>
          <w:szCs w:val="24"/>
        </w:rPr>
      </w:pPr>
      <w:r w:rsidRPr="0060123D">
        <w:rPr>
          <w:rFonts w:ascii="Times New Roman" w:hAnsi="Times New Roman"/>
          <w:sz w:val="24"/>
          <w:szCs w:val="24"/>
        </w:rPr>
        <w:t xml:space="preserve">August 2021 </w:t>
      </w:r>
    </w:p>
    <w:p w:rsidR="00243B42" w:rsidRPr="0060123D" w:rsidRDefault="00243B42" w:rsidP="000C43CD">
      <w:pPr>
        <w:spacing w:after="0" w:line="240" w:lineRule="auto"/>
        <w:rPr>
          <w:rFonts w:ascii="Times New Roman" w:hAnsi="Times New Roman"/>
          <w:sz w:val="24"/>
          <w:szCs w:val="24"/>
        </w:rPr>
      </w:pPr>
    </w:p>
    <w:p w:rsidR="000161AB" w:rsidRPr="0060123D" w:rsidRDefault="00D74A51" w:rsidP="000C43CD">
      <w:pPr>
        <w:spacing w:after="0" w:line="240" w:lineRule="auto"/>
        <w:rPr>
          <w:rFonts w:ascii="Times New Roman" w:hAnsi="Times New Roman"/>
          <w:sz w:val="24"/>
          <w:szCs w:val="24"/>
        </w:rPr>
      </w:pPr>
      <w:r w:rsidRPr="0060123D">
        <w:rPr>
          <w:rFonts w:ascii="Times New Roman" w:hAnsi="Times New Roman"/>
          <w:sz w:val="24"/>
          <w:szCs w:val="24"/>
        </w:rPr>
        <w:t>Submitte</w:t>
      </w:r>
      <w:r w:rsidR="003B0BB1" w:rsidRPr="0060123D">
        <w:rPr>
          <w:rFonts w:ascii="Times New Roman" w:hAnsi="Times New Roman"/>
          <w:sz w:val="24"/>
          <w:szCs w:val="24"/>
        </w:rPr>
        <w:t xml:space="preserve">d by: </w:t>
      </w:r>
    </w:p>
    <w:p w:rsidR="006504E6" w:rsidRPr="0060123D" w:rsidRDefault="006504E6" w:rsidP="000C43CD">
      <w:pPr>
        <w:spacing w:after="0" w:line="240" w:lineRule="auto"/>
        <w:rPr>
          <w:rFonts w:ascii="Times New Roman" w:hAnsi="Times New Roman"/>
          <w:sz w:val="24"/>
          <w:szCs w:val="24"/>
        </w:rPr>
      </w:pPr>
      <w:r w:rsidRPr="0060123D">
        <w:rPr>
          <w:rFonts w:ascii="Times New Roman" w:hAnsi="Times New Roman"/>
          <w:sz w:val="24"/>
          <w:szCs w:val="24"/>
        </w:rPr>
        <w:t>Law Faculty of Atma Jaya Yogyakarta University, Indonesia</w:t>
      </w:r>
      <w:r w:rsidRPr="0060123D">
        <w:rPr>
          <w:rStyle w:val="FootnoteReference"/>
          <w:rFonts w:ascii="Times New Roman" w:hAnsi="Times New Roman"/>
          <w:sz w:val="24"/>
          <w:szCs w:val="24"/>
        </w:rPr>
        <w:footnoteReference w:id="1"/>
      </w:r>
    </w:p>
    <w:p w:rsidR="00243B42" w:rsidRPr="0060123D" w:rsidRDefault="00243B42" w:rsidP="00FE2FBF">
      <w:pPr>
        <w:tabs>
          <w:tab w:val="left" w:pos="360"/>
        </w:tabs>
        <w:spacing w:after="0" w:line="240" w:lineRule="auto"/>
        <w:jc w:val="both"/>
        <w:rPr>
          <w:rFonts w:ascii="Times New Roman" w:hAnsi="Times New Roman"/>
          <w:sz w:val="24"/>
          <w:szCs w:val="24"/>
        </w:rPr>
      </w:pPr>
    </w:p>
    <w:p w:rsidR="0060123D" w:rsidRPr="0060123D" w:rsidRDefault="0060123D" w:rsidP="00FE2FBF">
      <w:pPr>
        <w:tabs>
          <w:tab w:val="left" w:pos="360"/>
        </w:tabs>
        <w:spacing w:after="0" w:line="240" w:lineRule="auto"/>
        <w:jc w:val="both"/>
        <w:rPr>
          <w:rFonts w:ascii="Times New Roman" w:hAnsi="Times New Roman"/>
          <w:sz w:val="24"/>
          <w:szCs w:val="24"/>
        </w:rPr>
      </w:pPr>
    </w:p>
    <w:p w:rsidR="00FE2FBF" w:rsidRPr="0060123D" w:rsidRDefault="0066114A" w:rsidP="00FE2FBF">
      <w:pPr>
        <w:tabs>
          <w:tab w:val="left" w:pos="360"/>
        </w:tabs>
        <w:spacing w:after="0" w:line="240" w:lineRule="auto"/>
        <w:jc w:val="both"/>
        <w:rPr>
          <w:rFonts w:ascii="Times New Roman" w:hAnsi="Times New Roman"/>
          <w:b/>
          <w:bCs/>
          <w:sz w:val="24"/>
          <w:szCs w:val="24"/>
        </w:rPr>
      </w:pPr>
      <w:r w:rsidRPr="0060123D">
        <w:rPr>
          <w:rFonts w:ascii="Times New Roman" w:hAnsi="Times New Roman"/>
          <w:b/>
          <w:bCs/>
          <w:sz w:val="24"/>
          <w:szCs w:val="24"/>
        </w:rPr>
        <w:t xml:space="preserve">KEY MESSAGES </w:t>
      </w:r>
    </w:p>
    <w:p w:rsidR="00896FC0" w:rsidRPr="0060123D" w:rsidRDefault="00120284"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This contribution is to relate the draft of General Comment on Right to Land (GC RTL) to the United Nations Declaration Rights of Peasants and Other People Working in Rural Areas (UNDROP); and drawing key enumeration</w:t>
      </w:r>
      <w:r w:rsidR="00896FC0" w:rsidRPr="0060123D">
        <w:rPr>
          <w:rFonts w:ascii="Times New Roman" w:hAnsi="Times New Roman"/>
          <w:sz w:val="24"/>
          <w:szCs w:val="24"/>
        </w:rPr>
        <w:t xml:space="preserve">s of </w:t>
      </w:r>
      <w:r w:rsidRPr="0060123D">
        <w:rPr>
          <w:rFonts w:ascii="Times New Roman" w:hAnsi="Times New Roman"/>
          <w:sz w:val="24"/>
          <w:szCs w:val="24"/>
        </w:rPr>
        <w:t>“anti-discriminatory measures”.</w:t>
      </w:r>
      <w:r w:rsidR="00896FC0" w:rsidRPr="0060123D">
        <w:rPr>
          <w:rFonts w:ascii="Times New Roman" w:hAnsi="Times New Roman"/>
          <w:sz w:val="24"/>
          <w:szCs w:val="24"/>
        </w:rPr>
        <w:t xml:space="preserve"> The enumerations </w:t>
      </w:r>
      <w:r w:rsidR="00896FC0" w:rsidRPr="0060123D">
        <w:rPr>
          <w:rFonts w:ascii="Times New Roman" w:hAnsi="Times New Roman"/>
          <w:sz w:val="24"/>
          <w:szCs w:val="24"/>
        </w:rPr>
        <w:lastRenderedPageBreak/>
        <w:t xml:space="preserve">contain the scope of subject (“challenges”), normative content, (contribution of) elaboration of standard set by the GC RTL. </w:t>
      </w:r>
    </w:p>
    <w:p w:rsidR="00896FC0" w:rsidRPr="0060123D" w:rsidRDefault="00896FC0" w:rsidP="0066114A">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 xml:space="preserve">This contribution is on sea nomads (based on the scope and definition in the article 1, </w:t>
      </w:r>
      <w:r w:rsidR="0092377B" w:rsidRPr="0060123D">
        <w:rPr>
          <w:rFonts w:ascii="Times New Roman" w:hAnsi="Times New Roman"/>
          <w:sz w:val="24"/>
          <w:szCs w:val="24"/>
        </w:rPr>
        <w:t>2, 3</w:t>
      </w:r>
      <w:r w:rsidR="00400092" w:rsidRPr="0060123D">
        <w:rPr>
          <w:rFonts w:ascii="Times New Roman" w:hAnsi="Times New Roman"/>
          <w:sz w:val="24"/>
          <w:szCs w:val="24"/>
        </w:rPr>
        <w:t>,4</w:t>
      </w:r>
      <w:r w:rsidR="0092377B" w:rsidRPr="0060123D">
        <w:rPr>
          <w:rFonts w:ascii="Times New Roman" w:hAnsi="Times New Roman"/>
          <w:sz w:val="24"/>
          <w:szCs w:val="24"/>
        </w:rPr>
        <w:t xml:space="preserve"> of the </w:t>
      </w:r>
      <w:r w:rsidR="00400092" w:rsidRPr="0060123D">
        <w:rPr>
          <w:rFonts w:ascii="Times New Roman" w:hAnsi="Times New Roman"/>
          <w:sz w:val="24"/>
          <w:szCs w:val="24"/>
        </w:rPr>
        <w:t xml:space="preserve">UNDROP </w:t>
      </w:r>
      <w:r w:rsidR="006B2465" w:rsidRPr="0060123D">
        <w:rPr>
          <w:rFonts w:ascii="Times New Roman" w:hAnsi="Times New Roman"/>
          <w:sz w:val="24"/>
          <w:szCs w:val="24"/>
        </w:rPr>
        <w:t xml:space="preserve">The reason </w:t>
      </w:r>
      <w:r w:rsidR="0019443D" w:rsidRPr="0060123D">
        <w:rPr>
          <w:rFonts w:ascii="Times New Roman" w:hAnsi="Times New Roman"/>
          <w:sz w:val="24"/>
          <w:szCs w:val="24"/>
        </w:rPr>
        <w:t xml:space="preserve">on </w:t>
      </w:r>
      <w:r w:rsidR="006B2465" w:rsidRPr="0060123D">
        <w:rPr>
          <w:rFonts w:ascii="Times New Roman" w:hAnsi="Times New Roman"/>
          <w:sz w:val="24"/>
          <w:szCs w:val="24"/>
        </w:rPr>
        <w:t xml:space="preserve">proposing </w:t>
      </w:r>
      <w:r w:rsidR="0019443D" w:rsidRPr="0060123D">
        <w:rPr>
          <w:rFonts w:ascii="Times New Roman" w:hAnsi="Times New Roman"/>
          <w:sz w:val="24"/>
          <w:szCs w:val="24"/>
        </w:rPr>
        <w:t xml:space="preserve">these subjects </w:t>
      </w:r>
      <w:r w:rsidR="00483013" w:rsidRPr="0060123D">
        <w:rPr>
          <w:rFonts w:ascii="Times New Roman" w:hAnsi="Times New Roman"/>
          <w:sz w:val="24"/>
          <w:szCs w:val="24"/>
        </w:rPr>
        <w:t>is</w:t>
      </w:r>
      <w:r w:rsidR="0019443D" w:rsidRPr="0060123D">
        <w:rPr>
          <w:rFonts w:ascii="Times New Roman" w:hAnsi="Times New Roman"/>
          <w:sz w:val="24"/>
          <w:szCs w:val="24"/>
        </w:rPr>
        <w:t xml:space="preserve"> to </w:t>
      </w:r>
      <w:r w:rsidR="006B2465" w:rsidRPr="0060123D">
        <w:rPr>
          <w:rFonts w:ascii="Times New Roman" w:hAnsi="Times New Roman"/>
          <w:sz w:val="24"/>
          <w:szCs w:val="24"/>
        </w:rPr>
        <w:t xml:space="preserve">seek and </w:t>
      </w:r>
      <w:r w:rsidR="0019443D" w:rsidRPr="0060123D">
        <w:rPr>
          <w:rFonts w:ascii="Times New Roman" w:hAnsi="Times New Roman"/>
          <w:sz w:val="24"/>
          <w:szCs w:val="24"/>
        </w:rPr>
        <w:t xml:space="preserve">to </w:t>
      </w:r>
      <w:r w:rsidR="006B2465" w:rsidRPr="0060123D">
        <w:rPr>
          <w:rFonts w:ascii="Times New Roman" w:hAnsi="Times New Roman"/>
          <w:sz w:val="24"/>
          <w:szCs w:val="24"/>
        </w:rPr>
        <w:t xml:space="preserve">develop applied framework </w:t>
      </w:r>
      <w:r w:rsidR="00483013" w:rsidRPr="0060123D">
        <w:rPr>
          <w:rFonts w:ascii="Times New Roman" w:hAnsi="Times New Roman"/>
          <w:sz w:val="24"/>
          <w:szCs w:val="24"/>
        </w:rPr>
        <w:t xml:space="preserve">into protection of </w:t>
      </w:r>
      <w:r w:rsidR="006B2465" w:rsidRPr="0060123D">
        <w:rPr>
          <w:rFonts w:ascii="Times New Roman" w:hAnsi="Times New Roman"/>
          <w:sz w:val="24"/>
          <w:szCs w:val="24"/>
        </w:rPr>
        <w:t xml:space="preserve">“sea nomads” </w:t>
      </w:r>
      <w:r w:rsidR="00483013" w:rsidRPr="0060123D">
        <w:rPr>
          <w:rFonts w:ascii="Times New Roman" w:hAnsi="Times New Roman"/>
          <w:sz w:val="24"/>
          <w:szCs w:val="24"/>
        </w:rPr>
        <w:t xml:space="preserve">in the land and economic, social, and cultural rights. </w:t>
      </w:r>
    </w:p>
    <w:p w:rsidR="0019443D" w:rsidRPr="0060123D" w:rsidRDefault="0019443D"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 xml:space="preserve">The normative contents refer to articulation and intersections among rights in </w:t>
      </w:r>
      <w:r w:rsidR="00483013" w:rsidRPr="0060123D">
        <w:rPr>
          <w:rFonts w:ascii="Times New Roman" w:hAnsi="Times New Roman"/>
          <w:sz w:val="24"/>
          <w:szCs w:val="24"/>
        </w:rPr>
        <w:t xml:space="preserve">GC RTL </w:t>
      </w:r>
      <w:r w:rsidRPr="0060123D">
        <w:rPr>
          <w:rFonts w:ascii="Times New Roman" w:hAnsi="Times New Roman"/>
          <w:sz w:val="24"/>
          <w:szCs w:val="24"/>
        </w:rPr>
        <w:t>(right, access to)</w:t>
      </w:r>
      <w:r w:rsidR="00483013" w:rsidRPr="0060123D">
        <w:rPr>
          <w:rFonts w:ascii="Times New Roman" w:hAnsi="Times New Roman"/>
          <w:sz w:val="24"/>
          <w:szCs w:val="24"/>
        </w:rPr>
        <w:t xml:space="preserve"> and the UNDROP</w:t>
      </w:r>
      <w:r w:rsidRPr="0060123D">
        <w:rPr>
          <w:rFonts w:ascii="Times New Roman" w:hAnsi="Times New Roman"/>
          <w:sz w:val="24"/>
          <w:szCs w:val="24"/>
        </w:rPr>
        <w:t xml:space="preserve">. We are of the opinion that these normative contents should be visibly </w:t>
      </w:r>
      <w:r w:rsidR="00483013" w:rsidRPr="0060123D">
        <w:rPr>
          <w:rFonts w:ascii="Times New Roman" w:hAnsi="Times New Roman"/>
          <w:sz w:val="24"/>
          <w:szCs w:val="24"/>
        </w:rPr>
        <w:t xml:space="preserve">reflected </w:t>
      </w:r>
      <w:r w:rsidRPr="0060123D">
        <w:rPr>
          <w:rFonts w:ascii="Times New Roman" w:hAnsi="Times New Roman"/>
          <w:sz w:val="24"/>
          <w:szCs w:val="24"/>
        </w:rPr>
        <w:t>in the GC</w:t>
      </w:r>
      <w:r w:rsidR="00483013" w:rsidRPr="0060123D">
        <w:rPr>
          <w:rFonts w:ascii="Times New Roman" w:hAnsi="Times New Roman"/>
          <w:sz w:val="24"/>
          <w:szCs w:val="24"/>
        </w:rPr>
        <w:t xml:space="preserve"> RTL</w:t>
      </w:r>
      <w:r w:rsidRPr="0060123D">
        <w:rPr>
          <w:rFonts w:ascii="Times New Roman" w:hAnsi="Times New Roman"/>
          <w:sz w:val="24"/>
          <w:szCs w:val="24"/>
        </w:rPr>
        <w:t xml:space="preserve">. </w:t>
      </w:r>
    </w:p>
    <w:p w:rsidR="0066114A" w:rsidRPr="0060123D" w:rsidRDefault="0066114A" w:rsidP="0066114A">
      <w:pPr>
        <w:tabs>
          <w:tab w:val="left" w:pos="360"/>
        </w:tabs>
        <w:spacing w:after="0" w:line="240" w:lineRule="auto"/>
        <w:jc w:val="both"/>
        <w:rPr>
          <w:rFonts w:ascii="Times New Roman" w:hAnsi="Times New Roman"/>
          <w:sz w:val="24"/>
          <w:szCs w:val="24"/>
        </w:rPr>
      </w:pPr>
    </w:p>
    <w:p w:rsidR="0066114A" w:rsidRPr="0060123D" w:rsidRDefault="0066114A" w:rsidP="0066114A">
      <w:pPr>
        <w:tabs>
          <w:tab w:val="left" w:pos="360"/>
        </w:tabs>
        <w:spacing w:after="0" w:line="240" w:lineRule="auto"/>
        <w:jc w:val="both"/>
        <w:rPr>
          <w:rFonts w:ascii="Times New Roman" w:hAnsi="Times New Roman"/>
          <w:sz w:val="24"/>
          <w:szCs w:val="24"/>
        </w:rPr>
      </w:pPr>
    </w:p>
    <w:p w:rsidR="00BB5025" w:rsidRPr="0060123D" w:rsidRDefault="00BB5025" w:rsidP="0066114A">
      <w:pPr>
        <w:tabs>
          <w:tab w:val="left" w:pos="360"/>
        </w:tabs>
        <w:spacing w:after="0" w:line="240" w:lineRule="auto"/>
        <w:jc w:val="both"/>
        <w:rPr>
          <w:rFonts w:ascii="Times New Roman" w:hAnsi="Times New Roman"/>
          <w:sz w:val="24"/>
          <w:szCs w:val="24"/>
        </w:rPr>
      </w:pPr>
    </w:p>
    <w:p w:rsidR="0066114A" w:rsidRPr="0060123D" w:rsidRDefault="0066114A" w:rsidP="0066114A">
      <w:pPr>
        <w:tabs>
          <w:tab w:val="left" w:pos="360"/>
        </w:tabs>
        <w:spacing w:after="0" w:line="240" w:lineRule="auto"/>
        <w:jc w:val="both"/>
        <w:rPr>
          <w:rFonts w:ascii="Times New Roman" w:hAnsi="Times New Roman"/>
          <w:b/>
          <w:bCs/>
          <w:sz w:val="24"/>
          <w:szCs w:val="24"/>
        </w:rPr>
      </w:pPr>
      <w:r w:rsidRPr="0060123D">
        <w:rPr>
          <w:rFonts w:ascii="Times New Roman" w:hAnsi="Times New Roman"/>
          <w:b/>
          <w:bCs/>
          <w:sz w:val="24"/>
          <w:szCs w:val="24"/>
        </w:rPr>
        <w:t>NON-DISCRIMINATION</w:t>
      </w:r>
    </w:p>
    <w:p w:rsidR="0066114A" w:rsidRPr="0060123D" w:rsidRDefault="0066114A"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 xml:space="preserve">The </w:t>
      </w:r>
      <w:r w:rsidR="00A2616B" w:rsidRPr="0060123D">
        <w:rPr>
          <w:rFonts w:ascii="Times New Roman" w:hAnsi="Times New Roman"/>
          <w:sz w:val="24"/>
          <w:szCs w:val="24"/>
        </w:rPr>
        <w:t xml:space="preserve">principle of </w:t>
      </w:r>
      <w:r w:rsidRPr="0060123D">
        <w:rPr>
          <w:rFonts w:ascii="Times New Roman" w:hAnsi="Times New Roman"/>
          <w:sz w:val="24"/>
          <w:szCs w:val="24"/>
        </w:rPr>
        <w:t xml:space="preserve">non-discrimination </w:t>
      </w:r>
      <w:r w:rsidR="00A2616B" w:rsidRPr="0060123D">
        <w:rPr>
          <w:rFonts w:ascii="Times New Roman" w:hAnsi="Times New Roman"/>
          <w:sz w:val="24"/>
          <w:szCs w:val="24"/>
        </w:rPr>
        <w:t xml:space="preserve">and equality </w:t>
      </w:r>
      <w:r w:rsidRPr="0060123D">
        <w:rPr>
          <w:rFonts w:ascii="Times New Roman" w:hAnsi="Times New Roman"/>
          <w:sz w:val="24"/>
          <w:szCs w:val="24"/>
        </w:rPr>
        <w:t xml:space="preserve">shall apply </w:t>
      </w:r>
      <w:r w:rsidR="00A2616B" w:rsidRPr="0060123D">
        <w:rPr>
          <w:rFonts w:ascii="Times New Roman" w:hAnsi="Times New Roman"/>
          <w:sz w:val="24"/>
          <w:szCs w:val="24"/>
        </w:rPr>
        <w:t xml:space="preserve">towards sea nomads with particular attention to 2 (two) key context where they live: (1) the condition and the status of tenure, (2) fredoom of movement. The ESCR General Comment no.20 on non-discrimination in economic, social, cultural rights draws the formal and substantive discrimination, and the context of direct and indirect discrimination. </w:t>
      </w:r>
      <w:r w:rsidR="00BB5025" w:rsidRPr="0060123D">
        <w:rPr>
          <w:rFonts w:ascii="Times New Roman" w:hAnsi="Times New Roman"/>
          <w:sz w:val="24"/>
          <w:szCs w:val="24"/>
        </w:rPr>
        <w:t xml:space="preserve">Sea Nomads will be categorised into context of “member of group” and “multiple discrimination”. </w:t>
      </w:r>
    </w:p>
    <w:p w:rsidR="000B73A9" w:rsidRPr="0060123D" w:rsidRDefault="00A2616B"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 xml:space="preserve">On the tenure rights of Sea Nomads, this principle should consider the </w:t>
      </w:r>
      <w:r w:rsidR="000B73A9" w:rsidRPr="0060123D">
        <w:rPr>
          <w:rFonts w:ascii="Times New Roman" w:hAnsi="Times New Roman"/>
          <w:sz w:val="24"/>
          <w:szCs w:val="24"/>
        </w:rPr>
        <w:t xml:space="preserve">their </w:t>
      </w:r>
      <w:r w:rsidRPr="0060123D">
        <w:rPr>
          <w:rFonts w:ascii="Times New Roman" w:hAnsi="Times New Roman"/>
          <w:sz w:val="24"/>
          <w:szCs w:val="24"/>
        </w:rPr>
        <w:t xml:space="preserve">vunerability arising from their way of life in which they identify themselves as part of the aqua-ecosystem. This should not interpreted as owning or as an exclusive control of a land and its ecosystem. Sea nomads lives the aqua-ecosytem, i.e. islands, shallow littoral ecosystem, forests and tributaries connecting to sea, and various natural resources. They manages them in sustainable ways, </w:t>
      </w:r>
      <w:r w:rsidR="000B73A9" w:rsidRPr="0060123D">
        <w:rPr>
          <w:rFonts w:ascii="Times New Roman" w:hAnsi="Times New Roman"/>
          <w:sz w:val="24"/>
          <w:szCs w:val="24"/>
        </w:rPr>
        <w:t xml:space="preserve">as a </w:t>
      </w:r>
      <w:r w:rsidRPr="0060123D">
        <w:rPr>
          <w:rFonts w:ascii="Times New Roman" w:hAnsi="Times New Roman"/>
          <w:sz w:val="24"/>
          <w:szCs w:val="24"/>
        </w:rPr>
        <w:t xml:space="preserve">family livelihood, </w:t>
      </w:r>
      <w:r w:rsidR="000B73A9" w:rsidRPr="0060123D">
        <w:rPr>
          <w:rFonts w:ascii="Times New Roman" w:hAnsi="Times New Roman"/>
          <w:sz w:val="24"/>
          <w:szCs w:val="24"/>
        </w:rPr>
        <w:t xml:space="preserve">in </w:t>
      </w:r>
      <w:r w:rsidRPr="0060123D">
        <w:rPr>
          <w:rFonts w:ascii="Times New Roman" w:hAnsi="Times New Roman"/>
          <w:sz w:val="24"/>
          <w:szCs w:val="24"/>
        </w:rPr>
        <w:t xml:space="preserve">non-wholesaly </w:t>
      </w:r>
      <w:r w:rsidRPr="0060123D">
        <w:rPr>
          <w:rFonts w:ascii="Times New Roman" w:hAnsi="Times New Roman"/>
          <w:sz w:val="24"/>
          <w:szCs w:val="24"/>
        </w:rPr>
        <w:lastRenderedPageBreak/>
        <w:t>commercial use. They also depends on the climate -and disproportionately affected by climate change.</w:t>
      </w:r>
      <w:r w:rsidR="000B73A9" w:rsidRPr="0060123D">
        <w:rPr>
          <w:rFonts w:ascii="Times New Roman" w:hAnsi="Times New Roman"/>
          <w:sz w:val="24"/>
          <w:szCs w:val="24"/>
        </w:rPr>
        <w:t xml:space="preserve"> The tenure defines their right to life.  </w:t>
      </w:r>
    </w:p>
    <w:p w:rsidR="000B73A9" w:rsidRPr="0060123D" w:rsidRDefault="000B73A9"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 xml:space="preserve">On the freedom of movement, this principle should consider the their vulnerability arising from the way they sustainably manage a big area in their tenure. The movement is strongly associated  with their adaption to seasons and to the need to manage their livelihood -how they connect with land people. </w:t>
      </w:r>
    </w:p>
    <w:p w:rsidR="00A2616B" w:rsidRPr="0060123D" w:rsidRDefault="00994ED1"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The discrimination could impact them in the context of citizenship and certification which are not particularly fit with the tenure of Sea Nomads. This could be particularly worse in the context of women Sea Nomads.</w:t>
      </w:r>
      <w:r w:rsidR="00BB5025" w:rsidRPr="0060123D">
        <w:rPr>
          <w:rFonts w:ascii="Times New Roman" w:hAnsi="Times New Roman"/>
          <w:sz w:val="24"/>
          <w:szCs w:val="24"/>
        </w:rPr>
        <w:t xml:space="preserve"> </w:t>
      </w:r>
    </w:p>
    <w:p w:rsidR="00994ED1" w:rsidRPr="0060123D" w:rsidRDefault="00994ED1"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 xml:space="preserve">The discrimination </w:t>
      </w:r>
      <w:r w:rsidR="00BB5025" w:rsidRPr="0060123D">
        <w:rPr>
          <w:rFonts w:ascii="Times New Roman" w:hAnsi="Times New Roman"/>
          <w:sz w:val="24"/>
          <w:szCs w:val="24"/>
        </w:rPr>
        <w:t xml:space="preserve">could also relate with them of being nomadic. The regulatory context of a state could be alien to Sea Nomads. Sea Nomads could possibly adapt to this, but, it is clear that they are facing hard times to live in them. A state could be also unaware of this situation, or yet to catch to develop a framework to protect them. In this matter, UNDROP provides an important frame of protection towerds them. </w:t>
      </w:r>
    </w:p>
    <w:p w:rsidR="0019443D" w:rsidRPr="0060123D" w:rsidRDefault="0019443D" w:rsidP="0019443D">
      <w:pPr>
        <w:tabs>
          <w:tab w:val="left" w:pos="360"/>
        </w:tabs>
        <w:spacing w:after="0" w:line="240" w:lineRule="auto"/>
        <w:jc w:val="both"/>
        <w:rPr>
          <w:rFonts w:ascii="Times New Roman" w:hAnsi="Times New Roman"/>
          <w:sz w:val="24"/>
          <w:szCs w:val="24"/>
        </w:rPr>
      </w:pPr>
    </w:p>
    <w:p w:rsidR="00BB5025" w:rsidRPr="0060123D" w:rsidRDefault="00BB5025" w:rsidP="0019443D">
      <w:pPr>
        <w:tabs>
          <w:tab w:val="left" w:pos="360"/>
        </w:tabs>
        <w:spacing w:after="0" w:line="240" w:lineRule="auto"/>
        <w:jc w:val="both"/>
        <w:rPr>
          <w:rFonts w:ascii="Times New Roman" w:hAnsi="Times New Roman"/>
          <w:sz w:val="24"/>
          <w:szCs w:val="24"/>
        </w:rPr>
      </w:pPr>
    </w:p>
    <w:p w:rsidR="0066114A" w:rsidRPr="0060123D" w:rsidRDefault="0066114A" w:rsidP="0019443D">
      <w:pPr>
        <w:tabs>
          <w:tab w:val="left" w:pos="360"/>
        </w:tabs>
        <w:spacing w:after="0" w:line="240" w:lineRule="auto"/>
        <w:jc w:val="both"/>
        <w:rPr>
          <w:rFonts w:ascii="Times New Roman" w:hAnsi="Times New Roman"/>
          <w:sz w:val="24"/>
          <w:szCs w:val="24"/>
        </w:rPr>
      </w:pPr>
    </w:p>
    <w:p w:rsidR="0019443D" w:rsidRPr="0060123D" w:rsidRDefault="00BB5025" w:rsidP="0019443D">
      <w:pPr>
        <w:tabs>
          <w:tab w:val="left" w:pos="360"/>
        </w:tabs>
        <w:spacing w:after="0" w:line="240" w:lineRule="auto"/>
        <w:jc w:val="both"/>
        <w:rPr>
          <w:rFonts w:ascii="Times New Roman" w:hAnsi="Times New Roman"/>
          <w:b/>
          <w:bCs/>
          <w:sz w:val="24"/>
          <w:szCs w:val="24"/>
        </w:rPr>
      </w:pPr>
      <w:r w:rsidRPr="0060123D">
        <w:rPr>
          <w:rFonts w:ascii="Times New Roman" w:hAnsi="Times New Roman"/>
          <w:b/>
          <w:bCs/>
          <w:sz w:val="24"/>
          <w:szCs w:val="24"/>
        </w:rPr>
        <w:t xml:space="preserve">FRAMEWORK OF UNDROP </w:t>
      </w:r>
    </w:p>
    <w:p w:rsidR="00CE6B6F" w:rsidRPr="0060123D" w:rsidRDefault="0019443D"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The articles 1,</w:t>
      </w:r>
      <w:r w:rsidR="00CE6B6F" w:rsidRPr="0060123D">
        <w:rPr>
          <w:rFonts w:ascii="Times New Roman" w:hAnsi="Times New Roman"/>
          <w:sz w:val="24"/>
          <w:szCs w:val="24"/>
        </w:rPr>
        <w:t xml:space="preserve"> </w:t>
      </w:r>
      <w:r w:rsidRPr="0060123D">
        <w:rPr>
          <w:rFonts w:ascii="Times New Roman" w:hAnsi="Times New Roman"/>
          <w:sz w:val="24"/>
          <w:szCs w:val="24"/>
        </w:rPr>
        <w:t>2,</w:t>
      </w:r>
      <w:r w:rsidR="00CE6B6F" w:rsidRPr="0060123D">
        <w:rPr>
          <w:rFonts w:ascii="Times New Roman" w:hAnsi="Times New Roman"/>
          <w:sz w:val="24"/>
          <w:szCs w:val="24"/>
        </w:rPr>
        <w:t xml:space="preserve"> </w:t>
      </w:r>
      <w:r w:rsidRPr="0060123D">
        <w:rPr>
          <w:rFonts w:ascii="Times New Roman" w:hAnsi="Times New Roman"/>
          <w:sz w:val="24"/>
          <w:szCs w:val="24"/>
        </w:rPr>
        <w:t>3</w:t>
      </w:r>
      <w:r w:rsidR="00CE6B6F" w:rsidRPr="0060123D">
        <w:rPr>
          <w:rFonts w:ascii="Times New Roman" w:hAnsi="Times New Roman"/>
          <w:sz w:val="24"/>
          <w:szCs w:val="24"/>
        </w:rPr>
        <w:t>, 4</w:t>
      </w:r>
      <w:r w:rsidRPr="0060123D">
        <w:rPr>
          <w:rFonts w:ascii="Times New Roman" w:hAnsi="Times New Roman"/>
          <w:sz w:val="24"/>
          <w:szCs w:val="24"/>
        </w:rPr>
        <w:t xml:space="preserve"> of the UNDROP enumerate and develop a protection of the rights of the small holder and communities of rural population. The definition and scope on the sea nomads is </w:t>
      </w:r>
      <w:r w:rsidR="00CE6B6F" w:rsidRPr="0060123D">
        <w:rPr>
          <w:rFonts w:ascii="Times New Roman" w:hAnsi="Times New Roman"/>
          <w:sz w:val="24"/>
          <w:szCs w:val="24"/>
        </w:rPr>
        <w:t xml:space="preserve">arising </w:t>
      </w:r>
      <w:r w:rsidRPr="0060123D">
        <w:rPr>
          <w:rFonts w:ascii="Times New Roman" w:hAnsi="Times New Roman"/>
          <w:sz w:val="24"/>
          <w:szCs w:val="24"/>
        </w:rPr>
        <w:t xml:space="preserve">from the provision on, i.e., </w:t>
      </w:r>
    </w:p>
    <w:p w:rsidR="00CE6B6F" w:rsidRPr="0060123D" w:rsidRDefault="00CE6B6F" w:rsidP="00CE6B6F">
      <w:pPr>
        <w:tabs>
          <w:tab w:val="left" w:pos="360"/>
        </w:tabs>
        <w:spacing w:after="0" w:line="240" w:lineRule="auto"/>
        <w:ind w:left="360"/>
        <w:jc w:val="both"/>
        <w:rPr>
          <w:rFonts w:ascii="Times New Roman" w:hAnsi="Times New Roman"/>
          <w:sz w:val="24"/>
          <w:szCs w:val="24"/>
        </w:rPr>
      </w:pPr>
    </w:p>
    <w:p w:rsidR="00CE6B6F" w:rsidRPr="0060123D" w:rsidRDefault="0019443D" w:rsidP="00CE6B6F">
      <w:p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 xml:space="preserve">“….any person who engages or who seeks to engage, alone, or in association with others or as a community, in small-scale “agriculture” </w:t>
      </w:r>
      <w:r w:rsidR="00CE6B6F" w:rsidRPr="0060123D">
        <w:rPr>
          <w:rFonts w:ascii="Times New Roman" w:hAnsi="Times New Roman"/>
          <w:sz w:val="24"/>
          <w:szCs w:val="24"/>
        </w:rPr>
        <w:t>[</w:t>
      </w:r>
      <w:r w:rsidRPr="0060123D">
        <w:rPr>
          <w:rFonts w:ascii="Times New Roman" w:hAnsi="Times New Roman"/>
          <w:sz w:val="24"/>
          <w:szCs w:val="24"/>
        </w:rPr>
        <w:t>aquaculture and aqua-ecosystem</w:t>
      </w:r>
      <w:r w:rsidR="00CE6B6F" w:rsidRPr="0060123D">
        <w:rPr>
          <w:rFonts w:ascii="Times New Roman" w:hAnsi="Times New Roman"/>
          <w:sz w:val="24"/>
          <w:szCs w:val="24"/>
        </w:rPr>
        <w:t>]</w:t>
      </w:r>
      <w:r w:rsidRPr="0060123D">
        <w:rPr>
          <w:rFonts w:ascii="Times New Roman" w:hAnsi="Times New Roman"/>
          <w:sz w:val="24"/>
          <w:szCs w:val="24"/>
        </w:rPr>
        <w:t xml:space="preserve"> </w:t>
      </w:r>
      <w:r w:rsidR="00CE6B6F" w:rsidRPr="0060123D">
        <w:rPr>
          <w:rFonts w:ascii="Times New Roman" w:hAnsi="Times New Roman"/>
          <w:sz w:val="24"/>
          <w:szCs w:val="24"/>
        </w:rPr>
        <w:t xml:space="preserve">for subsistence and/or for the market, and who relies significantly, though not necessarily exclusively, on family or household labour and non-monetized ways of </w:t>
      </w:r>
      <w:r w:rsidR="00CE6B6F" w:rsidRPr="0060123D">
        <w:rPr>
          <w:rFonts w:ascii="Times New Roman" w:hAnsi="Times New Roman"/>
          <w:sz w:val="24"/>
          <w:szCs w:val="24"/>
        </w:rPr>
        <w:lastRenderedPageBreak/>
        <w:t xml:space="preserve">organizing labour, and who has a special dependency on and attachment to “land” [“aqua-ecosystem”]. </w:t>
      </w:r>
    </w:p>
    <w:p w:rsidR="00CE6B6F" w:rsidRPr="0060123D" w:rsidRDefault="00CE6B6F" w:rsidP="00CE6B6F">
      <w:pPr>
        <w:tabs>
          <w:tab w:val="left" w:pos="360"/>
        </w:tabs>
        <w:spacing w:after="0" w:line="240" w:lineRule="auto"/>
        <w:ind w:left="360"/>
        <w:jc w:val="both"/>
        <w:rPr>
          <w:rFonts w:ascii="Times New Roman" w:hAnsi="Times New Roman"/>
          <w:sz w:val="24"/>
          <w:szCs w:val="24"/>
        </w:rPr>
      </w:pPr>
    </w:p>
    <w:p w:rsidR="00CE6B6F" w:rsidRPr="0060123D" w:rsidRDefault="00CE6B6F" w:rsidP="00CE6B6F">
      <w:p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….any person engaged in artisanal or small-scale [aquaculture], agriculture, crop planting, livestock raising, pastoralism, fishing, … hunting or gathering, and handicrafts related to “agriculture” [aquaculture and aqua-ecosystem], or a related occupation in a rural area. It also applies to dependent family members of “peasants” (sea nomads).</w:t>
      </w:r>
    </w:p>
    <w:p w:rsidR="00CE6B6F" w:rsidRPr="0060123D" w:rsidRDefault="00CE6B6F" w:rsidP="00CE6B6F">
      <w:pPr>
        <w:tabs>
          <w:tab w:val="left" w:pos="360"/>
        </w:tabs>
        <w:spacing w:after="0" w:line="240" w:lineRule="auto"/>
        <w:ind w:left="360"/>
        <w:jc w:val="both"/>
        <w:rPr>
          <w:rFonts w:ascii="Times New Roman" w:hAnsi="Times New Roman"/>
          <w:sz w:val="24"/>
          <w:szCs w:val="24"/>
        </w:rPr>
      </w:pPr>
    </w:p>
    <w:p w:rsidR="00CE6B6F" w:rsidRPr="0060123D" w:rsidRDefault="00CE6B6F" w:rsidP="00CE6B6F">
      <w:p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 indigenous peoples and local communities working on the land, transhumant, nomadic and semi-nomadic communities…</w:t>
      </w:r>
    </w:p>
    <w:p w:rsidR="00CE6B6F" w:rsidRPr="0060123D" w:rsidRDefault="00CE6B6F" w:rsidP="00CE6B6F">
      <w:pPr>
        <w:tabs>
          <w:tab w:val="left" w:pos="360"/>
        </w:tabs>
        <w:spacing w:after="0" w:line="240" w:lineRule="auto"/>
        <w:ind w:left="360"/>
        <w:jc w:val="both"/>
        <w:rPr>
          <w:rFonts w:ascii="Times New Roman" w:hAnsi="Times New Roman"/>
          <w:sz w:val="24"/>
          <w:szCs w:val="24"/>
        </w:rPr>
      </w:pPr>
    </w:p>
    <w:p w:rsidR="00CE6B6F" w:rsidRPr="0060123D" w:rsidRDefault="00CE6B6F" w:rsidP="00CE6B6F">
      <w:p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…hired workers, including all migrant workers regardless of their migration status, and seasonal workers, …..in aquaculture ….</w:t>
      </w:r>
    </w:p>
    <w:p w:rsidR="00CE6B6F" w:rsidRPr="0060123D" w:rsidRDefault="00CE6B6F" w:rsidP="00CE6B6F">
      <w:pPr>
        <w:tabs>
          <w:tab w:val="left" w:pos="360"/>
        </w:tabs>
        <w:spacing w:after="0" w:line="240" w:lineRule="auto"/>
        <w:jc w:val="both"/>
        <w:rPr>
          <w:rFonts w:ascii="Times New Roman" w:hAnsi="Times New Roman"/>
          <w:sz w:val="24"/>
          <w:szCs w:val="24"/>
        </w:rPr>
      </w:pPr>
    </w:p>
    <w:p w:rsidR="00CE6B6F" w:rsidRPr="0060123D" w:rsidRDefault="00CE6B6F" w:rsidP="00CE6B6F">
      <w:pPr>
        <w:tabs>
          <w:tab w:val="left" w:pos="360"/>
        </w:tabs>
        <w:spacing w:after="0" w:line="240" w:lineRule="auto"/>
        <w:ind w:left="360"/>
        <w:jc w:val="both"/>
        <w:rPr>
          <w:rFonts w:ascii="Times New Roman" w:hAnsi="Times New Roman"/>
          <w:sz w:val="24"/>
          <w:szCs w:val="24"/>
        </w:rPr>
      </w:pPr>
    </w:p>
    <w:p w:rsidR="00CE6B6F" w:rsidRPr="0060123D" w:rsidRDefault="0033073D"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 xml:space="preserve">Sea nomads </w:t>
      </w:r>
      <w:r w:rsidR="00267FE7" w:rsidRPr="0060123D">
        <w:rPr>
          <w:rFonts w:ascii="Times New Roman" w:hAnsi="Times New Roman"/>
          <w:sz w:val="24"/>
          <w:szCs w:val="24"/>
        </w:rPr>
        <w:t xml:space="preserve">lives </w:t>
      </w:r>
      <w:r w:rsidRPr="0060123D">
        <w:rPr>
          <w:rFonts w:ascii="Times New Roman" w:hAnsi="Times New Roman"/>
          <w:sz w:val="24"/>
          <w:szCs w:val="24"/>
        </w:rPr>
        <w:t xml:space="preserve">mostly </w:t>
      </w:r>
      <w:r w:rsidR="00267FE7" w:rsidRPr="0060123D">
        <w:rPr>
          <w:rFonts w:ascii="Times New Roman" w:hAnsi="Times New Roman"/>
          <w:sz w:val="24"/>
          <w:szCs w:val="24"/>
        </w:rPr>
        <w:t xml:space="preserve">in </w:t>
      </w:r>
      <w:r w:rsidRPr="0060123D">
        <w:rPr>
          <w:rFonts w:ascii="Times New Roman" w:hAnsi="Times New Roman"/>
          <w:sz w:val="24"/>
          <w:szCs w:val="24"/>
        </w:rPr>
        <w:t xml:space="preserve">sea (blue and </w:t>
      </w:r>
      <w:r w:rsidR="00267FE7" w:rsidRPr="0060123D">
        <w:rPr>
          <w:rFonts w:ascii="Times New Roman" w:hAnsi="Times New Roman"/>
          <w:sz w:val="24"/>
          <w:szCs w:val="24"/>
        </w:rPr>
        <w:t xml:space="preserve">green water), </w:t>
      </w:r>
      <w:r w:rsidRPr="0060123D">
        <w:rPr>
          <w:rFonts w:ascii="Times New Roman" w:hAnsi="Times New Roman"/>
          <w:sz w:val="24"/>
          <w:szCs w:val="24"/>
        </w:rPr>
        <w:t>aqua</w:t>
      </w:r>
      <w:r w:rsidR="00267FE7" w:rsidRPr="0060123D">
        <w:rPr>
          <w:rFonts w:ascii="Times New Roman" w:hAnsi="Times New Roman"/>
          <w:sz w:val="24"/>
          <w:szCs w:val="24"/>
        </w:rPr>
        <w:t>-</w:t>
      </w:r>
      <w:r w:rsidRPr="0060123D">
        <w:rPr>
          <w:rFonts w:ascii="Times New Roman" w:hAnsi="Times New Roman"/>
          <w:sz w:val="24"/>
          <w:szCs w:val="24"/>
        </w:rPr>
        <w:t>ecosystem</w:t>
      </w:r>
      <w:r w:rsidR="00267FE7" w:rsidRPr="0060123D">
        <w:rPr>
          <w:rFonts w:ascii="Times New Roman" w:hAnsi="Times New Roman"/>
          <w:sz w:val="24"/>
          <w:szCs w:val="24"/>
        </w:rPr>
        <w:t xml:space="preserve">, in parcels and/or wide ecosystem of islands. They live mostly lives in vast areas, possibly covering several countries altogether, mostly in archipelagic areas. “Bajau”, the sea nomads of Southeast Asia, live mostly in Indonesia, but also moves and lives in the Philippines, and Malaysia. They strongly identified themselves with aqua-ecosystem where they live and foster their historical position, and values the meaning and practice of “movement in the water”. In several cases, they move across states (administrative term of country), and did not fit fully with the </w:t>
      </w:r>
      <w:r w:rsidR="00BB5025" w:rsidRPr="0060123D">
        <w:rPr>
          <w:rFonts w:ascii="Times New Roman" w:hAnsi="Times New Roman"/>
          <w:sz w:val="24"/>
          <w:szCs w:val="24"/>
        </w:rPr>
        <w:t xml:space="preserve">established </w:t>
      </w:r>
      <w:r w:rsidR="00267FE7" w:rsidRPr="0060123D">
        <w:rPr>
          <w:rFonts w:ascii="Times New Roman" w:hAnsi="Times New Roman"/>
          <w:sz w:val="24"/>
          <w:szCs w:val="24"/>
        </w:rPr>
        <w:t>system of</w:t>
      </w:r>
      <w:r w:rsidR="00BB5025" w:rsidRPr="0060123D">
        <w:rPr>
          <w:rFonts w:ascii="Times New Roman" w:hAnsi="Times New Roman"/>
          <w:sz w:val="24"/>
          <w:szCs w:val="24"/>
        </w:rPr>
        <w:t xml:space="preserve"> tenure. </w:t>
      </w:r>
      <w:r w:rsidR="00267FE7" w:rsidRPr="0060123D">
        <w:rPr>
          <w:rFonts w:ascii="Times New Roman" w:hAnsi="Times New Roman"/>
          <w:sz w:val="24"/>
          <w:szCs w:val="24"/>
        </w:rPr>
        <w:t xml:space="preserve"> </w:t>
      </w:r>
    </w:p>
    <w:p w:rsidR="00483013" w:rsidRPr="0060123D" w:rsidRDefault="00483013" w:rsidP="00483013">
      <w:pPr>
        <w:tabs>
          <w:tab w:val="left" w:pos="360"/>
        </w:tabs>
        <w:spacing w:after="0" w:line="240" w:lineRule="auto"/>
        <w:ind w:left="360"/>
        <w:jc w:val="both"/>
        <w:rPr>
          <w:rFonts w:ascii="Times New Roman" w:hAnsi="Times New Roman"/>
          <w:sz w:val="24"/>
          <w:szCs w:val="24"/>
        </w:rPr>
      </w:pPr>
    </w:p>
    <w:p w:rsidR="00483013" w:rsidRPr="0060123D" w:rsidRDefault="00483013"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 xml:space="preserve">For quick reference, this contribution </w:t>
      </w:r>
      <w:r w:rsidR="00C10D2A" w:rsidRPr="0060123D">
        <w:rPr>
          <w:rFonts w:ascii="Times New Roman" w:hAnsi="Times New Roman"/>
          <w:sz w:val="24"/>
          <w:szCs w:val="24"/>
        </w:rPr>
        <w:t xml:space="preserve">attach an </w:t>
      </w:r>
      <w:r w:rsidRPr="0060123D">
        <w:rPr>
          <w:rFonts w:ascii="Times New Roman" w:hAnsi="Times New Roman"/>
          <w:sz w:val="24"/>
          <w:szCs w:val="24"/>
        </w:rPr>
        <w:t xml:space="preserve">annex a reference on Indonesian Sea Nomads.  </w:t>
      </w:r>
    </w:p>
    <w:p w:rsidR="0019443D" w:rsidRPr="0060123D" w:rsidRDefault="0019443D" w:rsidP="0019443D">
      <w:pPr>
        <w:tabs>
          <w:tab w:val="left" w:pos="360"/>
        </w:tabs>
        <w:spacing w:after="0" w:line="240" w:lineRule="auto"/>
        <w:jc w:val="both"/>
        <w:rPr>
          <w:rFonts w:ascii="Times New Roman" w:hAnsi="Times New Roman"/>
          <w:sz w:val="24"/>
          <w:szCs w:val="24"/>
        </w:rPr>
      </w:pPr>
    </w:p>
    <w:p w:rsidR="00C10D2A" w:rsidRPr="0060123D" w:rsidRDefault="00C10D2A" w:rsidP="0019443D">
      <w:pPr>
        <w:tabs>
          <w:tab w:val="left" w:pos="360"/>
        </w:tabs>
        <w:spacing w:after="0" w:line="240" w:lineRule="auto"/>
        <w:jc w:val="both"/>
        <w:rPr>
          <w:rFonts w:ascii="Times New Roman" w:hAnsi="Times New Roman"/>
          <w:sz w:val="24"/>
          <w:szCs w:val="24"/>
        </w:rPr>
      </w:pPr>
    </w:p>
    <w:p w:rsidR="00267FE7" w:rsidRPr="0060123D" w:rsidRDefault="00267FE7" w:rsidP="0019443D">
      <w:pPr>
        <w:tabs>
          <w:tab w:val="left" w:pos="360"/>
        </w:tabs>
        <w:spacing w:after="0" w:line="240" w:lineRule="auto"/>
        <w:jc w:val="both"/>
        <w:rPr>
          <w:rFonts w:ascii="Times New Roman" w:hAnsi="Times New Roman"/>
          <w:sz w:val="24"/>
          <w:szCs w:val="24"/>
        </w:rPr>
      </w:pPr>
    </w:p>
    <w:p w:rsidR="00BB5025" w:rsidRPr="0060123D" w:rsidRDefault="00BB5025" w:rsidP="0019443D">
      <w:pPr>
        <w:tabs>
          <w:tab w:val="left" w:pos="360"/>
        </w:tabs>
        <w:spacing w:after="0" w:line="240" w:lineRule="auto"/>
        <w:jc w:val="both"/>
        <w:rPr>
          <w:rFonts w:ascii="Times New Roman" w:hAnsi="Times New Roman"/>
          <w:b/>
          <w:bCs/>
          <w:sz w:val="24"/>
          <w:szCs w:val="24"/>
        </w:rPr>
      </w:pPr>
      <w:r w:rsidRPr="0060123D">
        <w:rPr>
          <w:rFonts w:ascii="Times New Roman" w:hAnsi="Times New Roman"/>
          <w:b/>
          <w:bCs/>
          <w:sz w:val="24"/>
          <w:szCs w:val="24"/>
        </w:rPr>
        <w:t xml:space="preserve">NORMATIVE CONTENT IN THE GC RIGHT TO LAND </w:t>
      </w:r>
    </w:p>
    <w:p w:rsidR="00483013" w:rsidRPr="0060123D" w:rsidRDefault="00483013" w:rsidP="0019443D">
      <w:pPr>
        <w:tabs>
          <w:tab w:val="left" w:pos="360"/>
        </w:tabs>
        <w:spacing w:after="0" w:line="240" w:lineRule="auto"/>
        <w:jc w:val="both"/>
        <w:rPr>
          <w:rFonts w:ascii="Times New Roman" w:hAnsi="Times New Roman"/>
          <w:sz w:val="24"/>
          <w:szCs w:val="24"/>
        </w:rPr>
      </w:pPr>
    </w:p>
    <w:p w:rsidR="00267FE7" w:rsidRPr="0060123D" w:rsidRDefault="00F047EE"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 xml:space="preserve">Para 4, 6, 7 </w:t>
      </w:r>
    </w:p>
    <w:p w:rsidR="00F047EE" w:rsidRPr="0060123D" w:rsidRDefault="00F047EE" w:rsidP="00F047EE">
      <w:pPr>
        <w:tabs>
          <w:tab w:val="left" w:pos="360"/>
        </w:tabs>
        <w:spacing w:after="0" w:line="240" w:lineRule="auto"/>
        <w:jc w:val="both"/>
        <w:rPr>
          <w:rFonts w:ascii="Times New Roman" w:hAnsi="Times New Roman"/>
          <w:sz w:val="24"/>
          <w:szCs w:val="24"/>
        </w:rPr>
      </w:pPr>
      <w:r w:rsidRPr="0060123D">
        <w:rPr>
          <w:rFonts w:ascii="Times New Roman" w:hAnsi="Times New Roman"/>
          <w:sz w:val="24"/>
          <w:szCs w:val="24"/>
        </w:rPr>
        <w:t>They set</w:t>
      </w:r>
      <w:r w:rsidR="006772B9" w:rsidRPr="0060123D">
        <w:rPr>
          <w:rFonts w:ascii="Times New Roman" w:hAnsi="Times New Roman"/>
          <w:sz w:val="24"/>
          <w:szCs w:val="24"/>
        </w:rPr>
        <w:t xml:space="preserve"> the scope and extension of </w:t>
      </w:r>
      <w:r w:rsidRPr="0060123D">
        <w:rPr>
          <w:rFonts w:ascii="Times New Roman" w:hAnsi="Times New Roman"/>
          <w:sz w:val="24"/>
          <w:szCs w:val="24"/>
        </w:rPr>
        <w:t>land in terms of</w:t>
      </w:r>
      <w:r w:rsidR="006772B9" w:rsidRPr="0060123D">
        <w:rPr>
          <w:rFonts w:ascii="Times New Roman" w:hAnsi="Times New Roman"/>
          <w:sz w:val="24"/>
          <w:szCs w:val="24"/>
        </w:rPr>
        <w:t>/ in forms of</w:t>
      </w:r>
      <w:r w:rsidRPr="0060123D">
        <w:rPr>
          <w:rFonts w:ascii="Times New Roman" w:hAnsi="Times New Roman"/>
          <w:sz w:val="24"/>
          <w:szCs w:val="24"/>
        </w:rPr>
        <w:t xml:space="preserve"> natural resources, ecosystem (including aqua-ecosystem) which defines the life of sea nomads. These paras relate with the articles of 16</w:t>
      </w:r>
      <w:r w:rsidR="00316567" w:rsidRPr="0060123D">
        <w:rPr>
          <w:rFonts w:ascii="Times New Roman" w:hAnsi="Times New Roman"/>
          <w:sz w:val="24"/>
          <w:szCs w:val="24"/>
        </w:rPr>
        <w:t xml:space="preserve"> and 17</w:t>
      </w:r>
      <w:r w:rsidRPr="0060123D">
        <w:rPr>
          <w:rFonts w:ascii="Times New Roman" w:hAnsi="Times New Roman"/>
          <w:sz w:val="24"/>
          <w:szCs w:val="24"/>
        </w:rPr>
        <w:t xml:space="preserve"> of UNDROP on the adequate standard of living</w:t>
      </w:r>
      <w:r w:rsidR="00316567" w:rsidRPr="0060123D">
        <w:rPr>
          <w:rFonts w:ascii="Times New Roman" w:hAnsi="Times New Roman"/>
          <w:sz w:val="24"/>
          <w:szCs w:val="24"/>
        </w:rPr>
        <w:t xml:space="preserve"> and recognition of the “sea nomads” in the place and ecosystem where they live.  </w:t>
      </w:r>
      <w:r w:rsidRPr="0060123D">
        <w:rPr>
          <w:rFonts w:ascii="Times New Roman" w:hAnsi="Times New Roman"/>
          <w:sz w:val="24"/>
          <w:szCs w:val="24"/>
        </w:rPr>
        <w:t xml:space="preserve">Land, in terms of aqua-ecosystem, is fundamental in the livelihood of sea nomads    </w:t>
      </w:r>
    </w:p>
    <w:p w:rsidR="00F047EE" w:rsidRPr="0060123D" w:rsidRDefault="00F047EE" w:rsidP="00F047EE">
      <w:pPr>
        <w:tabs>
          <w:tab w:val="left" w:pos="360"/>
        </w:tabs>
        <w:spacing w:after="0" w:line="240" w:lineRule="auto"/>
        <w:jc w:val="both"/>
        <w:rPr>
          <w:rFonts w:ascii="Times New Roman" w:hAnsi="Times New Roman"/>
          <w:sz w:val="24"/>
          <w:szCs w:val="24"/>
        </w:rPr>
      </w:pPr>
    </w:p>
    <w:p w:rsidR="00F047EE" w:rsidRPr="0060123D" w:rsidRDefault="00483013" w:rsidP="00F047EE">
      <w:pPr>
        <w:tabs>
          <w:tab w:val="left" w:pos="360"/>
        </w:tabs>
        <w:spacing w:after="0" w:line="240" w:lineRule="auto"/>
        <w:jc w:val="both"/>
        <w:rPr>
          <w:rFonts w:ascii="Times New Roman" w:hAnsi="Times New Roman"/>
          <w:i/>
          <w:iCs/>
          <w:sz w:val="24"/>
          <w:szCs w:val="24"/>
        </w:rPr>
      </w:pPr>
      <w:r w:rsidRPr="0060123D">
        <w:rPr>
          <w:rFonts w:ascii="Times New Roman" w:hAnsi="Times New Roman"/>
          <w:i/>
          <w:iCs/>
          <w:sz w:val="24"/>
          <w:szCs w:val="24"/>
        </w:rPr>
        <w:t>W</w:t>
      </w:r>
      <w:r w:rsidR="00F047EE" w:rsidRPr="0060123D">
        <w:rPr>
          <w:rFonts w:ascii="Times New Roman" w:hAnsi="Times New Roman"/>
          <w:i/>
          <w:iCs/>
          <w:sz w:val="24"/>
          <w:szCs w:val="24"/>
        </w:rPr>
        <w:t xml:space="preserve">e would propose a reference to </w:t>
      </w:r>
      <w:r w:rsidR="00316567" w:rsidRPr="0060123D">
        <w:rPr>
          <w:rFonts w:ascii="Times New Roman" w:hAnsi="Times New Roman"/>
          <w:i/>
          <w:iCs/>
          <w:sz w:val="24"/>
          <w:szCs w:val="24"/>
        </w:rPr>
        <w:t xml:space="preserve">aqua-ecosystem. If not the word/term, then, there should be a paraphrase of the article 16 and 17 articulating aqua-ecosystem. </w:t>
      </w:r>
    </w:p>
    <w:p w:rsidR="00316567" w:rsidRPr="0060123D" w:rsidRDefault="00316567" w:rsidP="00F047EE">
      <w:pPr>
        <w:tabs>
          <w:tab w:val="left" w:pos="360"/>
        </w:tabs>
        <w:spacing w:after="0" w:line="240" w:lineRule="auto"/>
        <w:jc w:val="both"/>
        <w:rPr>
          <w:rFonts w:ascii="Times New Roman" w:hAnsi="Times New Roman"/>
          <w:sz w:val="24"/>
          <w:szCs w:val="24"/>
        </w:rPr>
      </w:pPr>
    </w:p>
    <w:p w:rsidR="00F047EE" w:rsidRPr="0060123D" w:rsidRDefault="00F047EE" w:rsidP="00F047EE">
      <w:pPr>
        <w:tabs>
          <w:tab w:val="left" w:pos="360"/>
        </w:tabs>
        <w:spacing w:after="0" w:line="240" w:lineRule="auto"/>
        <w:jc w:val="both"/>
        <w:rPr>
          <w:rFonts w:ascii="Times New Roman" w:hAnsi="Times New Roman"/>
          <w:sz w:val="24"/>
          <w:szCs w:val="24"/>
        </w:rPr>
      </w:pPr>
    </w:p>
    <w:p w:rsidR="00120284" w:rsidRPr="0060123D" w:rsidRDefault="00F047EE"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Para 5</w:t>
      </w:r>
      <w:r w:rsidR="006772B9" w:rsidRPr="0060123D">
        <w:rPr>
          <w:rFonts w:ascii="Times New Roman" w:hAnsi="Times New Roman"/>
          <w:sz w:val="24"/>
          <w:szCs w:val="24"/>
        </w:rPr>
        <w:t xml:space="preserve">, 1, 21, 23  </w:t>
      </w:r>
    </w:p>
    <w:p w:rsidR="00316567" w:rsidRPr="0060123D" w:rsidRDefault="00316567" w:rsidP="00316567">
      <w:pPr>
        <w:tabs>
          <w:tab w:val="left" w:pos="360"/>
        </w:tabs>
        <w:spacing w:after="0" w:line="240" w:lineRule="auto"/>
        <w:jc w:val="both"/>
        <w:rPr>
          <w:rFonts w:ascii="Times New Roman" w:hAnsi="Times New Roman"/>
          <w:sz w:val="24"/>
          <w:szCs w:val="24"/>
        </w:rPr>
      </w:pPr>
      <w:r w:rsidRPr="0060123D">
        <w:rPr>
          <w:rFonts w:ascii="Times New Roman" w:hAnsi="Times New Roman"/>
          <w:sz w:val="24"/>
          <w:szCs w:val="24"/>
        </w:rPr>
        <w:t xml:space="preserve">This </w:t>
      </w:r>
      <w:r w:rsidR="006772B9" w:rsidRPr="0060123D">
        <w:rPr>
          <w:rFonts w:ascii="Times New Roman" w:hAnsi="Times New Roman"/>
          <w:sz w:val="24"/>
          <w:szCs w:val="24"/>
        </w:rPr>
        <w:t xml:space="preserve">provision </w:t>
      </w:r>
      <w:r w:rsidRPr="0060123D">
        <w:rPr>
          <w:rFonts w:ascii="Times New Roman" w:hAnsi="Times New Roman"/>
          <w:sz w:val="24"/>
          <w:szCs w:val="24"/>
        </w:rPr>
        <w:t>explain</w:t>
      </w:r>
      <w:r w:rsidR="006772B9" w:rsidRPr="0060123D">
        <w:rPr>
          <w:rFonts w:ascii="Times New Roman" w:hAnsi="Times New Roman"/>
          <w:sz w:val="24"/>
          <w:szCs w:val="24"/>
        </w:rPr>
        <w:t>s</w:t>
      </w:r>
      <w:r w:rsidRPr="0060123D">
        <w:rPr>
          <w:rFonts w:ascii="Times New Roman" w:hAnsi="Times New Roman"/>
          <w:sz w:val="24"/>
          <w:szCs w:val="24"/>
        </w:rPr>
        <w:t xml:space="preserve"> </w:t>
      </w:r>
      <w:r w:rsidR="006772B9" w:rsidRPr="0060123D">
        <w:rPr>
          <w:rFonts w:ascii="Times New Roman" w:hAnsi="Times New Roman"/>
          <w:sz w:val="24"/>
          <w:szCs w:val="24"/>
        </w:rPr>
        <w:t xml:space="preserve">a </w:t>
      </w:r>
      <w:r w:rsidRPr="0060123D">
        <w:rPr>
          <w:rFonts w:ascii="Times New Roman" w:hAnsi="Times New Roman"/>
          <w:sz w:val="24"/>
          <w:szCs w:val="24"/>
        </w:rPr>
        <w:t xml:space="preserve">land [aqua-ecosystem] as social and cultural reality. This para relates with the article 17.3, 19.1.(c), 20.2 </w:t>
      </w:r>
      <w:r w:rsidR="006772B9" w:rsidRPr="0060123D">
        <w:rPr>
          <w:rFonts w:ascii="Times New Roman" w:hAnsi="Times New Roman"/>
          <w:sz w:val="24"/>
          <w:szCs w:val="24"/>
        </w:rPr>
        <w:t xml:space="preserve">of the UNDROP </w:t>
      </w:r>
      <w:r w:rsidRPr="0060123D">
        <w:rPr>
          <w:rFonts w:ascii="Times New Roman" w:hAnsi="Times New Roman"/>
          <w:sz w:val="24"/>
          <w:szCs w:val="24"/>
        </w:rPr>
        <w:t>on the “identity” and/or “rights holder”</w:t>
      </w:r>
      <w:r w:rsidR="006772B9" w:rsidRPr="0060123D">
        <w:rPr>
          <w:rFonts w:ascii="Times New Roman" w:hAnsi="Times New Roman"/>
          <w:sz w:val="24"/>
          <w:szCs w:val="24"/>
        </w:rPr>
        <w:t xml:space="preserve"> i.e. </w:t>
      </w:r>
      <w:r w:rsidRPr="0060123D">
        <w:rPr>
          <w:rFonts w:ascii="Times New Roman" w:hAnsi="Times New Roman"/>
          <w:sz w:val="24"/>
          <w:szCs w:val="24"/>
        </w:rPr>
        <w:t xml:space="preserve">sea nomads. They live with a set of traditional knowledge, small-scale and indigenous pattern of livelihood.  </w:t>
      </w:r>
    </w:p>
    <w:p w:rsidR="00316567" w:rsidRPr="0060123D" w:rsidRDefault="00316567" w:rsidP="00316567">
      <w:pPr>
        <w:tabs>
          <w:tab w:val="left" w:pos="360"/>
        </w:tabs>
        <w:spacing w:after="0" w:line="240" w:lineRule="auto"/>
        <w:jc w:val="both"/>
        <w:rPr>
          <w:rFonts w:ascii="Times New Roman" w:hAnsi="Times New Roman"/>
          <w:sz w:val="24"/>
          <w:szCs w:val="24"/>
        </w:rPr>
      </w:pPr>
    </w:p>
    <w:p w:rsidR="00316567" w:rsidRPr="0060123D" w:rsidRDefault="00400092" w:rsidP="00316567">
      <w:pPr>
        <w:tabs>
          <w:tab w:val="left" w:pos="360"/>
        </w:tabs>
        <w:spacing w:after="0" w:line="240" w:lineRule="auto"/>
        <w:jc w:val="both"/>
        <w:rPr>
          <w:rFonts w:ascii="Times New Roman" w:hAnsi="Times New Roman"/>
          <w:i/>
          <w:iCs/>
          <w:sz w:val="24"/>
          <w:szCs w:val="24"/>
        </w:rPr>
      </w:pPr>
      <w:r w:rsidRPr="0060123D">
        <w:rPr>
          <w:rFonts w:ascii="Times New Roman" w:hAnsi="Times New Roman"/>
          <w:i/>
          <w:iCs/>
          <w:sz w:val="24"/>
          <w:szCs w:val="24"/>
        </w:rPr>
        <w:t>W</w:t>
      </w:r>
      <w:r w:rsidR="00316567" w:rsidRPr="0060123D">
        <w:rPr>
          <w:rFonts w:ascii="Times New Roman" w:hAnsi="Times New Roman"/>
          <w:i/>
          <w:iCs/>
          <w:sz w:val="24"/>
          <w:szCs w:val="24"/>
        </w:rPr>
        <w:t xml:space="preserve">e would propose a reference to “sea nomads” as key term in explaining social and cultural (and historical) reality </w:t>
      </w:r>
    </w:p>
    <w:p w:rsidR="00316567" w:rsidRPr="0060123D" w:rsidRDefault="00316567" w:rsidP="00316567">
      <w:pPr>
        <w:tabs>
          <w:tab w:val="left" w:pos="360"/>
        </w:tabs>
        <w:spacing w:after="0" w:line="240" w:lineRule="auto"/>
        <w:jc w:val="both"/>
        <w:rPr>
          <w:rFonts w:ascii="Times New Roman" w:hAnsi="Times New Roman"/>
          <w:sz w:val="24"/>
          <w:szCs w:val="24"/>
        </w:rPr>
      </w:pPr>
    </w:p>
    <w:p w:rsidR="006772B9" w:rsidRPr="0060123D" w:rsidRDefault="006772B9" w:rsidP="00316567">
      <w:pPr>
        <w:tabs>
          <w:tab w:val="left" w:pos="360"/>
        </w:tabs>
        <w:spacing w:after="0" w:line="240" w:lineRule="auto"/>
        <w:jc w:val="both"/>
        <w:rPr>
          <w:rFonts w:ascii="Times New Roman" w:hAnsi="Times New Roman"/>
          <w:sz w:val="24"/>
          <w:szCs w:val="24"/>
        </w:rPr>
      </w:pPr>
    </w:p>
    <w:p w:rsidR="00F047EE" w:rsidRPr="0060123D" w:rsidRDefault="006772B9" w:rsidP="000C43CD">
      <w:pPr>
        <w:numPr>
          <w:ilvl w:val="0"/>
          <w:numId w:val="15"/>
        </w:numPr>
        <w:tabs>
          <w:tab w:val="left" w:pos="360"/>
        </w:tabs>
        <w:spacing w:after="0" w:line="240" w:lineRule="auto"/>
        <w:ind w:left="360"/>
        <w:jc w:val="both"/>
        <w:rPr>
          <w:rFonts w:ascii="Times New Roman" w:hAnsi="Times New Roman"/>
          <w:sz w:val="24"/>
          <w:szCs w:val="24"/>
        </w:rPr>
      </w:pPr>
      <w:r w:rsidRPr="0060123D">
        <w:rPr>
          <w:rFonts w:ascii="Times New Roman" w:hAnsi="Times New Roman"/>
          <w:sz w:val="24"/>
          <w:szCs w:val="24"/>
        </w:rPr>
        <w:t>Para 25</w:t>
      </w:r>
    </w:p>
    <w:p w:rsidR="006772B9" w:rsidRPr="0060123D" w:rsidRDefault="006772B9" w:rsidP="006772B9">
      <w:pPr>
        <w:tabs>
          <w:tab w:val="left" w:pos="360"/>
        </w:tabs>
        <w:spacing w:after="0" w:line="240" w:lineRule="auto"/>
        <w:jc w:val="both"/>
        <w:rPr>
          <w:rFonts w:ascii="Times New Roman" w:hAnsi="Times New Roman"/>
          <w:sz w:val="24"/>
          <w:szCs w:val="24"/>
        </w:rPr>
      </w:pPr>
      <w:r w:rsidRPr="0060123D">
        <w:rPr>
          <w:rFonts w:ascii="Times New Roman" w:hAnsi="Times New Roman"/>
          <w:sz w:val="24"/>
          <w:szCs w:val="24"/>
        </w:rPr>
        <w:t xml:space="preserve">This provision set a protection against forced eviction. These paras relate with the article of 17.4 and 24.2 of the UNDROP on the protection against forced eviction. The rule </w:t>
      </w:r>
      <w:r w:rsidR="00BB5025" w:rsidRPr="0060123D">
        <w:rPr>
          <w:rFonts w:ascii="Times New Roman" w:hAnsi="Times New Roman"/>
          <w:sz w:val="24"/>
          <w:szCs w:val="24"/>
        </w:rPr>
        <w:t>on tenure</w:t>
      </w:r>
      <w:r w:rsidRPr="0060123D">
        <w:rPr>
          <w:rFonts w:ascii="Times New Roman" w:hAnsi="Times New Roman"/>
          <w:sz w:val="24"/>
          <w:szCs w:val="24"/>
        </w:rPr>
        <w:t xml:space="preserve"> in one country often based on the regulatory foundation of the state -meaning </w:t>
      </w:r>
      <w:r w:rsidR="00BB5025" w:rsidRPr="0060123D">
        <w:rPr>
          <w:rFonts w:ascii="Times New Roman" w:hAnsi="Times New Roman"/>
          <w:sz w:val="24"/>
          <w:szCs w:val="24"/>
        </w:rPr>
        <w:t xml:space="preserve">based on </w:t>
      </w:r>
      <w:r w:rsidRPr="0060123D">
        <w:rPr>
          <w:rFonts w:ascii="Times New Roman" w:hAnsi="Times New Roman"/>
          <w:sz w:val="24"/>
          <w:szCs w:val="24"/>
        </w:rPr>
        <w:t xml:space="preserve">one address or schedule, and </w:t>
      </w:r>
      <w:r w:rsidR="00BB5025" w:rsidRPr="0060123D">
        <w:rPr>
          <w:rFonts w:ascii="Times New Roman" w:hAnsi="Times New Roman"/>
          <w:sz w:val="24"/>
          <w:szCs w:val="24"/>
        </w:rPr>
        <w:t xml:space="preserve">on </w:t>
      </w:r>
      <w:r w:rsidRPr="0060123D">
        <w:rPr>
          <w:rFonts w:ascii="Times New Roman" w:hAnsi="Times New Roman"/>
          <w:sz w:val="24"/>
          <w:szCs w:val="24"/>
        </w:rPr>
        <w:lastRenderedPageBreak/>
        <w:t>regulations which foster sedentary li</w:t>
      </w:r>
      <w:r w:rsidR="00BB5025" w:rsidRPr="0060123D">
        <w:rPr>
          <w:rFonts w:ascii="Times New Roman" w:hAnsi="Times New Roman"/>
          <w:sz w:val="24"/>
          <w:szCs w:val="24"/>
        </w:rPr>
        <w:t>f</w:t>
      </w:r>
      <w:r w:rsidRPr="0060123D">
        <w:rPr>
          <w:rFonts w:ascii="Times New Roman" w:hAnsi="Times New Roman"/>
          <w:sz w:val="24"/>
          <w:szCs w:val="24"/>
        </w:rPr>
        <w:t xml:space="preserve">e. This </w:t>
      </w:r>
      <w:r w:rsidR="00400092" w:rsidRPr="0060123D">
        <w:rPr>
          <w:rFonts w:ascii="Times New Roman" w:hAnsi="Times New Roman"/>
          <w:sz w:val="24"/>
          <w:szCs w:val="24"/>
        </w:rPr>
        <w:t>disproportionately</w:t>
      </w:r>
      <w:r w:rsidRPr="0060123D">
        <w:rPr>
          <w:rFonts w:ascii="Times New Roman" w:hAnsi="Times New Roman"/>
          <w:sz w:val="24"/>
          <w:szCs w:val="24"/>
        </w:rPr>
        <w:t xml:space="preserve"> </w:t>
      </w:r>
      <w:r w:rsidR="00400092" w:rsidRPr="0060123D">
        <w:rPr>
          <w:rFonts w:ascii="Times New Roman" w:hAnsi="Times New Roman"/>
          <w:sz w:val="24"/>
          <w:szCs w:val="24"/>
        </w:rPr>
        <w:t>affec</w:t>
      </w:r>
      <w:r w:rsidR="00B555CC" w:rsidRPr="0060123D">
        <w:rPr>
          <w:rFonts w:ascii="Times New Roman" w:hAnsi="Times New Roman"/>
          <w:sz w:val="24"/>
          <w:szCs w:val="24"/>
        </w:rPr>
        <w:t>ts</w:t>
      </w:r>
      <w:r w:rsidR="00400092" w:rsidRPr="0060123D">
        <w:rPr>
          <w:rFonts w:ascii="Times New Roman" w:hAnsi="Times New Roman"/>
          <w:sz w:val="24"/>
          <w:szCs w:val="24"/>
        </w:rPr>
        <w:t xml:space="preserve"> sea nomads, and could forcibly evicts them from the route of seafaring or of livelihood. </w:t>
      </w:r>
    </w:p>
    <w:p w:rsidR="00400092" w:rsidRPr="0060123D" w:rsidRDefault="00400092" w:rsidP="006772B9">
      <w:pPr>
        <w:tabs>
          <w:tab w:val="left" w:pos="360"/>
        </w:tabs>
        <w:spacing w:after="0" w:line="240" w:lineRule="auto"/>
        <w:jc w:val="both"/>
        <w:rPr>
          <w:rFonts w:ascii="Times New Roman" w:hAnsi="Times New Roman"/>
          <w:sz w:val="24"/>
          <w:szCs w:val="24"/>
        </w:rPr>
      </w:pPr>
    </w:p>
    <w:p w:rsidR="00400092" w:rsidRPr="0060123D" w:rsidRDefault="00400092" w:rsidP="006772B9">
      <w:pPr>
        <w:tabs>
          <w:tab w:val="left" w:pos="360"/>
        </w:tabs>
        <w:spacing w:after="0" w:line="240" w:lineRule="auto"/>
        <w:jc w:val="both"/>
        <w:rPr>
          <w:rFonts w:ascii="Times New Roman" w:hAnsi="Times New Roman"/>
          <w:i/>
          <w:iCs/>
          <w:sz w:val="24"/>
          <w:szCs w:val="24"/>
        </w:rPr>
      </w:pPr>
      <w:r w:rsidRPr="0060123D">
        <w:rPr>
          <w:rFonts w:ascii="Times New Roman" w:hAnsi="Times New Roman"/>
          <w:i/>
          <w:iCs/>
          <w:sz w:val="24"/>
          <w:szCs w:val="24"/>
        </w:rPr>
        <w:t xml:space="preserve">We would propose a reference to additional explanation into “forced evictions”. Those should highlight the aqua-ecosystem and the vulnerability of sea nomads on matter of “forced evictions”. </w:t>
      </w:r>
    </w:p>
    <w:p w:rsidR="00400092" w:rsidRPr="0060123D" w:rsidRDefault="00400092" w:rsidP="006772B9">
      <w:pPr>
        <w:tabs>
          <w:tab w:val="left" w:pos="360"/>
        </w:tabs>
        <w:spacing w:after="0" w:line="240" w:lineRule="auto"/>
        <w:jc w:val="both"/>
        <w:rPr>
          <w:rFonts w:ascii="Times New Roman" w:hAnsi="Times New Roman"/>
          <w:sz w:val="24"/>
          <w:szCs w:val="24"/>
        </w:rPr>
      </w:pPr>
    </w:p>
    <w:p w:rsidR="00400092" w:rsidRPr="0060123D" w:rsidRDefault="00400092" w:rsidP="006772B9">
      <w:pPr>
        <w:tabs>
          <w:tab w:val="left" w:pos="360"/>
        </w:tabs>
        <w:spacing w:after="0" w:line="240" w:lineRule="auto"/>
        <w:jc w:val="both"/>
        <w:rPr>
          <w:rFonts w:ascii="Times New Roman" w:hAnsi="Times New Roman"/>
          <w:sz w:val="24"/>
          <w:szCs w:val="24"/>
        </w:rPr>
      </w:pPr>
    </w:p>
    <w:p w:rsidR="00400092" w:rsidRPr="0060123D" w:rsidRDefault="00400092" w:rsidP="006772B9">
      <w:pPr>
        <w:tabs>
          <w:tab w:val="left" w:pos="360"/>
        </w:tabs>
        <w:spacing w:after="0" w:line="240" w:lineRule="auto"/>
        <w:jc w:val="both"/>
        <w:rPr>
          <w:rFonts w:ascii="Times New Roman" w:hAnsi="Times New Roman"/>
          <w:sz w:val="24"/>
          <w:szCs w:val="24"/>
        </w:rPr>
      </w:pPr>
      <w:r w:rsidRPr="0060123D">
        <w:rPr>
          <w:rFonts w:ascii="Times New Roman" w:hAnsi="Times New Roman"/>
          <w:sz w:val="24"/>
          <w:szCs w:val="24"/>
        </w:rPr>
        <w:t xml:space="preserve">9. Para 38 </w:t>
      </w:r>
    </w:p>
    <w:p w:rsidR="00400092" w:rsidRPr="0060123D" w:rsidRDefault="00400092" w:rsidP="006772B9">
      <w:pPr>
        <w:tabs>
          <w:tab w:val="left" w:pos="360"/>
        </w:tabs>
        <w:spacing w:after="0" w:line="240" w:lineRule="auto"/>
        <w:jc w:val="both"/>
        <w:rPr>
          <w:rFonts w:ascii="Times New Roman" w:hAnsi="Times New Roman"/>
          <w:sz w:val="24"/>
          <w:szCs w:val="24"/>
        </w:rPr>
      </w:pPr>
      <w:r w:rsidRPr="0060123D">
        <w:rPr>
          <w:rFonts w:ascii="Times New Roman" w:hAnsi="Times New Roman"/>
          <w:sz w:val="24"/>
          <w:szCs w:val="24"/>
        </w:rPr>
        <w:t xml:space="preserve">This provision explains an extraterritorial obligation on implementation of Covenant obligation. This para relates with the article 7.2 and 27 of the UNDROP on freedom of movement and international cooperation. The reality of sea nomads hosts a wide forms and histories of “movement”. The obligation of the state is on facilitating and recognising this pattern of life. </w:t>
      </w:r>
    </w:p>
    <w:p w:rsidR="00400092" w:rsidRPr="0060123D" w:rsidRDefault="00400092" w:rsidP="006772B9">
      <w:pPr>
        <w:tabs>
          <w:tab w:val="left" w:pos="360"/>
        </w:tabs>
        <w:spacing w:after="0" w:line="240" w:lineRule="auto"/>
        <w:jc w:val="both"/>
        <w:rPr>
          <w:rFonts w:ascii="Times New Roman" w:hAnsi="Times New Roman"/>
          <w:sz w:val="24"/>
          <w:szCs w:val="24"/>
        </w:rPr>
      </w:pPr>
    </w:p>
    <w:p w:rsidR="00400092" w:rsidRPr="0060123D" w:rsidRDefault="00400092" w:rsidP="006772B9">
      <w:pPr>
        <w:tabs>
          <w:tab w:val="left" w:pos="360"/>
        </w:tabs>
        <w:spacing w:after="0" w:line="240" w:lineRule="auto"/>
        <w:jc w:val="both"/>
        <w:rPr>
          <w:rFonts w:ascii="Times New Roman" w:hAnsi="Times New Roman"/>
          <w:i/>
          <w:iCs/>
          <w:sz w:val="24"/>
          <w:szCs w:val="24"/>
        </w:rPr>
      </w:pPr>
      <w:r w:rsidRPr="0060123D">
        <w:rPr>
          <w:rFonts w:ascii="Times New Roman" w:hAnsi="Times New Roman"/>
          <w:i/>
          <w:iCs/>
          <w:sz w:val="24"/>
          <w:szCs w:val="24"/>
        </w:rPr>
        <w:t xml:space="preserve">We would propose a reference </w:t>
      </w:r>
      <w:r w:rsidR="009C53CA">
        <w:rPr>
          <w:rFonts w:ascii="Times New Roman" w:hAnsi="Times New Roman"/>
          <w:i/>
          <w:iCs/>
          <w:sz w:val="24"/>
          <w:szCs w:val="24"/>
        </w:rPr>
        <w:t>into</w:t>
      </w:r>
      <w:r w:rsidR="000253EF" w:rsidRPr="0060123D">
        <w:rPr>
          <w:rFonts w:ascii="Times New Roman" w:hAnsi="Times New Roman"/>
          <w:i/>
          <w:iCs/>
          <w:sz w:val="24"/>
          <w:szCs w:val="24"/>
        </w:rPr>
        <w:t xml:space="preserve"> </w:t>
      </w:r>
      <w:r w:rsidRPr="0060123D">
        <w:rPr>
          <w:rFonts w:ascii="Times New Roman" w:hAnsi="Times New Roman"/>
          <w:i/>
          <w:iCs/>
          <w:sz w:val="24"/>
          <w:szCs w:val="24"/>
        </w:rPr>
        <w:t xml:space="preserve">one form of extraterritorial obligation governing the movement of sea nomads, and undertaking an international cooperation onto it. </w:t>
      </w:r>
    </w:p>
    <w:p w:rsidR="00400092" w:rsidRPr="0060123D" w:rsidRDefault="00400092" w:rsidP="006772B9">
      <w:pPr>
        <w:tabs>
          <w:tab w:val="left" w:pos="360"/>
        </w:tabs>
        <w:spacing w:after="0" w:line="240" w:lineRule="auto"/>
        <w:jc w:val="both"/>
        <w:rPr>
          <w:rFonts w:ascii="Times New Roman" w:hAnsi="Times New Roman"/>
          <w:sz w:val="24"/>
          <w:szCs w:val="24"/>
        </w:rPr>
      </w:pPr>
    </w:p>
    <w:p w:rsidR="00400092" w:rsidRPr="0060123D" w:rsidRDefault="00400092" w:rsidP="006772B9">
      <w:pPr>
        <w:tabs>
          <w:tab w:val="left" w:pos="360"/>
        </w:tabs>
        <w:spacing w:after="0" w:line="240" w:lineRule="auto"/>
        <w:jc w:val="both"/>
        <w:rPr>
          <w:rFonts w:ascii="Times New Roman" w:hAnsi="Times New Roman"/>
          <w:sz w:val="24"/>
          <w:szCs w:val="24"/>
        </w:rPr>
      </w:pPr>
    </w:p>
    <w:p w:rsidR="00243B42" w:rsidRPr="0060123D" w:rsidRDefault="00243B42" w:rsidP="006772B9">
      <w:pPr>
        <w:tabs>
          <w:tab w:val="left" w:pos="360"/>
        </w:tabs>
        <w:spacing w:after="0" w:line="240" w:lineRule="auto"/>
        <w:jc w:val="both"/>
        <w:rPr>
          <w:rFonts w:ascii="Times New Roman" w:hAnsi="Times New Roman"/>
          <w:sz w:val="24"/>
          <w:szCs w:val="24"/>
        </w:rPr>
      </w:pPr>
    </w:p>
    <w:p w:rsidR="00AF794C" w:rsidRPr="0060123D" w:rsidRDefault="00243B42" w:rsidP="006772B9">
      <w:pPr>
        <w:tabs>
          <w:tab w:val="left" w:pos="360"/>
        </w:tabs>
        <w:spacing w:after="0" w:line="240" w:lineRule="auto"/>
        <w:jc w:val="both"/>
        <w:rPr>
          <w:rFonts w:ascii="Times New Roman" w:hAnsi="Times New Roman"/>
          <w:sz w:val="24"/>
          <w:szCs w:val="24"/>
        </w:rPr>
      </w:pPr>
      <w:r w:rsidRPr="0060123D">
        <w:rPr>
          <w:rFonts w:ascii="Times New Roman" w:hAnsi="Times New Roman"/>
          <w:sz w:val="24"/>
          <w:szCs w:val="24"/>
        </w:rPr>
        <w:t>___________________</w:t>
      </w:r>
    </w:p>
    <w:p w:rsidR="00AF794C" w:rsidRPr="0060123D" w:rsidRDefault="00AF794C" w:rsidP="006772B9">
      <w:pPr>
        <w:tabs>
          <w:tab w:val="left" w:pos="360"/>
        </w:tabs>
        <w:spacing w:after="0" w:line="240" w:lineRule="auto"/>
        <w:jc w:val="both"/>
        <w:rPr>
          <w:rFonts w:ascii="Times New Roman" w:hAnsi="Times New Roman"/>
          <w:sz w:val="24"/>
          <w:szCs w:val="24"/>
        </w:rPr>
      </w:pPr>
    </w:p>
    <w:p w:rsidR="00AF794C" w:rsidRPr="0060123D" w:rsidRDefault="00AF794C" w:rsidP="006772B9">
      <w:pPr>
        <w:tabs>
          <w:tab w:val="left" w:pos="360"/>
        </w:tabs>
        <w:spacing w:after="0" w:line="240" w:lineRule="auto"/>
        <w:jc w:val="both"/>
        <w:rPr>
          <w:rFonts w:ascii="Times New Roman" w:hAnsi="Times New Roman"/>
          <w:sz w:val="24"/>
          <w:szCs w:val="24"/>
        </w:rPr>
      </w:pPr>
    </w:p>
    <w:p w:rsidR="00C10D2A" w:rsidRPr="0060123D" w:rsidRDefault="00C10D2A" w:rsidP="006772B9">
      <w:pPr>
        <w:tabs>
          <w:tab w:val="left" w:pos="360"/>
        </w:tabs>
        <w:spacing w:after="0" w:line="240" w:lineRule="auto"/>
        <w:jc w:val="both"/>
        <w:rPr>
          <w:rFonts w:ascii="Times New Roman" w:hAnsi="Times New Roman"/>
          <w:sz w:val="24"/>
          <w:szCs w:val="24"/>
        </w:rPr>
      </w:pPr>
    </w:p>
    <w:p w:rsidR="00243B42" w:rsidRPr="0060123D" w:rsidRDefault="00243B42" w:rsidP="006772B9">
      <w:pPr>
        <w:tabs>
          <w:tab w:val="left" w:pos="360"/>
        </w:tabs>
        <w:spacing w:after="0" w:line="240" w:lineRule="auto"/>
        <w:jc w:val="both"/>
        <w:rPr>
          <w:rFonts w:ascii="Times New Roman" w:hAnsi="Times New Roman"/>
          <w:sz w:val="24"/>
          <w:szCs w:val="24"/>
        </w:rPr>
      </w:pPr>
    </w:p>
    <w:p w:rsidR="00AF794C" w:rsidRPr="000F6FCE" w:rsidRDefault="00AF794C" w:rsidP="006772B9">
      <w:pPr>
        <w:tabs>
          <w:tab w:val="left" w:pos="360"/>
        </w:tabs>
        <w:spacing w:after="0" w:line="240" w:lineRule="auto"/>
        <w:jc w:val="both"/>
        <w:rPr>
          <w:rFonts w:ascii="Times New Roman" w:hAnsi="Times New Roman"/>
          <w:b/>
          <w:bCs/>
          <w:sz w:val="28"/>
          <w:szCs w:val="28"/>
        </w:rPr>
      </w:pPr>
      <w:r w:rsidRPr="000F6FCE">
        <w:rPr>
          <w:rFonts w:ascii="Times New Roman" w:hAnsi="Times New Roman"/>
          <w:b/>
          <w:bCs/>
          <w:sz w:val="28"/>
          <w:szCs w:val="28"/>
        </w:rPr>
        <w:t xml:space="preserve">Annex </w:t>
      </w:r>
    </w:p>
    <w:p w:rsidR="00AF794C" w:rsidRPr="0060123D" w:rsidRDefault="00AF794C" w:rsidP="006772B9">
      <w:pPr>
        <w:tabs>
          <w:tab w:val="left" w:pos="360"/>
        </w:tabs>
        <w:spacing w:after="0" w:line="240" w:lineRule="auto"/>
        <w:jc w:val="both"/>
        <w:rPr>
          <w:rFonts w:ascii="Times New Roman" w:hAnsi="Times New Roman"/>
          <w:sz w:val="24"/>
          <w:szCs w:val="24"/>
        </w:rPr>
      </w:pPr>
    </w:p>
    <w:p w:rsidR="00AF794C" w:rsidRPr="0060123D" w:rsidRDefault="00AF794C" w:rsidP="00AF794C">
      <w:pPr>
        <w:spacing w:after="0" w:line="240" w:lineRule="auto"/>
        <w:rPr>
          <w:rFonts w:ascii="Times New Roman" w:hAnsi="Times New Roman"/>
          <w:i/>
          <w:iCs/>
          <w:sz w:val="28"/>
          <w:szCs w:val="28"/>
        </w:rPr>
      </w:pPr>
      <w:r w:rsidRPr="0060123D">
        <w:rPr>
          <w:rFonts w:ascii="Times New Roman" w:hAnsi="Times New Roman"/>
          <w:i/>
          <w:iCs/>
          <w:sz w:val="28"/>
          <w:szCs w:val="28"/>
        </w:rPr>
        <w:t xml:space="preserve">“Suku laut”, norm and recognition </w:t>
      </w:r>
    </w:p>
    <w:p w:rsidR="00AF794C" w:rsidRPr="0060123D" w:rsidRDefault="00AF794C" w:rsidP="00AF794C">
      <w:pPr>
        <w:spacing w:after="0" w:line="240" w:lineRule="auto"/>
        <w:rPr>
          <w:rFonts w:ascii="Times New Roman" w:hAnsi="Times New Roman"/>
          <w:sz w:val="24"/>
          <w:szCs w:val="24"/>
        </w:rPr>
      </w:pPr>
    </w:p>
    <w:p w:rsidR="00AF794C" w:rsidRPr="0060123D" w:rsidRDefault="00AF794C" w:rsidP="00AF794C">
      <w:pPr>
        <w:spacing w:after="0" w:line="240" w:lineRule="auto"/>
        <w:rPr>
          <w:rFonts w:ascii="Times New Roman" w:hAnsi="Times New Roman"/>
          <w:sz w:val="24"/>
          <w:szCs w:val="24"/>
        </w:rPr>
      </w:pPr>
      <w:r w:rsidRPr="0060123D">
        <w:rPr>
          <w:rFonts w:ascii="Times New Roman" w:hAnsi="Times New Roman"/>
          <w:sz w:val="24"/>
          <w:szCs w:val="24"/>
        </w:rPr>
        <w:t>Law Faculty Atma Jaya Yogyakarta University</w:t>
      </w:r>
    </w:p>
    <w:p w:rsidR="00AF794C" w:rsidRPr="0060123D" w:rsidRDefault="00AF794C" w:rsidP="00AF794C">
      <w:pPr>
        <w:spacing w:after="0" w:line="240" w:lineRule="auto"/>
        <w:rPr>
          <w:rFonts w:ascii="Times New Roman" w:hAnsi="Times New Roman"/>
          <w:sz w:val="24"/>
          <w:szCs w:val="24"/>
        </w:rPr>
      </w:pPr>
      <w:r w:rsidRPr="0060123D">
        <w:rPr>
          <w:rFonts w:ascii="Times New Roman" w:hAnsi="Times New Roman"/>
          <w:sz w:val="24"/>
          <w:szCs w:val="24"/>
        </w:rPr>
        <w:t>https://fh.uajy.ac.id/</w:t>
      </w:r>
    </w:p>
    <w:p w:rsidR="00AF794C" w:rsidRPr="0060123D" w:rsidRDefault="00AF794C" w:rsidP="00AF794C">
      <w:pPr>
        <w:spacing w:after="0" w:line="240" w:lineRule="auto"/>
        <w:rPr>
          <w:rFonts w:ascii="Times New Roman" w:hAnsi="Times New Roman"/>
          <w:sz w:val="24"/>
          <w:szCs w:val="24"/>
        </w:rPr>
      </w:pPr>
      <w:r w:rsidRPr="0060123D">
        <w:rPr>
          <w:rFonts w:ascii="Times New Roman" w:hAnsi="Times New Roman"/>
          <w:sz w:val="24"/>
          <w:szCs w:val="24"/>
        </w:rPr>
        <w:lastRenderedPageBreak/>
        <w:t xml:space="preserve">Indonesia </w:t>
      </w:r>
    </w:p>
    <w:p w:rsidR="00AF794C" w:rsidRPr="0060123D" w:rsidRDefault="00AF794C" w:rsidP="00AF794C">
      <w:pPr>
        <w:spacing w:after="0" w:line="240" w:lineRule="auto"/>
        <w:rPr>
          <w:rFonts w:ascii="Times New Roman" w:hAnsi="Times New Roman"/>
          <w:sz w:val="24"/>
          <w:szCs w:val="24"/>
        </w:rPr>
      </w:pPr>
    </w:p>
    <w:p w:rsidR="00AF794C" w:rsidRPr="0060123D" w:rsidRDefault="00AF794C" w:rsidP="00AF794C">
      <w:pPr>
        <w:spacing w:after="0" w:line="240" w:lineRule="auto"/>
        <w:rPr>
          <w:rFonts w:ascii="Times New Roman" w:hAnsi="Times New Roman"/>
          <w:sz w:val="24"/>
          <w:szCs w:val="24"/>
        </w:rPr>
      </w:pPr>
    </w:p>
    <w:p w:rsidR="00AF794C" w:rsidRPr="0060123D" w:rsidRDefault="00AF794C" w:rsidP="00AF794C">
      <w:pPr>
        <w:spacing w:after="0" w:line="240" w:lineRule="auto"/>
        <w:jc w:val="both"/>
        <w:rPr>
          <w:rFonts w:ascii="Times New Roman" w:hAnsi="Times New Roman"/>
          <w:sz w:val="24"/>
          <w:szCs w:val="24"/>
        </w:rPr>
      </w:pPr>
      <w:r w:rsidRPr="0060123D">
        <w:rPr>
          <w:rFonts w:ascii="Times New Roman" w:hAnsi="Times New Roman"/>
          <w:sz w:val="24"/>
          <w:szCs w:val="24"/>
        </w:rPr>
        <w:t xml:space="preserve">“Suku Laut” is known by Indonesian and by scholars around the world as </w:t>
      </w:r>
      <w:r w:rsidR="00C10D2A" w:rsidRPr="0060123D">
        <w:rPr>
          <w:rFonts w:ascii="Times New Roman" w:hAnsi="Times New Roman"/>
          <w:sz w:val="24"/>
          <w:szCs w:val="24"/>
        </w:rPr>
        <w:t>“sea nomads” and “</w:t>
      </w:r>
      <w:r w:rsidRPr="0060123D">
        <w:rPr>
          <w:rFonts w:ascii="Times New Roman" w:hAnsi="Times New Roman"/>
          <w:sz w:val="24"/>
          <w:szCs w:val="24"/>
        </w:rPr>
        <w:t>semi-nomadic communities</w:t>
      </w:r>
      <w:r w:rsidR="00243B42" w:rsidRPr="0060123D">
        <w:rPr>
          <w:rFonts w:ascii="Times New Roman" w:hAnsi="Times New Roman"/>
          <w:sz w:val="24"/>
          <w:szCs w:val="24"/>
        </w:rPr>
        <w:t>”</w:t>
      </w:r>
      <w:r w:rsidRPr="0060123D">
        <w:rPr>
          <w:rFonts w:ascii="Times New Roman" w:hAnsi="Times New Roman"/>
          <w:sz w:val="24"/>
          <w:szCs w:val="24"/>
        </w:rPr>
        <w:t xml:space="preserve"> living in archip</w:t>
      </w:r>
      <w:r w:rsidR="00C10D2A" w:rsidRPr="0060123D">
        <w:rPr>
          <w:rFonts w:ascii="Times New Roman" w:hAnsi="Times New Roman"/>
          <w:sz w:val="24"/>
          <w:szCs w:val="24"/>
        </w:rPr>
        <w:t>e</w:t>
      </w:r>
      <w:r w:rsidRPr="0060123D">
        <w:rPr>
          <w:rFonts w:ascii="Times New Roman" w:hAnsi="Times New Roman"/>
          <w:sz w:val="24"/>
          <w:szCs w:val="24"/>
        </w:rPr>
        <w:t xml:space="preserve">lago. Here, archipelago denotes Indonesia, and, by lesser extent to ecosystem of islands in the sea. “Suku laut” could be transliterated as sea-wanderer community though this transliteration is not precisely correct. At any rate, though, “Suku Laut” is to drawn here as “semi-nomadic communities living in archipelago”. </w:t>
      </w:r>
    </w:p>
    <w:p w:rsidR="00AF794C" w:rsidRPr="0060123D" w:rsidRDefault="00AF794C" w:rsidP="00AF794C">
      <w:pPr>
        <w:spacing w:after="0" w:line="240" w:lineRule="auto"/>
        <w:jc w:val="both"/>
        <w:rPr>
          <w:rFonts w:ascii="Times New Roman" w:hAnsi="Times New Roman"/>
          <w:sz w:val="24"/>
          <w:szCs w:val="24"/>
        </w:rPr>
      </w:pPr>
    </w:p>
    <w:p w:rsidR="00AF794C" w:rsidRPr="0060123D" w:rsidRDefault="00AF794C" w:rsidP="00AF794C">
      <w:pPr>
        <w:spacing w:after="0" w:line="240" w:lineRule="auto"/>
        <w:jc w:val="both"/>
        <w:rPr>
          <w:rFonts w:ascii="Times New Roman" w:hAnsi="Times New Roman"/>
          <w:sz w:val="24"/>
          <w:szCs w:val="24"/>
        </w:rPr>
      </w:pPr>
      <w:r w:rsidRPr="0060123D">
        <w:rPr>
          <w:rFonts w:ascii="Times New Roman" w:hAnsi="Times New Roman"/>
          <w:sz w:val="24"/>
          <w:szCs w:val="24"/>
        </w:rPr>
        <w:t xml:space="preserve">The communities are truly semi-nomadic. Both in pre-republic and during republic period, this communities living in semi-nomadic way in a very expansive maritime ecosystem. In a simple term, it is safe to say that they are living in </w:t>
      </w:r>
      <w:r w:rsidR="00C10D2A" w:rsidRPr="0060123D">
        <w:rPr>
          <w:rFonts w:ascii="Times New Roman" w:hAnsi="Times New Roman"/>
          <w:sz w:val="24"/>
          <w:szCs w:val="24"/>
        </w:rPr>
        <w:t>aqua-</w:t>
      </w:r>
      <w:r w:rsidRPr="0060123D">
        <w:rPr>
          <w:rFonts w:ascii="Times New Roman" w:hAnsi="Times New Roman"/>
          <w:sz w:val="24"/>
          <w:szCs w:val="24"/>
        </w:rPr>
        <w:t xml:space="preserve">ecosystem as vast as an area of </w:t>
      </w:r>
      <w:r w:rsidR="00C10D2A" w:rsidRPr="0060123D">
        <w:rPr>
          <w:rFonts w:ascii="Times New Roman" w:hAnsi="Times New Roman"/>
          <w:sz w:val="24"/>
          <w:szCs w:val="24"/>
        </w:rPr>
        <w:t>E</w:t>
      </w:r>
      <w:r w:rsidRPr="0060123D">
        <w:rPr>
          <w:rFonts w:ascii="Times New Roman" w:hAnsi="Times New Roman"/>
          <w:sz w:val="24"/>
          <w:szCs w:val="24"/>
        </w:rPr>
        <w:t xml:space="preserve">urope (though </w:t>
      </w:r>
      <w:r w:rsidR="00C10D2A" w:rsidRPr="0060123D">
        <w:rPr>
          <w:rFonts w:ascii="Times New Roman" w:hAnsi="Times New Roman"/>
          <w:sz w:val="24"/>
          <w:szCs w:val="24"/>
        </w:rPr>
        <w:t>E</w:t>
      </w:r>
      <w:r w:rsidRPr="0060123D">
        <w:rPr>
          <w:rFonts w:ascii="Times New Roman" w:hAnsi="Times New Roman"/>
          <w:sz w:val="24"/>
          <w:szCs w:val="24"/>
        </w:rPr>
        <w:t>urope is a land massive while archipelago is more of the sea than land). Living their life, they develop their traditional knowledge, code of leadership, navigation analysis and skill, and a projection of worldview towards the archipelago. Their way of life is so different with a legal system developed by “normal” nation-state. They are in constant moving, though not in a short period time. This makes them cannot fit into a system of “identification card” or “population management” (in Indonesian legal system: “adminduk”).</w:t>
      </w:r>
      <w:r w:rsidR="00243B42" w:rsidRPr="0060123D">
        <w:rPr>
          <w:rFonts w:ascii="Times New Roman" w:hAnsi="Times New Roman"/>
          <w:sz w:val="24"/>
          <w:szCs w:val="24"/>
        </w:rPr>
        <w:t xml:space="preserve"> </w:t>
      </w:r>
    </w:p>
    <w:p w:rsidR="00AF794C" w:rsidRPr="0060123D" w:rsidRDefault="00AF794C" w:rsidP="00AF794C">
      <w:pPr>
        <w:spacing w:after="0" w:line="240" w:lineRule="auto"/>
        <w:jc w:val="both"/>
        <w:rPr>
          <w:rFonts w:ascii="Times New Roman" w:hAnsi="Times New Roman"/>
          <w:sz w:val="24"/>
          <w:szCs w:val="24"/>
        </w:rPr>
      </w:pPr>
    </w:p>
    <w:p w:rsidR="00AF794C" w:rsidRPr="0060123D" w:rsidRDefault="00AF794C" w:rsidP="00AF794C">
      <w:pPr>
        <w:spacing w:after="0" w:line="240" w:lineRule="auto"/>
        <w:jc w:val="both"/>
        <w:rPr>
          <w:rFonts w:ascii="Times New Roman" w:hAnsi="Times New Roman"/>
          <w:sz w:val="24"/>
          <w:szCs w:val="24"/>
        </w:rPr>
      </w:pPr>
      <w:r w:rsidRPr="0060123D">
        <w:rPr>
          <w:rFonts w:ascii="Times New Roman" w:hAnsi="Times New Roman"/>
          <w:sz w:val="24"/>
          <w:szCs w:val="24"/>
        </w:rPr>
        <w:t xml:space="preserve">In reality, the study on “suku laut” is an expansive one. In principle, though, a concept of recognition should be assessed. </w:t>
      </w:r>
    </w:p>
    <w:p w:rsidR="00AF794C" w:rsidRPr="0060123D" w:rsidRDefault="00AF794C" w:rsidP="00AF794C">
      <w:pPr>
        <w:spacing w:after="0" w:line="240" w:lineRule="auto"/>
        <w:jc w:val="both"/>
        <w:rPr>
          <w:rFonts w:ascii="Times New Roman" w:hAnsi="Times New Roman"/>
          <w:sz w:val="24"/>
          <w:szCs w:val="24"/>
        </w:rPr>
      </w:pPr>
    </w:p>
    <w:p w:rsidR="00AF794C" w:rsidRPr="0060123D" w:rsidRDefault="00AF794C" w:rsidP="00AF794C">
      <w:pPr>
        <w:spacing w:after="0" w:line="240" w:lineRule="auto"/>
        <w:jc w:val="both"/>
        <w:rPr>
          <w:rFonts w:ascii="Times New Roman" w:hAnsi="Times New Roman"/>
          <w:sz w:val="24"/>
          <w:szCs w:val="24"/>
        </w:rPr>
      </w:pPr>
    </w:p>
    <w:p w:rsidR="00AF794C" w:rsidRPr="0060123D" w:rsidRDefault="00AF794C" w:rsidP="00AF794C">
      <w:pPr>
        <w:spacing w:after="0" w:line="240" w:lineRule="auto"/>
        <w:jc w:val="both"/>
        <w:rPr>
          <w:rFonts w:ascii="Times New Roman" w:hAnsi="Times New Roman"/>
          <w:sz w:val="24"/>
          <w:szCs w:val="24"/>
        </w:rPr>
      </w:pPr>
      <w:r w:rsidRPr="0060123D">
        <w:rPr>
          <w:rFonts w:ascii="Times New Roman" w:hAnsi="Times New Roman"/>
          <w:sz w:val="24"/>
          <w:szCs w:val="24"/>
        </w:rPr>
        <w:t xml:space="preserve">The study </w:t>
      </w:r>
    </w:p>
    <w:p w:rsidR="00AF794C" w:rsidRPr="0060123D" w:rsidRDefault="00AF794C" w:rsidP="00AF794C">
      <w:pPr>
        <w:spacing w:after="0" w:line="240" w:lineRule="auto"/>
        <w:jc w:val="both"/>
        <w:rPr>
          <w:rFonts w:ascii="Times New Roman" w:hAnsi="Times New Roman"/>
          <w:sz w:val="24"/>
          <w:szCs w:val="24"/>
        </w:rPr>
      </w:pPr>
      <w:r w:rsidRPr="0060123D">
        <w:rPr>
          <w:rFonts w:ascii="Times New Roman" w:hAnsi="Times New Roman"/>
          <w:sz w:val="24"/>
          <w:szCs w:val="24"/>
        </w:rPr>
        <w:t xml:space="preserve">By a background, the “expert testimony” in which our member served in the Indonesian Constitutional Court in 2011 will bring some normative context and the discussion into “islands reality” of Indonesia. The court ruling in favor of petition in </w:t>
      </w:r>
      <w:r w:rsidRPr="0060123D">
        <w:rPr>
          <w:rFonts w:ascii="Times New Roman" w:hAnsi="Times New Roman"/>
          <w:sz w:val="24"/>
          <w:szCs w:val="24"/>
        </w:rPr>
        <w:lastRenderedPageBreak/>
        <w:t xml:space="preserve">which case the Court stroke down key provision on “exclusivity” in a maritime ecosystem area. In this, also, there is a strong push by the court towards enumeration of “parties” in the marine ecosystem. This is, to date, the only key source of legal enumeration of recognition in the context of the marine ecosystem. </w:t>
      </w:r>
    </w:p>
    <w:p w:rsidR="00AF794C" w:rsidRPr="0060123D" w:rsidRDefault="00AF794C" w:rsidP="00AF794C">
      <w:pPr>
        <w:spacing w:after="0" w:line="240" w:lineRule="auto"/>
        <w:jc w:val="both"/>
        <w:rPr>
          <w:rFonts w:ascii="Times New Roman" w:hAnsi="Times New Roman"/>
          <w:sz w:val="24"/>
          <w:szCs w:val="24"/>
        </w:rPr>
      </w:pPr>
    </w:p>
    <w:p w:rsidR="00AF794C" w:rsidRPr="0060123D" w:rsidRDefault="00AF794C" w:rsidP="00AF794C">
      <w:pPr>
        <w:spacing w:after="0" w:line="240" w:lineRule="auto"/>
        <w:jc w:val="both"/>
        <w:rPr>
          <w:rFonts w:ascii="Times New Roman" w:hAnsi="Times New Roman"/>
          <w:sz w:val="24"/>
          <w:szCs w:val="24"/>
        </w:rPr>
      </w:pPr>
      <w:r w:rsidRPr="0060123D">
        <w:rPr>
          <w:rFonts w:ascii="Times New Roman" w:hAnsi="Times New Roman"/>
          <w:sz w:val="24"/>
          <w:szCs w:val="24"/>
        </w:rPr>
        <w:t>The process of, which one of our member</w:t>
      </w:r>
      <w:r w:rsidR="00C10D2A" w:rsidRPr="0060123D">
        <w:rPr>
          <w:rFonts w:ascii="Times New Roman" w:hAnsi="Times New Roman"/>
          <w:sz w:val="24"/>
          <w:szCs w:val="24"/>
        </w:rPr>
        <w:t>s</w:t>
      </w:r>
      <w:r w:rsidRPr="0060123D">
        <w:rPr>
          <w:rFonts w:ascii="Times New Roman" w:hAnsi="Times New Roman"/>
          <w:sz w:val="24"/>
          <w:szCs w:val="24"/>
        </w:rPr>
        <w:t xml:space="preserve"> has been part of, the UNDROP -United Declaration Rights of Peasants and Other People Working in Rural Areas- since its very start in 2008 in UN Human Rights Council to adoption in 2018 in UN General Assembly (“the process of La Via Campesina”) set a norm and develop an implementation of protection for small-holder, community of rural population. Still, the development of body of law, body of knowledge still in progress. In the UNDROP, the maritime community is recognised as one of several groups in the rural areas who claim the protection of human rights. The UNDROP is an expansive legal document, but it is a very concise in formulation. It needs various follow-up and in-depth process so as to be formative in the human rights protection towards this category. </w:t>
      </w:r>
    </w:p>
    <w:p w:rsidR="00AF794C" w:rsidRPr="0060123D" w:rsidRDefault="00AF794C" w:rsidP="00AF794C">
      <w:pPr>
        <w:spacing w:after="0" w:line="240" w:lineRule="auto"/>
        <w:jc w:val="both"/>
        <w:rPr>
          <w:rFonts w:ascii="Times New Roman" w:hAnsi="Times New Roman"/>
          <w:sz w:val="24"/>
          <w:szCs w:val="24"/>
        </w:rPr>
      </w:pPr>
    </w:p>
    <w:p w:rsidR="00C10D2A" w:rsidRPr="0060123D" w:rsidRDefault="00C10D2A" w:rsidP="00AF794C">
      <w:pPr>
        <w:spacing w:after="0" w:line="240" w:lineRule="auto"/>
        <w:jc w:val="both"/>
        <w:rPr>
          <w:rFonts w:ascii="Times New Roman" w:hAnsi="Times New Roman"/>
          <w:sz w:val="24"/>
          <w:szCs w:val="24"/>
        </w:rPr>
      </w:pPr>
    </w:p>
    <w:p w:rsidR="00AF794C" w:rsidRPr="0060123D" w:rsidRDefault="00AF794C" w:rsidP="00AF794C">
      <w:pPr>
        <w:spacing w:after="0" w:line="240" w:lineRule="auto"/>
        <w:jc w:val="both"/>
        <w:rPr>
          <w:rFonts w:ascii="Times New Roman" w:hAnsi="Times New Roman"/>
          <w:sz w:val="24"/>
          <w:szCs w:val="24"/>
        </w:rPr>
      </w:pPr>
      <w:r w:rsidRPr="0060123D">
        <w:rPr>
          <w:rFonts w:ascii="Times New Roman" w:hAnsi="Times New Roman"/>
          <w:sz w:val="24"/>
          <w:szCs w:val="24"/>
        </w:rPr>
        <w:t xml:space="preserve">C. key framework </w:t>
      </w:r>
    </w:p>
    <w:p w:rsidR="00AF794C" w:rsidRPr="0060123D" w:rsidRDefault="00AF794C" w:rsidP="00AF794C">
      <w:pPr>
        <w:spacing w:after="0" w:line="240" w:lineRule="auto"/>
        <w:jc w:val="both"/>
        <w:rPr>
          <w:rFonts w:ascii="Times New Roman" w:hAnsi="Times New Roman"/>
          <w:sz w:val="24"/>
          <w:szCs w:val="24"/>
        </w:rPr>
      </w:pPr>
      <w:r w:rsidRPr="0060123D">
        <w:rPr>
          <w:rFonts w:ascii="Times New Roman" w:hAnsi="Times New Roman"/>
          <w:sz w:val="24"/>
          <w:szCs w:val="24"/>
        </w:rPr>
        <w:t xml:space="preserve">The key framework, when it is developed carefully, should address the “nomadic”, “semi-nomadic reality”, “maritime reality”, “(problem of) identity” and the role and the limit of “regulatory state”. It is sure that a state should frame the protection towards Suku Laut (as recognition), while attend to the limitation, so far, wordings of law and effective engagement towards Suku Laut. </w:t>
      </w:r>
    </w:p>
    <w:p w:rsidR="00AF794C" w:rsidRPr="0060123D" w:rsidRDefault="00AF794C" w:rsidP="00AF794C">
      <w:pPr>
        <w:spacing w:after="0" w:line="240" w:lineRule="auto"/>
        <w:jc w:val="both"/>
        <w:rPr>
          <w:rFonts w:ascii="Times New Roman" w:hAnsi="Times New Roman"/>
          <w:sz w:val="24"/>
          <w:szCs w:val="24"/>
        </w:rPr>
      </w:pPr>
    </w:p>
    <w:p w:rsidR="00243B42" w:rsidRPr="0060123D" w:rsidRDefault="00243B42" w:rsidP="00AF794C">
      <w:pPr>
        <w:spacing w:after="0" w:line="240" w:lineRule="auto"/>
        <w:jc w:val="both"/>
        <w:rPr>
          <w:rFonts w:ascii="Times New Roman" w:hAnsi="Times New Roman"/>
          <w:sz w:val="24"/>
          <w:szCs w:val="24"/>
        </w:rPr>
      </w:pPr>
      <w:r w:rsidRPr="0060123D">
        <w:rPr>
          <w:rFonts w:ascii="Times New Roman" w:hAnsi="Times New Roman"/>
          <w:sz w:val="24"/>
          <w:szCs w:val="24"/>
        </w:rPr>
        <w:t>For comparative look, available publication in public are of several, including the work of Cynthia Chou on Indonesian Sea Nomads, and several working papers from Indonesian Institute of Science (LIPI)</w:t>
      </w:r>
      <w:r w:rsidR="00FD3357">
        <w:rPr>
          <w:rFonts w:ascii="Times New Roman" w:hAnsi="Times New Roman"/>
          <w:sz w:val="24"/>
          <w:szCs w:val="24"/>
        </w:rPr>
        <w:t xml:space="preserve"> mainly of the work of Dedi Adhuri. </w:t>
      </w:r>
    </w:p>
    <w:p w:rsidR="00243B42" w:rsidRPr="0060123D" w:rsidRDefault="00243B42" w:rsidP="00AF794C">
      <w:pPr>
        <w:spacing w:after="0" w:line="240" w:lineRule="auto"/>
        <w:jc w:val="both"/>
        <w:rPr>
          <w:rFonts w:ascii="Times New Roman" w:hAnsi="Times New Roman"/>
          <w:sz w:val="24"/>
          <w:szCs w:val="24"/>
        </w:rPr>
      </w:pPr>
    </w:p>
    <w:p w:rsidR="00AF794C" w:rsidRPr="0060123D" w:rsidRDefault="00AF794C" w:rsidP="00AF794C">
      <w:pPr>
        <w:spacing w:after="0" w:line="240" w:lineRule="auto"/>
        <w:jc w:val="both"/>
        <w:rPr>
          <w:rFonts w:ascii="Times New Roman" w:hAnsi="Times New Roman"/>
          <w:sz w:val="24"/>
          <w:szCs w:val="24"/>
        </w:rPr>
      </w:pPr>
      <w:r w:rsidRPr="0060123D">
        <w:rPr>
          <w:rFonts w:ascii="Times New Roman" w:hAnsi="Times New Roman"/>
          <w:sz w:val="24"/>
          <w:szCs w:val="24"/>
        </w:rPr>
        <w:t>_________________________</w:t>
      </w:r>
    </w:p>
    <w:p w:rsidR="00AF794C" w:rsidRPr="0060123D" w:rsidRDefault="00AF794C" w:rsidP="00AF794C">
      <w:pPr>
        <w:spacing w:after="0" w:line="240" w:lineRule="auto"/>
        <w:jc w:val="both"/>
        <w:rPr>
          <w:rFonts w:ascii="Times New Roman" w:hAnsi="Times New Roman"/>
          <w:sz w:val="24"/>
          <w:szCs w:val="24"/>
        </w:rPr>
      </w:pPr>
    </w:p>
    <w:p w:rsidR="00243B42" w:rsidRPr="0060123D" w:rsidRDefault="00243B42" w:rsidP="00AF794C">
      <w:pPr>
        <w:spacing w:after="0" w:line="240" w:lineRule="auto"/>
        <w:jc w:val="both"/>
        <w:rPr>
          <w:rFonts w:ascii="Times New Roman" w:hAnsi="Times New Roman"/>
          <w:sz w:val="24"/>
          <w:szCs w:val="24"/>
        </w:rPr>
      </w:pPr>
    </w:p>
    <w:p w:rsidR="00AF794C" w:rsidRPr="0060123D" w:rsidRDefault="00AF794C" w:rsidP="00AF794C">
      <w:pPr>
        <w:spacing w:after="0" w:line="240" w:lineRule="auto"/>
        <w:jc w:val="both"/>
        <w:rPr>
          <w:rFonts w:ascii="Times New Roman" w:hAnsi="Times New Roman"/>
          <w:sz w:val="24"/>
          <w:szCs w:val="24"/>
        </w:rPr>
      </w:pPr>
    </w:p>
    <w:p w:rsidR="00C10D2A" w:rsidRPr="0060123D" w:rsidRDefault="00C10D2A" w:rsidP="00AF794C">
      <w:pPr>
        <w:spacing w:after="0" w:line="240" w:lineRule="auto"/>
        <w:jc w:val="both"/>
        <w:rPr>
          <w:rFonts w:ascii="Times New Roman" w:hAnsi="Times New Roman"/>
          <w:sz w:val="24"/>
          <w:szCs w:val="24"/>
        </w:rPr>
      </w:pPr>
    </w:p>
    <w:p w:rsidR="00AF794C" w:rsidRPr="0060123D" w:rsidRDefault="00AF794C" w:rsidP="006772B9">
      <w:pPr>
        <w:tabs>
          <w:tab w:val="left" w:pos="360"/>
        </w:tabs>
        <w:spacing w:after="0" w:line="240" w:lineRule="auto"/>
        <w:jc w:val="both"/>
        <w:rPr>
          <w:rFonts w:ascii="Times New Roman" w:hAnsi="Times New Roman"/>
          <w:sz w:val="24"/>
          <w:szCs w:val="24"/>
        </w:rPr>
      </w:pPr>
    </w:p>
    <w:p w:rsidR="00AF794C" w:rsidRPr="0060123D" w:rsidRDefault="00AF794C" w:rsidP="006772B9">
      <w:pPr>
        <w:tabs>
          <w:tab w:val="left" w:pos="360"/>
        </w:tabs>
        <w:spacing w:after="0" w:line="240" w:lineRule="auto"/>
        <w:jc w:val="both"/>
        <w:rPr>
          <w:rFonts w:ascii="Times New Roman" w:hAnsi="Times New Roman"/>
          <w:sz w:val="24"/>
          <w:szCs w:val="24"/>
        </w:rPr>
      </w:pPr>
    </w:p>
    <w:p w:rsidR="00AF794C" w:rsidRPr="0060123D" w:rsidRDefault="00AF794C" w:rsidP="006772B9">
      <w:pPr>
        <w:tabs>
          <w:tab w:val="left" w:pos="360"/>
        </w:tabs>
        <w:spacing w:after="0" w:line="240" w:lineRule="auto"/>
        <w:jc w:val="both"/>
        <w:rPr>
          <w:rFonts w:ascii="Times New Roman" w:hAnsi="Times New Roman"/>
          <w:sz w:val="24"/>
          <w:szCs w:val="24"/>
        </w:rPr>
      </w:pPr>
    </w:p>
    <w:p w:rsidR="003B0BB1" w:rsidRPr="0060123D" w:rsidRDefault="003B0BB1" w:rsidP="000C43CD">
      <w:pPr>
        <w:spacing w:after="0" w:line="240" w:lineRule="auto"/>
        <w:jc w:val="both"/>
        <w:rPr>
          <w:rFonts w:ascii="Times New Roman" w:hAnsi="Times New Roman"/>
          <w:sz w:val="24"/>
          <w:szCs w:val="24"/>
        </w:rPr>
      </w:pPr>
    </w:p>
    <w:sectPr w:rsidR="003B0BB1" w:rsidRPr="0060123D" w:rsidSect="00E26030">
      <w:footerReference w:type="default" r:id="rId9"/>
      <w:pgSz w:w="11907" w:h="16839" w:code="9"/>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A5" w:rsidRDefault="003B0EA5" w:rsidP="0099315D">
      <w:pPr>
        <w:spacing w:after="0" w:line="240" w:lineRule="auto"/>
      </w:pPr>
      <w:r>
        <w:separator/>
      </w:r>
    </w:p>
  </w:endnote>
  <w:endnote w:type="continuationSeparator" w:id="0">
    <w:p w:rsidR="003B0EA5" w:rsidRDefault="003B0EA5" w:rsidP="0099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2A" w:rsidRDefault="00C10D2A">
    <w:pPr>
      <w:pStyle w:val="Footer"/>
      <w:jc w:val="right"/>
    </w:pPr>
    <w:r>
      <w:rPr>
        <w:noProof w:val="0"/>
      </w:rPr>
      <w:fldChar w:fldCharType="begin"/>
    </w:r>
    <w:r>
      <w:instrText xml:space="preserve"> PAGE   \* MERGEFORMAT </w:instrText>
    </w:r>
    <w:r>
      <w:rPr>
        <w:noProof w:val="0"/>
      </w:rPr>
      <w:fldChar w:fldCharType="separate"/>
    </w:r>
    <w:r w:rsidR="00B32D43">
      <w:t>1</w:t>
    </w:r>
    <w:r>
      <w:fldChar w:fldCharType="end"/>
    </w:r>
  </w:p>
  <w:p w:rsidR="00BF2E36" w:rsidRDefault="00BF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A5" w:rsidRDefault="003B0EA5" w:rsidP="0099315D">
      <w:pPr>
        <w:spacing w:after="0" w:line="240" w:lineRule="auto"/>
      </w:pPr>
      <w:r>
        <w:separator/>
      </w:r>
    </w:p>
  </w:footnote>
  <w:footnote w:type="continuationSeparator" w:id="0">
    <w:p w:rsidR="003B0EA5" w:rsidRDefault="003B0EA5" w:rsidP="0099315D">
      <w:pPr>
        <w:spacing w:after="0" w:line="240" w:lineRule="auto"/>
      </w:pPr>
      <w:r>
        <w:continuationSeparator/>
      </w:r>
    </w:p>
  </w:footnote>
  <w:footnote w:id="1">
    <w:p w:rsidR="006504E6" w:rsidRDefault="006504E6" w:rsidP="001A1F8B">
      <w:pPr>
        <w:spacing w:after="0" w:line="240" w:lineRule="auto"/>
        <w:jc w:val="both"/>
      </w:pPr>
      <w:r>
        <w:rPr>
          <w:rStyle w:val="FootnoteReference"/>
        </w:rPr>
        <w:footnoteRef/>
      </w:r>
      <w:r>
        <w:t xml:space="preserve">  </w:t>
      </w:r>
      <w:r w:rsidR="001A1F8B">
        <w:rPr>
          <w:rFonts w:ascii="Times New Roman" w:hAnsi="Times New Roman"/>
        </w:rPr>
        <w:t>Co-authored by B</w:t>
      </w:r>
      <w:r w:rsidRPr="005953BB">
        <w:rPr>
          <w:rFonts w:ascii="Times New Roman" w:hAnsi="Times New Roman"/>
        </w:rPr>
        <w:t>ibianus Hengky Widhi Antoro, Law Faculty</w:t>
      </w:r>
      <w:r w:rsidR="00FD3357">
        <w:rPr>
          <w:rFonts w:ascii="Times New Roman" w:hAnsi="Times New Roman"/>
        </w:rPr>
        <w:t xml:space="preserve"> </w:t>
      </w:r>
      <w:r w:rsidRPr="005953BB">
        <w:rPr>
          <w:rFonts w:ascii="Times New Roman" w:hAnsi="Times New Roman"/>
        </w:rPr>
        <w:t>Atma Jaya Yogyakarta University</w:t>
      </w:r>
      <w:r>
        <w:rPr>
          <w:rFonts w:ascii="Times New Roman" w:hAnsi="Times New Roman"/>
        </w:rPr>
        <w:t xml:space="preserve">, </w:t>
      </w:r>
      <w:r w:rsidRPr="005953BB">
        <w:rPr>
          <w:rFonts w:ascii="Times New Roman" w:hAnsi="Times New Roman"/>
        </w:rPr>
        <w:t>Henry Thomas Simarmata,</w:t>
      </w:r>
      <w:r w:rsidR="00C6398D">
        <w:rPr>
          <w:rFonts w:ascii="Times New Roman" w:hAnsi="Times New Roman"/>
        </w:rPr>
        <w:t>, APINTLAW-</w:t>
      </w:r>
      <w:r w:rsidRPr="005953BB">
        <w:rPr>
          <w:rFonts w:ascii="Times New Roman" w:hAnsi="Times New Roman"/>
        </w:rPr>
        <w:t>Law Faculty Atma Jaya Yogyakarta University</w:t>
      </w:r>
      <w:r>
        <w:rPr>
          <w:rFonts w:ascii="Times New Roman" w:hAnsi="Times New Roman"/>
        </w:rPr>
        <w:t xml:space="preserve">, Reinardus Budi Prasetiyo, S.H., M.H., </w:t>
      </w:r>
      <w:r w:rsidR="00FD3357">
        <w:rPr>
          <w:rFonts w:ascii="Times New Roman" w:hAnsi="Times New Roman"/>
        </w:rPr>
        <w:t xml:space="preserve">Law Faculty </w:t>
      </w:r>
      <w:r>
        <w:rPr>
          <w:rFonts w:ascii="Times New Roman" w:hAnsi="Times New Roman"/>
        </w:rPr>
        <w:t>Atma Jaya Yogyakarta Universit</w:t>
      </w:r>
      <w:r w:rsidR="001A1F8B">
        <w:rPr>
          <w:rFonts w:ascii="Times New Roman" w:hAnsi="Times New Roman"/>
        </w:rPr>
        <w:t>y, with research team (Georgia Henderson, Curtin University and Salmana Khalid, Western Sydney University)</w:t>
      </w:r>
    </w:p>
    <w:p w:rsidR="006504E6" w:rsidRPr="006504E6" w:rsidRDefault="006504E6" w:rsidP="006504E6">
      <w:pPr>
        <w:spacing w:after="0" w:line="240" w:lineRule="auto"/>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B55FEC"/>
    <w:multiLevelType w:val="hybridMultilevel"/>
    <w:tmpl w:val="1198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26C51"/>
    <w:multiLevelType w:val="hybridMultilevel"/>
    <w:tmpl w:val="4862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1114C"/>
    <w:multiLevelType w:val="hybridMultilevel"/>
    <w:tmpl w:val="2B44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312EC"/>
    <w:multiLevelType w:val="hybridMultilevel"/>
    <w:tmpl w:val="6ED0A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7265A"/>
    <w:multiLevelType w:val="hybridMultilevel"/>
    <w:tmpl w:val="622239E6"/>
    <w:lvl w:ilvl="0" w:tplc="9572B6C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B6032"/>
    <w:multiLevelType w:val="hybridMultilevel"/>
    <w:tmpl w:val="D734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7C23"/>
    <w:multiLevelType w:val="hybridMultilevel"/>
    <w:tmpl w:val="01D2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8131E"/>
    <w:multiLevelType w:val="hybridMultilevel"/>
    <w:tmpl w:val="EDEC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C499B"/>
    <w:multiLevelType w:val="hybridMultilevel"/>
    <w:tmpl w:val="6ED0A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5413A"/>
    <w:multiLevelType w:val="hybridMultilevel"/>
    <w:tmpl w:val="3B744D4A"/>
    <w:lvl w:ilvl="0" w:tplc="364EB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1C6EFB"/>
    <w:multiLevelType w:val="hybridMultilevel"/>
    <w:tmpl w:val="472487C4"/>
    <w:lvl w:ilvl="0" w:tplc="B30C81E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47540"/>
    <w:multiLevelType w:val="hybridMultilevel"/>
    <w:tmpl w:val="EABCC108"/>
    <w:lvl w:ilvl="0" w:tplc="6FD0D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D0A6D"/>
    <w:multiLevelType w:val="hybridMultilevel"/>
    <w:tmpl w:val="1A325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14241"/>
    <w:multiLevelType w:val="hybridMultilevel"/>
    <w:tmpl w:val="84B0E0BA"/>
    <w:lvl w:ilvl="0" w:tplc="B6CA0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713AF"/>
    <w:multiLevelType w:val="hybridMultilevel"/>
    <w:tmpl w:val="5164E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F3188"/>
    <w:multiLevelType w:val="hybridMultilevel"/>
    <w:tmpl w:val="CC42AFF6"/>
    <w:lvl w:ilvl="0" w:tplc="F452B1F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2"/>
  </w:num>
  <w:num w:numId="5">
    <w:abstractNumId w:val="15"/>
  </w:num>
  <w:num w:numId="6">
    <w:abstractNumId w:val="4"/>
  </w:num>
  <w:num w:numId="7">
    <w:abstractNumId w:val="9"/>
  </w:num>
  <w:num w:numId="8">
    <w:abstractNumId w:val="8"/>
  </w:num>
  <w:num w:numId="9">
    <w:abstractNumId w:val="10"/>
  </w:num>
  <w:num w:numId="10">
    <w:abstractNumId w:val="1"/>
  </w:num>
  <w:num w:numId="11">
    <w:abstractNumId w:val="3"/>
  </w:num>
  <w:num w:numId="12">
    <w:abstractNumId w:val="13"/>
  </w:num>
  <w:num w:numId="13">
    <w:abstractNumId w:val="16"/>
  </w:num>
  <w:num w:numId="14">
    <w:abstractNumId w:val="14"/>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46"/>
    <w:rsid w:val="00005F77"/>
    <w:rsid w:val="000161AB"/>
    <w:rsid w:val="000253EF"/>
    <w:rsid w:val="000276FA"/>
    <w:rsid w:val="00031928"/>
    <w:rsid w:val="00033239"/>
    <w:rsid w:val="00034D9F"/>
    <w:rsid w:val="000417A6"/>
    <w:rsid w:val="000471B8"/>
    <w:rsid w:val="000666D1"/>
    <w:rsid w:val="00070067"/>
    <w:rsid w:val="000A1086"/>
    <w:rsid w:val="000A6E73"/>
    <w:rsid w:val="000B0A32"/>
    <w:rsid w:val="000B73A9"/>
    <w:rsid w:val="000C43CD"/>
    <w:rsid w:val="000D2EA3"/>
    <w:rsid w:val="000F3090"/>
    <w:rsid w:val="000F6FCE"/>
    <w:rsid w:val="001038F9"/>
    <w:rsid w:val="00107A67"/>
    <w:rsid w:val="00116464"/>
    <w:rsid w:val="00120284"/>
    <w:rsid w:val="00162C1E"/>
    <w:rsid w:val="001638CE"/>
    <w:rsid w:val="00180573"/>
    <w:rsid w:val="00187896"/>
    <w:rsid w:val="0019443D"/>
    <w:rsid w:val="001A1F8B"/>
    <w:rsid w:val="001D25E5"/>
    <w:rsid w:val="001D69FB"/>
    <w:rsid w:val="001E19A5"/>
    <w:rsid w:val="001F586D"/>
    <w:rsid w:val="0020375A"/>
    <w:rsid w:val="002073E0"/>
    <w:rsid w:val="0020764C"/>
    <w:rsid w:val="00241B65"/>
    <w:rsid w:val="00243B42"/>
    <w:rsid w:val="0026139A"/>
    <w:rsid w:val="00267FE7"/>
    <w:rsid w:val="0027031E"/>
    <w:rsid w:val="002D1499"/>
    <w:rsid w:val="002D28C7"/>
    <w:rsid w:val="002D32E3"/>
    <w:rsid w:val="00306B7C"/>
    <w:rsid w:val="00311886"/>
    <w:rsid w:val="003153AD"/>
    <w:rsid w:val="00316567"/>
    <w:rsid w:val="00325D9C"/>
    <w:rsid w:val="003267A7"/>
    <w:rsid w:val="0033073D"/>
    <w:rsid w:val="0035275B"/>
    <w:rsid w:val="00352D42"/>
    <w:rsid w:val="003977AE"/>
    <w:rsid w:val="003A1D81"/>
    <w:rsid w:val="003B0BB1"/>
    <w:rsid w:val="003B0EA5"/>
    <w:rsid w:val="003B5F70"/>
    <w:rsid w:val="003C0E9D"/>
    <w:rsid w:val="003C64E9"/>
    <w:rsid w:val="003D3B76"/>
    <w:rsid w:val="003F40E3"/>
    <w:rsid w:val="00400092"/>
    <w:rsid w:val="0040401C"/>
    <w:rsid w:val="00404E49"/>
    <w:rsid w:val="00411212"/>
    <w:rsid w:val="004354B8"/>
    <w:rsid w:val="00441632"/>
    <w:rsid w:val="0044537B"/>
    <w:rsid w:val="00454D24"/>
    <w:rsid w:val="0046161C"/>
    <w:rsid w:val="00474265"/>
    <w:rsid w:val="00483013"/>
    <w:rsid w:val="00485592"/>
    <w:rsid w:val="00496091"/>
    <w:rsid w:val="004A246D"/>
    <w:rsid w:val="004B08F8"/>
    <w:rsid w:val="004D5169"/>
    <w:rsid w:val="00507F00"/>
    <w:rsid w:val="005236F0"/>
    <w:rsid w:val="005437CE"/>
    <w:rsid w:val="005663DB"/>
    <w:rsid w:val="005704F4"/>
    <w:rsid w:val="00573924"/>
    <w:rsid w:val="00573D83"/>
    <w:rsid w:val="0059498A"/>
    <w:rsid w:val="005953BB"/>
    <w:rsid w:val="00597BCC"/>
    <w:rsid w:val="005B3048"/>
    <w:rsid w:val="005B5942"/>
    <w:rsid w:val="005E45E6"/>
    <w:rsid w:val="0060123D"/>
    <w:rsid w:val="006174C9"/>
    <w:rsid w:val="00626944"/>
    <w:rsid w:val="00644766"/>
    <w:rsid w:val="006504E6"/>
    <w:rsid w:val="00660313"/>
    <w:rsid w:val="0066114A"/>
    <w:rsid w:val="0066543F"/>
    <w:rsid w:val="00670CCD"/>
    <w:rsid w:val="006772B9"/>
    <w:rsid w:val="006A3D7C"/>
    <w:rsid w:val="006B2465"/>
    <w:rsid w:val="006D0B1B"/>
    <w:rsid w:val="006E1DF2"/>
    <w:rsid w:val="00706753"/>
    <w:rsid w:val="00710695"/>
    <w:rsid w:val="00741FEA"/>
    <w:rsid w:val="0079120E"/>
    <w:rsid w:val="007921EE"/>
    <w:rsid w:val="007A20B1"/>
    <w:rsid w:val="007B28DD"/>
    <w:rsid w:val="007B4854"/>
    <w:rsid w:val="007C38F6"/>
    <w:rsid w:val="007F4CDB"/>
    <w:rsid w:val="00803BED"/>
    <w:rsid w:val="00811F98"/>
    <w:rsid w:val="0085039C"/>
    <w:rsid w:val="00854459"/>
    <w:rsid w:val="00857D5F"/>
    <w:rsid w:val="00881B9A"/>
    <w:rsid w:val="00882E4A"/>
    <w:rsid w:val="00896FC0"/>
    <w:rsid w:val="008A1FF6"/>
    <w:rsid w:val="008B3D6D"/>
    <w:rsid w:val="008C7822"/>
    <w:rsid w:val="008D0356"/>
    <w:rsid w:val="008E34CE"/>
    <w:rsid w:val="008E402A"/>
    <w:rsid w:val="008F2C66"/>
    <w:rsid w:val="008F370B"/>
    <w:rsid w:val="0092377B"/>
    <w:rsid w:val="00940ACE"/>
    <w:rsid w:val="0094270E"/>
    <w:rsid w:val="00944DE0"/>
    <w:rsid w:val="00945414"/>
    <w:rsid w:val="0094731B"/>
    <w:rsid w:val="00950B10"/>
    <w:rsid w:val="009722FF"/>
    <w:rsid w:val="00977599"/>
    <w:rsid w:val="00981B4A"/>
    <w:rsid w:val="00985065"/>
    <w:rsid w:val="0099315D"/>
    <w:rsid w:val="00994ED1"/>
    <w:rsid w:val="009A381E"/>
    <w:rsid w:val="009B1F11"/>
    <w:rsid w:val="009B34F2"/>
    <w:rsid w:val="009C53CA"/>
    <w:rsid w:val="009F544B"/>
    <w:rsid w:val="00A209C0"/>
    <w:rsid w:val="00A249AE"/>
    <w:rsid w:val="00A25168"/>
    <w:rsid w:val="00A2616B"/>
    <w:rsid w:val="00A27EF1"/>
    <w:rsid w:val="00A42492"/>
    <w:rsid w:val="00A447FD"/>
    <w:rsid w:val="00A46BED"/>
    <w:rsid w:val="00A54787"/>
    <w:rsid w:val="00A65136"/>
    <w:rsid w:val="00AA0623"/>
    <w:rsid w:val="00AA3675"/>
    <w:rsid w:val="00AA6FEA"/>
    <w:rsid w:val="00AB6A86"/>
    <w:rsid w:val="00AC5FEB"/>
    <w:rsid w:val="00AE34D1"/>
    <w:rsid w:val="00AF794C"/>
    <w:rsid w:val="00B043F4"/>
    <w:rsid w:val="00B250F0"/>
    <w:rsid w:val="00B30A0D"/>
    <w:rsid w:val="00B32D43"/>
    <w:rsid w:val="00B370EB"/>
    <w:rsid w:val="00B550BA"/>
    <w:rsid w:val="00B555CC"/>
    <w:rsid w:val="00B759E7"/>
    <w:rsid w:val="00B959FE"/>
    <w:rsid w:val="00BA0D65"/>
    <w:rsid w:val="00BA6B3C"/>
    <w:rsid w:val="00BB5025"/>
    <w:rsid w:val="00BC26AF"/>
    <w:rsid w:val="00BC2F5D"/>
    <w:rsid w:val="00BC5009"/>
    <w:rsid w:val="00BD2135"/>
    <w:rsid w:val="00BE2347"/>
    <w:rsid w:val="00BE357D"/>
    <w:rsid w:val="00BE49B0"/>
    <w:rsid w:val="00BF2E36"/>
    <w:rsid w:val="00C00334"/>
    <w:rsid w:val="00C0114B"/>
    <w:rsid w:val="00C0417B"/>
    <w:rsid w:val="00C07CE7"/>
    <w:rsid w:val="00C10D2A"/>
    <w:rsid w:val="00C44DBD"/>
    <w:rsid w:val="00C55EDC"/>
    <w:rsid w:val="00C6398D"/>
    <w:rsid w:val="00C83814"/>
    <w:rsid w:val="00C845C7"/>
    <w:rsid w:val="00C853D4"/>
    <w:rsid w:val="00CB1968"/>
    <w:rsid w:val="00CD4F99"/>
    <w:rsid w:val="00CD6DCA"/>
    <w:rsid w:val="00CE5588"/>
    <w:rsid w:val="00CE6B6F"/>
    <w:rsid w:val="00D21E23"/>
    <w:rsid w:val="00D254C5"/>
    <w:rsid w:val="00D3232C"/>
    <w:rsid w:val="00D6083B"/>
    <w:rsid w:val="00D74A51"/>
    <w:rsid w:val="00D74F74"/>
    <w:rsid w:val="00DD3E97"/>
    <w:rsid w:val="00DD3FCB"/>
    <w:rsid w:val="00E26030"/>
    <w:rsid w:val="00E311A6"/>
    <w:rsid w:val="00E37B72"/>
    <w:rsid w:val="00E54C48"/>
    <w:rsid w:val="00E57158"/>
    <w:rsid w:val="00E804D6"/>
    <w:rsid w:val="00E8380F"/>
    <w:rsid w:val="00EB4D1C"/>
    <w:rsid w:val="00ED192E"/>
    <w:rsid w:val="00EF3742"/>
    <w:rsid w:val="00F039FB"/>
    <w:rsid w:val="00F047EE"/>
    <w:rsid w:val="00F23686"/>
    <w:rsid w:val="00F328F9"/>
    <w:rsid w:val="00F33289"/>
    <w:rsid w:val="00F37410"/>
    <w:rsid w:val="00F46550"/>
    <w:rsid w:val="00F4677A"/>
    <w:rsid w:val="00F51B5C"/>
    <w:rsid w:val="00F573C5"/>
    <w:rsid w:val="00F72B9B"/>
    <w:rsid w:val="00F72CD3"/>
    <w:rsid w:val="00F75147"/>
    <w:rsid w:val="00F7561D"/>
    <w:rsid w:val="00F75719"/>
    <w:rsid w:val="00F76259"/>
    <w:rsid w:val="00F94B29"/>
    <w:rsid w:val="00FB79F2"/>
    <w:rsid w:val="00FD01C5"/>
    <w:rsid w:val="00FD1E09"/>
    <w:rsid w:val="00FD243A"/>
    <w:rsid w:val="00FD3357"/>
    <w:rsid w:val="00FE1640"/>
    <w:rsid w:val="00FE2D9D"/>
    <w:rsid w:val="00FE2FBF"/>
    <w:rsid w:val="00FF105C"/>
    <w:rsid w:val="00FF2D00"/>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08F8C62-C618-4F90-9109-D2AF6378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ko-K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41"/>
    <w:pPr>
      <w:spacing w:after="200" w:line="276" w:lineRule="auto"/>
    </w:pPr>
    <w:rPr>
      <w:rFonts w:cs="Times New Roman"/>
      <w:noProof/>
      <w:sz w:val="22"/>
      <w:szCs w:val="22"/>
      <w:lang w:eastAsia="en-US"/>
    </w:rPr>
  </w:style>
  <w:style w:type="paragraph" w:styleId="Heading1">
    <w:name w:val="heading 1"/>
    <w:basedOn w:val="Normal"/>
    <w:next w:val="Normal"/>
    <w:link w:val="Heading1Char"/>
    <w:uiPriority w:val="99"/>
    <w:qFormat/>
    <w:rsid w:val="005A740E"/>
    <w:pPr>
      <w:keepNext/>
      <w:widowControl w:val="0"/>
      <w:numPr>
        <w:numId w:val="1"/>
      </w:numPr>
      <w:suppressAutoHyphens/>
      <w:spacing w:after="0" w:line="240" w:lineRule="auto"/>
      <w:jc w:val="center"/>
      <w:outlineLvl w:val="0"/>
    </w:pPr>
    <w:rPr>
      <w:rFonts w:ascii="Lucida Grande" w:hAnsi="Lucida Grande"/>
      <w:b/>
      <w:bCs/>
      <w:kern w:val="1"/>
      <w:sz w:val="18"/>
      <w:szCs w:val="18"/>
      <w:lang w:val="x-none"/>
    </w:rPr>
  </w:style>
  <w:style w:type="paragraph" w:styleId="Heading2">
    <w:name w:val="heading 2"/>
    <w:basedOn w:val="Normal"/>
    <w:next w:val="Normal"/>
    <w:link w:val="Heading2Char"/>
    <w:uiPriority w:val="99"/>
    <w:qFormat/>
    <w:rsid w:val="005A740E"/>
    <w:pPr>
      <w:keepNext/>
      <w:widowControl w:val="0"/>
      <w:numPr>
        <w:ilvl w:val="1"/>
        <w:numId w:val="1"/>
      </w:numPr>
      <w:suppressAutoHyphens/>
      <w:spacing w:after="0" w:line="240" w:lineRule="auto"/>
      <w:jc w:val="center"/>
      <w:outlineLvl w:val="1"/>
    </w:pPr>
    <w:rPr>
      <w:rFonts w:ascii="Courier New" w:hAnsi="Courier New"/>
      <w:i/>
      <w:iCs/>
      <w:kern w:val="1"/>
      <w:sz w:val="16"/>
      <w:szCs w:val="16"/>
      <w:lang w:val="es-EC"/>
    </w:rPr>
  </w:style>
  <w:style w:type="paragraph" w:styleId="Heading3">
    <w:name w:val="heading 3"/>
    <w:basedOn w:val="Normal"/>
    <w:next w:val="Normal"/>
    <w:link w:val="Heading3Char"/>
    <w:uiPriority w:val="99"/>
    <w:qFormat/>
    <w:rsid w:val="005A740E"/>
    <w:pPr>
      <w:keepNext/>
      <w:widowControl w:val="0"/>
      <w:numPr>
        <w:ilvl w:val="2"/>
        <w:numId w:val="1"/>
      </w:numPr>
      <w:suppressAutoHyphens/>
      <w:spacing w:after="0" w:line="240" w:lineRule="auto"/>
      <w:jc w:val="center"/>
      <w:outlineLvl w:val="2"/>
    </w:pPr>
    <w:rPr>
      <w:rFonts w:ascii="Courier New" w:hAnsi="Courier New"/>
      <w:b/>
      <w:bCs/>
      <w:i/>
      <w:iCs/>
      <w:kern w:val="1"/>
      <w:sz w:val="18"/>
      <w:szCs w:val="18"/>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9F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D269FE"/>
    <w:rPr>
      <w:rFonts w:ascii="Tahoma" w:hAnsi="Tahoma" w:cs="Tahoma"/>
      <w:sz w:val="16"/>
      <w:szCs w:val="16"/>
    </w:rPr>
  </w:style>
  <w:style w:type="paragraph" w:customStyle="1" w:styleId="Default">
    <w:name w:val="Default"/>
    <w:rsid w:val="005A740E"/>
    <w:pPr>
      <w:autoSpaceDE w:val="0"/>
      <w:autoSpaceDN w:val="0"/>
      <w:adjustRightInd w:val="0"/>
    </w:pPr>
    <w:rPr>
      <w:rFonts w:ascii="Gill Sans MT" w:hAnsi="Gill Sans MT" w:cs="Gill Sans MT"/>
      <w:color w:val="000000"/>
      <w:sz w:val="24"/>
      <w:szCs w:val="24"/>
      <w:lang w:val="en-US" w:eastAsia="en-US"/>
    </w:rPr>
  </w:style>
  <w:style w:type="character" w:customStyle="1" w:styleId="Heading1Char">
    <w:name w:val="Heading 1 Char"/>
    <w:link w:val="Heading1"/>
    <w:uiPriority w:val="99"/>
    <w:rsid w:val="005A740E"/>
    <w:rPr>
      <w:rFonts w:ascii="Lucida Grande" w:hAnsi="Lucida Grande" w:cs="Lucida Grande"/>
      <w:b/>
      <w:bCs/>
      <w:kern w:val="1"/>
      <w:sz w:val="18"/>
      <w:szCs w:val="18"/>
      <w:lang/>
    </w:rPr>
  </w:style>
  <w:style w:type="character" w:customStyle="1" w:styleId="Heading2Char">
    <w:name w:val="Heading 2 Char"/>
    <w:link w:val="Heading2"/>
    <w:uiPriority w:val="99"/>
    <w:rsid w:val="005A740E"/>
    <w:rPr>
      <w:rFonts w:ascii="Courier New" w:hAnsi="Courier New" w:cs="Courier New"/>
      <w:i/>
      <w:iCs/>
      <w:kern w:val="1"/>
      <w:sz w:val="16"/>
      <w:szCs w:val="16"/>
      <w:lang w:val="es-EC"/>
    </w:rPr>
  </w:style>
  <w:style w:type="character" w:customStyle="1" w:styleId="Heading3Char">
    <w:name w:val="Heading 3 Char"/>
    <w:link w:val="Heading3"/>
    <w:uiPriority w:val="99"/>
    <w:rsid w:val="005A740E"/>
    <w:rPr>
      <w:rFonts w:ascii="Courier New" w:hAnsi="Courier New" w:cs="Courier New"/>
      <w:b/>
      <w:bCs/>
      <w:i/>
      <w:iCs/>
      <w:kern w:val="1"/>
      <w:sz w:val="18"/>
      <w:szCs w:val="18"/>
      <w:lang w:val="es-EC"/>
    </w:rPr>
  </w:style>
  <w:style w:type="character" w:styleId="Hyperlink">
    <w:name w:val="Hyperlink"/>
    <w:uiPriority w:val="99"/>
    <w:rsid w:val="005A740E"/>
    <w:rPr>
      <w:color w:val="0000FF"/>
      <w:u w:val="single"/>
    </w:rPr>
  </w:style>
  <w:style w:type="table" w:styleId="TableGrid">
    <w:name w:val="Table Grid"/>
    <w:basedOn w:val="TableNormal"/>
    <w:uiPriority w:val="59"/>
    <w:rsid w:val="00FD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08A"/>
    <w:pPr>
      <w:tabs>
        <w:tab w:val="center" w:pos="4680"/>
        <w:tab w:val="right" w:pos="9360"/>
      </w:tabs>
    </w:pPr>
    <w:rPr>
      <w:lang w:val="x-none" w:eastAsia="x-none"/>
    </w:rPr>
  </w:style>
  <w:style w:type="character" w:customStyle="1" w:styleId="HeaderChar">
    <w:name w:val="Header Char"/>
    <w:link w:val="Header"/>
    <w:uiPriority w:val="99"/>
    <w:rsid w:val="0081508A"/>
    <w:rPr>
      <w:rFonts w:cs="Times New Roman"/>
      <w:sz w:val="22"/>
      <w:szCs w:val="22"/>
    </w:rPr>
  </w:style>
  <w:style w:type="paragraph" w:styleId="Footer">
    <w:name w:val="footer"/>
    <w:basedOn w:val="Normal"/>
    <w:link w:val="FooterChar"/>
    <w:uiPriority w:val="99"/>
    <w:unhideWhenUsed/>
    <w:rsid w:val="0081508A"/>
    <w:pPr>
      <w:tabs>
        <w:tab w:val="center" w:pos="4680"/>
        <w:tab w:val="right" w:pos="9360"/>
      </w:tabs>
    </w:pPr>
    <w:rPr>
      <w:lang w:val="x-none" w:eastAsia="x-none"/>
    </w:rPr>
  </w:style>
  <w:style w:type="character" w:customStyle="1" w:styleId="FooterChar">
    <w:name w:val="Footer Char"/>
    <w:link w:val="Footer"/>
    <w:uiPriority w:val="99"/>
    <w:rsid w:val="0081508A"/>
    <w:rPr>
      <w:rFonts w:cs="Times New Roman"/>
      <w:sz w:val="22"/>
      <w:szCs w:val="22"/>
    </w:rPr>
  </w:style>
  <w:style w:type="paragraph" w:styleId="FootnoteText">
    <w:name w:val="footnote text"/>
    <w:basedOn w:val="Normal"/>
    <w:link w:val="FootnoteTextChar"/>
    <w:uiPriority w:val="99"/>
    <w:semiHidden/>
    <w:unhideWhenUsed/>
    <w:rsid w:val="00DD3E97"/>
    <w:rPr>
      <w:rFonts w:eastAsia="Calibri"/>
      <w:sz w:val="20"/>
      <w:szCs w:val="20"/>
    </w:rPr>
  </w:style>
  <w:style w:type="character" w:customStyle="1" w:styleId="FootnoteTextChar">
    <w:name w:val="Footnote Text Char"/>
    <w:link w:val="FootnoteText"/>
    <w:uiPriority w:val="99"/>
    <w:semiHidden/>
    <w:rsid w:val="00DD3E97"/>
    <w:rPr>
      <w:rFonts w:eastAsia="Calibri" w:cs="Times New Roman"/>
      <w:noProof/>
      <w:lang w:val="en-GB"/>
    </w:rPr>
  </w:style>
  <w:style w:type="character" w:styleId="FootnoteReference">
    <w:name w:val="footnote reference"/>
    <w:uiPriority w:val="99"/>
    <w:semiHidden/>
    <w:unhideWhenUsed/>
    <w:rsid w:val="00DD3E97"/>
    <w:rPr>
      <w:vertAlign w:val="superscript"/>
    </w:rPr>
  </w:style>
  <w:style w:type="paragraph" w:styleId="ListParagraph">
    <w:name w:val="List Paragraph"/>
    <w:basedOn w:val="Normal"/>
    <w:uiPriority w:val="34"/>
    <w:qFormat/>
    <w:rsid w:val="000C43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5650">
      <w:bodyDiv w:val="1"/>
      <w:marLeft w:val="0"/>
      <w:marRight w:val="0"/>
      <w:marTop w:val="0"/>
      <w:marBottom w:val="0"/>
      <w:divBdr>
        <w:top w:val="none" w:sz="0" w:space="0" w:color="auto"/>
        <w:left w:val="none" w:sz="0" w:space="0" w:color="auto"/>
        <w:bottom w:val="none" w:sz="0" w:space="0" w:color="auto"/>
        <w:right w:val="none" w:sz="0" w:space="0" w:color="auto"/>
      </w:divBdr>
    </w:div>
    <w:div w:id="580871055">
      <w:bodyDiv w:val="1"/>
      <w:marLeft w:val="0"/>
      <w:marRight w:val="0"/>
      <w:marTop w:val="0"/>
      <w:marBottom w:val="0"/>
      <w:divBdr>
        <w:top w:val="none" w:sz="0" w:space="0" w:color="auto"/>
        <w:left w:val="none" w:sz="0" w:space="0" w:color="auto"/>
        <w:bottom w:val="none" w:sz="0" w:space="0" w:color="auto"/>
        <w:right w:val="none" w:sz="0" w:space="0" w:color="auto"/>
      </w:divBdr>
    </w:div>
    <w:div w:id="657733503">
      <w:bodyDiv w:val="1"/>
      <w:marLeft w:val="0"/>
      <w:marRight w:val="0"/>
      <w:marTop w:val="0"/>
      <w:marBottom w:val="0"/>
      <w:divBdr>
        <w:top w:val="none" w:sz="0" w:space="0" w:color="auto"/>
        <w:left w:val="none" w:sz="0" w:space="0" w:color="auto"/>
        <w:bottom w:val="none" w:sz="0" w:space="0" w:color="auto"/>
        <w:right w:val="none" w:sz="0" w:space="0" w:color="auto"/>
      </w:divBdr>
      <w:divsChild>
        <w:div w:id="538393849">
          <w:marLeft w:val="0"/>
          <w:marRight w:val="0"/>
          <w:marTop w:val="150"/>
          <w:marBottom w:val="0"/>
          <w:divBdr>
            <w:top w:val="none" w:sz="0" w:space="0" w:color="auto"/>
            <w:left w:val="none" w:sz="0" w:space="0" w:color="auto"/>
            <w:bottom w:val="none" w:sz="0" w:space="0" w:color="auto"/>
            <w:right w:val="none" w:sz="0" w:space="0" w:color="auto"/>
          </w:divBdr>
        </w:div>
      </w:divsChild>
    </w:div>
    <w:div w:id="890576998">
      <w:bodyDiv w:val="1"/>
      <w:marLeft w:val="0"/>
      <w:marRight w:val="0"/>
      <w:marTop w:val="0"/>
      <w:marBottom w:val="0"/>
      <w:divBdr>
        <w:top w:val="none" w:sz="0" w:space="0" w:color="auto"/>
        <w:left w:val="none" w:sz="0" w:space="0" w:color="auto"/>
        <w:bottom w:val="none" w:sz="0" w:space="0" w:color="auto"/>
        <w:right w:val="none" w:sz="0" w:space="0" w:color="auto"/>
      </w:divBdr>
    </w:div>
    <w:div w:id="12858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05F047-F9E5-4485-A657-02EC6A735207}">
  <ds:schemaRefs>
    <ds:schemaRef ds:uri="http://schemas.openxmlformats.org/officeDocument/2006/bibliography"/>
  </ds:schemaRefs>
</ds:datastoreItem>
</file>

<file path=customXml/itemProps2.xml><?xml version="1.0" encoding="utf-8"?>
<ds:datastoreItem xmlns:ds="http://schemas.openxmlformats.org/officeDocument/2006/customXml" ds:itemID="{F486F08C-30BA-43AB-8F7D-1622B1C5E24D}"/>
</file>

<file path=customXml/itemProps3.xml><?xml version="1.0" encoding="utf-8"?>
<ds:datastoreItem xmlns:ds="http://schemas.openxmlformats.org/officeDocument/2006/customXml" ds:itemID="{9DFE72EA-3EED-4DC8-98F5-76560FD0FE92}"/>
</file>

<file path=customXml/itemProps4.xml><?xml version="1.0" encoding="utf-8"?>
<ds:datastoreItem xmlns:ds="http://schemas.openxmlformats.org/officeDocument/2006/customXml" ds:itemID="{3FD7E568-7062-41AA-B551-6E72AB7FA50C}"/>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9680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dc:creator>
  <cp:keywords/>
  <cp:lastModifiedBy>KIM Jung Rin</cp:lastModifiedBy>
  <cp:revision>2</cp:revision>
  <dcterms:created xsi:type="dcterms:W3CDTF">2021-08-16T14:09:00Z</dcterms:created>
  <dcterms:modified xsi:type="dcterms:W3CDTF">2021-08-16T14:09:00Z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