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454903" w14:textId="77777777" w:rsidR="00667221" w:rsidRPr="00E556CC" w:rsidRDefault="005030D1" w:rsidP="00572B00">
      <w:pPr>
        <w:spacing w:line="240" w:lineRule="auto"/>
        <w:rPr>
          <w:sz w:val="20"/>
          <w:szCs w:val="20"/>
        </w:rPr>
      </w:pPr>
      <w:bookmarkStart w:id="0" w:name="_GoBack"/>
      <w:bookmarkEnd w:id="0"/>
      <w:r w:rsidRPr="00E556CC">
        <w:rPr>
          <w:sz w:val="20"/>
          <w:szCs w:val="20"/>
        </w:rPr>
        <w:t>Señores</w:t>
      </w:r>
    </w:p>
    <w:p w14:paraId="400EAEF0" w14:textId="77777777" w:rsidR="00667221" w:rsidRPr="00E556CC" w:rsidRDefault="005030D1" w:rsidP="00572B00">
      <w:pPr>
        <w:spacing w:line="240" w:lineRule="auto"/>
        <w:rPr>
          <w:b/>
          <w:sz w:val="20"/>
          <w:szCs w:val="20"/>
        </w:rPr>
      </w:pPr>
      <w:r w:rsidRPr="00E556CC">
        <w:rPr>
          <w:b/>
          <w:sz w:val="20"/>
          <w:szCs w:val="20"/>
        </w:rPr>
        <w:t>RODRIGO UPRIMNY</w:t>
      </w:r>
    </w:p>
    <w:p w14:paraId="0E5A0588" w14:textId="77777777" w:rsidR="00667221" w:rsidRPr="00E556CC" w:rsidRDefault="005030D1" w:rsidP="00572B00">
      <w:pPr>
        <w:spacing w:line="240" w:lineRule="auto"/>
        <w:rPr>
          <w:b/>
          <w:sz w:val="20"/>
          <w:szCs w:val="20"/>
        </w:rPr>
      </w:pPr>
      <w:r w:rsidRPr="00E556CC">
        <w:rPr>
          <w:b/>
          <w:sz w:val="20"/>
          <w:szCs w:val="20"/>
        </w:rPr>
        <w:t>MICHAEL WINDFURH</w:t>
      </w:r>
    </w:p>
    <w:p w14:paraId="2E92EBCD" w14:textId="77777777" w:rsidR="00667221" w:rsidRPr="00E556CC" w:rsidRDefault="005030D1" w:rsidP="00572B00">
      <w:pPr>
        <w:spacing w:line="240" w:lineRule="auto"/>
        <w:rPr>
          <w:sz w:val="20"/>
          <w:szCs w:val="20"/>
        </w:rPr>
      </w:pPr>
      <w:r w:rsidRPr="00E556CC">
        <w:rPr>
          <w:sz w:val="20"/>
          <w:szCs w:val="20"/>
        </w:rPr>
        <w:t>Relatores</w:t>
      </w:r>
    </w:p>
    <w:p w14:paraId="556CF68E" w14:textId="77777777" w:rsidR="00667221" w:rsidRPr="00E556CC" w:rsidRDefault="005030D1" w:rsidP="00572B00">
      <w:pPr>
        <w:spacing w:line="240" w:lineRule="auto"/>
        <w:rPr>
          <w:sz w:val="20"/>
          <w:szCs w:val="20"/>
        </w:rPr>
      </w:pPr>
      <w:r w:rsidRPr="00E556CC">
        <w:rPr>
          <w:sz w:val="20"/>
          <w:szCs w:val="20"/>
        </w:rPr>
        <w:t>Comité de Derechos Económicos, Sociales y Culturales de Naciones Unidas</w:t>
      </w:r>
    </w:p>
    <w:p w14:paraId="503B92AE" w14:textId="77777777" w:rsidR="00667221" w:rsidRPr="00E556CC" w:rsidRDefault="00667221" w:rsidP="00572B00">
      <w:pPr>
        <w:spacing w:afterLines="60" w:after="144" w:line="240" w:lineRule="auto"/>
        <w:rPr>
          <w:sz w:val="20"/>
          <w:szCs w:val="20"/>
        </w:rPr>
      </w:pPr>
    </w:p>
    <w:p w14:paraId="18770909" w14:textId="0FCB7FDC" w:rsidR="00667221" w:rsidRPr="00E556CC" w:rsidRDefault="005030D1" w:rsidP="00572B00">
      <w:pPr>
        <w:spacing w:afterLines="60" w:after="144" w:line="240" w:lineRule="auto"/>
        <w:ind w:left="426" w:right="-43"/>
        <w:jc w:val="right"/>
        <w:rPr>
          <w:sz w:val="20"/>
          <w:szCs w:val="20"/>
        </w:rPr>
      </w:pPr>
      <w:r w:rsidRPr="00E556CC">
        <w:rPr>
          <w:b/>
          <w:sz w:val="20"/>
          <w:szCs w:val="20"/>
        </w:rPr>
        <w:t>Asunto:</w:t>
      </w:r>
      <w:r w:rsidRPr="00E556CC">
        <w:rPr>
          <w:sz w:val="20"/>
          <w:szCs w:val="20"/>
        </w:rPr>
        <w:t xml:space="preserve"> Contribución </w:t>
      </w:r>
      <w:r w:rsidR="00DC0260" w:rsidRPr="00E556CC">
        <w:rPr>
          <w:sz w:val="20"/>
          <w:szCs w:val="20"/>
        </w:rPr>
        <w:t xml:space="preserve">escrita de la Plataforma Colombiana de Derechos Humanos, Democracia y Desarrollo </w:t>
      </w:r>
      <w:r w:rsidRPr="00E556CC">
        <w:rPr>
          <w:sz w:val="20"/>
          <w:szCs w:val="20"/>
        </w:rPr>
        <w:t>al Proyecto de Observación general núm. 26 (2021), relativa a los derechos sobre la tierra y los derechos económicos, sociales y culturales</w:t>
      </w:r>
    </w:p>
    <w:p w14:paraId="555764D7" w14:textId="77777777" w:rsidR="00667221" w:rsidRPr="00E556CC" w:rsidRDefault="005030D1" w:rsidP="00572B00">
      <w:pPr>
        <w:spacing w:afterLines="60" w:after="144" w:line="240" w:lineRule="auto"/>
        <w:jc w:val="both"/>
        <w:rPr>
          <w:sz w:val="20"/>
          <w:szCs w:val="20"/>
        </w:rPr>
      </w:pPr>
      <w:r w:rsidRPr="00E556CC">
        <w:rPr>
          <w:sz w:val="20"/>
          <w:szCs w:val="20"/>
        </w:rPr>
        <w:t>La Plataforma Colombiana de Derechos Humanos, Democracia y Desarrollo (PCDHDD) es una red plural y autónoma compuesta por más de cien organizaciones sociales, comunitarias y Organizaciones No Gubernamentales en Colombia, que se han articulado para contribuir al desarrollo de una cultura basada en la conciencia de derechos humanos y la paz con justicia y equidad. La PCDHDD tiene como misión apoyar los procesos de construcción de ciudadanía, desarrollando estrategias de exigibilidad y vigilancia social, destinadas a lograr que el Estado colombiano cumpla sus obligaciones y compromisos en materia de Derechos Económicos, Sociales, Culturales y Ambientales (DESCA).</w:t>
      </w:r>
    </w:p>
    <w:p w14:paraId="4DC423DF" w14:textId="77777777" w:rsidR="00667221" w:rsidRPr="00E556CC" w:rsidRDefault="005030D1" w:rsidP="00572B00">
      <w:pPr>
        <w:spacing w:afterLines="60" w:after="144" w:line="240" w:lineRule="auto"/>
        <w:jc w:val="both"/>
        <w:rPr>
          <w:sz w:val="20"/>
          <w:szCs w:val="20"/>
        </w:rPr>
      </w:pPr>
      <w:r w:rsidRPr="00E556CC">
        <w:rPr>
          <w:sz w:val="20"/>
          <w:szCs w:val="20"/>
        </w:rPr>
        <w:t xml:space="preserve">La PCDDHH destaca el esfuerzo de los relatores y del Comité DESC en su conjunto para la adopción de la Observación General sobre tierras. Este esfuerzo, por un lado, complementa los avances del cuerpo normativo y marcos de interpretación de los Derechos Humanos que han reconocido los derechos a la tierra y al territorio, por ejemplo, la Declaración de Naciones Unidas sobre los Derechos de los Pueblos Indígenas y la Declaración de Naciones Unidas sobre los Derechos de los Campesinos y de Otras Personas que trabajan en las Zonas Rurales y, por otro, apoya el cumplimiento de los Estados de sus obligaciones internacionales y a organizaciones de la sociedad civil y de campesinos, indígenas y afrodescendientes en la exigibilidad de sus derechos. El proyecto de Observación General considera el enfoque de género y de los derechos de los mujeres, consagrados en diferentes instrumentos de derechos humanos sobre este particular. </w:t>
      </w:r>
    </w:p>
    <w:p w14:paraId="5160DD96" w14:textId="290DA40E" w:rsidR="00667221" w:rsidRPr="00E556CC" w:rsidRDefault="005030D1" w:rsidP="00572B00">
      <w:pPr>
        <w:spacing w:afterLines="60" w:after="144" w:line="240" w:lineRule="auto"/>
        <w:jc w:val="both"/>
        <w:rPr>
          <w:sz w:val="20"/>
          <w:szCs w:val="20"/>
        </w:rPr>
      </w:pPr>
      <w:r w:rsidRPr="00E556CC">
        <w:rPr>
          <w:sz w:val="20"/>
          <w:szCs w:val="20"/>
        </w:rPr>
        <w:t xml:space="preserve">El proyecto de Observación General sobre Tierras reconoce la centralidad de las políticas sobre la tierra para la garantía integral de los derechos de las poblaciones rurales, particularmente de los grupos </w:t>
      </w:r>
      <w:r w:rsidRPr="00E556CC">
        <w:rPr>
          <w:sz w:val="20"/>
          <w:szCs w:val="20"/>
        </w:rPr>
        <w:lastRenderedPageBreak/>
        <w:t xml:space="preserve">más vulnerables, a saber, individuos y comunidades campesinas, indígenas y de otros grupos étnicos, de pastores y pescadores, para quienes el acceso y el control efectivo de las tierras rurales cumple un papel sustancial tanto en su reproducción material, en el acceso a sus medios de vida, y en otros aspectos que superan una valoración económica de la tierra como un activo económico, particularmente de sus visiones </w:t>
      </w:r>
      <w:r w:rsidR="00D37E5F" w:rsidRPr="00E556CC">
        <w:rPr>
          <w:sz w:val="20"/>
          <w:szCs w:val="20"/>
        </w:rPr>
        <w:t xml:space="preserve">sociales y </w:t>
      </w:r>
      <w:r w:rsidRPr="00E556CC">
        <w:rPr>
          <w:sz w:val="20"/>
          <w:szCs w:val="20"/>
        </w:rPr>
        <w:t xml:space="preserve">culturales. </w:t>
      </w:r>
    </w:p>
    <w:p w14:paraId="04119316" w14:textId="7E15DD6C" w:rsidR="00D37E5F" w:rsidRPr="00E556CC" w:rsidRDefault="005030D1" w:rsidP="00572B00">
      <w:pPr>
        <w:spacing w:afterLines="60" w:after="144" w:line="240" w:lineRule="auto"/>
        <w:jc w:val="both"/>
        <w:rPr>
          <w:sz w:val="20"/>
          <w:szCs w:val="20"/>
        </w:rPr>
      </w:pPr>
      <w:r w:rsidRPr="00E556CC">
        <w:rPr>
          <w:sz w:val="20"/>
          <w:szCs w:val="20"/>
        </w:rPr>
        <w:t xml:space="preserve">Consideramos que </w:t>
      </w:r>
      <w:r w:rsidR="00572B00" w:rsidRPr="00E556CC">
        <w:rPr>
          <w:sz w:val="20"/>
          <w:szCs w:val="20"/>
        </w:rPr>
        <w:t xml:space="preserve">el Proyecto </w:t>
      </w:r>
      <w:r w:rsidRPr="00E556CC">
        <w:rPr>
          <w:sz w:val="20"/>
          <w:szCs w:val="20"/>
        </w:rPr>
        <w:t>de Observación General puede resaltar, de una forma más contundente, no solo que la tierra y el territorio son centrales en la protección, garantía y respeto de los derechos humanos de las comunidades que dependen de ellos, sino también, que esta misma centralidad, puede permitir su consideración como un derecho humano</w:t>
      </w:r>
      <w:r w:rsidR="007765FE" w:rsidRPr="00E556CC">
        <w:rPr>
          <w:sz w:val="20"/>
          <w:szCs w:val="20"/>
        </w:rPr>
        <w:t xml:space="preserve"> autónomo</w:t>
      </w:r>
      <w:r w:rsidRPr="00E556CC">
        <w:rPr>
          <w:sz w:val="20"/>
          <w:szCs w:val="20"/>
        </w:rPr>
        <w:t>, del cual son titulares precisamente aquellos actores sociales que dependen del acceso y del control de la misma para la realización de sus derechos humanos integrales. En Colombia, dicha consideración ha sido reconocida a través de la jurisprudencia de la Corte Constitucional, y más recientemente</w:t>
      </w:r>
      <w:r w:rsidR="00D510D4">
        <w:rPr>
          <w:sz w:val="20"/>
          <w:szCs w:val="20"/>
        </w:rPr>
        <w:t xml:space="preserve"> también, a nivel internacional,</w:t>
      </w:r>
      <w:r w:rsidRPr="00E556CC">
        <w:rPr>
          <w:sz w:val="20"/>
          <w:szCs w:val="20"/>
        </w:rPr>
        <w:t xml:space="preserve"> en la </w:t>
      </w:r>
      <w:r w:rsidR="00D37E5F" w:rsidRPr="00E556CC">
        <w:rPr>
          <w:sz w:val="20"/>
          <w:szCs w:val="20"/>
        </w:rPr>
        <w:t>Declaración de Naciones Unidas sobre los Derechos de los Campesinos y de Otras Personas que trabajan en las Zonas Rurales</w:t>
      </w:r>
      <w:r w:rsidRPr="00E556CC">
        <w:rPr>
          <w:sz w:val="20"/>
          <w:szCs w:val="20"/>
          <w:vertAlign w:val="superscript"/>
        </w:rPr>
        <w:footnoteReference w:id="1"/>
      </w:r>
      <w:r w:rsidRPr="00E556CC">
        <w:rPr>
          <w:sz w:val="20"/>
          <w:szCs w:val="20"/>
        </w:rPr>
        <w:t xml:space="preserve">. </w:t>
      </w:r>
    </w:p>
    <w:p w14:paraId="7EEE6AF2" w14:textId="65490A91" w:rsidR="00667221" w:rsidRPr="00E556CC" w:rsidRDefault="005030D1" w:rsidP="00572B00">
      <w:pPr>
        <w:spacing w:afterLines="60" w:after="144" w:line="240" w:lineRule="auto"/>
        <w:jc w:val="both"/>
        <w:rPr>
          <w:sz w:val="20"/>
          <w:szCs w:val="20"/>
        </w:rPr>
      </w:pPr>
      <w:r w:rsidRPr="00E556CC">
        <w:rPr>
          <w:sz w:val="20"/>
          <w:szCs w:val="20"/>
        </w:rPr>
        <w:t>La consideración de la tierra como un derecho humano, lleva a los Estados a reforzar los principios de la función social y ecológica de la propiedad, en el sentido de que impone límites efectivos para el ejercicio de los derechos sobre las tierras para sus usuarios, bajo la orientación de un principio de equidad y de sostenibilidad ambiental, reconociendo específicamente la protección de los intereses de los usuarios más pobres de las tierras rurales, usualmente inmersos en relaciones asimétricas con otros actores, que aumentan su vulnerabilidad y riesgo de desprotección de sus derechos. Adicionalmente, es importante reconocer que los movimientos y organizaciones agrarias han desarrollado la noción del derecho al territorio para resaltar diferentes dimensiones de los derechos humanos asociados a la tierra</w:t>
      </w:r>
      <w:r w:rsidR="00D37E5F" w:rsidRPr="00E556CC">
        <w:rPr>
          <w:sz w:val="20"/>
          <w:szCs w:val="20"/>
        </w:rPr>
        <w:t>.</w:t>
      </w:r>
      <w:r w:rsidRPr="00E556CC">
        <w:rPr>
          <w:sz w:val="20"/>
          <w:szCs w:val="20"/>
        </w:rPr>
        <w:t xml:space="preserve"> </w:t>
      </w:r>
      <w:r w:rsidR="00D37E5F" w:rsidRPr="00E556CC">
        <w:rPr>
          <w:sz w:val="20"/>
          <w:szCs w:val="20"/>
        </w:rPr>
        <w:t>E</w:t>
      </w:r>
      <w:r w:rsidRPr="00E556CC">
        <w:rPr>
          <w:sz w:val="20"/>
          <w:szCs w:val="20"/>
        </w:rPr>
        <w:t xml:space="preserve">ntre ellos, los derechos de participación política </w:t>
      </w:r>
      <w:r w:rsidR="0037087A">
        <w:rPr>
          <w:sz w:val="20"/>
          <w:szCs w:val="20"/>
        </w:rPr>
        <w:t>–</w:t>
      </w:r>
      <w:r w:rsidRPr="00E556CC">
        <w:rPr>
          <w:sz w:val="20"/>
          <w:szCs w:val="20"/>
        </w:rPr>
        <w:t>al concebir los derechos de participación, organización y toma de decisiones sobre lo que se hace en un espacio físico determinado</w:t>
      </w:r>
      <w:r w:rsidR="0037087A">
        <w:rPr>
          <w:sz w:val="20"/>
          <w:szCs w:val="20"/>
        </w:rPr>
        <w:t>–</w:t>
      </w:r>
      <w:r w:rsidRPr="00E556CC">
        <w:rPr>
          <w:sz w:val="20"/>
          <w:szCs w:val="20"/>
        </w:rPr>
        <w:t xml:space="preserve">; los </w:t>
      </w:r>
      <w:r w:rsidRPr="00E556CC">
        <w:rPr>
          <w:sz w:val="20"/>
          <w:szCs w:val="20"/>
        </w:rPr>
        <w:lastRenderedPageBreak/>
        <w:t>derechos culturales</w:t>
      </w:r>
      <w:r w:rsidR="0037087A">
        <w:rPr>
          <w:sz w:val="20"/>
          <w:szCs w:val="20"/>
        </w:rPr>
        <w:t xml:space="preserve"> –</w:t>
      </w:r>
      <w:r w:rsidRPr="00E556CC">
        <w:rPr>
          <w:sz w:val="20"/>
          <w:szCs w:val="20"/>
        </w:rPr>
        <w:t>al vincular sentidos extraeconómicos a las tierras que habitan y ocupan</w:t>
      </w:r>
      <w:r w:rsidR="0037087A">
        <w:rPr>
          <w:sz w:val="20"/>
          <w:szCs w:val="20"/>
        </w:rPr>
        <w:t>–</w:t>
      </w:r>
      <w:r w:rsidRPr="00E556CC">
        <w:rPr>
          <w:sz w:val="20"/>
          <w:szCs w:val="20"/>
        </w:rPr>
        <w:t xml:space="preserve">; y los derechos ambientales </w:t>
      </w:r>
      <w:r w:rsidR="0037087A">
        <w:rPr>
          <w:sz w:val="20"/>
          <w:szCs w:val="20"/>
        </w:rPr>
        <w:t>–</w:t>
      </w:r>
      <w:r w:rsidRPr="00E556CC">
        <w:rPr>
          <w:sz w:val="20"/>
          <w:szCs w:val="20"/>
        </w:rPr>
        <w:t>al situar la conservación y el uso sostenible de los recursos y bienes de la naturaleza como un asunto de primordial importancia</w:t>
      </w:r>
      <w:r w:rsidR="0037087A">
        <w:rPr>
          <w:sz w:val="20"/>
          <w:szCs w:val="20"/>
        </w:rPr>
        <w:t>–</w:t>
      </w:r>
      <w:r w:rsidRPr="00E556CC">
        <w:rPr>
          <w:sz w:val="20"/>
          <w:szCs w:val="20"/>
        </w:rPr>
        <w:t xml:space="preserve">. Por </w:t>
      </w:r>
      <w:r w:rsidR="00D37E5F" w:rsidRPr="00E556CC">
        <w:rPr>
          <w:sz w:val="20"/>
          <w:szCs w:val="20"/>
        </w:rPr>
        <w:t>esta razón</w:t>
      </w:r>
      <w:r w:rsidRPr="00E556CC">
        <w:rPr>
          <w:sz w:val="20"/>
          <w:szCs w:val="20"/>
        </w:rPr>
        <w:t xml:space="preserve">, consideramos que la Observación podría incluir en diferentes apartados, el reconocimiento de la noción de territorio, de una forma </w:t>
      </w:r>
      <w:r w:rsidR="0037087A">
        <w:rPr>
          <w:sz w:val="20"/>
          <w:szCs w:val="20"/>
        </w:rPr>
        <w:t>todavía</w:t>
      </w:r>
      <w:r w:rsidRPr="00E556CC">
        <w:rPr>
          <w:sz w:val="20"/>
          <w:szCs w:val="20"/>
        </w:rPr>
        <w:t xml:space="preserve"> más explícita. </w:t>
      </w:r>
    </w:p>
    <w:p w14:paraId="1017B7EC" w14:textId="676DA6F6" w:rsidR="00667221" w:rsidRPr="00E556CC" w:rsidRDefault="00D37E5F" w:rsidP="00572B00">
      <w:pPr>
        <w:spacing w:afterLines="60" w:after="144" w:line="240" w:lineRule="auto"/>
        <w:jc w:val="both"/>
        <w:rPr>
          <w:sz w:val="20"/>
          <w:szCs w:val="20"/>
        </w:rPr>
      </w:pPr>
      <w:r w:rsidRPr="00E556CC">
        <w:rPr>
          <w:sz w:val="20"/>
          <w:szCs w:val="20"/>
        </w:rPr>
        <w:t>Comprender</w:t>
      </w:r>
      <w:r w:rsidR="005030D1" w:rsidRPr="00E556CC">
        <w:rPr>
          <w:sz w:val="20"/>
          <w:szCs w:val="20"/>
        </w:rPr>
        <w:t xml:space="preserve"> el acceso y control de las tierras rurales como un asunto fundamental para la garantía de los derechos humanos de las poblaciones vinculadas a ellas, implica reconocer que las políticas y procedimientos orientadas al reconocimiento y protección de los derechos sobre la tierra, deben ser reconsideradas como un asunto de derechos humanos. Esto incluye las políticas de reforma agraria, redistribución y restitución de tierras, y particularmente reconocer la vulnerabilidad de los actores sociales, individuos y comunidades, que tienen la posición más vulnerable en contextos de disputas y conflictos sobre la tierra. Así, políticas agrarias y ambientales, incluidas las de registro, demarcación y delimitación de las tierras, el reconocimiento de los sistemas consuetudinarios y propios de gestión de las tierras, o la valoración del rol de los campesinos, indígenas y otros grupos sociales rurales en la conservación y uso sostenible de la naturaleza, son aspectos que están relacionados directamente con la garantía integral de los derechos humanos de estas poblaciones, así como es reconocido por el </w:t>
      </w:r>
      <w:r w:rsidRPr="00E556CC">
        <w:rPr>
          <w:sz w:val="20"/>
          <w:szCs w:val="20"/>
        </w:rPr>
        <w:t>P</w:t>
      </w:r>
      <w:r w:rsidR="005030D1" w:rsidRPr="00E556CC">
        <w:rPr>
          <w:sz w:val="20"/>
          <w:szCs w:val="20"/>
        </w:rPr>
        <w:t xml:space="preserve">royecto de </w:t>
      </w:r>
      <w:r w:rsidRPr="00E556CC">
        <w:rPr>
          <w:sz w:val="20"/>
          <w:szCs w:val="20"/>
        </w:rPr>
        <w:t>O</w:t>
      </w:r>
      <w:r w:rsidR="005030D1" w:rsidRPr="00E556CC">
        <w:rPr>
          <w:sz w:val="20"/>
          <w:szCs w:val="20"/>
        </w:rPr>
        <w:t xml:space="preserve">bservación </w:t>
      </w:r>
      <w:r w:rsidRPr="00E556CC">
        <w:rPr>
          <w:sz w:val="20"/>
          <w:szCs w:val="20"/>
        </w:rPr>
        <w:t>G</w:t>
      </w:r>
      <w:r w:rsidR="005030D1" w:rsidRPr="00E556CC">
        <w:rPr>
          <w:sz w:val="20"/>
          <w:szCs w:val="20"/>
        </w:rPr>
        <w:t xml:space="preserve">eneral. Esta consideración debe incluir un tiempo razonable para la solución de procesos de registro de tierras, cuyas demoras tienden a afectar precisamente a las comunidades vulnerables. </w:t>
      </w:r>
    </w:p>
    <w:p w14:paraId="4F263E9F" w14:textId="2444DD31" w:rsidR="00667221" w:rsidRPr="00E556CC" w:rsidRDefault="005030D1" w:rsidP="00572B00">
      <w:pPr>
        <w:spacing w:afterLines="60" w:after="144" w:line="240" w:lineRule="auto"/>
        <w:jc w:val="both"/>
        <w:rPr>
          <w:sz w:val="20"/>
          <w:szCs w:val="20"/>
        </w:rPr>
      </w:pPr>
      <w:r w:rsidRPr="00E556CC">
        <w:rPr>
          <w:sz w:val="20"/>
          <w:szCs w:val="20"/>
        </w:rPr>
        <w:t xml:space="preserve">La </w:t>
      </w:r>
      <w:r w:rsidR="00D37E5F" w:rsidRPr="00E556CC">
        <w:rPr>
          <w:sz w:val="20"/>
          <w:szCs w:val="20"/>
        </w:rPr>
        <w:t>Observación General sobre tierras</w:t>
      </w:r>
      <w:r w:rsidRPr="00E556CC">
        <w:rPr>
          <w:sz w:val="20"/>
          <w:szCs w:val="20"/>
        </w:rPr>
        <w:t xml:space="preserve"> podría reconocer que en el contexto global de acaparamiento de tierras </w:t>
      </w:r>
      <w:r w:rsidR="00D37E5F" w:rsidRPr="00E556CC">
        <w:rPr>
          <w:sz w:val="20"/>
          <w:szCs w:val="20"/>
        </w:rPr>
        <w:t xml:space="preserve">emergen </w:t>
      </w:r>
      <w:r w:rsidR="002F4315" w:rsidRPr="00E556CC">
        <w:rPr>
          <w:sz w:val="20"/>
          <w:szCs w:val="20"/>
        </w:rPr>
        <w:t xml:space="preserve">constantemente </w:t>
      </w:r>
      <w:r w:rsidRPr="00E556CC">
        <w:rPr>
          <w:sz w:val="20"/>
          <w:szCs w:val="20"/>
        </w:rPr>
        <w:t xml:space="preserve">disputas por derechos sobre las mismas, entre sujetos tradicionalmente excluidos, sin tierra, o con tierra insuficiente. </w:t>
      </w:r>
      <w:r w:rsidR="00D37E5F" w:rsidRPr="00E556CC">
        <w:rPr>
          <w:sz w:val="20"/>
          <w:szCs w:val="20"/>
        </w:rPr>
        <w:t>En este sentido, l</w:t>
      </w:r>
      <w:r w:rsidRPr="00E556CC">
        <w:rPr>
          <w:sz w:val="20"/>
          <w:szCs w:val="20"/>
        </w:rPr>
        <w:t xml:space="preserve">as obligaciones </w:t>
      </w:r>
      <w:r w:rsidR="00D37E5F" w:rsidRPr="00E556CC">
        <w:rPr>
          <w:sz w:val="20"/>
          <w:szCs w:val="20"/>
        </w:rPr>
        <w:t xml:space="preserve">de los Estados </w:t>
      </w:r>
      <w:r w:rsidRPr="00E556CC">
        <w:rPr>
          <w:sz w:val="20"/>
          <w:szCs w:val="20"/>
        </w:rPr>
        <w:t xml:space="preserve">en este tipo de situaciones, que van desde la gestión y la intermediación de los conflictos, hasta la implementación de medidas de reforma agraria redistributiva, deben ser consideradas con mayor énfasis. </w:t>
      </w:r>
      <w:r w:rsidR="002F4315" w:rsidRPr="00E556CC">
        <w:rPr>
          <w:sz w:val="20"/>
          <w:szCs w:val="20"/>
        </w:rPr>
        <w:t>Igualmente, l</w:t>
      </w:r>
      <w:r w:rsidRPr="00E556CC">
        <w:rPr>
          <w:sz w:val="20"/>
          <w:szCs w:val="20"/>
        </w:rPr>
        <w:t xml:space="preserve">a Observación </w:t>
      </w:r>
      <w:r w:rsidR="002F4315" w:rsidRPr="00E556CC">
        <w:rPr>
          <w:sz w:val="20"/>
          <w:szCs w:val="20"/>
        </w:rPr>
        <w:t xml:space="preserve">General </w:t>
      </w:r>
      <w:r w:rsidRPr="00E556CC">
        <w:rPr>
          <w:sz w:val="20"/>
          <w:szCs w:val="20"/>
        </w:rPr>
        <w:t xml:space="preserve">podría insistir en la importancia de los usos sostenibles de la tierra, particularmente aquellos impulsados por los movimientos y organizaciones agrarias desde una perspectiva agroecológica, en contraposición con la agricultura industrializada, que deteriora la capacidad de regeneración de la tierra. </w:t>
      </w:r>
    </w:p>
    <w:p w14:paraId="0B33B528" w14:textId="1DB878CC" w:rsidR="00667221" w:rsidRPr="00E556CC" w:rsidRDefault="005030D1" w:rsidP="00572B00">
      <w:pPr>
        <w:spacing w:afterLines="60" w:after="144" w:line="240" w:lineRule="auto"/>
        <w:jc w:val="both"/>
        <w:rPr>
          <w:sz w:val="20"/>
          <w:szCs w:val="20"/>
        </w:rPr>
      </w:pPr>
      <w:r w:rsidRPr="00E556CC">
        <w:rPr>
          <w:sz w:val="20"/>
          <w:szCs w:val="20"/>
        </w:rPr>
        <w:lastRenderedPageBreak/>
        <w:t xml:space="preserve">Si bien </w:t>
      </w:r>
      <w:r w:rsidR="002F4315" w:rsidRPr="00E556CC">
        <w:rPr>
          <w:sz w:val="20"/>
          <w:szCs w:val="20"/>
        </w:rPr>
        <w:t xml:space="preserve">el Proyecto </w:t>
      </w:r>
      <w:r w:rsidRPr="00E556CC">
        <w:rPr>
          <w:sz w:val="20"/>
          <w:szCs w:val="20"/>
        </w:rPr>
        <w:t xml:space="preserve">reconoce los derechos </w:t>
      </w:r>
      <w:r w:rsidR="002F4315" w:rsidRPr="00E556CC">
        <w:rPr>
          <w:sz w:val="20"/>
          <w:szCs w:val="20"/>
        </w:rPr>
        <w:t xml:space="preserve">de acceso a tierras </w:t>
      </w:r>
      <w:r w:rsidRPr="00E556CC">
        <w:rPr>
          <w:sz w:val="20"/>
          <w:szCs w:val="20"/>
        </w:rPr>
        <w:t>de las mujeres rurales</w:t>
      </w:r>
      <w:r w:rsidR="002F4315" w:rsidRPr="00E556CC">
        <w:rPr>
          <w:sz w:val="20"/>
          <w:szCs w:val="20"/>
        </w:rPr>
        <w:t>,</w:t>
      </w:r>
      <w:r w:rsidRPr="00E556CC">
        <w:rPr>
          <w:sz w:val="20"/>
          <w:szCs w:val="20"/>
        </w:rPr>
        <w:t xml:space="preserve"> en el sentido que otros intrumentos de Naciones Unidas lo hacen, consideramos que la Observación </w:t>
      </w:r>
      <w:r w:rsidR="002F4315" w:rsidRPr="00E556CC">
        <w:rPr>
          <w:sz w:val="20"/>
          <w:szCs w:val="20"/>
        </w:rPr>
        <w:t xml:space="preserve">General </w:t>
      </w:r>
      <w:r w:rsidRPr="00E556CC">
        <w:rPr>
          <w:sz w:val="20"/>
          <w:szCs w:val="20"/>
        </w:rPr>
        <w:t xml:space="preserve">podría reconocer de forma autónoma e independiente los derechos a la tierra de las mujeres rurales, independientemente de servir como un medio para la garantía de los derechos del grupo familiar, </w:t>
      </w:r>
      <w:r w:rsidR="007765FE" w:rsidRPr="00E556CC">
        <w:rPr>
          <w:sz w:val="20"/>
          <w:szCs w:val="20"/>
        </w:rPr>
        <w:t>y</w:t>
      </w:r>
      <w:r w:rsidRPr="00E556CC">
        <w:rPr>
          <w:sz w:val="20"/>
          <w:szCs w:val="20"/>
        </w:rPr>
        <w:t xml:space="preserve"> </w:t>
      </w:r>
      <w:r w:rsidR="00572B00" w:rsidRPr="00E556CC">
        <w:rPr>
          <w:sz w:val="20"/>
          <w:szCs w:val="20"/>
        </w:rPr>
        <w:t xml:space="preserve">reafirmar </w:t>
      </w:r>
      <w:r w:rsidRPr="00E556CC">
        <w:rPr>
          <w:sz w:val="20"/>
          <w:szCs w:val="20"/>
        </w:rPr>
        <w:t xml:space="preserve">la importancia de la existencia de mecanismos y políticas dirigidos exclusivamente para la garantía del derecho a la tierra de </w:t>
      </w:r>
      <w:r w:rsidR="007765FE" w:rsidRPr="00E556CC">
        <w:rPr>
          <w:sz w:val="20"/>
          <w:szCs w:val="20"/>
        </w:rPr>
        <w:t>este grupo para asegurar la igualdad sustantiva entre hombres y mujeres</w:t>
      </w:r>
      <w:r w:rsidRPr="00E556CC">
        <w:rPr>
          <w:sz w:val="20"/>
          <w:szCs w:val="20"/>
        </w:rPr>
        <w:t xml:space="preserve">. De igual forma, es importante que los jóvenes rurales sean incluidos como sujetos titulares del derecho a la tierra, no solo por un asunto de equidad intergeneracional, sino por la importancia del relevo generacional en la producción agrícola y la conservación ambiental. </w:t>
      </w:r>
    </w:p>
    <w:p w14:paraId="3AF0E03A" w14:textId="31B99719" w:rsidR="00667221" w:rsidRPr="00E556CC" w:rsidRDefault="005030D1" w:rsidP="00572B00">
      <w:pPr>
        <w:spacing w:afterLines="60" w:after="144" w:line="240" w:lineRule="auto"/>
        <w:jc w:val="both"/>
        <w:rPr>
          <w:sz w:val="20"/>
          <w:szCs w:val="20"/>
        </w:rPr>
      </w:pPr>
      <w:r w:rsidRPr="00E556CC">
        <w:rPr>
          <w:sz w:val="20"/>
          <w:szCs w:val="20"/>
        </w:rPr>
        <w:t xml:space="preserve">En cuanto a los derechos de participación, la Observación </w:t>
      </w:r>
      <w:r w:rsidR="002F4315" w:rsidRPr="00E556CC">
        <w:rPr>
          <w:sz w:val="20"/>
          <w:szCs w:val="20"/>
        </w:rPr>
        <w:t xml:space="preserve">General </w:t>
      </w:r>
      <w:r w:rsidRPr="00E556CC">
        <w:rPr>
          <w:sz w:val="20"/>
          <w:szCs w:val="20"/>
        </w:rPr>
        <w:t xml:space="preserve">podría hacer extensiva la titularidad de los mismos a todos los sujetos y organizaciones rurales que dependen de la tierra para su subsistencia. Mecanismos como las consultas populares, asambleas comunitarias y otras instancias, permiten el ejercicio de los derechos de participación en asuntos agrarios y ambientales, y deben reconocerse también como un pilar de la protección de los derechos humanos de estas poblaciones. </w:t>
      </w:r>
    </w:p>
    <w:p w14:paraId="31D5210E" w14:textId="0EF053C7" w:rsidR="00572B00" w:rsidRPr="00E556CC" w:rsidRDefault="00572B00" w:rsidP="00572B00">
      <w:pPr>
        <w:spacing w:afterLines="60" w:after="144" w:line="240" w:lineRule="auto"/>
        <w:jc w:val="both"/>
        <w:rPr>
          <w:sz w:val="20"/>
          <w:szCs w:val="20"/>
        </w:rPr>
      </w:pPr>
      <w:r w:rsidRPr="00E556CC">
        <w:rPr>
          <w:sz w:val="20"/>
          <w:szCs w:val="20"/>
        </w:rPr>
        <w:t xml:space="preserve">De igual forma, hacemos los siguientes comentarios </w:t>
      </w:r>
      <w:r w:rsidR="006C0633">
        <w:rPr>
          <w:sz w:val="20"/>
          <w:szCs w:val="20"/>
        </w:rPr>
        <w:t xml:space="preserve">específicos </w:t>
      </w:r>
      <w:r w:rsidRPr="00E556CC">
        <w:rPr>
          <w:sz w:val="20"/>
          <w:szCs w:val="20"/>
        </w:rPr>
        <w:t xml:space="preserve">a </w:t>
      </w:r>
      <w:r w:rsidR="006C0633">
        <w:rPr>
          <w:sz w:val="20"/>
          <w:szCs w:val="20"/>
        </w:rPr>
        <w:t xml:space="preserve">los apartados </w:t>
      </w:r>
      <w:r w:rsidRPr="00E556CC">
        <w:rPr>
          <w:sz w:val="20"/>
          <w:szCs w:val="20"/>
        </w:rPr>
        <w:t>específicos del Proyecto de Observación General:</w:t>
      </w:r>
    </w:p>
    <w:tbl>
      <w:tblPr>
        <w:tblStyle w:val="a"/>
        <w:tblW w:w="901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
        <w:gridCol w:w="8594"/>
      </w:tblGrid>
      <w:tr w:rsidR="00667221" w:rsidRPr="00E556CC" w14:paraId="7E173F7E" w14:textId="77777777" w:rsidTr="00E459D6">
        <w:tc>
          <w:tcPr>
            <w:tcW w:w="421" w:type="dxa"/>
          </w:tcPr>
          <w:p w14:paraId="1BD75A1E" w14:textId="7C0F5993" w:rsidR="00667221" w:rsidRPr="00E459D6" w:rsidRDefault="00572B00" w:rsidP="00ED4532">
            <w:pPr>
              <w:spacing w:afterLines="60" w:after="144"/>
              <w:jc w:val="center"/>
              <w:rPr>
                <w:rFonts w:ascii="Arial" w:eastAsia="Times New Roman" w:hAnsi="Arial" w:cs="Arial"/>
                <w:sz w:val="18"/>
                <w:szCs w:val="18"/>
              </w:rPr>
            </w:pPr>
            <w:r w:rsidRPr="00E459D6">
              <w:rPr>
                <w:rFonts w:ascii="Arial" w:eastAsia="Times New Roman" w:hAnsi="Arial" w:cs="Arial"/>
                <w:sz w:val="18"/>
                <w:szCs w:val="18"/>
              </w:rPr>
              <w:t>Nº</w:t>
            </w:r>
          </w:p>
        </w:tc>
        <w:tc>
          <w:tcPr>
            <w:tcW w:w="8594" w:type="dxa"/>
          </w:tcPr>
          <w:p w14:paraId="2FA8E99F" w14:textId="1B7EA317" w:rsidR="00667221" w:rsidRPr="00E556CC" w:rsidRDefault="00572B00" w:rsidP="00ED4532">
            <w:pPr>
              <w:spacing w:afterLines="60" w:after="144"/>
              <w:jc w:val="center"/>
              <w:rPr>
                <w:rFonts w:ascii="Arial" w:eastAsia="Times New Roman" w:hAnsi="Arial" w:cs="Arial"/>
                <w:sz w:val="20"/>
                <w:szCs w:val="20"/>
              </w:rPr>
            </w:pPr>
            <w:r w:rsidRPr="00E556CC">
              <w:rPr>
                <w:rFonts w:ascii="Arial" w:eastAsia="Times New Roman" w:hAnsi="Arial" w:cs="Arial"/>
                <w:sz w:val="20"/>
                <w:szCs w:val="20"/>
              </w:rPr>
              <w:t>Comentario</w:t>
            </w:r>
          </w:p>
        </w:tc>
      </w:tr>
      <w:tr w:rsidR="00667221" w:rsidRPr="00E556CC" w14:paraId="5DB830A2" w14:textId="77777777" w:rsidTr="00E459D6">
        <w:tc>
          <w:tcPr>
            <w:tcW w:w="421" w:type="dxa"/>
          </w:tcPr>
          <w:p w14:paraId="5CEBB098" w14:textId="77777777" w:rsidR="00667221" w:rsidRPr="00E459D6" w:rsidRDefault="005030D1" w:rsidP="00572B00">
            <w:pPr>
              <w:spacing w:afterLines="60" w:after="144"/>
              <w:jc w:val="both"/>
              <w:rPr>
                <w:rFonts w:ascii="Arial" w:eastAsia="Times New Roman" w:hAnsi="Arial" w:cs="Arial"/>
                <w:sz w:val="18"/>
                <w:szCs w:val="18"/>
              </w:rPr>
            </w:pPr>
            <w:r w:rsidRPr="00E459D6">
              <w:rPr>
                <w:rFonts w:ascii="Arial" w:eastAsia="Times New Roman" w:hAnsi="Arial" w:cs="Arial"/>
                <w:sz w:val="18"/>
                <w:szCs w:val="18"/>
              </w:rPr>
              <w:t>1</w:t>
            </w:r>
          </w:p>
        </w:tc>
        <w:tc>
          <w:tcPr>
            <w:tcW w:w="8594" w:type="dxa"/>
          </w:tcPr>
          <w:p w14:paraId="58E29FBE" w14:textId="693F26B7" w:rsidR="00667221" w:rsidRPr="00E556CC" w:rsidRDefault="005030D1" w:rsidP="00572B00">
            <w:pPr>
              <w:spacing w:afterLines="60" w:after="144"/>
              <w:jc w:val="both"/>
              <w:rPr>
                <w:rFonts w:ascii="Arial" w:eastAsia="Times New Roman" w:hAnsi="Arial" w:cs="Arial"/>
                <w:sz w:val="20"/>
                <w:szCs w:val="20"/>
              </w:rPr>
            </w:pPr>
            <w:r w:rsidRPr="00E556CC">
              <w:rPr>
                <w:rFonts w:ascii="Arial" w:eastAsia="Times New Roman" w:hAnsi="Arial" w:cs="Arial"/>
                <w:sz w:val="20"/>
                <w:szCs w:val="20"/>
              </w:rPr>
              <w:t>Consideramos que</w:t>
            </w:r>
            <w:r w:rsidR="00FF0161" w:rsidRPr="00E556CC">
              <w:rPr>
                <w:rFonts w:ascii="Arial" w:eastAsia="Times New Roman" w:hAnsi="Arial" w:cs="Arial"/>
                <w:sz w:val="20"/>
                <w:szCs w:val="20"/>
              </w:rPr>
              <w:t>,</w:t>
            </w:r>
            <w:r w:rsidRPr="00E556CC">
              <w:rPr>
                <w:rFonts w:ascii="Arial" w:eastAsia="Times New Roman" w:hAnsi="Arial" w:cs="Arial"/>
                <w:sz w:val="20"/>
                <w:szCs w:val="20"/>
              </w:rPr>
              <w:t xml:space="preserve"> además de la importancia de la tierra como un recurso, igualmente </w:t>
            </w:r>
            <w:r w:rsidR="00FF0161" w:rsidRPr="00E556CC">
              <w:rPr>
                <w:rFonts w:ascii="Arial" w:eastAsia="Times New Roman" w:hAnsi="Arial" w:cs="Arial"/>
                <w:sz w:val="20"/>
                <w:szCs w:val="20"/>
              </w:rPr>
              <w:t xml:space="preserve">se debe </w:t>
            </w:r>
            <w:r w:rsidRPr="00E556CC">
              <w:rPr>
                <w:rFonts w:ascii="Arial" w:eastAsia="Times New Roman" w:hAnsi="Arial" w:cs="Arial"/>
                <w:sz w:val="20"/>
                <w:szCs w:val="20"/>
              </w:rPr>
              <w:t>reconocer</w:t>
            </w:r>
            <w:r w:rsidR="00FF0161" w:rsidRPr="00E556CC">
              <w:rPr>
                <w:rFonts w:ascii="Arial" w:eastAsia="Times New Roman" w:hAnsi="Arial" w:cs="Arial"/>
                <w:sz w:val="20"/>
                <w:szCs w:val="20"/>
              </w:rPr>
              <w:t>se</w:t>
            </w:r>
            <w:r w:rsidRPr="00E556CC">
              <w:rPr>
                <w:rFonts w:ascii="Arial" w:eastAsia="Times New Roman" w:hAnsi="Arial" w:cs="Arial"/>
                <w:sz w:val="20"/>
                <w:szCs w:val="20"/>
              </w:rPr>
              <w:t xml:space="preserve"> los valores y connotaciones que sobre la naturaleza y los bienes ambientales tienen los usuarios de la tierra, particularmente aquellos más vulnerables y excluidos, para quienes los valores culturales sobre la naturaleza también </w:t>
            </w:r>
            <w:r w:rsidR="00FF0161" w:rsidRPr="00E556CC">
              <w:rPr>
                <w:rFonts w:ascii="Arial" w:eastAsia="Times New Roman" w:hAnsi="Arial" w:cs="Arial"/>
                <w:sz w:val="20"/>
                <w:szCs w:val="20"/>
              </w:rPr>
              <w:t xml:space="preserve">es significativo para </w:t>
            </w:r>
            <w:r w:rsidRPr="00E556CC">
              <w:rPr>
                <w:rFonts w:ascii="Arial" w:eastAsia="Times New Roman" w:hAnsi="Arial" w:cs="Arial"/>
                <w:sz w:val="20"/>
                <w:szCs w:val="20"/>
              </w:rPr>
              <w:t xml:space="preserve">la satisfacción y protección de necesidades materiales. </w:t>
            </w:r>
          </w:p>
          <w:p w14:paraId="57EA9738" w14:textId="39EF0866" w:rsidR="00667221" w:rsidRPr="00E556CC" w:rsidRDefault="00FF0161" w:rsidP="00572B00">
            <w:pPr>
              <w:spacing w:afterLines="60" w:after="144"/>
              <w:jc w:val="both"/>
              <w:rPr>
                <w:rFonts w:ascii="Arial" w:eastAsia="Times New Roman" w:hAnsi="Arial" w:cs="Arial"/>
                <w:sz w:val="20"/>
                <w:szCs w:val="20"/>
              </w:rPr>
            </w:pPr>
            <w:r w:rsidRPr="00E556CC">
              <w:rPr>
                <w:rFonts w:ascii="Arial" w:eastAsia="Times New Roman" w:hAnsi="Arial" w:cs="Arial"/>
                <w:sz w:val="20"/>
                <w:szCs w:val="20"/>
              </w:rPr>
              <w:t xml:space="preserve">De las misma forma, teniendo en cuenta que para </w:t>
            </w:r>
            <w:r w:rsidR="005030D1" w:rsidRPr="00E556CC">
              <w:rPr>
                <w:rFonts w:ascii="Arial" w:eastAsia="Times New Roman" w:hAnsi="Arial" w:cs="Arial"/>
                <w:sz w:val="20"/>
                <w:szCs w:val="20"/>
              </w:rPr>
              <w:t xml:space="preserve">el contexto </w:t>
            </w:r>
            <w:r w:rsidRPr="00E556CC">
              <w:rPr>
                <w:rFonts w:ascii="Arial" w:eastAsia="Times New Roman" w:hAnsi="Arial" w:cs="Arial"/>
                <w:sz w:val="20"/>
                <w:szCs w:val="20"/>
              </w:rPr>
              <w:t>l</w:t>
            </w:r>
            <w:r w:rsidR="005030D1" w:rsidRPr="00E556CC">
              <w:rPr>
                <w:rFonts w:ascii="Arial" w:eastAsia="Times New Roman" w:hAnsi="Arial" w:cs="Arial"/>
                <w:sz w:val="20"/>
                <w:szCs w:val="20"/>
              </w:rPr>
              <w:t>atinoamericano</w:t>
            </w:r>
            <w:r w:rsidR="00E459D6">
              <w:rPr>
                <w:rFonts w:ascii="Arial" w:eastAsia="Times New Roman" w:hAnsi="Arial" w:cs="Arial"/>
                <w:sz w:val="20"/>
                <w:szCs w:val="20"/>
              </w:rPr>
              <w:t>,</w:t>
            </w:r>
            <w:r w:rsidR="005030D1" w:rsidRPr="00E556CC">
              <w:rPr>
                <w:rFonts w:ascii="Arial" w:eastAsia="Times New Roman" w:hAnsi="Arial" w:cs="Arial"/>
                <w:sz w:val="20"/>
                <w:szCs w:val="20"/>
              </w:rPr>
              <w:t xml:space="preserve"> el reconocimiento de los sujetos colectivos rurales descendientes de la diáspora africana, usualmente denominados como pueblos negros o afrodescendientes, es un asunto de primordial importancia</w:t>
            </w:r>
            <w:r w:rsidRPr="00E556CC">
              <w:rPr>
                <w:rFonts w:ascii="Arial" w:eastAsia="Times New Roman" w:hAnsi="Arial" w:cs="Arial"/>
                <w:sz w:val="20"/>
                <w:szCs w:val="20"/>
              </w:rPr>
              <w:t xml:space="preserve"> y que los </w:t>
            </w:r>
            <w:r w:rsidR="005030D1" w:rsidRPr="00E556CC">
              <w:rPr>
                <w:rFonts w:ascii="Arial" w:eastAsia="Times New Roman" w:hAnsi="Arial" w:cs="Arial"/>
                <w:sz w:val="20"/>
                <w:szCs w:val="20"/>
              </w:rPr>
              <w:t>marcos normativos agrarios se han ajustado para dar</w:t>
            </w:r>
            <w:r w:rsidRPr="00E556CC">
              <w:rPr>
                <w:rFonts w:ascii="Arial" w:eastAsia="Times New Roman" w:hAnsi="Arial" w:cs="Arial"/>
                <w:sz w:val="20"/>
                <w:szCs w:val="20"/>
              </w:rPr>
              <w:t xml:space="preserve"> </w:t>
            </w:r>
            <w:r w:rsidR="005030D1" w:rsidRPr="00E556CC">
              <w:rPr>
                <w:rFonts w:ascii="Arial" w:eastAsia="Times New Roman" w:hAnsi="Arial" w:cs="Arial"/>
                <w:sz w:val="20"/>
                <w:szCs w:val="20"/>
              </w:rPr>
              <w:t xml:space="preserve">reconocimiento </w:t>
            </w:r>
            <w:r w:rsidRPr="00E556CC">
              <w:rPr>
                <w:rFonts w:ascii="Arial" w:eastAsia="Times New Roman" w:hAnsi="Arial" w:cs="Arial"/>
                <w:sz w:val="20"/>
                <w:szCs w:val="20"/>
              </w:rPr>
              <w:t xml:space="preserve">a este grupo </w:t>
            </w:r>
            <w:r w:rsidR="005030D1" w:rsidRPr="00E556CC">
              <w:rPr>
                <w:rFonts w:ascii="Arial" w:eastAsia="Times New Roman" w:hAnsi="Arial" w:cs="Arial"/>
                <w:sz w:val="20"/>
                <w:szCs w:val="20"/>
              </w:rPr>
              <w:t>y a sus reivindicaciones como titulares del derecho a la tierra</w:t>
            </w:r>
            <w:r w:rsidRPr="00E556CC">
              <w:rPr>
                <w:rFonts w:ascii="Arial" w:eastAsia="Times New Roman" w:hAnsi="Arial" w:cs="Arial"/>
                <w:sz w:val="20"/>
                <w:szCs w:val="20"/>
              </w:rPr>
              <w:t>, consideramos que deben ser incluidos</w:t>
            </w:r>
            <w:r w:rsidR="00E459D6">
              <w:rPr>
                <w:rFonts w:ascii="Arial" w:eastAsia="Times New Roman" w:hAnsi="Arial" w:cs="Arial"/>
                <w:sz w:val="20"/>
                <w:szCs w:val="20"/>
              </w:rPr>
              <w:t xml:space="preserve"> especificamente en la Observación General</w:t>
            </w:r>
          </w:p>
        </w:tc>
      </w:tr>
      <w:tr w:rsidR="00667221" w:rsidRPr="00E556CC" w14:paraId="7C7D8121" w14:textId="77777777" w:rsidTr="00E459D6">
        <w:tc>
          <w:tcPr>
            <w:tcW w:w="421" w:type="dxa"/>
          </w:tcPr>
          <w:p w14:paraId="7E2EA943" w14:textId="77777777" w:rsidR="00667221" w:rsidRPr="00E459D6" w:rsidRDefault="005030D1" w:rsidP="00572B00">
            <w:pPr>
              <w:spacing w:afterLines="60" w:after="144"/>
              <w:jc w:val="both"/>
              <w:rPr>
                <w:rFonts w:ascii="Arial" w:eastAsia="Times New Roman" w:hAnsi="Arial" w:cs="Arial"/>
                <w:sz w:val="18"/>
                <w:szCs w:val="18"/>
              </w:rPr>
            </w:pPr>
            <w:r w:rsidRPr="00E459D6">
              <w:rPr>
                <w:rFonts w:ascii="Arial" w:eastAsia="Times New Roman" w:hAnsi="Arial" w:cs="Arial"/>
                <w:sz w:val="18"/>
                <w:szCs w:val="18"/>
              </w:rPr>
              <w:t>2</w:t>
            </w:r>
          </w:p>
        </w:tc>
        <w:tc>
          <w:tcPr>
            <w:tcW w:w="8594" w:type="dxa"/>
          </w:tcPr>
          <w:p w14:paraId="5F207D8D" w14:textId="222200A1" w:rsidR="00667221" w:rsidRPr="00E556CC" w:rsidRDefault="005030D1" w:rsidP="00572B00">
            <w:pPr>
              <w:spacing w:afterLines="60" w:after="144"/>
              <w:jc w:val="both"/>
              <w:rPr>
                <w:rFonts w:ascii="Arial" w:eastAsia="Times New Roman" w:hAnsi="Arial" w:cs="Arial"/>
                <w:sz w:val="20"/>
                <w:szCs w:val="20"/>
              </w:rPr>
            </w:pPr>
            <w:r w:rsidRPr="00E556CC">
              <w:rPr>
                <w:rFonts w:ascii="Arial" w:eastAsia="Times New Roman" w:hAnsi="Arial" w:cs="Arial"/>
                <w:sz w:val="20"/>
                <w:szCs w:val="20"/>
              </w:rPr>
              <w:t>Durante los últimos años, en diferentes foros académicos y políticos, se ha reconocido que el fenómeno de apropiación masiva de tierras, conducido por las crisis convergentes (financiera, de alimentos y combustibles) de la primera década del siglo XXI, tiene una serie de características especiales y de implica</w:t>
            </w:r>
            <w:r w:rsidR="00E459D6">
              <w:rPr>
                <w:rFonts w:ascii="Arial" w:eastAsia="Times New Roman" w:hAnsi="Arial" w:cs="Arial"/>
                <w:sz w:val="20"/>
                <w:szCs w:val="20"/>
              </w:rPr>
              <w:t>.</w:t>
            </w:r>
            <w:r w:rsidRPr="00E556CC">
              <w:rPr>
                <w:rFonts w:ascii="Arial" w:eastAsia="Times New Roman" w:hAnsi="Arial" w:cs="Arial"/>
                <w:sz w:val="20"/>
                <w:szCs w:val="20"/>
              </w:rPr>
              <w:t>ciones políticas, que hacen importante que se reconozcan sus diferencias con otros procesos de apropiación de tierras. Para ello, se acuñó el término de acaparamiento de tierras</w:t>
            </w:r>
            <w:r w:rsidR="00673A0A" w:rsidRPr="00E556CC">
              <w:rPr>
                <w:rFonts w:ascii="Arial" w:eastAsia="Times New Roman" w:hAnsi="Arial" w:cs="Arial"/>
                <w:sz w:val="20"/>
                <w:szCs w:val="20"/>
              </w:rPr>
              <w:t xml:space="preserve"> que recomendamos incluir.</w:t>
            </w:r>
          </w:p>
        </w:tc>
      </w:tr>
      <w:tr w:rsidR="00667221" w:rsidRPr="00E556CC" w14:paraId="73ABFE66" w14:textId="77777777" w:rsidTr="00E459D6">
        <w:tc>
          <w:tcPr>
            <w:tcW w:w="421" w:type="dxa"/>
          </w:tcPr>
          <w:p w14:paraId="75CFD94E" w14:textId="77777777" w:rsidR="00667221" w:rsidRPr="00E459D6" w:rsidRDefault="005030D1" w:rsidP="00572B00">
            <w:pPr>
              <w:spacing w:afterLines="60" w:after="144"/>
              <w:jc w:val="both"/>
              <w:rPr>
                <w:rFonts w:ascii="Arial" w:eastAsia="Times New Roman" w:hAnsi="Arial" w:cs="Arial"/>
                <w:sz w:val="18"/>
                <w:szCs w:val="18"/>
              </w:rPr>
            </w:pPr>
            <w:r w:rsidRPr="00E459D6">
              <w:rPr>
                <w:rFonts w:ascii="Arial" w:eastAsia="Times New Roman" w:hAnsi="Arial" w:cs="Arial"/>
                <w:sz w:val="18"/>
                <w:szCs w:val="18"/>
              </w:rPr>
              <w:t>3</w:t>
            </w:r>
          </w:p>
        </w:tc>
        <w:tc>
          <w:tcPr>
            <w:tcW w:w="8594" w:type="dxa"/>
          </w:tcPr>
          <w:p w14:paraId="41D06B2A" w14:textId="5F82E5F0" w:rsidR="00667221" w:rsidRPr="00E556CC" w:rsidRDefault="00673A0A" w:rsidP="00572B00">
            <w:pPr>
              <w:spacing w:afterLines="60" w:after="144"/>
              <w:jc w:val="both"/>
              <w:rPr>
                <w:rFonts w:ascii="Arial" w:eastAsia="Times New Roman" w:hAnsi="Arial" w:cs="Arial"/>
                <w:sz w:val="20"/>
                <w:szCs w:val="20"/>
              </w:rPr>
            </w:pPr>
            <w:r w:rsidRPr="00E556CC">
              <w:rPr>
                <w:rFonts w:ascii="Arial" w:eastAsia="Times New Roman" w:hAnsi="Arial" w:cs="Arial"/>
                <w:sz w:val="20"/>
                <w:szCs w:val="20"/>
              </w:rPr>
              <w:t>Para el contexto colombiano, l</w:t>
            </w:r>
            <w:r w:rsidR="005030D1" w:rsidRPr="00E556CC">
              <w:rPr>
                <w:rFonts w:ascii="Arial" w:eastAsia="Times New Roman" w:hAnsi="Arial" w:cs="Arial"/>
                <w:sz w:val="20"/>
                <w:szCs w:val="20"/>
              </w:rPr>
              <w:t>a problemática de los “segundos ocupantes” es</w:t>
            </w:r>
            <w:r w:rsidRPr="00E556CC">
              <w:rPr>
                <w:rFonts w:ascii="Arial" w:eastAsia="Times New Roman" w:hAnsi="Arial" w:cs="Arial"/>
                <w:sz w:val="20"/>
                <w:szCs w:val="20"/>
              </w:rPr>
              <w:t xml:space="preserve"> </w:t>
            </w:r>
            <w:r w:rsidR="005030D1" w:rsidRPr="00E556CC">
              <w:rPr>
                <w:rFonts w:ascii="Arial" w:eastAsia="Times New Roman" w:hAnsi="Arial" w:cs="Arial"/>
                <w:sz w:val="20"/>
                <w:szCs w:val="20"/>
              </w:rPr>
              <w:t>relevante, no solo en los casos descritos en el apartado, sino también en las tierras administradas o recuperadas por el Estado a través de instrumentos de política agraria.</w:t>
            </w:r>
          </w:p>
        </w:tc>
      </w:tr>
      <w:tr w:rsidR="00667221" w:rsidRPr="00E556CC" w14:paraId="70DE9F67" w14:textId="77777777" w:rsidTr="00E459D6">
        <w:tc>
          <w:tcPr>
            <w:tcW w:w="421" w:type="dxa"/>
          </w:tcPr>
          <w:p w14:paraId="284B8E96" w14:textId="77777777" w:rsidR="00667221" w:rsidRPr="00E459D6" w:rsidRDefault="005030D1" w:rsidP="00572B00">
            <w:pPr>
              <w:spacing w:afterLines="60" w:after="144"/>
              <w:jc w:val="both"/>
              <w:rPr>
                <w:rFonts w:ascii="Arial" w:eastAsia="Times New Roman" w:hAnsi="Arial" w:cs="Arial"/>
                <w:sz w:val="18"/>
                <w:szCs w:val="18"/>
              </w:rPr>
            </w:pPr>
            <w:r w:rsidRPr="00E459D6">
              <w:rPr>
                <w:rFonts w:ascii="Arial" w:eastAsia="Times New Roman" w:hAnsi="Arial" w:cs="Arial"/>
                <w:sz w:val="18"/>
                <w:szCs w:val="18"/>
              </w:rPr>
              <w:t>6</w:t>
            </w:r>
          </w:p>
        </w:tc>
        <w:tc>
          <w:tcPr>
            <w:tcW w:w="8594" w:type="dxa"/>
          </w:tcPr>
          <w:p w14:paraId="11D69A00" w14:textId="1D497043" w:rsidR="00667221" w:rsidRPr="00E556CC" w:rsidRDefault="00673A0A" w:rsidP="00673A0A">
            <w:pPr>
              <w:spacing w:afterLines="60" w:after="144"/>
              <w:jc w:val="both"/>
              <w:rPr>
                <w:rFonts w:ascii="Arial" w:eastAsia="Times New Roman" w:hAnsi="Arial" w:cs="Arial"/>
                <w:sz w:val="20"/>
                <w:szCs w:val="20"/>
              </w:rPr>
            </w:pPr>
            <w:r w:rsidRPr="00E556CC">
              <w:rPr>
                <w:rFonts w:ascii="Arial" w:eastAsia="Times New Roman" w:hAnsi="Arial" w:cs="Arial"/>
                <w:sz w:val="20"/>
                <w:szCs w:val="20"/>
              </w:rPr>
              <w:t>E</w:t>
            </w:r>
            <w:r w:rsidR="005030D1" w:rsidRPr="00E556CC">
              <w:rPr>
                <w:rFonts w:ascii="Arial" w:eastAsia="Times New Roman" w:hAnsi="Arial" w:cs="Arial"/>
                <w:sz w:val="20"/>
                <w:szCs w:val="20"/>
              </w:rPr>
              <w:t xml:space="preserve">s </w:t>
            </w:r>
            <w:r w:rsidRPr="00E556CC">
              <w:rPr>
                <w:rFonts w:ascii="Arial" w:eastAsia="Times New Roman" w:hAnsi="Arial" w:cs="Arial"/>
                <w:sz w:val="20"/>
                <w:szCs w:val="20"/>
              </w:rPr>
              <w:t xml:space="preserve">necesario </w:t>
            </w:r>
            <w:r w:rsidR="005030D1" w:rsidRPr="00E556CC">
              <w:rPr>
                <w:rFonts w:ascii="Arial" w:eastAsia="Times New Roman" w:hAnsi="Arial" w:cs="Arial"/>
                <w:sz w:val="20"/>
                <w:szCs w:val="20"/>
              </w:rPr>
              <w:t>considerar que sobre la gestión del agua el relator Especial sobre los derechos humanos al agua potable y el saneamiento</w:t>
            </w:r>
            <w:r w:rsidR="005030D1" w:rsidRPr="00E556CC">
              <w:rPr>
                <w:rFonts w:ascii="Arial" w:eastAsia="Times New Roman" w:hAnsi="Arial" w:cs="Arial"/>
                <w:b/>
                <w:sz w:val="20"/>
                <w:szCs w:val="20"/>
              </w:rPr>
              <w:t xml:space="preserve"> </w:t>
            </w:r>
            <w:r w:rsidR="005030D1" w:rsidRPr="00E556CC">
              <w:rPr>
                <w:rFonts w:ascii="Arial" w:eastAsia="Times New Roman" w:hAnsi="Arial" w:cs="Arial"/>
                <w:sz w:val="20"/>
                <w:szCs w:val="20"/>
              </w:rPr>
              <w:t xml:space="preserve">ha señalado que existen riesgos específicos para el disfrute de </w:t>
            </w:r>
            <w:r w:rsidRPr="00E556CC">
              <w:rPr>
                <w:rFonts w:ascii="Arial" w:eastAsia="Times New Roman" w:hAnsi="Arial" w:cs="Arial"/>
                <w:sz w:val="20"/>
                <w:szCs w:val="20"/>
              </w:rPr>
              <w:t xml:space="preserve">estos </w:t>
            </w:r>
            <w:r w:rsidR="005030D1" w:rsidRPr="00E556CC">
              <w:rPr>
                <w:rFonts w:ascii="Arial" w:eastAsia="Times New Roman" w:hAnsi="Arial" w:cs="Arial"/>
                <w:sz w:val="20"/>
                <w:szCs w:val="20"/>
              </w:rPr>
              <w:t>derechos en los casos de privatización, y que es necesario y pertinente analizar las dimensiones jurídicas, teóricas y empíricas de esos riesgos. En ese sentido, cuando el apartado señala que “se reconoce la existencia de diferentes modelos y sistemas de gestión de esos recursos naturales en cada país, los Estados partes deben tener en cuenta dicha gestión” debería señalarse que también se debe tener en cuenta los riesgos de los citados esquemas de gestión para el disfrute de los derechos humanos.</w:t>
            </w:r>
            <w:r w:rsidRPr="00E556CC">
              <w:rPr>
                <w:rFonts w:ascii="Arial" w:eastAsia="Times New Roman" w:hAnsi="Arial" w:cs="Arial"/>
                <w:sz w:val="20"/>
                <w:szCs w:val="20"/>
              </w:rPr>
              <w:t xml:space="preserve"> En todo caso, </w:t>
            </w:r>
            <w:r w:rsidR="005030D1" w:rsidRPr="00E556CC">
              <w:rPr>
                <w:rFonts w:ascii="Arial" w:eastAsia="Times New Roman" w:hAnsi="Arial" w:cs="Arial"/>
                <w:sz w:val="20"/>
                <w:szCs w:val="20"/>
              </w:rPr>
              <w:t xml:space="preserve">debería reconocerse </w:t>
            </w:r>
            <w:r w:rsidRPr="00E556CC">
              <w:rPr>
                <w:rFonts w:ascii="Arial" w:eastAsia="Times New Roman" w:hAnsi="Arial" w:cs="Arial"/>
                <w:sz w:val="20"/>
                <w:szCs w:val="20"/>
              </w:rPr>
              <w:t xml:space="preserve">la obligación </w:t>
            </w:r>
            <w:r w:rsidR="005030D1" w:rsidRPr="00E556CC">
              <w:rPr>
                <w:rFonts w:ascii="Arial" w:eastAsia="Times New Roman" w:hAnsi="Arial" w:cs="Arial"/>
                <w:sz w:val="20"/>
                <w:szCs w:val="20"/>
              </w:rPr>
              <w:t xml:space="preserve">de respeto de las formas de gestión comunitaria y étnica del agua </w:t>
            </w:r>
            <w:r w:rsidRPr="00E556CC">
              <w:rPr>
                <w:rFonts w:ascii="Arial" w:eastAsia="Times New Roman" w:hAnsi="Arial" w:cs="Arial"/>
                <w:sz w:val="20"/>
                <w:szCs w:val="20"/>
              </w:rPr>
              <w:t xml:space="preserve">(por ejemplo, en el párrafo 24) </w:t>
            </w:r>
            <w:r w:rsidR="005030D1" w:rsidRPr="00E556CC">
              <w:rPr>
                <w:rFonts w:ascii="Arial" w:eastAsia="Times New Roman" w:hAnsi="Arial" w:cs="Arial"/>
                <w:sz w:val="20"/>
                <w:szCs w:val="20"/>
              </w:rPr>
              <w:t xml:space="preserve">dada su interdependencia con el derecho a la tierra que </w:t>
            </w:r>
            <w:r w:rsidRPr="00E556CC">
              <w:rPr>
                <w:rFonts w:ascii="Arial" w:eastAsia="Times New Roman" w:hAnsi="Arial" w:cs="Arial"/>
                <w:sz w:val="20"/>
                <w:szCs w:val="20"/>
              </w:rPr>
              <w:t>presenta el Proyecto</w:t>
            </w:r>
            <w:r w:rsidR="005030D1" w:rsidRPr="00E556CC">
              <w:rPr>
                <w:rFonts w:ascii="Arial" w:eastAsia="Times New Roman" w:hAnsi="Arial" w:cs="Arial"/>
                <w:sz w:val="20"/>
                <w:szCs w:val="20"/>
              </w:rPr>
              <w:t>.</w:t>
            </w:r>
          </w:p>
        </w:tc>
      </w:tr>
      <w:tr w:rsidR="00667221" w:rsidRPr="00E556CC" w14:paraId="0C39466F" w14:textId="77777777" w:rsidTr="00E459D6">
        <w:tc>
          <w:tcPr>
            <w:tcW w:w="421" w:type="dxa"/>
          </w:tcPr>
          <w:p w14:paraId="27963578" w14:textId="77777777" w:rsidR="00667221" w:rsidRPr="00E459D6" w:rsidRDefault="005030D1" w:rsidP="00572B00">
            <w:pPr>
              <w:spacing w:afterLines="60" w:after="144"/>
              <w:jc w:val="both"/>
              <w:rPr>
                <w:rFonts w:ascii="Arial" w:eastAsia="Times New Roman" w:hAnsi="Arial" w:cs="Arial"/>
                <w:sz w:val="18"/>
                <w:szCs w:val="18"/>
              </w:rPr>
            </w:pPr>
            <w:r w:rsidRPr="00E459D6">
              <w:rPr>
                <w:rFonts w:ascii="Arial" w:eastAsia="Times New Roman" w:hAnsi="Arial" w:cs="Arial"/>
                <w:sz w:val="18"/>
                <w:szCs w:val="18"/>
              </w:rPr>
              <w:t>7</w:t>
            </w:r>
          </w:p>
        </w:tc>
        <w:tc>
          <w:tcPr>
            <w:tcW w:w="8594" w:type="dxa"/>
          </w:tcPr>
          <w:p w14:paraId="488E0A98" w14:textId="41773F9E" w:rsidR="00667221" w:rsidRPr="00E556CC" w:rsidRDefault="005030D1" w:rsidP="00572B00">
            <w:pPr>
              <w:spacing w:afterLines="60" w:after="144"/>
              <w:jc w:val="both"/>
              <w:rPr>
                <w:rFonts w:ascii="Arial" w:eastAsia="Times New Roman" w:hAnsi="Arial" w:cs="Arial"/>
                <w:sz w:val="20"/>
                <w:szCs w:val="20"/>
              </w:rPr>
            </w:pPr>
            <w:r w:rsidRPr="00E556CC">
              <w:rPr>
                <w:rFonts w:ascii="Arial" w:eastAsia="Times New Roman" w:hAnsi="Arial" w:cs="Arial"/>
                <w:sz w:val="20"/>
                <w:szCs w:val="20"/>
              </w:rPr>
              <w:t xml:space="preserve">Consideramos de gran importancia que </w:t>
            </w:r>
            <w:r w:rsidR="0082163C" w:rsidRPr="00E556CC">
              <w:rPr>
                <w:rFonts w:ascii="Arial" w:eastAsia="Times New Roman" w:hAnsi="Arial" w:cs="Arial"/>
                <w:sz w:val="20"/>
                <w:szCs w:val="20"/>
              </w:rPr>
              <w:t>la Observación General</w:t>
            </w:r>
            <w:r w:rsidRPr="00E556CC">
              <w:rPr>
                <w:rFonts w:ascii="Arial" w:eastAsia="Times New Roman" w:hAnsi="Arial" w:cs="Arial"/>
                <w:sz w:val="20"/>
                <w:szCs w:val="20"/>
              </w:rPr>
              <w:t xml:space="preserve"> reconozca el valor intrínseco de la tierra y de la naturaleza, y no solo las valoraciones que los seres y comunidades humanas pueden dar sobre est</w:t>
            </w:r>
            <w:r w:rsidR="0082163C" w:rsidRPr="00E556CC">
              <w:rPr>
                <w:rFonts w:ascii="Arial" w:eastAsia="Times New Roman" w:hAnsi="Arial" w:cs="Arial"/>
                <w:sz w:val="20"/>
                <w:szCs w:val="20"/>
              </w:rPr>
              <w:t>a</w:t>
            </w:r>
            <w:r w:rsidRPr="00E556CC">
              <w:rPr>
                <w:rFonts w:ascii="Arial" w:eastAsia="Times New Roman" w:hAnsi="Arial" w:cs="Arial"/>
                <w:sz w:val="20"/>
                <w:szCs w:val="20"/>
              </w:rPr>
              <w:t xml:space="preserve">s. La crisis ecológica que enfrentamos en buena medida encuentra sus raíces en la reducida valoración económica sobre los mismos y </w:t>
            </w:r>
            <w:r w:rsidR="0082163C" w:rsidRPr="00E556CC">
              <w:rPr>
                <w:rFonts w:ascii="Arial" w:eastAsia="Times New Roman" w:hAnsi="Arial" w:cs="Arial"/>
                <w:sz w:val="20"/>
                <w:szCs w:val="20"/>
              </w:rPr>
              <w:t xml:space="preserve">en </w:t>
            </w:r>
            <w:r w:rsidRPr="00E556CC">
              <w:rPr>
                <w:rFonts w:ascii="Arial" w:eastAsia="Times New Roman" w:hAnsi="Arial" w:cs="Arial"/>
                <w:sz w:val="20"/>
                <w:szCs w:val="20"/>
              </w:rPr>
              <w:t xml:space="preserve">la falta de reconocimiento de su importancia ecológica independientemente de estas variables. </w:t>
            </w:r>
          </w:p>
        </w:tc>
      </w:tr>
      <w:tr w:rsidR="00667221" w:rsidRPr="00E556CC" w14:paraId="5D765C04" w14:textId="77777777" w:rsidTr="00E459D6">
        <w:tc>
          <w:tcPr>
            <w:tcW w:w="421" w:type="dxa"/>
          </w:tcPr>
          <w:p w14:paraId="0C4FC24E" w14:textId="77777777" w:rsidR="00667221" w:rsidRPr="00E459D6" w:rsidRDefault="005030D1" w:rsidP="00572B00">
            <w:pPr>
              <w:spacing w:afterLines="60" w:after="144"/>
              <w:jc w:val="both"/>
              <w:rPr>
                <w:rFonts w:ascii="Arial" w:eastAsia="Times New Roman" w:hAnsi="Arial" w:cs="Arial"/>
                <w:sz w:val="18"/>
                <w:szCs w:val="18"/>
              </w:rPr>
            </w:pPr>
            <w:r w:rsidRPr="00E459D6">
              <w:rPr>
                <w:rFonts w:ascii="Arial" w:eastAsia="Times New Roman" w:hAnsi="Arial" w:cs="Arial"/>
                <w:sz w:val="18"/>
                <w:szCs w:val="18"/>
              </w:rPr>
              <w:lastRenderedPageBreak/>
              <w:t>8</w:t>
            </w:r>
          </w:p>
        </w:tc>
        <w:tc>
          <w:tcPr>
            <w:tcW w:w="8594" w:type="dxa"/>
          </w:tcPr>
          <w:p w14:paraId="6ADDE3BB" w14:textId="4DEB445F" w:rsidR="00667221" w:rsidRPr="00E556CC" w:rsidRDefault="005030D1" w:rsidP="00572B00">
            <w:pPr>
              <w:spacing w:afterLines="60" w:after="144"/>
              <w:jc w:val="both"/>
              <w:rPr>
                <w:rFonts w:ascii="Arial" w:eastAsia="Times New Roman" w:hAnsi="Arial" w:cs="Arial"/>
                <w:sz w:val="20"/>
                <w:szCs w:val="20"/>
              </w:rPr>
            </w:pPr>
            <w:r w:rsidRPr="00E556CC">
              <w:rPr>
                <w:rFonts w:ascii="Arial" w:eastAsia="Times New Roman" w:hAnsi="Arial" w:cs="Arial"/>
                <w:sz w:val="20"/>
                <w:szCs w:val="20"/>
              </w:rPr>
              <w:t>Consideramos que una de las situaciones en las cuales la tierra es una fuente de conflicto se refiere, precisamente, a la expansión de proyectos extractivos, tanto de minerales y otros recursos no renovables, como de otras formas de extractivismo agrario y forestal</w:t>
            </w:r>
            <w:r w:rsidR="00291256" w:rsidRPr="00E556CC">
              <w:rPr>
                <w:rFonts w:ascii="Arial" w:eastAsia="Times New Roman" w:hAnsi="Arial" w:cs="Arial"/>
                <w:sz w:val="20"/>
                <w:szCs w:val="20"/>
              </w:rPr>
              <w:t>, situaciones que podrían ser incluidas.</w:t>
            </w:r>
          </w:p>
        </w:tc>
      </w:tr>
      <w:tr w:rsidR="00667221" w:rsidRPr="00E556CC" w14:paraId="3F9DF58D" w14:textId="77777777" w:rsidTr="00E459D6">
        <w:tc>
          <w:tcPr>
            <w:tcW w:w="421" w:type="dxa"/>
          </w:tcPr>
          <w:p w14:paraId="20B4F2A0" w14:textId="4102F431" w:rsidR="00667221" w:rsidRPr="00E459D6" w:rsidRDefault="005030D1" w:rsidP="00572B00">
            <w:pPr>
              <w:spacing w:afterLines="60" w:after="144"/>
              <w:jc w:val="both"/>
              <w:rPr>
                <w:rFonts w:ascii="Arial" w:eastAsia="Times New Roman" w:hAnsi="Arial" w:cs="Arial"/>
                <w:sz w:val="18"/>
                <w:szCs w:val="18"/>
              </w:rPr>
            </w:pPr>
            <w:r w:rsidRPr="00E459D6">
              <w:rPr>
                <w:rFonts w:ascii="Arial" w:eastAsia="Times New Roman" w:hAnsi="Arial" w:cs="Arial"/>
                <w:sz w:val="18"/>
                <w:szCs w:val="18"/>
              </w:rPr>
              <w:t>9</w:t>
            </w:r>
            <w:r w:rsidR="00291256" w:rsidRPr="00E459D6">
              <w:rPr>
                <w:rFonts w:ascii="Arial" w:eastAsia="Times New Roman" w:hAnsi="Arial" w:cs="Arial"/>
                <w:sz w:val="18"/>
                <w:szCs w:val="18"/>
              </w:rPr>
              <w:t xml:space="preserve"> a 11</w:t>
            </w:r>
          </w:p>
        </w:tc>
        <w:tc>
          <w:tcPr>
            <w:tcW w:w="8594" w:type="dxa"/>
          </w:tcPr>
          <w:p w14:paraId="780249CA" w14:textId="77777777" w:rsidR="00667221" w:rsidRPr="00E556CC" w:rsidRDefault="005030D1" w:rsidP="00572B00">
            <w:pPr>
              <w:spacing w:afterLines="60" w:after="144"/>
              <w:jc w:val="both"/>
              <w:rPr>
                <w:rFonts w:ascii="Arial" w:eastAsia="Times New Roman" w:hAnsi="Arial" w:cs="Arial"/>
                <w:sz w:val="20"/>
                <w:szCs w:val="20"/>
              </w:rPr>
            </w:pPr>
            <w:r w:rsidRPr="00E556CC">
              <w:rPr>
                <w:rFonts w:ascii="Arial" w:eastAsia="Times New Roman" w:hAnsi="Arial" w:cs="Arial"/>
                <w:sz w:val="20"/>
                <w:szCs w:val="20"/>
              </w:rPr>
              <w:t xml:space="preserve">Consideramos que no solo el acceso seguro, sino también equitativo de la tierra es indispensable para gozar de los derechos contemplados en el </w:t>
            </w:r>
            <w:r w:rsidR="00291256" w:rsidRPr="00E556CC">
              <w:rPr>
                <w:rFonts w:ascii="Arial" w:eastAsia="Times New Roman" w:hAnsi="Arial" w:cs="Arial"/>
                <w:sz w:val="20"/>
                <w:szCs w:val="20"/>
              </w:rPr>
              <w:t>PIDESC</w:t>
            </w:r>
            <w:r w:rsidRPr="00E556CC">
              <w:rPr>
                <w:rFonts w:ascii="Arial" w:eastAsia="Times New Roman" w:hAnsi="Arial" w:cs="Arial"/>
                <w:sz w:val="20"/>
                <w:szCs w:val="20"/>
              </w:rPr>
              <w:t xml:space="preserve">. </w:t>
            </w:r>
          </w:p>
          <w:p w14:paraId="3B170203" w14:textId="77777777" w:rsidR="00291256" w:rsidRPr="00E556CC" w:rsidRDefault="00291256" w:rsidP="00572B00">
            <w:pPr>
              <w:spacing w:afterLines="60" w:after="144"/>
              <w:jc w:val="both"/>
              <w:rPr>
                <w:rFonts w:ascii="Arial" w:eastAsia="Times New Roman" w:hAnsi="Arial" w:cs="Arial"/>
                <w:sz w:val="20"/>
                <w:szCs w:val="20"/>
              </w:rPr>
            </w:pPr>
            <w:r w:rsidRPr="00E556CC">
              <w:rPr>
                <w:rFonts w:ascii="Arial" w:eastAsia="Times New Roman" w:hAnsi="Arial" w:cs="Arial"/>
                <w:sz w:val="20"/>
                <w:szCs w:val="20"/>
              </w:rPr>
              <w:t xml:space="preserve">Los párrafos resaltan los vínculos de la tierra con otros derechos humanos. En relación con el derecho humano al agua, su acceso adecuado es una condición necesaria para tener una vivienda digna, pero también para la explotación productiva de la tierra (regadíos) y por lo tanto para la producción de alimentos. En esta perspectiva se debería reconocer que la privación del acceso al agua es una vulneración del derecho a la tierra. El derecho al agua se vulnera no sólo cuando “se acotan terrenos comunales y se priva a las personas de acceso a las fuentes de agua necesarias para satisfacer sus necesidades diarias”, sino también cuando los derechos de propiedad y tenencia se ejercen arbitrariamente privando de acceso a las fuentes de abastecimiento o cuando se desconoce la prioridad del consumo de agua para satisfacción de necesidades básicas humanas. </w:t>
            </w:r>
          </w:p>
          <w:p w14:paraId="58CCB08D" w14:textId="36FA66D7" w:rsidR="00291256" w:rsidRPr="00E556CC" w:rsidRDefault="00291256" w:rsidP="00572B00">
            <w:pPr>
              <w:spacing w:afterLines="60" w:after="144"/>
              <w:jc w:val="both"/>
              <w:rPr>
                <w:rFonts w:ascii="Arial" w:eastAsia="Times New Roman" w:hAnsi="Arial" w:cs="Arial"/>
                <w:sz w:val="20"/>
                <w:szCs w:val="20"/>
              </w:rPr>
            </w:pPr>
            <w:r w:rsidRPr="00E556CC">
              <w:rPr>
                <w:rFonts w:ascii="Arial" w:eastAsia="Times New Roman" w:hAnsi="Arial" w:cs="Arial"/>
                <w:sz w:val="20"/>
                <w:szCs w:val="20"/>
              </w:rPr>
              <w:t>En relación con el derecho a la vivienda adecuada, es importante reconocer también que la construcción de viviendas en el mundo rural también suele guardar un vínculo cultural con la tierra que se ocupa.</w:t>
            </w:r>
          </w:p>
        </w:tc>
      </w:tr>
      <w:tr w:rsidR="00667221" w:rsidRPr="00E556CC" w14:paraId="7200F6F3" w14:textId="77777777" w:rsidTr="00E459D6">
        <w:tc>
          <w:tcPr>
            <w:tcW w:w="421" w:type="dxa"/>
          </w:tcPr>
          <w:p w14:paraId="27FAE9B8" w14:textId="77777777" w:rsidR="00667221" w:rsidRPr="00E459D6" w:rsidRDefault="005030D1" w:rsidP="00572B00">
            <w:pPr>
              <w:spacing w:afterLines="60" w:after="144"/>
              <w:jc w:val="both"/>
              <w:rPr>
                <w:rFonts w:ascii="Arial" w:eastAsia="Times New Roman" w:hAnsi="Arial" w:cs="Arial"/>
                <w:sz w:val="18"/>
                <w:szCs w:val="18"/>
              </w:rPr>
            </w:pPr>
            <w:r w:rsidRPr="00E459D6">
              <w:rPr>
                <w:rFonts w:ascii="Arial" w:eastAsia="Times New Roman" w:hAnsi="Arial" w:cs="Arial"/>
                <w:sz w:val="18"/>
                <w:szCs w:val="18"/>
              </w:rPr>
              <w:t>12</w:t>
            </w:r>
          </w:p>
        </w:tc>
        <w:tc>
          <w:tcPr>
            <w:tcW w:w="8594" w:type="dxa"/>
          </w:tcPr>
          <w:p w14:paraId="5FE5126E" w14:textId="522F676D" w:rsidR="00667221" w:rsidRPr="00E556CC" w:rsidRDefault="005030D1" w:rsidP="00572B00">
            <w:pPr>
              <w:spacing w:afterLines="60" w:after="144"/>
              <w:jc w:val="both"/>
              <w:rPr>
                <w:rFonts w:ascii="Arial" w:eastAsia="Times New Roman" w:hAnsi="Arial" w:cs="Arial"/>
                <w:sz w:val="20"/>
                <w:szCs w:val="20"/>
              </w:rPr>
            </w:pPr>
            <w:r w:rsidRPr="00E556CC">
              <w:rPr>
                <w:rFonts w:ascii="Arial" w:eastAsia="Times New Roman" w:hAnsi="Arial" w:cs="Arial"/>
                <w:sz w:val="20"/>
                <w:szCs w:val="20"/>
              </w:rPr>
              <w:t xml:space="preserve">Se deben considerar no únicamente a los </w:t>
            </w:r>
            <w:r w:rsidR="00F1705A" w:rsidRPr="00E556CC">
              <w:rPr>
                <w:rFonts w:ascii="Arial" w:eastAsia="Times New Roman" w:hAnsi="Arial" w:cs="Arial"/>
                <w:sz w:val="20"/>
                <w:szCs w:val="20"/>
              </w:rPr>
              <w:t xml:space="preserve">pueblos </w:t>
            </w:r>
            <w:r w:rsidRPr="00E556CC">
              <w:rPr>
                <w:rFonts w:ascii="Arial" w:eastAsia="Times New Roman" w:hAnsi="Arial" w:cs="Arial"/>
                <w:sz w:val="20"/>
                <w:szCs w:val="20"/>
              </w:rPr>
              <w:t xml:space="preserve">indígenas en </w:t>
            </w:r>
            <w:r w:rsidR="00F1705A" w:rsidRPr="00E556CC">
              <w:rPr>
                <w:rFonts w:ascii="Arial" w:eastAsia="Times New Roman" w:hAnsi="Arial" w:cs="Arial"/>
                <w:sz w:val="20"/>
                <w:szCs w:val="20"/>
              </w:rPr>
              <w:t xml:space="preserve">cuanto a la </w:t>
            </w:r>
            <w:r w:rsidRPr="00E556CC">
              <w:rPr>
                <w:rFonts w:ascii="Arial" w:eastAsia="Times New Roman" w:hAnsi="Arial" w:cs="Arial"/>
                <w:sz w:val="20"/>
                <w:szCs w:val="20"/>
              </w:rPr>
              <w:t xml:space="preserve">relación cultural con la tierra, sino también </w:t>
            </w:r>
            <w:r w:rsidR="00F1705A" w:rsidRPr="00E556CC">
              <w:rPr>
                <w:rFonts w:ascii="Arial" w:eastAsia="Times New Roman" w:hAnsi="Arial" w:cs="Arial"/>
                <w:sz w:val="20"/>
                <w:szCs w:val="20"/>
              </w:rPr>
              <w:t xml:space="preserve">incluir </w:t>
            </w:r>
            <w:r w:rsidRPr="00E556CC">
              <w:rPr>
                <w:rFonts w:ascii="Arial" w:eastAsia="Times New Roman" w:hAnsi="Arial" w:cs="Arial"/>
                <w:sz w:val="20"/>
                <w:szCs w:val="20"/>
              </w:rPr>
              <w:t xml:space="preserve">a otros grupos como campesinos, </w:t>
            </w:r>
            <w:r w:rsidR="00F1705A" w:rsidRPr="00E556CC">
              <w:rPr>
                <w:rFonts w:ascii="Arial" w:eastAsia="Times New Roman" w:hAnsi="Arial" w:cs="Arial"/>
                <w:sz w:val="20"/>
                <w:szCs w:val="20"/>
              </w:rPr>
              <w:t xml:space="preserve">afrodescendientes, </w:t>
            </w:r>
            <w:r w:rsidRPr="00E556CC">
              <w:rPr>
                <w:rFonts w:ascii="Arial" w:eastAsia="Times New Roman" w:hAnsi="Arial" w:cs="Arial"/>
                <w:sz w:val="20"/>
                <w:szCs w:val="20"/>
              </w:rPr>
              <w:t xml:space="preserve">pastores, pescadores y otros actores </w:t>
            </w:r>
            <w:r w:rsidR="00F1705A" w:rsidRPr="00E556CC">
              <w:rPr>
                <w:rFonts w:ascii="Arial" w:eastAsia="Times New Roman" w:hAnsi="Arial" w:cs="Arial"/>
                <w:sz w:val="20"/>
                <w:szCs w:val="20"/>
              </w:rPr>
              <w:t xml:space="preserve">vulnerables </w:t>
            </w:r>
            <w:r w:rsidRPr="00E556CC">
              <w:rPr>
                <w:rFonts w:ascii="Arial" w:eastAsia="Times New Roman" w:hAnsi="Arial" w:cs="Arial"/>
                <w:sz w:val="20"/>
                <w:szCs w:val="20"/>
              </w:rPr>
              <w:t xml:space="preserve">de la ruralidad. </w:t>
            </w:r>
          </w:p>
        </w:tc>
      </w:tr>
      <w:tr w:rsidR="00667221" w:rsidRPr="00E556CC" w14:paraId="4C207121" w14:textId="77777777" w:rsidTr="00E459D6">
        <w:tc>
          <w:tcPr>
            <w:tcW w:w="421" w:type="dxa"/>
          </w:tcPr>
          <w:p w14:paraId="2A0EC52F" w14:textId="77777777" w:rsidR="00667221" w:rsidRPr="00E459D6" w:rsidRDefault="005030D1" w:rsidP="00572B00">
            <w:pPr>
              <w:spacing w:afterLines="60" w:after="144"/>
              <w:jc w:val="both"/>
              <w:rPr>
                <w:rFonts w:ascii="Arial" w:eastAsia="Times New Roman" w:hAnsi="Arial" w:cs="Arial"/>
                <w:sz w:val="18"/>
                <w:szCs w:val="18"/>
              </w:rPr>
            </w:pPr>
            <w:r w:rsidRPr="00E459D6">
              <w:rPr>
                <w:rFonts w:ascii="Arial" w:eastAsia="Times New Roman" w:hAnsi="Arial" w:cs="Arial"/>
                <w:sz w:val="18"/>
                <w:szCs w:val="18"/>
              </w:rPr>
              <w:t>15</w:t>
            </w:r>
          </w:p>
        </w:tc>
        <w:tc>
          <w:tcPr>
            <w:tcW w:w="8594" w:type="dxa"/>
          </w:tcPr>
          <w:p w14:paraId="13AF6E20" w14:textId="71F68F94" w:rsidR="00667221" w:rsidRPr="00E556CC" w:rsidRDefault="005030D1" w:rsidP="00572B00">
            <w:pPr>
              <w:spacing w:afterLines="60" w:after="144"/>
              <w:jc w:val="both"/>
              <w:rPr>
                <w:rFonts w:ascii="Arial" w:eastAsia="Times New Roman" w:hAnsi="Arial" w:cs="Arial"/>
                <w:sz w:val="20"/>
                <w:szCs w:val="20"/>
              </w:rPr>
            </w:pPr>
            <w:r w:rsidRPr="00E556CC">
              <w:rPr>
                <w:rFonts w:ascii="Arial" w:eastAsia="Times New Roman" w:hAnsi="Arial" w:cs="Arial"/>
                <w:sz w:val="20"/>
                <w:szCs w:val="20"/>
              </w:rPr>
              <w:t xml:space="preserve">En este </w:t>
            </w:r>
            <w:r w:rsidR="007F49BE" w:rsidRPr="00E556CC">
              <w:rPr>
                <w:rFonts w:ascii="Arial" w:eastAsia="Times New Roman" w:hAnsi="Arial" w:cs="Arial"/>
                <w:sz w:val="20"/>
                <w:szCs w:val="20"/>
              </w:rPr>
              <w:t>párrafo</w:t>
            </w:r>
            <w:r w:rsidRPr="00E556CC">
              <w:rPr>
                <w:rFonts w:ascii="Arial" w:eastAsia="Times New Roman" w:hAnsi="Arial" w:cs="Arial"/>
                <w:sz w:val="20"/>
                <w:szCs w:val="20"/>
              </w:rPr>
              <w:t xml:space="preserve"> </w:t>
            </w:r>
            <w:r w:rsidR="00F1705A" w:rsidRPr="00E556CC">
              <w:rPr>
                <w:rFonts w:ascii="Arial" w:eastAsia="Times New Roman" w:hAnsi="Arial" w:cs="Arial"/>
                <w:sz w:val="20"/>
                <w:szCs w:val="20"/>
              </w:rPr>
              <w:t>es necesario</w:t>
            </w:r>
            <w:r w:rsidR="007F49BE" w:rsidRPr="00E556CC">
              <w:rPr>
                <w:rFonts w:ascii="Arial" w:eastAsia="Times New Roman" w:hAnsi="Arial" w:cs="Arial"/>
                <w:sz w:val="20"/>
                <w:szCs w:val="20"/>
              </w:rPr>
              <w:t xml:space="preserve"> </w:t>
            </w:r>
            <w:r w:rsidRPr="00E556CC">
              <w:rPr>
                <w:rFonts w:ascii="Arial" w:eastAsia="Times New Roman" w:hAnsi="Arial" w:cs="Arial"/>
                <w:sz w:val="20"/>
                <w:szCs w:val="20"/>
              </w:rPr>
              <w:t xml:space="preserve">reconocer </w:t>
            </w:r>
            <w:r w:rsidR="00E459D6">
              <w:rPr>
                <w:rFonts w:ascii="Arial" w:eastAsia="Times New Roman" w:hAnsi="Arial" w:cs="Arial"/>
                <w:sz w:val="20"/>
                <w:szCs w:val="20"/>
              </w:rPr>
              <w:t xml:space="preserve">también </w:t>
            </w:r>
            <w:r w:rsidR="007F49BE" w:rsidRPr="00E556CC">
              <w:rPr>
                <w:rFonts w:ascii="Arial" w:eastAsia="Times New Roman" w:hAnsi="Arial" w:cs="Arial"/>
                <w:sz w:val="20"/>
                <w:szCs w:val="20"/>
              </w:rPr>
              <w:t>el riesgo de las poblaciones campesinas</w:t>
            </w:r>
            <w:r w:rsidR="00E459D6">
              <w:rPr>
                <w:rFonts w:ascii="Arial" w:eastAsia="Times New Roman" w:hAnsi="Arial" w:cs="Arial"/>
                <w:sz w:val="20"/>
                <w:szCs w:val="20"/>
              </w:rPr>
              <w:t xml:space="preserve"> de ser discriminados </w:t>
            </w:r>
            <w:r w:rsidR="00E459D6" w:rsidRPr="00E459D6">
              <w:rPr>
                <w:rFonts w:ascii="Arial" w:eastAsia="Times New Roman" w:hAnsi="Arial" w:cs="Arial"/>
                <w:sz w:val="20"/>
                <w:szCs w:val="20"/>
              </w:rPr>
              <w:t>en la gobernanza de la tenencia de la tierra</w:t>
            </w:r>
            <w:r w:rsidR="00E459D6">
              <w:rPr>
                <w:rFonts w:ascii="Arial" w:eastAsia="Times New Roman" w:hAnsi="Arial" w:cs="Arial"/>
                <w:sz w:val="20"/>
                <w:szCs w:val="20"/>
              </w:rPr>
              <w:t>.</w:t>
            </w:r>
          </w:p>
        </w:tc>
      </w:tr>
      <w:tr w:rsidR="00667221" w:rsidRPr="00E556CC" w14:paraId="16E4C85F" w14:textId="77777777" w:rsidTr="00E459D6">
        <w:tc>
          <w:tcPr>
            <w:tcW w:w="421" w:type="dxa"/>
          </w:tcPr>
          <w:p w14:paraId="13A0DEF9" w14:textId="77777777" w:rsidR="00667221" w:rsidRPr="00E459D6" w:rsidRDefault="005030D1" w:rsidP="00572B00">
            <w:pPr>
              <w:spacing w:afterLines="60" w:after="144"/>
              <w:jc w:val="both"/>
              <w:rPr>
                <w:rFonts w:ascii="Arial" w:eastAsia="Times New Roman" w:hAnsi="Arial" w:cs="Arial"/>
                <w:sz w:val="18"/>
                <w:szCs w:val="18"/>
              </w:rPr>
            </w:pPr>
            <w:r w:rsidRPr="00E459D6">
              <w:rPr>
                <w:rFonts w:ascii="Arial" w:eastAsia="Times New Roman" w:hAnsi="Arial" w:cs="Arial"/>
                <w:sz w:val="18"/>
                <w:szCs w:val="18"/>
              </w:rPr>
              <w:t xml:space="preserve">18 </w:t>
            </w:r>
          </w:p>
        </w:tc>
        <w:tc>
          <w:tcPr>
            <w:tcW w:w="8594" w:type="dxa"/>
          </w:tcPr>
          <w:p w14:paraId="1D96C416" w14:textId="55765AD1" w:rsidR="00667221" w:rsidRPr="00E556CC" w:rsidRDefault="005030D1" w:rsidP="00572B00">
            <w:pPr>
              <w:spacing w:afterLines="60" w:after="144"/>
              <w:jc w:val="both"/>
              <w:rPr>
                <w:rFonts w:ascii="Arial" w:eastAsia="Times New Roman" w:hAnsi="Arial" w:cs="Arial"/>
                <w:sz w:val="20"/>
                <w:szCs w:val="20"/>
              </w:rPr>
            </w:pPr>
            <w:r w:rsidRPr="00E556CC">
              <w:rPr>
                <w:rFonts w:ascii="Arial" w:eastAsia="Times New Roman" w:hAnsi="Arial" w:cs="Arial"/>
                <w:sz w:val="20"/>
                <w:szCs w:val="20"/>
              </w:rPr>
              <w:t xml:space="preserve">El derecho a la participación </w:t>
            </w:r>
            <w:r w:rsidR="00024A3E" w:rsidRPr="00E556CC">
              <w:rPr>
                <w:rFonts w:ascii="Arial" w:eastAsia="Times New Roman" w:hAnsi="Arial" w:cs="Arial"/>
                <w:sz w:val="20"/>
                <w:szCs w:val="20"/>
              </w:rPr>
              <w:t>debe ser comprendido</w:t>
            </w:r>
            <w:r w:rsidRPr="00E556CC">
              <w:rPr>
                <w:rFonts w:ascii="Arial" w:eastAsia="Times New Roman" w:hAnsi="Arial" w:cs="Arial"/>
                <w:sz w:val="20"/>
                <w:szCs w:val="20"/>
              </w:rPr>
              <w:t xml:space="preserve"> en sentido amplio</w:t>
            </w:r>
            <w:r w:rsidR="00024A3E" w:rsidRPr="00E556CC">
              <w:rPr>
                <w:rFonts w:ascii="Arial" w:eastAsia="Times New Roman" w:hAnsi="Arial" w:cs="Arial"/>
                <w:sz w:val="20"/>
                <w:szCs w:val="20"/>
              </w:rPr>
              <w:t>.</w:t>
            </w:r>
            <w:r w:rsidRPr="00E556CC">
              <w:rPr>
                <w:rFonts w:ascii="Arial" w:eastAsia="Times New Roman" w:hAnsi="Arial" w:cs="Arial"/>
                <w:sz w:val="20"/>
                <w:szCs w:val="20"/>
              </w:rPr>
              <w:t xml:space="preserve"> </w:t>
            </w:r>
            <w:r w:rsidR="00024A3E" w:rsidRPr="00E556CC">
              <w:rPr>
                <w:rFonts w:ascii="Arial" w:eastAsia="Times New Roman" w:hAnsi="Arial" w:cs="Arial"/>
                <w:sz w:val="20"/>
                <w:szCs w:val="20"/>
              </w:rPr>
              <w:t>L</w:t>
            </w:r>
            <w:r w:rsidRPr="00E556CC">
              <w:rPr>
                <w:rFonts w:ascii="Arial" w:eastAsia="Times New Roman" w:hAnsi="Arial" w:cs="Arial"/>
                <w:sz w:val="20"/>
                <w:szCs w:val="20"/>
              </w:rPr>
              <w:t xml:space="preserve">a participación debería garantizarse incluso cuando se toman decisiones sobre el uso de bienes ambientales que son necesarios para el disfrute adecuado del derecho a la tierra, por ejemplo cuando se toman decisiones sobre el otorgamiento de concesiones de agua que podrían reducir </w:t>
            </w:r>
            <w:r w:rsidR="00024A3E" w:rsidRPr="00E556CC">
              <w:rPr>
                <w:rFonts w:ascii="Arial" w:eastAsia="Times New Roman" w:hAnsi="Arial" w:cs="Arial"/>
                <w:sz w:val="20"/>
                <w:szCs w:val="20"/>
              </w:rPr>
              <w:t xml:space="preserve">su </w:t>
            </w:r>
            <w:r w:rsidRPr="00E556CC">
              <w:rPr>
                <w:rFonts w:ascii="Arial" w:eastAsia="Times New Roman" w:hAnsi="Arial" w:cs="Arial"/>
                <w:sz w:val="20"/>
                <w:szCs w:val="20"/>
              </w:rPr>
              <w:t xml:space="preserve">acceso </w:t>
            </w:r>
            <w:r w:rsidR="00024A3E" w:rsidRPr="00E556CC">
              <w:rPr>
                <w:rFonts w:ascii="Arial" w:eastAsia="Times New Roman" w:hAnsi="Arial" w:cs="Arial"/>
                <w:sz w:val="20"/>
                <w:szCs w:val="20"/>
              </w:rPr>
              <w:t xml:space="preserve">a </w:t>
            </w:r>
            <w:r w:rsidRPr="00E556CC">
              <w:rPr>
                <w:rFonts w:ascii="Arial" w:eastAsia="Times New Roman" w:hAnsi="Arial" w:cs="Arial"/>
                <w:sz w:val="20"/>
                <w:szCs w:val="20"/>
              </w:rPr>
              <w:t xml:space="preserve">comunidades propietarias o tenedoras de tierra. </w:t>
            </w:r>
          </w:p>
          <w:p w14:paraId="3BED3A5D" w14:textId="3EBFA9E4" w:rsidR="00667221" w:rsidRPr="00E556CC" w:rsidRDefault="005030D1" w:rsidP="00572B00">
            <w:pPr>
              <w:spacing w:afterLines="60" w:after="144"/>
              <w:jc w:val="both"/>
              <w:rPr>
                <w:rFonts w:ascii="Arial" w:eastAsia="Times New Roman" w:hAnsi="Arial" w:cs="Arial"/>
                <w:sz w:val="20"/>
                <w:szCs w:val="20"/>
              </w:rPr>
            </w:pPr>
            <w:r w:rsidRPr="00E556CC">
              <w:rPr>
                <w:rFonts w:ascii="Arial" w:eastAsia="Times New Roman" w:hAnsi="Arial" w:cs="Arial"/>
                <w:sz w:val="20"/>
                <w:szCs w:val="20"/>
              </w:rPr>
              <w:t>En nuestro trabajo en la ru</w:t>
            </w:r>
            <w:r w:rsidR="00024A3E" w:rsidRPr="00E556CC">
              <w:rPr>
                <w:rFonts w:ascii="Arial" w:eastAsia="Times New Roman" w:hAnsi="Arial" w:cs="Arial"/>
                <w:sz w:val="20"/>
                <w:szCs w:val="20"/>
              </w:rPr>
              <w:t>r</w:t>
            </w:r>
            <w:r w:rsidRPr="00E556CC">
              <w:rPr>
                <w:rFonts w:ascii="Arial" w:eastAsia="Times New Roman" w:hAnsi="Arial" w:cs="Arial"/>
                <w:sz w:val="20"/>
                <w:szCs w:val="20"/>
              </w:rPr>
              <w:t xml:space="preserve">alidad, observamos con gran preocupación como las asimetrías de poder entre comunidades campesinas y otros poderosos actores económicos, restringen de forma real el ejercicio de los derechos de participación de los primeros. Por ello consideramos que la </w:t>
            </w:r>
            <w:r w:rsidR="00024A3E" w:rsidRPr="00E556CC">
              <w:rPr>
                <w:rFonts w:ascii="Arial" w:eastAsia="Times New Roman" w:hAnsi="Arial" w:cs="Arial"/>
                <w:sz w:val="20"/>
                <w:szCs w:val="20"/>
              </w:rPr>
              <w:t xml:space="preserve">Observación General </w:t>
            </w:r>
            <w:r w:rsidRPr="00E556CC">
              <w:rPr>
                <w:rFonts w:ascii="Arial" w:eastAsia="Times New Roman" w:hAnsi="Arial" w:cs="Arial"/>
                <w:sz w:val="20"/>
                <w:szCs w:val="20"/>
              </w:rPr>
              <w:t>debe hacer énfasis en la necesidad de construir mecanismos de protección reforzada para el ejercicio de la participación ciudadana en aquellos escenarios de conflictos sociales, donde una de las partes en conflicto tiene una privilegida posición en razón de su poder económico y su capacidad de influencia sobre el Estado</w:t>
            </w:r>
            <w:r w:rsidR="00024A3E" w:rsidRPr="00E556CC">
              <w:rPr>
                <w:rFonts w:ascii="Arial" w:eastAsia="Times New Roman" w:hAnsi="Arial" w:cs="Arial"/>
                <w:sz w:val="20"/>
                <w:szCs w:val="20"/>
              </w:rPr>
              <w:t xml:space="preserve"> y los medios de información.</w:t>
            </w:r>
          </w:p>
        </w:tc>
      </w:tr>
      <w:tr w:rsidR="00667221" w:rsidRPr="00E556CC" w14:paraId="497E019D" w14:textId="77777777" w:rsidTr="00E459D6">
        <w:tc>
          <w:tcPr>
            <w:tcW w:w="421" w:type="dxa"/>
          </w:tcPr>
          <w:p w14:paraId="61E79C08" w14:textId="77777777" w:rsidR="00667221" w:rsidRPr="00E459D6" w:rsidRDefault="005030D1" w:rsidP="00572B00">
            <w:pPr>
              <w:spacing w:afterLines="60" w:after="144"/>
              <w:jc w:val="both"/>
              <w:rPr>
                <w:rFonts w:ascii="Arial" w:eastAsia="Times New Roman" w:hAnsi="Arial" w:cs="Arial"/>
                <w:sz w:val="18"/>
                <w:szCs w:val="18"/>
              </w:rPr>
            </w:pPr>
            <w:r w:rsidRPr="00E459D6">
              <w:rPr>
                <w:rFonts w:ascii="Arial" w:eastAsia="Times New Roman" w:hAnsi="Arial" w:cs="Arial"/>
                <w:sz w:val="18"/>
                <w:szCs w:val="18"/>
              </w:rPr>
              <w:t>19</w:t>
            </w:r>
          </w:p>
        </w:tc>
        <w:tc>
          <w:tcPr>
            <w:tcW w:w="8594" w:type="dxa"/>
          </w:tcPr>
          <w:p w14:paraId="0D59CF9A" w14:textId="6F506BC7" w:rsidR="00667221" w:rsidRPr="00E556CC" w:rsidRDefault="005030D1" w:rsidP="00572B00">
            <w:pPr>
              <w:spacing w:afterLines="60" w:after="144"/>
              <w:jc w:val="both"/>
              <w:rPr>
                <w:rFonts w:ascii="Arial" w:eastAsia="Times New Roman" w:hAnsi="Arial" w:cs="Arial"/>
                <w:sz w:val="20"/>
                <w:szCs w:val="20"/>
              </w:rPr>
            </w:pPr>
            <w:r w:rsidRPr="00E556CC">
              <w:rPr>
                <w:rFonts w:ascii="Arial" w:eastAsia="Times New Roman" w:hAnsi="Arial" w:cs="Arial"/>
                <w:sz w:val="20"/>
                <w:szCs w:val="20"/>
              </w:rPr>
              <w:t>Consideramos que en este apartado también debe</w:t>
            </w:r>
            <w:r w:rsidR="001A4C68" w:rsidRPr="00E556CC">
              <w:rPr>
                <w:rFonts w:ascii="Arial" w:eastAsia="Times New Roman" w:hAnsi="Arial" w:cs="Arial"/>
                <w:sz w:val="20"/>
                <w:szCs w:val="20"/>
              </w:rPr>
              <w:t>n</w:t>
            </w:r>
            <w:r w:rsidRPr="00E556CC">
              <w:rPr>
                <w:rFonts w:ascii="Arial" w:eastAsia="Times New Roman" w:hAnsi="Arial" w:cs="Arial"/>
                <w:sz w:val="20"/>
                <w:szCs w:val="20"/>
              </w:rPr>
              <w:t xml:space="preserve"> reconocerse las dimensiones no-económicas de la tierra como un bien cultural. </w:t>
            </w:r>
          </w:p>
        </w:tc>
      </w:tr>
      <w:tr w:rsidR="00667221" w:rsidRPr="00E556CC" w14:paraId="64E9932D" w14:textId="77777777" w:rsidTr="00E459D6">
        <w:tc>
          <w:tcPr>
            <w:tcW w:w="421" w:type="dxa"/>
          </w:tcPr>
          <w:p w14:paraId="0210C67F" w14:textId="77777777" w:rsidR="00667221" w:rsidRPr="00E459D6" w:rsidRDefault="005030D1" w:rsidP="00572B00">
            <w:pPr>
              <w:spacing w:afterLines="60" w:after="144"/>
              <w:jc w:val="both"/>
              <w:rPr>
                <w:rFonts w:ascii="Arial" w:eastAsia="Times New Roman" w:hAnsi="Arial" w:cs="Arial"/>
                <w:sz w:val="18"/>
                <w:szCs w:val="18"/>
              </w:rPr>
            </w:pPr>
            <w:r w:rsidRPr="00E459D6">
              <w:rPr>
                <w:rFonts w:ascii="Arial" w:eastAsia="Times New Roman" w:hAnsi="Arial" w:cs="Arial"/>
                <w:sz w:val="18"/>
                <w:szCs w:val="18"/>
              </w:rPr>
              <w:t xml:space="preserve">20 </w:t>
            </w:r>
          </w:p>
        </w:tc>
        <w:tc>
          <w:tcPr>
            <w:tcW w:w="8594" w:type="dxa"/>
          </w:tcPr>
          <w:p w14:paraId="589B9D2C" w14:textId="7B43A68D" w:rsidR="00667221" w:rsidRPr="00E556CC" w:rsidRDefault="005030D1" w:rsidP="00572B00">
            <w:pPr>
              <w:spacing w:afterLines="60" w:after="144"/>
              <w:jc w:val="both"/>
              <w:rPr>
                <w:rFonts w:ascii="Arial" w:eastAsia="Times New Roman" w:hAnsi="Arial" w:cs="Arial"/>
                <w:sz w:val="20"/>
                <w:szCs w:val="20"/>
              </w:rPr>
            </w:pPr>
            <w:r w:rsidRPr="00E556CC">
              <w:rPr>
                <w:rFonts w:ascii="Arial" w:eastAsia="Times New Roman" w:hAnsi="Arial" w:cs="Arial"/>
                <w:sz w:val="20"/>
                <w:szCs w:val="20"/>
              </w:rPr>
              <w:t>Se debería incluir una protección contra la privación arbitraria o reducción desproporcionada del acceso a bienes ambientales y naturales necesarias para el disfrute adecuado del derecho a las tierras (por ejemplo</w:t>
            </w:r>
            <w:r w:rsidR="001A4C68" w:rsidRPr="00E556CC">
              <w:rPr>
                <w:rFonts w:ascii="Arial" w:eastAsia="Times New Roman" w:hAnsi="Arial" w:cs="Arial"/>
                <w:sz w:val="20"/>
                <w:szCs w:val="20"/>
              </w:rPr>
              <w:t>,</w:t>
            </w:r>
            <w:r w:rsidRPr="00E556CC">
              <w:rPr>
                <w:rFonts w:ascii="Arial" w:eastAsia="Times New Roman" w:hAnsi="Arial" w:cs="Arial"/>
                <w:sz w:val="20"/>
                <w:szCs w:val="20"/>
              </w:rPr>
              <w:t xml:space="preserve"> el agua).</w:t>
            </w:r>
          </w:p>
        </w:tc>
      </w:tr>
      <w:tr w:rsidR="00667221" w:rsidRPr="00E556CC" w14:paraId="44ED4821" w14:textId="77777777" w:rsidTr="00E459D6">
        <w:tc>
          <w:tcPr>
            <w:tcW w:w="421" w:type="dxa"/>
          </w:tcPr>
          <w:p w14:paraId="6FC00F4B" w14:textId="77777777" w:rsidR="00667221" w:rsidRPr="00E459D6" w:rsidRDefault="005030D1" w:rsidP="00572B00">
            <w:pPr>
              <w:spacing w:afterLines="60" w:after="144"/>
              <w:jc w:val="both"/>
              <w:rPr>
                <w:rFonts w:ascii="Arial" w:eastAsia="Times New Roman" w:hAnsi="Arial" w:cs="Arial"/>
                <w:sz w:val="18"/>
                <w:szCs w:val="18"/>
              </w:rPr>
            </w:pPr>
            <w:r w:rsidRPr="00E459D6">
              <w:rPr>
                <w:rFonts w:ascii="Arial" w:eastAsia="Times New Roman" w:hAnsi="Arial" w:cs="Arial"/>
                <w:sz w:val="18"/>
                <w:szCs w:val="18"/>
              </w:rPr>
              <w:t>21</w:t>
            </w:r>
          </w:p>
        </w:tc>
        <w:tc>
          <w:tcPr>
            <w:tcW w:w="8594" w:type="dxa"/>
          </w:tcPr>
          <w:p w14:paraId="3617AA4E" w14:textId="668B1248" w:rsidR="00667221" w:rsidRPr="00E556CC" w:rsidRDefault="00E61342" w:rsidP="00572B00">
            <w:pPr>
              <w:spacing w:afterLines="60" w:after="144"/>
              <w:jc w:val="both"/>
              <w:rPr>
                <w:rFonts w:ascii="Arial" w:eastAsia="Times New Roman" w:hAnsi="Arial" w:cs="Arial"/>
                <w:sz w:val="20"/>
                <w:szCs w:val="20"/>
              </w:rPr>
            </w:pPr>
            <w:r w:rsidRPr="00E556CC">
              <w:rPr>
                <w:rFonts w:ascii="Arial" w:eastAsia="Times New Roman" w:hAnsi="Arial" w:cs="Arial"/>
                <w:sz w:val="20"/>
                <w:szCs w:val="20"/>
              </w:rPr>
              <w:t>L</w:t>
            </w:r>
            <w:r w:rsidR="005030D1" w:rsidRPr="00E556CC">
              <w:rPr>
                <w:rFonts w:ascii="Arial" w:eastAsia="Times New Roman" w:hAnsi="Arial" w:cs="Arial"/>
                <w:sz w:val="20"/>
                <w:szCs w:val="20"/>
              </w:rPr>
              <w:t xml:space="preserve">a Observación </w:t>
            </w:r>
            <w:r w:rsidRPr="00E556CC">
              <w:rPr>
                <w:rFonts w:ascii="Arial" w:eastAsia="Times New Roman" w:hAnsi="Arial" w:cs="Arial"/>
                <w:sz w:val="20"/>
                <w:szCs w:val="20"/>
              </w:rPr>
              <w:t xml:space="preserve">General </w:t>
            </w:r>
            <w:r w:rsidR="005030D1" w:rsidRPr="00E556CC">
              <w:rPr>
                <w:rFonts w:ascii="Arial" w:eastAsia="Times New Roman" w:hAnsi="Arial" w:cs="Arial"/>
                <w:sz w:val="20"/>
                <w:szCs w:val="20"/>
              </w:rPr>
              <w:t>podría reconocer los sistemas propios de registro y gestión de los derechos sobre las tierras que han desarrollado las comunidades rurales en el ejercicio de su autonomía. En lugar de observar la competencia entre sistema</w:t>
            </w:r>
            <w:r w:rsidRPr="00E556CC">
              <w:rPr>
                <w:rFonts w:ascii="Arial" w:eastAsia="Times New Roman" w:hAnsi="Arial" w:cs="Arial"/>
                <w:sz w:val="20"/>
                <w:szCs w:val="20"/>
              </w:rPr>
              <w:t>s</w:t>
            </w:r>
            <w:r w:rsidR="005030D1" w:rsidRPr="00E556CC">
              <w:rPr>
                <w:rFonts w:ascii="Arial" w:eastAsia="Times New Roman" w:hAnsi="Arial" w:cs="Arial"/>
                <w:sz w:val="20"/>
                <w:szCs w:val="20"/>
              </w:rPr>
              <w:t xml:space="preserve"> oficial</w:t>
            </w:r>
            <w:r w:rsidRPr="00E556CC">
              <w:rPr>
                <w:rFonts w:ascii="Arial" w:eastAsia="Times New Roman" w:hAnsi="Arial" w:cs="Arial"/>
                <w:sz w:val="20"/>
                <w:szCs w:val="20"/>
              </w:rPr>
              <w:t>es</w:t>
            </w:r>
            <w:r w:rsidR="005030D1" w:rsidRPr="00E556CC">
              <w:rPr>
                <w:rFonts w:ascii="Arial" w:eastAsia="Times New Roman" w:hAnsi="Arial" w:cs="Arial"/>
                <w:sz w:val="20"/>
                <w:szCs w:val="20"/>
              </w:rPr>
              <w:t xml:space="preserve"> y comunitario</w:t>
            </w:r>
            <w:r w:rsidRPr="00E556CC">
              <w:rPr>
                <w:rFonts w:ascii="Arial" w:eastAsia="Times New Roman" w:hAnsi="Arial" w:cs="Arial"/>
                <w:sz w:val="20"/>
                <w:szCs w:val="20"/>
              </w:rPr>
              <w:t>s</w:t>
            </w:r>
            <w:r w:rsidR="005030D1" w:rsidRPr="00E556CC">
              <w:rPr>
                <w:rFonts w:ascii="Arial" w:eastAsia="Times New Roman" w:hAnsi="Arial" w:cs="Arial"/>
                <w:sz w:val="20"/>
                <w:szCs w:val="20"/>
              </w:rPr>
              <w:t xml:space="preserve">, debería considerarse su complementariedad, </w:t>
            </w:r>
            <w:r w:rsidRPr="00E556CC">
              <w:rPr>
                <w:rFonts w:ascii="Arial" w:eastAsia="Times New Roman" w:hAnsi="Arial" w:cs="Arial"/>
                <w:sz w:val="20"/>
                <w:szCs w:val="20"/>
              </w:rPr>
              <w:t xml:space="preserve">como un ejercicio que permite hacerlos </w:t>
            </w:r>
            <w:r w:rsidR="005030D1" w:rsidRPr="00E556CC">
              <w:rPr>
                <w:rFonts w:ascii="Arial" w:eastAsia="Times New Roman" w:hAnsi="Arial" w:cs="Arial"/>
                <w:sz w:val="20"/>
                <w:szCs w:val="20"/>
              </w:rPr>
              <w:t xml:space="preserve">más transparentes y abiertos.  </w:t>
            </w:r>
          </w:p>
        </w:tc>
      </w:tr>
      <w:tr w:rsidR="00667221" w:rsidRPr="00E556CC" w14:paraId="4550F588" w14:textId="77777777" w:rsidTr="00E459D6">
        <w:tc>
          <w:tcPr>
            <w:tcW w:w="421" w:type="dxa"/>
          </w:tcPr>
          <w:p w14:paraId="5DF4F300" w14:textId="77777777" w:rsidR="00667221" w:rsidRPr="00E459D6" w:rsidRDefault="005030D1" w:rsidP="00572B00">
            <w:pPr>
              <w:spacing w:afterLines="60" w:after="144"/>
              <w:jc w:val="both"/>
              <w:rPr>
                <w:rFonts w:ascii="Arial" w:eastAsia="Times New Roman" w:hAnsi="Arial" w:cs="Arial"/>
                <w:sz w:val="18"/>
                <w:szCs w:val="18"/>
              </w:rPr>
            </w:pPr>
            <w:r w:rsidRPr="00E459D6">
              <w:rPr>
                <w:rFonts w:ascii="Arial" w:eastAsia="Times New Roman" w:hAnsi="Arial" w:cs="Arial"/>
                <w:sz w:val="18"/>
                <w:szCs w:val="18"/>
              </w:rPr>
              <w:t xml:space="preserve">23 </w:t>
            </w:r>
          </w:p>
        </w:tc>
        <w:tc>
          <w:tcPr>
            <w:tcW w:w="8594" w:type="dxa"/>
          </w:tcPr>
          <w:p w14:paraId="191B3F1D" w14:textId="31C2788D" w:rsidR="00667221" w:rsidRPr="00E556CC" w:rsidRDefault="005030D1" w:rsidP="00572B00">
            <w:pPr>
              <w:spacing w:afterLines="60" w:after="144"/>
              <w:jc w:val="both"/>
              <w:rPr>
                <w:rFonts w:ascii="Arial" w:eastAsia="Times New Roman" w:hAnsi="Arial" w:cs="Arial"/>
                <w:sz w:val="20"/>
                <w:szCs w:val="20"/>
              </w:rPr>
            </w:pPr>
            <w:r w:rsidRPr="00E556CC">
              <w:rPr>
                <w:rFonts w:ascii="Arial" w:eastAsia="Times New Roman" w:hAnsi="Arial" w:cs="Arial"/>
                <w:sz w:val="20"/>
                <w:szCs w:val="20"/>
              </w:rPr>
              <w:t xml:space="preserve">Consideramos que </w:t>
            </w:r>
            <w:r w:rsidR="00E61342" w:rsidRPr="00E556CC">
              <w:rPr>
                <w:rFonts w:ascii="Arial" w:eastAsia="Times New Roman" w:hAnsi="Arial" w:cs="Arial"/>
                <w:sz w:val="20"/>
                <w:szCs w:val="20"/>
              </w:rPr>
              <w:t xml:space="preserve">los pueblos campesinos y afrodescendientes </w:t>
            </w:r>
            <w:r w:rsidRPr="00E556CC">
              <w:rPr>
                <w:rFonts w:ascii="Arial" w:eastAsia="Times New Roman" w:hAnsi="Arial" w:cs="Arial"/>
                <w:sz w:val="20"/>
                <w:szCs w:val="20"/>
              </w:rPr>
              <w:t xml:space="preserve">también mantienen </w:t>
            </w:r>
            <w:r w:rsidR="00E61342" w:rsidRPr="00E556CC">
              <w:rPr>
                <w:rFonts w:ascii="Arial" w:eastAsia="Times New Roman" w:hAnsi="Arial" w:cs="Arial"/>
                <w:sz w:val="20"/>
                <w:szCs w:val="20"/>
              </w:rPr>
              <w:t xml:space="preserve">relaciones similares </w:t>
            </w:r>
            <w:r w:rsidRPr="00E556CC">
              <w:rPr>
                <w:rFonts w:ascii="Arial" w:eastAsia="Times New Roman" w:hAnsi="Arial" w:cs="Arial"/>
                <w:sz w:val="20"/>
                <w:szCs w:val="20"/>
              </w:rPr>
              <w:t>con sus tierras ancestrales, centrada</w:t>
            </w:r>
            <w:r w:rsidR="00E61342" w:rsidRPr="00E556CC">
              <w:rPr>
                <w:rFonts w:ascii="Arial" w:eastAsia="Times New Roman" w:hAnsi="Arial" w:cs="Arial"/>
                <w:sz w:val="20"/>
                <w:szCs w:val="20"/>
              </w:rPr>
              <w:t>s</w:t>
            </w:r>
            <w:r w:rsidRPr="00E556CC">
              <w:rPr>
                <w:rFonts w:ascii="Arial" w:eastAsia="Times New Roman" w:hAnsi="Arial" w:cs="Arial"/>
                <w:sz w:val="20"/>
                <w:szCs w:val="20"/>
              </w:rPr>
              <w:t xml:space="preserve"> en la comunidad y no en el individuo.</w:t>
            </w:r>
          </w:p>
        </w:tc>
      </w:tr>
      <w:tr w:rsidR="00667221" w:rsidRPr="00E556CC" w14:paraId="2DE4804D" w14:textId="77777777" w:rsidTr="00E459D6">
        <w:tc>
          <w:tcPr>
            <w:tcW w:w="421" w:type="dxa"/>
          </w:tcPr>
          <w:p w14:paraId="4DE82C83" w14:textId="77777777" w:rsidR="00667221" w:rsidRPr="00E459D6" w:rsidRDefault="005030D1" w:rsidP="00572B00">
            <w:pPr>
              <w:spacing w:afterLines="60" w:after="144"/>
              <w:jc w:val="both"/>
              <w:rPr>
                <w:rFonts w:ascii="Arial" w:eastAsia="Times New Roman" w:hAnsi="Arial" w:cs="Arial"/>
                <w:sz w:val="18"/>
                <w:szCs w:val="18"/>
              </w:rPr>
            </w:pPr>
            <w:r w:rsidRPr="00E459D6">
              <w:rPr>
                <w:rFonts w:ascii="Arial" w:eastAsia="Times New Roman" w:hAnsi="Arial" w:cs="Arial"/>
                <w:sz w:val="18"/>
                <w:szCs w:val="18"/>
              </w:rPr>
              <w:t>24</w:t>
            </w:r>
          </w:p>
        </w:tc>
        <w:tc>
          <w:tcPr>
            <w:tcW w:w="8594" w:type="dxa"/>
          </w:tcPr>
          <w:p w14:paraId="5F0069B7" w14:textId="5FAECFF7" w:rsidR="00667221" w:rsidRPr="00E556CC" w:rsidRDefault="005030D1" w:rsidP="00572B00">
            <w:pPr>
              <w:spacing w:afterLines="60" w:after="144"/>
              <w:jc w:val="both"/>
              <w:rPr>
                <w:rFonts w:ascii="Arial" w:eastAsia="Times New Roman" w:hAnsi="Arial" w:cs="Arial"/>
                <w:sz w:val="20"/>
                <w:szCs w:val="20"/>
              </w:rPr>
            </w:pPr>
            <w:r w:rsidRPr="00E556CC">
              <w:rPr>
                <w:rFonts w:ascii="Arial" w:eastAsia="Times New Roman" w:hAnsi="Arial" w:cs="Arial"/>
                <w:sz w:val="20"/>
                <w:szCs w:val="20"/>
              </w:rPr>
              <w:t xml:space="preserve">El reconocimiento y registro de los derechos de propiedad debe darse en el sentido que la Observación </w:t>
            </w:r>
            <w:r w:rsidR="00B11EF4" w:rsidRPr="00E556CC">
              <w:rPr>
                <w:rFonts w:ascii="Arial" w:eastAsia="Times New Roman" w:hAnsi="Arial" w:cs="Arial"/>
                <w:sz w:val="20"/>
                <w:szCs w:val="20"/>
              </w:rPr>
              <w:t xml:space="preserve">General </w:t>
            </w:r>
            <w:r w:rsidRPr="00E556CC">
              <w:rPr>
                <w:rFonts w:ascii="Arial" w:eastAsia="Times New Roman" w:hAnsi="Arial" w:cs="Arial"/>
                <w:sz w:val="20"/>
                <w:szCs w:val="20"/>
              </w:rPr>
              <w:t xml:space="preserve">lo reconoce, como un factor que brinda seguridad, y no como una fuente de riesgo de los derechos sobre la tierra. Debido a la importancia del acceso al agua de las comunidades rurales, estos procesos de formalización deberían reconocer y fortalecer los derechos de acceso a las fuentes de agua para satisfacción de necesidades básicas. </w:t>
            </w:r>
          </w:p>
        </w:tc>
      </w:tr>
      <w:tr w:rsidR="00667221" w:rsidRPr="00E556CC" w14:paraId="17891CFB" w14:textId="77777777" w:rsidTr="00E459D6">
        <w:tc>
          <w:tcPr>
            <w:tcW w:w="421" w:type="dxa"/>
          </w:tcPr>
          <w:p w14:paraId="321AD640" w14:textId="77777777" w:rsidR="00667221" w:rsidRPr="00E459D6" w:rsidRDefault="005030D1" w:rsidP="00572B00">
            <w:pPr>
              <w:spacing w:afterLines="60" w:after="144"/>
              <w:jc w:val="both"/>
              <w:rPr>
                <w:rFonts w:ascii="Arial" w:eastAsia="Times New Roman" w:hAnsi="Arial" w:cs="Arial"/>
                <w:sz w:val="18"/>
                <w:szCs w:val="18"/>
              </w:rPr>
            </w:pPr>
            <w:r w:rsidRPr="00E459D6">
              <w:rPr>
                <w:rFonts w:ascii="Arial" w:eastAsia="Times New Roman" w:hAnsi="Arial" w:cs="Arial"/>
                <w:sz w:val="18"/>
                <w:szCs w:val="18"/>
              </w:rPr>
              <w:t>26</w:t>
            </w:r>
          </w:p>
        </w:tc>
        <w:tc>
          <w:tcPr>
            <w:tcW w:w="8594" w:type="dxa"/>
          </w:tcPr>
          <w:p w14:paraId="4A9A2BA4" w14:textId="61F7DF9F" w:rsidR="00667221" w:rsidRPr="00E556CC" w:rsidRDefault="005030D1" w:rsidP="00572B00">
            <w:pPr>
              <w:spacing w:afterLines="60" w:after="144"/>
              <w:jc w:val="both"/>
              <w:rPr>
                <w:rFonts w:ascii="Arial" w:eastAsia="Times New Roman" w:hAnsi="Arial" w:cs="Arial"/>
                <w:sz w:val="20"/>
                <w:szCs w:val="20"/>
              </w:rPr>
            </w:pPr>
            <w:r w:rsidRPr="00E556CC">
              <w:rPr>
                <w:rFonts w:ascii="Arial" w:eastAsia="Times New Roman" w:hAnsi="Arial" w:cs="Arial"/>
                <w:sz w:val="20"/>
                <w:szCs w:val="20"/>
              </w:rPr>
              <w:t>Se debería incluir en la última frase una consideración específica frente a la privación de los servicios públicos domiciliarios</w:t>
            </w:r>
            <w:r w:rsidR="006651FD" w:rsidRPr="00E556CC">
              <w:rPr>
                <w:rFonts w:ascii="Arial" w:eastAsia="Times New Roman" w:hAnsi="Arial" w:cs="Arial"/>
                <w:sz w:val="20"/>
                <w:szCs w:val="20"/>
              </w:rPr>
              <w:t>. De esta forma, podría quedar</w:t>
            </w:r>
            <w:r w:rsidRPr="00E556CC">
              <w:rPr>
                <w:rFonts w:ascii="Arial" w:eastAsia="Times New Roman" w:hAnsi="Arial" w:cs="Arial"/>
                <w:sz w:val="20"/>
                <w:szCs w:val="20"/>
              </w:rPr>
              <w:t>: “En cualquier caso, se deben establecer recursos o procedimientos legales efectivos para las personas afectadas por órdenes de desalojo o de privación de acceso a servicios públicos domiciliarios.”</w:t>
            </w:r>
          </w:p>
        </w:tc>
      </w:tr>
      <w:tr w:rsidR="00667221" w:rsidRPr="00E556CC" w14:paraId="76A04E80" w14:textId="77777777" w:rsidTr="00E459D6">
        <w:tc>
          <w:tcPr>
            <w:tcW w:w="421" w:type="dxa"/>
          </w:tcPr>
          <w:p w14:paraId="022979F7" w14:textId="77777777" w:rsidR="00667221" w:rsidRPr="00E459D6" w:rsidRDefault="005030D1" w:rsidP="00572B00">
            <w:pPr>
              <w:spacing w:afterLines="60" w:after="144"/>
              <w:jc w:val="both"/>
              <w:rPr>
                <w:rFonts w:ascii="Arial" w:eastAsia="Times New Roman" w:hAnsi="Arial" w:cs="Arial"/>
                <w:sz w:val="18"/>
                <w:szCs w:val="18"/>
              </w:rPr>
            </w:pPr>
            <w:r w:rsidRPr="00E459D6">
              <w:rPr>
                <w:rFonts w:ascii="Arial" w:eastAsia="Times New Roman" w:hAnsi="Arial" w:cs="Arial"/>
                <w:sz w:val="18"/>
                <w:szCs w:val="18"/>
              </w:rPr>
              <w:t xml:space="preserve">30 </w:t>
            </w:r>
          </w:p>
        </w:tc>
        <w:tc>
          <w:tcPr>
            <w:tcW w:w="8594" w:type="dxa"/>
          </w:tcPr>
          <w:p w14:paraId="0C38B5BA" w14:textId="2B65204C" w:rsidR="00667221" w:rsidRPr="00E556CC" w:rsidRDefault="005030D1" w:rsidP="00572B00">
            <w:pPr>
              <w:spacing w:afterLines="60" w:after="144"/>
              <w:jc w:val="both"/>
              <w:rPr>
                <w:rFonts w:ascii="Arial" w:eastAsia="Times New Roman" w:hAnsi="Arial" w:cs="Arial"/>
                <w:sz w:val="20"/>
                <w:szCs w:val="20"/>
              </w:rPr>
            </w:pPr>
            <w:r w:rsidRPr="00E556CC">
              <w:rPr>
                <w:rFonts w:ascii="Arial" w:eastAsia="Times New Roman" w:hAnsi="Arial" w:cs="Arial"/>
                <w:sz w:val="20"/>
                <w:szCs w:val="20"/>
              </w:rPr>
              <w:t xml:space="preserve">En este </w:t>
            </w:r>
            <w:r w:rsidR="006651FD" w:rsidRPr="00E556CC">
              <w:rPr>
                <w:rFonts w:ascii="Arial" w:eastAsia="Times New Roman" w:hAnsi="Arial" w:cs="Arial"/>
                <w:sz w:val="20"/>
                <w:szCs w:val="20"/>
              </w:rPr>
              <w:t>a</w:t>
            </w:r>
            <w:r w:rsidRPr="00E556CC">
              <w:rPr>
                <w:rFonts w:ascii="Arial" w:eastAsia="Times New Roman" w:hAnsi="Arial" w:cs="Arial"/>
                <w:sz w:val="20"/>
                <w:szCs w:val="20"/>
              </w:rPr>
              <w:t xml:space="preserve">partado debería considerarse la necesidad de evaluar los megaproyectos con enfoque de derechos y considerar sus impactos sobre acceso al agua, </w:t>
            </w:r>
            <w:r w:rsidR="006651FD" w:rsidRPr="00E556CC">
              <w:rPr>
                <w:rFonts w:ascii="Arial" w:eastAsia="Times New Roman" w:hAnsi="Arial" w:cs="Arial"/>
                <w:sz w:val="20"/>
                <w:szCs w:val="20"/>
              </w:rPr>
              <w:t>en el sentido de los informes y comentarios del Relator Especial sobre los derechos humanos al agua potable y al saneamiento.</w:t>
            </w:r>
          </w:p>
        </w:tc>
      </w:tr>
      <w:tr w:rsidR="00667221" w:rsidRPr="00E556CC" w14:paraId="2115058B" w14:textId="77777777" w:rsidTr="00E459D6">
        <w:tc>
          <w:tcPr>
            <w:tcW w:w="421" w:type="dxa"/>
          </w:tcPr>
          <w:p w14:paraId="7EF08297" w14:textId="77777777" w:rsidR="00667221" w:rsidRPr="00E459D6" w:rsidRDefault="005030D1" w:rsidP="00572B00">
            <w:pPr>
              <w:spacing w:afterLines="60" w:after="144"/>
              <w:jc w:val="both"/>
              <w:rPr>
                <w:rFonts w:ascii="Arial" w:eastAsia="Times New Roman" w:hAnsi="Arial" w:cs="Arial"/>
                <w:sz w:val="18"/>
                <w:szCs w:val="18"/>
              </w:rPr>
            </w:pPr>
            <w:r w:rsidRPr="00E459D6">
              <w:rPr>
                <w:rFonts w:ascii="Arial" w:eastAsia="Times New Roman" w:hAnsi="Arial" w:cs="Arial"/>
                <w:sz w:val="18"/>
                <w:szCs w:val="18"/>
              </w:rPr>
              <w:t>31</w:t>
            </w:r>
          </w:p>
        </w:tc>
        <w:tc>
          <w:tcPr>
            <w:tcW w:w="8594" w:type="dxa"/>
          </w:tcPr>
          <w:p w14:paraId="7B770C05" w14:textId="50C59795" w:rsidR="00667221" w:rsidRPr="00E556CC" w:rsidRDefault="00174481" w:rsidP="00572B00">
            <w:pPr>
              <w:spacing w:afterLines="60" w:after="144"/>
              <w:jc w:val="both"/>
              <w:rPr>
                <w:rFonts w:ascii="Arial" w:eastAsia="Times New Roman" w:hAnsi="Arial" w:cs="Arial"/>
                <w:sz w:val="20"/>
                <w:szCs w:val="20"/>
              </w:rPr>
            </w:pPr>
            <w:r w:rsidRPr="00E556CC">
              <w:rPr>
                <w:rFonts w:ascii="Arial" w:eastAsia="Times New Roman" w:hAnsi="Arial" w:cs="Arial"/>
                <w:sz w:val="20"/>
                <w:szCs w:val="20"/>
              </w:rPr>
              <w:t xml:space="preserve">En un contexto de marcadas asimetrías de poder, los titulares del derecho a la tierra pierden su capacidad de ejercer sus derechos en el desarrollo de estos modelos de producción e inversión. Se debería considerar, como lo han mostrado diferentes estudios, </w:t>
            </w:r>
            <w:r w:rsidR="005030D1" w:rsidRPr="00E556CC">
              <w:rPr>
                <w:rFonts w:ascii="Arial" w:eastAsia="Times New Roman" w:hAnsi="Arial" w:cs="Arial"/>
                <w:sz w:val="20"/>
                <w:szCs w:val="20"/>
              </w:rPr>
              <w:t xml:space="preserve">que en contextos de inversiones de tierras a gran escala, los modelos de cooperación con los titulares de derechos </w:t>
            </w:r>
            <w:r w:rsidRPr="00E556CC">
              <w:rPr>
                <w:rFonts w:ascii="Arial" w:eastAsia="Times New Roman" w:hAnsi="Arial" w:cs="Arial"/>
                <w:sz w:val="20"/>
                <w:szCs w:val="20"/>
              </w:rPr>
              <w:t xml:space="preserve">sobre </w:t>
            </w:r>
            <w:r w:rsidR="005030D1" w:rsidRPr="00E556CC">
              <w:rPr>
                <w:rFonts w:ascii="Arial" w:eastAsia="Times New Roman" w:hAnsi="Arial" w:cs="Arial"/>
                <w:sz w:val="20"/>
                <w:szCs w:val="20"/>
              </w:rPr>
              <w:t xml:space="preserve">la tierra </w:t>
            </w:r>
            <w:r w:rsidRPr="00E556CC">
              <w:rPr>
                <w:rFonts w:ascii="Arial" w:eastAsia="Times New Roman" w:hAnsi="Arial" w:cs="Arial"/>
                <w:sz w:val="20"/>
                <w:szCs w:val="20"/>
              </w:rPr>
              <w:t>implican</w:t>
            </w:r>
            <w:r w:rsidR="005030D1" w:rsidRPr="00E556CC">
              <w:rPr>
                <w:rFonts w:ascii="Arial" w:eastAsia="Times New Roman" w:hAnsi="Arial" w:cs="Arial"/>
                <w:sz w:val="20"/>
                <w:szCs w:val="20"/>
              </w:rPr>
              <w:t xml:space="preserve">, en la práctica, el deterioro del ejercicio de los </w:t>
            </w:r>
            <w:r w:rsidRPr="00E556CC">
              <w:rPr>
                <w:rFonts w:ascii="Arial" w:eastAsia="Times New Roman" w:hAnsi="Arial" w:cs="Arial"/>
                <w:sz w:val="20"/>
                <w:szCs w:val="20"/>
              </w:rPr>
              <w:t>mismos</w:t>
            </w:r>
            <w:r w:rsidR="005030D1" w:rsidRPr="00E556CC">
              <w:rPr>
                <w:rFonts w:ascii="Arial" w:eastAsia="Times New Roman" w:hAnsi="Arial" w:cs="Arial"/>
                <w:sz w:val="20"/>
                <w:szCs w:val="20"/>
              </w:rPr>
              <w:t xml:space="preserve">, entre otras razones porque han perdido el control sobre </w:t>
            </w:r>
            <w:r w:rsidR="00E459D6">
              <w:rPr>
                <w:rFonts w:ascii="Arial" w:eastAsia="Times New Roman" w:hAnsi="Arial" w:cs="Arial"/>
                <w:sz w:val="20"/>
                <w:szCs w:val="20"/>
              </w:rPr>
              <w:t xml:space="preserve">sus </w:t>
            </w:r>
            <w:r w:rsidR="005030D1" w:rsidRPr="00E556CC">
              <w:rPr>
                <w:rFonts w:ascii="Arial" w:eastAsia="Times New Roman" w:hAnsi="Arial" w:cs="Arial"/>
                <w:sz w:val="20"/>
                <w:szCs w:val="20"/>
              </w:rPr>
              <w:t>tierras</w:t>
            </w:r>
            <w:r w:rsidRPr="00E556CC">
              <w:rPr>
                <w:rFonts w:ascii="Arial" w:eastAsia="Times New Roman" w:hAnsi="Arial" w:cs="Arial"/>
                <w:sz w:val="20"/>
                <w:szCs w:val="20"/>
              </w:rPr>
              <w:t xml:space="preserve">. </w:t>
            </w:r>
          </w:p>
        </w:tc>
      </w:tr>
      <w:tr w:rsidR="00667221" w:rsidRPr="00E556CC" w14:paraId="5E721CC2" w14:textId="77777777" w:rsidTr="00E459D6">
        <w:tc>
          <w:tcPr>
            <w:tcW w:w="421" w:type="dxa"/>
          </w:tcPr>
          <w:p w14:paraId="3E82645D" w14:textId="77777777" w:rsidR="00667221" w:rsidRPr="00E459D6" w:rsidRDefault="005030D1" w:rsidP="00572B00">
            <w:pPr>
              <w:spacing w:afterLines="60" w:after="144"/>
              <w:jc w:val="both"/>
              <w:rPr>
                <w:rFonts w:ascii="Arial" w:eastAsia="Times New Roman" w:hAnsi="Arial" w:cs="Arial"/>
                <w:sz w:val="18"/>
                <w:szCs w:val="18"/>
              </w:rPr>
            </w:pPr>
            <w:r w:rsidRPr="00E459D6">
              <w:rPr>
                <w:rFonts w:ascii="Arial" w:eastAsia="Times New Roman" w:hAnsi="Arial" w:cs="Arial"/>
                <w:sz w:val="18"/>
                <w:szCs w:val="18"/>
              </w:rPr>
              <w:t>32</w:t>
            </w:r>
          </w:p>
        </w:tc>
        <w:tc>
          <w:tcPr>
            <w:tcW w:w="8594" w:type="dxa"/>
          </w:tcPr>
          <w:p w14:paraId="2B510679" w14:textId="77777777" w:rsidR="00667221" w:rsidRPr="00E556CC" w:rsidRDefault="005030D1" w:rsidP="00572B00">
            <w:pPr>
              <w:spacing w:afterLines="60" w:after="144"/>
              <w:jc w:val="both"/>
              <w:rPr>
                <w:rFonts w:ascii="Arial" w:eastAsia="Times New Roman" w:hAnsi="Arial" w:cs="Arial"/>
                <w:sz w:val="20"/>
                <w:szCs w:val="20"/>
              </w:rPr>
            </w:pPr>
            <w:r w:rsidRPr="00E556CC">
              <w:rPr>
                <w:rFonts w:ascii="Arial" w:eastAsia="Times New Roman" w:hAnsi="Arial" w:cs="Arial"/>
                <w:sz w:val="20"/>
                <w:szCs w:val="20"/>
              </w:rPr>
              <w:t>Debería incluirse dentro del deber de protección el evitar el acaparamiento de derechos de uso de los bienes ambientales (como el agua) de los cuales depende el disfrute adecuado del derecho a la tierra.</w:t>
            </w:r>
          </w:p>
        </w:tc>
      </w:tr>
      <w:tr w:rsidR="00667221" w:rsidRPr="00E556CC" w14:paraId="2454E94E" w14:textId="77777777" w:rsidTr="00E459D6">
        <w:tc>
          <w:tcPr>
            <w:tcW w:w="421" w:type="dxa"/>
          </w:tcPr>
          <w:p w14:paraId="5AC61F48" w14:textId="6C09BD79" w:rsidR="00667221" w:rsidRPr="00E459D6" w:rsidRDefault="005030D1" w:rsidP="00572B00">
            <w:pPr>
              <w:spacing w:afterLines="60" w:after="144"/>
              <w:jc w:val="both"/>
              <w:rPr>
                <w:rFonts w:ascii="Arial" w:eastAsia="Times New Roman" w:hAnsi="Arial" w:cs="Arial"/>
                <w:sz w:val="18"/>
                <w:szCs w:val="18"/>
              </w:rPr>
            </w:pPr>
            <w:r w:rsidRPr="00E459D6">
              <w:rPr>
                <w:rFonts w:ascii="Arial" w:eastAsia="Times New Roman" w:hAnsi="Arial" w:cs="Arial"/>
                <w:sz w:val="18"/>
                <w:szCs w:val="18"/>
              </w:rPr>
              <w:t>3</w:t>
            </w:r>
            <w:r w:rsidR="009A3478">
              <w:rPr>
                <w:rFonts w:ascii="Arial" w:eastAsia="Times New Roman" w:hAnsi="Arial" w:cs="Arial"/>
                <w:sz w:val="18"/>
                <w:szCs w:val="18"/>
              </w:rPr>
              <w:t>4</w:t>
            </w:r>
          </w:p>
        </w:tc>
        <w:tc>
          <w:tcPr>
            <w:tcW w:w="8594" w:type="dxa"/>
          </w:tcPr>
          <w:p w14:paraId="7DAB0111" w14:textId="1AFE9CAF" w:rsidR="00AD50DC" w:rsidRPr="009A3478" w:rsidRDefault="005030D1" w:rsidP="009A3478">
            <w:pPr>
              <w:spacing w:afterLines="60" w:after="144"/>
              <w:jc w:val="both"/>
              <w:rPr>
                <w:rFonts w:ascii="Arial" w:eastAsia="Times New Roman" w:hAnsi="Arial" w:cs="Arial"/>
                <w:sz w:val="20"/>
                <w:szCs w:val="20"/>
              </w:rPr>
            </w:pPr>
            <w:r w:rsidRPr="00E556CC">
              <w:rPr>
                <w:rFonts w:ascii="Arial" w:eastAsia="Times New Roman" w:hAnsi="Arial" w:cs="Arial"/>
                <w:sz w:val="20"/>
                <w:szCs w:val="20"/>
              </w:rPr>
              <w:t xml:space="preserve">Consideramos que la obligación de proveer una indemnización justa y rápida, que tome como referencia los precios de mercado, debe ser el resultado de un proceso judicial en el cual se consideren los derechos de propiedad de los usuarios actuales sobre las tierras que se pretenden restituir o redistribuir. Tanto en la implementación de políticas de restitución, como de redistribución, el Estado debe tener la capacidad de intervenir para retornar a una situación previa al despojo o crear una situación de tenencia más acorde a la función social de la propiedad de la tierra. En los procesos de restitución, la indemnización sólo debe operar si </w:t>
            </w:r>
            <w:r w:rsidR="008A5927" w:rsidRPr="00E556CC">
              <w:rPr>
                <w:rFonts w:ascii="Arial" w:eastAsia="Times New Roman" w:hAnsi="Arial" w:cs="Arial"/>
                <w:sz w:val="20"/>
                <w:szCs w:val="20"/>
              </w:rPr>
              <w:t>existió</w:t>
            </w:r>
            <w:r w:rsidRPr="00E556CC">
              <w:rPr>
                <w:rFonts w:ascii="Arial" w:eastAsia="Times New Roman" w:hAnsi="Arial" w:cs="Arial"/>
                <w:sz w:val="20"/>
                <w:szCs w:val="20"/>
              </w:rPr>
              <w:t xml:space="preserve"> buena fe por parte del usuario actual. En políticas redistributivas, como las de reforma agraria, la referencia a los precios de mercado limitan el alcance redistributivo de las mismas. La gobernanza responsable de la tierra debe evitar que los titulares de derechos sobre la tierra se vean, en últimas, forzados a vender sus derechos, bien sea por razones económicas o de seguridad. </w:t>
            </w:r>
          </w:p>
        </w:tc>
      </w:tr>
      <w:tr w:rsidR="00667221" w:rsidRPr="00E556CC" w14:paraId="225D1613" w14:textId="77777777" w:rsidTr="00E459D6">
        <w:tc>
          <w:tcPr>
            <w:tcW w:w="421" w:type="dxa"/>
          </w:tcPr>
          <w:p w14:paraId="68872030" w14:textId="77777777" w:rsidR="00667221" w:rsidRPr="00E459D6" w:rsidRDefault="005030D1" w:rsidP="00572B00">
            <w:pPr>
              <w:spacing w:afterLines="60" w:after="144"/>
              <w:jc w:val="both"/>
              <w:rPr>
                <w:rFonts w:ascii="Arial" w:eastAsia="Times New Roman" w:hAnsi="Arial" w:cs="Arial"/>
                <w:sz w:val="18"/>
                <w:szCs w:val="18"/>
              </w:rPr>
            </w:pPr>
            <w:r w:rsidRPr="00E459D6">
              <w:rPr>
                <w:rFonts w:ascii="Arial" w:eastAsia="Times New Roman" w:hAnsi="Arial" w:cs="Arial"/>
                <w:sz w:val="18"/>
                <w:szCs w:val="18"/>
              </w:rPr>
              <w:t>37</w:t>
            </w:r>
          </w:p>
        </w:tc>
        <w:tc>
          <w:tcPr>
            <w:tcW w:w="8594" w:type="dxa"/>
          </w:tcPr>
          <w:p w14:paraId="22EABCE3" w14:textId="77777777" w:rsidR="00667221" w:rsidRPr="00E556CC" w:rsidRDefault="005030D1" w:rsidP="00572B00">
            <w:pPr>
              <w:spacing w:afterLines="60" w:after="144"/>
              <w:jc w:val="both"/>
              <w:rPr>
                <w:rFonts w:ascii="Arial" w:eastAsia="Times New Roman" w:hAnsi="Arial" w:cs="Arial"/>
                <w:sz w:val="20"/>
                <w:szCs w:val="20"/>
              </w:rPr>
            </w:pPr>
            <w:r w:rsidRPr="00E556CC">
              <w:rPr>
                <w:rFonts w:ascii="Arial" w:eastAsia="Times New Roman" w:hAnsi="Arial" w:cs="Arial"/>
                <w:sz w:val="20"/>
                <w:szCs w:val="20"/>
              </w:rPr>
              <w:t>Cuando se habla del deber de la promoción de los usos tradicionales de la tierra y la aprobación de políticas y medidas destinadas a mejorar los medios de subsistencia de la población basados en los recursos naturales y la conservación de la tierra a largo plazo, debería incluirse el deber de promoción de las formas comunitarias de administración de la tierra y bienes ambientales como el agua.</w:t>
            </w:r>
          </w:p>
        </w:tc>
      </w:tr>
      <w:tr w:rsidR="00667221" w:rsidRPr="00E556CC" w14:paraId="6C29CF2B" w14:textId="77777777" w:rsidTr="00E459D6">
        <w:tc>
          <w:tcPr>
            <w:tcW w:w="421" w:type="dxa"/>
          </w:tcPr>
          <w:p w14:paraId="661A5690" w14:textId="77777777" w:rsidR="00667221" w:rsidRPr="00E459D6" w:rsidRDefault="005030D1" w:rsidP="00572B00">
            <w:pPr>
              <w:spacing w:afterLines="60" w:after="144"/>
              <w:jc w:val="both"/>
              <w:rPr>
                <w:rFonts w:ascii="Arial" w:eastAsia="Times New Roman" w:hAnsi="Arial" w:cs="Arial"/>
                <w:sz w:val="18"/>
                <w:szCs w:val="18"/>
              </w:rPr>
            </w:pPr>
            <w:r w:rsidRPr="00E459D6">
              <w:rPr>
                <w:rFonts w:ascii="Arial" w:eastAsia="Times New Roman" w:hAnsi="Arial" w:cs="Arial"/>
                <w:sz w:val="18"/>
                <w:szCs w:val="18"/>
              </w:rPr>
              <w:t>47</w:t>
            </w:r>
          </w:p>
        </w:tc>
        <w:tc>
          <w:tcPr>
            <w:tcW w:w="8594" w:type="dxa"/>
          </w:tcPr>
          <w:p w14:paraId="5EC2A466" w14:textId="0B636D39" w:rsidR="00667221" w:rsidRPr="00E556CC" w:rsidRDefault="005030D1" w:rsidP="00502CA8">
            <w:pPr>
              <w:spacing w:afterLines="60" w:after="144"/>
              <w:jc w:val="both"/>
              <w:rPr>
                <w:rFonts w:ascii="Arial" w:eastAsia="Times New Roman" w:hAnsi="Arial" w:cs="Arial"/>
                <w:sz w:val="20"/>
                <w:szCs w:val="20"/>
              </w:rPr>
            </w:pPr>
            <w:r w:rsidRPr="00E556CC">
              <w:rPr>
                <w:rFonts w:ascii="Arial" w:eastAsia="Times New Roman" w:hAnsi="Arial" w:cs="Arial"/>
                <w:sz w:val="20"/>
                <w:szCs w:val="20"/>
              </w:rPr>
              <w:t>En relación a los programas de restitución de tierras, es importante introducir el término compensación como una medida alterna</w:t>
            </w:r>
            <w:r w:rsidR="00FE6869" w:rsidRPr="00E556CC">
              <w:rPr>
                <w:rFonts w:ascii="Arial" w:eastAsia="Times New Roman" w:hAnsi="Arial" w:cs="Arial"/>
                <w:sz w:val="20"/>
                <w:szCs w:val="20"/>
              </w:rPr>
              <w:t>tiva</w:t>
            </w:r>
            <w:r w:rsidRPr="00E556CC">
              <w:rPr>
                <w:rFonts w:ascii="Arial" w:eastAsia="Times New Roman" w:hAnsi="Arial" w:cs="Arial"/>
                <w:sz w:val="20"/>
                <w:szCs w:val="20"/>
              </w:rPr>
              <w:t xml:space="preserve"> cuando la restitución no es posible. </w:t>
            </w:r>
            <w:r w:rsidR="00502CA8" w:rsidRPr="00E556CC">
              <w:rPr>
                <w:rFonts w:ascii="Arial" w:eastAsia="Times New Roman" w:hAnsi="Arial" w:cs="Arial"/>
                <w:sz w:val="20"/>
                <w:szCs w:val="20"/>
              </w:rPr>
              <w:t xml:space="preserve">Consideramos, además, que debería (1) remplazarse “arrendatarios” por </w:t>
            </w:r>
            <w:r w:rsidR="00502CA8" w:rsidRPr="00E556CC">
              <w:rPr>
                <w:rFonts w:ascii="Arial" w:eastAsia="Times New Roman" w:hAnsi="Arial" w:cs="Arial"/>
                <w:sz w:val="20"/>
                <w:szCs w:val="20"/>
              </w:rPr>
              <w:lastRenderedPageBreak/>
              <w:t xml:space="preserve">“titulares”; (2) incluir que los </w:t>
            </w:r>
            <w:r w:rsidRPr="00E556CC">
              <w:rPr>
                <w:rFonts w:ascii="Arial" w:eastAsia="Times New Roman" w:hAnsi="Arial" w:cs="Arial"/>
                <w:sz w:val="20"/>
                <w:szCs w:val="20"/>
              </w:rPr>
              <w:t>segundos ocupantes</w:t>
            </w:r>
            <w:r w:rsidR="00502CA8" w:rsidRPr="00E556CC">
              <w:rPr>
                <w:rFonts w:ascii="Arial" w:eastAsia="Times New Roman" w:hAnsi="Arial" w:cs="Arial"/>
                <w:sz w:val="20"/>
                <w:szCs w:val="20"/>
              </w:rPr>
              <w:t xml:space="preserve"> no son </w:t>
            </w:r>
            <w:r w:rsidRPr="00E556CC">
              <w:rPr>
                <w:rFonts w:ascii="Arial" w:eastAsia="Times New Roman" w:hAnsi="Arial" w:cs="Arial"/>
                <w:sz w:val="20"/>
                <w:szCs w:val="20"/>
              </w:rPr>
              <w:t>causantes del hecho generador del desplazamiento o huida</w:t>
            </w:r>
            <w:r w:rsidR="00502CA8" w:rsidRPr="00E556CC">
              <w:rPr>
                <w:rFonts w:ascii="Arial" w:eastAsia="Times New Roman" w:hAnsi="Arial" w:cs="Arial"/>
                <w:sz w:val="20"/>
                <w:szCs w:val="20"/>
              </w:rPr>
              <w:t xml:space="preserve">; (3) incluir entre las garantías para los segundos ocupantes la </w:t>
            </w:r>
            <w:r w:rsidRPr="00E556CC">
              <w:rPr>
                <w:rFonts w:ascii="Arial" w:eastAsia="Times New Roman" w:hAnsi="Arial" w:cs="Arial"/>
                <w:sz w:val="20"/>
                <w:szCs w:val="20"/>
              </w:rPr>
              <w:t>informa</w:t>
            </w:r>
            <w:r w:rsidR="00502CA8" w:rsidRPr="00E556CC">
              <w:rPr>
                <w:rFonts w:ascii="Arial" w:eastAsia="Times New Roman" w:hAnsi="Arial" w:cs="Arial"/>
                <w:sz w:val="20"/>
                <w:szCs w:val="20"/>
              </w:rPr>
              <w:t>ción adecuada</w:t>
            </w:r>
            <w:r w:rsidRPr="00E556CC">
              <w:rPr>
                <w:rFonts w:ascii="Arial" w:eastAsia="Times New Roman" w:hAnsi="Arial" w:cs="Arial"/>
                <w:sz w:val="20"/>
                <w:szCs w:val="20"/>
              </w:rPr>
              <w:t xml:space="preserve"> </w:t>
            </w:r>
            <w:r w:rsidR="00872107" w:rsidRPr="00E556CC">
              <w:rPr>
                <w:rFonts w:ascii="Arial" w:eastAsia="Times New Roman" w:hAnsi="Arial" w:cs="Arial"/>
                <w:sz w:val="20"/>
                <w:szCs w:val="20"/>
              </w:rPr>
              <w:t xml:space="preserve">y el derecho de defensa; </w:t>
            </w:r>
            <w:r w:rsidR="008F2CAA" w:rsidRPr="00E556CC">
              <w:rPr>
                <w:rFonts w:ascii="Arial" w:eastAsia="Times New Roman" w:hAnsi="Arial" w:cs="Arial"/>
                <w:sz w:val="20"/>
                <w:szCs w:val="20"/>
              </w:rPr>
              <w:t>e</w:t>
            </w:r>
            <w:r w:rsidR="00872107" w:rsidRPr="00E556CC">
              <w:rPr>
                <w:rFonts w:ascii="Arial" w:eastAsia="Times New Roman" w:hAnsi="Arial" w:cs="Arial"/>
                <w:sz w:val="20"/>
                <w:szCs w:val="20"/>
              </w:rPr>
              <w:t xml:space="preserve"> (4) incluir una vivienda</w:t>
            </w:r>
            <w:r w:rsidR="008F2CAA" w:rsidRPr="00E556CC">
              <w:rPr>
                <w:rFonts w:ascii="Arial" w:eastAsia="Times New Roman" w:hAnsi="Arial" w:cs="Arial"/>
                <w:sz w:val="20"/>
                <w:szCs w:val="20"/>
              </w:rPr>
              <w:t>, no solo alojamiento,</w:t>
            </w:r>
            <w:r w:rsidR="00872107" w:rsidRPr="00E556CC">
              <w:rPr>
                <w:rFonts w:ascii="Arial" w:eastAsia="Times New Roman" w:hAnsi="Arial" w:cs="Arial"/>
                <w:sz w:val="20"/>
                <w:szCs w:val="20"/>
              </w:rPr>
              <w:t xml:space="preserve"> entre los elementos que deben ser proporcionados.</w:t>
            </w:r>
          </w:p>
        </w:tc>
      </w:tr>
      <w:tr w:rsidR="00667221" w:rsidRPr="00E556CC" w14:paraId="3E3629FE" w14:textId="77777777" w:rsidTr="00E459D6">
        <w:tc>
          <w:tcPr>
            <w:tcW w:w="421" w:type="dxa"/>
          </w:tcPr>
          <w:p w14:paraId="1AFD96F7" w14:textId="77777777" w:rsidR="00667221" w:rsidRPr="00E459D6" w:rsidRDefault="005030D1" w:rsidP="00572B00">
            <w:pPr>
              <w:spacing w:afterLines="60" w:after="144"/>
              <w:jc w:val="both"/>
              <w:rPr>
                <w:rFonts w:ascii="Arial" w:eastAsia="Times New Roman" w:hAnsi="Arial" w:cs="Arial"/>
                <w:sz w:val="18"/>
                <w:szCs w:val="18"/>
              </w:rPr>
            </w:pPr>
            <w:r w:rsidRPr="00E459D6">
              <w:rPr>
                <w:rFonts w:ascii="Arial" w:eastAsia="Times New Roman" w:hAnsi="Arial" w:cs="Arial"/>
                <w:sz w:val="18"/>
                <w:szCs w:val="18"/>
              </w:rPr>
              <w:lastRenderedPageBreak/>
              <w:t>48</w:t>
            </w:r>
          </w:p>
        </w:tc>
        <w:tc>
          <w:tcPr>
            <w:tcW w:w="8594" w:type="dxa"/>
          </w:tcPr>
          <w:p w14:paraId="313AF783" w14:textId="4813BC4F" w:rsidR="00667221" w:rsidRPr="00E556CC" w:rsidRDefault="00716E84" w:rsidP="00716E84">
            <w:pPr>
              <w:spacing w:afterLines="60" w:after="144"/>
              <w:jc w:val="both"/>
              <w:rPr>
                <w:rFonts w:ascii="Arial" w:eastAsia="Times New Roman" w:hAnsi="Arial" w:cs="Arial"/>
                <w:sz w:val="20"/>
                <w:szCs w:val="20"/>
              </w:rPr>
            </w:pPr>
            <w:r w:rsidRPr="00E556CC">
              <w:rPr>
                <w:rFonts w:ascii="Arial" w:eastAsia="Times New Roman" w:hAnsi="Arial" w:cs="Arial"/>
                <w:sz w:val="20"/>
                <w:szCs w:val="20"/>
              </w:rPr>
              <w:t xml:space="preserve">Consideramos que se debe incluir (1) situaciones </w:t>
            </w:r>
            <w:r w:rsidR="005030D1" w:rsidRPr="00E556CC">
              <w:rPr>
                <w:rFonts w:ascii="Arial" w:eastAsia="Times New Roman" w:hAnsi="Arial" w:cs="Arial"/>
                <w:sz w:val="20"/>
                <w:szCs w:val="20"/>
              </w:rPr>
              <w:t>de implementación de mecanismos de justicia transicional</w:t>
            </w:r>
            <w:r w:rsidRPr="00E556CC">
              <w:rPr>
                <w:rFonts w:ascii="Arial" w:eastAsia="Times New Roman" w:hAnsi="Arial" w:cs="Arial"/>
                <w:sz w:val="20"/>
                <w:szCs w:val="20"/>
              </w:rPr>
              <w:t xml:space="preserve"> junto con las de posconflicto y (2) otras medidas en los programas de restitución de tierras por parte de los Estados como </w:t>
            </w:r>
            <w:r w:rsidR="005030D1" w:rsidRPr="00E556CC">
              <w:rPr>
                <w:rFonts w:ascii="Arial" w:eastAsia="Times New Roman" w:hAnsi="Arial" w:cs="Arial"/>
                <w:sz w:val="20"/>
                <w:szCs w:val="20"/>
              </w:rPr>
              <w:t xml:space="preserve">vivienda y construcción de obras de infraestructura en salud, </w:t>
            </w:r>
            <w:r w:rsidRPr="00E556CC">
              <w:rPr>
                <w:rFonts w:ascii="Arial" w:eastAsia="Times New Roman" w:hAnsi="Arial" w:cs="Arial"/>
                <w:sz w:val="20"/>
                <w:szCs w:val="20"/>
              </w:rPr>
              <w:t xml:space="preserve">educación, agua potable y saneamiento básico, </w:t>
            </w:r>
            <w:r w:rsidR="005030D1" w:rsidRPr="00E556CC">
              <w:rPr>
                <w:rFonts w:ascii="Arial" w:eastAsia="Times New Roman" w:hAnsi="Arial" w:cs="Arial"/>
                <w:sz w:val="20"/>
                <w:szCs w:val="20"/>
              </w:rPr>
              <w:t xml:space="preserve">vías y otras necesarias </w:t>
            </w:r>
            <w:r w:rsidRPr="00E556CC">
              <w:rPr>
                <w:rFonts w:ascii="Arial" w:eastAsia="Times New Roman" w:hAnsi="Arial" w:cs="Arial"/>
                <w:sz w:val="20"/>
                <w:szCs w:val="20"/>
              </w:rPr>
              <w:t>para el disfrute de derechos de comunidades y personas a las que se les restituyó su tierras</w:t>
            </w:r>
            <w:r w:rsidR="005030D1" w:rsidRPr="00E556CC">
              <w:rPr>
                <w:rFonts w:ascii="Arial" w:eastAsia="Times New Roman" w:hAnsi="Arial" w:cs="Arial"/>
                <w:sz w:val="20"/>
                <w:szCs w:val="20"/>
              </w:rPr>
              <w:t>.</w:t>
            </w:r>
          </w:p>
        </w:tc>
      </w:tr>
      <w:tr w:rsidR="00667221" w:rsidRPr="00E556CC" w14:paraId="48F03A17" w14:textId="77777777" w:rsidTr="00E459D6">
        <w:tc>
          <w:tcPr>
            <w:tcW w:w="421" w:type="dxa"/>
          </w:tcPr>
          <w:p w14:paraId="3EF5C11A" w14:textId="77777777" w:rsidR="00667221" w:rsidRPr="00E459D6" w:rsidRDefault="005030D1" w:rsidP="00572B00">
            <w:pPr>
              <w:spacing w:afterLines="60" w:after="144"/>
              <w:jc w:val="both"/>
              <w:rPr>
                <w:rFonts w:ascii="Arial" w:eastAsia="Times New Roman" w:hAnsi="Arial" w:cs="Arial"/>
                <w:sz w:val="18"/>
                <w:szCs w:val="18"/>
              </w:rPr>
            </w:pPr>
            <w:r w:rsidRPr="00E459D6">
              <w:rPr>
                <w:rFonts w:ascii="Arial" w:eastAsia="Times New Roman" w:hAnsi="Arial" w:cs="Arial"/>
                <w:sz w:val="18"/>
                <w:szCs w:val="18"/>
              </w:rPr>
              <w:t>52</w:t>
            </w:r>
          </w:p>
        </w:tc>
        <w:tc>
          <w:tcPr>
            <w:tcW w:w="8594" w:type="dxa"/>
          </w:tcPr>
          <w:p w14:paraId="74FDD563" w14:textId="77777777" w:rsidR="00667221" w:rsidRPr="00E556CC" w:rsidRDefault="005030D1" w:rsidP="00572B00">
            <w:pPr>
              <w:spacing w:afterLines="60" w:after="144"/>
              <w:jc w:val="both"/>
              <w:rPr>
                <w:rFonts w:ascii="Arial" w:eastAsia="Times New Roman" w:hAnsi="Arial" w:cs="Arial"/>
                <w:sz w:val="20"/>
                <w:szCs w:val="20"/>
              </w:rPr>
            </w:pPr>
            <w:r w:rsidRPr="00E556CC">
              <w:rPr>
                <w:rFonts w:ascii="Arial" w:eastAsia="Times New Roman" w:hAnsi="Arial" w:cs="Arial"/>
                <w:sz w:val="20"/>
                <w:szCs w:val="20"/>
              </w:rPr>
              <w:t xml:space="preserve">Consideramos que el término más apropiado es el de uso y conservación, en lugar de preservación. De igual forma, creemos que es necesario incluir a los campesinos en el reconocimiento a sus aportes a la conservación ambiental. </w:t>
            </w:r>
          </w:p>
        </w:tc>
      </w:tr>
      <w:tr w:rsidR="00667221" w:rsidRPr="00E556CC" w14:paraId="4795F321" w14:textId="77777777" w:rsidTr="00E459D6">
        <w:tc>
          <w:tcPr>
            <w:tcW w:w="421" w:type="dxa"/>
          </w:tcPr>
          <w:p w14:paraId="42F15966" w14:textId="77777777" w:rsidR="00667221" w:rsidRPr="00E459D6" w:rsidRDefault="005030D1" w:rsidP="00572B00">
            <w:pPr>
              <w:spacing w:afterLines="60" w:after="144"/>
              <w:jc w:val="both"/>
              <w:rPr>
                <w:rFonts w:ascii="Arial" w:eastAsia="Times New Roman" w:hAnsi="Arial" w:cs="Arial"/>
                <w:sz w:val="18"/>
                <w:szCs w:val="18"/>
              </w:rPr>
            </w:pPr>
            <w:r w:rsidRPr="00E459D6">
              <w:rPr>
                <w:rFonts w:ascii="Arial" w:eastAsia="Times New Roman" w:hAnsi="Arial" w:cs="Arial"/>
                <w:sz w:val="18"/>
                <w:szCs w:val="18"/>
              </w:rPr>
              <w:t>53</w:t>
            </w:r>
          </w:p>
        </w:tc>
        <w:tc>
          <w:tcPr>
            <w:tcW w:w="8594" w:type="dxa"/>
          </w:tcPr>
          <w:p w14:paraId="3FFF7E1D" w14:textId="77777777" w:rsidR="00667221" w:rsidRPr="00E556CC" w:rsidRDefault="005030D1" w:rsidP="00572B00">
            <w:pPr>
              <w:spacing w:afterLines="60" w:after="144"/>
              <w:jc w:val="both"/>
              <w:rPr>
                <w:rFonts w:ascii="Arial" w:eastAsia="Times New Roman" w:hAnsi="Arial" w:cs="Arial"/>
                <w:sz w:val="20"/>
                <w:szCs w:val="20"/>
              </w:rPr>
            </w:pPr>
            <w:r w:rsidRPr="00E556CC">
              <w:rPr>
                <w:rFonts w:ascii="Arial" w:eastAsia="Times New Roman" w:hAnsi="Arial" w:cs="Arial"/>
                <w:sz w:val="20"/>
                <w:szCs w:val="20"/>
              </w:rPr>
              <w:t xml:space="preserve">Consideramos que en este apartado es fundamental reconocer que en relación a los defensores de la tierra, las obligaciones no son solo de respeto, sino de protección especial. </w:t>
            </w:r>
          </w:p>
        </w:tc>
      </w:tr>
      <w:tr w:rsidR="00667221" w:rsidRPr="00E556CC" w14:paraId="36682748" w14:textId="77777777" w:rsidTr="00E459D6">
        <w:tc>
          <w:tcPr>
            <w:tcW w:w="421" w:type="dxa"/>
          </w:tcPr>
          <w:p w14:paraId="5E9D1599" w14:textId="77777777" w:rsidR="00667221" w:rsidRPr="00E459D6" w:rsidRDefault="005030D1" w:rsidP="00572B00">
            <w:pPr>
              <w:spacing w:afterLines="60" w:after="144"/>
              <w:jc w:val="both"/>
              <w:rPr>
                <w:rFonts w:ascii="Arial" w:eastAsia="Times New Roman" w:hAnsi="Arial" w:cs="Arial"/>
                <w:sz w:val="18"/>
                <w:szCs w:val="18"/>
              </w:rPr>
            </w:pPr>
            <w:r w:rsidRPr="00E459D6">
              <w:rPr>
                <w:rFonts w:ascii="Arial" w:eastAsia="Times New Roman" w:hAnsi="Arial" w:cs="Arial"/>
                <w:sz w:val="18"/>
                <w:szCs w:val="18"/>
              </w:rPr>
              <w:t>54</w:t>
            </w:r>
          </w:p>
        </w:tc>
        <w:tc>
          <w:tcPr>
            <w:tcW w:w="8594" w:type="dxa"/>
          </w:tcPr>
          <w:p w14:paraId="4B527BE7" w14:textId="77777777" w:rsidR="00667221" w:rsidRPr="00E556CC" w:rsidRDefault="005030D1" w:rsidP="00572B00">
            <w:pPr>
              <w:spacing w:afterLines="60" w:after="144"/>
              <w:jc w:val="both"/>
              <w:rPr>
                <w:rFonts w:ascii="Arial" w:eastAsia="Times New Roman" w:hAnsi="Arial" w:cs="Arial"/>
                <w:sz w:val="20"/>
                <w:szCs w:val="20"/>
              </w:rPr>
            </w:pPr>
            <w:r w:rsidRPr="00E556CC">
              <w:rPr>
                <w:rFonts w:ascii="Arial" w:eastAsia="Times New Roman" w:hAnsi="Arial" w:cs="Arial"/>
                <w:sz w:val="20"/>
                <w:szCs w:val="20"/>
              </w:rPr>
              <w:t>Además de la mención del Acuerdo de París, consideramos importante insistir a los Estados que todas las políticas públicas en la materia y las relacionadas, deben atender principalmente a la necesidad de protección y restauración de ecosistemas claves, así como reforzar las obligaciones del Estado en relación al derecho a la participación ciudadana en materia ambiental.</w:t>
            </w:r>
          </w:p>
        </w:tc>
      </w:tr>
      <w:tr w:rsidR="00667221" w:rsidRPr="00E556CC" w14:paraId="6579BECE" w14:textId="77777777" w:rsidTr="00E459D6">
        <w:tc>
          <w:tcPr>
            <w:tcW w:w="421" w:type="dxa"/>
          </w:tcPr>
          <w:p w14:paraId="54B7D13E" w14:textId="77777777" w:rsidR="00667221" w:rsidRPr="00E459D6" w:rsidRDefault="005030D1" w:rsidP="00572B00">
            <w:pPr>
              <w:spacing w:afterLines="60" w:after="144"/>
              <w:jc w:val="both"/>
              <w:rPr>
                <w:rFonts w:ascii="Arial" w:eastAsia="Times New Roman" w:hAnsi="Arial" w:cs="Arial"/>
                <w:sz w:val="18"/>
                <w:szCs w:val="18"/>
              </w:rPr>
            </w:pPr>
            <w:r w:rsidRPr="00E459D6">
              <w:rPr>
                <w:rFonts w:ascii="Arial" w:eastAsia="Times New Roman" w:hAnsi="Arial" w:cs="Arial"/>
                <w:sz w:val="18"/>
                <w:szCs w:val="18"/>
              </w:rPr>
              <w:t>57</w:t>
            </w:r>
          </w:p>
        </w:tc>
        <w:tc>
          <w:tcPr>
            <w:tcW w:w="8594" w:type="dxa"/>
          </w:tcPr>
          <w:p w14:paraId="2AE31A6E" w14:textId="112D78B7" w:rsidR="00667221" w:rsidRPr="00E556CC" w:rsidRDefault="005030D1" w:rsidP="00572B00">
            <w:pPr>
              <w:spacing w:afterLines="60" w:after="144"/>
              <w:jc w:val="both"/>
              <w:rPr>
                <w:rFonts w:ascii="Arial" w:eastAsia="Times New Roman" w:hAnsi="Arial" w:cs="Arial"/>
                <w:sz w:val="20"/>
                <w:szCs w:val="20"/>
              </w:rPr>
            </w:pPr>
            <w:r w:rsidRPr="00E556CC">
              <w:rPr>
                <w:rFonts w:ascii="Arial" w:eastAsia="Times New Roman" w:hAnsi="Arial" w:cs="Arial"/>
                <w:sz w:val="20"/>
                <w:szCs w:val="20"/>
              </w:rPr>
              <w:t xml:space="preserve">El acceso a medios que permitan dar una solución oportuna, asequible y eficaz no debe reducirse a las controversias sobre los derechos de tenencia, sino que debe incluir todos aquellos que afectan el ejercicio eficaz del derecho a </w:t>
            </w:r>
            <w:r w:rsidR="00CB6E7C" w:rsidRPr="00E556CC">
              <w:rPr>
                <w:rFonts w:ascii="Arial" w:eastAsia="Times New Roman" w:hAnsi="Arial" w:cs="Arial"/>
                <w:sz w:val="20"/>
                <w:szCs w:val="20"/>
              </w:rPr>
              <w:t xml:space="preserve">la </w:t>
            </w:r>
            <w:r w:rsidRPr="00E556CC">
              <w:rPr>
                <w:rFonts w:ascii="Arial" w:eastAsia="Times New Roman" w:hAnsi="Arial" w:cs="Arial"/>
                <w:sz w:val="20"/>
                <w:szCs w:val="20"/>
              </w:rPr>
              <w:t>tierra, así por ejemplo las controversias sobre acceso a agua no afectan la tenencia pero sí pueden afectar el goce del derecho a la tierra y a la alimentación.</w:t>
            </w:r>
          </w:p>
        </w:tc>
      </w:tr>
    </w:tbl>
    <w:p w14:paraId="0A99E4AB" w14:textId="0A31F86F" w:rsidR="00667221" w:rsidRPr="00E556CC" w:rsidRDefault="00667221" w:rsidP="00572B00">
      <w:pPr>
        <w:spacing w:afterLines="60" w:after="144" w:line="240" w:lineRule="auto"/>
        <w:rPr>
          <w:sz w:val="20"/>
          <w:szCs w:val="20"/>
        </w:rPr>
      </w:pPr>
    </w:p>
    <w:p w14:paraId="3B217607" w14:textId="77777777" w:rsidR="00E61342" w:rsidRPr="00E556CC" w:rsidRDefault="00E61342" w:rsidP="00E61342">
      <w:pPr>
        <w:spacing w:line="240" w:lineRule="auto"/>
        <w:rPr>
          <w:sz w:val="20"/>
          <w:szCs w:val="20"/>
        </w:rPr>
      </w:pPr>
      <w:r w:rsidRPr="00E556CC">
        <w:rPr>
          <w:sz w:val="20"/>
          <w:szCs w:val="20"/>
        </w:rPr>
        <w:t>Bogotá, Agosto 15 de 2021</w:t>
      </w:r>
    </w:p>
    <w:p w14:paraId="4CC148ED" w14:textId="77777777" w:rsidR="00FF0161" w:rsidRPr="00E556CC" w:rsidRDefault="00FF0161" w:rsidP="00FF0161">
      <w:pPr>
        <w:ind w:right="98"/>
        <w:rPr>
          <w:sz w:val="20"/>
          <w:szCs w:val="20"/>
          <w:lang w:val="es-ES"/>
        </w:rPr>
      </w:pPr>
    </w:p>
    <w:p w14:paraId="33D7B246" w14:textId="77777777" w:rsidR="00667221" w:rsidRPr="00E556CC" w:rsidRDefault="00667221" w:rsidP="00FF0161">
      <w:pPr>
        <w:spacing w:afterLines="60" w:after="144" w:line="240" w:lineRule="auto"/>
        <w:ind w:right="98"/>
        <w:rPr>
          <w:sz w:val="20"/>
          <w:szCs w:val="20"/>
          <w:u w:val="single"/>
        </w:rPr>
      </w:pPr>
    </w:p>
    <w:p w14:paraId="74DEF3C7" w14:textId="77777777" w:rsidR="00667221" w:rsidRPr="00E556CC" w:rsidRDefault="00667221" w:rsidP="00FF0161">
      <w:pPr>
        <w:spacing w:afterLines="60" w:after="144" w:line="240" w:lineRule="auto"/>
        <w:ind w:right="98"/>
        <w:rPr>
          <w:sz w:val="20"/>
          <w:szCs w:val="20"/>
        </w:rPr>
      </w:pPr>
    </w:p>
    <w:p w14:paraId="283B1D05" w14:textId="77777777" w:rsidR="00667221" w:rsidRPr="00E556CC" w:rsidRDefault="00667221" w:rsidP="00FF0161">
      <w:pPr>
        <w:spacing w:afterLines="60" w:after="144" w:line="240" w:lineRule="auto"/>
        <w:ind w:right="98"/>
        <w:rPr>
          <w:sz w:val="20"/>
          <w:szCs w:val="20"/>
        </w:rPr>
      </w:pPr>
    </w:p>
    <w:sectPr w:rsidR="00667221" w:rsidRPr="00E556CC">
      <w:headerReference w:type="default" r:id="rId7"/>
      <w:footerReference w:type="even" r:id="rId8"/>
      <w:footerReference w:type="default" r:id="rId9"/>
      <w:pgSz w:w="11909" w:h="16834"/>
      <w:pgMar w:top="1440" w:right="1440" w:bottom="1135" w:left="1440" w:header="568"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5EDC47" w14:textId="77777777" w:rsidR="00DB292C" w:rsidRDefault="00DB292C">
      <w:pPr>
        <w:spacing w:line="240" w:lineRule="auto"/>
      </w:pPr>
      <w:r>
        <w:separator/>
      </w:r>
    </w:p>
  </w:endnote>
  <w:endnote w:type="continuationSeparator" w:id="0">
    <w:p w14:paraId="0173BEF7" w14:textId="77777777" w:rsidR="00DB292C" w:rsidRDefault="00DB29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08353409"/>
      <w:docPartObj>
        <w:docPartGallery w:val="Page Numbers (Bottom of Page)"/>
        <w:docPartUnique/>
      </w:docPartObj>
    </w:sdtPr>
    <w:sdtEndPr>
      <w:rPr>
        <w:rStyle w:val="PageNumber"/>
      </w:rPr>
    </w:sdtEndPr>
    <w:sdtContent>
      <w:p w14:paraId="6B65023A" w14:textId="0AA8A965" w:rsidR="009A3478" w:rsidRDefault="009A3478" w:rsidP="00AB6C8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86AFC7C" w14:textId="77777777" w:rsidR="009A3478" w:rsidRDefault="009A3478" w:rsidP="009A347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966306634"/>
      <w:docPartObj>
        <w:docPartGallery w:val="Page Numbers (Bottom of Page)"/>
        <w:docPartUnique/>
      </w:docPartObj>
    </w:sdtPr>
    <w:sdtEndPr>
      <w:rPr>
        <w:rStyle w:val="PageNumber"/>
      </w:rPr>
    </w:sdtEndPr>
    <w:sdtContent>
      <w:p w14:paraId="6727CB65" w14:textId="563DEEE4" w:rsidR="009A3478" w:rsidRDefault="009A3478" w:rsidP="00AB6C8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E409F">
          <w:rPr>
            <w:rStyle w:val="PageNumber"/>
            <w:noProof/>
          </w:rPr>
          <w:t>1</w:t>
        </w:r>
        <w:r>
          <w:rPr>
            <w:rStyle w:val="PageNumber"/>
          </w:rPr>
          <w:fldChar w:fldCharType="end"/>
        </w:r>
      </w:p>
    </w:sdtContent>
  </w:sdt>
  <w:p w14:paraId="1CAE560C" w14:textId="77777777" w:rsidR="009A3478" w:rsidRDefault="009A3478" w:rsidP="009A347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E9D744" w14:textId="77777777" w:rsidR="00DB292C" w:rsidRDefault="00DB292C">
      <w:pPr>
        <w:spacing w:line="240" w:lineRule="auto"/>
      </w:pPr>
      <w:r>
        <w:separator/>
      </w:r>
    </w:p>
  </w:footnote>
  <w:footnote w:type="continuationSeparator" w:id="0">
    <w:p w14:paraId="0625F91D" w14:textId="77777777" w:rsidR="00DB292C" w:rsidRDefault="00DB292C">
      <w:pPr>
        <w:spacing w:line="240" w:lineRule="auto"/>
      </w:pPr>
      <w:r>
        <w:continuationSeparator/>
      </w:r>
    </w:p>
  </w:footnote>
  <w:footnote w:id="1">
    <w:p w14:paraId="7415F460" w14:textId="51C2BE77" w:rsidR="00667221" w:rsidRPr="00D510D4" w:rsidRDefault="005030D1">
      <w:pPr>
        <w:spacing w:line="240" w:lineRule="auto"/>
        <w:rPr>
          <w:sz w:val="16"/>
          <w:szCs w:val="16"/>
        </w:rPr>
      </w:pPr>
      <w:r w:rsidRPr="00D510D4">
        <w:rPr>
          <w:sz w:val="16"/>
          <w:szCs w:val="16"/>
          <w:vertAlign w:val="superscript"/>
        </w:rPr>
        <w:footnoteRef/>
      </w:r>
      <w:r w:rsidRPr="00D510D4">
        <w:rPr>
          <w:sz w:val="16"/>
          <w:szCs w:val="16"/>
        </w:rPr>
        <w:t xml:space="preserve"> La emergencia del derecho humano a la tierra, como un derecho independiente es un proceso que también ha sido considerado y analizado por académicos. </w:t>
      </w:r>
      <w:r w:rsidRPr="00D510D4">
        <w:rPr>
          <w:sz w:val="16"/>
          <w:szCs w:val="16"/>
          <w:lang w:val="en-US"/>
        </w:rPr>
        <w:t xml:space="preserve">Ver: De Schutter, O. (2010). The Emerging Human Right to Land. </w:t>
      </w:r>
      <w:r w:rsidRPr="00D510D4">
        <w:rPr>
          <w:i/>
          <w:sz w:val="16"/>
          <w:szCs w:val="16"/>
          <w:lang w:val="en-US"/>
        </w:rPr>
        <w:t>International Community Law Review</w:t>
      </w:r>
      <w:r w:rsidRPr="00D510D4">
        <w:rPr>
          <w:sz w:val="16"/>
          <w:szCs w:val="16"/>
          <w:lang w:val="en-US"/>
        </w:rPr>
        <w:t xml:space="preserve">, </w:t>
      </w:r>
      <w:r w:rsidRPr="00D510D4">
        <w:rPr>
          <w:i/>
          <w:sz w:val="16"/>
          <w:szCs w:val="16"/>
          <w:lang w:val="en-US"/>
        </w:rPr>
        <w:t>12</w:t>
      </w:r>
      <w:r w:rsidRPr="00D510D4">
        <w:rPr>
          <w:sz w:val="16"/>
          <w:szCs w:val="16"/>
          <w:lang w:val="en-US"/>
        </w:rPr>
        <w:t>(3), 303–334.</w:t>
      </w:r>
      <w:hyperlink r:id="rId1">
        <w:r w:rsidRPr="00D510D4">
          <w:rPr>
            <w:sz w:val="16"/>
            <w:szCs w:val="16"/>
            <w:lang w:val="en-US"/>
          </w:rPr>
          <w:t xml:space="preserve"> </w:t>
        </w:r>
      </w:hyperlink>
      <w:hyperlink r:id="rId2">
        <w:r w:rsidRPr="00D510D4">
          <w:rPr>
            <w:sz w:val="16"/>
            <w:szCs w:val="16"/>
            <w:lang w:val="en-US"/>
          </w:rPr>
          <w:t>https://doi.org/10.1163/187197310X513725</w:t>
        </w:r>
      </w:hyperlink>
      <w:r w:rsidRPr="00D510D4">
        <w:rPr>
          <w:sz w:val="16"/>
          <w:szCs w:val="16"/>
          <w:lang w:val="en-US"/>
        </w:rPr>
        <w:t xml:space="preserve">; Claeys, P. (2015). The Right to Land and Territory: New Human Right and Collective Action Frame. </w:t>
      </w:r>
      <w:r w:rsidRPr="00D510D4">
        <w:rPr>
          <w:i/>
          <w:sz w:val="16"/>
          <w:szCs w:val="16"/>
        </w:rPr>
        <w:t>Revue interdisciplinaire d’études juridiques</w:t>
      </w:r>
      <w:r w:rsidRPr="00D510D4">
        <w:rPr>
          <w:sz w:val="16"/>
          <w:szCs w:val="16"/>
        </w:rPr>
        <w:t xml:space="preserve">, </w:t>
      </w:r>
      <w:r w:rsidRPr="00D510D4">
        <w:rPr>
          <w:i/>
          <w:sz w:val="16"/>
          <w:szCs w:val="16"/>
        </w:rPr>
        <w:t>75</w:t>
      </w:r>
      <w:r w:rsidRPr="00D510D4">
        <w:rPr>
          <w:sz w:val="16"/>
          <w:szCs w:val="16"/>
        </w:rPr>
        <w:t>(2), 115–137. Cairn.info.</w:t>
      </w:r>
      <w:hyperlink r:id="rId3">
        <w:r w:rsidRPr="00D510D4">
          <w:rPr>
            <w:sz w:val="16"/>
            <w:szCs w:val="16"/>
          </w:rPr>
          <w:t xml:space="preserve"> https://doi.org/10.3917/riej.075.0115</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005F0" w14:textId="77777777" w:rsidR="00667221" w:rsidRDefault="005030D1">
    <w:pPr>
      <w:jc w:val="center"/>
      <w:rPr>
        <w:b/>
      </w:rPr>
    </w:pPr>
    <w:r>
      <w:rPr>
        <w:b/>
        <w:noProof/>
        <w:lang w:val="en-GB" w:eastAsia="ko-KR"/>
      </w:rPr>
      <w:drawing>
        <wp:inline distT="114300" distB="114300" distL="114300" distR="114300" wp14:anchorId="48C38B55" wp14:editId="10C52023">
          <wp:extent cx="1048129" cy="866453"/>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48129" cy="866453"/>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221"/>
    <w:rsid w:val="00024A3E"/>
    <w:rsid w:val="000B521B"/>
    <w:rsid w:val="00174481"/>
    <w:rsid w:val="001A4C68"/>
    <w:rsid w:val="00291256"/>
    <w:rsid w:val="002F4315"/>
    <w:rsid w:val="0037087A"/>
    <w:rsid w:val="00502CA8"/>
    <w:rsid w:val="005030D1"/>
    <w:rsid w:val="00572B00"/>
    <w:rsid w:val="006651FD"/>
    <w:rsid w:val="00667221"/>
    <w:rsid w:val="00673A0A"/>
    <w:rsid w:val="00696440"/>
    <w:rsid w:val="006C0633"/>
    <w:rsid w:val="00716E84"/>
    <w:rsid w:val="007765FE"/>
    <w:rsid w:val="007F49BE"/>
    <w:rsid w:val="0082163C"/>
    <w:rsid w:val="008540C9"/>
    <w:rsid w:val="00872107"/>
    <w:rsid w:val="008A5927"/>
    <w:rsid w:val="008F2CAA"/>
    <w:rsid w:val="009A3478"/>
    <w:rsid w:val="00AD50DC"/>
    <w:rsid w:val="00B11EF4"/>
    <w:rsid w:val="00C514C8"/>
    <w:rsid w:val="00CB6E7C"/>
    <w:rsid w:val="00CE409F"/>
    <w:rsid w:val="00D037C7"/>
    <w:rsid w:val="00D37E5F"/>
    <w:rsid w:val="00D510D4"/>
    <w:rsid w:val="00DB292C"/>
    <w:rsid w:val="00DC0260"/>
    <w:rsid w:val="00E459D6"/>
    <w:rsid w:val="00E556CC"/>
    <w:rsid w:val="00E61342"/>
    <w:rsid w:val="00ED4532"/>
    <w:rsid w:val="00F1705A"/>
    <w:rsid w:val="00F24493"/>
    <w:rsid w:val="00FE6869"/>
    <w:rsid w:val="00FF0161"/>
  </w:rsids>
  <m:mathPr>
    <m:mathFont m:val="Cambria Math"/>
    <m:brkBin m:val="before"/>
    <m:brkBinSub m:val="--"/>
    <m:smallFrac m:val="0"/>
    <m:dispDef/>
    <m:lMargin m:val="0"/>
    <m:rMargin m:val="0"/>
    <m:defJc m:val="centerGroup"/>
    <m:wrapIndent m:val="1440"/>
    <m:intLim m:val="subSup"/>
    <m:naryLim m:val="undOvr"/>
  </m:mathPr>
  <w:themeFontLang w:val="es-CO"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21372"/>
  <w15:docId w15:val="{51CC2533-1BBE-E849-8976-9D596C1B0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419"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3"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after="60"/>
    </w:pPr>
    <w:rPr>
      <w:sz w:val="52"/>
      <w:szCs w:val="52"/>
    </w:rPr>
  </w:style>
  <w:style w:type="table" w:customStyle="1" w:styleId="TableNormal2">
    <w:name w:val="Table Normal2"/>
    <w:tblPr>
      <w:tblCellMar>
        <w:top w:w="0" w:type="dxa"/>
        <w:left w:w="0" w:type="dxa"/>
        <w:bottom w:w="0" w:type="dxa"/>
        <w:right w:w="0" w:type="dxa"/>
      </w:tblCellMar>
    </w:tbl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61570D"/>
    <w:pPr>
      <w:tabs>
        <w:tab w:val="center" w:pos="4419"/>
        <w:tab w:val="right" w:pos="8838"/>
      </w:tabs>
      <w:spacing w:line="240" w:lineRule="auto"/>
    </w:pPr>
  </w:style>
  <w:style w:type="character" w:customStyle="1" w:styleId="HeaderChar">
    <w:name w:val="Header Char"/>
    <w:basedOn w:val="DefaultParagraphFont"/>
    <w:link w:val="Header"/>
    <w:uiPriority w:val="99"/>
    <w:rsid w:val="0061570D"/>
  </w:style>
  <w:style w:type="paragraph" w:styleId="Footer">
    <w:name w:val="footer"/>
    <w:basedOn w:val="Normal"/>
    <w:link w:val="FooterChar"/>
    <w:uiPriority w:val="99"/>
    <w:unhideWhenUsed/>
    <w:rsid w:val="0061570D"/>
    <w:pPr>
      <w:tabs>
        <w:tab w:val="center" w:pos="4419"/>
        <w:tab w:val="right" w:pos="8838"/>
      </w:tabs>
      <w:spacing w:line="240" w:lineRule="auto"/>
    </w:pPr>
  </w:style>
  <w:style w:type="character" w:customStyle="1" w:styleId="FooterChar">
    <w:name w:val="Footer Char"/>
    <w:basedOn w:val="DefaultParagraphFont"/>
    <w:link w:val="Footer"/>
    <w:uiPriority w:val="99"/>
    <w:rsid w:val="0061570D"/>
  </w:style>
  <w:style w:type="paragraph" w:styleId="ListParagraph">
    <w:name w:val="List Paragraph"/>
    <w:basedOn w:val="Normal"/>
    <w:uiPriority w:val="34"/>
    <w:qFormat/>
    <w:rsid w:val="0061570D"/>
    <w:pPr>
      <w:ind w:left="720"/>
      <w:contextualSpacing/>
    </w:pPr>
  </w:style>
  <w:style w:type="table" w:styleId="TableGrid">
    <w:name w:val="Table Grid"/>
    <w:basedOn w:val="TableNormal"/>
    <w:uiPriority w:val="39"/>
    <w:rsid w:val="00334913"/>
    <w:pPr>
      <w:spacing w:line="240" w:lineRule="auto"/>
    </w:pPr>
    <w:rPr>
      <w:rFonts w:asciiTheme="minorHAnsi" w:eastAsiaTheme="minorHAnsi" w:hAnsiTheme="minorHAnsi" w:cstheme="minorBidi"/>
      <w:sz w:val="24"/>
      <w:szCs w:val="24"/>
      <w:lang w:val="es-C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34913"/>
    <w:rPr>
      <w:color w:val="0000FF" w:themeColor="hyperlink"/>
      <w:u w:val="single"/>
    </w:rPr>
  </w:style>
  <w:style w:type="paragraph" w:styleId="CommentText">
    <w:name w:val="annotation text"/>
    <w:basedOn w:val="Normal"/>
    <w:link w:val="CommentTextChar"/>
    <w:semiHidden/>
    <w:unhideWhenUsed/>
    <w:rsid w:val="00334913"/>
    <w:pPr>
      <w:spacing w:line="240" w:lineRule="auto"/>
    </w:pPr>
    <w:rPr>
      <w:rFonts w:ascii="Times New Roman" w:eastAsia="Times New Roman" w:hAnsi="Times New Roman" w:cs="Times New Roman"/>
      <w:sz w:val="20"/>
      <w:szCs w:val="20"/>
      <w:lang w:val="es-ES" w:eastAsia="es-ES"/>
    </w:rPr>
  </w:style>
  <w:style w:type="character" w:customStyle="1" w:styleId="CommentTextChar">
    <w:name w:val="Comment Text Char"/>
    <w:basedOn w:val="DefaultParagraphFont"/>
    <w:link w:val="CommentText"/>
    <w:semiHidden/>
    <w:rsid w:val="00334913"/>
    <w:rPr>
      <w:rFonts w:ascii="Times New Roman" w:eastAsia="Times New Roman" w:hAnsi="Times New Roman" w:cs="Times New Roman"/>
      <w:sz w:val="20"/>
      <w:szCs w:val="20"/>
      <w:lang w:val="es-ES" w:eastAsia="es-ES"/>
    </w:rPr>
  </w:style>
  <w:style w:type="character" w:styleId="CommentReference">
    <w:name w:val="annotation reference"/>
    <w:basedOn w:val="DefaultParagraphFont"/>
    <w:semiHidden/>
    <w:unhideWhenUsed/>
    <w:rsid w:val="00334913"/>
    <w:rPr>
      <w:sz w:val="16"/>
      <w:szCs w:val="16"/>
    </w:rPr>
  </w:style>
  <w:style w:type="table" w:customStyle="1" w:styleId="a">
    <w:basedOn w:val="TableNormal2"/>
    <w:pPr>
      <w:spacing w:line="240" w:lineRule="auto"/>
    </w:pPr>
    <w:rPr>
      <w:rFonts w:ascii="Cambria" w:eastAsia="Cambria" w:hAnsi="Cambria" w:cs="Cambria"/>
      <w:sz w:val="24"/>
      <w:szCs w:val="24"/>
    </w:rPr>
    <w:tblPr>
      <w:tblStyleRowBandSize w:val="1"/>
      <w:tblStyleColBandSize w:val="1"/>
      <w:tblCellMar>
        <w:left w:w="108" w:type="dxa"/>
        <w:right w:w="108" w:type="dxa"/>
      </w:tblCellMar>
    </w:tblPr>
  </w:style>
  <w:style w:type="character" w:styleId="FootnoteReference">
    <w:name w:val="footnote reference"/>
    <w:aliases w:val="4_G"/>
    <w:uiPriority w:val="3"/>
    <w:qFormat/>
    <w:rsid w:val="00FF0161"/>
    <w:rPr>
      <w:rFonts w:ascii="Times New Roman" w:hAnsi="Times New Roman"/>
      <w:sz w:val="18"/>
      <w:vertAlign w:val="superscript"/>
    </w:rPr>
  </w:style>
  <w:style w:type="paragraph" w:customStyle="1" w:styleId="HChG">
    <w:name w:val="_ H _Ch_G"/>
    <w:basedOn w:val="Normal"/>
    <w:next w:val="Normal"/>
    <w:qFormat/>
    <w:rsid w:val="00FF0161"/>
    <w:pPr>
      <w:keepNext/>
      <w:keepLines/>
      <w:tabs>
        <w:tab w:val="right" w:pos="851"/>
      </w:tabs>
      <w:suppressAutoHyphens/>
      <w:spacing w:before="360" w:after="240" w:line="300" w:lineRule="exact"/>
      <w:ind w:left="1134" w:right="1134" w:hanging="1134"/>
      <w:outlineLvl w:val="1"/>
    </w:pPr>
    <w:rPr>
      <w:rFonts w:ascii="Times New Roman" w:eastAsia="Times New Roman" w:hAnsi="Times New Roman" w:cs="Times New Roman"/>
      <w:b/>
      <w:sz w:val="28"/>
      <w:szCs w:val="20"/>
      <w:lang w:val="es-ES" w:eastAsia="es-ES"/>
    </w:rPr>
  </w:style>
  <w:style w:type="paragraph" w:customStyle="1" w:styleId="H1G">
    <w:name w:val="_ H_1_G"/>
    <w:basedOn w:val="Normal"/>
    <w:next w:val="Normal"/>
    <w:qFormat/>
    <w:rsid w:val="00FF0161"/>
    <w:pPr>
      <w:keepNext/>
      <w:keepLines/>
      <w:tabs>
        <w:tab w:val="right" w:pos="851"/>
      </w:tabs>
      <w:suppressAutoHyphens/>
      <w:spacing w:before="360" w:after="240" w:line="270" w:lineRule="exact"/>
      <w:ind w:left="1134" w:right="1134" w:hanging="1134"/>
      <w:outlineLvl w:val="2"/>
    </w:pPr>
    <w:rPr>
      <w:rFonts w:ascii="Times New Roman" w:eastAsia="Times New Roman" w:hAnsi="Times New Roman" w:cs="Times New Roman"/>
      <w:b/>
      <w:sz w:val="24"/>
      <w:szCs w:val="20"/>
      <w:lang w:val="es-ES" w:eastAsia="es-ES"/>
    </w:rPr>
  </w:style>
  <w:style w:type="paragraph" w:customStyle="1" w:styleId="H4G">
    <w:name w:val="_ H_4_G"/>
    <w:basedOn w:val="Normal"/>
    <w:next w:val="Normal"/>
    <w:qFormat/>
    <w:rsid w:val="00FF0161"/>
    <w:pPr>
      <w:keepNext/>
      <w:keepLines/>
      <w:tabs>
        <w:tab w:val="right" w:pos="851"/>
      </w:tabs>
      <w:suppressAutoHyphens/>
      <w:spacing w:before="240" w:after="120" w:line="240" w:lineRule="exact"/>
      <w:ind w:left="1134" w:right="1134" w:hanging="1134"/>
      <w:outlineLvl w:val="4"/>
    </w:pPr>
    <w:rPr>
      <w:rFonts w:ascii="Times New Roman" w:eastAsia="Times New Roman" w:hAnsi="Times New Roman" w:cs="Times New Roman"/>
      <w:i/>
      <w:sz w:val="20"/>
      <w:szCs w:val="20"/>
      <w:lang w:val="es-ES" w:eastAsia="es-ES"/>
    </w:rPr>
  </w:style>
  <w:style w:type="paragraph" w:customStyle="1" w:styleId="SingleTxtG">
    <w:name w:val="_ Single Txt_G"/>
    <w:basedOn w:val="Normal"/>
    <w:link w:val="SingleTxtGChar"/>
    <w:uiPriority w:val="1"/>
    <w:qFormat/>
    <w:rsid w:val="00FF0161"/>
    <w:pPr>
      <w:tabs>
        <w:tab w:val="left" w:pos="1701"/>
        <w:tab w:val="left" w:pos="2268"/>
        <w:tab w:val="left" w:pos="2835"/>
      </w:tabs>
      <w:spacing w:after="120" w:line="240" w:lineRule="atLeast"/>
      <w:ind w:left="1134" w:right="1134"/>
      <w:jc w:val="both"/>
    </w:pPr>
    <w:rPr>
      <w:rFonts w:ascii="Times New Roman" w:eastAsia="Times New Roman" w:hAnsi="Times New Roman" w:cs="Times New Roman"/>
      <w:sz w:val="20"/>
      <w:szCs w:val="20"/>
      <w:lang w:val="es-ES" w:eastAsia="es-ES"/>
    </w:rPr>
  </w:style>
  <w:style w:type="paragraph" w:styleId="FootnoteText">
    <w:name w:val="footnote text"/>
    <w:aliases w:val="5_G"/>
    <w:basedOn w:val="Normal"/>
    <w:link w:val="FootnoteTextChar"/>
    <w:uiPriority w:val="3"/>
    <w:qFormat/>
    <w:rsid w:val="00FF0161"/>
    <w:pPr>
      <w:tabs>
        <w:tab w:val="right" w:pos="1021"/>
      </w:tabs>
      <w:spacing w:line="220" w:lineRule="exact"/>
      <w:ind w:left="1134" w:right="1134" w:hanging="1134"/>
    </w:pPr>
    <w:rPr>
      <w:rFonts w:ascii="Times New Roman" w:eastAsia="Times New Roman" w:hAnsi="Times New Roman" w:cs="Times New Roman"/>
      <w:sz w:val="18"/>
      <w:szCs w:val="20"/>
      <w:lang w:val="es-ES" w:eastAsia="es-ES"/>
    </w:rPr>
  </w:style>
  <w:style w:type="character" w:customStyle="1" w:styleId="FootnoteTextChar">
    <w:name w:val="Footnote Text Char"/>
    <w:aliases w:val="5_G Char"/>
    <w:basedOn w:val="DefaultParagraphFont"/>
    <w:link w:val="FootnoteText"/>
    <w:uiPriority w:val="3"/>
    <w:rsid w:val="00FF0161"/>
    <w:rPr>
      <w:rFonts w:ascii="Times New Roman" w:eastAsia="Times New Roman" w:hAnsi="Times New Roman" w:cs="Times New Roman"/>
      <w:sz w:val="18"/>
      <w:szCs w:val="20"/>
      <w:lang w:val="es-ES" w:eastAsia="es-ES"/>
    </w:rPr>
  </w:style>
  <w:style w:type="character" w:styleId="Emphasis">
    <w:name w:val="Emphasis"/>
    <w:rsid w:val="00FF0161"/>
    <w:rPr>
      <w:i/>
      <w:iCs/>
    </w:rPr>
  </w:style>
  <w:style w:type="character" w:customStyle="1" w:styleId="SingleTxtGChar">
    <w:name w:val="_ Single Txt_G Char"/>
    <w:link w:val="SingleTxtG"/>
    <w:uiPriority w:val="1"/>
    <w:rsid w:val="00FF0161"/>
    <w:rPr>
      <w:rFonts w:ascii="Times New Roman" w:eastAsia="Times New Roman" w:hAnsi="Times New Roman" w:cs="Times New Roman"/>
      <w:sz w:val="20"/>
      <w:szCs w:val="20"/>
      <w:lang w:val="es-ES" w:eastAsia="es-ES"/>
    </w:rPr>
  </w:style>
  <w:style w:type="character" w:styleId="PageNumber">
    <w:name w:val="page number"/>
    <w:basedOn w:val="DefaultParagraphFont"/>
    <w:uiPriority w:val="99"/>
    <w:semiHidden/>
    <w:unhideWhenUsed/>
    <w:rsid w:val="009A34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3" Type="http://schemas.openxmlformats.org/officeDocument/2006/relationships/hyperlink" Target="https://doi.org/10.3917/riej.075.0115" TargetMode="External"/><Relationship Id="rId2" Type="http://schemas.openxmlformats.org/officeDocument/2006/relationships/hyperlink" Target="https://doi.org/10.1163/187197310X513725" TargetMode="External"/><Relationship Id="rId1" Type="http://schemas.openxmlformats.org/officeDocument/2006/relationships/hyperlink" Target="https://doi.org/10.1163/187197310X51372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w+zOfYqQhu4R7jQCM5lutiyf3Q==">AMUW2mUvfn0Bn+7JbeBAvsa/MjhFjLdDXldguC1eimY6awXAutKURfid0aXH8fOyYxXrBZWplwGks79JNOYaZ7UFZuCcUojkvAz67aulAuZ9ihuFGY1slj8=</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D71C319-12D5-4DDB-B640-A7F9C91FD441}"/>
</file>

<file path=customXml/itemProps3.xml><?xml version="1.0" encoding="utf-8"?>
<ds:datastoreItem xmlns:ds="http://schemas.openxmlformats.org/officeDocument/2006/customXml" ds:itemID="{1EEC7AF5-853C-4A9B-874D-0CDE51C5F371}"/>
</file>

<file path=customXml/itemProps4.xml><?xml version="1.0" encoding="utf-8"?>
<ds:datastoreItem xmlns:ds="http://schemas.openxmlformats.org/officeDocument/2006/customXml" ds:itemID="{334B439E-F7A4-40CB-A25A-C81B5BB26158}"/>
</file>

<file path=docProps/app.xml><?xml version="1.0" encoding="utf-8"?>
<Properties xmlns="http://schemas.openxmlformats.org/officeDocument/2006/extended-properties" xmlns:vt="http://schemas.openxmlformats.org/officeDocument/2006/docPropsVTypes">
  <Template>Normal.dotm</Template>
  <TotalTime>1</TotalTime>
  <Pages>5</Pages>
  <Words>3146</Words>
  <Characters>17938</Characters>
  <Application>Microsoft Office Word</Application>
  <DocSecurity>4</DocSecurity>
  <Lines>149</Lines>
  <Paragraphs>42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aura.rodriguez</dc:creator>
  <cp:lastModifiedBy>KIM Jung Rin</cp:lastModifiedBy>
  <cp:revision>2</cp:revision>
  <dcterms:created xsi:type="dcterms:W3CDTF">2021-08-16T13:31:00Z</dcterms:created>
  <dcterms:modified xsi:type="dcterms:W3CDTF">2021-08-16T13:31:00Z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