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5A6FB" w14:textId="77777777" w:rsidR="00BF18D4" w:rsidRPr="00EF2B6E" w:rsidRDefault="00BF18D4" w:rsidP="00BF18D4">
      <w:pPr>
        <w:spacing w:after="0" w:line="240" w:lineRule="auto"/>
        <w:jc w:val="center"/>
        <w:rPr>
          <w:b/>
          <w:sz w:val="12"/>
          <w:szCs w:val="12"/>
        </w:rPr>
      </w:pPr>
      <w:bookmarkStart w:id="0" w:name="_GoBack"/>
      <w:bookmarkEnd w:id="0"/>
    </w:p>
    <w:p w14:paraId="10D36780" w14:textId="1BFBB4BA" w:rsidR="00E8647A" w:rsidRPr="00EE311A" w:rsidRDefault="001D3F7A" w:rsidP="00BF18D4">
      <w:pPr>
        <w:spacing w:after="0" w:line="240" w:lineRule="auto"/>
        <w:jc w:val="center"/>
        <w:rPr>
          <w:b/>
          <w:color w:val="1F3864" w:themeColor="accent1" w:themeShade="80"/>
          <w:sz w:val="28"/>
          <w:szCs w:val="28"/>
        </w:rPr>
      </w:pPr>
      <w:r w:rsidRPr="00EE311A">
        <w:rPr>
          <w:b/>
          <w:color w:val="1F3864" w:themeColor="accent1" w:themeShade="80"/>
          <w:sz w:val="28"/>
          <w:szCs w:val="28"/>
        </w:rPr>
        <w:t xml:space="preserve">General </w:t>
      </w:r>
      <w:r w:rsidR="00EE311A">
        <w:rPr>
          <w:b/>
          <w:color w:val="1F3864" w:themeColor="accent1" w:themeShade="80"/>
          <w:sz w:val="28"/>
          <w:szCs w:val="28"/>
        </w:rPr>
        <w:t>C</w:t>
      </w:r>
      <w:r w:rsidRPr="00EE311A">
        <w:rPr>
          <w:b/>
          <w:color w:val="1F3864" w:themeColor="accent1" w:themeShade="80"/>
          <w:sz w:val="28"/>
          <w:szCs w:val="28"/>
        </w:rPr>
        <w:t xml:space="preserve">omment No. 26 (2021) on </w:t>
      </w:r>
    </w:p>
    <w:p w14:paraId="00000004" w14:textId="54985474" w:rsidR="0070320F" w:rsidRPr="00EE311A" w:rsidRDefault="00E8647A" w:rsidP="00BF18D4">
      <w:pPr>
        <w:spacing w:after="0" w:line="240" w:lineRule="auto"/>
        <w:jc w:val="center"/>
        <w:rPr>
          <w:b/>
          <w:color w:val="1F3864" w:themeColor="accent1" w:themeShade="80"/>
          <w:sz w:val="28"/>
          <w:szCs w:val="28"/>
        </w:rPr>
      </w:pPr>
      <w:r w:rsidRPr="00EE311A">
        <w:rPr>
          <w:b/>
          <w:color w:val="1F3864" w:themeColor="accent1" w:themeShade="80"/>
          <w:sz w:val="28"/>
          <w:szCs w:val="28"/>
        </w:rPr>
        <w:t>L</w:t>
      </w:r>
      <w:r w:rsidR="001D3F7A" w:rsidRPr="00EE311A">
        <w:rPr>
          <w:b/>
          <w:color w:val="1F3864" w:themeColor="accent1" w:themeShade="80"/>
          <w:sz w:val="28"/>
          <w:szCs w:val="28"/>
        </w:rPr>
        <w:t>and and economic, social and cultural rights</w:t>
      </w:r>
      <w:r w:rsidRPr="00EE311A">
        <w:rPr>
          <w:b/>
          <w:color w:val="1F3864" w:themeColor="accent1" w:themeShade="80"/>
          <w:sz w:val="28"/>
          <w:szCs w:val="28"/>
        </w:rPr>
        <w:t>:</w:t>
      </w:r>
    </w:p>
    <w:p w14:paraId="00000005" w14:textId="77777777" w:rsidR="0070320F" w:rsidRPr="00EE311A" w:rsidRDefault="001D3F7A">
      <w:pPr>
        <w:spacing w:after="0" w:line="240" w:lineRule="auto"/>
        <w:jc w:val="center"/>
        <w:rPr>
          <w:b/>
          <w:color w:val="1F3864" w:themeColor="accent1" w:themeShade="80"/>
          <w:sz w:val="28"/>
          <w:szCs w:val="28"/>
        </w:rPr>
      </w:pPr>
      <w:r w:rsidRPr="00EE311A">
        <w:rPr>
          <w:b/>
          <w:color w:val="1F3864" w:themeColor="accent1" w:themeShade="80"/>
          <w:sz w:val="28"/>
          <w:szCs w:val="28"/>
        </w:rPr>
        <w:t>Input highlighting the context of land rights in Southern Africa</w:t>
      </w:r>
    </w:p>
    <w:p w14:paraId="00000006" w14:textId="77777777" w:rsidR="0070320F" w:rsidRPr="00EE311A" w:rsidRDefault="0070320F">
      <w:pPr>
        <w:spacing w:after="0" w:line="240" w:lineRule="auto"/>
        <w:jc w:val="both"/>
        <w:rPr>
          <w:b/>
          <w:color w:val="1F3864" w:themeColor="accent1" w:themeShade="80"/>
          <w:sz w:val="12"/>
          <w:szCs w:val="12"/>
        </w:rPr>
      </w:pPr>
    </w:p>
    <w:p w14:paraId="00000007" w14:textId="77777777" w:rsidR="0070320F" w:rsidRPr="00EE311A" w:rsidRDefault="001D3F7A">
      <w:pPr>
        <w:spacing w:after="0" w:line="240" w:lineRule="auto"/>
        <w:jc w:val="center"/>
        <w:rPr>
          <w:b/>
          <w:color w:val="1F3864" w:themeColor="accent1" w:themeShade="80"/>
          <w:sz w:val="28"/>
          <w:szCs w:val="28"/>
        </w:rPr>
      </w:pPr>
      <w:r w:rsidRPr="00EE311A">
        <w:rPr>
          <w:b/>
          <w:color w:val="1F3864" w:themeColor="accent1" w:themeShade="80"/>
          <w:sz w:val="28"/>
          <w:szCs w:val="28"/>
        </w:rPr>
        <w:t>Submission by</w:t>
      </w:r>
    </w:p>
    <w:p w14:paraId="00000008" w14:textId="77777777" w:rsidR="0070320F" w:rsidRPr="00EE311A" w:rsidRDefault="0070320F">
      <w:pPr>
        <w:spacing w:after="0" w:line="240" w:lineRule="auto"/>
        <w:jc w:val="both"/>
        <w:rPr>
          <w:b/>
          <w:color w:val="1F3864" w:themeColor="accent1" w:themeShade="80"/>
          <w:sz w:val="12"/>
          <w:szCs w:val="12"/>
        </w:rPr>
      </w:pPr>
    </w:p>
    <w:p w14:paraId="0000000B" w14:textId="3DF6472F" w:rsidR="0070320F" w:rsidRPr="00EE311A" w:rsidRDefault="001D3F7A" w:rsidP="00EF2B6E">
      <w:pPr>
        <w:spacing w:after="0" w:line="276" w:lineRule="auto"/>
        <w:jc w:val="center"/>
        <w:rPr>
          <w:b/>
          <w:color w:val="1F3864" w:themeColor="accent1" w:themeShade="80"/>
          <w:sz w:val="28"/>
          <w:szCs w:val="28"/>
        </w:rPr>
      </w:pPr>
      <w:r w:rsidRPr="00EE311A">
        <w:rPr>
          <w:b/>
          <w:color w:val="1F3864" w:themeColor="accent1" w:themeShade="80"/>
          <w:sz w:val="28"/>
          <w:szCs w:val="28"/>
        </w:rPr>
        <w:t>Zimbabwe Lawyers for Human Rights</w:t>
      </w:r>
      <w:r w:rsidR="00EF2B6E" w:rsidRPr="00EE311A">
        <w:rPr>
          <w:b/>
          <w:color w:val="1F3864" w:themeColor="accent1" w:themeShade="80"/>
          <w:sz w:val="28"/>
          <w:szCs w:val="28"/>
        </w:rPr>
        <w:t xml:space="preserve"> </w:t>
      </w:r>
      <w:r w:rsidRPr="00EE311A">
        <w:rPr>
          <w:b/>
          <w:color w:val="1F3864" w:themeColor="accent1" w:themeShade="80"/>
          <w:sz w:val="28"/>
          <w:szCs w:val="28"/>
        </w:rPr>
        <w:t>&amp;</w:t>
      </w:r>
      <w:r w:rsidR="00EF2B6E" w:rsidRPr="00EE311A">
        <w:rPr>
          <w:b/>
          <w:color w:val="1F3864" w:themeColor="accent1" w:themeShade="80"/>
          <w:sz w:val="28"/>
          <w:szCs w:val="28"/>
        </w:rPr>
        <w:t xml:space="preserve"> </w:t>
      </w:r>
      <w:r w:rsidRPr="00EE311A">
        <w:rPr>
          <w:b/>
          <w:color w:val="1F3864" w:themeColor="accent1" w:themeShade="80"/>
          <w:sz w:val="28"/>
          <w:szCs w:val="28"/>
        </w:rPr>
        <w:t>The Southern Africa Litigation Centre</w:t>
      </w:r>
    </w:p>
    <w:p w14:paraId="0000000C" w14:textId="77777777" w:rsidR="0070320F" w:rsidRDefault="0070320F">
      <w:pPr>
        <w:spacing w:after="0" w:line="240" w:lineRule="auto"/>
        <w:jc w:val="both"/>
        <w:rPr>
          <w:b/>
          <w:color w:val="000000"/>
          <w:sz w:val="24"/>
          <w:szCs w:val="24"/>
        </w:rPr>
      </w:pPr>
    </w:p>
    <w:p w14:paraId="0000000D" w14:textId="77777777" w:rsidR="0070320F" w:rsidRDefault="001D3F7A">
      <w:pPr>
        <w:spacing w:after="0" w:line="240" w:lineRule="auto"/>
        <w:jc w:val="both"/>
        <w:rPr>
          <w:rFonts w:ascii="Times New Roman" w:eastAsia="Times New Roman" w:hAnsi="Times New Roman" w:cs="Times New Roman"/>
          <w:sz w:val="24"/>
          <w:szCs w:val="24"/>
        </w:rPr>
      </w:pPr>
      <w:r>
        <w:rPr>
          <w:b/>
          <w:color w:val="000000"/>
          <w:sz w:val="24"/>
          <w:szCs w:val="24"/>
        </w:rPr>
        <w:t xml:space="preserve">Zimbabwe Lawyers for Human Rights (ZLHR) </w:t>
      </w:r>
      <w:r>
        <w:rPr>
          <w:color w:val="000000"/>
          <w:sz w:val="24"/>
          <w:szCs w:val="24"/>
        </w:rPr>
        <w:t>is a not for profit law-based human rights organisation, established in 1996, whose core objective is to foster a culture of human rights, equality and respect for the rule of law in Zimbabwe. ZLHR’s secretariat and member lawyers provide legal defen</w:t>
      </w:r>
      <w:r>
        <w:rPr>
          <w:sz w:val="24"/>
          <w:szCs w:val="24"/>
        </w:rPr>
        <w:t>c</w:t>
      </w:r>
      <w:r>
        <w:rPr>
          <w:color w:val="000000"/>
          <w:sz w:val="24"/>
          <w:szCs w:val="24"/>
        </w:rPr>
        <w:t>e support to human rights defenders, and conduct strategic impact litigation, training, research and advocacy, in all areas of human rights law.</w:t>
      </w:r>
    </w:p>
    <w:p w14:paraId="0000000E" w14:textId="77777777" w:rsidR="0070320F" w:rsidRPr="00E8647A" w:rsidRDefault="0070320F">
      <w:pPr>
        <w:spacing w:after="0" w:line="240" w:lineRule="auto"/>
        <w:jc w:val="both"/>
        <w:rPr>
          <w:rFonts w:ascii="Times New Roman" w:eastAsia="Times New Roman" w:hAnsi="Times New Roman" w:cs="Times New Roman"/>
          <w:sz w:val="12"/>
          <w:szCs w:val="12"/>
        </w:rPr>
      </w:pPr>
    </w:p>
    <w:p w14:paraId="59E09BC0" w14:textId="3E106E08" w:rsidR="00E8647A" w:rsidRDefault="001D3F7A">
      <w:pPr>
        <w:spacing w:line="240" w:lineRule="auto"/>
        <w:jc w:val="both"/>
        <w:rPr>
          <w:color w:val="000000"/>
          <w:sz w:val="24"/>
          <w:szCs w:val="24"/>
        </w:rPr>
      </w:pPr>
      <w:r>
        <w:rPr>
          <w:b/>
          <w:color w:val="000000"/>
          <w:sz w:val="24"/>
          <w:szCs w:val="24"/>
        </w:rPr>
        <w:t xml:space="preserve">The Southern Africa Litigation Centre (SALC) </w:t>
      </w:r>
      <w:r>
        <w:rPr>
          <w:color w:val="000000"/>
          <w:sz w:val="24"/>
          <w:szCs w:val="24"/>
        </w:rPr>
        <w:t>is a regional non-governmental organisation which was established in 2005. SALC promotes and advances human rights and the rule of law in Southern Africa, primarily through strategic litigation support.</w:t>
      </w:r>
    </w:p>
    <w:p w14:paraId="1759FAF5" w14:textId="77777777" w:rsidR="00321017" w:rsidRPr="00321017" w:rsidRDefault="00321017">
      <w:pPr>
        <w:spacing w:line="240" w:lineRule="auto"/>
        <w:jc w:val="both"/>
        <w:rPr>
          <w:color w:val="000000"/>
          <w:sz w:val="6"/>
          <w:szCs w:val="6"/>
        </w:rPr>
      </w:pPr>
    </w:p>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20"/>
      </w:tblGrid>
      <w:tr w:rsidR="005824EA" w14:paraId="37EB0918" w14:textId="6F1C4605" w:rsidTr="00321017">
        <w:trPr>
          <w:trHeight w:val="2651"/>
        </w:trPr>
        <w:tc>
          <w:tcPr>
            <w:tcW w:w="4531" w:type="dxa"/>
          </w:tcPr>
          <w:p w14:paraId="00000010" w14:textId="707EE185" w:rsidR="005824EA" w:rsidRDefault="005824EA">
            <w:pPr>
              <w:jc w:val="both"/>
              <w:rPr>
                <w:b/>
                <w:color w:val="000000"/>
                <w:sz w:val="24"/>
                <w:szCs w:val="24"/>
              </w:rPr>
            </w:pPr>
            <w:r>
              <w:rPr>
                <w:b/>
                <w:sz w:val="24"/>
                <w:szCs w:val="24"/>
              </w:rPr>
              <w:t xml:space="preserve">Zimbabwe Lawyers for Human Rights </w:t>
            </w:r>
            <w:r w:rsidR="00321017">
              <w:rPr>
                <w:b/>
                <w:sz w:val="24"/>
                <w:szCs w:val="24"/>
              </w:rPr>
              <w:t>(ZLHR)</w:t>
            </w:r>
          </w:p>
          <w:p w14:paraId="00000011" w14:textId="76D56192" w:rsidR="005824EA" w:rsidRDefault="005824EA">
            <w:pPr>
              <w:jc w:val="both"/>
              <w:rPr>
                <w:rFonts w:ascii="Times New Roman" w:eastAsia="Times New Roman" w:hAnsi="Times New Roman" w:cs="Times New Roman"/>
                <w:sz w:val="24"/>
                <w:szCs w:val="24"/>
              </w:rPr>
            </w:pPr>
            <w:r>
              <w:rPr>
                <w:b/>
                <w:color w:val="000000"/>
                <w:sz w:val="24"/>
                <w:szCs w:val="24"/>
              </w:rPr>
              <w:t>Contact Information</w:t>
            </w:r>
            <w:r w:rsidR="00E8647A">
              <w:rPr>
                <w:b/>
                <w:color w:val="000000"/>
                <w:sz w:val="24"/>
                <w:szCs w:val="24"/>
              </w:rPr>
              <w:t>:</w:t>
            </w:r>
          </w:p>
          <w:p w14:paraId="00000012" w14:textId="77777777" w:rsidR="005824EA" w:rsidRDefault="005824EA">
            <w:pPr>
              <w:jc w:val="both"/>
              <w:rPr>
                <w:color w:val="000000"/>
                <w:sz w:val="24"/>
                <w:szCs w:val="24"/>
              </w:rPr>
            </w:pPr>
            <w:r>
              <w:rPr>
                <w:color w:val="000000"/>
                <w:sz w:val="24"/>
                <w:szCs w:val="24"/>
              </w:rPr>
              <w:t>Kodzero-Amalungelo House,</w:t>
            </w:r>
          </w:p>
          <w:p w14:paraId="00000013" w14:textId="77777777" w:rsidR="005824EA" w:rsidRDefault="005824EA">
            <w:pPr>
              <w:jc w:val="both"/>
              <w:rPr>
                <w:color w:val="000000"/>
                <w:sz w:val="24"/>
                <w:szCs w:val="24"/>
              </w:rPr>
            </w:pPr>
            <w:r>
              <w:rPr>
                <w:color w:val="000000"/>
                <w:sz w:val="24"/>
                <w:szCs w:val="24"/>
              </w:rPr>
              <w:t>103 Sam Nujoma Street,</w:t>
            </w:r>
          </w:p>
          <w:p w14:paraId="00000014" w14:textId="77777777" w:rsidR="005824EA" w:rsidRDefault="005824EA">
            <w:pPr>
              <w:jc w:val="both"/>
              <w:rPr>
                <w:color w:val="000000"/>
                <w:sz w:val="24"/>
                <w:szCs w:val="24"/>
              </w:rPr>
            </w:pPr>
            <w:r>
              <w:rPr>
                <w:color w:val="000000"/>
                <w:sz w:val="24"/>
                <w:szCs w:val="24"/>
              </w:rPr>
              <w:t>Harare, Zimbabwe</w:t>
            </w:r>
          </w:p>
          <w:p w14:paraId="00000017" w14:textId="65C9354F" w:rsidR="005824EA" w:rsidRPr="00EE311A" w:rsidRDefault="005824EA">
            <w:pPr>
              <w:jc w:val="both"/>
              <w:rPr>
                <w:color w:val="0563C1"/>
                <w:sz w:val="24"/>
                <w:szCs w:val="24"/>
              </w:rPr>
            </w:pPr>
            <w:r w:rsidRPr="00A84C4D">
              <w:rPr>
                <w:bCs/>
                <w:color w:val="000000"/>
                <w:sz w:val="24"/>
                <w:szCs w:val="24"/>
              </w:rPr>
              <w:t>E</w:t>
            </w:r>
            <w:r>
              <w:rPr>
                <w:b/>
                <w:color w:val="000000"/>
                <w:sz w:val="24"/>
                <w:szCs w:val="24"/>
              </w:rPr>
              <w:t xml:space="preserve">: </w:t>
            </w:r>
            <w:r>
              <w:rPr>
                <w:color w:val="0563C1"/>
                <w:sz w:val="24"/>
                <w:szCs w:val="24"/>
              </w:rPr>
              <w:t>fiona.iliff@zlhr.org</w:t>
            </w:r>
            <w:r>
              <w:rPr>
                <w:rFonts w:ascii="Times New Roman" w:eastAsia="Times New Roman" w:hAnsi="Times New Roman" w:cs="Times New Roman"/>
                <w:sz w:val="24"/>
                <w:szCs w:val="24"/>
              </w:rPr>
              <w:t>/</w:t>
            </w:r>
            <w:hyperlink r:id="rId9" w:history="1">
              <w:r w:rsidRPr="00684F31">
                <w:rPr>
                  <w:rStyle w:val="Hyperlink"/>
                  <w:sz w:val="24"/>
                  <w:szCs w:val="24"/>
                </w:rPr>
                <w:t>rose.hanzi@zlhr.org</w:t>
              </w:r>
            </w:hyperlink>
          </w:p>
          <w:p w14:paraId="00000018" w14:textId="00A559F7" w:rsidR="005824EA" w:rsidRPr="004A7894" w:rsidRDefault="00FC4023" w:rsidP="004A7894">
            <w:pPr>
              <w:jc w:val="both"/>
              <w:rPr>
                <w:rFonts w:ascii="Times New Roman" w:eastAsia="Times New Roman" w:hAnsi="Times New Roman" w:cs="Times New Roman"/>
                <w:sz w:val="24"/>
                <w:szCs w:val="24"/>
              </w:rPr>
            </w:pPr>
            <w:hyperlink r:id="rId10" w:history="1">
              <w:r w:rsidR="005824EA" w:rsidRPr="00684F31">
                <w:rPr>
                  <w:rStyle w:val="Hyperlink"/>
                  <w:sz w:val="24"/>
                  <w:szCs w:val="24"/>
                </w:rPr>
                <w:t>www.zlhr.org</w:t>
              </w:r>
            </w:hyperlink>
          </w:p>
        </w:tc>
        <w:tc>
          <w:tcPr>
            <w:tcW w:w="4820" w:type="dxa"/>
          </w:tcPr>
          <w:p w14:paraId="5B089CF7" w14:textId="01282BB3" w:rsidR="005824EA" w:rsidRDefault="005824EA" w:rsidP="005824EA">
            <w:pPr>
              <w:jc w:val="both"/>
              <w:rPr>
                <w:b/>
                <w:color w:val="000000"/>
                <w:sz w:val="24"/>
                <w:szCs w:val="24"/>
              </w:rPr>
            </w:pPr>
            <w:r>
              <w:rPr>
                <w:b/>
                <w:sz w:val="24"/>
                <w:szCs w:val="24"/>
              </w:rPr>
              <w:t xml:space="preserve">The Southern Africa Litigation Centre </w:t>
            </w:r>
            <w:r w:rsidR="00321017">
              <w:rPr>
                <w:b/>
                <w:sz w:val="24"/>
                <w:szCs w:val="24"/>
              </w:rPr>
              <w:t>(SALC)</w:t>
            </w:r>
          </w:p>
          <w:p w14:paraId="747A9568" w14:textId="77777777" w:rsidR="005824EA" w:rsidRDefault="005824EA" w:rsidP="005824EA">
            <w:pPr>
              <w:jc w:val="both"/>
              <w:rPr>
                <w:rFonts w:ascii="Times New Roman" w:eastAsia="Times New Roman" w:hAnsi="Times New Roman" w:cs="Times New Roman"/>
                <w:sz w:val="24"/>
                <w:szCs w:val="24"/>
              </w:rPr>
            </w:pPr>
            <w:r>
              <w:rPr>
                <w:b/>
                <w:color w:val="000000"/>
                <w:sz w:val="24"/>
                <w:szCs w:val="24"/>
              </w:rPr>
              <w:t>Contact Information:</w:t>
            </w:r>
          </w:p>
          <w:p w14:paraId="67C97341" w14:textId="77777777" w:rsidR="005824EA" w:rsidRDefault="005824EA" w:rsidP="005824EA">
            <w:pPr>
              <w:jc w:val="both"/>
              <w:rPr>
                <w:color w:val="000000"/>
                <w:sz w:val="24"/>
                <w:szCs w:val="24"/>
              </w:rPr>
            </w:pPr>
            <w:r>
              <w:rPr>
                <w:color w:val="000000"/>
                <w:sz w:val="24"/>
                <w:szCs w:val="24"/>
              </w:rPr>
              <w:t xml:space="preserve">1 Hood Avenue, Rosebank, 2196, Johannesburg, </w:t>
            </w:r>
          </w:p>
          <w:p w14:paraId="1DC2A348" w14:textId="165C2378" w:rsidR="005824EA" w:rsidRDefault="005824EA" w:rsidP="005824EA">
            <w:pPr>
              <w:jc w:val="both"/>
              <w:rPr>
                <w:rFonts w:ascii="Times New Roman" w:eastAsia="Times New Roman" w:hAnsi="Times New Roman" w:cs="Times New Roman"/>
                <w:sz w:val="24"/>
                <w:szCs w:val="24"/>
              </w:rPr>
            </w:pPr>
            <w:r>
              <w:rPr>
                <w:color w:val="000000"/>
                <w:sz w:val="24"/>
                <w:szCs w:val="24"/>
              </w:rPr>
              <w:t>South Africa</w:t>
            </w:r>
          </w:p>
          <w:p w14:paraId="4EFEB53B" w14:textId="77777777" w:rsidR="005824EA" w:rsidRDefault="005824EA" w:rsidP="005824EA">
            <w:pPr>
              <w:ind w:left="-24"/>
              <w:jc w:val="both"/>
              <w:rPr>
                <w:rFonts w:ascii="Times New Roman" w:eastAsia="Times New Roman" w:hAnsi="Times New Roman" w:cs="Times New Roman"/>
                <w:sz w:val="24"/>
                <w:szCs w:val="24"/>
              </w:rPr>
            </w:pPr>
            <w:r>
              <w:rPr>
                <w:color w:val="000000"/>
                <w:sz w:val="24"/>
                <w:szCs w:val="24"/>
              </w:rPr>
              <w:t>PO Box 52250 Saxonwold 2132 South Africa</w:t>
            </w:r>
          </w:p>
          <w:p w14:paraId="48183A2A" w14:textId="77777777" w:rsidR="00BF18D4" w:rsidRDefault="00BF18D4" w:rsidP="005824EA">
            <w:pPr>
              <w:ind w:left="-24"/>
              <w:jc w:val="both"/>
              <w:rPr>
                <w:color w:val="000000"/>
                <w:sz w:val="24"/>
                <w:szCs w:val="24"/>
              </w:rPr>
            </w:pPr>
            <w:r>
              <w:rPr>
                <w:color w:val="000000"/>
                <w:sz w:val="24"/>
                <w:szCs w:val="24"/>
              </w:rPr>
              <w:t>NPO 138-655</w:t>
            </w:r>
          </w:p>
          <w:p w14:paraId="1C7B7B7E" w14:textId="46DA342C" w:rsidR="005824EA" w:rsidRDefault="005824EA" w:rsidP="005824EA">
            <w:pPr>
              <w:ind w:left="-24"/>
              <w:jc w:val="both"/>
              <w:rPr>
                <w:color w:val="000000"/>
                <w:sz w:val="24"/>
                <w:szCs w:val="24"/>
              </w:rPr>
            </w:pPr>
            <w:r>
              <w:rPr>
                <w:color w:val="000000"/>
                <w:sz w:val="24"/>
                <w:szCs w:val="24"/>
              </w:rPr>
              <w:t xml:space="preserve">E: </w:t>
            </w:r>
            <w:hyperlink r:id="rId11" w:history="1">
              <w:r w:rsidR="00EE311A" w:rsidRPr="00516888">
                <w:rPr>
                  <w:rStyle w:val="Hyperlink"/>
                  <w:sz w:val="24"/>
                  <w:szCs w:val="24"/>
                </w:rPr>
                <w:t>annekem@salc.org.za</w:t>
              </w:r>
            </w:hyperlink>
          </w:p>
          <w:p w14:paraId="49C37A76" w14:textId="77777777" w:rsidR="005824EA" w:rsidRDefault="00FC4023">
            <w:pPr>
              <w:jc w:val="both"/>
              <w:rPr>
                <w:sz w:val="24"/>
                <w:szCs w:val="24"/>
              </w:rPr>
            </w:pPr>
            <w:hyperlink r:id="rId12" w:history="1">
              <w:r w:rsidR="00EE311A" w:rsidRPr="00516888">
                <w:rPr>
                  <w:rStyle w:val="Hyperlink"/>
                  <w:sz w:val="24"/>
                  <w:szCs w:val="24"/>
                </w:rPr>
                <w:t>www.southernafricalitigationcentre.org</w:t>
              </w:r>
            </w:hyperlink>
          </w:p>
          <w:p w14:paraId="2AB726E8" w14:textId="4B9C645F" w:rsidR="00321017" w:rsidRPr="00321017" w:rsidRDefault="00321017">
            <w:pPr>
              <w:jc w:val="both"/>
              <w:rPr>
                <w:rFonts w:ascii="Times New Roman" w:eastAsia="Times New Roman" w:hAnsi="Times New Roman" w:cs="Times New Roman"/>
                <w:sz w:val="6"/>
                <w:szCs w:val="6"/>
              </w:rPr>
            </w:pPr>
          </w:p>
        </w:tc>
      </w:tr>
    </w:tbl>
    <w:p w14:paraId="34B9F27D" w14:textId="77777777" w:rsidR="004A7894" w:rsidRPr="00E8647A" w:rsidRDefault="004A7894">
      <w:pPr>
        <w:rPr>
          <w:sz w:val="12"/>
          <w:szCs w:val="12"/>
        </w:rPr>
      </w:pPr>
    </w:p>
    <w:p w14:paraId="00000023" w14:textId="77777777" w:rsidR="0070320F" w:rsidRDefault="001D3F7A" w:rsidP="00BF18D4">
      <w:pPr>
        <w:numPr>
          <w:ilvl w:val="0"/>
          <w:numId w:val="1"/>
        </w:numPr>
        <w:ind w:left="714" w:hanging="357"/>
        <w:rPr>
          <w:rFonts w:ascii="Calibri Light" w:eastAsia="Calibri Light" w:hAnsi="Calibri Light" w:cs="Calibri Light"/>
          <w:color w:val="2F5496"/>
          <w:sz w:val="32"/>
          <w:szCs w:val="32"/>
        </w:rPr>
      </w:pPr>
      <w:r>
        <w:rPr>
          <w:rFonts w:ascii="Calibri Light" w:eastAsia="Calibri Light" w:hAnsi="Calibri Light" w:cs="Calibri Light"/>
          <w:color w:val="2F5496"/>
          <w:sz w:val="32"/>
          <w:szCs w:val="32"/>
        </w:rPr>
        <w:t>Introduction</w:t>
      </w:r>
    </w:p>
    <w:p w14:paraId="00000024" w14:textId="50CA0E8E" w:rsidR="0070320F" w:rsidRPr="00522F39" w:rsidRDefault="00A84C4D" w:rsidP="00A84C4D">
      <w:pPr>
        <w:spacing w:after="240" w:line="276" w:lineRule="auto"/>
        <w:jc w:val="both"/>
      </w:pPr>
      <w:r w:rsidRPr="00522F39">
        <w:lastRenderedPageBreak/>
        <w:t>This submission highlights</w:t>
      </w:r>
      <w:r w:rsidR="00903C77">
        <w:t xml:space="preserve"> </w:t>
      </w:r>
      <w:r w:rsidR="008E60DE">
        <w:t xml:space="preserve">context-specific </w:t>
      </w:r>
      <w:r w:rsidR="00903C77">
        <w:t>land rights</w:t>
      </w:r>
      <w:r w:rsidRPr="00522F39">
        <w:t xml:space="preserve"> issues</w:t>
      </w:r>
      <w:r w:rsidR="00903C77">
        <w:t xml:space="preserve"> in Southern Africa</w:t>
      </w:r>
      <w:r w:rsidR="00E8647A">
        <w:t>,</w:t>
      </w:r>
      <w:r w:rsidR="00BF18D4">
        <w:t xml:space="preserve"> of</w:t>
      </w:r>
      <w:r w:rsidRPr="00522F39">
        <w:t xml:space="preserve"> historical injustices, </w:t>
      </w:r>
      <w:r w:rsidR="00903C77">
        <w:t xml:space="preserve">multiple-form </w:t>
      </w:r>
      <w:r w:rsidRPr="00522F39">
        <w:t>land tenure systems, displacements, women</w:t>
      </w:r>
      <w:r w:rsidR="00B749D8" w:rsidRPr="00522F39">
        <w:t>’s</w:t>
      </w:r>
      <w:r w:rsidRPr="00522F39">
        <w:t xml:space="preserve"> land and prope</w:t>
      </w:r>
      <w:r w:rsidR="00B749D8" w:rsidRPr="00522F39">
        <w:t>r</w:t>
      </w:r>
      <w:r w:rsidRPr="00522F39">
        <w:t>ty</w:t>
      </w:r>
      <w:r w:rsidR="00B749D8" w:rsidRPr="00522F39">
        <w:t xml:space="preserve"> rights,</w:t>
      </w:r>
      <w:r w:rsidRPr="00522F39">
        <w:t xml:space="preserve"> </w:t>
      </w:r>
      <w:r w:rsidR="00B214C0" w:rsidRPr="00522F39">
        <w:t>and</w:t>
      </w:r>
      <w:r w:rsidR="008E60DE">
        <w:t xml:space="preserve"> the need for</w:t>
      </w:r>
      <w:r w:rsidRPr="00522F39">
        <w:t xml:space="preserve"> sustainable use of natural resources</w:t>
      </w:r>
      <w:r w:rsidR="00E8647A">
        <w:t>,</w:t>
      </w:r>
      <w:r w:rsidR="00E8647A" w:rsidRPr="00E8647A">
        <w:t xml:space="preserve"> </w:t>
      </w:r>
      <w:r w:rsidR="00E8647A">
        <w:t>that ZLHR and SALC recommend be highlighted in General Comment No. 26</w:t>
      </w:r>
      <w:r w:rsidR="00903C77">
        <w:t>.</w:t>
      </w:r>
    </w:p>
    <w:p w14:paraId="00000025" w14:textId="67882A35" w:rsidR="0070320F" w:rsidRDefault="001D3F7A" w:rsidP="00E8647A">
      <w:pPr>
        <w:pStyle w:val="Heading1"/>
        <w:numPr>
          <w:ilvl w:val="0"/>
          <w:numId w:val="1"/>
        </w:numPr>
        <w:spacing w:after="160"/>
        <w:ind w:left="714" w:hanging="357"/>
      </w:pPr>
      <w:r>
        <w:t>Past Injustices, Structural Inequalities, and Preventing Conflict</w:t>
      </w:r>
    </w:p>
    <w:p w14:paraId="0000002C" w14:textId="729D38D9" w:rsidR="0070320F" w:rsidRDefault="001D3F7A" w:rsidP="00D473DB">
      <w:pPr>
        <w:spacing w:line="256" w:lineRule="auto"/>
        <w:jc w:val="both"/>
      </w:pPr>
      <w:bookmarkStart w:id="1" w:name="_heading=h.d1xsndsy3v92" w:colFirst="0" w:colLast="0"/>
      <w:bookmarkEnd w:id="1"/>
      <w:r>
        <w:t xml:space="preserve">Paragraphs 3, 34, 35, 45, 47 and 48 of the </w:t>
      </w:r>
      <w:r w:rsidR="00DF2AC8">
        <w:t>D</w:t>
      </w:r>
      <w:r>
        <w:t>raft General Comment refer to reparations and transitional justice processes relating to land to some extent, but these could be further expanded upon in terms of established soft law principles</w:t>
      </w:r>
      <w:r w:rsidR="00EB7ED5">
        <w:t>.</w:t>
      </w:r>
      <w:r>
        <w:rPr>
          <w:vertAlign w:val="superscript"/>
        </w:rPr>
        <w:footnoteReference w:id="1"/>
      </w:r>
      <w:r>
        <w:t xml:space="preserve"> This aspect is critical to redress ongoing conflict and tensions in post-colonial countries in Sub-Saharan Africa, due to the legacy of unequal and racially discriminatory distribution of land and urban planning from the colonial and apartheid regimes.</w:t>
      </w:r>
      <w:r w:rsidR="00D54729">
        <w:t xml:space="preserve"> </w:t>
      </w:r>
      <w:r w:rsidR="00522F39">
        <w:t>For example</w:t>
      </w:r>
      <w:r w:rsidR="008E60DE">
        <w:t>,</w:t>
      </w:r>
      <w:r w:rsidR="00522F39">
        <w:t xml:space="preserve"> t</w:t>
      </w:r>
      <w:r>
        <w:t>he colonial regime in former Rhodesia, now Zimbabwe, evicted all indigenous people off their productive arable ancestral lands to ‘Native Reserves’, later known as ‘Tribal Trust Land’</w:t>
      </w:r>
      <w:r w:rsidR="008A5E59">
        <w:t>.</w:t>
      </w:r>
      <w:r>
        <w:rPr>
          <w:vertAlign w:val="superscript"/>
        </w:rPr>
        <w:footnoteReference w:id="2"/>
      </w:r>
      <w:r>
        <w:t xml:space="preserve"> Since independence in 1980,  these </w:t>
      </w:r>
      <w:r>
        <w:lastRenderedPageBreak/>
        <w:t xml:space="preserve">areas have been regulated </w:t>
      </w:r>
      <w:r w:rsidR="00B214C0">
        <w:t>by</w:t>
      </w:r>
      <w:r>
        <w:t xml:space="preserve"> the Communal Lands Act [Chapter 20:04]</w:t>
      </w:r>
      <w:r w:rsidR="008A5E59">
        <w:t>.</w:t>
      </w:r>
      <w:r>
        <w:rPr>
          <w:vertAlign w:val="superscript"/>
        </w:rPr>
        <w:footnoteReference w:id="3"/>
      </w:r>
      <w:r>
        <w:t xml:space="preserve"> While the Act recognises customary law and communal ownership of these lands, in reality the lands are still owned by the </w:t>
      </w:r>
      <w:r w:rsidR="00DF2AC8">
        <w:t>state</w:t>
      </w:r>
      <w:r>
        <w:t>, and administered by the Rural District Councils in consultation with traditional leaders. The land users have very limited security of tenure rights, as discussed below.</w:t>
      </w:r>
      <w:r w:rsidR="00D473DB">
        <w:t xml:space="preserve"> </w:t>
      </w:r>
      <w:r w:rsidR="00BD6F1B">
        <w:t>Post-independence, p</w:t>
      </w:r>
      <w:r>
        <w:t>olitical elites have disproportionately benefited from the land reform process</w:t>
      </w:r>
      <w:r w:rsidR="00BF18D4">
        <w:t>es</w:t>
      </w:r>
      <w:r>
        <w:t xml:space="preserve"> while rural agrarian communities and former farm workers, who could have benefitted and used the land productively, have largely been excluded.</w:t>
      </w:r>
    </w:p>
    <w:p w14:paraId="33C14CC8" w14:textId="6220486C" w:rsidR="00B749D8" w:rsidRDefault="001D3F7A" w:rsidP="00BF18D4">
      <w:pPr>
        <w:pStyle w:val="Heading1"/>
        <w:numPr>
          <w:ilvl w:val="0"/>
          <w:numId w:val="1"/>
        </w:numPr>
        <w:spacing w:after="160"/>
        <w:ind w:left="714" w:hanging="357"/>
        <w:rPr>
          <w:highlight w:val="white"/>
        </w:rPr>
      </w:pPr>
      <w:bookmarkStart w:id="2" w:name="_heading=h.2raxkzgl49r2" w:colFirst="0" w:colLast="0"/>
      <w:bookmarkEnd w:id="2"/>
      <w:r>
        <w:t>Multiple-Form Land Tenure Systems</w:t>
      </w:r>
    </w:p>
    <w:p w14:paraId="3BEC5FF7" w14:textId="7358508F" w:rsidR="0037305B" w:rsidRPr="00A2649E" w:rsidRDefault="001D3F7A" w:rsidP="00321017">
      <w:pPr>
        <w:spacing w:line="257" w:lineRule="auto"/>
        <w:jc w:val="both"/>
        <w:rPr>
          <w:color w:val="232323"/>
          <w:highlight w:val="white"/>
          <w:lang w:val="en-ZW"/>
        </w:rPr>
      </w:pPr>
      <w:r>
        <w:rPr>
          <w:color w:val="232323"/>
          <w:highlight w:val="white"/>
        </w:rPr>
        <w:t>Due to the colonial history of segregating land into ‘European’ and ‘Native’ areas, and a desire to recognise pre-existing customary law land rights, post-colonial African states are now operating with multiple-form land tenure systems</w:t>
      </w:r>
      <w:r w:rsidR="00EA5DE8">
        <w:rPr>
          <w:color w:val="232323"/>
          <w:highlight w:val="white"/>
        </w:rPr>
        <w:t>.</w:t>
      </w:r>
      <w:r>
        <w:rPr>
          <w:color w:val="232323"/>
          <w:highlight w:val="white"/>
        </w:rPr>
        <w:t xml:space="preserve"> In Zimbabwe, for example, there are four main systems of land tenure</w:t>
      </w:r>
      <w:r w:rsidR="00284815">
        <w:rPr>
          <w:color w:val="232323"/>
          <w:highlight w:val="white"/>
        </w:rPr>
        <w:t>,</w:t>
      </w:r>
      <w:r>
        <w:rPr>
          <w:color w:val="232323"/>
          <w:highlight w:val="white"/>
          <w:vertAlign w:val="superscript"/>
        </w:rPr>
        <w:footnoteReference w:id="4"/>
      </w:r>
      <w:r>
        <w:rPr>
          <w:color w:val="232323"/>
          <w:highlight w:val="white"/>
        </w:rPr>
        <w:t xml:space="preserve"> </w:t>
      </w:r>
      <w:r w:rsidR="00284815">
        <w:rPr>
          <w:color w:val="232323"/>
          <w:highlight w:val="white"/>
        </w:rPr>
        <w:t>which</w:t>
      </w:r>
      <w:r>
        <w:rPr>
          <w:color w:val="232323"/>
          <w:highlight w:val="white"/>
        </w:rPr>
        <w:t xml:space="preserve"> can </w:t>
      </w:r>
      <w:r w:rsidR="00A2649E" w:rsidRPr="00A2649E">
        <w:rPr>
          <w:color w:val="232323"/>
          <w:highlight w:val="white"/>
          <w:lang w:val="en-ZW"/>
        </w:rPr>
        <w:t>be based on written policies and laws, unwritten customs and practices</w:t>
      </w:r>
      <w:r w:rsidR="00A2649E">
        <w:rPr>
          <w:color w:val="232323"/>
          <w:highlight w:val="white"/>
          <w:lang w:val="en-ZW"/>
        </w:rPr>
        <w:t>,</w:t>
      </w:r>
      <w:r w:rsidR="00A2649E" w:rsidRPr="00A2649E">
        <w:rPr>
          <w:color w:val="232323"/>
          <w:highlight w:val="white"/>
          <w:lang w:val="en-ZW"/>
        </w:rPr>
        <w:t xml:space="preserve"> or a mixture of both</w:t>
      </w:r>
      <w:r>
        <w:rPr>
          <w:color w:val="232323"/>
          <w:highlight w:val="white"/>
        </w:rPr>
        <w:t>, so land rights are not always easy to determine</w:t>
      </w:r>
      <w:r w:rsidR="008427F8">
        <w:rPr>
          <w:color w:val="232323"/>
          <w:highlight w:val="white"/>
        </w:rPr>
        <w:t>.</w:t>
      </w:r>
      <w:r>
        <w:rPr>
          <w:color w:val="232323"/>
          <w:highlight w:val="white"/>
          <w:vertAlign w:val="superscript"/>
        </w:rPr>
        <w:footnoteReference w:id="5"/>
      </w:r>
      <w:r>
        <w:rPr>
          <w:color w:val="232323"/>
          <w:highlight w:val="white"/>
        </w:rPr>
        <w:t xml:space="preserve"> The systems are often conflicting, and several individuals or groups </w:t>
      </w:r>
      <w:r>
        <w:rPr>
          <w:color w:val="232323"/>
          <w:highlight w:val="white"/>
        </w:rPr>
        <w:lastRenderedPageBreak/>
        <w:t>can hold different overlapping tenure claims to the same land</w:t>
      </w:r>
      <w:r w:rsidR="00914251">
        <w:rPr>
          <w:color w:val="232323"/>
          <w:highlight w:val="white"/>
        </w:rPr>
        <w:t>.</w:t>
      </w:r>
      <w:r>
        <w:rPr>
          <w:color w:val="232323"/>
          <w:highlight w:val="white"/>
          <w:vertAlign w:val="superscript"/>
        </w:rPr>
        <w:footnoteReference w:id="6"/>
      </w:r>
      <w:r w:rsidR="000A6637">
        <w:rPr>
          <w:color w:val="232323"/>
          <w:highlight w:val="white"/>
          <w:lang w:val="en-US"/>
        </w:rPr>
        <w:t xml:space="preserve"> </w:t>
      </w:r>
      <w:r w:rsidR="0072773E" w:rsidRPr="0072773E">
        <w:rPr>
          <w:color w:val="232323"/>
          <w:highlight w:val="white"/>
          <w:lang w:val="en-US"/>
        </w:rPr>
        <w:t xml:space="preserve">The </w:t>
      </w:r>
      <w:r w:rsidR="006F71F2">
        <w:rPr>
          <w:color w:val="232323"/>
          <w:highlight w:val="white"/>
          <w:lang w:val="en-US"/>
        </w:rPr>
        <w:t>Draft</w:t>
      </w:r>
      <w:r w:rsidR="0072773E" w:rsidRPr="0072773E">
        <w:rPr>
          <w:color w:val="232323"/>
          <w:highlight w:val="white"/>
          <w:lang w:val="en-US"/>
        </w:rPr>
        <w:t xml:space="preserve"> General Comment importantly recognises issues related to land tenure systems in paragraphs 1, 15, 19, 23 and 27.</w:t>
      </w:r>
      <w:r w:rsidR="0072773E">
        <w:rPr>
          <w:color w:val="232323"/>
          <w:highlight w:val="white"/>
          <w:lang w:val="en-US"/>
        </w:rPr>
        <w:t xml:space="preserve"> </w:t>
      </w:r>
      <w:r>
        <w:rPr>
          <w:color w:val="232323"/>
          <w:highlight w:val="white"/>
        </w:rPr>
        <w:t xml:space="preserve">The </w:t>
      </w:r>
      <w:r w:rsidR="006F71F2">
        <w:rPr>
          <w:color w:val="232323"/>
          <w:highlight w:val="white"/>
        </w:rPr>
        <w:t>Draft</w:t>
      </w:r>
      <w:r>
        <w:rPr>
          <w:color w:val="232323"/>
          <w:highlight w:val="white"/>
        </w:rPr>
        <w:t xml:space="preserve"> General Comment may wish to further address the specific problems aris</w:t>
      </w:r>
      <w:r w:rsidR="00C009EF">
        <w:rPr>
          <w:color w:val="232323"/>
          <w:highlight w:val="white"/>
        </w:rPr>
        <w:t>ing</w:t>
      </w:r>
      <w:r>
        <w:rPr>
          <w:color w:val="232323"/>
          <w:highlight w:val="white"/>
        </w:rPr>
        <w:t xml:space="preserve"> in multiple-form land tenure systems, and call for equality and non-discrimination in the hierarchy of the systems.</w:t>
      </w:r>
      <w:r w:rsidR="00522F39" w:rsidRPr="00522F39">
        <w:rPr>
          <w:rFonts w:ascii="Arial,Bold" w:eastAsia="Times New Roman" w:hAnsi="Arial,Bold" w:cs="Times New Roman"/>
          <w:b/>
          <w:noProof w:val="0"/>
          <w:sz w:val="18"/>
          <w:szCs w:val="18"/>
        </w:rPr>
        <w:t xml:space="preserve"> </w:t>
      </w:r>
    </w:p>
    <w:p w14:paraId="173A61FF" w14:textId="3CB83F3B" w:rsidR="0037305B" w:rsidRDefault="008E60DE" w:rsidP="00522F39">
      <w:pPr>
        <w:spacing w:line="256" w:lineRule="auto"/>
        <w:jc w:val="both"/>
        <w:rPr>
          <w:color w:val="232323"/>
          <w:highlight w:val="white"/>
        </w:rPr>
      </w:pPr>
      <w:r>
        <w:rPr>
          <w:color w:val="232323"/>
          <w:highlight w:val="white"/>
        </w:rPr>
        <w:t>For example, s</w:t>
      </w:r>
      <w:r w:rsidR="00522F39" w:rsidRPr="00522F39">
        <w:rPr>
          <w:color w:val="232323"/>
          <w:highlight w:val="white"/>
        </w:rPr>
        <w:t>ection 33 of Zambia</w:t>
      </w:r>
      <w:r w:rsidR="006A3DA7">
        <w:rPr>
          <w:color w:val="232323"/>
          <w:highlight w:val="white"/>
        </w:rPr>
        <w:t>’s</w:t>
      </w:r>
      <w:r w:rsidR="00522F39" w:rsidRPr="00522F39">
        <w:rPr>
          <w:color w:val="232323"/>
          <w:highlight w:val="white"/>
        </w:rPr>
        <w:t xml:space="preserve"> Lands and Deeds Registry Act</w:t>
      </w:r>
      <w:r w:rsidR="00E84293">
        <w:rPr>
          <w:rStyle w:val="FootnoteReference"/>
          <w:color w:val="232323"/>
          <w:highlight w:val="white"/>
        </w:rPr>
        <w:footnoteReference w:id="7"/>
      </w:r>
      <w:r w:rsidR="005824EA">
        <w:rPr>
          <w:color w:val="232323"/>
          <w:highlight w:val="white"/>
        </w:rPr>
        <w:t xml:space="preserve"> </w:t>
      </w:r>
      <w:r w:rsidR="00522F39" w:rsidRPr="00522F39">
        <w:rPr>
          <w:color w:val="232323"/>
          <w:highlight w:val="white"/>
        </w:rPr>
        <w:t>provides that:</w:t>
      </w:r>
      <w:r w:rsidR="00522F39">
        <w:rPr>
          <w:color w:val="232323"/>
          <w:highlight w:val="white"/>
        </w:rPr>
        <w:t xml:space="preserve"> </w:t>
      </w:r>
      <w:r w:rsidR="00522F39" w:rsidRPr="00522F39">
        <w:rPr>
          <w:color w:val="232323"/>
          <w:highlight w:val="white"/>
        </w:rPr>
        <w:t xml:space="preserve">“A </w:t>
      </w:r>
      <w:r w:rsidR="005824EA">
        <w:rPr>
          <w:color w:val="232323"/>
          <w:highlight w:val="white"/>
        </w:rPr>
        <w:t>c</w:t>
      </w:r>
      <w:r w:rsidR="00522F39" w:rsidRPr="00522F39">
        <w:rPr>
          <w:color w:val="232323"/>
          <w:highlight w:val="white"/>
        </w:rPr>
        <w:t xml:space="preserve">ertificate of </w:t>
      </w:r>
      <w:r w:rsidR="005824EA">
        <w:rPr>
          <w:color w:val="232323"/>
          <w:highlight w:val="white"/>
        </w:rPr>
        <w:t>t</w:t>
      </w:r>
      <w:r w:rsidR="00522F39" w:rsidRPr="00522F39">
        <w:rPr>
          <w:color w:val="232323"/>
          <w:highlight w:val="white"/>
        </w:rPr>
        <w:t>itle shall be conclusive as from the date of its issue and upon and after the issue thereof, notwithstanding the existence in any other person of any estate or interest, whether derived by grant from the President or otherwise</w:t>
      </w:r>
      <w:r w:rsidR="00E84293" w:rsidRPr="00E84293">
        <w:rPr>
          <w:color w:val="232323"/>
          <w:highlight w:val="white"/>
        </w:rPr>
        <w:t>…”</w:t>
      </w:r>
      <w:r w:rsidR="00E84293">
        <w:rPr>
          <w:color w:val="232323"/>
          <w:highlight w:val="white"/>
        </w:rPr>
        <w:t xml:space="preserve"> This </w:t>
      </w:r>
      <w:r>
        <w:rPr>
          <w:color w:val="232323"/>
          <w:highlight w:val="white"/>
        </w:rPr>
        <w:t>means</w:t>
      </w:r>
      <w:r w:rsidR="00E84293">
        <w:rPr>
          <w:color w:val="232323"/>
          <w:highlight w:val="white"/>
        </w:rPr>
        <w:t xml:space="preserve"> that </w:t>
      </w:r>
      <w:r w:rsidR="00522F39" w:rsidRPr="00522F39">
        <w:rPr>
          <w:color w:val="232323"/>
          <w:highlight w:val="white"/>
        </w:rPr>
        <w:t>person</w:t>
      </w:r>
      <w:r w:rsidR="00E84293">
        <w:rPr>
          <w:color w:val="232323"/>
          <w:highlight w:val="white"/>
        </w:rPr>
        <w:t>s</w:t>
      </w:r>
      <w:r w:rsidR="00522F39" w:rsidRPr="00522F39">
        <w:rPr>
          <w:color w:val="232323"/>
          <w:highlight w:val="white"/>
        </w:rPr>
        <w:t xml:space="preserve"> </w:t>
      </w:r>
      <w:r w:rsidR="00BF18D4">
        <w:rPr>
          <w:color w:val="232323"/>
          <w:highlight w:val="white"/>
        </w:rPr>
        <w:t>with</w:t>
      </w:r>
      <w:r w:rsidR="00A2649E">
        <w:rPr>
          <w:color w:val="232323"/>
          <w:highlight w:val="white"/>
        </w:rPr>
        <w:t xml:space="preserve"> private</w:t>
      </w:r>
      <w:r w:rsidR="00522F39" w:rsidRPr="00522F39">
        <w:rPr>
          <w:color w:val="232323"/>
          <w:highlight w:val="white"/>
        </w:rPr>
        <w:t xml:space="preserve"> title and leasehold</w:t>
      </w:r>
      <w:r w:rsidR="00BF18D4">
        <w:rPr>
          <w:color w:val="232323"/>
          <w:highlight w:val="white"/>
        </w:rPr>
        <w:t>,</w:t>
      </w:r>
      <w:r w:rsidR="00522F39" w:rsidRPr="00522F39">
        <w:rPr>
          <w:color w:val="232323"/>
          <w:highlight w:val="white"/>
        </w:rPr>
        <w:t xml:space="preserve"> </w:t>
      </w:r>
      <w:r>
        <w:rPr>
          <w:color w:val="232323"/>
          <w:highlight w:val="white"/>
        </w:rPr>
        <w:t>with</w:t>
      </w:r>
      <w:r w:rsidR="00522F39" w:rsidRPr="00522F39">
        <w:rPr>
          <w:color w:val="232323"/>
          <w:highlight w:val="white"/>
        </w:rPr>
        <w:t xml:space="preserve"> a </w:t>
      </w:r>
      <w:r w:rsidR="00E84293">
        <w:rPr>
          <w:color w:val="232323"/>
          <w:highlight w:val="white"/>
        </w:rPr>
        <w:t>c</w:t>
      </w:r>
      <w:r w:rsidR="00522F39" w:rsidRPr="00522F39">
        <w:rPr>
          <w:color w:val="232323"/>
          <w:highlight w:val="white"/>
        </w:rPr>
        <w:t xml:space="preserve">ertificate of </w:t>
      </w:r>
      <w:r w:rsidR="005824EA">
        <w:rPr>
          <w:color w:val="232323"/>
          <w:highlight w:val="white"/>
        </w:rPr>
        <w:t>t</w:t>
      </w:r>
      <w:r w:rsidR="00522F39" w:rsidRPr="00522F39">
        <w:rPr>
          <w:color w:val="232323"/>
          <w:highlight w:val="white"/>
        </w:rPr>
        <w:t>itle</w:t>
      </w:r>
      <w:r w:rsidR="00BF18D4">
        <w:rPr>
          <w:color w:val="232323"/>
          <w:highlight w:val="white"/>
        </w:rPr>
        <w:t>,</w:t>
      </w:r>
      <w:r w:rsidR="00522F39" w:rsidRPr="00522F39">
        <w:rPr>
          <w:color w:val="232323"/>
          <w:highlight w:val="white"/>
        </w:rPr>
        <w:t xml:space="preserve"> </w:t>
      </w:r>
      <w:r>
        <w:rPr>
          <w:color w:val="232323"/>
          <w:highlight w:val="white"/>
        </w:rPr>
        <w:t>are</w:t>
      </w:r>
      <w:r w:rsidR="00522F39" w:rsidRPr="00522F39">
        <w:rPr>
          <w:color w:val="232323"/>
          <w:highlight w:val="white"/>
        </w:rPr>
        <w:t xml:space="preserve"> presumed </w:t>
      </w:r>
      <w:r>
        <w:rPr>
          <w:color w:val="232323"/>
          <w:highlight w:val="white"/>
        </w:rPr>
        <w:t xml:space="preserve">to be </w:t>
      </w:r>
      <w:r w:rsidR="00522F39" w:rsidRPr="00522F39">
        <w:rPr>
          <w:color w:val="232323"/>
          <w:highlight w:val="white"/>
        </w:rPr>
        <w:t>the owner</w:t>
      </w:r>
      <w:r w:rsidR="00BF18D4">
        <w:rPr>
          <w:color w:val="232323"/>
          <w:highlight w:val="white"/>
        </w:rPr>
        <w:t>,</w:t>
      </w:r>
      <w:r>
        <w:rPr>
          <w:color w:val="232323"/>
          <w:highlight w:val="white"/>
        </w:rPr>
        <w:t xml:space="preserve"> and their rights supersede the rights of persons with pre-existing </w:t>
      </w:r>
      <w:r w:rsidR="00522F39" w:rsidRPr="00522F39">
        <w:rPr>
          <w:color w:val="232323"/>
          <w:highlight w:val="white"/>
        </w:rPr>
        <w:t>claim</w:t>
      </w:r>
      <w:r>
        <w:rPr>
          <w:color w:val="232323"/>
          <w:highlight w:val="white"/>
        </w:rPr>
        <w:t>s</w:t>
      </w:r>
      <w:r w:rsidR="00522F39" w:rsidRPr="00522F39">
        <w:rPr>
          <w:color w:val="232323"/>
          <w:highlight w:val="white"/>
        </w:rPr>
        <w:t xml:space="preserve"> </w:t>
      </w:r>
      <w:r>
        <w:rPr>
          <w:color w:val="232323"/>
          <w:highlight w:val="white"/>
        </w:rPr>
        <w:t xml:space="preserve">based on </w:t>
      </w:r>
      <w:r w:rsidR="00522F39" w:rsidRPr="00522F39">
        <w:rPr>
          <w:color w:val="232323"/>
          <w:highlight w:val="white"/>
        </w:rPr>
        <w:t xml:space="preserve">customary </w:t>
      </w:r>
      <w:r>
        <w:rPr>
          <w:color w:val="232323"/>
          <w:highlight w:val="white"/>
        </w:rPr>
        <w:t xml:space="preserve">law </w:t>
      </w:r>
      <w:r w:rsidR="00522F39" w:rsidRPr="00522F39">
        <w:rPr>
          <w:color w:val="232323"/>
          <w:highlight w:val="white"/>
        </w:rPr>
        <w:t>interes</w:t>
      </w:r>
      <w:r>
        <w:rPr>
          <w:color w:val="232323"/>
          <w:highlight w:val="white"/>
        </w:rPr>
        <w:t>ts</w:t>
      </w:r>
      <w:r w:rsidR="00522F39" w:rsidRPr="00522F39">
        <w:rPr>
          <w:color w:val="232323"/>
          <w:highlight w:val="white"/>
        </w:rPr>
        <w:t xml:space="preserve">. </w:t>
      </w:r>
      <w:r w:rsidR="001D3F7A">
        <w:rPr>
          <w:color w:val="232323"/>
          <w:highlight w:val="white"/>
        </w:rPr>
        <w:t xml:space="preserve">In Zimbabwe, communities occupying communal lands </w:t>
      </w:r>
      <w:r w:rsidR="00C009EF">
        <w:rPr>
          <w:color w:val="232323"/>
          <w:highlight w:val="white"/>
        </w:rPr>
        <w:t>under</w:t>
      </w:r>
      <w:r w:rsidR="001D3F7A">
        <w:rPr>
          <w:color w:val="232323"/>
          <w:highlight w:val="white"/>
        </w:rPr>
        <w:t xml:space="preserve"> the Communal Lands Act</w:t>
      </w:r>
      <w:r w:rsidR="00C009EF">
        <w:rPr>
          <w:color w:val="232323"/>
          <w:highlight w:val="white"/>
        </w:rPr>
        <w:t xml:space="preserve"> </w:t>
      </w:r>
      <w:r w:rsidR="0037305B">
        <w:rPr>
          <w:color w:val="232323"/>
          <w:highlight w:val="white"/>
        </w:rPr>
        <w:t xml:space="preserve">also </w:t>
      </w:r>
      <w:r w:rsidR="001D3F7A">
        <w:rPr>
          <w:color w:val="232323"/>
          <w:highlight w:val="white"/>
        </w:rPr>
        <w:t xml:space="preserve">have limited security of tenure. </w:t>
      </w:r>
      <w:r w:rsidR="00284815">
        <w:rPr>
          <w:color w:val="232323"/>
          <w:highlight w:val="white"/>
        </w:rPr>
        <w:t>T</w:t>
      </w:r>
      <w:r w:rsidR="001D3F7A">
        <w:rPr>
          <w:color w:val="232323"/>
          <w:highlight w:val="white"/>
        </w:rPr>
        <w:t xml:space="preserve">he state is the owner of the land and occupants do not have ownership rights. </w:t>
      </w:r>
      <w:r w:rsidR="00C009EF">
        <w:rPr>
          <w:color w:val="232323"/>
          <w:highlight w:val="white"/>
        </w:rPr>
        <w:t>T</w:t>
      </w:r>
      <w:r w:rsidR="001D3F7A">
        <w:rPr>
          <w:color w:val="232323"/>
          <w:highlight w:val="white"/>
        </w:rPr>
        <w:t xml:space="preserve">he President </w:t>
      </w:r>
      <w:r w:rsidR="00183565">
        <w:rPr>
          <w:color w:val="232323"/>
          <w:highlight w:val="white"/>
        </w:rPr>
        <w:t>and t</w:t>
      </w:r>
      <w:r w:rsidR="001D3F7A">
        <w:rPr>
          <w:color w:val="232323"/>
          <w:highlight w:val="white"/>
        </w:rPr>
        <w:t>he Minister of Local Government, Public Works and National Housing can set aside Communal land</w:t>
      </w:r>
      <w:r w:rsidR="00BF18D4">
        <w:rPr>
          <w:color w:val="232323"/>
          <w:highlight w:val="white"/>
        </w:rPr>
        <w:t xml:space="preserve"> at any time</w:t>
      </w:r>
      <w:r w:rsidR="001D3F7A">
        <w:rPr>
          <w:color w:val="232323"/>
          <w:highlight w:val="white"/>
        </w:rPr>
        <w:t>.</w:t>
      </w:r>
      <w:r w:rsidR="00183565">
        <w:rPr>
          <w:color w:val="232323"/>
          <w:highlight w:val="white"/>
        </w:rPr>
        <w:t xml:space="preserve"> </w:t>
      </w:r>
    </w:p>
    <w:p w14:paraId="0967ADD9" w14:textId="44E71551" w:rsidR="0037305B" w:rsidRPr="0034419C" w:rsidRDefault="001D3F7A" w:rsidP="00522F39">
      <w:pPr>
        <w:spacing w:line="256" w:lineRule="auto"/>
        <w:jc w:val="both"/>
        <w:rPr>
          <w:color w:val="232323"/>
          <w:highlight w:val="white"/>
        </w:rPr>
      </w:pPr>
      <w:r>
        <w:rPr>
          <w:color w:val="232323"/>
          <w:highlight w:val="white"/>
        </w:rPr>
        <w:t>Para</w:t>
      </w:r>
      <w:r w:rsidR="00BE4E27">
        <w:rPr>
          <w:color w:val="232323"/>
          <w:highlight w:val="white"/>
        </w:rPr>
        <w:t>graph</w:t>
      </w:r>
      <w:r>
        <w:rPr>
          <w:color w:val="232323"/>
          <w:highlight w:val="white"/>
        </w:rPr>
        <w:t xml:space="preserve"> 42 of the </w:t>
      </w:r>
      <w:r w:rsidR="005824EA">
        <w:rPr>
          <w:color w:val="232323"/>
          <w:highlight w:val="white"/>
        </w:rPr>
        <w:t>D</w:t>
      </w:r>
      <w:r>
        <w:rPr>
          <w:color w:val="232323"/>
          <w:highlight w:val="white"/>
        </w:rPr>
        <w:t xml:space="preserve">raft </w:t>
      </w:r>
      <w:r w:rsidR="00A2649E">
        <w:rPr>
          <w:color w:val="232323"/>
          <w:highlight w:val="white"/>
        </w:rPr>
        <w:t xml:space="preserve">General </w:t>
      </w:r>
      <w:r>
        <w:rPr>
          <w:color w:val="232323"/>
          <w:highlight w:val="white"/>
        </w:rPr>
        <w:t xml:space="preserve">Comment </w:t>
      </w:r>
      <w:r w:rsidR="00240436">
        <w:rPr>
          <w:color w:val="232323"/>
          <w:highlight w:val="white"/>
        </w:rPr>
        <w:t xml:space="preserve">calls for </w:t>
      </w:r>
      <w:r>
        <w:rPr>
          <w:color w:val="232323"/>
          <w:highlight w:val="white"/>
        </w:rPr>
        <w:t>ensur</w:t>
      </w:r>
      <w:r w:rsidR="00240436">
        <w:rPr>
          <w:color w:val="232323"/>
          <w:highlight w:val="white"/>
        </w:rPr>
        <w:t>ing</w:t>
      </w:r>
      <w:r>
        <w:rPr>
          <w:color w:val="232323"/>
          <w:highlight w:val="white"/>
        </w:rPr>
        <w:t xml:space="preserve"> that </w:t>
      </w:r>
      <w:r w:rsidR="00240436">
        <w:rPr>
          <w:color w:val="232323"/>
          <w:highlight w:val="white"/>
        </w:rPr>
        <w:t xml:space="preserve">foreign </w:t>
      </w:r>
      <w:r>
        <w:rPr>
          <w:color w:val="232323"/>
          <w:highlight w:val="white"/>
        </w:rPr>
        <w:t>investors do not deprive individuals</w:t>
      </w:r>
      <w:r w:rsidR="000A6637">
        <w:rPr>
          <w:color w:val="232323"/>
          <w:highlight w:val="white"/>
        </w:rPr>
        <w:t xml:space="preserve"> </w:t>
      </w:r>
      <w:r>
        <w:rPr>
          <w:color w:val="232323"/>
          <w:highlight w:val="white"/>
        </w:rPr>
        <w:t>of access to land or resources on which they depend for their livelihood. This can be expanded to condemn all unlawful transfers</w:t>
      </w:r>
      <w:r w:rsidR="004F5BBE">
        <w:rPr>
          <w:color w:val="232323"/>
          <w:highlight w:val="white"/>
        </w:rPr>
        <w:t xml:space="preserve">, </w:t>
      </w:r>
      <w:r w:rsidR="0037305B">
        <w:rPr>
          <w:color w:val="232323"/>
          <w:highlight w:val="white"/>
        </w:rPr>
        <w:t>sales</w:t>
      </w:r>
      <w:r>
        <w:rPr>
          <w:color w:val="232323"/>
          <w:highlight w:val="white"/>
        </w:rPr>
        <w:t xml:space="preserve"> </w:t>
      </w:r>
      <w:r w:rsidR="004F5BBE">
        <w:rPr>
          <w:color w:val="232323"/>
          <w:highlight w:val="white"/>
        </w:rPr>
        <w:t xml:space="preserve">and exploitation </w:t>
      </w:r>
      <w:r>
        <w:rPr>
          <w:color w:val="232323"/>
          <w:highlight w:val="white"/>
        </w:rPr>
        <w:t xml:space="preserve">of </w:t>
      </w:r>
      <w:r w:rsidR="0037305B">
        <w:rPr>
          <w:color w:val="232323"/>
          <w:highlight w:val="white"/>
        </w:rPr>
        <w:t xml:space="preserve">communal </w:t>
      </w:r>
      <w:r>
        <w:rPr>
          <w:color w:val="232323"/>
          <w:highlight w:val="white"/>
        </w:rPr>
        <w:t>land</w:t>
      </w:r>
      <w:r w:rsidR="0037305B">
        <w:rPr>
          <w:color w:val="232323"/>
          <w:highlight w:val="white"/>
        </w:rPr>
        <w:t>s</w:t>
      </w:r>
      <w:r>
        <w:rPr>
          <w:color w:val="232323"/>
          <w:highlight w:val="white"/>
        </w:rPr>
        <w:t xml:space="preserve"> without </w:t>
      </w:r>
      <w:r w:rsidR="0037305B">
        <w:rPr>
          <w:color w:val="232323"/>
          <w:highlight w:val="white"/>
        </w:rPr>
        <w:t>indigenous communities’</w:t>
      </w:r>
      <w:r>
        <w:rPr>
          <w:color w:val="232323"/>
          <w:highlight w:val="white"/>
        </w:rPr>
        <w:t xml:space="preserve"> consent</w:t>
      </w:r>
      <w:r w:rsidR="004F5BBE">
        <w:rPr>
          <w:color w:val="232323"/>
          <w:highlight w:val="white"/>
        </w:rPr>
        <w:t xml:space="preserve">. </w:t>
      </w:r>
      <w:r w:rsidR="00BF18D4">
        <w:rPr>
          <w:color w:val="232323"/>
          <w:highlight w:val="white"/>
        </w:rPr>
        <w:t xml:space="preserve">The </w:t>
      </w:r>
      <w:r w:rsidR="00BF18D4">
        <w:rPr>
          <w:color w:val="232323"/>
          <w:highlight w:val="white"/>
        </w:rPr>
        <w:lastRenderedPageBreak/>
        <w:t>rights to a</w:t>
      </w:r>
      <w:r>
        <w:rPr>
          <w:color w:val="232323"/>
          <w:highlight w:val="white"/>
        </w:rPr>
        <w:t xml:space="preserve">ncestral land </w:t>
      </w:r>
      <w:r w:rsidR="004F5BBE">
        <w:rPr>
          <w:color w:val="232323"/>
          <w:highlight w:val="white"/>
        </w:rPr>
        <w:t>should</w:t>
      </w:r>
      <w:r>
        <w:rPr>
          <w:color w:val="232323"/>
          <w:highlight w:val="white"/>
        </w:rPr>
        <w:t xml:space="preserve"> be unconditionally </w:t>
      </w:r>
      <w:r w:rsidR="00BF18D4">
        <w:rPr>
          <w:color w:val="232323"/>
          <w:highlight w:val="white"/>
        </w:rPr>
        <w:t xml:space="preserve">held </w:t>
      </w:r>
      <w:r>
        <w:rPr>
          <w:color w:val="232323"/>
          <w:highlight w:val="white"/>
        </w:rPr>
        <w:t>by its rightful owners. Botswana’s High Court affirmed this</w:t>
      </w:r>
      <w:r w:rsidR="000A6637">
        <w:rPr>
          <w:color w:val="232323"/>
          <w:highlight w:val="white"/>
        </w:rPr>
        <w:t xml:space="preserve">, finding a compulsory acquisition of the </w:t>
      </w:r>
      <w:r>
        <w:rPr>
          <w:color w:val="232323"/>
          <w:highlight w:val="white"/>
        </w:rPr>
        <w:t xml:space="preserve">Ba-Ga-Malete </w:t>
      </w:r>
      <w:r w:rsidR="0037305B">
        <w:rPr>
          <w:color w:val="232323"/>
          <w:highlight w:val="white"/>
        </w:rPr>
        <w:t>chiefdom</w:t>
      </w:r>
      <w:r w:rsidR="000A6637">
        <w:rPr>
          <w:color w:val="232323"/>
          <w:highlight w:val="white"/>
        </w:rPr>
        <w:t xml:space="preserve">’s land to be </w:t>
      </w:r>
      <w:r w:rsidR="000A6637" w:rsidRPr="002F72A3">
        <w:rPr>
          <w:color w:val="232323"/>
          <w:highlight w:val="white"/>
        </w:rPr>
        <w:t>unconstitutional</w:t>
      </w:r>
      <w:r w:rsidRPr="002F72A3">
        <w:rPr>
          <w:color w:val="232323"/>
          <w:highlight w:val="white"/>
        </w:rPr>
        <w:t>.</w:t>
      </w:r>
      <w:r w:rsidR="00834A87" w:rsidRPr="002F72A3">
        <w:rPr>
          <w:rStyle w:val="FootnoteReference"/>
          <w:color w:val="232323"/>
          <w:highlight w:val="white"/>
        </w:rPr>
        <w:footnoteReference w:id="8"/>
      </w:r>
      <w:r w:rsidR="0053771A" w:rsidRPr="002F72A3">
        <w:rPr>
          <w:b/>
        </w:rPr>
        <w:t xml:space="preserve"> </w:t>
      </w:r>
    </w:p>
    <w:p w14:paraId="0000003A" w14:textId="5B21442D" w:rsidR="0070320F" w:rsidRDefault="001D3F7A" w:rsidP="00BF18D4">
      <w:pPr>
        <w:pStyle w:val="Heading1"/>
        <w:numPr>
          <w:ilvl w:val="0"/>
          <w:numId w:val="1"/>
        </w:numPr>
        <w:spacing w:after="160"/>
        <w:ind w:left="714" w:hanging="357"/>
      </w:pPr>
      <w:r>
        <w:t xml:space="preserve">Land </w:t>
      </w:r>
      <w:r w:rsidR="008E1CC1">
        <w:t>U</w:t>
      </w:r>
      <w:r>
        <w:t xml:space="preserve">se </w:t>
      </w:r>
      <w:r w:rsidR="008E1CC1">
        <w:t>C</w:t>
      </w:r>
      <w:r>
        <w:t>hanges and Evictions</w:t>
      </w:r>
    </w:p>
    <w:p w14:paraId="02B108D4" w14:textId="6D05369B" w:rsidR="002D46DF" w:rsidRDefault="001D3F7A" w:rsidP="00321017">
      <w:pPr>
        <w:spacing w:after="240"/>
        <w:jc w:val="both"/>
        <w:rPr>
          <w:color w:val="232323"/>
          <w:highlight w:val="white"/>
        </w:rPr>
      </w:pPr>
      <w:r>
        <w:rPr>
          <w:color w:val="232323"/>
          <w:highlight w:val="white"/>
        </w:rPr>
        <w:t>Para</w:t>
      </w:r>
      <w:r w:rsidR="002D46DF">
        <w:rPr>
          <w:color w:val="232323"/>
          <w:highlight w:val="white"/>
        </w:rPr>
        <w:t>graphs</w:t>
      </w:r>
      <w:r>
        <w:rPr>
          <w:color w:val="232323"/>
          <w:highlight w:val="white"/>
        </w:rPr>
        <w:t xml:space="preserve"> 25 and 26 of the </w:t>
      </w:r>
      <w:r w:rsidR="006F71F2">
        <w:rPr>
          <w:color w:val="232323"/>
          <w:highlight w:val="white"/>
        </w:rPr>
        <w:t>Draft</w:t>
      </w:r>
      <w:r w:rsidR="004F5BBE">
        <w:rPr>
          <w:color w:val="232323"/>
          <w:highlight w:val="white"/>
        </w:rPr>
        <w:t xml:space="preserve"> General</w:t>
      </w:r>
      <w:r>
        <w:rPr>
          <w:color w:val="232323"/>
          <w:highlight w:val="white"/>
        </w:rPr>
        <w:t xml:space="preserve"> Comment acknowledge that forced evictions </w:t>
      </w:r>
      <w:r w:rsidR="00183565">
        <w:rPr>
          <w:color w:val="232323"/>
          <w:highlight w:val="white"/>
        </w:rPr>
        <w:t xml:space="preserve">must be </w:t>
      </w:r>
      <w:r>
        <w:rPr>
          <w:color w:val="232323"/>
          <w:highlight w:val="white"/>
        </w:rPr>
        <w:t>carried out in accordance with legislation that is compatible with the Covenant and principles of reasonableness and proportionality</w:t>
      </w:r>
      <w:r w:rsidR="00183565">
        <w:rPr>
          <w:color w:val="232323"/>
          <w:highlight w:val="white"/>
        </w:rPr>
        <w:t>,</w:t>
      </w:r>
      <w:r>
        <w:rPr>
          <w:color w:val="232323"/>
          <w:highlight w:val="white"/>
        </w:rPr>
        <w:t xml:space="preserve"> and that effective legal remedies should be provided</w:t>
      </w:r>
      <w:r w:rsidR="00183565">
        <w:rPr>
          <w:color w:val="232323"/>
          <w:highlight w:val="white"/>
        </w:rPr>
        <w:t xml:space="preserve">. </w:t>
      </w:r>
      <w:r w:rsidR="004F5BBE">
        <w:rPr>
          <w:color w:val="232323"/>
          <w:highlight w:val="white"/>
        </w:rPr>
        <w:t>However,</w:t>
      </w:r>
      <w:r>
        <w:rPr>
          <w:color w:val="232323"/>
          <w:highlight w:val="white"/>
        </w:rPr>
        <w:t xml:space="preserve"> despite </w:t>
      </w:r>
      <w:r w:rsidR="00F644CA">
        <w:rPr>
          <w:color w:val="232323"/>
          <w:highlight w:val="white"/>
        </w:rPr>
        <w:t xml:space="preserve">these </w:t>
      </w:r>
      <w:r w:rsidR="004F5BBE">
        <w:rPr>
          <w:color w:val="232323"/>
          <w:highlight w:val="white"/>
        </w:rPr>
        <w:t>international law protections</w:t>
      </w:r>
      <w:r w:rsidR="00E8647A">
        <w:rPr>
          <w:color w:val="232323"/>
          <w:highlight w:val="white"/>
        </w:rPr>
        <w:t xml:space="preserve">, </w:t>
      </w:r>
      <w:r>
        <w:rPr>
          <w:color w:val="232323"/>
          <w:highlight w:val="white"/>
        </w:rPr>
        <w:t>arbitrary evict</w:t>
      </w:r>
      <w:r w:rsidR="004F5BBE">
        <w:rPr>
          <w:color w:val="232323"/>
          <w:highlight w:val="white"/>
        </w:rPr>
        <w:t>ions</w:t>
      </w:r>
      <w:r w:rsidR="00A2649E">
        <w:rPr>
          <w:color w:val="232323"/>
          <w:highlight w:val="white"/>
        </w:rPr>
        <w:t xml:space="preserve"> </w:t>
      </w:r>
      <w:r w:rsidR="004F5BBE">
        <w:rPr>
          <w:color w:val="232323"/>
          <w:highlight w:val="white"/>
        </w:rPr>
        <w:t>are widespread</w:t>
      </w:r>
      <w:r w:rsidR="00F644CA">
        <w:rPr>
          <w:color w:val="232323"/>
          <w:highlight w:val="white"/>
        </w:rPr>
        <w:t xml:space="preserve"> in Southern Africa</w:t>
      </w:r>
      <w:r>
        <w:rPr>
          <w:color w:val="232323"/>
          <w:highlight w:val="white"/>
        </w:rPr>
        <w:t xml:space="preserve">. </w:t>
      </w:r>
    </w:p>
    <w:p w14:paraId="58D1BF06" w14:textId="008EADFB" w:rsidR="0034419C" w:rsidRPr="0034419C" w:rsidRDefault="001D3F7A" w:rsidP="0034419C">
      <w:pPr>
        <w:spacing w:before="240" w:after="240"/>
        <w:jc w:val="both"/>
        <w:rPr>
          <w:color w:val="232323"/>
          <w:highlight w:val="white"/>
        </w:rPr>
      </w:pPr>
      <w:r>
        <w:rPr>
          <w:color w:val="232323"/>
          <w:highlight w:val="white"/>
        </w:rPr>
        <w:t>SALC worked with the Zambia Land Alliance to challenge the Chikankata District Council’s takeover of individual farms and grazing land of a community of 4429 people</w:t>
      </w:r>
      <w:r w:rsidR="00A2649E">
        <w:rPr>
          <w:color w:val="232323"/>
          <w:highlight w:val="white"/>
        </w:rPr>
        <w:t>,</w:t>
      </w:r>
      <w:r>
        <w:rPr>
          <w:color w:val="232323"/>
          <w:highlight w:val="white"/>
        </w:rPr>
        <w:t xml:space="preserve"> without following the legal and constitutional procedures, rendering the community landless and homeless.</w:t>
      </w:r>
      <w:r w:rsidR="003A1409">
        <w:rPr>
          <w:rStyle w:val="FootnoteReference"/>
          <w:color w:val="232323"/>
          <w:highlight w:val="white"/>
        </w:rPr>
        <w:footnoteReference w:id="9"/>
      </w:r>
      <w:r>
        <w:rPr>
          <w:color w:val="232323"/>
          <w:highlight w:val="white"/>
        </w:rPr>
        <w:t xml:space="preserve"> </w:t>
      </w:r>
      <w:r w:rsidR="002D46DF" w:rsidRPr="002D46DF">
        <w:rPr>
          <w:color w:val="232323"/>
          <w:highlight w:val="white"/>
          <w:lang w:val="en-US"/>
        </w:rPr>
        <w:t xml:space="preserve">In a recent Zimbabwean case, ZLHR and the Zimbabwe Environmental Law Association challenged Statutory Instruments setting aside 12,940 hectares of ancestral land </w:t>
      </w:r>
      <w:r w:rsidR="004F5BBE" w:rsidRPr="0053771A">
        <w:rPr>
          <w:color w:val="232323"/>
          <w:highlight w:val="white"/>
        </w:rPr>
        <w:t>in Chilonga</w:t>
      </w:r>
      <w:r w:rsidR="004F5BBE">
        <w:rPr>
          <w:color w:val="232323"/>
          <w:highlight w:val="white"/>
        </w:rPr>
        <w:t>,</w:t>
      </w:r>
      <w:r w:rsidR="004F5BBE" w:rsidRPr="0053771A">
        <w:rPr>
          <w:color w:val="232323"/>
          <w:highlight w:val="white"/>
        </w:rPr>
        <w:t xml:space="preserve"> </w:t>
      </w:r>
      <w:r w:rsidR="00BF18D4">
        <w:rPr>
          <w:color w:val="232323"/>
          <w:highlight w:val="white"/>
        </w:rPr>
        <w:t>occupied by</w:t>
      </w:r>
      <w:r w:rsidR="004F5BBE">
        <w:rPr>
          <w:color w:val="232323"/>
          <w:highlight w:val="white"/>
        </w:rPr>
        <w:t xml:space="preserve"> </w:t>
      </w:r>
      <w:r w:rsidR="00F644CA">
        <w:rPr>
          <w:color w:val="232323"/>
          <w:highlight w:val="white"/>
        </w:rPr>
        <w:t xml:space="preserve">13,840 members of </w:t>
      </w:r>
      <w:r w:rsidR="0053771A" w:rsidRPr="0053771A">
        <w:rPr>
          <w:color w:val="232323"/>
          <w:highlight w:val="white"/>
        </w:rPr>
        <w:t>the Hlengwe Shangaani ethnic  group</w:t>
      </w:r>
      <w:r>
        <w:rPr>
          <w:color w:val="232323"/>
          <w:highlight w:val="white"/>
          <w:vertAlign w:val="superscript"/>
        </w:rPr>
        <w:footnoteReference w:id="10"/>
      </w:r>
      <w:r w:rsidR="00A2649E">
        <w:rPr>
          <w:color w:val="232323"/>
          <w:highlight w:val="white"/>
        </w:rPr>
        <w:t>,</w:t>
      </w:r>
      <w:r>
        <w:rPr>
          <w:color w:val="232323"/>
          <w:highlight w:val="white"/>
        </w:rPr>
        <w:t xml:space="preserve"> </w:t>
      </w:r>
      <w:r w:rsidR="00F644CA">
        <w:rPr>
          <w:color w:val="232323"/>
          <w:highlight w:val="white"/>
        </w:rPr>
        <w:t>who</w:t>
      </w:r>
      <w:r>
        <w:rPr>
          <w:color w:val="232323"/>
          <w:highlight w:val="white"/>
        </w:rPr>
        <w:t xml:space="preserve"> </w:t>
      </w:r>
      <w:r w:rsidR="00BF18D4">
        <w:rPr>
          <w:color w:val="232323"/>
          <w:highlight w:val="white"/>
        </w:rPr>
        <w:t xml:space="preserve">now </w:t>
      </w:r>
      <w:r>
        <w:rPr>
          <w:color w:val="232323"/>
          <w:highlight w:val="white"/>
        </w:rPr>
        <w:t>face eviction</w:t>
      </w:r>
      <w:r w:rsidR="00BF18D4">
        <w:rPr>
          <w:color w:val="232323"/>
          <w:highlight w:val="white"/>
        </w:rPr>
        <w:t xml:space="preserve"> from their ancestral lands</w:t>
      </w:r>
      <w:r>
        <w:rPr>
          <w:color w:val="232323"/>
          <w:highlight w:val="white"/>
        </w:rPr>
        <w:t>, without remedy or compensation.</w:t>
      </w:r>
      <w:r w:rsidR="003A1409">
        <w:rPr>
          <w:rStyle w:val="FootnoteReference"/>
          <w:color w:val="232323"/>
          <w:highlight w:val="white"/>
        </w:rPr>
        <w:footnoteReference w:id="11"/>
      </w:r>
      <w:r w:rsidR="00671BE0">
        <w:rPr>
          <w:color w:val="232323"/>
          <w:highlight w:val="white"/>
        </w:rPr>
        <w:t xml:space="preserve"> </w:t>
      </w:r>
      <w:r>
        <w:rPr>
          <w:color w:val="232323"/>
          <w:highlight w:val="white"/>
        </w:rPr>
        <w:t xml:space="preserve">The </w:t>
      </w:r>
      <w:r w:rsidR="00A2649E">
        <w:rPr>
          <w:color w:val="232323"/>
          <w:highlight w:val="white"/>
        </w:rPr>
        <w:t>General</w:t>
      </w:r>
      <w:r>
        <w:rPr>
          <w:color w:val="232323"/>
          <w:highlight w:val="white"/>
        </w:rPr>
        <w:t xml:space="preserve"> Comment should explicitly discuss the scope of the violations created by evictions. It </w:t>
      </w:r>
      <w:r>
        <w:rPr>
          <w:color w:val="232323"/>
          <w:highlight w:val="white"/>
        </w:rPr>
        <w:lastRenderedPageBreak/>
        <w:t>can propose minimum safety standards to support persons who must leave their homes</w:t>
      </w:r>
      <w:r w:rsidR="00BF18D4">
        <w:rPr>
          <w:color w:val="232323"/>
          <w:highlight w:val="white"/>
        </w:rPr>
        <w:t>,</w:t>
      </w:r>
      <w:r>
        <w:rPr>
          <w:color w:val="232323"/>
          <w:highlight w:val="white"/>
        </w:rPr>
        <w:t xml:space="preserve"> </w:t>
      </w:r>
      <w:r w:rsidR="004B74F0">
        <w:rPr>
          <w:color w:val="232323"/>
          <w:highlight w:val="white"/>
        </w:rPr>
        <w:t>and</w:t>
      </w:r>
      <w:r>
        <w:rPr>
          <w:color w:val="232323"/>
          <w:highlight w:val="white"/>
        </w:rPr>
        <w:t xml:space="preserve"> </w:t>
      </w:r>
      <w:r w:rsidR="00F644CA">
        <w:rPr>
          <w:color w:val="232323"/>
          <w:highlight w:val="white"/>
        </w:rPr>
        <w:t xml:space="preserve">additional </w:t>
      </w:r>
      <w:r>
        <w:rPr>
          <w:color w:val="232323"/>
          <w:highlight w:val="white"/>
        </w:rPr>
        <w:t xml:space="preserve">mechanisms to </w:t>
      </w:r>
      <w:r w:rsidR="00F644CA">
        <w:rPr>
          <w:color w:val="232323"/>
          <w:highlight w:val="white"/>
        </w:rPr>
        <w:t>prevent</w:t>
      </w:r>
      <w:r w:rsidR="00BF18D4">
        <w:rPr>
          <w:color w:val="232323"/>
          <w:highlight w:val="white"/>
        </w:rPr>
        <w:t xml:space="preserve"> </w:t>
      </w:r>
      <w:r>
        <w:rPr>
          <w:color w:val="232323"/>
          <w:highlight w:val="white"/>
        </w:rPr>
        <w:t>unlawful evictions.</w:t>
      </w:r>
      <w:r w:rsidR="0034419C" w:rsidRPr="0034419C">
        <w:rPr>
          <w:sz w:val="20"/>
          <w:szCs w:val="20"/>
        </w:rPr>
        <w:t xml:space="preserve"> </w:t>
      </w:r>
    </w:p>
    <w:p w14:paraId="0000003E" w14:textId="1B5411E3" w:rsidR="0070320F" w:rsidRDefault="001D3F7A" w:rsidP="00321017">
      <w:pPr>
        <w:pStyle w:val="Heading1"/>
        <w:numPr>
          <w:ilvl w:val="0"/>
          <w:numId w:val="1"/>
        </w:numPr>
        <w:spacing w:after="160"/>
        <w:ind w:left="714" w:hanging="357"/>
      </w:pPr>
      <w:bookmarkStart w:id="3" w:name="_heading=h.hph91ntlcasl" w:colFirst="0" w:colLast="0"/>
      <w:bookmarkEnd w:id="3"/>
      <w:r>
        <w:t xml:space="preserve">Women’s </w:t>
      </w:r>
      <w:r w:rsidR="00210D2C">
        <w:t>L</w:t>
      </w:r>
      <w:r>
        <w:t xml:space="preserve">and and </w:t>
      </w:r>
      <w:r w:rsidR="00210D2C">
        <w:t>P</w:t>
      </w:r>
      <w:r>
        <w:t xml:space="preserve">roperty </w:t>
      </w:r>
      <w:r w:rsidR="00210D2C">
        <w:t>R</w:t>
      </w:r>
      <w:r>
        <w:t>ights</w:t>
      </w:r>
    </w:p>
    <w:p w14:paraId="0000003F" w14:textId="6A2FEF41" w:rsidR="0070320F" w:rsidRDefault="001D3F7A" w:rsidP="00321017">
      <w:pPr>
        <w:spacing w:after="240"/>
        <w:jc w:val="both"/>
        <w:rPr>
          <w:color w:val="232323"/>
          <w:highlight w:val="white"/>
        </w:rPr>
      </w:pPr>
      <w:r>
        <w:rPr>
          <w:color w:val="232323"/>
          <w:highlight w:val="white"/>
        </w:rPr>
        <w:t>Para</w:t>
      </w:r>
      <w:r w:rsidR="00AC2B45">
        <w:rPr>
          <w:color w:val="232323"/>
          <w:highlight w:val="white"/>
        </w:rPr>
        <w:t>graphs</w:t>
      </w:r>
      <w:r>
        <w:rPr>
          <w:color w:val="232323"/>
          <w:highlight w:val="white"/>
        </w:rPr>
        <w:t xml:space="preserve"> 16 and 17 of the </w:t>
      </w:r>
      <w:r w:rsidR="006F71F2">
        <w:rPr>
          <w:color w:val="232323"/>
          <w:highlight w:val="white"/>
        </w:rPr>
        <w:t>Draft</w:t>
      </w:r>
      <w:r>
        <w:rPr>
          <w:color w:val="232323"/>
          <w:highlight w:val="white"/>
        </w:rPr>
        <w:t xml:space="preserve"> </w:t>
      </w:r>
      <w:r w:rsidR="00BF18D4">
        <w:rPr>
          <w:color w:val="232323"/>
          <w:highlight w:val="white"/>
        </w:rPr>
        <w:t xml:space="preserve">General </w:t>
      </w:r>
      <w:r>
        <w:rPr>
          <w:color w:val="232323"/>
          <w:highlight w:val="white"/>
        </w:rPr>
        <w:t xml:space="preserve">Comment helpfully note that women are particularly vulnerable to intersectional discrimination in terms of land rights and that land is an important resource for women. The </w:t>
      </w:r>
      <w:r w:rsidR="00BF18D4">
        <w:rPr>
          <w:color w:val="232323"/>
          <w:highlight w:val="white"/>
        </w:rPr>
        <w:t xml:space="preserve">General </w:t>
      </w:r>
      <w:r>
        <w:rPr>
          <w:color w:val="232323"/>
          <w:highlight w:val="white"/>
        </w:rPr>
        <w:t>Comment takes a gender-neutral approach to equality, noting in para</w:t>
      </w:r>
      <w:r w:rsidR="00AC2B45">
        <w:rPr>
          <w:color w:val="232323"/>
          <w:highlight w:val="white"/>
        </w:rPr>
        <w:t>graph</w:t>
      </w:r>
      <w:r>
        <w:rPr>
          <w:color w:val="232323"/>
          <w:highlight w:val="white"/>
        </w:rPr>
        <w:t xml:space="preserve"> 16 that women should have land and property rights on an equal basis with men. However, the Comment should also note that an intersectional, gender-focused perspective is necessary to ensure substantive, and not merely formal, equality. The Comment can also acknowledge that women’s voices continue to be silenced when it comes to leadership and decision-making over land. For example, in a case supported by SALC, a woman was denied a chieftainship</w:t>
      </w:r>
      <w:r w:rsidR="00BE4E27">
        <w:rPr>
          <w:color w:val="232323"/>
          <w:highlight w:val="white"/>
        </w:rPr>
        <w:t xml:space="preserve"> on the basis of her gender</w:t>
      </w:r>
      <w:r>
        <w:rPr>
          <w:color w:val="232323"/>
          <w:highlight w:val="white"/>
        </w:rPr>
        <w:t>.</w:t>
      </w:r>
      <w:r w:rsidR="003A1409">
        <w:rPr>
          <w:rStyle w:val="FootnoteReference"/>
          <w:color w:val="232323"/>
          <w:highlight w:val="white"/>
        </w:rPr>
        <w:footnoteReference w:id="12"/>
      </w:r>
      <w:r>
        <w:rPr>
          <w:color w:val="232323"/>
          <w:highlight w:val="white"/>
        </w:rPr>
        <w:t xml:space="preserve"> The inputs of women and other vulnerable groups are necessary when developing laws and policies to ensure that those frameworks speak to their lived intersectional experiences.</w:t>
      </w:r>
    </w:p>
    <w:p w14:paraId="00000040" w14:textId="416243C3" w:rsidR="0070320F" w:rsidRDefault="001D3F7A">
      <w:pPr>
        <w:spacing w:before="240" w:after="240"/>
        <w:jc w:val="both"/>
      </w:pPr>
      <w:r>
        <w:rPr>
          <w:color w:val="232323"/>
          <w:highlight w:val="white"/>
        </w:rPr>
        <w:t>Para</w:t>
      </w:r>
      <w:r w:rsidR="00AC2B45">
        <w:rPr>
          <w:color w:val="232323"/>
          <w:highlight w:val="white"/>
        </w:rPr>
        <w:t>graph</w:t>
      </w:r>
      <w:r>
        <w:rPr>
          <w:color w:val="232323"/>
          <w:highlight w:val="white"/>
        </w:rPr>
        <w:t xml:space="preserve"> 16 briefly mentions marital property as an area of discrimination against women. This is an evolving issue which can be expanded upon in the Comment. </w:t>
      </w:r>
      <w:r w:rsidR="00AC2B45">
        <w:rPr>
          <w:color w:val="232323"/>
          <w:highlight w:val="white"/>
        </w:rPr>
        <w:t>T</w:t>
      </w:r>
      <w:r>
        <w:rPr>
          <w:color w:val="232323"/>
          <w:highlight w:val="white"/>
        </w:rPr>
        <w:t xml:space="preserve">he Botswana High Court </w:t>
      </w:r>
      <w:r w:rsidR="00AC2B45">
        <w:rPr>
          <w:color w:val="232323"/>
          <w:highlight w:val="white"/>
        </w:rPr>
        <w:t xml:space="preserve">has </w:t>
      </w:r>
      <w:r>
        <w:rPr>
          <w:color w:val="232323"/>
          <w:highlight w:val="white"/>
        </w:rPr>
        <w:t xml:space="preserve">held that </w:t>
      </w:r>
      <w:r w:rsidR="00AC2B45">
        <w:rPr>
          <w:color w:val="232323"/>
          <w:highlight w:val="white"/>
        </w:rPr>
        <w:t xml:space="preserve">a </w:t>
      </w:r>
      <w:r>
        <w:rPr>
          <w:color w:val="232323"/>
          <w:highlight w:val="white"/>
        </w:rPr>
        <w:t>customary law rule</w:t>
      </w:r>
      <w:r w:rsidR="00AC2B45">
        <w:rPr>
          <w:color w:val="232323"/>
          <w:highlight w:val="white"/>
        </w:rPr>
        <w:t xml:space="preserve"> </w:t>
      </w:r>
      <w:r w:rsidR="00AC2B45" w:rsidRPr="00AC2B45">
        <w:rPr>
          <w:color w:val="232323"/>
          <w:highlight w:val="white"/>
        </w:rPr>
        <w:t>provid</w:t>
      </w:r>
      <w:r w:rsidR="00AC2B45">
        <w:rPr>
          <w:color w:val="232323"/>
          <w:highlight w:val="white"/>
        </w:rPr>
        <w:t>ing</w:t>
      </w:r>
      <w:r w:rsidR="00AC2B45" w:rsidRPr="00AC2B45">
        <w:rPr>
          <w:color w:val="232323"/>
          <w:highlight w:val="white"/>
        </w:rPr>
        <w:t xml:space="preserve"> that only men may inherit the family home</w:t>
      </w:r>
      <w:r>
        <w:rPr>
          <w:color w:val="232323"/>
          <w:highlight w:val="white"/>
        </w:rPr>
        <w:t xml:space="preserve"> infringe</w:t>
      </w:r>
      <w:r w:rsidR="000A6637">
        <w:rPr>
          <w:color w:val="232323"/>
          <w:highlight w:val="white"/>
        </w:rPr>
        <w:t>s</w:t>
      </w:r>
      <w:r>
        <w:rPr>
          <w:color w:val="232323"/>
          <w:highlight w:val="white"/>
        </w:rPr>
        <w:t xml:space="preserve"> the right to equality under the Constitution.</w:t>
      </w:r>
      <w:r w:rsidR="00117949">
        <w:rPr>
          <w:rStyle w:val="FootnoteReference"/>
          <w:color w:val="232323"/>
          <w:highlight w:val="white"/>
        </w:rPr>
        <w:footnoteReference w:id="13"/>
      </w:r>
      <w:r>
        <w:rPr>
          <w:color w:val="232323"/>
          <w:highlight w:val="white"/>
        </w:rPr>
        <w:t xml:space="preserve"> Other similar groundbreaking </w:t>
      </w:r>
      <w:r w:rsidR="00AC2B45">
        <w:rPr>
          <w:color w:val="232323"/>
          <w:highlight w:val="white"/>
        </w:rPr>
        <w:t xml:space="preserve">recent </w:t>
      </w:r>
      <w:r>
        <w:rPr>
          <w:color w:val="232323"/>
          <w:highlight w:val="white"/>
        </w:rPr>
        <w:t xml:space="preserve">cases in African </w:t>
      </w:r>
      <w:r>
        <w:rPr>
          <w:color w:val="232323"/>
          <w:highlight w:val="white"/>
        </w:rPr>
        <w:lastRenderedPageBreak/>
        <w:t>courts include</w:t>
      </w:r>
      <w:r w:rsidR="00020BE0">
        <w:rPr>
          <w:color w:val="232323"/>
          <w:highlight w:val="white"/>
        </w:rPr>
        <w:t xml:space="preserve"> a decision in the Eswatini High Court in</w:t>
      </w:r>
      <w:r>
        <w:rPr>
          <w:color w:val="232323"/>
          <w:highlight w:val="white"/>
        </w:rPr>
        <w:t xml:space="preserve"> </w:t>
      </w:r>
      <w:r w:rsidRPr="00A84385">
        <w:rPr>
          <w:i/>
          <w:iCs/>
          <w:color w:val="232323"/>
          <w:highlight w:val="white"/>
        </w:rPr>
        <w:t>Sacolo v Sacolo</w:t>
      </w:r>
      <w:r w:rsidR="00A2649E">
        <w:rPr>
          <w:rStyle w:val="FootnoteReference"/>
          <w:i/>
          <w:iCs/>
          <w:color w:val="232323"/>
          <w:highlight w:val="white"/>
        </w:rPr>
        <w:footnoteReference w:id="14"/>
      </w:r>
      <w:r w:rsidR="00A2649E">
        <w:rPr>
          <w:color w:val="232323"/>
          <w:highlight w:val="white"/>
        </w:rPr>
        <w:t xml:space="preserve"> </w:t>
      </w:r>
      <w:r>
        <w:rPr>
          <w:color w:val="232323"/>
          <w:highlight w:val="white"/>
        </w:rPr>
        <w:t>and</w:t>
      </w:r>
      <w:r w:rsidR="00020BE0">
        <w:rPr>
          <w:color w:val="232323"/>
          <w:highlight w:val="white"/>
        </w:rPr>
        <w:t xml:space="preserve"> the Zimbabwe Supreme Court in</w:t>
      </w:r>
      <w:r>
        <w:rPr>
          <w:color w:val="232323"/>
          <w:highlight w:val="white"/>
        </w:rPr>
        <w:t xml:space="preserve"> </w:t>
      </w:r>
      <w:r w:rsidRPr="00A84385">
        <w:rPr>
          <w:i/>
          <w:iCs/>
          <w:color w:val="232323"/>
          <w:highlight w:val="white"/>
        </w:rPr>
        <w:t>Chigwada v Chigwada</w:t>
      </w:r>
      <w:r w:rsidR="00A2649E">
        <w:rPr>
          <w:rStyle w:val="FootnoteReference"/>
          <w:i/>
          <w:iCs/>
          <w:color w:val="232323"/>
          <w:highlight w:val="white"/>
        </w:rPr>
        <w:footnoteReference w:id="15"/>
      </w:r>
      <w:r w:rsidR="00515EF0">
        <w:rPr>
          <w:color w:val="232323"/>
          <w:highlight w:val="white"/>
        </w:rPr>
        <w:t>.</w:t>
      </w:r>
      <w:r w:rsidR="00515EF0" w:rsidDel="00CE4623">
        <w:rPr>
          <w:color w:val="232323"/>
          <w:sz w:val="24"/>
          <w:szCs w:val="24"/>
          <w:highlight w:val="white"/>
        </w:rPr>
        <w:t xml:space="preserve"> </w:t>
      </w:r>
      <w:r>
        <w:rPr>
          <w:color w:val="232323"/>
          <w:highlight w:val="white"/>
        </w:rPr>
        <w:t xml:space="preserve">The </w:t>
      </w:r>
      <w:r w:rsidR="00A2649E">
        <w:rPr>
          <w:color w:val="232323"/>
          <w:highlight w:val="white"/>
        </w:rPr>
        <w:t xml:space="preserve">General </w:t>
      </w:r>
      <w:r>
        <w:rPr>
          <w:color w:val="232323"/>
          <w:highlight w:val="white"/>
        </w:rPr>
        <w:t xml:space="preserve">Comment should acknowledge the harmful discriminatory effect of the marital power doctrine and other similar practices, and should encourage </w:t>
      </w:r>
      <w:r w:rsidR="00DF2AC8">
        <w:rPr>
          <w:color w:val="232323"/>
          <w:highlight w:val="white"/>
        </w:rPr>
        <w:t>state</w:t>
      </w:r>
      <w:r>
        <w:rPr>
          <w:color w:val="232323"/>
          <w:highlight w:val="white"/>
        </w:rPr>
        <w:t>s to follow precedent nullifying them.</w:t>
      </w:r>
    </w:p>
    <w:p w14:paraId="00000041" w14:textId="77777777" w:rsidR="0070320F" w:rsidRDefault="001D3F7A" w:rsidP="00EF2B6E">
      <w:pPr>
        <w:pStyle w:val="Heading1"/>
        <w:numPr>
          <w:ilvl w:val="0"/>
          <w:numId w:val="1"/>
        </w:numPr>
        <w:spacing w:after="160"/>
        <w:ind w:left="714" w:hanging="357"/>
      </w:pPr>
      <w:r>
        <w:t xml:space="preserve">Sustainable Use of Natural Resources </w:t>
      </w:r>
    </w:p>
    <w:p w14:paraId="00000043" w14:textId="4232638D" w:rsidR="0070320F" w:rsidRPr="00321017" w:rsidRDefault="001D3F7A" w:rsidP="00EF2B6E">
      <w:pPr>
        <w:pStyle w:val="Heading1"/>
        <w:spacing w:before="0" w:after="160"/>
        <w:ind w:firstLine="851"/>
        <w:rPr>
          <w:rFonts w:ascii="Calibri Light" w:eastAsia="Calibri Light" w:hAnsi="Calibri Light" w:cs="Calibri Light"/>
          <w:color w:val="2F5496"/>
          <w:sz w:val="28"/>
          <w:szCs w:val="28"/>
        </w:rPr>
      </w:pPr>
      <w:r w:rsidRPr="00321017">
        <w:rPr>
          <w:sz w:val="28"/>
          <w:szCs w:val="28"/>
        </w:rPr>
        <w:t>6</w:t>
      </w:r>
      <w:r w:rsidRPr="00321017">
        <w:rPr>
          <w:rFonts w:ascii="Calibri Light" w:eastAsia="Calibri Light" w:hAnsi="Calibri Light" w:cs="Calibri Light"/>
          <w:color w:val="2F5496"/>
          <w:sz w:val="28"/>
          <w:szCs w:val="28"/>
        </w:rPr>
        <w:t>.1</w:t>
      </w:r>
      <w:r w:rsidRPr="00321017">
        <w:rPr>
          <w:rFonts w:ascii="Calibri Light" w:eastAsia="Calibri Light" w:hAnsi="Calibri Light" w:cs="Calibri Light"/>
          <w:color w:val="2F5496"/>
          <w:sz w:val="28"/>
          <w:szCs w:val="28"/>
        </w:rPr>
        <w:tab/>
        <w:t xml:space="preserve">Mining and </w:t>
      </w:r>
      <w:r w:rsidR="004E34E0" w:rsidRPr="00321017">
        <w:rPr>
          <w:rFonts w:ascii="Calibri Light" w:eastAsia="Calibri Light" w:hAnsi="Calibri Light" w:cs="Calibri Light"/>
          <w:color w:val="2F5496"/>
          <w:sz w:val="28"/>
          <w:szCs w:val="28"/>
        </w:rPr>
        <w:t>E</w:t>
      </w:r>
      <w:r w:rsidRPr="00321017">
        <w:rPr>
          <w:rFonts w:ascii="Calibri Light" w:eastAsia="Calibri Light" w:hAnsi="Calibri Light" w:cs="Calibri Light"/>
          <w:color w:val="2F5496"/>
          <w:sz w:val="28"/>
          <w:szCs w:val="28"/>
        </w:rPr>
        <w:t xml:space="preserve">xtractive </w:t>
      </w:r>
      <w:r w:rsidR="004E34E0" w:rsidRPr="00321017">
        <w:rPr>
          <w:rFonts w:ascii="Calibri Light" w:eastAsia="Calibri Light" w:hAnsi="Calibri Light" w:cs="Calibri Light"/>
          <w:color w:val="2F5496"/>
          <w:sz w:val="28"/>
          <w:szCs w:val="28"/>
        </w:rPr>
        <w:t>I</w:t>
      </w:r>
      <w:r w:rsidRPr="00321017">
        <w:rPr>
          <w:rFonts w:ascii="Calibri Light" w:eastAsia="Calibri Light" w:hAnsi="Calibri Light" w:cs="Calibri Light"/>
          <w:color w:val="2F5496"/>
          <w:sz w:val="28"/>
          <w:szCs w:val="28"/>
        </w:rPr>
        <w:t>ndustries</w:t>
      </w:r>
    </w:p>
    <w:p w14:paraId="00000044" w14:textId="38DB1522" w:rsidR="0070320F" w:rsidRDefault="001D3F7A">
      <w:pPr>
        <w:spacing w:before="240" w:after="240" w:line="256" w:lineRule="auto"/>
        <w:jc w:val="both"/>
        <w:rPr>
          <w:color w:val="232323"/>
          <w:sz w:val="24"/>
          <w:szCs w:val="24"/>
          <w:highlight w:val="white"/>
        </w:rPr>
      </w:pPr>
      <w:r>
        <w:rPr>
          <w:color w:val="232323"/>
          <w:highlight w:val="white"/>
        </w:rPr>
        <w:t xml:space="preserve">The African Commission Working Group on Extractive Industries, Environment and Human Rights Violations has noted that while extractive industries can contribute to socio-economic development, </w:t>
      </w:r>
      <w:r w:rsidR="003F2F65">
        <w:rPr>
          <w:color w:val="232323"/>
          <w:highlight w:val="white"/>
        </w:rPr>
        <w:t>they</w:t>
      </w:r>
      <w:r>
        <w:rPr>
          <w:color w:val="232323"/>
          <w:highlight w:val="white"/>
        </w:rPr>
        <w:t xml:space="preserve"> also pose major risks</w:t>
      </w:r>
      <w:r w:rsidR="00F644CA">
        <w:rPr>
          <w:color w:val="232323"/>
          <w:highlight w:val="white"/>
        </w:rPr>
        <w:t xml:space="preserve"> to communities</w:t>
      </w:r>
      <w:r>
        <w:rPr>
          <w:color w:val="232323"/>
          <w:highlight w:val="white"/>
        </w:rPr>
        <w:t>.</w:t>
      </w:r>
      <w:r w:rsidR="00CE4623">
        <w:rPr>
          <w:rStyle w:val="FootnoteReference"/>
          <w:color w:val="232323"/>
          <w:highlight w:val="white"/>
        </w:rPr>
        <w:footnoteReference w:id="16"/>
      </w:r>
      <w:r>
        <w:rPr>
          <w:color w:val="232323"/>
          <w:highlight w:val="white"/>
        </w:rPr>
        <w:t xml:space="preserve"> </w:t>
      </w:r>
      <w:r w:rsidR="00BC01D6">
        <w:rPr>
          <w:color w:val="232323"/>
          <w:highlight w:val="white"/>
        </w:rPr>
        <w:t>Unsustainable and poorly regulated mining practices are increasingly threatening people’s health and livelihoods</w:t>
      </w:r>
      <w:r w:rsidR="00BC01D6" w:rsidRPr="00BC01D6">
        <w:rPr>
          <w:color w:val="232323"/>
          <w:highlight w:val="white"/>
        </w:rPr>
        <w:t xml:space="preserve"> </w:t>
      </w:r>
      <w:r w:rsidR="00BC01D6">
        <w:rPr>
          <w:color w:val="232323"/>
          <w:highlight w:val="white"/>
        </w:rPr>
        <w:t xml:space="preserve">in Southern Africa. </w:t>
      </w:r>
      <w:r>
        <w:rPr>
          <w:color w:val="232323"/>
          <w:highlight w:val="white"/>
        </w:rPr>
        <w:t xml:space="preserve">For example, the Kanyika Community in Malawi has </w:t>
      </w:r>
      <w:r w:rsidR="00BC01D6">
        <w:rPr>
          <w:color w:val="232323"/>
          <w:highlight w:val="white"/>
        </w:rPr>
        <w:t xml:space="preserve">suffered serious negative impacts of extensive mining and prospecting operations, including environmental degradation, loss of homes, water shortages and deterioration of cultural areas, and is </w:t>
      </w:r>
      <w:r>
        <w:rPr>
          <w:color w:val="232323"/>
          <w:highlight w:val="white"/>
        </w:rPr>
        <w:t>attempting</w:t>
      </w:r>
      <w:r w:rsidR="00AC2B45">
        <w:rPr>
          <w:color w:val="232323"/>
          <w:highlight w:val="white"/>
        </w:rPr>
        <w:t xml:space="preserve"> </w:t>
      </w:r>
      <w:r>
        <w:rPr>
          <w:color w:val="232323"/>
          <w:highlight w:val="white"/>
        </w:rPr>
        <w:t>to recover damages.</w:t>
      </w:r>
      <w:r w:rsidR="00CE4623">
        <w:rPr>
          <w:rStyle w:val="FootnoteReference"/>
          <w:color w:val="232323"/>
          <w:highlight w:val="white"/>
        </w:rPr>
        <w:footnoteReference w:id="17"/>
      </w:r>
    </w:p>
    <w:p w14:paraId="0BF9C2B3" w14:textId="609EB037" w:rsidR="00F644CA" w:rsidRPr="00F644CA" w:rsidRDefault="001D3F7A" w:rsidP="00F644CA">
      <w:pPr>
        <w:spacing w:line="256" w:lineRule="auto"/>
        <w:jc w:val="both"/>
        <w:rPr>
          <w:color w:val="232323"/>
          <w:highlight w:val="white"/>
        </w:rPr>
      </w:pPr>
      <w:r>
        <w:rPr>
          <w:color w:val="232323"/>
          <w:highlight w:val="white"/>
        </w:rPr>
        <w:t xml:space="preserve">The </w:t>
      </w:r>
      <w:r w:rsidR="005824EA">
        <w:rPr>
          <w:color w:val="232323"/>
          <w:highlight w:val="white"/>
        </w:rPr>
        <w:t>D</w:t>
      </w:r>
      <w:r>
        <w:rPr>
          <w:color w:val="232323"/>
          <w:highlight w:val="white"/>
        </w:rPr>
        <w:t xml:space="preserve">raft </w:t>
      </w:r>
      <w:r w:rsidR="00BC01D6">
        <w:rPr>
          <w:color w:val="232323"/>
          <w:highlight w:val="white"/>
        </w:rPr>
        <w:t xml:space="preserve">General </w:t>
      </w:r>
      <w:r>
        <w:rPr>
          <w:color w:val="232323"/>
          <w:highlight w:val="white"/>
        </w:rPr>
        <w:t>Comment does allude to these issues: para</w:t>
      </w:r>
      <w:r w:rsidR="000A6637">
        <w:rPr>
          <w:color w:val="232323"/>
          <w:highlight w:val="white"/>
        </w:rPr>
        <w:t>graphs</w:t>
      </w:r>
      <w:r>
        <w:rPr>
          <w:color w:val="232323"/>
          <w:highlight w:val="white"/>
        </w:rPr>
        <w:t xml:space="preserve"> 32</w:t>
      </w:r>
      <w:r w:rsidR="000A6637">
        <w:rPr>
          <w:color w:val="232323"/>
          <w:highlight w:val="white"/>
        </w:rPr>
        <w:t xml:space="preserve"> and 56</w:t>
      </w:r>
      <w:r>
        <w:rPr>
          <w:color w:val="232323"/>
          <w:highlight w:val="white"/>
        </w:rPr>
        <w:t xml:space="preserve"> </w:t>
      </w:r>
      <w:r w:rsidR="003F2F65">
        <w:rPr>
          <w:color w:val="232323"/>
          <w:highlight w:val="white"/>
        </w:rPr>
        <w:t>call for</w:t>
      </w:r>
      <w:r>
        <w:rPr>
          <w:color w:val="232323"/>
          <w:highlight w:val="white"/>
        </w:rPr>
        <w:t xml:space="preserve"> a legal framework requiring business entities to exercise human rights due diligence</w:t>
      </w:r>
      <w:r w:rsidR="000A6637">
        <w:rPr>
          <w:color w:val="232323"/>
          <w:highlight w:val="white"/>
        </w:rPr>
        <w:t xml:space="preserve"> and </w:t>
      </w:r>
      <w:r>
        <w:rPr>
          <w:color w:val="232323"/>
          <w:highlight w:val="white"/>
        </w:rPr>
        <w:t>procedures to address the impact of business activities</w:t>
      </w:r>
      <w:r w:rsidR="00221F91">
        <w:rPr>
          <w:color w:val="232323"/>
          <w:highlight w:val="white"/>
        </w:rPr>
        <w:t>.</w:t>
      </w:r>
      <w:r>
        <w:rPr>
          <w:color w:val="232323"/>
          <w:highlight w:val="white"/>
        </w:rPr>
        <w:t xml:space="preserve"> However, the </w:t>
      </w:r>
      <w:r w:rsidR="00BC01D6">
        <w:rPr>
          <w:color w:val="232323"/>
          <w:highlight w:val="white"/>
        </w:rPr>
        <w:t xml:space="preserve">General </w:t>
      </w:r>
      <w:r>
        <w:rPr>
          <w:color w:val="232323"/>
          <w:highlight w:val="white"/>
        </w:rPr>
        <w:lastRenderedPageBreak/>
        <w:t>Comment should explicitly address the significant issues posed by extractive industries</w:t>
      </w:r>
      <w:r w:rsidR="007B0ACB">
        <w:rPr>
          <w:color w:val="232323"/>
          <w:highlight w:val="white"/>
        </w:rPr>
        <w:t xml:space="preserve"> and </w:t>
      </w:r>
      <w:r w:rsidR="000A6637">
        <w:rPr>
          <w:color w:val="232323"/>
          <w:highlight w:val="white"/>
        </w:rPr>
        <w:t xml:space="preserve">provide </w:t>
      </w:r>
      <w:r>
        <w:rPr>
          <w:color w:val="232323"/>
          <w:highlight w:val="white"/>
        </w:rPr>
        <w:t xml:space="preserve">concrete mechanisms for justice. The Comment can reference instruments such as the UN Guiding Principles on Business and Human Rights, which discuss </w:t>
      </w:r>
      <w:r w:rsidR="00DF2AC8">
        <w:rPr>
          <w:color w:val="232323"/>
          <w:highlight w:val="white"/>
        </w:rPr>
        <w:t>state</w:t>
      </w:r>
      <w:r>
        <w:rPr>
          <w:color w:val="232323"/>
          <w:highlight w:val="white"/>
        </w:rPr>
        <w:t xml:space="preserve">s’ obligations to mitigate </w:t>
      </w:r>
      <w:r w:rsidR="007B0ACB">
        <w:rPr>
          <w:color w:val="232323"/>
          <w:highlight w:val="white"/>
        </w:rPr>
        <w:t xml:space="preserve">business-related </w:t>
      </w:r>
      <w:r>
        <w:rPr>
          <w:color w:val="232323"/>
          <w:highlight w:val="white"/>
        </w:rPr>
        <w:t>damage and to ensure</w:t>
      </w:r>
      <w:r w:rsidR="00675669">
        <w:rPr>
          <w:color w:val="232323"/>
          <w:highlight w:val="white"/>
        </w:rPr>
        <w:t xml:space="preserve"> </w:t>
      </w:r>
      <w:r>
        <w:rPr>
          <w:color w:val="232323"/>
          <w:highlight w:val="white"/>
        </w:rPr>
        <w:t xml:space="preserve">that those affected have access to </w:t>
      </w:r>
      <w:r w:rsidR="00F644CA">
        <w:rPr>
          <w:color w:val="232323"/>
          <w:highlight w:val="white"/>
        </w:rPr>
        <w:t xml:space="preserve">an </w:t>
      </w:r>
      <w:r>
        <w:rPr>
          <w:color w:val="232323"/>
          <w:highlight w:val="white"/>
        </w:rPr>
        <w:t>effective remedy.</w:t>
      </w:r>
      <w:r w:rsidR="00675669">
        <w:rPr>
          <w:color w:val="232323"/>
          <w:highlight w:val="white"/>
        </w:rPr>
        <w:t xml:space="preserve"> </w:t>
      </w:r>
      <w:r w:rsidR="00F644CA">
        <w:rPr>
          <w:bCs/>
        </w:rPr>
        <w:t>T</w:t>
      </w:r>
      <w:r w:rsidR="00F644CA" w:rsidRPr="002F72A3">
        <w:rPr>
          <w:bCs/>
          <w:color w:val="232323"/>
          <w:highlight w:val="white"/>
        </w:rPr>
        <w:t>he</w:t>
      </w:r>
      <w:r w:rsidR="00F644CA" w:rsidRPr="002F72A3">
        <w:rPr>
          <w:color w:val="232323"/>
          <w:highlight w:val="white"/>
        </w:rPr>
        <w:t xml:space="preserve"> </w:t>
      </w:r>
      <w:bookmarkStart w:id="4" w:name="_Hlk79829040"/>
      <w:r w:rsidR="00F644CA" w:rsidRPr="002F72A3">
        <w:rPr>
          <w:color w:val="232323"/>
          <w:highlight w:val="white"/>
        </w:rPr>
        <w:t>Report of the Special Rapporteur on the rights of indig</w:t>
      </w:r>
      <w:r w:rsidR="00F644CA">
        <w:rPr>
          <w:color w:val="232323"/>
          <w:highlight w:val="white"/>
        </w:rPr>
        <w:t>e</w:t>
      </w:r>
      <w:r w:rsidR="00F644CA" w:rsidRPr="002F72A3">
        <w:rPr>
          <w:color w:val="232323"/>
          <w:highlight w:val="white"/>
        </w:rPr>
        <w:t>nous people</w:t>
      </w:r>
      <w:bookmarkEnd w:id="4"/>
      <w:r w:rsidR="00F644CA" w:rsidRPr="002F72A3">
        <w:rPr>
          <w:color w:val="232323"/>
          <w:highlight w:val="white"/>
        </w:rPr>
        <w:t>:</w:t>
      </w:r>
      <w:r w:rsidR="00F644CA" w:rsidRPr="0053771A">
        <w:rPr>
          <w:color w:val="232323"/>
          <w:highlight w:val="white"/>
        </w:rPr>
        <w:t xml:space="preserve"> Extractive ind</w:t>
      </w:r>
      <w:r w:rsidR="00F644CA">
        <w:rPr>
          <w:color w:val="232323"/>
          <w:highlight w:val="white"/>
        </w:rPr>
        <w:t>u</w:t>
      </w:r>
      <w:r w:rsidR="00F644CA" w:rsidRPr="0053771A">
        <w:rPr>
          <w:color w:val="232323"/>
          <w:highlight w:val="white"/>
        </w:rPr>
        <w:t>stries and indig</w:t>
      </w:r>
      <w:r w:rsidR="00F644CA">
        <w:rPr>
          <w:color w:val="232323"/>
          <w:highlight w:val="white"/>
        </w:rPr>
        <w:t>e</w:t>
      </w:r>
      <w:r w:rsidR="00F644CA" w:rsidRPr="0053771A">
        <w:rPr>
          <w:color w:val="232323"/>
          <w:highlight w:val="white"/>
        </w:rPr>
        <w:t>nous people</w:t>
      </w:r>
      <w:r w:rsidR="00F644CA">
        <w:rPr>
          <w:rStyle w:val="FootnoteReference"/>
          <w:color w:val="232323"/>
          <w:highlight w:val="white"/>
        </w:rPr>
        <w:footnoteReference w:id="18"/>
      </w:r>
      <w:r w:rsidR="00F644CA" w:rsidRPr="0053771A">
        <w:rPr>
          <w:color w:val="232323"/>
          <w:highlight w:val="white"/>
        </w:rPr>
        <w:t xml:space="preserve"> </w:t>
      </w:r>
      <w:r w:rsidR="00F644CA">
        <w:rPr>
          <w:color w:val="232323"/>
          <w:highlight w:val="white"/>
        </w:rPr>
        <w:t xml:space="preserve">also </w:t>
      </w:r>
      <w:r w:rsidR="00F644CA" w:rsidRPr="0053771A">
        <w:rPr>
          <w:color w:val="232323"/>
          <w:highlight w:val="white"/>
        </w:rPr>
        <w:t>states in paragraph 89 that</w:t>
      </w:r>
      <w:r w:rsidR="00F644CA">
        <w:rPr>
          <w:color w:val="232323"/>
          <w:highlight w:val="white"/>
        </w:rPr>
        <w:t>:</w:t>
      </w:r>
      <w:r w:rsidR="00F644CA" w:rsidRPr="0053771A">
        <w:rPr>
          <w:color w:val="232323"/>
          <w:highlight w:val="white"/>
        </w:rPr>
        <w:t xml:space="preserve"> “Companies should conduct due d</w:t>
      </w:r>
      <w:r w:rsidR="00F644CA">
        <w:rPr>
          <w:color w:val="232323"/>
          <w:highlight w:val="white"/>
        </w:rPr>
        <w:t>i</w:t>
      </w:r>
      <w:r w:rsidR="00F644CA" w:rsidRPr="0053771A">
        <w:rPr>
          <w:color w:val="232323"/>
          <w:highlight w:val="white"/>
        </w:rPr>
        <w:t>ligence to ensure that their actions will not violate or be complicit in violating ind</w:t>
      </w:r>
      <w:r w:rsidR="00F644CA">
        <w:rPr>
          <w:color w:val="232323"/>
          <w:highlight w:val="white"/>
        </w:rPr>
        <w:t>i</w:t>
      </w:r>
      <w:r w:rsidR="00F644CA" w:rsidRPr="0053771A">
        <w:rPr>
          <w:color w:val="232323"/>
          <w:highlight w:val="white"/>
        </w:rPr>
        <w:t>g</w:t>
      </w:r>
      <w:r w:rsidR="00F644CA">
        <w:rPr>
          <w:color w:val="232323"/>
          <w:highlight w:val="white"/>
        </w:rPr>
        <w:t>e</w:t>
      </w:r>
      <w:r w:rsidR="00F644CA" w:rsidRPr="0053771A">
        <w:rPr>
          <w:color w:val="232323"/>
          <w:highlight w:val="white"/>
        </w:rPr>
        <w:t>nous people’s rights, identifying and assessing any actual or potentia</w:t>
      </w:r>
      <w:r w:rsidR="00F644CA">
        <w:rPr>
          <w:color w:val="232323"/>
          <w:highlight w:val="white"/>
        </w:rPr>
        <w:t>l</w:t>
      </w:r>
      <w:r w:rsidR="00F644CA" w:rsidRPr="0053771A">
        <w:rPr>
          <w:color w:val="232323"/>
          <w:highlight w:val="white"/>
        </w:rPr>
        <w:t xml:space="preserve"> adverse human right impacts of the resource extraction project”.</w:t>
      </w:r>
      <w:r w:rsidR="00F644CA" w:rsidRPr="00F644CA">
        <w:rPr>
          <w:color w:val="232323"/>
          <w:highlight w:val="white"/>
        </w:rPr>
        <w:t xml:space="preserve"> </w:t>
      </w:r>
      <w:r w:rsidR="00F644CA" w:rsidRPr="0053771A">
        <w:rPr>
          <w:color w:val="232323"/>
          <w:highlight w:val="white"/>
        </w:rPr>
        <w:t xml:space="preserve">The General Comment </w:t>
      </w:r>
      <w:r w:rsidR="00F644CA">
        <w:rPr>
          <w:color w:val="232323"/>
          <w:highlight w:val="white"/>
        </w:rPr>
        <w:t xml:space="preserve">should specifically address the requirement for </w:t>
      </w:r>
      <w:r w:rsidR="00F644CA" w:rsidRPr="0053771A">
        <w:rPr>
          <w:color w:val="232323"/>
          <w:highlight w:val="white"/>
        </w:rPr>
        <w:t>due d</w:t>
      </w:r>
      <w:r w:rsidR="00F644CA">
        <w:rPr>
          <w:color w:val="232323"/>
          <w:highlight w:val="white"/>
        </w:rPr>
        <w:t>il</w:t>
      </w:r>
      <w:r w:rsidR="00F644CA" w:rsidRPr="0053771A">
        <w:rPr>
          <w:color w:val="232323"/>
          <w:highlight w:val="white"/>
        </w:rPr>
        <w:t>igence</w:t>
      </w:r>
      <w:r w:rsidR="00F644CA">
        <w:rPr>
          <w:color w:val="232323"/>
          <w:highlight w:val="white"/>
        </w:rPr>
        <w:t>,</w:t>
      </w:r>
      <w:r w:rsidR="00F644CA" w:rsidRPr="0053771A">
        <w:rPr>
          <w:color w:val="232323"/>
          <w:highlight w:val="white"/>
        </w:rPr>
        <w:t xml:space="preserve"> </w:t>
      </w:r>
      <w:r w:rsidR="00F644CA">
        <w:rPr>
          <w:color w:val="232323"/>
          <w:highlight w:val="white"/>
        </w:rPr>
        <w:t>in accordance with international law principles</w:t>
      </w:r>
      <w:r w:rsidR="00F644CA" w:rsidRPr="0053771A">
        <w:rPr>
          <w:color w:val="232323"/>
          <w:highlight w:val="white"/>
        </w:rPr>
        <w:t xml:space="preserve">. </w:t>
      </w:r>
    </w:p>
    <w:p w14:paraId="00000046" w14:textId="422F1873" w:rsidR="0070320F" w:rsidRDefault="001D3F7A">
      <w:pPr>
        <w:spacing w:before="240" w:after="240" w:line="256" w:lineRule="auto"/>
        <w:jc w:val="both"/>
        <w:rPr>
          <w:color w:val="232323"/>
          <w:highlight w:val="white"/>
        </w:rPr>
      </w:pPr>
      <w:r>
        <w:rPr>
          <w:color w:val="232323"/>
          <w:highlight w:val="white"/>
        </w:rPr>
        <w:t xml:space="preserve">The General Comment may also wish to address the hierarchy of laws relating to extractive industries. </w:t>
      </w:r>
      <w:r w:rsidR="00366505">
        <w:rPr>
          <w:color w:val="232323"/>
          <w:highlight w:val="white"/>
        </w:rPr>
        <w:t>For example, t</w:t>
      </w:r>
      <w:r>
        <w:rPr>
          <w:color w:val="232323"/>
          <w:highlight w:val="white"/>
        </w:rPr>
        <w:t xml:space="preserve">he </w:t>
      </w:r>
      <w:r w:rsidR="00210D2C">
        <w:rPr>
          <w:color w:val="232323"/>
          <w:highlight w:val="white"/>
        </w:rPr>
        <w:t xml:space="preserve">Zimbabwe </w:t>
      </w:r>
      <w:r>
        <w:rPr>
          <w:color w:val="232323"/>
          <w:highlight w:val="white"/>
        </w:rPr>
        <w:t xml:space="preserve">Mines and Minerals Act of 1961 </w:t>
      </w:r>
      <w:r w:rsidR="00BC01D6">
        <w:rPr>
          <w:color w:val="232323"/>
          <w:highlight w:val="white"/>
        </w:rPr>
        <w:t>takes precedence over</w:t>
      </w:r>
      <w:r>
        <w:rPr>
          <w:color w:val="232323"/>
          <w:highlight w:val="white"/>
        </w:rPr>
        <w:t xml:space="preserve"> traditional and communal land laws, and other sectors</w:t>
      </w:r>
      <w:r w:rsidR="004D76EA">
        <w:rPr>
          <w:color w:val="232323"/>
          <w:highlight w:val="white"/>
        </w:rPr>
        <w:t>.</w:t>
      </w:r>
      <w:r>
        <w:rPr>
          <w:color w:val="232323"/>
          <w:highlight w:val="white"/>
          <w:vertAlign w:val="superscript"/>
        </w:rPr>
        <w:footnoteReference w:id="19"/>
      </w:r>
      <w:r>
        <w:rPr>
          <w:color w:val="232323"/>
          <w:highlight w:val="white"/>
        </w:rPr>
        <w:t xml:space="preserve"> The precedence of the Act has resulted in </w:t>
      </w:r>
      <w:r w:rsidR="00F644CA">
        <w:rPr>
          <w:color w:val="232323"/>
          <w:highlight w:val="white"/>
        </w:rPr>
        <w:t xml:space="preserve">authorisation of </w:t>
      </w:r>
      <w:r>
        <w:rPr>
          <w:color w:val="232323"/>
          <w:highlight w:val="white"/>
        </w:rPr>
        <w:t xml:space="preserve">mining in National Parks, heritage sites and communal lands, </w:t>
      </w:r>
      <w:r w:rsidR="001F4E68">
        <w:rPr>
          <w:color w:val="232323"/>
          <w:highlight w:val="white"/>
        </w:rPr>
        <w:t xml:space="preserve">infringing </w:t>
      </w:r>
      <w:r>
        <w:rPr>
          <w:color w:val="232323"/>
          <w:highlight w:val="white"/>
        </w:rPr>
        <w:t xml:space="preserve">on local </w:t>
      </w:r>
      <w:r>
        <w:rPr>
          <w:color w:val="232323"/>
          <w:highlight w:val="white"/>
        </w:rPr>
        <w:lastRenderedPageBreak/>
        <w:t>communities’ land rights</w:t>
      </w:r>
      <w:r w:rsidR="00BC01D6">
        <w:rPr>
          <w:color w:val="232323"/>
          <w:highlight w:val="white"/>
        </w:rPr>
        <w:t xml:space="preserve">, </w:t>
      </w:r>
      <w:r>
        <w:rPr>
          <w:color w:val="232323"/>
          <w:highlight w:val="white"/>
        </w:rPr>
        <w:t xml:space="preserve">access to </w:t>
      </w:r>
      <w:r w:rsidR="00562C05">
        <w:rPr>
          <w:color w:val="232323"/>
          <w:highlight w:val="white"/>
        </w:rPr>
        <w:t>natural resources</w:t>
      </w:r>
      <w:r w:rsidR="00BC01D6">
        <w:rPr>
          <w:color w:val="232323"/>
          <w:highlight w:val="white"/>
        </w:rPr>
        <w:t>, and right to a healthy environment</w:t>
      </w:r>
      <w:r w:rsidR="004D76EA">
        <w:rPr>
          <w:color w:val="232323"/>
          <w:highlight w:val="white"/>
        </w:rPr>
        <w:t>.</w:t>
      </w:r>
      <w:r>
        <w:rPr>
          <w:color w:val="232323"/>
          <w:highlight w:val="white"/>
          <w:vertAlign w:val="superscript"/>
        </w:rPr>
        <w:footnoteReference w:id="20"/>
      </w:r>
    </w:p>
    <w:p w14:paraId="00000048" w14:textId="6A959CCC" w:rsidR="0070320F" w:rsidRPr="00321017" w:rsidRDefault="001D3F7A" w:rsidP="00BF18D4">
      <w:pPr>
        <w:pStyle w:val="Heading1"/>
        <w:spacing w:after="160"/>
        <w:ind w:firstLine="851"/>
        <w:rPr>
          <w:sz w:val="28"/>
          <w:szCs w:val="28"/>
        </w:rPr>
      </w:pPr>
      <w:r w:rsidRPr="00321017">
        <w:rPr>
          <w:sz w:val="28"/>
          <w:szCs w:val="28"/>
        </w:rPr>
        <w:t>6</w:t>
      </w:r>
      <w:r w:rsidRPr="00321017">
        <w:rPr>
          <w:rFonts w:ascii="Calibri Light" w:eastAsia="Calibri Light" w:hAnsi="Calibri Light" w:cs="Calibri Light"/>
          <w:color w:val="2F5496"/>
          <w:sz w:val="28"/>
          <w:szCs w:val="28"/>
        </w:rPr>
        <w:t>.2</w:t>
      </w:r>
      <w:r w:rsidRPr="00321017">
        <w:rPr>
          <w:rFonts w:ascii="Calibri Light" w:eastAsia="Calibri Light" w:hAnsi="Calibri Light" w:cs="Calibri Light"/>
          <w:color w:val="2F5496"/>
          <w:sz w:val="28"/>
          <w:szCs w:val="28"/>
        </w:rPr>
        <w:tab/>
        <w:t>Wetlands</w:t>
      </w:r>
    </w:p>
    <w:p w14:paraId="0000004B" w14:textId="610CAB14" w:rsidR="0070320F" w:rsidRDefault="00321017" w:rsidP="00522F39">
      <w:pPr>
        <w:spacing w:line="256" w:lineRule="auto"/>
        <w:jc w:val="both"/>
      </w:pPr>
      <w:r>
        <w:t xml:space="preserve">The critical issue of ecosystems and wetlands protection is mentioned in paragraph 7 of the General Comment, however the issue of regulating development on wetlands could be addressed in more detail. </w:t>
      </w:r>
      <w:r w:rsidR="001D3F7A">
        <w:t xml:space="preserve">Corruption and poor governance in urban planning procedures has led to rampant development on wetlands in </w:t>
      </w:r>
      <w:r w:rsidR="00BC01D6">
        <w:t>Southern Africa</w:t>
      </w:r>
      <w:r w:rsidR="001D3F7A">
        <w:t xml:space="preserve">. ZLHR has </w:t>
      </w:r>
      <w:r w:rsidR="00F644CA">
        <w:t xml:space="preserve">extensively </w:t>
      </w:r>
      <w:r w:rsidR="001D3F7A">
        <w:t>litigated to protect urban wetlands in Harare</w:t>
      </w:r>
      <w:r w:rsidR="00BC01D6">
        <w:t>,</w:t>
      </w:r>
      <w:r w:rsidR="001D3F7A">
        <w:t xml:space="preserve"> to safeguard the city’s water source. </w:t>
      </w:r>
      <w:r w:rsidR="001F4E68">
        <w:t>D</w:t>
      </w:r>
      <w:r w:rsidR="001D3F7A">
        <w:t>espite Zimbabwe</w:t>
      </w:r>
      <w:r w:rsidR="0043623C">
        <w:t>’s</w:t>
      </w:r>
      <w:r w:rsidR="001D3F7A">
        <w:t xml:space="preserve"> </w:t>
      </w:r>
      <w:r w:rsidR="001F4E68">
        <w:t>ratification of</w:t>
      </w:r>
      <w:r w:rsidR="001D3F7A">
        <w:t xml:space="preserve"> international environmental treaties</w:t>
      </w:r>
      <w:r w:rsidR="00F644CA">
        <w:t>,</w:t>
      </w:r>
      <w:r w:rsidR="001D3F7A">
        <w:t xml:space="preserve"> and </w:t>
      </w:r>
      <w:r w:rsidR="00F644CA">
        <w:t xml:space="preserve">despite </w:t>
      </w:r>
      <w:r w:rsidR="001D3F7A">
        <w:t>having strong environmental rights principles in its Environmental Management Act and Constitution, there are numerous loopholes allowing for development to continue</w:t>
      </w:r>
      <w:r w:rsidR="0043623C">
        <w:t>.</w:t>
      </w:r>
      <w:r w:rsidR="001D3F7A">
        <w:rPr>
          <w:vertAlign w:val="superscript"/>
        </w:rPr>
        <w:footnoteReference w:id="21"/>
      </w:r>
      <w:r w:rsidR="001D3F7A">
        <w:t xml:space="preserve"> Critically, </w:t>
      </w:r>
      <w:r w:rsidR="002D46DF">
        <w:t>despite</w:t>
      </w:r>
      <w:r w:rsidR="001D3F7A">
        <w:t xml:space="preserve"> recognis</w:t>
      </w:r>
      <w:r w:rsidR="002D46DF">
        <w:t>ing</w:t>
      </w:r>
      <w:r w:rsidR="001D3F7A">
        <w:t xml:space="preserve"> various wetlands as Ramsar sites of international importance</w:t>
      </w:r>
      <w:r w:rsidR="0043623C">
        <w:t>,</w:t>
      </w:r>
      <w:r w:rsidR="001D3F7A">
        <w:rPr>
          <w:vertAlign w:val="superscript"/>
        </w:rPr>
        <w:footnoteReference w:id="22"/>
      </w:r>
      <w:r w:rsidR="001D3F7A">
        <w:t xml:space="preserve"> </w:t>
      </w:r>
      <w:r w:rsidR="001F4E68">
        <w:t>the</w:t>
      </w:r>
      <w:r w:rsidR="00F644CA">
        <w:t xml:space="preserve"> wetlands </w:t>
      </w:r>
      <w:r w:rsidR="001D3F7A">
        <w:t xml:space="preserve">have not been gazetted and development can still </w:t>
      </w:r>
      <w:r w:rsidR="00F644CA">
        <w:t xml:space="preserve">easily </w:t>
      </w:r>
      <w:r w:rsidR="001D3F7A">
        <w:t>be authorised under domestic law.</w:t>
      </w:r>
      <w:r w:rsidR="00EF2B6E">
        <w:t xml:space="preserve"> </w:t>
      </w:r>
    </w:p>
    <w:sectPr w:rsidR="0070320F">
      <w:headerReference w:type="default" r:id="rId13"/>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1E75" w14:textId="77777777" w:rsidR="003953FE" w:rsidRDefault="003953FE">
      <w:pPr>
        <w:spacing w:after="0" w:line="240" w:lineRule="auto"/>
      </w:pPr>
      <w:r>
        <w:separator/>
      </w:r>
    </w:p>
  </w:endnote>
  <w:endnote w:type="continuationSeparator" w:id="0">
    <w:p w14:paraId="36B95833" w14:textId="77777777" w:rsidR="003953FE" w:rsidRDefault="00395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05391"/>
      <w:docPartObj>
        <w:docPartGallery w:val="Page Numbers (Bottom of Page)"/>
        <w:docPartUnique/>
      </w:docPartObj>
    </w:sdtPr>
    <w:sdtEndPr>
      <w:rPr>
        <w:noProof/>
      </w:rPr>
    </w:sdtEndPr>
    <w:sdtContent>
      <w:p w14:paraId="3F0B66A8" w14:textId="64E98F73" w:rsidR="005824EA" w:rsidRDefault="005824EA">
        <w:pPr>
          <w:pStyle w:val="Footer"/>
          <w:jc w:val="center"/>
        </w:pPr>
        <w:r>
          <w:rPr>
            <w:noProof w:val="0"/>
          </w:rPr>
          <w:fldChar w:fldCharType="begin"/>
        </w:r>
        <w:r>
          <w:instrText xml:space="preserve"> PAGE   \* MERGEFORMAT </w:instrText>
        </w:r>
        <w:r>
          <w:rPr>
            <w:noProof w:val="0"/>
          </w:rPr>
          <w:fldChar w:fldCharType="separate"/>
        </w:r>
        <w:r w:rsidR="00FC4023">
          <w:t>1</w:t>
        </w:r>
        <w:r>
          <w:fldChar w:fldCharType="end"/>
        </w:r>
      </w:p>
    </w:sdtContent>
  </w:sdt>
  <w:p w14:paraId="09A6AE65" w14:textId="77777777" w:rsidR="005824EA" w:rsidRDefault="00582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8DF18" w14:textId="77777777" w:rsidR="003953FE" w:rsidRDefault="003953FE">
      <w:pPr>
        <w:spacing w:after="0" w:line="240" w:lineRule="auto"/>
      </w:pPr>
      <w:r>
        <w:separator/>
      </w:r>
    </w:p>
  </w:footnote>
  <w:footnote w:type="continuationSeparator" w:id="0">
    <w:p w14:paraId="075DE3BF" w14:textId="77777777" w:rsidR="003953FE" w:rsidRDefault="003953FE">
      <w:pPr>
        <w:spacing w:after="0" w:line="240" w:lineRule="auto"/>
      </w:pPr>
      <w:r>
        <w:continuationSeparator/>
      </w:r>
    </w:p>
  </w:footnote>
  <w:footnote w:id="1">
    <w:p w14:paraId="0000004D"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w:t>
      </w:r>
      <w:hyperlink r:id="rId1">
        <w:r w:rsidRPr="004D76EA">
          <w:rPr>
            <w:color w:val="0563C1"/>
            <w:sz w:val="20"/>
            <w:szCs w:val="20"/>
            <w:highlight w:val="white"/>
            <w:u w:val="single"/>
          </w:rPr>
          <w:t>https://www.ohchr.org/EN/Issues/TruthJusticeReparation/Pages/Resources.aspx</w:t>
        </w:r>
      </w:hyperlink>
      <w:r w:rsidRPr="004D76EA">
        <w:rPr>
          <w:sz w:val="20"/>
          <w:szCs w:val="20"/>
          <w:highlight w:val="white"/>
        </w:rPr>
        <w:t>;</w:t>
      </w:r>
      <w:hyperlink r:id="rId2">
        <w:r w:rsidRPr="004D76EA">
          <w:rPr>
            <w:sz w:val="20"/>
            <w:szCs w:val="20"/>
            <w:highlight w:val="white"/>
          </w:rPr>
          <w:t xml:space="preserve"> </w:t>
        </w:r>
      </w:hyperlink>
      <w:hyperlink r:id="rId3">
        <w:r w:rsidRPr="004D76EA">
          <w:rPr>
            <w:color w:val="0563C1"/>
            <w:sz w:val="20"/>
            <w:szCs w:val="20"/>
            <w:highlight w:val="white"/>
            <w:u w:val="single"/>
          </w:rPr>
          <w:t>https://www.ohchr.org/EN/Issues/TruthJusticeReparation/Pages/InternationalInstruments.aspx</w:t>
        </w:r>
      </w:hyperlink>
      <w:r w:rsidRPr="004D76EA">
        <w:rPr>
          <w:sz w:val="20"/>
          <w:szCs w:val="20"/>
          <w:highlight w:val="white"/>
        </w:rPr>
        <w:t>; Transitional Justice and Economic, Social and Cultural Rights (HR/PUB/13/5)</w:t>
      </w:r>
      <w:hyperlink r:id="rId4">
        <w:r w:rsidRPr="004D76EA">
          <w:rPr>
            <w:sz w:val="20"/>
            <w:szCs w:val="20"/>
          </w:rPr>
          <w:t xml:space="preserve"> </w:t>
        </w:r>
      </w:hyperlink>
      <w:hyperlink r:id="rId5">
        <w:r w:rsidRPr="004D76EA">
          <w:rPr>
            <w:color w:val="0563C1"/>
            <w:sz w:val="20"/>
            <w:szCs w:val="20"/>
            <w:u w:val="single"/>
          </w:rPr>
          <w:t>https://www.ohchr.org/Documents/Publications/HR-PUB-13-05.pdf</w:t>
        </w:r>
      </w:hyperlink>
      <w:r w:rsidRPr="004D76EA">
        <w:rPr>
          <w:sz w:val="20"/>
          <w:szCs w:val="20"/>
        </w:rPr>
        <w:t>;  Basic Principles and Guidelines on the Right to a Remedy and Reparation for Victims of Gross Violations of International Human Rights Law and Serious Violations of International Humanitarian Law</w:t>
      </w:r>
      <w:hyperlink r:id="rId6">
        <w:r w:rsidRPr="004D76EA">
          <w:rPr>
            <w:sz w:val="20"/>
            <w:szCs w:val="20"/>
          </w:rPr>
          <w:t xml:space="preserve"> </w:t>
        </w:r>
      </w:hyperlink>
      <w:hyperlink r:id="rId7">
        <w:r w:rsidRPr="004D76EA">
          <w:rPr>
            <w:color w:val="0563C1"/>
            <w:sz w:val="20"/>
            <w:szCs w:val="20"/>
            <w:u w:val="single"/>
          </w:rPr>
          <w:t>https://www.ohchr.org/EN/ProfessionalInterest/Pages/RemedyAndReparation.aspx</w:t>
        </w:r>
      </w:hyperlink>
    </w:p>
  </w:footnote>
  <w:footnote w:id="2">
    <w:p w14:paraId="0000004C"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Palmer, Robin. (1977) Land and Racial Domination in Rhodesia. London: Heinemann</w:t>
      </w:r>
    </w:p>
  </w:footnote>
  <w:footnote w:id="3">
    <w:p w14:paraId="00000053" w14:textId="05A4A2E6"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Moss T </w:t>
      </w:r>
      <w:r w:rsidRPr="004D76EA">
        <w:rPr>
          <w:i/>
          <w:sz w:val="20"/>
          <w:szCs w:val="20"/>
        </w:rPr>
        <w:t>‘Zimbabwe's Two Land Tragedies That Must be Resolved ’</w:t>
      </w:r>
      <w:r w:rsidRPr="004D76EA">
        <w:rPr>
          <w:sz w:val="20"/>
          <w:szCs w:val="20"/>
        </w:rPr>
        <w:t xml:space="preserve"> Available at</w:t>
      </w:r>
      <w:hyperlink r:id="rId8">
        <w:r w:rsidRPr="004D76EA">
          <w:rPr>
            <w:color w:val="1155CC"/>
            <w:sz w:val="20"/>
            <w:szCs w:val="20"/>
          </w:rPr>
          <w:t xml:space="preserve"> </w:t>
        </w:r>
      </w:hyperlink>
      <w:hyperlink r:id="rId9">
        <w:r w:rsidRPr="004D76EA">
          <w:rPr>
            <w:color w:val="0563C1"/>
            <w:sz w:val="20"/>
            <w:szCs w:val="20"/>
            <w:u w:val="single"/>
          </w:rPr>
          <w:t>https://www.cgdev.org/page/zimbabwes-two-land-tragedies-must-be-resolved</w:t>
        </w:r>
      </w:hyperlink>
    </w:p>
  </w:footnote>
  <w:footnote w:id="4">
    <w:p w14:paraId="00000050" w14:textId="180A057C"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Food and Agriculture Organization of the United Nations ‘Zimbabwe at a glance’</w:t>
      </w:r>
      <w:r w:rsidR="009A74B7" w:rsidRPr="004D76EA">
        <w:rPr>
          <w:sz w:val="20"/>
          <w:szCs w:val="20"/>
        </w:rPr>
        <w:t>.</w:t>
      </w:r>
      <w:r w:rsidRPr="004D76EA">
        <w:rPr>
          <w:sz w:val="20"/>
          <w:szCs w:val="20"/>
        </w:rPr>
        <w:t xml:space="preserve"> Available at</w:t>
      </w:r>
      <w:hyperlink r:id="rId10" w:anchor=":~:text=Zimbabwe%20is%20a%20landlocked%20southern,wildlife%2C%20and%20for%20urban%20settlements">
        <w:r w:rsidRPr="004D76EA">
          <w:rPr>
            <w:color w:val="1155CC"/>
            <w:sz w:val="20"/>
            <w:szCs w:val="20"/>
          </w:rPr>
          <w:t xml:space="preserve"> </w:t>
        </w:r>
      </w:hyperlink>
      <w:hyperlink r:id="rId11" w:anchor=":~:text=Zimbabwe%20is%20a%20landlocked%20southern,wildlife%2C%20and%20for%20urban%20settlements">
        <w:r w:rsidRPr="004D76EA">
          <w:rPr>
            <w:color w:val="0563C1"/>
            <w:sz w:val="20"/>
            <w:szCs w:val="20"/>
            <w:u w:val="single"/>
          </w:rPr>
          <w:t>http://www.fao.org/zimbabwe/fao-in-zimbabwe/zimbabwe-at-a-glance/en/#:~:text=Zimbabwe%20is%20a%20landlocked%20southern,wildlife%2C%20and%20for%20urban%20settlements</w:t>
        </w:r>
      </w:hyperlink>
      <w:r w:rsidRPr="004D76EA">
        <w:rPr>
          <w:sz w:val="20"/>
          <w:szCs w:val="20"/>
        </w:rPr>
        <w:t xml:space="preserve">  </w:t>
      </w:r>
    </w:p>
  </w:footnote>
  <w:footnote w:id="5">
    <w:p w14:paraId="00000051" w14:textId="538114CD"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Pritchard J, Lesniewska F, Lomax T, Ozinga S and Morel C ‘</w:t>
      </w:r>
      <w:r w:rsidRPr="004D76EA">
        <w:rPr>
          <w:i/>
          <w:sz w:val="20"/>
          <w:szCs w:val="20"/>
        </w:rPr>
        <w:t xml:space="preserve">Securing community land and resource rights in Africa: A guide to legal reform and best practices’ </w:t>
      </w:r>
      <w:r w:rsidRPr="004D76EA">
        <w:rPr>
          <w:sz w:val="20"/>
          <w:szCs w:val="20"/>
        </w:rPr>
        <w:t>2013</w:t>
      </w:r>
      <w:r w:rsidR="009A74B7" w:rsidRPr="004D76EA">
        <w:rPr>
          <w:sz w:val="20"/>
          <w:szCs w:val="20"/>
        </w:rPr>
        <w:t>.</w:t>
      </w:r>
      <w:r w:rsidRPr="004D76EA">
        <w:rPr>
          <w:sz w:val="20"/>
          <w:szCs w:val="20"/>
        </w:rPr>
        <w:t xml:space="preserve"> Available at</w:t>
      </w:r>
      <w:hyperlink r:id="rId12">
        <w:r w:rsidRPr="004D76EA">
          <w:rPr>
            <w:color w:val="1155CC"/>
            <w:sz w:val="20"/>
            <w:szCs w:val="20"/>
          </w:rPr>
          <w:t xml:space="preserve"> </w:t>
        </w:r>
      </w:hyperlink>
      <w:hyperlink r:id="rId13">
        <w:r w:rsidRPr="004D76EA">
          <w:rPr>
            <w:color w:val="0563C1"/>
            <w:sz w:val="20"/>
            <w:szCs w:val="20"/>
            <w:u w:val="single"/>
          </w:rPr>
          <w:t>https://www.fern.org/fileadmin/uploads/fern/Documents/Securing%20community%20land%20and%20resource%20rights%20in%20Africa.pdf</w:t>
        </w:r>
      </w:hyperlink>
      <w:r w:rsidRPr="004D76EA">
        <w:rPr>
          <w:sz w:val="20"/>
          <w:szCs w:val="20"/>
        </w:rPr>
        <w:t xml:space="preserve">  </w:t>
      </w:r>
    </w:p>
  </w:footnote>
  <w:footnote w:id="6">
    <w:p w14:paraId="00000052" w14:textId="1A07E380"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​​Pritchard J, Lesniewska F, Lomax T, Ozinga S and Morel C ‘</w:t>
      </w:r>
      <w:r w:rsidRPr="004D76EA">
        <w:rPr>
          <w:i/>
          <w:sz w:val="20"/>
          <w:szCs w:val="20"/>
        </w:rPr>
        <w:t xml:space="preserve">Securing community land and resource rights in Africa: A guide to legal reform and best practices’ </w:t>
      </w:r>
      <w:r w:rsidRPr="004D76EA">
        <w:rPr>
          <w:sz w:val="20"/>
          <w:szCs w:val="20"/>
        </w:rPr>
        <w:t>2013 Available at</w:t>
      </w:r>
      <w:hyperlink r:id="rId14">
        <w:r w:rsidRPr="004D76EA">
          <w:rPr>
            <w:color w:val="1155CC"/>
            <w:sz w:val="20"/>
            <w:szCs w:val="20"/>
          </w:rPr>
          <w:t xml:space="preserve"> </w:t>
        </w:r>
      </w:hyperlink>
      <w:hyperlink r:id="rId15">
        <w:r w:rsidRPr="004D76EA">
          <w:rPr>
            <w:color w:val="0563C1"/>
            <w:sz w:val="20"/>
            <w:szCs w:val="20"/>
            <w:u w:val="single"/>
          </w:rPr>
          <w:t>https://www.fern.org/fileadmin/uploads/fern/Documents/Securing%20community%20land%20and%20resource%20rights%20in%20Africa.pdf</w:t>
        </w:r>
      </w:hyperlink>
      <w:r w:rsidRPr="004D76EA">
        <w:rPr>
          <w:sz w:val="20"/>
          <w:szCs w:val="20"/>
        </w:rPr>
        <w:t xml:space="preserve">  </w:t>
      </w:r>
    </w:p>
  </w:footnote>
  <w:footnote w:id="7">
    <w:p w14:paraId="0A5D7B52" w14:textId="252DB24F" w:rsidR="00E84293" w:rsidRPr="004D76EA" w:rsidRDefault="00E84293" w:rsidP="004D76EA">
      <w:pPr>
        <w:spacing w:after="0" w:line="240" w:lineRule="auto"/>
        <w:rPr>
          <w:color w:val="232323"/>
          <w:sz w:val="20"/>
          <w:szCs w:val="20"/>
          <w:highlight w:val="white"/>
        </w:rPr>
      </w:pPr>
      <w:r w:rsidRPr="004D76EA">
        <w:rPr>
          <w:rStyle w:val="FootnoteReference"/>
          <w:sz w:val="20"/>
          <w:szCs w:val="20"/>
        </w:rPr>
        <w:footnoteRef/>
      </w:r>
      <w:r w:rsidR="009A74B7" w:rsidRPr="004D76EA">
        <w:rPr>
          <w:sz w:val="20"/>
          <w:szCs w:val="20"/>
        </w:rPr>
        <w:t xml:space="preserve"> </w:t>
      </w:r>
      <w:r w:rsidRPr="004D76EA">
        <w:rPr>
          <w:sz w:val="20"/>
          <w:szCs w:val="20"/>
        </w:rPr>
        <w:t>Zambia Deeds and Registry Act a</w:t>
      </w:r>
      <w:r w:rsidRPr="004D76EA">
        <w:rPr>
          <w:i/>
          <w:iCs/>
          <w:color w:val="232323"/>
          <w:sz w:val="20"/>
          <w:szCs w:val="20"/>
          <w:highlight w:val="white"/>
        </w:rPr>
        <w:t xml:space="preserve">s amended by S.I. No. </w:t>
      </w:r>
      <w:r w:rsidRPr="004D76EA">
        <w:rPr>
          <w:color w:val="232323"/>
          <w:sz w:val="20"/>
          <w:szCs w:val="20"/>
          <w:highlight w:val="white"/>
        </w:rPr>
        <w:t xml:space="preserve">65 </w:t>
      </w:r>
      <w:r w:rsidRPr="004D76EA">
        <w:rPr>
          <w:i/>
          <w:iCs/>
          <w:color w:val="232323"/>
          <w:sz w:val="20"/>
          <w:szCs w:val="20"/>
          <w:highlight w:val="white"/>
        </w:rPr>
        <w:t xml:space="preserve">of </w:t>
      </w:r>
      <w:r w:rsidRPr="004D76EA">
        <w:rPr>
          <w:color w:val="232323"/>
          <w:sz w:val="20"/>
          <w:szCs w:val="20"/>
          <w:highlight w:val="white"/>
        </w:rPr>
        <w:t>1965”</w:t>
      </w:r>
      <w:r w:rsidRPr="004D76EA">
        <w:rPr>
          <w:color w:val="232323"/>
          <w:sz w:val="20"/>
          <w:szCs w:val="20"/>
        </w:rPr>
        <w:t xml:space="preserve"> </w:t>
      </w:r>
      <w:hyperlink r:id="rId16" w:history="1">
        <w:r w:rsidRPr="004D76EA">
          <w:rPr>
            <w:rStyle w:val="Hyperlink"/>
            <w:sz w:val="20"/>
            <w:szCs w:val="20"/>
          </w:rPr>
          <w:t>https://www.parliament.gov.zm/sites/default/files/documents/acts/Lands%20and%20Deeds%20Registry%20Act.pdf</w:t>
        </w:r>
      </w:hyperlink>
      <w:r w:rsidRPr="004D76EA">
        <w:rPr>
          <w:sz w:val="20"/>
          <w:szCs w:val="20"/>
        </w:rPr>
        <w:t xml:space="preserve"> </w:t>
      </w:r>
    </w:p>
  </w:footnote>
  <w:footnote w:id="8">
    <w:p w14:paraId="7461FE26" w14:textId="63A0A385" w:rsidR="00834A87" w:rsidRPr="004D76EA" w:rsidRDefault="00834A87" w:rsidP="004D76EA">
      <w:pPr>
        <w:pStyle w:val="FootnoteText"/>
        <w:rPr>
          <w:lang w:val="en-US"/>
        </w:rPr>
      </w:pPr>
      <w:r w:rsidRPr="004D76EA">
        <w:rPr>
          <w:rStyle w:val="FootnoteReference"/>
        </w:rPr>
        <w:footnoteRef/>
      </w:r>
      <w:r w:rsidRPr="004D76EA">
        <w:t xml:space="preserve"> https://www.southernafricalitigationcentre.org/2021/05/21/news-release-botswana-high-court-finds-compulsory-acquisition-of-a-tribes-freehold-land-unlawful/</w:t>
      </w:r>
    </w:p>
  </w:footnote>
  <w:footnote w:id="9">
    <w:p w14:paraId="262F5858" w14:textId="5BC3184B" w:rsidR="003A1409" w:rsidRPr="004D76EA" w:rsidRDefault="003A1409" w:rsidP="004D76EA">
      <w:pPr>
        <w:pStyle w:val="FootnoteText"/>
        <w:rPr>
          <w:lang w:val="en-US"/>
        </w:rPr>
      </w:pPr>
      <w:r w:rsidRPr="004D76EA">
        <w:rPr>
          <w:rStyle w:val="FootnoteReference"/>
        </w:rPr>
        <w:footnoteRef/>
      </w:r>
      <w:r w:rsidRPr="004D76EA">
        <w:t xml:space="preserve"> https://www.southernafricalitigationcentre.org/2017/05/29/zambia-challenging-forced-eviction-of-communities-living-on-customary-land/</w:t>
      </w:r>
    </w:p>
  </w:footnote>
  <w:footnote w:id="10">
    <w:p w14:paraId="00000055"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w:t>
      </w:r>
      <w:r w:rsidRPr="004D76EA">
        <w:rPr>
          <w:b/>
          <w:sz w:val="20"/>
          <w:szCs w:val="20"/>
        </w:rPr>
        <w:t xml:space="preserve"> </w:t>
      </w:r>
      <w:hyperlink r:id="rId17">
        <w:r w:rsidRPr="004D76EA">
          <w:rPr>
            <w:color w:val="1155CC"/>
            <w:sz w:val="20"/>
            <w:szCs w:val="20"/>
            <w:u w:val="single"/>
          </w:rPr>
          <w:t>https://bigsr.africa/bsr-at-the-mercy-of-the-state-plight-of-the-chilonga-community/</w:t>
        </w:r>
      </w:hyperlink>
    </w:p>
  </w:footnote>
  <w:footnote w:id="11">
    <w:p w14:paraId="7CBA93AE" w14:textId="746CB4B7" w:rsidR="003A1409" w:rsidRPr="004D76EA" w:rsidRDefault="003A1409" w:rsidP="004D76EA">
      <w:pPr>
        <w:pStyle w:val="FootnoteText"/>
        <w:rPr>
          <w:lang w:val="en-US"/>
        </w:rPr>
      </w:pPr>
      <w:r w:rsidRPr="004D76EA">
        <w:rPr>
          <w:rStyle w:val="FootnoteReference"/>
        </w:rPr>
        <w:footnoteRef/>
      </w:r>
      <w:r w:rsidRPr="004D76EA">
        <w:t xml:space="preserve"> https://www.humanrightspulse.com/mastercontentblog/danger-looms-the-chilonga-village-evictions-in-zimbabwe</w:t>
      </w:r>
    </w:p>
  </w:footnote>
  <w:footnote w:id="12">
    <w:p w14:paraId="03E3E58F" w14:textId="2F755F38" w:rsidR="003A1409" w:rsidRPr="004D76EA" w:rsidRDefault="003A1409" w:rsidP="004D76EA">
      <w:pPr>
        <w:pStyle w:val="FootnoteText"/>
        <w:rPr>
          <w:lang w:val="en-US"/>
        </w:rPr>
      </w:pPr>
      <w:r w:rsidRPr="004D76EA">
        <w:rPr>
          <w:rStyle w:val="FootnoteReference"/>
        </w:rPr>
        <w:footnoteRef/>
      </w:r>
      <w:r w:rsidRPr="004D76EA">
        <w:t xml:space="preserve"> https://www.southernafricalitigationcentre.org/2014/09/29/lesotho-womens-right-to-chieftainship/</w:t>
      </w:r>
    </w:p>
  </w:footnote>
  <w:footnote w:id="13">
    <w:p w14:paraId="1460233E" w14:textId="67E54F18" w:rsidR="00117949" w:rsidRPr="004D76EA" w:rsidRDefault="00117949" w:rsidP="004D76EA">
      <w:pPr>
        <w:pStyle w:val="FootnoteText"/>
        <w:rPr>
          <w:lang w:val="en-US"/>
        </w:rPr>
      </w:pPr>
      <w:r w:rsidRPr="004D76EA">
        <w:rPr>
          <w:rStyle w:val="FootnoteReference"/>
        </w:rPr>
        <w:footnoteRef/>
      </w:r>
      <w:r w:rsidRPr="004D76EA">
        <w:t xml:space="preserve"> https://www.southernafricalitigationcentre.org/2013/09/03/botswana-womens-inheritance-rights-under-customary-law/</w:t>
      </w:r>
    </w:p>
  </w:footnote>
  <w:footnote w:id="14">
    <w:p w14:paraId="47708F01" w14:textId="6D73C8F5" w:rsidR="00A2649E" w:rsidRPr="00A2649E" w:rsidRDefault="00A2649E">
      <w:pPr>
        <w:pStyle w:val="FootnoteText"/>
        <w:rPr>
          <w:lang w:val="en-US"/>
        </w:rPr>
      </w:pPr>
      <w:r>
        <w:rPr>
          <w:rStyle w:val="FootnoteReference"/>
        </w:rPr>
        <w:footnoteRef/>
      </w:r>
      <w:r>
        <w:t xml:space="preserve"> </w:t>
      </w:r>
      <w:r w:rsidRPr="00A84385">
        <w:rPr>
          <w:i/>
          <w:iCs/>
          <w:color w:val="232323"/>
          <w:highlight w:val="white"/>
        </w:rPr>
        <w:t>Sacolo v Sacolo</w:t>
      </w:r>
      <w:r>
        <w:rPr>
          <w:color w:val="232323"/>
          <w:highlight w:val="white"/>
        </w:rPr>
        <w:t xml:space="preserve"> </w:t>
      </w:r>
      <w:r w:rsidRPr="00515EF0">
        <w:rPr>
          <w:color w:val="232323"/>
          <w:highlight w:val="white"/>
        </w:rPr>
        <w:t>(1403/ 16) [2019] SZHC (166)</w:t>
      </w:r>
    </w:p>
  </w:footnote>
  <w:footnote w:id="15">
    <w:p w14:paraId="50527BEE" w14:textId="6BB6FECE" w:rsidR="00A2649E" w:rsidRPr="00A2649E" w:rsidRDefault="00A2649E">
      <w:pPr>
        <w:pStyle w:val="FootnoteText"/>
        <w:rPr>
          <w:lang w:val="en-ZW"/>
        </w:rPr>
      </w:pPr>
      <w:r>
        <w:rPr>
          <w:rStyle w:val="FootnoteReference"/>
        </w:rPr>
        <w:footnoteRef/>
      </w:r>
      <w:r>
        <w:t xml:space="preserve"> </w:t>
      </w:r>
      <w:r w:rsidRPr="00A2649E">
        <w:rPr>
          <w:lang w:val="en-ZW"/>
        </w:rPr>
        <w:t>Chigwada v Chigwada &amp; 2 Ors (SC 188-20, Civil Appeal No. SC 397/17) [2020] ZWSC 188 (28 December 2020)</w:t>
      </w:r>
    </w:p>
  </w:footnote>
  <w:footnote w:id="16">
    <w:p w14:paraId="3EC8D874" w14:textId="1E43E855" w:rsidR="00CE4623" w:rsidRPr="004D76EA" w:rsidRDefault="00CE4623" w:rsidP="004D76EA">
      <w:pPr>
        <w:pStyle w:val="FootnoteText"/>
        <w:rPr>
          <w:lang w:val="en-US"/>
        </w:rPr>
      </w:pPr>
      <w:r w:rsidRPr="004D76EA">
        <w:rPr>
          <w:rStyle w:val="FootnoteReference"/>
        </w:rPr>
        <w:footnoteRef/>
      </w:r>
      <w:r w:rsidRPr="004D76EA">
        <w:t xml:space="preserve"> </w:t>
      </w:r>
      <w:r w:rsidRPr="004D76EA">
        <w:rPr>
          <w:lang w:val="en-US"/>
        </w:rPr>
        <w:t>https://www.achpr.org/specialmechanisms/detail?id=13</w:t>
      </w:r>
    </w:p>
  </w:footnote>
  <w:footnote w:id="17">
    <w:p w14:paraId="14F8D8B2" w14:textId="30EF3CA3" w:rsidR="00CE4623" w:rsidRPr="004D76EA" w:rsidRDefault="00CE4623" w:rsidP="004D76EA">
      <w:pPr>
        <w:pStyle w:val="FootnoteText"/>
        <w:rPr>
          <w:lang w:val="en-US"/>
        </w:rPr>
      </w:pPr>
      <w:r w:rsidRPr="004D76EA">
        <w:rPr>
          <w:rStyle w:val="FootnoteReference"/>
        </w:rPr>
        <w:footnoteRef/>
      </w:r>
      <w:r w:rsidRPr="004D76EA">
        <w:t xml:space="preserve"> </w:t>
      </w:r>
      <w:r w:rsidRPr="004D76EA">
        <w:rPr>
          <w:lang w:val="en-US"/>
        </w:rPr>
        <w:t>https://www.southernafricalitigationcentre.org/2018/02/06/challenging-uncompensated-disturbances-damages-loss-and-suffering-due-extensive-mining-and-prospecting-operations/</w:t>
      </w:r>
    </w:p>
  </w:footnote>
  <w:footnote w:id="18">
    <w:p w14:paraId="101599DF" w14:textId="77777777" w:rsidR="00F644CA" w:rsidRPr="004D76EA" w:rsidRDefault="00F644CA" w:rsidP="00F644CA">
      <w:pPr>
        <w:pStyle w:val="FootnoteText"/>
      </w:pPr>
      <w:r w:rsidRPr="004D76EA">
        <w:rPr>
          <w:rStyle w:val="FootnoteReference"/>
        </w:rPr>
        <w:footnoteRef/>
      </w:r>
      <w:r w:rsidRPr="004D76EA">
        <w:t xml:space="preserve"> </w:t>
      </w:r>
      <w:r w:rsidRPr="004D76EA">
        <w:rPr>
          <w:color w:val="232323"/>
          <w:highlight w:val="white"/>
        </w:rPr>
        <w:t>Report of the Special Rapporteur on the rights of ind</w:t>
      </w:r>
      <w:r>
        <w:rPr>
          <w:color w:val="232323"/>
          <w:highlight w:val="white"/>
        </w:rPr>
        <w:t>i</w:t>
      </w:r>
      <w:r w:rsidRPr="004D76EA">
        <w:rPr>
          <w:color w:val="232323"/>
          <w:highlight w:val="white"/>
        </w:rPr>
        <w:t>g</w:t>
      </w:r>
      <w:r>
        <w:rPr>
          <w:color w:val="232323"/>
          <w:highlight w:val="white"/>
        </w:rPr>
        <w:t>e</w:t>
      </w:r>
      <w:r w:rsidRPr="004D76EA">
        <w:rPr>
          <w:color w:val="232323"/>
          <w:highlight w:val="white"/>
        </w:rPr>
        <w:t>nous people A/HRC/24/41</w:t>
      </w:r>
    </w:p>
  </w:footnote>
  <w:footnote w:id="19">
    <w:p w14:paraId="00000056"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Tumai Murombo, “Regulating Mining in South Africa and Zimbabwe: Communities, the Environment and Perpetual Exploitation,” </w:t>
      </w:r>
      <w:r w:rsidRPr="004D76EA">
        <w:rPr>
          <w:i/>
          <w:sz w:val="20"/>
          <w:szCs w:val="20"/>
        </w:rPr>
        <w:t xml:space="preserve">Law, Environment and Development Journal </w:t>
      </w:r>
      <w:r w:rsidRPr="004D76EA">
        <w:rPr>
          <w:sz w:val="20"/>
          <w:szCs w:val="20"/>
        </w:rPr>
        <w:t xml:space="preserve">9, no. 1 (2013): 42, http://www.lead-journal.org/content/13031.pdf; Nqobizitha Dube et al., “Institutional exclusion and the tragedy of the commons: Artisanal mining in Matabeleland South Province, Zimbabwe,” </w:t>
      </w:r>
      <w:r w:rsidRPr="004D76EA">
        <w:rPr>
          <w:i/>
          <w:sz w:val="20"/>
          <w:szCs w:val="20"/>
        </w:rPr>
        <w:t xml:space="preserve">Extractive Industries and Society </w:t>
      </w:r>
      <w:r w:rsidRPr="004D76EA">
        <w:rPr>
          <w:sz w:val="20"/>
          <w:szCs w:val="20"/>
        </w:rPr>
        <w:t>3, no. 4 (2016): 1088, https://doi.org/10.1016/j.exis.2016.08.006.</w:t>
      </w:r>
    </w:p>
  </w:footnote>
  <w:footnote w:id="20">
    <w:p w14:paraId="00000057"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w:t>
      </w:r>
      <w:hyperlink r:id="rId18">
        <w:r w:rsidRPr="004D76EA">
          <w:rPr>
            <w:color w:val="0563C1"/>
            <w:sz w:val="20"/>
            <w:szCs w:val="20"/>
            <w:u w:val="single"/>
          </w:rPr>
          <w:t>https://allafrica.com/stories/202107250085.html</w:t>
        </w:r>
      </w:hyperlink>
      <w:r w:rsidRPr="004D76EA">
        <w:rPr>
          <w:sz w:val="20"/>
          <w:szCs w:val="20"/>
        </w:rPr>
        <w:t>;</w:t>
      </w:r>
      <w:hyperlink r:id="rId19">
        <w:r w:rsidRPr="004D76EA">
          <w:rPr>
            <w:sz w:val="20"/>
            <w:szCs w:val="20"/>
          </w:rPr>
          <w:t xml:space="preserve"> </w:t>
        </w:r>
      </w:hyperlink>
      <w:hyperlink r:id="rId20">
        <w:r w:rsidRPr="004D76EA">
          <w:rPr>
            <w:color w:val="0563C1"/>
            <w:sz w:val="20"/>
            <w:szCs w:val="20"/>
            <w:u w:val="single"/>
          </w:rPr>
          <w:t>https://www.voanews.com/africa/zimbabwe-villagers-fight-chinese-coal-mining-project-near-wildlife-reserve</w:t>
        </w:r>
      </w:hyperlink>
    </w:p>
  </w:footnote>
  <w:footnote w:id="21">
    <w:p w14:paraId="00000058"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Harare Wetlands Trust And Zimbabwe Lawyers For Human Rights Position Paper On Protection Of Harare’s Wetlands, ZLHR, February 2, 2021  </w:t>
      </w:r>
      <w:hyperlink r:id="rId21">
        <w:r w:rsidRPr="004D76EA">
          <w:rPr>
            <w:color w:val="0563C1"/>
            <w:sz w:val="20"/>
            <w:szCs w:val="20"/>
            <w:u w:val="single"/>
          </w:rPr>
          <w:t>https://www.zlhr.org.zw/?p=2274</w:t>
        </w:r>
      </w:hyperlink>
    </w:p>
  </w:footnote>
  <w:footnote w:id="22">
    <w:p w14:paraId="00000059" w14:textId="77777777" w:rsidR="0070320F" w:rsidRPr="004D76EA" w:rsidRDefault="001D3F7A" w:rsidP="004D76EA">
      <w:pPr>
        <w:spacing w:after="0" w:line="240" w:lineRule="auto"/>
        <w:rPr>
          <w:sz w:val="20"/>
          <w:szCs w:val="20"/>
        </w:rPr>
      </w:pPr>
      <w:r w:rsidRPr="004D76EA">
        <w:rPr>
          <w:sz w:val="20"/>
          <w:szCs w:val="20"/>
          <w:vertAlign w:val="superscript"/>
        </w:rPr>
        <w:footnoteRef/>
      </w:r>
      <w:r w:rsidRPr="004D76EA">
        <w:rPr>
          <w:sz w:val="20"/>
          <w:szCs w:val="20"/>
        </w:rPr>
        <w:t xml:space="preserve"> In terms of the 1971 Ramsar Convention on Wetlands of International Importance Especially as Waterfowl Habitat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1CD2" w14:textId="465E4AD4" w:rsidR="004A7894" w:rsidRDefault="00E8647A" w:rsidP="004A7894">
    <w:pPr>
      <w:pStyle w:val="Header"/>
      <w:jc w:val="center"/>
    </w:pPr>
    <w:r w:rsidRPr="00F0506F">
      <w:rPr>
        <w:lang w:val="en-GB" w:eastAsia="ko-KR"/>
      </w:rPr>
      <w:drawing>
        <wp:inline distT="0" distB="0" distL="0" distR="0" wp14:anchorId="1F01C054" wp14:editId="537F1CF3">
          <wp:extent cx="660189" cy="109892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5362" cy="1157468"/>
                  </a:xfrm>
                  <a:prstGeom prst="rect">
                    <a:avLst/>
                  </a:prstGeom>
                </pic:spPr>
              </pic:pic>
            </a:graphicData>
          </a:graphic>
        </wp:inline>
      </w:drawing>
    </w:r>
    <w:r>
      <w:t xml:space="preserve">                         </w:t>
    </w:r>
    <w:r w:rsidR="004A7894">
      <w:rPr>
        <w:lang w:val="en-GB" w:eastAsia="ko-KR"/>
      </w:rPr>
      <w:drawing>
        <wp:inline distT="0" distB="0" distL="0" distR="0" wp14:anchorId="695C9045" wp14:editId="3657A1A9">
          <wp:extent cx="2110740" cy="8809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3457" cy="902918"/>
                  </a:xfrm>
                  <a:prstGeom prst="rect">
                    <a:avLst/>
                  </a:prstGeom>
                  <a:noFill/>
                  <a:ln>
                    <a:noFill/>
                  </a:ln>
                </pic:spPr>
              </pic:pic>
            </a:graphicData>
          </a:graphic>
        </wp:inline>
      </w:drawing>
    </w:r>
  </w:p>
  <w:p w14:paraId="2E089D3D" w14:textId="77777777" w:rsidR="00EB7ED5" w:rsidRDefault="00EB7ED5" w:rsidP="004A78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E78AB"/>
    <w:multiLevelType w:val="multilevel"/>
    <w:tmpl w:val="1ED8B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9860886"/>
    <w:multiLevelType w:val="multilevel"/>
    <w:tmpl w:val="536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xNDA3N7I0NzMwNTBR0lEKTi0uzszPAykwqgUANtEIXSwAAAA="/>
  </w:docVars>
  <w:rsids>
    <w:rsidRoot w:val="0070320F"/>
    <w:rsid w:val="00020BE0"/>
    <w:rsid w:val="00085964"/>
    <w:rsid w:val="000A6637"/>
    <w:rsid w:val="000B2B8C"/>
    <w:rsid w:val="000D6BEF"/>
    <w:rsid w:val="00117949"/>
    <w:rsid w:val="00161C41"/>
    <w:rsid w:val="00183565"/>
    <w:rsid w:val="001866B8"/>
    <w:rsid w:val="00186809"/>
    <w:rsid w:val="001D3F7A"/>
    <w:rsid w:val="001E7D24"/>
    <w:rsid w:val="001F4E68"/>
    <w:rsid w:val="00210D2C"/>
    <w:rsid w:val="00221F91"/>
    <w:rsid w:val="00231816"/>
    <w:rsid w:val="00231A6A"/>
    <w:rsid w:val="00240436"/>
    <w:rsid w:val="00284815"/>
    <w:rsid w:val="002C4E1C"/>
    <w:rsid w:val="002D46DF"/>
    <w:rsid w:val="002D7927"/>
    <w:rsid w:val="002F72A3"/>
    <w:rsid w:val="00321017"/>
    <w:rsid w:val="0034419C"/>
    <w:rsid w:val="00366505"/>
    <w:rsid w:val="0037305B"/>
    <w:rsid w:val="003953FE"/>
    <w:rsid w:val="003A1409"/>
    <w:rsid w:val="003D21A8"/>
    <w:rsid w:val="003D2858"/>
    <w:rsid w:val="003F2F65"/>
    <w:rsid w:val="00430A04"/>
    <w:rsid w:val="0043623C"/>
    <w:rsid w:val="00491334"/>
    <w:rsid w:val="0049694E"/>
    <w:rsid w:val="00497A9A"/>
    <w:rsid w:val="004A7894"/>
    <w:rsid w:val="004B74F0"/>
    <w:rsid w:val="004D76EA"/>
    <w:rsid w:val="004E34E0"/>
    <w:rsid w:val="004F5BBE"/>
    <w:rsid w:val="00515EF0"/>
    <w:rsid w:val="00522F39"/>
    <w:rsid w:val="0053771A"/>
    <w:rsid w:val="00562C05"/>
    <w:rsid w:val="005824EA"/>
    <w:rsid w:val="0062055A"/>
    <w:rsid w:val="00640E5E"/>
    <w:rsid w:val="00671BE0"/>
    <w:rsid w:val="00675669"/>
    <w:rsid w:val="006A3DA7"/>
    <w:rsid w:val="006F71F2"/>
    <w:rsid w:val="0070320F"/>
    <w:rsid w:val="0072773E"/>
    <w:rsid w:val="007B0ACB"/>
    <w:rsid w:val="00807657"/>
    <w:rsid w:val="00834A87"/>
    <w:rsid w:val="008427F8"/>
    <w:rsid w:val="00861E03"/>
    <w:rsid w:val="008A5E59"/>
    <w:rsid w:val="008C1ACF"/>
    <w:rsid w:val="008E1CC1"/>
    <w:rsid w:val="008E60DE"/>
    <w:rsid w:val="00903C77"/>
    <w:rsid w:val="00906232"/>
    <w:rsid w:val="00914251"/>
    <w:rsid w:val="009822C6"/>
    <w:rsid w:val="00984044"/>
    <w:rsid w:val="009967F9"/>
    <w:rsid w:val="009A74B7"/>
    <w:rsid w:val="00A2649E"/>
    <w:rsid w:val="00A372A3"/>
    <w:rsid w:val="00A84385"/>
    <w:rsid w:val="00A84C4D"/>
    <w:rsid w:val="00AC2B45"/>
    <w:rsid w:val="00B07400"/>
    <w:rsid w:val="00B214C0"/>
    <w:rsid w:val="00B749D8"/>
    <w:rsid w:val="00BA0C46"/>
    <w:rsid w:val="00BC01D6"/>
    <w:rsid w:val="00BC3E85"/>
    <w:rsid w:val="00BD6F1B"/>
    <w:rsid w:val="00BE4E27"/>
    <w:rsid w:val="00BF18D4"/>
    <w:rsid w:val="00C009EF"/>
    <w:rsid w:val="00C673D1"/>
    <w:rsid w:val="00C93A50"/>
    <w:rsid w:val="00CD197E"/>
    <w:rsid w:val="00CE4623"/>
    <w:rsid w:val="00D00086"/>
    <w:rsid w:val="00D070D3"/>
    <w:rsid w:val="00D3496A"/>
    <w:rsid w:val="00D473DB"/>
    <w:rsid w:val="00D54729"/>
    <w:rsid w:val="00DC45C8"/>
    <w:rsid w:val="00DF2AC8"/>
    <w:rsid w:val="00E36C60"/>
    <w:rsid w:val="00E84293"/>
    <w:rsid w:val="00E8647A"/>
    <w:rsid w:val="00EA5DE8"/>
    <w:rsid w:val="00EB7ED5"/>
    <w:rsid w:val="00EE311A"/>
    <w:rsid w:val="00EF2B6E"/>
    <w:rsid w:val="00F644CA"/>
    <w:rsid w:val="00FB1FC4"/>
    <w:rsid w:val="00FC4023"/>
    <w:rsid w:val="00FD6441"/>
  </w:rsids>
  <m:mathPr>
    <m:mathFont m:val="Cambria Math"/>
    <m:brkBin m:val="before"/>
    <m:brkBinSub m:val="--"/>
    <m:smallFrac m:val="0"/>
    <m:dispDef/>
    <m:lMargin m:val="0"/>
    <m:rMargin m:val="0"/>
    <m:defJc m:val="centerGroup"/>
    <m:wrapIndent m:val="1440"/>
    <m:intLim m:val="subSup"/>
    <m:naryLim m:val="undOvr"/>
  </m:mathPr>
  <w:themeFontLang w:val="en-ZA"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642C06"/>
  <w15:docId w15:val="{999B7298-C41F-462C-BFE8-B0496153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F18"/>
    <w:rPr>
      <w:noProof/>
    </w:rPr>
  </w:style>
  <w:style w:type="paragraph" w:styleId="Heading1">
    <w:name w:val="heading 1"/>
    <w:basedOn w:val="Normal"/>
    <w:next w:val="Normal"/>
    <w:link w:val="Heading1Char"/>
    <w:uiPriority w:val="9"/>
    <w:qFormat/>
    <w:rsid w:val="00C01D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1D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084DCC"/>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ListParagraph">
    <w:name w:val="List Paragraph"/>
    <w:basedOn w:val="Normal"/>
    <w:uiPriority w:val="34"/>
    <w:qFormat/>
    <w:rsid w:val="00C01DBB"/>
    <w:pPr>
      <w:ind w:left="720"/>
      <w:contextualSpacing/>
    </w:pPr>
  </w:style>
  <w:style w:type="character" w:customStyle="1" w:styleId="Heading1Char">
    <w:name w:val="Heading 1 Char"/>
    <w:basedOn w:val="DefaultParagraphFont"/>
    <w:link w:val="Heading1"/>
    <w:uiPriority w:val="9"/>
    <w:rsid w:val="00C01DBB"/>
    <w:rPr>
      <w:rFonts w:asciiTheme="majorHAnsi" w:eastAsiaTheme="majorEastAsia" w:hAnsiTheme="majorHAnsi" w:cstheme="majorBidi"/>
      <w:noProof/>
      <w:color w:val="2F5496" w:themeColor="accent1" w:themeShade="BF"/>
      <w:sz w:val="32"/>
      <w:szCs w:val="32"/>
    </w:rPr>
  </w:style>
  <w:style w:type="character" w:customStyle="1" w:styleId="Heading2Char">
    <w:name w:val="Heading 2 Char"/>
    <w:basedOn w:val="DefaultParagraphFont"/>
    <w:link w:val="Heading2"/>
    <w:uiPriority w:val="9"/>
    <w:rsid w:val="00C01DBB"/>
    <w:rPr>
      <w:rFonts w:asciiTheme="majorHAnsi" w:eastAsiaTheme="majorEastAsia" w:hAnsiTheme="majorHAnsi" w:cstheme="majorBidi"/>
      <w:noProof/>
      <w:color w:val="2F5496" w:themeColor="accent1" w:themeShade="BF"/>
      <w:sz w:val="26"/>
      <w:szCs w:val="26"/>
    </w:rPr>
  </w:style>
  <w:style w:type="table" w:styleId="TableGrid">
    <w:name w:val="Table Grid"/>
    <w:basedOn w:val="TableNormal"/>
    <w:uiPriority w:val="39"/>
    <w:rsid w:val="006E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4A7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894"/>
    <w:rPr>
      <w:noProof/>
    </w:rPr>
  </w:style>
  <w:style w:type="paragraph" w:styleId="Footer">
    <w:name w:val="footer"/>
    <w:basedOn w:val="Normal"/>
    <w:link w:val="FooterChar"/>
    <w:uiPriority w:val="99"/>
    <w:unhideWhenUsed/>
    <w:rsid w:val="004A7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894"/>
    <w:rPr>
      <w:noProof/>
    </w:rPr>
  </w:style>
  <w:style w:type="character" w:styleId="Hyperlink">
    <w:name w:val="Hyperlink"/>
    <w:basedOn w:val="DefaultParagraphFont"/>
    <w:uiPriority w:val="99"/>
    <w:unhideWhenUsed/>
    <w:rsid w:val="004A7894"/>
    <w:rPr>
      <w:color w:val="0563C1" w:themeColor="hyperlink"/>
      <w:u w:val="single"/>
    </w:rPr>
  </w:style>
  <w:style w:type="character" w:customStyle="1" w:styleId="UnresolvedMention">
    <w:name w:val="Unresolved Mention"/>
    <w:basedOn w:val="DefaultParagraphFont"/>
    <w:uiPriority w:val="99"/>
    <w:semiHidden/>
    <w:unhideWhenUsed/>
    <w:rsid w:val="004A7894"/>
    <w:rPr>
      <w:color w:val="605E5C"/>
      <w:shd w:val="clear" w:color="auto" w:fill="E1DFDD"/>
    </w:rPr>
  </w:style>
  <w:style w:type="character" w:styleId="CommentReference">
    <w:name w:val="annotation reference"/>
    <w:basedOn w:val="DefaultParagraphFont"/>
    <w:uiPriority w:val="99"/>
    <w:semiHidden/>
    <w:unhideWhenUsed/>
    <w:rsid w:val="00B749D8"/>
    <w:rPr>
      <w:sz w:val="16"/>
      <w:szCs w:val="16"/>
    </w:rPr>
  </w:style>
  <w:style w:type="paragraph" w:styleId="CommentText">
    <w:name w:val="annotation text"/>
    <w:basedOn w:val="Normal"/>
    <w:link w:val="CommentTextChar"/>
    <w:uiPriority w:val="99"/>
    <w:semiHidden/>
    <w:unhideWhenUsed/>
    <w:rsid w:val="00B749D8"/>
    <w:pPr>
      <w:spacing w:line="240" w:lineRule="auto"/>
    </w:pPr>
    <w:rPr>
      <w:sz w:val="20"/>
      <w:szCs w:val="20"/>
    </w:rPr>
  </w:style>
  <w:style w:type="character" w:customStyle="1" w:styleId="CommentTextChar">
    <w:name w:val="Comment Text Char"/>
    <w:basedOn w:val="DefaultParagraphFont"/>
    <w:link w:val="CommentText"/>
    <w:uiPriority w:val="99"/>
    <w:semiHidden/>
    <w:rsid w:val="00B749D8"/>
    <w:rPr>
      <w:noProof/>
      <w:sz w:val="20"/>
      <w:szCs w:val="20"/>
    </w:rPr>
  </w:style>
  <w:style w:type="paragraph" w:styleId="CommentSubject">
    <w:name w:val="annotation subject"/>
    <w:basedOn w:val="CommentText"/>
    <w:next w:val="CommentText"/>
    <w:link w:val="CommentSubjectChar"/>
    <w:uiPriority w:val="99"/>
    <w:semiHidden/>
    <w:unhideWhenUsed/>
    <w:rsid w:val="00B749D8"/>
    <w:rPr>
      <w:b/>
      <w:bCs/>
    </w:rPr>
  </w:style>
  <w:style w:type="character" w:customStyle="1" w:styleId="CommentSubjectChar">
    <w:name w:val="Comment Subject Char"/>
    <w:basedOn w:val="CommentTextChar"/>
    <w:link w:val="CommentSubject"/>
    <w:uiPriority w:val="99"/>
    <w:semiHidden/>
    <w:rsid w:val="00B749D8"/>
    <w:rPr>
      <w:b/>
      <w:bCs/>
      <w:noProof/>
      <w:sz w:val="20"/>
      <w:szCs w:val="20"/>
    </w:rPr>
  </w:style>
  <w:style w:type="paragraph" w:styleId="FootnoteText">
    <w:name w:val="footnote text"/>
    <w:basedOn w:val="Normal"/>
    <w:link w:val="FootnoteTextChar"/>
    <w:uiPriority w:val="99"/>
    <w:semiHidden/>
    <w:unhideWhenUsed/>
    <w:rsid w:val="00834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4A87"/>
    <w:rPr>
      <w:noProof/>
      <w:sz w:val="20"/>
      <w:szCs w:val="20"/>
    </w:rPr>
  </w:style>
  <w:style w:type="character" w:styleId="FootnoteReference">
    <w:name w:val="footnote reference"/>
    <w:basedOn w:val="DefaultParagraphFont"/>
    <w:uiPriority w:val="99"/>
    <w:semiHidden/>
    <w:unhideWhenUsed/>
    <w:rsid w:val="00834A87"/>
    <w:rPr>
      <w:vertAlign w:val="superscript"/>
    </w:rPr>
  </w:style>
  <w:style w:type="paragraph" w:styleId="Revision">
    <w:name w:val="Revision"/>
    <w:hidden/>
    <w:uiPriority w:val="99"/>
    <w:semiHidden/>
    <w:rsid w:val="00BE4E27"/>
    <w:pPr>
      <w:spacing w:after="0" w:line="240" w:lineRule="auto"/>
    </w:pPr>
    <w:rPr>
      <w:noProof/>
    </w:rPr>
  </w:style>
  <w:style w:type="character" w:styleId="FollowedHyperlink">
    <w:name w:val="FollowedHyperlink"/>
    <w:basedOn w:val="DefaultParagraphFont"/>
    <w:uiPriority w:val="99"/>
    <w:semiHidden/>
    <w:unhideWhenUsed/>
    <w:rsid w:val="00EE31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2632">
      <w:bodyDiv w:val="1"/>
      <w:marLeft w:val="0"/>
      <w:marRight w:val="0"/>
      <w:marTop w:val="0"/>
      <w:marBottom w:val="0"/>
      <w:divBdr>
        <w:top w:val="none" w:sz="0" w:space="0" w:color="auto"/>
        <w:left w:val="none" w:sz="0" w:space="0" w:color="auto"/>
        <w:bottom w:val="none" w:sz="0" w:space="0" w:color="auto"/>
        <w:right w:val="none" w:sz="0" w:space="0" w:color="auto"/>
      </w:divBdr>
    </w:div>
    <w:div w:id="771509149">
      <w:bodyDiv w:val="1"/>
      <w:marLeft w:val="0"/>
      <w:marRight w:val="0"/>
      <w:marTop w:val="0"/>
      <w:marBottom w:val="0"/>
      <w:divBdr>
        <w:top w:val="none" w:sz="0" w:space="0" w:color="auto"/>
        <w:left w:val="none" w:sz="0" w:space="0" w:color="auto"/>
        <w:bottom w:val="none" w:sz="0" w:space="0" w:color="auto"/>
        <w:right w:val="none" w:sz="0" w:space="0" w:color="auto"/>
      </w:divBdr>
    </w:div>
    <w:div w:id="944769509">
      <w:bodyDiv w:val="1"/>
      <w:marLeft w:val="0"/>
      <w:marRight w:val="0"/>
      <w:marTop w:val="0"/>
      <w:marBottom w:val="0"/>
      <w:divBdr>
        <w:top w:val="none" w:sz="0" w:space="0" w:color="auto"/>
        <w:left w:val="none" w:sz="0" w:space="0" w:color="auto"/>
        <w:bottom w:val="none" w:sz="0" w:space="0" w:color="auto"/>
        <w:right w:val="none" w:sz="0" w:space="0" w:color="auto"/>
      </w:divBdr>
    </w:div>
    <w:div w:id="1217014476">
      <w:bodyDiv w:val="1"/>
      <w:marLeft w:val="0"/>
      <w:marRight w:val="0"/>
      <w:marTop w:val="0"/>
      <w:marBottom w:val="0"/>
      <w:divBdr>
        <w:top w:val="none" w:sz="0" w:space="0" w:color="auto"/>
        <w:left w:val="none" w:sz="0" w:space="0" w:color="auto"/>
        <w:bottom w:val="none" w:sz="0" w:space="0" w:color="auto"/>
        <w:right w:val="none" w:sz="0" w:space="0" w:color="auto"/>
      </w:divBdr>
    </w:div>
    <w:div w:id="1293559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outhernafricalitigationcentre.org" TargetMode="Externa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ekem@salc.org.z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zlhr.org" TargetMode="Externa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mailto:rose.hanzi@zlhr.or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gdev.org/page/zimbabwes-two-land-tragedies-must-be-resolved" TargetMode="External"/><Relationship Id="rId13" Type="http://schemas.openxmlformats.org/officeDocument/2006/relationships/hyperlink" Target="https://www.fern.org/fileadmin/uploads/fern/Documents/Securing%20community%20land%20and%20resource%20rights%20in%20Africa.pdf" TargetMode="External"/><Relationship Id="rId18" Type="http://schemas.openxmlformats.org/officeDocument/2006/relationships/hyperlink" Target="https://allafrica.com/stories/202107250085.html" TargetMode="External"/><Relationship Id="rId3" Type="http://schemas.openxmlformats.org/officeDocument/2006/relationships/hyperlink" Target="https://www.ohchr.org/EN/Issues/TruthJusticeReparation/Pages/InternationalInstruments.aspx" TargetMode="External"/><Relationship Id="rId21" Type="http://schemas.openxmlformats.org/officeDocument/2006/relationships/hyperlink" Target="https://www.zlhr.org.zw/?p=2274" TargetMode="External"/><Relationship Id="rId7" Type="http://schemas.openxmlformats.org/officeDocument/2006/relationships/hyperlink" Target="https://www.ohchr.org/EN/ProfessionalInterest/Pages/RemedyAndReparation.aspx" TargetMode="External"/><Relationship Id="rId12" Type="http://schemas.openxmlformats.org/officeDocument/2006/relationships/hyperlink" Target="https://www.fern.org/fileadmin/uploads/fern/Documents/Securing%20community%20land%20and%20resource%20rights%20in%20Africa.pdf" TargetMode="External"/><Relationship Id="rId17" Type="http://schemas.openxmlformats.org/officeDocument/2006/relationships/hyperlink" Target="https://bigsr.africa/bsr-at-the-mercy-of-the-state-plight-of-the-chilonga-community/" TargetMode="External"/><Relationship Id="rId2" Type="http://schemas.openxmlformats.org/officeDocument/2006/relationships/hyperlink" Target="https://www.ohchr.org/EN/Issues/TruthJusticeReparation/Pages/InternationalInstruments.aspx" TargetMode="External"/><Relationship Id="rId16" Type="http://schemas.openxmlformats.org/officeDocument/2006/relationships/hyperlink" Target="https://www.parliament.gov.zm/sites/default/files/documents/acts/Lands%20and%20Deeds%20Registry%20Act.pdf" TargetMode="External"/><Relationship Id="rId20" Type="http://schemas.openxmlformats.org/officeDocument/2006/relationships/hyperlink" Target="https://www.voanews.com/africa/zimbabwe-villagers-fight-chinese-coal-mining-project-near-wildlife-reserve" TargetMode="External"/><Relationship Id="rId1" Type="http://schemas.openxmlformats.org/officeDocument/2006/relationships/hyperlink" Target="https://www.ohchr.org/EN/Issues/TruthJusticeReparation/Pages/Resources.aspx" TargetMode="External"/><Relationship Id="rId6" Type="http://schemas.openxmlformats.org/officeDocument/2006/relationships/hyperlink" Target="https://www.ohchr.org/EN/ProfessionalInterest/Pages/RemedyAndReparation.aspx" TargetMode="External"/><Relationship Id="rId11" Type="http://schemas.openxmlformats.org/officeDocument/2006/relationships/hyperlink" Target="http://www.fao.org/zimbabwe/fao-in-zimbabwe/zimbabwe-at-a-glance/en/" TargetMode="External"/><Relationship Id="rId5" Type="http://schemas.openxmlformats.org/officeDocument/2006/relationships/hyperlink" Target="https://www.ohchr.org/Documents/Publications/HR-PUB-13-05.pdf" TargetMode="External"/><Relationship Id="rId15" Type="http://schemas.openxmlformats.org/officeDocument/2006/relationships/hyperlink" Target="https://www.fern.org/fileadmin/uploads/fern/Documents/Securing%20community%20land%20and%20resource%20rights%20in%20Africa.pdf" TargetMode="External"/><Relationship Id="rId10" Type="http://schemas.openxmlformats.org/officeDocument/2006/relationships/hyperlink" Target="http://www.fao.org/zimbabwe/fao-in-zimbabwe/zimbabwe-at-a-glance/en/" TargetMode="External"/><Relationship Id="rId19" Type="http://schemas.openxmlformats.org/officeDocument/2006/relationships/hyperlink" Target="https://www.voanews.com/africa/zimbabwe-villagers-fight-chinese-coal-mining-project-near-wildlife-reserve" TargetMode="External"/><Relationship Id="rId4" Type="http://schemas.openxmlformats.org/officeDocument/2006/relationships/hyperlink" Target="https://www.ohchr.org/Documents/Publications/HR-PUB-13-05.pdf" TargetMode="External"/><Relationship Id="rId9" Type="http://schemas.openxmlformats.org/officeDocument/2006/relationships/hyperlink" Target="https://www.cgdev.org/page/zimbabwes-two-land-tragedies-must-be-resolved" TargetMode="External"/><Relationship Id="rId14" Type="http://schemas.openxmlformats.org/officeDocument/2006/relationships/hyperlink" Target="https://www.fern.org/fileadmin/uploads/fern/Documents/Securing%20community%20land%20and%20resource%20rights%20in%20Afric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9+/MYqLJqwjZ9UJ7Y3SunEoOw==">AMUW2mVCUTGCZGOjj/nT+ZF2ZC+xYxhBDvtXbr8VyVlump6p1ELylJaTiA3/GiSCk0X37fxrxp/Sx+mgO3J1wBa0kFRD8RkkLgrnev5wV1mNBK9DeWLCGEluzKVP/SwyntCurewFZGotAtKhIrfDI0c+dKeODSkH/mycvPDsZeyQ1UDXKq6lZyYsW080PYmnv92l9Hs3y7LpGYlZkbGTxJcs/PNZF8Edrg==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589978-1D83-4562-A6EA-A4BF772030CB}">
  <ds:schemaRefs>
    <ds:schemaRef ds:uri="http://schemas.openxmlformats.org/officeDocument/2006/bibliography"/>
  </ds:schemaRefs>
</ds:datastoreItem>
</file>

<file path=customXml/itemProps3.xml><?xml version="1.0" encoding="utf-8"?>
<ds:datastoreItem xmlns:ds="http://schemas.openxmlformats.org/officeDocument/2006/customXml" ds:itemID="{8768D664-FE8F-4BC0-8A2D-B30532D0C59F}"/>
</file>

<file path=customXml/itemProps4.xml><?xml version="1.0" encoding="utf-8"?>
<ds:datastoreItem xmlns:ds="http://schemas.openxmlformats.org/officeDocument/2006/customXml" ds:itemID="{F2C52AE0-AAD3-44B6-B434-2D02A8252C0F}"/>
</file>

<file path=customXml/itemProps5.xml><?xml version="1.0" encoding="utf-8"?>
<ds:datastoreItem xmlns:ds="http://schemas.openxmlformats.org/officeDocument/2006/customXml" ds:itemID="{3263CBF2-BACF-4D84-A2D3-686E467D07B4}"/>
</file>

<file path=docProps/app.xml><?xml version="1.0" encoding="utf-8"?>
<Properties xmlns="http://schemas.openxmlformats.org/officeDocument/2006/extended-properties" xmlns:vt="http://schemas.openxmlformats.org/officeDocument/2006/docPropsVTypes">
  <Template>Normal.dotm</Template>
  <TotalTime>1</TotalTime>
  <Pages>5</Pages>
  <Words>1769</Words>
  <Characters>10084</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Shivamba</dc:creator>
  <cp:lastModifiedBy>KIM Jung Rin</cp:lastModifiedBy>
  <cp:revision>2</cp:revision>
  <dcterms:created xsi:type="dcterms:W3CDTF">2021-08-16T13:29:00Z</dcterms:created>
  <dcterms:modified xsi:type="dcterms:W3CDTF">2021-08-16T13:29:00Z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