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AF21" w14:textId="77777777" w:rsidR="00214AEC" w:rsidRDefault="000D3A52" w:rsidP="00EE136B">
      <w:pPr>
        <w:pStyle w:val="Heading2"/>
        <w:numPr>
          <w:ilvl w:val="0"/>
          <w:numId w:val="0"/>
        </w:numPr>
        <w:ind w:left="720"/>
        <w:jc w:val="center"/>
        <w:rPr>
          <w:noProof/>
        </w:rPr>
      </w:pPr>
      <w:r>
        <w:rPr>
          <w:noProof/>
          <w:lang w:val="en-GB" w:eastAsia="ko-KR"/>
        </w:rPr>
        <w:drawing>
          <wp:inline distT="0" distB="0" distL="0" distR="0" wp14:anchorId="689F0E5E" wp14:editId="0B1B7ACC">
            <wp:extent cx="1038225" cy="99394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635" cy="1014444"/>
                    </a:xfrm>
                    <a:prstGeom prst="rect">
                      <a:avLst/>
                    </a:prstGeom>
                  </pic:spPr>
                </pic:pic>
              </a:graphicData>
            </a:graphic>
          </wp:inline>
        </w:drawing>
      </w:r>
      <w:r w:rsidRPr="0095117E">
        <w:rPr>
          <w:rFonts w:cstheme="minorHAnsi"/>
          <w:noProof/>
          <w:sz w:val="24"/>
          <w:szCs w:val="24"/>
          <w:lang w:val="en-GB" w:eastAsia="ko-KR"/>
        </w:rPr>
        <w:drawing>
          <wp:inline distT="0" distB="0" distL="0" distR="0" wp14:anchorId="37D4BA1C" wp14:editId="458CA882">
            <wp:extent cx="2644654" cy="868512"/>
            <wp:effectExtent l="0" t="0" r="3810" b="8255"/>
            <wp:docPr id="2089034849" name="Picture 2089034849" descr="GI_LogoHorizontal-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0348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2197" cy="887409"/>
                    </a:xfrm>
                    <a:prstGeom prst="rect">
                      <a:avLst/>
                    </a:prstGeom>
                  </pic:spPr>
                </pic:pic>
              </a:graphicData>
            </a:graphic>
          </wp:inline>
        </w:drawing>
      </w:r>
      <w:r w:rsidR="00D5145F">
        <w:rPr>
          <w:noProof/>
          <w:lang w:val="en-GB" w:eastAsia="ko-KR"/>
        </w:rPr>
        <w:drawing>
          <wp:inline distT="0" distB="0" distL="0" distR="0" wp14:anchorId="2CD72FB3" wp14:editId="5F24EE0C">
            <wp:extent cx="1085850" cy="1084377"/>
            <wp:effectExtent l="133350" t="114300" r="152400" b="1733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8217" cy="11067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57C64F7" w14:textId="30B0F898" w:rsidR="009C5C1E" w:rsidRPr="009C5C1E" w:rsidRDefault="00214AEC" w:rsidP="00214AEC">
      <w:pPr>
        <w:pStyle w:val="Heading2"/>
        <w:numPr>
          <w:ilvl w:val="0"/>
          <w:numId w:val="0"/>
        </w:numPr>
        <w:ind w:left="720"/>
        <w:jc w:val="center"/>
      </w:pPr>
      <w:r>
        <w:rPr>
          <w:noProof/>
          <w:lang w:val="en-GB" w:eastAsia="ko-KR"/>
        </w:rPr>
        <w:drawing>
          <wp:inline distT="0" distB="0" distL="0" distR="0" wp14:anchorId="1C730CF6" wp14:editId="1078E1EA">
            <wp:extent cx="1722518" cy="1195722"/>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518" cy="1216547"/>
                    </a:xfrm>
                    <a:prstGeom prst="rect">
                      <a:avLst/>
                    </a:prstGeom>
                  </pic:spPr>
                </pic:pic>
              </a:graphicData>
            </a:graphic>
          </wp:inline>
        </w:drawing>
      </w:r>
      <w:r w:rsidR="00D5145F">
        <w:rPr>
          <w:noProof/>
          <w:lang w:val="en-GB" w:eastAsia="ko-KR"/>
        </w:rPr>
        <w:drawing>
          <wp:inline distT="0" distB="0" distL="0" distR="0" wp14:anchorId="7E271D81" wp14:editId="4CE184DD">
            <wp:extent cx="2247900" cy="809698"/>
            <wp:effectExtent l="0" t="0" r="0" b="9525"/>
            <wp:docPr id="4" name="Picture 4" descr="A group of people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hand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2292285" cy="825685"/>
                    </a:xfrm>
                    <a:prstGeom prst="rect">
                      <a:avLst/>
                    </a:prstGeom>
                  </pic:spPr>
                </pic:pic>
              </a:graphicData>
            </a:graphic>
          </wp:inline>
        </w:drawing>
      </w:r>
    </w:p>
    <w:p w14:paraId="2B406D1E" w14:textId="1A21C1DC" w:rsidR="00935D95" w:rsidRPr="008C2813" w:rsidRDefault="42482D4B" w:rsidP="008C2813">
      <w:pPr>
        <w:pStyle w:val="Heading2"/>
        <w:numPr>
          <w:ilvl w:val="0"/>
          <w:numId w:val="0"/>
        </w:numPr>
        <w:ind w:left="720"/>
        <w:jc w:val="center"/>
      </w:pPr>
      <w:r>
        <w:lastRenderedPageBreak/>
        <w:t>Submission to the U.N. Committee on Economic, Social and Cultural Rights on its draft General Comment on Land and Economic, Social and Cultural Rights:</w:t>
      </w:r>
    </w:p>
    <w:p w14:paraId="62A8FFB0" w14:textId="34465FF3" w:rsidR="00073198" w:rsidRPr="008C2813" w:rsidRDefault="00935D95" w:rsidP="008C2813">
      <w:pPr>
        <w:pStyle w:val="Heading2"/>
        <w:numPr>
          <w:ilvl w:val="0"/>
          <w:numId w:val="0"/>
        </w:numPr>
        <w:ind w:left="720"/>
        <w:jc w:val="center"/>
      </w:pPr>
      <w:r w:rsidRPr="008C2813">
        <w:t>Privatisation, commercialisation</w:t>
      </w:r>
      <w:r w:rsidR="00E66ACA" w:rsidRPr="008C2813">
        <w:t xml:space="preserve">, </w:t>
      </w:r>
      <w:r w:rsidRPr="008C2813">
        <w:t>commodification</w:t>
      </w:r>
      <w:r w:rsidR="00E66ACA" w:rsidRPr="008C2813">
        <w:t xml:space="preserve"> and financialisation</w:t>
      </w:r>
      <w:r w:rsidRPr="008C2813">
        <w:t xml:space="preserve"> of land</w:t>
      </w:r>
    </w:p>
    <w:p w14:paraId="0865F1AF" w14:textId="1C32210A" w:rsidR="00073198" w:rsidRDefault="00011147" w:rsidP="00073198">
      <w:pPr>
        <w:pStyle w:val="Subtitle"/>
        <w:spacing w:after="0"/>
        <w:jc w:val="center"/>
        <w:rPr>
          <w:rFonts w:cstheme="minorHAnsi"/>
          <w:lang w:val="en-GB"/>
        </w:rPr>
      </w:pPr>
      <w:r w:rsidRPr="008C2813">
        <w:rPr>
          <w:rFonts w:cstheme="minorHAnsi"/>
          <w:lang w:val="en-GB"/>
        </w:rPr>
        <w:t xml:space="preserve">13 August </w:t>
      </w:r>
      <w:r w:rsidR="00073198" w:rsidRPr="008C2813">
        <w:rPr>
          <w:rFonts w:cstheme="minorHAnsi"/>
          <w:lang w:val="en-GB"/>
        </w:rPr>
        <w:t>2021</w:t>
      </w:r>
    </w:p>
    <w:p w14:paraId="78D66C0E" w14:textId="77777777" w:rsidR="00073198" w:rsidRPr="008C2813" w:rsidRDefault="00073198" w:rsidP="008C2813">
      <w:pPr>
        <w:pStyle w:val="Heading2"/>
      </w:pPr>
      <w:r w:rsidRPr="008C2813">
        <w:t>Introduction</w:t>
      </w:r>
    </w:p>
    <w:p w14:paraId="11305231" w14:textId="1D0697F0" w:rsidR="004758DD" w:rsidRPr="008C2813" w:rsidRDefault="00073198" w:rsidP="00D230F8">
      <w:pPr>
        <w:pStyle w:val="ListParagraph"/>
        <w:numPr>
          <w:ilvl w:val="0"/>
          <w:numId w:val="5"/>
        </w:numPr>
        <w:spacing w:line="257" w:lineRule="exact"/>
        <w:ind w:left="227" w:hanging="227"/>
        <w:jc w:val="both"/>
        <w:rPr>
          <w:rFonts w:cstheme="minorHAnsi"/>
        </w:rPr>
      </w:pPr>
      <w:r w:rsidRPr="008C2813">
        <w:rPr>
          <w:rFonts w:cstheme="minorHAnsi"/>
        </w:rPr>
        <w:t>Th</w:t>
      </w:r>
      <w:r w:rsidR="00011147" w:rsidRPr="008C2813">
        <w:rPr>
          <w:rFonts w:cstheme="minorHAnsi"/>
        </w:rPr>
        <w:t>is is a collective submission on behalf of</w:t>
      </w:r>
      <w:r w:rsidR="0050444A">
        <w:rPr>
          <w:rFonts w:cstheme="minorHAnsi"/>
        </w:rPr>
        <w:t xml:space="preserve"> </w:t>
      </w:r>
      <w:bookmarkStart w:id="0" w:name="_GoBack"/>
      <w:r w:rsidR="0050444A">
        <w:rPr>
          <w:rFonts w:cstheme="minorHAnsi"/>
        </w:rPr>
        <w:t>FIA</w:t>
      </w:r>
      <w:r w:rsidR="001D0BE8">
        <w:rPr>
          <w:rFonts w:cstheme="minorHAnsi"/>
        </w:rPr>
        <w:t xml:space="preserve">N Germany, </w:t>
      </w:r>
      <w:r w:rsidR="00D200CE">
        <w:rPr>
          <w:rFonts w:cstheme="minorHAnsi"/>
        </w:rPr>
        <w:t>t</w:t>
      </w:r>
      <w:r w:rsidR="001D0BE8">
        <w:rPr>
          <w:rFonts w:cstheme="minorHAnsi"/>
        </w:rPr>
        <w:t>he Global Initiative for Economic, Social</w:t>
      </w:r>
      <w:r w:rsidR="00D200CE">
        <w:rPr>
          <w:rFonts w:cstheme="minorHAnsi"/>
        </w:rPr>
        <w:t xml:space="preserve"> and Cultural Rights</w:t>
      </w:r>
      <w:r w:rsidR="009C6198">
        <w:rPr>
          <w:rFonts w:cstheme="minorHAnsi"/>
        </w:rPr>
        <w:t xml:space="preserve"> (GI-ESCR)</w:t>
      </w:r>
      <w:r w:rsidR="00D200CE">
        <w:rPr>
          <w:rFonts w:cstheme="minorHAnsi"/>
        </w:rPr>
        <w:t xml:space="preserve">, </w:t>
      </w:r>
      <w:r w:rsidR="00420791">
        <w:rPr>
          <w:rFonts w:cstheme="minorHAnsi"/>
        </w:rPr>
        <w:t xml:space="preserve">Lokichar Action </w:t>
      </w:r>
      <w:r w:rsidR="000D5F6E">
        <w:rPr>
          <w:rFonts w:cstheme="minorHAnsi"/>
        </w:rPr>
        <w:t xml:space="preserve">Networks, the </w:t>
      </w:r>
      <w:r w:rsidR="00214AEC">
        <w:rPr>
          <w:rFonts w:cstheme="minorHAnsi"/>
        </w:rPr>
        <w:t xml:space="preserve">Society for International Development, the </w:t>
      </w:r>
      <w:r w:rsidR="000D5F6E">
        <w:rPr>
          <w:rFonts w:cstheme="minorHAnsi"/>
        </w:rPr>
        <w:t>World Organization for Early Childhood Education</w:t>
      </w:r>
      <w:r w:rsidR="00190EC4">
        <w:rPr>
          <w:rFonts w:cstheme="minorHAnsi"/>
        </w:rPr>
        <w:t>, and former U</w:t>
      </w:r>
      <w:r w:rsidR="009C6198">
        <w:rPr>
          <w:rFonts w:cstheme="minorHAnsi"/>
        </w:rPr>
        <w:t>.N.</w:t>
      </w:r>
      <w:r w:rsidR="00190EC4">
        <w:rPr>
          <w:rFonts w:cstheme="minorHAnsi"/>
        </w:rPr>
        <w:t xml:space="preserve"> Special Rapporteur on </w:t>
      </w:r>
      <w:r w:rsidR="00B87191">
        <w:rPr>
          <w:rFonts w:cstheme="minorHAnsi"/>
        </w:rPr>
        <w:t xml:space="preserve">the right to </w:t>
      </w:r>
      <w:r w:rsidR="00190EC4">
        <w:rPr>
          <w:rFonts w:cstheme="minorHAnsi"/>
        </w:rPr>
        <w:t xml:space="preserve">adequate housing, </w:t>
      </w:r>
      <w:r w:rsidR="00D07576">
        <w:rPr>
          <w:rFonts w:cstheme="minorHAnsi"/>
        </w:rPr>
        <w:t>Mr. Miloon Kothari</w:t>
      </w:r>
      <w:bookmarkEnd w:id="0"/>
      <w:r w:rsidR="00D07576">
        <w:rPr>
          <w:rFonts w:cstheme="minorHAnsi"/>
        </w:rPr>
        <w:t xml:space="preserve">. </w:t>
      </w:r>
      <w:r w:rsidR="004758DD" w:rsidRPr="008C2813">
        <w:rPr>
          <w:rFonts w:cstheme="minorHAnsi"/>
        </w:rPr>
        <w:t xml:space="preserve">The submission </w:t>
      </w:r>
      <w:r w:rsidR="00C23DE4" w:rsidRPr="008C2813">
        <w:rPr>
          <w:rFonts w:cstheme="minorHAnsi"/>
        </w:rPr>
        <w:t>builds on</w:t>
      </w:r>
      <w:r w:rsidR="004758DD" w:rsidRPr="008C2813">
        <w:rPr>
          <w:rFonts w:cstheme="minorHAnsi"/>
        </w:rPr>
        <w:t xml:space="preserve"> a </w:t>
      </w:r>
      <w:r w:rsidR="0053409C" w:rsidRPr="008C2813">
        <w:t>rou</w:t>
      </w:r>
      <w:r w:rsidR="002958BC">
        <w:t>n</w:t>
      </w:r>
      <w:r w:rsidR="0053409C" w:rsidRPr="008C2813">
        <w:t>dtable discussion</w:t>
      </w:r>
      <w:r w:rsidR="004758DD" w:rsidRPr="008C2813">
        <w:rPr>
          <w:rFonts w:cstheme="minorHAnsi"/>
        </w:rPr>
        <w:t xml:space="preserve"> the draft </w:t>
      </w:r>
      <w:r w:rsidR="006A3A79" w:rsidRPr="008C2813">
        <w:rPr>
          <w:rFonts w:cstheme="minorHAnsi"/>
        </w:rPr>
        <w:t>G</w:t>
      </w:r>
      <w:r w:rsidR="004758DD" w:rsidRPr="008C2813">
        <w:rPr>
          <w:rFonts w:cstheme="minorHAnsi"/>
        </w:rPr>
        <w:t xml:space="preserve">eneral </w:t>
      </w:r>
      <w:r w:rsidR="006A3A79" w:rsidRPr="008C2813">
        <w:rPr>
          <w:rFonts w:cstheme="minorHAnsi"/>
        </w:rPr>
        <w:t>C</w:t>
      </w:r>
      <w:r w:rsidR="004758DD" w:rsidRPr="008C2813">
        <w:rPr>
          <w:rFonts w:cstheme="minorHAnsi"/>
        </w:rPr>
        <w:t xml:space="preserve">omment that was hosted by FIAN International and </w:t>
      </w:r>
      <w:r w:rsidR="009C6198">
        <w:rPr>
          <w:rFonts w:cstheme="minorHAnsi"/>
        </w:rPr>
        <w:t>GI-ESCR</w:t>
      </w:r>
      <w:r w:rsidR="004758DD" w:rsidRPr="008C2813">
        <w:rPr>
          <w:rFonts w:cstheme="minorHAnsi"/>
        </w:rPr>
        <w:t xml:space="preserve"> on 28 July 2021.</w:t>
      </w:r>
      <w:r w:rsidR="0053409C" w:rsidRPr="008C2813">
        <w:rPr>
          <w:rStyle w:val="FootnoteReference"/>
          <w:rFonts w:cstheme="minorHAnsi"/>
        </w:rPr>
        <w:footnoteReference w:id="2"/>
      </w:r>
      <w:r w:rsidR="004758DD" w:rsidRPr="008C2813">
        <w:rPr>
          <w:rFonts w:cstheme="minorHAnsi"/>
        </w:rPr>
        <w:t xml:space="preserve"> </w:t>
      </w:r>
    </w:p>
    <w:p w14:paraId="05FD49B8" w14:textId="1A9F2F19" w:rsidR="00C779FA" w:rsidRPr="008C2813" w:rsidRDefault="00CF080E" w:rsidP="00D230F8">
      <w:pPr>
        <w:pStyle w:val="ListParagraph"/>
        <w:numPr>
          <w:ilvl w:val="0"/>
          <w:numId w:val="5"/>
        </w:numPr>
        <w:spacing w:line="257" w:lineRule="exact"/>
        <w:ind w:left="227" w:hanging="227"/>
        <w:jc w:val="both"/>
        <w:rPr>
          <w:rFonts w:cstheme="minorHAnsi"/>
        </w:rPr>
      </w:pPr>
      <w:r w:rsidRPr="008C2813">
        <w:rPr>
          <w:rFonts w:cstheme="minorHAnsi"/>
        </w:rPr>
        <w:t>The signing organisations welcome</w:t>
      </w:r>
      <w:r w:rsidR="008C6134" w:rsidRPr="008C2813">
        <w:rPr>
          <w:rFonts w:cstheme="minorHAnsi"/>
        </w:rPr>
        <w:t xml:space="preserve"> the decisions of the U</w:t>
      </w:r>
      <w:r w:rsidR="009C6198">
        <w:rPr>
          <w:rFonts w:cstheme="minorHAnsi"/>
        </w:rPr>
        <w:t>.N.</w:t>
      </w:r>
      <w:r w:rsidR="008C6134" w:rsidRPr="008C2813">
        <w:rPr>
          <w:rFonts w:cstheme="minorHAnsi"/>
        </w:rPr>
        <w:t xml:space="preserve"> Committee on Economic, Social and Cultural Rights (hereinafter “the Committee”) to develop a </w:t>
      </w:r>
      <w:r w:rsidR="006A3A79" w:rsidRPr="008C2813">
        <w:rPr>
          <w:rFonts w:cstheme="minorHAnsi"/>
        </w:rPr>
        <w:t>G</w:t>
      </w:r>
      <w:r w:rsidR="008C6134" w:rsidRPr="008C2813">
        <w:rPr>
          <w:rFonts w:cstheme="minorHAnsi"/>
        </w:rPr>
        <w:t xml:space="preserve">eneral </w:t>
      </w:r>
      <w:r w:rsidR="006A3A79" w:rsidRPr="008C2813">
        <w:rPr>
          <w:rFonts w:cstheme="minorHAnsi"/>
        </w:rPr>
        <w:t>C</w:t>
      </w:r>
      <w:r w:rsidR="008C6134" w:rsidRPr="008C2813">
        <w:rPr>
          <w:rFonts w:cstheme="minorHAnsi"/>
        </w:rPr>
        <w:t>omment on land and economic, social and cultural rights</w:t>
      </w:r>
      <w:r w:rsidR="00960F0C" w:rsidRPr="008C2813">
        <w:rPr>
          <w:rFonts w:cstheme="minorHAnsi"/>
        </w:rPr>
        <w:t xml:space="preserve"> (hereinafter “ESCR”)</w:t>
      </w:r>
      <w:r w:rsidR="00C779FA" w:rsidRPr="008C2813">
        <w:rPr>
          <w:rFonts w:cstheme="minorHAnsi"/>
        </w:rPr>
        <w:t xml:space="preserve"> and the open consultation on the draft. </w:t>
      </w:r>
    </w:p>
    <w:p w14:paraId="6BC1279C" w14:textId="49DD4BAA" w:rsidR="004A714C" w:rsidRPr="008C2813" w:rsidRDefault="00E66ACA" w:rsidP="00D230F8">
      <w:pPr>
        <w:pStyle w:val="ListParagraph"/>
        <w:numPr>
          <w:ilvl w:val="0"/>
          <w:numId w:val="5"/>
        </w:numPr>
        <w:spacing w:line="257" w:lineRule="exact"/>
        <w:ind w:left="227" w:hanging="227"/>
        <w:jc w:val="both"/>
        <w:rPr>
          <w:rFonts w:cstheme="minorHAnsi"/>
          <w:b/>
          <w:bCs/>
        </w:rPr>
      </w:pPr>
      <w:r w:rsidRPr="008C2813">
        <w:rPr>
          <w:rFonts w:cstheme="minorHAnsi"/>
        </w:rPr>
        <w:t>Privatisation, commerci</w:t>
      </w:r>
      <w:r w:rsidR="00650D5A" w:rsidRPr="008C2813">
        <w:rPr>
          <w:rFonts w:cstheme="minorHAnsi"/>
        </w:rPr>
        <w:t>alisation and commodification are increasing in many areas, from the provision of services such as education and health</w:t>
      </w:r>
      <w:r w:rsidR="00973540" w:rsidRPr="008C2813">
        <w:rPr>
          <w:rFonts w:cstheme="minorHAnsi"/>
        </w:rPr>
        <w:t xml:space="preserve">, to the governance </w:t>
      </w:r>
      <w:r w:rsidR="008C3377" w:rsidRPr="008C2813">
        <w:rPr>
          <w:rFonts w:cstheme="minorHAnsi"/>
        </w:rPr>
        <w:t>of land and natural resources. This raises a number of human rights concerns, in</w:t>
      </w:r>
      <w:r w:rsidR="009C079C" w:rsidRPr="008C2813">
        <w:rPr>
          <w:rFonts w:cstheme="minorHAnsi"/>
        </w:rPr>
        <w:t>cluding increased inequalities and segregation, restrictions in access</w:t>
      </w:r>
      <w:r w:rsidR="0014546C" w:rsidRPr="008C2813">
        <w:rPr>
          <w:rFonts w:cstheme="minorHAnsi"/>
        </w:rPr>
        <w:t xml:space="preserve">, </w:t>
      </w:r>
      <w:r w:rsidR="0014546C" w:rsidRPr="008C2813">
        <w:rPr>
          <w:rFonts w:cstheme="minorHAnsi"/>
        </w:rPr>
        <w:lastRenderedPageBreak/>
        <w:t>the loss of democratic control</w:t>
      </w:r>
      <w:r w:rsidR="00D07576">
        <w:rPr>
          <w:rFonts w:cstheme="minorHAnsi"/>
        </w:rPr>
        <w:t>,</w:t>
      </w:r>
      <w:r w:rsidR="0014546C" w:rsidRPr="008C2813">
        <w:rPr>
          <w:rFonts w:cstheme="minorHAnsi"/>
        </w:rPr>
        <w:t xml:space="preserve"> </w:t>
      </w:r>
      <w:r w:rsidR="004C6B62" w:rsidRPr="008C2813">
        <w:rPr>
          <w:rFonts w:cstheme="minorHAnsi"/>
        </w:rPr>
        <w:t xml:space="preserve">and the reinforcement of unbalanced power relations. </w:t>
      </w:r>
      <w:r w:rsidR="00505004" w:rsidRPr="008C2813">
        <w:rPr>
          <w:rFonts w:cstheme="minorHAnsi"/>
        </w:rPr>
        <w:t xml:space="preserve">Dynamics of financialisation are further exacerbating the dispossession of communities and people, while creating new levels of concentration of power and wealth in the hands of a few actors. </w:t>
      </w:r>
    </w:p>
    <w:p w14:paraId="5D1966C8" w14:textId="646D70E9" w:rsidR="004A714C" w:rsidRPr="008C2813" w:rsidRDefault="00D127AF" w:rsidP="00D230F8">
      <w:pPr>
        <w:pStyle w:val="ListParagraph"/>
        <w:numPr>
          <w:ilvl w:val="0"/>
          <w:numId w:val="5"/>
        </w:numPr>
        <w:spacing w:line="257" w:lineRule="exact"/>
        <w:ind w:left="227" w:hanging="227"/>
        <w:jc w:val="both"/>
        <w:rPr>
          <w:rFonts w:cstheme="minorHAnsi"/>
          <w:b/>
          <w:bCs/>
        </w:rPr>
      </w:pPr>
      <w:r w:rsidRPr="008C2813">
        <w:rPr>
          <w:rFonts w:cstheme="minorHAnsi"/>
        </w:rPr>
        <w:t>W</w:t>
      </w:r>
      <w:r w:rsidR="00963902" w:rsidRPr="008C2813">
        <w:rPr>
          <w:rFonts w:cstheme="minorHAnsi"/>
        </w:rPr>
        <w:t xml:space="preserve">e welcome the decision to address these issues in relation to land </w:t>
      </w:r>
      <w:r w:rsidR="00D95BBC" w:rsidRPr="008C2813">
        <w:rPr>
          <w:rFonts w:cstheme="minorHAnsi"/>
        </w:rPr>
        <w:t>as pa</w:t>
      </w:r>
      <w:r w:rsidR="003E2550" w:rsidRPr="008C2813">
        <w:rPr>
          <w:rFonts w:cstheme="minorHAnsi"/>
        </w:rPr>
        <w:t>rt of the</w:t>
      </w:r>
      <w:r w:rsidR="00963902" w:rsidRPr="008C2813">
        <w:rPr>
          <w:rFonts w:cstheme="minorHAnsi"/>
        </w:rPr>
        <w:t xml:space="preserve"> General Comment. </w:t>
      </w:r>
      <w:r w:rsidR="004830C8" w:rsidRPr="008C2813">
        <w:rPr>
          <w:rFonts w:cstheme="minorHAnsi"/>
        </w:rPr>
        <w:t>This submission</w:t>
      </w:r>
      <w:r w:rsidR="00F13EA8" w:rsidRPr="008C2813">
        <w:rPr>
          <w:rFonts w:cstheme="minorHAnsi"/>
        </w:rPr>
        <w:t xml:space="preserve"> expands on the point</w:t>
      </w:r>
      <w:r w:rsidR="00423101" w:rsidRPr="008C2813">
        <w:rPr>
          <w:rFonts w:cstheme="minorHAnsi"/>
        </w:rPr>
        <w:t>s made in the draft</w:t>
      </w:r>
      <w:r w:rsidR="004B3C5B" w:rsidRPr="008C2813">
        <w:rPr>
          <w:rFonts w:cstheme="minorHAnsi"/>
        </w:rPr>
        <w:t xml:space="preserve"> relating to the privatisation, commercialisation</w:t>
      </w:r>
      <w:r w:rsidR="00D34C24" w:rsidRPr="008C2813">
        <w:rPr>
          <w:rFonts w:cstheme="minorHAnsi"/>
        </w:rPr>
        <w:t xml:space="preserve">, commodification and financialisation </w:t>
      </w:r>
      <w:r w:rsidR="00951EFD" w:rsidRPr="008C2813">
        <w:rPr>
          <w:rFonts w:cstheme="minorHAnsi"/>
        </w:rPr>
        <w:t xml:space="preserve">of land </w:t>
      </w:r>
      <w:r w:rsidR="00453390" w:rsidRPr="008C2813">
        <w:rPr>
          <w:rFonts w:cstheme="minorHAnsi"/>
        </w:rPr>
        <w:t xml:space="preserve">and the impacts of these phenomena on ESCR, making several recommendations </w:t>
      </w:r>
      <w:r w:rsidR="00423101" w:rsidRPr="008C2813">
        <w:rPr>
          <w:rFonts w:cstheme="minorHAnsi"/>
        </w:rPr>
        <w:t xml:space="preserve"> </w:t>
      </w:r>
      <w:r w:rsidR="004A714C" w:rsidRPr="008C2813">
        <w:rPr>
          <w:rFonts w:cstheme="minorHAnsi"/>
        </w:rPr>
        <w:t xml:space="preserve">as to how the draft General Comment can be strengthened in this regard.  </w:t>
      </w:r>
    </w:p>
    <w:p w14:paraId="15C8866B" w14:textId="77777777" w:rsidR="000A5B6D" w:rsidRPr="008C2813" w:rsidRDefault="000A5B6D" w:rsidP="008C2813">
      <w:pPr>
        <w:pStyle w:val="Heading2"/>
      </w:pPr>
      <w:r w:rsidRPr="008C2813">
        <w:t>Definitions</w:t>
      </w:r>
    </w:p>
    <w:p w14:paraId="565461D2" w14:textId="15C7C7A0" w:rsidR="00864CCE" w:rsidRPr="008C2813" w:rsidRDefault="00574A9F" w:rsidP="004C5A84">
      <w:pPr>
        <w:pStyle w:val="ListParagraph"/>
        <w:numPr>
          <w:ilvl w:val="0"/>
          <w:numId w:val="5"/>
        </w:numPr>
        <w:spacing w:line="257" w:lineRule="exact"/>
        <w:ind w:left="227" w:hanging="227"/>
        <w:jc w:val="both"/>
        <w:rPr>
          <w:b/>
          <w:bCs/>
        </w:rPr>
      </w:pPr>
      <w:r w:rsidRPr="008C2813">
        <w:t>Th</w:t>
      </w:r>
      <w:r w:rsidR="00C04E38" w:rsidRPr="008C2813">
        <w:t xml:space="preserve">e draft General </w:t>
      </w:r>
      <w:r w:rsidR="00EB0F3D" w:rsidRPr="008C2813">
        <w:t>Comment refers to three intertwined concepts</w:t>
      </w:r>
      <w:r w:rsidR="00346A95" w:rsidRPr="008C2813">
        <w:t xml:space="preserve">: privatisation, commodification and financialisation. This section proposes </w:t>
      </w:r>
      <w:r w:rsidR="00CC1916" w:rsidRPr="008C2813">
        <w:t>a definition for each</w:t>
      </w:r>
      <w:r w:rsidR="0083749C" w:rsidRPr="008C2813">
        <w:t xml:space="preserve"> and for </w:t>
      </w:r>
      <w:r w:rsidR="00D87D7A" w:rsidRPr="008C2813">
        <w:t>the closely related phenomena of commercialisation and digitalisation.</w:t>
      </w:r>
    </w:p>
    <w:p w14:paraId="764867B0" w14:textId="24C87F1A" w:rsidR="000A5B6D" w:rsidRPr="008C2813" w:rsidRDefault="00F608A6" w:rsidP="004C5A84">
      <w:pPr>
        <w:pStyle w:val="ListParagraph"/>
        <w:numPr>
          <w:ilvl w:val="0"/>
          <w:numId w:val="5"/>
        </w:numPr>
        <w:spacing w:line="257" w:lineRule="exact"/>
        <w:ind w:left="227" w:hanging="227"/>
        <w:jc w:val="both"/>
        <w:rPr>
          <w:b/>
          <w:bCs/>
        </w:rPr>
      </w:pPr>
      <w:r w:rsidRPr="008C2813">
        <w:rPr>
          <w:b/>
          <w:bCs/>
        </w:rPr>
        <w:t>Privatisation</w:t>
      </w:r>
      <w:r w:rsidRPr="008C2813">
        <w:t xml:space="preserve"> can broadly be understood as the growth of private actors’ involvement</w:t>
      </w:r>
      <w:r w:rsidR="00315C95">
        <w:t xml:space="preserve"> (</w:t>
      </w:r>
      <w:r w:rsidR="00825B6B" w:rsidRPr="008C2813">
        <w:t xml:space="preserve">in </w:t>
      </w:r>
      <w:r w:rsidR="00C2334E" w:rsidRPr="008C2813">
        <w:t>ownership or management</w:t>
      </w:r>
      <w:r w:rsidR="00315C95">
        <w:t>)</w:t>
      </w:r>
      <w:r w:rsidRPr="008C2813">
        <w:t xml:space="preserve"> or the adoption of private practices</w:t>
      </w:r>
      <w:r w:rsidR="00315C95">
        <w:t xml:space="preserve"> </w:t>
      </w:r>
      <w:r w:rsidR="00C93DE2" w:rsidRPr="008C2813">
        <w:t>in a particular sector</w:t>
      </w:r>
      <w:r w:rsidR="00250410" w:rsidRPr="008C2813">
        <w:t>, leading to private interests</w:t>
      </w:r>
      <w:r w:rsidR="00FA2EEB" w:rsidRPr="008C2813">
        <w:t xml:space="preserve"> (as opposed to public or collective interests)</w:t>
      </w:r>
      <w:r w:rsidR="00250410" w:rsidRPr="008C2813">
        <w:t xml:space="preserve"> </w:t>
      </w:r>
      <w:r w:rsidR="00A65C7A" w:rsidRPr="008C2813">
        <w:t>occupying an increasing amount of space</w:t>
      </w:r>
      <w:r w:rsidR="00825B6B" w:rsidRPr="008C2813">
        <w:t>.</w:t>
      </w:r>
      <w:r w:rsidR="006D5DDD" w:rsidRPr="008C2813">
        <w:t xml:space="preserve"> </w:t>
      </w:r>
      <w:r w:rsidR="00EF7525" w:rsidRPr="008C2813">
        <w:t>T</w:t>
      </w:r>
      <w:r w:rsidR="00F86D06" w:rsidRPr="008C2813">
        <w:t xml:space="preserve">his can occur in a number of ways, reflecting the different roles the private </w:t>
      </w:r>
      <w:r w:rsidR="00EF7525" w:rsidRPr="008C2813">
        <w:t xml:space="preserve">actors </w:t>
      </w:r>
      <w:r w:rsidR="00F86D06" w:rsidRPr="008C2813">
        <w:t>can play</w:t>
      </w:r>
      <w:r w:rsidR="00EF7525" w:rsidRPr="008C2813">
        <w:t xml:space="preserve"> in different sectors</w:t>
      </w:r>
      <w:r w:rsidR="00BB7606" w:rsidRPr="008C2813">
        <w:t>.</w:t>
      </w:r>
      <w:r w:rsidR="00EF7525" w:rsidRPr="008C2813">
        <w:t xml:space="preserve"> </w:t>
      </w:r>
      <w:r w:rsidR="00100D8E" w:rsidRPr="008C2813">
        <w:t xml:space="preserve">While privatisation </w:t>
      </w:r>
      <w:r w:rsidR="00BB7606" w:rsidRPr="008C2813">
        <w:t xml:space="preserve">commonly </w:t>
      </w:r>
      <w:r w:rsidR="00FA34DB" w:rsidRPr="008C2813">
        <w:t xml:space="preserve">occurs in land through the sale of public land to </w:t>
      </w:r>
      <w:r w:rsidR="000A3A10" w:rsidRPr="008C2813">
        <w:t>private developers</w:t>
      </w:r>
      <w:r w:rsidR="00100D8E" w:rsidRPr="008C2813">
        <w:t>, it</w:t>
      </w:r>
      <w:r w:rsidR="00100384" w:rsidRPr="008C2813">
        <w:t xml:space="preserve"> does not always involve the transfer o</w:t>
      </w:r>
      <w:r w:rsidR="005026EC">
        <w:t>f</w:t>
      </w:r>
      <w:r w:rsidR="00100384" w:rsidRPr="008C2813">
        <w:t xml:space="preserve"> property or manage</w:t>
      </w:r>
      <w:r w:rsidR="00FC239C" w:rsidRPr="008C2813">
        <w:t>ment from the State to a private actor.</w:t>
      </w:r>
      <w:r w:rsidR="00100384" w:rsidRPr="008C2813">
        <w:t xml:space="preserve"> </w:t>
      </w:r>
      <w:r w:rsidR="00D04A5B" w:rsidRPr="008C2813">
        <w:t xml:space="preserve">Privatisation </w:t>
      </w:r>
      <w:r w:rsidR="00FA2EEB" w:rsidRPr="008C2813">
        <w:t xml:space="preserve">may also </w:t>
      </w:r>
      <w:r w:rsidR="008F660E" w:rsidRPr="008C2813">
        <w:t>occur when the governance of a piece of land is transferred from a g</w:t>
      </w:r>
      <w:r w:rsidR="006964BF" w:rsidRPr="008C2813">
        <w:t>roup</w:t>
      </w:r>
      <w:r w:rsidR="001848FD" w:rsidRPr="008C2813">
        <w:t xml:space="preserve"> </w:t>
      </w:r>
      <w:r w:rsidR="0095445E" w:rsidRPr="008C2813">
        <w:t xml:space="preserve">that is </w:t>
      </w:r>
      <w:r w:rsidR="001848FD" w:rsidRPr="008C2813">
        <w:t xml:space="preserve">organised </w:t>
      </w:r>
      <w:r w:rsidR="00064A03" w:rsidRPr="008C2813">
        <w:t>with a view to promote the collective interest</w:t>
      </w:r>
      <w:r w:rsidR="00292922">
        <w:t xml:space="preserve"> (such as </w:t>
      </w:r>
      <w:r w:rsidR="006964BF" w:rsidRPr="008C2813">
        <w:t>a community</w:t>
      </w:r>
      <w:r w:rsidR="00292922">
        <w:t>)</w:t>
      </w:r>
      <w:r w:rsidR="00064A03" w:rsidRPr="008C2813">
        <w:t xml:space="preserve"> to a </w:t>
      </w:r>
      <w:r w:rsidR="00F65161" w:rsidRPr="008C2813">
        <w:t>person or organisation whose mandate</w:t>
      </w:r>
      <w:r w:rsidR="00FC239C" w:rsidRPr="008C2813">
        <w:t xml:space="preserve"> or interests are</w:t>
      </w:r>
      <w:r w:rsidR="00F65161" w:rsidRPr="008C2813">
        <w:t xml:space="preserve"> more exclusively private</w:t>
      </w:r>
      <w:r w:rsidR="00292922">
        <w:t xml:space="preserve"> (</w:t>
      </w:r>
      <w:r w:rsidR="001F7448">
        <w:t xml:space="preserve">such as a corporation). </w:t>
      </w:r>
      <w:r w:rsidR="00F65161" w:rsidRPr="008C2813">
        <w:t xml:space="preserve"> </w:t>
      </w:r>
    </w:p>
    <w:p w14:paraId="5811CA1C" w14:textId="5391AFCC" w:rsidR="004E3550" w:rsidRPr="008C2813" w:rsidRDefault="004E3550" w:rsidP="004C5A84">
      <w:pPr>
        <w:pStyle w:val="ListParagraph"/>
        <w:numPr>
          <w:ilvl w:val="0"/>
          <w:numId w:val="5"/>
        </w:numPr>
        <w:spacing w:line="257" w:lineRule="exact"/>
        <w:ind w:left="227" w:hanging="227"/>
        <w:jc w:val="both"/>
      </w:pPr>
      <w:r w:rsidRPr="008C2813">
        <w:rPr>
          <w:rFonts w:cstheme="minorHAnsi"/>
          <w:b/>
          <w:bCs/>
        </w:rPr>
        <w:t xml:space="preserve">Commercialisation </w:t>
      </w:r>
      <w:r w:rsidRPr="008C2813">
        <w:rPr>
          <w:rFonts w:cstheme="minorHAnsi"/>
        </w:rPr>
        <w:t xml:space="preserve">may be defined as the act of using market mechanisms to gain a private benefit. Privatisation often, though </w:t>
      </w:r>
      <w:r w:rsidRPr="008C2813">
        <w:rPr>
          <w:rFonts w:cstheme="minorHAnsi"/>
        </w:rPr>
        <w:lastRenderedPageBreak/>
        <w:t xml:space="preserve">not always, leads to commercialisation. The </w:t>
      </w:r>
      <w:r w:rsidRPr="008C2813">
        <w:rPr>
          <w:rFonts w:cstheme="minorHAnsi"/>
          <w:i/>
          <w:iCs/>
        </w:rPr>
        <w:t xml:space="preserve">Appeal by Francophone Civil Society against the Commercialisation of Education </w:t>
      </w:r>
      <w:r w:rsidRPr="008C2813">
        <w:rPr>
          <w:rFonts w:cstheme="minorHAnsi"/>
        </w:rPr>
        <w:t>defines commercialisation of education as “the transformation of education into a profit-making commodity.”</w:t>
      </w:r>
      <w:r w:rsidRPr="008C2813">
        <w:rPr>
          <w:rStyle w:val="FootnoteReference"/>
          <w:rFonts w:cstheme="minorHAnsi"/>
        </w:rPr>
        <w:footnoteReference w:id="3"/>
      </w:r>
      <w:r w:rsidRPr="008C2813">
        <w:rPr>
          <w:rFonts w:cstheme="minorHAnsi"/>
        </w:rPr>
        <w:t xml:space="preserve"> </w:t>
      </w:r>
      <w:r w:rsidR="00E537A8" w:rsidRPr="008C2813">
        <w:rPr>
          <w:rFonts w:cstheme="minorHAnsi"/>
        </w:rPr>
        <w:t>Commercialisation in land occurs</w:t>
      </w:r>
      <w:r w:rsidR="00924D49" w:rsidRPr="008C2813">
        <w:rPr>
          <w:rFonts w:cstheme="minorHAnsi"/>
        </w:rPr>
        <w:t xml:space="preserve">, for instance, when commercial actors such as investors or corporations acquire land in order to pursue a commercial </w:t>
      </w:r>
      <w:r w:rsidR="00E961E6" w:rsidRPr="008C2813">
        <w:rPr>
          <w:rFonts w:cstheme="minorHAnsi"/>
        </w:rPr>
        <w:t xml:space="preserve">interest, such as </w:t>
      </w:r>
      <w:r w:rsidR="00D33B95" w:rsidRPr="008C2813">
        <w:rPr>
          <w:rFonts w:cstheme="minorHAnsi"/>
        </w:rPr>
        <w:t>establishing</w:t>
      </w:r>
      <w:r w:rsidR="005A6EC1" w:rsidRPr="008C2813">
        <w:rPr>
          <w:rFonts w:cstheme="minorHAnsi"/>
        </w:rPr>
        <w:t xml:space="preserve"> a</w:t>
      </w:r>
      <w:r w:rsidR="00D33B95" w:rsidRPr="008C2813">
        <w:rPr>
          <w:rFonts w:cstheme="minorHAnsi"/>
        </w:rPr>
        <w:t xml:space="preserve"> </w:t>
      </w:r>
      <w:r w:rsidR="00D95156" w:rsidRPr="008C2813">
        <w:rPr>
          <w:rFonts w:cstheme="minorHAnsi"/>
        </w:rPr>
        <w:t xml:space="preserve">large-scale agriculture, biofuel production or </w:t>
      </w:r>
      <w:r w:rsidR="00EA1A3F" w:rsidRPr="008C2813">
        <w:rPr>
          <w:rFonts w:cstheme="minorHAnsi"/>
        </w:rPr>
        <w:t>mining operation</w:t>
      </w:r>
      <w:r w:rsidR="005A6EC1" w:rsidRPr="008C2813">
        <w:rPr>
          <w:rFonts w:cstheme="minorHAnsi"/>
        </w:rPr>
        <w:t>.</w:t>
      </w:r>
      <w:r w:rsidR="005A6EC1" w:rsidRPr="008C2813">
        <w:rPr>
          <w:rStyle w:val="FootnoteReference"/>
          <w:rFonts w:cstheme="minorHAnsi"/>
        </w:rPr>
        <w:footnoteReference w:id="4"/>
      </w:r>
      <w:r w:rsidR="005A6EC1" w:rsidRPr="008C2813">
        <w:rPr>
          <w:rFonts w:cstheme="minorHAnsi"/>
        </w:rPr>
        <w:t xml:space="preserve"> </w:t>
      </w:r>
      <w:r w:rsidRPr="008C2813">
        <w:rPr>
          <w:rFonts w:cstheme="minorHAnsi"/>
          <w:b/>
          <w:bCs/>
        </w:rPr>
        <w:t xml:space="preserve">Commodification </w:t>
      </w:r>
      <w:r w:rsidRPr="008C2813">
        <w:rPr>
          <w:rFonts w:cstheme="minorHAnsi"/>
        </w:rPr>
        <w:t>is closely related to, and is often a consequence of, commercialisation. Commodification has been defined as “a process within which economic value is assigned to something not previously considered in pure economic terms”</w:t>
      </w:r>
      <w:r w:rsidRPr="008C2813">
        <w:rPr>
          <w:rStyle w:val="FootnoteReference"/>
          <w:rFonts w:cstheme="minorHAnsi"/>
        </w:rPr>
        <w:footnoteReference w:id="5"/>
      </w:r>
      <w:r w:rsidRPr="008C2813">
        <w:rPr>
          <w:rFonts w:cstheme="minorHAnsi"/>
        </w:rPr>
        <w:t xml:space="preserve"> and as referring to the extent to which an individual’s access to a service is dependent on their market position.</w:t>
      </w:r>
      <w:r w:rsidRPr="008C2813">
        <w:rPr>
          <w:rStyle w:val="FootnoteReference"/>
          <w:rFonts w:cstheme="minorHAnsi"/>
        </w:rPr>
        <w:footnoteReference w:id="6"/>
      </w:r>
    </w:p>
    <w:p w14:paraId="612C142F" w14:textId="7119C6F7" w:rsidR="00AE09B0" w:rsidRPr="008C2813" w:rsidRDefault="00FC0C35" w:rsidP="004C5A84">
      <w:pPr>
        <w:pStyle w:val="ListParagraph"/>
        <w:numPr>
          <w:ilvl w:val="0"/>
          <w:numId w:val="5"/>
        </w:numPr>
        <w:spacing w:line="257" w:lineRule="exact"/>
        <w:ind w:left="227" w:hanging="227"/>
        <w:jc w:val="both"/>
      </w:pPr>
      <w:r w:rsidRPr="008C2813">
        <w:rPr>
          <w:b/>
          <w:bCs/>
        </w:rPr>
        <w:t>Financialisation</w:t>
      </w:r>
      <w:r w:rsidRPr="008C2813">
        <w:t xml:space="preserve"> is a form of privatisation through the introduction of private finance mechanisms. The former </w:t>
      </w:r>
      <w:r w:rsidR="009C6198">
        <w:t xml:space="preserve">U.N. </w:t>
      </w:r>
      <w:r w:rsidRPr="008C2813">
        <w:t xml:space="preserve">Special Rapporteur on the right to housing described financialisation in </w:t>
      </w:r>
      <w:r w:rsidR="00AE022F">
        <w:t xml:space="preserve">relation to </w:t>
      </w:r>
      <w:r w:rsidR="006D024A" w:rsidRPr="008C2813">
        <w:t>housing as referring to “structural changes in […] financial and global markets whereby ho</w:t>
      </w:r>
      <w:r w:rsidR="005247BF" w:rsidRPr="008C2813">
        <w:t>u</w:t>
      </w:r>
      <w:r w:rsidR="006D024A" w:rsidRPr="008C2813">
        <w:t xml:space="preserve">sing is treated as a commodity, a means of accumulating </w:t>
      </w:r>
      <w:r w:rsidR="003679C2" w:rsidRPr="008C2813">
        <w:t>wealth and often as security that are traded and sold on global markets.”</w:t>
      </w:r>
      <w:r w:rsidR="00DE7C4E" w:rsidRPr="008C2813">
        <w:rPr>
          <w:rStyle w:val="FootnoteReference"/>
          <w:rFonts w:cstheme="minorHAnsi"/>
        </w:rPr>
        <w:footnoteReference w:id="7"/>
      </w:r>
      <w:r w:rsidR="00DE7C4E" w:rsidRPr="008C2813">
        <w:rPr>
          <w:rFonts w:cstheme="minorHAnsi"/>
        </w:rPr>
        <w:t xml:space="preserve"> Based on this understanding, </w:t>
      </w:r>
      <w:r w:rsidR="00AE09B0" w:rsidRPr="008C2813">
        <w:rPr>
          <w:rFonts w:cstheme="minorHAnsi"/>
        </w:rPr>
        <w:t xml:space="preserve">the financialisation of land </w:t>
      </w:r>
      <w:r w:rsidR="005C3238" w:rsidRPr="008C2813">
        <w:rPr>
          <w:rFonts w:cstheme="minorHAnsi"/>
        </w:rPr>
        <w:t>al</w:t>
      </w:r>
      <w:r w:rsidR="00AE09B0" w:rsidRPr="008C2813">
        <w:rPr>
          <w:rFonts w:cstheme="minorHAnsi"/>
        </w:rPr>
        <w:t xml:space="preserve">most always involves the commercialisation and commodification of </w:t>
      </w:r>
      <w:r w:rsidR="005C3238" w:rsidRPr="008C2813">
        <w:rPr>
          <w:rFonts w:cstheme="minorHAnsi"/>
        </w:rPr>
        <w:t>land</w:t>
      </w:r>
      <w:r w:rsidR="00AE09B0" w:rsidRPr="008C2813">
        <w:rPr>
          <w:rFonts w:cstheme="minorHAnsi"/>
        </w:rPr>
        <w:t xml:space="preserve">. </w:t>
      </w:r>
      <w:r w:rsidR="00F71F8B" w:rsidRPr="008C2813">
        <w:rPr>
          <w:rFonts w:cstheme="minorHAnsi"/>
        </w:rPr>
        <w:t xml:space="preserve">Financialisation </w:t>
      </w:r>
      <w:r w:rsidR="004E653C" w:rsidRPr="008C2813">
        <w:rPr>
          <w:rFonts w:cstheme="minorHAnsi"/>
        </w:rPr>
        <w:t xml:space="preserve">of </w:t>
      </w:r>
      <w:r w:rsidR="004E653C" w:rsidRPr="008C2813">
        <w:rPr>
          <w:rFonts w:cstheme="minorHAnsi"/>
        </w:rPr>
        <w:lastRenderedPageBreak/>
        <w:t xml:space="preserve">land commonly </w:t>
      </w:r>
      <w:r w:rsidR="00F34381" w:rsidRPr="008C2813">
        <w:rPr>
          <w:rFonts w:cstheme="minorHAnsi"/>
        </w:rPr>
        <w:t>occurs whe</w:t>
      </w:r>
      <w:r w:rsidR="004F0290" w:rsidRPr="008C2813">
        <w:rPr>
          <w:rFonts w:cstheme="minorHAnsi"/>
        </w:rPr>
        <w:t>n</w:t>
      </w:r>
      <w:r w:rsidR="00F34381" w:rsidRPr="008C2813">
        <w:rPr>
          <w:rFonts w:cstheme="minorHAnsi"/>
        </w:rPr>
        <w:t xml:space="preserve"> </w:t>
      </w:r>
      <w:r w:rsidR="00F71F8B" w:rsidRPr="008C2813">
        <w:rPr>
          <w:rFonts w:cstheme="minorHAnsi"/>
        </w:rPr>
        <w:t>financial actors</w:t>
      </w:r>
      <w:r w:rsidR="004F0290" w:rsidRPr="008C2813">
        <w:rPr>
          <w:rFonts w:cstheme="minorHAnsi"/>
        </w:rPr>
        <w:t xml:space="preserve"> - </w:t>
      </w:r>
      <w:r w:rsidR="00A132FF" w:rsidRPr="008C2813">
        <w:rPr>
          <w:rFonts w:cstheme="minorHAnsi"/>
        </w:rPr>
        <w:t>which include banks, insurance and pension funds, hedge funds</w:t>
      </w:r>
      <w:r w:rsidR="001B59D5" w:rsidRPr="008C2813">
        <w:rPr>
          <w:rFonts w:cstheme="minorHAnsi"/>
        </w:rPr>
        <w:t xml:space="preserve"> and private equity firms – </w:t>
      </w:r>
      <w:r w:rsidR="004F0290" w:rsidRPr="008C2813">
        <w:rPr>
          <w:rFonts w:cstheme="minorHAnsi"/>
        </w:rPr>
        <w:t xml:space="preserve">purchase land as an investment. </w:t>
      </w:r>
      <w:r w:rsidR="00EF60E9" w:rsidRPr="008C2813">
        <w:rPr>
          <w:rFonts w:cstheme="minorHAnsi"/>
        </w:rPr>
        <w:t>The total value of property owned by the worl</w:t>
      </w:r>
      <w:r w:rsidR="004462BD" w:rsidRPr="008C2813">
        <w:rPr>
          <w:rFonts w:cstheme="minorHAnsi"/>
        </w:rPr>
        <w:t xml:space="preserve">d’s largest real estate private equity firm, the Blackstone Group, was last year estimated </w:t>
      </w:r>
      <w:r w:rsidR="00D47383" w:rsidRPr="008C2813">
        <w:rPr>
          <w:rFonts w:cstheme="minorHAnsi"/>
        </w:rPr>
        <w:t>to be around US$325 billion.</w:t>
      </w:r>
      <w:r w:rsidR="00955BBF" w:rsidRPr="008C2813">
        <w:rPr>
          <w:rStyle w:val="FootnoteReference"/>
          <w:rFonts w:cstheme="minorHAnsi"/>
        </w:rPr>
        <w:footnoteReference w:id="8"/>
      </w:r>
    </w:p>
    <w:p w14:paraId="4CE0E95F" w14:textId="5BAB14C4" w:rsidR="003E35CE" w:rsidRPr="008C2813" w:rsidRDefault="00EB262B" w:rsidP="004C5A84">
      <w:pPr>
        <w:pStyle w:val="ListParagraph"/>
        <w:numPr>
          <w:ilvl w:val="0"/>
          <w:numId w:val="5"/>
        </w:numPr>
        <w:spacing w:line="257" w:lineRule="exact"/>
        <w:ind w:left="227" w:hanging="227"/>
        <w:jc w:val="both"/>
        <w:rPr>
          <w:rFonts w:cstheme="minorHAnsi"/>
        </w:rPr>
      </w:pPr>
      <w:r w:rsidRPr="008C2813">
        <w:rPr>
          <w:rFonts w:cstheme="minorHAnsi"/>
          <w:b/>
        </w:rPr>
        <w:t>Digitalisation</w:t>
      </w:r>
      <w:r w:rsidR="00BE233F" w:rsidRPr="008C2813">
        <w:rPr>
          <w:rFonts w:cstheme="minorHAnsi"/>
        </w:rPr>
        <w:t xml:space="preserve">, which </w:t>
      </w:r>
      <w:r w:rsidR="00D80231" w:rsidRPr="008C2813">
        <w:rPr>
          <w:rFonts w:cstheme="minorHAnsi"/>
        </w:rPr>
        <w:t>can be understood as the increasing use of digital tools in</w:t>
      </w:r>
      <w:r w:rsidR="00B45E42" w:rsidRPr="008C2813">
        <w:rPr>
          <w:rFonts w:cstheme="minorHAnsi"/>
        </w:rPr>
        <w:t xml:space="preserve"> </w:t>
      </w:r>
      <w:r w:rsidR="003E7EA2" w:rsidRPr="008C2813">
        <w:rPr>
          <w:rFonts w:cstheme="minorHAnsi"/>
        </w:rPr>
        <w:t>the organisation and management of</w:t>
      </w:r>
      <w:r w:rsidR="001439E2" w:rsidRPr="008C2813">
        <w:rPr>
          <w:rFonts w:cstheme="minorHAnsi"/>
        </w:rPr>
        <w:t xml:space="preserve"> land</w:t>
      </w:r>
      <w:r w:rsidR="00BE233F" w:rsidRPr="008C2813">
        <w:rPr>
          <w:rFonts w:cstheme="minorHAnsi"/>
        </w:rPr>
        <w:t xml:space="preserve">, </w:t>
      </w:r>
      <w:r w:rsidR="00D80231" w:rsidRPr="008C2813">
        <w:rPr>
          <w:rFonts w:cstheme="minorHAnsi"/>
        </w:rPr>
        <w:t>is</w:t>
      </w:r>
      <w:r w:rsidRPr="008C2813">
        <w:rPr>
          <w:rFonts w:cstheme="minorHAnsi"/>
        </w:rPr>
        <w:t xml:space="preserve"> an emerging phenomen</w:t>
      </w:r>
      <w:r w:rsidR="00391024" w:rsidRPr="008C2813">
        <w:rPr>
          <w:rFonts w:cstheme="minorHAnsi"/>
        </w:rPr>
        <w:t>on</w:t>
      </w:r>
      <w:r w:rsidRPr="008C2813">
        <w:rPr>
          <w:rFonts w:cstheme="minorHAnsi"/>
        </w:rPr>
        <w:t xml:space="preserve"> </w:t>
      </w:r>
      <w:r w:rsidR="000E03E6" w:rsidRPr="008C2813">
        <w:rPr>
          <w:rFonts w:cstheme="minorHAnsi"/>
        </w:rPr>
        <w:t xml:space="preserve">that </w:t>
      </w:r>
      <w:r w:rsidR="00ED027B" w:rsidRPr="008C2813">
        <w:rPr>
          <w:rFonts w:cstheme="minorHAnsi"/>
        </w:rPr>
        <w:t>can further drive privatisation and commercialisation.</w:t>
      </w:r>
      <w:r w:rsidR="006834A5" w:rsidRPr="008C2813">
        <w:rPr>
          <w:rFonts w:cstheme="minorHAnsi"/>
        </w:rPr>
        <w:t xml:space="preserve"> In countries such as Brazil and Indonesia, </w:t>
      </w:r>
      <w:r w:rsidR="0078349C">
        <w:rPr>
          <w:rFonts w:cstheme="minorHAnsi"/>
        </w:rPr>
        <w:t xml:space="preserve">for instance, </w:t>
      </w:r>
      <w:r w:rsidR="006834A5" w:rsidRPr="008C2813">
        <w:rPr>
          <w:rFonts w:cstheme="minorHAnsi"/>
        </w:rPr>
        <w:t xml:space="preserve">digital land registries have </w:t>
      </w:r>
      <w:r w:rsidR="003C220E" w:rsidRPr="008C2813">
        <w:rPr>
          <w:rFonts w:cstheme="minorHAnsi"/>
        </w:rPr>
        <w:t xml:space="preserve">helped to facilitate land grabbing by private corporations and wealthy individuals, resulting in the dispossession of </w:t>
      </w:r>
      <w:r w:rsidR="00037F13" w:rsidRPr="008C2813">
        <w:rPr>
          <w:rFonts w:cstheme="minorHAnsi"/>
        </w:rPr>
        <w:t>local people and communities.</w:t>
      </w:r>
      <w:r w:rsidR="00037F13" w:rsidRPr="008C2813">
        <w:rPr>
          <w:rStyle w:val="FootnoteReference"/>
          <w:rFonts w:cstheme="minorHAnsi"/>
        </w:rPr>
        <w:footnoteReference w:id="9"/>
      </w:r>
    </w:p>
    <w:p w14:paraId="4D5BB1C8" w14:textId="3E44AA80" w:rsidR="00AF1020" w:rsidRPr="008C2813" w:rsidRDefault="00AF1020" w:rsidP="008C2813">
      <w:pPr>
        <w:pStyle w:val="Heading3"/>
      </w:pPr>
      <w:r w:rsidRPr="008C2813">
        <w:t>Recommendations</w:t>
      </w:r>
    </w:p>
    <w:p w14:paraId="541151E7" w14:textId="6FD3D027" w:rsidR="000E03E6" w:rsidRPr="008C2813" w:rsidRDefault="000E03E6" w:rsidP="000E03E6">
      <w:pPr>
        <w:pStyle w:val="ListParagraph"/>
        <w:numPr>
          <w:ilvl w:val="0"/>
          <w:numId w:val="5"/>
        </w:numPr>
        <w:spacing w:line="257" w:lineRule="exact"/>
        <w:ind w:left="284" w:hanging="284"/>
        <w:jc w:val="both"/>
        <w:rPr>
          <w:rFonts w:cstheme="minorHAnsi"/>
          <w:b/>
        </w:rPr>
      </w:pPr>
      <w:r w:rsidRPr="008C2813">
        <w:rPr>
          <w:rFonts w:cstheme="minorHAnsi"/>
          <w:b/>
        </w:rPr>
        <w:t xml:space="preserve">We welcome the references to privatisation, financialisation and commodification in the draft </w:t>
      </w:r>
      <w:r w:rsidR="00F2098E" w:rsidRPr="008C2813">
        <w:rPr>
          <w:rFonts w:cstheme="minorHAnsi"/>
          <w:b/>
        </w:rPr>
        <w:t>G</w:t>
      </w:r>
      <w:r w:rsidRPr="008C2813">
        <w:rPr>
          <w:rFonts w:cstheme="minorHAnsi"/>
          <w:b/>
        </w:rPr>
        <w:t xml:space="preserve">eneral </w:t>
      </w:r>
      <w:r w:rsidR="00F2098E" w:rsidRPr="008C2813">
        <w:rPr>
          <w:rFonts w:cstheme="minorHAnsi"/>
          <w:b/>
        </w:rPr>
        <w:t>Co</w:t>
      </w:r>
      <w:r w:rsidRPr="008C2813">
        <w:rPr>
          <w:rFonts w:cstheme="minorHAnsi"/>
          <w:b/>
        </w:rPr>
        <w:t xml:space="preserve">mment, and recommend that the Committee retain this language. In addition, we propose that the </w:t>
      </w:r>
      <w:r w:rsidR="007B1335" w:rsidRPr="008C2813">
        <w:rPr>
          <w:rFonts w:cstheme="minorHAnsi"/>
          <w:b/>
        </w:rPr>
        <w:t>G</w:t>
      </w:r>
      <w:r w:rsidRPr="008C2813">
        <w:rPr>
          <w:rFonts w:cstheme="minorHAnsi"/>
          <w:b/>
        </w:rPr>
        <w:t xml:space="preserve">eneral </w:t>
      </w:r>
      <w:r w:rsidR="007B1335" w:rsidRPr="008C2813">
        <w:rPr>
          <w:rFonts w:cstheme="minorHAnsi"/>
          <w:b/>
        </w:rPr>
        <w:t>C</w:t>
      </w:r>
      <w:r w:rsidRPr="008C2813">
        <w:rPr>
          <w:rFonts w:cstheme="minorHAnsi"/>
          <w:b/>
        </w:rPr>
        <w:t xml:space="preserve">omment should also </w:t>
      </w:r>
      <w:r w:rsidR="00037F13" w:rsidRPr="008C2813">
        <w:rPr>
          <w:rFonts w:cstheme="minorHAnsi"/>
          <w:b/>
        </w:rPr>
        <w:t>refer to</w:t>
      </w:r>
      <w:r w:rsidRPr="008C2813">
        <w:rPr>
          <w:rFonts w:cstheme="minorHAnsi"/>
          <w:b/>
        </w:rPr>
        <w:t xml:space="preserve"> commercialisation, which, as outlined above, is closely related to the other three concepts and has similar implications for ESCR in the context of land.</w:t>
      </w:r>
      <w:r w:rsidR="000C1550" w:rsidRPr="008C2813">
        <w:rPr>
          <w:rFonts w:cstheme="minorHAnsi"/>
          <w:b/>
        </w:rPr>
        <w:t xml:space="preserve"> </w:t>
      </w:r>
    </w:p>
    <w:p w14:paraId="01791B0F" w14:textId="3821256F" w:rsidR="0095256A" w:rsidRPr="008C2813" w:rsidRDefault="00125813" w:rsidP="0033067E">
      <w:pPr>
        <w:pStyle w:val="ListParagraph"/>
        <w:numPr>
          <w:ilvl w:val="0"/>
          <w:numId w:val="5"/>
        </w:numPr>
        <w:spacing w:line="257" w:lineRule="exact"/>
        <w:ind w:left="284" w:hanging="284"/>
        <w:jc w:val="both"/>
        <w:rPr>
          <w:b/>
          <w:lang w:eastAsia="en-GB"/>
        </w:rPr>
      </w:pPr>
      <w:r w:rsidRPr="008C2813">
        <w:rPr>
          <w:rFonts w:cstheme="minorHAnsi"/>
          <w:b/>
        </w:rPr>
        <w:t>We r</w:t>
      </w:r>
      <w:r w:rsidR="00BA47D3" w:rsidRPr="008C2813">
        <w:rPr>
          <w:rFonts w:cstheme="minorHAnsi"/>
          <w:b/>
        </w:rPr>
        <w:t xml:space="preserve">ecommend that the Committee provide a </w:t>
      </w:r>
      <w:r w:rsidR="00391024" w:rsidRPr="008C2813">
        <w:rPr>
          <w:rFonts w:cstheme="minorHAnsi"/>
          <w:b/>
          <w:bCs/>
        </w:rPr>
        <w:t xml:space="preserve">few words of </w:t>
      </w:r>
      <w:r w:rsidR="00BA47D3" w:rsidRPr="008C2813">
        <w:rPr>
          <w:rFonts w:cstheme="minorHAnsi"/>
          <w:b/>
        </w:rPr>
        <w:t xml:space="preserve">definition </w:t>
      </w:r>
      <w:r w:rsidR="004607DF" w:rsidRPr="008C2813">
        <w:rPr>
          <w:rFonts w:cstheme="minorHAnsi"/>
          <w:b/>
        </w:rPr>
        <w:t xml:space="preserve">for these concepts, along with a brief explanation of their key drivers and </w:t>
      </w:r>
      <w:r w:rsidR="00BD3400" w:rsidRPr="008C2813">
        <w:rPr>
          <w:rFonts w:cstheme="minorHAnsi"/>
          <w:b/>
        </w:rPr>
        <w:t xml:space="preserve">how </w:t>
      </w:r>
      <w:r w:rsidR="00015072" w:rsidRPr="008C2813">
        <w:rPr>
          <w:rFonts w:cstheme="minorHAnsi"/>
          <w:b/>
        </w:rPr>
        <w:t xml:space="preserve">they impact on ESCR. </w:t>
      </w:r>
      <w:r w:rsidR="002B06A7" w:rsidRPr="008C2813">
        <w:rPr>
          <w:rFonts w:cstheme="minorHAnsi"/>
          <w:b/>
        </w:rPr>
        <w:t xml:space="preserve"> </w:t>
      </w:r>
    </w:p>
    <w:p w14:paraId="11BC7CAE" w14:textId="03427189" w:rsidR="0023149C" w:rsidRPr="008C2813" w:rsidRDefault="00C45914" w:rsidP="0033067E">
      <w:pPr>
        <w:pStyle w:val="ListParagraph"/>
        <w:numPr>
          <w:ilvl w:val="0"/>
          <w:numId w:val="5"/>
        </w:numPr>
        <w:spacing w:line="257" w:lineRule="exact"/>
        <w:ind w:left="284" w:hanging="284"/>
        <w:jc w:val="both"/>
        <w:rPr>
          <w:b/>
          <w:lang w:eastAsia="en-GB"/>
        </w:rPr>
      </w:pPr>
      <w:r w:rsidRPr="008C2813">
        <w:rPr>
          <w:b/>
          <w:lang w:eastAsia="en-GB"/>
        </w:rPr>
        <w:t xml:space="preserve">We welcome </w:t>
      </w:r>
      <w:r w:rsidR="00862ADA" w:rsidRPr="008C2813">
        <w:rPr>
          <w:b/>
          <w:lang w:eastAsia="en-GB"/>
        </w:rPr>
        <w:t>the reference t</w:t>
      </w:r>
      <w:r w:rsidR="009D5AC6" w:rsidRPr="008C2813">
        <w:rPr>
          <w:b/>
          <w:lang w:eastAsia="en-GB"/>
        </w:rPr>
        <w:t>o the increasing use of “digital techniques” in the process of titling (at [33])</w:t>
      </w:r>
      <w:r w:rsidR="00882B46" w:rsidRPr="008C2813">
        <w:rPr>
          <w:b/>
          <w:lang w:eastAsia="en-GB"/>
        </w:rPr>
        <w:t xml:space="preserve">. We </w:t>
      </w:r>
      <w:r w:rsidR="00FB6CF9" w:rsidRPr="008C2813">
        <w:rPr>
          <w:b/>
          <w:lang w:eastAsia="en-GB"/>
        </w:rPr>
        <w:t xml:space="preserve">recommend </w:t>
      </w:r>
      <w:r w:rsidR="00FB6CF9" w:rsidRPr="008C2813">
        <w:rPr>
          <w:b/>
          <w:lang w:eastAsia="en-GB"/>
        </w:rPr>
        <w:lastRenderedPageBreak/>
        <w:t>that the Committee note in this regard that</w:t>
      </w:r>
      <w:r w:rsidR="00620E66" w:rsidRPr="008C2813">
        <w:rPr>
          <w:b/>
          <w:lang w:eastAsia="en-GB"/>
        </w:rPr>
        <w:t xml:space="preserve">, despite having important consequences for tenure governance, </w:t>
      </w:r>
      <w:r w:rsidR="00FA409D" w:rsidRPr="008C2813">
        <w:rPr>
          <w:b/>
          <w:lang w:eastAsia="en-GB"/>
        </w:rPr>
        <w:t xml:space="preserve">land-related digitalisation processes </w:t>
      </w:r>
      <w:r w:rsidR="00A27745" w:rsidRPr="008C2813">
        <w:rPr>
          <w:b/>
          <w:lang w:eastAsia="en-GB"/>
        </w:rPr>
        <w:t xml:space="preserve">are frequently implemented </w:t>
      </w:r>
      <w:r w:rsidR="00087A07" w:rsidRPr="008C2813">
        <w:rPr>
          <w:b/>
          <w:lang w:eastAsia="en-GB"/>
        </w:rPr>
        <w:t xml:space="preserve">without </w:t>
      </w:r>
      <w:r w:rsidR="00D42D2E" w:rsidRPr="008C2813">
        <w:rPr>
          <w:b/>
          <w:lang w:eastAsia="en-GB"/>
        </w:rPr>
        <w:t xml:space="preserve">any prior assessment of human rights impacts </w:t>
      </w:r>
      <w:r w:rsidR="00F472F6" w:rsidRPr="008C2813">
        <w:rPr>
          <w:b/>
          <w:lang w:eastAsia="en-GB"/>
        </w:rPr>
        <w:t xml:space="preserve">and without </w:t>
      </w:r>
      <w:r w:rsidR="00740526" w:rsidRPr="008C2813">
        <w:rPr>
          <w:b/>
          <w:lang w:eastAsia="en-GB"/>
        </w:rPr>
        <w:t>monitoring provisions to ensure accountability.</w:t>
      </w:r>
      <w:r w:rsidR="00740526" w:rsidRPr="008C2813">
        <w:rPr>
          <w:rStyle w:val="FootnoteReference"/>
          <w:b/>
          <w:lang w:eastAsia="en-GB"/>
        </w:rPr>
        <w:footnoteReference w:id="10"/>
      </w:r>
      <w:r w:rsidR="00740526" w:rsidRPr="008C2813">
        <w:rPr>
          <w:b/>
          <w:lang w:eastAsia="en-GB"/>
        </w:rPr>
        <w:t xml:space="preserve"> </w:t>
      </w:r>
    </w:p>
    <w:p w14:paraId="0F207C81" w14:textId="0D5E9C20" w:rsidR="00E8222D" w:rsidRPr="008C2813" w:rsidRDefault="00E8222D" w:rsidP="008C2813">
      <w:pPr>
        <w:pStyle w:val="Heading2"/>
      </w:pPr>
      <w:r w:rsidRPr="008C2813">
        <w:t xml:space="preserve">Public nature of land </w:t>
      </w:r>
    </w:p>
    <w:p w14:paraId="6F74E85B" w14:textId="2FCC2680" w:rsidR="00033F74" w:rsidRPr="008C2813" w:rsidRDefault="00285661" w:rsidP="007E16AE">
      <w:pPr>
        <w:pStyle w:val="ListParagraph"/>
        <w:numPr>
          <w:ilvl w:val="0"/>
          <w:numId w:val="5"/>
        </w:numPr>
        <w:spacing w:line="257" w:lineRule="exact"/>
        <w:ind w:left="284" w:hanging="284"/>
        <w:jc w:val="both"/>
      </w:pPr>
      <w:r w:rsidRPr="008C2813">
        <w:t xml:space="preserve">As the draft </w:t>
      </w:r>
      <w:r w:rsidR="00136115" w:rsidRPr="008C2813">
        <w:t>G</w:t>
      </w:r>
      <w:r w:rsidRPr="008C2813">
        <w:t xml:space="preserve">eneral </w:t>
      </w:r>
      <w:r w:rsidR="00136115" w:rsidRPr="008C2813">
        <w:t>C</w:t>
      </w:r>
      <w:r w:rsidRPr="008C2813">
        <w:t xml:space="preserve">omment acknowledges, </w:t>
      </w:r>
      <w:r w:rsidR="00AD29C5" w:rsidRPr="008C2813">
        <w:t xml:space="preserve">the commodification of </w:t>
      </w:r>
      <w:r w:rsidR="006B39D9" w:rsidRPr="008C2813">
        <w:t>property</w:t>
      </w:r>
      <w:r w:rsidR="00AD29C5" w:rsidRPr="008C2813">
        <w:t xml:space="preserve"> rights</w:t>
      </w:r>
      <w:r w:rsidR="00E867FD" w:rsidRPr="008C2813">
        <w:t xml:space="preserve"> through the </w:t>
      </w:r>
      <w:r w:rsidR="006B39D9" w:rsidRPr="008C2813">
        <w:t>creation of a market for land rights “can be a source of exclusion and increase insecurity of tenure”</w:t>
      </w:r>
      <w:r w:rsidR="002D3DC3" w:rsidRPr="008C2813">
        <w:t xml:space="preserve"> (</w:t>
      </w:r>
      <w:r w:rsidR="009B539A" w:rsidRPr="008C2813">
        <w:t>at [33])</w:t>
      </w:r>
      <w:r w:rsidR="00391BAD" w:rsidRPr="008C2813">
        <w:t xml:space="preserve">. </w:t>
      </w:r>
      <w:r w:rsidR="00E3003E" w:rsidRPr="008C2813">
        <w:t xml:space="preserve">The report of the former </w:t>
      </w:r>
      <w:r w:rsidR="00644012" w:rsidRPr="008C2813">
        <w:t>U</w:t>
      </w:r>
      <w:r w:rsidR="009C6198">
        <w:t>.N.</w:t>
      </w:r>
      <w:r w:rsidR="00644012" w:rsidRPr="008C2813">
        <w:t xml:space="preserve"> </w:t>
      </w:r>
      <w:r w:rsidR="00E3003E" w:rsidRPr="008C2813">
        <w:t xml:space="preserve">Special Rapporteur on the right to housing on financialisation </w:t>
      </w:r>
      <w:r w:rsidR="005A24D8" w:rsidRPr="008C2813">
        <w:t>provides a detailed discussion of the human rights impacts of financialisation, commercialisation and commodification</w:t>
      </w:r>
      <w:r w:rsidR="002D2FBB" w:rsidRPr="008C2813">
        <w:t>.</w:t>
      </w:r>
      <w:r w:rsidR="002D2FBB" w:rsidRPr="008C2813">
        <w:rPr>
          <w:rStyle w:val="FootnoteReference"/>
        </w:rPr>
        <w:footnoteReference w:id="11"/>
      </w:r>
    </w:p>
    <w:p w14:paraId="5C27C0E8" w14:textId="21F380CD" w:rsidR="003A4EFF" w:rsidRPr="008C2813" w:rsidRDefault="00885B71" w:rsidP="003A4EFF">
      <w:pPr>
        <w:pStyle w:val="ListParagraph"/>
        <w:numPr>
          <w:ilvl w:val="0"/>
          <w:numId w:val="5"/>
        </w:numPr>
        <w:spacing w:line="257" w:lineRule="exact"/>
        <w:ind w:left="284" w:hanging="284"/>
        <w:jc w:val="both"/>
        <w:rPr>
          <w:b/>
        </w:rPr>
      </w:pPr>
      <w:r w:rsidRPr="008C2813">
        <w:rPr>
          <w:b/>
          <w:bCs/>
        </w:rPr>
        <w:t>Taking this point to its logical conclusion, w</w:t>
      </w:r>
      <w:r w:rsidR="00583183" w:rsidRPr="008C2813">
        <w:rPr>
          <w:b/>
          <w:bCs/>
        </w:rPr>
        <w:t>e</w:t>
      </w:r>
      <w:r w:rsidR="00583183" w:rsidRPr="008C2813">
        <w:rPr>
          <w:b/>
        </w:rPr>
        <w:t xml:space="preserve"> consider that the </w:t>
      </w:r>
      <w:r w:rsidR="00136115" w:rsidRPr="008C2813">
        <w:rPr>
          <w:b/>
        </w:rPr>
        <w:t>G</w:t>
      </w:r>
      <w:r w:rsidR="00583183" w:rsidRPr="008C2813">
        <w:rPr>
          <w:b/>
        </w:rPr>
        <w:t xml:space="preserve">eneral </w:t>
      </w:r>
      <w:r w:rsidR="00136115" w:rsidRPr="008C2813">
        <w:rPr>
          <w:b/>
        </w:rPr>
        <w:t>C</w:t>
      </w:r>
      <w:r w:rsidR="00583183" w:rsidRPr="008C2813">
        <w:rPr>
          <w:b/>
        </w:rPr>
        <w:t>omment should explicitly recognise that land is not a marketable good (that can be traded between individuals and subject to speculation</w:t>
      </w:r>
      <w:r w:rsidR="009A2619" w:rsidRPr="008C2813">
        <w:rPr>
          <w:b/>
        </w:rPr>
        <w:t xml:space="preserve">) </w:t>
      </w:r>
      <w:r w:rsidR="00FB0CB2" w:rsidRPr="008C2813">
        <w:rPr>
          <w:b/>
        </w:rPr>
        <w:t xml:space="preserve">but is public in nature. </w:t>
      </w:r>
    </w:p>
    <w:p w14:paraId="0A9D3DE3" w14:textId="26F2D04D" w:rsidR="00B17E03" w:rsidRPr="008C2813" w:rsidRDefault="00381545" w:rsidP="007E16AE">
      <w:pPr>
        <w:pStyle w:val="ListParagraph"/>
        <w:numPr>
          <w:ilvl w:val="0"/>
          <w:numId w:val="5"/>
        </w:numPr>
        <w:spacing w:line="257" w:lineRule="exact"/>
        <w:ind w:left="284" w:hanging="284"/>
        <w:jc w:val="both"/>
      </w:pPr>
      <w:r w:rsidRPr="008C2813">
        <w:t xml:space="preserve">While the term </w:t>
      </w:r>
      <w:r w:rsidR="004B6B89" w:rsidRPr="008C2813">
        <w:t>“</w:t>
      </w:r>
      <w:r w:rsidR="0073298F" w:rsidRPr="008C2813">
        <w:t>p</w:t>
      </w:r>
      <w:r w:rsidR="004B6B89" w:rsidRPr="008C2813">
        <w:t xml:space="preserve">ublic” </w:t>
      </w:r>
      <w:r w:rsidRPr="008C2813">
        <w:t xml:space="preserve">is often associated </w:t>
      </w:r>
      <w:r w:rsidR="00A56D87" w:rsidRPr="008C2813">
        <w:t>with</w:t>
      </w:r>
      <w:r w:rsidRPr="008C2813">
        <w:t xml:space="preserve"> the State</w:t>
      </w:r>
      <w:r w:rsidR="00A56D87" w:rsidRPr="008C2813">
        <w:t xml:space="preserve"> (for example,</w:t>
      </w:r>
      <w:r w:rsidRPr="008C2813">
        <w:t xml:space="preserve"> </w:t>
      </w:r>
      <w:r w:rsidR="00D64D0B" w:rsidRPr="008C2813">
        <w:t>public land being owned by the State</w:t>
      </w:r>
      <w:r w:rsidR="00A56D87" w:rsidRPr="008C2813">
        <w:t>)</w:t>
      </w:r>
      <w:r w:rsidRPr="008C2813">
        <w:t xml:space="preserve"> we propose that it be understood as</w:t>
      </w:r>
      <w:r w:rsidR="00603B30" w:rsidRPr="008C2813">
        <w:t xml:space="preserve"> not </w:t>
      </w:r>
      <w:r w:rsidRPr="008C2813">
        <w:t xml:space="preserve">necessarily </w:t>
      </w:r>
      <w:r w:rsidR="00603B30" w:rsidRPr="008C2813">
        <w:t>mean</w:t>
      </w:r>
      <w:r w:rsidRPr="008C2813">
        <w:t>ing</w:t>
      </w:r>
      <w:r w:rsidR="00603B30" w:rsidRPr="008C2813">
        <w:t xml:space="preserve"> State-owned and State-governed.</w:t>
      </w:r>
      <w:r w:rsidR="00AE5DDB" w:rsidRPr="008C2813">
        <w:t xml:space="preserve"> </w:t>
      </w:r>
      <w:r w:rsidR="00D64D0B" w:rsidRPr="008C2813">
        <w:t>Accordingly, the term</w:t>
      </w:r>
      <w:r w:rsidR="00AE5DDB" w:rsidRPr="008C2813">
        <w:t xml:space="preserve"> “public”, from a human rights perspective, </w:t>
      </w:r>
      <w:r w:rsidR="00D64D0B" w:rsidRPr="008C2813">
        <w:t xml:space="preserve">could </w:t>
      </w:r>
      <w:r w:rsidR="00AE5DDB" w:rsidRPr="008C2813">
        <w:t xml:space="preserve">refer to </w:t>
      </w:r>
      <w:r w:rsidR="00D64D0B" w:rsidRPr="008C2813">
        <w:t xml:space="preserve">a service or a resource </w:t>
      </w:r>
      <w:r w:rsidR="00AE5DDB" w:rsidRPr="008C2813">
        <w:t xml:space="preserve">that is controlled by the people, in the interests of the people, and </w:t>
      </w:r>
      <w:r w:rsidR="00236A09">
        <w:t xml:space="preserve">that </w:t>
      </w:r>
      <w:r w:rsidR="00AE5DDB" w:rsidRPr="008C2813">
        <w:t xml:space="preserve">is not driven by or subject to any commercial pursuit or purpose. </w:t>
      </w:r>
      <w:r w:rsidR="004546D4" w:rsidRPr="008C2813">
        <w:t>This broader understanding of “public” is drawn from</w:t>
      </w:r>
      <w:r w:rsidR="00DD363F" w:rsidRPr="008C2813">
        <w:t xml:space="preserve"> Principle </w:t>
      </w:r>
      <w:r w:rsidR="00382D19" w:rsidRPr="008C2813">
        <w:t xml:space="preserve">2 of the </w:t>
      </w:r>
      <w:r w:rsidR="00382D19" w:rsidRPr="008C2813">
        <w:rPr>
          <w:i/>
        </w:rPr>
        <w:t xml:space="preserve">Guiding Principles on the human rights obligations of States to provide public education and to regulate private involvement in education </w:t>
      </w:r>
      <w:r w:rsidR="00382D19" w:rsidRPr="00B75980">
        <w:rPr>
          <w:iCs/>
        </w:rPr>
        <w:t>adopted in 2019</w:t>
      </w:r>
      <w:r w:rsidR="00382D19" w:rsidRPr="008C2813">
        <w:rPr>
          <w:i/>
        </w:rPr>
        <w:t xml:space="preserve"> </w:t>
      </w:r>
      <w:r w:rsidR="00382D19" w:rsidRPr="008C2813">
        <w:t>(the Abidjan Principles).</w:t>
      </w:r>
      <w:r w:rsidR="00601191" w:rsidRPr="008C2813">
        <w:rPr>
          <w:rStyle w:val="FootnoteReference"/>
        </w:rPr>
        <w:footnoteReference w:id="12"/>
      </w:r>
    </w:p>
    <w:p w14:paraId="4E17331B" w14:textId="66F8FEED" w:rsidR="00666625" w:rsidRPr="008C2813" w:rsidRDefault="00666625" w:rsidP="007E16AE">
      <w:pPr>
        <w:pStyle w:val="ListParagraph"/>
        <w:numPr>
          <w:ilvl w:val="0"/>
          <w:numId w:val="5"/>
        </w:numPr>
        <w:spacing w:line="257" w:lineRule="exact"/>
        <w:ind w:left="284" w:hanging="284"/>
        <w:jc w:val="both"/>
      </w:pPr>
      <w:r w:rsidRPr="008C2813">
        <w:lastRenderedPageBreak/>
        <w:t xml:space="preserve">There </w:t>
      </w:r>
      <w:r w:rsidR="00652E3A" w:rsidRPr="008C2813">
        <w:t>is</w:t>
      </w:r>
      <w:r w:rsidRPr="008C2813">
        <w:t xml:space="preserve"> a diverse range of models of land ownership and governance that could fall within this understanding of “public”</w:t>
      </w:r>
      <w:r w:rsidR="00BD4E7C" w:rsidRPr="008C2813">
        <w:t>. These includ</w:t>
      </w:r>
      <w:r w:rsidR="00702E7C">
        <w:t xml:space="preserve">e </w:t>
      </w:r>
      <w:r w:rsidR="00772EDC" w:rsidRPr="008C2813">
        <w:t>“commons”-based</w:t>
      </w:r>
      <w:r w:rsidR="00B65849" w:rsidRPr="008C2813">
        <w:t xml:space="preserve"> </w:t>
      </w:r>
      <w:r w:rsidR="00702E7C">
        <w:t xml:space="preserve">models </w:t>
      </w:r>
      <w:r w:rsidR="00B65849" w:rsidRPr="008C2813">
        <w:t>in which land is owned</w:t>
      </w:r>
      <w:r w:rsidR="006F346C" w:rsidRPr="008C2813">
        <w:t xml:space="preserve"> and governed</w:t>
      </w:r>
      <w:r w:rsidR="00B65849" w:rsidRPr="008C2813">
        <w:t xml:space="preserve"> collectively </w:t>
      </w:r>
      <w:r w:rsidR="006F346C" w:rsidRPr="008C2813">
        <w:t>by a community</w:t>
      </w:r>
      <w:r w:rsidR="00AD577C" w:rsidRPr="008C2813">
        <w:t xml:space="preserve">, </w:t>
      </w:r>
      <w:r w:rsidR="00E92A65" w:rsidRPr="008C2813">
        <w:t xml:space="preserve">for the interests of the community, </w:t>
      </w:r>
      <w:r w:rsidR="00AD577C" w:rsidRPr="008C2813">
        <w:t>of which there are numerous examples in different regions of the world.</w:t>
      </w:r>
      <w:r w:rsidR="00F860C7" w:rsidRPr="008C2813">
        <w:t xml:space="preserve"> In some instances, national legislation may provide for </w:t>
      </w:r>
      <w:r w:rsidR="00097173" w:rsidRPr="008C2813">
        <w:t xml:space="preserve">and protect collective ownership and governance. </w:t>
      </w:r>
      <w:r w:rsidR="00E92A65" w:rsidRPr="008C2813">
        <w:t xml:space="preserve">In India, for </w:t>
      </w:r>
      <w:r w:rsidR="009168D0" w:rsidRPr="008C2813">
        <w:t>example, the Scheduled Tribes and Other Traditional Forest Dwellers (Recognition of Forest Rights) Act 2006 provides for the “right to hold and live in the forest land under…common occ</w:t>
      </w:r>
      <w:r w:rsidR="00202EC5" w:rsidRPr="008C2813">
        <w:t>upation” and for “rights including</w:t>
      </w:r>
      <w:r w:rsidR="00C229ED" w:rsidRPr="008C2813">
        <w:t xml:space="preserve"> community tenures of habitat and habitation.”</w:t>
      </w:r>
      <w:r w:rsidR="00C229ED" w:rsidRPr="008C2813">
        <w:rPr>
          <w:rStyle w:val="FootnoteReference"/>
        </w:rPr>
        <w:footnoteReference w:id="13"/>
      </w:r>
    </w:p>
    <w:p w14:paraId="1B4209F7" w14:textId="5814FEFE" w:rsidR="0042155A" w:rsidRPr="008C2813" w:rsidRDefault="004D1FF7" w:rsidP="007E16AE">
      <w:pPr>
        <w:pStyle w:val="ListParagraph"/>
        <w:numPr>
          <w:ilvl w:val="0"/>
          <w:numId w:val="5"/>
        </w:numPr>
        <w:spacing w:line="257" w:lineRule="exact"/>
        <w:ind w:left="284" w:hanging="284"/>
        <w:jc w:val="both"/>
      </w:pPr>
      <w:r w:rsidRPr="008C2813">
        <w:t xml:space="preserve">Recognising land as public </w:t>
      </w:r>
      <w:r w:rsidR="00766D4B" w:rsidRPr="008C2813">
        <w:t>i</w:t>
      </w:r>
      <w:r w:rsidR="001F3B19" w:rsidRPr="008C2813">
        <w:t>s aligned with</w:t>
      </w:r>
      <w:r w:rsidR="008D6DE6" w:rsidRPr="008C2813">
        <w:t xml:space="preserve"> the</w:t>
      </w:r>
      <w:r w:rsidR="00B12800" w:rsidRPr="008C2813">
        <w:t xml:space="preserve"> </w:t>
      </w:r>
      <w:r w:rsidR="001F3B19" w:rsidRPr="008C2813">
        <w:t xml:space="preserve">understanding that </w:t>
      </w:r>
      <w:r w:rsidR="001F3B19" w:rsidRPr="008C2813">
        <w:rPr>
          <w:b/>
        </w:rPr>
        <w:t>land and property have a social function</w:t>
      </w:r>
      <w:r w:rsidR="001F3B19" w:rsidRPr="008C2813">
        <w:t>. T</w:t>
      </w:r>
      <w:r w:rsidR="00A42A70" w:rsidRPr="008C2813">
        <w:t>he</w:t>
      </w:r>
      <w:r w:rsidR="003D76CF" w:rsidRPr="008C2813">
        <w:t xml:space="preserve"> </w:t>
      </w:r>
      <w:r w:rsidR="008D6DE6" w:rsidRPr="008C2813">
        <w:t xml:space="preserve">“social function” of property </w:t>
      </w:r>
      <w:r w:rsidR="001A46FA">
        <w:t>i</w:t>
      </w:r>
      <w:r w:rsidR="008D6DE6" w:rsidRPr="008C2813">
        <w:t xml:space="preserve">s a concept </w:t>
      </w:r>
      <w:r w:rsidR="001A46FA">
        <w:t xml:space="preserve">that was </w:t>
      </w:r>
      <w:r w:rsidR="008D6DE6" w:rsidRPr="008C2813">
        <w:t xml:space="preserve">developed in the early 1900s, according to which “tenure rights do not serve private interests alone, but a public </w:t>
      </w:r>
      <w:r w:rsidR="0050535F" w:rsidRPr="008C2813">
        <w:t>interest, too” and therefore “their protection and configuration are both legitimised and limited by fulfilment of that public interest.”</w:t>
      </w:r>
      <w:r w:rsidR="0050535F" w:rsidRPr="008C2813">
        <w:rPr>
          <w:rStyle w:val="FootnoteReference"/>
        </w:rPr>
        <w:footnoteReference w:id="14"/>
      </w:r>
      <w:r w:rsidR="009C6FD4" w:rsidRPr="008C2813">
        <w:t xml:space="preserve"> </w:t>
      </w:r>
      <w:r w:rsidR="00CF1AD6" w:rsidRPr="008C2813">
        <w:t>Th</w:t>
      </w:r>
      <w:r w:rsidR="009D3B91" w:rsidRPr="008C2813">
        <w:t xml:space="preserve">is concept has been </w:t>
      </w:r>
      <w:r w:rsidR="00C01EE4" w:rsidRPr="008C2813">
        <w:t xml:space="preserve">adopted in </w:t>
      </w:r>
      <w:r w:rsidR="002B15AE" w:rsidRPr="008C2813">
        <w:t xml:space="preserve">the </w:t>
      </w:r>
      <w:r w:rsidR="00C01EE4" w:rsidRPr="008C2813">
        <w:t>national</w:t>
      </w:r>
      <w:r w:rsidR="002B15AE" w:rsidRPr="008C2813">
        <w:t xml:space="preserve"> constitutions and/or</w:t>
      </w:r>
      <w:r w:rsidR="00C01EE4" w:rsidRPr="008C2813">
        <w:t xml:space="preserve"> legislation </w:t>
      </w:r>
      <w:r w:rsidR="002B15AE" w:rsidRPr="008C2813">
        <w:t xml:space="preserve">of a variety of countries. </w:t>
      </w:r>
      <w:r w:rsidR="00FD128D" w:rsidRPr="008C2813">
        <w:t xml:space="preserve">Article 5(XXIII) of Brazil’s Constitution, </w:t>
      </w:r>
      <w:r w:rsidR="005D3683" w:rsidRPr="008C2813">
        <w:t>for instance, states that “property shall comply with its social function</w:t>
      </w:r>
      <w:r w:rsidR="00644012" w:rsidRPr="008C2813">
        <w:t>,</w:t>
      </w:r>
      <w:r w:rsidR="005D3683" w:rsidRPr="008C2813">
        <w:t>”</w:t>
      </w:r>
      <w:r w:rsidR="008317DB" w:rsidRPr="008C2813">
        <w:rPr>
          <w:rStyle w:val="FootnoteReference"/>
        </w:rPr>
        <w:footnoteReference w:id="15"/>
      </w:r>
      <w:r w:rsidR="00B0071E" w:rsidRPr="008C2813">
        <w:t xml:space="preserve"> </w:t>
      </w:r>
      <w:r w:rsidR="005D3683" w:rsidRPr="008C2813">
        <w:t xml:space="preserve">and </w:t>
      </w:r>
      <w:r w:rsidR="002D4501" w:rsidRPr="008C2813">
        <w:t xml:space="preserve">Article 42 of </w:t>
      </w:r>
      <w:r w:rsidR="00707469" w:rsidRPr="008C2813">
        <w:t xml:space="preserve">the Constitution of the Italian Republic provides </w:t>
      </w:r>
      <w:r w:rsidR="003426F2" w:rsidRPr="008C2813">
        <w:t xml:space="preserve">that “[p]rivate property is recognized and guaranteed by law, which determines the ways it is acquired, enjoyed and </w:t>
      </w:r>
      <w:r w:rsidR="003426F2" w:rsidRPr="008C2813">
        <w:lastRenderedPageBreak/>
        <w:t>its limits in order to ensure its social function and to make it accessible to all</w:t>
      </w:r>
      <w:r w:rsidR="005D3683" w:rsidRPr="008C2813">
        <w:t>.</w:t>
      </w:r>
      <w:r w:rsidR="003426F2" w:rsidRPr="008C2813">
        <w:t>”</w:t>
      </w:r>
      <w:r w:rsidR="008960B3" w:rsidRPr="008C2813">
        <w:rPr>
          <w:rStyle w:val="FootnoteReference"/>
        </w:rPr>
        <w:footnoteReference w:id="16"/>
      </w:r>
      <w:r w:rsidR="005D3683" w:rsidRPr="008C2813">
        <w:t xml:space="preserve"> </w:t>
      </w:r>
      <w:r w:rsidR="00AD7C3E" w:rsidRPr="008C2813">
        <w:t xml:space="preserve">In 2016, Colombia’s Constitutional Court invoked the Constitution’s reference to </w:t>
      </w:r>
      <w:r w:rsidR="00D31ED2" w:rsidRPr="008C2813">
        <w:t xml:space="preserve">the “social function” </w:t>
      </w:r>
      <w:r w:rsidR="00FB60C5" w:rsidRPr="008C2813">
        <w:t xml:space="preserve">of property to strike down a provision </w:t>
      </w:r>
      <w:r w:rsidR="00F00BF4" w:rsidRPr="008C2813">
        <w:t>exempting min</w:t>
      </w:r>
      <w:r w:rsidR="005D58F2" w:rsidRPr="008C2813">
        <w:t>ing projects from environmental regulation in wetland ecosystems.</w:t>
      </w:r>
      <w:r w:rsidR="00AB46BB" w:rsidRPr="008C2813">
        <w:rPr>
          <w:rStyle w:val="FootnoteReference"/>
        </w:rPr>
        <w:footnoteReference w:id="17"/>
      </w:r>
      <w:r w:rsidR="00BC03B9" w:rsidRPr="008C2813">
        <w:t xml:space="preserve"> </w:t>
      </w:r>
    </w:p>
    <w:p w14:paraId="1409A59A" w14:textId="0B48FCF5" w:rsidR="00121D04" w:rsidRPr="008C2813" w:rsidRDefault="00427BDF" w:rsidP="007E16AE">
      <w:pPr>
        <w:pStyle w:val="ListParagraph"/>
        <w:numPr>
          <w:ilvl w:val="0"/>
          <w:numId w:val="5"/>
        </w:numPr>
        <w:spacing w:line="257" w:lineRule="exact"/>
        <w:ind w:left="284" w:hanging="284"/>
        <w:jc w:val="both"/>
      </w:pPr>
      <w:r w:rsidRPr="008C2813">
        <w:t xml:space="preserve">In </w:t>
      </w:r>
      <w:r w:rsidR="0096381C" w:rsidRPr="008C2813">
        <w:t>the context of the right to housing, t</w:t>
      </w:r>
      <w:r w:rsidR="004C51D2" w:rsidRPr="008C2813">
        <w:t xml:space="preserve">he </w:t>
      </w:r>
      <w:r w:rsidR="004C51D2" w:rsidRPr="008C2813">
        <w:rPr>
          <w:i/>
        </w:rPr>
        <w:t xml:space="preserve">Guiding Principles on Security of Tenure for the Urban Poor </w:t>
      </w:r>
      <w:r w:rsidR="004C51D2" w:rsidRPr="008C2813">
        <w:t xml:space="preserve">emphasise that “property </w:t>
      </w:r>
      <w:r w:rsidR="00904924" w:rsidRPr="008C2813">
        <w:t>has a vital social function” and that “States should balance property rights with the social function of property” when designing and implementing policies.</w:t>
      </w:r>
      <w:r w:rsidR="00904924" w:rsidRPr="008C2813">
        <w:rPr>
          <w:rStyle w:val="FootnoteReference"/>
        </w:rPr>
        <w:footnoteReference w:id="18"/>
      </w:r>
      <w:r w:rsidR="00904924" w:rsidRPr="008C2813">
        <w:t xml:space="preserve"> </w:t>
      </w:r>
      <w:r w:rsidR="00121D04" w:rsidRPr="008C2813">
        <w:t xml:space="preserve">The Principles </w:t>
      </w:r>
      <w:r w:rsidR="00217EEB" w:rsidRPr="008C2813">
        <w:t xml:space="preserve">provide examples of ways in which States may inherently recognise the social function of land, including </w:t>
      </w:r>
      <w:r w:rsidR="00962856" w:rsidRPr="008C2813">
        <w:t>“the collection of property taxes, the exercise of expropriation powers for the public good, adverse possession laws, and urban planning that designates space for public use and environmental protection.”</w:t>
      </w:r>
      <w:r w:rsidR="00E07501" w:rsidRPr="008C2813">
        <w:rPr>
          <w:rStyle w:val="FootnoteReference"/>
        </w:rPr>
        <w:footnoteReference w:id="19"/>
      </w:r>
      <w:r w:rsidR="00121D04" w:rsidRPr="008C2813">
        <w:t xml:space="preserve"> </w:t>
      </w:r>
    </w:p>
    <w:p w14:paraId="30154BDE" w14:textId="5E716B94" w:rsidR="00A1504F" w:rsidRPr="008C2813" w:rsidRDefault="00AF1020" w:rsidP="008C2813">
      <w:pPr>
        <w:pStyle w:val="Heading3"/>
      </w:pPr>
      <w:r w:rsidRPr="008C2813">
        <w:t>Recommendations</w:t>
      </w:r>
    </w:p>
    <w:p w14:paraId="399C0BAC" w14:textId="1C67116D" w:rsidR="00D863DC" w:rsidRPr="008C2813" w:rsidRDefault="00D224AA" w:rsidP="007E16AE">
      <w:pPr>
        <w:pStyle w:val="ListParagraph"/>
        <w:numPr>
          <w:ilvl w:val="0"/>
          <w:numId w:val="5"/>
        </w:numPr>
        <w:spacing w:line="257" w:lineRule="exact"/>
        <w:ind w:left="284" w:hanging="284"/>
        <w:jc w:val="both"/>
        <w:rPr>
          <w:b/>
        </w:rPr>
      </w:pPr>
      <w:r w:rsidRPr="008C2813">
        <w:rPr>
          <w:b/>
        </w:rPr>
        <w:t>We welcome</w:t>
      </w:r>
      <w:r w:rsidR="00DC23F2" w:rsidRPr="008C2813">
        <w:rPr>
          <w:b/>
        </w:rPr>
        <w:t xml:space="preserve"> </w:t>
      </w:r>
      <w:r w:rsidR="00591D5D" w:rsidRPr="008C2813">
        <w:rPr>
          <w:b/>
        </w:rPr>
        <w:t>the</w:t>
      </w:r>
      <w:r w:rsidR="008E19AD" w:rsidRPr="008C2813">
        <w:rPr>
          <w:b/>
        </w:rPr>
        <w:t xml:space="preserve"> </w:t>
      </w:r>
      <w:r w:rsidR="00241FC2" w:rsidRPr="008C2813">
        <w:rPr>
          <w:b/>
        </w:rPr>
        <w:t xml:space="preserve">recognition of </w:t>
      </w:r>
      <w:r w:rsidR="00BF3104" w:rsidRPr="008C2813">
        <w:rPr>
          <w:b/>
        </w:rPr>
        <w:t>States’ obligation</w:t>
      </w:r>
      <w:r w:rsidR="00DF0D93" w:rsidRPr="008C2813">
        <w:rPr>
          <w:b/>
        </w:rPr>
        <w:t xml:space="preserve"> to respect and protect collective and customary tenure of land</w:t>
      </w:r>
      <w:r w:rsidR="00A70BDF" w:rsidRPr="008C2813">
        <w:rPr>
          <w:b/>
        </w:rPr>
        <w:t xml:space="preserve"> (at </w:t>
      </w:r>
      <w:r w:rsidR="009B539A" w:rsidRPr="008C2813">
        <w:rPr>
          <w:b/>
        </w:rPr>
        <w:t>[</w:t>
      </w:r>
      <w:r w:rsidR="00A70BDF" w:rsidRPr="008C2813">
        <w:rPr>
          <w:b/>
        </w:rPr>
        <w:t>20</w:t>
      </w:r>
      <w:r w:rsidR="009B539A" w:rsidRPr="008C2813">
        <w:rPr>
          <w:b/>
        </w:rPr>
        <w:t>]</w:t>
      </w:r>
      <w:r w:rsidR="00A70BDF" w:rsidRPr="008C2813">
        <w:rPr>
          <w:b/>
        </w:rPr>
        <w:t xml:space="preserve">, </w:t>
      </w:r>
      <w:r w:rsidR="009B539A" w:rsidRPr="008C2813">
        <w:rPr>
          <w:b/>
        </w:rPr>
        <w:t>[</w:t>
      </w:r>
      <w:r w:rsidR="00A70BDF" w:rsidRPr="008C2813">
        <w:rPr>
          <w:b/>
        </w:rPr>
        <w:t>24</w:t>
      </w:r>
      <w:r w:rsidR="009B539A" w:rsidRPr="008C2813">
        <w:rPr>
          <w:b/>
        </w:rPr>
        <w:t>]</w:t>
      </w:r>
      <w:r w:rsidR="00A70BDF" w:rsidRPr="008C2813">
        <w:rPr>
          <w:b/>
        </w:rPr>
        <w:t xml:space="preserve">, </w:t>
      </w:r>
      <w:r w:rsidR="009B539A" w:rsidRPr="008C2813">
        <w:rPr>
          <w:b/>
        </w:rPr>
        <w:t>[</w:t>
      </w:r>
      <w:r w:rsidR="00A70BDF" w:rsidRPr="008C2813">
        <w:rPr>
          <w:b/>
        </w:rPr>
        <w:t>27</w:t>
      </w:r>
      <w:r w:rsidR="009B539A" w:rsidRPr="008C2813">
        <w:rPr>
          <w:b/>
        </w:rPr>
        <w:t>]</w:t>
      </w:r>
      <w:r w:rsidR="00A70BDF" w:rsidRPr="008C2813">
        <w:rPr>
          <w:b/>
        </w:rPr>
        <w:t xml:space="preserve">, </w:t>
      </w:r>
      <w:r w:rsidR="009B539A" w:rsidRPr="008C2813">
        <w:rPr>
          <w:b/>
        </w:rPr>
        <w:t>[</w:t>
      </w:r>
      <w:r w:rsidR="00A70BDF" w:rsidRPr="008C2813">
        <w:rPr>
          <w:b/>
        </w:rPr>
        <w:t>35</w:t>
      </w:r>
      <w:r w:rsidR="009B539A" w:rsidRPr="008C2813">
        <w:rPr>
          <w:b/>
        </w:rPr>
        <w:t>]</w:t>
      </w:r>
      <w:r w:rsidR="00A70BDF" w:rsidRPr="008C2813">
        <w:rPr>
          <w:b/>
        </w:rPr>
        <w:t xml:space="preserve"> and </w:t>
      </w:r>
      <w:r w:rsidR="009B539A" w:rsidRPr="008C2813">
        <w:rPr>
          <w:b/>
        </w:rPr>
        <w:t>[</w:t>
      </w:r>
      <w:r w:rsidR="00A70BDF" w:rsidRPr="008C2813">
        <w:rPr>
          <w:b/>
        </w:rPr>
        <w:t>36</w:t>
      </w:r>
      <w:r w:rsidR="009B539A" w:rsidRPr="008C2813">
        <w:rPr>
          <w:b/>
        </w:rPr>
        <w:t>]</w:t>
      </w:r>
      <w:r w:rsidR="00A70BDF" w:rsidRPr="008C2813">
        <w:rPr>
          <w:b/>
        </w:rPr>
        <w:t>)</w:t>
      </w:r>
      <w:r w:rsidR="0094477F" w:rsidRPr="008C2813">
        <w:rPr>
          <w:b/>
        </w:rPr>
        <w:t>.</w:t>
      </w:r>
      <w:r w:rsidR="00A657DE" w:rsidRPr="008C2813">
        <w:rPr>
          <w:b/>
        </w:rPr>
        <w:t xml:space="preserve"> We also welcome </w:t>
      </w:r>
      <w:r w:rsidR="00BF4460" w:rsidRPr="008C2813">
        <w:rPr>
          <w:b/>
        </w:rPr>
        <w:t xml:space="preserve">the references to </w:t>
      </w:r>
      <w:r w:rsidR="00BF3104" w:rsidRPr="008C2813">
        <w:rPr>
          <w:b/>
        </w:rPr>
        <w:t>“</w:t>
      </w:r>
      <w:r w:rsidR="00BF4460" w:rsidRPr="008C2813">
        <w:rPr>
          <w:b/>
        </w:rPr>
        <w:t xml:space="preserve">the </w:t>
      </w:r>
      <w:r w:rsidR="00BF3104" w:rsidRPr="008C2813">
        <w:rPr>
          <w:b/>
        </w:rPr>
        <w:t>c</w:t>
      </w:r>
      <w:r w:rsidR="00BF4460" w:rsidRPr="008C2813">
        <w:rPr>
          <w:b/>
        </w:rPr>
        <w:t>ommons</w:t>
      </w:r>
      <w:r w:rsidR="00BA7559" w:rsidRPr="008C2813">
        <w:rPr>
          <w:b/>
        </w:rPr>
        <w:t>”</w:t>
      </w:r>
      <w:r w:rsidR="009B1420" w:rsidRPr="008C2813">
        <w:rPr>
          <w:b/>
        </w:rPr>
        <w:t>,</w:t>
      </w:r>
      <w:r w:rsidR="00BA7559" w:rsidRPr="008C2813">
        <w:rPr>
          <w:b/>
        </w:rPr>
        <w:t xml:space="preserve"> </w:t>
      </w:r>
      <w:r w:rsidR="00F045E3" w:rsidRPr="008C2813">
        <w:rPr>
          <w:b/>
        </w:rPr>
        <w:t xml:space="preserve">and the acknowledgement </w:t>
      </w:r>
      <w:r w:rsidR="004F6287" w:rsidRPr="008C2813">
        <w:rPr>
          <w:b/>
        </w:rPr>
        <w:t xml:space="preserve">that “the privatisation of the </w:t>
      </w:r>
      <w:r w:rsidR="00C1011A" w:rsidRPr="008C2813">
        <w:rPr>
          <w:b/>
        </w:rPr>
        <w:t xml:space="preserve">commons that results from the generalisation of individual property rights over land…may exclude people from </w:t>
      </w:r>
      <w:r w:rsidR="00703A3F" w:rsidRPr="008C2813">
        <w:rPr>
          <w:b/>
        </w:rPr>
        <w:t>access to resources on which they depend”</w:t>
      </w:r>
      <w:r w:rsidR="00BF3104" w:rsidRPr="008C2813">
        <w:rPr>
          <w:b/>
        </w:rPr>
        <w:t xml:space="preserve"> (</w:t>
      </w:r>
      <w:r w:rsidR="00752450" w:rsidRPr="008C2813">
        <w:rPr>
          <w:b/>
        </w:rPr>
        <w:t xml:space="preserve">at </w:t>
      </w:r>
      <w:r w:rsidR="00A07100" w:rsidRPr="008C2813">
        <w:rPr>
          <w:b/>
        </w:rPr>
        <w:t>[</w:t>
      </w:r>
      <w:r w:rsidR="00BF3104" w:rsidRPr="008C2813">
        <w:rPr>
          <w:b/>
        </w:rPr>
        <w:t>15</w:t>
      </w:r>
      <w:r w:rsidR="00A07100" w:rsidRPr="008C2813">
        <w:rPr>
          <w:b/>
        </w:rPr>
        <w:t>]</w:t>
      </w:r>
      <w:r w:rsidR="00BF3104" w:rsidRPr="008C2813">
        <w:rPr>
          <w:b/>
        </w:rPr>
        <w:t>)</w:t>
      </w:r>
      <w:r w:rsidR="00911028" w:rsidRPr="008C2813">
        <w:rPr>
          <w:b/>
        </w:rPr>
        <w:t>.</w:t>
      </w:r>
      <w:r w:rsidR="00BF3104" w:rsidRPr="008C2813">
        <w:rPr>
          <w:b/>
        </w:rPr>
        <w:t xml:space="preserve"> </w:t>
      </w:r>
      <w:r w:rsidR="00703A3F" w:rsidRPr="008C2813">
        <w:rPr>
          <w:b/>
        </w:rPr>
        <w:t xml:space="preserve">We recommend that this language be maintained. </w:t>
      </w:r>
      <w:r w:rsidR="00DC23F2" w:rsidRPr="008C2813">
        <w:rPr>
          <w:b/>
        </w:rPr>
        <w:t xml:space="preserve"> </w:t>
      </w:r>
    </w:p>
    <w:p w14:paraId="5E230044" w14:textId="5B90DDC5" w:rsidR="00DE6900" w:rsidRPr="008C2813" w:rsidRDefault="00D863DC" w:rsidP="00D23AF9">
      <w:pPr>
        <w:pStyle w:val="ListParagraph"/>
        <w:numPr>
          <w:ilvl w:val="0"/>
          <w:numId w:val="5"/>
        </w:numPr>
        <w:spacing w:line="257" w:lineRule="exact"/>
        <w:ind w:left="284" w:hanging="284"/>
        <w:jc w:val="both"/>
        <w:rPr>
          <w:b/>
        </w:rPr>
      </w:pPr>
      <w:r w:rsidRPr="008C2813">
        <w:rPr>
          <w:b/>
        </w:rPr>
        <w:t xml:space="preserve">While we also welcome </w:t>
      </w:r>
      <w:r w:rsidR="00DC23F2" w:rsidRPr="008C2813">
        <w:rPr>
          <w:b/>
        </w:rPr>
        <w:t>the recommendation (</w:t>
      </w:r>
      <w:r w:rsidR="00A07100" w:rsidRPr="008C2813">
        <w:rPr>
          <w:b/>
        </w:rPr>
        <w:t>at [</w:t>
      </w:r>
      <w:r w:rsidR="00DC23F2" w:rsidRPr="008C2813">
        <w:rPr>
          <w:b/>
        </w:rPr>
        <w:t>46</w:t>
      </w:r>
      <w:r w:rsidR="00A07100" w:rsidRPr="008C2813">
        <w:rPr>
          <w:b/>
        </w:rPr>
        <w:t>]</w:t>
      </w:r>
      <w:r w:rsidR="00DC23F2" w:rsidRPr="008C2813">
        <w:rPr>
          <w:b/>
        </w:rPr>
        <w:t xml:space="preserve">) that “States should consider the possibility of freezing the land market in regions in which the </w:t>
      </w:r>
      <w:r w:rsidR="00583183" w:rsidRPr="008C2813">
        <w:rPr>
          <w:b/>
        </w:rPr>
        <w:t>risks of internal displacement and land dispossession are high</w:t>
      </w:r>
      <w:r w:rsidR="00A40131" w:rsidRPr="008C2813">
        <w:rPr>
          <w:b/>
        </w:rPr>
        <w:t>,</w:t>
      </w:r>
      <w:r w:rsidR="00583183" w:rsidRPr="008C2813">
        <w:rPr>
          <w:b/>
        </w:rPr>
        <w:t>”</w:t>
      </w:r>
      <w:r w:rsidR="00A40131" w:rsidRPr="008C2813">
        <w:rPr>
          <w:b/>
        </w:rPr>
        <w:t xml:space="preserve"> we consider that the </w:t>
      </w:r>
      <w:r w:rsidR="00136115" w:rsidRPr="008C2813">
        <w:rPr>
          <w:b/>
        </w:rPr>
        <w:t>G</w:t>
      </w:r>
      <w:r w:rsidR="00A40131" w:rsidRPr="008C2813">
        <w:rPr>
          <w:b/>
        </w:rPr>
        <w:t xml:space="preserve">eneral </w:t>
      </w:r>
      <w:r w:rsidR="00136115" w:rsidRPr="008C2813">
        <w:rPr>
          <w:b/>
        </w:rPr>
        <w:lastRenderedPageBreak/>
        <w:t>C</w:t>
      </w:r>
      <w:r w:rsidR="00A40131" w:rsidRPr="008C2813">
        <w:rPr>
          <w:b/>
        </w:rPr>
        <w:t>omment should</w:t>
      </w:r>
      <w:r w:rsidR="007E3799" w:rsidRPr="008C2813">
        <w:rPr>
          <w:b/>
        </w:rPr>
        <w:t xml:space="preserve"> </w:t>
      </w:r>
      <w:r w:rsidR="00922E38" w:rsidRPr="008C2813">
        <w:rPr>
          <w:b/>
        </w:rPr>
        <w:t>further</w:t>
      </w:r>
      <w:r w:rsidR="000A5A12" w:rsidRPr="008C2813">
        <w:rPr>
          <w:b/>
        </w:rPr>
        <w:t xml:space="preserve"> </w:t>
      </w:r>
      <w:r w:rsidR="007E3799" w:rsidRPr="008C2813">
        <w:rPr>
          <w:b/>
        </w:rPr>
        <w:t>explicitly recognise that land is public in nature and must be kept outside of the market logic</w:t>
      </w:r>
      <w:r w:rsidR="00D94018" w:rsidRPr="008C2813">
        <w:rPr>
          <w:b/>
        </w:rPr>
        <w:t>, and</w:t>
      </w:r>
      <w:r w:rsidR="00081269" w:rsidRPr="008C2813">
        <w:rPr>
          <w:b/>
        </w:rPr>
        <w:t xml:space="preserve"> </w:t>
      </w:r>
      <w:r w:rsidR="00D94018" w:rsidRPr="008C2813">
        <w:rPr>
          <w:b/>
        </w:rPr>
        <w:t xml:space="preserve">call </w:t>
      </w:r>
      <w:r w:rsidR="000A5A12" w:rsidRPr="008C2813">
        <w:rPr>
          <w:b/>
        </w:rPr>
        <w:t>on</w:t>
      </w:r>
      <w:r w:rsidR="00D94018" w:rsidRPr="008C2813">
        <w:rPr>
          <w:b/>
        </w:rPr>
        <w:t xml:space="preserve"> States to take measures to prevent speculation in land.</w:t>
      </w:r>
      <w:r w:rsidR="00072254" w:rsidRPr="008C2813">
        <w:rPr>
          <w:b/>
        </w:rPr>
        <w:t xml:space="preserve"> </w:t>
      </w:r>
      <w:r w:rsidR="00066BB9" w:rsidRPr="008C2813">
        <w:rPr>
          <w:b/>
        </w:rPr>
        <w:t>Language can be drawn from</w:t>
      </w:r>
      <w:r w:rsidR="00750158" w:rsidRPr="008C2813">
        <w:rPr>
          <w:b/>
        </w:rPr>
        <w:t xml:space="preserve"> </w:t>
      </w:r>
      <w:r w:rsidR="00AB2B2D" w:rsidRPr="008C2813">
        <w:rPr>
          <w:b/>
        </w:rPr>
        <w:t>paragraph 30 of the</w:t>
      </w:r>
      <w:r w:rsidR="00186199">
        <w:rPr>
          <w:b/>
        </w:rPr>
        <w:t xml:space="preserve"> </w:t>
      </w:r>
      <w:r w:rsidR="001A38AC">
        <w:rPr>
          <w:b/>
          <w:i/>
          <w:iCs/>
        </w:rPr>
        <w:t xml:space="preserve">Basic Principles and Guidelines </w:t>
      </w:r>
      <w:r w:rsidR="00BE20CB">
        <w:rPr>
          <w:b/>
          <w:i/>
          <w:iCs/>
        </w:rPr>
        <w:t xml:space="preserve">on Development-based Evictions and Displacement </w:t>
      </w:r>
      <w:r w:rsidR="00BE20CB">
        <w:rPr>
          <w:b/>
        </w:rPr>
        <w:t>contained in the</w:t>
      </w:r>
      <w:r w:rsidR="00066BB9" w:rsidRPr="008C2813">
        <w:rPr>
          <w:b/>
        </w:rPr>
        <w:t xml:space="preserve"> report of the former U</w:t>
      </w:r>
      <w:r w:rsidR="009C6198">
        <w:rPr>
          <w:b/>
        </w:rPr>
        <w:t>.N.</w:t>
      </w:r>
      <w:r w:rsidR="00066BB9" w:rsidRPr="008C2813">
        <w:rPr>
          <w:b/>
        </w:rPr>
        <w:t xml:space="preserve"> Special Rapporteur on the right to housing</w:t>
      </w:r>
      <w:r w:rsidR="00DE6900" w:rsidRPr="008C2813">
        <w:rPr>
          <w:b/>
        </w:rPr>
        <w:t>, Miloon Kothari</w:t>
      </w:r>
      <w:r w:rsidR="00AB2B2D" w:rsidRPr="008C2813">
        <w:rPr>
          <w:b/>
        </w:rPr>
        <w:t>.</w:t>
      </w:r>
      <w:r w:rsidR="008C6307" w:rsidRPr="008C2813">
        <w:rPr>
          <w:rStyle w:val="FootnoteReference"/>
          <w:b/>
        </w:rPr>
        <w:footnoteReference w:id="20"/>
      </w:r>
    </w:p>
    <w:p w14:paraId="40D9C188" w14:textId="797FCE7B" w:rsidR="00974033" w:rsidRPr="008C2813" w:rsidRDefault="00037F13" w:rsidP="00591C5D">
      <w:pPr>
        <w:pStyle w:val="ListParagraph"/>
        <w:numPr>
          <w:ilvl w:val="0"/>
          <w:numId w:val="5"/>
        </w:numPr>
        <w:spacing w:line="257" w:lineRule="exact"/>
        <w:ind w:left="284" w:hanging="284"/>
        <w:jc w:val="both"/>
        <w:rPr>
          <w:b/>
        </w:rPr>
      </w:pPr>
      <w:r w:rsidRPr="008C2813">
        <w:rPr>
          <w:b/>
        </w:rPr>
        <w:t xml:space="preserve">We further recommend that </w:t>
      </w:r>
      <w:r w:rsidR="002E0BC8" w:rsidRPr="008C2813">
        <w:rPr>
          <w:b/>
        </w:rPr>
        <w:t xml:space="preserve">the </w:t>
      </w:r>
      <w:r w:rsidR="00237692" w:rsidRPr="008C2813">
        <w:rPr>
          <w:b/>
        </w:rPr>
        <w:t>Committee</w:t>
      </w:r>
      <w:r w:rsidR="00E30F4B" w:rsidRPr="008C2813">
        <w:rPr>
          <w:b/>
        </w:rPr>
        <w:t xml:space="preserve"> recognise that </w:t>
      </w:r>
      <w:r w:rsidR="009E0DBB" w:rsidRPr="008C2813">
        <w:rPr>
          <w:b/>
        </w:rPr>
        <w:t xml:space="preserve">an obligation on </w:t>
      </w:r>
      <w:r w:rsidR="00237692" w:rsidRPr="008C2813">
        <w:rPr>
          <w:b/>
        </w:rPr>
        <w:t xml:space="preserve">States to </w:t>
      </w:r>
      <w:r w:rsidR="00396541" w:rsidRPr="008C2813">
        <w:rPr>
          <w:b/>
        </w:rPr>
        <w:t>protect and promote the social function of land in the design and implementation of policies</w:t>
      </w:r>
      <w:r w:rsidR="00974033" w:rsidRPr="008C2813">
        <w:rPr>
          <w:b/>
        </w:rPr>
        <w:t xml:space="preserve"> relating to land. </w:t>
      </w:r>
    </w:p>
    <w:p w14:paraId="5D00F24A" w14:textId="5010C839" w:rsidR="00081269" w:rsidRPr="008C2813" w:rsidRDefault="00081269" w:rsidP="008C2813">
      <w:pPr>
        <w:pStyle w:val="Heading2"/>
      </w:pPr>
      <w:r w:rsidRPr="008C2813">
        <w:t xml:space="preserve">Connections with commercialisation in other areas </w:t>
      </w:r>
    </w:p>
    <w:p w14:paraId="72E2D93E" w14:textId="1DF626DA" w:rsidR="005511C1" w:rsidRPr="008C2813" w:rsidRDefault="00050449" w:rsidP="003E0982">
      <w:pPr>
        <w:pStyle w:val="ListParagraph"/>
        <w:numPr>
          <w:ilvl w:val="0"/>
          <w:numId w:val="5"/>
        </w:numPr>
        <w:spacing w:line="257" w:lineRule="exact"/>
        <w:ind w:left="284" w:hanging="284"/>
        <w:jc w:val="both"/>
      </w:pPr>
      <w:r w:rsidRPr="008C2813">
        <w:t>What is on the land</w:t>
      </w:r>
      <w:r w:rsidR="00A34F0A" w:rsidRPr="008C2813">
        <w:t xml:space="preserve"> – </w:t>
      </w:r>
      <w:r w:rsidR="00800974" w:rsidRPr="008C2813">
        <w:t xml:space="preserve">a </w:t>
      </w:r>
      <w:r w:rsidR="00A34F0A" w:rsidRPr="008C2813">
        <w:t xml:space="preserve">natural </w:t>
      </w:r>
      <w:r w:rsidR="00B15D0C" w:rsidRPr="008C2813">
        <w:t>resource</w:t>
      </w:r>
      <w:r w:rsidR="00A34F0A" w:rsidRPr="008C2813">
        <w:t>, a school</w:t>
      </w:r>
      <w:r w:rsidR="003313DE" w:rsidRPr="008C2813">
        <w:t xml:space="preserve"> or</w:t>
      </w:r>
      <w:r w:rsidR="008F68CA" w:rsidRPr="008C2813">
        <w:t xml:space="preserve"> a community</w:t>
      </w:r>
      <w:r w:rsidR="006A6738">
        <w:t>, for instance</w:t>
      </w:r>
      <w:r w:rsidR="002F1F7C" w:rsidRPr="008C2813">
        <w:t xml:space="preserve"> -</w:t>
      </w:r>
      <w:r w:rsidR="008F68CA" w:rsidRPr="008C2813">
        <w:t xml:space="preserve"> </w:t>
      </w:r>
      <w:r w:rsidRPr="008C2813">
        <w:t xml:space="preserve"> is intimately connected to the land itself, and </w:t>
      </w:r>
      <w:r w:rsidR="00A34F0A" w:rsidRPr="008C2813">
        <w:t xml:space="preserve">the dynamic </w:t>
      </w:r>
      <w:r w:rsidR="002F1F7C" w:rsidRPr="008C2813">
        <w:t>i</w:t>
      </w:r>
      <w:r w:rsidR="00A34F0A" w:rsidRPr="008C2813">
        <w:t>n one directly impacts the other</w:t>
      </w:r>
      <w:r w:rsidR="0012434D" w:rsidRPr="008C2813">
        <w:t>. It may work in two ways:</w:t>
      </w:r>
      <w:r w:rsidR="00264DA4" w:rsidRPr="008C2813">
        <w:t xml:space="preserve"> the commercialisation of </w:t>
      </w:r>
      <w:r w:rsidR="0012434D" w:rsidRPr="008C2813">
        <w:t>a resource</w:t>
      </w:r>
      <w:r w:rsidR="002F4E92" w:rsidRPr="008C2813">
        <w:t xml:space="preserve"> (</w:t>
      </w:r>
      <w:r w:rsidR="0012434D" w:rsidRPr="008C2813">
        <w:t>the commercial pressure to exploit a mineral</w:t>
      </w:r>
      <w:r w:rsidR="00D9610E" w:rsidRPr="008C2813">
        <w:t xml:space="preserve">, for </w:t>
      </w:r>
      <w:r w:rsidR="006A6738">
        <w:t>example</w:t>
      </w:r>
      <w:r w:rsidR="002F4E92" w:rsidRPr="008C2813">
        <w:t>)</w:t>
      </w:r>
      <w:r w:rsidR="0012434D" w:rsidRPr="008C2813">
        <w:t>, may lead to the commercialisation of land</w:t>
      </w:r>
      <w:r w:rsidR="005511C1" w:rsidRPr="008C2813">
        <w:t>;</w:t>
      </w:r>
      <w:r w:rsidR="0012434D" w:rsidRPr="008C2813">
        <w:t xml:space="preserve"> and</w:t>
      </w:r>
      <w:r w:rsidR="002F4E92" w:rsidRPr="008C2813">
        <w:t>,</w:t>
      </w:r>
      <w:r w:rsidR="0012434D" w:rsidRPr="008C2813">
        <w:t xml:space="preserve"> </w:t>
      </w:r>
      <w:r w:rsidR="005511C1" w:rsidRPr="008C2813">
        <w:t>conversely,</w:t>
      </w:r>
      <w:r w:rsidR="0012434D" w:rsidRPr="008C2813">
        <w:t xml:space="preserve"> the commercialisation of land may</w:t>
      </w:r>
      <w:r w:rsidR="001625AF" w:rsidRPr="008C2813">
        <w:t xml:space="preserve"> </w:t>
      </w:r>
      <w:r w:rsidR="00A13CFE" w:rsidRPr="008C2813">
        <w:t xml:space="preserve">impact on </w:t>
      </w:r>
      <w:r w:rsidR="000767F6" w:rsidRPr="008C2813">
        <w:t>public land that is used for social or cultural purposes.</w:t>
      </w:r>
    </w:p>
    <w:p w14:paraId="35C6FE03" w14:textId="0EB73DBF" w:rsidR="00874959" w:rsidRPr="008C2813" w:rsidRDefault="005511C1" w:rsidP="003E0982">
      <w:pPr>
        <w:pStyle w:val="ListParagraph"/>
        <w:numPr>
          <w:ilvl w:val="0"/>
          <w:numId w:val="5"/>
        </w:numPr>
        <w:spacing w:line="257" w:lineRule="exact"/>
        <w:ind w:left="284" w:hanging="284"/>
        <w:jc w:val="both"/>
      </w:pPr>
      <w:r w:rsidRPr="008C2813">
        <w:t xml:space="preserve">The growing demand for </w:t>
      </w:r>
      <w:r w:rsidR="00EF2B1F" w:rsidRPr="008C2813">
        <w:t xml:space="preserve">what is </w:t>
      </w:r>
      <w:r w:rsidR="006056DC" w:rsidRPr="008C2813">
        <w:t>in or on the land</w:t>
      </w:r>
      <w:r w:rsidRPr="008C2813">
        <w:t xml:space="preserve"> should thus be addressed, taking into account the wide range of commercial</w:t>
      </w:r>
      <w:r w:rsidR="006056DC" w:rsidRPr="008C2813">
        <w:t xml:space="preserve"> activities</w:t>
      </w:r>
      <w:r w:rsidRPr="008C2813">
        <w:t xml:space="preserve"> putting pressure on land</w:t>
      </w:r>
      <w:r w:rsidR="00CF62C7">
        <w:t xml:space="preserve"> (such as </w:t>
      </w:r>
      <w:r w:rsidRPr="008C2813">
        <w:t>mining, logging, agriculture and energy production</w:t>
      </w:r>
      <w:r w:rsidR="00CF62C7">
        <w:t>)</w:t>
      </w:r>
      <w:r w:rsidR="00681235" w:rsidRPr="008C2813">
        <w:t xml:space="preserve"> </w:t>
      </w:r>
      <w:r w:rsidR="00E245DC" w:rsidRPr="008C2813">
        <w:t xml:space="preserve">as well as the impact of </w:t>
      </w:r>
      <w:r w:rsidR="004D36BD" w:rsidRPr="008C2813">
        <w:t>g</w:t>
      </w:r>
      <w:r w:rsidR="00E245DC" w:rsidRPr="008C2813">
        <w:t xml:space="preserve">rowing demand for land on </w:t>
      </w:r>
      <w:r w:rsidR="004D36BD" w:rsidRPr="008C2813">
        <w:t>the services and resources it hosts</w:t>
      </w:r>
      <w:r w:rsidRPr="008C2813">
        <w:t xml:space="preserve">. </w:t>
      </w:r>
      <w:r w:rsidR="005E4D20" w:rsidRPr="008C2813">
        <w:t>Of</w:t>
      </w:r>
      <w:r w:rsidR="00C10448" w:rsidRPr="008C2813">
        <w:t xml:space="preserve"> particular note </w:t>
      </w:r>
      <w:r w:rsidR="00ED595D" w:rsidRPr="008C2813">
        <w:t xml:space="preserve">is the </w:t>
      </w:r>
      <w:r w:rsidR="00A22B94" w:rsidRPr="008C2813">
        <w:t>c</w:t>
      </w:r>
      <w:r w:rsidR="00CC25F7" w:rsidRPr="008C2813">
        <w:t>ommercialisation and</w:t>
      </w:r>
      <w:r w:rsidR="00ED595D" w:rsidRPr="008C2813">
        <w:t xml:space="preserve">/or </w:t>
      </w:r>
      <w:r w:rsidR="00CC25F7" w:rsidRPr="008C2813">
        <w:t>commodification</w:t>
      </w:r>
      <w:r w:rsidR="00ED595D" w:rsidRPr="008C2813">
        <w:t xml:space="preserve"> of </w:t>
      </w:r>
      <w:r w:rsidR="00CC25F7" w:rsidRPr="008C2813">
        <w:t>natural resources</w:t>
      </w:r>
      <w:r w:rsidR="00ED595D" w:rsidRPr="008C2813">
        <w:t>,</w:t>
      </w:r>
      <w:r w:rsidR="00CC25F7" w:rsidRPr="008C2813">
        <w:t xml:space="preserve"> </w:t>
      </w:r>
      <w:r w:rsidR="00ED595D" w:rsidRPr="008C2813">
        <w:t xml:space="preserve">which </w:t>
      </w:r>
      <w:r w:rsidR="001D0231" w:rsidRPr="008C2813">
        <w:t>in many cases drive privatisation,</w:t>
      </w:r>
      <w:r w:rsidR="000027F5" w:rsidRPr="008C2813">
        <w:t xml:space="preserve"> commercialisation, commodification and </w:t>
      </w:r>
      <w:r w:rsidR="0034400F" w:rsidRPr="008C2813">
        <w:t xml:space="preserve">financialisation in </w:t>
      </w:r>
      <w:r w:rsidR="0034400F" w:rsidRPr="008C2813">
        <w:lastRenderedPageBreak/>
        <w:t>land</w:t>
      </w:r>
      <w:r w:rsidR="00A844DC" w:rsidRPr="008C2813">
        <w:t xml:space="preserve">. </w:t>
      </w:r>
      <w:r w:rsidR="00AB4866">
        <w:rPr>
          <w:rFonts w:ascii="Calibri" w:eastAsia="Calibri" w:hAnsi="Calibri" w:cs="Calibri"/>
          <w:lang w:val="en-US"/>
        </w:rPr>
        <w:t>T</w:t>
      </w:r>
      <w:r w:rsidR="4B12EE9D" w:rsidRPr="008C2813">
        <w:rPr>
          <w:rFonts w:ascii="Calibri" w:eastAsia="Calibri" w:hAnsi="Calibri" w:cs="Calibri"/>
          <w:lang w:val="en-US"/>
        </w:rPr>
        <w:t xml:space="preserve">he </w:t>
      </w:r>
      <w:r w:rsidR="00BF1D40" w:rsidRPr="008C2813">
        <w:rPr>
          <w:rFonts w:ascii="Calibri" w:eastAsia="Calibri" w:hAnsi="Calibri" w:cs="Calibri"/>
          <w:lang w:val="en-US"/>
        </w:rPr>
        <w:t xml:space="preserve">drive </w:t>
      </w:r>
      <w:r w:rsidR="4B12EE9D" w:rsidRPr="008C2813">
        <w:rPr>
          <w:rFonts w:ascii="Calibri" w:eastAsia="Calibri" w:hAnsi="Calibri" w:cs="Calibri"/>
          <w:lang w:val="en-US"/>
        </w:rPr>
        <w:t>for renewable energy has</w:t>
      </w:r>
      <w:r w:rsidR="00AB4866">
        <w:rPr>
          <w:rFonts w:ascii="Calibri" w:eastAsia="Calibri" w:hAnsi="Calibri" w:cs="Calibri"/>
          <w:lang w:val="en-US"/>
        </w:rPr>
        <w:t>, for instance,</w:t>
      </w:r>
      <w:r w:rsidR="00B64B87" w:rsidRPr="008C2813">
        <w:rPr>
          <w:rFonts w:ascii="Calibri" w:eastAsia="Calibri" w:hAnsi="Calibri" w:cs="Calibri"/>
          <w:lang w:val="en-US"/>
        </w:rPr>
        <w:t xml:space="preserve"> resulted in large-scale land acquisitions </w:t>
      </w:r>
      <w:r w:rsidR="001F27FA" w:rsidRPr="008C2813">
        <w:rPr>
          <w:rFonts w:ascii="Calibri" w:eastAsia="Calibri" w:hAnsi="Calibri" w:cs="Calibri"/>
          <w:lang w:val="en-US"/>
        </w:rPr>
        <w:t>by</w:t>
      </w:r>
      <w:r w:rsidR="4B12EE9D" w:rsidRPr="008C2813">
        <w:rPr>
          <w:rFonts w:ascii="Calibri" w:eastAsia="Calibri" w:hAnsi="Calibri" w:cs="Calibri"/>
          <w:lang w:val="en-US"/>
        </w:rPr>
        <w:t xml:space="preserve"> transnational</w:t>
      </w:r>
      <w:r w:rsidR="1A3013A8" w:rsidRPr="008C2813">
        <w:rPr>
          <w:rFonts w:ascii="Calibri" w:eastAsia="Calibri" w:hAnsi="Calibri" w:cs="Calibri"/>
          <w:lang w:val="en-US"/>
        </w:rPr>
        <w:t xml:space="preserve"> </w:t>
      </w:r>
      <w:r w:rsidR="0EFE85E5" w:rsidRPr="008C2813">
        <w:rPr>
          <w:rFonts w:ascii="Calibri" w:eastAsia="Calibri" w:hAnsi="Calibri" w:cs="Calibri"/>
          <w:lang w:val="en-US"/>
        </w:rPr>
        <w:t xml:space="preserve">agribusiness </w:t>
      </w:r>
      <w:r w:rsidR="4B12EE9D" w:rsidRPr="008C2813">
        <w:rPr>
          <w:rFonts w:ascii="Calibri" w:eastAsia="Calibri" w:hAnsi="Calibri" w:cs="Calibri"/>
          <w:lang w:val="en-US"/>
        </w:rPr>
        <w:t>companies in Madagascar for</w:t>
      </w:r>
      <w:r w:rsidR="1A505B41" w:rsidRPr="008C2813">
        <w:rPr>
          <w:rFonts w:ascii="Calibri" w:eastAsia="Calibri" w:hAnsi="Calibri" w:cs="Calibri"/>
          <w:lang w:val="en-US"/>
        </w:rPr>
        <w:t xml:space="preserve"> commercial </w:t>
      </w:r>
      <w:r w:rsidR="07CEB83E" w:rsidRPr="008C2813">
        <w:rPr>
          <w:rFonts w:ascii="Calibri" w:eastAsia="Calibri" w:hAnsi="Calibri" w:cs="Calibri"/>
          <w:lang w:val="en-US"/>
        </w:rPr>
        <w:t>produc</w:t>
      </w:r>
      <w:r w:rsidR="684DF7BC" w:rsidRPr="008C2813">
        <w:rPr>
          <w:rFonts w:ascii="Calibri" w:eastAsia="Calibri" w:hAnsi="Calibri" w:cs="Calibri"/>
          <w:lang w:val="en-US"/>
        </w:rPr>
        <w:t>tio</w:t>
      </w:r>
      <w:r w:rsidR="002F6CAB">
        <w:rPr>
          <w:rFonts w:ascii="Calibri" w:eastAsia="Calibri" w:hAnsi="Calibri" w:cs="Calibri"/>
          <w:lang w:val="en-US"/>
        </w:rPr>
        <w:t>n</w:t>
      </w:r>
      <w:r w:rsidR="00AB2B2D" w:rsidRPr="008C2813">
        <w:rPr>
          <w:rFonts w:ascii="Calibri" w:eastAsia="Calibri" w:hAnsi="Calibri" w:cs="Calibri"/>
          <w:lang w:val="en-US"/>
        </w:rPr>
        <w:t>,</w:t>
      </w:r>
      <w:r w:rsidR="005F2EA3" w:rsidRPr="008C2813">
        <w:rPr>
          <w:rStyle w:val="FootnoteReference"/>
          <w:rFonts w:ascii="Calibri" w:eastAsia="Calibri" w:hAnsi="Calibri" w:cs="Calibri"/>
          <w:lang w:val="en-US"/>
        </w:rPr>
        <w:footnoteReference w:id="21"/>
      </w:r>
      <w:r w:rsidR="009B10E3" w:rsidRPr="008C2813">
        <w:rPr>
          <w:rFonts w:ascii="Calibri" w:eastAsia="Calibri" w:hAnsi="Calibri" w:cs="Calibri"/>
          <w:lang w:val="en-US"/>
        </w:rPr>
        <w:t xml:space="preserve"> </w:t>
      </w:r>
      <w:r w:rsidR="00AB2B2D" w:rsidRPr="008C2813">
        <w:rPr>
          <w:rFonts w:ascii="Calibri" w:eastAsia="Calibri" w:hAnsi="Calibri" w:cs="Calibri"/>
          <w:lang w:val="en-US"/>
        </w:rPr>
        <w:t>leading to the dispossession of Malagasy peasants</w:t>
      </w:r>
      <w:r w:rsidR="00E71450" w:rsidRPr="008C2813">
        <w:rPr>
          <w:rFonts w:ascii="Calibri" w:eastAsia="Calibri" w:hAnsi="Calibri" w:cs="Calibri"/>
          <w:lang w:val="en-US"/>
        </w:rPr>
        <w:t>.</w:t>
      </w:r>
      <w:r w:rsidR="00C32399" w:rsidRPr="008C2813">
        <w:rPr>
          <w:rStyle w:val="FootnoteReference"/>
          <w:rFonts w:ascii="Calibri" w:eastAsia="Calibri" w:hAnsi="Calibri" w:cs="Calibri"/>
          <w:lang w:val="en-US"/>
        </w:rPr>
        <w:footnoteReference w:id="22"/>
      </w:r>
    </w:p>
    <w:p w14:paraId="02DDE8E9" w14:textId="11A73A25" w:rsidR="003E0982" w:rsidRPr="008C2813" w:rsidRDefault="00D35901" w:rsidP="00C005FB">
      <w:pPr>
        <w:pStyle w:val="ListParagraph"/>
        <w:numPr>
          <w:ilvl w:val="0"/>
          <w:numId w:val="5"/>
        </w:numPr>
        <w:spacing w:line="257" w:lineRule="exact"/>
        <w:ind w:left="284" w:hanging="284"/>
        <w:jc w:val="both"/>
      </w:pPr>
      <w:r w:rsidRPr="008C2813">
        <w:t xml:space="preserve">Among the </w:t>
      </w:r>
      <w:r w:rsidR="00B3601E" w:rsidRPr="008C2813">
        <w:t>dynamics of</w:t>
      </w:r>
      <w:r w:rsidR="00A269B0" w:rsidRPr="008C2813">
        <w:t xml:space="preserve"> land use that encourage the commercialisation of land is the scramble for clean water, </w:t>
      </w:r>
      <w:r w:rsidR="00DC08B1" w:rsidRPr="008C2813">
        <w:t xml:space="preserve">which </w:t>
      </w:r>
      <w:r w:rsidR="00A269B0" w:rsidRPr="008C2813">
        <w:t>has increased and is likely to</w:t>
      </w:r>
      <w:r w:rsidR="00DC08B1" w:rsidRPr="008C2813">
        <w:t xml:space="preserve"> </w:t>
      </w:r>
      <w:r w:rsidR="00093523" w:rsidRPr="008C2813">
        <w:t xml:space="preserve">explode in the coming years. </w:t>
      </w:r>
      <w:r w:rsidR="009A0A53" w:rsidRPr="008C2813">
        <w:t xml:space="preserve">The increasing </w:t>
      </w:r>
      <w:r w:rsidR="00762DEE" w:rsidRPr="008C2813">
        <w:t>demand for – and relative scarcity of -</w:t>
      </w:r>
      <w:r w:rsidR="009A0A53" w:rsidRPr="008C2813">
        <w:t xml:space="preserve"> access to fresh</w:t>
      </w:r>
      <w:r w:rsidR="00A269B0" w:rsidRPr="008C2813">
        <w:t xml:space="preserve"> </w:t>
      </w:r>
      <w:r w:rsidR="00762DEE" w:rsidRPr="008C2813">
        <w:t>water drives competition for access to</w:t>
      </w:r>
      <w:r w:rsidR="00EE6A93">
        <w:t xml:space="preserve">, </w:t>
      </w:r>
      <w:r w:rsidR="00E901EF" w:rsidRPr="008C2813">
        <w:t>ownership</w:t>
      </w:r>
      <w:r w:rsidR="00093523" w:rsidRPr="008C2813">
        <w:t xml:space="preserve"> </w:t>
      </w:r>
      <w:r w:rsidR="00E901EF" w:rsidRPr="008C2813">
        <w:t xml:space="preserve">and </w:t>
      </w:r>
      <w:r w:rsidR="00762DEE" w:rsidRPr="008C2813">
        <w:t>management</w:t>
      </w:r>
      <w:r w:rsidR="00E901EF" w:rsidRPr="008C2813">
        <w:t xml:space="preserve"> of </w:t>
      </w:r>
      <w:r w:rsidR="0028754D" w:rsidRPr="008C2813">
        <w:t>land</w:t>
      </w:r>
      <w:r w:rsidR="00A341DF" w:rsidRPr="008C2813">
        <w:t xml:space="preserve">. In this respect, the increasing commercialisation of water and its negative impacts on ESCR, as was recently analysed by the </w:t>
      </w:r>
      <w:r w:rsidR="00093523" w:rsidRPr="008C2813">
        <w:t xml:space="preserve">former </w:t>
      </w:r>
      <w:r w:rsidR="00A341DF" w:rsidRPr="008C2813">
        <w:t>UN Special Rapporteur on the human rights to water and sanitation,</w:t>
      </w:r>
      <w:r w:rsidR="00AB2B2D" w:rsidRPr="008C2813">
        <w:rPr>
          <w:rStyle w:val="FootnoteReference"/>
        </w:rPr>
        <w:footnoteReference w:id="23"/>
      </w:r>
      <w:r w:rsidR="00A341DF" w:rsidRPr="008C2813">
        <w:t xml:space="preserve"> should be considered equally as a land issue. </w:t>
      </w:r>
      <w:r w:rsidR="00055EAB">
        <w:t>T</w:t>
      </w:r>
      <w:r w:rsidR="003E0982" w:rsidRPr="008C2813">
        <w:t xml:space="preserve">he recent establishment of the first market in water futures </w:t>
      </w:r>
      <w:r w:rsidR="00A341DF" w:rsidRPr="008C2813">
        <w:t xml:space="preserve">is a worrying </w:t>
      </w:r>
      <w:r w:rsidR="004F6793" w:rsidRPr="008C2813">
        <w:t>move towards the</w:t>
      </w:r>
      <w:r w:rsidR="003E0982" w:rsidRPr="008C2813">
        <w:t xml:space="preserve"> commodif</w:t>
      </w:r>
      <w:r w:rsidR="00093523" w:rsidRPr="008C2813">
        <w:t>ication</w:t>
      </w:r>
      <w:r w:rsidR="003E0982" w:rsidRPr="008C2813">
        <w:t xml:space="preserve"> of scarce water resources</w:t>
      </w:r>
      <w:r w:rsidR="004F6793" w:rsidRPr="008C2813">
        <w:t xml:space="preserve"> that could have major implications for land</w:t>
      </w:r>
      <w:r w:rsidR="003E0982" w:rsidRPr="008C2813">
        <w:t xml:space="preserve">. Launched by the CME Group in California, the futures market </w:t>
      </w:r>
      <w:r w:rsidR="00220F61" w:rsidRPr="008C2813">
        <w:t>intends to provide</w:t>
      </w:r>
      <w:r w:rsidR="003E0982" w:rsidRPr="008C2813">
        <w:t xml:space="preserve"> buyers with an indication of expected water prices in the future</w:t>
      </w:r>
      <w:r w:rsidR="006851BD" w:rsidRPr="008C2813">
        <w:t xml:space="preserve"> </w:t>
      </w:r>
      <w:r w:rsidR="003E0982" w:rsidRPr="008C2813">
        <w:t xml:space="preserve">and </w:t>
      </w:r>
      <w:r w:rsidR="006851BD" w:rsidRPr="008C2813">
        <w:t>to</w:t>
      </w:r>
      <w:r w:rsidR="003E0982" w:rsidRPr="008C2813">
        <w:t xml:space="preserve"> allow them to hedge against exposure by locking in prices and managing the “risk associated with the scarcity of water”.</w:t>
      </w:r>
      <w:r w:rsidR="003E0982" w:rsidRPr="008C2813">
        <w:rPr>
          <w:rStyle w:val="FootnoteReference"/>
        </w:rPr>
        <w:footnoteReference w:id="24"/>
      </w:r>
      <w:r w:rsidR="00C005FB" w:rsidRPr="008C2813">
        <w:t xml:space="preserve"> A</w:t>
      </w:r>
      <w:r w:rsidR="003E0982" w:rsidRPr="63016F2E">
        <w:t xml:space="preserve">s the </w:t>
      </w:r>
      <w:r w:rsidR="00093523" w:rsidRPr="63016F2E">
        <w:t xml:space="preserve">UN </w:t>
      </w:r>
      <w:r w:rsidR="003E0982" w:rsidRPr="63016F2E">
        <w:t>Special Rapporteur</w:t>
      </w:r>
      <w:r w:rsidR="00C005FB" w:rsidRPr="63016F2E">
        <w:t xml:space="preserve"> on the rights to water and sanitation</w:t>
      </w:r>
      <w:r w:rsidR="003E0982" w:rsidRPr="63016F2E">
        <w:t xml:space="preserve"> has highlighted,</w:t>
      </w:r>
      <w:r w:rsidR="00C005FB" w:rsidRPr="63016F2E">
        <w:t xml:space="preserve"> </w:t>
      </w:r>
      <w:r w:rsidR="003E0982" w:rsidRPr="63016F2E">
        <w:t xml:space="preserve">the futures market invites speculation from investors, which may lead to speculative bubbles, </w:t>
      </w:r>
      <w:r w:rsidR="003E0982" w:rsidRPr="63016F2E">
        <w:lastRenderedPageBreak/>
        <w:t>volatility and higher prices, all of which all of which would make it more difficult for less wealthy actors to secure access to water resources.</w:t>
      </w:r>
      <w:r w:rsidR="003E0982" w:rsidRPr="63016F2E">
        <w:rPr>
          <w:rStyle w:val="FootnoteReference"/>
        </w:rPr>
        <w:footnoteReference w:id="25"/>
      </w:r>
      <w:r w:rsidR="003E0982" w:rsidRPr="63016F2E">
        <w:t xml:space="preserve"> The likely speculation from investors with no need for water further means that this market is unlikely to ascribe water a price that accurately reflects its availability, thus undermining its capacity to act as a tool to manage climate-related risks.</w:t>
      </w:r>
      <w:r w:rsidR="003E0982" w:rsidRPr="63016F2E">
        <w:rPr>
          <w:rStyle w:val="FootnoteReference"/>
        </w:rPr>
        <w:footnoteReference w:id="26"/>
      </w:r>
      <w:r w:rsidR="003E0982" w:rsidRPr="63016F2E">
        <w:t xml:space="preserve"> </w:t>
      </w:r>
    </w:p>
    <w:p w14:paraId="17A32F5A" w14:textId="426C307B" w:rsidR="00AF1020" w:rsidRPr="008C2813" w:rsidRDefault="00380479" w:rsidP="00C005FB">
      <w:pPr>
        <w:pStyle w:val="ListParagraph"/>
        <w:numPr>
          <w:ilvl w:val="0"/>
          <w:numId w:val="5"/>
        </w:numPr>
        <w:spacing w:line="257" w:lineRule="exact"/>
        <w:ind w:left="284" w:hanging="284"/>
        <w:jc w:val="both"/>
      </w:pPr>
      <w:r>
        <w:t>Public service provision is a</w:t>
      </w:r>
      <w:r w:rsidR="00B4122D" w:rsidRPr="008C2813">
        <w:t xml:space="preserve"> typical </w:t>
      </w:r>
      <w:r w:rsidR="00D3476E" w:rsidRPr="008C2813">
        <w:t xml:space="preserve">social function of land that is being put a risk </w:t>
      </w:r>
      <w:r>
        <w:t xml:space="preserve">by </w:t>
      </w:r>
      <w:r w:rsidR="00580C51" w:rsidRPr="008C2813">
        <w:t>the privatisation,</w:t>
      </w:r>
      <w:r w:rsidR="00D3476E" w:rsidRPr="008C2813">
        <w:t xml:space="preserve"> commercial</w:t>
      </w:r>
      <w:r w:rsidR="00CB5BD7" w:rsidRPr="008C2813">
        <w:t>isation</w:t>
      </w:r>
      <w:r w:rsidR="00580C51" w:rsidRPr="008C2813">
        <w:t xml:space="preserve">, commodification and/or financialisation </w:t>
      </w:r>
      <w:r w:rsidR="00CB5BD7" w:rsidRPr="008C2813">
        <w:t xml:space="preserve">of </w:t>
      </w:r>
      <w:r w:rsidR="267DA3D9" w:rsidRPr="008C2813">
        <w:t>land</w:t>
      </w:r>
      <w:r w:rsidR="00CB5BD7" w:rsidRPr="008C2813">
        <w:t>.</w:t>
      </w:r>
      <w:r w:rsidR="00A8451E" w:rsidRPr="008C2813">
        <w:t xml:space="preserve"> This</w:t>
      </w:r>
      <w:r w:rsidR="00F11158" w:rsidRPr="008C2813">
        <w:t xml:space="preserve"> has</w:t>
      </w:r>
      <w:r w:rsidR="00A8451E" w:rsidRPr="008C2813">
        <w:t xml:space="preserve"> occurred</w:t>
      </w:r>
      <w:r w:rsidR="001C5071" w:rsidRPr="008C2813">
        <w:t xml:space="preserve">, </w:t>
      </w:r>
      <w:r w:rsidR="00F11158" w:rsidRPr="008C2813">
        <w:t>for instance</w:t>
      </w:r>
      <w:r w:rsidR="001C5071" w:rsidRPr="008C2813">
        <w:t xml:space="preserve">, in </w:t>
      </w:r>
      <w:r w:rsidR="005914F2" w:rsidRPr="008C2813">
        <w:t xml:space="preserve">education: </w:t>
      </w:r>
      <w:r w:rsidR="004A3E8D" w:rsidRPr="008C2813">
        <w:t xml:space="preserve">in countries such </w:t>
      </w:r>
      <w:r w:rsidR="5425FFA2" w:rsidRPr="008C2813">
        <w:t>as</w:t>
      </w:r>
      <w:r w:rsidR="004A3E8D" w:rsidRPr="008C2813">
        <w:t xml:space="preserve"> Kenya, Mauritania, and Morocco, public schools are being closed down</w:t>
      </w:r>
      <w:r w:rsidR="001C5071" w:rsidRPr="008C2813">
        <w:t xml:space="preserve"> or encroached upon due to the high value of the land on which they are situated, which is often prime land in city centres and therefore subject to pressure from commercial investors.</w:t>
      </w:r>
      <w:r w:rsidR="00A73005" w:rsidRPr="008C2813">
        <w:rPr>
          <w:rStyle w:val="FootnoteReference"/>
        </w:rPr>
        <w:footnoteReference w:id="27"/>
      </w:r>
      <w:r w:rsidR="001C5071" w:rsidRPr="008C2813">
        <w:t xml:space="preserve"> </w:t>
      </w:r>
      <w:r w:rsidR="004A3E8D" w:rsidRPr="008C2813">
        <w:t xml:space="preserve"> </w:t>
      </w:r>
    </w:p>
    <w:p w14:paraId="35A46490" w14:textId="0C538047" w:rsidR="00A8451E" w:rsidRPr="008C2813" w:rsidRDefault="00A8451E" w:rsidP="008C2813">
      <w:pPr>
        <w:pStyle w:val="Heading3"/>
      </w:pPr>
      <w:r w:rsidRPr="008C2813">
        <w:t>Recommendations</w:t>
      </w:r>
    </w:p>
    <w:p w14:paraId="5FC43EA2" w14:textId="784972BF" w:rsidR="00C005FB" w:rsidRPr="008C2813" w:rsidRDefault="00EE53EB" w:rsidP="00C005FB">
      <w:pPr>
        <w:pStyle w:val="ListParagraph"/>
        <w:numPr>
          <w:ilvl w:val="0"/>
          <w:numId w:val="5"/>
        </w:numPr>
        <w:spacing w:line="257" w:lineRule="exact"/>
        <w:ind w:left="284" w:hanging="284"/>
        <w:jc w:val="both"/>
        <w:rPr>
          <w:b/>
        </w:rPr>
      </w:pPr>
      <w:r w:rsidRPr="008C2813">
        <w:rPr>
          <w:b/>
        </w:rPr>
        <w:t xml:space="preserve">We recommend that the Committee </w:t>
      </w:r>
      <w:r w:rsidR="0098686A" w:rsidRPr="008C2813">
        <w:rPr>
          <w:b/>
        </w:rPr>
        <w:t>address the connections between</w:t>
      </w:r>
      <w:r w:rsidR="00601D9F" w:rsidRPr="008C2813">
        <w:rPr>
          <w:b/>
        </w:rPr>
        <w:t xml:space="preserve"> privatisation, commercialisation, commodification and financialisation </w:t>
      </w:r>
      <w:r w:rsidR="00610804" w:rsidRPr="008C2813">
        <w:rPr>
          <w:b/>
        </w:rPr>
        <w:t xml:space="preserve">in relation to land and in relation to </w:t>
      </w:r>
      <w:r w:rsidR="006D5BE8" w:rsidRPr="008C2813">
        <w:rPr>
          <w:b/>
        </w:rPr>
        <w:t>natural resources</w:t>
      </w:r>
      <w:r w:rsidR="0014319C" w:rsidRPr="008C2813">
        <w:rPr>
          <w:b/>
          <w:bCs/>
        </w:rPr>
        <w:t xml:space="preserve"> and public services</w:t>
      </w:r>
      <w:r w:rsidR="00CF1968" w:rsidRPr="008C2813">
        <w:rPr>
          <w:b/>
          <w:bCs/>
        </w:rPr>
        <w:t xml:space="preserve">, and </w:t>
      </w:r>
      <w:r w:rsidR="00000145" w:rsidRPr="008C2813">
        <w:rPr>
          <w:b/>
          <w:bCs/>
        </w:rPr>
        <w:t xml:space="preserve">deepen </w:t>
      </w:r>
      <w:r w:rsidR="00CF1968" w:rsidRPr="008C2813">
        <w:rPr>
          <w:b/>
          <w:bCs/>
        </w:rPr>
        <w:t xml:space="preserve">the discussion as to how </w:t>
      </w:r>
      <w:r w:rsidR="00D936D5" w:rsidRPr="008C2813">
        <w:rPr>
          <w:b/>
          <w:bCs/>
        </w:rPr>
        <w:t>these phenomena impact on ESCR</w:t>
      </w:r>
      <w:r w:rsidR="00000145" w:rsidRPr="008C2813">
        <w:rPr>
          <w:b/>
          <w:bCs/>
        </w:rPr>
        <w:t>.</w:t>
      </w:r>
      <w:r w:rsidR="006D5BE8" w:rsidRPr="008C2813">
        <w:rPr>
          <w:b/>
        </w:rPr>
        <w:t xml:space="preserve"> </w:t>
      </w:r>
      <w:r w:rsidR="00594514" w:rsidRPr="008C2813">
        <w:rPr>
          <w:b/>
        </w:rPr>
        <w:t>We suggest the following addition to paragraph 6:</w:t>
      </w:r>
    </w:p>
    <w:p w14:paraId="6975F22D" w14:textId="01FE2E44" w:rsidR="00594514" w:rsidRPr="008C2813" w:rsidRDefault="00000145" w:rsidP="00C45D7B">
      <w:pPr>
        <w:pStyle w:val="SingleTxtG"/>
        <w:ind w:left="720"/>
        <w:rPr>
          <w:rFonts w:asciiTheme="minorHAnsi" w:hAnsiTheme="minorHAnsi" w:cstheme="minorHAnsi"/>
          <w:b/>
          <w:i/>
        </w:rPr>
      </w:pPr>
      <w:r w:rsidRPr="008C2813">
        <w:rPr>
          <w:rFonts w:asciiTheme="minorHAnsi" w:hAnsiTheme="minorHAnsi" w:cstheme="minorHAnsi"/>
          <w:b/>
          <w:i/>
        </w:rPr>
        <w:t>[…]</w:t>
      </w:r>
      <w:r w:rsidR="005C647C" w:rsidRPr="008C2813">
        <w:rPr>
          <w:rFonts w:asciiTheme="minorHAnsi" w:hAnsiTheme="minorHAnsi" w:cstheme="minorHAnsi"/>
          <w:b/>
          <w:i/>
        </w:rPr>
        <w:t xml:space="preserve"> States parties should take the governance of such resources into account in the implementation of their obligations related to land. </w:t>
      </w:r>
      <w:r w:rsidR="005C647C" w:rsidRPr="008C2813">
        <w:rPr>
          <w:rFonts w:asciiTheme="minorHAnsi" w:hAnsiTheme="minorHAnsi" w:cstheme="minorHAnsi"/>
          <w:b/>
          <w:i/>
          <w:color w:val="FF0000"/>
        </w:rPr>
        <w:t xml:space="preserve">States parties </w:t>
      </w:r>
      <w:r w:rsidR="00094783" w:rsidRPr="008C2813">
        <w:rPr>
          <w:rFonts w:asciiTheme="minorHAnsi" w:hAnsiTheme="minorHAnsi" w:cstheme="minorHAnsi"/>
          <w:b/>
          <w:i/>
          <w:color w:val="FF0000"/>
        </w:rPr>
        <w:t xml:space="preserve">should further address the </w:t>
      </w:r>
      <w:r w:rsidR="00E60A01" w:rsidRPr="008C2813">
        <w:rPr>
          <w:rFonts w:asciiTheme="minorHAnsi" w:hAnsiTheme="minorHAnsi" w:cstheme="minorHAnsi"/>
          <w:b/>
          <w:bCs/>
          <w:i/>
          <w:iCs/>
          <w:color w:val="FF0000"/>
        </w:rPr>
        <w:t>privatisation</w:t>
      </w:r>
      <w:r w:rsidR="006F632B" w:rsidRPr="008C2813">
        <w:rPr>
          <w:rFonts w:asciiTheme="minorHAnsi" w:hAnsiTheme="minorHAnsi" w:cstheme="minorHAnsi"/>
          <w:b/>
          <w:bCs/>
          <w:i/>
          <w:iCs/>
          <w:color w:val="FF0000"/>
        </w:rPr>
        <w:t xml:space="preserve">, </w:t>
      </w:r>
      <w:r w:rsidR="006F632B" w:rsidRPr="008C2813">
        <w:rPr>
          <w:rFonts w:asciiTheme="minorHAnsi" w:hAnsiTheme="minorHAnsi" w:cstheme="minorHAnsi"/>
          <w:b/>
          <w:bCs/>
          <w:i/>
          <w:iCs/>
          <w:color w:val="FF0000"/>
        </w:rPr>
        <w:lastRenderedPageBreak/>
        <w:t>financialisation,</w:t>
      </w:r>
      <w:r w:rsidR="00094783" w:rsidRPr="008C2813">
        <w:rPr>
          <w:rFonts w:asciiTheme="minorHAnsi" w:hAnsiTheme="minorHAnsi" w:cstheme="minorHAnsi"/>
          <w:b/>
          <w:i/>
          <w:color w:val="FF0000"/>
        </w:rPr>
        <w:t xml:space="preserve"> </w:t>
      </w:r>
      <w:r w:rsidR="00E60A01" w:rsidRPr="008C2813">
        <w:rPr>
          <w:rFonts w:asciiTheme="minorHAnsi" w:hAnsiTheme="minorHAnsi" w:cstheme="minorHAnsi"/>
          <w:b/>
          <w:bCs/>
          <w:i/>
          <w:iCs/>
          <w:color w:val="FF0000"/>
        </w:rPr>
        <w:t xml:space="preserve">commercialisation and commodification </w:t>
      </w:r>
      <w:r w:rsidR="00094783" w:rsidRPr="008C2813">
        <w:rPr>
          <w:rFonts w:asciiTheme="minorHAnsi" w:hAnsiTheme="minorHAnsi" w:cstheme="minorHAnsi"/>
          <w:b/>
          <w:i/>
          <w:color w:val="FF0000"/>
        </w:rPr>
        <w:t>of natural resources</w:t>
      </w:r>
      <w:r w:rsidR="00D07198" w:rsidRPr="008C2813">
        <w:rPr>
          <w:rFonts w:asciiTheme="minorHAnsi" w:hAnsiTheme="minorHAnsi" w:cstheme="minorHAnsi"/>
          <w:b/>
          <w:bCs/>
          <w:i/>
          <w:iCs/>
          <w:color w:val="FF0000"/>
        </w:rPr>
        <w:t xml:space="preserve"> and public services</w:t>
      </w:r>
      <w:r w:rsidR="00347D82" w:rsidRPr="008C2813">
        <w:rPr>
          <w:rFonts w:asciiTheme="minorHAnsi" w:hAnsiTheme="minorHAnsi" w:cstheme="minorHAnsi"/>
          <w:b/>
          <w:i/>
          <w:color w:val="FF0000"/>
        </w:rPr>
        <w:t xml:space="preserve">, which are having significant and irreversible </w:t>
      </w:r>
      <w:r w:rsidR="00C45D7B" w:rsidRPr="008C2813">
        <w:rPr>
          <w:rFonts w:asciiTheme="minorHAnsi" w:hAnsiTheme="minorHAnsi" w:cstheme="minorHAnsi"/>
          <w:b/>
          <w:i/>
          <w:color w:val="FF0000"/>
        </w:rPr>
        <w:t>impacts on land and on economic, social and cultural rights.</w:t>
      </w:r>
    </w:p>
    <w:p w14:paraId="532F9D43" w14:textId="17136D78" w:rsidR="004E27A5" w:rsidRPr="008C2813" w:rsidRDefault="004E27A5" w:rsidP="00C14958">
      <w:pPr>
        <w:pStyle w:val="ListParagraph"/>
        <w:numPr>
          <w:ilvl w:val="0"/>
          <w:numId w:val="5"/>
        </w:numPr>
        <w:spacing w:line="257" w:lineRule="exact"/>
        <w:ind w:left="284" w:hanging="284"/>
        <w:jc w:val="both"/>
        <w:rPr>
          <w:b/>
        </w:rPr>
      </w:pPr>
      <w:r w:rsidRPr="008C2813">
        <w:rPr>
          <w:b/>
        </w:rPr>
        <w:t xml:space="preserve">We </w:t>
      </w:r>
      <w:r w:rsidR="00C028BF" w:rsidRPr="008C2813">
        <w:rPr>
          <w:b/>
        </w:rPr>
        <w:t xml:space="preserve">encourage the Committee to address </w:t>
      </w:r>
      <w:r w:rsidR="00450CEB" w:rsidRPr="008C2813">
        <w:rPr>
          <w:b/>
        </w:rPr>
        <w:t xml:space="preserve">how </w:t>
      </w:r>
      <w:r w:rsidR="00186DC7" w:rsidRPr="008C2813">
        <w:rPr>
          <w:b/>
        </w:rPr>
        <w:t>privatisation, commercialisation, commodification and financialisation</w:t>
      </w:r>
      <w:r w:rsidR="00450CEB" w:rsidRPr="008C2813">
        <w:rPr>
          <w:b/>
        </w:rPr>
        <w:t xml:space="preserve"> may affect collective access to land</w:t>
      </w:r>
      <w:r w:rsidR="00CB4B3D" w:rsidRPr="008C2813">
        <w:rPr>
          <w:b/>
        </w:rPr>
        <w:t xml:space="preserve"> and how this in turn may impact on ESCR. </w:t>
      </w:r>
      <w:r w:rsidR="00355167" w:rsidRPr="008C2813">
        <w:rPr>
          <w:b/>
        </w:rPr>
        <w:t>We recommend that</w:t>
      </w:r>
      <w:r w:rsidR="00D53ADC" w:rsidRPr="008C2813">
        <w:rPr>
          <w:b/>
        </w:rPr>
        <w:t>, as part of section II of the General Comment</w:t>
      </w:r>
      <w:r w:rsidR="0066049C" w:rsidRPr="008C2813">
        <w:rPr>
          <w:b/>
        </w:rPr>
        <w:t>,</w:t>
      </w:r>
      <w:r w:rsidR="001C4514" w:rsidRPr="008C2813">
        <w:rPr>
          <w:b/>
        </w:rPr>
        <w:t xml:space="preserve"> the Committee </w:t>
      </w:r>
      <w:r w:rsidR="00537971" w:rsidRPr="008C2813">
        <w:rPr>
          <w:b/>
        </w:rPr>
        <w:t>recognise that</w:t>
      </w:r>
      <w:r w:rsidR="00A23D86" w:rsidRPr="008C2813">
        <w:rPr>
          <w:b/>
        </w:rPr>
        <w:t xml:space="preserve"> the realisation</w:t>
      </w:r>
      <w:r w:rsidR="00537971" w:rsidRPr="008C2813">
        <w:rPr>
          <w:b/>
        </w:rPr>
        <w:t xml:space="preserve"> </w:t>
      </w:r>
      <w:r w:rsidR="000C012E" w:rsidRPr="008C2813">
        <w:rPr>
          <w:b/>
        </w:rPr>
        <w:t xml:space="preserve">of </w:t>
      </w:r>
      <w:r w:rsidR="00537971" w:rsidRPr="008C2813">
        <w:rPr>
          <w:b/>
        </w:rPr>
        <w:t>ESCR</w:t>
      </w:r>
      <w:r w:rsidR="00A23D86" w:rsidRPr="008C2813">
        <w:rPr>
          <w:b/>
        </w:rPr>
        <w:t>, including specifically the rights to education and health, req</w:t>
      </w:r>
      <w:r w:rsidR="005C0159" w:rsidRPr="008C2813">
        <w:rPr>
          <w:b/>
        </w:rPr>
        <w:t xml:space="preserve">uires </w:t>
      </w:r>
      <w:r w:rsidR="00242457" w:rsidRPr="008C2813">
        <w:rPr>
          <w:b/>
        </w:rPr>
        <w:t>public or collective</w:t>
      </w:r>
      <w:r w:rsidR="00186998" w:rsidRPr="008C2813">
        <w:rPr>
          <w:b/>
        </w:rPr>
        <w:t xml:space="preserve"> land </w:t>
      </w:r>
      <w:r w:rsidR="007020CD" w:rsidRPr="008C2813">
        <w:rPr>
          <w:b/>
        </w:rPr>
        <w:t xml:space="preserve">to ensure the provision of public services. </w:t>
      </w:r>
      <w:r w:rsidR="00D01555" w:rsidRPr="008C2813">
        <w:rPr>
          <w:b/>
        </w:rPr>
        <w:t>On this point, we further recommend that the Committee:</w:t>
      </w:r>
    </w:p>
    <w:p w14:paraId="0878B5CF" w14:textId="6795A741" w:rsidR="008E1D60" w:rsidRPr="008C2813" w:rsidRDefault="008D713A" w:rsidP="008E1D60">
      <w:pPr>
        <w:pStyle w:val="ListParagraph"/>
        <w:numPr>
          <w:ilvl w:val="1"/>
          <w:numId w:val="5"/>
        </w:numPr>
        <w:spacing w:line="257" w:lineRule="exact"/>
        <w:jc w:val="both"/>
        <w:rPr>
          <w:b/>
        </w:rPr>
      </w:pPr>
      <w:r w:rsidRPr="008C2813">
        <w:rPr>
          <w:b/>
        </w:rPr>
        <w:t>Add</w:t>
      </w:r>
      <w:r w:rsidR="00FD2E64" w:rsidRPr="008C2813">
        <w:rPr>
          <w:b/>
        </w:rPr>
        <w:t xml:space="preserve"> “</w:t>
      </w:r>
      <w:r w:rsidRPr="008C2813">
        <w:rPr>
          <w:b/>
        </w:rPr>
        <w:t xml:space="preserve">public services” </w:t>
      </w:r>
      <w:r w:rsidR="006D7DD0" w:rsidRPr="008C2813">
        <w:rPr>
          <w:b/>
        </w:rPr>
        <w:t>to the statement (at [15]) that “</w:t>
      </w:r>
      <w:r w:rsidR="006E33DF" w:rsidRPr="008C2813">
        <w:rPr>
          <w:b/>
          <w:i/>
          <w:iCs/>
        </w:rPr>
        <w:t>[i]ll-conceived attempts to “formalize” property rights through titling schemes</w:t>
      </w:r>
      <w:r w:rsidR="00193D7C" w:rsidRPr="008C2813">
        <w:rPr>
          <w:b/>
          <w:i/>
          <w:iCs/>
        </w:rPr>
        <w:t xml:space="preserve">, as well as </w:t>
      </w:r>
      <w:r w:rsidR="005E5835" w:rsidRPr="008C2813">
        <w:rPr>
          <w:b/>
          <w:i/>
          <w:iCs/>
        </w:rPr>
        <w:t xml:space="preserve">the enclosure of communal lands….may exclude </w:t>
      </w:r>
      <w:r w:rsidR="00193D7C" w:rsidRPr="008C2813">
        <w:rPr>
          <w:b/>
          <w:i/>
          <w:iCs/>
        </w:rPr>
        <w:t xml:space="preserve">such people from access to resources </w:t>
      </w:r>
      <w:r w:rsidR="00FD2E64" w:rsidRPr="008C2813">
        <w:rPr>
          <w:b/>
          <w:i/>
          <w:iCs/>
          <w:color w:val="FF0000"/>
        </w:rPr>
        <w:t xml:space="preserve">and public services </w:t>
      </w:r>
      <w:r w:rsidR="00FD2E64" w:rsidRPr="008C2813">
        <w:rPr>
          <w:b/>
          <w:i/>
          <w:iCs/>
        </w:rPr>
        <w:t>on which</w:t>
      </w:r>
      <w:r w:rsidR="006D7DD0" w:rsidRPr="008C2813">
        <w:rPr>
          <w:b/>
          <w:i/>
          <w:iCs/>
        </w:rPr>
        <w:t xml:space="preserve"> they depend</w:t>
      </w:r>
      <w:r w:rsidR="006D7DD0" w:rsidRPr="008C2813">
        <w:rPr>
          <w:b/>
        </w:rPr>
        <w:t>.”</w:t>
      </w:r>
      <w:r w:rsidR="00FD2E64" w:rsidRPr="008C2813">
        <w:rPr>
          <w:b/>
        </w:rPr>
        <w:t xml:space="preserve"> </w:t>
      </w:r>
    </w:p>
    <w:p w14:paraId="733E4CDD" w14:textId="27E89FA7" w:rsidR="006D7DD0" w:rsidRPr="008C2813" w:rsidRDefault="00327F42" w:rsidP="008E1D60">
      <w:pPr>
        <w:pStyle w:val="ListParagraph"/>
        <w:numPr>
          <w:ilvl w:val="1"/>
          <w:numId w:val="5"/>
        </w:numPr>
        <w:spacing w:line="257" w:lineRule="exact"/>
        <w:jc w:val="both"/>
        <w:rPr>
          <w:b/>
        </w:rPr>
      </w:pPr>
      <w:r w:rsidRPr="008C2813">
        <w:rPr>
          <w:b/>
        </w:rPr>
        <w:t>Recognise</w:t>
      </w:r>
      <w:r w:rsidR="00F96B33" w:rsidRPr="008C2813">
        <w:rPr>
          <w:b/>
        </w:rPr>
        <w:t xml:space="preserve">, </w:t>
      </w:r>
      <w:r w:rsidRPr="008C2813">
        <w:rPr>
          <w:b/>
        </w:rPr>
        <w:t xml:space="preserve">as part of the </w:t>
      </w:r>
      <w:r w:rsidR="00D4197E" w:rsidRPr="008C2813">
        <w:rPr>
          <w:b/>
        </w:rPr>
        <w:t>discussion o</w:t>
      </w:r>
      <w:r w:rsidR="008A693D" w:rsidRPr="008C2813">
        <w:rPr>
          <w:b/>
        </w:rPr>
        <w:t xml:space="preserve">n the </w:t>
      </w:r>
      <w:r w:rsidRPr="008C2813">
        <w:rPr>
          <w:b/>
        </w:rPr>
        <w:t xml:space="preserve">obligation to protect </w:t>
      </w:r>
      <w:r w:rsidR="00B51D93" w:rsidRPr="008C2813">
        <w:rPr>
          <w:b/>
        </w:rPr>
        <w:t>(</w:t>
      </w:r>
      <w:r w:rsidR="008A693D" w:rsidRPr="008C2813">
        <w:rPr>
          <w:b/>
        </w:rPr>
        <w:t xml:space="preserve">at </w:t>
      </w:r>
      <w:r w:rsidR="0066049C" w:rsidRPr="008C2813">
        <w:rPr>
          <w:b/>
        </w:rPr>
        <w:t xml:space="preserve">[29] to [33]), </w:t>
      </w:r>
      <w:r w:rsidR="00B51D93" w:rsidRPr="008C2813">
        <w:rPr>
          <w:b/>
        </w:rPr>
        <w:t xml:space="preserve">that </w:t>
      </w:r>
      <w:r w:rsidR="0055041B" w:rsidRPr="008C2813">
        <w:rPr>
          <w:b/>
        </w:rPr>
        <w:t>“</w:t>
      </w:r>
      <w:r w:rsidR="0055041B" w:rsidRPr="008C2813">
        <w:rPr>
          <w:b/>
          <w:i/>
          <w:iCs/>
        </w:rPr>
        <w:t>States should ensure that public land, particularly public land used for public services, is not encroached upon and commercialised.</w:t>
      </w:r>
      <w:r w:rsidR="0055041B" w:rsidRPr="008C2813">
        <w:rPr>
          <w:b/>
        </w:rPr>
        <w:t>”</w:t>
      </w:r>
    </w:p>
    <w:p w14:paraId="4D48B82A" w14:textId="11D154A3" w:rsidR="00536853" w:rsidRPr="008C2813" w:rsidRDefault="00536853" w:rsidP="008E1D60">
      <w:pPr>
        <w:pStyle w:val="ListParagraph"/>
        <w:numPr>
          <w:ilvl w:val="1"/>
          <w:numId w:val="5"/>
        </w:numPr>
        <w:spacing w:line="257" w:lineRule="exact"/>
        <w:jc w:val="both"/>
        <w:rPr>
          <w:b/>
        </w:rPr>
      </w:pPr>
      <w:r w:rsidRPr="008C2813">
        <w:rPr>
          <w:b/>
        </w:rPr>
        <w:t>A</w:t>
      </w:r>
      <w:r w:rsidR="008C301E" w:rsidRPr="008C2813">
        <w:rPr>
          <w:b/>
        </w:rPr>
        <w:t>dd education and health to the list of ES</w:t>
      </w:r>
      <w:r w:rsidR="00CB02F5" w:rsidRPr="008C2813">
        <w:rPr>
          <w:b/>
        </w:rPr>
        <w:t xml:space="preserve">CR </w:t>
      </w:r>
      <w:r w:rsidR="009614A8" w:rsidRPr="008C2813">
        <w:rPr>
          <w:b/>
        </w:rPr>
        <w:t xml:space="preserve">in the first sentence of [34], as follows: </w:t>
      </w:r>
      <w:r w:rsidR="009614A8" w:rsidRPr="008C2813">
        <w:rPr>
          <w:b/>
          <w:i/>
          <w:iCs/>
        </w:rPr>
        <w:t>“States parties must facilitate secure, equitable and sustainable access to, use of and control over land for those</w:t>
      </w:r>
      <w:r w:rsidR="00704EE4">
        <w:rPr>
          <w:b/>
          <w:i/>
          <w:iCs/>
        </w:rPr>
        <w:t xml:space="preserve">… </w:t>
      </w:r>
      <w:r w:rsidR="0002705C" w:rsidRPr="008C2813">
        <w:rPr>
          <w:b/>
          <w:i/>
          <w:iCs/>
        </w:rPr>
        <w:t xml:space="preserve">who depend on them to realise their economic, social and cultural rights, such as the rights to food, housing, adequate standard of living, </w:t>
      </w:r>
      <w:r w:rsidR="0002705C" w:rsidRPr="008C2813">
        <w:rPr>
          <w:b/>
          <w:i/>
          <w:iCs/>
          <w:color w:val="FF0000"/>
        </w:rPr>
        <w:t>education and health</w:t>
      </w:r>
      <w:r w:rsidR="0002705C" w:rsidRPr="008C2813">
        <w:rPr>
          <w:b/>
          <w:i/>
          <w:iCs/>
        </w:rPr>
        <w:t>.”</w:t>
      </w:r>
    </w:p>
    <w:p w14:paraId="6B88C7A8" w14:textId="04FCA78C" w:rsidR="00AD79B5" w:rsidRPr="008C2813" w:rsidRDefault="00D4197E" w:rsidP="00D85C1E">
      <w:pPr>
        <w:pStyle w:val="ListParagraph"/>
        <w:numPr>
          <w:ilvl w:val="1"/>
          <w:numId w:val="5"/>
        </w:numPr>
        <w:spacing w:line="257" w:lineRule="exact"/>
        <w:jc w:val="both"/>
        <w:rPr>
          <w:b/>
        </w:rPr>
      </w:pPr>
      <w:r w:rsidRPr="008C2813">
        <w:rPr>
          <w:b/>
        </w:rPr>
        <w:t>Recognise</w:t>
      </w:r>
      <w:r w:rsidR="008A693D" w:rsidRPr="008C2813">
        <w:rPr>
          <w:b/>
        </w:rPr>
        <w:t xml:space="preserve">, as part of the discussion on the obligation to fulfil (at [34] to [38]), that </w:t>
      </w:r>
      <w:r w:rsidR="00904BC3" w:rsidRPr="008C2813">
        <w:rPr>
          <w:b/>
        </w:rPr>
        <w:t>“</w:t>
      </w:r>
      <w:r w:rsidR="00904BC3" w:rsidRPr="008C2813">
        <w:rPr>
          <w:b/>
          <w:i/>
          <w:iCs/>
        </w:rPr>
        <w:t xml:space="preserve">States should ensure </w:t>
      </w:r>
      <w:r w:rsidR="00904BC3" w:rsidRPr="008C2813">
        <w:rPr>
          <w:b/>
          <w:i/>
          <w:iCs/>
        </w:rPr>
        <w:lastRenderedPageBreak/>
        <w:t xml:space="preserve">that </w:t>
      </w:r>
      <w:r w:rsidR="0096240E" w:rsidRPr="008C2813">
        <w:rPr>
          <w:b/>
          <w:i/>
          <w:iCs/>
        </w:rPr>
        <w:t xml:space="preserve">sufficient land is available and </w:t>
      </w:r>
      <w:r w:rsidR="00F90F64" w:rsidRPr="008C2813">
        <w:rPr>
          <w:b/>
          <w:i/>
          <w:iCs/>
        </w:rPr>
        <w:t>allocated for public services</w:t>
      </w:r>
      <w:r w:rsidR="00A21F98" w:rsidRPr="008C2813">
        <w:rPr>
          <w:b/>
        </w:rPr>
        <w:t>.</w:t>
      </w:r>
      <w:r w:rsidR="00F90F64" w:rsidRPr="008C2813">
        <w:rPr>
          <w:b/>
        </w:rPr>
        <w:t>”</w:t>
      </w:r>
    </w:p>
    <w:p w14:paraId="506DF884" w14:textId="742727B5" w:rsidR="008D59A7" w:rsidRPr="008C2813" w:rsidRDefault="00250C84" w:rsidP="008D59A7">
      <w:pPr>
        <w:pStyle w:val="ListParagraph"/>
        <w:numPr>
          <w:ilvl w:val="0"/>
          <w:numId w:val="5"/>
        </w:numPr>
        <w:spacing w:line="257" w:lineRule="exact"/>
        <w:ind w:left="284" w:hanging="284"/>
        <w:jc w:val="both"/>
        <w:rPr>
          <w:b/>
        </w:rPr>
      </w:pPr>
      <w:r w:rsidRPr="008C2813">
        <w:rPr>
          <w:b/>
        </w:rPr>
        <w:t>We recommend adding a reference to the issue of booming microfinance and i</w:t>
      </w:r>
      <w:r w:rsidR="00EC2D71" w:rsidRPr="008C2813">
        <w:rPr>
          <w:b/>
        </w:rPr>
        <w:t xml:space="preserve">ts </w:t>
      </w:r>
      <w:r w:rsidR="00A46C07" w:rsidRPr="008C2813">
        <w:rPr>
          <w:b/>
        </w:rPr>
        <w:t>impact</w:t>
      </w:r>
      <w:r w:rsidR="00B23C86" w:rsidRPr="008C2813">
        <w:rPr>
          <w:b/>
        </w:rPr>
        <w:t xml:space="preserve"> on access to land for marginalised gro</w:t>
      </w:r>
      <w:r w:rsidR="00D730F1" w:rsidRPr="008C2813">
        <w:rPr>
          <w:b/>
        </w:rPr>
        <w:t>ups. This could be integrated</w:t>
      </w:r>
      <w:r w:rsidR="003104D3" w:rsidRPr="008C2813">
        <w:rPr>
          <w:b/>
        </w:rPr>
        <w:t xml:space="preserve"> </w:t>
      </w:r>
      <w:r w:rsidR="006C3C39" w:rsidRPr="008C2813">
        <w:rPr>
          <w:b/>
        </w:rPr>
        <w:t>as part of the discussion of the process of titling at</w:t>
      </w:r>
      <w:r w:rsidR="00050BAA" w:rsidRPr="008C2813">
        <w:rPr>
          <w:b/>
        </w:rPr>
        <w:t xml:space="preserve"> [33], as follows: </w:t>
      </w:r>
      <w:r w:rsidR="00050BAA" w:rsidRPr="008C2813">
        <w:rPr>
          <w:b/>
          <w:i/>
          <w:iCs/>
        </w:rPr>
        <w:t>“since commodification of prope</w:t>
      </w:r>
      <w:r w:rsidR="00A7739B" w:rsidRPr="008C2813">
        <w:rPr>
          <w:b/>
          <w:i/>
          <w:iCs/>
        </w:rPr>
        <w:t xml:space="preserve">rty rights can be a source of exclusion and increase security of tenure, </w:t>
      </w:r>
      <w:r w:rsidR="00A7739B" w:rsidRPr="008C2813">
        <w:rPr>
          <w:b/>
          <w:i/>
          <w:iCs/>
          <w:color w:val="FF0000"/>
        </w:rPr>
        <w:t xml:space="preserve">as observed in cases of indebtedness </w:t>
      </w:r>
      <w:r w:rsidR="00DF1F57" w:rsidRPr="008C2813">
        <w:rPr>
          <w:b/>
          <w:i/>
          <w:iCs/>
          <w:color w:val="FF0000"/>
        </w:rPr>
        <w:t xml:space="preserve">and mortgages </w:t>
      </w:r>
      <w:r w:rsidR="008F419A" w:rsidRPr="008C2813">
        <w:rPr>
          <w:b/>
          <w:i/>
          <w:iCs/>
          <w:color w:val="FF0000"/>
        </w:rPr>
        <w:t>on land res</w:t>
      </w:r>
      <w:r w:rsidR="00036154" w:rsidRPr="008C2813">
        <w:rPr>
          <w:b/>
          <w:i/>
          <w:iCs/>
          <w:color w:val="FF0000"/>
        </w:rPr>
        <w:t>ulting from increased microfinanc</w:t>
      </w:r>
      <w:r w:rsidR="0039494E" w:rsidRPr="008C2813">
        <w:rPr>
          <w:b/>
          <w:i/>
          <w:iCs/>
          <w:color w:val="FF0000"/>
        </w:rPr>
        <w:t>ing lending to marginalised groups</w:t>
      </w:r>
      <w:r w:rsidR="0039494E" w:rsidRPr="008C2813">
        <w:rPr>
          <w:b/>
          <w:i/>
          <w:iCs/>
        </w:rPr>
        <w:t>.”</w:t>
      </w:r>
    </w:p>
    <w:p w14:paraId="79771C08" w14:textId="44D42D3A" w:rsidR="00000A11" w:rsidRPr="008C2813" w:rsidRDefault="00000A11" w:rsidP="008C2813">
      <w:pPr>
        <w:pStyle w:val="Heading2"/>
      </w:pPr>
      <w:r w:rsidRPr="008C2813">
        <w:t xml:space="preserve">Extraterritorial obligations </w:t>
      </w:r>
    </w:p>
    <w:p w14:paraId="35421879" w14:textId="4D3B5AE8" w:rsidR="009147DF" w:rsidRPr="008C2813" w:rsidRDefault="002C5070" w:rsidP="009147DF">
      <w:pPr>
        <w:pStyle w:val="ListParagraph"/>
        <w:numPr>
          <w:ilvl w:val="0"/>
          <w:numId w:val="5"/>
        </w:numPr>
        <w:spacing w:line="257" w:lineRule="exact"/>
        <w:ind w:left="284" w:hanging="284"/>
        <w:jc w:val="both"/>
      </w:pPr>
      <w:r w:rsidRPr="008C2813">
        <w:t xml:space="preserve">As part of their extraterritorial obligations, States are required to “take collective action, including through international cooperation, in order to help fulfil </w:t>
      </w:r>
      <w:r w:rsidR="00C61A8F" w:rsidRPr="008C2813">
        <w:t>the economic, social and cultural rights of persons outside of their national territories.”</w:t>
      </w:r>
      <w:r w:rsidR="00C12CE1" w:rsidRPr="008C2813">
        <w:rPr>
          <w:rStyle w:val="FootnoteReference"/>
        </w:rPr>
        <w:footnoteReference w:id="28"/>
      </w:r>
      <w:r w:rsidR="00C12CE1" w:rsidRPr="008C2813">
        <w:t xml:space="preserve"> </w:t>
      </w:r>
      <w:r w:rsidR="003723E2" w:rsidRPr="008C2813">
        <w:t xml:space="preserve">This means that </w:t>
      </w:r>
      <w:r w:rsidR="002312EC" w:rsidRPr="008C2813">
        <w:t xml:space="preserve">States </w:t>
      </w:r>
      <w:r w:rsidR="003723E2" w:rsidRPr="008C2813">
        <w:t>must</w:t>
      </w:r>
      <w:r w:rsidR="002312EC" w:rsidRPr="008C2813">
        <w:t xml:space="preserve"> “take the necessary steps</w:t>
      </w:r>
      <w:r w:rsidR="009B3A53" w:rsidRPr="008C2813">
        <w:t xml:space="preserve"> in their legislation and policies, including diplomatic and foreign relations, to promote and help create” an “international environment </w:t>
      </w:r>
      <w:r w:rsidR="00A71D26" w:rsidRPr="008C2813">
        <w:t>that enables the fulfilment of the Covenant rights”.</w:t>
      </w:r>
      <w:r w:rsidR="00A71D26" w:rsidRPr="008C2813">
        <w:rPr>
          <w:rStyle w:val="FootnoteReference"/>
        </w:rPr>
        <w:footnoteReference w:id="29"/>
      </w:r>
      <w:r w:rsidR="003723E2" w:rsidRPr="008C2813">
        <w:t xml:space="preserve"> Thi</w:t>
      </w:r>
      <w:r w:rsidR="00AD33D0" w:rsidRPr="008C2813">
        <w:t>s obligation applies in relation to States parties’ conduct as members of international financial institutions.</w:t>
      </w:r>
      <w:r w:rsidR="00F52D7F" w:rsidRPr="008C2813">
        <w:t xml:space="preserve"> </w:t>
      </w:r>
    </w:p>
    <w:p w14:paraId="33CE12AF" w14:textId="77777777" w:rsidR="00C61F4E" w:rsidRPr="008C2813" w:rsidRDefault="001A4F31" w:rsidP="009147DF">
      <w:pPr>
        <w:pStyle w:val="ListParagraph"/>
        <w:numPr>
          <w:ilvl w:val="0"/>
          <w:numId w:val="5"/>
        </w:numPr>
        <w:spacing w:line="257" w:lineRule="exact"/>
        <w:ind w:left="284" w:hanging="284"/>
        <w:jc w:val="both"/>
      </w:pPr>
      <w:r w:rsidRPr="008C2813">
        <w:t xml:space="preserve">The Committee has also confirmed that, as subjects of international law, international financial institutions </w:t>
      </w:r>
      <w:r w:rsidR="00C61F4E" w:rsidRPr="008C2813">
        <w:t>are also required to comply with international human rights law.</w:t>
      </w:r>
      <w:r w:rsidR="009147DF" w:rsidRPr="008C2813">
        <w:rPr>
          <w:rStyle w:val="FootnoteReference"/>
        </w:rPr>
        <w:footnoteReference w:id="30"/>
      </w:r>
      <w:r w:rsidR="00F22850" w:rsidRPr="008C2813">
        <w:t xml:space="preserve"> </w:t>
      </w:r>
    </w:p>
    <w:p w14:paraId="15700248" w14:textId="5D1C74D8" w:rsidR="00100B7A" w:rsidRPr="008C2813" w:rsidRDefault="00847661" w:rsidP="009147DF">
      <w:pPr>
        <w:pStyle w:val="ListParagraph"/>
        <w:numPr>
          <w:ilvl w:val="0"/>
          <w:numId w:val="5"/>
        </w:numPr>
        <w:spacing w:line="257" w:lineRule="exact"/>
        <w:ind w:left="284" w:hanging="284"/>
        <w:jc w:val="both"/>
      </w:pPr>
      <w:r w:rsidRPr="008C2813">
        <w:lastRenderedPageBreak/>
        <w:t xml:space="preserve">Over the past few decades, international financial institutions </w:t>
      </w:r>
      <w:r w:rsidR="00086FB2" w:rsidRPr="008C2813">
        <w:t xml:space="preserve">(hereinafter “IFIs”) </w:t>
      </w:r>
      <w:r w:rsidRPr="008C2813">
        <w:t xml:space="preserve">such as the </w:t>
      </w:r>
      <w:r w:rsidR="00682F4A" w:rsidRPr="008C2813">
        <w:t xml:space="preserve">World Bank and the </w:t>
      </w:r>
      <w:r w:rsidRPr="008C2813">
        <w:t xml:space="preserve">International Monetary Fund </w:t>
      </w:r>
      <w:r w:rsidR="002A5657" w:rsidRPr="008C2813">
        <w:t>have actively promoted p</w:t>
      </w:r>
      <w:r w:rsidR="00A077A2" w:rsidRPr="008C2813">
        <w:t>olicies</w:t>
      </w:r>
      <w:r w:rsidR="00CE4C6A">
        <w:t xml:space="preserve"> and program</w:t>
      </w:r>
      <w:r w:rsidR="00145E09">
        <w:t>me</w:t>
      </w:r>
      <w:r w:rsidR="00CE4C6A">
        <w:t>s</w:t>
      </w:r>
      <w:r w:rsidR="00A077A2" w:rsidRPr="008C2813">
        <w:t xml:space="preserve"> that have driven</w:t>
      </w:r>
      <w:r w:rsidR="002A5657" w:rsidRPr="008C2813">
        <w:t xml:space="preserve"> the privatisation</w:t>
      </w:r>
      <w:r w:rsidR="00100B7A" w:rsidRPr="008C2813">
        <w:t xml:space="preserve"> and commercialisation of land, </w:t>
      </w:r>
      <w:r w:rsidR="00835D68" w:rsidRPr="008C2813">
        <w:t>as well as the privatisation of</w:t>
      </w:r>
      <w:r w:rsidR="00100B7A" w:rsidRPr="008C2813">
        <w:t xml:space="preserve"> natural resources and public services</w:t>
      </w:r>
      <w:r w:rsidR="00835D68" w:rsidRPr="008C2813">
        <w:t xml:space="preserve">, </w:t>
      </w:r>
      <w:r w:rsidR="001C5071" w:rsidRPr="008C2813">
        <w:t>which</w:t>
      </w:r>
      <w:r w:rsidR="00835D68" w:rsidRPr="008C2813">
        <w:t xml:space="preserve"> </w:t>
      </w:r>
      <w:r w:rsidR="00DC2ADA">
        <w:t xml:space="preserve">as mentioned above </w:t>
      </w:r>
      <w:r w:rsidR="00835D68" w:rsidRPr="008C2813">
        <w:t>may have significant impacts on land</w:t>
      </w:r>
      <w:r w:rsidR="00100B7A" w:rsidRPr="008C2813">
        <w:t>.</w:t>
      </w:r>
      <w:r w:rsidR="000F59A1" w:rsidRPr="008C2813">
        <w:rPr>
          <w:rStyle w:val="FootnoteReference"/>
        </w:rPr>
        <w:footnoteReference w:id="31"/>
      </w:r>
      <w:r w:rsidR="00145E09">
        <w:t xml:space="preserve"> A World Bank-financed programme in </w:t>
      </w:r>
      <w:r w:rsidR="003503B4">
        <w:t>the Brazilian state of Piau</w:t>
      </w:r>
      <w:r w:rsidR="003503B4">
        <w:rPr>
          <w:rFonts w:cstheme="minorHAnsi"/>
        </w:rPr>
        <w:t>í</w:t>
      </w:r>
      <w:r w:rsidR="00E3736B">
        <w:t xml:space="preserve">, for instance, has </w:t>
      </w:r>
      <w:r w:rsidR="00B0158A">
        <w:t>resulted</w:t>
      </w:r>
      <w:r w:rsidR="00E3736B">
        <w:t xml:space="preserve"> </w:t>
      </w:r>
      <w:r w:rsidR="00BC1987">
        <w:t xml:space="preserve">in </w:t>
      </w:r>
      <w:r w:rsidR="00E3736B">
        <w:t xml:space="preserve">approximately </w:t>
      </w:r>
      <w:r w:rsidR="00E96932">
        <w:t xml:space="preserve">four million hectares </w:t>
      </w:r>
      <w:r w:rsidR="00154E0B">
        <w:t xml:space="preserve">of land </w:t>
      </w:r>
      <w:r w:rsidR="00AA2C89">
        <w:t xml:space="preserve">being privatised </w:t>
      </w:r>
      <w:r w:rsidR="0087588B">
        <w:t>and acquired by international companies</w:t>
      </w:r>
      <w:r w:rsidR="00485959">
        <w:t>,</w:t>
      </w:r>
      <w:r w:rsidR="00F572AE">
        <w:rPr>
          <w:rStyle w:val="FootnoteReference"/>
        </w:rPr>
        <w:footnoteReference w:id="32"/>
      </w:r>
      <w:r w:rsidR="00485959">
        <w:t xml:space="preserve"> </w:t>
      </w:r>
      <w:r w:rsidR="00A85948">
        <w:t>w</w:t>
      </w:r>
      <w:r w:rsidR="00664BAD">
        <w:t>ith severe consequ</w:t>
      </w:r>
      <w:r w:rsidR="004519EC">
        <w:t>ences for local communities (</w:t>
      </w:r>
      <w:r w:rsidR="004D3DCC">
        <w:t>including loss of land and food insecurity).</w:t>
      </w:r>
      <w:r w:rsidR="00AC7D88">
        <w:rPr>
          <w:rStyle w:val="FootnoteReference"/>
        </w:rPr>
        <w:footnoteReference w:id="33"/>
      </w:r>
      <w:r w:rsidR="004D3DCC">
        <w:t xml:space="preserve"> </w:t>
      </w:r>
      <w:r w:rsidR="00145E09">
        <w:t xml:space="preserve"> </w:t>
      </w:r>
    </w:p>
    <w:p w14:paraId="4FE5862F" w14:textId="2E1DE843" w:rsidR="00A8451E" w:rsidRPr="008C2813" w:rsidRDefault="00A8451E" w:rsidP="008C2813">
      <w:pPr>
        <w:pStyle w:val="Heading3"/>
      </w:pPr>
      <w:r w:rsidRPr="008C2813">
        <w:t>Recommendations</w:t>
      </w:r>
    </w:p>
    <w:p w14:paraId="711B3479" w14:textId="385DECA1" w:rsidR="00863842" w:rsidRPr="008C2813" w:rsidRDefault="001E71C7" w:rsidP="00486878">
      <w:pPr>
        <w:pStyle w:val="ListParagraph"/>
        <w:numPr>
          <w:ilvl w:val="0"/>
          <w:numId w:val="5"/>
        </w:numPr>
        <w:spacing w:line="257" w:lineRule="exact"/>
        <w:ind w:left="284" w:hanging="284"/>
        <w:jc w:val="both"/>
        <w:rPr>
          <w:b/>
          <w:bCs/>
        </w:rPr>
      </w:pPr>
      <w:r w:rsidRPr="008C2813">
        <w:rPr>
          <w:b/>
        </w:rPr>
        <w:t xml:space="preserve">We welcome </w:t>
      </w:r>
      <w:r w:rsidR="00AF5232" w:rsidRPr="008C2813">
        <w:rPr>
          <w:b/>
        </w:rPr>
        <w:t xml:space="preserve">the discussion </w:t>
      </w:r>
      <w:r w:rsidR="00427B1E" w:rsidRPr="008C2813">
        <w:rPr>
          <w:b/>
        </w:rPr>
        <w:t xml:space="preserve">(at </w:t>
      </w:r>
      <w:r w:rsidR="00B87F4F" w:rsidRPr="008C2813">
        <w:rPr>
          <w:b/>
        </w:rPr>
        <w:t>[</w:t>
      </w:r>
      <w:r w:rsidR="00427B1E" w:rsidRPr="008C2813">
        <w:rPr>
          <w:b/>
        </w:rPr>
        <w:t>38</w:t>
      </w:r>
      <w:r w:rsidR="00B87F4F" w:rsidRPr="008C2813">
        <w:rPr>
          <w:b/>
        </w:rPr>
        <w:t>]</w:t>
      </w:r>
      <w:r w:rsidR="00427B1E" w:rsidRPr="008C2813">
        <w:rPr>
          <w:b/>
        </w:rPr>
        <w:t xml:space="preserve"> to </w:t>
      </w:r>
      <w:r w:rsidR="00B87F4F" w:rsidRPr="008C2813">
        <w:rPr>
          <w:b/>
        </w:rPr>
        <w:t>[</w:t>
      </w:r>
      <w:r w:rsidR="00427B1E" w:rsidRPr="008C2813">
        <w:rPr>
          <w:b/>
        </w:rPr>
        <w:t>44</w:t>
      </w:r>
      <w:r w:rsidR="00B87F4F" w:rsidRPr="008C2813">
        <w:rPr>
          <w:b/>
        </w:rPr>
        <w:t>]</w:t>
      </w:r>
      <w:r w:rsidR="00427B1E" w:rsidRPr="008C2813">
        <w:rPr>
          <w:b/>
        </w:rPr>
        <w:t xml:space="preserve">) </w:t>
      </w:r>
      <w:r w:rsidR="00AF5232" w:rsidRPr="008C2813">
        <w:rPr>
          <w:b/>
        </w:rPr>
        <w:t xml:space="preserve">of </w:t>
      </w:r>
      <w:r w:rsidR="00427B1E" w:rsidRPr="008C2813">
        <w:rPr>
          <w:b/>
        </w:rPr>
        <w:t xml:space="preserve">States’ </w:t>
      </w:r>
      <w:r w:rsidR="00AF5232" w:rsidRPr="008C2813">
        <w:rPr>
          <w:b/>
        </w:rPr>
        <w:t xml:space="preserve">extraterritorial </w:t>
      </w:r>
      <w:r w:rsidR="00427B1E" w:rsidRPr="008C2813">
        <w:rPr>
          <w:b/>
        </w:rPr>
        <w:t xml:space="preserve">obligations in the current draft, and the </w:t>
      </w:r>
      <w:r w:rsidR="002F3D67" w:rsidRPr="008C2813">
        <w:rPr>
          <w:b/>
        </w:rPr>
        <w:t>acknowledgement that “[e]xtraterritorial obligations are of particular significance to the implementation of Covenant obligations related to land”</w:t>
      </w:r>
      <w:r w:rsidR="00B87F4F" w:rsidRPr="008C2813">
        <w:rPr>
          <w:b/>
        </w:rPr>
        <w:t xml:space="preserve"> (at [38]).</w:t>
      </w:r>
      <w:r w:rsidR="002F3D67" w:rsidRPr="008C2813">
        <w:rPr>
          <w:b/>
        </w:rPr>
        <w:t xml:space="preserve"> We recommend that this section be maintained</w:t>
      </w:r>
      <w:r w:rsidR="00913A86">
        <w:rPr>
          <w:b/>
        </w:rPr>
        <w:t>.</w:t>
      </w:r>
    </w:p>
    <w:p w14:paraId="67FB455F" w14:textId="78D9B067" w:rsidR="00B53765" w:rsidRPr="008C2813" w:rsidRDefault="00863842" w:rsidP="00522A75">
      <w:pPr>
        <w:pStyle w:val="ListParagraph"/>
        <w:numPr>
          <w:ilvl w:val="0"/>
          <w:numId w:val="5"/>
        </w:numPr>
        <w:spacing w:line="257" w:lineRule="exact"/>
        <w:ind w:left="284" w:hanging="284"/>
        <w:jc w:val="both"/>
        <w:rPr>
          <w:b/>
        </w:rPr>
      </w:pPr>
      <w:r w:rsidRPr="008C2813">
        <w:rPr>
          <w:b/>
        </w:rPr>
        <w:t>We propose that this section could be strengthened by explicitly recognising that, as part of their extraterritorial obligations under international human rights law, States must take steps to address and prevent the</w:t>
      </w:r>
      <w:r w:rsidR="00DD00D6">
        <w:rPr>
          <w:b/>
        </w:rPr>
        <w:t xml:space="preserve"> privatisation, commercialisation, commodification and</w:t>
      </w:r>
      <w:r w:rsidRPr="008C2813">
        <w:rPr>
          <w:b/>
        </w:rPr>
        <w:t xml:space="preserve"> financialisation</w:t>
      </w:r>
      <w:r w:rsidR="00DD00D6">
        <w:rPr>
          <w:b/>
        </w:rPr>
        <w:t xml:space="preserve"> </w:t>
      </w:r>
      <w:r w:rsidRPr="008C2813">
        <w:rPr>
          <w:b/>
        </w:rPr>
        <w:t>of land</w:t>
      </w:r>
      <w:r w:rsidR="00762648" w:rsidRPr="008C2813">
        <w:rPr>
          <w:b/>
          <w:bCs/>
        </w:rPr>
        <w:t xml:space="preserve">, public services and </w:t>
      </w:r>
      <w:r w:rsidRPr="008C2813">
        <w:rPr>
          <w:b/>
        </w:rPr>
        <w:t>natural resources</w:t>
      </w:r>
      <w:r w:rsidR="00762648" w:rsidRPr="008C2813">
        <w:rPr>
          <w:b/>
          <w:bCs/>
        </w:rPr>
        <w:t xml:space="preserve"> beyond their borders</w:t>
      </w:r>
      <w:r w:rsidRPr="008C2813">
        <w:rPr>
          <w:b/>
          <w:bCs/>
        </w:rPr>
        <w:t>.</w:t>
      </w:r>
      <w:r w:rsidR="00522A75" w:rsidRPr="008C2813">
        <w:rPr>
          <w:b/>
        </w:rPr>
        <w:t xml:space="preserve"> </w:t>
      </w:r>
      <w:r w:rsidR="00444396" w:rsidRPr="008C2813">
        <w:rPr>
          <w:b/>
        </w:rPr>
        <w:t xml:space="preserve">States </w:t>
      </w:r>
      <w:r w:rsidR="00325561" w:rsidRPr="008C2813">
        <w:rPr>
          <w:b/>
        </w:rPr>
        <w:t>should</w:t>
      </w:r>
      <w:r w:rsidR="00B53765" w:rsidRPr="008C2813">
        <w:rPr>
          <w:b/>
        </w:rPr>
        <w:t>, for instance,</w:t>
      </w:r>
      <w:r w:rsidR="00325561" w:rsidRPr="008C2813">
        <w:rPr>
          <w:b/>
        </w:rPr>
        <w:t xml:space="preserve"> be required to monitor and regulate cro</w:t>
      </w:r>
      <w:r w:rsidR="00530365" w:rsidRPr="008C2813">
        <w:rPr>
          <w:b/>
        </w:rPr>
        <w:t>ss-</w:t>
      </w:r>
      <w:r w:rsidR="00325561" w:rsidRPr="008C2813">
        <w:rPr>
          <w:b/>
        </w:rPr>
        <w:t>border financial flows relating to land</w:t>
      </w:r>
      <w:r w:rsidR="00AE6EB4" w:rsidRPr="008C2813">
        <w:rPr>
          <w:b/>
        </w:rPr>
        <w:t xml:space="preserve">. </w:t>
      </w:r>
    </w:p>
    <w:p w14:paraId="5900A44F" w14:textId="1057D598" w:rsidR="00AC7B67" w:rsidRPr="008C2813" w:rsidRDefault="00AC7B67" w:rsidP="00877B1F">
      <w:pPr>
        <w:pStyle w:val="ListParagraph"/>
        <w:numPr>
          <w:ilvl w:val="0"/>
          <w:numId w:val="5"/>
        </w:numPr>
        <w:spacing w:line="257" w:lineRule="exact"/>
        <w:ind w:left="284" w:hanging="284"/>
        <w:jc w:val="both"/>
        <w:rPr>
          <w:b/>
        </w:rPr>
      </w:pPr>
      <w:r w:rsidRPr="008C2813">
        <w:rPr>
          <w:b/>
        </w:rPr>
        <w:lastRenderedPageBreak/>
        <w:t>We recommend the General Comment refer to the existing work of the Committee regarding investment funds and their typically strong extraterritorial nature</w:t>
      </w:r>
      <w:r w:rsidR="00895854" w:rsidRPr="008C2813">
        <w:rPr>
          <w:b/>
        </w:rPr>
        <w:t xml:space="preserve">. </w:t>
      </w:r>
      <w:r w:rsidR="006A3168" w:rsidRPr="008C2813">
        <w:rPr>
          <w:b/>
        </w:rPr>
        <w:t xml:space="preserve">We suggest that the </w:t>
      </w:r>
      <w:r w:rsidR="002541B6" w:rsidRPr="008C2813">
        <w:rPr>
          <w:b/>
        </w:rPr>
        <w:t xml:space="preserve">Committee draw </w:t>
      </w:r>
      <w:r w:rsidR="0015530C" w:rsidRPr="008C2813">
        <w:rPr>
          <w:b/>
        </w:rPr>
        <w:t>fr</w:t>
      </w:r>
      <w:r w:rsidR="00BC6B59" w:rsidRPr="008C2813">
        <w:rPr>
          <w:b/>
        </w:rPr>
        <w:t xml:space="preserve">om </w:t>
      </w:r>
      <w:r w:rsidR="007C36C3" w:rsidRPr="008C2813">
        <w:rPr>
          <w:b/>
        </w:rPr>
        <w:t xml:space="preserve">language used in its </w:t>
      </w:r>
      <w:r w:rsidR="00470F12" w:rsidRPr="008C2813">
        <w:rPr>
          <w:b/>
        </w:rPr>
        <w:t>Concluding Observa</w:t>
      </w:r>
      <w:r w:rsidR="00ED66A5" w:rsidRPr="008C2813">
        <w:rPr>
          <w:b/>
        </w:rPr>
        <w:t xml:space="preserve">tions on the sixth periodic report of </w:t>
      </w:r>
      <w:r w:rsidR="0099292B" w:rsidRPr="008C2813">
        <w:rPr>
          <w:b/>
        </w:rPr>
        <w:t xml:space="preserve">Sweden </w:t>
      </w:r>
      <w:r w:rsidR="00985C7D" w:rsidRPr="008C2813">
        <w:rPr>
          <w:b/>
        </w:rPr>
        <w:t xml:space="preserve">regarding </w:t>
      </w:r>
      <w:r w:rsidR="00B71889" w:rsidRPr="008C2813">
        <w:rPr>
          <w:b/>
        </w:rPr>
        <w:t xml:space="preserve">overseas investment activities </w:t>
      </w:r>
      <w:r w:rsidR="00876536" w:rsidRPr="008C2813">
        <w:rPr>
          <w:b/>
        </w:rPr>
        <w:t xml:space="preserve">and </w:t>
      </w:r>
      <w:r w:rsidR="00ED32E8" w:rsidRPr="008C2813">
        <w:rPr>
          <w:b/>
        </w:rPr>
        <w:t>explicitly call on States to</w:t>
      </w:r>
      <w:r w:rsidR="005C6D7D" w:rsidRPr="008C2813">
        <w:rPr>
          <w:b/>
        </w:rPr>
        <w:t xml:space="preserve"> </w:t>
      </w:r>
      <w:r w:rsidR="00B21803" w:rsidRPr="008C2813">
        <w:rPr>
          <w:b/>
        </w:rPr>
        <w:t>e</w:t>
      </w:r>
      <w:r w:rsidR="00394B57" w:rsidRPr="008C2813">
        <w:rPr>
          <w:b/>
        </w:rPr>
        <w:t xml:space="preserve">nsure that the </w:t>
      </w:r>
      <w:r w:rsidR="00F32F8B" w:rsidRPr="008C2813">
        <w:rPr>
          <w:b/>
        </w:rPr>
        <w:t>decisions and activities of investors acting abroad do not</w:t>
      </w:r>
      <w:r w:rsidR="00782E2C" w:rsidRPr="008C2813">
        <w:rPr>
          <w:b/>
        </w:rPr>
        <w:t xml:space="preserve"> result in the privatisation, commercialisation, commodification and/or financialisation of land and </w:t>
      </w:r>
      <w:r w:rsidR="004715B0" w:rsidRPr="008C2813">
        <w:rPr>
          <w:b/>
        </w:rPr>
        <w:t xml:space="preserve">impact on the ESCR of local populations. </w:t>
      </w:r>
      <w:r w:rsidR="009B466D" w:rsidRPr="008C2813">
        <w:rPr>
          <w:b/>
        </w:rPr>
        <w:t xml:space="preserve">In light of the diverse nature </w:t>
      </w:r>
      <w:r w:rsidR="0053642E" w:rsidRPr="008C2813">
        <w:rPr>
          <w:b/>
        </w:rPr>
        <w:t xml:space="preserve">of the actors involved, this point should be integrated as part of both the discussion on the extraterritorial obligation to respect (at [39] to </w:t>
      </w:r>
      <w:r w:rsidR="00871B95" w:rsidRPr="008C2813">
        <w:rPr>
          <w:b/>
        </w:rPr>
        <w:t>[41]</w:t>
      </w:r>
      <w:r w:rsidR="00F97EE1" w:rsidRPr="008C2813">
        <w:rPr>
          <w:b/>
        </w:rPr>
        <w:t xml:space="preserve">) and </w:t>
      </w:r>
      <w:r w:rsidR="00CC0466" w:rsidRPr="008C2813">
        <w:rPr>
          <w:b/>
        </w:rPr>
        <w:t xml:space="preserve">the discussion on the extraterritorial obligation to protect (at </w:t>
      </w:r>
      <w:r w:rsidR="006C419C" w:rsidRPr="008C2813">
        <w:rPr>
          <w:b/>
        </w:rPr>
        <w:t xml:space="preserve">[42]). </w:t>
      </w:r>
      <w:r w:rsidR="00F32F8B" w:rsidRPr="008C2813">
        <w:rPr>
          <w:b/>
        </w:rPr>
        <w:t xml:space="preserve"> </w:t>
      </w:r>
    </w:p>
    <w:p w14:paraId="538E7F7D" w14:textId="779C4B33" w:rsidR="00BF2744" w:rsidRPr="008C2813" w:rsidRDefault="00BF2744" w:rsidP="00522A75">
      <w:pPr>
        <w:pStyle w:val="ListParagraph"/>
        <w:numPr>
          <w:ilvl w:val="0"/>
          <w:numId w:val="5"/>
        </w:numPr>
        <w:spacing w:line="257" w:lineRule="exact"/>
        <w:ind w:left="284" w:hanging="284"/>
        <w:jc w:val="both"/>
        <w:rPr>
          <w:b/>
        </w:rPr>
      </w:pPr>
      <w:r w:rsidRPr="008C2813">
        <w:rPr>
          <w:b/>
        </w:rPr>
        <w:t>We welcome the</w:t>
      </w:r>
      <w:r w:rsidR="008B013C" w:rsidRPr="008C2813">
        <w:rPr>
          <w:b/>
        </w:rPr>
        <w:t xml:space="preserve"> statement (at </w:t>
      </w:r>
      <w:r w:rsidR="00B87F4F" w:rsidRPr="008C2813">
        <w:rPr>
          <w:b/>
        </w:rPr>
        <w:t>[</w:t>
      </w:r>
      <w:r w:rsidR="008B013C" w:rsidRPr="008C2813">
        <w:rPr>
          <w:b/>
        </w:rPr>
        <w:t>44</w:t>
      </w:r>
      <w:r w:rsidR="00B87F4F" w:rsidRPr="008C2813">
        <w:rPr>
          <w:b/>
        </w:rPr>
        <w:t>]</w:t>
      </w:r>
      <w:r w:rsidR="008B013C" w:rsidRPr="008C2813">
        <w:rPr>
          <w:b/>
        </w:rPr>
        <w:t>) that national policies supported in the context of international cooperation and assistance “should avoid leading to…</w:t>
      </w:r>
      <w:r w:rsidR="00D06A2A" w:rsidRPr="008C2813">
        <w:rPr>
          <w:b/>
        </w:rPr>
        <w:t>a commodification of land.”</w:t>
      </w:r>
      <w:r w:rsidR="002C4D51" w:rsidRPr="008C2813">
        <w:rPr>
          <w:b/>
        </w:rPr>
        <w:t xml:space="preserve"> </w:t>
      </w:r>
      <w:r w:rsidR="00762648" w:rsidRPr="008C2813">
        <w:rPr>
          <w:b/>
          <w:bCs/>
        </w:rPr>
        <w:t>T</w:t>
      </w:r>
      <w:r w:rsidR="002C4D51" w:rsidRPr="008C2813">
        <w:rPr>
          <w:b/>
          <w:bCs/>
        </w:rPr>
        <w:t>his</w:t>
      </w:r>
      <w:r w:rsidR="002C4D51" w:rsidRPr="008C2813">
        <w:rPr>
          <w:b/>
        </w:rPr>
        <w:t xml:space="preserve"> paragraph could be strengthened by noting </w:t>
      </w:r>
      <w:r w:rsidR="00A60C34" w:rsidRPr="008C2813">
        <w:rPr>
          <w:b/>
        </w:rPr>
        <w:t xml:space="preserve">the key role played by </w:t>
      </w:r>
      <w:r w:rsidR="00682F4A" w:rsidRPr="008C2813">
        <w:rPr>
          <w:b/>
        </w:rPr>
        <w:t xml:space="preserve">IFIs </w:t>
      </w:r>
      <w:r w:rsidR="00A60C34" w:rsidRPr="008C2813">
        <w:rPr>
          <w:b/>
        </w:rPr>
        <w:t>i</w:t>
      </w:r>
      <w:r w:rsidR="0091742A" w:rsidRPr="008C2813">
        <w:rPr>
          <w:b/>
        </w:rPr>
        <w:t xml:space="preserve">n </w:t>
      </w:r>
      <w:r w:rsidR="00A60C34" w:rsidRPr="008C2813">
        <w:rPr>
          <w:b/>
        </w:rPr>
        <w:t>th</w:t>
      </w:r>
      <w:r w:rsidR="00FB5DE2" w:rsidRPr="008C2813">
        <w:rPr>
          <w:b/>
        </w:rPr>
        <w:t xml:space="preserve">is regard, </w:t>
      </w:r>
      <w:r w:rsidR="000013FA" w:rsidRPr="008C2813">
        <w:rPr>
          <w:b/>
        </w:rPr>
        <w:t xml:space="preserve">and by </w:t>
      </w:r>
      <w:r w:rsidR="005C2441" w:rsidRPr="008C2813">
        <w:rPr>
          <w:b/>
        </w:rPr>
        <w:t>explicitly recognis</w:t>
      </w:r>
      <w:r w:rsidR="000013FA" w:rsidRPr="008C2813">
        <w:rPr>
          <w:b/>
        </w:rPr>
        <w:t>ing</w:t>
      </w:r>
      <w:r w:rsidR="005C2441" w:rsidRPr="008C2813">
        <w:rPr>
          <w:b/>
        </w:rPr>
        <w:t xml:space="preserve"> </w:t>
      </w:r>
      <w:r w:rsidR="00086882" w:rsidRPr="008C2813">
        <w:rPr>
          <w:b/>
        </w:rPr>
        <w:t xml:space="preserve">that, as part of their obligations under international human rights law, </w:t>
      </w:r>
      <w:r w:rsidR="00682F4A" w:rsidRPr="008C2813">
        <w:rPr>
          <w:b/>
        </w:rPr>
        <w:t xml:space="preserve">IFIs </w:t>
      </w:r>
      <w:r w:rsidR="008B5977" w:rsidRPr="008C2813">
        <w:rPr>
          <w:b/>
        </w:rPr>
        <w:t xml:space="preserve">should ensure that any policy recommendations </w:t>
      </w:r>
      <w:r w:rsidR="00457696" w:rsidRPr="008C2813">
        <w:rPr>
          <w:b/>
        </w:rPr>
        <w:t xml:space="preserve">and/or loan conditionalities do not </w:t>
      </w:r>
      <w:r w:rsidR="0091742A" w:rsidRPr="008C2813">
        <w:rPr>
          <w:b/>
        </w:rPr>
        <w:t xml:space="preserve">have the effect of driving </w:t>
      </w:r>
      <w:r w:rsidR="00FB5DE2" w:rsidRPr="008C2813">
        <w:rPr>
          <w:b/>
        </w:rPr>
        <w:t>the privatisation, commercialisation</w:t>
      </w:r>
      <w:r w:rsidR="000D3A52">
        <w:rPr>
          <w:b/>
        </w:rPr>
        <w:t xml:space="preserve">, commodification </w:t>
      </w:r>
      <w:r w:rsidR="00FB5DE2" w:rsidRPr="008C2813">
        <w:rPr>
          <w:b/>
        </w:rPr>
        <w:t>and financialisation of land</w:t>
      </w:r>
      <w:r w:rsidR="00762648" w:rsidRPr="008C2813">
        <w:rPr>
          <w:b/>
          <w:bCs/>
        </w:rPr>
        <w:t>, public services</w:t>
      </w:r>
      <w:r w:rsidR="00FB5DE2" w:rsidRPr="008C2813">
        <w:rPr>
          <w:b/>
        </w:rPr>
        <w:t xml:space="preserve"> and natural resources. </w:t>
      </w:r>
    </w:p>
    <w:p w14:paraId="2DDBBD59" w14:textId="10DAA292" w:rsidR="003F58EF" w:rsidRPr="00277D29" w:rsidRDefault="00530365" w:rsidP="00435038">
      <w:pPr>
        <w:spacing w:after="120" w:line="257" w:lineRule="exact"/>
        <w:jc w:val="both"/>
        <w:rPr>
          <w:b/>
          <w:bCs/>
        </w:rPr>
      </w:pPr>
      <w:r w:rsidRPr="008C2813">
        <w:t xml:space="preserve">  </w:t>
      </w:r>
    </w:p>
    <w:p w14:paraId="46B541C2" w14:textId="32A87BFB" w:rsidR="00277D29" w:rsidRDefault="00277D29" w:rsidP="00435038">
      <w:pPr>
        <w:spacing w:after="120" w:line="257" w:lineRule="exact"/>
        <w:jc w:val="both"/>
      </w:pPr>
    </w:p>
    <w:p w14:paraId="04A9111F" w14:textId="650289EE" w:rsidR="00277D29" w:rsidRDefault="00277D29" w:rsidP="00435038">
      <w:pPr>
        <w:spacing w:after="120" w:line="257" w:lineRule="exact"/>
        <w:jc w:val="both"/>
      </w:pPr>
    </w:p>
    <w:p w14:paraId="2D726E17" w14:textId="19F64126" w:rsidR="00277D29" w:rsidRDefault="00277D29" w:rsidP="00435038">
      <w:pPr>
        <w:spacing w:after="120" w:line="257" w:lineRule="exact"/>
        <w:jc w:val="both"/>
      </w:pPr>
    </w:p>
    <w:p w14:paraId="172E0BA6" w14:textId="4C77A16A" w:rsidR="00277D29" w:rsidRPr="008C2813" w:rsidRDefault="00277D29" w:rsidP="00435038">
      <w:pPr>
        <w:spacing w:after="120" w:line="257" w:lineRule="exact"/>
        <w:jc w:val="both"/>
      </w:pPr>
      <w:r w:rsidRPr="0095117E">
        <w:rPr>
          <w:rFonts w:eastAsia="Arial" w:cstheme="minorHAnsi"/>
          <w:noProof/>
          <w:color w:val="2B579A"/>
          <w:sz w:val="24"/>
          <w:szCs w:val="24"/>
          <w:shd w:val="clear" w:color="auto" w:fill="E6E6E6"/>
          <w:lang w:eastAsia="ko-KR"/>
        </w:rPr>
        <mc:AlternateContent>
          <mc:Choice Requires="wps">
            <w:drawing>
              <wp:inline distT="0" distB="0" distL="0" distR="0" wp14:anchorId="247833F4" wp14:editId="1A158256">
                <wp:extent cx="5860588" cy="764771"/>
                <wp:effectExtent l="0" t="0" r="26035" b="16510"/>
                <wp:docPr id="1" name="Rectangle 1"/>
                <wp:cNvGraphicFramePr/>
                <a:graphic xmlns:a="http://schemas.openxmlformats.org/drawingml/2006/main">
                  <a:graphicData uri="http://schemas.microsoft.com/office/word/2010/wordprocessingShape">
                    <wps:wsp>
                      <wps:cNvSpPr/>
                      <wps:spPr>
                        <a:xfrm>
                          <a:off x="0" y="0"/>
                          <a:ext cx="5860588" cy="764771"/>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495E54E7" w14:textId="77777777" w:rsidR="00277D29" w:rsidRPr="006A6B83" w:rsidRDefault="00277D29" w:rsidP="00277D29">
                            <w:pPr>
                              <w:jc w:val="center"/>
                              <w:rPr>
                                <w:rFonts w:eastAsia="Calibri Light" w:cstheme="minorHAnsi"/>
                                <w:sz w:val="24"/>
                                <w:szCs w:val="24"/>
                                <w:lang w:val="en-AU"/>
                              </w:rPr>
                            </w:pPr>
                            <w:r w:rsidRPr="0095117E">
                              <w:rPr>
                                <w:sz w:val="24"/>
                                <w:szCs w:val="24"/>
                              </w:rPr>
                              <w:t>For further information on this submission, please contact :</w:t>
                            </w:r>
                          </w:p>
                          <w:p w14:paraId="72C14C29" w14:textId="61B2A9B5" w:rsidR="00277D29" w:rsidRDefault="00277D29" w:rsidP="00D015B4">
                            <w:pPr>
                              <w:pStyle w:val="ListParagraph"/>
                              <w:spacing w:after="0" w:line="257" w:lineRule="exact"/>
                              <w:ind w:left="360"/>
                              <w:rPr>
                                <w:rFonts w:cstheme="minorHAnsi"/>
                                <w:b/>
                              </w:rPr>
                            </w:pPr>
                            <w:r w:rsidRPr="0095117E">
                              <w:rPr>
                                <w:rFonts w:cstheme="minorHAnsi"/>
                                <w:b/>
                              </w:rPr>
                              <w:t>Sarah Jameson, Programme Officer,</w:t>
                            </w:r>
                            <w:r w:rsidR="002270BA">
                              <w:rPr>
                                <w:rFonts w:cstheme="minorHAnsi"/>
                                <w:b/>
                              </w:rPr>
                              <w:t xml:space="preserve"> The Global Initiative for Economic Social and Cultural Rights</w:t>
                            </w:r>
                            <w:r w:rsidR="00415617">
                              <w:rPr>
                                <w:rFonts w:cstheme="minorHAnsi"/>
                                <w:b/>
                              </w:rPr>
                              <w:t>, sarahk@gi-escr.org</w:t>
                            </w:r>
                          </w:p>
                          <w:p w14:paraId="163CA72C" w14:textId="7E465040" w:rsidR="002270BA" w:rsidRPr="002270BA" w:rsidRDefault="002270BA" w:rsidP="002270BA">
                            <w:pPr>
                              <w:spacing w:after="0" w:line="257" w:lineRule="exact"/>
                              <w:rPr>
                                <w:rFonts w:cstheme="minorHAnsi"/>
                                <w:b/>
                              </w:rPr>
                            </w:pPr>
                          </w:p>
                          <w:p w14:paraId="7C93C849" w14:textId="77777777" w:rsidR="00277D29" w:rsidRDefault="00277D29" w:rsidP="00277D29">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833F4" id="Rectangle 1" o:spid="_x0000_s1026" style="width:461.45pt;height:6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" fillcolor="white [3201]" strokecolor="#4472c4 [3204]" strokeweight="1pt">
                <v:textbox>
                  <w:txbxContent>
                    <w:p w14:paraId="495E54E7" w14:textId="77777777" w:rsidR="00277D29" w:rsidRPr="006A6B83" w:rsidRDefault="00277D29" w:rsidP="00277D29">
                      <w:pPr>
                        <w:jc w:val="center"/>
                        <w:rPr>
                          <w:rFonts w:eastAsia="Calibri Light" w:cstheme="minorHAnsi"/>
                          <w:sz w:val="24"/>
                          <w:szCs w:val="24"/>
                          <w:lang w:val="en-AU"/>
                        </w:rPr>
                      </w:pPr>
                      <w:r w:rsidRPr="0095117E">
                        <w:rPr>
                          <w:sz w:val="24"/>
                          <w:szCs w:val="24"/>
                        </w:rPr>
                        <w:t>For further information on this submission, please contact :</w:t>
                      </w:r>
                    </w:p>
                    <w:p w14:paraId="72C14C29" w14:textId="61B2A9B5" w:rsidR="00277D29" w:rsidRDefault="00277D29" w:rsidP="00D015B4">
                      <w:pPr>
                        <w:pStyle w:val="ListParagraph"/>
                        <w:spacing w:after="0" w:line="257" w:lineRule="exact"/>
                        <w:ind w:left="360"/>
                        <w:rPr>
                          <w:rFonts w:cstheme="minorHAnsi"/>
                          <w:b/>
                        </w:rPr>
                      </w:pPr>
                      <w:r w:rsidRPr="0095117E">
                        <w:rPr>
                          <w:rFonts w:cstheme="minorHAnsi"/>
                          <w:b/>
                        </w:rPr>
                        <w:t>Sarah Jameson, Programme Officer,</w:t>
                      </w:r>
                      <w:r w:rsidR="002270BA">
                        <w:rPr>
                          <w:rFonts w:cstheme="minorHAnsi"/>
                          <w:b/>
                        </w:rPr>
                        <w:t xml:space="preserve"> The Global Initiative for Economic Social and Cultural Rights</w:t>
                      </w:r>
                      <w:r w:rsidR="00415617">
                        <w:rPr>
                          <w:rFonts w:cstheme="minorHAnsi"/>
                          <w:b/>
                        </w:rPr>
                        <w:t>, sarahk@gi-escr.org</w:t>
                      </w:r>
                    </w:p>
                    <w:p w14:paraId="163CA72C" w14:textId="7E465040" w:rsidR="002270BA" w:rsidRPr="002270BA" w:rsidRDefault="002270BA" w:rsidP="002270BA">
                      <w:pPr>
                        <w:spacing w:after="0" w:line="257" w:lineRule="exact"/>
                        <w:rPr>
                          <w:rFonts w:cstheme="minorHAnsi"/>
                          <w:b/>
                        </w:rPr>
                      </w:pPr>
                    </w:p>
                    <w:p w14:paraId="7C93C849" w14:textId="77777777" w:rsidR="00277D29" w:rsidRDefault="00277D29" w:rsidP="00277D29">
                      <w:pPr>
                        <w:spacing w:after="0"/>
                        <w:jc w:val="center"/>
                      </w:pPr>
                    </w:p>
                  </w:txbxContent>
                </v:textbox>
                <w10:anchorlock/>
              </v:rect>
            </w:pict>
          </mc:Fallback>
        </mc:AlternateContent>
      </w:r>
    </w:p>
    <w:sectPr w:rsidR="00277D29" w:rsidRPr="008C2813" w:rsidSect="00B15D4D">
      <w:pgSz w:w="11906" w:h="16838"/>
      <w:pgMar w:top="624"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8F52" w14:textId="77777777" w:rsidR="009C7201" w:rsidRDefault="009C7201" w:rsidP="00631AAB">
      <w:pPr>
        <w:spacing w:after="0" w:line="240" w:lineRule="auto"/>
      </w:pPr>
      <w:r>
        <w:separator/>
      </w:r>
    </w:p>
  </w:endnote>
  <w:endnote w:type="continuationSeparator" w:id="0">
    <w:p w14:paraId="5F56FD7F" w14:textId="77777777" w:rsidR="009C7201" w:rsidRDefault="009C7201" w:rsidP="00631AAB">
      <w:pPr>
        <w:spacing w:after="0" w:line="240" w:lineRule="auto"/>
      </w:pPr>
      <w:r>
        <w:continuationSeparator/>
      </w:r>
    </w:p>
  </w:endnote>
  <w:endnote w:type="continuationNotice" w:id="1">
    <w:p w14:paraId="09901B7E" w14:textId="77777777" w:rsidR="009C7201" w:rsidRDefault="009C7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07C6" w14:textId="77777777" w:rsidR="009C7201" w:rsidRDefault="009C7201" w:rsidP="00631AAB">
      <w:pPr>
        <w:spacing w:after="0" w:line="240" w:lineRule="auto"/>
      </w:pPr>
      <w:r>
        <w:separator/>
      </w:r>
    </w:p>
  </w:footnote>
  <w:footnote w:type="continuationSeparator" w:id="0">
    <w:p w14:paraId="11588072" w14:textId="77777777" w:rsidR="009C7201" w:rsidRDefault="009C7201" w:rsidP="00631AAB">
      <w:pPr>
        <w:spacing w:after="0" w:line="240" w:lineRule="auto"/>
      </w:pPr>
      <w:r>
        <w:continuationSeparator/>
      </w:r>
    </w:p>
  </w:footnote>
  <w:footnote w:type="continuationNotice" w:id="1">
    <w:p w14:paraId="544E7447" w14:textId="77777777" w:rsidR="009C7201" w:rsidRDefault="009C7201">
      <w:pPr>
        <w:spacing w:after="0" w:line="240" w:lineRule="auto"/>
      </w:pPr>
    </w:p>
  </w:footnote>
  <w:footnote w:id="2">
    <w:p w14:paraId="2438AA66" w14:textId="64D63860" w:rsidR="0053409C" w:rsidRPr="0053409C" w:rsidRDefault="0053409C" w:rsidP="002958BC">
      <w:pPr>
        <w:pStyle w:val="Footnotesmall"/>
      </w:pPr>
      <w:r w:rsidRPr="00E97BB0">
        <w:rPr>
          <w:rStyle w:val="FootnoteReference"/>
        </w:rPr>
        <w:footnoteRef/>
      </w:r>
      <w:r w:rsidRPr="00E97BB0">
        <w:rPr>
          <w:vertAlign w:val="superscript"/>
        </w:rPr>
        <w:t xml:space="preserve"> </w:t>
      </w:r>
      <w:r w:rsidRPr="0053409C">
        <w:t xml:space="preserve">The Global Initiative for Economic, Social and Cultural Rights (“GI-ESCR”), “GI-ESCR co-hosts series of roundtables on the new draft General Comment on land and ESC rights” (GI-ESCR, July 2021) &lt; </w:t>
      </w:r>
      <w:hyperlink r:id="rId1" w:history="1">
        <w:r w:rsidRPr="0053409C">
          <w:t>GI-ESCR co-hosts series of roundtables on the new Draft General Comment on Land and ESC Rights — GI-ESCR</w:t>
        </w:r>
      </w:hyperlink>
      <w:r w:rsidRPr="0053409C">
        <w:t>&gt; accessed 11 August 2021.</w:t>
      </w:r>
    </w:p>
  </w:footnote>
  <w:footnote w:id="3">
    <w:p w14:paraId="536E0AA2" w14:textId="1C7A1CA7" w:rsidR="004E3550" w:rsidRPr="0053409C" w:rsidRDefault="004E3550" w:rsidP="002958BC">
      <w:pPr>
        <w:pStyle w:val="Footnotesmall"/>
        <w:rPr>
          <w:rStyle w:val="FootnoteReference"/>
          <w:vertAlign w:val="baseline"/>
        </w:rPr>
      </w:pPr>
      <w:r w:rsidRPr="00E97BB0">
        <w:rPr>
          <w:rStyle w:val="FootnoteReference"/>
        </w:rPr>
        <w:footnoteRef/>
      </w:r>
      <w:r w:rsidRPr="00E97BB0">
        <w:rPr>
          <w:rStyle w:val="FootnoteReference"/>
        </w:rPr>
        <w:t xml:space="preserve"> </w:t>
      </w:r>
      <w:r w:rsidR="00E97BB0">
        <w:rPr>
          <w:rStyle w:val="FootnoteReference"/>
          <w:vertAlign w:val="baseline"/>
        </w:rPr>
        <w:t>Various</w:t>
      </w:r>
      <w:r w:rsidRPr="0053409C">
        <w:rPr>
          <w:rStyle w:val="FootnoteReference"/>
          <w:vertAlign w:val="baseline"/>
        </w:rPr>
        <w:t xml:space="preserve">, “Appeal by Francophone Civil Society Against the Commercialisation of Education” (2016) </w:t>
      </w:r>
      <w:hyperlink r:id="rId2" w:history="1">
        <w:r w:rsidRPr="0053409C">
          <w:rPr>
            <w:rStyle w:val="FootnoteReference"/>
            <w:vertAlign w:val="baseline"/>
          </w:rPr>
          <w:t>http://nevendezpasleducation.org/wp-content/uploads/2017/07/Appeal-eng.-against-commercialisation.pdf</w:t>
        </w:r>
      </w:hyperlink>
      <w:r w:rsidRPr="0053409C">
        <w:rPr>
          <w:rStyle w:val="FootnoteReference"/>
          <w:vertAlign w:val="baseline"/>
        </w:rPr>
        <w:t xml:space="preserve"> accessed 10 April 2021.</w:t>
      </w:r>
    </w:p>
  </w:footnote>
  <w:footnote w:id="4">
    <w:p w14:paraId="171210A2" w14:textId="2FD969F3" w:rsidR="005A6EC1" w:rsidRPr="0053409C" w:rsidRDefault="005A6EC1" w:rsidP="002958BC">
      <w:pPr>
        <w:pStyle w:val="Footnotesmall"/>
        <w:rPr>
          <w:rStyle w:val="FootnoteReference"/>
          <w:vertAlign w:val="baseline"/>
        </w:rPr>
      </w:pPr>
      <w:r w:rsidRPr="00E97BB0">
        <w:rPr>
          <w:rStyle w:val="FootnoteReference"/>
        </w:rPr>
        <w:footnoteRef/>
      </w:r>
      <w:r w:rsidRPr="00E97BB0">
        <w:rPr>
          <w:rStyle w:val="FootnoteReference"/>
        </w:rPr>
        <w:t xml:space="preserve"> </w:t>
      </w:r>
      <w:r w:rsidRPr="0053409C">
        <w:rPr>
          <w:rStyle w:val="FootnoteReference"/>
          <w:vertAlign w:val="baseline"/>
        </w:rPr>
        <w:t xml:space="preserve">See, for example, </w:t>
      </w:r>
      <w:r w:rsidR="006A4325" w:rsidRPr="0053409C">
        <w:rPr>
          <w:rStyle w:val="FootnoteReference"/>
          <w:vertAlign w:val="baseline"/>
        </w:rPr>
        <w:t xml:space="preserve">Chrispin </w:t>
      </w:r>
      <w:r w:rsidR="00782BE5" w:rsidRPr="0053409C">
        <w:rPr>
          <w:rStyle w:val="FootnoteReference"/>
          <w:vertAlign w:val="baseline"/>
        </w:rPr>
        <w:t>R. Matenga and M</w:t>
      </w:r>
      <w:r w:rsidR="00AB5057" w:rsidRPr="0053409C">
        <w:rPr>
          <w:rStyle w:val="FootnoteReference"/>
          <w:vertAlign w:val="baseline"/>
        </w:rPr>
        <w:t>ung</w:t>
      </w:r>
      <w:r w:rsidR="00417335" w:rsidRPr="0053409C">
        <w:rPr>
          <w:rStyle w:val="FootnoteReference"/>
          <w:vertAlign w:val="baseline"/>
        </w:rPr>
        <w:t>uzwe Hichaa</w:t>
      </w:r>
      <w:r w:rsidR="002976F7" w:rsidRPr="0053409C">
        <w:rPr>
          <w:rStyle w:val="FootnoteReference"/>
          <w:vertAlign w:val="baseline"/>
        </w:rPr>
        <w:t xml:space="preserve">mbwa, ‘Impacts of land and agricultural </w:t>
      </w:r>
      <w:r w:rsidR="00710BDE" w:rsidRPr="0053409C">
        <w:rPr>
          <w:rStyle w:val="FootnoteReference"/>
          <w:vertAlign w:val="baseline"/>
        </w:rPr>
        <w:t>c</w:t>
      </w:r>
      <w:r w:rsidR="002976F7" w:rsidRPr="0053409C">
        <w:rPr>
          <w:rStyle w:val="FootnoteReference"/>
          <w:vertAlign w:val="baseline"/>
        </w:rPr>
        <w:t>ommercialisation on loc</w:t>
      </w:r>
      <w:r w:rsidR="00710BDE" w:rsidRPr="0053409C">
        <w:rPr>
          <w:rStyle w:val="FootnoteReference"/>
          <w:vertAlign w:val="baseline"/>
        </w:rPr>
        <w:t xml:space="preserve">al livelihoods </w:t>
      </w:r>
      <w:r w:rsidR="00C33561" w:rsidRPr="0053409C">
        <w:rPr>
          <w:rStyle w:val="FootnoteReference"/>
          <w:vertAlign w:val="baseline"/>
        </w:rPr>
        <w:t xml:space="preserve">in Zambia: evidence from three models’ </w:t>
      </w:r>
      <w:r w:rsidR="005D083C" w:rsidRPr="0053409C">
        <w:rPr>
          <w:rStyle w:val="FootnoteReference"/>
          <w:vertAlign w:val="baseline"/>
        </w:rPr>
        <w:t>(2017) 44 J Peasant Stud</w:t>
      </w:r>
      <w:r w:rsidR="00A45A91" w:rsidRPr="0053409C">
        <w:rPr>
          <w:rStyle w:val="FootnoteReference"/>
          <w:vertAlign w:val="baseline"/>
        </w:rPr>
        <w:t xml:space="preserve"> 574.</w:t>
      </w:r>
    </w:p>
  </w:footnote>
  <w:footnote w:id="5">
    <w:p w14:paraId="3F9AD546" w14:textId="7CBC3FFB" w:rsidR="004E3550" w:rsidRPr="0053409C" w:rsidRDefault="004E3550" w:rsidP="002958BC">
      <w:pPr>
        <w:pStyle w:val="Footnotesmall"/>
        <w:rPr>
          <w:rStyle w:val="FootnoteReference"/>
          <w:vertAlign w:val="baseline"/>
        </w:rPr>
      </w:pPr>
      <w:r w:rsidRPr="00624888">
        <w:rPr>
          <w:rStyle w:val="FootnoteReference"/>
        </w:rPr>
        <w:footnoteRef/>
      </w:r>
      <w:r w:rsidRPr="00624888">
        <w:rPr>
          <w:rStyle w:val="FootnoteReference"/>
        </w:rPr>
        <w:t xml:space="preserve"> </w:t>
      </w:r>
      <w:r w:rsidRPr="0053409C">
        <w:rPr>
          <w:rStyle w:val="FootnoteReference"/>
          <w:vertAlign w:val="baseline"/>
        </w:rPr>
        <w:t>Manuel Couret Branco, “The Case Against the Commodification of Social Protection” (</w:t>
      </w:r>
      <w:r w:rsidR="00402E51">
        <w:rPr>
          <w:rStyle w:val="FootnoteReference"/>
          <w:vertAlign w:val="baseline"/>
        </w:rPr>
        <w:t xml:space="preserve">U.N. </w:t>
      </w:r>
      <w:r w:rsidRPr="0053409C">
        <w:rPr>
          <w:rStyle w:val="FootnoteReference"/>
          <w:vertAlign w:val="baseline"/>
        </w:rPr>
        <w:t xml:space="preserve">Research Institute for Social Development, 2014) </w:t>
      </w:r>
      <w:hyperlink r:id="rId3" w:history="1">
        <w:r w:rsidRPr="0053409C">
          <w:rPr>
            <w:rStyle w:val="FootnoteReference"/>
            <w:vertAlign w:val="baseline"/>
          </w:rPr>
          <w:t>https://www.unrisd.org/80256B3C005BE6B5/search/6A8E91A3625AA61AC1257D4F003869B2</w:t>
        </w:r>
      </w:hyperlink>
      <w:r w:rsidRPr="0053409C">
        <w:rPr>
          <w:rStyle w:val="FootnoteReference"/>
          <w:vertAlign w:val="baseline"/>
        </w:rPr>
        <w:t xml:space="preserve"> accessed 7 April 2021.</w:t>
      </w:r>
    </w:p>
  </w:footnote>
  <w:footnote w:id="6">
    <w:p w14:paraId="31F4B1E7" w14:textId="77777777" w:rsidR="004E3550" w:rsidRPr="0053409C" w:rsidRDefault="004E3550" w:rsidP="002958BC">
      <w:pPr>
        <w:pStyle w:val="Footnotesmall"/>
        <w:rPr>
          <w:rStyle w:val="FootnoteReference"/>
          <w:vertAlign w:val="baseline"/>
        </w:rPr>
      </w:pPr>
      <w:r w:rsidRPr="009E7428">
        <w:rPr>
          <w:rStyle w:val="FootnoteReference"/>
        </w:rPr>
        <w:footnoteRef/>
      </w:r>
      <w:r w:rsidRPr="009E7428">
        <w:rPr>
          <w:rStyle w:val="FootnoteReference"/>
        </w:rPr>
        <w:t xml:space="preserve"> </w:t>
      </w:r>
      <w:r w:rsidRPr="0053409C">
        <w:rPr>
          <w:rStyle w:val="FootnoteReference"/>
          <w:vertAlign w:val="baseline"/>
        </w:rPr>
        <w:t>Clare Bambra, ‘Cash Versus Services: “Words of Welfare” and the Decommodification of Cash Benefits and Health Care Services” (2005) 2 J. Soc. Policy 195.</w:t>
      </w:r>
    </w:p>
  </w:footnote>
  <w:footnote w:id="7">
    <w:p w14:paraId="6AC47522" w14:textId="1BB889F8" w:rsidR="00DE7C4E" w:rsidRPr="0053409C" w:rsidRDefault="00DE7C4E" w:rsidP="002958BC">
      <w:pPr>
        <w:pStyle w:val="Footnotesmall"/>
        <w:rPr>
          <w:rStyle w:val="FootnoteReference"/>
          <w:vertAlign w:val="baseline"/>
        </w:rPr>
      </w:pPr>
      <w:r w:rsidRPr="009E7428">
        <w:rPr>
          <w:rStyle w:val="FootnoteReference"/>
        </w:rPr>
        <w:footnoteRef/>
      </w:r>
      <w:r w:rsidRPr="0053409C">
        <w:rPr>
          <w:rStyle w:val="FootnoteReference"/>
          <w:vertAlign w:val="baseline"/>
        </w:rPr>
        <w:t xml:space="preserve"> </w:t>
      </w:r>
      <w:r w:rsidR="00083F5C" w:rsidRPr="0053409C">
        <w:rPr>
          <w:rStyle w:val="FootnoteReference"/>
          <w:vertAlign w:val="baseline"/>
        </w:rPr>
        <w:t>U</w:t>
      </w:r>
      <w:r w:rsidR="00402E51">
        <w:rPr>
          <w:rStyle w:val="FootnoteReference"/>
          <w:vertAlign w:val="baseline"/>
        </w:rPr>
        <w:t>.N.</w:t>
      </w:r>
      <w:r w:rsidR="00083F5C" w:rsidRPr="0053409C">
        <w:rPr>
          <w:rStyle w:val="FootnoteReference"/>
          <w:vertAlign w:val="baseline"/>
        </w:rPr>
        <w:t xml:space="preserve"> Human Rights Commission (</w:t>
      </w:r>
      <w:r w:rsidR="00116C8B" w:rsidRPr="0053409C">
        <w:rPr>
          <w:rStyle w:val="FootnoteReference"/>
          <w:vertAlign w:val="baseline"/>
        </w:rPr>
        <w:t>“HRC”)</w:t>
      </w:r>
      <w:r w:rsidRPr="0053409C">
        <w:rPr>
          <w:rStyle w:val="FootnoteReference"/>
          <w:vertAlign w:val="baseline"/>
        </w:rPr>
        <w:t xml:space="preserve"> ‘Report of the Special Rapporteur on adequate housing as a component of the right to an adequate standard of living, and on the right to non-discrimination in this context Leilani Farha’ (18 January 2017) UN Doc A/HRC/34/51.</w:t>
      </w:r>
    </w:p>
  </w:footnote>
  <w:footnote w:id="8">
    <w:p w14:paraId="222C7AA4" w14:textId="1D6633D7" w:rsidR="00955BBF" w:rsidRPr="0053409C" w:rsidRDefault="00955BBF" w:rsidP="002958BC">
      <w:pPr>
        <w:pStyle w:val="Footnotesmall"/>
        <w:rPr>
          <w:rStyle w:val="FootnoteReference"/>
          <w:vertAlign w:val="baseline"/>
        </w:rPr>
      </w:pPr>
      <w:r w:rsidRPr="009E7428">
        <w:rPr>
          <w:rStyle w:val="FootnoteReference"/>
        </w:rPr>
        <w:footnoteRef/>
      </w:r>
      <w:r w:rsidRPr="009E7428">
        <w:rPr>
          <w:rStyle w:val="FootnoteReference"/>
        </w:rPr>
        <w:t xml:space="preserve"> </w:t>
      </w:r>
      <w:r w:rsidR="00F3238D" w:rsidRPr="0053409C">
        <w:rPr>
          <w:rStyle w:val="FootnoteReference"/>
          <w:vertAlign w:val="baseline"/>
        </w:rPr>
        <w:t>Shawn T</w:t>
      </w:r>
      <w:r w:rsidR="00F1137E" w:rsidRPr="0053409C">
        <w:rPr>
          <w:rStyle w:val="FootnoteReference"/>
          <w:vertAlign w:val="baseline"/>
        </w:rPr>
        <w:t>ully, “How Blackstone became the world’s biggest corporate landlord” (</w:t>
      </w:r>
      <w:r w:rsidR="001D2BAE" w:rsidRPr="0053409C">
        <w:rPr>
          <w:rStyle w:val="FootnoteReference"/>
          <w:vertAlign w:val="baseline"/>
        </w:rPr>
        <w:t>Fortune, February 2020) &lt;</w:t>
      </w:r>
      <w:hyperlink r:id="rId4" w:history="1">
        <w:r w:rsidR="001D2BAE" w:rsidRPr="0053409C">
          <w:rPr>
            <w:rStyle w:val="FootnoteReference"/>
            <w:vertAlign w:val="baseline"/>
          </w:rPr>
          <w:t>How Blackstone became the world's biggest corporate landlord | Fortune</w:t>
        </w:r>
      </w:hyperlink>
      <w:r w:rsidR="001D2BAE" w:rsidRPr="0053409C">
        <w:rPr>
          <w:rStyle w:val="FootnoteReference"/>
          <w:vertAlign w:val="baseline"/>
        </w:rPr>
        <w:t xml:space="preserve">&gt; accessed 2 August </w:t>
      </w:r>
      <w:r w:rsidR="00027BCC" w:rsidRPr="0053409C">
        <w:rPr>
          <w:rStyle w:val="FootnoteReference"/>
          <w:vertAlign w:val="baseline"/>
        </w:rPr>
        <w:t xml:space="preserve"> </w:t>
      </w:r>
      <w:r w:rsidR="001D2BAE" w:rsidRPr="0053409C">
        <w:rPr>
          <w:rStyle w:val="FootnoteReference"/>
          <w:vertAlign w:val="baseline"/>
        </w:rPr>
        <w:t>2021.</w:t>
      </w:r>
    </w:p>
  </w:footnote>
  <w:footnote w:id="9">
    <w:p w14:paraId="06E51B7A" w14:textId="30967E50" w:rsidR="00037F13" w:rsidRPr="0053409C" w:rsidRDefault="00037F13" w:rsidP="002958BC">
      <w:pPr>
        <w:pStyle w:val="Footnotesmall"/>
        <w:rPr>
          <w:rStyle w:val="FootnoteReference"/>
          <w:vertAlign w:val="baseline"/>
        </w:rPr>
      </w:pPr>
      <w:r w:rsidRPr="00407EED">
        <w:rPr>
          <w:rStyle w:val="FootnoteReference"/>
        </w:rPr>
        <w:footnoteRef/>
      </w:r>
      <w:r w:rsidRPr="00407EED">
        <w:rPr>
          <w:rStyle w:val="FootnoteReference"/>
        </w:rPr>
        <w:t xml:space="preserve"> </w:t>
      </w:r>
      <w:r w:rsidR="001B52AA" w:rsidRPr="0053409C">
        <w:rPr>
          <w:rStyle w:val="FootnoteReference"/>
          <w:vertAlign w:val="baseline"/>
        </w:rPr>
        <w:t xml:space="preserve">Mathias </w:t>
      </w:r>
      <w:r w:rsidR="00B64B3E" w:rsidRPr="0053409C">
        <w:rPr>
          <w:rStyle w:val="FootnoteReference"/>
          <w:vertAlign w:val="baseline"/>
        </w:rPr>
        <w:t>Pfeifer, Philip Seufert, Astrud Lea Beringer and Roman Herre, “</w:t>
      </w:r>
      <w:r w:rsidR="00031A69" w:rsidRPr="0053409C">
        <w:rPr>
          <w:rStyle w:val="FootnoteReference"/>
          <w:vertAlign w:val="baseline"/>
        </w:rPr>
        <w:t xml:space="preserve">Disruption or Déjà Vu? Digitalization, Land and Human Rights. Case </w:t>
      </w:r>
      <w:r w:rsidR="00396F15" w:rsidRPr="0053409C">
        <w:rPr>
          <w:rStyle w:val="FootnoteReference"/>
          <w:vertAlign w:val="baseline"/>
        </w:rPr>
        <w:t>Studies from Brazil, Indonesia, Georgina, India and Rwada” (FIAN International, 2020) &lt;</w:t>
      </w:r>
      <w:r w:rsidR="006D4D94" w:rsidRPr="0053409C">
        <w:rPr>
          <w:rStyle w:val="FootnoteReference"/>
          <w:vertAlign w:val="baseline"/>
        </w:rPr>
        <w:t xml:space="preserve"> </w:t>
      </w:r>
      <w:hyperlink r:id="rId5" w:history="1">
        <w:r w:rsidR="006D4D94" w:rsidRPr="0053409C">
          <w:rPr>
            <w:rStyle w:val="FootnoteReference"/>
            <w:vertAlign w:val="baseline"/>
          </w:rPr>
          <w:t>FIAN_Research_Paper_Digitalization_and_Land_Governance_final.pdf</w:t>
        </w:r>
      </w:hyperlink>
      <w:r w:rsidR="006D4D94" w:rsidRPr="0053409C">
        <w:rPr>
          <w:rStyle w:val="FootnoteReference"/>
          <w:vertAlign w:val="baseline"/>
        </w:rPr>
        <w:t xml:space="preserve">&gt; accessed 2 August 2021. </w:t>
      </w:r>
    </w:p>
  </w:footnote>
  <w:footnote w:id="10">
    <w:p w14:paraId="270A4A7F" w14:textId="4A8CC6E5" w:rsidR="00740526" w:rsidRPr="0053409C" w:rsidRDefault="00740526" w:rsidP="002958BC">
      <w:pPr>
        <w:pStyle w:val="Footnotesmall"/>
      </w:pPr>
      <w:r w:rsidRPr="00407EED">
        <w:rPr>
          <w:rStyle w:val="FootnoteReference"/>
        </w:rPr>
        <w:footnoteRef/>
      </w:r>
      <w:r w:rsidRPr="00407EED">
        <w:rPr>
          <w:vertAlign w:val="superscript"/>
        </w:rPr>
        <w:t xml:space="preserve"> </w:t>
      </w:r>
      <w:r w:rsidRPr="0053409C">
        <w:t xml:space="preserve">Ibid. </w:t>
      </w:r>
    </w:p>
  </w:footnote>
  <w:footnote w:id="11">
    <w:p w14:paraId="16E43537" w14:textId="43233A86" w:rsidR="002D2FBB" w:rsidRPr="0053409C" w:rsidRDefault="002D2FBB" w:rsidP="002958BC">
      <w:pPr>
        <w:pStyle w:val="Footnotesmall"/>
        <w:rPr>
          <w:rStyle w:val="FootnoteReference"/>
          <w:vertAlign w:val="baseline"/>
        </w:rPr>
      </w:pPr>
      <w:r w:rsidRPr="00407EED">
        <w:rPr>
          <w:rStyle w:val="FootnoteReference"/>
        </w:rPr>
        <w:footnoteRef/>
      </w:r>
      <w:r w:rsidRPr="00407EED">
        <w:rPr>
          <w:rStyle w:val="FootnoteReference"/>
        </w:rPr>
        <w:t xml:space="preserve"> </w:t>
      </w:r>
      <w:r w:rsidR="00116C8B" w:rsidRPr="0053409C">
        <w:rPr>
          <w:rStyle w:val="FootnoteReference"/>
          <w:vertAlign w:val="baseline"/>
        </w:rPr>
        <w:t>H</w:t>
      </w:r>
      <w:r w:rsidRPr="0053409C">
        <w:rPr>
          <w:rStyle w:val="FootnoteReference"/>
          <w:vertAlign w:val="baseline"/>
        </w:rPr>
        <w:t>RC</w:t>
      </w:r>
      <w:r w:rsidR="008D6AA7">
        <w:rPr>
          <w:rStyle w:val="FootnoteReference"/>
          <w:vertAlign w:val="baseline"/>
        </w:rPr>
        <w:t xml:space="preserve">, above n 6. </w:t>
      </w:r>
    </w:p>
  </w:footnote>
  <w:footnote w:id="12">
    <w:p w14:paraId="74E3E35B" w14:textId="310BEF31" w:rsidR="00601191" w:rsidRPr="0053409C" w:rsidRDefault="00601191" w:rsidP="002958BC">
      <w:pPr>
        <w:pStyle w:val="Footnotesmall"/>
        <w:rPr>
          <w:rStyle w:val="FootnoteReference"/>
          <w:vertAlign w:val="baseline"/>
        </w:rPr>
      </w:pPr>
      <w:r w:rsidRPr="00407EED">
        <w:rPr>
          <w:rStyle w:val="FootnoteReference"/>
        </w:rPr>
        <w:footnoteRef/>
      </w:r>
      <w:r w:rsidRPr="00407EED">
        <w:rPr>
          <w:rStyle w:val="FootnoteReference"/>
        </w:rPr>
        <w:t xml:space="preserve"> </w:t>
      </w:r>
      <w:r w:rsidR="00852558" w:rsidRPr="0053409C">
        <w:rPr>
          <w:rStyle w:val="FootnoteReference"/>
          <w:vertAlign w:val="baseline"/>
        </w:rPr>
        <w:t>Guiding Principles on the human rights obligations of States to provide public education and to regulate private involvement in education (13 February 2019)&lt;</w:t>
      </w:r>
      <w:hyperlink r:id="rId6" w:history="1">
        <w:r w:rsidR="00852558" w:rsidRPr="0053409C">
          <w:rPr>
            <w:rStyle w:val="FootnoteReference"/>
            <w:vertAlign w:val="baseline"/>
          </w:rPr>
          <w:t>https://static1.squarespace.com/static/5c2d081daf2096648cc801da/t/5dc414bb9f409d285dc9abf2/1573131454068/Online+version_A4_WEB_COUV%2BTEXTE_THE-ABIDJAN-PRINCIPLES_Nov_2019.pdf</w:t>
        </w:r>
      </w:hyperlink>
      <w:r w:rsidR="00852558" w:rsidRPr="0053409C">
        <w:rPr>
          <w:rStyle w:val="FootnoteReference"/>
          <w:vertAlign w:val="baseline"/>
        </w:rPr>
        <w:t xml:space="preserve">&gt; accessed 2 August 2021.  </w:t>
      </w:r>
    </w:p>
  </w:footnote>
  <w:footnote w:id="13">
    <w:p w14:paraId="1CAB9F6C" w14:textId="037E6F3B" w:rsidR="00C229ED" w:rsidRPr="0053409C" w:rsidRDefault="00C229ED" w:rsidP="002958BC">
      <w:pPr>
        <w:pStyle w:val="Footnotesmall"/>
        <w:rPr>
          <w:rStyle w:val="FootnoteReference"/>
          <w:vertAlign w:val="baseline"/>
        </w:rPr>
      </w:pPr>
      <w:r w:rsidRPr="0037557B">
        <w:rPr>
          <w:rStyle w:val="FootnoteReference"/>
        </w:rPr>
        <w:footnoteRef/>
      </w:r>
      <w:r w:rsidR="0084361A" w:rsidRPr="0053409C">
        <w:rPr>
          <w:rStyle w:val="FootnoteReference"/>
          <w:vertAlign w:val="baseline"/>
        </w:rPr>
        <w:t xml:space="preserve"> </w:t>
      </w:r>
      <w:r w:rsidR="004A0F52" w:rsidRPr="0053409C">
        <w:rPr>
          <w:rStyle w:val="FootnoteReference"/>
          <w:vertAlign w:val="baseline"/>
        </w:rPr>
        <w:t xml:space="preserve">Scheduled Tribes and Other Traditional Forest Dwellers (Recognition of Forest Rights) Act 2006 (India), ch II, s 3. </w:t>
      </w:r>
      <w:r w:rsidRPr="0053409C">
        <w:rPr>
          <w:rStyle w:val="FootnoteReference"/>
          <w:vertAlign w:val="baseline"/>
        </w:rPr>
        <w:t xml:space="preserve"> </w:t>
      </w:r>
    </w:p>
  </w:footnote>
  <w:footnote w:id="14">
    <w:p w14:paraId="0A5B5920" w14:textId="4BE3E950" w:rsidR="0050535F" w:rsidRPr="0053409C" w:rsidRDefault="0050535F" w:rsidP="002958BC">
      <w:pPr>
        <w:pStyle w:val="Footnotesmall"/>
        <w:rPr>
          <w:rStyle w:val="FootnoteReference"/>
          <w:vertAlign w:val="baseline"/>
        </w:rPr>
      </w:pPr>
      <w:r w:rsidRPr="00B92262">
        <w:rPr>
          <w:rStyle w:val="FootnoteReference"/>
        </w:rPr>
        <w:footnoteRef/>
      </w:r>
      <w:r w:rsidRPr="00B92262">
        <w:rPr>
          <w:rStyle w:val="FootnoteReference"/>
        </w:rPr>
        <w:t xml:space="preserve"> </w:t>
      </w:r>
      <w:r w:rsidR="007A4F1B" w:rsidRPr="0053409C">
        <w:rPr>
          <w:rStyle w:val="FootnoteReference"/>
          <w:vertAlign w:val="baseline"/>
        </w:rPr>
        <w:t xml:space="preserve">Lorenzo Cotula, </w:t>
      </w:r>
      <w:r w:rsidR="00B10C78" w:rsidRPr="0053409C">
        <w:rPr>
          <w:rStyle w:val="FootnoteReference"/>
          <w:vertAlign w:val="baseline"/>
        </w:rPr>
        <w:t>“Towards a more holistic approach to land governance” (Food and Agriculture Organization of the United Nations, 2021), 15 &lt;</w:t>
      </w:r>
      <w:hyperlink r:id="rId7" w:history="1">
        <w:r w:rsidR="00B10C78" w:rsidRPr="0053409C">
          <w:rPr>
            <w:rStyle w:val="FootnoteReference"/>
            <w:vertAlign w:val="baseline"/>
          </w:rPr>
          <w:t>Tenure rights and obligations (fao.org)</w:t>
        </w:r>
      </w:hyperlink>
      <w:r w:rsidR="00B10C78" w:rsidRPr="0053409C">
        <w:rPr>
          <w:rStyle w:val="FootnoteReference"/>
          <w:vertAlign w:val="baseline"/>
        </w:rPr>
        <w:t>&gt; accessed 6 August 2021.</w:t>
      </w:r>
    </w:p>
  </w:footnote>
  <w:footnote w:id="15">
    <w:p w14:paraId="0E652076" w14:textId="30506E27" w:rsidR="008317DB" w:rsidRPr="0053409C" w:rsidRDefault="008317DB" w:rsidP="002958BC">
      <w:pPr>
        <w:pStyle w:val="Footnotesmall"/>
        <w:rPr>
          <w:rStyle w:val="FootnoteReference"/>
          <w:vertAlign w:val="baseline"/>
        </w:rPr>
      </w:pPr>
      <w:r w:rsidRPr="00B92262">
        <w:rPr>
          <w:rStyle w:val="FootnoteReference"/>
        </w:rPr>
        <w:footnoteRef/>
      </w:r>
      <w:r w:rsidRPr="00B92262">
        <w:rPr>
          <w:rStyle w:val="FootnoteReference"/>
        </w:rPr>
        <w:t xml:space="preserve"> </w:t>
      </w:r>
      <w:r w:rsidRPr="0053409C">
        <w:rPr>
          <w:rStyle w:val="FootnoteReference"/>
          <w:vertAlign w:val="baseline"/>
        </w:rPr>
        <w:t>Constitu</w:t>
      </w:r>
      <w:r w:rsidR="00B0071E" w:rsidRPr="0053409C">
        <w:rPr>
          <w:rStyle w:val="FootnoteReference"/>
          <w:vertAlign w:val="baseline"/>
        </w:rPr>
        <w:t>ição da República Federativa do Brasil 1988 (Brazil).</w:t>
      </w:r>
    </w:p>
  </w:footnote>
  <w:footnote w:id="16">
    <w:p w14:paraId="2137D07B" w14:textId="3576B9BE" w:rsidR="008960B3" w:rsidRPr="0053409C" w:rsidRDefault="008960B3" w:rsidP="002958BC">
      <w:pPr>
        <w:pStyle w:val="Footnotesmall"/>
        <w:rPr>
          <w:rStyle w:val="FootnoteReference"/>
          <w:vertAlign w:val="baseline"/>
        </w:rPr>
      </w:pPr>
      <w:r w:rsidRPr="00B92262">
        <w:rPr>
          <w:rStyle w:val="FootnoteReference"/>
        </w:rPr>
        <w:footnoteRef/>
      </w:r>
      <w:r w:rsidRPr="00B92262">
        <w:rPr>
          <w:rStyle w:val="FootnoteReference"/>
        </w:rPr>
        <w:t xml:space="preserve"> </w:t>
      </w:r>
      <w:r w:rsidR="009C5846" w:rsidRPr="0053409C">
        <w:rPr>
          <w:rStyle w:val="FootnoteReference"/>
          <w:vertAlign w:val="baseline"/>
        </w:rPr>
        <w:t>The Constitution of the Italian Republic 1948 (Italy), art 42.</w:t>
      </w:r>
    </w:p>
  </w:footnote>
  <w:footnote w:id="17">
    <w:p w14:paraId="31FB0547" w14:textId="3C0AF5EE" w:rsidR="00AB46BB" w:rsidRPr="002958BC" w:rsidRDefault="00AB46BB" w:rsidP="002958BC">
      <w:pPr>
        <w:pStyle w:val="Footnotesmall"/>
        <w:rPr>
          <w:rStyle w:val="FootnoteReference"/>
          <w:vertAlign w:val="baseline"/>
          <w:lang w:val="fr-FR"/>
        </w:rPr>
      </w:pPr>
      <w:r w:rsidRPr="00B92262">
        <w:rPr>
          <w:rStyle w:val="FootnoteReference"/>
        </w:rPr>
        <w:footnoteRef/>
      </w:r>
      <w:r w:rsidRPr="002958BC">
        <w:rPr>
          <w:rStyle w:val="FootnoteReference"/>
          <w:vertAlign w:val="baseline"/>
          <w:lang w:val="fr-FR"/>
        </w:rPr>
        <w:t xml:space="preserve"> </w:t>
      </w:r>
      <w:r w:rsidR="00354950" w:rsidRPr="002958BC">
        <w:rPr>
          <w:lang w:val="fr-FR"/>
        </w:rPr>
        <w:t xml:space="preserve">Corte Constitucional de Colombia, </w:t>
      </w:r>
      <w:r w:rsidR="00990913" w:rsidRPr="002958BC">
        <w:rPr>
          <w:lang w:val="fr-FR"/>
        </w:rPr>
        <w:t>Sentencia</w:t>
      </w:r>
      <w:r w:rsidR="00FF1C1B" w:rsidRPr="002958BC">
        <w:rPr>
          <w:lang w:val="fr-FR"/>
        </w:rPr>
        <w:t xml:space="preserve"> C-035/2016</w:t>
      </w:r>
      <w:r w:rsidR="00651CE0" w:rsidRPr="002958BC">
        <w:rPr>
          <w:lang w:val="fr-FR"/>
        </w:rPr>
        <w:t xml:space="preserve"> </w:t>
      </w:r>
      <w:r w:rsidR="00880D9D" w:rsidRPr="002958BC">
        <w:rPr>
          <w:lang w:val="fr-FR"/>
        </w:rPr>
        <w:t xml:space="preserve">(2016). </w:t>
      </w:r>
    </w:p>
  </w:footnote>
  <w:footnote w:id="18">
    <w:p w14:paraId="5CF4429E" w14:textId="61BFCA3E" w:rsidR="00904924" w:rsidRPr="0053409C" w:rsidRDefault="00904924" w:rsidP="002958BC">
      <w:pPr>
        <w:pStyle w:val="Footnotesmall"/>
        <w:rPr>
          <w:rStyle w:val="FootnoteReference"/>
          <w:vertAlign w:val="baseline"/>
        </w:rPr>
      </w:pPr>
      <w:r w:rsidRPr="004B223D">
        <w:rPr>
          <w:rStyle w:val="FootnoteReference"/>
        </w:rPr>
        <w:footnoteRef/>
      </w:r>
      <w:r w:rsidRPr="004B223D">
        <w:rPr>
          <w:rStyle w:val="FootnoteReference"/>
        </w:rPr>
        <w:t xml:space="preserve"> </w:t>
      </w:r>
      <w:r w:rsidR="00AA0F31" w:rsidRPr="0053409C">
        <w:rPr>
          <w:rStyle w:val="FootnoteReference"/>
          <w:vertAlign w:val="baseline"/>
        </w:rPr>
        <w:t>HRC ‘Report of the Special Rapporteur on adequate housing as a component of the right to an adequate standard of living, and on the right to non-discrimination in this context</w:t>
      </w:r>
      <w:r w:rsidR="00662878" w:rsidRPr="0053409C">
        <w:rPr>
          <w:rStyle w:val="FootnoteReference"/>
          <w:vertAlign w:val="baseline"/>
        </w:rPr>
        <w:t>, Raquel Rolnik’ (30 December 2013) UN Doc A/HRC</w:t>
      </w:r>
      <w:r w:rsidR="00E07501" w:rsidRPr="0053409C">
        <w:rPr>
          <w:rStyle w:val="FootnoteReference"/>
          <w:vertAlign w:val="baseline"/>
        </w:rPr>
        <w:t>/25/54</w:t>
      </w:r>
      <w:r w:rsidR="00077E98" w:rsidRPr="0053409C">
        <w:rPr>
          <w:rStyle w:val="FootnoteReference"/>
          <w:vertAlign w:val="baseline"/>
        </w:rPr>
        <w:t>, para 4.</w:t>
      </w:r>
      <w:r w:rsidR="00E07501" w:rsidRPr="0053409C">
        <w:rPr>
          <w:rStyle w:val="FootnoteReference"/>
          <w:vertAlign w:val="baseline"/>
        </w:rPr>
        <w:t xml:space="preserve"> </w:t>
      </w:r>
    </w:p>
  </w:footnote>
  <w:footnote w:id="19">
    <w:p w14:paraId="3AC5F808" w14:textId="0587A1A1" w:rsidR="00E07501" w:rsidRPr="0053409C" w:rsidRDefault="00E07501" w:rsidP="002958BC">
      <w:pPr>
        <w:pStyle w:val="Footnotesmall"/>
        <w:rPr>
          <w:rStyle w:val="FootnoteReference"/>
          <w:vertAlign w:val="baseline"/>
        </w:rPr>
      </w:pPr>
      <w:r w:rsidRPr="004B223D">
        <w:rPr>
          <w:rStyle w:val="FootnoteReference"/>
        </w:rPr>
        <w:footnoteRef/>
      </w:r>
      <w:r w:rsidRPr="0053409C">
        <w:rPr>
          <w:rStyle w:val="FootnoteReference"/>
          <w:vertAlign w:val="baseline"/>
        </w:rPr>
        <w:t xml:space="preserve"> </w:t>
      </w:r>
      <w:r w:rsidR="00077E98" w:rsidRPr="0053409C">
        <w:rPr>
          <w:rStyle w:val="FootnoteReference"/>
          <w:vertAlign w:val="baseline"/>
        </w:rPr>
        <w:t xml:space="preserve">ibid, </w:t>
      </w:r>
      <w:r w:rsidR="00797CC6" w:rsidRPr="0053409C">
        <w:rPr>
          <w:rStyle w:val="FootnoteReference"/>
          <w:vertAlign w:val="baseline"/>
        </w:rPr>
        <w:t xml:space="preserve">para </w:t>
      </w:r>
      <w:r w:rsidR="00077E98" w:rsidRPr="0053409C">
        <w:rPr>
          <w:rStyle w:val="FootnoteReference"/>
          <w:vertAlign w:val="baseline"/>
        </w:rPr>
        <w:t>42</w:t>
      </w:r>
      <w:r w:rsidRPr="0053409C">
        <w:rPr>
          <w:rStyle w:val="FootnoteReference"/>
          <w:vertAlign w:val="baseline"/>
        </w:rPr>
        <w:t xml:space="preserve">.  </w:t>
      </w:r>
    </w:p>
  </w:footnote>
  <w:footnote w:id="20">
    <w:p w14:paraId="0C4F070E" w14:textId="16784322" w:rsidR="008C6307" w:rsidRPr="009E7A86" w:rsidRDefault="008C6307" w:rsidP="002958BC">
      <w:pPr>
        <w:pStyle w:val="Footnotesmall"/>
        <w:rPr>
          <w:rStyle w:val="FootnoteReference"/>
          <w:vertAlign w:val="baseline"/>
          <w:lang w:val="fr-FR"/>
        </w:rPr>
      </w:pPr>
      <w:r w:rsidRPr="004B223D">
        <w:rPr>
          <w:rStyle w:val="FootnoteReference"/>
        </w:rPr>
        <w:footnoteRef/>
      </w:r>
      <w:r w:rsidRPr="009E7A86">
        <w:rPr>
          <w:rStyle w:val="FootnoteReference"/>
          <w:vertAlign w:val="baseline"/>
          <w:lang w:val="fr-FR"/>
        </w:rPr>
        <w:t xml:space="preserve"> HRC ‘Report of the Special Rapporteur on adequate housing as a component of the right to an adequate standard of living, and on the right to non-discrimination in this context, Miloon Kothari</w:t>
      </w:r>
      <w:r w:rsidR="00752450" w:rsidRPr="009E7A86">
        <w:rPr>
          <w:rStyle w:val="FootnoteReference"/>
          <w:vertAlign w:val="baseline"/>
          <w:lang w:val="fr-FR"/>
        </w:rPr>
        <w:t>’</w:t>
      </w:r>
      <w:r w:rsidRPr="009E7A86">
        <w:rPr>
          <w:rStyle w:val="FootnoteReference"/>
          <w:vertAlign w:val="baseline"/>
          <w:lang w:val="fr-FR"/>
        </w:rPr>
        <w:t xml:space="preserve"> (</w:t>
      </w:r>
      <w:r w:rsidR="007966F2" w:rsidRPr="009E7A86">
        <w:rPr>
          <w:rStyle w:val="FootnoteReference"/>
          <w:vertAlign w:val="baseline"/>
          <w:lang w:val="fr-FR"/>
        </w:rPr>
        <w:t>5 February 2007) UN Doc A/HRC/</w:t>
      </w:r>
      <w:r w:rsidR="00900363" w:rsidRPr="009E7A86">
        <w:rPr>
          <w:rStyle w:val="FootnoteReference"/>
          <w:vertAlign w:val="baseline"/>
          <w:lang w:val="fr-FR"/>
        </w:rPr>
        <w:t>4/18</w:t>
      </w:r>
      <w:r w:rsidR="00797CC6" w:rsidRPr="009E7A86">
        <w:rPr>
          <w:rStyle w:val="FootnoteReference"/>
          <w:vertAlign w:val="baseline"/>
          <w:lang w:val="fr-FR"/>
        </w:rPr>
        <w:t>,</w:t>
      </w:r>
      <w:r w:rsidR="009E7A86" w:rsidRPr="009E7A86">
        <w:rPr>
          <w:lang w:val="fr-FR"/>
        </w:rPr>
        <w:t xml:space="preserve"> annex 1, pa</w:t>
      </w:r>
      <w:r w:rsidR="009E7A86">
        <w:rPr>
          <w:lang w:val="fr-FR"/>
        </w:rPr>
        <w:t xml:space="preserve">ra </w:t>
      </w:r>
      <w:r w:rsidR="0017513C">
        <w:rPr>
          <w:lang w:val="fr-FR"/>
        </w:rPr>
        <w:t xml:space="preserve">30. </w:t>
      </w:r>
      <w:r w:rsidR="00797CC6" w:rsidRPr="009E7A86">
        <w:rPr>
          <w:rStyle w:val="FootnoteReference"/>
          <w:vertAlign w:val="baseline"/>
          <w:lang w:val="fr-FR"/>
        </w:rPr>
        <w:t xml:space="preserve"> </w:t>
      </w:r>
    </w:p>
  </w:footnote>
  <w:footnote w:id="21">
    <w:p w14:paraId="540A89A7" w14:textId="7612605D" w:rsidR="005F2EA3" w:rsidRPr="0053409C" w:rsidRDefault="005F2EA3" w:rsidP="002958BC">
      <w:pPr>
        <w:pStyle w:val="Footnotesmall"/>
      </w:pPr>
      <w:r w:rsidRPr="005452C6">
        <w:rPr>
          <w:rStyle w:val="FootnoteReference"/>
        </w:rPr>
        <w:footnoteRef/>
      </w:r>
      <w:r w:rsidR="00E116E5" w:rsidRPr="005452C6">
        <w:rPr>
          <w:vertAlign w:val="superscript"/>
        </w:rPr>
        <w:t xml:space="preserve"> </w:t>
      </w:r>
      <w:r w:rsidR="000474ED" w:rsidRPr="0053409C">
        <w:t xml:space="preserve">Lorenzo Cotula, Sonja Vermeulen, Rebeca Leonard and James Keeley, </w:t>
      </w:r>
      <w:r w:rsidR="00AB2839" w:rsidRPr="0053409C">
        <w:t>“Land grab or development</w:t>
      </w:r>
      <w:r w:rsidR="006C32A1" w:rsidRPr="0053409C">
        <w:t xml:space="preserve"> </w:t>
      </w:r>
      <w:r w:rsidR="00AB2839" w:rsidRPr="0053409C">
        <w:t>opportunity? Agricultural investment and international land deals in Africa” (</w:t>
      </w:r>
      <w:r w:rsidR="00052F81" w:rsidRPr="0053409C">
        <w:t>Food and Agriculture Organization of the United Nations, the International Fund for Agricultural</w:t>
      </w:r>
      <w:r w:rsidR="00595C96" w:rsidRPr="0053409C">
        <w:t xml:space="preserve"> </w:t>
      </w:r>
      <w:r w:rsidR="00052F81" w:rsidRPr="0053409C">
        <w:t>Development and the International Institute for Environment and</w:t>
      </w:r>
      <w:r w:rsidR="00595C96" w:rsidRPr="0053409C">
        <w:t xml:space="preserve"> </w:t>
      </w:r>
      <w:r w:rsidR="00052F81" w:rsidRPr="0053409C">
        <w:t>Development</w:t>
      </w:r>
      <w:r w:rsidR="00595C96" w:rsidRPr="0053409C">
        <w:t>, 20</w:t>
      </w:r>
      <w:r w:rsidR="000566AE" w:rsidRPr="0053409C">
        <w:t>09)</w:t>
      </w:r>
      <w:r w:rsidR="00EC2026" w:rsidRPr="0053409C">
        <w:t xml:space="preserve"> at 4</w:t>
      </w:r>
      <w:r w:rsidR="006C32A1" w:rsidRPr="0053409C">
        <w:t>.</w:t>
      </w:r>
    </w:p>
  </w:footnote>
  <w:footnote w:id="22">
    <w:p w14:paraId="337A1375" w14:textId="642FF66E" w:rsidR="00C32399" w:rsidRPr="0053409C" w:rsidRDefault="00C32399" w:rsidP="002958BC">
      <w:pPr>
        <w:pStyle w:val="Footnotesmall"/>
      </w:pPr>
      <w:r w:rsidRPr="005452C6">
        <w:rPr>
          <w:rStyle w:val="FootnoteReference"/>
        </w:rPr>
        <w:footnoteRef/>
      </w:r>
      <w:r w:rsidRPr="005452C6">
        <w:rPr>
          <w:vertAlign w:val="superscript"/>
        </w:rPr>
        <w:t xml:space="preserve"> </w:t>
      </w:r>
      <w:r w:rsidR="006C32A1" w:rsidRPr="0053409C">
        <w:t>Giulia Franchi, Mamy Rakotondrainibe, Eric Hermann Raparison and Philippe Randrianarimanana, “Land grabbing in Madagascar: echoes and testimonies from the field” (ReCommon, 2013) at 28</w:t>
      </w:r>
      <w:r w:rsidR="004B223D">
        <w:t>.</w:t>
      </w:r>
    </w:p>
  </w:footnote>
  <w:footnote w:id="23">
    <w:p w14:paraId="5DB48169" w14:textId="6B87253D" w:rsidR="00AB2B2D" w:rsidRPr="0053409C" w:rsidRDefault="00AB2B2D" w:rsidP="002958BC">
      <w:pPr>
        <w:pStyle w:val="Footnotesmall"/>
      </w:pPr>
      <w:r w:rsidRPr="005452C6">
        <w:rPr>
          <w:rStyle w:val="FootnoteReference"/>
        </w:rPr>
        <w:footnoteRef/>
      </w:r>
      <w:r w:rsidRPr="005452C6">
        <w:rPr>
          <w:vertAlign w:val="superscript"/>
        </w:rPr>
        <w:t xml:space="preserve"> </w:t>
      </w:r>
      <w:r w:rsidRPr="0053409C">
        <w:t xml:space="preserve">HRC, ‘Report of the Special Rapporteur on the human rights to safe drinking water and sanitation, Léo Heller: Human rights and the privatization of water and sanitation services’ (21 July 2021) UN Doc A/75/208. </w:t>
      </w:r>
    </w:p>
  </w:footnote>
  <w:footnote w:id="24">
    <w:p w14:paraId="5C22F693" w14:textId="6AACEA4C" w:rsidR="003E0982" w:rsidRPr="0053409C" w:rsidRDefault="003E0982" w:rsidP="002958BC">
      <w:pPr>
        <w:pStyle w:val="Footnotesmall"/>
        <w:rPr>
          <w:rStyle w:val="FootnoteReference"/>
          <w:vertAlign w:val="baseline"/>
        </w:rPr>
      </w:pPr>
      <w:r w:rsidRPr="005452C6">
        <w:rPr>
          <w:rStyle w:val="FootnoteReference"/>
        </w:rPr>
        <w:footnoteRef/>
      </w:r>
      <w:r w:rsidRPr="0053409C">
        <w:rPr>
          <w:rStyle w:val="FootnoteReference"/>
          <w:vertAlign w:val="baseline"/>
        </w:rPr>
        <w:t xml:space="preserve">  </w:t>
      </w:r>
      <w:r w:rsidRPr="0053409C">
        <w:rPr>
          <w:rStyle w:val="FootnoteReference"/>
          <w:vertAlign w:val="baseline"/>
        </w:rPr>
        <w:fldChar w:fldCharType="begin"/>
      </w:r>
      <w:r w:rsidRPr="0053409C">
        <w:rPr>
          <w:rStyle w:val="FootnoteReference"/>
          <w:vertAlign w:val="baseline"/>
        </w:rPr>
        <w:instrText xml:space="preserve"> ADDIN ZOTERO_ITEM CSL_CITATION {"citationID":"ysFFY2uQ","properties":{"formattedCitation":"CME Group, \\uc0\\u8220{}Nasdaq Veles California Water Index (NQH2O) Futures,\\uc0\\u8221{} accessed April 12, 2021, https://www.cmegroup.com/trading/equity-index/us-index/nasdaq-veles-california-water-futures.html.","plainCitation":"CME Group, “Nasdaq Veles California Water Index (NQH2O) Futures,” accessed April 12, 2021, https://www.cmegroup.com/trading/equity-index/us-index/nasdaq-veles-california-water-futures.html.","noteIndex":10},"citationItems":[{"id":721,"uris":["http://zotero.org/users/local/NzWfmVdr/items/SCLLIPRN"],"uri":["http://zotero.org/users/local/NzWfmVdr/items/SCLLIPRN"],"itemData":{"id":721,"type":"webpage","title":"Nasdaq Veles California Water Index (NQH2O) futures","URL":"https://www.cmegroup.com/trading/equity-index/us-index/nasdaq-veles-california-water-futures.html","author":[{"family":"CME Group","given":""}],"accessed":{"date-parts":[["2021",4,12]]}}}],"schema":"https://github.com/citation-style-language/schema/raw/master/csl-citation.json"} </w:instrText>
      </w:r>
      <w:r w:rsidRPr="0053409C">
        <w:rPr>
          <w:rStyle w:val="FootnoteReference"/>
          <w:vertAlign w:val="baseline"/>
        </w:rPr>
        <w:fldChar w:fldCharType="separate"/>
      </w:r>
      <w:r w:rsidRPr="0053409C">
        <w:rPr>
          <w:rStyle w:val="FootnoteReference"/>
          <w:vertAlign w:val="baseline"/>
        </w:rPr>
        <w:t>CME Group 'Nasdaq Veles California Water Index (NQH2O) Futures' (CME Group, 2020) &lt;https://www.cmegroup.com/trading/equity-index/us-index/nasdaq-veles-california-water-futures.html&gt;  accessed 12 April 2021.</w:t>
      </w:r>
      <w:r w:rsidRPr="0053409C">
        <w:rPr>
          <w:rStyle w:val="FootnoteReference"/>
          <w:vertAlign w:val="baseline"/>
        </w:rPr>
        <w:fldChar w:fldCharType="end"/>
      </w:r>
    </w:p>
  </w:footnote>
  <w:footnote w:id="25">
    <w:p w14:paraId="1BF45A85" w14:textId="77777777" w:rsidR="003E0982" w:rsidRPr="0053409C" w:rsidRDefault="003E0982" w:rsidP="002958BC">
      <w:pPr>
        <w:pStyle w:val="Footnotesmall"/>
        <w:rPr>
          <w:rStyle w:val="FootnoteReference"/>
          <w:vertAlign w:val="baseline"/>
        </w:rPr>
      </w:pPr>
      <w:r w:rsidRPr="005452C6">
        <w:rPr>
          <w:rStyle w:val="FootnoteReference"/>
        </w:rPr>
        <w:footnoteRef/>
      </w:r>
      <w:r w:rsidRPr="005452C6">
        <w:rPr>
          <w:rStyle w:val="FootnoteReference"/>
        </w:rPr>
        <w:t xml:space="preserve"> </w:t>
      </w:r>
      <w:r w:rsidRPr="0053409C">
        <w:rPr>
          <w:rStyle w:val="FootnoteReference"/>
          <w:vertAlign w:val="baseline"/>
        </w:rPr>
        <w:t xml:space="preserve">UN Officer of the High Commissioner for Human Rights (OHCHR) </w:t>
      </w:r>
      <w:r w:rsidRPr="0053409C">
        <w:rPr>
          <w:rStyle w:val="FootnoteReference"/>
          <w:vertAlign w:val="baseline"/>
        </w:rPr>
        <w:fldChar w:fldCharType="begin"/>
      </w:r>
      <w:r w:rsidRPr="0053409C">
        <w:rPr>
          <w:rStyle w:val="FootnoteReference"/>
          <w:vertAlign w:val="baseline"/>
        </w:rPr>
        <w:instrText xml:space="preserve"> ADDIN ZOTERO_ITEM CSL_CITATION {"citationID":"wmJkNSXV","properties":{"formattedCitation":"OHCHR, \\uc0\\u8220{}Water: Futures Market Invites Speculators, Challenges Basic Human Rights - UN Expert,\\uc0\\u8221{} accessed April 12, 2021, https://www.ohchr.org/EN/NewsEvents/Pages/DisplayNews.aspx?NewsID=26595&amp;LangID=E.","plainCitation":"OHCHR, “Water: Futures Market Invites Speculators, Challenges Basic Human Rights - UN Expert,” accessed April 12, 2021, https://www.ohchr.org/EN/NewsEvents/Pages/DisplayNews.aspx?NewsID=26595&amp;LangID=E.","noteIndex":11},"citationItems":[{"id":731,"uris":["http://zotero.org/users/local/NzWfmVdr/items/HN4TG93Z"],"uri":["http://zotero.org/users/local/NzWfmVdr/items/HN4TG93Z"],"itemData":{"id":731,"type":"webpage","title":"Water: Futures market invites speculators, challenges basic human rights - UN expert","URL":"https://www.ohchr.org/EN/NewsEvents/Pages/DisplayNews.aspx?NewsID=26595&amp;LangID=E","author":[{"family":"OHCHR","given":""}],"accessed":{"date-parts":[["2021",4,12]]}}}],"schema":"https://github.com/citation-style-language/schema/raw/master/csl-citation.json"} </w:instrText>
      </w:r>
      <w:r w:rsidRPr="0053409C">
        <w:rPr>
          <w:rStyle w:val="FootnoteReference"/>
          <w:vertAlign w:val="baseline"/>
        </w:rPr>
        <w:fldChar w:fldCharType="separate"/>
      </w:r>
      <w:r w:rsidRPr="0053409C">
        <w:rPr>
          <w:rStyle w:val="FootnoteReference"/>
          <w:vertAlign w:val="baseline"/>
        </w:rPr>
        <w:t>'Water: Futures Market Invites Speculators, Challenges Basic Human Rights - UN Expert' (OHCHR, 2020) &lt;https://www.ohchr.org/EN/NewsEvents/Pages/DisplayNews.aspx?NewsID=26595&amp;LangID=E&gt; accessed 12 April 2021.</w:t>
      </w:r>
      <w:r w:rsidRPr="0053409C">
        <w:rPr>
          <w:rStyle w:val="FootnoteReference"/>
          <w:vertAlign w:val="baseline"/>
        </w:rPr>
        <w:fldChar w:fldCharType="end"/>
      </w:r>
    </w:p>
  </w:footnote>
  <w:footnote w:id="26">
    <w:p w14:paraId="0841742A" w14:textId="77777777" w:rsidR="003E0982" w:rsidRPr="0053409C" w:rsidRDefault="003E0982" w:rsidP="002958BC">
      <w:pPr>
        <w:pStyle w:val="Footnotesmall"/>
        <w:rPr>
          <w:rStyle w:val="FootnoteReference"/>
          <w:vertAlign w:val="baseline"/>
        </w:rPr>
      </w:pPr>
      <w:r w:rsidRPr="005452C6">
        <w:rPr>
          <w:rStyle w:val="FootnoteReference"/>
        </w:rPr>
        <w:footnoteRef/>
      </w:r>
      <w:r w:rsidRPr="005452C6">
        <w:rPr>
          <w:rStyle w:val="FootnoteReference"/>
        </w:rPr>
        <w:t xml:space="preserve"> </w:t>
      </w:r>
      <w:r w:rsidRPr="0053409C">
        <w:rPr>
          <w:rStyle w:val="FootnoteReference"/>
          <w:vertAlign w:val="baseline"/>
        </w:rPr>
        <w:fldChar w:fldCharType="begin"/>
      </w:r>
      <w:r w:rsidRPr="0053409C">
        <w:rPr>
          <w:rStyle w:val="FootnoteReference"/>
          <w:vertAlign w:val="baseline"/>
        </w:rPr>
        <w:instrText xml:space="preserve"> ADDIN ZOTERO_ITEM CSL_CITATION {"citationID":"v7uWCFXw","properties":{"formattedCitation":"Susan Lea Smith, \\uc0\\u8220{}Water on Wall Streets: Understanding the Evils of Water Futures Markets,\\uc0\\u8221{} World Council of Churches, accessed April 12, 2021, https://www.oikoumene.org/blog/water-on-wall-streets-understanding-the-evils-of-water-futures-markets.","plainCitation":"Susan Lea Smith, “Water on Wall Streets: Understanding the Evils of Water Futures Markets,” World Council of Churches, accessed April 12, 2021, https://www.oikoumene.org/blog/water-on-wall-streets-understanding-the-evils-of-water-futures-markets.","noteIndex":11},"citationItems":[{"id":729,"uris":["http://zotero.org/users/local/NzWfmVdr/items/VJKYETZY"],"uri":["http://zotero.org/users/local/NzWfmVdr/items/VJKYETZY"],"itemData":{"id":729,"type":"webpage","container-title":"World Council of Churches","language":"en","title":"Water on Wall Streets: understanding the evils of water futures markets","title-short":"Water on Wall Streets","URL":"https://www.oikoumene.org/blog/water-on-wall-streets-understanding-the-evils-of-water-futures-markets","author":[{"family":"Susan Lea Smith","given":""}],"accessed":{"date-parts":[["2021",4,12]]}}}],"schema":"https://github.com/citation-style-language/schema/raw/master/csl-citation.json"} </w:instrText>
      </w:r>
      <w:r w:rsidRPr="0053409C">
        <w:rPr>
          <w:rStyle w:val="FootnoteReference"/>
          <w:vertAlign w:val="baseline"/>
        </w:rPr>
        <w:fldChar w:fldCharType="separate"/>
      </w:r>
      <w:r w:rsidRPr="0053409C">
        <w:rPr>
          <w:rStyle w:val="FootnoteReference"/>
          <w:vertAlign w:val="baseline"/>
        </w:rPr>
        <w:t>Susan Lea Smith 'Water on Wall Streets: Understanding the Evils of Water Futures Markets' (World Council of Churches, 2021) &lt;https://www.oikoumene.org/blog/water-on-wall-streets-understanding-the-evils-of-water-futures-markets&gt; accessed 12 April 2021.</w:t>
      </w:r>
      <w:r w:rsidRPr="0053409C">
        <w:rPr>
          <w:rStyle w:val="FootnoteReference"/>
          <w:vertAlign w:val="baseline"/>
        </w:rPr>
        <w:fldChar w:fldCharType="end"/>
      </w:r>
    </w:p>
  </w:footnote>
  <w:footnote w:id="27">
    <w:p w14:paraId="0B62898E" w14:textId="3F7B0B69" w:rsidR="00A73005" w:rsidRPr="008C2813" w:rsidRDefault="00A73005" w:rsidP="002958BC">
      <w:pPr>
        <w:pStyle w:val="Footnotesmall"/>
        <w:rPr>
          <w:lang w:val="fr-FR"/>
        </w:rPr>
      </w:pPr>
      <w:r w:rsidRPr="00B95850">
        <w:rPr>
          <w:rStyle w:val="FootnoteReference"/>
        </w:rPr>
        <w:footnoteRef/>
      </w:r>
      <w:r w:rsidRPr="00B95850">
        <w:rPr>
          <w:vertAlign w:val="superscript"/>
          <w:lang w:val="fr-FR"/>
        </w:rPr>
        <w:t xml:space="preserve"> </w:t>
      </w:r>
      <w:r w:rsidR="00207FE9" w:rsidRPr="008C2813">
        <w:rPr>
          <w:rStyle w:val="FootnoteReference"/>
          <w:vertAlign w:val="baseline"/>
          <w:lang w:val="fr-FR"/>
        </w:rPr>
        <w:t xml:space="preserve">See </w:t>
      </w:r>
      <w:r w:rsidR="00405501" w:rsidRPr="008C2813">
        <w:rPr>
          <w:rStyle w:val="FootnoteReference"/>
          <w:vertAlign w:val="baseline"/>
          <w:lang w:val="fr-FR"/>
        </w:rPr>
        <w:t xml:space="preserve">Association of Women Heads of Households, Coalition of Mauritanian Educational Organisations and </w:t>
      </w:r>
      <w:r w:rsidR="008C2813" w:rsidRPr="008C2813">
        <w:rPr>
          <w:lang w:val="fr-FR"/>
        </w:rPr>
        <w:t>GI-ESC</w:t>
      </w:r>
      <w:r w:rsidR="008C2813">
        <w:rPr>
          <w:lang w:val="fr-FR"/>
        </w:rPr>
        <w:t>R</w:t>
      </w:r>
      <w:r w:rsidR="008D6C73" w:rsidRPr="008C2813">
        <w:rPr>
          <w:rStyle w:val="FootnoteReference"/>
          <w:vertAlign w:val="baseline"/>
          <w:lang w:val="fr-FR"/>
        </w:rPr>
        <w:t>, “Privatisation and sale of public school lands in Mauritania” (</w:t>
      </w:r>
      <w:r w:rsidR="008C2813">
        <w:rPr>
          <w:rStyle w:val="FootnoteReference"/>
          <w:vertAlign w:val="baseline"/>
          <w:lang w:val="fr-FR"/>
        </w:rPr>
        <w:t>GI-ESCR</w:t>
      </w:r>
      <w:r w:rsidR="008D6C73" w:rsidRPr="008C2813">
        <w:rPr>
          <w:rStyle w:val="FootnoteReference"/>
          <w:vertAlign w:val="baseline"/>
          <w:lang w:val="fr-FR"/>
        </w:rPr>
        <w:t xml:space="preserve">, </w:t>
      </w:r>
      <w:r w:rsidR="00FB6EF9" w:rsidRPr="008C2813">
        <w:rPr>
          <w:rStyle w:val="FootnoteReference"/>
          <w:vertAlign w:val="baseline"/>
          <w:lang w:val="fr-FR"/>
        </w:rPr>
        <w:t xml:space="preserve">November 2018) </w:t>
      </w:r>
      <w:r w:rsidR="00256FE1" w:rsidRPr="008C2813">
        <w:rPr>
          <w:rStyle w:val="FootnoteReference"/>
          <w:vertAlign w:val="baseline"/>
          <w:lang w:val="fr-FR"/>
        </w:rPr>
        <w:t>&lt;</w:t>
      </w:r>
      <w:hyperlink r:id="rId8" w:history="1">
        <w:r w:rsidR="00256FE1" w:rsidRPr="008C2813">
          <w:rPr>
            <w:rStyle w:val="FootnoteReference"/>
            <w:vertAlign w:val="baseline"/>
            <w:lang w:val="fr-FR"/>
          </w:rPr>
          <w:t>Privatisation and the sale of public school lands in Mauritania — GI-ESCR</w:t>
        </w:r>
      </w:hyperlink>
      <w:r w:rsidR="00256FE1" w:rsidRPr="008C2813">
        <w:rPr>
          <w:rStyle w:val="FootnoteReference"/>
          <w:vertAlign w:val="baseline"/>
          <w:lang w:val="fr-FR"/>
        </w:rPr>
        <w:t>&gt; accessed 11 August 2021</w:t>
      </w:r>
      <w:r w:rsidR="00207FE9" w:rsidRPr="008C2813">
        <w:rPr>
          <w:rStyle w:val="FootnoteReference"/>
          <w:vertAlign w:val="baseline"/>
          <w:lang w:val="fr-FR"/>
        </w:rPr>
        <w:t>.</w:t>
      </w:r>
    </w:p>
  </w:footnote>
  <w:footnote w:id="28">
    <w:p w14:paraId="6B655E2D" w14:textId="57C976C1" w:rsidR="00C12CE1" w:rsidRPr="0053409C" w:rsidRDefault="00C12CE1" w:rsidP="002958BC">
      <w:pPr>
        <w:pStyle w:val="Footnotesmall"/>
        <w:rPr>
          <w:rStyle w:val="FootnoteReference"/>
          <w:vertAlign w:val="baseline"/>
        </w:rPr>
      </w:pPr>
      <w:r w:rsidRPr="00B95850">
        <w:rPr>
          <w:rStyle w:val="FootnoteReference"/>
        </w:rPr>
        <w:footnoteRef/>
      </w:r>
      <w:r w:rsidRPr="00B95850">
        <w:rPr>
          <w:rStyle w:val="FootnoteReference"/>
        </w:rPr>
        <w:t xml:space="preserve"> </w:t>
      </w:r>
      <w:r w:rsidR="0086753F" w:rsidRPr="0053409C">
        <w:rPr>
          <w:rStyle w:val="FootnoteReference"/>
          <w:vertAlign w:val="baseline"/>
        </w:rPr>
        <w:t>UN Committee on Economic, Social and Cultural Rights</w:t>
      </w:r>
      <w:r w:rsidR="00797CC6" w:rsidRPr="0053409C">
        <w:rPr>
          <w:rStyle w:val="FootnoteReference"/>
          <w:vertAlign w:val="baseline"/>
        </w:rPr>
        <w:t xml:space="preserve"> (“CESCR”)</w:t>
      </w:r>
      <w:r w:rsidR="0086753F" w:rsidRPr="0053409C">
        <w:rPr>
          <w:rStyle w:val="FootnoteReference"/>
          <w:vertAlign w:val="baseline"/>
        </w:rPr>
        <w:t xml:space="preserve"> ‘General comment No. 24 (2017) on State obligations under the International Covenant on Economic, Social</w:t>
      </w:r>
      <w:r w:rsidR="00EC65ED" w:rsidRPr="0053409C">
        <w:rPr>
          <w:rStyle w:val="FootnoteReference"/>
          <w:vertAlign w:val="baseline"/>
        </w:rPr>
        <w:t xml:space="preserve"> </w:t>
      </w:r>
      <w:r w:rsidR="0086753F" w:rsidRPr="0053409C">
        <w:rPr>
          <w:rStyle w:val="FootnoteReference"/>
          <w:vertAlign w:val="baseline"/>
        </w:rPr>
        <w:t>and Cultural Rights in the context of business activities’ (10 August 2017) UN Doc E/C.12/GC/24, para 36.</w:t>
      </w:r>
    </w:p>
  </w:footnote>
  <w:footnote w:id="29">
    <w:p w14:paraId="28D5F667" w14:textId="72C0DB97" w:rsidR="00A71D26" w:rsidRPr="0053409C" w:rsidRDefault="00A71D26" w:rsidP="002958BC">
      <w:pPr>
        <w:pStyle w:val="Footnotesmall"/>
        <w:rPr>
          <w:rStyle w:val="FootnoteReference"/>
          <w:vertAlign w:val="baseline"/>
        </w:rPr>
      </w:pPr>
      <w:r w:rsidRPr="00B95850">
        <w:rPr>
          <w:rStyle w:val="FootnoteReference"/>
        </w:rPr>
        <w:footnoteRef/>
      </w:r>
      <w:r w:rsidRPr="0053409C">
        <w:rPr>
          <w:rStyle w:val="FootnoteReference"/>
          <w:vertAlign w:val="baseline"/>
        </w:rPr>
        <w:t xml:space="preserve"> </w:t>
      </w:r>
      <w:r w:rsidR="00797CC6" w:rsidRPr="0053409C">
        <w:rPr>
          <w:rStyle w:val="FootnoteReference"/>
          <w:vertAlign w:val="baseline"/>
        </w:rPr>
        <w:t>CESCR</w:t>
      </w:r>
      <w:r w:rsidR="0086753F" w:rsidRPr="0053409C">
        <w:rPr>
          <w:rStyle w:val="FootnoteReference"/>
          <w:vertAlign w:val="baseline"/>
        </w:rPr>
        <w:t xml:space="preserve"> ‘General comment No. 24 (2017) on State obligations under the International Covenant on Economic, Social and Cultural Rights in the context of business activities’ (10 August 2017) UN Doc E/C.12/GC/24, para 36.</w:t>
      </w:r>
    </w:p>
  </w:footnote>
  <w:footnote w:id="30">
    <w:p w14:paraId="78D183C6" w14:textId="1742541B" w:rsidR="009147DF" w:rsidRPr="0053409C" w:rsidRDefault="009147DF" w:rsidP="002958BC">
      <w:pPr>
        <w:pStyle w:val="Footnotesmall"/>
        <w:rPr>
          <w:rStyle w:val="FootnoteReference"/>
          <w:vertAlign w:val="baseline"/>
        </w:rPr>
      </w:pPr>
      <w:r w:rsidRPr="00B95850">
        <w:rPr>
          <w:rStyle w:val="FootnoteReference"/>
        </w:rPr>
        <w:footnoteRef/>
      </w:r>
      <w:r w:rsidR="00FE5CE5" w:rsidRPr="00B95850">
        <w:rPr>
          <w:rStyle w:val="FootnoteReference"/>
        </w:rPr>
        <w:t xml:space="preserve"> </w:t>
      </w:r>
      <w:r w:rsidR="00797CC6" w:rsidRPr="0053409C">
        <w:rPr>
          <w:rStyle w:val="FootnoteReference"/>
          <w:vertAlign w:val="baseline"/>
        </w:rPr>
        <w:t xml:space="preserve">CESCR </w:t>
      </w:r>
      <w:r w:rsidR="00F74816" w:rsidRPr="0053409C">
        <w:rPr>
          <w:rStyle w:val="FootnoteReference"/>
          <w:vertAlign w:val="baseline"/>
        </w:rPr>
        <w:t>‘Public debt, austerity measures and the International Covenant on Economic, Social and Cultural Rights’ (22 July 2016) E/C.12/2016/1</w:t>
      </w:r>
      <w:r w:rsidR="00E778B4" w:rsidRPr="0053409C">
        <w:rPr>
          <w:rStyle w:val="FootnoteReference"/>
          <w:vertAlign w:val="baseline"/>
        </w:rPr>
        <w:t>, para</w:t>
      </w:r>
      <w:r w:rsidR="009A282C" w:rsidRPr="0053409C">
        <w:rPr>
          <w:rStyle w:val="FootnoteReference"/>
          <w:vertAlign w:val="baseline"/>
        </w:rPr>
        <w:t xml:space="preserve"> 7.</w:t>
      </w:r>
    </w:p>
  </w:footnote>
  <w:footnote w:id="31">
    <w:p w14:paraId="631972F5" w14:textId="7EF3BD12" w:rsidR="000F59A1" w:rsidRPr="0053409C" w:rsidRDefault="000F59A1" w:rsidP="002958BC">
      <w:pPr>
        <w:pStyle w:val="Footnotesmall"/>
        <w:rPr>
          <w:rStyle w:val="FootnoteReference"/>
          <w:vertAlign w:val="baseline"/>
        </w:rPr>
      </w:pPr>
      <w:r w:rsidRPr="00B95850">
        <w:rPr>
          <w:rStyle w:val="FootnoteReference"/>
        </w:rPr>
        <w:footnoteRef/>
      </w:r>
      <w:r w:rsidRPr="00B95850">
        <w:rPr>
          <w:rStyle w:val="FootnoteReference"/>
        </w:rPr>
        <w:t xml:space="preserve"> </w:t>
      </w:r>
      <w:r w:rsidR="006D6A47" w:rsidRPr="0053409C">
        <w:rPr>
          <w:rStyle w:val="FootnoteReference"/>
          <w:vertAlign w:val="baseline"/>
        </w:rPr>
        <w:t>HRC ‘Report of the Special Rapporteur on extreme poverty and human rights’ (</w:t>
      </w:r>
      <w:r w:rsidR="008118AF" w:rsidRPr="0053409C">
        <w:rPr>
          <w:rStyle w:val="FootnoteReference"/>
          <w:vertAlign w:val="baseline"/>
        </w:rPr>
        <w:t>26 September 2018) A/73/</w:t>
      </w:r>
      <w:r w:rsidR="000525B5" w:rsidRPr="0053409C">
        <w:rPr>
          <w:rStyle w:val="FootnoteReference"/>
          <w:vertAlign w:val="baseline"/>
        </w:rPr>
        <w:t>396.</w:t>
      </w:r>
    </w:p>
  </w:footnote>
  <w:footnote w:id="32">
    <w:p w14:paraId="1AE7B07A" w14:textId="502F2338" w:rsidR="00F572AE" w:rsidRPr="00F572AE" w:rsidRDefault="00F572AE" w:rsidP="002958BC">
      <w:pPr>
        <w:pStyle w:val="Footnotesmall"/>
      </w:pPr>
      <w:r>
        <w:rPr>
          <w:rStyle w:val="FootnoteReference"/>
        </w:rPr>
        <w:footnoteRef/>
      </w:r>
      <w:r>
        <w:t xml:space="preserve"> </w:t>
      </w:r>
      <w:r w:rsidR="00053C07" w:rsidRPr="002958BC">
        <w:t xml:space="preserve">Frédéric Mousseau, “The Highest Bidder Takes It All: The World Bank’s Scheme to Privatize the Commons” </w:t>
      </w:r>
      <w:r w:rsidR="005A245D" w:rsidRPr="002958BC">
        <w:t>(The Oakland Institute</w:t>
      </w:r>
      <w:r w:rsidR="00F87292" w:rsidRPr="002958BC">
        <w:t xml:space="preserve">, 2019) at </w:t>
      </w:r>
      <w:r w:rsidR="00874EE6" w:rsidRPr="002958BC">
        <w:t>8 &lt;</w:t>
      </w:r>
      <w:r w:rsidR="002958BC" w:rsidRPr="002958BC">
        <w:t xml:space="preserve"> </w:t>
      </w:r>
      <w:hyperlink r:id="rId9" w:history="1">
        <w:r w:rsidR="002958BC" w:rsidRPr="002958BC">
          <w:t>highest-bidder-eng-high-res.pdf (oaklandinstitute.org)</w:t>
        </w:r>
      </w:hyperlink>
      <w:r w:rsidR="002958BC" w:rsidRPr="002958BC">
        <w:t>&gt; accessed 12 August 2021.</w:t>
      </w:r>
    </w:p>
  </w:footnote>
  <w:footnote w:id="33">
    <w:p w14:paraId="015AC694" w14:textId="0871114B" w:rsidR="00AC7D88" w:rsidRPr="00AC7D88" w:rsidRDefault="00AC7D88" w:rsidP="002958BC">
      <w:pPr>
        <w:pStyle w:val="Footnotesmall"/>
        <w:rPr>
          <w:lang w:val="en-US"/>
        </w:rPr>
      </w:pPr>
      <w:r>
        <w:rPr>
          <w:rStyle w:val="FootnoteReference"/>
        </w:rPr>
        <w:footnoteRef/>
      </w:r>
      <w:r>
        <w:t xml:space="preserve"> </w:t>
      </w:r>
      <w:r w:rsidR="00504900">
        <w:rPr>
          <w:lang w:val="en-US"/>
        </w:rPr>
        <w:t>ActionAid, “</w:t>
      </w:r>
      <w:r w:rsidR="00FE1F73">
        <w:rPr>
          <w:lang w:val="en-US"/>
        </w:rPr>
        <w:t xml:space="preserve">Background note: </w:t>
      </w:r>
      <w:r w:rsidR="00C1584A">
        <w:rPr>
          <w:lang w:val="en-US"/>
        </w:rPr>
        <w:t>The World Bank’s support for land titling or “regularizat</w:t>
      </w:r>
      <w:r w:rsidR="009217AE">
        <w:rPr>
          <w:lang w:val="en-US"/>
        </w:rPr>
        <w:t>ion in the state of Piau</w:t>
      </w:r>
      <w:r w:rsidR="009217AE">
        <w:rPr>
          <w:rFonts w:cstheme="minorHAnsi"/>
          <w:lang w:val="en-US"/>
        </w:rPr>
        <w:t>í</w:t>
      </w:r>
      <w:r w:rsidR="000A4040">
        <w:rPr>
          <w:rFonts w:cstheme="minorHAnsi"/>
          <w:lang w:val="en-US"/>
        </w:rPr>
        <w:t>” (ActionAid, 2018)</w:t>
      </w:r>
      <w:r w:rsidR="00F572AE" w:rsidRPr="00F572AE">
        <w:rPr>
          <w:sz w:val="22"/>
          <w:szCs w:val="22"/>
        </w:rPr>
        <w:t xml:space="preserve"> </w:t>
      </w:r>
      <w:r w:rsidR="00F572AE" w:rsidRPr="00F572AE">
        <w:t>&lt;</w:t>
      </w:r>
      <w:hyperlink r:id="rId10" w:history="1">
        <w:r w:rsidR="00F572AE" w:rsidRPr="00F572AE">
          <w:t>Background-note.pdf (actionaidusa.org)</w:t>
        </w:r>
      </w:hyperlink>
      <w:r w:rsidR="00F572AE" w:rsidRPr="00F572AE">
        <w:t>&gt; accessed 11 August 2021.</w:t>
      </w:r>
      <w:r w:rsidR="00B86561">
        <w:rPr>
          <w:rFonts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90F"/>
    <w:multiLevelType w:val="hybridMultilevel"/>
    <w:tmpl w:val="94143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A3C99"/>
    <w:multiLevelType w:val="hybridMultilevel"/>
    <w:tmpl w:val="D132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730C8"/>
    <w:multiLevelType w:val="multilevel"/>
    <w:tmpl w:val="537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2A76"/>
    <w:multiLevelType w:val="multilevel"/>
    <w:tmpl w:val="06740F9C"/>
    <w:lvl w:ilvl="0">
      <w:start w:val="1"/>
      <w:numFmt w:val="decimal"/>
      <w:lvlText w:val="%1."/>
      <w:lvlJc w:val="left"/>
      <w:pPr>
        <w:ind w:left="360" w:hanging="360"/>
      </w:pPr>
    </w:lvl>
    <w:lvl w:ilvl="1">
      <w:start w:val="1"/>
      <w:numFmt w:val="decimal"/>
      <w:lvlText w:val="%1.%2."/>
      <w:lvlJc w:val="left"/>
      <w:pPr>
        <w:ind w:left="792" w:hanging="432"/>
      </w:pPr>
      <w:rPr>
        <w:b w:val="0"/>
        <w:bCs w:val="0"/>
        <w:lang w:val="en-US"/>
      </w:rPr>
    </w:lvl>
    <w:lvl w:ilvl="2">
      <w:start w:val="1"/>
      <w:numFmt w:val="decimal"/>
      <w:lvlText w:val="%1.%2.%3."/>
      <w:lvlJc w:val="left"/>
      <w:pPr>
        <w:ind w:left="1224" w:hanging="504"/>
      </w:pPr>
      <w:rPr>
        <w:b w:val="0"/>
        <w:bCs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6B2D0A"/>
    <w:multiLevelType w:val="hybridMultilevel"/>
    <w:tmpl w:val="B080C0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B60839"/>
    <w:multiLevelType w:val="multilevel"/>
    <w:tmpl w:val="8800F786"/>
    <w:lvl w:ilvl="0">
      <w:start w:val="1"/>
      <w:numFmt w:val="decimal"/>
      <w:suff w:val="space"/>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51B7302C"/>
    <w:multiLevelType w:val="hybridMultilevel"/>
    <w:tmpl w:val="DE1A08A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D1F22"/>
    <w:multiLevelType w:val="hybridMultilevel"/>
    <w:tmpl w:val="49B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32B8E"/>
    <w:multiLevelType w:val="hybridMultilevel"/>
    <w:tmpl w:val="AB927E32"/>
    <w:lvl w:ilvl="0" w:tplc="B8E81382">
      <w:start w:val="1"/>
      <w:numFmt w:val="upperRoman"/>
      <w:pStyle w:val="Heading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 w:numId="8">
    <w:abstractNumId w:val="8"/>
  </w:num>
  <w:num w:numId="9">
    <w:abstractNumId w:val="8"/>
  </w:num>
  <w:num w:numId="10">
    <w:abstractNumId w:val="8"/>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49"/>
    <w:rsid w:val="00000145"/>
    <w:rsid w:val="00000A11"/>
    <w:rsid w:val="000013FA"/>
    <w:rsid w:val="00001E4A"/>
    <w:rsid w:val="00002781"/>
    <w:rsid w:val="000027F5"/>
    <w:rsid w:val="00005D09"/>
    <w:rsid w:val="00011147"/>
    <w:rsid w:val="00011BED"/>
    <w:rsid w:val="000136B8"/>
    <w:rsid w:val="00015072"/>
    <w:rsid w:val="0001679D"/>
    <w:rsid w:val="00020785"/>
    <w:rsid w:val="00020D5B"/>
    <w:rsid w:val="00021B24"/>
    <w:rsid w:val="0002262D"/>
    <w:rsid w:val="0002456B"/>
    <w:rsid w:val="00025D2D"/>
    <w:rsid w:val="00026CE7"/>
    <w:rsid w:val="0002705C"/>
    <w:rsid w:val="00027061"/>
    <w:rsid w:val="0002707C"/>
    <w:rsid w:val="00027709"/>
    <w:rsid w:val="000278B3"/>
    <w:rsid w:val="00027BCC"/>
    <w:rsid w:val="000319F2"/>
    <w:rsid w:val="00031A69"/>
    <w:rsid w:val="0003359F"/>
    <w:rsid w:val="00033F16"/>
    <w:rsid w:val="00033F74"/>
    <w:rsid w:val="000340BD"/>
    <w:rsid w:val="00036154"/>
    <w:rsid w:val="000361DD"/>
    <w:rsid w:val="00037355"/>
    <w:rsid w:val="00037F13"/>
    <w:rsid w:val="00041135"/>
    <w:rsid w:val="00042CAB"/>
    <w:rsid w:val="00042FCE"/>
    <w:rsid w:val="000445AA"/>
    <w:rsid w:val="0004580B"/>
    <w:rsid w:val="000465E5"/>
    <w:rsid w:val="000474ED"/>
    <w:rsid w:val="0005027D"/>
    <w:rsid w:val="00050449"/>
    <w:rsid w:val="00050A09"/>
    <w:rsid w:val="00050BAA"/>
    <w:rsid w:val="00050E88"/>
    <w:rsid w:val="0005201C"/>
    <w:rsid w:val="000525B5"/>
    <w:rsid w:val="00052F81"/>
    <w:rsid w:val="00053C07"/>
    <w:rsid w:val="00053F9A"/>
    <w:rsid w:val="0005501E"/>
    <w:rsid w:val="000551C9"/>
    <w:rsid w:val="00055EAB"/>
    <w:rsid w:val="0005602D"/>
    <w:rsid w:val="000566AE"/>
    <w:rsid w:val="0005697E"/>
    <w:rsid w:val="0006145A"/>
    <w:rsid w:val="00063174"/>
    <w:rsid w:val="0006436C"/>
    <w:rsid w:val="00064A03"/>
    <w:rsid w:val="00066BB9"/>
    <w:rsid w:val="000708AD"/>
    <w:rsid w:val="00070E03"/>
    <w:rsid w:val="000720C4"/>
    <w:rsid w:val="00072254"/>
    <w:rsid w:val="000726DC"/>
    <w:rsid w:val="00073198"/>
    <w:rsid w:val="00075616"/>
    <w:rsid w:val="000767F6"/>
    <w:rsid w:val="00077A06"/>
    <w:rsid w:val="00077E98"/>
    <w:rsid w:val="00081269"/>
    <w:rsid w:val="00083F5C"/>
    <w:rsid w:val="000845F0"/>
    <w:rsid w:val="000854CB"/>
    <w:rsid w:val="00085C71"/>
    <w:rsid w:val="00086882"/>
    <w:rsid w:val="00086FB2"/>
    <w:rsid w:val="0008757B"/>
    <w:rsid w:val="00087A07"/>
    <w:rsid w:val="000916AA"/>
    <w:rsid w:val="0009243D"/>
    <w:rsid w:val="00093523"/>
    <w:rsid w:val="00094783"/>
    <w:rsid w:val="000952EB"/>
    <w:rsid w:val="0009631E"/>
    <w:rsid w:val="0009678C"/>
    <w:rsid w:val="0009691E"/>
    <w:rsid w:val="00097173"/>
    <w:rsid w:val="0009764B"/>
    <w:rsid w:val="000A3420"/>
    <w:rsid w:val="000A3817"/>
    <w:rsid w:val="000A3A10"/>
    <w:rsid w:val="000A3C4E"/>
    <w:rsid w:val="000A4040"/>
    <w:rsid w:val="000A4505"/>
    <w:rsid w:val="000A5A12"/>
    <w:rsid w:val="000A5B6D"/>
    <w:rsid w:val="000A6200"/>
    <w:rsid w:val="000A6B64"/>
    <w:rsid w:val="000B312C"/>
    <w:rsid w:val="000B47DF"/>
    <w:rsid w:val="000B5823"/>
    <w:rsid w:val="000C012E"/>
    <w:rsid w:val="000C02B7"/>
    <w:rsid w:val="000C1550"/>
    <w:rsid w:val="000C1BE9"/>
    <w:rsid w:val="000C2093"/>
    <w:rsid w:val="000C3C7C"/>
    <w:rsid w:val="000C54FA"/>
    <w:rsid w:val="000C662B"/>
    <w:rsid w:val="000C7902"/>
    <w:rsid w:val="000D17C4"/>
    <w:rsid w:val="000D3A52"/>
    <w:rsid w:val="000D3BAF"/>
    <w:rsid w:val="000D421A"/>
    <w:rsid w:val="000D5F6E"/>
    <w:rsid w:val="000E03E6"/>
    <w:rsid w:val="000E479A"/>
    <w:rsid w:val="000E6B3E"/>
    <w:rsid w:val="000E760A"/>
    <w:rsid w:val="000E7B1C"/>
    <w:rsid w:val="000E7BD7"/>
    <w:rsid w:val="000F23CD"/>
    <w:rsid w:val="000F3599"/>
    <w:rsid w:val="000F59A1"/>
    <w:rsid w:val="00100384"/>
    <w:rsid w:val="00100B7A"/>
    <w:rsid w:val="00100D8E"/>
    <w:rsid w:val="00101F55"/>
    <w:rsid w:val="00103BE2"/>
    <w:rsid w:val="00104F86"/>
    <w:rsid w:val="0010599D"/>
    <w:rsid w:val="00107CFF"/>
    <w:rsid w:val="00113304"/>
    <w:rsid w:val="00115AE8"/>
    <w:rsid w:val="00116C8B"/>
    <w:rsid w:val="00117B4C"/>
    <w:rsid w:val="00121D04"/>
    <w:rsid w:val="001223DB"/>
    <w:rsid w:val="0012434D"/>
    <w:rsid w:val="001254B5"/>
    <w:rsid w:val="00125813"/>
    <w:rsid w:val="00125F53"/>
    <w:rsid w:val="001269D1"/>
    <w:rsid w:val="00130B6D"/>
    <w:rsid w:val="00130C84"/>
    <w:rsid w:val="00130F4F"/>
    <w:rsid w:val="00131325"/>
    <w:rsid w:val="0013155C"/>
    <w:rsid w:val="00131FB6"/>
    <w:rsid w:val="00132E8D"/>
    <w:rsid w:val="001343C5"/>
    <w:rsid w:val="00134833"/>
    <w:rsid w:val="00136115"/>
    <w:rsid w:val="001375B9"/>
    <w:rsid w:val="00137775"/>
    <w:rsid w:val="001378E7"/>
    <w:rsid w:val="00140199"/>
    <w:rsid w:val="0014183E"/>
    <w:rsid w:val="00142D5C"/>
    <w:rsid w:val="0014319C"/>
    <w:rsid w:val="001434E5"/>
    <w:rsid w:val="00143655"/>
    <w:rsid w:val="001439E2"/>
    <w:rsid w:val="00144A47"/>
    <w:rsid w:val="00144D61"/>
    <w:rsid w:val="00144D7A"/>
    <w:rsid w:val="0014546C"/>
    <w:rsid w:val="00145E09"/>
    <w:rsid w:val="00146C6F"/>
    <w:rsid w:val="00147163"/>
    <w:rsid w:val="001477C9"/>
    <w:rsid w:val="001526D9"/>
    <w:rsid w:val="00152AD0"/>
    <w:rsid w:val="001546EB"/>
    <w:rsid w:val="00154E0B"/>
    <w:rsid w:val="0015530C"/>
    <w:rsid w:val="0015546A"/>
    <w:rsid w:val="00155BD0"/>
    <w:rsid w:val="00156135"/>
    <w:rsid w:val="001625AF"/>
    <w:rsid w:val="00164B4D"/>
    <w:rsid w:val="001656EF"/>
    <w:rsid w:val="0016582A"/>
    <w:rsid w:val="00165A2B"/>
    <w:rsid w:val="001701DA"/>
    <w:rsid w:val="0017087B"/>
    <w:rsid w:val="00170EA1"/>
    <w:rsid w:val="0017131D"/>
    <w:rsid w:val="00171CDD"/>
    <w:rsid w:val="00173720"/>
    <w:rsid w:val="00173B4D"/>
    <w:rsid w:val="0017513C"/>
    <w:rsid w:val="00175619"/>
    <w:rsid w:val="001808EE"/>
    <w:rsid w:val="00183517"/>
    <w:rsid w:val="001848FD"/>
    <w:rsid w:val="00185312"/>
    <w:rsid w:val="00186199"/>
    <w:rsid w:val="00186930"/>
    <w:rsid w:val="00186998"/>
    <w:rsid w:val="00186DC7"/>
    <w:rsid w:val="001872CC"/>
    <w:rsid w:val="001872DD"/>
    <w:rsid w:val="0019021F"/>
    <w:rsid w:val="00190EC4"/>
    <w:rsid w:val="00192B53"/>
    <w:rsid w:val="00193D7C"/>
    <w:rsid w:val="00195205"/>
    <w:rsid w:val="00197218"/>
    <w:rsid w:val="001A0EB6"/>
    <w:rsid w:val="001A38AC"/>
    <w:rsid w:val="001A46FA"/>
    <w:rsid w:val="001A4F31"/>
    <w:rsid w:val="001A6742"/>
    <w:rsid w:val="001A6E17"/>
    <w:rsid w:val="001B120A"/>
    <w:rsid w:val="001B237B"/>
    <w:rsid w:val="001B52AA"/>
    <w:rsid w:val="001B56A0"/>
    <w:rsid w:val="001B59D5"/>
    <w:rsid w:val="001B5B17"/>
    <w:rsid w:val="001B6EAD"/>
    <w:rsid w:val="001B743E"/>
    <w:rsid w:val="001C1721"/>
    <w:rsid w:val="001C1D10"/>
    <w:rsid w:val="001C3852"/>
    <w:rsid w:val="001C4079"/>
    <w:rsid w:val="001C4514"/>
    <w:rsid w:val="001C4DFC"/>
    <w:rsid w:val="001C5071"/>
    <w:rsid w:val="001C675E"/>
    <w:rsid w:val="001C6F8B"/>
    <w:rsid w:val="001CC295"/>
    <w:rsid w:val="001D0231"/>
    <w:rsid w:val="001D0BE8"/>
    <w:rsid w:val="001D0EB5"/>
    <w:rsid w:val="001D0FC5"/>
    <w:rsid w:val="001D2BAE"/>
    <w:rsid w:val="001D2CE1"/>
    <w:rsid w:val="001E2DE6"/>
    <w:rsid w:val="001E4050"/>
    <w:rsid w:val="001E4D92"/>
    <w:rsid w:val="001E5660"/>
    <w:rsid w:val="001E71C7"/>
    <w:rsid w:val="001E7C66"/>
    <w:rsid w:val="001F1947"/>
    <w:rsid w:val="001F27FA"/>
    <w:rsid w:val="001F3B19"/>
    <w:rsid w:val="001F56FC"/>
    <w:rsid w:val="001F7448"/>
    <w:rsid w:val="002001ED"/>
    <w:rsid w:val="00200C51"/>
    <w:rsid w:val="00201952"/>
    <w:rsid w:val="00201FDC"/>
    <w:rsid w:val="00202EC5"/>
    <w:rsid w:val="00203FC7"/>
    <w:rsid w:val="00204982"/>
    <w:rsid w:val="00205323"/>
    <w:rsid w:val="00207FE9"/>
    <w:rsid w:val="00210F2F"/>
    <w:rsid w:val="00211667"/>
    <w:rsid w:val="002128C4"/>
    <w:rsid w:val="00212A09"/>
    <w:rsid w:val="00212B8E"/>
    <w:rsid w:val="00213585"/>
    <w:rsid w:val="00214AEC"/>
    <w:rsid w:val="0021649C"/>
    <w:rsid w:val="00217EEB"/>
    <w:rsid w:val="00217EF4"/>
    <w:rsid w:val="00220CFC"/>
    <w:rsid w:val="00220F61"/>
    <w:rsid w:val="0022133A"/>
    <w:rsid w:val="00222255"/>
    <w:rsid w:val="00223636"/>
    <w:rsid w:val="002244AD"/>
    <w:rsid w:val="00224D1D"/>
    <w:rsid w:val="00225562"/>
    <w:rsid w:val="002270BA"/>
    <w:rsid w:val="002312EC"/>
    <w:rsid w:val="0023149C"/>
    <w:rsid w:val="002319D7"/>
    <w:rsid w:val="002348D9"/>
    <w:rsid w:val="00235153"/>
    <w:rsid w:val="00235970"/>
    <w:rsid w:val="00236115"/>
    <w:rsid w:val="0023656D"/>
    <w:rsid w:val="00236A09"/>
    <w:rsid w:val="00237692"/>
    <w:rsid w:val="00237715"/>
    <w:rsid w:val="0023790C"/>
    <w:rsid w:val="00240451"/>
    <w:rsid w:val="00241FC2"/>
    <w:rsid w:val="00242457"/>
    <w:rsid w:val="002432E7"/>
    <w:rsid w:val="00246EB8"/>
    <w:rsid w:val="00247E88"/>
    <w:rsid w:val="00250410"/>
    <w:rsid w:val="00250C84"/>
    <w:rsid w:val="002524E2"/>
    <w:rsid w:val="00252946"/>
    <w:rsid w:val="00253EE5"/>
    <w:rsid w:val="002541B6"/>
    <w:rsid w:val="00254F20"/>
    <w:rsid w:val="00255B3D"/>
    <w:rsid w:val="00255B44"/>
    <w:rsid w:val="00256FE1"/>
    <w:rsid w:val="002612D7"/>
    <w:rsid w:val="00262082"/>
    <w:rsid w:val="00264743"/>
    <w:rsid w:val="00264DA4"/>
    <w:rsid w:val="00266AF0"/>
    <w:rsid w:val="00266F2B"/>
    <w:rsid w:val="002677EC"/>
    <w:rsid w:val="00270D7C"/>
    <w:rsid w:val="00274BE0"/>
    <w:rsid w:val="00274DFD"/>
    <w:rsid w:val="00277D29"/>
    <w:rsid w:val="00280F3E"/>
    <w:rsid w:val="00282F30"/>
    <w:rsid w:val="00285449"/>
    <w:rsid w:val="00285661"/>
    <w:rsid w:val="00285D59"/>
    <w:rsid w:val="002865E6"/>
    <w:rsid w:val="0028754D"/>
    <w:rsid w:val="0028759E"/>
    <w:rsid w:val="00287854"/>
    <w:rsid w:val="00291CDA"/>
    <w:rsid w:val="00292922"/>
    <w:rsid w:val="00292BC8"/>
    <w:rsid w:val="0029427E"/>
    <w:rsid w:val="0029473D"/>
    <w:rsid w:val="00295193"/>
    <w:rsid w:val="002958BC"/>
    <w:rsid w:val="0029754D"/>
    <w:rsid w:val="002976F7"/>
    <w:rsid w:val="00297A7A"/>
    <w:rsid w:val="002A01D1"/>
    <w:rsid w:val="002A03F1"/>
    <w:rsid w:val="002A08A0"/>
    <w:rsid w:val="002A17F0"/>
    <w:rsid w:val="002A2A2A"/>
    <w:rsid w:val="002A5378"/>
    <w:rsid w:val="002A5657"/>
    <w:rsid w:val="002B06A7"/>
    <w:rsid w:val="002B099D"/>
    <w:rsid w:val="002B15AE"/>
    <w:rsid w:val="002B15D6"/>
    <w:rsid w:val="002B1CF1"/>
    <w:rsid w:val="002B1FF0"/>
    <w:rsid w:val="002B35F8"/>
    <w:rsid w:val="002B5242"/>
    <w:rsid w:val="002C1C72"/>
    <w:rsid w:val="002C323D"/>
    <w:rsid w:val="002C3B35"/>
    <w:rsid w:val="002C4D51"/>
    <w:rsid w:val="002C5070"/>
    <w:rsid w:val="002C60A4"/>
    <w:rsid w:val="002C652A"/>
    <w:rsid w:val="002C7C76"/>
    <w:rsid w:val="002D0D15"/>
    <w:rsid w:val="002D0DBF"/>
    <w:rsid w:val="002D13B6"/>
    <w:rsid w:val="002D2FBB"/>
    <w:rsid w:val="002D390B"/>
    <w:rsid w:val="002D3D94"/>
    <w:rsid w:val="002D3DC3"/>
    <w:rsid w:val="002D4501"/>
    <w:rsid w:val="002D5581"/>
    <w:rsid w:val="002D5B2E"/>
    <w:rsid w:val="002D70A3"/>
    <w:rsid w:val="002E033D"/>
    <w:rsid w:val="002E0BC8"/>
    <w:rsid w:val="002E373D"/>
    <w:rsid w:val="002E4A25"/>
    <w:rsid w:val="002E5EEF"/>
    <w:rsid w:val="002E6C82"/>
    <w:rsid w:val="002E6E96"/>
    <w:rsid w:val="002F000B"/>
    <w:rsid w:val="002F0A7F"/>
    <w:rsid w:val="002F1F7C"/>
    <w:rsid w:val="002F3428"/>
    <w:rsid w:val="002F3D67"/>
    <w:rsid w:val="002F4E92"/>
    <w:rsid w:val="002F63E4"/>
    <w:rsid w:val="002F6CAB"/>
    <w:rsid w:val="002F6DCB"/>
    <w:rsid w:val="002F7DFB"/>
    <w:rsid w:val="003004EE"/>
    <w:rsid w:val="00302877"/>
    <w:rsid w:val="0030506B"/>
    <w:rsid w:val="003050F0"/>
    <w:rsid w:val="003056FD"/>
    <w:rsid w:val="003102E2"/>
    <w:rsid w:val="003104D3"/>
    <w:rsid w:val="00311C97"/>
    <w:rsid w:val="0031341F"/>
    <w:rsid w:val="00313B7A"/>
    <w:rsid w:val="0031400E"/>
    <w:rsid w:val="0031427C"/>
    <w:rsid w:val="003157CA"/>
    <w:rsid w:val="00315C95"/>
    <w:rsid w:val="0031664C"/>
    <w:rsid w:val="00317410"/>
    <w:rsid w:val="00317BDF"/>
    <w:rsid w:val="00317CBC"/>
    <w:rsid w:val="0032192E"/>
    <w:rsid w:val="00321BF5"/>
    <w:rsid w:val="00323ABC"/>
    <w:rsid w:val="0032407E"/>
    <w:rsid w:val="00325561"/>
    <w:rsid w:val="00325C06"/>
    <w:rsid w:val="00327F42"/>
    <w:rsid w:val="00330605"/>
    <w:rsid w:val="0033067E"/>
    <w:rsid w:val="003313DE"/>
    <w:rsid w:val="003335E5"/>
    <w:rsid w:val="0033391A"/>
    <w:rsid w:val="00334C1C"/>
    <w:rsid w:val="003377EE"/>
    <w:rsid w:val="003426F2"/>
    <w:rsid w:val="003433AA"/>
    <w:rsid w:val="003436BE"/>
    <w:rsid w:val="0034400F"/>
    <w:rsid w:val="00346A95"/>
    <w:rsid w:val="00346F8F"/>
    <w:rsid w:val="00347D2F"/>
    <w:rsid w:val="00347D82"/>
    <w:rsid w:val="003503B4"/>
    <w:rsid w:val="00351A80"/>
    <w:rsid w:val="00352090"/>
    <w:rsid w:val="00352E8B"/>
    <w:rsid w:val="0035351C"/>
    <w:rsid w:val="00353CC4"/>
    <w:rsid w:val="00354950"/>
    <w:rsid w:val="00355167"/>
    <w:rsid w:val="00356AA8"/>
    <w:rsid w:val="00357FB2"/>
    <w:rsid w:val="003620D2"/>
    <w:rsid w:val="00363239"/>
    <w:rsid w:val="003679C2"/>
    <w:rsid w:val="00371479"/>
    <w:rsid w:val="00371B91"/>
    <w:rsid w:val="003723E2"/>
    <w:rsid w:val="003730A2"/>
    <w:rsid w:val="003745F5"/>
    <w:rsid w:val="00374831"/>
    <w:rsid w:val="0037557B"/>
    <w:rsid w:val="00380229"/>
    <w:rsid w:val="00380479"/>
    <w:rsid w:val="00381545"/>
    <w:rsid w:val="00381B0B"/>
    <w:rsid w:val="003825E3"/>
    <w:rsid w:val="00382D19"/>
    <w:rsid w:val="00383685"/>
    <w:rsid w:val="00383F13"/>
    <w:rsid w:val="00391024"/>
    <w:rsid w:val="00391298"/>
    <w:rsid w:val="00391741"/>
    <w:rsid w:val="00391BAD"/>
    <w:rsid w:val="00391BF3"/>
    <w:rsid w:val="00392127"/>
    <w:rsid w:val="003923E3"/>
    <w:rsid w:val="00392B1D"/>
    <w:rsid w:val="003933E8"/>
    <w:rsid w:val="00394239"/>
    <w:rsid w:val="0039494E"/>
    <w:rsid w:val="00394B57"/>
    <w:rsid w:val="003955A1"/>
    <w:rsid w:val="0039632E"/>
    <w:rsid w:val="00396541"/>
    <w:rsid w:val="00396C38"/>
    <w:rsid w:val="00396F15"/>
    <w:rsid w:val="0039766D"/>
    <w:rsid w:val="00397A75"/>
    <w:rsid w:val="003A32F0"/>
    <w:rsid w:val="003A3E00"/>
    <w:rsid w:val="003A4EFF"/>
    <w:rsid w:val="003A50F2"/>
    <w:rsid w:val="003A7675"/>
    <w:rsid w:val="003B0397"/>
    <w:rsid w:val="003B1B06"/>
    <w:rsid w:val="003B1BC9"/>
    <w:rsid w:val="003B7F37"/>
    <w:rsid w:val="003C120F"/>
    <w:rsid w:val="003C16B8"/>
    <w:rsid w:val="003C1CCB"/>
    <w:rsid w:val="003C1DDC"/>
    <w:rsid w:val="003C220E"/>
    <w:rsid w:val="003C4851"/>
    <w:rsid w:val="003C5130"/>
    <w:rsid w:val="003D30E5"/>
    <w:rsid w:val="003D5716"/>
    <w:rsid w:val="003D76CF"/>
    <w:rsid w:val="003D7FC9"/>
    <w:rsid w:val="003E0982"/>
    <w:rsid w:val="003E15DE"/>
    <w:rsid w:val="003E1FA0"/>
    <w:rsid w:val="003E2550"/>
    <w:rsid w:val="003E2A98"/>
    <w:rsid w:val="003E320C"/>
    <w:rsid w:val="003E35CE"/>
    <w:rsid w:val="003E3D6E"/>
    <w:rsid w:val="003E7EA2"/>
    <w:rsid w:val="003F1641"/>
    <w:rsid w:val="003F36AA"/>
    <w:rsid w:val="003F50E9"/>
    <w:rsid w:val="003F58EF"/>
    <w:rsid w:val="0040202C"/>
    <w:rsid w:val="00402E51"/>
    <w:rsid w:val="0040347D"/>
    <w:rsid w:val="00403F23"/>
    <w:rsid w:val="00404BC3"/>
    <w:rsid w:val="00404D3A"/>
    <w:rsid w:val="00405501"/>
    <w:rsid w:val="00407EED"/>
    <w:rsid w:val="00412D63"/>
    <w:rsid w:val="00415617"/>
    <w:rsid w:val="00417109"/>
    <w:rsid w:val="00417335"/>
    <w:rsid w:val="00417E09"/>
    <w:rsid w:val="00420791"/>
    <w:rsid w:val="00420855"/>
    <w:rsid w:val="0042155A"/>
    <w:rsid w:val="00422589"/>
    <w:rsid w:val="00423101"/>
    <w:rsid w:val="004258AE"/>
    <w:rsid w:val="0042634B"/>
    <w:rsid w:val="004275C6"/>
    <w:rsid w:val="00427B1E"/>
    <w:rsid w:val="00427BDF"/>
    <w:rsid w:val="00427CAC"/>
    <w:rsid w:val="00430655"/>
    <w:rsid w:val="00431EB2"/>
    <w:rsid w:val="00434D2C"/>
    <w:rsid w:val="00435038"/>
    <w:rsid w:val="0043787B"/>
    <w:rsid w:val="004379B5"/>
    <w:rsid w:val="00441BCC"/>
    <w:rsid w:val="004427E5"/>
    <w:rsid w:val="00443549"/>
    <w:rsid w:val="00444396"/>
    <w:rsid w:val="004462BD"/>
    <w:rsid w:val="00447481"/>
    <w:rsid w:val="00450CEB"/>
    <w:rsid w:val="004519EC"/>
    <w:rsid w:val="00453230"/>
    <w:rsid w:val="00453390"/>
    <w:rsid w:val="004546D4"/>
    <w:rsid w:val="00457696"/>
    <w:rsid w:val="00457697"/>
    <w:rsid w:val="00457BBA"/>
    <w:rsid w:val="004607DF"/>
    <w:rsid w:val="00461919"/>
    <w:rsid w:val="00461BE6"/>
    <w:rsid w:val="00464BF7"/>
    <w:rsid w:val="004651C2"/>
    <w:rsid w:val="0046647F"/>
    <w:rsid w:val="0046772D"/>
    <w:rsid w:val="00470F12"/>
    <w:rsid w:val="004715B0"/>
    <w:rsid w:val="00471AE5"/>
    <w:rsid w:val="004742F1"/>
    <w:rsid w:val="004756F8"/>
    <w:rsid w:val="004758DD"/>
    <w:rsid w:val="00475DF9"/>
    <w:rsid w:val="00481F7E"/>
    <w:rsid w:val="004821F0"/>
    <w:rsid w:val="00482882"/>
    <w:rsid w:val="004830C8"/>
    <w:rsid w:val="0048529F"/>
    <w:rsid w:val="00485959"/>
    <w:rsid w:val="00486878"/>
    <w:rsid w:val="00487782"/>
    <w:rsid w:val="00487945"/>
    <w:rsid w:val="00490381"/>
    <w:rsid w:val="00490A82"/>
    <w:rsid w:val="00491446"/>
    <w:rsid w:val="00491BE4"/>
    <w:rsid w:val="00492EF6"/>
    <w:rsid w:val="00496580"/>
    <w:rsid w:val="004A0DEB"/>
    <w:rsid w:val="004A0E98"/>
    <w:rsid w:val="004A0F52"/>
    <w:rsid w:val="004A15C3"/>
    <w:rsid w:val="004A273C"/>
    <w:rsid w:val="004A3E8D"/>
    <w:rsid w:val="004A43D9"/>
    <w:rsid w:val="004A455C"/>
    <w:rsid w:val="004A461D"/>
    <w:rsid w:val="004A714C"/>
    <w:rsid w:val="004A718C"/>
    <w:rsid w:val="004A784E"/>
    <w:rsid w:val="004B21B2"/>
    <w:rsid w:val="004B223D"/>
    <w:rsid w:val="004B3307"/>
    <w:rsid w:val="004B3C5B"/>
    <w:rsid w:val="004B5ACB"/>
    <w:rsid w:val="004B6B89"/>
    <w:rsid w:val="004B719E"/>
    <w:rsid w:val="004B7B90"/>
    <w:rsid w:val="004C0084"/>
    <w:rsid w:val="004C01B9"/>
    <w:rsid w:val="004C0C67"/>
    <w:rsid w:val="004C0EC3"/>
    <w:rsid w:val="004C200F"/>
    <w:rsid w:val="004C44F2"/>
    <w:rsid w:val="004C46F9"/>
    <w:rsid w:val="004C51D2"/>
    <w:rsid w:val="004C5A84"/>
    <w:rsid w:val="004C6A60"/>
    <w:rsid w:val="004C6B62"/>
    <w:rsid w:val="004D1A9F"/>
    <w:rsid w:val="004D1FF7"/>
    <w:rsid w:val="004D2343"/>
    <w:rsid w:val="004D36BD"/>
    <w:rsid w:val="004D3DCC"/>
    <w:rsid w:val="004D53C8"/>
    <w:rsid w:val="004D6D07"/>
    <w:rsid w:val="004D77B9"/>
    <w:rsid w:val="004E11FB"/>
    <w:rsid w:val="004E27A5"/>
    <w:rsid w:val="004E2E67"/>
    <w:rsid w:val="004E31F4"/>
    <w:rsid w:val="004E33A2"/>
    <w:rsid w:val="004E3550"/>
    <w:rsid w:val="004E3C61"/>
    <w:rsid w:val="004E653C"/>
    <w:rsid w:val="004E77E2"/>
    <w:rsid w:val="004E7D95"/>
    <w:rsid w:val="004F0290"/>
    <w:rsid w:val="004F0443"/>
    <w:rsid w:val="004F365E"/>
    <w:rsid w:val="004F507E"/>
    <w:rsid w:val="004F5A0E"/>
    <w:rsid w:val="004F5E5A"/>
    <w:rsid w:val="004F6287"/>
    <w:rsid w:val="004F6793"/>
    <w:rsid w:val="00501B9E"/>
    <w:rsid w:val="005026EC"/>
    <w:rsid w:val="0050444A"/>
    <w:rsid w:val="00504900"/>
    <w:rsid w:val="00504BE1"/>
    <w:rsid w:val="00505004"/>
    <w:rsid w:val="0050535F"/>
    <w:rsid w:val="00510998"/>
    <w:rsid w:val="00520099"/>
    <w:rsid w:val="00522A75"/>
    <w:rsid w:val="00522E1B"/>
    <w:rsid w:val="005247BF"/>
    <w:rsid w:val="005262C9"/>
    <w:rsid w:val="005264EB"/>
    <w:rsid w:val="00530365"/>
    <w:rsid w:val="005319AE"/>
    <w:rsid w:val="0053409C"/>
    <w:rsid w:val="0053466E"/>
    <w:rsid w:val="00534B5B"/>
    <w:rsid w:val="00534D44"/>
    <w:rsid w:val="00535857"/>
    <w:rsid w:val="0053642E"/>
    <w:rsid w:val="00536853"/>
    <w:rsid w:val="00536F54"/>
    <w:rsid w:val="00537971"/>
    <w:rsid w:val="00541B04"/>
    <w:rsid w:val="005422A1"/>
    <w:rsid w:val="0054252F"/>
    <w:rsid w:val="005452C6"/>
    <w:rsid w:val="00545467"/>
    <w:rsid w:val="00546EB7"/>
    <w:rsid w:val="0054739F"/>
    <w:rsid w:val="005503F3"/>
    <w:rsid w:val="0055041B"/>
    <w:rsid w:val="005511C1"/>
    <w:rsid w:val="005512E5"/>
    <w:rsid w:val="00552352"/>
    <w:rsid w:val="005527D0"/>
    <w:rsid w:val="00553E8B"/>
    <w:rsid w:val="00556A41"/>
    <w:rsid w:val="00561E18"/>
    <w:rsid w:val="00562600"/>
    <w:rsid w:val="00563212"/>
    <w:rsid w:val="00564D26"/>
    <w:rsid w:val="00565F6B"/>
    <w:rsid w:val="00567C68"/>
    <w:rsid w:val="00573303"/>
    <w:rsid w:val="0057441B"/>
    <w:rsid w:val="00574A9F"/>
    <w:rsid w:val="00574EE2"/>
    <w:rsid w:val="0057661A"/>
    <w:rsid w:val="005801A8"/>
    <w:rsid w:val="005807E4"/>
    <w:rsid w:val="00580C51"/>
    <w:rsid w:val="00581B1F"/>
    <w:rsid w:val="005822AA"/>
    <w:rsid w:val="00583183"/>
    <w:rsid w:val="00583CAF"/>
    <w:rsid w:val="00585088"/>
    <w:rsid w:val="00585A81"/>
    <w:rsid w:val="00587AD2"/>
    <w:rsid w:val="00587EE3"/>
    <w:rsid w:val="00587F90"/>
    <w:rsid w:val="005903FE"/>
    <w:rsid w:val="005914F2"/>
    <w:rsid w:val="00591C5D"/>
    <w:rsid w:val="00591D5D"/>
    <w:rsid w:val="00593B11"/>
    <w:rsid w:val="00594514"/>
    <w:rsid w:val="00595C96"/>
    <w:rsid w:val="0059692A"/>
    <w:rsid w:val="005A0C87"/>
    <w:rsid w:val="005A198B"/>
    <w:rsid w:val="005A245D"/>
    <w:rsid w:val="005A24D8"/>
    <w:rsid w:val="005A2583"/>
    <w:rsid w:val="005A3B18"/>
    <w:rsid w:val="005A3F30"/>
    <w:rsid w:val="005A4C69"/>
    <w:rsid w:val="005A4DFB"/>
    <w:rsid w:val="005A4FD0"/>
    <w:rsid w:val="005A5766"/>
    <w:rsid w:val="005A6EC1"/>
    <w:rsid w:val="005B08F4"/>
    <w:rsid w:val="005B0DF9"/>
    <w:rsid w:val="005B16E4"/>
    <w:rsid w:val="005B1A09"/>
    <w:rsid w:val="005B1CB0"/>
    <w:rsid w:val="005B291B"/>
    <w:rsid w:val="005B2F41"/>
    <w:rsid w:val="005B2FE6"/>
    <w:rsid w:val="005B44E4"/>
    <w:rsid w:val="005B4D2E"/>
    <w:rsid w:val="005B7BD5"/>
    <w:rsid w:val="005B7C63"/>
    <w:rsid w:val="005C0159"/>
    <w:rsid w:val="005C02EC"/>
    <w:rsid w:val="005C1749"/>
    <w:rsid w:val="005C2441"/>
    <w:rsid w:val="005C3238"/>
    <w:rsid w:val="005C350B"/>
    <w:rsid w:val="005C524C"/>
    <w:rsid w:val="005C647C"/>
    <w:rsid w:val="005C6AFA"/>
    <w:rsid w:val="005C6D7D"/>
    <w:rsid w:val="005C6EBB"/>
    <w:rsid w:val="005C77F6"/>
    <w:rsid w:val="005D03A9"/>
    <w:rsid w:val="005D083C"/>
    <w:rsid w:val="005D1D77"/>
    <w:rsid w:val="005D3683"/>
    <w:rsid w:val="005D3B42"/>
    <w:rsid w:val="005D3F25"/>
    <w:rsid w:val="005D4D6F"/>
    <w:rsid w:val="005D58F2"/>
    <w:rsid w:val="005D7A6F"/>
    <w:rsid w:val="005E067A"/>
    <w:rsid w:val="005E1D70"/>
    <w:rsid w:val="005E2530"/>
    <w:rsid w:val="005E4D20"/>
    <w:rsid w:val="005E5004"/>
    <w:rsid w:val="005E5835"/>
    <w:rsid w:val="005E67DF"/>
    <w:rsid w:val="005E7F3E"/>
    <w:rsid w:val="005F18F7"/>
    <w:rsid w:val="005F2EA3"/>
    <w:rsid w:val="005F36DC"/>
    <w:rsid w:val="005F4746"/>
    <w:rsid w:val="00601191"/>
    <w:rsid w:val="00601D9F"/>
    <w:rsid w:val="00603B30"/>
    <w:rsid w:val="0060512F"/>
    <w:rsid w:val="006056DC"/>
    <w:rsid w:val="00606FEA"/>
    <w:rsid w:val="00607178"/>
    <w:rsid w:val="0061009C"/>
    <w:rsid w:val="00610804"/>
    <w:rsid w:val="00610D27"/>
    <w:rsid w:val="00610E23"/>
    <w:rsid w:val="006118EC"/>
    <w:rsid w:val="00612943"/>
    <w:rsid w:val="00615864"/>
    <w:rsid w:val="00616D83"/>
    <w:rsid w:val="00620E66"/>
    <w:rsid w:val="006223CD"/>
    <w:rsid w:val="00623CA8"/>
    <w:rsid w:val="00624888"/>
    <w:rsid w:val="0062513B"/>
    <w:rsid w:val="00625776"/>
    <w:rsid w:val="0062745D"/>
    <w:rsid w:val="006278C5"/>
    <w:rsid w:val="00627CC6"/>
    <w:rsid w:val="00627EE4"/>
    <w:rsid w:val="00631AAB"/>
    <w:rsid w:val="00636745"/>
    <w:rsid w:val="0063798B"/>
    <w:rsid w:val="00637EB0"/>
    <w:rsid w:val="00640DAC"/>
    <w:rsid w:val="00641428"/>
    <w:rsid w:val="00643227"/>
    <w:rsid w:val="00644012"/>
    <w:rsid w:val="00644410"/>
    <w:rsid w:val="00644F4A"/>
    <w:rsid w:val="006476EF"/>
    <w:rsid w:val="00647CA3"/>
    <w:rsid w:val="00650D26"/>
    <w:rsid w:val="00650D5A"/>
    <w:rsid w:val="00651CE0"/>
    <w:rsid w:val="0065246E"/>
    <w:rsid w:val="00652E3A"/>
    <w:rsid w:val="00653F01"/>
    <w:rsid w:val="0065513F"/>
    <w:rsid w:val="00657DBD"/>
    <w:rsid w:val="0066049C"/>
    <w:rsid w:val="00660808"/>
    <w:rsid w:val="00661151"/>
    <w:rsid w:val="00661A50"/>
    <w:rsid w:val="00662878"/>
    <w:rsid w:val="00662A5E"/>
    <w:rsid w:val="006639DE"/>
    <w:rsid w:val="00664BAD"/>
    <w:rsid w:val="00666625"/>
    <w:rsid w:val="006668B4"/>
    <w:rsid w:val="00666E76"/>
    <w:rsid w:val="00667B08"/>
    <w:rsid w:val="00670A51"/>
    <w:rsid w:val="0067242A"/>
    <w:rsid w:val="0067256D"/>
    <w:rsid w:val="00673543"/>
    <w:rsid w:val="00674D1B"/>
    <w:rsid w:val="00675206"/>
    <w:rsid w:val="00675318"/>
    <w:rsid w:val="0067779B"/>
    <w:rsid w:val="00680F7D"/>
    <w:rsid w:val="00681235"/>
    <w:rsid w:val="0068268D"/>
    <w:rsid w:val="00682F4A"/>
    <w:rsid w:val="006834A5"/>
    <w:rsid w:val="0068456B"/>
    <w:rsid w:val="006851BD"/>
    <w:rsid w:val="00685D23"/>
    <w:rsid w:val="00686ADE"/>
    <w:rsid w:val="00690197"/>
    <w:rsid w:val="00690F35"/>
    <w:rsid w:val="0069113B"/>
    <w:rsid w:val="00694B58"/>
    <w:rsid w:val="00695ADC"/>
    <w:rsid w:val="0069606D"/>
    <w:rsid w:val="006964BF"/>
    <w:rsid w:val="006A032C"/>
    <w:rsid w:val="006A0D54"/>
    <w:rsid w:val="006A2926"/>
    <w:rsid w:val="006A3168"/>
    <w:rsid w:val="006A3A79"/>
    <w:rsid w:val="006A4325"/>
    <w:rsid w:val="006A47C5"/>
    <w:rsid w:val="006A5C69"/>
    <w:rsid w:val="006A60A0"/>
    <w:rsid w:val="006A6738"/>
    <w:rsid w:val="006B01D7"/>
    <w:rsid w:val="006B107E"/>
    <w:rsid w:val="006B1731"/>
    <w:rsid w:val="006B30B1"/>
    <w:rsid w:val="006B39D9"/>
    <w:rsid w:val="006B6725"/>
    <w:rsid w:val="006C32A1"/>
    <w:rsid w:val="006C3C39"/>
    <w:rsid w:val="006C3F4B"/>
    <w:rsid w:val="006C419C"/>
    <w:rsid w:val="006D024A"/>
    <w:rsid w:val="006D3E58"/>
    <w:rsid w:val="006D4780"/>
    <w:rsid w:val="006D4D94"/>
    <w:rsid w:val="006D5159"/>
    <w:rsid w:val="006D5712"/>
    <w:rsid w:val="006D5805"/>
    <w:rsid w:val="006D5BE8"/>
    <w:rsid w:val="006D5DDD"/>
    <w:rsid w:val="006D6A47"/>
    <w:rsid w:val="006D7DD0"/>
    <w:rsid w:val="006DCCA6"/>
    <w:rsid w:val="006E1C99"/>
    <w:rsid w:val="006E25A8"/>
    <w:rsid w:val="006E2F4F"/>
    <w:rsid w:val="006E33DF"/>
    <w:rsid w:val="006E72C1"/>
    <w:rsid w:val="006F26F6"/>
    <w:rsid w:val="006F346C"/>
    <w:rsid w:val="006F4130"/>
    <w:rsid w:val="006F632B"/>
    <w:rsid w:val="006F7994"/>
    <w:rsid w:val="00700644"/>
    <w:rsid w:val="00700A01"/>
    <w:rsid w:val="00701540"/>
    <w:rsid w:val="007020CD"/>
    <w:rsid w:val="00702E7C"/>
    <w:rsid w:val="00703A3F"/>
    <w:rsid w:val="0070454C"/>
    <w:rsid w:val="00704EE4"/>
    <w:rsid w:val="00706856"/>
    <w:rsid w:val="00707469"/>
    <w:rsid w:val="00707594"/>
    <w:rsid w:val="00710BCA"/>
    <w:rsid w:val="00710BDE"/>
    <w:rsid w:val="00714991"/>
    <w:rsid w:val="007177DE"/>
    <w:rsid w:val="00717801"/>
    <w:rsid w:val="00717FB1"/>
    <w:rsid w:val="00720F10"/>
    <w:rsid w:val="00721452"/>
    <w:rsid w:val="007227E8"/>
    <w:rsid w:val="00722C1F"/>
    <w:rsid w:val="007230CB"/>
    <w:rsid w:val="0073298F"/>
    <w:rsid w:val="0073421E"/>
    <w:rsid w:val="0073457D"/>
    <w:rsid w:val="00734C90"/>
    <w:rsid w:val="00734FD5"/>
    <w:rsid w:val="007358E7"/>
    <w:rsid w:val="007360C7"/>
    <w:rsid w:val="007369F4"/>
    <w:rsid w:val="00736F43"/>
    <w:rsid w:val="0073738C"/>
    <w:rsid w:val="00740526"/>
    <w:rsid w:val="00741A53"/>
    <w:rsid w:val="007420EB"/>
    <w:rsid w:val="00742AEB"/>
    <w:rsid w:val="00743DDF"/>
    <w:rsid w:val="007444B4"/>
    <w:rsid w:val="00746BBE"/>
    <w:rsid w:val="00750158"/>
    <w:rsid w:val="0075195C"/>
    <w:rsid w:val="00752265"/>
    <w:rsid w:val="00752450"/>
    <w:rsid w:val="00753EE2"/>
    <w:rsid w:val="00753F1D"/>
    <w:rsid w:val="00754D1F"/>
    <w:rsid w:val="00757FD9"/>
    <w:rsid w:val="007601CB"/>
    <w:rsid w:val="0076205F"/>
    <w:rsid w:val="00762648"/>
    <w:rsid w:val="0076265B"/>
    <w:rsid w:val="00762DEE"/>
    <w:rsid w:val="00765C57"/>
    <w:rsid w:val="00766D4B"/>
    <w:rsid w:val="00767090"/>
    <w:rsid w:val="007702FC"/>
    <w:rsid w:val="0077065C"/>
    <w:rsid w:val="00772EDC"/>
    <w:rsid w:val="00773823"/>
    <w:rsid w:val="007743B4"/>
    <w:rsid w:val="00774772"/>
    <w:rsid w:val="0077554F"/>
    <w:rsid w:val="00776137"/>
    <w:rsid w:val="00776887"/>
    <w:rsid w:val="0077784C"/>
    <w:rsid w:val="00777F5A"/>
    <w:rsid w:val="007801B9"/>
    <w:rsid w:val="0078296A"/>
    <w:rsid w:val="00782BE5"/>
    <w:rsid w:val="00782E2C"/>
    <w:rsid w:val="0078349C"/>
    <w:rsid w:val="007901DA"/>
    <w:rsid w:val="00794944"/>
    <w:rsid w:val="00794F85"/>
    <w:rsid w:val="0079566B"/>
    <w:rsid w:val="007966F2"/>
    <w:rsid w:val="007976C5"/>
    <w:rsid w:val="00797CC6"/>
    <w:rsid w:val="007A04CA"/>
    <w:rsid w:val="007A153E"/>
    <w:rsid w:val="007A2B98"/>
    <w:rsid w:val="007A43CB"/>
    <w:rsid w:val="007A4C1D"/>
    <w:rsid w:val="007A4F1B"/>
    <w:rsid w:val="007A60C9"/>
    <w:rsid w:val="007A64A5"/>
    <w:rsid w:val="007B1335"/>
    <w:rsid w:val="007B1C37"/>
    <w:rsid w:val="007B1E01"/>
    <w:rsid w:val="007B5496"/>
    <w:rsid w:val="007B573A"/>
    <w:rsid w:val="007B5841"/>
    <w:rsid w:val="007C2532"/>
    <w:rsid w:val="007C36C3"/>
    <w:rsid w:val="007C4E73"/>
    <w:rsid w:val="007CBB6B"/>
    <w:rsid w:val="007D0DE8"/>
    <w:rsid w:val="007D5A89"/>
    <w:rsid w:val="007D68B4"/>
    <w:rsid w:val="007E05CC"/>
    <w:rsid w:val="007E096F"/>
    <w:rsid w:val="007E166F"/>
    <w:rsid w:val="007E16AE"/>
    <w:rsid w:val="007E3799"/>
    <w:rsid w:val="007E51D0"/>
    <w:rsid w:val="007E5D77"/>
    <w:rsid w:val="007E674A"/>
    <w:rsid w:val="007E791D"/>
    <w:rsid w:val="007F0D61"/>
    <w:rsid w:val="007F4301"/>
    <w:rsid w:val="007F4B65"/>
    <w:rsid w:val="007F51DA"/>
    <w:rsid w:val="007F6113"/>
    <w:rsid w:val="007F7715"/>
    <w:rsid w:val="00800974"/>
    <w:rsid w:val="00800F11"/>
    <w:rsid w:val="0080168B"/>
    <w:rsid w:val="00802263"/>
    <w:rsid w:val="008063C1"/>
    <w:rsid w:val="008069EA"/>
    <w:rsid w:val="008070C0"/>
    <w:rsid w:val="008118AF"/>
    <w:rsid w:val="00815736"/>
    <w:rsid w:val="00815F19"/>
    <w:rsid w:val="0082116F"/>
    <w:rsid w:val="00821514"/>
    <w:rsid w:val="00823B47"/>
    <w:rsid w:val="00823F59"/>
    <w:rsid w:val="008259E1"/>
    <w:rsid w:val="00825B6B"/>
    <w:rsid w:val="00827574"/>
    <w:rsid w:val="008301E2"/>
    <w:rsid w:val="00830466"/>
    <w:rsid w:val="008317DB"/>
    <w:rsid w:val="00832062"/>
    <w:rsid w:val="0083319F"/>
    <w:rsid w:val="008332D7"/>
    <w:rsid w:val="00835D68"/>
    <w:rsid w:val="008364CE"/>
    <w:rsid w:val="0083749C"/>
    <w:rsid w:val="0084045E"/>
    <w:rsid w:val="008427C0"/>
    <w:rsid w:val="008428A3"/>
    <w:rsid w:val="0084361A"/>
    <w:rsid w:val="00845F87"/>
    <w:rsid w:val="00847661"/>
    <w:rsid w:val="0085002C"/>
    <w:rsid w:val="00852329"/>
    <w:rsid w:val="00852558"/>
    <w:rsid w:val="008525E4"/>
    <w:rsid w:val="00852918"/>
    <w:rsid w:val="00852EBA"/>
    <w:rsid w:val="008552CB"/>
    <w:rsid w:val="008600BD"/>
    <w:rsid w:val="00862ADA"/>
    <w:rsid w:val="00863842"/>
    <w:rsid w:val="00864CCE"/>
    <w:rsid w:val="008665F3"/>
    <w:rsid w:val="008673F4"/>
    <w:rsid w:val="0086753F"/>
    <w:rsid w:val="0086794C"/>
    <w:rsid w:val="00867A1A"/>
    <w:rsid w:val="008705D3"/>
    <w:rsid w:val="0087168A"/>
    <w:rsid w:val="008719F6"/>
    <w:rsid w:val="00871B95"/>
    <w:rsid w:val="00873BD6"/>
    <w:rsid w:val="00874959"/>
    <w:rsid w:val="00874EE6"/>
    <w:rsid w:val="0087588B"/>
    <w:rsid w:val="00876536"/>
    <w:rsid w:val="00876D34"/>
    <w:rsid w:val="008771EF"/>
    <w:rsid w:val="00877B1F"/>
    <w:rsid w:val="00880D9D"/>
    <w:rsid w:val="0088109B"/>
    <w:rsid w:val="00881572"/>
    <w:rsid w:val="00881AD2"/>
    <w:rsid w:val="00881B73"/>
    <w:rsid w:val="00882B46"/>
    <w:rsid w:val="00883FDA"/>
    <w:rsid w:val="00885B71"/>
    <w:rsid w:val="00886740"/>
    <w:rsid w:val="00890154"/>
    <w:rsid w:val="0089206E"/>
    <w:rsid w:val="00893ED6"/>
    <w:rsid w:val="00895854"/>
    <w:rsid w:val="008960B3"/>
    <w:rsid w:val="008975BE"/>
    <w:rsid w:val="00897A6A"/>
    <w:rsid w:val="008A0CAE"/>
    <w:rsid w:val="008A3FB9"/>
    <w:rsid w:val="008A5BEE"/>
    <w:rsid w:val="008A64B9"/>
    <w:rsid w:val="008A693D"/>
    <w:rsid w:val="008B013C"/>
    <w:rsid w:val="008B0CD0"/>
    <w:rsid w:val="008B1272"/>
    <w:rsid w:val="008B559D"/>
    <w:rsid w:val="008B5977"/>
    <w:rsid w:val="008B690D"/>
    <w:rsid w:val="008C1406"/>
    <w:rsid w:val="008C1C1A"/>
    <w:rsid w:val="008C2813"/>
    <w:rsid w:val="008C301E"/>
    <w:rsid w:val="008C3377"/>
    <w:rsid w:val="008C470F"/>
    <w:rsid w:val="008C4BF7"/>
    <w:rsid w:val="008C6134"/>
    <w:rsid w:val="008C6307"/>
    <w:rsid w:val="008D1014"/>
    <w:rsid w:val="008D29AB"/>
    <w:rsid w:val="008D2E99"/>
    <w:rsid w:val="008D328D"/>
    <w:rsid w:val="008D3D91"/>
    <w:rsid w:val="008D59A7"/>
    <w:rsid w:val="008D6095"/>
    <w:rsid w:val="008D60C0"/>
    <w:rsid w:val="008D60F4"/>
    <w:rsid w:val="008D63FC"/>
    <w:rsid w:val="008D6AA7"/>
    <w:rsid w:val="008D6C73"/>
    <w:rsid w:val="008D6DE6"/>
    <w:rsid w:val="008D713A"/>
    <w:rsid w:val="008E03DA"/>
    <w:rsid w:val="008E0799"/>
    <w:rsid w:val="008E1093"/>
    <w:rsid w:val="008E19AD"/>
    <w:rsid w:val="008E1D60"/>
    <w:rsid w:val="008E55D1"/>
    <w:rsid w:val="008E6DA4"/>
    <w:rsid w:val="008E6F85"/>
    <w:rsid w:val="008F0EDF"/>
    <w:rsid w:val="008F14F8"/>
    <w:rsid w:val="008F2C09"/>
    <w:rsid w:val="008F2CD7"/>
    <w:rsid w:val="008F412E"/>
    <w:rsid w:val="008F419A"/>
    <w:rsid w:val="008F660E"/>
    <w:rsid w:val="008F68CA"/>
    <w:rsid w:val="008F698E"/>
    <w:rsid w:val="008F7140"/>
    <w:rsid w:val="00900363"/>
    <w:rsid w:val="00901D95"/>
    <w:rsid w:val="009029D0"/>
    <w:rsid w:val="00903111"/>
    <w:rsid w:val="0090334C"/>
    <w:rsid w:val="00904924"/>
    <w:rsid w:val="00904BC3"/>
    <w:rsid w:val="009055E9"/>
    <w:rsid w:val="00907E45"/>
    <w:rsid w:val="00911028"/>
    <w:rsid w:val="0091229C"/>
    <w:rsid w:val="00912CBD"/>
    <w:rsid w:val="00913A86"/>
    <w:rsid w:val="00913C51"/>
    <w:rsid w:val="00913CD2"/>
    <w:rsid w:val="00914162"/>
    <w:rsid w:val="009147DF"/>
    <w:rsid w:val="00914F06"/>
    <w:rsid w:val="0091593D"/>
    <w:rsid w:val="00915C46"/>
    <w:rsid w:val="009168D0"/>
    <w:rsid w:val="0091742A"/>
    <w:rsid w:val="0092031E"/>
    <w:rsid w:val="009217AE"/>
    <w:rsid w:val="0092218E"/>
    <w:rsid w:val="00922E38"/>
    <w:rsid w:val="009247F2"/>
    <w:rsid w:val="00924D49"/>
    <w:rsid w:val="00926018"/>
    <w:rsid w:val="00927112"/>
    <w:rsid w:val="00930B7A"/>
    <w:rsid w:val="00931657"/>
    <w:rsid w:val="009332C2"/>
    <w:rsid w:val="0093358C"/>
    <w:rsid w:val="00935D95"/>
    <w:rsid w:val="00936F61"/>
    <w:rsid w:val="009370A5"/>
    <w:rsid w:val="009373BC"/>
    <w:rsid w:val="00941363"/>
    <w:rsid w:val="00941E2A"/>
    <w:rsid w:val="00942336"/>
    <w:rsid w:val="00943C9D"/>
    <w:rsid w:val="0094477F"/>
    <w:rsid w:val="00944997"/>
    <w:rsid w:val="00946B0F"/>
    <w:rsid w:val="00947CCC"/>
    <w:rsid w:val="00947FB6"/>
    <w:rsid w:val="00950549"/>
    <w:rsid w:val="009510E0"/>
    <w:rsid w:val="00951EFD"/>
    <w:rsid w:val="0095256A"/>
    <w:rsid w:val="00952644"/>
    <w:rsid w:val="009538FF"/>
    <w:rsid w:val="009542D2"/>
    <w:rsid w:val="0095445E"/>
    <w:rsid w:val="009548E1"/>
    <w:rsid w:val="00954CA0"/>
    <w:rsid w:val="00955BBF"/>
    <w:rsid w:val="009568E2"/>
    <w:rsid w:val="00960B1B"/>
    <w:rsid w:val="00960F0C"/>
    <w:rsid w:val="009614A8"/>
    <w:rsid w:val="0096240E"/>
    <w:rsid w:val="00962856"/>
    <w:rsid w:val="0096358A"/>
    <w:rsid w:val="0096381C"/>
    <w:rsid w:val="00963902"/>
    <w:rsid w:val="00964391"/>
    <w:rsid w:val="00966D42"/>
    <w:rsid w:val="0097117E"/>
    <w:rsid w:val="00971E4B"/>
    <w:rsid w:val="00973540"/>
    <w:rsid w:val="00973CCE"/>
    <w:rsid w:val="00974033"/>
    <w:rsid w:val="009755CA"/>
    <w:rsid w:val="009758C7"/>
    <w:rsid w:val="009760CA"/>
    <w:rsid w:val="00980DFA"/>
    <w:rsid w:val="00981900"/>
    <w:rsid w:val="00981F32"/>
    <w:rsid w:val="009836D8"/>
    <w:rsid w:val="00985C7D"/>
    <w:rsid w:val="00986446"/>
    <w:rsid w:val="0098686A"/>
    <w:rsid w:val="00987EFF"/>
    <w:rsid w:val="00990913"/>
    <w:rsid w:val="009919B1"/>
    <w:rsid w:val="00992559"/>
    <w:rsid w:val="0099292B"/>
    <w:rsid w:val="00992AB8"/>
    <w:rsid w:val="009937D3"/>
    <w:rsid w:val="00993B29"/>
    <w:rsid w:val="009947D5"/>
    <w:rsid w:val="00997FB3"/>
    <w:rsid w:val="009A0A53"/>
    <w:rsid w:val="009A13D1"/>
    <w:rsid w:val="009A1B83"/>
    <w:rsid w:val="009A2619"/>
    <w:rsid w:val="009A282C"/>
    <w:rsid w:val="009A380A"/>
    <w:rsid w:val="009A7299"/>
    <w:rsid w:val="009A76EB"/>
    <w:rsid w:val="009B10E3"/>
    <w:rsid w:val="009B1420"/>
    <w:rsid w:val="009B1947"/>
    <w:rsid w:val="009B1C54"/>
    <w:rsid w:val="009B28C0"/>
    <w:rsid w:val="009B3995"/>
    <w:rsid w:val="009B3A53"/>
    <w:rsid w:val="009B3D01"/>
    <w:rsid w:val="009B466D"/>
    <w:rsid w:val="009B46AC"/>
    <w:rsid w:val="009B4BBC"/>
    <w:rsid w:val="009B4CE1"/>
    <w:rsid w:val="009B5167"/>
    <w:rsid w:val="009B539A"/>
    <w:rsid w:val="009B62D4"/>
    <w:rsid w:val="009C079C"/>
    <w:rsid w:val="009C1E60"/>
    <w:rsid w:val="009C282F"/>
    <w:rsid w:val="009C2A3D"/>
    <w:rsid w:val="009C3D9F"/>
    <w:rsid w:val="009C546B"/>
    <w:rsid w:val="009C557B"/>
    <w:rsid w:val="009C5846"/>
    <w:rsid w:val="009C5C1E"/>
    <w:rsid w:val="009C6198"/>
    <w:rsid w:val="009C64E7"/>
    <w:rsid w:val="009C68D0"/>
    <w:rsid w:val="009C6FD4"/>
    <w:rsid w:val="009C7201"/>
    <w:rsid w:val="009D0B71"/>
    <w:rsid w:val="009D26E1"/>
    <w:rsid w:val="009D2EDA"/>
    <w:rsid w:val="009D36BB"/>
    <w:rsid w:val="009D3B91"/>
    <w:rsid w:val="009D4EE4"/>
    <w:rsid w:val="009D5AC6"/>
    <w:rsid w:val="009D5DC7"/>
    <w:rsid w:val="009D6278"/>
    <w:rsid w:val="009D631E"/>
    <w:rsid w:val="009D68B9"/>
    <w:rsid w:val="009E02EB"/>
    <w:rsid w:val="009E0839"/>
    <w:rsid w:val="009E0DBB"/>
    <w:rsid w:val="009E5569"/>
    <w:rsid w:val="009E7428"/>
    <w:rsid w:val="009E7A86"/>
    <w:rsid w:val="009F0375"/>
    <w:rsid w:val="009F03FD"/>
    <w:rsid w:val="009F35DB"/>
    <w:rsid w:val="009F37F5"/>
    <w:rsid w:val="009F3867"/>
    <w:rsid w:val="009F6F72"/>
    <w:rsid w:val="009F7451"/>
    <w:rsid w:val="00A009AD"/>
    <w:rsid w:val="00A01E26"/>
    <w:rsid w:val="00A0266B"/>
    <w:rsid w:val="00A0383A"/>
    <w:rsid w:val="00A038A8"/>
    <w:rsid w:val="00A04674"/>
    <w:rsid w:val="00A0592E"/>
    <w:rsid w:val="00A07100"/>
    <w:rsid w:val="00A077A2"/>
    <w:rsid w:val="00A10371"/>
    <w:rsid w:val="00A132FF"/>
    <w:rsid w:val="00A13CFE"/>
    <w:rsid w:val="00A14B69"/>
    <w:rsid w:val="00A1504F"/>
    <w:rsid w:val="00A175AB"/>
    <w:rsid w:val="00A21F98"/>
    <w:rsid w:val="00A2238D"/>
    <w:rsid w:val="00A22B94"/>
    <w:rsid w:val="00A23D86"/>
    <w:rsid w:val="00A23E6E"/>
    <w:rsid w:val="00A25322"/>
    <w:rsid w:val="00A25DFB"/>
    <w:rsid w:val="00A264BB"/>
    <w:rsid w:val="00A26599"/>
    <w:rsid w:val="00A269B0"/>
    <w:rsid w:val="00A26DFC"/>
    <w:rsid w:val="00A27745"/>
    <w:rsid w:val="00A27DEF"/>
    <w:rsid w:val="00A3077E"/>
    <w:rsid w:val="00A30A50"/>
    <w:rsid w:val="00A31828"/>
    <w:rsid w:val="00A33BFC"/>
    <w:rsid w:val="00A341DF"/>
    <w:rsid w:val="00A347C3"/>
    <w:rsid w:val="00A34CC4"/>
    <w:rsid w:val="00A34F0A"/>
    <w:rsid w:val="00A36157"/>
    <w:rsid w:val="00A40131"/>
    <w:rsid w:val="00A41445"/>
    <w:rsid w:val="00A419FF"/>
    <w:rsid w:val="00A42463"/>
    <w:rsid w:val="00A42A70"/>
    <w:rsid w:val="00A430BD"/>
    <w:rsid w:val="00A43CE1"/>
    <w:rsid w:val="00A451A3"/>
    <w:rsid w:val="00A4599C"/>
    <w:rsid w:val="00A45A91"/>
    <w:rsid w:val="00A46974"/>
    <w:rsid w:val="00A46C07"/>
    <w:rsid w:val="00A52844"/>
    <w:rsid w:val="00A53044"/>
    <w:rsid w:val="00A5318E"/>
    <w:rsid w:val="00A54A7E"/>
    <w:rsid w:val="00A552A1"/>
    <w:rsid w:val="00A56D87"/>
    <w:rsid w:val="00A5773E"/>
    <w:rsid w:val="00A60C34"/>
    <w:rsid w:val="00A614D6"/>
    <w:rsid w:val="00A657DE"/>
    <w:rsid w:val="00A65C7A"/>
    <w:rsid w:val="00A65F0F"/>
    <w:rsid w:val="00A70BDF"/>
    <w:rsid w:val="00A71655"/>
    <w:rsid w:val="00A71D26"/>
    <w:rsid w:val="00A73005"/>
    <w:rsid w:val="00A744B4"/>
    <w:rsid w:val="00A74670"/>
    <w:rsid w:val="00A7739B"/>
    <w:rsid w:val="00A803EC"/>
    <w:rsid w:val="00A835B4"/>
    <w:rsid w:val="00A8367F"/>
    <w:rsid w:val="00A844DC"/>
    <w:rsid w:val="00A8451E"/>
    <w:rsid w:val="00A84EE5"/>
    <w:rsid w:val="00A855B9"/>
    <w:rsid w:val="00A85948"/>
    <w:rsid w:val="00A87EFE"/>
    <w:rsid w:val="00A87F6B"/>
    <w:rsid w:val="00A928D5"/>
    <w:rsid w:val="00A94C11"/>
    <w:rsid w:val="00A96DCE"/>
    <w:rsid w:val="00A973DA"/>
    <w:rsid w:val="00AA0476"/>
    <w:rsid w:val="00AA0A33"/>
    <w:rsid w:val="00AA0F31"/>
    <w:rsid w:val="00AA17ED"/>
    <w:rsid w:val="00AA2C89"/>
    <w:rsid w:val="00AA5BF3"/>
    <w:rsid w:val="00AA7E08"/>
    <w:rsid w:val="00AA7E76"/>
    <w:rsid w:val="00AB203D"/>
    <w:rsid w:val="00AB2839"/>
    <w:rsid w:val="00AB2B2D"/>
    <w:rsid w:val="00AB35DA"/>
    <w:rsid w:val="00AB46BB"/>
    <w:rsid w:val="00AB47E3"/>
    <w:rsid w:val="00AB4866"/>
    <w:rsid w:val="00AB499F"/>
    <w:rsid w:val="00AB4BBC"/>
    <w:rsid w:val="00AB5057"/>
    <w:rsid w:val="00AB548F"/>
    <w:rsid w:val="00AB7F9C"/>
    <w:rsid w:val="00AC0D5E"/>
    <w:rsid w:val="00AC136D"/>
    <w:rsid w:val="00AC356C"/>
    <w:rsid w:val="00AC426C"/>
    <w:rsid w:val="00AC4F47"/>
    <w:rsid w:val="00AC7B67"/>
    <w:rsid w:val="00AC7D88"/>
    <w:rsid w:val="00AD26FF"/>
    <w:rsid w:val="00AD29C5"/>
    <w:rsid w:val="00AD33D0"/>
    <w:rsid w:val="00AD4EB3"/>
    <w:rsid w:val="00AD577C"/>
    <w:rsid w:val="00AD5A4B"/>
    <w:rsid w:val="00AD629C"/>
    <w:rsid w:val="00AD7149"/>
    <w:rsid w:val="00AD79B5"/>
    <w:rsid w:val="00AD7C3E"/>
    <w:rsid w:val="00AD7E2D"/>
    <w:rsid w:val="00AD7FDA"/>
    <w:rsid w:val="00AE022F"/>
    <w:rsid w:val="00AE09B0"/>
    <w:rsid w:val="00AE2375"/>
    <w:rsid w:val="00AE2C94"/>
    <w:rsid w:val="00AE4838"/>
    <w:rsid w:val="00AE5DDB"/>
    <w:rsid w:val="00AE6863"/>
    <w:rsid w:val="00AE6EB4"/>
    <w:rsid w:val="00AF1020"/>
    <w:rsid w:val="00AF32AA"/>
    <w:rsid w:val="00AF34DD"/>
    <w:rsid w:val="00AF3FF5"/>
    <w:rsid w:val="00AF4239"/>
    <w:rsid w:val="00AF5232"/>
    <w:rsid w:val="00AF7083"/>
    <w:rsid w:val="00AF7589"/>
    <w:rsid w:val="00AF7A4D"/>
    <w:rsid w:val="00B00266"/>
    <w:rsid w:val="00B0071E"/>
    <w:rsid w:val="00B0158A"/>
    <w:rsid w:val="00B02ABA"/>
    <w:rsid w:val="00B06591"/>
    <w:rsid w:val="00B074BA"/>
    <w:rsid w:val="00B10C78"/>
    <w:rsid w:val="00B11BAA"/>
    <w:rsid w:val="00B12800"/>
    <w:rsid w:val="00B13E19"/>
    <w:rsid w:val="00B15D0C"/>
    <w:rsid w:val="00B15D4D"/>
    <w:rsid w:val="00B1785C"/>
    <w:rsid w:val="00B17E03"/>
    <w:rsid w:val="00B20063"/>
    <w:rsid w:val="00B21803"/>
    <w:rsid w:val="00B23B7C"/>
    <w:rsid w:val="00B23C86"/>
    <w:rsid w:val="00B24256"/>
    <w:rsid w:val="00B250EB"/>
    <w:rsid w:val="00B2618A"/>
    <w:rsid w:val="00B30B3E"/>
    <w:rsid w:val="00B315AD"/>
    <w:rsid w:val="00B32262"/>
    <w:rsid w:val="00B32910"/>
    <w:rsid w:val="00B33E43"/>
    <w:rsid w:val="00B3601E"/>
    <w:rsid w:val="00B361E4"/>
    <w:rsid w:val="00B402AE"/>
    <w:rsid w:val="00B4058B"/>
    <w:rsid w:val="00B4122D"/>
    <w:rsid w:val="00B41BDA"/>
    <w:rsid w:val="00B42CF0"/>
    <w:rsid w:val="00B43357"/>
    <w:rsid w:val="00B44F46"/>
    <w:rsid w:val="00B45C28"/>
    <w:rsid w:val="00B45D63"/>
    <w:rsid w:val="00B45E42"/>
    <w:rsid w:val="00B474EA"/>
    <w:rsid w:val="00B47C24"/>
    <w:rsid w:val="00B47F4F"/>
    <w:rsid w:val="00B503C3"/>
    <w:rsid w:val="00B51D93"/>
    <w:rsid w:val="00B51DA0"/>
    <w:rsid w:val="00B53765"/>
    <w:rsid w:val="00B543EC"/>
    <w:rsid w:val="00B571AA"/>
    <w:rsid w:val="00B57FA1"/>
    <w:rsid w:val="00B600D2"/>
    <w:rsid w:val="00B6070D"/>
    <w:rsid w:val="00B60D10"/>
    <w:rsid w:val="00B62601"/>
    <w:rsid w:val="00B62CD2"/>
    <w:rsid w:val="00B64B3E"/>
    <w:rsid w:val="00B64B87"/>
    <w:rsid w:val="00B6572D"/>
    <w:rsid w:val="00B65849"/>
    <w:rsid w:val="00B66C6F"/>
    <w:rsid w:val="00B677C6"/>
    <w:rsid w:val="00B67D60"/>
    <w:rsid w:val="00B71889"/>
    <w:rsid w:val="00B72BD2"/>
    <w:rsid w:val="00B7403A"/>
    <w:rsid w:val="00B744EC"/>
    <w:rsid w:val="00B75980"/>
    <w:rsid w:val="00B7783F"/>
    <w:rsid w:val="00B800B1"/>
    <w:rsid w:val="00B80B54"/>
    <w:rsid w:val="00B81B83"/>
    <w:rsid w:val="00B82D58"/>
    <w:rsid w:val="00B835A6"/>
    <w:rsid w:val="00B83926"/>
    <w:rsid w:val="00B84DAA"/>
    <w:rsid w:val="00B86561"/>
    <w:rsid w:val="00B86AC7"/>
    <w:rsid w:val="00B87191"/>
    <w:rsid w:val="00B87E6C"/>
    <w:rsid w:val="00B87F4F"/>
    <w:rsid w:val="00B903C0"/>
    <w:rsid w:val="00B920D7"/>
    <w:rsid w:val="00B92262"/>
    <w:rsid w:val="00B926B5"/>
    <w:rsid w:val="00B95850"/>
    <w:rsid w:val="00B96F3C"/>
    <w:rsid w:val="00B97626"/>
    <w:rsid w:val="00B9F7A5"/>
    <w:rsid w:val="00BA0117"/>
    <w:rsid w:val="00BA066F"/>
    <w:rsid w:val="00BA1053"/>
    <w:rsid w:val="00BA27AF"/>
    <w:rsid w:val="00BA2940"/>
    <w:rsid w:val="00BA2E3A"/>
    <w:rsid w:val="00BA47D3"/>
    <w:rsid w:val="00BA583A"/>
    <w:rsid w:val="00BA5961"/>
    <w:rsid w:val="00BA7559"/>
    <w:rsid w:val="00BA78F0"/>
    <w:rsid w:val="00BB0607"/>
    <w:rsid w:val="00BB08E8"/>
    <w:rsid w:val="00BB1092"/>
    <w:rsid w:val="00BB2E54"/>
    <w:rsid w:val="00BB2F34"/>
    <w:rsid w:val="00BB4399"/>
    <w:rsid w:val="00BB6832"/>
    <w:rsid w:val="00BB7606"/>
    <w:rsid w:val="00BC03B9"/>
    <w:rsid w:val="00BC0C16"/>
    <w:rsid w:val="00BC1987"/>
    <w:rsid w:val="00BC3195"/>
    <w:rsid w:val="00BC334C"/>
    <w:rsid w:val="00BC3F7A"/>
    <w:rsid w:val="00BC645C"/>
    <w:rsid w:val="00BC6B59"/>
    <w:rsid w:val="00BC7D67"/>
    <w:rsid w:val="00BD1408"/>
    <w:rsid w:val="00BD3400"/>
    <w:rsid w:val="00BD351C"/>
    <w:rsid w:val="00BD44E8"/>
    <w:rsid w:val="00BD4E7C"/>
    <w:rsid w:val="00BD58DC"/>
    <w:rsid w:val="00BD7CC7"/>
    <w:rsid w:val="00BE1A01"/>
    <w:rsid w:val="00BE20CB"/>
    <w:rsid w:val="00BE233F"/>
    <w:rsid w:val="00BE6E87"/>
    <w:rsid w:val="00BF1D40"/>
    <w:rsid w:val="00BF2716"/>
    <w:rsid w:val="00BF2744"/>
    <w:rsid w:val="00BF29F5"/>
    <w:rsid w:val="00BF3104"/>
    <w:rsid w:val="00BF3E75"/>
    <w:rsid w:val="00BF4460"/>
    <w:rsid w:val="00BF68E8"/>
    <w:rsid w:val="00C005FB"/>
    <w:rsid w:val="00C01EE4"/>
    <w:rsid w:val="00C028BF"/>
    <w:rsid w:val="00C04E38"/>
    <w:rsid w:val="00C05EED"/>
    <w:rsid w:val="00C1011A"/>
    <w:rsid w:val="00C10448"/>
    <w:rsid w:val="00C12168"/>
    <w:rsid w:val="00C12CE1"/>
    <w:rsid w:val="00C14319"/>
    <w:rsid w:val="00C14407"/>
    <w:rsid w:val="00C14958"/>
    <w:rsid w:val="00C153E5"/>
    <w:rsid w:val="00C1584A"/>
    <w:rsid w:val="00C209FF"/>
    <w:rsid w:val="00C218A7"/>
    <w:rsid w:val="00C21CBC"/>
    <w:rsid w:val="00C21D85"/>
    <w:rsid w:val="00C229ED"/>
    <w:rsid w:val="00C23115"/>
    <w:rsid w:val="00C23286"/>
    <w:rsid w:val="00C2334E"/>
    <w:rsid w:val="00C234EE"/>
    <w:rsid w:val="00C23DE4"/>
    <w:rsid w:val="00C24BA8"/>
    <w:rsid w:val="00C273B0"/>
    <w:rsid w:val="00C30977"/>
    <w:rsid w:val="00C31940"/>
    <w:rsid w:val="00C31D9C"/>
    <w:rsid w:val="00C32399"/>
    <w:rsid w:val="00C33561"/>
    <w:rsid w:val="00C3580E"/>
    <w:rsid w:val="00C35B82"/>
    <w:rsid w:val="00C35D68"/>
    <w:rsid w:val="00C37E46"/>
    <w:rsid w:val="00C40D53"/>
    <w:rsid w:val="00C44C20"/>
    <w:rsid w:val="00C45914"/>
    <w:rsid w:val="00C45D7B"/>
    <w:rsid w:val="00C4648D"/>
    <w:rsid w:val="00C466E0"/>
    <w:rsid w:val="00C479F2"/>
    <w:rsid w:val="00C54928"/>
    <w:rsid w:val="00C563A7"/>
    <w:rsid w:val="00C616AB"/>
    <w:rsid w:val="00C61A6F"/>
    <w:rsid w:val="00C61A8F"/>
    <w:rsid w:val="00C61F4E"/>
    <w:rsid w:val="00C64221"/>
    <w:rsid w:val="00C65AB2"/>
    <w:rsid w:val="00C664BB"/>
    <w:rsid w:val="00C67022"/>
    <w:rsid w:val="00C71331"/>
    <w:rsid w:val="00C71DC8"/>
    <w:rsid w:val="00C74F4E"/>
    <w:rsid w:val="00C751DF"/>
    <w:rsid w:val="00C771C9"/>
    <w:rsid w:val="00C779FA"/>
    <w:rsid w:val="00C830CF"/>
    <w:rsid w:val="00C847EE"/>
    <w:rsid w:val="00C87CB0"/>
    <w:rsid w:val="00C90902"/>
    <w:rsid w:val="00C93DE2"/>
    <w:rsid w:val="00C945F3"/>
    <w:rsid w:val="00C95C3A"/>
    <w:rsid w:val="00C95F98"/>
    <w:rsid w:val="00C965BB"/>
    <w:rsid w:val="00CA0339"/>
    <w:rsid w:val="00CA0822"/>
    <w:rsid w:val="00CA0950"/>
    <w:rsid w:val="00CA1090"/>
    <w:rsid w:val="00CA1B9E"/>
    <w:rsid w:val="00CA1D82"/>
    <w:rsid w:val="00CA47C8"/>
    <w:rsid w:val="00CA58F3"/>
    <w:rsid w:val="00CA5D6A"/>
    <w:rsid w:val="00CA6FB0"/>
    <w:rsid w:val="00CA78B1"/>
    <w:rsid w:val="00CB02F5"/>
    <w:rsid w:val="00CB1C49"/>
    <w:rsid w:val="00CB2697"/>
    <w:rsid w:val="00CB3AF4"/>
    <w:rsid w:val="00CB3F21"/>
    <w:rsid w:val="00CB4933"/>
    <w:rsid w:val="00CB4B3D"/>
    <w:rsid w:val="00CB5BD7"/>
    <w:rsid w:val="00CB7D28"/>
    <w:rsid w:val="00CC0466"/>
    <w:rsid w:val="00CC1916"/>
    <w:rsid w:val="00CC25F7"/>
    <w:rsid w:val="00CC2D43"/>
    <w:rsid w:val="00CC3025"/>
    <w:rsid w:val="00CC3262"/>
    <w:rsid w:val="00CC42F4"/>
    <w:rsid w:val="00CC60EA"/>
    <w:rsid w:val="00CC6398"/>
    <w:rsid w:val="00CD225B"/>
    <w:rsid w:val="00CD5319"/>
    <w:rsid w:val="00CD5541"/>
    <w:rsid w:val="00CD5C8E"/>
    <w:rsid w:val="00CD66C0"/>
    <w:rsid w:val="00CE19EC"/>
    <w:rsid w:val="00CE1A6D"/>
    <w:rsid w:val="00CE202B"/>
    <w:rsid w:val="00CE2220"/>
    <w:rsid w:val="00CE4C6A"/>
    <w:rsid w:val="00CE59E8"/>
    <w:rsid w:val="00CF080E"/>
    <w:rsid w:val="00CF13BC"/>
    <w:rsid w:val="00CF1968"/>
    <w:rsid w:val="00CF1AD6"/>
    <w:rsid w:val="00CF3B17"/>
    <w:rsid w:val="00CF4281"/>
    <w:rsid w:val="00CF51FF"/>
    <w:rsid w:val="00CF612C"/>
    <w:rsid w:val="00CF62C7"/>
    <w:rsid w:val="00D01555"/>
    <w:rsid w:val="00D015B4"/>
    <w:rsid w:val="00D02843"/>
    <w:rsid w:val="00D04249"/>
    <w:rsid w:val="00D04427"/>
    <w:rsid w:val="00D04A5B"/>
    <w:rsid w:val="00D0688B"/>
    <w:rsid w:val="00D06A2A"/>
    <w:rsid w:val="00D07198"/>
    <w:rsid w:val="00D07576"/>
    <w:rsid w:val="00D10978"/>
    <w:rsid w:val="00D11822"/>
    <w:rsid w:val="00D127AF"/>
    <w:rsid w:val="00D12C14"/>
    <w:rsid w:val="00D132E3"/>
    <w:rsid w:val="00D13AC8"/>
    <w:rsid w:val="00D1656A"/>
    <w:rsid w:val="00D200CE"/>
    <w:rsid w:val="00D20619"/>
    <w:rsid w:val="00D20788"/>
    <w:rsid w:val="00D217BB"/>
    <w:rsid w:val="00D22307"/>
    <w:rsid w:val="00D224AA"/>
    <w:rsid w:val="00D230F8"/>
    <w:rsid w:val="00D23AF9"/>
    <w:rsid w:val="00D241AF"/>
    <w:rsid w:val="00D244F6"/>
    <w:rsid w:val="00D255DA"/>
    <w:rsid w:val="00D26A91"/>
    <w:rsid w:val="00D27243"/>
    <w:rsid w:val="00D30CB9"/>
    <w:rsid w:val="00D31ED2"/>
    <w:rsid w:val="00D320F6"/>
    <w:rsid w:val="00D32577"/>
    <w:rsid w:val="00D33B95"/>
    <w:rsid w:val="00D3476E"/>
    <w:rsid w:val="00D34C24"/>
    <w:rsid w:val="00D35901"/>
    <w:rsid w:val="00D4197E"/>
    <w:rsid w:val="00D41D48"/>
    <w:rsid w:val="00D42D2E"/>
    <w:rsid w:val="00D433F3"/>
    <w:rsid w:val="00D43898"/>
    <w:rsid w:val="00D45556"/>
    <w:rsid w:val="00D46193"/>
    <w:rsid w:val="00D4667B"/>
    <w:rsid w:val="00D47383"/>
    <w:rsid w:val="00D501C2"/>
    <w:rsid w:val="00D5145F"/>
    <w:rsid w:val="00D531AA"/>
    <w:rsid w:val="00D53ADC"/>
    <w:rsid w:val="00D547A9"/>
    <w:rsid w:val="00D56456"/>
    <w:rsid w:val="00D564F2"/>
    <w:rsid w:val="00D569D9"/>
    <w:rsid w:val="00D6203F"/>
    <w:rsid w:val="00D63F3B"/>
    <w:rsid w:val="00D64091"/>
    <w:rsid w:val="00D64AC5"/>
    <w:rsid w:val="00D64D0B"/>
    <w:rsid w:val="00D65040"/>
    <w:rsid w:val="00D65660"/>
    <w:rsid w:val="00D678D6"/>
    <w:rsid w:val="00D70466"/>
    <w:rsid w:val="00D72EA5"/>
    <w:rsid w:val="00D730F1"/>
    <w:rsid w:val="00D73ABD"/>
    <w:rsid w:val="00D745F9"/>
    <w:rsid w:val="00D74AB2"/>
    <w:rsid w:val="00D754F6"/>
    <w:rsid w:val="00D75D53"/>
    <w:rsid w:val="00D80231"/>
    <w:rsid w:val="00D847EF"/>
    <w:rsid w:val="00D8481E"/>
    <w:rsid w:val="00D85403"/>
    <w:rsid w:val="00D85C1E"/>
    <w:rsid w:val="00D85E2F"/>
    <w:rsid w:val="00D86115"/>
    <w:rsid w:val="00D863DC"/>
    <w:rsid w:val="00D87D7A"/>
    <w:rsid w:val="00D91D53"/>
    <w:rsid w:val="00D936D5"/>
    <w:rsid w:val="00D94018"/>
    <w:rsid w:val="00D95156"/>
    <w:rsid w:val="00D95BBC"/>
    <w:rsid w:val="00D95F8C"/>
    <w:rsid w:val="00D9610E"/>
    <w:rsid w:val="00D9780C"/>
    <w:rsid w:val="00D97C1C"/>
    <w:rsid w:val="00DA0579"/>
    <w:rsid w:val="00DA1687"/>
    <w:rsid w:val="00DA5C06"/>
    <w:rsid w:val="00DA606F"/>
    <w:rsid w:val="00DA629E"/>
    <w:rsid w:val="00DA7D90"/>
    <w:rsid w:val="00DB1BB1"/>
    <w:rsid w:val="00DB1FBC"/>
    <w:rsid w:val="00DB7184"/>
    <w:rsid w:val="00DC079E"/>
    <w:rsid w:val="00DC08B1"/>
    <w:rsid w:val="00DC104A"/>
    <w:rsid w:val="00DC23F2"/>
    <w:rsid w:val="00DC294A"/>
    <w:rsid w:val="00DC2ADA"/>
    <w:rsid w:val="00DC33A2"/>
    <w:rsid w:val="00DD00D6"/>
    <w:rsid w:val="00DD092D"/>
    <w:rsid w:val="00DD1043"/>
    <w:rsid w:val="00DD363F"/>
    <w:rsid w:val="00DD4C25"/>
    <w:rsid w:val="00DD711A"/>
    <w:rsid w:val="00DD76F5"/>
    <w:rsid w:val="00DE653F"/>
    <w:rsid w:val="00DE6900"/>
    <w:rsid w:val="00DE6E29"/>
    <w:rsid w:val="00DE7C4E"/>
    <w:rsid w:val="00DF0C74"/>
    <w:rsid w:val="00DF0D93"/>
    <w:rsid w:val="00DF1F57"/>
    <w:rsid w:val="00DF2592"/>
    <w:rsid w:val="00DF2B37"/>
    <w:rsid w:val="00DF43E1"/>
    <w:rsid w:val="00DF570A"/>
    <w:rsid w:val="00DF66B1"/>
    <w:rsid w:val="00DF68BD"/>
    <w:rsid w:val="00E02F55"/>
    <w:rsid w:val="00E06506"/>
    <w:rsid w:val="00E07501"/>
    <w:rsid w:val="00E116C2"/>
    <w:rsid w:val="00E116E5"/>
    <w:rsid w:val="00E145C4"/>
    <w:rsid w:val="00E1672E"/>
    <w:rsid w:val="00E20AB9"/>
    <w:rsid w:val="00E21C67"/>
    <w:rsid w:val="00E238A1"/>
    <w:rsid w:val="00E245DC"/>
    <w:rsid w:val="00E25530"/>
    <w:rsid w:val="00E25C89"/>
    <w:rsid w:val="00E3003E"/>
    <w:rsid w:val="00E30F4B"/>
    <w:rsid w:val="00E31B29"/>
    <w:rsid w:val="00E33761"/>
    <w:rsid w:val="00E3736B"/>
    <w:rsid w:val="00E40070"/>
    <w:rsid w:val="00E406AB"/>
    <w:rsid w:val="00E40914"/>
    <w:rsid w:val="00E4153B"/>
    <w:rsid w:val="00E438B6"/>
    <w:rsid w:val="00E5015B"/>
    <w:rsid w:val="00E512F1"/>
    <w:rsid w:val="00E52BE7"/>
    <w:rsid w:val="00E537A8"/>
    <w:rsid w:val="00E53A0F"/>
    <w:rsid w:val="00E53B19"/>
    <w:rsid w:val="00E551D0"/>
    <w:rsid w:val="00E60A01"/>
    <w:rsid w:val="00E61554"/>
    <w:rsid w:val="00E61734"/>
    <w:rsid w:val="00E624FA"/>
    <w:rsid w:val="00E655B0"/>
    <w:rsid w:val="00E6628A"/>
    <w:rsid w:val="00E66ACA"/>
    <w:rsid w:val="00E712EB"/>
    <w:rsid w:val="00E71450"/>
    <w:rsid w:val="00E71FE6"/>
    <w:rsid w:val="00E732F2"/>
    <w:rsid w:val="00E738E3"/>
    <w:rsid w:val="00E74DDC"/>
    <w:rsid w:val="00E75E1D"/>
    <w:rsid w:val="00E76FA5"/>
    <w:rsid w:val="00E778B4"/>
    <w:rsid w:val="00E77DD7"/>
    <w:rsid w:val="00E8222D"/>
    <w:rsid w:val="00E831FF"/>
    <w:rsid w:val="00E83A80"/>
    <w:rsid w:val="00E867FD"/>
    <w:rsid w:val="00E86935"/>
    <w:rsid w:val="00E8718D"/>
    <w:rsid w:val="00E901EF"/>
    <w:rsid w:val="00E9162D"/>
    <w:rsid w:val="00E9197F"/>
    <w:rsid w:val="00E92A65"/>
    <w:rsid w:val="00E92B4B"/>
    <w:rsid w:val="00E9346E"/>
    <w:rsid w:val="00E93A3E"/>
    <w:rsid w:val="00E941C1"/>
    <w:rsid w:val="00E9440C"/>
    <w:rsid w:val="00E954C1"/>
    <w:rsid w:val="00E961E6"/>
    <w:rsid w:val="00E96932"/>
    <w:rsid w:val="00E977B2"/>
    <w:rsid w:val="00E97BB0"/>
    <w:rsid w:val="00EA12FB"/>
    <w:rsid w:val="00EA1A3F"/>
    <w:rsid w:val="00EA1C1D"/>
    <w:rsid w:val="00EA3AC1"/>
    <w:rsid w:val="00EA5245"/>
    <w:rsid w:val="00EA6060"/>
    <w:rsid w:val="00EA72B2"/>
    <w:rsid w:val="00EB0F3D"/>
    <w:rsid w:val="00EB1157"/>
    <w:rsid w:val="00EB261A"/>
    <w:rsid w:val="00EB262B"/>
    <w:rsid w:val="00EB331B"/>
    <w:rsid w:val="00EB6931"/>
    <w:rsid w:val="00EB789D"/>
    <w:rsid w:val="00EC08B0"/>
    <w:rsid w:val="00EC17C3"/>
    <w:rsid w:val="00EC2026"/>
    <w:rsid w:val="00EC2D71"/>
    <w:rsid w:val="00EC5AD2"/>
    <w:rsid w:val="00EC65ED"/>
    <w:rsid w:val="00EC66EB"/>
    <w:rsid w:val="00EC7523"/>
    <w:rsid w:val="00EC76A0"/>
    <w:rsid w:val="00ED027B"/>
    <w:rsid w:val="00ED0FB8"/>
    <w:rsid w:val="00ED1E20"/>
    <w:rsid w:val="00ED32E8"/>
    <w:rsid w:val="00ED529E"/>
    <w:rsid w:val="00ED595D"/>
    <w:rsid w:val="00ED66A5"/>
    <w:rsid w:val="00EE12EE"/>
    <w:rsid w:val="00EE136B"/>
    <w:rsid w:val="00EE186D"/>
    <w:rsid w:val="00EE43AE"/>
    <w:rsid w:val="00EE509D"/>
    <w:rsid w:val="00EE53EB"/>
    <w:rsid w:val="00EE6A93"/>
    <w:rsid w:val="00EE71C0"/>
    <w:rsid w:val="00EF116B"/>
    <w:rsid w:val="00EF2B1F"/>
    <w:rsid w:val="00EF387F"/>
    <w:rsid w:val="00EF420D"/>
    <w:rsid w:val="00EF5430"/>
    <w:rsid w:val="00EF57CD"/>
    <w:rsid w:val="00EF60E9"/>
    <w:rsid w:val="00EF7410"/>
    <w:rsid w:val="00EF7525"/>
    <w:rsid w:val="00F0030A"/>
    <w:rsid w:val="00F00BF4"/>
    <w:rsid w:val="00F02097"/>
    <w:rsid w:val="00F044A6"/>
    <w:rsid w:val="00F045E3"/>
    <w:rsid w:val="00F05C06"/>
    <w:rsid w:val="00F06CAA"/>
    <w:rsid w:val="00F072D0"/>
    <w:rsid w:val="00F07879"/>
    <w:rsid w:val="00F07B43"/>
    <w:rsid w:val="00F10BEC"/>
    <w:rsid w:val="00F11158"/>
    <w:rsid w:val="00F1137E"/>
    <w:rsid w:val="00F11A3E"/>
    <w:rsid w:val="00F12EA7"/>
    <w:rsid w:val="00F1345B"/>
    <w:rsid w:val="00F13EA8"/>
    <w:rsid w:val="00F142AD"/>
    <w:rsid w:val="00F145E4"/>
    <w:rsid w:val="00F16D87"/>
    <w:rsid w:val="00F173FA"/>
    <w:rsid w:val="00F17A4C"/>
    <w:rsid w:val="00F2098E"/>
    <w:rsid w:val="00F21DCF"/>
    <w:rsid w:val="00F22850"/>
    <w:rsid w:val="00F24127"/>
    <w:rsid w:val="00F24AC6"/>
    <w:rsid w:val="00F24C7E"/>
    <w:rsid w:val="00F25751"/>
    <w:rsid w:val="00F3187F"/>
    <w:rsid w:val="00F31D0E"/>
    <w:rsid w:val="00F3238D"/>
    <w:rsid w:val="00F32F8B"/>
    <w:rsid w:val="00F34381"/>
    <w:rsid w:val="00F347C7"/>
    <w:rsid w:val="00F35354"/>
    <w:rsid w:val="00F3536B"/>
    <w:rsid w:val="00F35869"/>
    <w:rsid w:val="00F37255"/>
    <w:rsid w:val="00F37A2C"/>
    <w:rsid w:val="00F4079E"/>
    <w:rsid w:val="00F420CE"/>
    <w:rsid w:val="00F44749"/>
    <w:rsid w:val="00F453BE"/>
    <w:rsid w:val="00F45AEF"/>
    <w:rsid w:val="00F472F6"/>
    <w:rsid w:val="00F47BD3"/>
    <w:rsid w:val="00F47FDF"/>
    <w:rsid w:val="00F52D7F"/>
    <w:rsid w:val="00F538FF"/>
    <w:rsid w:val="00F558EB"/>
    <w:rsid w:val="00F56235"/>
    <w:rsid w:val="00F56A5E"/>
    <w:rsid w:val="00F572AE"/>
    <w:rsid w:val="00F5768C"/>
    <w:rsid w:val="00F6009D"/>
    <w:rsid w:val="00F608A6"/>
    <w:rsid w:val="00F611F9"/>
    <w:rsid w:val="00F63CEC"/>
    <w:rsid w:val="00F65161"/>
    <w:rsid w:val="00F652AF"/>
    <w:rsid w:val="00F65B41"/>
    <w:rsid w:val="00F66E8C"/>
    <w:rsid w:val="00F70012"/>
    <w:rsid w:val="00F71664"/>
    <w:rsid w:val="00F71F8B"/>
    <w:rsid w:val="00F727E0"/>
    <w:rsid w:val="00F73378"/>
    <w:rsid w:val="00F74112"/>
    <w:rsid w:val="00F74816"/>
    <w:rsid w:val="00F76316"/>
    <w:rsid w:val="00F77972"/>
    <w:rsid w:val="00F77D98"/>
    <w:rsid w:val="00F83AB1"/>
    <w:rsid w:val="00F860C7"/>
    <w:rsid w:val="00F86D06"/>
    <w:rsid w:val="00F87292"/>
    <w:rsid w:val="00F90F64"/>
    <w:rsid w:val="00F94CF4"/>
    <w:rsid w:val="00F95820"/>
    <w:rsid w:val="00F96B33"/>
    <w:rsid w:val="00F97B30"/>
    <w:rsid w:val="00F97EE1"/>
    <w:rsid w:val="00FA0275"/>
    <w:rsid w:val="00FA0735"/>
    <w:rsid w:val="00FA1C6C"/>
    <w:rsid w:val="00FA2EEB"/>
    <w:rsid w:val="00FA34DB"/>
    <w:rsid w:val="00FA3F36"/>
    <w:rsid w:val="00FA409D"/>
    <w:rsid w:val="00FA5C51"/>
    <w:rsid w:val="00FA6328"/>
    <w:rsid w:val="00FB08AF"/>
    <w:rsid w:val="00FB08DA"/>
    <w:rsid w:val="00FB0CB2"/>
    <w:rsid w:val="00FB1E63"/>
    <w:rsid w:val="00FB2030"/>
    <w:rsid w:val="00FB211F"/>
    <w:rsid w:val="00FB381C"/>
    <w:rsid w:val="00FB3A09"/>
    <w:rsid w:val="00FB5C85"/>
    <w:rsid w:val="00FB5DE2"/>
    <w:rsid w:val="00FB60C5"/>
    <w:rsid w:val="00FB6CF9"/>
    <w:rsid w:val="00FB6EF9"/>
    <w:rsid w:val="00FB6FB9"/>
    <w:rsid w:val="00FB7A82"/>
    <w:rsid w:val="00FB7F21"/>
    <w:rsid w:val="00FC0C35"/>
    <w:rsid w:val="00FC1C12"/>
    <w:rsid w:val="00FC1C46"/>
    <w:rsid w:val="00FC215D"/>
    <w:rsid w:val="00FC239C"/>
    <w:rsid w:val="00FC2D7E"/>
    <w:rsid w:val="00FC3003"/>
    <w:rsid w:val="00FC3613"/>
    <w:rsid w:val="00FC3753"/>
    <w:rsid w:val="00FC4773"/>
    <w:rsid w:val="00FC5D8B"/>
    <w:rsid w:val="00FC6223"/>
    <w:rsid w:val="00FC7CFB"/>
    <w:rsid w:val="00FD014C"/>
    <w:rsid w:val="00FD0713"/>
    <w:rsid w:val="00FD0DE7"/>
    <w:rsid w:val="00FD128D"/>
    <w:rsid w:val="00FD2E64"/>
    <w:rsid w:val="00FD3024"/>
    <w:rsid w:val="00FD4FA8"/>
    <w:rsid w:val="00FD5C55"/>
    <w:rsid w:val="00FD723C"/>
    <w:rsid w:val="00FD75B1"/>
    <w:rsid w:val="00FE13F2"/>
    <w:rsid w:val="00FE1F73"/>
    <w:rsid w:val="00FE2E55"/>
    <w:rsid w:val="00FE3F4A"/>
    <w:rsid w:val="00FE5CE5"/>
    <w:rsid w:val="00FE7F2D"/>
    <w:rsid w:val="00FF1399"/>
    <w:rsid w:val="00FF1C1B"/>
    <w:rsid w:val="00FF26FC"/>
    <w:rsid w:val="00FF2847"/>
    <w:rsid w:val="00FF328E"/>
    <w:rsid w:val="00FF3FDB"/>
    <w:rsid w:val="00FF407E"/>
    <w:rsid w:val="00FF67F6"/>
    <w:rsid w:val="00FF6A5C"/>
    <w:rsid w:val="00FF6E6B"/>
    <w:rsid w:val="00FF6F84"/>
    <w:rsid w:val="00FF7A2E"/>
    <w:rsid w:val="012DC687"/>
    <w:rsid w:val="016FAD37"/>
    <w:rsid w:val="016FF12A"/>
    <w:rsid w:val="01D55B45"/>
    <w:rsid w:val="01FEDCAA"/>
    <w:rsid w:val="025318A6"/>
    <w:rsid w:val="02A16BBD"/>
    <w:rsid w:val="02EBFA29"/>
    <w:rsid w:val="02FF841E"/>
    <w:rsid w:val="032A010B"/>
    <w:rsid w:val="034F3FCB"/>
    <w:rsid w:val="035ED2B4"/>
    <w:rsid w:val="036ECDC6"/>
    <w:rsid w:val="03857A1B"/>
    <w:rsid w:val="03C0C78F"/>
    <w:rsid w:val="03FFFC7D"/>
    <w:rsid w:val="0416CA61"/>
    <w:rsid w:val="041E5245"/>
    <w:rsid w:val="042D410A"/>
    <w:rsid w:val="0472FE8C"/>
    <w:rsid w:val="0524F8C2"/>
    <w:rsid w:val="0585E0E4"/>
    <w:rsid w:val="05BEF725"/>
    <w:rsid w:val="05D0BA52"/>
    <w:rsid w:val="05E039C2"/>
    <w:rsid w:val="05FECB46"/>
    <w:rsid w:val="0660E021"/>
    <w:rsid w:val="07C38D07"/>
    <w:rsid w:val="07CEB83E"/>
    <w:rsid w:val="07DCF55F"/>
    <w:rsid w:val="087FADF4"/>
    <w:rsid w:val="08F92A49"/>
    <w:rsid w:val="09643445"/>
    <w:rsid w:val="09E49B0F"/>
    <w:rsid w:val="0A2DED73"/>
    <w:rsid w:val="0A395DF6"/>
    <w:rsid w:val="0A51CA23"/>
    <w:rsid w:val="0A5EEB2C"/>
    <w:rsid w:val="0A821FDA"/>
    <w:rsid w:val="0A87D24D"/>
    <w:rsid w:val="0AA162E3"/>
    <w:rsid w:val="0AF843FA"/>
    <w:rsid w:val="0AFC18AC"/>
    <w:rsid w:val="0B481C37"/>
    <w:rsid w:val="0B73435B"/>
    <w:rsid w:val="0BBE71F3"/>
    <w:rsid w:val="0C055B49"/>
    <w:rsid w:val="0C198A19"/>
    <w:rsid w:val="0C602150"/>
    <w:rsid w:val="0C7CE537"/>
    <w:rsid w:val="0D0A677B"/>
    <w:rsid w:val="0D2BE311"/>
    <w:rsid w:val="0D4F3152"/>
    <w:rsid w:val="0D79E4A8"/>
    <w:rsid w:val="0E0A0A77"/>
    <w:rsid w:val="0E0FECF6"/>
    <w:rsid w:val="0EDD4EFF"/>
    <w:rsid w:val="0EFE85E5"/>
    <w:rsid w:val="0F30F60E"/>
    <w:rsid w:val="0F4A1E6B"/>
    <w:rsid w:val="0F4AB0E4"/>
    <w:rsid w:val="0FE9C3DA"/>
    <w:rsid w:val="0FF20801"/>
    <w:rsid w:val="1019C36A"/>
    <w:rsid w:val="1035EED9"/>
    <w:rsid w:val="105FB0AE"/>
    <w:rsid w:val="1071EEB8"/>
    <w:rsid w:val="11228F03"/>
    <w:rsid w:val="11736237"/>
    <w:rsid w:val="117CC163"/>
    <w:rsid w:val="11BA4479"/>
    <w:rsid w:val="123203D7"/>
    <w:rsid w:val="126BC655"/>
    <w:rsid w:val="12845CD4"/>
    <w:rsid w:val="12A649A9"/>
    <w:rsid w:val="12C5872C"/>
    <w:rsid w:val="137C6D8D"/>
    <w:rsid w:val="139466FA"/>
    <w:rsid w:val="13EE2F2D"/>
    <w:rsid w:val="143AE0D1"/>
    <w:rsid w:val="1467AB82"/>
    <w:rsid w:val="14710958"/>
    <w:rsid w:val="148127B3"/>
    <w:rsid w:val="1495F8F7"/>
    <w:rsid w:val="15026023"/>
    <w:rsid w:val="15387320"/>
    <w:rsid w:val="155C2907"/>
    <w:rsid w:val="158224DD"/>
    <w:rsid w:val="15C04B5C"/>
    <w:rsid w:val="1606FB37"/>
    <w:rsid w:val="165DF296"/>
    <w:rsid w:val="166E7FE8"/>
    <w:rsid w:val="16C3B58F"/>
    <w:rsid w:val="16DA552F"/>
    <w:rsid w:val="16E89B26"/>
    <w:rsid w:val="17526B6B"/>
    <w:rsid w:val="17592E6F"/>
    <w:rsid w:val="17733A0E"/>
    <w:rsid w:val="17E3ABBB"/>
    <w:rsid w:val="1818531F"/>
    <w:rsid w:val="18859306"/>
    <w:rsid w:val="18AC311C"/>
    <w:rsid w:val="196D80A8"/>
    <w:rsid w:val="19DB915C"/>
    <w:rsid w:val="1A0A3443"/>
    <w:rsid w:val="1A3013A8"/>
    <w:rsid w:val="1A505B41"/>
    <w:rsid w:val="1ABAC271"/>
    <w:rsid w:val="1ADD78CB"/>
    <w:rsid w:val="1C23B645"/>
    <w:rsid w:val="1C807E20"/>
    <w:rsid w:val="1C837EC7"/>
    <w:rsid w:val="1CD52B9B"/>
    <w:rsid w:val="1D5DC00A"/>
    <w:rsid w:val="1DC4B777"/>
    <w:rsid w:val="1DC79625"/>
    <w:rsid w:val="1DD7989E"/>
    <w:rsid w:val="1E2C84E1"/>
    <w:rsid w:val="1E6679E7"/>
    <w:rsid w:val="1EC07B57"/>
    <w:rsid w:val="1EE33411"/>
    <w:rsid w:val="1FB2BF15"/>
    <w:rsid w:val="1FD53217"/>
    <w:rsid w:val="205B880D"/>
    <w:rsid w:val="20705951"/>
    <w:rsid w:val="207964AB"/>
    <w:rsid w:val="20DB5629"/>
    <w:rsid w:val="210C73C8"/>
    <w:rsid w:val="21131FBB"/>
    <w:rsid w:val="212158D5"/>
    <w:rsid w:val="21618450"/>
    <w:rsid w:val="2173C384"/>
    <w:rsid w:val="21C06BF1"/>
    <w:rsid w:val="21DD0121"/>
    <w:rsid w:val="22AD9CE9"/>
    <w:rsid w:val="22F1A084"/>
    <w:rsid w:val="22F91553"/>
    <w:rsid w:val="23149A47"/>
    <w:rsid w:val="2355551D"/>
    <w:rsid w:val="238020AF"/>
    <w:rsid w:val="240C0DAC"/>
    <w:rsid w:val="244050AE"/>
    <w:rsid w:val="245C78DE"/>
    <w:rsid w:val="248D44B6"/>
    <w:rsid w:val="24CFA650"/>
    <w:rsid w:val="256892E7"/>
    <w:rsid w:val="25A1F9A1"/>
    <w:rsid w:val="25C3CDC1"/>
    <w:rsid w:val="25FA235B"/>
    <w:rsid w:val="2617EDAD"/>
    <w:rsid w:val="261E2FF9"/>
    <w:rsid w:val="267DA3D9"/>
    <w:rsid w:val="26AA1E4F"/>
    <w:rsid w:val="26C0E3CD"/>
    <w:rsid w:val="271BB7E8"/>
    <w:rsid w:val="27528C60"/>
    <w:rsid w:val="27675DA4"/>
    <w:rsid w:val="27869240"/>
    <w:rsid w:val="27AE4CE0"/>
    <w:rsid w:val="27B1B9FC"/>
    <w:rsid w:val="27CE7C91"/>
    <w:rsid w:val="28022584"/>
    <w:rsid w:val="285DC0DD"/>
    <w:rsid w:val="286F7F0D"/>
    <w:rsid w:val="2882C144"/>
    <w:rsid w:val="28D7F6EB"/>
    <w:rsid w:val="2952F604"/>
    <w:rsid w:val="2A5C9828"/>
    <w:rsid w:val="2A5CBF4D"/>
    <w:rsid w:val="2AC65413"/>
    <w:rsid w:val="2ACE8C99"/>
    <w:rsid w:val="2ADAABF1"/>
    <w:rsid w:val="2B0311FF"/>
    <w:rsid w:val="2B0B9602"/>
    <w:rsid w:val="2B5847A6"/>
    <w:rsid w:val="2B74D39F"/>
    <w:rsid w:val="2BB20FD9"/>
    <w:rsid w:val="2BB75DF9"/>
    <w:rsid w:val="2BC9090F"/>
    <w:rsid w:val="2BCA0946"/>
    <w:rsid w:val="2BF8F094"/>
    <w:rsid w:val="2C072DA3"/>
    <w:rsid w:val="2C1B4D76"/>
    <w:rsid w:val="2C24380E"/>
    <w:rsid w:val="2C2B8C2E"/>
    <w:rsid w:val="2C6964DF"/>
    <w:rsid w:val="2CCD7379"/>
    <w:rsid w:val="2CE56CE6"/>
    <w:rsid w:val="2CF7C9DF"/>
    <w:rsid w:val="2D008206"/>
    <w:rsid w:val="2D40B7DD"/>
    <w:rsid w:val="2D4EAA83"/>
    <w:rsid w:val="2D53420E"/>
    <w:rsid w:val="2DB8B16E"/>
    <w:rsid w:val="2DD9E854"/>
    <w:rsid w:val="2DF5245A"/>
    <w:rsid w:val="2DF6744D"/>
    <w:rsid w:val="2E3A1B49"/>
    <w:rsid w:val="2E5214B6"/>
    <w:rsid w:val="2E64E3DF"/>
    <w:rsid w:val="2EB5829E"/>
    <w:rsid w:val="2EBC63CE"/>
    <w:rsid w:val="2F2E63E6"/>
    <w:rsid w:val="2F6BA020"/>
    <w:rsid w:val="2FE4CDA0"/>
    <w:rsid w:val="3013F22D"/>
    <w:rsid w:val="3095F285"/>
    <w:rsid w:val="30B448F7"/>
    <w:rsid w:val="30B62304"/>
    <w:rsid w:val="30CBFAAF"/>
    <w:rsid w:val="316202FD"/>
    <w:rsid w:val="31666565"/>
    <w:rsid w:val="31C724C2"/>
    <w:rsid w:val="3224AEE0"/>
    <w:rsid w:val="32509BEC"/>
    <w:rsid w:val="32CEC4CE"/>
    <w:rsid w:val="32DA65B9"/>
    <w:rsid w:val="32EDD84A"/>
    <w:rsid w:val="32F68F1E"/>
    <w:rsid w:val="3332CF39"/>
    <w:rsid w:val="336F169E"/>
    <w:rsid w:val="338E9A3B"/>
    <w:rsid w:val="350CA61D"/>
    <w:rsid w:val="3549E257"/>
    <w:rsid w:val="3555CFDF"/>
    <w:rsid w:val="35CE57C6"/>
    <w:rsid w:val="369B4E21"/>
    <w:rsid w:val="36B1ABE4"/>
    <w:rsid w:val="36C14467"/>
    <w:rsid w:val="37A4F045"/>
    <w:rsid w:val="37E80EFE"/>
    <w:rsid w:val="3827236E"/>
    <w:rsid w:val="39126163"/>
    <w:rsid w:val="39146DCA"/>
    <w:rsid w:val="394CC111"/>
    <w:rsid w:val="3974171C"/>
    <w:rsid w:val="39996B53"/>
    <w:rsid w:val="39CD9B19"/>
    <w:rsid w:val="3A03006B"/>
    <w:rsid w:val="3A3BB2BB"/>
    <w:rsid w:val="3A4C29AA"/>
    <w:rsid w:val="3A4D47EC"/>
    <w:rsid w:val="3A9702A0"/>
    <w:rsid w:val="3AA0FFE5"/>
    <w:rsid w:val="3AD94F1E"/>
    <w:rsid w:val="3AE1DC0E"/>
    <w:rsid w:val="3AF19987"/>
    <w:rsid w:val="3AF5BBFC"/>
    <w:rsid w:val="3B330A93"/>
    <w:rsid w:val="3B827366"/>
    <w:rsid w:val="3B974A79"/>
    <w:rsid w:val="3BC69CE4"/>
    <w:rsid w:val="3C0473BE"/>
    <w:rsid w:val="3C3AAF36"/>
    <w:rsid w:val="3D64CE4D"/>
    <w:rsid w:val="3D77D743"/>
    <w:rsid w:val="3DE20893"/>
    <w:rsid w:val="3E670E8F"/>
    <w:rsid w:val="3E9589D6"/>
    <w:rsid w:val="3EAA5B1A"/>
    <w:rsid w:val="3EF05ACC"/>
    <w:rsid w:val="3EFA41B1"/>
    <w:rsid w:val="3F8FE961"/>
    <w:rsid w:val="3FBF16F1"/>
    <w:rsid w:val="3FD700AE"/>
    <w:rsid w:val="4072E8A4"/>
    <w:rsid w:val="408179A5"/>
    <w:rsid w:val="408CAA4A"/>
    <w:rsid w:val="40B12F80"/>
    <w:rsid w:val="40C928ED"/>
    <w:rsid w:val="40EA4BFE"/>
    <w:rsid w:val="411F71A2"/>
    <w:rsid w:val="41E1328D"/>
    <w:rsid w:val="41E1A37C"/>
    <w:rsid w:val="42220112"/>
    <w:rsid w:val="424551C4"/>
    <w:rsid w:val="42482D4B"/>
    <w:rsid w:val="42C7C5B4"/>
    <w:rsid w:val="43042646"/>
    <w:rsid w:val="43BB3B48"/>
    <w:rsid w:val="43FAAAC1"/>
    <w:rsid w:val="441C8CF3"/>
    <w:rsid w:val="446EF093"/>
    <w:rsid w:val="44FBE1B5"/>
    <w:rsid w:val="452F1728"/>
    <w:rsid w:val="453821D0"/>
    <w:rsid w:val="45B086ED"/>
    <w:rsid w:val="45DB04E9"/>
    <w:rsid w:val="46536E35"/>
    <w:rsid w:val="465FD4CF"/>
    <w:rsid w:val="469FB06F"/>
    <w:rsid w:val="46B463BD"/>
    <w:rsid w:val="47068A80"/>
    <w:rsid w:val="47932BE3"/>
    <w:rsid w:val="4794350A"/>
    <w:rsid w:val="47FB680A"/>
    <w:rsid w:val="48106C1F"/>
    <w:rsid w:val="487405C3"/>
    <w:rsid w:val="48F79634"/>
    <w:rsid w:val="491E2318"/>
    <w:rsid w:val="4937FA97"/>
    <w:rsid w:val="49806C1E"/>
    <w:rsid w:val="49E62F23"/>
    <w:rsid w:val="4A16BE20"/>
    <w:rsid w:val="4A3380B5"/>
    <w:rsid w:val="4A414749"/>
    <w:rsid w:val="4A6491D4"/>
    <w:rsid w:val="4A9037E4"/>
    <w:rsid w:val="4AEB2B90"/>
    <w:rsid w:val="4B12EE9D"/>
    <w:rsid w:val="4B164494"/>
    <w:rsid w:val="4B244EC0"/>
    <w:rsid w:val="4B43FE68"/>
    <w:rsid w:val="4B5421DB"/>
    <w:rsid w:val="4B5F6EC0"/>
    <w:rsid w:val="4B932860"/>
    <w:rsid w:val="4C31C7A7"/>
    <w:rsid w:val="4C37AA26"/>
    <w:rsid w:val="4C570A84"/>
    <w:rsid w:val="4C73C6AA"/>
    <w:rsid w:val="4D16ACFC"/>
    <w:rsid w:val="4D90CBB4"/>
    <w:rsid w:val="4D96B4C2"/>
    <w:rsid w:val="4DAEAE2F"/>
    <w:rsid w:val="4DC37F73"/>
    <w:rsid w:val="4DEEF8F9"/>
    <w:rsid w:val="4E33681D"/>
    <w:rsid w:val="4E5677F9"/>
    <w:rsid w:val="4E7B2D30"/>
    <w:rsid w:val="4EAA5DAD"/>
    <w:rsid w:val="4F1C1F4D"/>
    <w:rsid w:val="4F23DA02"/>
    <w:rsid w:val="4F546D0D"/>
    <w:rsid w:val="4F629138"/>
    <w:rsid w:val="4F8E6792"/>
    <w:rsid w:val="4FC29924"/>
    <w:rsid w:val="4FF56C5F"/>
    <w:rsid w:val="501F8980"/>
    <w:rsid w:val="5030BF4F"/>
    <w:rsid w:val="503782ED"/>
    <w:rsid w:val="5040983F"/>
    <w:rsid w:val="50A65D6C"/>
    <w:rsid w:val="512BFE5B"/>
    <w:rsid w:val="513113EB"/>
    <w:rsid w:val="52D9C342"/>
    <w:rsid w:val="53415950"/>
    <w:rsid w:val="535BDD08"/>
    <w:rsid w:val="5362CB7E"/>
    <w:rsid w:val="53A5E18A"/>
    <w:rsid w:val="53B93806"/>
    <w:rsid w:val="53D05FE5"/>
    <w:rsid w:val="540A0668"/>
    <w:rsid w:val="541341B5"/>
    <w:rsid w:val="541A22BF"/>
    <w:rsid w:val="5425FFA2"/>
    <w:rsid w:val="5434BA30"/>
    <w:rsid w:val="54373F81"/>
    <w:rsid w:val="5466396B"/>
    <w:rsid w:val="5476C465"/>
    <w:rsid w:val="54DC83FA"/>
    <w:rsid w:val="5507FEB8"/>
    <w:rsid w:val="5508C04B"/>
    <w:rsid w:val="555414B2"/>
    <w:rsid w:val="5554232D"/>
    <w:rsid w:val="5572DC62"/>
    <w:rsid w:val="562CAE98"/>
    <w:rsid w:val="5646BE9E"/>
    <w:rsid w:val="5660B722"/>
    <w:rsid w:val="56C9DD0B"/>
    <w:rsid w:val="57194493"/>
    <w:rsid w:val="5726CC8B"/>
    <w:rsid w:val="57435884"/>
    <w:rsid w:val="578094BE"/>
    <w:rsid w:val="579C6CD1"/>
    <w:rsid w:val="57A048E0"/>
    <w:rsid w:val="585362CE"/>
    <w:rsid w:val="58B2A391"/>
    <w:rsid w:val="58B3C1D3"/>
    <w:rsid w:val="58FDA397"/>
    <w:rsid w:val="591C01ED"/>
    <w:rsid w:val="591FA6F3"/>
    <w:rsid w:val="5946F60C"/>
    <w:rsid w:val="59923DE5"/>
    <w:rsid w:val="59EC038C"/>
    <w:rsid w:val="5A02286B"/>
    <w:rsid w:val="5A143527"/>
    <w:rsid w:val="5A389308"/>
    <w:rsid w:val="5B2553C1"/>
    <w:rsid w:val="5C37ACB9"/>
    <w:rsid w:val="5C662BF0"/>
    <w:rsid w:val="5C9174EC"/>
    <w:rsid w:val="5CA9049A"/>
    <w:rsid w:val="5CB1290E"/>
    <w:rsid w:val="5CB5BB9A"/>
    <w:rsid w:val="5D19B339"/>
    <w:rsid w:val="5D752FFC"/>
    <w:rsid w:val="5D96CF91"/>
    <w:rsid w:val="5DC4D1F9"/>
    <w:rsid w:val="5DDE66ED"/>
    <w:rsid w:val="5E0C0293"/>
    <w:rsid w:val="5E981681"/>
    <w:rsid w:val="5EA153FA"/>
    <w:rsid w:val="5ED4896D"/>
    <w:rsid w:val="5F01541E"/>
    <w:rsid w:val="5F5689C5"/>
    <w:rsid w:val="5F838747"/>
    <w:rsid w:val="5FA33B69"/>
    <w:rsid w:val="600CAA59"/>
    <w:rsid w:val="6012C949"/>
    <w:rsid w:val="607FBD6A"/>
    <w:rsid w:val="60ACD0BE"/>
    <w:rsid w:val="616CD395"/>
    <w:rsid w:val="61C42B26"/>
    <w:rsid w:val="61E79FDD"/>
    <w:rsid w:val="623BA2F0"/>
    <w:rsid w:val="625ACB63"/>
    <w:rsid w:val="6262AF55"/>
    <w:rsid w:val="628A548B"/>
    <w:rsid w:val="62DF73B6"/>
    <w:rsid w:val="62EB0A10"/>
    <w:rsid w:val="63016F2E"/>
    <w:rsid w:val="63A072AC"/>
    <w:rsid w:val="63F12EFC"/>
    <w:rsid w:val="64190E5D"/>
    <w:rsid w:val="645EE5F0"/>
    <w:rsid w:val="64A3DCDF"/>
    <w:rsid w:val="64AB8013"/>
    <w:rsid w:val="64D34274"/>
    <w:rsid w:val="6566AA94"/>
    <w:rsid w:val="66171478"/>
    <w:rsid w:val="663979B0"/>
    <w:rsid w:val="66762033"/>
    <w:rsid w:val="66DEF307"/>
    <w:rsid w:val="67493D96"/>
    <w:rsid w:val="67ADE8A7"/>
    <w:rsid w:val="67B2378F"/>
    <w:rsid w:val="67C2B9EB"/>
    <w:rsid w:val="684DF7BC"/>
    <w:rsid w:val="686C5BEB"/>
    <w:rsid w:val="6899269C"/>
    <w:rsid w:val="68B152DA"/>
    <w:rsid w:val="68C77411"/>
    <w:rsid w:val="68F66D2D"/>
    <w:rsid w:val="695799E0"/>
    <w:rsid w:val="6967326B"/>
    <w:rsid w:val="698E9E29"/>
    <w:rsid w:val="69B974B6"/>
    <w:rsid w:val="69D01651"/>
    <w:rsid w:val="6A20C282"/>
    <w:rsid w:val="6AA905AA"/>
    <w:rsid w:val="6AB5E042"/>
    <w:rsid w:val="6B400A17"/>
    <w:rsid w:val="6B452DBF"/>
    <w:rsid w:val="6B455182"/>
    <w:rsid w:val="6B99194F"/>
    <w:rsid w:val="6BBB2EBF"/>
    <w:rsid w:val="6BD02FE6"/>
    <w:rsid w:val="6C25658D"/>
    <w:rsid w:val="6C2823F7"/>
    <w:rsid w:val="6C5140BD"/>
    <w:rsid w:val="6C9C0D4B"/>
    <w:rsid w:val="6CAD4321"/>
    <w:rsid w:val="6CDB987F"/>
    <w:rsid w:val="6CE940A6"/>
    <w:rsid w:val="6D19E0FB"/>
    <w:rsid w:val="6D38452A"/>
    <w:rsid w:val="6D3EC06A"/>
    <w:rsid w:val="6D40F000"/>
    <w:rsid w:val="6D9D98B3"/>
    <w:rsid w:val="6DCF1BC5"/>
    <w:rsid w:val="6DDB6C64"/>
    <w:rsid w:val="6DFCB2DA"/>
    <w:rsid w:val="6E059BB6"/>
    <w:rsid w:val="6E1432FD"/>
    <w:rsid w:val="6EBDAFB5"/>
    <w:rsid w:val="6F26ED52"/>
    <w:rsid w:val="6F64298C"/>
    <w:rsid w:val="6F89C02D"/>
    <w:rsid w:val="6FC1D770"/>
    <w:rsid w:val="6FD448E0"/>
    <w:rsid w:val="702ABA93"/>
    <w:rsid w:val="7070D51E"/>
    <w:rsid w:val="70FEA222"/>
    <w:rsid w:val="71557184"/>
    <w:rsid w:val="7218FFAD"/>
    <w:rsid w:val="72522C7E"/>
    <w:rsid w:val="72563BE7"/>
    <w:rsid w:val="7275F009"/>
    <w:rsid w:val="72E07D99"/>
    <w:rsid w:val="734EDFF6"/>
    <w:rsid w:val="73719F87"/>
    <w:rsid w:val="73DC2D17"/>
    <w:rsid w:val="74229416"/>
    <w:rsid w:val="74462A2C"/>
    <w:rsid w:val="747124C0"/>
    <w:rsid w:val="748A31D1"/>
    <w:rsid w:val="74D9EB57"/>
    <w:rsid w:val="758716D5"/>
    <w:rsid w:val="758A1D0F"/>
    <w:rsid w:val="75A9E99E"/>
    <w:rsid w:val="75EE473F"/>
    <w:rsid w:val="75F11E7D"/>
    <w:rsid w:val="762675A8"/>
    <w:rsid w:val="762C8D16"/>
    <w:rsid w:val="7673274C"/>
    <w:rsid w:val="774AACCB"/>
    <w:rsid w:val="777C2A28"/>
    <w:rsid w:val="7786D037"/>
    <w:rsid w:val="779FDB2C"/>
    <w:rsid w:val="77A8C648"/>
    <w:rsid w:val="78004C8C"/>
    <w:rsid w:val="78BEBFD0"/>
    <w:rsid w:val="7949261F"/>
    <w:rsid w:val="794B4A7B"/>
    <w:rsid w:val="794B7F39"/>
    <w:rsid w:val="7954300F"/>
    <w:rsid w:val="796CC68A"/>
    <w:rsid w:val="79831593"/>
    <w:rsid w:val="79C22A03"/>
    <w:rsid w:val="79FF663D"/>
    <w:rsid w:val="7A6DBF29"/>
    <w:rsid w:val="7A72A16F"/>
    <w:rsid w:val="7A78E292"/>
    <w:rsid w:val="7AD2AAC5"/>
    <w:rsid w:val="7B1B3D93"/>
    <w:rsid w:val="7BA1E366"/>
    <w:rsid w:val="7C574C02"/>
    <w:rsid w:val="7CCDBF0A"/>
    <w:rsid w:val="7CD4E246"/>
    <w:rsid w:val="7D170F39"/>
    <w:rsid w:val="7DA82C58"/>
    <w:rsid w:val="7DE47142"/>
    <w:rsid w:val="7E02A8CD"/>
    <w:rsid w:val="7E21AD7C"/>
    <w:rsid w:val="7E3D8542"/>
    <w:rsid w:val="7E6650AE"/>
    <w:rsid w:val="7E67DBE3"/>
    <w:rsid w:val="7E837F5C"/>
    <w:rsid w:val="7EFC9E7F"/>
    <w:rsid w:val="7F348D19"/>
    <w:rsid w:val="7F425F3C"/>
    <w:rsid w:val="7F8BBA2D"/>
    <w:rsid w:val="7FA05825"/>
    <w:rsid w:val="7FB1A6FD"/>
    <w:rsid w:val="7FC2DFB1"/>
    <w:rsid w:val="7FE38A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D046"/>
  <w15:chartTrackingRefBased/>
  <w15:docId w15:val="{C77C57ED-3AB4-4282-8086-BA282928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30"/>
  </w:style>
  <w:style w:type="paragraph" w:styleId="Heading1">
    <w:name w:val="heading 1"/>
    <w:basedOn w:val="Normal"/>
    <w:next w:val="Normal"/>
    <w:link w:val="Heading1Char"/>
    <w:uiPriority w:val="9"/>
    <w:qFormat/>
    <w:rsid w:val="00073198"/>
    <w:pPr>
      <w:keepNext/>
      <w:keepLines/>
      <w:spacing w:before="120" w:after="12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73198"/>
    <w:pPr>
      <w:keepNext/>
      <w:keepLines/>
      <w:numPr>
        <w:numId w:val="8"/>
      </w:numPr>
      <w:spacing w:before="240" w:after="120"/>
      <w:outlineLvl w:val="1"/>
    </w:pPr>
    <w:rPr>
      <w:rFonts w:asciiTheme="majorHAnsi" w:eastAsiaTheme="majorEastAsia" w:hAnsiTheme="majorHAnsi" w:cstheme="majorBidi"/>
      <w:b/>
      <w:bCs/>
      <w:color w:val="2F5496" w:themeColor="accent1" w:themeShade="BF"/>
      <w:sz w:val="26"/>
      <w:szCs w:val="26"/>
      <w:lang w:val="en-US"/>
    </w:rPr>
  </w:style>
  <w:style w:type="paragraph" w:styleId="Heading3">
    <w:name w:val="heading 3"/>
    <w:basedOn w:val="Normal"/>
    <w:next w:val="Normal"/>
    <w:link w:val="Heading3Char"/>
    <w:uiPriority w:val="9"/>
    <w:unhideWhenUsed/>
    <w:qFormat/>
    <w:rsid w:val="00AF1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7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7149"/>
  </w:style>
  <w:style w:type="character" w:customStyle="1" w:styleId="eop">
    <w:name w:val="eop"/>
    <w:basedOn w:val="DefaultParagraphFont"/>
    <w:rsid w:val="00AD7149"/>
  </w:style>
  <w:style w:type="paragraph" w:styleId="ListParagraph">
    <w:name w:val="List Paragraph"/>
    <w:basedOn w:val="Normal"/>
    <w:uiPriority w:val="34"/>
    <w:qFormat/>
    <w:rsid w:val="00864CCE"/>
    <w:pPr>
      <w:spacing w:after="120" w:line="276" w:lineRule="auto"/>
      <w:ind w:left="720"/>
    </w:pPr>
  </w:style>
  <w:style w:type="paragraph" w:styleId="Revision">
    <w:name w:val="Revision"/>
    <w:hidden/>
    <w:uiPriority w:val="99"/>
    <w:semiHidden/>
    <w:rsid w:val="00381B0B"/>
    <w:pPr>
      <w:spacing w:after="0" w:line="240" w:lineRule="auto"/>
    </w:pPr>
  </w:style>
  <w:style w:type="paragraph" w:styleId="NormalWeb">
    <w:name w:val="Normal (Web)"/>
    <w:basedOn w:val="Normal"/>
    <w:uiPriority w:val="99"/>
    <w:unhideWhenUsed/>
    <w:rsid w:val="00937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1AAB"/>
    <w:rPr>
      <w:color w:val="0563C1" w:themeColor="hyperlink"/>
      <w:u w:val="single"/>
    </w:rPr>
  </w:style>
  <w:style w:type="character" w:styleId="FootnoteReference">
    <w:name w:val="footnote reference"/>
    <w:aliases w:val="4_G"/>
    <w:basedOn w:val="DefaultParagraphFont"/>
    <w:link w:val="-EFunotenzeichen"/>
    <w:uiPriority w:val="99"/>
    <w:unhideWhenUsed/>
    <w:qFormat/>
    <w:rsid w:val="00631AAB"/>
    <w:rPr>
      <w:vertAlign w:val="superscript"/>
    </w:rPr>
  </w:style>
  <w:style w:type="character" w:customStyle="1" w:styleId="FootnoteTextChar">
    <w:name w:val="Footnote Text Char"/>
    <w:aliases w:val="5_G Char"/>
    <w:basedOn w:val="DefaultParagraphFont"/>
    <w:link w:val="FootnoteText"/>
    <w:uiPriority w:val="99"/>
    <w:rsid w:val="00631AAB"/>
    <w:rPr>
      <w:sz w:val="20"/>
      <w:szCs w:val="20"/>
    </w:rPr>
  </w:style>
  <w:style w:type="paragraph" w:styleId="FootnoteText">
    <w:name w:val="footnote text"/>
    <w:aliases w:val="5_G"/>
    <w:basedOn w:val="Normal"/>
    <w:link w:val="FootnoteTextChar"/>
    <w:uiPriority w:val="99"/>
    <w:unhideWhenUsed/>
    <w:qFormat/>
    <w:rsid w:val="00631AAB"/>
    <w:pPr>
      <w:spacing w:after="0" w:line="240" w:lineRule="auto"/>
    </w:pPr>
    <w:rPr>
      <w:sz w:val="20"/>
      <w:szCs w:val="20"/>
    </w:rPr>
  </w:style>
  <w:style w:type="character" w:customStyle="1" w:styleId="FootnoteTextChar1">
    <w:name w:val="Footnote Text Char1"/>
    <w:basedOn w:val="DefaultParagraphFont"/>
    <w:uiPriority w:val="99"/>
    <w:semiHidden/>
    <w:rsid w:val="00631AAB"/>
    <w:rPr>
      <w:sz w:val="20"/>
      <w:szCs w:val="20"/>
    </w:rPr>
  </w:style>
  <w:style w:type="character" w:customStyle="1" w:styleId="apple-tab-span">
    <w:name w:val="apple-tab-span"/>
    <w:basedOn w:val="DefaultParagraphFont"/>
    <w:rsid w:val="000B47DF"/>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456B"/>
    <w:rPr>
      <w:b/>
      <w:bCs/>
    </w:rPr>
  </w:style>
  <w:style w:type="character" w:customStyle="1" w:styleId="CommentSubjectChar">
    <w:name w:val="Comment Subject Char"/>
    <w:basedOn w:val="CommentTextChar"/>
    <w:link w:val="CommentSubject"/>
    <w:uiPriority w:val="99"/>
    <w:semiHidden/>
    <w:rsid w:val="0002456B"/>
    <w:rPr>
      <w:b/>
      <w:bCs/>
      <w:sz w:val="20"/>
      <w:szCs w:val="20"/>
    </w:rPr>
  </w:style>
  <w:style w:type="paragraph" w:styleId="Header">
    <w:name w:val="header"/>
    <w:basedOn w:val="Normal"/>
    <w:link w:val="HeaderChar"/>
    <w:uiPriority w:val="99"/>
    <w:semiHidden/>
    <w:unhideWhenUsed/>
    <w:rsid w:val="001C67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675E"/>
  </w:style>
  <w:style w:type="paragraph" w:styleId="Footer">
    <w:name w:val="footer"/>
    <w:basedOn w:val="Normal"/>
    <w:link w:val="FooterChar"/>
    <w:uiPriority w:val="99"/>
    <w:semiHidden/>
    <w:unhideWhenUsed/>
    <w:rsid w:val="001C67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675E"/>
  </w:style>
  <w:style w:type="character" w:customStyle="1" w:styleId="Heading1Char">
    <w:name w:val="Heading 1 Char"/>
    <w:basedOn w:val="DefaultParagraphFont"/>
    <w:link w:val="Heading1"/>
    <w:uiPriority w:val="9"/>
    <w:rsid w:val="0007319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73198"/>
    <w:rPr>
      <w:rFonts w:asciiTheme="majorHAnsi" w:eastAsiaTheme="majorEastAsia" w:hAnsiTheme="majorHAnsi" w:cstheme="majorBidi"/>
      <w:b/>
      <w:bCs/>
      <w:color w:val="2F5496" w:themeColor="accent1" w:themeShade="BF"/>
      <w:sz w:val="26"/>
      <w:szCs w:val="26"/>
      <w:lang w:val="en-US"/>
    </w:rPr>
  </w:style>
  <w:style w:type="paragraph" w:styleId="Subtitle">
    <w:name w:val="Subtitle"/>
    <w:basedOn w:val="Normal"/>
    <w:next w:val="Normal"/>
    <w:link w:val="SubtitleChar"/>
    <w:uiPriority w:val="11"/>
    <w:qFormat/>
    <w:rsid w:val="00073198"/>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73198"/>
    <w:rPr>
      <w:rFonts w:eastAsiaTheme="minorEastAsia"/>
      <w:color w:val="5A5A5A" w:themeColor="text1" w:themeTint="A5"/>
      <w:spacing w:val="15"/>
      <w:lang w:val="en-US"/>
    </w:rPr>
  </w:style>
  <w:style w:type="paragraph" w:customStyle="1" w:styleId="-EFunotenzeichen">
    <w:name w:val="-E Fußnotenzeichen"/>
    <w:aliases w:val="Carattere Char1,Carattere Char Char Carattere Carattere Char Char,Footnote,BVI fnr,Footnotes refss Char, Carattere Char1, Carattere Char Char Carattere Carattere Char Char"/>
    <w:basedOn w:val="Normal"/>
    <w:link w:val="FootnoteReference"/>
    <w:uiPriority w:val="99"/>
    <w:rsid w:val="00914F06"/>
    <w:pPr>
      <w:spacing w:line="240" w:lineRule="exact"/>
    </w:pPr>
    <w:rPr>
      <w:vertAlign w:val="superscript"/>
    </w:rPr>
  </w:style>
  <w:style w:type="character" w:customStyle="1" w:styleId="preferred">
    <w:name w:val="preferred"/>
    <w:basedOn w:val="DefaultParagraphFont"/>
    <w:rsid w:val="00B97626"/>
  </w:style>
  <w:style w:type="paragraph" w:customStyle="1" w:styleId="SingleTxtG">
    <w:name w:val="_ Single Txt_G"/>
    <w:basedOn w:val="Normal"/>
    <w:link w:val="SingleTxtGChar"/>
    <w:qFormat/>
    <w:rsid w:val="005C647C"/>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5C647C"/>
    <w:rPr>
      <w:rFonts w:ascii="Times New Roman" w:hAnsi="Times New Roman" w:cs="Times New Roman"/>
      <w:sz w:val="20"/>
      <w:szCs w:val="20"/>
    </w:rPr>
  </w:style>
  <w:style w:type="character" w:customStyle="1" w:styleId="Heading3Char">
    <w:name w:val="Heading 3 Char"/>
    <w:basedOn w:val="DefaultParagraphFont"/>
    <w:link w:val="Heading3"/>
    <w:uiPriority w:val="9"/>
    <w:rsid w:val="00AF1020"/>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6D4D94"/>
    <w:rPr>
      <w:i/>
      <w:iCs/>
      <w:color w:val="4472C4" w:themeColor="accent1"/>
    </w:rPr>
  </w:style>
  <w:style w:type="character" w:customStyle="1" w:styleId="UnresolvedMention">
    <w:name w:val="Unresolved Mention"/>
    <w:basedOn w:val="DefaultParagraphFont"/>
    <w:uiPriority w:val="99"/>
    <w:unhideWhenUsed/>
    <w:rsid w:val="00FB5DE2"/>
    <w:rPr>
      <w:color w:val="605E5C"/>
      <w:shd w:val="clear" w:color="auto" w:fill="E1DFDD"/>
    </w:rPr>
  </w:style>
  <w:style w:type="character" w:customStyle="1" w:styleId="Mention">
    <w:name w:val="Mention"/>
    <w:basedOn w:val="DefaultParagraphFont"/>
    <w:uiPriority w:val="99"/>
    <w:unhideWhenUsed/>
    <w:rsid w:val="00FB5DE2"/>
    <w:rPr>
      <w:color w:val="2B579A"/>
      <w:shd w:val="clear" w:color="auto" w:fill="E1DFDD"/>
    </w:rPr>
  </w:style>
  <w:style w:type="character" w:styleId="FollowedHyperlink">
    <w:name w:val="FollowedHyperlink"/>
    <w:basedOn w:val="DefaultParagraphFont"/>
    <w:uiPriority w:val="99"/>
    <w:semiHidden/>
    <w:unhideWhenUsed/>
    <w:rsid w:val="0053409C"/>
    <w:rPr>
      <w:color w:val="954F72" w:themeColor="followedHyperlink"/>
      <w:u w:val="single"/>
    </w:rPr>
  </w:style>
  <w:style w:type="paragraph" w:customStyle="1" w:styleId="Footnotesmall">
    <w:name w:val="Footnotesmall"/>
    <w:basedOn w:val="FootnoteText"/>
    <w:link w:val="FootnotesmallChar"/>
    <w:qFormat/>
    <w:rsid w:val="00B62CD2"/>
    <w:pPr>
      <w:contextualSpacing/>
    </w:pPr>
    <w:rPr>
      <w:sz w:val="16"/>
    </w:rPr>
  </w:style>
  <w:style w:type="character" w:customStyle="1" w:styleId="FootnotesmallChar">
    <w:name w:val="Footnotesmall Char"/>
    <w:basedOn w:val="FootnoteTextChar"/>
    <w:link w:val="Footnotesmall"/>
    <w:rsid w:val="00B62CD2"/>
    <w:rPr>
      <w:sz w:val="16"/>
      <w:szCs w:val="20"/>
    </w:rPr>
  </w:style>
  <w:style w:type="paragraph" w:styleId="Title">
    <w:name w:val="Title"/>
    <w:basedOn w:val="Normal"/>
    <w:next w:val="Normal"/>
    <w:link w:val="TitleChar"/>
    <w:uiPriority w:val="10"/>
    <w:qFormat/>
    <w:rsid w:val="008C2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8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144">
      <w:bodyDiv w:val="1"/>
      <w:marLeft w:val="0"/>
      <w:marRight w:val="0"/>
      <w:marTop w:val="0"/>
      <w:marBottom w:val="0"/>
      <w:divBdr>
        <w:top w:val="none" w:sz="0" w:space="0" w:color="auto"/>
        <w:left w:val="none" w:sz="0" w:space="0" w:color="auto"/>
        <w:bottom w:val="none" w:sz="0" w:space="0" w:color="auto"/>
        <w:right w:val="none" w:sz="0" w:space="0" w:color="auto"/>
      </w:divBdr>
    </w:div>
    <w:div w:id="661742726">
      <w:bodyDiv w:val="1"/>
      <w:marLeft w:val="0"/>
      <w:marRight w:val="0"/>
      <w:marTop w:val="0"/>
      <w:marBottom w:val="0"/>
      <w:divBdr>
        <w:top w:val="none" w:sz="0" w:space="0" w:color="auto"/>
        <w:left w:val="none" w:sz="0" w:space="0" w:color="auto"/>
        <w:bottom w:val="none" w:sz="0" w:space="0" w:color="auto"/>
        <w:right w:val="none" w:sz="0" w:space="0" w:color="auto"/>
      </w:divBdr>
      <w:divsChild>
        <w:div w:id="72120454">
          <w:marLeft w:val="0"/>
          <w:marRight w:val="0"/>
          <w:marTop w:val="0"/>
          <w:marBottom w:val="0"/>
          <w:divBdr>
            <w:top w:val="none" w:sz="0" w:space="0" w:color="auto"/>
            <w:left w:val="none" w:sz="0" w:space="0" w:color="auto"/>
            <w:bottom w:val="none" w:sz="0" w:space="0" w:color="auto"/>
            <w:right w:val="none" w:sz="0" w:space="0" w:color="auto"/>
          </w:divBdr>
          <w:divsChild>
            <w:div w:id="589240712">
              <w:marLeft w:val="0"/>
              <w:marRight w:val="0"/>
              <w:marTop w:val="0"/>
              <w:marBottom w:val="0"/>
              <w:divBdr>
                <w:top w:val="none" w:sz="0" w:space="0" w:color="auto"/>
                <w:left w:val="none" w:sz="0" w:space="0" w:color="auto"/>
                <w:bottom w:val="none" w:sz="0" w:space="0" w:color="auto"/>
                <w:right w:val="none" w:sz="0" w:space="0" w:color="auto"/>
              </w:divBdr>
            </w:div>
            <w:div w:id="2010870088">
              <w:marLeft w:val="0"/>
              <w:marRight w:val="0"/>
              <w:marTop w:val="0"/>
              <w:marBottom w:val="0"/>
              <w:divBdr>
                <w:top w:val="none" w:sz="0" w:space="0" w:color="auto"/>
                <w:left w:val="none" w:sz="0" w:space="0" w:color="auto"/>
                <w:bottom w:val="none" w:sz="0" w:space="0" w:color="auto"/>
                <w:right w:val="none" w:sz="0" w:space="0" w:color="auto"/>
              </w:divBdr>
            </w:div>
          </w:divsChild>
        </w:div>
        <w:div w:id="361174884">
          <w:marLeft w:val="0"/>
          <w:marRight w:val="0"/>
          <w:marTop w:val="0"/>
          <w:marBottom w:val="0"/>
          <w:divBdr>
            <w:top w:val="none" w:sz="0" w:space="0" w:color="auto"/>
            <w:left w:val="none" w:sz="0" w:space="0" w:color="auto"/>
            <w:bottom w:val="none" w:sz="0" w:space="0" w:color="auto"/>
            <w:right w:val="none" w:sz="0" w:space="0" w:color="auto"/>
          </w:divBdr>
          <w:divsChild>
            <w:div w:id="359085338">
              <w:marLeft w:val="0"/>
              <w:marRight w:val="0"/>
              <w:marTop w:val="0"/>
              <w:marBottom w:val="0"/>
              <w:divBdr>
                <w:top w:val="none" w:sz="0" w:space="0" w:color="auto"/>
                <w:left w:val="none" w:sz="0" w:space="0" w:color="auto"/>
                <w:bottom w:val="none" w:sz="0" w:space="0" w:color="auto"/>
                <w:right w:val="none" w:sz="0" w:space="0" w:color="auto"/>
              </w:divBdr>
            </w:div>
            <w:div w:id="1132331666">
              <w:marLeft w:val="0"/>
              <w:marRight w:val="0"/>
              <w:marTop w:val="0"/>
              <w:marBottom w:val="0"/>
              <w:divBdr>
                <w:top w:val="none" w:sz="0" w:space="0" w:color="auto"/>
                <w:left w:val="none" w:sz="0" w:space="0" w:color="auto"/>
                <w:bottom w:val="none" w:sz="0" w:space="0" w:color="auto"/>
                <w:right w:val="none" w:sz="0" w:space="0" w:color="auto"/>
              </w:divBdr>
            </w:div>
            <w:div w:id="2041280357">
              <w:marLeft w:val="0"/>
              <w:marRight w:val="0"/>
              <w:marTop w:val="0"/>
              <w:marBottom w:val="0"/>
              <w:divBdr>
                <w:top w:val="none" w:sz="0" w:space="0" w:color="auto"/>
                <w:left w:val="none" w:sz="0" w:space="0" w:color="auto"/>
                <w:bottom w:val="none" w:sz="0" w:space="0" w:color="auto"/>
                <w:right w:val="none" w:sz="0" w:space="0" w:color="auto"/>
              </w:divBdr>
            </w:div>
          </w:divsChild>
        </w:div>
        <w:div w:id="362950459">
          <w:marLeft w:val="0"/>
          <w:marRight w:val="0"/>
          <w:marTop w:val="0"/>
          <w:marBottom w:val="0"/>
          <w:divBdr>
            <w:top w:val="none" w:sz="0" w:space="0" w:color="auto"/>
            <w:left w:val="none" w:sz="0" w:space="0" w:color="auto"/>
            <w:bottom w:val="none" w:sz="0" w:space="0" w:color="auto"/>
            <w:right w:val="none" w:sz="0" w:space="0" w:color="auto"/>
          </w:divBdr>
          <w:divsChild>
            <w:div w:id="795218658">
              <w:marLeft w:val="0"/>
              <w:marRight w:val="0"/>
              <w:marTop w:val="0"/>
              <w:marBottom w:val="0"/>
              <w:divBdr>
                <w:top w:val="none" w:sz="0" w:space="0" w:color="auto"/>
                <w:left w:val="none" w:sz="0" w:space="0" w:color="auto"/>
                <w:bottom w:val="none" w:sz="0" w:space="0" w:color="auto"/>
                <w:right w:val="none" w:sz="0" w:space="0" w:color="auto"/>
              </w:divBdr>
            </w:div>
            <w:div w:id="1617982566">
              <w:marLeft w:val="0"/>
              <w:marRight w:val="0"/>
              <w:marTop w:val="0"/>
              <w:marBottom w:val="0"/>
              <w:divBdr>
                <w:top w:val="none" w:sz="0" w:space="0" w:color="auto"/>
                <w:left w:val="none" w:sz="0" w:space="0" w:color="auto"/>
                <w:bottom w:val="none" w:sz="0" w:space="0" w:color="auto"/>
                <w:right w:val="none" w:sz="0" w:space="0" w:color="auto"/>
              </w:divBdr>
            </w:div>
            <w:div w:id="1973753336">
              <w:marLeft w:val="0"/>
              <w:marRight w:val="0"/>
              <w:marTop w:val="0"/>
              <w:marBottom w:val="0"/>
              <w:divBdr>
                <w:top w:val="none" w:sz="0" w:space="0" w:color="auto"/>
                <w:left w:val="none" w:sz="0" w:space="0" w:color="auto"/>
                <w:bottom w:val="none" w:sz="0" w:space="0" w:color="auto"/>
                <w:right w:val="none" w:sz="0" w:space="0" w:color="auto"/>
              </w:divBdr>
            </w:div>
          </w:divsChild>
        </w:div>
        <w:div w:id="862212684">
          <w:marLeft w:val="0"/>
          <w:marRight w:val="0"/>
          <w:marTop w:val="0"/>
          <w:marBottom w:val="0"/>
          <w:divBdr>
            <w:top w:val="none" w:sz="0" w:space="0" w:color="auto"/>
            <w:left w:val="none" w:sz="0" w:space="0" w:color="auto"/>
            <w:bottom w:val="none" w:sz="0" w:space="0" w:color="auto"/>
            <w:right w:val="none" w:sz="0" w:space="0" w:color="auto"/>
          </w:divBdr>
          <w:divsChild>
            <w:div w:id="958803879">
              <w:marLeft w:val="0"/>
              <w:marRight w:val="0"/>
              <w:marTop w:val="0"/>
              <w:marBottom w:val="0"/>
              <w:divBdr>
                <w:top w:val="none" w:sz="0" w:space="0" w:color="auto"/>
                <w:left w:val="none" w:sz="0" w:space="0" w:color="auto"/>
                <w:bottom w:val="none" w:sz="0" w:space="0" w:color="auto"/>
                <w:right w:val="none" w:sz="0" w:space="0" w:color="auto"/>
              </w:divBdr>
            </w:div>
            <w:div w:id="1746957338">
              <w:marLeft w:val="0"/>
              <w:marRight w:val="0"/>
              <w:marTop w:val="0"/>
              <w:marBottom w:val="0"/>
              <w:divBdr>
                <w:top w:val="none" w:sz="0" w:space="0" w:color="auto"/>
                <w:left w:val="none" w:sz="0" w:space="0" w:color="auto"/>
                <w:bottom w:val="none" w:sz="0" w:space="0" w:color="auto"/>
                <w:right w:val="none" w:sz="0" w:space="0" w:color="auto"/>
              </w:divBdr>
            </w:div>
          </w:divsChild>
        </w:div>
        <w:div w:id="903294293">
          <w:marLeft w:val="0"/>
          <w:marRight w:val="0"/>
          <w:marTop w:val="0"/>
          <w:marBottom w:val="0"/>
          <w:divBdr>
            <w:top w:val="none" w:sz="0" w:space="0" w:color="auto"/>
            <w:left w:val="none" w:sz="0" w:space="0" w:color="auto"/>
            <w:bottom w:val="none" w:sz="0" w:space="0" w:color="auto"/>
            <w:right w:val="none" w:sz="0" w:space="0" w:color="auto"/>
          </w:divBdr>
          <w:divsChild>
            <w:div w:id="521866973">
              <w:marLeft w:val="0"/>
              <w:marRight w:val="0"/>
              <w:marTop w:val="0"/>
              <w:marBottom w:val="0"/>
              <w:divBdr>
                <w:top w:val="none" w:sz="0" w:space="0" w:color="auto"/>
                <w:left w:val="none" w:sz="0" w:space="0" w:color="auto"/>
                <w:bottom w:val="none" w:sz="0" w:space="0" w:color="auto"/>
                <w:right w:val="none" w:sz="0" w:space="0" w:color="auto"/>
              </w:divBdr>
            </w:div>
            <w:div w:id="1212813472">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sChild>
        </w:div>
        <w:div w:id="910192802">
          <w:marLeft w:val="0"/>
          <w:marRight w:val="0"/>
          <w:marTop w:val="0"/>
          <w:marBottom w:val="0"/>
          <w:divBdr>
            <w:top w:val="none" w:sz="0" w:space="0" w:color="auto"/>
            <w:left w:val="none" w:sz="0" w:space="0" w:color="auto"/>
            <w:bottom w:val="none" w:sz="0" w:space="0" w:color="auto"/>
            <w:right w:val="none" w:sz="0" w:space="0" w:color="auto"/>
          </w:divBdr>
          <w:divsChild>
            <w:div w:id="1695693558">
              <w:marLeft w:val="0"/>
              <w:marRight w:val="0"/>
              <w:marTop w:val="0"/>
              <w:marBottom w:val="0"/>
              <w:divBdr>
                <w:top w:val="none" w:sz="0" w:space="0" w:color="auto"/>
                <w:left w:val="none" w:sz="0" w:space="0" w:color="auto"/>
                <w:bottom w:val="none" w:sz="0" w:space="0" w:color="auto"/>
                <w:right w:val="none" w:sz="0" w:space="0" w:color="auto"/>
              </w:divBdr>
            </w:div>
            <w:div w:id="2046444557">
              <w:marLeft w:val="0"/>
              <w:marRight w:val="0"/>
              <w:marTop w:val="0"/>
              <w:marBottom w:val="0"/>
              <w:divBdr>
                <w:top w:val="none" w:sz="0" w:space="0" w:color="auto"/>
                <w:left w:val="none" w:sz="0" w:space="0" w:color="auto"/>
                <w:bottom w:val="none" w:sz="0" w:space="0" w:color="auto"/>
                <w:right w:val="none" w:sz="0" w:space="0" w:color="auto"/>
              </w:divBdr>
            </w:div>
          </w:divsChild>
        </w:div>
        <w:div w:id="932588356">
          <w:marLeft w:val="0"/>
          <w:marRight w:val="0"/>
          <w:marTop w:val="0"/>
          <w:marBottom w:val="0"/>
          <w:divBdr>
            <w:top w:val="none" w:sz="0" w:space="0" w:color="auto"/>
            <w:left w:val="none" w:sz="0" w:space="0" w:color="auto"/>
            <w:bottom w:val="none" w:sz="0" w:space="0" w:color="auto"/>
            <w:right w:val="none" w:sz="0" w:space="0" w:color="auto"/>
          </w:divBdr>
          <w:divsChild>
            <w:div w:id="1981887031">
              <w:marLeft w:val="0"/>
              <w:marRight w:val="0"/>
              <w:marTop w:val="0"/>
              <w:marBottom w:val="0"/>
              <w:divBdr>
                <w:top w:val="none" w:sz="0" w:space="0" w:color="auto"/>
                <w:left w:val="none" w:sz="0" w:space="0" w:color="auto"/>
                <w:bottom w:val="none" w:sz="0" w:space="0" w:color="auto"/>
                <w:right w:val="none" w:sz="0" w:space="0" w:color="auto"/>
              </w:divBdr>
            </w:div>
            <w:div w:id="2102555791">
              <w:marLeft w:val="0"/>
              <w:marRight w:val="0"/>
              <w:marTop w:val="0"/>
              <w:marBottom w:val="0"/>
              <w:divBdr>
                <w:top w:val="none" w:sz="0" w:space="0" w:color="auto"/>
                <w:left w:val="none" w:sz="0" w:space="0" w:color="auto"/>
                <w:bottom w:val="none" w:sz="0" w:space="0" w:color="auto"/>
                <w:right w:val="none" w:sz="0" w:space="0" w:color="auto"/>
              </w:divBdr>
            </w:div>
          </w:divsChild>
        </w:div>
        <w:div w:id="1024282171">
          <w:marLeft w:val="0"/>
          <w:marRight w:val="0"/>
          <w:marTop w:val="0"/>
          <w:marBottom w:val="0"/>
          <w:divBdr>
            <w:top w:val="none" w:sz="0" w:space="0" w:color="auto"/>
            <w:left w:val="none" w:sz="0" w:space="0" w:color="auto"/>
            <w:bottom w:val="none" w:sz="0" w:space="0" w:color="auto"/>
            <w:right w:val="none" w:sz="0" w:space="0" w:color="auto"/>
          </w:divBdr>
          <w:divsChild>
            <w:div w:id="1445805552">
              <w:marLeft w:val="0"/>
              <w:marRight w:val="0"/>
              <w:marTop w:val="0"/>
              <w:marBottom w:val="0"/>
              <w:divBdr>
                <w:top w:val="none" w:sz="0" w:space="0" w:color="auto"/>
                <w:left w:val="none" w:sz="0" w:space="0" w:color="auto"/>
                <w:bottom w:val="none" w:sz="0" w:space="0" w:color="auto"/>
                <w:right w:val="none" w:sz="0" w:space="0" w:color="auto"/>
              </w:divBdr>
            </w:div>
          </w:divsChild>
        </w:div>
        <w:div w:id="1050955169">
          <w:marLeft w:val="0"/>
          <w:marRight w:val="0"/>
          <w:marTop w:val="0"/>
          <w:marBottom w:val="0"/>
          <w:divBdr>
            <w:top w:val="none" w:sz="0" w:space="0" w:color="auto"/>
            <w:left w:val="none" w:sz="0" w:space="0" w:color="auto"/>
            <w:bottom w:val="none" w:sz="0" w:space="0" w:color="auto"/>
            <w:right w:val="none" w:sz="0" w:space="0" w:color="auto"/>
          </w:divBdr>
          <w:divsChild>
            <w:div w:id="773669997">
              <w:marLeft w:val="0"/>
              <w:marRight w:val="0"/>
              <w:marTop w:val="0"/>
              <w:marBottom w:val="0"/>
              <w:divBdr>
                <w:top w:val="none" w:sz="0" w:space="0" w:color="auto"/>
                <w:left w:val="none" w:sz="0" w:space="0" w:color="auto"/>
                <w:bottom w:val="none" w:sz="0" w:space="0" w:color="auto"/>
                <w:right w:val="none" w:sz="0" w:space="0" w:color="auto"/>
              </w:divBdr>
            </w:div>
            <w:div w:id="919144287">
              <w:marLeft w:val="0"/>
              <w:marRight w:val="0"/>
              <w:marTop w:val="0"/>
              <w:marBottom w:val="0"/>
              <w:divBdr>
                <w:top w:val="none" w:sz="0" w:space="0" w:color="auto"/>
                <w:left w:val="none" w:sz="0" w:space="0" w:color="auto"/>
                <w:bottom w:val="none" w:sz="0" w:space="0" w:color="auto"/>
                <w:right w:val="none" w:sz="0" w:space="0" w:color="auto"/>
              </w:divBdr>
            </w:div>
          </w:divsChild>
        </w:div>
        <w:div w:id="1053313500">
          <w:marLeft w:val="0"/>
          <w:marRight w:val="0"/>
          <w:marTop w:val="0"/>
          <w:marBottom w:val="0"/>
          <w:divBdr>
            <w:top w:val="none" w:sz="0" w:space="0" w:color="auto"/>
            <w:left w:val="none" w:sz="0" w:space="0" w:color="auto"/>
            <w:bottom w:val="none" w:sz="0" w:space="0" w:color="auto"/>
            <w:right w:val="none" w:sz="0" w:space="0" w:color="auto"/>
          </w:divBdr>
          <w:divsChild>
            <w:div w:id="453132261">
              <w:marLeft w:val="0"/>
              <w:marRight w:val="0"/>
              <w:marTop w:val="0"/>
              <w:marBottom w:val="0"/>
              <w:divBdr>
                <w:top w:val="none" w:sz="0" w:space="0" w:color="auto"/>
                <w:left w:val="none" w:sz="0" w:space="0" w:color="auto"/>
                <w:bottom w:val="none" w:sz="0" w:space="0" w:color="auto"/>
                <w:right w:val="none" w:sz="0" w:space="0" w:color="auto"/>
              </w:divBdr>
            </w:div>
            <w:div w:id="604268936">
              <w:marLeft w:val="0"/>
              <w:marRight w:val="0"/>
              <w:marTop w:val="0"/>
              <w:marBottom w:val="0"/>
              <w:divBdr>
                <w:top w:val="none" w:sz="0" w:space="0" w:color="auto"/>
                <w:left w:val="none" w:sz="0" w:space="0" w:color="auto"/>
                <w:bottom w:val="none" w:sz="0" w:space="0" w:color="auto"/>
                <w:right w:val="none" w:sz="0" w:space="0" w:color="auto"/>
              </w:divBdr>
            </w:div>
          </w:divsChild>
        </w:div>
        <w:div w:id="1060980712">
          <w:marLeft w:val="0"/>
          <w:marRight w:val="0"/>
          <w:marTop w:val="0"/>
          <w:marBottom w:val="0"/>
          <w:divBdr>
            <w:top w:val="none" w:sz="0" w:space="0" w:color="auto"/>
            <w:left w:val="none" w:sz="0" w:space="0" w:color="auto"/>
            <w:bottom w:val="none" w:sz="0" w:space="0" w:color="auto"/>
            <w:right w:val="none" w:sz="0" w:space="0" w:color="auto"/>
          </w:divBdr>
          <w:divsChild>
            <w:div w:id="1411275262">
              <w:marLeft w:val="0"/>
              <w:marRight w:val="0"/>
              <w:marTop w:val="0"/>
              <w:marBottom w:val="0"/>
              <w:divBdr>
                <w:top w:val="none" w:sz="0" w:space="0" w:color="auto"/>
                <w:left w:val="none" w:sz="0" w:space="0" w:color="auto"/>
                <w:bottom w:val="none" w:sz="0" w:space="0" w:color="auto"/>
                <w:right w:val="none" w:sz="0" w:space="0" w:color="auto"/>
              </w:divBdr>
            </w:div>
            <w:div w:id="2029982136">
              <w:marLeft w:val="0"/>
              <w:marRight w:val="0"/>
              <w:marTop w:val="0"/>
              <w:marBottom w:val="0"/>
              <w:divBdr>
                <w:top w:val="none" w:sz="0" w:space="0" w:color="auto"/>
                <w:left w:val="none" w:sz="0" w:space="0" w:color="auto"/>
                <w:bottom w:val="none" w:sz="0" w:space="0" w:color="auto"/>
                <w:right w:val="none" w:sz="0" w:space="0" w:color="auto"/>
              </w:divBdr>
            </w:div>
          </w:divsChild>
        </w:div>
        <w:div w:id="1146434366">
          <w:marLeft w:val="0"/>
          <w:marRight w:val="0"/>
          <w:marTop w:val="0"/>
          <w:marBottom w:val="0"/>
          <w:divBdr>
            <w:top w:val="none" w:sz="0" w:space="0" w:color="auto"/>
            <w:left w:val="none" w:sz="0" w:space="0" w:color="auto"/>
            <w:bottom w:val="none" w:sz="0" w:space="0" w:color="auto"/>
            <w:right w:val="none" w:sz="0" w:space="0" w:color="auto"/>
          </w:divBdr>
          <w:divsChild>
            <w:div w:id="1915775912">
              <w:marLeft w:val="0"/>
              <w:marRight w:val="0"/>
              <w:marTop w:val="0"/>
              <w:marBottom w:val="0"/>
              <w:divBdr>
                <w:top w:val="none" w:sz="0" w:space="0" w:color="auto"/>
                <w:left w:val="none" w:sz="0" w:space="0" w:color="auto"/>
                <w:bottom w:val="none" w:sz="0" w:space="0" w:color="auto"/>
                <w:right w:val="none" w:sz="0" w:space="0" w:color="auto"/>
              </w:divBdr>
            </w:div>
          </w:divsChild>
        </w:div>
        <w:div w:id="1166357046">
          <w:marLeft w:val="0"/>
          <w:marRight w:val="0"/>
          <w:marTop w:val="0"/>
          <w:marBottom w:val="0"/>
          <w:divBdr>
            <w:top w:val="none" w:sz="0" w:space="0" w:color="auto"/>
            <w:left w:val="none" w:sz="0" w:space="0" w:color="auto"/>
            <w:bottom w:val="none" w:sz="0" w:space="0" w:color="auto"/>
            <w:right w:val="none" w:sz="0" w:space="0" w:color="auto"/>
          </w:divBdr>
          <w:divsChild>
            <w:div w:id="1186940111">
              <w:marLeft w:val="0"/>
              <w:marRight w:val="0"/>
              <w:marTop w:val="0"/>
              <w:marBottom w:val="0"/>
              <w:divBdr>
                <w:top w:val="none" w:sz="0" w:space="0" w:color="auto"/>
                <w:left w:val="none" w:sz="0" w:space="0" w:color="auto"/>
                <w:bottom w:val="none" w:sz="0" w:space="0" w:color="auto"/>
                <w:right w:val="none" w:sz="0" w:space="0" w:color="auto"/>
              </w:divBdr>
            </w:div>
          </w:divsChild>
        </w:div>
        <w:div w:id="1378625462">
          <w:marLeft w:val="0"/>
          <w:marRight w:val="0"/>
          <w:marTop w:val="0"/>
          <w:marBottom w:val="0"/>
          <w:divBdr>
            <w:top w:val="none" w:sz="0" w:space="0" w:color="auto"/>
            <w:left w:val="none" w:sz="0" w:space="0" w:color="auto"/>
            <w:bottom w:val="none" w:sz="0" w:space="0" w:color="auto"/>
            <w:right w:val="none" w:sz="0" w:space="0" w:color="auto"/>
          </w:divBdr>
          <w:divsChild>
            <w:div w:id="556354861">
              <w:marLeft w:val="0"/>
              <w:marRight w:val="0"/>
              <w:marTop w:val="0"/>
              <w:marBottom w:val="0"/>
              <w:divBdr>
                <w:top w:val="none" w:sz="0" w:space="0" w:color="auto"/>
                <w:left w:val="none" w:sz="0" w:space="0" w:color="auto"/>
                <w:bottom w:val="none" w:sz="0" w:space="0" w:color="auto"/>
                <w:right w:val="none" w:sz="0" w:space="0" w:color="auto"/>
              </w:divBdr>
            </w:div>
            <w:div w:id="1553232965">
              <w:marLeft w:val="0"/>
              <w:marRight w:val="0"/>
              <w:marTop w:val="0"/>
              <w:marBottom w:val="0"/>
              <w:divBdr>
                <w:top w:val="none" w:sz="0" w:space="0" w:color="auto"/>
                <w:left w:val="none" w:sz="0" w:space="0" w:color="auto"/>
                <w:bottom w:val="none" w:sz="0" w:space="0" w:color="auto"/>
                <w:right w:val="none" w:sz="0" w:space="0" w:color="auto"/>
              </w:divBdr>
            </w:div>
          </w:divsChild>
        </w:div>
        <w:div w:id="1513950461">
          <w:marLeft w:val="0"/>
          <w:marRight w:val="0"/>
          <w:marTop w:val="0"/>
          <w:marBottom w:val="0"/>
          <w:divBdr>
            <w:top w:val="none" w:sz="0" w:space="0" w:color="auto"/>
            <w:left w:val="none" w:sz="0" w:space="0" w:color="auto"/>
            <w:bottom w:val="none" w:sz="0" w:space="0" w:color="auto"/>
            <w:right w:val="none" w:sz="0" w:space="0" w:color="auto"/>
          </w:divBdr>
          <w:divsChild>
            <w:div w:id="682825872">
              <w:marLeft w:val="0"/>
              <w:marRight w:val="0"/>
              <w:marTop w:val="0"/>
              <w:marBottom w:val="0"/>
              <w:divBdr>
                <w:top w:val="none" w:sz="0" w:space="0" w:color="auto"/>
                <w:left w:val="none" w:sz="0" w:space="0" w:color="auto"/>
                <w:bottom w:val="none" w:sz="0" w:space="0" w:color="auto"/>
                <w:right w:val="none" w:sz="0" w:space="0" w:color="auto"/>
              </w:divBdr>
            </w:div>
            <w:div w:id="1510828782">
              <w:marLeft w:val="0"/>
              <w:marRight w:val="0"/>
              <w:marTop w:val="0"/>
              <w:marBottom w:val="0"/>
              <w:divBdr>
                <w:top w:val="none" w:sz="0" w:space="0" w:color="auto"/>
                <w:left w:val="none" w:sz="0" w:space="0" w:color="auto"/>
                <w:bottom w:val="none" w:sz="0" w:space="0" w:color="auto"/>
                <w:right w:val="none" w:sz="0" w:space="0" w:color="auto"/>
              </w:divBdr>
            </w:div>
          </w:divsChild>
        </w:div>
        <w:div w:id="1533810550">
          <w:marLeft w:val="0"/>
          <w:marRight w:val="0"/>
          <w:marTop w:val="0"/>
          <w:marBottom w:val="0"/>
          <w:divBdr>
            <w:top w:val="none" w:sz="0" w:space="0" w:color="auto"/>
            <w:left w:val="none" w:sz="0" w:space="0" w:color="auto"/>
            <w:bottom w:val="none" w:sz="0" w:space="0" w:color="auto"/>
            <w:right w:val="none" w:sz="0" w:space="0" w:color="auto"/>
          </w:divBdr>
          <w:divsChild>
            <w:div w:id="686903730">
              <w:marLeft w:val="0"/>
              <w:marRight w:val="0"/>
              <w:marTop w:val="0"/>
              <w:marBottom w:val="0"/>
              <w:divBdr>
                <w:top w:val="none" w:sz="0" w:space="0" w:color="auto"/>
                <w:left w:val="none" w:sz="0" w:space="0" w:color="auto"/>
                <w:bottom w:val="none" w:sz="0" w:space="0" w:color="auto"/>
                <w:right w:val="none" w:sz="0" w:space="0" w:color="auto"/>
              </w:divBdr>
            </w:div>
            <w:div w:id="915360619">
              <w:marLeft w:val="0"/>
              <w:marRight w:val="0"/>
              <w:marTop w:val="0"/>
              <w:marBottom w:val="0"/>
              <w:divBdr>
                <w:top w:val="none" w:sz="0" w:space="0" w:color="auto"/>
                <w:left w:val="none" w:sz="0" w:space="0" w:color="auto"/>
                <w:bottom w:val="none" w:sz="0" w:space="0" w:color="auto"/>
                <w:right w:val="none" w:sz="0" w:space="0" w:color="auto"/>
              </w:divBdr>
            </w:div>
          </w:divsChild>
        </w:div>
        <w:div w:id="1534266671">
          <w:marLeft w:val="0"/>
          <w:marRight w:val="0"/>
          <w:marTop w:val="0"/>
          <w:marBottom w:val="0"/>
          <w:divBdr>
            <w:top w:val="none" w:sz="0" w:space="0" w:color="auto"/>
            <w:left w:val="none" w:sz="0" w:space="0" w:color="auto"/>
            <w:bottom w:val="none" w:sz="0" w:space="0" w:color="auto"/>
            <w:right w:val="none" w:sz="0" w:space="0" w:color="auto"/>
          </w:divBdr>
          <w:divsChild>
            <w:div w:id="1647003855">
              <w:marLeft w:val="0"/>
              <w:marRight w:val="0"/>
              <w:marTop w:val="0"/>
              <w:marBottom w:val="0"/>
              <w:divBdr>
                <w:top w:val="none" w:sz="0" w:space="0" w:color="auto"/>
                <w:left w:val="none" w:sz="0" w:space="0" w:color="auto"/>
                <w:bottom w:val="none" w:sz="0" w:space="0" w:color="auto"/>
                <w:right w:val="none" w:sz="0" w:space="0" w:color="auto"/>
              </w:divBdr>
            </w:div>
          </w:divsChild>
        </w:div>
        <w:div w:id="1605117500">
          <w:marLeft w:val="0"/>
          <w:marRight w:val="0"/>
          <w:marTop w:val="0"/>
          <w:marBottom w:val="0"/>
          <w:divBdr>
            <w:top w:val="none" w:sz="0" w:space="0" w:color="auto"/>
            <w:left w:val="none" w:sz="0" w:space="0" w:color="auto"/>
            <w:bottom w:val="none" w:sz="0" w:space="0" w:color="auto"/>
            <w:right w:val="none" w:sz="0" w:space="0" w:color="auto"/>
          </w:divBdr>
          <w:divsChild>
            <w:div w:id="1261528867">
              <w:marLeft w:val="0"/>
              <w:marRight w:val="0"/>
              <w:marTop w:val="0"/>
              <w:marBottom w:val="0"/>
              <w:divBdr>
                <w:top w:val="none" w:sz="0" w:space="0" w:color="auto"/>
                <w:left w:val="none" w:sz="0" w:space="0" w:color="auto"/>
                <w:bottom w:val="none" w:sz="0" w:space="0" w:color="auto"/>
                <w:right w:val="none" w:sz="0" w:space="0" w:color="auto"/>
              </w:divBdr>
            </w:div>
            <w:div w:id="1298952246">
              <w:marLeft w:val="0"/>
              <w:marRight w:val="0"/>
              <w:marTop w:val="0"/>
              <w:marBottom w:val="0"/>
              <w:divBdr>
                <w:top w:val="none" w:sz="0" w:space="0" w:color="auto"/>
                <w:left w:val="none" w:sz="0" w:space="0" w:color="auto"/>
                <w:bottom w:val="none" w:sz="0" w:space="0" w:color="auto"/>
                <w:right w:val="none" w:sz="0" w:space="0" w:color="auto"/>
              </w:divBdr>
            </w:div>
            <w:div w:id="20806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4061">
      <w:bodyDiv w:val="1"/>
      <w:marLeft w:val="0"/>
      <w:marRight w:val="0"/>
      <w:marTop w:val="0"/>
      <w:marBottom w:val="0"/>
      <w:divBdr>
        <w:top w:val="none" w:sz="0" w:space="0" w:color="auto"/>
        <w:left w:val="none" w:sz="0" w:space="0" w:color="auto"/>
        <w:bottom w:val="none" w:sz="0" w:space="0" w:color="auto"/>
        <w:right w:val="none" w:sz="0" w:space="0" w:color="auto"/>
      </w:divBdr>
    </w:div>
    <w:div w:id="1475829045">
      <w:bodyDiv w:val="1"/>
      <w:marLeft w:val="0"/>
      <w:marRight w:val="0"/>
      <w:marTop w:val="0"/>
      <w:marBottom w:val="0"/>
      <w:divBdr>
        <w:top w:val="none" w:sz="0" w:space="0" w:color="auto"/>
        <w:left w:val="none" w:sz="0" w:space="0" w:color="auto"/>
        <w:bottom w:val="none" w:sz="0" w:space="0" w:color="auto"/>
        <w:right w:val="none" w:sz="0" w:space="0" w:color="auto"/>
      </w:divBdr>
    </w:div>
    <w:div w:id="1479496313">
      <w:bodyDiv w:val="1"/>
      <w:marLeft w:val="0"/>
      <w:marRight w:val="0"/>
      <w:marTop w:val="0"/>
      <w:marBottom w:val="0"/>
      <w:divBdr>
        <w:top w:val="none" w:sz="0" w:space="0" w:color="auto"/>
        <w:left w:val="none" w:sz="0" w:space="0" w:color="auto"/>
        <w:bottom w:val="none" w:sz="0" w:space="0" w:color="auto"/>
        <w:right w:val="none" w:sz="0" w:space="0" w:color="auto"/>
      </w:divBdr>
    </w:div>
    <w:div w:id="1635258490">
      <w:bodyDiv w:val="1"/>
      <w:marLeft w:val="0"/>
      <w:marRight w:val="0"/>
      <w:marTop w:val="0"/>
      <w:marBottom w:val="0"/>
      <w:divBdr>
        <w:top w:val="none" w:sz="0" w:space="0" w:color="auto"/>
        <w:left w:val="none" w:sz="0" w:space="0" w:color="auto"/>
        <w:bottom w:val="none" w:sz="0" w:space="0" w:color="auto"/>
        <w:right w:val="none" w:sz="0" w:space="0" w:color="auto"/>
      </w:divBdr>
    </w:div>
    <w:div w:id="1667971789">
      <w:bodyDiv w:val="1"/>
      <w:marLeft w:val="0"/>
      <w:marRight w:val="0"/>
      <w:marTop w:val="0"/>
      <w:marBottom w:val="0"/>
      <w:divBdr>
        <w:top w:val="none" w:sz="0" w:space="0" w:color="auto"/>
        <w:left w:val="none" w:sz="0" w:space="0" w:color="auto"/>
        <w:bottom w:val="none" w:sz="0" w:space="0" w:color="auto"/>
        <w:right w:val="none" w:sz="0" w:space="0" w:color="auto"/>
      </w:divBdr>
    </w:div>
    <w:div w:id="18449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gi-escr.org/publications/sale-of-public-school-lands-mauritania" TargetMode="External"/><Relationship Id="rId3" Type="http://schemas.openxmlformats.org/officeDocument/2006/relationships/hyperlink" Target="https://www.unrisd.org/80256B3C005BE6B5/search/6A8E91A3625AA61AC1257D4F003869B2" TargetMode="External"/><Relationship Id="rId7" Type="http://schemas.openxmlformats.org/officeDocument/2006/relationships/hyperlink" Target="http://www.fao.org/3/cb5191en/cb5191en.pdf" TargetMode="External"/><Relationship Id="rId2" Type="http://schemas.openxmlformats.org/officeDocument/2006/relationships/hyperlink" Target="http://nevendezpasleducation.org/wp-content/uploads/2017/07/Appeal-eng.-against-commercialisation.pdf" TargetMode="External"/><Relationship Id="rId1" Type="http://schemas.openxmlformats.org/officeDocument/2006/relationships/hyperlink" Target="https://www.gi-escr.org/latest-news/gi-escr-co-hosts-series-of-roundtables-on-new-draft-general-comment-on-land-and-esc-rights" TargetMode="External"/><Relationship Id="rId6" Type="http://schemas.openxmlformats.org/officeDocument/2006/relationships/hyperlink" Target="https://static1.squarespace.com/static/5c2d081daf2096648cc801da/t/5dc414bb9f409d285dc9abf2/1573131454068/Online+version_A4_WEB_COUV%2BTEXTE_THE-ABIDJAN-PRINCIPLES_Nov_2019.pdf" TargetMode="External"/><Relationship Id="rId5" Type="http://schemas.openxmlformats.org/officeDocument/2006/relationships/hyperlink" Target="file:///C:/Users/Sarah/Downloads/FIAN_Research_Paper_Digitalization_and_Land_Governance_final.pdf" TargetMode="External"/><Relationship Id="rId10" Type="http://schemas.openxmlformats.org/officeDocument/2006/relationships/hyperlink" Target="https://www.actionaidusa.org/wp-content/uploads/2018/03/Background-note.pdf" TargetMode="External"/><Relationship Id="rId4" Type="http://schemas.openxmlformats.org/officeDocument/2006/relationships/hyperlink" Target="https://fortune.com/2020/02/17/blackstone-commercial-real-estate-business-brep-breit/" TargetMode="External"/><Relationship Id="rId9" Type="http://schemas.openxmlformats.org/officeDocument/2006/relationships/hyperlink" Target="https://www.oaklandinstitute.org/sites/oaklandinstitute.org/files/highest-bidder-eng-high-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E167-E413-4A0B-8046-2D1AE50E6E0D}">
  <ds:schemaRefs>
    <ds:schemaRef ds:uri="http://schemas.microsoft.com/sharepoint/v3/contenttype/forms"/>
  </ds:schemaRefs>
</ds:datastoreItem>
</file>

<file path=customXml/itemProps2.xml><?xml version="1.0" encoding="utf-8"?>
<ds:datastoreItem xmlns:ds="http://schemas.openxmlformats.org/officeDocument/2006/customXml" ds:itemID="{E9EBC675-2167-4CE8-B3C3-866927E310A1}"/>
</file>

<file path=customXml/itemProps3.xml><?xml version="1.0" encoding="utf-8"?>
<ds:datastoreItem xmlns:ds="http://schemas.openxmlformats.org/officeDocument/2006/customXml" ds:itemID="{74519F3D-E436-4861-B654-E783C7085990}">
  <ds:schemaRefs>
    <ds:schemaRef ds:uri="http://purl.org/dc/terms/"/>
    <ds:schemaRef ds:uri="f982bab0-ee64-4081-9356-7468477ba864"/>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47e8b951-b14c-4db7-9ec5-7a3bbfd7b1b0"/>
    <ds:schemaRef ds:uri="http://www.w3.org/XML/1998/namespace"/>
    <ds:schemaRef ds:uri="http://purl.org/dc/elements/1.1/"/>
  </ds:schemaRefs>
</ds:datastoreItem>
</file>

<file path=customXml/itemProps4.xml><?xml version="1.0" encoding="utf-8"?>
<ds:datastoreItem xmlns:ds="http://schemas.openxmlformats.org/officeDocument/2006/customXml" ds:itemID="{AC1DE2D7-F2B7-4ED3-B886-7005C724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3214</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Jameson</dc:creator>
  <cp:keywords/>
  <dc:description/>
  <cp:lastModifiedBy>KIM Jung Rin</cp:lastModifiedBy>
  <cp:revision>2</cp:revision>
  <cp:lastPrinted>2021-08-15T10:01:00Z</cp:lastPrinted>
  <dcterms:created xsi:type="dcterms:W3CDTF">2021-08-16T13:13:00Z</dcterms:created>
  <dcterms:modified xsi:type="dcterms:W3CDTF">2021-08-16T13:13:00Z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