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C3" w:rsidRPr="00CE10B3" w:rsidRDefault="00DB27C3" w:rsidP="00DB27C3">
      <w:pPr>
        <w:spacing w:line="360" w:lineRule="auto"/>
        <w:jc w:val="center"/>
        <w:rPr>
          <w:rFonts w:ascii="Garamond" w:eastAsia="Calibri" w:hAnsi="Garamond" w:cs="Times New Roman"/>
          <w:b/>
          <w:sz w:val="24"/>
          <w:szCs w:val="24"/>
        </w:rPr>
      </w:pPr>
      <w:r w:rsidRPr="00CE10B3">
        <w:rPr>
          <w:rFonts w:ascii="Garamond" w:eastAsia="Calibri" w:hAnsi="Garamond" w:cs="Times New Roman"/>
          <w:noProof/>
          <w:sz w:val="25"/>
          <w:lang w:val="en-GB" w:eastAsia="ko-KR"/>
        </w:rPr>
        <w:drawing>
          <wp:inline distT="0" distB="0" distL="0" distR="0" wp14:anchorId="7B4C10F5" wp14:editId="30337899">
            <wp:extent cx="198033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7254" cy="921746"/>
                    </a:xfrm>
                    <a:prstGeom prst="rect">
                      <a:avLst/>
                    </a:prstGeom>
                    <a:noFill/>
                    <a:ln>
                      <a:noFill/>
                    </a:ln>
                  </pic:spPr>
                </pic:pic>
              </a:graphicData>
            </a:graphic>
          </wp:inline>
        </w:drawing>
      </w:r>
    </w:p>
    <w:p w:rsidR="00AA1298" w:rsidRPr="00CE10B3" w:rsidRDefault="00AA1298" w:rsidP="00DB27C3">
      <w:pPr>
        <w:spacing w:line="360" w:lineRule="auto"/>
        <w:jc w:val="center"/>
        <w:rPr>
          <w:rFonts w:ascii="Garamond" w:eastAsia="Calibri" w:hAnsi="Garamond" w:cs="Times New Roman"/>
          <w:b/>
          <w:sz w:val="24"/>
          <w:szCs w:val="24"/>
        </w:rPr>
      </w:pPr>
      <w:r w:rsidRPr="00CE10B3">
        <w:rPr>
          <w:rFonts w:ascii="Garamond" w:eastAsia="Calibri" w:hAnsi="Garamond" w:cs="Times New Roman"/>
          <w:b/>
          <w:sz w:val="24"/>
          <w:szCs w:val="24"/>
        </w:rPr>
        <w:t>Submission on the Committee on Economic, Social and Cultural Rights draft General Comment on Land and Economic Social and Cultural Rights (ESCR)</w:t>
      </w:r>
    </w:p>
    <w:p w:rsidR="00A413E6" w:rsidRPr="00CE10B3" w:rsidRDefault="00A413E6" w:rsidP="00A413E6">
      <w:pPr>
        <w:spacing w:line="360" w:lineRule="auto"/>
        <w:jc w:val="both"/>
        <w:rPr>
          <w:rFonts w:ascii="Garamond" w:eastAsia="Calibri" w:hAnsi="Garamond" w:cs="Times New Roman"/>
          <w:b/>
          <w:sz w:val="24"/>
          <w:szCs w:val="24"/>
        </w:rPr>
      </w:pPr>
      <w:r w:rsidRPr="00CE10B3">
        <w:rPr>
          <w:rFonts w:ascii="Garamond" w:eastAsia="Calibri" w:hAnsi="Garamond" w:cs="Times New Roman"/>
          <w:b/>
          <w:sz w:val="24"/>
          <w:szCs w:val="24"/>
        </w:rPr>
        <w:t>Introduction</w:t>
      </w:r>
    </w:p>
    <w:p w:rsidR="00A413E6" w:rsidRPr="00CE10B3" w:rsidRDefault="00A413E6" w:rsidP="00A413E6">
      <w:pPr>
        <w:spacing w:line="360" w:lineRule="auto"/>
        <w:jc w:val="both"/>
        <w:rPr>
          <w:rFonts w:ascii="Garamond" w:eastAsia="Calibri" w:hAnsi="Garamond" w:cs="Times New Roman"/>
          <w:sz w:val="24"/>
          <w:szCs w:val="24"/>
          <w:shd w:val="clear" w:color="auto" w:fill="FFFFFF"/>
        </w:rPr>
      </w:pPr>
      <w:r w:rsidRPr="00CE10B3">
        <w:rPr>
          <w:rFonts w:ascii="Garamond" w:eastAsia="Calibri" w:hAnsi="Garamond" w:cs="Times New Roman"/>
          <w:bCs/>
          <w:sz w:val="24"/>
          <w:szCs w:val="24"/>
          <w:shd w:val="clear" w:color="auto" w:fill="FFFFFF"/>
        </w:rPr>
        <w:t>Land is a cross-cutting issue</w:t>
      </w:r>
      <w:r w:rsidR="00B076C6" w:rsidRPr="00CE10B3">
        <w:rPr>
          <w:rFonts w:ascii="Garamond" w:eastAsia="Calibri" w:hAnsi="Garamond" w:cs="Times New Roman"/>
          <w:sz w:val="24"/>
          <w:szCs w:val="24"/>
          <w:shd w:val="clear" w:color="auto" w:fill="FFFFFF"/>
        </w:rPr>
        <w:t> that</w:t>
      </w:r>
      <w:r w:rsidRPr="00CE10B3">
        <w:rPr>
          <w:rFonts w:ascii="Garamond" w:eastAsia="Calibri" w:hAnsi="Garamond" w:cs="Times New Roman"/>
          <w:sz w:val="24"/>
          <w:szCs w:val="24"/>
          <w:shd w:val="clear" w:color="auto" w:fill="FFFFFF"/>
        </w:rPr>
        <w:t xml:space="preserve"> directly</w:t>
      </w:r>
      <w:r w:rsidR="00B076C6" w:rsidRPr="00CE10B3">
        <w:rPr>
          <w:rFonts w:ascii="Garamond" w:eastAsia="Calibri" w:hAnsi="Garamond" w:cs="Times New Roman"/>
          <w:sz w:val="24"/>
          <w:szCs w:val="24"/>
          <w:shd w:val="clear" w:color="auto" w:fill="FFFFFF"/>
        </w:rPr>
        <w:t xml:space="preserve"> impacts </w:t>
      </w:r>
      <w:r w:rsidRPr="00CE10B3">
        <w:rPr>
          <w:rFonts w:ascii="Garamond" w:eastAsia="Calibri" w:hAnsi="Garamond" w:cs="Times New Roman"/>
          <w:sz w:val="24"/>
          <w:szCs w:val="24"/>
          <w:shd w:val="clear" w:color="auto" w:fill="FFFFFF"/>
        </w:rPr>
        <w:t>the enjoyment of a number of human rights. Broadly, m</w:t>
      </w:r>
      <w:r w:rsidRPr="00CE10B3">
        <w:rPr>
          <w:rFonts w:ascii="Garamond" w:eastAsia="Calibri" w:hAnsi="Garamond" w:cs="Times New Roman"/>
          <w:sz w:val="24"/>
          <w:szCs w:val="24"/>
        </w:rPr>
        <w:t>any aspects of life depend directly or indirectly on land. F</w:t>
      </w:r>
      <w:r w:rsidRPr="00CE10B3">
        <w:rPr>
          <w:rFonts w:ascii="Garamond" w:eastAsia="Calibri" w:hAnsi="Garamond" w:cs="Times New Roman"/>
          <w:sz w:val="24"/>
          <w:szCs w:val="24"/>
          <w:shd w:val="clear" w:color="auto" w:fill="FFFFFF"/>
        </w:rPr>
        <w:t xml:space="preserve">or many people, land is a source of livelihood, and a critical resource in the pursuit of their economic, social and cultural development. Land is fundamentally linked to people’s identities and </w:t>
      </w:r>
      <w:r w:rsidR="00F92D01" w:rsidRPr="00CE10B3">
        <w:rPr>
          <w:rFonts w:ascii="Garamond" w:eastAsia="Calibri" w:hAnsi="Garamond" w:cs="Times New Roman"/>
          <w:sz w:val="24"/>
          <w:szCs w:val="24"/>
          <w:shd w:val="clear" w:color="auto" w:fill="FFFFFF"/>
        </w:rPr>
        <w:t>in more ways than one inexorably</w:t>
      </w:r>
      <w:r w:rsidR="00F92D01" w:rsidRPr="00CE10B3">
        <w:rPr>
          <w:rFonts w:ascii="Garamond" w:eastAsia="Calibri" w:hAnsi="Garamond" w:cs="Times New Roman"/>
          <w:sz w:val="24"/>
          <w:szCs w:val="24"/>
          <w:u w:val="single"/>
          <w:shd w:val="clear" w:color="auto" w:fill="FFFFFF"/>
        </w:rPr>
        <w:t xml:space="preserve"> </w:t>
      </w:r>
      <w:r w:rsidRPr="00CE10B3">
        <w:rPr>
          <w:rFonts w:ascii="Garamond" w:eastAsia="Calibri" w:hAnsi="Garamond" w:cs="Times New Roman"/>
          <w:sz w:val="24"/>
          <w:szCs w:val="24"/>
          <w:shd w:val="clear" w:color="auto" w:fill="FFFFFF"/>
        </w:rPr>
        <w:t>tied to social and cultural rights. T</w:t>
      </w:r>
      <w:r w:rsidR="00EB72DD" w:rsidRPr="00CE10B3">
        <w:rPr>
          <w:rFonts w:ascii="Garamond" w:eastAsia="Calibri" w:hAnsi="Garamond" w:cs="Times New Roman"/>
          <w:sz w:val="24"/>
          <w:szCs w:val="24"/>
          <w:shd w:val="clear" w:color="auto" w:fill="FFFFFF"/>
        </w:rPr>
        <w:t xml:space="preserve">his nexus </w:t>
      </w:r>
      <w:r w:rsidRPr="00CE10B3">
        <w:rPr>
          <w:rFonts w:ascii="Garamond" w:eastAsia="Calibri" w:hAnsi="Garamond" w:cs="Times New Roman"/>
          <w:sz w:val="24"/>
          <w:szCs w:val="24"/>
          <w:shd w:val="clear" w:color="auto" w:fill="FFFFFF"/>
        </w:rPr>
        <w:t>accentuates the centrality of land in the realization of covenant rights and affirms the fact that access to, use of and control over land directly affects the enjoyment of an array of human rights.</w:t>
      </w:r>
      <w:r w:rsidRPr="00CE10B3">
        <w:rPr>
          <w:rFonts w:ascii="Garamond" w:eastAsia="Calibri" w:hAnsi="Garamond" w:cs="Times New Roman"/>
          <w:sz w:val="24"/>
          <w:szCs w:val="24"/>
          <w:shd w:val="clear" w:color="auto" w:fill="FFFFFF"/>
          <w:vertAlign w:val="superscript"/>
        </w:rPr>
        <w:footnoteReference w:id="1"/>
      </w:r>
    </w:p>
    <w:p w:rsidR="00A413E6" w:rsidRPr="00CE10B3" w:rsidRDefault="00A413E6" w:rsidP="00A413E6">
      <w:pPr>
        <w:spacing w:line="360" w:lineRule="auto"/>
        <w:jc w:val="both"/>
        <w:rPr>
          <w:rFonts w:ascii="Garamond" w:eastAsia="Calibri" w:hAnsi="Garamond" w:cs="Times New Roman"/>
          <w:sz w:val="24"/>
          <w:szCs w:val="24"/>
        </w:rPr>
      </w:pPr>
      <w:r w:rsidRPr="00CE10B3">
        <w:rPr>
          <w:rFonts w:ascii="Garamond" w:eastAsia="Calibri" w:hAnsi="Garamond" w:cs="Times New Roman"/>
          <w:sz w:val="24"/>
          <w:szCs w:val="24"/>
          <w:shd w:val="clear" w:color="auto" w:fill="FFFFFF"/>
        </w:rPr>
        <w:t xml:space="preserve">Today, there is a growing global concern about rights that specifically derive from and are interlinked with land as a resource. </w:t>
      </w:r>
      <w:r w:rsidRPr="00CE10B3">
        <w:rPr>
          <w:rFonts w:ascii="Garamond" w:eastAsia="Calibri" w:hAnsi="Garamond" w:cs="Times New Roman"/>
          <w:sz w:val="24"/>
          <w:szCs w:val="24"/>
          <w:shd w:val="clear" w:color="auto" w:fill="FFFFFF"/>
        </w:rPr>
        <w:lastRenderedPageBreak/>
        <w:t xml:space="preserve">Issues that arise therefrom such as </w:t>
      </w:r>
      <w:r w:rsidRPr="00CE10B3">
        <w:rPr>
          <w:rFonts w:ascii="Garamond" w:eastAsia="Calibri" w:hAnsi="Garamond" w:cs="Times New Roman"/>
          <w:sz w:val="24"/>
          <w:szCs w:val="24"/>
        </w:rPr>
        <w:t>food security, climate change, forced eviction and the unsustainable use of natural resources have all contributed to r</w:t>
      </w:r>
      <w:bookmarkStart w:id="0" w:name="_GoBack"/>
      <w:bookmarkEnd w:id="0"/>
      <w:r w:rsidRPr="00CE10B3">
        <w:rPr>
          <w:rFonts w:ascii="Garamond" w:eastAsia="Calibri" w:hAnsi="Garamond" w:cs="Times New Roman"/>
          <w:sz w:val="24"/>
          <w:szCs w:val="24"/>
        </w:rPr>
        <w:t>enewed attention to how land is being used, controlled and managed.</w:t>
      </w:r>
    </w:p>
    <w:p w:rsidR="00AA1298" w:rsidRPr="00CE10B3" w:rsidRDefault="00A413E6" w:rsidP="00A413E6">
      <w:pPr>
        <w:spacing w:after="0" w:line="360" w:lineRule="auto"/>
        <w:jc w:val="both"/>
        <w:rPr>
          <w:rFonts w:ascii="Garamond" w:eastAsia="Calibri" w:hAnsi="Garamond" w:cs="Times New Roman"/>
          <w:sz w:val="24"/>
          <w:szCs w:val="24"/>
        </w:rPr>
      </w:pPr>
      <w:r w:rsidRPr="00CE10B3">
        <w:rPr>
          <w:rFonts w:ascii="Garamond" w:eastAsia="Calibri" w:hAnsi="Garamond" w:cs="Times New Roman"/>
          <w:sz w:val="24"/>
          <w:szCs w:val="24"/>
        </w:rPr>
        <w:t>These concerns have augmented the need for a comprehensive international legal frame work to address these challenges. It is on this premise that this submission to CESCR is intended to further fa</w:t>
      </w:r>
      <w:r w:rsidR="005C4B2A" w:rsidRPr="00CE10B3">
        <w:rPr>
          <w:rFonts w:ascii="Garamond" w:eastAsia="Calibri" w:hAnsi="Garamond" w:cs="Times New Roman"/>
          <w:sz w:val="24"/>
          <w:szCs w:val="24"/>
        </w:rPr>
        <w:t xml:space="preserve">cilitate the committee with </w:t>
      </w:r>
      <w:r w:rsidRPr="00CE10B3">
        <w:rPr>
          <w:rFonts w:ascii="Garamond" w:eastAsia="Calibri" w:hAnsi="Garamond" w:cs="Times New Roman"/>
          <w:sz w:val="24"/>
          <w:szCs w:val="24"/>
        </w:rPr>
        <w:t>insights and perspectives in the development of the draft General comment on Land.</w:t>
      </w:r>
      <w:r w:rsidR="000A498C" w:rsidRPr="00CE10B3">
        <w:rPr>
          <w:rFonts w:ascii="Garamond" w:eastAsia="Calibri" w:hAnsi="Garamond" w:cs="Times New Roman"/>
          <w:sz w:val="24"/>
          <w:szCs w:val="24"/>
        </w:rPr>
        <w:t xml:space="preserve"> This submission by </w:t>
      </w:r>
      <w:r w:rsidR="003007B2" w:rsidRPr="00CE10B3">
        <w:rPr>
          <w:rFonts w:ascii="Garamond" w:eastAsia="Calibri" w:hAnsi="Garamond" w:cs="Times New Roman"/>
          <w:sz w:val="24"/>
          <w:szCs w:val="24"/>
        </w:rPr>
        <w:t xml:space="preserve">the </w:t>
      </w:r>
      <w:r w:rsidR="000A498C" w:rsidRPr="00CE10B3">
        <w:rPr>
          <w:rFonts w:ascii="Garamond" w:eastAsia="Calibri" w:hAnsi="Garamond" w:cs="Times New Roman"/>
          <w:sz w:val="24"/>
          <w:szCs w:val="24"/>
        </w:rPr>
        <w:t>U</w:t>
      </w:r>
      <w:r w:rsidR="003007B2" w:rsidRPr="00CE10B3">
        <w:rPr>
          <w:rFonts w:ascii="Garamond" w:eastAsia="Calibri" w:hAnsi="Garamond" w:cs="Times New Roman"/>
          <w:sz w:val="24"/>
          <w:szCs w:val="24"/>
        </w:rPr>
        <w:t xml:space="preserve">ganda </w:t>
      </w:r>
      <w:r w:rsidR="000A498C" w:rsidRPr="00CE10B3">
        <w:rPr>
          <w:rFonts w:ascii="Garamond" w:eastAsia="Calibri" w:hAnsi="Garamond" w:cs="Times New Roman"/>
          <w:sz w:val="24"/>
          <w:szCs w:val="24"/>
        </w:rPr>
        <w:t>C</w:t>
      </w:r>
      <w:r w:rsidR="003007B2" w:rsidRPr="00CE10B3">
        <w:rPr>
          <w:rFonts w:ascii="Garamond" w:eastAsia="Calibri" w:hAnsi="Garamond" w:cs="Times New Roman"/>
          <w:sz w:val="24"/>
          <w:szCs w:val="24"/>
        </w:rPr>
        <w:t xml:space="preserve">onsortium on </w:t>
      </w:r>
      <w:r w:rsidR="000A498C" w:rsidRPr="00CE10B3">
        <w:rPr>
          <w:rFonts w:ascii="Garamond" w:eastAsia="Calibri" w:hAnsi="Garamond" w:cs="Times New Roman"/>
          <w:sz w:val="24"/>
          <w:szCs w:val="24"/>
        </w:rPr>
        <w:t>C</w:t>
      </w:r>
      <w:r w:rsidR="003007B2" w:rsidRPr="00CE10B3">
        <w:rPr>
          <w:rFonts w:ascii="Garamond" w:eastAsia="Calibri" w:hAnsi="Garamond" w:cs="Times New Roman"/>
          <w:sz w:val="24"/>
          <w:szCs w:val="24"/>
        </w:rPr>
        <w:t xml:space="preserve">orporate </w:t>
      </w:r>
      <w:r w:rsidR="000A498C" w:rsidRPr="00CE10B3">
        <w:rPr>
          <w:rFonts w:ascii="Garamond" w:eastAsia="Calibri" w:hAnsi="Garamond" w:cs="Times New Roman"/>
          <w:sz w:val="24"/>
          <w:szCs w:val="24"/>
        </w:rPr>
        <w:t>A</w:t>
      </w:r>
      <w:r w:rsidR="003007B2" w:rsidRPr="00CE10B3">
        <w:rPr>
          <w:rFonts w:ascii="Garamond" w:eastAsia="Calibri" w:hAnsi="Garamond" w:cs="Times New Roman"/>
          <w:sz w:val="24"/>
          <w:szCs w:val="24"/>
        </w:rPr>
        <w:t>ccountability (UCCA)</w:t>
      </w:r>
      <w:r w:rsidRPr="00CE10B3">
        <w:rPr>
          <w:rFonts w:ascii="Garamond" w:eastAsia="Calibri" w:hAnsi="Garamond" w:cs="Times New Roman"/>
          <w:sz w:val="24"/>
          <w:szCs w:val="24"/>
        </w:rPr>
        <w:t xml:space="preserve"> builds on the submissions fro</w:t>
      </w:r>
      <w:r w:rsidR="003007B2" w:rsidRPr="00CE10B3">
        <w:rPr>
          <w:rFonts w:ascii="Garamond" w:eastAsia="Calibri" w:hAnsi="Garamond" w:cs="Times New Roman"/>
          <w:sz w:val="24"/>
          <w:szCs w:val="24"/>
        </w:rPr>
        <w:t>m other groups and entities</w:t>
      </w:r>
      <w:r w:rsidRPr="00CE10B3">
        <w:rPr>
          <w:rFonts w:ascii="Garamond" w:eastAsia="Times New Roman" w:hAnsi="Garamond" w:cs="Times New Roman"/>
          <w:sz w:val="24"/>
          <w:szCs w:val="24"/>
        </w:rPr>
        <w:t xml:space="preserve">. Hereunder, we specifically look at and address the aspects of </w:t>
      </w:r>
      <w:r w:rsidRPr="00CE10B3">
        <w:rPr>
          <w:rFonts w:ascii="Garamond" w:eastAsia="Calibri" w:hAnsi="Garamond" w:cs="Times New Roman"/>
          <w:sz w:val="24"/>
          <w:szCs w:val="24"/>
        </w:rPr>
        <w:t>environmental protection and climatic change, substantive equality, corporate accountability and indigenous persons.</w:t>
      </w:r>
    </w:p>
    <w:p w:rsidR="00AA1298" w:rsidRPr="00CE10B3" w:rsidRDefault="00AA1298" w:rsidP="00A413E6">
      <w:pPr>
        <w:spacing w:after="0" w:line="360" w:lineRule="auto"/>
        <w:jc w:val="both"/>
        <w:rPr>
          <w:rFonts w:ascii="Garamond" w:eastAsia="Calibri" w:hAnsi="Garamond" w:cs="Times New Roman"/>
          <w:sz w:val="24"/>
          <w:szCs w:val="24"/>
        </w:rPr>
      </w:pPr>
    </w:p>
    <w:p w:rsidR="00A413E6" w:rsidRDefault="00A413E6" w:rsidP="00A413E6">
      <w:pPr>
        <w:spacing w:after="0" w:line="360" w:lineRule="auto"/>
        <w:jc w:val="both"/>
        <w:rPr>
          <w:rFonts w:ascii="Garamond" w:eastAsia="Calibri" w:hAnsi="Garamond" w:cs="Times New Roman"/>
          <w:sz w:val="24"/>
          <w:szCs w:val="24"/>
        </w:rPr>
      </w:pPr>
    </w:p>
    <w:p w:rsidR="001459E7" w:rsidRPr="00CE10B3" w:rsidRDefault="001459E7" w:rsidP="00A413E6">
      <w:pPr>
        <w:spacing w:after="0" w:line="360" w:lineRule="auto"/>
        <w:jc w:val="both"/>
        <w:rPr>
          <w:rFonts w:ascii="Garamond" w:eastAsia="Calibri" w:hAnsi="Garamond" w:cs="Times New Roman"/>
          <w:sz w:val="24"/>
          <w:szCs w:val="24"/>
        </w:rPr>
      </w:pPr>
    </w:p>
    <w:p w:rsidR="00A413E6" w:rsidRPr="00CE10B3" w:rsidRDefault="00A413E6" w:rsidP="00A413E6">
      <w:pPr>
        <w:spacing w:after="0" w:line="360" w:lineRule="auto"/>
        <w:jc w:val="both"/>
        <w:rPr>
          <w:rFonts w:ascii="Garamond" w:eastAsia="Calibri" w:hAnsi="Garamond" w:cs="Times New Roman"/>
          <w:b/>
          <w:color w:val="7030A0"/>
          <w:sz w:val="24"/>
          <w:szCs w:val="24"/>
        </w:rPr>
      </w:pPr>
      <w:r w:rsidRPr="00CE10B3">
        <w:rPr>
          <w:rFonts w:ascii="Garamond" w:eastAsia="Calibri" w:hAnsi="Garamond" w:cs="Times New Roman"/>
          <w:b/>
          <w:sz w:val="24"/>
          <w:szCs w:val="24"/>
        </w:rPr>
        <w:t>Key Aspects</w:t>
      </w:r>
    </w:p>
    <w:p w:rsidR="00A413E6" w:rsidRPr="00CE10B3" w:rsidRDefault="00A413E6" w:rsidP="00A413E6">
      <w:pPr>
        <w:numPr>
          <w:ilvl w:val="0"/>
          <w:numId w:val="1"/>
        </w:numPr>
        <w:spacing w:line="360" w:lineRule="auto"/>
        <w:contextualSpacing/>
        <w:jc w:val="both"/>
        <w:rPr>
          <w:rFonts w:ascii="Garamond" w:eastAsia="Calibri" w:hAnsi="Garamond" w:cs="Times New Roman"/>
          <w:sz w:val="24"/>
          <w:szCs w:val="24"/>
        </w:rPr>
      </w:pPr>
      <w:r w:rsidRPr="00CE10B3">
        <w:rPr>
          <w:rFonts w:ascii="Garamond" w:eastAsia="Calibri" w:hAnsi="Garamond" w:cs="Times New Roman"/>
          <w:sz w:val="24"/>
          <w:szCs w:val="24"/>
        </w:rPr>
        <w:t>Environmental Protection and Climate change</w:t>
      </w:r>
    </w:p>
    <w:p w:rsidR="00A413E6" w:rsidRPr="00CE10B3" w:rsidRDefault="00A413E6" w:rsidP="00A413E6">
      <w:pPr>
        <w:spacing w:line="360" w:lineRule="auto"/>
        <w:jc w:val="both"/>
        <w:rPr>
          <w:rFonts w:ascii="Garamond" w:eastAsia="Times New Roman" w:hAnsi="Garamond" w:cs="Times New Roman"/>
          <w:sz w:val="24"/>
          <w:szCs w:val="24"/>
        </w:rPr>
      </w:pPr>
      <w:r w:rsidRPr="00CE10B3">
        <w:rPr>
          <w:rFonts w:ascii="Garamond" w:eastAsia="Calibri" w:hAnsi="Garamond" w:cs="Times New Roman"/>
          <w:sz w:val="24"/>
          <w:szCs w:val="24"/>
        </w:rPr>
        <w:t xml:space="preserve">A safe, clean, healthy and sustainable environment, including land as one of its elements, is a prerequisite for the enjoyment of human rights. Thus, land issues impacting upon human rights go beyond the governance of land tenure to include environmental </w:t>
      </w:r>
      <w:r w:rsidRPr="00CE10B3">
        <w:rPr>
          <w:rFonts w:ascii="Garamond" w:eastAsia="Calibri" w:hAnsi="Garamond" w:cs="Times New Roman"/>
          <w:sz w:val="24"/>
          <w:szCs w:val="24"/>
        </w:rPr>
        <w:lastRenderedPageBreak/>
        <w:t xml:space="preserve">protection, conservation and sustainable use. Therefore, we welcome the </w:t>
      </w:r>
      <w:r w:rsidRPr="00CE10B3">
        <w:rPr>
          <w:rFonts w:ascii="Garamond" w:eastAsia="Times New Roman" w:hAnsi="Garamond" w:cs="Times New Roman"/>
          <w:sz w:val="24"/>
          <w:szCs w:val="24"/>
        </w:rPr>
        <w:t>draft General Comment’s cognizance of this aspect in paragraph 37.</w:t>
      </w:r>
    </w:p>
    <w:p w:rsidR="00A413E6" w:rsidRPr="00CE10B3" w:rsidRDefault="00A413E6" w:rsidP="00A413E6">
      <w:pPr>
        <w:spacing w:line="360" w:lineRule="auto"/>
        <w:jc w:val="both"/>
        <w:rPr>
          <w:rFonts w:ascii="Garamond" w:eastAsia="Times New Roman" w:hAnsi="Garamond" w:cs="Times New Roman"/>
          <w:sz w:val="24"/>
          <w:szCs w:val="24"/>
        </w:rPr>
      </w:pPr>
      <w:r w:rsidRPr="00CE10B3">
        <w:rPr>
          <w:rFonts w:ascii="Garamond" w:eastAsia="Times New Roman" w:hAnsi="Garamond" w:cs="Times New Roman"/>
          <w:sz w:val="24"/>
          <w:szCs w:val="24"/>
        </w:rPr>
        <w:t>However, it is critical that the draft general comment underscores the issue of biodiversity loss and its impact on land related rights. Biodiversity loss and climate change are closely interrelated in how they intersect with land rights and it i</w:t>
      </w:r>
      <w:r w:rsidR="00825992" w:rsidRPr="00CE10B3">
        <w:rPr>
          <w:rFonts w:ascii="Garamond" w:eastAsia="Times New Roman" w:hAnsi="Garamond" w:cs="Times New Roman"/>
          <w:sz w:val="24"/>
          <w:szCs w:val="24"/>
        </w:rPr>
        <w:t xml:space="preserve">s important to consider them </w:t>
      </w:r>
      <w:r w:rsidRPr="00CE10B3">
        <w:rPr>
          <w:rFonts w:ascii="Garamond" w:eastAsia="Times New Roman" w:hAnsi="Garamond" w:cs="Times New Roman"/>
          <w:sz w:val="24"/>
          <w:szCs w:val="24"/>
        </w:rPr>
        <w:t>comprehensively in land rights related measures.</w:t>
      </w:r>
      <w:r w:rsidRPr="00CE10B3">
        <w:rPr>
          <w:rFonts w:ascii="Garamond" w:eastAsia="Times New Roman" w:hAnsi="Garamond" w:cs="Times New Roman"/>
          <w:sz w:val="24"/>
          <w:szCs w:val="24"/>
          <w:vertAlign w:val="superscript"/>
        </w:rPr>
        <w:footnoteReference w:id="2"/>
      </w:r>
      <w:r w:rsidRPr="00CE10B3">
        <w:rPr>
          <w:rFonts w:ascii="Garamond" w:eastAsia="Times New Roman" w:hAnsi="Garamond" w:cs="Times New Roman"/>
          <w:sz w:val="24"/>
          <w:szCs w:val="24"/>
        </w:rPr>
        <w:t xml:space="preserve"> The text must explicitly recognize that certain laws and policies</w:t>
      </w:r>
      <w:r w:rsidRPr="00CE10B3">
        <w:rPr>
          <w:rFonts w:ascii="Garamond" w:eastAsia="Times New Roman" w:hAnsi="Garamond" w:cs="Times New Roman"/>
          <w:sz w:val="24"/>
          <w:szCs w:val="24"/>
          <w:vertAlign w:val="superscript"/>
        </w:rPr>
        <w:footnoteReference w:id="3"/>
      </w:r>
      <w:r w:rsidRPr="00CE10B3">
        <w:rPr>
          <w:rFonts w:ascii="Garamond" w:eastAsia="Times New Roman" w:hAnsi="Garamond" w:cs="Times New Roman"/>
          <w:sz w:val="24"/>
          <w:szCs w:val="24"/>
        </w:rPr>
        <w:t xml:space="preserve"> to mitigate climate change or prevent biodiversity loss, violate/risk violating land rights, and also often not only do not lead to adequate emission reductions or biodiversity protection, but can even worsen levels of emissions or biodiversity loss.</w:t>
      </w:r>
      <w:r w:rsidRPr="00CE10B3">
        <w:rPr>
          <w:rFonts w:ascii="Garamond" w:eastAsia="Times New Roman" w:hAnsi="Garamond" w:cs="Times New Roman"/>
          <w:sz w:val="24"/>
          <w:szCs w:val="24"/>
          <w:vertAlign w:val="superscript"/>
        </w:rPr>
        <w:footnoteReference w:id="4"/>
      </w:r>
    </w:p>
    <w:p w:rsidR="00BF1A36" w:rsidRPr="00CE10B3" w:rsidRDefault="00A413E6" w:rsidP="00A413E6">
      <w:pPr>
        <w:spacing w:line="360" w:lineRule="auto"/>
        <w:jc w:val="both"/>
        <w:rPr>
          <w:rFonts w:ascii="Garamond" w:eastAsia="Times New Roman" w:hAnsi="Garamond" w:cs="Times New Roman"/>
          <w:sz w:val="24"/>
          <w:szCs w:val="24"/>
        </w:rPr>
      </w:pPr>
      <w:r w:rsidRPr="00CE10B3">
        <w:rPr>
          <w:rFonts w:ascii="Garamond" w:eastAsia="Times New Roman" w:hAnsi="Garamond" w:cs="Times New Roman"/>
          <w:sz w:val="24"/>
          <w:szCs w:val="24"/>
        </w:rPr>
        <w:lastRenderedPageBreak/>
        <w:t>Regarding climate change, Section F of the draft General Comment should emphasize the critical importance of focusi</w:t>
      </w:r>
      <w:r w:rsidR="006F52C9" w:rsidRPr="00CE10B3">
        <w:rPr>
          <w:rFonts w:ascii="Garamond" w:eastAsia="Times New Roman" w:hAnsi="Garamond" w:cs="Times New Roman"/>
          <w:sz w:val="24"/>
          <w:szCs w:val="24"/>
        </w:rPr>
        <w:t>ng the voices of women and youth</w:t>
      </w:r>
      <w:r w:rsidRPr="00CE10B3">
        <w:rPr>
          <w:rFonts w:ascii="Garamond" w:eastAsia="Times New Roman" w:hAnsi="Garamond" w:cs="Times New Roman"/>
          <w:sz w:val="24"/>
          <w:szCs w:val="24"/>
        </w:rPr>
        <w:t xml:space="preserve"> in climate related decision-making,</w:t>
      </w:r>
      <w:r w:rsidRPr="00CE10B3">
        <w:rPr>
          <w:rFonts w:ascii="Garamond" w:eastAsia="Times New Roman" w:hAnsi="Garamond" w:cs="Times New Roman"/>
          <w:sz w:val="24"/>
          <w:szCs w:val="24"/>
          <w:vertAlign w:val="superscript"/>
        </w:rPr>
        <w:footnoteReference w:id="5"/>
      </w:r>
      <w:r w:rsidRPr="00CE10B3">
        <w:rPr>
          <w:rFonts w:ascii="Garamond" w:eastAsia="Times New Roman" w:hAnsi="Garamond" w:cs="Times New Roman"/>
          <w:sz w:val="24"/>
          <w:szCs w:val="24"/>
        </w:rPr>
        <w:t xml:space="preserve"> more so from communities disproportionately affected by climate change impacts.</w:t>
      </w:r>
    </w:p>
    <w:p w:rsidR="00A413E6" w:rsidRPr="00CE10B3" w:rsidRDefault="00A413E6" w:rsidP="00A413E6">
      <w:pPr>
        <w:numPr>
          <w:ilvl w:val="0"/>
          <w:numId w:val="1"/>
        </w:numPr>
        <w:spacing w:line="360" w:lineRule="auto"/>
        <w:contextualSpacing/>
        <w:jc w:val="both"/>
        <w:rPr>
          <w:rFonts w:ascii="Garamond" w:eastAsia="Calibri" w:hAnsi="Garamond" w:cs="Times New Roman"/>
          <w:sz w:val="24"/>
          <w:szCs w:val="24"/>
        </w:rPr>
      </w:pPr>
      <w:r w:rsidRPr="00CE10B3">
        <w:rPr>
          <w:rFonts w:ascii="Garamond" w:eastAsia="Calibri" w:hAnsi="Garamond" w:cs="Times New Roman"/>
          <w:sz w:val="24"/>
          <w:szCs w:val="24"/>
        </w:rPr>
        <w:t>Substantive equality</w:t>
      </w:r>
    </w:p>
    <w:p w:rsidR="00A413E6" w:rsidRPr="00CE10B3" w:rsidRDefault="00A413E6" w:rsidP="00A413E6">
      <w:pPr>
        <w:spacing w:line="360" w:lineRule="auto"/>
        <w:jc w:val="both"/>
        <w:rPr>
          <w:rFonts w:ascii="Garamond" w:eastAsia="Times New Roman" w:hAnsi="Garamond" w:cs="Times New Roman"/>
          <w:sz w:val="24"/>
          <w:szCs w:val="24"/>
        </w:rPr>
      </w:pPr>
      <w:r w:rsidRPr="00CE10B3">
        <w:rPr>
          <w:rFonts w:ascii="Garamond" w:eastAsia="Calibri" w:hAnsi="Garamond" w:cs="Times New Roman"/>
          <w:sz w:val="24"/>
          <w:szCs w:val="24"/>
        </w:rPr>
        <w:t>Equality and non-discrimination are the hallmark of contemporary human rights safeguards. These duo aspects ensure a fair and levelled application, enforcement and enjoyment of covenant rights and lie at the heart of</w:t>
      </w:r>
      <w:r w:rsidR="00224917" w:rsidRPr="00CE10B3">
        <w:rPr>
          <w:rFonts w:ascii="Garamond" w:eastAsia="Calibri" w:hAnsi="Garamond" w:cs="Times New Roman"/>
          <w:sz w:val="24"/>
          <w:szCs w:val="24"/>
        </w:rPr>
        <w:t xml:space="preserve"> the</w:t>
      </w:r>
      <w:r w:rsidRPr="00CE10B3">
        <w:rPr>
          <w:rFonts w:ascii="Garamond" w:eastAsia="Calibri" w:hAnsi="Garamond" w:cs="Times New Roman"/>
          <w:sz w:val="24"/>
          <w:szCs w:val="24"/>
        </w:rPr>
        <w:t xml:space="preserve"> human rights framework. Thus, </w:t>
      </w:r>
      <w:r w:rsidRPr="00CE10B3">
        <w:rPr>
          <w:rFonts w:ascii="Garamond" w:eastAsia="Times New Roman" w:hAnsi="Garamond" w:cs="Times New Roman"/>
          <w:sz w:val="24"/>
          <w:szCs w:val="24"/>
        </w:rPr>
        <w:t>the focus of the draft General Comment on non-discrimination and equality is much welcome.</w:t>
      </w:r>
    </w:p>
    <w:p w:rsidR="00A413E6" w:rsidRPr="00CE10B3" w:rsidRDefault="00A413E6" w:rsidP="00A413E6">
      <w:pPr>
        <w:spacing w:line="360" w:lineRule="auto"/>
        <w:jc w:val="both"/>
        <w:rPr>
          <w:rFonts w:ascii="Garamond" w:eastAsia="Times New Roman" w:hAnsi="Garamond" w:cs="Times New Roman"/>
          <w:sz w:val="24"/>
          <w:szCs w:val="24"/>
        </w:rPr>
      </w:pPr>
      <w:r w:rsidRPr="00CE10B3">
        <w:rPr>
          <w:rFonts w:ascii="Garamond" w:eastAsia="Times New Roman" w:hAnsi="Garamond" w:cs="Times New Roman"/>
          <w:sz w:val="24"/>
          <w:szCs w:val="24"/>
        </w:rPr>
        <w:t xml:space="preserve">Under paragraphs 16-17, the draft general comment rightly observes the centrality of land resource to women and points to the vulnerable position of women, particularly the discrimination </w:t>
      </w:r>
      <w:r w:rsidRPr="00CE10B3">
        <w:rPr>
          <w:rFonts w:ascii="Garamond" w:eastAsia="Times New Roman" w:hAnsi="Garamond" w:cs="Times New Roman"/>
          <w:sz w:val="24"/>
          <w:szCs w:val="24"/>
        </w:rPr>
        <w:lastRenderedPageBreak/>
        <w:t>meted out against them in governance of land tenure. However, the draft fails to adequately highlight that women individually and collectively face higher risk of prejudice and discrimination because of the intersection of pa</w:t>
      </w:r>
      <w:r w:rsidR="007E5D2D" w:rsidRPr="00CE10B3">
        <w:rPr>
          <w:rFonts w:ascii="Garamond" w:eastAsia="Times New Roman" w:hAnsi="Garamond" w:cs="Times New Roman"/>
          <w:sz w:val="24"/>
          <w:szCs w:val="24"/>
        </w:rPr>
        <w:t>rticular identities by</w:t>
      </w:r>
      <w:r w:rsidRPr="00CE10B3">
        <w:rPr>
          <w:rFonts w:ascii="Garamond" w:eastAsia="Times New Roman" w:hAnsi="Garamond" w:cs="Times New Roman"/>
          <w:sz w:val="24"/>
          <w:szCs w:val="24"/>
        </w:rPr>
        <w:t xml:space="preserve"> categorizing women as a homogeneous </w:t>
      </w:r>
      <w:r w:rsidR="007E5D2D" w:rsidRPr="00CE10B3">
        <w:rPr>
          <w:rFonts w:ascii="Garamond" w:eastAsia="Times New Roman" w:hAnsi="Garamond" w:cs="Times New Roman"/>
          <w:sz w:val="24"/>
          <w:szCs w:val="24"/>
        </w:rPr>
        <w:t>group rather than considering their diversity</w:t>
      </w:r>
      <w:r w:rsidRPr="00CE10B3">
        <w:rPr>
          <w:rFonts w:ascii="Garamond" w:eastAsia="Times New Roman" w:hAnsi="Garamond" w:cs="Times New Roman"/>
          <w:sz w:val="24"/>
          <w:szCs w:val="24"/>
        </w:rPr>
        <w:t>.</w:t>
      </w:r>
    </w:p>
    <w:p w:rsidR="00A413E6" w:rsidRPr="00CE10B3" w:rsidRDefault="00A413E6" w:rsidP="00A413E6">
      <w:pPr>
        <w:spacing w:line="360" w:lineRule="auto"/>
        <w:jc w:val="both"/>
        <w:rPr>
          <w:rFonts w:ascii="Garamond" w:eastAsia="Times New Roman" w:hAnsi="Garamond" w:cs="Times New Roman"/>
          <w:sz w:val="24"/>
          <w:szCs w:val="24"/>
        </w:rPr>
      </w:pPr>
      <w:r w:rsidRPr="00CE10B3">
        <w:rPr>
          <w:rFonts w:ascii="Garamond" w:eastAsia="Times New Roman" w:hAnsi="Garamond" w:cs="Times New Roman"/>
          <w:sz w:val="24"/>
          <w:szCs w:val="24"/>
        </w:rPr>
        <w:t xml:space="preserve">Relatedly, while the draft General Comment recognizes the systemic, often institutional, discrimination faced by women in their particular contexts to an extent, it fails to adequately connect the intersectional discrimination and the obligations on the state to take active measures that seek to both understand the causes of such </w:t>
      </w:r>
      <w:r w:rsidR="00270E96" w:rsidRPr="00CE10B3">
        <w:rPr>
          <w:rFonts w:ascii="Garamond" w:eastAsia="Times New Roman" w:hAnsi="Garamond" w:cs="Times New Roman"/>
          <w:sz w:val="24"/>
          <w:szCs w:val="24"/>
        </w:rPr>
        <w:t xml:space="preserve">discrimination and take active </w:t>
      </w:r>
      <w:r w:rsidRPr="00CE10B3">
        <w:rPr>
          <w:rFonts w:ascii="Garamond" w:eastAsia="Times New Roman" w:hAnsi="Garamond" w:cs="Times New Roman"/>
          <w:sz w:val="24"/>
          <w:szCs w:val="24"/>
        </w:rPr>
        <w:t>steps to undo systems of oppression, discrimination and exclusion that hinder women’s access to land.</w:t>
      </w:r>
    </w:p>
    <w:p w:rsidR="001A60CE" w:rsidRPr="00CE10B3" w:rsidRDefault="00A413E6" w:rsidP="00A413E6">
      <w:pPr>
        <w:spacing w:line="360" w:lineRule="auto"/>
        <w:jc w:val="both"/>
        <w:rPr>
          <w:rFonts w:ascii="Garamond" w:eastAsia="Times New Roman" w:hAnsi="Garamond" w:cs="Times New Roman"/>
          <w:sz w:val="24"/>
          <w:szCs w:val="24"/>
        </w:rPr>
      </w:pPr>
      <w:r w:rsidRPr="00CE10B3">
        <w:rPr>
          <w:rFonts w:ascii="Garamond" w:eastAsia="Times New Roman" w:hAnsi="Garamond" w:cs="Times New Roman"/>
          <w:sz w:val="24"/>
          <w:szCs w:val="24"/>
        </w:rPr>
        <w:t xml:space="preserve">Thus, it </w:t>
      </w:r>
      <w:r w:rsidR="00270E96" w:rsidRPr="00CE10B3">
        <w:rPr>
          <w:rFonts w:ascii="Garamond" w:eastAsia="Times New Roman" w:hAnsi="Garamond" w:cs="Times New Roman"/>
          <w:sz w:val="24"/>
          <w:szCs w:val="24"/>
        </w:rPr>
        <w:t xml:space="preserve">is our recommendation </w:t>
      </w:r>
      <w:r w:rsidRPr="00CE10B3">
        <w:rPr>
          <w:rFonts w:ascii="Garamond" w:eastAsia="Times New Roman" w:hAnsi="Garamond" w:cs="Times New Roman"/>
          <w:sz w:val="24"/>
          <w:szCs w:val="24"/>
        </w:rPr>
        <w:t xml:space="preserve">that women’s right to land be </w:t>
      </w:r>
      <w:r w:rsidR="00293723" w:rsidRPr="00CE10B3">
        <w:rPr>
          <w:rFonts w:ascii="Garamond" w:eastAsia="Times New Roman" w:hAnsi="Garamond" w:cs="Times New Roman"/>
          <w:sz w:val="24"/>
          <w:szCs w:val="24"/>
        </w:rPr>
        <w:t>addressed looking at the</w:t>
      </w:r>
      <w:r w:rsidRPr="00CE10B3">
        <w:rPr>
          <w:rFonts w:ascii="Garamond" w:eastAsia="Times New Roman" w:hAnsi="Garamond" w:cs="Times New Roman"/>
          <w:sz w:val="24"/>
          <w:szCs w:val="24"/>
        </w:rPr>
        <w:t xml:space="preserve"> intersectionality of race, ethnicity, religion, tradition and customs, economic status, disability, sexual orientation, gender identity and expression and sex characteristics (SOGIESC). The multi-layered and compounding forms of discrimination that these groups experience are no different in the context of land.</w:t>
      </w:r>
      <w:r w:rsidRPr="00CE10B3">
        <w:rPr>
          <w:rFonts w:ascii="Garamond" w:eastAsia="Times New Roman" w:hAnsi="Garamond" w:cs="Times New Roman"/>
          <w:sz w:val="24"/>
          <w:szCs w:val="24"/>
          <w:vertAlign w:val="superscript"/>
        </w:rPr>
        <w:footnoteReference w:id="6"/>
      </w:r>
      <w:r w:rsidRPr="00CE10B3">
        <w:rPr>
          <w:rFonts w:ascii="Garamond" w:eastAsia="Times New Roman" w:hAnsi="Garamond" w:cs="Times New Roman"/>
          <w:sz w:val="24"/>
          <w:szCs w:val="24"/>
        </w:rPr>
        <w:t xml:space="preserve"> The General Comment should adopt a </w:t>
      </w:r>
      <w:r w:rsidRPr="00CE10B3">
        <w:rPr>
          <w:rFonts w:ascii="Garamond" w:eastAsia="Times New Roman" w:hAnsi="Garamond" w:cs="Times New Roman"/>
          <w:sz w:val="24"/>
          <w:szCs w:val="24"/>
        </w:rPr>
        <w:lastRenderedPageBreak/>
        <w:t>stronger emphasis on intersectional discrimination,</w:t>
      </w:r>
      <w:r w:rsidRPr="00CE10B3">
        <w:rPr>
          <w:rFonts w:ascii="Garamond" w:eastAsia="Times New Roman" w:hAnsi="Garamond" w:cs="Times New Roman"/>
          <w:sz w:val="24"/>
          <w:szCs w:val="24"/>
          <w:vertAlign w:val="superscript"/>
        </w:rPr>
        <w:footnoteReference w:id="7"/>
      </w:r>
      <w:r w:rsidR="005D3E8C" w:rsidRPr="00CE10B3">
        <w:rPr>
          <w:rFonts w:ascii="Garamond" w:eastAsia="Times New Roman" w:hAnsi="Garamond" w:cs="Times New Roman"/>
          <w:sz w:val="24"/>
          <w:szCs w:val="24"/>
        </w:rPr>
        <w:t xml:space="preserve"> in line with</w:t>
      </w:r>
      <w:r w:rsidRPr="00CE10B3">
        <w:rPr>
          <w:rFonts w:ascii="Garamond" w:eastAsia="Times New Roman" w:hAnsi="Garamond" w:cs="Times New Roman"/>
          <w:sz w:val="24"/>
          <w:szCs w:val="24"/>
        </w:rPr>
        <w:t xml:space="preserve"> reference to substantive equality in paragraph 14 and its past analysis.</w:t>
      </w:r>
      <w:r w:rsidRPr="00CE10B3">
        <w:rPr>
          <w:rFonts w:ascii="Garamond" w:eastAsia="Times New Roman" w:hAnsi="Garamond" w:cs="Times New Roman"/>
          <w:sz w:val="24"/>
          <w:szCs w:val="24"/>
          <w:vertAlign w:val="superscript"/>
        </w:rPr>
        <w:footnoteReference w:id="8"/>
      </w:r>
    </w:p>
    <w:p w:rsidR="00A413E6" w:rsidRPr="00CE10B3" w:rsidRDefault="00A413E6" w:rsidP="00A413E6">
      <w:pPr>
        <w:numPr>
          <w:ilvl w:val="0"/>
          <w:numId w:val="1"/>
        </w:numPr>
        <w:spacing w:line="360" w:lineRule="auto"/>
        <w:contextualSpacing/>
        <w:jc w:val="both"/>
        <w:rPr>
          <w:rFonts w:ascii="Garamond" w:eastAsia="Calibri" w:hAnsi="Garamond" w:cs="Times New Roman"/>
          <w:sz w:val="24"/>
          <w:szCs w:val="24"/>
        </w:rPr>
      </w:pPr>
      <w:r w:rsidRPr="00CE10B3">
        <w:rPr>
          <w:rFonts w:ascii="Garamond" w:eastAsia="Calibri" w:hAnsi="Garamond" w:cs="Times New Roman"/>
          <w:sz w:val="24"/>
          <w:szCs w:val="24"/>
        </w:rPr>
        <w:t>Corporate Accountability</w:t>
      </w:r>
    </w:p>
    <w:p w:rsidR="00A413E6" w:rsidRPr="00CE10B3" w:rsidRDefault="004E0768" w:rsidP="00A413E6">
      <w:pPr>
        <w:spacing w:line="360" w:lineRule="auto"/>
        <w:jc w:val="both"/>
        <w:rPr>
          <w:rFonts w:ascii="Garamond" w:eastAsia="Times New Roman" w:hAnsi="Garamond" w:cs="Times New Roman"/>
          <w:sz w:val="24"/>
          <w:szCs w:val="24"/>
          <w:highlight w:val="white"/>
        </w:rPr>
      </w:pPr>
      <w:r w:rsidRPr="00CE10B3">
        <w:rPr>
          <w:rFonts w:ascii="Garamond" w:eastAsia="Times New Roman" w:hAnsi="Garamond" w:cs="Times New Roman"/>
          <w:sz w:val="24"/>
          <w:szCs w:val="24"/>
          <w:highlight w:val="white"/>
        </w:rPr>
        <w:t>The growth</w:t>
      </w:r>
      <w:r w:rsidR="00A413E6" w:rsidRPr="00CE10B3">
        <w:rPr>
          <w:rFonts w:ascii="Garamond" w:eastAsia="Times New Roman" w:hAnsi="Garamond" w:cs="Times New Roman"/>
          <w:sz w:val="24"/>
          <w:szCs w:val="24"/>
          <w:highlight w:val="white"/>
        </w:rPr>
        <w:t xml:space="preserve"> of industrial agriculture and extractive projects and products has increased the demand for land and consequently led to pervasive violations of rights concerning access to, use of and control over land thereby resulting</w:t>
      </w:r>
      <w:r w:rsidR="000C7376" w:rsidRPr="00CE10B3">
        <w:rPr>
          <w:rFonts w:ascii="Garamond" w:eastAsia="Times New Roman" w:hAnsi="Garamond" w:cs="Times New Roman"/>
          <w:sz w:val="24"/>
          <w:szCs w:val="24"/>
          <w:highlight w:val="white"/>
        </w:rPr>
        <w:t xml:space="preserve"> in</w:t>
      </w:r>
      <w:r w:rsidR="00A413E6" w:rsidRPr="00CE10B3">
        <w:rPr>
          <w:rFonts w:ascii="Garamond" w:eastAsia="Times New Roman" w:hAnsi="Garamond" w:cs="Times New Roman"/>
          <w:sz w:val="24"/>
          <w:szCs w:val="24"/>
          <w:highlight w:val="white"/>
        </w:rPr>
        <w:t xml:space="preserve"> large-scale dispossession of indigenous peoples and other land-dependent communities. This is mostly perpetuated by companies and corporations – particularly those operating transnationally.</w:t>
      </w:r>
    </w:p>
    <w:p w:rsidR="00A413E6" w:rsidRPr="00CE10B3" w:rsidRDefault="00A413E6" w:rsidP="00A413E6">
      <w:pPr>
        <w:spacing w:line="360" w:lineRule="auto"/>
        <w:jc w:val="both"/>
        <w:rPr>
          <w:rFonts w:ascii="Garamond" w:eastAsia="Times New Roman" w:hAnsi="Garamond" w:cs="Times New Roman"/>
          <w:sz w:val="24"/>
          <w:szCs w:val="24"/>
          <w:highlight w:val="white"/>
        </w:rPr>
      </w:pPr>
      <w:r w:rsidRPr="00CE10B3">
        <w:rPr>
          <w:rFonts w:ascii="Garamond" w:eastAsia="Times New Roman" w:hAnsi="Garamond" w:cs="Times New Roman"/>
          <w:sz w:val="24"/>
          <w:szCs w:val="24"/>
          <w:highlight w:val="white"/>
        </w:rPr>
        <w:t>For the most p</w:t>
      </w:r>
      <w:r w:rsidR="003F0560" w:rsidRPr="00CE10B3">
        <w:rPr>
          <w:rFonts w:ascii="Garamond" w:eastAsia="Times New Roman" w:hAnsi="Garamond" w:cs="Times New Roman"/>
          <w:sz w:val="24"/>
          <w:szCs w:val="24"/>
          <w:highlight w:val="white"/>
        </w:rPr>
        <w:t xml:space="preserve">art, initiatives to ensure </w:t>
      </w:r>
      <w:r w:rsidRPr="00CE10B3">
        <w:rPr>
          <w:rFonts w:ascii="Garamond" w:eastAsia="Times New Roman" w:hAnsi="Garamond" w:cs="Times New Roman"/>
          <w:sz w:val="24"/>
          <w:szCs w:val="24"/>
          <w:highlight w:val="white"/>
        </w:rPr>
        <w:t xml:space="preserve">corporate accountability have been voluntary. However, with the growing cognizance of </w:t>
      </w:r>
      <w:r w:rsidRPr="00CE10B3">
        <w:rPr>
          <w:rFonts w:ascii="Garamond" w:eastAsia="Times New Roman" w:hAnsi="Garamond" w:cs="Times New Roman"/>
          <w:sz w:val="24"/>
          <w:szCs w:val="24"/>
          <w:highlight w:val="white"/>
        </w:rPr>
        <w:lastRenderedPageBreak/>
        <w:t>the need for respect of human rights in business, it is imperative that the multiple gendered impacts of corporate impunity and corporate capture be made visible through the General Comment.</w:t>
      </w:r>
    </w:p>
    <w:p w:rsidR="00A413E6" w:rsidRPr="00CE10B3" w:rsidRDefault="00A413E6" w:rsidP="00A413E6">
      <w:pPr>
        <w:spacing w:line="360" w:lineRule="auto"/>
        <w:jc w:val="both"/>
        <w:rPr>
          <w:rFonts w:ascii="Garamond" w:eastAsia="Times New Roman" w:hAnsi="Garamond" w:cs="Times New Roman"/>
          <w:sz w:val="24"/>
          <w:szCs w:val="24"/>
          <w:highlight w:val="white"/>
        </w:rPr>
      </w:pPr>
      <w:r w:rsidRPr="00CE10B3">
        <w:rPr>
          <w:rFonts w:ascii="Garamond" w:eastAsia="Times New Roman" w:hAnsi="Garamond" w:cs="Times New Roman"/>
          <w:sz w:val="24"/>
          <w:szCs w:val="24"/>
          <w:highlight w:val="white"/>
        </w:rPr>
        <w:t>The tripartite obligations to respect, protect, and fulfil human rights, have been affirmed and States have human rights obligation</w:t>
      </w:r>
      <w:r w:rsidR="00836E53" w:rsidRPr="00CE10B3">
        <w:rPr>
          <w:rFonts w:ascii="Garamond" w:eastAsia="Times New Roman" w:hAnsi="Garamond" w:cs="Times New Roman"/>
          <w:sz w:val="24"/>
          <w:szCs w:val="24"/>
          <w:highlight w:val="white"/>
        </w:rPr>
        <w:t>s</w:t>
      </w:r>
      <w:r w:rsidRPr="00CE10B3">
        <w:rPr>
          <w:rFonts w:ascii="Garamond" w:eastAsia="Times New Roman" w:hAnsi="Garamond" w:cs="Times New Roman"/>
          <w:sz w:val="24"/>
          <w:szCs w:val="24"/>
          <w:highlight w:val="white"/>
        </w:rPr>
        <w:t>, including extraterritorially, to effectively regulate business</w:t>
      </w:r>
      <w:r w:rsidR="00836E53" w:rsidRPr="00CE10B3">
        <w:rPr>
          <w:rFonts w:ascii="Garamond" w:eastAsia="Times New Roman" w:hAnsi="Garamond" w:cs="Times New Roman"/>
          <w:sz w:val="24"/>
          <w:szCs w:val="24"/>
          <w:highlight w:val="white"/>
        </w:rPr>
        <w:t>es</w:t>
      </w:r>
      <w:r w:rsidRPr="00CE10B3">
        <w:rPr>
          <w:rFonts w:ascii="Garamond" w:eastAsia="Times New Roman" w:hAnsi="Garamond" w:cs="Times New Roman"/>
          <w:sz w:val="24"/>
          <w:szCs w:val="24"/>
          <w:highlight w:val="white"/>
        </w:rPr>
        <w:t xml:space="preserve"> under the duty to protect,</w:t>
      </w:r>
      <w:r w:rsidRPr="00CE10B3">
        <w:rPr>
          <w:rFonts w:ascii="Garamond" w:eastAsia="Times New Roman" w:hAnsi="Garamond" w:cs="Times New Roman"/>
          <w:sz w:val="24"/>
          <w:szCs w:val="24"/>
          <w:highlight w:val="white"/>
          <w:vertAlign w:val="superscript"/>
        </w:rPr>
        <w:footnoteReference w:id="9"/>
      </w:r>
      <w:r w:rsidRPr="00CE10B3">
        <w:rPr>
          <w:rFonts w:ascii="Garamond" w:eastAsia="Times New Roman" w:hAnsi="Garamond" w:cs="Times New Roman"/>
          <w:sz w:val="24"/>
          <w:szCs w:val="24"/>
          <w:highlight w:val="white"/>
        </w:rPr>
        <w:t xml:space="preserve"> as well as to provide effective access to remedies for victims of human rights violations by business entities,</w:t>
      </w:r>
      <w:r w:rsidRPr="00CE10B3">
        <w:rPr>
          <w:rFonts w:ascii="Garamond" w:eastAsia="Times New Roman" w:hAnsi="Garamond" w:cs="Times New Roman"/>
          <w:sz w:val="24"/>
          <w:szCs w:val="24"/>
          <w:highlight w:val="white"/>
          <w:vertAlign w:val="superscript"/>
        </w:rPr>
        <w:footnoteReference w:id="10"/>
      </w:r>
      <w:r w:rsidRPr="00CE10B3">
        <w:rPr>
          <w:rFonts w:ascii="Garamond" w:eastAsia="Times New Roman" w:hAnsi="Garamond" w:cs="Times New Roman"/>
          <w:sz w:val="24"/>
          <w:szCs w:val="24"/>
          <w:highlight w:val="white"/>
        </w:rPr>
        <w:t xml:space="preserve"> and that business enterprises have the obligation, at a minimum, to respect Covenant rights.</w:t>
      </w:r>
      <w:r w:rsidRPr="00CE10B3">
        <w:rPr>
          <w:rFonts w:ascii="Garamond" w:eastAsia="Times New Roman" w:hAnsi="Garamond" w:cs="Times New Roman"/>
          <w:sz w:val="24"/>
          <w:szCs w:val="24"/>
          <w:highlight w:val="white"/>
          <w:vertAlign w:val="superscript"/>
        </w:rPr>
        <w:footnoteReference w:id="11"/>
      </w:r>
      <w:r w:rsidRPr="00CE10B3">
        <w:rPr>
          <w:rFonts w:ascii="Garamond" w:eastAsia="Times New Roman" w:hAnsi="Garamond" w:cs="Times New Roman"/>
          <w:sz w:val="24"/>
          <w:szCs w:val="24"/>
          <w:highlight w:val="white"/>
        </w:rPr>
        <w:t xml:space="preserve"> These obligations would also apply to rights in the context of access to, use of and control over land given the interconnection with rights under ICESCR. </w:t>
      </w:r>
    </w:p>
    <w:p w:rsidR="008F03F1" w:rsidRDefault="00A413E6" w:rsidP="00A413E6">
      <w:pPr>
        <w:spacing w:line="360" w:lineRule="auto"/>
        <w:jc w:val="both"/>
        <w:rPr>
          <w:rFonts w:ascii="Garamond" w:eastAsia="Times New Roman" w:hAnsi="Garamond" w:cs="Times New Roman"/>
          <w:sz w:val="24"/>
          <w:szCs w:val="24"/>
          <w:highlight w:val="white"/>
        </w:rPr>
      </w:pPr>
      <w:r w:rsidRPr="00CE10B3">
        <w:rPr>
          <w:rFonts w:ascii="Garamond" w:eastAsia="Times New Roman" w:hAnsi="Garamond" w:cs="Times New Roman"/>
          <w:sz w:val="24"/>
          <w:szCs w:val="24"/>
          <w:highlight w:val="white"/>
        </w:rPr>
        <w:t xml:space="preserve">Specifically, under Section C. Obligations of State Parties under the Covenant relating to land, we propose express mention and </w:t>
      </w:r>
      <w:r w:rsidRPr="00CE10B3">
        <w:rPr>
          <w:rFonts w:ascii="Garamond" w:eastAsia="Times New Roman" w:hAnsi="Garamond" w:cs="Times New Roman"/>
          <w:sz w:val="24"/>
          <w:szCs w:val="24"/>
          <w:highlight w:val="white"/>
        </w:rPr>
        <w:lastRenderedPageBreak/>
        <w:t>inclusion of</w:t>
      </w:r>
      <w:r w:rsidR="00850DA4" w:rsidRPr="00CE10B3">
        <w:rPr>
          <w:rFonts w:ascii="Garamond" w:eastAsia="Times New Roman" w:hAnsi="Garamond" w:cs="Times New Roman"/>
          <w:sz w:val="24"/>
          <w:szCs w:val="24"/>
          <w:highlight w:val="white"/>
        </w:rPr>
        <w:t>,</w:t>
      </w:r>
      <w:r w:rsidRPr="00CE10B3">
        <w:rPr>
          <w:rFonts w:ascii="Garamond" w:eastAsia="Times New Roman" w:hAnsi="Garamond" w:cs="Times New Roman"/>
          <w:sz w:val="24"/>
          <w:szCs w:val="24"/>
          <w:highlight w:val="white"/>
        </w:rPr>
        <w:t xml:space="preserve"> under the obligation to respect, the critical obligation by corporations at a minimum, to respect Covenant rights, including in relation to rights concerning the use of, access to and control over land. Further, we call for substitution of ‘human rights impact assessment’ with the phrase ‘human rights and environmental impact assessments’ so as to aptly capture environmental aspects. We also call for express protection of the integrity of the legal and policymaking space, its participants, and outcomes from corporate interests under paragraph 30, Section C. Under Extraterritorial Obligations (Section D), we propose textual changes to expressly include ‘environmental due diligence’ in paragraph 32.</w:t>
      </w:r>
    </w:p>
    <w:p w:rsidR="002A1920" w:rsidRPr="00CE10B3" w:rsidRDefault="002A1920" w:rsidP="00A413E6">
      <w:pPr>
        <w:spacing w:line="360" w:lineRule="auto"/>
        <w:jc w:val="both"/>
        <w:rPr>
          <w:rFonts w:ascii="Garamond" w:eastAsia="Times New Roman" w:hAnsi="Garamond" w:cs="Times New Roman"/>
          <w:sz w:val="24"/>
          <w:szCs w:val="24"/>
          <w:highlight w:val="white"/>
        </w:rPr>
      </w:pPr>
    </w:p>
    <w:p w:rsidR="00A413E6" w:rsidRPr="00CE10B3" w:rsidRDefault="00A413E6" w:rsidP="00A413E6">
      <w:pPr>
        <w:numPr>
          <w:ilvl w:val="0"/>
          <w:numId w:val="1"/>
        </w:numPr>
        <w:spacing w:line="360" w:lineRule="auto"/>
        <w:contextualSpacing/>
        <w:jc w:val="both"/>
        <w:rPr>
          <w:rFonts w:ascii="Garamond" w:eastAsia="Times New Roman" w:hAnsi="Garamond" w:cs="Times New Roman"/>
          <w:sz w:val="24"/>
          <w:szCs w:val="24"/>
        </w:rPr>
      </w:pPr>
      <w:r w:rsidRPr="00CE10B3">
        <w:rPr>
          <w:rFonts w:ascii="Garamond" w:eastAsia="Times New Roman" w:hAnsi="Garamond" w:cs="Times New Roman"/>
          <w:sz w:val="24"/>
          <w:szCs w:val="24"/>
        </w:rPr>
        <w:t xml:space="preserve">Indigenous Peoples and Self-Determination </w:t>
      </w:r>
    </w:p>
    <w:p w:rsidR="00A413E6" w:rsidRPr="00CE10B3" w:rsidRDefault="00A413E6" w:rsidP="00A413E6">
      <w:pPr>
        <w:spacing w:line="360" w:lineRule="auto"/>
        <w:jc w:val="both"/>
        <w:rPr>
          <w:rFonts w:ascii="Garamond" w:eastAsia="Calibri" w:hAnsi="Garamond" w:cs="Times New Roman"/>
          <w:sz w:val="24"/>
          <w:szCs w:val="24"/>
        </w:rPr>
      </w:pPr>
      <w:r w:rsidRPr="00CE10B3">
        <w:rPr>
          <w:rFonts w:ascii="Garamond" w:eastAsia="Times New Roman" w:hAnsi="Garamond" w:cs="Times New Roman"/>
          <w:sz w:val="24"/>
          <w:szCs w:val="24"/>
        </w:rPr>
        <w:t>Secure land rights are an essential element of the right to self-determination of Indigenous Peoples,</w:t>
      </w:r>
      <w:r w:rsidRPr="00CE10B3">
        <w:rPr>
          <w:rFonts w:ascii="Garamond" w:eastAsia="Times New Roman" w:hAnsi="Garamond" w:cs="Times New Roman"/>
          <w:sz w:val="24"/>
          <w:szCs w:val="24"/>
          <w:vertAlign w:val="superscript"/>
        </w:rPr>
        <w:footnoteReference w:id="12"/>
      </w:r>
      <w:r w:rsidRPr="00CE10B3">
        <w:rPr>
          <w:rFonts w:ascii="Garamond" w:eastAsia="Times New Roman" w:hAnsi="Garamond" w:cs="Times New Roman"/>
          <w:sz w:val="24"/>
          <w:szCs w:val="24"/>
        </w:rPr>
        <w:t xml:space="preserve"> to determine their political status and freely pursue their economic, social and cultural development. The right to self-determination may be violated when Indigenous Peoples are not allowed to own, use, access, develop or control traditionally / customarily or otherwise </w:t>
      </w:r>
      <w:r w:rsidRPr="00CE10B3">
        <w:rPr>
          <w:rFonts w:ascii="Garamond" w:eastAsia="Times New Roman" w:hAnsi="Garamond" w:cs="Times New Roman"/>
          <w:sz w:val="24"/>
          <w:szCs w:val="24"/>
        </w:rPr>
        <w:lastRenderedPageBreak/>
        <w:t>owned or used lands, particularly when natural resources derived from such lands are their means of subsistence.</w:t>
      </w:r>
      <w:r w:rsidRPr="00CE10B3">
        <w:rPr>
          <w:rFonts w:ascii="Garamond" w:eastAsia="Times New Roman" w:hAnsi="Garamond" w:cs="Times New Roman"/>
          <w:sz w:val="24"/>
          <w:szCs w:val="24"/>
          <w:vertAlign w:val="superscript"/>
        </w:rPr>
        <w:footnoteReference w:id="13"/>
      </w:r>
      <w:r w:rsidRPr="00CE10B3">
        <w:rPr>
          <w:rFonts w:ascii="Garamond" w:eastAsia="Times New Roman" w:hAnsi="Garamond" w:cs="Times New Roman"/>
          <w:sz w:val="24"/>
          <w:szCs w:val="24"/>
        </w:rPr>
        <w:t xml:space="preserve"> Secure land rights are also integral to the effective realization of the rights of Indigenous Peoples in a far broader sense. This has been recognized in previous General Comments issued by CESCR including the General Comment on the Right to Health,</w:t>
      </w:r>
      <w:r w:rsidRPr="00CE10B3">
        <w:rPr>
          <w:rFonts w:ascii="Garamond" w:eastAsia="Times New Roman" w:hAnsi="Garamond" w:cs="Times New Roman"/>
          <w:sz w:val="24"/>
          <w:szCs w:val="24"/>
          <w:vertAlign w:val="superscript"/>
        </w:rPr>
        <w:footnoteReference w:id="14"/>
      </w:r>
      <w:r w:rsidRPr="00CE10B3">
        <w:rPr>
          <w:rFonts w:ascii="Garamond" w:eastAsia="Times New Roman" w:hAnsi="Garamond" w:cs="Times New Roman"/>
          <w:sz w:val="24"/>
          <w:szCs w:val="24"/>
        </w:rPr>
        <w:t xml:space="preserve"> and the General Comment on the Right to Water,</w:t>
      </w:r>
      <w:r w:rsidRPr="00CE10B3">
        <w:rPr>
          <w:rFonts w:ascii="Garamond" w:eastAsia="Montserrat" w:hAnsi="Garamond" w:cs="Times New Roman"/>
          <w:i/>
          <w:sz w:val="24"/>
          <w:szCs w:val="24"/>
          <w:vertAlign w:val="superscript"/>
        </w:rPr>
        <w:footnoteReference w:id="15"/>
      </w:r>
      <w:r w:rsidRPr="00CE10B3">
        <w:rPr>
          <w:rFonts w:ascii="Garamond" w:eastAsia="Times New Roman" w:hAnsi="Garamond" w:cs="Times New Roman"/>
          <w:sz w:val="24"/>
          <w:szCs w:val="24"/>
        </w:rPr>
        <w:t xml:space="preserve"> in both of which the Committee explicitly recognized the fundamental nature of land rights for Indigenous Peoples in the realization of other rights. Therefore, the draft General Comment on land should clearly indicate and emphasize the interlinkages that land rights have </w:t>
      </w:r>
      <w:r w:rsidRPr="00CE10B3">
        <w:rPr>
          <w:rFonts w:ascii="Garamond" w:eastAsia="Times New Roman" w:hAnsi="Garamond" w:cs="Times New Roman"/>
          <w:sz w:val="24"/>
          <w:szCs w:val="24"/>
        </w:rPr>
        <w:lastRenderedPageBreak/>
        <w:t xml:space="preserve">with the enjoyment and realization </w:t>
      </w:r>
      <w:r w:rsidR="004720B4" w:rsidRPr="00CE10B3">
        <w:rPr>
          <w:rFonts w:ascii="Garamond" w:eastAsia="Times New Roman" w:hAnsi="Garamond" w:cs="Times New Roman"/>
          <w:sz w:val="24"/>
          <w:szCs w:val="24"/>
        </w:rPr>
        <w:t xml:space="preserve">of </w:t>
      </w:r>
      <w:r w:rsidRPr="00CE10B3">
        <w:rPr>
          <w:rFonts w:ascii="Garamond" w:eastAsia="Times New Roman" w:hAnsi="Garamond" w:cs="Times New Roman"/>
          <w:sz w:val="24"/>
          <w:szCs w:val="24"/>
        </w:rPr>
        <w:t>rights of indigenous people.</w:t>
      </w:r>
    </w:p>
    <w:p w:rsidR="00A413E6" w:rsidRPr="00CE10B3" w:rsidRDefault="00A413E6" w:rsidP="00A413E6">
      <w:pPr>
        <w:spacing w:line="360" w:lineRule="auto"/>
        <w:jc w:val="both"/>
        <w:rPr>
          <w:rFonts w:ascii="Garamond" w:eastAsia="Calibri" w:hAnsi="Garamond" w:cs="Times New Roman"/>
          <w:b/>
          <w:sz w:val="24"/>
          <w:szCs w:val="24"/>
        </w:rPr>
      </w:pPr>
      <w:r w:rsidRPr="00CE10B3">
        <w:rPr>
          <w:rFonts w:ascii="Garamond" w:eastAsia="Calibri" w:hAnsi="Garamond" w:cs="Times New Roman"/>
          <w:b/>
          <w:sz w:val="24"/>
          <w:szCs w:val="24"/>
        </w:rPr>
        <w:t>Conclusion</w:t>
      </w:r>
    </w:p>
    <w:p w:rsidR="00A413E6" w:rsidRPr="00CE10B3" w:rsidRDefault="00A413E6" w:rsidP="00A413E6">
      <w:pPr>
        <w:spacing w:line="360" w:lineRule="auto"/>
        <w:jc w:val="both"/>
        <w:rPr>
          <w:rFonts w:ascii="Garamond" w:eastAsia="Calibri" w:hAnsi="Garamond" w:cs="Times New Roman"/>
          <w:sz w:val="24"/>
          <w:szCs w:val="24"/>
        </w:rPr>
      </w:pPr>
      <w:r w:rsidRPr="00CE10B3">
        <w:rPr>
          <w:rFonts w:ascii="Garamond" w:eastAsia="Times New Roman" w:hAnsi="Garamond" w:cs="Times New Roman"/>
          <w:sz w:val="24"/>
          <w:szCs w:val="24"/>
          <w:highlight w:val="white"/>
        </w:rPr>
        <w:t>We thank CESCR for the opportunity to make this submission and commend its efforts in developing the draft General Comment on lan</w:t>
      </w:r>
      <w:r w:rsidR="00ED3DDC" w:rsidRPr="00CE10B3">
        <w:rPr>
          <w:rFonts w:ascii="Garamond" w:eastAsia="Times New Roman" w:hAnsi="Garamond" w:cs="Times New Roman"/>
          <w:sz w:val="24"/>
          <w:szCs w:val="24"/>
          <w:highlight w:val="white"/>
        </w:rPr>
        <w:t>d.</w:t>
      </w:r>
      <w:r w:rsidR="00310297" w:rsidRPr="00CE10B3">
        <w:rPr>
          <w:rFonts w:ascii="Garamond" w:eastAsia="Times New Roman" w:hAnsi="Garamond" w:cs="Times New Roman"/>
          <w:sz w:val="24"/>
          <w:szCs w:val="24"/>
        </w:rPr>
        <w:t xml:space="preserve"> </w:t>
      </w:r>
      <w:r w:rsidR="00AA1298" w:rsidRPr="00CE10B3">
        <w:rPr>
          <w:rFonts w:ascii="Garamond" w:eastAsia="Times New Roman" w:hAnsi="Garamond" w:cs="Times New Roman"/>
          <w:sz w:val="24"/>
          <w:szCs w:val="24"/>
        </w:rPr>
        <w:t>Please feel free to reach</w:t>
      </w:r>
      <w:r w:rsidR="00B55418" w:rsidRPr="00CE10B3">
        <w:rPr>
          <w:rFonts w:ascii="Garamond" w:eastAsia="Times New Roman" w:hAnsi="Garamond" w:cs="Times New Roman"/>
          <w:sz w:val="24"/>
          <w:szCs w:val="24"/>
        </w:rPr>
        <w:t xml:space="preserve"> out</w:t>
      </w:r>
      <w:r w:rsidR="00AA1298" w:rsidRPr="00CE10B3">
        <w:rPr>
          <w:rFonts w:ascii="Garamond" w:eastAsia="Times New Roman" w:hAnsi="Garamond" w:cs="Times New Roman"/>
          <w:sz w:val="24"/>
          <w:szCs w:val="24"/>
        </w:rPr>
        <w:t xml:space="preserve"> to Joseph Byomuhangyi at </w:t>
      </w:r>
      <w:hyperlink r:id="rId8" w:history="1">
        <w:r w:rsidR="00B55418" w:rsidRPr="00CE10B3">
          <w:rPr>
            <w:rStyle w:val="Hyperlink"/>
            <w:rFonts w:ascii="Garamond" w:eastAsia="Times New Roman" w:hAnsi="Garamond" w:cs="Times New Roman"/>
            <w:sz w:val="24"/>
            <w:szCs w:val="24"/>
          </w:rPr>
          <w:t>jbyomuhangyi@iser-uganda.org</w:t>
        </w:r>
      </w:hyperlink>
      <w:r w:rsidR="00B55418" w:rsidRPr="00CE10B3">
        <w:rPr>
          <w:rFonts w:ascii="Garamond" w:eastAsia="Times New Roman" w:hAnsi="Garamond" w:cs="Times New Roman"/>
          <w:sz w:val="24"/>
          <w:szCs w:val="24"/>
        </w:rPr>
        <w:t xml:space="preserve">, Kiira Brian Alex at </w:t>
      </w:r>
      <w:hyperlink r:id="rId9" w:history="1">
        <w:r w:rsidR="00B55418" w:rsidRPr="00CE10B3">
          <w:rPr>
            <w:rStyle w:val="Hyperlink"/>
            <w:rFonts w:ascii="Garamond" w:eastAsia="Times New Roman" w:hAnsi="Garamond" w:cs="Times New Roman"/>
            <w:sz w:val="24"/>
            <w:szCs w:val="24"/>
          </w:rPr>
          <w:t>bkiira@iser-uganda.org</w:t>
        </w:r>
      </w:hyperlink>
      <w:r w:rsidR="00B55418" w:rsidRPr="00CE10B3">
        <w:rPr>
          <w:rFonts w:ascii="Garamond" w:eastAsia="Times New Roman" w:hAnsi="Garamond" w:cs="Times New Roman"/>
          <w:sz w:val="24"/>
          <w:szCs w:val="24"/>
        </w:rPr>
        <w:t xml:space="preserve"> and Dalton Bakashabaruhanga at </w:t>
      </w:r>
      <w:hyperlink r:id="rId10" w:history="1">
        <w:r w:rsidR="00B55418" w:rsidRPr="00CE10B3">
          <w:rPr>
            <w:rStyle w:val="Hyperlink"/>
            <w:rFonts w:ascii="Garamond" w:eastAsia="Times New Roman" w:hAnsi="Garamond" w:cs="Times New Roman"/>
            <w:sz w:val="24"/>
            <w:szCs w:val="24"/>
          </w:rPr>
          <w:t>po@ucca-uganda.org</w:t>
        </w:r>
      </w:hyperlink>
      <w:r w:rsidR="00B55418" w:rsidRPr="00CE10B3">
        <w:rPr>
          <w:rFonts w:ascii="Garamond" w:eastAsia="Times New Roman" w:hAnsi="Garamond" w:cs="Times New Roman"/>
          <w:sz w:val="24"/>
          <w:szCs w:val="24"/>
        </w:rPr>
        <w:t xml:space="preserve"> for any further engagements and inquiries. </w:t>
      </w:r>
    </w:p>
    <w:p w:rsidR="000A5786" w:rsidRPr="00CE10B3" w:rsidRDefault="00E26A3B">
      <w:pPr>
        <w:rPr>
          <w:rFonts w:ascii="Garamond" w:hAnsi="Garamond" w:cs="Times New Roman"/>
        </w:rPr>
      </w:pPr>
    </w:p>
    <w:sectPr w:rsidR="000A5786" w:rsidRPr="00CE10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5C" w:rsidRDefault="0002775C" w:rsidP="00A413E6">
      <w:pPr>
        <w:spacing w:after="0" w:line="240" w:lineRule="auto"/>
      </w:pPr>
      <w:r>
        <w:separator/>
      </w:r>
    </w:p>
  </w:endnote>
  <w:endnote w:type="continuationSeparator" w:id="0">
    <w:p w:rsidR="0002775C" w:rsidRDefault="0002775C" w:rsidP="00A4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altName w:val="Calibri"/>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417466"/>
      <w:docPartObj>
        <w:docPartGallery w:val="Page Numbers (Bottom of Page)"/>
        <w:docPartUnique/>
      </w:docPartObj>
    </w:sdtPr>
    <w:sdtEndPr>
      <w:rPr>
        <w:noProof/>
      </w:rPr>
    </w:sdtEndPr>
    <w:sdtContent>
      <w:p w:rsidR="002C5450" w:rsidRDefault="004F1892">
        <w:pPr>
          <w:pStyle w:val="Footer"/>
          <w:jc w:val="center"/>
        </w:pPr>
        <w:r>
          <w:fldChar w:fldCharType="begin"/>
        </w:r>
        <w:r>
          <w:instrText xml:space="preserve"> PAGE   \* MERGEFORMAT </w:instrText>
        </w:r>
        <w:r>
          <w:fldChar w:fldCharType="separate"/>
        </w:r>
        <w:r w:rsidR="00E26A3B">
          <w:rPr>
            <w:noProof/>
          </w:rPr>
          <w:t>2</w:t>
        </w:r>
        <w:r>
          <w:rPr>
            <w:noProof/>
          </w:rPr>
          <w:fldChar w:fldCharType="end"/>
        </w:r>
      </w:p>
    </w:sdtContent>
  </w:sdt>
  <w:p w:rsidR="002C5450" w:rsidRDefault="00E26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5C" w:rsidRDefault="0002775C" w:rsidP="00A413E6">
      <w:pPr>
        <w:spacing w:after="0" w:line="240" w:lineRule="auto"/>
      </w:pPr>
      <w:r>
        <w:separator/>
      </w:r>
    </w:p>
  </w:footnote>
  <w:footnote w:type="continuationSeparator" w:id="0">
    <w:p w:rsidR="0002775C" w:rsidRDefault="0002775C" w:rsidP="00A413E6">
      <w:pPr>
        <w:spacing w:after="0" w:line="240" w:lineRule="auto"/>
      </w:pPr>
      <w:r>
        <w:continuationSeparator/>
      </w:r>
    </w:p>
  </w:footnote>
  <w:footnote w:id="1">
    <w:p w:rsidR="00A413E6" w:rsidRPr="005727CC" w:rsidRDefault="00A413E6" w:rsidP="00A413E6">
      <w:pPr>
        <w:pStyle w:val="FootnoteText"/>
        <w:spacing w:line="276" w:lineRule="auto"/>
        <w:ind w:left="720" w:hanging="720"/>
        <w:jc w:val="both"/>
        <w:rPr>
          <w:rFonts w:ascii="Garamond" w:hAnsi="Garamond"/>
        </w:rPr>
      </w:pPr>
      <w:r w:rsidRPr="005727CC">
        <w:rPr>
          <w:rStyle w:val="FootnoteReference"/>
          <w:rFonts w:ascii="Garamond" w:hAnsi="Garamond"/>
        </w:rPr>
        <w:footnoteRef/>
      </w:r>
      <w:r w:rsidRPr="005727CC">
        <w:rPr>
          <w:rFonts w:ascii="Garamond" w:hAnsi="Garamond"/>
        </w:rPr>
        <w:t xml:space="preserve"> </w:t>
      </w:r>
      <w:r w:rsidRPr="005727CC">
        <w:rPr>
          <w:rFonts w:ascii="Garamond" w:hAnsi="Garamond"/>
        </w:rPr>
        <w:tab/>
        <w:t xml:space="preserve">See OHCHR, Land and Human Rights: Standards and applications, available at </w:t>
      </w:r>
      <w:hyperlink r:id="rId1" w:history="1">
        <w:r w:rsidRPr="005727CC">
          <w:rPr>
            <w:rStyle w:val="Hyperlink1"/>
            <w:rFonts w:ascii="Garamond" w:hAnsi="Garamond"/>
          </w:rPr>
          <w:t>https://www.ohchr.org/Documents/Publications/Land_HR-StandardsApplications.pdf</w:t>
        </w:r>
      </w:hyperlink>
    </w:p>
  </w:footnote>
  <w:footnote w:id="2">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See generally, IPBES-IPCC co-sponsored workshop report on biodiversity and climate change, 24 June 2021,available at: </w:t>
      </w:r>
      <w:hyperlink r:id="rId2">
        <w:r w:rsidRPr="005727CC">
          <w:rPr>
            <w:rFonts w:ascii="Garamond" w:eastAsia="Calibri" w:hAnsi="Garamond" w:cs="Calibri"/>
            <w:color w:val="1155CC"/>
            <w:sz w:val="20"/>
            <w:szCs w:val="20"/>
            <w:u w:val="single"/>
          </w:rPr>
          <w:t>https://zenodo.org/record/5101133https://zenodo.org/record/5101133</w:t>
        </w:r>
      </w:hyperlink>
      <w:r w:rsidRPr="005727CC">
        <w:rPr>
          <w:rFonts w:ascii="Garamond" w:eastAsia="Calibri" w:hAnsi="Garamond" w:cs="Calibri"/>
          <w:sz w:val="20"/>
          <w:szCs w:val="20"/>
        </w:rPr>
        <w:t xml:space="preserve"> </w:t>
      </w:r>
    </w:p>
  </w:footnote>
  <w:footnote w:id="3">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For example, in relation to carbon markets and protected areas or exclusionary conservation. See, ActionAid, Not-their-lands: The land impact of Royal Dutch Shell's net zero climate target, 2021, </w:t>
      </w:r>
      <w:hyperlink r:id="rId3">
        <w:r w:rsidRPr="005727CC">
          <w:rPr>
            <w:rFonts w:ascii="Garamond" w:eastAsia="Calibri" w:hAnsi="Garamond" w:cs="Calibri"/>
            <w:color w:val="1155CC"/>
            <w:sz w:val="20"/>
            <w:szCs w:val="20"/>
            <w:u w:val="single"/>
          </w:rPr>
          <w:t>https://actionaid.org/sites/default/files/publications/Not-Their-Lands_Media%20Briefing.pdf</w:t>
        </w:r>
      </w:hyperlink>
      <w:r w:rsidRPr="005727CC">
        <w:rPr>
          <w:rFonts w:ascii="Garamond" w:eastAsia="Calibri" w:hAnsi="Garamond" w:cs="Calibri"/>
          <w:sz w:val="20"/>
          <w:szCs w:val="20"/>
        </w:rPr>
        <w:t xml:space="preserve">; John Knox &amp; Victoria Tauli-Corpuz, To conserve nature, protect human rights, Thomas Reuters news, 3 June 2021, </w:t>
      </w:r>
      <w:hyperlink r:id="rId4">
        <w:r w:rsidRPr="005727CC">
          <w:rPr>
            <w:rFonts w:ascii="Garamond" w:eastAsia="Calibri" w:hAnsi="Garamond" w:cs="Calibri"/>
            <w:color w:val="1155CC"/>
            <w:sz w:val="20"/>
            <w:szCs w:val="20"/>
            <w:u w:val="single"/>
          </w:rPr>
          <w:t>https://news.trust.org/item/20210603135601-wshfn/</w:t>
        </w:r>
      </w:hyperlink>
    </w:p>
  </w:footnote>
  <w:footnote w:id="4">
    <w:p w:rsidR="00A413E6" w:rsidRPr="005727CC" w:rsidRDefault="00A413E6" w:rsidP="00A413E6">
      <w:pPr>
        <w:spacing w:after="0" w:line="276" w:lineRule="auto"/>
        <w:ind w:left="720" w:hanging="720"/>
        <w:jc w:val="both"/>
        <w:rPr>
          <w:rFonts w:ascii="Garamond" w:eastAsia="Calibri" w:hAnsi="Garamond" w:cs="Calibri"/>
          <w:sz w:val="20"/>
          <w:szCs w:val="20"/>
          <w:highlight w:val="yellow"/>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See for example, Arthur Nelsen, Kyoto Protocol’s </w:t>
      </w:r>
      <w:r w:rsidRPr="005727CC">
        <w:rPr>
          <w:rFonts w:ascii="Garamond" w:eastAsia="Calibri" w:hAnsi="Garamond" w:cs="Calibri"/>
          <w:color w:val="121212"/>
          <w:sz w:val="20"/>
          <w:szCs w:val="20"/>
        </w:rPr>
        <w:t xml:space="preserve">Kyoto protocol's carbon credit scheme ‘increased emissions by 600m tonnes’, The Guardian, 24 August 2015, available at: </w:t>
      </w:r>
      <w:hyperlink r:id="rId5">
        <w:r w:rsidRPr="005727CC">
          <w:rPr>
            <w:rFonts w:ascii="Garamond" w:eastAsia="Calibri" w:hAnsi="Garamond" w:cs="Calibri"/>
            <w:color w:val="1155CC"/>
            <w:sz w:val="20"/>
            <w:szCs w:val="20"/>
            <w:u w:val="single"/>
          </w:rPr>
          <w:t>https://www.theguardian.com/environment/2015/aug/24/kyoto-protocols-carbon-credit-scheme-increased-emissions-by-600m-tonnes</w:t>
        </w:r>
      </w:hyperlink>
      <w:r w:rsidRPr="005727CC">
        <w:rPr>
          <w:rFonts w:ascii="Garamond" w:eastAsia="Calibri" w:hAnsi="Garamond" w:cs="Calibri"/>
          <w:color w:val="121212"/>
          <w:sz w:val="20"/>
          <w:szCs w:val="20"/>
        </w:rPr>
        <w:t xml:space="preserve">; Ben Elgin, These Trees are Not What they Seem, Bloomberg Green, December 9 2020, available at: </w:t>
      </w:r>
      <w:hyperlink r:id="rId6">
        <w:r w:rsidRPr="005727CC">
          <w:rPr>
            <w:rFonts w:ascii="Garamond" w:eastAsia="Calibri" w:hAnsi="Garamond" w:cs="Calibri"/>
            <w:color w:val="1155CC"/>
            <w:sz w:val="20"/>
            <w:szCs w:val="20"/>
            <w:u w:val="single"/>
          </w:rPr>
          <w:t>https://www.bloomberg.com/features/2020-nature-conservancy-carbon-offsets-trees/</w:t>
        </w:r>
      </w:hyperlink>
      <w:r w:rsidRPr="005727CC">
        <w:rPr>
          <w:rFonts w:ascii="Garamond" w:eastAsia="Calibri" w:hAnsi="Garamond" w:cs="Calibri"/>
          <w:color w:val="121212"/>
          <w:sz w:val="20"/>
          <w:szCs w:val="20"/>
        </w:rPr>
        <w:t xml:space="preserve">; Lara Domínguez and Colin Luoma,  Decolonising Conservation Policy: How Colonial Land and Conservation Ideologies Persist and Perpetuate Indigenous Injustices at the Expense of the Environment, Land,  25 February 2020, available at: </w:t>
      </w:r>
      <w:hyperlink r:id="rId7">
        <w:r w:rsidRPr="005727CC">
          <w:rPr>
            <w:rFonts w:ascii="Garamond" w:eastAsia="Calibri" w:hAnsi="Garamond" w:cs="Calibri"/>
            <w:color w:val="1155CC"/>
            <w:sz w:val="20"/>
            <w:szCs w:val="20"/>
            <w:u w:val="single"/>
          </w:rPr>
          <w:t>https://bit.ly/3irO74d</w:t>
        </w:r>
      </w:hyperlink>
    </w:p>
  </w:footnote>
  <w:footnote w:id="5">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UN Women Watch, Women, Gender Equality and Climate Change, available at: </w:t>
      </w:r>
      <w:hyperlink r:id="rId8">
        <w:r w:rsidRPr="005727CC">
          <w:rPr>
            <w:rFonts w:ascii="Garamond" w:eastAsia="Calibri" w:hAnsi="Garamond" w:cs="Calibri"/>
            <w:color w:val="1155CC"/>
            <w:sz w:val="20"/>
            <w:szCs w:val="20"/>
            <w:u w:val="single"/>
          </w:rPr>
          <w:t>https://www.un.org/womenwatch/feature/climate_change/downloads/Women_and_Climate_Change_Factsheet.pdf</w:t>
        </w:r>
      </w:hyperlink>
    </w:p>
  </w:footnote>
  <w:footnote w:id="6">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See for example, Mayra Gomez et al., Realizing women’s rights to land and other productive resources, OHCHR &amp; UN Women, 2013, pp. 15, 20-21, available at: </w:t>
      </w:r>
      <w:hyperlink r:id="rId9" w:history="1">
        <w:r w:rsidRPr="005727CC">
          <w:rPr>
            <w:rStyle w:val="Hyperlink1"/>
            <w:rFonts w:ascii="Garamond" w:eastAsia="Calibri" w:hAnsi="Garamond" w:cs="Calibri"/>
            <w:sz w:val="20"/>
            <w:szCs w:val="20"/>
          </w:rPr>
          <w:t>https://www.ohchr.org/documents/publications/realizingwomensrightstoland.pdf</w:t>
        </w:r>
      </w:hyperlink>
    </w:p>
  </w:footnote>
  <w:footnote w:id="7">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See generally, Intersectionality in Promoting Equality, Interview of Kimberlé Crenshaw and Patricia Schulz, The Equality Review, Vol. 16, 2016. </w:t>
      </w:r>
    </w:p>
  </w:footnote>
  <w:footnote w:id="8">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CESCR, Marcia Cecilia Trujillo Calero V Ecuador, Views adopted by the Committee under the Optional Protocol to the Covenant concerning communication No. 10/2015, 14 November, 2018, para.19.2, available at: </w:t>
      </w:r>
      <w:hyperlink r:id="rId10">
        <w:r w:rsidRPr="005727CC">
          <w:rPr>
            <w:rFonts w:ascii="Garamond" w:eastAsia="Calibri" w:hAnsi="Garamond" w:cs="Calibri"/>
            <w:color w:val="1155CC"/>
            <w:sz w:val="20"/>
            <w:szCs w:val="20"/>
            <w:u w:val="single"/>
          </w:rPr>
          <w:t>http://docstore.ohchr.org/SelfServices/FilesHandler.ashx?enc=4slQ6QSmlBEDzFEovLCuW7bgZ6R%2F6BeFMGv10EpQaqTrqHqD6MFRP5QaDu5cwnBuTZ1avdbFtgfe1t%2BjiQdKRHu3YM86WdmwS9ceMQ8g9cYbzEXr85r5lP2xv%2Fmxwv7m98bWSlIoKZcaJWHNul83ig%3D%3D</w:t>
        </w:r>
      </w:hyperlink>
    </w:p>
  </w:footnote>
  <w:footnote w:id="9">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hAnsi="Garamond"/>
          <w:sz w:val="20"/>
          <w:szCs w:val="20"/>
        </w:rPr>
        <w:t xml:space="preserve"> </w:t>
      </w:r>
      <w:r w:rsidRPr="005727CC">
        <w:rPr>
          <w:rFonts w:ascii="Garamond" w:hAnsi="Garamond"/>
          <w:sz w:val="20"/>
          <w:szCs w:val="20"/>
        </w:rPr>
        <w:tab/>
      </w:r>
      <w:r w:rsidRPr="005727CC">
        <w:rPr>
          <w:rFonts w:ascii="Garamond" w:eastAsia="Calibri" w:hAnsi="Garamond" w:cs="Calibri"/>
          <w:sz w:val="20"/>
          <w:szCs w:val="20"/>
        </w:rPr>
        <w:t xml:space="preserve">CESCR General Comment No. 24 on State obligations under the International Covenant on Economic, Social and Cultural Rights in the context of business activities, 10 August 2017, at paras. 14-27, 30-35, available at: </w:t>
      </w:r>
      <w:hyperlink r:id="rId11">
        <w:r w:rsidRPr="005727CC">
          <w:rPr>
            <w:rFonts w:ascii="Garamond" w:eastAsia="Calibri" w:hAnsi="Garamond" w:cs="Calibri"/>
            <w:color w:val="1155CC"/>
            <w:sz w:val="20"/>
            <w:szCs w:val="20"/>
            <w:u w:val="single"/>
          </w:rPr>
          <w:t>https://undocs.org/en/E/C.12/GC/24</w:t>
        </w:r>
      </w:hyperlink>
    </w:p>
  </w:footnote>
  <w:footnote w:id="10">
    <w:p w:rsidR="00A413E6" w:rsidRPr="005727CC" w:rsidRDefault="00A413E6" w:rsidP="00A413E6">
      <w:pPr>
        <w:spacing w:after="0" w:line="276" w:lineRule="auto"/>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CESCR General Comment No. 24, ibid at para. 43-44. </w:t>
      </w:r>
    </w:p>
  </w:footnote>
  <w:footnote w:id="11">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CESCR, Statement on universal affordable vaccination for COVID-19, international cooperation and intellectual property, 12 March 2021, para 8, available at: </w:t>
      </w:r>
      <w:hyperlink r:id="rId12">
        <w:r w:rsidRPr="005727CC">
          <w:rPr>
            <w:rFonts w:ascii="Garamond" w:eastAsia="Calibri" w:hAnsi="Garamond" w:cs="Calibri"/>
            <w:color w:val="1155CC"/>
            <w:sz w:val="20"/>
            <w:szCs w:val="20"/>
            <w:u w:val="single"/>
          </w:rPr>
          <w:t>https://www.ohchr.org/Documents/HRBodies/CESCR/E_C_12_2020_2_AUV.docx</w:t>
        </w:r>
      </w:hyperlink>
    </w:p>
  </w:footnote>
  <w:footnote w:id="12">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r>
      <w:r w:rsidRPr="005727CC">
        <w:rPr>
          <w:rFonts w:ascii="Garamond" w:eastAsia="Calibri" w:hAnsi="Garamond" w:cs="Calibri"/>
          <w:sz w:val="20"/>
          <w:szCs w:val="20"/>
          <w:highlight w:val="white"/>
        </w:rPr>
        <w:t>Indigenous Peoples Release Rio +20 Declaration</w:t>
      </w:r>
      <w:r w:rsidRPr="005727CC">
        <w:rPr>
          <w:rFonts w:ascii="Garamond" w:eastAsia="Calibri" w:hAnsi="Garamond" w:cs="Calibri"/>
          <w:sz w:val="20"/>
          <w:szCs w:val="20"/>
        </w:rPr>
        <w:t xml:space="preserve">, 19 June, 2012, </w:t>
      </w:r>
      <w:r w:rsidRPr="005727CC">
        <w:rPr>
          <w:rFonts w:ascii="Garamond" w:eastAsia="Calibri" w:hAnsi="Garamond" w:cs="Calibri"/>
          <w:sz w:val="20"/>
          <w:szCs w:val="20"/>
          <w:highlight w:val="white"/>
        </w:rPr>
        <w:t xml:space="preserve">para. 3, available at: </w:t>
      </w:r>
      <w:hyperlink r:id="rId13" w:history="1">
        <w:r w:rsidRPr="005727CC">
          <w:rPr>
            <w:rStyle w:val="Hyperlink1"/>
            <w:rFonts w:ascii="Garamond" w:eastAsia="Calibri" w:hAnsi="Garamond" w:cs="Calibri"/>
            <w:sz w:val="20"/>
            <w:szCs w:val="20"/>
            <w:highlight w:val="white"/>
          </w:rPr>
          <w:t>https://www.forestpeoples.org/en/topics/sustainable-livelihoods/publication/2012/indigenous-peoples-release-rio-20-declaration</w:t>
        </w:r>
      </w:hyperlink>
      <w:r w:rsidRPr="005727CC">
        <w:rPr>
          <w:rFonts w:ascii="Garamond" w:eastAsia="Calibri" w:hAnsi="Garamond" w:cs="Calibri"/>
          <w:sz w:val="20"/>
          <w:szCs w:val="20"/>
        </w:rPr>
        <w:t xml:space="preserve"> </w:t>
      </w:r>
    </w:p>
  </w:footnote>
  <w:footnote w:id="13">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See for example, </w:t>
      </w:r>
      <w:r w:rsidRPr="005727CC">
        <w:rPr>
          <w:rFonts w:ascii="Garamond" w:eastAsia="Calibri" w:hAnsi="Garamond" w:cs="Calibri"/>
          <w:sz w:val="20"/>
          <w:szCs w:val="20"/>
          <w:highlight w:val="white"/>
        </w:rPr>
        <w:t xml:space="preserve">CESCR, Concluding Observations: Russian Federation, 12 December 2003, paras. 11, 39, available at: </w:t>
      </w:r>
      <w:hyperlink r:id="rId14">
        <w:r w:rsidRPr="005727CC">
          <w:rPr>
            <w:rFonts w:ascii="Garamond" w:eastAsia="Calibri" w:hAnsi="Garamond" w:cs="Calibri"/>
            <w:color w:val="1155CC"/>
            <w:sz w:val="20"/>
            <w:szCs w:val="20"/>
            <w:highlight w:val="white"/>
            <w:u w:val="single"/>
          </w:rPr>
          <w:t>https://undocs.org/en/E/C.12/1/Add.94</w:t>
        </w:r>
      </w:hyperlink>
      <w:r w:rsidRPr="005727CC">
        <w:rPr>
          <w:rFonts w:ascii="Garamond" w:eastAsia="Calibri" w:hAnsi="Garamond" w:cs="Calibri"/>
          <w:sz w:val="20"/>
          <w:szCs w:val="20"/>
          <w:highlight w:val="white"/>
        </w:rPr>
        <w:t xml:space="preserve">; CESCR, Concluding Observations: Brazil, 12 June 2009, para.9, available at: </w:t>
      </w:r>
      <w:hyperlink r:id="rId15" w:history="1">
        <w:r w:rsidRPr="005727CC">
          <w:rPr>
            <w:rStyle w:val="Hyperlink1"/>
            <w:rFonts w:ascii="Garamond" w:eastAsia="Calibri" w:hAnsi="Garamond" w:cs="Calibri"/>
            <w:sz w:val="20"/>
            <w:szCs w:val="20"/>
            <w:highlight w:val="white"/>
          </w:rPr>
          <w:t>https://www.refworld.org/publisher,CESCR,CONCOBSERVATIONS,BRA,4b1d04010,0.html</w:t>
        </w:r>
      </w:hyperlink>
      <w:r w:rsidRPr="005727CC">
        <w:rPr>
          <w:rFonts w:ascii="Garamond" w:eastAsia="Calibri" w:hAnsi="Garamond" w:cs="Calibri"/>
          <w:sz w:val="20"/>
          <w:szCs w:val="20"/>
        </w:rPr>
        <w:t xml:space="preserve">    </w:t>
      </w:r>
    </w:p>
  </w:footnote>
  <w:footnote w:id="14">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 xml:space="preserve">CESCR, </w:t>
      </w:r>
      <w:r w:rsidRPr="005727CC">
        <w:rPr>
          <w:rFonts w:ascii="Garamond" w:eastAsia="Calibri" w:hAnsi="Garamond" w:cs="Calibri"/>
          <w:i/>
          <w:sz w:val="20"/>
          <w:szCs w:val="20"/>
        </w:rPr>
        <w:t xml:space="preserve">General Comment No. 14: The Right to the Highest Attainable Standard of Health (Art. 12), </w:t>
      </w:r>
      <w:r w:rsidRPr="005727CC">
        <w:rPr>
          <w:rFonts w:ascii="Garamond" w:eastAsia="Calibri" w:hAnsi="Garamond" w:cs="Calibri"/>
          <w:sz w:val="20"/>
          <w:szCs w:val="20"/>
        </w:rPr>
        <w:t xml:space="preserve">11 August 2000, para. 27, available at: </w:t>
      </w:r>
      <w:hyperlink r:id="rId16">
        <w:r w:rsidRPr="005727CC">
          <w:rPr>
            <w:rFonts w:ascii="Garamond" w:eastAsia="Calibri" w:hAnsi="Garamond" w:cs="Calibri"/>
            <w:color w:val="1155CC"/>
            <w:sz w:val="20"/>
            <w:szCs w:val="20"/>
            <w:u w:val="single"/>
          </w:rPr>
          <w:t>https://www.refworld.org/pdfid/4538838d0.pdf</w:t>
        </w:r>
      </w:hyperlink>
    </w:p>
  </w:footnote>
  <w:footnote w:id="15">
    <w:p w:rsidR="00A413E6" w:rsidRPr="005727CC" w:rsidRDefault="00A413E6" w:rsidP="00A413E6">
      <w:pPr>
        <w:spacing w:after="0" w:line="276" w:lineRule="auto"/>
        <w:ind w:left="720" w:hanging="720"/>
        <w:jc w:val="both"/>
        <w:rPr>
          <w:rFonts w:ascii="Garamond" w:eastAsia="Calibri" w:hAnsi="Garamond" w:cs="Calibri"/>
          <w:sz w:val="20"/>
          <w:szCs w:val="20"/>
        </w:rPr>
      </w:pPr>
      <w:r w:rsidRPr="005727CC">
        <w:rPr>
          <w:rFonts w:ascii="Garamond" w:hAnsi="Garamond"/>
          <w:sz w:val="20"/>
          <w:szCs w:val="20"/>
          <w:vertAlign w:val="superscript"/>
        </w:rPr>
        <w:footnoteRef/>
      </w:r>
      <w:r w:rsidRPr="005727CC">
        <w:rPr>
          <w:rFonts w:ascii="Garamond" w:eastAsia="Calibri" w:hAnsi="Garamond" w:cs="Calibri"/>
          <w:sz w:val="20"/>
          <w:szCs w:val="20"/>
        </w:rPr>
        <w:t xml:space="preserve"> </w:t>
      </w:r>
      <w:r w:rsidRPr="005727CC">
        <w:rPr>
          <w:rFonts w:ascii="Garamond" w:eastAsia="Calibri" w:hAnsi="Garamond" w:cs="Calibri"/>
          <w:sz w:val="20"/>
          <w:szCs w:val="20"/>
        </w:rPr>
        <w:tab/>
        <w:t>“Taking note of the duty in article 1, paragraph 2, of the Covenant, which provides that a people may not “be deprived of its means of subsistence”, States parties should ensure that there is adequate access to water for subsistence farming and for securing the livelihoods of indigenous peoples.” CESCR, General Comment No. 15 (2002): The right to water (arts. 11 and 12 of the International Covenant on Economic, Social and Cultural Rights),</w:t>
      </w:r>
      <w:r w:rsidRPr="005727CC">
        <w:rPr>
          <w:rFonts w:ascii="Garamond" w:eastAsia="Calibri" w:hAnsi="Garamond" w:cs="Calibri"/>
          <w:i/>
          <w:sz w:val="20"/>
          <w:szCs w:val="20"/>
        </w:rPr>
        <w:t xml:space="preserve"> 20</w:t>
      </w:r>
      <w:r w:rsidRPr="005727CC">
        <w:rPr>
          <w:rFonts w:ascii="Garamond" w:eastAsia="Calibri" w:hAnsi="Garamond" w:cs="Calibri"/>
          <w:sz w:val="20"/>
          <w:szCs w:val="20"/>
        </w:rPr>
        <w:t xml:space="preserve"> January 2003</w:t>
      </w:r>
      <w:r w:rsidRPr="005727CC">
        <w:rPr>
          <w:rFonts w:ascii="Garamond" w:eastAsia="Calibri" w:hAnsi="Garamond" w:cs="Calibri"/>
          <w:i/>
          <w:sz w:val="20"/>
          <w:szCs w:val="20"/>
        </w:rPr>
        <w:t>,</w:t>
      </w:r>
      <w:r w:rsidRPr="005727CC">
        <w:rPr>
          <w:rFonts w:ascii="Garamond" w:eastAsia="Calibri" w:hAnsi="Garamond" w:cs="Calibri"/>
          <w:sz w:val="20"/>
          <w:szCs w:val="20"/>
        </w:rPr>
        <w:t xml:space="preserve"> para. 7, available at: </w:t>
      </w:r>
      <w:hyperlink r:id="rId17" w:history="1">
        <w:r w:rsidRPr="005727CC">
          <w:rPr>
            <w:rStyle w:val="Hyperlink1"/>
            <w:rFonts w:ascii="Garamond" w:eastAsia="Calibri" w:hAnsi="Garamond" w:cs="Calibri"/>
            <w:sz w:val="20"/>
            <w:szCs w:val="20"/>
          </w:rPr>
          <w:t>https://www.refworld.org/docid/4538838d11.html</w:t>
        </w:r>
      </w:hyperlink>
      <w:r w:rsidRPr="005727CC">
        <w:rPr>
          <w:rFonts w:ascii="Garamond" w:eastAsia="Calibri" w:hAnsi="Garamond"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C40BD"/>
    <w:multiLevelType w:val="hybridMultilevel"/>
    <w:tmpl w:val="9442515A"/>
    <w:lvl w:ilvl="0" w:tplc="61962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E6"/>
    <w:rsid w:val="000238B7"/>
    <w:rsid w:val="0002775C"/>
    <w:rsid w:val="000A498C"/>
    <w:rsid w:val="000B4277"/>
    <w:rsid w:val="000C7376"/>
    <w:rsid w:val="001459E7"/>
    <w:rsid w:val="00183F3B"/>
    <w:rsid w:val="001A60CE"/>
    <w:rsid w:val="002156C0"/>
    <w:rsid w:val="00224917"/>
    <w:rsid w:val="00270E96"/>
    <w:rsid w:val="00293723"/>
    <w:rsid w:val="002A1920"/>
    <w:rsid w:val="002E0F4C"/>
    <w:rsid w:val="003007B2"/>
    <w:rsid w:val="00310297"/>
    <w:rsid w:val="00387110"/>
    <w:rsid w:val="003F0560"/>
    <w:rsid w:val="003F6621"/>
    <w:rsid w:val="004720B4"/>
    <w:rsid w:val="004A7218"/>
    <w:rsid w:val="004E0768"/>
    <w:rsid w:val="004F1892"/>
    <w:rsid w:val="0058069A"/>
    <w:rsid w:val="005C4B2A"/>
    <w:rsid w:val="005D3E8C"/>
    <w:rsid w:val="006F52C9"/>
    <w:rsid w:val="007E5D2D"/>
    <w:rsid w:val="00825992"/>
    <w:rsid w:val="00836E53"/>
    <w:rsid w:val="00850DA4"/>
    <w:rsid w:val="00872DB2"/>
    <w:rsid w:val="008F03F1"/>
    <w:rsid w:val="00941565"/>
    <w:rsid w:val="00A413E6"/>
    <w:rsid w:val="00AA1298"/>
    <w:rsid w:val="00B076C6"/>
    <w:rsid w:val="00B55418"/>
    <w:rsid w:val="00BF1A36"/>
    <w:rsid w:val="00C70922"/>
    <w:rsid w:val="00CC20B2"/>
    <w:rsid w:val="00CE10B3"/>
    <w:rsid w:val="00D669D7"/>
    <w:rsid w:val="00DB27C3"/>
    <w:rsid w:val="00E26A3B"/>
    <w:rsid w:val="00EB72DD"/>
    <w:rsid w:val="00ED3DDC"/>
    <w:rsid w:val="00F92D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29951-C0E5-43CF-B2AA-BC62C387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A413E6"/>
    <w:rPr>
      <w:color w:val="0563C1"/>
      <w:u w:val="single"/>
    </w:rPr>
  </w:style>
  <w:style w:type="paragraph" w:styleId="FootnoteText">
    <w:name w:val="footnote text"/>
    <w:basedOn w:val="Normal"/>
    <w:link w:val="FootnoteTextChar"/>
    <w:uiPriority w:val="99"/>
    <w:semiHidden/>
    <w:unhideWhenUsed/>
    <w:rsid w:val="00A41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3E6"/>
    <w:rPr>
      <w:sz w:val="20"/>
      <w:szCs w:val="20"/>
    </w:rPr>
  </w:style>
  <w:style w:type="character" w:styleId="FootnoteReference">
    <w:name w:val="footnote reference"/>
    <w:basedOn w:val="DefaultParagraphFont"/>
    <w:uiPriority w:val="99"/>
    <w:semiHidden/>
    <w:unhideWhenUsed/>
    <w:rsid w:val="00A413E6"/>
    <w:rPr>
      <w:vertAlign w:val="superscript"/>
    </w:rPr>
  </w:style>
  <w:style w:type="paragraph" w:styleId="Footer">
    <w:name w:val="footer"/>
    <w:basedOn w:val="Normal"/>
    <w:link w:val="FooterChar"/>
    <w:uiPriority w:val="99"/>
    <w:unhideWhenUsed/>
    <w:rsid w:val="00A4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E6"/>
  </w:style>
  <w:style w:type="character" w:styleId="Hyperlink">
    <w:name w:val="Hyperlink"/>
    <w:basedOn w:val="DefaultParagraphFont"/>
    <w:uiPriority w:val="99"/>
    <w:unhideWhenUsed/>
    <w:rsid w:val="00A41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yomuhangyi@iser-ugan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po@ucca-uganda.org" TargetMode="External"/><Relationship Id="rId4" Type="http://schemas.openxmlformats.org/officeDocument/2006/relationships/webSettings" Target="webSettings.xml"/><Relationship Id="rId9" Type="http://schemas.openxmlformats.org/officeDocument/2006/relationships/hyperlink" Target="mailto:bkiira@iser-uganda.org"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womenwatch/feature/climate_change/downloads/Women_and_Climate_Change_Factsheet.pdf" TargetMode="External"/><Relationship Id="rId13" Type="http://schemas.openxmlformats.org/officeDocument/2006/relationships/hyperlink" Target="https://www.forestpeoples.org/en/topics/sustainable-livelihoods/publication/2012/indigenous-peoples-release-rio-20-declaration" TargetMode="External"/><Relationship Id="rId3" Type="http://schemas.openxmlformats.org/officeDocument/2006/relationships/hyperlink" Target="https://actionaid.org/sites/default/files/publications/Not-Their-Lands_Media%20Briefing.pdf" TargetMode="External"/><Relationship Id="rId7" Type="http://schemas.openxmlformats.org/officeDocument/2006/relationships/hyperlink" Target="https://bit.ly/3irO74d" TargetMode="External"/><Relationship Id="rId12" Type="http://schemas.openxmlformats.org/officeDocument/2006/relationships/hyperlink" Target="https://www.ohchr.org/Documents/HRBodies/CESCR/E_C_12_2020_2_AUV.docx" TargetMode="External"/><Relationship Id="rId17" Type="http://schemas.openxmlformats.org/officeDocument/2006/relationships/hyperlink" Target="https://www.refworld.org/docid/4538838d11.html" TargetMode="External"/><Relationship Id="rId2" Type="http://schemas.openxmlformats.org/officeDocument/2006/relationships/hyperlink" Target="https://zenodo.org/record/5101133https://zenodo.org/record/5101133" TargetMode="External"/><Relationship Id="rId16" Type="http://schemas.openxmlformats.org/officeDocument/2006/relationships/hyperlink" Target="https://www.refworld.org/pdfid/4538838d0.pdf" TargetMode="External"/><Relationship Id="rId1" Type="http://schemas.openxmlformats.org/officeDocument/2006/relationships/hyperlink" Target="https://www.ohchr.org/Documents/Publications/Land_HR-StandardsApplications.pdf" TargetMode="External"/><Relationship Id="rId6" Type="http://schemas.openxmlformats.org/officeDocument/2006/relationships/hyperlink" Target="https://www.bloomberg.com/features/2020-nature-conservancy-carbon-offsets-trees/" TargetMode="External"/><Relationship Id="rId11" Type="http://schemas.openxmlformats.org/officeDocument/2006/relationships/hyperlink" Target="https://undocs.org/en/E/C.12/GC/24" TargetMode="External"/><Relationship Id="rId5" Type="http://schemas.openxmlformats.org/officeDocument/2006/relationships/hyperlink" Target="https://www.theguardian.com/environment/2015/aug/24/kyoto-protocols-carbon-credit-scheme-increased-emissions-by-600m-tonnes" TargetMode="External"/><Relationship Id="rId15" Type="http://schemas.openxmlformats.org/officeDocument/2006/relationships/hyperlink" Target="https://www.refworld.org/publisher,CESCR,CONCOBSERVATIONS,BRA,4b1d04010,0.html" TargetMode="External"/><Relationship Id="rId10" Type="http://schemas.openxmlformats.org/officeDocument/2006/relationships/hyperlink" Target="http://docstore.ohchr.org/SelfServices/FilesHandler.ashx?enc=4slQ6QSmlBEDzFEovLCuW7bgZ6R%2F6BeFMGv10EpQaqTrqHqD6MFRP5QaDu5cwnBuTZ1avdbFtgfe1t%2BjiQdKRHu3YM86WdmwS9ceMQ8g9cYbzEXr85r5lP2xv%2Fmxwv7m98bWSlIoKZcaJWHNul83ig%3D%3D" TargetMode="External"/><Relationship Id="rId4" Type="http://schemas.openxmlformats.org/officeDocument/2006/relationships/hyperlink" Target="https://news.trust.org/item/20210603135601-wshfn/" TargetMode="External"/><Relationship Id="rId9" Type="http://schemas.openxmlformats.org/officeDocument/2006/relationships/hyperlink" Target="https://www.ohchr.org/documents/publications/realizingwomensrightstoland.pdf" TargetMode="External"/><Relationship Id="rId14" Type="http://schemas.openxmlformats.org/officeDocument/2006/relationships/hyperlink" Target="https://undocs.org/en/E/C.12/1/Ad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212E52-DB3D-4793-9F65-8B90FBAF9161}"/>
</file>

<file path=customXml/itemProps2.xml><?xml version="1.0" encoding="utf-8"?>
<ds:datastoreItem xmlns:ds="http://schemas.openxmlformats.org/officeDocument/2006/customXml" ds:itemID="{B5FE5BF5-33D4-44E6-9FE8-9C8166C31CD8}"/>
</file>

<file path=customXml/itemProps3.xml><?xml version="1.0" encoding="utf-8"?>
<ds:datastoreItem xmlns:ds="http://schemas.openxmlformats.org/officeDocument/2006/customXml" ds:itemID="{D78828E8-C7CF-4C3B-97CE-A8D8DD136FC8}"/>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Kiira</dc:creator>
  <cp:keywords/>
  <dc:description/>
  <cp:lastModifiedBy>KIM Jung Rin</cp:lastModifiedBy>
  <cp:revision>2</cp:revision>
  <dcterms:created xsi:type="dcterms:W3CDTF">2021-08-16T13:09:00Z</dcterms:created>
  <dcterms:modified xsi:type="dcterms:W3CDTF">2021-08-16T13:09:00Z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