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BF3C" w14:textId="4EDE097B" w:rsidR="0090259B" w:rsidRPr="00862F53" w:rsidRDefault="0090259B" w:rsidP="00862F53">
      <w:pPr>
        <w:ind w:left="1430" w:hanging="720"/>
        <w:rPr>
          <w:rFonts w:ascii="Times" w:hAnsi="Times" w:cstheme="minorHAnsi"/>
          <w:sz w:val="23"/>
          <w:szCs w:val="23"/>
        </w:rPr>
      </w:pPr>
    </w:p>
    <w:p w14:paraId="371EA5BA" w14:textId="77777777" w:rsidR="0090259B" w:rsidRPr="00862F53" w:rsidRDefault="0090259B" w:rsidP="00862F53">
      <w:pPr>
        <w:ind w:left="1430" w:hanging="720"/>
        <w:rPr>
          <w:rFonts w:ascii="Times" w:hAnsi="Times" w:cstheme="minorHAnsi"/>
          <w:sz w:val="23"/>
          <w:szCs w:val="23"/>
        </w:rPr>
      </w:pPr>
    </w:p>
    <w:p w14:paraId="6A802A4C" w14:textId="24CF9A23" w:rsidR="00B6255B" w:rsidRPr="00862F53" w:rsidRDefault="00B6255B" w:rsidP="00862F53">
      <w:pPr>
        <w:ind w:left="1430" w:hanging="720"/>
        <w:rPr>
          <w:rFonts w:ascii="Times" w:hAnsi="Times" w:cstheme="minorHAnsi"/>
          <w:sz w:val="23"/>
          <w:szCs w:val="23"/>
        </w:rPr>
      </w:pPr>
    </w:p>
    <w:p w14:paraId="0A4C952A" w14:textId="296DED29" w:rsidR="00862F53" w:rsidRPr="00862F53" w:rsidRDefault="00862F53" w:rsidP="00862F53">
      <w:pPr>
        <w:ind w:left="1430" w:hanging="720"/>
        <w:jc w:val="right"/>
        <w:rPr>
          <w:rFonts w:ascii="Times" w:hAnsi="Times" w:cstheme="minorHAnsi"/>
          <w:sz w:val="23"/>
          <w:szCs w:val="23"/>
        </w:rPr>
      </w:pPr>
      <w:r w:rsidRPr="00862F53">
        <w:rPr>
          <w:rFonts w:ascii="Times" w:hAnsi="Times" w:cstheme="minorHAnsi"/>
          <w:sz w:val="23"/>
          <w:szCs w:val="23"/>
        </w:rPr>
        <w:t>Barcelona, 05 de julio de 2021</w:t>
      </w:r>
    </w:p>
    <w:p w14:paraId="0CD70D21" w14:textId="311F61C3" w:rsidR="00862F53" w:rsidRDefault="00862F53" w:rsidP="00862F53">
      <w:pPr>
        <w:ind w:left="1430" w:hanging="720"/>
        <w:jc w:val="right"/>
        <w:rPr>
          <w:rFonts w:ascii="Times" w:hAnsi="Times" w:cstheme="minorHAnsi"/>
          <w:sz w:val="23"/>
          <w:szCs w:val="23"/>
        </w:rPr>
      </w:pPr>
    </w:p>
    <w:p w14:paraId="487D6E64" w14:textId="77777777" w:rsidR="00134FA8" w:rsidRPr="00862F53" w:rsidRDefault="00134FA8" w:rsidP="00862F53">
      <w:pPr>
        <w:ind w:left="1430" w:hanging="720"/>
        <w:jc w:val="right"/>
        <w:rPr>
          <w:rFonts w:ascii="Times" w:hAnsi="Times" w:cstheme="minorHAnsi"/>
          <w:sz w:val="23"/>
          <w:szCs w:val="23"/>
        </w:rPr>
      </w:pPr>
    </w:p>
    <w:p w14:paraId="1BF64737" w14:textId="384F28C6" w:rsidR="00862F53" w:rsidRPr="00862F53" w:rsidRDefault="00862F53" w:rsidP="00F22269">
      <w:pPr>
        <w:jc w:val="both"/>
        <w:rPr>
          <w:rFonts w:ascii="Times" w:hAnsi="Times" w:cstheme="minorHAnsi"/>
          <w:b/>
          <w:bCs/>
          <w:sz w:val="23"/>
          <w:szCs w:val="23"/>
        </w:rPr>
      </w:pPr>
      <w:r w:rsidRPr="00862F53">
        <w:rPr>
          <w:rFonts w:ascii="Times" w:hAnsi="Times" w:cstheme="minorHAnsi"/>
          <w:b/>
          <w:bCs/>
          <w:sz w:val="23"/>
          <w:szCs w:val="23"/>
        </w:rPr>
        <w:t>Comité de Derechos Económicos, Sociales y Culturales de la Organización de las Naciones Unidas</w:t>
      </w:r>
    </w:p>
    <w:p w14:paraId="5B79BA8B" w14:textId="67F63FF5" w:rsidR="00862F53" w:rsidRDefault="00862F53" w:rsidP="00F22269">
      <w:pPr>
        <w:jc w:val="both"/>
        <w:rPr>
          <w:rFonts w:ascii="Times" w:hAnsi="Times" w:cstheme="minorHAnsi"/>
          <w:b/>
          <w:bCs/>
          <w:sz w:val="23"/>
          <w:szCs w:val="23"/>
        </w:rPr>
      </w:pPr>
    </w:p>
    <w:p w14:paraId="0F00C1AE" w14:textId="77777777" w:rsidR="00134FA8" w:rsidRPr="00862F53" w:rsidRDefault="00134FA8" w:rsidP="00F22269">
      <w:pPr>
        <w:jc w:val="both"/>
        <w:rPr>
          <w:rFonts w:ascii="Times" w:hAnsi="Times" w:cstheme="minorHAnsi"/>
          <w:b/>
          <w:bCs/>
          <w:sz w:val="23"/>
          <w:szCs w:val="23"/>
        </w:rPr>
      </w:pPr>
      <w:bookmarkStart w:id="0" w:name="_GoBack"/>
      <w:bookmarkEnd w:id="0"/>
    </w:p>
    <w:p w14:paraId="6D00958F" w14:textId="6D660B8F" w:rsidR="00862F53" w:rsidRDefault="00862F53" w:rsidP="00862F53">
      <w:pPr>
        <w:jc w:val="both"/>
        <w:rPr>
          <w:rFonts w:ascii="Times" w:hAnsi="Times" w:cstheme="minorHAnsi"/>
          <w:sz w:val="23"/>
          <w:szCs w:val="23"/>
        </w:rPr>
      </w:pPr>
      <w:r w:rsidRPr="00862F53">
        <w:rPr>
          <w:rFonts w:ascii="Times" w:hAnsi="Times" w:cstheme="minorHAnsi"/>
          <w:sz w:val="23"/>
          <w:szCs w:val="23"/>
        </w:rPr>
        <w:t xml:space="preserve">En atención a su cordial invitación para presentar aportaciones escritas para la elaboración de una Recomendación General sobre el Derechos a la Tierra, como integrantes de la Clínica jurídica de la </w:t>
      </w:r>
      <w:proofErr w:type="spellStart"/>
      <w:r w:rsidRPr="00862F53">
        <w:rPr>
          <w:rFonts w:ascii="Times" w:hAnsi="Times" w:cstheme="minorHAnsi"/>
          <w:sz w:val="23"/>
          <w:szCs w:val="23"/>
        </w:rPr>
        <w:t>Universitat</w:t>
      </w:r>
      <w:proofErr w:type="spellEnd"/>
      <w:r w:rsidRPr="00862F53">
        <w:rPr>
          <w:rFonts w:ascii="Times" w:hAnsi="Times" w:cstheme="minorHAnsi"/>
          <w:sz w:val="23"/>
          <w:szCs w:val="23"/>
        </w:rPr>
        <w:t xml:space="preserve"> </w:t>
      </w:r>
      <w:proofErr w:type="spellStart"/>
      <w:r w:rsidRPr="00862F53">
        <w:rPr>
          <w:rFonts w:ascii="Times" w:hAnsi="Times" w:cstheme="minorHAnsi"/>
          <w:sz w:val="23"/>
          <w:szCs w:val="23"/>
        </w:rPr>
        <w:t>Pompeu</w:t>
      </w:r>
      <w:proofErr w:type="spellEnd"/>
      <w:r w:rsidRPr="00862F53">
        <w:rPr>
          <w:rFonts w:ascii="Times" w:hAnsi="Times" w:cstheme="minorHAnsi"/>
          <w:sz w:val="23"/>
          <w:szCs w:val="23"/>
        </w:rPr>
        <w:t xml:space="preserve"> </w:t>
      </w:r>
      <w:proofErr w:type="spellStart"/>
      <w:r w:rsidRPr="00862F53">
        <w:rPr>
          <w:rFonts w:ascii="Times" w:hAnsi="Times" w:cstheme="minorHAnsi"/>
          <w:sz w:val="23"/>
          <w:szCs w:val="23"/>
        </w:rPr>
        <w:t>Fabra</w:t>
      </w:r>
      <w:proofErr w:type="spellEnd"/>
      <w:r w:rsidRPr="00862F53">
        <w:rPr>
          <w:rStyle w:val="Refdenotaalpie"/>
          <w:rFonts w:ascii="Times" w:hAnsi="Times" w:cstheme="minorHAnsi"/>
          <w:sz w:val="23"/>
          <w:szCs w:val="23"/>
        </w:rPr>
        <w:footnoteReference w:id="1"/>
      </w:r>
      <w:r w:rsidRPr="00862F53">
        <w:rPr>
          <w:rFonts w:ascii="Times" w:hAnsi="Times" w:cstheme="minorHAnsi"/>
          <w:sz w:val="23"/>
          <w:szCs w:val="23"/>
        </w:rPr>
        <w:t xml:space="preserve">, ponemos a su consideración la problemática y necesidad de </w:t>
      </w:r>
      <w:proofErr w:type="spellStart"/>
      <w:r w:rsidRPr="00862F53">
        <w:rPr>
          <w:rFonts w:ascii="Times" w:hAnsi="Times" w:cstheme="minorHAnsi"/>
          <w:sz w:val="23"/>
          <w:szCs w:val="23"/>
        </w:rPr>
        <w:t>r</w:t>
      </w:r>
      <w:r w:rsidR="004255E1">
        <w:rPr>
          <w:rFonts w:ascii="Times" w:hAnsi="Times" w:cstheme="minorHAnsi"/>
          <w:sz w:val="23"/>
          <w:szCs w:val="23"/>
        </w:rPr>
        <w:t>e</w:t>
      </w:r>
      <w:r w:rsidRPr="00862F53">
        <w:rPr>
          <w:rFonts w:ascii="Times" w:hAnsi="Times" w:cstheme="minorHAnsi"/>
          <w:sz w:val="23"/>
          <w:szCs w:val="23"/>
        </w:rPr>
        <w:t>categorización</w:t>
      </w:r>
      <w:proofErr w:type="spellEnd"/>
      <w:r w:rsidRPr="00862F53">
        <w:rPr>
          <w:rFonts w:ascii="Times" w:hAnsi="Times" w:cstheme="minorHAnsi"/>
          <w:sz w:val="23"/>
          <w:szCs w:val="23"/>
        </w:rPr>
        <w:t xml:space="preserve"> del derecho a la tierra como un derecho humano independiente, dentro de los tratados y demás instrumentos internacionales.</w:t>
      </w:r>
    </w:p>
    <w:p w14:paraId="4FDBF9B0" w14:textId="77777777" w:rsidR="00134FA8" w:rsidRPr="00862F53" w:rsidRDefault="00134FA8" w:rsidP="00862F53">
      <w:pPr>
        <w:jc w:val="both"/>
        <w:rPr>
          <w:rFonts w:ascii="Times" w:hAnsi="Times" w:cstheme="minorHAnsi"/>
          <w:sz w:val="23"/>
          <w:szCs w:val="23"/>
        </w:rPr>
      </w:pPr>
    </w:p>
    <w:p w14:paraId="4EC9D4D8" w14:textId="77777777" w:rsidR="00862F53" w:rsidRPr="00862F53" w:rsidRDefault="00862F53" w:rsidP="00862F53">
      <w:pPr>
        <w:ind w:left="1430" w:hanging="720"/>
        <w:jc w:val="right"/>
        <w:rPr>
          <w:rFonts w:ascii="Times" w:hAnsi="Times" w:cstheme="minorHAnsi"/>
          <w:sz w:val="2"/>
          <w:szCs w:val="2"/>
        </w:rPr>
      </w:pPr>
    </w:p>
    <w:p w14:paraId="6FEA1799" w14:textId="42521011" w:rsidR="0072303D" w:rsidRPr="00862F53" w:rsidRDefault="00A637EB" w:rsidP="00862F53">
      <w:pPr>
        <w:pStyle w:val="NormalWeb"/>
        <w:numPr>
          <w:ilvl w:val="0"/>
          <w:numId w:val="2"/>
        </w:numPr>
        <w:rPr>
          <w:rFonts w:ascii="Times" w:hAnsi="Times" w:cstheme="minorHAnsi"/>
          <w:b/>
          <w:bCs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t>INTRODUCCI</w:t>
      </w:r>
      <w:r w:rsidR="0072303D" w:rsidRPr="00862F53">
        <w:rPr>
          <w:rFonts w:ascii="Times" w:hAnsi="Times" w:cstheme="minorHAnsi"/>
          <w:b/>
          <w:bCs/>
          <w:color w:val="282323"/>
          <w:sz w:val="23"/>
          <w:szCs w:val="23"/>
        </w:rPr>
        <w:t>ÓN:</w:t>
      </w:r>
    </w:p>
    <w:p w14:paraId="034895C4" w14:textId="1BACEC9C" w:rsidR="00716481" w:rsidRPr="007F1959" w:rsidRDefault="001C539B" w:rsidP="00716481">
      <w:pPr>
        <w:jc w:val="both"/>
      </w:pPr>
      <w:r w:rsidRPr="007F1959">
        <w:rPr>
          <w:rFonts w:ascii="Times" w:hAnsi="Times" w:cstheme="minorHAnsi"/>
          <w:color w:val="282323"/>
          <w:sz w:val="23"/>
          <w:szCs w:val="23"/>
        </w:rPr>
        <w:t>Desde una concepción general,</w:t>
      </w:r>
      <w:r w:rsidR="003E79CF" w:rsidRPr="007F1959">
        <w:rPr>
          <w:rFonts w:ascii="Times" w:hAnsi="Times" w:cstheme="minorHAnsi"/>
          <w:color w:val="282323"/>
          <w:sz w:val="23"/>
          <w:szCs w:val="23"/>
        </w:rPr>
        <w:t xml:space="preserve"> el derecho a la tierra incluye la facultad de ocupar, disfrutar, utilizar y explotar la tierra (como bien jurídico) y sus recursos. En ese sentido, la </w:t>
      </w:r>
      <w:r w:rsidR="004D6806" w:rsidRPr="007F1959">
        <w:rPr>
          <w:rFonts w:ascii="Times" w:hAnsi="Times" w:cstheme="minorHAnsi"/>
          <w:color w:val="282323"/>
          <w:sz w:val="23"/>
          <w:szCs w:val="23"/>
        </w:rPr>
        <w:t xml:space="preserve">tierra </w:t>
      </w:r>
      <w:r w:rsidRPr="007F1959">
        <w:rPr>
          <w:rFonts w:ascii="Times" w:hAnsi="Times" w:cstheme="minorHAnsi"/>
          <w:color w:val="282323"/>
          <w:sz w:val="23"/>
          <w:szCs w:val="23"/>
        </w:rPr>
        <w:t>se constituye como</w:t>
      </w:r>
      <w:r w:rsidR="004D6806" w:rsidRPr="007F1959">
        <w:rPr>
          <w:rFonts w:ascii="Times" w:hAnsi="Times" w:cstheme="minorHAnsi"/>
          <w:color w:val="282323"/>
          <w:sz w:val="23"/>
          <w:szCs w:val="23"/>
        </w:rPr>
        <w:t xml:space="preserve"> un recurso natural 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 xml:space="preserve">y </w:t>
      </w:r>
      <w:r w:rsidR="004D6806" w:rsidRPr="007F1959">
        <w:rPr>
          <w:rFonts w:ascii="Times" w:hAnsi="Times" w:cstheme="minorHAnsi"/>
          <w:color w:val="282323"/>
          <w:sz w:val="23"/>
          <w:szCs w:val="23"/>
        </w:rPr>
        <w:t>fundamental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 xml:space="preserve"> del ser humano para satisfacer sus necesidades básicas de alimentación</w:t>
      </w:r>
      <w:r w:rsidR="00716481" w:rsidRPr="007F1959">
        <w:rPr>
          <w:rFonts w:ascii="Times" w:hAnsi="Times" w:cstheme="minorHAnsi"/>
          <w:color w:val="282323"/>
          <w:sz w:val="23"/>
          <w:szCs w:val="23"/>
        </w:rPr>
        <w:t xml:space="preserve"> y subsist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 xml:space="preserve">encia, </w:t>
      </w:r>
      <w:r w:rsidR="00716481" w:rsidRPr="007F1959">
        <w:rPr>
          <w:rFonts w:ascii="Times" w:hAnsi="Times" w:cstheme="minorHAnsi"/>
          <w:color w:val="282323"/>
          <w:sz w:val="23"/>
          <w:szCs w:val="23"/>
        </w:rPr>
        <w:t xml:space="preserve">vivir y desarrollar sus culturas, tanto individual como en comunidad, 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>así como para ejercer sus</w:t>
      </w:r>
      <w:r w:rsidR="004D6806" w:rsidRPr="007F1959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 xml:space="preserve">derechos </w:t>
      </w:r>
      <w:r w:rsidR="004D6806" w:rsidRPr="007F1959">
        <w:rPr>
          <w:rFonts w:ascii="Times" w:hAnsi="Times" w:cstheme="minorHAnsi"/>
          <w:color w:val="282323"/>
          <w:sz w:val="23"/>
          <w:szCs w:val="23"/>
        </w:rPr>
        <w:t>económico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>s</w:t>
      </w:r>
      <w:r w:rsidR="00067394" w:rsidRPr="007F1959">
        <w:rPr>
          <w:rFonts w:ascii="Times" w:hAnsi="Times" w:cstheme="minorHAnsi"/>
          <w:color w:val="282323"/>
          <w:sz w:val="23"/>
          <w:szCs w:val="23"/>
        </w:rPr>
        <w:t>, social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>es</w:t>
      </w:r>
      <w:r w:rsidR="00067394" w:rsidRPr="007F1959">
        <w:rPr>
          <w:rFonts w:ascii="Times" w:hAnsi="Times" w:cstheme="minorHAnsi"/>
          <w:color w:val="282323"/>
          <w:sz w:val="23"/>
          <w:szCs w:val="23"/>
        </w:rPr>
        <w:t xml:space="preserve"> y cultural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 xml:space="preserve">es, </w:t>
      </w:r>
      <w:r w:rsidR="00067394" w:rsidRPr="007F1959">
        <w:rPr>
          <w:rFonts w:ascii="Times" w:hAnsi="Times" w:cstheme="minorHAnsi"/>
          <w:color w:val="282323"/>
          <w:sz w:val="23"/>
          <w:szCs w:val="23"/>
        </w:rPr>
        <w:t>civiles y políticos</w:t>
      </w:r>
      <w:r w:rsidR="007F1959" w:rsidRPr="007F1959">
        <w:rPr>
          <w:rFonts w:ascii="Times" w:hAnsi="Times" w:cstheme="minorHAnsi"/>
          <w:color w:val="282323"/>
          <w:sz w:val="23"/>
          <w:szCs w:val="23"/>
        </w:rPr>
        <w:t xml:space="preserve">, que como personas le corresponde. </w:t>
      </w:r>
    </w:p>
    <w:p w14:paraId="1D194F4D" w14:textId="7C0C8C48" w:rsidR="00CF182F" w:rsidRPr="00862F53" w:rsidRDefault="007F1959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7F1959">
        <w:rPr>
          <w:rFonts w:ascii="Times" w:hAnsi="Times" w:cstheme="minorHAnsi"/>
          <w:color w:val="282323"/>
          <w:sz w:val="23"/>
          <w:szCs w:val="23"/>
        </w:rPr>
        <w:t>En ese sentido, por</w:t>
      </w:r>
      <w:r w:rsidR="00FE6DFF" w:rsidRPr="007F1959">
        <w:rPr>
          <w:rFonts w:ascii="Times" w:hAnsi="Times" w:cstheme="minorHAnsi"/>
          <w:color w:val="282323"/>
          <w:sz w:val="23"/>
          <w:szCs w:val="23"/>
        </w:rPr>
        <w:t xml:space="preserve"> su</w:t>
      </w:r>
      <w:r w:rsidR="003E79CF" w:rsidRPr="007F1959">
        <w:rPr>
          <w:rFonts w:ascii="Times" w:hAnsi="Times" w:cstheme="minorHAnsi"/>
          <w:color w:val="282323"/>
          <w:sz w:val="23"/>
          <w:szCs w:val="23"/>
        </w:rPr>
        <w:t xml:space="preserve"> rol predominante</w:t>
      </w:r>
      <w:r w:rsidRPr="007F1959">
        <w:rPr>
          <w:rFonts w:ascii="Times" w:hAnsi="Times" w:cstheme="minorHAnsi"/>
          <w:color w:val="282323"/>
          <w:sz w:val="23"/>
          <w:szCs w:val="23"/>
        </w:rPr>
        <w:t>, el derecho a la tierra se</w:t>
      </w:r>
      <w:r w:rsidR="007B43A7" w:rsidRPr="007F1959">
        <w:rPr>
          <w:rFonts w:ascii="Times" w:hAnsi="Times" w:cstheme="minorHAnsi"/>
          <w:color w:val="282323"/>
          <w:sz w:val="23"/>
          <w:szCs w:val="23"/>
        </w:rPr>
        <w:t xml:space="preserve"> ha convertido </w:t>
      </w:r>
      <w:r w:rsidR="003E79CF" w:rsidRPr="007F1959">
        <w:rPr>
          <w:rFonts w:ascii="Times" w:hAnsi="Times" w:cstheme="minorHAnsi"/>
          <w:color w:val="282323"/>
          <w:sz w:val="23"/>
          <w:szCs w:val="23"/>
        </w:rPr>
        <w:t>en la base para el ejercicio y goce de</w:t>
      </w:r>
      <w:r w:rsidR="007B43A7" w:rsidRPr="007F1959">
        <w:rPr>
          <w:rFonts w:ascii="Times" w:hAnsi="Times" w:cstheme="minorHAnsi"/>
          <w:color w:val="282323"/>
          <w:sz w:val="23"/>
          <w:szCs w:val="23"/>
        </w:rPr>
        <w:t xml:space="preserve"> varios derechos fundamentales como el </w:t>
      </w:r>
      <w:r w:rsidR="003E79CF" w:rsidRPr="007F1959">
        <w:rPr>
          <w:rFonts w:ascii="Times" w:hAnsi="Times" w:cstheme="minorHAnsi"/>
          <w:color w:val="282323"/>
          <w:sz w:val="23"/>
          <w:szCs w:val="23"/>
        </w:rPr>
        <w:t xml:space="preserve">derecho a la propiedad, vivienda, alimentación, seguridad, </w:t>
      </w:r>
      <w:r w:rsidR="00EE1FBE" w:rsidRPr="007F1959">
        <w:rPr>
          <w:rFonts w:ascii="Times" w:hAnsi="Times" w:cstheme="minorHAnsi"/>
          <w:color w:val="282323"/>
          <w:sz w:val="23"/>
          <w:szCs w:val="23"/>
        </w:rPr>
        <w:t>identidad</w:t>
      </w:r>
      <w:r w:rsidR="003E79CF" w:rsidRPr="007F1959">
        <w:rPr>
          <w:rFonts w:ascii="Times" w:hAnsi="Times" w:cstheme="minorHAnsi"/>
          <w:color w:val="282323"/>
          <w:sz w:val="23"/>
          <w:szCs w:val="23"/>
        </w:rPr>
        <w:t xml:space="preserve"> cultural</w:t>
      </w:r>
      <w:r w:rsidR="00FE6DFF" w:rsidRPr="007F1959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7B43A7" w:rsidRPr="007F1959">
        <w:rPr>
          <w:rFonts w:ascii="Times" w:hAnsi="Times" w:cstheme="minorHAnsi"/>
          <w:color w:val="282323"/>
          <w:sz w:val="23"/>
          <w:szCs w:val="23"/>
        </w:rPr>
        <w:t>y, en general, en el desarrollo de los pueblos.</w:t>
      </w:r>
      <w:r w:rsidR="003E79CF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</w:p>
    <w:p w14:paraId="3FE9B606" w14:textId="761CB48C" w:rsidR="00862F53" w:rsidRPr="00716481" w:rsidRDefault="007B43A7" w:rsidP="00FE6DFF">
      <w:pPr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>A pesar de su relevancia</w:t>
      </w:r>
      <w:r w:rsidR="00862F53" w:rsidRPr="00862F53">
        <w:rPr>
          <w:rFonts w:ascii="Times" w:hAnsi="Times" w:cstheme="minorHAnsi"/>
          <w:color w:val="282323"/>
          <w:sz w:val="23"/>
          <w:szCs w:val="23"/>
        </w:rPr>
        <w:t xml:space="preserve"> y 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de los múltiples enfoques con los que se </w:t>
      </w:r>
      <w:r w:rsidR="00862F53" w:rsidRPr="00862F53">
        <w:rPr>
          <w:rFonts w:ascii="Times" w:hAnsi="Times" w:cstheme="minorHAnsi"/>
          <w:color w:val="282323"/>
          <w:sz w:val="23"/>
          <w:szCs w:val="23"/>
        </w:rPr>
        <w:t xml:space="preserve">ha llegado a </w:t>
      </w:r>
      <w:r w:rsidRPr="00862F53">
        <w:rPr>
          <w:rFonts w:ascii="Times" w:hAnsi="Times" w:cstheme="minorHAnsi"/>
          <w:color w:val="282323"/>
          <w:sz w:val="23"/>
          <w:szCs w:val="23"/>
        </w:rPr>
        <w:t>analiza</w:t>
      </w:r>
      <w:r w:rsidR="00862F53" w:rsidRPr="00862F53">
        <w:rPr>
          <w:rFonts w:ascii="Times" w:hAnsi="Times" w:cstheme="minorHAnsi"/>
          <w:color w:val="282323"/>
          <w:sz w:val="23"/>
          <w:szCs w:val="23"/>
        </w:rPr>
        <w:t>r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 el derecho a la tierra, este no ha sido considerado como derecho humano en los instrumentos internacionales, con excepción de cierta</w:t>
      </w:r>
      <w:r w:rsidR="001C539B" w:rsidRPr="00862F53">
        <w:rPr>
          <w:rFonts w:ascii="Times" w:hAnsi="Times" w:cstheme="minorHAnsi"/>
          <w:color w:val="282323"/>
          <w:sz w:val="23"/>
          <w:szCs w:val="23"/>
        </w:rPr>
        <w:t xml:space="preserve">s manifestaciones 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existentes en el reconocimiento </w:t>
      </w:r>
      <w:r w:rsidR="00FE6DFF">
        <w:rPr>
          <w:rFonts w:ascii="Times" w:hAnsi="Times" w:cstheme="minorHAnsi"/>
          <w:color w:val="282323"/>
          <w:sz w:val="23"/>
          <w:szCs w:val="23"/>
        </w:rPr>
        <w:t>de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 los derechos de la mujer y de los pueblos indígenas</w:t>
      </w:r>
      <w:r w:rsidR="0090716A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</w:p>
    <w:p w14:paraId="795128ED" w14:textId="4BC3E9C9" w:rsidR="00862F53" w:rsidRPr="00862F53" w:rsidRDefault="00DE0C0D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>Es precisamente en razón de lo anterior que, para hacer frente a las situaciones conflictivas generadas por la concepción comercial y utilitaria de la tierra, se vuelve necesari</w:t>
      </w:r>
      <w:r w:rsidR="003F7CAF" w:rsidRPr="00862F53">
        <w:rPr>
          <w:rFonts w:ascii="Times" w:hAnsi="Times" w:cstheme="minorHAnsi"/>
          <w:color w:val="282323"/>
          <w:sz w:val="23"/>
          <w:szCs w:val="23"/>
        </w:rPr>
        <w:t>a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 una reconceptualización del derecho a la tierra</w:t>
      </w:r>
      <w:r w:rsidR="00EE1FBE" w:rsidRPr="00862F53">
        <w:rPr>
          <w:rFonts w:ascii="Times" w:hAnsi="Times" w:cstheme="minorHAnsi"/>
          <w:color w:val="282323"/>
          <w:sz w:val="23"/>
          <w:szCs w:val="23"/>
        </w:rPr>
        <w:t xml:space="preserve">, en el sentido de que éste sea reconocido </w:t>
      </w:r>
      <w:r w:rsidRPr="00862F53">
        <w:rPr>
          <w:rFonts w:ascii="Times" w:hAnsi="Times" w:cstheme="minorHAnsi"/>
          <w:color w:val="282323"/>
          <w:sz w:val="23"/>
          <w:szCs w:val="23"/>
        </w:rPr>
        <w:t>como un derecho humano inherente a las personas</w:t>
      </w:r>
      <w:r w:rsidR="00EE1FBE" w:rsidRPr="00862F53">
        <w:rPr>
          <w:rFonts w:ascii="Times" w:hAnsi="Times" w:cstheme="minorHAnsi"/>
          <w:color w:val="282323"/>
          <w:sz w:val="23"/>
          <w:szCs w:val="23"/>
        </w:rPr>
        <w:t xml:space="preserve"> y cuyo goce no dependa de raza, condicion social, sexo o género.</w:t>
      </w:r>
      <w:r w:rsidR="00BB7D74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3F7CAF" w:rsidRPr="00862F53">
        <w:rPr>
          <w:rFonts w:ascii="Times" w:hAnsi="Times" w:cstheme="minorHAnsi"/>
          <w:color w:val="282323"/>
          <w:sz w:val="23"/>
          <w:szCs w:val="23"/>
        </w:rPr>
        <w:t xml:space="preserve">Para tales efectos, </w:t>
      </w:r>
      <w:r w:rsidR="004B63DE" w:rsidRPr="00862F53">
        <w:rPr>
          <w:rFonts w:ascii="Times" w:hAnsi="Times" w:cstheme="minorHAnsi"/>
          <w:color w:val="282323"/>
          <w:sz w:val="23"/>
          <w:szCs w:val="23"/>
        </w:rPr>
        <w:t xml:space="preserve">a partir de 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>enfoques sobre derechos ya regulados</w:t>
      </w:r>
      <w:r w:rsidR="004B63DE" w:rsidRPr="00862F53">
        <w:rPr>
          <w:rFonts w:ascii="Times" w:hAnsi="Times" w:cstheme="minorHAnsi"/>
          <w:color w:val="282323"/>
          <w:sz w:val="23"/>
          <w:szCs w:val="23"/>
        </w:rPr>
        <w:t xml:space="preserve">, </w:t>
      </w:r>
      <w:r w:rsidR="00261B0B" w:rsidRPr="00862F53">
        <w:rPr>
          <w:rFonts w:ascii="Times" w:hAnsi="Times" w:cstheme="minorHAnsi"/>
          <w:color w:val="282323"/>
          <w:sz w:val="23"/>
          <w:szCs w:val="23"/>
        </w:rPr>
        <w:t xml:space="preserve">se intentará </w:t>
      </w:r>
      <w:r w:rsidR="00D20D85">
        <w:rPr>
          <w:rFonts w:ascii="Times" w:hAnsi="Times" w:cstheme="minorHAnsi"/>
          <w:color w:val="282323"/>
          <w:sz w:val="23"/>
          <w:szCs w:val="23"/>
        </w:rPr>
        <w:t>analizar</w:t>
      </w:r>
      <w:r w:rsidR="004B63DE" w:rsidRPr="00862F53">
        <w:rPr>
          <w:rFonts w:ascii="Times" w:hAnsi="Times" w:cstheme="minorHAnsi"/>
          <w:color w:val="282323"/>
          <w:sz w:val="23"/>
          <w:szCs w:val="23"/>
        </w:rPr>
        <w:t xml:space="preserve"> los principales argumentos que justifican el tratamiento del derecho a la tierra como un derecho humano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 xml:space="preserve"> independiente</w:t>
      </w:r>
      <w:r w:rsidR="004B63DE" w:rsidRPr="00862F53">
        <w:rPr>
          <w:rFonts w:ascii="Times" w:hAnsi="Times" w:cstheme="minorHAnsi"/>
          <w:color w:val="282323"/>
          <w:sz w:val="23"/>
          <w:szCs w:val="23"/>
        </w:rPr>
        <w:t xml:space="preserve">, y 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>la necesidad de</w:t>
      </w:r>
      <w:r w:rsidR="004B63DE" w:rsidRPr="00862F53">
        <w:rPr>
          <w:rFonts w:ascii="Times" w:hAnsi="Times" w:cstheme="minorHAnsi"/>
          <w:color w:val="282323"/>
          <w:sz w:val="23"/>
          <w:szCs w:val="23"/>
        </w:rPr>
        <w:t xml:space="preserve"> reconocimiento e inclusión en </w:t>
      </w:r>
      <w:r w:rsidR="00F315DB" w:rsidRPr="00862F53">
        <w:rPr>
          <w:rFonts w:ascii="Times" w:hAnsi="Times" w:cstheme="minorHAnsi"/>
          <w:color w:val="282323"/>
          <w:sz w:val="23"/>
          <w:szCs w:val="23"/>
        </w:rPr>
        <w:t>tratados y demás instrumentos internacionales de derechos humanos.</w:t>
      </w:r>
    </w:p>
    <w:p w14:paraId="32DA1B4F" w14:textId="648AF68E" w:rsidR="003D51B0" w:rsidRPr="00862F53" w:rsidRDefault="00435FAB" w:rsidP="00862F53">
      <w:pPr>
        <w:pStyle w:val="NormalWeb"/>
        <w:numPr>
          <w:ilvl w:val="0"/>
          <w:numId w:val="4"/>
        </w:numPr>
        <w:ind w:left="0" w:firstLine="360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t>El Derecho a la tierra como un derecho de propiedad</w:t>
      </w:r>
      <w:r w:rsidR="00C3660E" w:rsidRPr="00862F53">
        <w:rPr>
          <w:rFonts w:ascii="Times" w:hAnsi="Times" w:cstheme="minorHAnsi"/>
          <w:b/>
          <w:bCs/>
          <w:color w:val="282323"/>
          <w:sz w:val="23"/>
          <w:szCs w:val="23"/>
        </w:rPr>
        <w:t>:</w:t>
      </w:r>
      <w:r w:rsidR="00862F53">
        <w:rPr>
          <w:rFonts w:ascii="Times" w:hAnsi="Times" w:cstheme="minorHAnsi"/>
          <w:b/>
          <w:bCs/>
          <w:color w:val="282323"/>
          <w:sz w:val="23"/>
          <w:szCs w:val="23"/>
        </w:rPr>
        <w:t xml:space="preserve"> </w:t>
      </w:r>
      <w:r w:rsidR="00D61F20" w:rsidRPr="00862F53">
        <w:rPr>
          <w:rFonts w:ascii="Times" w:hAnsi="Times" w:cstheme="minorHAnsi"/>
          <w:color w:val="282323"/>
          <w:sz w:val="23"/>
          <w:szCs w:val="23"/>
        </w:rPr>
        <w:t xml:space="preserve">El derecho a la propiedad se encuentra ampliamente regulado y reconocido como una expresión de las libertades fundamentales del ser humano tanto en legislaciones internas como </w:t>
      </w:r>
      <w:r w:rsidR="00D779B9" w:rsidRPr="00862F53">
        <w:rPr>
          <w:rFonts w:ascii="Times" w:hAnsi="Times" w:cstheme="minorHAnsi"/>
          <w:color w:val="282323"/>
          <w:sz w:val="23"/>
          <w:szCs w:val="23"/>
        </w:rPr>
        <w:t xml:space="preserve">en </w:t>
      </w:r>
      <w:r w:rsidR="00BB7D74" w:rsidRPr="00862F53">
        <w:rPr>
          <w:rFonts w:ascii="Times" w:hAnsi="Times" w:cstheme="minorHAnsi"/>
          <w:color w:val="282323"/>
          <w:sz w:val="23"/>
          <w:szCs w:val="23"/>
        </w:rPr>
        <w:t xml:space="preserve">la </w:t>
      </w:r>
      <w:r w:rsidR="00D779B9" w:rsidRPr="00862F53">
        <w:rPr>
          <w:rFonts w:ascii="Times" w:hAnsi="Times" w:cstheme="minorHAnsi"/>
          <w:color w:val="282323"/>
          <w:sz w:val="23"/>
          <w:szCs w:val="23"/>
        </w:rPr>
        <w:t xml:space="preserve">normativa </w:t>
      </w:r>
      <w:r w:rsidR="00D779B9" w:rsidRPr="00862F53">
        <w:rPr>
          <w:rFonts w:ascii="Times" w:hAnsi="Times" w:cstheme="minorHAnsi"/>
          <w:color w:val="282323"/>
          <w:sz w:val="23"/>
          <w:szCs w:val="23"/>
        </w:rPr>
        <w:lastRenderedPageBreak/>
        <w:t>internacional.</w:t>
      </w:r>
      <w:r w:rsidR="00DD268A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3D51B0" w:rsidRPr="00862F53">
        <w:rPr>
          <w:rFonts w:ascii="Times" w:hAnsi="Times" w:cstheme="minorHAnsi"/>
          <w:color w:val="282323"/>
          <w:sz w:val="23"/>
          <w:szCs w:val="23"/>
        </w:rPr>
        <w:t>Tanto es así que el artículo 17 de la Declaración Universal de Derechos Humanos (DUDH) reconoce a favor de cada persona el derecho a tener una propiedad, otorgándole</w:t>
      </w:r>
      <w:r w:rsidR="00DD268A" w:rsidRPr="00862F53">
        <w:rPr>
          <w:rFonts w:ascii="Times" w:hAnsi="Times" w:cstheme="minorHAnsi"/>
          <w:color w:val="282323"/>
          <w:sz w:val="23"/>
          <w:szCs w:val="23"/>
        </w:rPr>
        <w:t xml:space="preserve"> el tratamiento de derecho humano</w:t>
      </w:r>
      <w:r w:rsidR="00F660F0" w:rsidRPr="00862F53">
        <w:rPr>
          <w:rStyle w:val="Refdenotaalpie"/>
          <w:rFonts w:ascii="Times" w:hAnsi="Times" w:cstheme="minorHAnsi"/>
          <w:color w:val="282323"/>
          <w:sz w:val="23"/>
          <w:szCs w:val="23"/>
        </w:rPr>
        <w:footnoteReference w:id="2"/>
      </w:r>
      <w:r w:rsidR="00DD268A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</w:p>
    <w:p w14:paraId="1FC53F3B" w14:textId="6E1DF95F" w:rsidR="003A3D14" w:rsidRPr="00862F53" w:rsidRDefault="00F660F0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 xml:space="preserve">Como derecho, la propiedad suele ser asociada con la idea de pertenencia de la tierra. </w:t>
      </w:r>
      <w:r w:rsidR="003B6A24" w:rsidRPr="00862F53">
        <w:rPr>
          <w:rFonts w:ascii="Times" w:hAnsi="Times" w:cstheme="minorHAnsi"/>
          <w:color w:val="282323"/>
          <w:sz w:val="23"/>
          <w:szCs w:val="23"/>
        </w:rPr>
        <w:t>Sin embargo, dentro de</w:t>
      </w:r>
      <w:r w:rsidR="00C81F80" w:rsidRPr="00862F53">
        <w:rPr>
          <w:rFonts w:ascii="Times" w:hAnsi="Times" w:cstheme="minorHAnsi"/>
          <w:color w:val="282323"/>
          <w:sz w:val="23"/>
          <w:szCs w:val="23"/>
        </w:rPr>
        <w:t xml:space="preserve"> ese contexto, </w:t>
      </w:r>
      <w:r w:rsidR="003B6A24" w:rsidRPr="00862F53">
        <w:rPr>
          <w:rFonts w:ascii="Times" w:hAnsi="Times" w:cstheme="minorHAnsi"/>
          <w:color w:val="282323"/>
          <w:sz w:val="23"/>
          <w:szCs w:val="23"/>
        </w:rPr>
        <w:t xml:space="preserve">el enfoque otorgado al derecho a la propiedad, si bien se relaciona con el derecho a la tierra, no termina de recogerlo en su regulación. Lo anterior, básicamente, porque </w:t>
      </w:r>
      <w:r w:rsidR="00C81F80" w:rsidRPr="00862F53">
        <w:rPr>
          <w:rFonts w:ascii="Times" w:hAnsi="Times" w:cstheme="minorHAnsi"/>
          <w:color w:val="282323"/>
          <w:sz w:val="23"/>
          <w:szCs w:val="23"/>
        </w:rPr>
        <w:t>la propiedad privada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>, tal y como está regulada,</w:t>
      </w:r>
      <w:r w:rsidR="00C81F80" w:rsidRPr="00862F53">
        <w:rPr>
          <w:rFonts w:ascii="Times" w:hAnsi="Times" w:cstheme="minorHAnsi"/>
          <w:color w:val="282323"/>
          <w:sz w:val="23"/>
          <w:szCs w:val="23"/>
        </w:rPr>
        <w:t xml:space="preserve"> conlleva la protección y garantía de la tenencia de tierras por parte de las personas legitimadas como propietarios a través de un título</w:t>
      </w:r>
      <w:r w:rsidR="00BB7D74" w:rsidRPr="00862F53">
        <w:rPr>
          <w:rFonts w:ascii="Times" w:hAnsi="Times" w:cstheme="minorHAnsi"/>
          <w:color w:val="282323"/>
          <w:sz w:val="23"/>
          <w:szCs w:val="23"/>
        </w:rPr>
        <w:t>,</w:t>
      </w:r>
      <w:r w:rsidR="00144A28" w:rsidRPr="00862F53">
        <w:rPr>
          <w:rFonts w:ascii="Times" w:hAnsi="Times" w:cstheme="minorHAnsi"/>
          <w:color w:val="282323"/>
          <w:sz w:val="23"/>
          <w:szCs w:val="23"/>
        </w:rPr>
        <w:t xml:space="preserve"> dejando de lado a las personas que por su situación social, jurídica o económica no han podido acceder a ella. </w:t>
      </w:r>
      <w:r w:rsidR="00872947" w:rsidRPr="00862F53">
        <w:rPr>
          <w:rFonts w:ascii="Times" w:hAnsi="Times" w:cstheme="minorHAnsi"/>
          <w:color w:val="282323"/>
          <w:sz w:val="23"/>
          <w:szCs w:val="23"/>
        </w:rPr>
        <w:t>El problema de ello,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 xml:space="preserve"> es que no todas las personas gozan de un título de dominio y </w:t>
      </w:r>
      <w:r w:rsidR="00144A28" w:rsidRPr="00862F53">
        <w:rPr>
          <w:rFonts w:ascii="Times" w:hAnsi="Times" w:cstheme="minorHAnsi"/>
          <w:color w:val="282323"/>
          <w:sz w:val="23"/>
          <w:szCs w:val="23"/>
        </w:rPr>
        <w:t>tampoco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 xml:space="preserve"> se les reconoce el derecho a tenerlo</w:t>
      </w:r>
      <w:r w:rsidR="00872947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>Además, aun cuando la declaración universal y otra normativa internacional reconocen el derecho a la propiedad, no incluyen dentro de él una menci</w:t>
      </w:r>
      <w:r w:rsidR="003467AF" w:rsidRPr="00862F53">
        <w:rPr>
          <w:rFonts w:ascii="Times" w:hAnsi="Times" w:cstheme="minorHAnsi"/>
          <w:color w:val="282323"/>
          <w:sz w:val="23"/>
          <w:szCs w:val="23"/>
        </w:rPr>
        <w:t>ón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 xml:space="preserve"> expresa de los derechos de propiedad sobre la tierra, excepto en los casos de no discriminación </w:t>
      </w:r>
      <w:r w:rsidR="00BB7D74" w:rsidRPr="00862F53">
        <w:rPr>
          <w:rFonts w:ascii="Times" w:hAnsi="Times" w:cstheme="minorHAnsi"/>
          <w:color w:val="282323"/>
          <w:sz w:val="23"/>
          <w:szCs w:val="23"/>
        </w:rPr>
        <w:t xml:space="preserve">de determinados grupos, 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>tal y como ocurre en la Convención sobre la Eliminación de todas las Formas de Discriminación contra la Mujer (CE</w:t>
      </w:r>
      <w:r w:rsidR="00E40E41" w:rsidRPr="00862F53">
        <w:rPr>
          <w:rFonts w:ascii="Times" w:hAnsi="Times" w:cstheme="minorHAnsi"/>
          <w:color w:val="282323"/>
          <w:sz w:val="23"/>
          <w:szCs w:val="23"/>
        </w:rPr>
        <w:t xml:space="preserve">DAW) </w:t>
      </w:r>
      <w:r w:rsidR="003A3D14" w:rsidRPr="00862F53">
        <w:rPr>
          <w:rFonts w:ascii="Times" w:hAnsi="Times" w:cstheme="minorHAnsi"/>
          <w:color w:val="282323"/>
          <w:sz w:val="23"/>
          <w:szCs w:val="23"/>
        </w:rPr>
        <w:t>y Convención Internacional sobre la Eliminación de todas las Formas de Discriminación Racial (CERD)</w:t>
      </w:r>
      <w:r w:rsidR="00E40E41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</w:p>
    <w:p w14:paraId="5FA54E34" w14:textId="77777777" w:rsidR="00862F53" w:rsidRDefault="00C3660E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 xml:space="preserve">En ese sentido, se vuelve necesario abordar el derecho a la tierra como un derecho humano independiente a cualquier otro derecho, aún cuando guarden relación. Lo anterior con la finalidad de garantizar su acceso a toda persona independientemente de su raza, género, sexo o posición socioeconómica, a la vez que se contribuye al ejercicio y goce de otros derechos como la alimentación, vivienda, salud, educación, trabajo. </w:t>
      </w:r>
    </w:p>
    <w:p w14:paraId="4703C820" w14:textId="3664248B" w:rsidR="003B6A24" w:rsidRPr="00862F53" w:rsidRDefault="00E40E41" w:rsidP="00862F53">
      <w:pPr>
        <w:pStyle w:val="NormalWeb"/>
        <w:numPr>
          <w:ilvl w:val="0"/>
          <w:numId w:val="4"/>
        </w:numPr>
        <w:ind w:left="0" w:firstLine="360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t>El derecho a la tierra como un</w:t>
      </w:r>
      <w:r w:rsidR="00D23A23" w:rsidRPr="00862F53">
        <w:rPr>
          <w:rFonts w:ascii="Times" w:hAnsi="Times" w:cstheme="minorHAnsi"/>
          <w:b/>
          <w:bCs/>
          <w:color w:val="282323"/>
          <w:sz w:val="23"/>
          <w:szCs w:val="23"/>
        </w:rPr>
        <w:t xml:space="preserve"> d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t>erecho cultural de los pueblos indígenas</w:t>
      </w:r>
      <w:r w:rsidR="00862F53">
        <w:rPr>
          <w:rFonts w:ascii="Times" w:hAnsi="Times" w:cstheme="minorHAnsi"/>
          <w:color w:val="282323"/>
          <w:sz w:val="23"/>
          <w:szCs w:val="23"/>
        </w:rPr>
        <w:t xml:space="preserve">: </w:t>
      </w:r>
      <w:r w:rsidR="00A5547F" w:rsidRPr="00862F53">
        <w:rPr>
          <w:rFonts w:ascii="Times" w:hAnsi="Times" w:cstheme="minorHAnsi"/>
          <w:color w:val="282323"/>
          <w:sz w:val="23"/>
          <w:szCs w:val="23"/>
        </w:rPr>
        <w:t xml:space="preserve">Es innegable que aún cuando existe diversidad de comunidades indígenas </w:t>
      </w:r>
      <w:r w:rsidR="00BB7D74" w:rsidRPr="00862F53">
        <w:rPr>
          <w:rFonts w:ascii="Times" w:hAnsi="Times" w:cstheme="minorHAnsi"/>
          <w:color w:val="282323"/>
          <w:sz w:val="23"/>
          <w:szCs w:val="23"/>
        </w:rPr>
        <w:t xml:space="preserve">alrededor </w:t>
      </w:r>
      <w:r w:rsidR="00A5547F" w:rsidRPr="00862F53">
        <w:rPr>
          <w:rFonts w:ascii="Times" w:hAnsi="Times" w:cstheme="minorHAnsi"/>
          <w:color w:val="282323"/>
          <w:sz w:val="23"/>
          <w:szCs w:val="23"/>
        </w:rPr>
        <w:t>del mundo, todas ellas</w:t>
      </w:r>
      <w:r w:rsidR="00696D47" w:rsidRPr="00862F53">
        <w:rPr>
          <w:rFonts w:ascii="Times" w:hAnsi="Times" w:cstheme="minorHAnsi"/>
          <w:color w:val="282323"/>
          <w:sz w:val="23"/>
          <w:szCs w:val="23"/>
        </w:rPr>
        <w:t>, a partir de su identidad cultural</w:t>
      </w:r>
      <w:r w:rsidR="00A5547F" w:rsidRPr="00862F53">
        <w:rPr>
          <w:rFonts w:ascii="Times" w:hAnsi="Times" w:cstheme="minorHAnsi"/>
          <w:color w:val="282323"/>
          <w:sz w:val="23"/>
          <w:szCs w:val="23"/>
        </w:rPr>
        <w:t xml:space="preserve"> comparten una relación profunda </w:t>
      </w:r>
      <w:r w:rsidR="00696D47" w:rsidRPr="00862F53">
        <w:rPr>
          <w:rFonts w:ascii="Times" w:hAnsi="Times" w:cstheme="minorHAnsi"/>
          <w:color w:val="282323"/>
          <w:sz w:val="23"/>
          <w:szCs w:val="23"/>
        </w:rPr>
        <w:t>con</w:t>
      </w:r>
      <w:r w:rsidR="00A5547F" w:rsidRPr="00862F53">
        <w:rPr>
          <w:rFonts w:ascii="Times" w:hAnsi="Times" w:cstheme="minorHAnsi"/>
          <w:color w:val="282323"/>
          <w:sz w:val="23"/>
          <w:szCs w:val="23"/>
        </w:rPr>
        <w:t xml:space="preserve"> la tierra, defendiendo que ésta </w:t>
      </w:r>
      <w:r w:rsidR="00696D47" w:rsidRPr="00862F53">
        <w:rPr>
          <w:rFonts w:ascii="Times" w:hAnsi="Times" w:cstheme="minorHAnsi"/>
          <w:color w:val="282323"/>
          <w:sz w:val="23"/>
          <w:szCs w:val="23"/>
        </w:rPr>
        <w:t>es</w:t>
      </w:r>
      <w:r w:rsidR="00A5547F" w:rsidRPr="00862F53">
        <w:rPr>
          <w:rFonts w:ascii="Times" w:hAnsi="Times" w:cstheme="minorHAnsi"/>
          <w:color w:val="282323"/>
          <w:sz w:val="23"/>
          <w:szCs w:val="23"/>
        </w:rPr>
        <w:t xml:space="preserve"> la base no solo de su subsistencia económica, sino también la fuente de su identidad espiritual, cultural y social</w:t>
      </w:r>
      <w:r w:rsidR="00A5547F" w:rsidRPr="00862F53">
        <w:rPr>
          <w:rStyle w:val="Refdenotaalpie"/>
          <w:rFonts w:ascii="Times" w:hAnsi="Times" w:cstheme="minorHAnsi"/>
          <w:color w:val="282323"/>
          <w:sz w:val="23"/>
          <w:szCs w:val="23"/>
        </w:rPr>
        <w:footnoteReference w:id="3"/>
      </w:r>
      <w:r w:rsidR="00A5547F" w:rsidRPr="00862F53">
        <w:rPr>
          <w:rFonts w:ascii="Times" w:hAnsi="Times" w:cstheme="minorHAnsi"/>
          <w:color w:val="282323"/>
          <w:sz w:val="23"/>
          <w:szCs w:val="23"/>
        </w:rPr>
        <w:t>. Dicha relación ha sido reconocida por el Comité de Derechos Humanos (CDH)</w:t>
      </w:r>
      <w:r w:rsidR="00EF6B92" w:rsidRPr="00862F53">
        <w:rPr>
          <w:rFonts w:ascii="Times" w:hAnsi="Times" w:cstheme="minorHAnsi"/>
          <w:color w:val="282323"/>
          <w:sz w:val="23"/>
          <w:szCs w:val="23"/>
        </w:rPr>
        <w:t xml:space="preserve">, al desarrollar una protección específica a la tierra de las comunidades y grupos indígenas, bajo el fundamento de que la cultura de estos pueblos se manifiesta de muchas formas, pero particularmente con el uso de </w:t>
      </w:r>
      <w:r w:rsidR="00BB7D74" w:rsidRPr="00862F53">
        <w:rPr>
          <w:rFonts w:ascii="Times" w:hAnsi="Times" w:cstheme="minorHAnsi"/>
          <w:color w:val="282323"/>
          <w:sz w:val="23"/>
          <w:szCs w:val="23"/>
        </w:rPr>
        <w:t>la tierra</w:t>
      </w:r>
      <w:r w:rsidR="00EF6B92" w:rsidRPr="00862F53">
        <w:rPr>
          <w:rFonts w:ascii="Times" w:hAnsi="Times" w:cstheme="minorHAnsi"/>
          <w:color w:val="282323"/>
          <w:sz w:val="23"/>
          <w:szCs w:val="23"/>
        </w:rPr>
        <w:t>. En ese sentido, sostienen que “</w:t>
      </w:r>
      <w:r w:rsidR="00EF6B92" w:rsidRPr="00862F53">
        <w:rPr>
          <w:rFonts w:ascii="Times" w:hAnsi="Times" w:cstheme="minorHAnsi"/>
          <w:i/>
          <w:iCs/>
          <w:color w:val="282323"/>
          <w:sz w:val="23"/>
          <w:szCs w:val="23"/>
        </w:rPr>
        <w:t>cuando la tierra tiene una importancia fundamental para el sustento de la cultura, el derecho a disfrutar de la propia cultura requiere la protección de la tierra</w:t>
      </w:r>
      <w:r w:rsidR="00BF1497" w:rsidRPr="00862F53">
        <w:rPr>
          <w:rFonts w:ascii="Times" w:hAnsi="Times" w:cstheme="minorHAnsi"/>
          <w:color w:val="282323"/>
          <w:sz w:val="23"/>
          <w:szCs w:val="23"/>
        </w:rPr>
        <w:t>”</w:t>
      </w:r>
      <w:r w:rsidR="00BF1497" w:rsidRPr="00862F53">
        <w:rPr>
          <w:rStyle w:val="Refdenotaalpie"/>
          <w:rFonts w:ascii="Times" w:hAnsi="Times" w:cstheme="minorHAnsi"/>
          <w:color w:val="282323"/>
          <w:sz w:val="23"/>
          <w:szCs w:val="23"/>
        </w:rPr>
        <w:footnoteReference w:id="4"/>
      </w:r>
      <w:r w:rsidR="00EF6B92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</w:p>
    <w:p w14:paraId="492BAF51" w14:textId="77777777" w:rsidR="00862F53" w:rsidRDefault="00BF1497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>En reconocimiento de dicha relación, también se ha pronunciado la Corte Interamericana de Derechos Humanos (CIDH) dentro del caso Awas c. Nicaragua en 2001, al considerar que “</w:t>
      </w:r>
      <w:r w:rsidRPr="00862F53">
        <w:rPr>
          <w:rFonts w:ascii="Times" w:hAnsi="Times" w:cstheme="minorHAnsi"/>
          <w:i/>
          <w:iCs/>
          <w:color w:val="282323"/>
          <w:sz w:val="23"/>
          <w:szCs w:val="23"/>
        </w:rPr>
        <w:t>los indígenas, por el hecho de su propia existencia tienen derecho a vivir libremente en sus propios territorios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” y que </w:t>
      </w:r>
      <w:r w:rsidRPr="00862F53">
        <w:rPr>
          <w:rFonts w:ascii="Times" w:hAnsi="Times" w:cstheme="minorHAnsi"/>
          <w:i/>
          <w:iCs/>
          <w:color w:val="282323"/>
          <w:sz w:val="23"/>
          <w:szCs w:val="23"/>
        </w:rPr>
        <w:t>“la estrecha relacion que los indígenas mantienen con la tierra debe ser reconocida y comprendida como la base fundamental de sus culturas, su vida espiritual, integridad y supervivencia económica</w:t>
      </w:r>
      <w:r w:rsidR="005A2E5D" w:rsidRPr="00862F53">
        <w:rPr>
          <w:rFonts w:ascii="Times" w:hAnsi="Times" w:cstheme="minorHAnsi"/>
          <w:color w:val="282323"/>
          <w:sz w:val="23"/>
          <w:szCs w:val="23"/>
        </w:rPr>
        <w:t>”</w:t>
      </w:r>
      <w:r w:rsidR="005A2E5D" w:rsidRPr="00862F53">
        <w:rPr>
          <w:rStyle w:val="Refdenotaalpie"/>
          <w:rFonts w:ascii="Times" w:hAnsi="Times" w:cstheme="minorHAnsi"/>
          <w:color w:val="282323"/>
          <w:sz w:val="23"/>
          <w:szCs w:val="23"/>
        </w:rPr>
        <w:footnoteReference w:id="5"/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  <w:r w:rsidR="000B7BA7" w:rsidRPr="00862F53">
        <w:rPr>
          <w:rFonts w:ascii="Times" w:hAnsi="Times" w:cstheme="minorHAnsi"/>
          <w:color w:val="282323"/>
          <w:sz w:val="23"/>
          <w:szCs w:val="23"/>
        </w:rPr>
        <w:t xml:space="preserve">Pero la Corte no trata este derecho como </w:t>
      </w:r>
      <w:r w:rsidRPr="00862F53">
        <w:rPr>
          <w:rFonts w:ascii="Times" w:hAnsi="Times" w:cstheme="minorHAnsi"/>
          <w:color w:val="282323"/>
          <w:sz w:val="23"/>
          <w:szCs w:val="23"/>
        </w:rPr>
        <w:t xml:space="preserve">un derecho humano fundamental, sino que lo asocia e incorpora en el contenido de otros derechos como la salud, la vida y la propiedad. </w:t>
      </w:r>
    </w:p>
    <w:p w14:paraId="3E31FB35" w14:textId="005A9087" w:rsidR="00F31B34" w:rsidRPr="00862F53" w:rsidRDefault="00765E6C" w:rsidP="00862F53">
      <w:pPr>
        <w:pStyle w:val="NormalWeb"/>
        <w:numPr>
          <w:ilvl w:val="0"/>
          <w:numId w:val="4"/>
        </w:numPr>
        <w:ind w:left="0" w:firstLine="360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lastRenderedPageBreak/>
        <w:t>El derecho a la tierra como una expresión de igualdad de género</w:t>
      </w:r>
      <w:r w:rsidR="00862F53">
        <w:rPr>
          <w:rFonts w:ascii="Times" w:hAnsi="Times" w:cstheme="minorHAnsi"/>
          <w:color w:val="282323"/>
          <w:sz w:val="23"/>
          <w:szCs w:val="23"/>
        </w:rPr>
        <w:t xml:space="preserve">: </w:t>
      </w:r>
      <w:r w:rsidR="003425AE" w:rsidRPr="00862F53">
        <w:rPr>
          <w:rFonts w:ascii="Times" w:hAnsi="Times" w:cstheme="minorHAnsi"/>
          <w:color w:val="282323"/>
          <w:sz w:val="23"/>
          <w:szCs w:val="23"/>
        </w:rPr>
        <w:t>El derecho a la tierra, desde su escasa regulación como derecho humano</w:t>
      </w:r>
      <w:r w:rsidR="000318D3" w:rsidRPr="00862F53">
        <w:rPr>
          <w:rFonts w:ascii="Times" w:hAnsi="Times" w:cstheme="minorHAnsi"/>
          <w:color w:val="282323"/>
          <w:sz w:val="23"/>
          <w:szCs w:val="23"/>
        </w:rPr>
        <w:t xml:space="preserve"> común para todas las personas, también ha sido motivo de discusión en materia de igualdad de género. Y es que históricamente, aun en algunas culturas, el derecho de las mujeres a acceder y disfrutar de la tierra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0318D3" w:rsidRPr="00862F53">
        <w:rPr>
          <w:rFonts w:ascii="Times" w:hAnsi="Times" w:cstheme="minorHAnsi"/>
          <w:color w:val="282323"/>
          <w:sz w:val="23"/>
          <w:szCs w:val="23"/>
        </w:rPr>
        <w:t>depende en gran medida de la relación que éstas mantengan con sus maridos (tradicionalmente reconocidos como jefe del hogar).</w:t>
      </w:r>
      <w:r w:rsidR="0097242C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>Sobre esta desigualdad, también hace referencia CEDAW al requerir a los Estados que garanticen que las mujeres, especialmente de zonas rurales, reciban un trato igual que los hombre e</w:t>
      </w:r>
      <w:r w:rsidR="00330EF0" w:rsidRPr="00862F53">
        <w:rPr>
          <w:rFonts w:ascii="Times" w:hAnsi="Times" w:cstheme="minorHAnsi"/>
          <w:color w:val="282323"/>
          <w:sz w:val="23"/>
          <w:szCs w:val="23"/>
        </w:rPr>
        <w:t xml:space="preserve">specialmente en lo que respecta a 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>reforma</w:t>
      </w:r>
      <w:r w:rsidR="00330EF0" w:rsidRPr="00862F53">
        <w:rPr>
          <w:rFonts w:ascii="Times" w:hAnsi="Times" w:cstheme="minorHAnsi"/>
          <w:color w:val="282323"/>
          <w:sz w:val="23"/>
          <w:szCs w:val="23"/>
        </w:rPr>
        <w:t>s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 xml:space="preserve"> agraria</w:t>
      </w:r>
      <w:r w:rsidR="00330EF0" w:rsidRPr="00862F53">
        <w:rPr>
          <w:rFonts w:ascii="Times" w:hAnsi="Times" w:cstheme="minorHAnsi"/>
          <w:color w:val="282323"/>
          <w:sz w:val="23"/>
          <w:szCs w:val="23"/>
        </w:rPr>
        <w:t>s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 xml:space="preserve"> y reasentamiento</w:t>
      </w:r>
      <w:r w:rsidR="00330EF0" w:rsidRPr="00862F53">
        <w:rPr>
          <w:rFonts w:ascii="Times" w:hAnsi="Times" w:cstheme="minorHAnsi"/>
          <w:color w:val="282323"/>
          <w:sz w:val="23"/>
          <w:szCs w:val="23"/>
        </w:rPr>
        <w:t>s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</w:p>
    <w:p w14:paraId="4FE5DFCB" w14:textId="096E2C48" w:rsidR="00F31B34" w:rsidRPr="00862F53" w:rsidRDefault="00330EF0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>Por otro lado,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 xml:space="preserve"> CEDAW </w:t>
      </w:r>
      <w:r w:rsidRPr="00862F53">
        <w:rPr>
          <w:rFonts w:ascii="Times" w:hAnsi="Times" w:cstheme="minorHAnsi"/>
          <w:color w:val="282323"/>
          <w:sz w:val="23"/>
          <w:szCs w:val="23"/>
        </w:rPr>
        <w:t>sugiere</w:t>
      </w:r>
      <w:r w:rsidR="00F31B34" w:rsidRPr="00862F53">
        <w:rPr>
          <w:rFonts w:ascii="Times" w:hAnsi="Times" w:cstheme="minorHAnsi"/>
          <w:color w:val="282323"/>
          <w:sz w:val="23"/>
          <w:szCs w:val="23"/>
        </w:rPr>
        <w:t xml:space="preserve"> a los Estados a adoptar las medidas que permitan, incluso dentro del marco de la familia, a establecer una igualdad entre cónyuges en el ejercicio de sus derechos a la propiedad, administración y disposición de bienes, entre ellos, la tierra</w:t>
      </w:r>
      <w:r w:rsidR="00E503E0" w:rsidRPr="00862F53">
        <w:rPr>
          <w:rFonts w:ascii="Times" w:hAnsi="Times" w:cstheme="minorHAnsi"/>
          <w:color w:val="282323"/>
          <w:sz w:val="23"/>
          <w:szCs w:val="23"/>
        </w:rPr>
        <w:t>.</w:t>
      </w:r>
      <w:r w:rsidR="005E25BC" w:rsidRPr="00862F53">
        <w:rPr>
          <w:rFonts w:ascii="Times" w:hAnsi="Times" w:cstheme="minorHAnsi"/>
          <w:color w:val="282323"/>
          <w:sz w:val="23"/>
          <w:szCs w:val="23"/>
        </w:rPr>
        <w:t xml:space="preserve"> Un reconocimiento similar se puede verificar en el Protocolo a la Carta Africana de Derechos Humanos y de los Pueblos sobre los Derechos de las Mujeres en África en el 2003, que resalta</w:t>
      </w:r>
      <w:r w:rsidRPr="00862F53">
        <w:rPr>
          <w:rFonts w:ascii="Times" w:hAnsi="Times" w:cstheme="minorHAnsi"/>
          <w:color w:val="282323"/>
          <w:sz w:val="23"/>
          <w:szCs w:val="23"/>
        </w:rPr>
        <w:t>n</w:t>
      </w:r>
      <w:r w:rsidR="005E25BC" w:rsidRPr="00862F53">
        <w:rPr>
          <w:rFonts w:ascii="Times" w:hAnsi="Times" w:cstheme="minorHAnsi"/>
          <w:color w:val="282323"/>
          <w:sz w:val="23"/>
          <w:szCs w:val="23"/>
        </w:rPr>
        <w:t xml:space="preserve"> la relación y relevancia del derecho a la tierra como un asunto de los derechos de las mujeres, entre otras cosas, para acceder a una alimentación adecuada, agua potable limpia y medios de producción.</w:t>
      </w:r>
    </w:p>
    <w:p w14:paraId="65B96C06" w14:textId="77777777" w:rsidR="00862F53" w:rsidRDefault="00C3660E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>A pesar de este reconocimiento de la importancia y relevancia del derecho a la tierra como una expresión de la igualdad de género, éste se mantiene inherente a otros derechos sin que su aplicación se vuelva obligatoria y exigible en virtud de un reconocimiento como derecho humano en los tratados y demás instrumentos internacionales.</w:t>
      </w:r>
    </w:p>
    <w:p w14:paraId="3F787A4C" w14:textId="48A9487F" w:rsidR="0029131A" w:rsidRPr="00862F53" w:rsidRDefault="005E25BC" w:rsidP="00862F53">
      <w:pPr>
        <w:pStyle w:val="NormalWeb"/>
        <w:numPr>
          <w:ilvl w:val="0"/>
          <w:numId w:val="4"/>
        </w:numPr>
        <w:ind w:left="0" w:firstLine="360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t>Derecho a la tierra como derecho a la vivienda</w:t>
      </w:r>
      <w:r w:rsidR="00862F53">
        <w:rPr>
          <w:rFonts w:ascii="Times" w:hAnsi="Times" w:cstheme="minorHAnsi"/>
          <w:color w:val="282323"/>
          <w:sz w:val="23"/>
          <w:szCs w:val="23"/>
        </w:rPr>
        <w:t xml:space="preserve">: </w:t>
      </w:r>
      <w:r w:rsidR="00653C77" w:rsidRPr="00862F53">
        <w:rPr>
          <w:rFonts w:ascii="Times" w:hAnsi="Times" w:cstheme="minorHAnsi"/>
          <w:color w:val="282323"/>
          <w:sz w:val="23"/>
          <w:szCs w:val="23"/>
        </w:rPr>
        <w:t>El derecho a la vivienda está ampliamente reconocido en varios instrumentos internacionales de derechos humanos, entre los cuales se incluyen el PIDESC , la Convención sobre los Derechos del Niño, la CERD y la CEDAW. Conjuntamente a ellos, el Comité de Derechos Económicos, Sociales y Culturales (DESC)</w:t>
      </w:r>
      <w:r w:rsidR="00E70A14" w:rsidRPr="00862F53">
        <w:rPr>
          <w:rFonts w:ascii="Times" w:hAnsi="Times" w:cstheme="minorHAnsi"/>
          <w:color w:val="282323"/>
          <w:sz w:val="23"/>
          <w:szCs w:val="23"/>
        </w:rPr>
        <w:t xml:space="preserve"> ha destacado que la falta de acceso a la tierra influye directamente en la conseción de una vivienda adecuada</w:t>
      </w:r>
      <w:r w:rsidR="005B3C95" w:rsidRPr="00862F53">
        <w:rPr>
          <w:rFonts w:ascii="Times" w:hAnsi="Times" w:cstheme="minorHAnsi"/>
          <w:color w:val="282323"/>
          <w:sz w:val="23"/>
          <w:szCs w:val="23"/>
        </w:rPr>
        <w:t xml:space="preserve">, por lo que requiere a los Estados asumir obligaciones que garanticen el acceso a un lugar seguro para vivir, incluyendo el acceso a la tierra como derecho, centrando la atención en aquellas zonas en las que las personas, por su estado de pobreza extrema, se encuentran desprovistos de tierra y vivienda. </w:t>
      </w:r>
    </w:p>
    <w:p w14:paraId="753CDA83" w14:textId="77777777" w:rsidR="00862F53" w:rsidRDefault="005B3C95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 xml:space="preserve">En ese sentido, de la relación entre el derecho a la vivienda y el derecho a la tierra, se puede concluir que la falta de reconocimiento del derecho a la tierra como derecho fundamental de las personas, afecta de manera directa al derecho a acceder a una vivienda adecuada. </w:t>
      </w:r>
      <w:r w:rsidR="00F57FAB" w:rsidRPr="00862F53">
        <w:rPr>
          <w:rFonts w:ascii="Times" w:hAnsi="Times" w:cstheme="minorHAnsi"/>
          <w:color w:val="282323"/>
          <w:sz w:val="23"/>
          <w:szCs w:val="23"/>
        </w:rPr>
        <w:t>Pero además, la falta de reconocimiento del derecho a la tierra desde una perspectiva de los derechos humanos, está relacionada con la violencia existente en casos de desalojos forzosos de las tierras y territorios. Esta relación fue reconocida por la CADHP dentro del caso de la comunidad Endorois c. Kenia</w:t>
      </w:r>
      <w:r w:rsidR="00330EF0" w:rsidRPr="00862F53">
        <w:rPr>
          <w:rStyle w:val="Refdenotaalpie"/>
          <w:rFonts w:ascii="Times" w:hAnsi="Times" w:cstheme="minorHAnsi"/>
          <w:color w:val="282323"/>
          <w:sz w:val="23"/>
          <w:szCs w:val="23"/>
        </w:rPr>
        <w:footnoteReference w:id="6"/>
      </w:r>
      <w:r w:rsidR="00F57FAB" w:rsidRPr="00862F53">
        <w:rPr>
          <w:rFonts w:ascii="Times" w:hAnsi="Times" w:cstheme="minorHAnsi"/>
          <w:color w:val="282323"/>
          <w:sz w:val="23"/>
          <w:szCs w:val="23"/>
        </w:rPr>
        <w:t>, en el que la Comisión destacó que la falta de reconocimiento del derecho a la tierra de la comunidad indígena, conllevó al desalojo forzoso de sus habitantes.</w:t>
      </w:r>
      <w:r w:rsidR="00330EF0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F57FAB" w:rsidRPr="00862F53">
        <w:rPr>
          <w:rFonts w:ascii="Times" w:hAnsi="Times" w:cstheme="minorHAnsi"/>
          <w:color w:val="282323"/>
          <w:sz w:val="23"/>
          <w:szCs w:val="23"/>
        </w:rPr>
        <w:t>Consencuentemente, es innegable la relación existente entre el derecho a la tierra y el derecho a la vivienda desde una perspectiva de los derechos humanos</w:t>
      </w:r>
      <w:r w:rsidR="00B178CE" w:rsidRPr="00862F53">
        <w:rPr>
          <w:rFonts w:ascii="Times" w:hAnsi="Times" w:cstheme="minorHAnsi"/>
          <w:color w:val="282323"/>
          <w:sz w:val="23"/>
          <w:szCs w:val="23"/>
        </w:rPr>
        <w:t>, en el sentido de que el ejercicio pleno del primero permite la consecución del segundo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>, razón por la cual se vuelve necesaria una nueva regulación que considere al derecho a la tierra como un derecho humano independiente a cualquier otro, cuyo respeto debe ser garantizado por la normativa internacional y local de cada Estado.</w:t>
      </w:r>
    </w:p>
    <w:p w14:paraId="04F332A7" w14:textId="5C12EC2C" w:rsidR="009C591C" w:rsidRPr="00862F53" w:rsidRDefault="00B178CE" w:rsidP="00862F53">
      <w:pPr>
        <w:pStyle w:val="NormalWeb"/>
        <w:numPr>
          <w:ilvl w:val="0"/>
          <w:numId w:val="4"/>
        </w:numPr>
        <w:ind w:left="0" w:firstLine="360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lastRenderedPageBreak/>
        <w:t>Derecho a la tierra como acceso a una alimentación adecuada</w:t>
      </w:r>
      <w:r w:rsidR="00862F53">
        <w:rPr>
          <w:rFonts w:ascii="Times" w:hAnsi="Times" w:cstheme="minorHAnsi"/>
          <w:b/>
          <w:bCs/>
          <w:color w:val="282323"/>
          <w:sz w:val="23"/>
          <w:szCs w:val="23"/>
        </w:rPr>
        <w:t xml:space="preserve">: </w:t>
      </w:r>
      <w:r w:rsid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243DDE" w:rsidRPr="00862F53">
        <w:rPr>
          <w:rFonts w:ascii="Times" w:hAnsi="Times" w:cstheme="minorHAnsi"/>
          <w:color w:val="282323"/>
          <w:sz w:val="23"/>
          <w:szCs w:val="23"/>
        </w:rPr>
        <w:t>La alimentación es un derecho humano reconocido y garantizado en la DUDH y el PIDESC. Su relación con el derecho a la tierra</w:t>
      </w:r>
      <w:r w:rsidR="009C591C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E220CF" w:rsidRPr="00862F53">
        <w:rPr>
          <w:rFonts w:ascii="Times" w:hAnsi="Times" w:cstheme="minorHAnsi"/>
          <w:color w:val="282323"/>
          <w:sz w:val="23"/>
          <w:szCs w:val="23"/>
        </w:rPr>
        <w:t>está dado en función de</w:t>
      </w:r>
      <w:r w:rsidR="009C591C" w:rsidRPr="00862F53">
        <w:rPr>
          <w:rFonts w:ascii="Times" w:hAnsi="Times" w:cstheme="minorHAnsi"/>
          <w:color w:val="282323"/>
          <w:sz w:val="23"/>
          <w:szCs w:val="23"/>
        </w:rPr>
        <w:t xml:space="preserve"> la necesidad de mejorar l</w:t>
      </w:r>
      <w:r w:rsidR="00E220CF" w:rsidRPr="00862F53">
        <w:rPr>
          <w:rFonts w:ascii="Times" w:hAnsi="Times" w:cstheme="minorHAnsi"/>
          <w:color w:val="282323"/>
          <w:sz w:val="23"/>
          <w:szCs w:val="23"/>
        </w:rPr>
        <w:t xml:space="preserve">os niveles </w:t>
      </w:r>
      <w:r w:rsidR="009C591C" w:rsidRPr="00862F53">
        <w:rPr>
          <w:rFonts w:ascii="Times" w:hAnsi="Times" w:cstheme="minorHAnsi"/>
          <w:color w:val="282323"/>
          <w:sz w:val="23"/>
          <w:szCs w:val="23"/>
        </w:rPr>
        <w:t>de producción, conservación y distribución de alimentos mediante el perfeccionamiento o reforma de los regímenes agrarios.</w:t>
      </w:r>
      <w:r w:rsidR="00E220CF" w:rsidRPr="00862F53">
        <w:rPr>
          <w:rFonts w:ascii="Times" w:hAnsi="Times" w:cstheme="minorHAnsi"/>
          <w:color w:val="282323"/>
          <w:sz w:val="23"/>
          <w:szCs w:val="23"/>
        </w:rPr>
        <w:t xml:space="preserve"> Bajo esa perspectiva,</w:t>
      </w:r>
      <w:r w:rsidR="009C591C" w:rsidRPr="00862F53">
        <w:rPr>
          <w:rFonts w:ascii="Times" w:hAnsi="Times" w:cstheme="minorHAnsi"/>
          <w:color w:val="282323"/>
          <w:sz w:val="23"/>
          <w:szCs w:val="23"/>
        </w:rPr>
        <w:t xml:space="preserve"> la falta de acceso a la tierra, como principal medio de producción de alimentos, impide el acceso oportuno y eficaz a una alimentación sana y adecuada, debido a la imposibilidad de la persona de acceder y explotar la tierra y sus recursos para el cultivo y cosecha de alimentos.</w:t>
      </w:r>
    </w:p>
    <w:p w14:paraId="1E967386" w14:textId="5CFB29C7" w:rsidR="00A637EB" w:rsidRDefault="009C591C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  <w:r w:rsidRPr="00862F53">
        <w:rPr>
          <w:rFonts w:ascii="Times" w:hAnsi="Times" w:cstheme="minorHAnsi"/>
          <w:color w:val="282323"/>
          <w:sz w:val="23"/>
          <w:szCs w:val="23"/>
        </w:rPr>
        <w:t>En ese sentido, el acceso a la tierra se consolida como el elemento fundamental para poder erradicar el problema del hambre a nivel mundial. El problema, entonces, radica en que si no existe un reconocimiento al derecho a la tierra como derecho humano, su acceso y goce se realiza de manera discriminatoria, en el que los mayores perjudicados son los campesinos y personas de bajos estratos sociales que no tienen acceso a la tierra. Es por ello que el mayor grado de desnutrición se puede verificar en aquellas zonas en las que sus habilitantes se ven imposibilitados, y hasta discriminados, al momento de acceder a las tierras.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  <w:r w:rsidR="00AF618E" w:rsidRPr="00862F53">
        <w:rPr>
          <w:rFonts w:ascii="Times" w:hAnsi="Times" w:cstheme="minorHAnsi"/>
          <w:color w:val="282323"/>
          <w:sz w:val="23"/>
          <w:szCs w:val="23"/>
        </w:rPr>
        <w:t xml:space="preserve">En ese sentido, en protección del derecho de alimentación, los Estados, apoyados en la normativa internacional, deben garantizar a los agricultores y comunidades locales el acceso pleno y equitativo a las tierras, como un derecho humano y fundamental para la convivencia en sociedad. </w:t>
      </w:r>
      <w:r w:rsidR="007214B4" w:rsidRPr="00862F53">
        <w:rPr>
          <w:rFonts w:ascii="Times" w:hAnsi="Times" w:cstheme="minorHAnsi"/>
          <w:color w:val="282323"/>
          <w:sz w:val="23"/>
          <w:szCs w:val="23"/>
        </w:rPr>
        <w:t xml:space="preserve"> </w:t>
      </w:r>
    </w:p>
    <w:p w14:paraId="31D4B701" w14:textId="77777777" w:rsidR="00134FA8" w:rsidRDefault="00134FA8" w:rsidP="00862F53">
      <w:pPr>
        <w:pStyle w:val="NormalWeb"/>
        <w:jc w:val="both"/>
        <w:rPr>
          <w:rFonts w:ascii="Times" w:hAnsi="Times" w:cstheme="minorHAnsi"/>
          <w:color w:val="282323"/>
          <w:sz w:val="23"/>
          <w:szCs w:val="23"/>
        </w:rPr>
      </w:pPr>
    </w:p>
    <w:p w14:paraId="2A7E904F" w14:textId="3E91741D" w:rsidR="00862F53" w:rsidRPr="00862F53" w:rsidRDefault="00862F53" w:rsidP="00862F53">
      <w:pPr>
        <w:pStyle w:val="NormalWeb"/>
        <w:numPr>
          <w:ilvl w:val="0"/>
          <w:numId w:val="2"/>
        </w:numPr>
        <w:jc w:val="both"/>
        <w:rPr>
          <w:rFonts w:ascii="Times" w:hAnsi="Times" w:cstheme="minorHAnsi"/>
          <w:b/>
          <w:bCs/>
          <w:color w:val="282323"/>
          <w:sz w:val="23"/>
          <w:szCs w:val="23"/>
        </w:rPr>
      </w:pPr>
      <w:r w:rsidRPr="00862F53">
        <w:rPr>
          <w:rFonts w:ascii="Times" w:hAnsi="Times" w:cstheme="minorHAnsi"/>
          <w:b/>
          <w:bCs/>
          <w:color w:val="282323"/>
          <w:sz w:val="23"/>
          <w:szCs w:val="23"/>
        </w:rPr>
        <w:t xml:space="preserve">Argumentos para el reconocimiento del derecho a la tierra como un derecho humano. </w:t>
      </w:r>
    </w:p>
    <w:p w14:paraId="0A00B0AF" w14:textId="6CD06E2C" w:rsid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Por todo lo expuesto, y aun cuando a partir de los diversos enfoques analizados se ha llegado a establecer la relevancia del derecho a la tierra como la base para el ejercicio de otros derechos, éste no ha sido reconocido como un derecho humano independiente de cualquier otro. Esa falta de reconocimiento y garantía en su ejercicio ha generado prácticas estatales que, considerando a la tierra como fuente de lucro y riqueza, han derivado en la privatización y comercialización de las tierras, recurriendo para tales efectos a desalojos masivos y forzados. </w:t>
      </w:r>
    </w:p>
    <w:p w14:paraId="5026A7AF" w14:textId="75FBCD19" w:rsid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57F820D5" w14:textId="02F2D8BC" w:rsid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En razón de ello, y considerando los distintos pronunciamientos emitidos en reconocimiento del derecho a la tierra de manera directa o indirecta a partir de la regulación de otros derechos (como la DUDH al reconocer el derecho a la propiedad), se vuelve necesario una </w:t>
      </w:r>
      <w:proofErr w:type="spellStart"/>
      <w:r>
        <w:rPr>
          <w:rFonts w:ascii="Times" w:hAnsi="Times" w:cstheme="minorHAnsi"/>
          <w:color w:val="282323"/>
          <w:sz w:val="23"/>
          <w:szCs w:val="23"/>
          <w:lang w:eastAsia="es-MX"/>
        </w:rPr>
        <w:t>reconceptualización</w:t>
      </w:r>
      <w:proofErr w:type="spellEnd"/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del contenido del derecho a la tierra y, a partir de ahí, su reconocimiento como un derecho humano protegido por el derecho internacional. A partir de ahí, los Estados Parte deberán intensificar esfuerzos en adaptar sus normativas internas en miras de garantizar a todas las personas, independientemente de raza, sexo, género o pertenencia a grupo social, el acceso y goce del derecho a la tierra como base fundamental para el ejercicio de otros derechos ya reconocidos. </w:t>
      </w:r>
    </w:p>
    <w:p w14:paraId="67B00838" w14:textId="67384533" w:rsid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74C3B534" w14:textId="7EAE89AC" w:rsid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>Para ello, sería deseable que mediante Observación General se establezcan los lineamientos precisos para el reconocimiento del derecho a la tierra como derecho humano y su incorporación e implementación por parte de los Estados a efectos de erradicar la discriminación y abusos sufridos por la población más desprotegida frente abusos y prácticas de privatización y desalojo forzado de sus tierras. En ese sentido se proponen los siguientes argumentos para incluir o considerar en la Observación General:</w:t>
      </w:r>
    </w:p>
    <w:p w14:paraId="08E48E3D" w14:textId="433179ED" w:rsid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79FD5E2A" w14:textId="01AA7547" w:rsidR="00C3660E" w:rsidRDefault="00862F53" w:rsidP="00862F53">
      <w:pPr>
        <w:pStyle w:val="Prrafodelista"/>
        <w:numPr>
          <w:ilvl w:val="0"/>
          <w:numId w:val="5"/>
        </w:num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lastRenderedPageBreak/>
        <w:t xml:space="preserve">Que el Derecho a la tierra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debe ser concebido</w:t>
      </w: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como un derecho humano independiente a cualquier otro, que</w:t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 xml:space="preserve"> incluye la facultad de ocupar, disfrutar, utilizar, gozar y explotar la tierra (como bien jurídico) y sus recursos</w:t>
      </w:r>
      <w:r>
        <w:rPr>
          <w:rStyle w:val="Refdenotaalpie"/>
          <w:rFonts w:ascii="Times" w:hAnsi="Times" w:cstheme="minorHAnsi"/>
          <w:color w:val="282323"/>
          <w:sz w:val="23"/>
          <w:szCs w:val="23"/>
        </w:rPr>
        <w:footnoteReference w:id="7"/>
      </w:r>
      <w:r w:rsidR="00C3660E" w:rsidRPr="00862F53">
        <w:rPr>
          <w:rFonts w:ascii="Times" w:hAnsi="Times" w:cstheme="minorHAnsi"/>
          <w:color w:val="282323"/>
          <w:sz w:val="23"/>
          <w:szCs w:val="23"/>
        </w:rPr>
        <w:t xml:space="preserve">. </w:t>
      </w:r>
      <w:r>
        <w:rPr>
          <w:rFonts w:ascii="Times" w:hAnsi="Times" w:cstheme="minorHAnsi"/>
          <w:color w:val="282323"/>
          <w:sz w:val="23"/>
          <w:szCs w:val="23"/>
        </w:rPr>
        <w:t xml:space="preserve">En ese sentido, el Derecho a la tierra debe ser concebido como </w:t>
      </w:r>
      <w:r>
        <w:rPr>
          <w:rFonts w:ascii="Times" w:eastAsia="Times New Roman" w:hAnsi="Times" w:cstheme="minorHAnsi"/>
          <w:color w:val="282323"/>
          <w:sz w:val="23"/>
          <w:szCs w:val="23"/>
          <w:lang w:val="es-ES" w:eastAsia="es-MX"/>
        </w:rPr>
        <w:t xml:space="preserve">la </w:t>
      </w:r>
      <w:r w:rsidR="00C3660E"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base para el ejercicio de derechos tan básicos y fundamentales para el desarrollo del ser humano en sociedad, entre los que se encuentran la alimentación, vivienda, propiedad, reconocimiento, pertenencia e igualdad. </w:t>
      </w:r>
    </w:p>
    <w:p w14:paraId="0361CA90" w14:textId="77777777" w:rsidR="00862F53" w:rsidRDefault="00862F53" w:rsidP="00862F53">
      <w:pPr>
        <w:pStyle w:val="Prrafodelista"/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7DF8E6C4" w14:textId="59A49868" w:rsidR="00862F53" w:rsidRDefault="00862F53" w:rsidP="00862F53">
      <w:pPr>
        <w:pStyle w:val="Prrafodelista"/>
        <w:numPr>
          <w:ilvl w:val="0"/>
          <w:numId w:val="5"/>
        </w:num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Los Estados Parte deben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garantizar el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acceso a la tierra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a las personas, adoptando modelos y políticas de inclusión e igualdad.</w:t>
      </w:r>
    </w:p>
    <w:p w14:paraId="1A77B10E" w14:textId="77777777" w:rsidR="00862F53" w:rsidRP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26915384" w14:textId="0F7ACB22" w:rsidR="00862F53" w:rsidRDefault="00862F53" w:rsidP="00862F53">
      <w:pPr>
        <w:pStyle w:val="Prrafodelista"/>
        <w:numPr>
          <w:ilvl w:val="0"/>
          <w:numId w:val="5"/>
        </w:num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Los Estados Parte deben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adoptar mecanis</w:t>
      </w:r>
      <w:r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m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o</w:t>
      </w:r>
      <w:r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s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 xml:space="preserve"> de solución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inmediata a los obtáculos geográficos que impiden a las personas acceder y explotar la tierra.</w:t>
      </w:r>
    </w:p>
    <w:p w14:paraId="1E30D934" w14:textId="77777777" w:rsidR="00862F53" w:rsidRP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011A01CF" w14:textId="7E16A6FA" w:rsidR="00862F53" w:rsidRDefault="00862F53" w:rsidP="00862F53">
      <w:pPr>
        <w:pStyle w:val="Prrafodelista"/>
        <w:numPr>
          <w:ilvl w:val="0"/>
          <w:numId w:val="5"/>
        </w:num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Los Estados Parte deben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establecer y garantizar la adopción de políticas públicas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encaminadas a reconocer la igualdad de las distintas comunidades indígenas para el acceso y explotación de la tierra. </w:t>
      </w:r>
    </w:p>
    <w:p w14:paraId="4610C5C6" w14:textId="77777777" w:rsidR="00862F53" w:rsidRPr="00862F53" w:rsidRDefault="00862F53" w:rsidP="00862F53">
      <w:p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675CF68B" w14:textId="648E854F" w:rsidR="00862F53" w:rsidRDefault="00862F53" w:rsidP="00862F53">
      <w:pPr>
        <w:pStyle w:val="Prrafodelista"/>
        <w:numPr>
          <w:ilvl w:val="0"/>
          <w:numId w:val="5"/>
        </w:numPr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Los Estados Partes deben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regular e implementar medidas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</w:t>
      </w:r>
      <w:r w:rsidRPr="00862F53">
        <w:rPr>
          <w:rFonts w:ascii="Times" w:hAnsi="Times" w:cstheme="minorHAnsi"/>
          <w:b/>
          <w:bCs/>
          <w:color w:val="282323"/>
          <w:sz w:val="23"/>
          <w:szCs w:val="23"/>
          <w:lang w:eastAsia="es-MX"/>
        </w:rPr>
        <w:t>más justas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a efectos de expropiar territorios con fines de </w:t>
      </w:r>
      <w:r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interés público. </w:t>
      </w:r>
      <w:r w:rsidR="007F1959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Lo anterior,</w:t>
      </w:r>
      <w:r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efectos de evitar que </w:t>
      </w:r>
      <w:r w:rsidR="007F1959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en razón de</w:t>
      </w:r>
      <w:r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interés </w:t>
      </w:r>
      <w:r w:rsidR="007F1959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económicos </w:t>
      </w:r>
      <w:r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público</w:t>
      </w:r>
      <w:r w:rsidR="007F1959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s</w:t>
      </w:r>
      <w:r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</w:t>
      </w:r>
      <w:r w:rsidR="00AA5D60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o privado</w:t>
      </w:r>
      <w:r w:rsidR="007F1959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s</w:t>
      </w:r>
      <w:r w:rsidR="00AA5D60"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</w:t>
      </w:r>
      <w:r w:rsidRPr="007F1959">
        <w:rPr>
          <w:rFonts w:ascii="Times" w:hAnsi="Times" w:cstheme="minorHAnsi"/>
          <w:color w:val="282323"/>
          <w:sz w:val="23"/>
          <w:szCs w:val="23"/>
          <w:lang w:eastAsia="es-MX"/>
        </w:rPr>
        <w:t>sea, en cualquier caso, superior al reconocimiento del derecho a la tierra.</w:t>
      </w:r>
    </w:p>
    <w:p w14:paraId="0525E96D" w14:textId="77777777" w:rsidR="00862F53" w:rsidRPr="00862F53" w:rsidRDefault="00862F53" w:rsidP="00862F53">
      <w:pPr>
        <w:pStyle w:val="Prrafodelista"/>
        <w:rPr>
          <w:rFonts w:ascii="Times" w:hAnsi="Times" w:cstheme="minorHAnsi"/>
          <w:color w:val="282323"/>
          <w:sz w:val="23"/>
          <w:szCs w:val="23"/>
          <w:lang w:eastAsia="es-MX"/>
        </w:rPr>
      </w:pPr>
    </w:p>
    <w:p w14:paraId="7A0FA974" w14:textId="6A457930" w:rsidR="00862F53" w:rsidRPr="00862F53" w:rsidRDefault="00862F53" w:rsidP="00862F53">
      <w:pPr>
        <w:numPr>
          <w:ilvl w:val="0"/>
          <w:numId w:val="5"/>
        </w:numPr>
        <w:spacing w:after="200"/>
        <w:jc w:val="both"/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</w:pPr>
      <w:r w:rsidRPr="00862F53"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Los Estados Parte deben </w:t>
      </w:r>
      <w:r w:rsidRPr="00862F53">
        <w:rPr>
          <w:rFonts w:ascii="Times" w:eastAsiaTheme="minorHAnsi" w:hAnsi="Times" w:cstheme="minorHAnsi"/>
          <w:b/>
          <w:bCs/>
          <w:color w:val="282323"/>
          <w:sz w:val="23"/>
          <w:szCs w:val="23"/>
          <w:lang w:val="es-EC" w:eastAsia="es-MX"/>
        </w:rPr>
        <w:t>asegurar la participación de comunidades y ciudadanía</w:t>
      </w:r>
      <w:r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 en general en los procesos de tomas de decisiones para todo tipo de reforma agraria que se requiera implementar.</w:t>
      </w:r>
    </w:p>
    <w:p w14:paraId="0239811A" w14:textId="77777777" w:rsidR="00862F53" w:rsidRDefault="00862F53" w:rsidP="00862F53">
      <w:pPr>
        <w:numPr>
          <w:ilvl w:val="0"/>
          <w:numId w:val="5"/>
        </w:numPr>
        <w:spacing w:after="200"/>
        <w:jc w:val="both"/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</w:pPr>
      <w:r w:rsidRPr="00862F53"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Los Estados Parte deben </w:t>
      </w:r>
      <w:r w:rsidRPr="00862F53">
        <w:rPr>
          <w:rFonts w:ascii="Times" w:eastAsiaTheme="minorHAnsi" w:hAnsi="Times" w:cstheme="minorHAnsi"/>
          <w:b/>
          <w:bCs/>
          <w:color w:val="282323"/>
          <w:sz w:val="23"/>
          <w:szCs w:val="23"/>
          <w:lang w:val="es-EC" w:eastAsia="es-MX"/>
        </w:rPr>
        <w:t>asegurar la participación de comunidades y ciudadanía</w:t>
      </w:r>
      <w:r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 en general en la toma de decisiones para la calificación de territorios que van a ser privatizados o explotados por compañías extranjeras, a efectos de garantizar el respeto al derecho al acceso equitativo y digno a la tierra.</w:t>
      </w:r>
    </w:p>
    <w:p w14:paraId="5E126365" w14:textId="3189DECF" w:rsidR="00862F53" w:rsidRDefault="00862F53" w:rsidP="00862F53">
      <w:pPr>
        <w:numPr>
          <w:ilvl w:val="0"/>
          <w:numId w:val="5"/>
        </w:numPr>
        <w:spacing w:after="200"/>
        <w:jc w:val="both"/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</w:pPr>
      <w:r w:rsidRPr="00862F53"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Los Estados Parte deben </w:t>
      </w:r>
      <w:r w:rsidRPr="00862F53">
        <w:rPr>
          <w:rFonts w:ascii="Times" w:eastAsiaTheme="minorHAnsi" w:hAnsi="Times" w:cstheme="minorHAnsi"/>
          <w:b/>
          <w:bCs/>
          <w:color w:val="282323"/>
          <w:sz w:val="23"/>
          <w:szCs w:val="23"/>
          <w:lang w:val="es-EC" w:eastAsia="es-MX"/>
        </w:rPr>
        <w:t>crear instituciones sólidas</w:t>
      </w:r>
      <w:r w:rsidRPr="00862F53"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>, con financiamiento permanente orientadas al desarrollo</w:t>
      </w:r>
      <w:r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>, acceso y explotación de la tierra.</w:t>
      </w:r>
    </w:p>
    <w:p w14:paraId="48252116" w14:textId="3D8412C4" w:rsidR="00862F53" w:rsidRPr="00862F53" w:rsidRDefault="00862F53" w:rsidP="00862F53">
      <w:pPr>
        <w:numPr>
          <w:ilvl w:val="0"/>
          <w:numId w:val="5"/>
        </w:numPr>
        <w:spacing w:after="200"/>
        <w:jc w:val="both"/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</w:pPr>
      <w:r w:rsidRPr="00862F53"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Los Estados Parte deben </w:t>
      </w:r>
      <w:r w:rsidRPr="00862F53">
        <w:rPr>
          <w:rFonts w:ascii="Times" w:eastAsiaTheme="minorHAnsi" w:hAnsi="Times" w:cstheme="minorHAnsi"/>
          <w:b/>
          <w:bCs/>
          <w:color w:val="282323"/>
          <w:sz w:val="23"/>
          <w:szCs w:val="23"/>
          <w:lang w:val="es-EC" w:eastAsia="es-MX"/>
        </w:rPr>
        <w:t>eliminar las barreras</w:t>
      </w:r>
      <w:r w:rsidRPr="00862F53"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 xml:space="preserve"> que impidan </w:t>
      </w:r>
      <w:r>
        <w:rPr>
          <w:rFonts w:ascii="Times" w:eastAsiaTheme="minorHAnsi" w:hAnsi="Times" w:cstheme="minorHAnsi"/>
          <w:color w:val="282323"/>
          <w:sz w:val="23"/>
          <w:szCs w:val="23"/>
          <w:lang w:val="es-EC" w:eastAsia="es-MX"/>
        </w:rPr>
        <w:t>el acceso de mujeres, comunidades indígenas o personas en general, al derecho a acceder y explotar la tierra y sus recursos.</w:t>
      </w:r>
    </w:p>
    <w:p w14:paraId="4D586C02" w14:textId="77777777" w:rsidR="00862F53" w:rsidRDefault="00862F53" w:rsidP="00862F53">
      <w:pPr>
        <w:tabs>
          <w:tab w:val="left" w:pos="142"/>
          <w:tab w:val="left" w:pos="284"/>
        </w:tabs>
        <w:spacing w:after="240"/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>
        <w:rPr>
          <w:rFonts w:ascii="Times" w:hAnsi="Times" w:cstheme="minorHAnsi"/>
          <w:color w:val="282323"/>
          <w:sz w:val="23"/>
          <w:szCs w:val="23"/>
          <w:lang w:eastAsia="es-MX"/>
        </w:rPr>
        <w:t>Como colaboradores de</w:t>
      </w: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la Clínica Jurídica de la </w:t>
      </w:r>
      <w:proofErr w:type="spellStart"/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>Universitat</w:t>
      </w:r>
      <w:proofErr w:type="spellEnd"/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</w:t>
      </w:r>
      <w:proofErr w:type="spellStart"/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>Pompeu</w:t>
      </w:r>
      <w:proofErr w:type="spellEnd"/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</w:t>
      </w:r>
      <w:proofErr w:type="spellStart"/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>Fabra</w:t>
      </w:r>
      <w:proofErr w:type="spellEnd"/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, </w:t>
      </w: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>deseamos que el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presente documento sirva de base y ayuda para la elaboración de esta </w:t>
      </w: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nueva Observación General por parte del Comité 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>de Derechos Económicos, Sociales y Culturales.</w:t>
      </w:r>
    </w:p>
    <w:p w14:paraId="36D1B97B" w14:textId="2E79561C" w:rsidR="00E41D86" w:rsidRDefault="00862F53" w:rsidP="00862F53">
      <w:pPr>
        <w:tabs>
          <w:tab w:val="left" w:pos="142"/>
          <w:tab w:val="left" w:pos="284"/>
        </w:tabs>
        <w:spacing w:after="240"/>
        <w:jc w:val="both"/>
        <w:rPr>
          <w:rFonts w:ascii="Times" w:hAnsi="Times" w:cstheme="minorHAnsi"/>
          <w:color w:val="282323"/>
          <w:sz w:val="23"/>
          <w:szCs w:val="23"/>
          <w:lang w:eastAsia="es-MX"/>
        </w:rPr>
      </w:pP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Quedamos a su disposición 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>frente a</w:t>
      </w: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cualquier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solicitud de</w:t>
      </w:r>
      <w:r w:rsidRPr="00862F53">
        <w:rPr>
          <w:rFonts w:ascii="Times" w:hAnsi="Times" w:cstheme="minorHAnsi"/>
          <w:color w:val="282323"/>
          <w:sz w:val="23"/>
          <w:szCs w:val="23"/>
          <w:lang w:eastAsia="es-MX"/>
        </w:rPr>
        <w:t xml:space="preserve"> aclaración </w:t>
      </w:r>
      <w:r>
        <w:rPr>
          <w:rFonts w:ascii="Times" w:hAnsi="Times" w:cstheme="minorHAnsi"/>
          <w:color w:val="282323"/>
          <w:sz w:val="23"/>
          <w:szCs w:val="23"/>
          <w:lang w:eastAsia="es-MX"/>
        </w:rPr>
        <w:t>o ampliación del presente escrito.</w:t>
      </w:r>
    </w:p>
    <w:p w14:paraId="1455B0AF" w14:textId="77777777" w:rsidR="00862F53" w:rsidRPr="00862F53" w:rsidRDefault="00862F53" w:rsidP="00862F53">
      <w:pPr>
        <w:tabs>
          <w:tab w:val="left" w:pos="142"/>
          <w:tab w:val="left" w:pos="284"/>
        </w:tabs>
        <w:spacing w:after="240"/>
        <w:jc w:val="both"/>
        <w:rPr>
          <w:rFonts w:ascii="Times" w:hAnsi="Times" w:cstheme="minorHAnsi"/>
          <w:sz w:val="23"/>
          <w:szCs w:val="23"/>
        </w:rPr>
      </w:pPr>
    </w:p>
    <w:sectPr w:rsidR="00862F53" w:rsidRPr="00862F53" w:rsidSect="00651AA7"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3585" w14:textId="77777777" w:rsidR="00554FC7" w:rsidRDefault="00554FC7" w:rsidP="00CD6BD8">
      <w:r>
        <w:separator/>
      </w:r>
    </w:p>
  </w:endnote>
  <w:endnote w:type="continuationSeparator" w:id="0">
    <w:p w14:paraId="513FA10C" w14:textId="77777777" w:rsidR="00554FC7" w:rsidRDefault="00554FC7" w:rsidP="00CD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318772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03B907" w14:textId="055A80F6" w:rsidR="00651AA7" w:rsidRDefault="00651AA7" w:rsidP="00651AA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D93644" w14:textId="77777777" w:rsidR="00651AA7" w:rsidRDefault="00651AA7" w:rsidP="00651A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244450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9F0014" w14:textId="022F8544" w:rsidR="00651AA7" w:rsidRDefault="00651AA7" w:rsidP="003E730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34FA8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6077E000" w14:textId="77777777" w:rsidR="00651AA7" w:rsidRDefault="00651AA7" w:rsidP="00651AA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A0C6" w14:textId="77777777" w:rsidR="00554FC7" w:rsidRDefault="00554FC7" w:rsidP="00CD6BD8">
      <w:r>
        <w:separator/>
      </w:r>
    </w:p>
  </w:footnote>
  <w:footnote w:type="continuationSeparator" w:id="0">
    <w:p w14:paraId="45E72501" w14:textId="77777777" w:rsidR="00554FC7" w:rsidRDefault="00554FC7" w:rsidP="00CD6BD8">
      <w:r>
        <w:continuationSeparator/>
      </w:r>
    </w:p>
  </w:footnote>
  <w:footnote w:id="1">
    <w:p w14:paraId="6ACF39D3" w14:textId="4D216FCF" w:rsidR="00862F53" w:rsidRPr="00862F53" w:rsidRDefault="00862F53" w:rsidP="00862F53">
      <w:pPr>
        <w:pStyle w:val="Textonotapie"/>
        <w:jc w:val="both"/>
      </w:pPr>
      <w:r>
        <w:rPr>
          <w:rStyle w:val="Refdenotaalpie"/>
        </w:rPr>
        <w:footnoteRef/>
      </w:r>
      <w:r>
        <w:t xml:space="preserve"> Documento elaborado por María Ritha Guillén, Manuela Rojas y Anibal Auz, como estudiantes del curso de Derecho Internacional de los Derechos Humanos en el Máster Avanzado en Ciencias Jurídicas que ofrece la UPF.</w:t>
      </w:r>
    </w:p>
  </w:footnote>
  <w:footnote w:id="2">
    <w:p w14:paraId="0AC57C01" w14:textId="604FDD8A" w:rsidR="00F660F0" w:rsidRPr="00BB7D74" w:rsidRDefault="00F660F0" w:rsidP="00BB7D74">
      <w:pPr>
        <w:pStyle w:val="Textonotapie"/>
        <w:jc w:val="both"/>
        <w:rPr>
          <w:highlight w:val="yellow"/>
        </w:rPr>
      </w:pPr>
      <w:r>
        <w:rPr>
          <w:rStyle w:val="Refdenotaalpie"/>
        </w:rPr>
        <w:footnoteRef/>
      </w:r>
      <w:r>
        <w:t xml:space="preserve"> </w:t>
      </w:r>
      <w:r w:rsidR="00BB7D74" w:rsidRPr="00BB7D74">
        <w:t>ONU: Asamblea General, </w:t>
      </w:r>
      <w:r w:rsidR="00BB7D74" w:rsidRPr="00BB7D74">
        <w:rPr>
          <w:i/>
          <w:iCs/>
        </w:rPr>
        <w:t>Declaración Universal de Derechos Humanos</w:t>
      </w:r>
      <w:r w:rsidR="00BB7D74" w:rsidRPr="00BB7D74">
        <w:t>, 10 Diciembre 1948, 217 A (III).</w:t>
      </w:r>
    </w:p>
  </w:footnote>
  <w:footnote w:id="3">
    <w:p w14:paraId="3FDB300B" w14:textId="38BD3ACB" w:rsidR="003467AF" w:rsidRPr="00A5547F" w:rsidRDefault="003467A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5547F">
        <w:t>Jérémie</w:t>
      </w:r>
      <w:r w:rsidR="00862F53">
        <w:t xml:space="preserve">, </w:t>
      </w:r>
      <w:r w:rsidRPr="00A5547F">
        <w:t>G</w:t>
      </w:r>
      <w:r w:rsidR="00862F53">
        <w:t>.</w:t>
      </w:r>
      <w:r w:rsidRPr="00A5547F">
        <w:t>,</w:t>
      </w:r>
      <w:r w:rsidR="00862F53">
        <w:t xml:space="preserve"> </w:t>
      </w:r>
      <w:r w:rsidR="00862F53" w:rsidRPr="00A5547F">
        <w:t>(2013)</w:t>
      </w:r>
      <w:r w:rsidR="00862F53">
        <w:t>.</w:t>
      </w:r>
      <w:r w:rsidRPr="00A5547F">
        <w:t xml:space="preserve"> "Derecho a la Tierra como Derecho Humano", </w:t>
      </w:r>
      <w:r w:rsidRPr="00A5547F">
        <w:rPr>
          <w:i/>
          <w:iCs/>
        </w:rPr>
        <w:t>SUR</w:t>
      </w:r>
      <w:r w:rsidRPr="00A5547F">
        <w:t> 18</w:t>
      </w:r>
      <w:r w:rsidR="00862F53">
        <w:t xml:space="preserve">. </w:t>
      </w:r>
    </w:p>
  </w:footnote>
  <w:footnote w:id="4">
    <w:p w14:paraId="7C72C565" w14:textId="41ABFFEA" w:rsidR="003467AF" w:rsidRPr="00BF1497" w:rsidRDefault="003467A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5547F">
        <w:t>Jérémie Gilbert, "Derecho a la Tierra como Derecho Humano</w:t>
      </w:r>
      <w:r>
        <w:t>. Ibídem.</w:t>
      </w:r>
    </w:p>
  </w:footnote>
  <w:footnote w:id="5">
    <w:p w14:paraId="1F057B45" w14:textId="7EDC259E" w:rsidR="005A2E5D" w:rsidRPr="005A2E5D" w:rsidRDefault="005A2E5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A2E5D">
        <w:rPr>
          <w:i/>
          <w:iCs/>
        </w:rPr>
        <w:t>Awas Tingni v Nicaragua</w:t>
      </w:r>
      <w:r w:rsidRPr="005A2E5D">
        <w:t> [2001] Corte Interamericana de Derechos Humanos (Corte Interamericana de Derechos Humanos)</w:t>
      </w:r>
    </w:p>
  </w:footnote>
  <w:footnote w:id="6">
    <w:p w14:paraId="19E299E6" w14:textId="23DC5FC4" w:rsidR="00330EF0" w:rsidRPr="00330EF0" w:rsidRDefault="00330EF0" w:rsidP="00330EF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30EF0">
        <w:rPr>
          <w:i/>
          <w:iCs/>
        </w:rPr>
        <w:t>Endoris v Kenia</w:t>
      </w:r>
      <w:r w:rsidRPr="00330EF0">
        <w:t> [2010] Comisión Africana de Derechos Humanos y de los Pueblos, 276/2003 (Comisión Africana de Derechos Humanos y de los Pueblos)</w:t>
      </w:r>
      <w:r>
        <w:t>.</w:t>
      </w:r>
    </w:p>
  </w:footnote>
  <w:footnote w:id="7">
    <w:p w14:paraId="03A23A2C" w14:textId="5C19C18F" w:rsidR="00862F53" w:rsidRPr="00862F53" w:rsidRDefault="00862F53" w:rsidP="00862F5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62F53">
        <w:rPr>
          <w:lang w:val="es-ES"/>
        </w:rPr>
        <w:t>Esos derechos, en gran medida, se traducen en la posibilidad de acceder, adquirir, explotar comercialmente, construir, edificar, cultivar, vender, ocupar y desarrollar la tierra.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C7E0" w14:textId="4F3C44D2" w:rsidR="00862F53" w:rsidRDefault="00862F53">
    <w:pPr>
      <w:pStyle w:val="Encabezado"/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hidden="0" allowOverlap="1" wp14:anchorId="5628FB43" wp14:editId="345D52B5">
          <wp:simplePos x="0" y="0"/>
          <wp:positionH relativeFrom="column">
            <wp:posOffset>0</wp:posOffset>
          </wp:positionH>
          <wp:positionV relativeFrom="paragraph">
            <wp:posOffset>156218</wp:posOffset>
          </wp:positionV>
          <wp:extent cx="1685581" cy="611895"/>
          <wp:effectExtent l="0" t="0" r="381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581" cy="611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DEC"/>
    <w:multiLevelType w:val="hybridMultilevel"/>
    <w:tmpl w:val="1BD86F7E"/>
    <w:lvl w:ilvl="0" w:tplc="BE32FCFA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A5"/>
    <w:multiLevelType w:val="hybridMultilevel"/>
    <w:tmpl w:val="ED380A44"/>
    <w:lvl w:ilvl="0" w:tplc="3D10DEE0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731CA"/>
    <w:multiLevelType w:val="multilevel"/>
    <w:tmpl w:val="9432B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7B52063"/>
    <w:multiLevelType w:val="hybridMultilevel"/>
    <w:tmpl w:val="3DD20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A1C"/>
    <w:multiLevelType w:val="hybridMultilevel"/>
    <w:tmpl w:val="7F3A6B02"/>
    <w:lvl w:ilvl="0" w:tplc="E69E02BE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  <w:color w:val="282323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359A"/>
    <w:multiLevelType w:val="hybridMultilevel"/>
    <w:tmpl w:val="5D224792"/>
    <w:lvl w:ilvl="0" w:tplc="163E8A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B"/>
    <w:rsid w:val="000318D3"/>
    <w:rsid w:val="00067394"/>
    <w:rsid w:val="000A2624"/>
    <w:rsid w:val="000B7BA7"/>
    <w:rsid w:val="000D3A3C"/>
    <w:rsid w:val="00134FA8"/>
    <w:rsid w:val="00137470"/>
    <w:rsid w:val="00144A28"/>
    <w:rsid w:val="00152E29"/>
    <w:rsid w:val="001C539B"/>
    <w:rsid w:val="001E1220"/>
    <w:rsid w:val="001F43E5"/>
    <w:rsid w:val="00235F4D"/>
    <w:rsid w:val="00243DDE"/>
    <w:rsid w:val="00261B0B"/>
    <w:rsid w:val="0029131A"/>
    <w:rsid w:val="002954B1"/>
    <w:rsid w:val="002C25DE"/>
    <w:rsid w:val="00330EF0"/>
    <w:rsid w:val="003425AE"/>
    <w:rsid w:val="003467AF"/>
    <w:rsid w:val="003A3D14"/>
    <w:rsid w:val="003A4978"/>
    <w:rsid w:val="003B6A24"/>
    <w:rsid w:val="003C3A15"/>
    <w:rsid w:val="003D51B0"/>
    <w:rsid w:val="003E79CF"/>
    <w:rsid w:val="003F7CAF"/>
    <w:rsid w:val="004255E1"/>
    <w:rsid w:val="00435FAB"/>
    <w:rsid w:val="00440918"/>
    <w:rsid w:val="004421BE"/>
    <w:rsid w:val="004643A3"/>
    <w:rsid w:val="00481D73"/>
    <w:rsid w:val="004B63DE"/>
    <w:rsid w:val="004D0C47"/>
    <w:rsid w:val="004D6806"/>
    <w:rsid w:val="00511C00"/>
    <w:rsid w:val="005161F7"/>
    <w:rsid w:val="00522DAB"/>
    <w:rsid w:val="00546868"/>
    <w:rsid w:val="00554208"/>
    <w:rsid w:val="00554FC7"/>
    <w:rsid w:val="005A2E5D"/>
    <w:rsid w:val="005B3C95"/>
    <w:rsid w:val="005E25BC"/>
    <w:rsid w:val="005E695E"/>
    <w:rsid w:val="005F34D5"/>
    <w:rsid w:val="00651AA7"/>
    <w:rsid w:val="00653C77"/>
    <w:rsid w:val="00696D47"/>
    <w:rsid w:val="006A7C69"/>
    <w:rsid w:val="006B4B3F"/>
    <w:rsid w:val="006E3110"/>
    <w:rsid w:val="00716481"/>
    <w:rsid w:val="007214B4"/>
    <w:rsid w:val="0072303D"/>
    <w:rsid w:val="00723F5B"/>
    <w:rsid w:val="00735642"/>
    <w:rsid w:val="00764F31"/>
    <w:rsid w:val="00765E6C"/>
    <w:rsid w:val="007B43A7"/>
    <w:rsid w:val="007E6189"/>
    <w:rsid w:val="007F1959"/>
    <w:rsid w:val="008202F5"/>
    <w:rsid w:val="00862F53"/>
    <w:rsid w:val="00872947"/>
    <w:rsid w:val="008749C6"/>
    <w:rsid w:val="0089772C"/>
    <w:rsid w:val="0090259B"/>
    <w:rsid w:val="00906FC2"/>
    <w:rsid w:val="0090716A"/>
    <w:rsid w:val="009266B8"/>
    <w:rsid w:val="00940E89"/>
    <w:rsid w:val="0097242C"/>
    <w:rsid w:val="00977595"/>
    <w:rsid w:val="009C591C"/>
    <w:rsid w:val="009D2B78"/>
    <w:rsid w:val="009F6ABC"/>
    <w:rsid w:val="00A10556"/>
    <w:rsid w:val="00A10663"/>
    <w:rsid w:val="00A5547F"/>
    <w:rsid w:val="00A637EB"/>
    <w:rsid w:val="00A828EC"/>
    <w:rsid w:val="00AA5D60"/>
    <w:rsid w:val="00AF618E"/>
    <w:rsid w:val="00B178CE"/>
    <w:rsid w:val="00B20061"/>
    <w:rsid w:val="00B616F9"/>
    <w:rsid w:val="00B6255B"/>
    <w:rsid w:val="00B76575"/>
    <w:rsid w:val="00BA5E58"/>
    <w:rsid w:val="00BB7D74"/>
    <w:rsid w:val="00BF1497"/>
    <w:rsid w:val="00BF1858"/>
    <w:rsid w:val="00C1795E"/>
    <w:rsid w:val="00C22989"/>
    <w:rsid w:val="00C3660E"/>
    <w:rsid w:val="00C81F80"/>
    <w:rsid w:val="00CC7A13"/>
    <w:rsid w:val="00CD6BD8"/>
    <w:rsid w:val="00CE4800"/>
    <w:rsid w:val="00CE55F6"/>
    <w:rsid w:val="00CF182F"/>
    <w:rsid w:val="00CF6FEB"/>
    <w:rsid w:val="00D06BDB"/>
    <w:rsid w:val="00D20D85"/>
    <w:rsid w:val="00D23A23"/>
    <w:rsid w:val="00D2488B"/>
    <w:rsid w:val="00D3401F"/>
    <w:rsid w:val="00D61F20"/>
    <w:rsid w:val="00D779B9"/>
    <w:rsid w:val="00DD268A"/>
    <w:rsid w:val="00DE0C0D"/>
    <w:rsid w:val="00DE167D"/>
    <w:rsid w:val="00E06A93"/>
    <w:rsid w:val="00E13A40"/>
    <w:rsid w:val="00E220CF"/>
    <w:rsid w:val="00E40E41"/>
    <w:rsid w:val="00E41D86"/>
    <w:rsid w:val="00E503E0"/>
    <w:rsid w:val="00E70A14"/>
    <w:rsid w:val="00E71E6C"/>
    <w:rsid w:val="00E9788C"/>
    <w:rsid w:val="00ED18C1"/>
    <w:rsid w:val="00EE144E"/>
    <w:rsid w:val="00EE1FBE"/>
    <w:rsid w:val="00EF6B92"/>
    <w:rsid w:val="00F218D0"/>
    <w:rsid w:val="00F22269"/>
    <w:rsid w:val="00F22AF1"/>
    <w:rsid w:val="00F315DB"/>
    <w:rsid w:val="00F31B34"/>
    <w:rsid w:val="00F4323E"/>
    <w:rsid w:val="00F57FAB"/>
    <w:rsid w:val="00F660F0"/>
    <w:rsid w:val="00F953D6"/>
    <w:rsid w:val="00FE184E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5E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7EB"/>
    <w:pPr>
      <w:spacing w:before="100" w:beforeAutospacing="1" w:after="100" w:afterAutospacing="1"/>
    </w:pPr>
    <w:rPr>
      <w:lang w:val="es-EC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6BD8"/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6B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6B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2E29"/>
    <w:pPr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AA7"/>
    <w:rPr>
      <w:rFonts w:eastAsiaTheme="minorHAns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AA7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51A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1AA7"/>
  </w:style>
  <w:style w:type="character" w:styleId="Nmerodepgina">
    <w:name w:val="page number"/>
    <w:basedOn w:val="Fuentedeprrafopredeter"/>
    <w:uiPriority w:val="99"/>
    <w:semiHidden/>
    <w:unhideWhenUsed/>
    <w:rsid w:val="00651AA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6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663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A1066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62F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53"/>
    <w:rPr>
      <w:rFonts w:ascii="Times New Roman" w:eastAsia="Times New Roman" w:hAnsi="Times New Roman" w:cs="Times New Roman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5E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7EB"/>
    <w:pPr>
      <w:spacing w:before="100" w:beforeAutospacing="1" w:after="100" w:afterAutospacing="1"/>
    </w:pPr>
    <w:rPr>
      <w:lang w:val="es-EC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6BD8"/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6B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6B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2E29"/>
    <w:pPr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AA7"/>
    <w:rPr>
      <w:rFonts w:eastAsiaTheme="minorHAnsi"/>
      <w:sz w:val="18"/>
      <w:szCs w:val="18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AA7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51A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1AA7"/>
  </w:style>
  <w:style w:type="character" w:styleId="Nmerodepgina">
    <w:name w:val="page number"/>
    <w:basedOn w:val="Fuentedeprrafopredeter"/>
    <w:uiPriority w:val="99"/>
    <w:semiHidden/>
    <w:unhideWhenUsed/>
    <w:rsid w:val="00651AA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6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663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A1066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62F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53"/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BC865-DCFA-4F62-BDF7-9A15C82F8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50A34-4135-46D3-90C5-F49E7B78E938}"/>
</file>

<file path=customXml/itemProps3.xml><?xml version="1.0" encoding="utf-8"?>
<ds:datastoreItem xmlns:ds="http://schemas.openxmlformats.org/officeDocument/2006/customXml" ds:itemID="{CEF69CED-1D86-4237-935F-DBA558B2517D}"/>
</file>

<file path=customXml/itemProps4.xml><?xml version="1.0" encoding="utf-8"?>
<ds:datastoreItem xmlns:ds="http://schemas.openxmlformats.org/officeDocument/2006/customXml" ds:itemID="{A2B348FA-B640-44E8-AFE9-D192DE76E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2425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Ritha Guillen</dc:creator>
  <cp:lastModifiedBy>Karlos</cp:lastModifiedBy>
  <cp:revision>2</cp:revision>
  <dcterms:created xsi:type="dcterms:W3CDTF">2021-07-05T08:11:00Z</dcterms:created>
  <dcterms:modified xsi:type="dcterms:W3CDTF">2021-07-05T08:11:00Z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