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E03F9" w14:textId="77777777" w:rsidR="0060234C" w:rsidRPr="00E529C1" w:rsidRDefault="0060234C" w:rsidP="003A5C10">
      <w:pPr>
        <w:jc w:val="both"/>
        <w:rPr>
          <w:rFonts w:ascii="Times New Roman" w:hAnsi="Times New Roman" w:cs="Times New Roman"/>
          <w:sz w:val="23"/>
          <w:szCs w:val="23"/>
        </w:rPr>
      </w:pPr>
      <w:bookmarkStart w:id="0" w:name="_GoBack"/>
      <w:bookmarkEnd w:id="0"/>
    </w:p>
    <w:p w14:paraId="7EBF02B0" w14:textId="77777777" w:rsidR="00CB4176" w:rsidRPr="00E529C1" w:rsidRDefault="00CB4176" w:rsidP="003A5C10">
      <w:pPr>
        <w:jc w:val="both"/>
        <w:rPr>
          <w:rFonts w:ascii="Times New Roman" w:hAnsi="Times New Roman" w:cs="Times New Roman"/>
          <w:sz w:val="23"/>
          <w:szCs w:val="23"/>
        </w:rPr>
      </w:pPr>
    </w:p>
    <w:p w14:paraId="11FADBAF" w14:textId="5333B63C" w:rsidR="009A4ADA" w:rsidRPr="00E529C1" w:rsidRDefault="00F930D3" w:rsidP="003A5C10">
      <w:pPr>
        <w:jc w:val="both"/>
        <w:rPr>
          <w:rFonts w:ascii="Times New Roman" w:hAnsi="Times New Roman" w:cs="Times New Roman"/>
          <w:i/>
          <w:sz w:val="28"/>
          <w:szCs w:val="23"/>
        </w:rPr>
      </w:pPr>
      <w:r w:rsidRPr="00E529C1">
        <w:rPr>
          <w:rFonts w:ascii="Times New Roman" w:hAnsi="Times New Roman" w:cs="Times New Roman"/>
          <w:sz w:val="28"/>
          <w:szCs w:val="23"/>
        </w:rPr>
        <w:t>Written contribution by Treatment Action Group to th</w:t>
      </w:r>
      <w:r w:rsidR="00CB4176" w:rsidRPr="00E529C1">
        <w:rPr>
          <w:rFonts w:ascii="Times New Roman" w:hAnsi="Times New Roman" w:cs="Times New Roman"/>
          <w:sz w:val="28"/>
          <w:szCs w:val="23"/>
        </w:rPr>
        <w:t>e day of general discussion on A</w:t>
      </w:r>
      <w:r w:rsidRPr="00E529C1">
        <w:rPr>
          <w:rFonts w:ascii="Times New Roman" w:hAnsi="Times New Roman" w:cs="Times New Roman"/>
          <w:sz w:val="28"/>
          <w:szCs w:val="23"/>
        </w:rPr>
        <w:t xml:space="preserve">rticle 15 of the ICESCR: </w:t>
      </w:r>
      <w:r w:rsidRPr="00E529C1">
        <w:rPr>
          <w:rFonts w:ascii="Times New Roman" w:hAnsi="Times New Roman" w:cs="Times New Roman"/>
          <w:i/>
          <w:sz w:val="28"/>
          <w:szCs w:val="23"/>
        </w:rPr>
        <w:t>on the right to enjoy the benefits of scientific progress and its applications</w:t>
      </w:r>
    </w:p>
    <w:p w14:paraId="01E30EE4" w14:textId="77777777" w:rsidR="00CB4176" w:rsidRPr="00E529C1" w:rsidRDefault="00CB4176" w:rsidP="003A5C10">
      <w:pPr>
        <w:jc w:val="both"/>
        <w:rPr>
          <w:rFonts w:ascii="Times New Roman" w:hAnsi="Times New Roman" w:cs="Times New Roman"/>
          <w:i/>
          <w:sz w:val="23"/>
          <w:szCs w:val="23"/>
        </w:rPr>
      </w:pPr>
    </w:p>
    <w:p w14:paraId="23F14ABF" w14:textId="1D96A592" w:rsidR="00BF3C1D" w:rsidRPr="00E529C1" w:rsidRDefault="00B76E84" w:rsidP="003A5C10">
      <w:pPr>
        <w:pStyle w:val="ListParagraph"/>
        <w:numPr>
          <w:ilvl w:val="0"/>
          <w:numId w:val="1"/>
        </w:numPr>
        <w:jc w:val="both"/>
        <w:rPr>
          <w:rFonts w:ascii="Times New Roman" w:hAnsi="Times New Roman" w:cs="Times New Roman"/>
          <w:sz w:val="23"/>
          <w:szCs w:val="23"/>
        </w:rPr>
      </w:pPr>
      <w:r w:rsidRPr="00E529C1">
        <w:rPr>
          <w:rFonts w:ascii="Times New Roman" w:hAnsi="Times New Roman" w:cs="Times New Roman"/>
          <w:sz w:val="23"/>
          <w:szCs w:val="23"/>
        </w:rPr>
        <w:t xml:space="preserve">Treatment Action Group (TAG) thanks the Committee on Economic, Social and Cultural </w:t>
      </w:r>
      <w:r w:rsidR="00BF3C1D" w:rsidRPr="00E529C1">
        <w:rPr>
          <w:rFonts w:ascii="Times New Roman" w:hAnsi="Times New Roman" w:cs="Times New Roman"/>
          <w:sz w:val="23"/>
          <w:szCs w:val="23"/>
        </w:rPr>
        <w:t>Rights (CESCR) for its</w:t>
      </w:r>
      <w:r w:rsidRPr="00E529C1">
        <w:rPr>
          <w:rFonts w:ascii="Times New Roman" w:hAnsi="Times New Roman" w:cs="Times New Roman"/>
          <w:sz w:val="23"/>
          <w:szCs w:val="23"/>
        </w:rPr>
        <w:t xml:space="preserve"> work </w:t>
      </w:r>
      <w:r w:rsidR="00DD4064" w:rsidRPr="00E529C1">
        <w:rPr>
          <w:rFonts w:ascii="Times New Roman" w:hAnsi="Times New Roman" w:cs="Times New Roman"/>
          <w:sz w:val="23"/>
          <w:szCs w:val="23"/>
        </w:rPr>
        <w:t>t</w:t>
      </w:r>
      <w:r w:rsidRPr="00E529C1">
        <w:rPr>
          <w:rFonts w:ascii="Times New Roman" w:hAnsi="Times New Roman" w:cs="Times New Roman"/>
          <w:sz w:val="23"/>
          <w:szCs w:val="23"/>
        </w:rPr>
        <w:t>o</w:t>
      </w:r>
      <w:r w:rsidR="00DD4064" w:rsidRPr="00E529C1">
        <w:rPr>
          <w:rFonts w:ascii="Times New Roman" w:hAnsi="Times New Roman" w:cs="Times New Roman"/>
          <w:sz w:val="23"/>
          <w:szCs w:val="23"/>
        </w:rPr>
        <w:t xml:space="preserve"> prepare</w:t>
      </w:r>
      <w:r w:rsidRPr="00E529C1">
        <w:rPr>
          <w:rFonts w:ascii="Times New Roman" w:hAnsi="Times New Roman" w:cs="Times New Roman"/>
          <w:sz w:val="23"/>
          <w:szCs w:val="23"/>
        </w:rPr>
        <w:t xml:space="preserve"> a General Comment </w:t>
      </w:r>
      <w:r w:rsidR="00DD4064" w:rsidRPr="00E529C1">
        <w:rPr>
          <w:rFonts w:ascii="Times New Roman" w:hAnsi="Times New Roman" w:cs="Times New Roman"/>
          <w:sz w:val="23"/>
          <w:szCs w:val="23"/>
        </w:rPr>
        <w:t xml:space="preserve">to </w:t>
      </w:r>
      <w:r w:rsidRPr="00E529C1">
        <w:rPr>
          <w:rFonts w:ascii="Times New Roman" w:hAnsi="Times New Roman" w:cs="Times New Roman"/>
          <w:sz w:val="23"/>
          <w:szCs w:val="23"/>
        </w:rPr>
        <w:t>pr</w:t>
      </w:r>
      <w:r w:rsidR="00BF3C1D" w:rsidRPr="00E529C1">
        <w:rPr>
          <w:rFonts w:ascii="Times New Roman" w:hAnsi="Times New Roman" w:cs="Times New Roman"/>
          <w:sz w:val="23"/>
          <w:szCs w:val="23"/>
        </w:rPr>
        <w:t xml:space="preserve">ovide guidance to </w:t>
      </w:r>
      <w:r w:rsidR="00DD4064" w:rsidRPr="00E529C1">
        <w:rPr>
          <w:rFonts w:ascii="Times New Roman" w:hAnsi="Times New Roman" w:cs="Times New Roman"/>
          <w:sz w:val="23"/>
          <w:szCs w:val="23"/>
        </w:rPr>
        <w:t>S</w:t>
      </w:r>
      <w:r w:rsidR="00BF3C1D" w:rsidRPr="00E529C1">
        <w:rPr>
          <w:rFonts w:ascii="Times New Roman" w:hAnsi="Times New Roman" w:cs="Times New Roman"/>
          <w:sz w:val="23"/>
          <w:szCs w:val="23"/>
        </w:rPr>
        <w:t>tates</w:t>
      </w:r>
      <w:r w:rsidR="00DD4064" w:rsidRPr="00E529C1">
        <w:rPr>
          <w:rFonts w:ascii="Times New Roman" w:hAnsi="Times New Roman" w:cs="Times New Roman"/>
          <w:sz w:val="23"/>
          <w:szCs w:val="23"/>
        </w:rPr>
        <w:t xml:space="preserve"> parties</w:t>
      </w:r>
      <w:r w:rsidR="00BF3C1D" w:rsidRPr="00E529C1">
        <w:rPr>
          <w:rFonts w:ascii="Times New Roman" w:hAnsi="Times New Roman" w:cs="Times New Roman"/>
          <w:sz w:val="23"/>
          <w:szCs w:val="23"/>
        </w:rPr>
        <w:t xml:space="preserve"> on the normative content of</w:t>
      </w:r>
      <w:r w:rsidRPr="00E529C1">
        <w:rPr>
          <w:rFonts w:ascii="Times New Roman" w:hAnsi="Times New Roman" w:cs="Times New Roman"/>
          <w:sz w:val="23"/>
          <w:szCs w:val="23"/>
        </w:rPr>
        <w:t xml:space="preserve"> </w:t>
      </w:r>
      <w:r w:rsidR="00DD4064" w:rsidRPr="00E529C1">
        <w:rPr>
          <w:rFonts w:ascii="Times New Roman" w:hAnsi="Times New Roman" w:cs="Times New Roman"/>
          <w:sz w:val="23"/>
          <w:szCs w:val="23"/>
        </w:rPr>
        <w:t>ICESCR</w:t>
      </w:r>
      <w:r w:rsidRPr="00E529C1">
        <w:rPr>
          <w:rFonts w:ascii="Times New Roman" w:hAnsi="Times New Roman" w:cs="Times New Roman"/>
          <w:sz w:val="23"/>
          <w:szCs w:val="23"/>
        </w:rPr>
        <w:t xml:space="preserve"> Article 15, the right to enjoy the benefits of scientific progress and its applications</w:t>
      </w:r>
      <w:r w:rsidR="00F516FE">
        <w:rPr>
          <w:rFonts w:ascii="Times New Roman" w:hAnsi="Times New Roman" w:cs="Times New Roman"/>
          <w:sz w:val="23"/>
          <w:szCs w:val="23"/>
        </w:rPr>
        <w:t xml:space="preserve"> (</w:t>
      </w:r>
      <w:r w:rsidR="00F516FE" w:rsidRPr="00567051">
        <w:rPr>
          <w:rFonts w:ascii="Times New Roman" w:hAnsi="Times New Roman" w:cs="Times New Roman"/>
          <w:sz w:val="23"/>
          <w:szCs w:val="23"/>
        </w:rPr>
        <w:t>hereafter</w:t>
      </w:r>
      <w:r w:rsidR="00F516FE">
        <w:rPr>
          <w:rFonts w:ascii="Times New Roman" w:hAnsi="Times New Roman" w:cs="Times New Roman"/>
          <w:sz w:val="23"/>
          <w:szCs w:val="23"/>
        </w:rPr>
        <w:t>, the right to science)</w:t>
      </w:r>
      <w:r w:rsidRPr="00E529C1">
        <w:rPr>
          <w:rFonts w:ascii="Times New Roman" w:hAnsi="Times New Roman" w:cs="Times New Roman"/>
          <w:sz w:val="23"/>
          <w:szCs w:val="23"/>
        </w:rPr>
        <w:t xml:space="preserve">. </w:t>
      </w:r>
      <w:r w:rsidR="00BF3C1D" w:rsidRPr="00E529C1">
        <w:rPr>
          <w:rFonts w:ascii="Times New Roman" w:hAnsi="Times New Roman" w:cs="Times New Roman"/>
          <w:sz w:val="23"/>
          <w:szCs w:val="23"/>
        </w:rPr>
        <w:t>For the communities of people affected by the epidemics of HIV, tuberculosis (TB), and hepatitis</w:t>
      </w:r>
      <w:r w:rsidR="00DD4064" w:rsidRPr="00E529C1">
        <w:rPr>
          <w:rFonts w:ascii="Times New Roman" w:hAnsi="Times New Roman" w:cs="Times New Roman"/>
          <w:sz w:val="23"/>
          <w:szCs w:val="23"/>
        </w:rPr>
        <w:t xml:space="preserve"> C virus (HCV)</w:t>
      </w:r>
      <w:r w:rsidR="00BF3C1D" w:rsidRPr="00E529C1">
        <w:rPr>
          <w:rFonts w:ascii="Times New Roman" w:hAnsi="Times New Roman" w:cs="Times New Roman"/>
          <w:sz w:val="23"/>
          <w:szCs w:val="23"/>
        </w:rPr>
        <w:t xml:space="preserve"> that we represent, this is </w:t>
      </w:r>
      <w:r w:rsidR="00DD4064" w:rsidRPr="00E529C1">
        <w:rPr>
          <w:rFonts w:ascii="Times New Roman" w:hAnsi="Times New Roman" w:cs="Times New Roman"/>
          <w:sz w:val="23"/>
          <w:szCs w:val="23"/>
        </w:rPr>
        <w:t>a</w:t>
      </w:r>
      <w:r w:rsidR="00C2296E">
        <w:rPr>
          <w:rFonts w:ascii="Times New Roman" w:hAnsi="Times New Roman" w:cs="Times New Roman"/>
          <w:sz w:val="23"/>
          <w:szCs w:val="23"/>
        </w:rPr>
        <w:t xml:space="preserve"> timely and</w:t>
      </w:r>
      <w:r w:rsidR="0003719A" w:rsidRPr="00E529C1">
        <w:rPr>
          <w:rFonts w:ascii="Times New Roman" w:hAnsi="Times New Roman" w:cs="Times New Roman"/>
          <w:sz w:val="23"/>
          <w:szCs w:val="23"/>
        </w:rPr>
        <w:t xml:space="preserve"> </w:t>
      </w:r>
      <w:r w:rsidR="00BF3C1D" w:rsidRPr="00E529C1">
        <w:rPr>
          <w:rFonts w:ascii="Times New Roman" w:hAnsi="Times New Roman" w:cs="Times New Roman"/>
          <w:sz w:val="23"/>
          <w:szCs w:val="23"/>
        </w:rPr>
        <w:t xml:space="preserve">vitally important discussion. </w:t>
      </w:r>
    </w:p>
    <w:p w14:paraId="3273DA47" w14:textId="77777777" w:rsidR="00BF3C1D" w:rsidRPr="00E529C1" w:rsidRDefault="00BF3C1D" w:rsidP="003A5C10">
      <w:pPr>
        <w:pStyle w:val="ListParagraph"/>
        <w:ind w:left="360"/>
        <w:jc w:val="both"/>
        <w:rPr>
          <w:rFonts w:ascii="Times New Roman" w:hAnsi="Times New Roman" w:cs="Times New Roman"/>
          <w:sz w:val="23"/>
          <w:szCs w:val="23"/>
        </w:rPr>
      </w:pPr>
    </w:p>
    <w:p w14:paraId="584C5A3D" w14:textId="1F21847D" w:rsidR="00BF3C1D" w:rsidRPr="00E529C1" w:rsidRDefault="00BF3C1D" w:rsidP="003A5C10">
      <w:pPr>
        <w:pStyle w:val="ListParagraph"/>
        <w:numPr>
          <w:ilvl w:val="0"/>
          <w:numId w:val="1"/>
        </w:numPr>
        <w:jc w:val="both"/>
        <w:rPr>
          <w:rFonts w:ascii="Times New Roman" w:hAnsi="Times New Roman" w:cs="Times New Roman"/>
          <w:sz w:val="23"/>
          <w:szCs w:val="23"/>
        </w:rPr>
      </w:pPr>
      <w:r w:rsidRPr="00E529C1">
        <w:rPr>
          <w:rFonts w:ascii="Times New Roman" w:hAnsi="Times New Roman" w:cs="Times New Roman"/>
          <w:sz w:val="23"/>
          <w:szCs w:val="23"/>
        </w:rPr>
        <w:t>TAG is an independent, activist, and community-based research and policy think tank fighting to end the</w:t>
      </w:r>
      <w:r w:rsidR="00DD4064" w:rsidRPr="00E529C1">
        <w:rPr>
          <w:rFonts w:ascii="Times New Roman" w:hAnsi="Times New Roman" w:cs="Times New Roman"/>
          <w:sz w:val="23"/>
          <w:szCs w:val="23"/>
        </w:rPr>
        <w:t xml:space="preserve"> </w:t>
      </w:r>
      <w:r w:rsidRPr="00E529C1">
        <w:rPr>
          <w:rFonts w:ascii="Times New Roman" w:hAnsi="Times New Roman" w:cs="Times New Roman"/>
          <w:sz w:val="23"/>
          <w:szCs w:val="23"/>
        </w:rPr>
        <w:t>HIV, TB, and HCV</w:t>
      </w:r>
      <w:r w:rsidR="00DD4064" w:rsidRPr="00E529C1">
        <w:rPr>
          <w:rFonts w:ascii="Times New Roman" w:hAnsi="Times New Roman" w:cs="Times New Roman"/>
          <w:sz w:val="23"/>
          <w:szCs w:val="23"/>
        </w:rPr>
        <w:t xml:space="preserve"> epidemics</w:t>
      </w:r>
      <w:r w:rsidRPr="00E529C1">
        <w:rPr>
          <w:rFonts w:ascii="Times New Roman" w:hAnsi="Times New Roman" w:cs="Times New Roman"/>
          <w:sz w:val="23"/>
          <w:szCs w:val="23"/>
        </w:rPr>
        <w:t xml:space="preserve">. We are science-based treatment activists working to expand and accelerate research and effective community engagement with research and policy institutions, and we work to ensure that all people with TB, HIV, and HCV receive lifesaving treatment, care, and information. </w:t>
      </w:r>
    </w:p>
    <w:p w14:paraId="032FE964" w14:textId="77777777" w:rsidR="00BF3C1D" w:rsidRPr="00E529C1" w:rsidRDefault="00BF3C1D" w:rsidP="003A5C10">
      <w:pPr>
        <w:jc w:val="both"/>
        <w:rPr>
          <w:rFonts w:ascii="Times New Roman" w:hAnsi="Times New Roman" w:cs="Times New Roman"/>
          <w:sz w:val="23"/>
          <w:szCs w:val="23"/>
        </w:rPr>
      </w:pPr>
    </w:p>
    <w:p w14:paraId="199E88C4" w14:textId="28815674" w:rsidR="00C2296E" w:rsidRPr="00140058" w:rsidRDefault="00893A96" w:rsidP="003A5C10">
      <w:pPr>
        <w:pStyle w:val="ListParagraph"/>
        <w:numPr>
          <w:ilvl w:val="0"/>
          <w:numId w:val="1"/>
        </w:numPr>
        <w:jc w:val="both"/>
      </w:pPr>
      <w:r w:rsidRPr="00E529C1">
        <w:rPr>
          <w:rFonts w:ascii="Times New Roman" w:hAnsi="Times New Roman" w:cs="Times New Roman"/>
          <w:sz w:val="23"/>
          <w:szCs w:val="23"/>
        </w:rPr>
        <w:t>For several years, the right to science has provided the central frame f</w:t>
      </w:r>
      <w:r w:rsidR="00C2296E">
        <w:rPr>
          <w:rFonts w:ascii="Times New Roman" w:hAnsi="Times New Roman" w:cs="Times New Roman"/>
          <w:sz w:val="23"/>
          <w:szCs w:val="23"/>
        </w:rPr>
        <w:t>or</w:t>
      </w:r>
      <w:r w:rsidRPr="00E529C1">
        <w:rPr>
          <w:rFonts w:ascii="Times New Roman" w:hAnsi="Times New Roman" w:cs="Times New Roman"/>
          <w:sz w:val="23"/>
          <w:szCs w:val="23"/>
        </w:rPr>
        <w:t xml:space="preserve"> our advocacy and community engagement work.</w:t>
      </w:r>
      <w:r w:rsidR="00140058">
        <w:rPr>
          <w:rFonts w:ascii="Times New Roman" w:hAnsi="Times New Roman" w:cs="Times New Roman"/>
          <w:sz w:val="23"/>
          <w:szCs w:val="23"/>
        </w:rPr>
        <w:t xml:space="preserve"> </w:t>
      </w:r>
      <w:r w:rsidR="00C2296E" w:rsidRPr="00E529C1">
        <w:rPr>
          <w:rFonts w:ascii="Times New Roman" w:hAnsi="Times New Roman" w:cs="Times New Roman"/>
          <w:sz w:val="23"/>
          <w:szCs w:val="23"/>
        </w:rPr>
        <w:t xml:space="preserve">We have seen both the transformative impact scientific advances can have on the course of an epidemic when states support </w:t>
      </w:r>
      <w:r w:rsidR="00C2296E">
        <w:rPr>
          <w:rFonts w:ascii="Times New Roman" w:hAnsi="Times New Roman" w:cs="Times New Roman"/>
          <w:sz w:val="23"/>
          <w:szCs w:val="23"/>
        </w:rPr>
        <w:t xml:space="preserve">science </w:t>
      </w:r>
      <w:r w:rsidR="00F516FE">
        <w:rPr>
          <w:rFonts w:ascii="Times New Roman" w:hAnsi="Times New Roman" w:cs="Times New Roman"/>
          <w:sz w:val="23"/>
          <w:szCs w:val="23"/>
        </w:rPr>
        <w:t xml:space="preserve">through </w:t>
      </w:r>
      <w:r w:rsidR="00C2296E">
        <w:rPr>
          <w:rFonts w:ascii="Times New Roman" w:hAnsi="Times New Roman" w:cs="Times New Roman"/>
          <w:sz w:val="23"/>
          <w:szCs w:val="23"/>
        </w:rPr>
        <w:t xml:space="preserve">e.g., </w:t>
      </w:r>
      <w:r w:rsidR="00C2296E" w:rsidRPr="00E529C1">
        <w:rPr>
          <w:rFonts w:ascii="Times New Roman" w:hAnsi="Times New Roman" w:cs="Times New Roman"/>
          <w:sz w:val="23"/>
          <w:szCs w:val="23"/>
        </w:rPr>
        <w:t>research and development</w:t>
      </w:r>
      <w:r w:rsidR="00C2296E">
        <w:rPr>
          <w:rFonts w:ascii="Times New Roman" w:hAnsi="Times New Roman" w:cs="Times New Roman"/>
          <w:sz w:val="23"/>
          <w:szCs w:val="23"/>
        </w:rPr>
        <w:t xml:space="preserve"> (R&amp;D)</w:t>
      </w:r>
      <w:r w:rsidR="00C2296E" w:rsidRPr="00E529C1">
        <w:rPr>
          <w:rFonts w:ascii="Times New Roman" w:hAnsi="Times New Roman" w:cs="Times New Roman"/>
          <w:sz w:val="23"/>
          <w:szCs w:val="23"/>
        </w:rPr>
        <w:t xml:space="preserve"> and take concerted steps to disseminate its benefits. </w:t>
      </w:r>
      <w:r w:rsidR="00C2296E" w:rsidRPr="00B60F4B">
        <w:rPr>
          <w:rFonts w:ascii="Times New Roman" w:hAnsi="Times New Roman" w:cs="Times New Roman"/>
          <w:sz w:val="23"/>
          <w:szCs w:val="23"/>
        </w:rPr>
        <w:t>We have also witnessed the grave harm that results from state inattention to the development and diffusion of science.</w:t>
      </w:r>
      <w:r w:rsidR="00C2296E" w:rsidRPr="00E529C1">
        <w:t xml:space="preserve"> </w:t>
      </w:r>
      <w:r w:rsidR="00C2296E">
        <w:rPr>
          <w:rFonts w:ascii="Times New Roman" w:hAnsi="Times New Roman" w:cs="Times New Roman"/>
          <w:sz w:val="23"/>
          <w:szCs w:val="23"/>
        </w:rPr>
        <w:t>And we</w:t>
      </w:r>
      <w:r w:rsidR="00C2296E" w:rsidRPr="00E529C1">
        <w:rPr>
          <w:rFonts w:ascii="Times New Roman" w:hAnsi="Times New Roman" w:cs="Times New Roman"/>
          <w:sz w:val="23"/>
          <w:szCs w:val="23"/>
        </w:rPr>
        <w:t xml:space="preserve"> have worked </w:t>
      </w:r>
      <w:r w:rsidR="00B34FE3">
        <w:rPr>
          <w:rFonts w:ascii="Times New Roman" w:hAnsi="Times New Roman" w:cs="Times New Roman"/>
          <w:sz w:val="23"/>
          <w:szCs w:val="23"/>
        </w:rPr>
        <w:t xml:space="preserve">hard </w:t>
      </w:r>
      <w:r w:rsidR="00C2296E" w:rsidRPr="00E529C1">
        <w:rPr>
          <w:rFonts w:ascii="Times New Roman" w:hAnsi="Times New Roman" w:cs="Times New Roman"/>
          <w:sz w:val="23"/>
          <w:szCs w:val="23"/>
        </w:rPr>
        <w:t>to raise awareness of the right among communities and scientists confronting HIV, TB, and HCV.</w:t>
      </w:r>
    </w:p>
    <w:p w14:paraId="5BB3AC13" w14:textId="77777777" w:rsidR="00C2296E" w:rsidRPr="00B34FE3" w:rsidRDefault="00C2296E" w:rsidP="00F516FE">
      <w:pPr>
        <w:jc w:val="both"/>
        <w:rPr>
          <w:rFonts w:ascii="Times New Roman" w:hAnsi="Times New Roman" w:cs="Times New Roman"/>
          <w:sz w:val="23"/>
          <w:szCs w:val="23"/>
        </w:rPr>
      </w:pPr>
    </w:p>
    <w:p w14:paraId="49686240" w14:textId="0676E724" w:rsidR="008729A6" w:rsidRPr="00F516FE" w:rsidRDefault="00C2296E" w:rsidP="003A5C10">
      <w:pPr>
        <w:pStyle w:val="ListParagraph"/>
        <w:numPr>
          <w:ilvl w:val="0"/>
          <w:numId w:val="1"/>
        </w:numPr>
        <w:jc w:val="both"/>
        <w:rPr>
          <w:rFonts w:ascii="Times New Roman" w:hAnsi="Times New Roman" w:cs="Times New Roman"/>
          <w:sz w:val="23"/>
          <w:szCs w:val="23"/>
        </w:rPr>
      </w:pPr>
      <w:r>
        <w:rPr>
          <w:rFonts w:ascii="Times New Roman" w:hAnsi="Times New Roman" w:cs="Times New Roman"/>
          <w:sz w:val="23"/>
          <w:szCs w:val="23"/>
        </w:rPr>
        <w:t>Based on these experiences</w:t>
      </w:r>
      <w:r w:rsidR="00DD4064" w:rsidRPr="00E529C1">
        <w:rPr>
          <w:rFonts w:ascii="Times New Roman" w:hAnsi="Times New Roman" w:cs="Times New Roman"/>
          <w:sz w:val="23"/>
          <w:szCs w:val="23"/>
        </w:rPr>
        <w:t>,</w:t>
      </w:r>
      <w:r>
        <w:rPr>
          <w:rFonts w:ascii="Times New Roman" w:hAnsi="Times New Roman" w:cs="Times New Roman"/>
          <w:sz w:val="23"/>
          <w:szCs w:val="23"/>
        </w:rPr>
        <w:t xml:space="preserve"> we believe</w:t>
      </w:r>
      <w:r w:rsidR="00DD4064" w:rsidRPr="00E529C1">
        <w:rPr>
          <w:rFonts w:ascii="Times New Roman" w:hAnsi="Times New Roman" w:cs="Times New Roman"/>
          <w:sz w:val="23"/>
          <w:szCs w:val="23"/>
        </w:rPr>
        <w:t xml:space="preserve"> </w:t>
      </w:r>
      <w:r>
        <w:rPr>
          <w:rFonts w:ascii="Times New Roman" w:hAnsi="Times New Roman" w:cs="Times New Roman"/>
          <w:sz w:val="23"/>
          <w:szCs w:val="23"/>
        </w:rPr>
        <w:t xml:space="preserve">that </w:t>
      </w:r>
      <w:r w:rsidR="00DD4064" w:rsidRPr="00E529C1">
        <w:rPr>
          <w:rFonts w:ascii="Times New Roman" w:hAnsi="Times New Roman" w:cs="Times New Roman"/>
          <w:sz w:val="23"/>
          <w:szCs w:val="23"/>
        </w:rPr>
        <w:t xml:space="preserve">greater </w:t>
      </w:r>
      <w:r>
        <w:rPr>
          <w:rFonts w:ascii="Times New Roman" w:hAnsi="Times New Roman" w:cs="Times New Roman"/>
          <w:sz w:val="23"/>
          <w:szCs w:val="23"/>
        </w:rPr>
        <w:t xml:space="preserve">state </w:t>
      </w:r>
      <w:r w:rsidR="00DD4064" w:rsidRPr="00E529C1">
        <w:rPr>
          <w:rFonts w:ascii="Times New Roman" w:hAnsi="Times New Roman" w:cs="Times New Roman"/>
          <w:sz w:val="23"/>
          <w:szCs w:val="23"/>
        </w:rPr>
        <w:t xml:space="preserve">attention to the right to </w:t>
      </w:r>
      <w:r w:rsidR="00F516FE">
        <w:rPr>
          <w:rFonts w:ascii="Times New Roman" w:hAnsi="Times New Roman" w:cs="Times New Roman"/>
          <w:sz w:val="23"/>
          <w:szCs w:val="23"/>
        </w:rPr>
        <w:t>science</w:t>
      </w:r>
      <w:r>
        <w:rPr>
          <w:rFonts w:ascii="Times New Roman" w:hAnsi="Times New Roman" w:cs="Times New Roman"/>
          <w:sz w:val="23"/>
          <w:szCs w:val="23"/>
        </w:rPr>
        <w:t xml:space="preserve"> </w:t>
      </w:r>
      <w:r w:rsidR="00DD4064" w:rsidRPr="00E529C1">
        <w:rPr>
          <w:rFonts w:ascii="Times New Roman" w:hAnsi="Times New Roman" w:cs="Times New Roman"/>
          <w:sz w:val="23"/>
          <w:szCs w:val="23"/>
        </w:rPr>
        <w:t>will be necessary to end these three epidemics, in line with</w:t>
      </w:r>
      <w:r w:rsidR="00B34FE3">
        <w:rPr>
          <w:rFonts w:ascii="Times New Roman" w:hAnsi="Times New Roman" w:cs="Times New Roman"/>
          <w:sz w:val="23"/>
          <w:szCs w:val="23"/>
        </w:rPr>
        <w:t xml:space="preserve"> </w:t>
      </w:r>
      <w:r w:rsidR="00F516FE">
        <w:rPr>
          <w:rFonts w:ascii="Times New Roman" w:hAnsi="Times New Roman" w:cs="Times New Roman"/>
          <w:sz w:val="23"/>
          <w:szCs w:val="23"/>
        </w:rPr>
        <w:t xml:space="preserve">the targets of </w:t>
      </w:r>
      <w:r w:rsidR="00B34FE3">
        <w:rPr>
          <w:rFonts w:ascii="Times New Roman" w:hAnsi="Times New Roman" w:cs="Times New Roman"/>
          <w:sz w:val="23"/>
          <w:szCs w:val="23"/>
        </w:rPr>
        <w:t xml:space="preserve">Sustainable Development Goal 3, as well as advance other important health and development </w:t>
      </w:r>
      <w:r w:rsidR="00F516FE">
        <w:rPr>
          <w:rFonts w:ascii="Times New Roman" w:hAnsi="Times New Roman" w:cs="Times New Roman"/>
          <w:sz w:val="23"/>
          <w:szCs w:val="23"/>
        </w:rPr>
        <w:t>objectives</w:t>
      </w:r>
      <w:r w:rsidR="00DD4064" w:rsidRPr="00E529C1">
        <w:rPr>
          <w:rFonts w:ascii="Times New Roman" w:hAnsi="Times New Roman" w:cs="Times New Roman"/>
          <w:sz w:val="23"/>
          <w:szCs w:val="23"/>
        </w:rPr>
        <w:t xml:space="preserve"> of the 2030 Agenda. </w:t>
      </w:r>
      <w:r>
        <w:rPr>
          <w:rFonts w:ascii="Times New Roman" w:hAnsi="Times New Roman" w:cs="Times New Roman"/>
          <w:sz w:val="23"/>
          <w:szCs w:val="23"/>
        </w:rPr>
        <w:t xml:space="preserve">The guidance and clarity this Committee can provide to States parties on the normative content of the right will therefore be invaluable. </w:t>
      </w:r>
    </w:p>
    <w:p w14:paraId="486BB190" w14:textId="77777777" w:rsidR="008729A6" w:rsidRPr="00E529C1" w:rsidRDefault="008729A6" w:rsidP="00F516FE">
      <w:pPr>
        <w:jc w:val="both"/>
      </w:pPr>
    </w:p>
    <w:p w14:paraId="683EB9BC" w14:textId="51084572" w:rsidR="008729A6" w:rsidRPr="00E529C1" w:rsidRDefault="008729A6" w:rsidP="003A5C10">
      <w:pPr>
        <w:pStyle w:val="ListParagraph"/>
        <w:numPr>
          <w:ilvl w:val="0"/>
          <w:numId w:val="1"/>
        </w:numPr>
        <w:jc w:val="both"/>
        <w:rPr>
          <w:rFonts w:ascii="Times New Roman" w:hAnsi="Times New Roman" w:cs="Times New Roman"/>
          <w:sz w:val="23"/>
          <w:szCs w:val="23"/>
        </w:rPr>
      </w:pPr>
      <w:r>
        <w:rPr>
          <w:rFonts w:ascii="Times New Roman" w:hAnsi="Times New Roman" w:cs="Times New Roman"/>
          <w:sz w:val="23"/>
          <w:szCs w:val="23"/>
        </w:rPr>
        <w:t xml:space="preserve">Among the many topics of discussion before the CESCR as it finalizes </w:t>
      </w:r>
      <w:r w:rsidR="00B34FE3">
        <w:rPr>
          <w:rFonts w:ascii="Times New Roman" w:hAnsi="Times New Roman" w:cs="Times New Roman"/>
          <w:sz w:val="23"/>
          <w:szCs w:val="23"/>
        </w:rPr>
        <w:t>the</w:t>
      </w:r>
      <w:r>
        <w:rPr>
          <w:rFonts w:ascii="Times New Roman" w:hAnsi="Times New Roman" w:cs="Times New Roman"/>
          <w:sz w:val="23"/>
          <w:szCs w:val="23"/>
        </w:rPr>
        <w:t xml:space="preserve"> general comment, we wish to call the Committee’s attention to </w:t>
      </w:r>
      <w:r w:rsidR="00C2296E">
        <w:rPr>
          <w:rFonts w:ascii="Times New Roman" w:hAnsi="Times New Roman" w:cs="Times New Roman"/>
          <w:sz w:val="23"/>
          <w:szCs w:val="23"/>
        </w:rPr>
        <w:t>three issues</w:t>
      </w:r>
      <w:r>
        <w:rPr>
          <w:rFonts w:ascii="Times New Roman" w:hAnsi="Times New Roman" w:cs="Times New Roman"/>
          <w:sz w:val="23"/>
          <w:szCs w:val="23"/>
        </w:rPr>
        <w:t>. First, the relevance of the right to</w:t>
      </w:r>
      <w:r w:rsidR="00C2296E">
        <w:rPr>
          <w:rFonts w:ascii="Times New Roman" w:hAnsi="Times New Roman" w:cs="Times New Roman"/>
          <w:sz w:val="23"/>
          <w:szCs w:val="23"/>
        </w:rPr>
        <w:t xml:space="preserve"> science in the context of</w:t>
      </w:r>
      <w:r>
        <w:rPr>
          <w:rFonts w:ascii="Times New Roman" w:hAnsi="Times New Roman" w:cs="Times New Roman"/>
          <w:sz w:val="23"/>
          <w:szCs w:val="23"/>
        </w:rPr>
        <w:t xml:space="preserve"> health. Second, the dimensions of access under the right and what this means for corresponding state obligations to conserve, develop, and diffuse science. And third, the importance of recognizing participation as one of the </w:t>
      </w:r>
      <w:r w:rsidR="00F516FE">
        <w:rPr>
          <w:rFonts w:ascii="Times New Roman" w:hAnsi="Times New Roman" w:cs="Times New Roman"/>
          <w:sz w:val="23"/>
          <w:szCs w:val="23"/>
        </w:rPr>
        <w:t xml:space="preserve">foundational </w:t>
      </w:r>
      <w:r>
        <w:rPr>
          <w:rFonts w:ascii="Times New Roman" w:hAnsi="Times New Roman" w:cs="Times New Roman"/>
          <w:sz w:val="23"/>
          <w:szCs w:val="23"/>
        </w:rPr>
        <w:t xml:space="preserve">values </w:t>
      </w:r>
      <w:r w:rsidR="00F516FE">
        <w:rPr>
          <w:rFonts w:ascii="Times New Roman" w:hAnsi="Times New Roman" w:cs="Times New Roman"/>
          <w:sz w:val="23"/>
          <w:szCs w:val="23"/>
        </w:rPr>
        <w:t xml:space="preserve">of </w:t>
      </w:r>
      <w:r w:rsidR="00C2296E">
        <w:rPr>
          <w:rFonts w:ascii="Times New Roman" w:hAnsi="Times New Roman" w:cs="Times New Roman"/>
          <w:sz w:val="23"/>
          <w:szCs w:val="23"/>
        </w:rPr>
        <w:t>the</w:t>
      </w:r>
      <w:r>
        <w:rPr>
          <w:rFonts w:ascii="Times New Roman" w:hAnsi="Times New Roman" w:cs="Times New Roman"/>
          <w:sz w:val="23"/>
          <w:szCs w:val="23"/>
        </w:rPr>
        <w:t xml:space="preserve"> right. </w:t>
      </w:r>
    </w:p>
    <w:p w14:paraId="1C0A7E30" w14:textId="77777777" w:rsidR="00044B1D" w:rsidRPr="00E529C1" w:rsidRDefault="00044B1D" w:rsidP="003A5C10">
      <w:pPr>
        <w:jc w:val="both"/>
        <w:rPr>
          <w:rFonts w:ascii="Times New Roman" w:hAnsi="Times New Roman" w:cs="Times New Roman"/>
          <w:sz w:val="23"/>
          <w:szCs w:val="23"/>
        </w:rPr>
      </w:pPr>
    </w:p>
    <w:p w14:paraId="6EEA178F" w14:textId="2596B1ED" w:rsidR="00C2296E" w:rsidRPr="00C2296E" w:rsidRDefault="00C2296E" w:rsidP="00F516FE">
      <w:pPr>
        <w:widowControl w:val="0"/>
        <w:autoSpaceDE w:val="0"/>
        <w:autoSpaceDN w:val="0"/>
        <w:adjustRightInd w:val="0"/>
        <w:jc w:val="both"/>
        <w:rPr>
          <w:rFonts w:ascii="Times New Roman" w:hAnsi="Times New Roman" w:cs="Times New Roman"/>
          <w:sz w:val="23"/>
          <w:szCs w:val="23"/>
        </w:rPr>
      </w:pPr>
      <w:r>
        <w:rPr>
          <w:rFonts w:ascii="Times New Roman" w:hAnsi="Times New Roman" w:cs="Times New Roman"/>
          <w:i/>
          <w:sz w:val="23"/>
          <w:szCs w:val="23"/>
        </w:rPr>
        <w:t>The right to science in the context of health</w:t>
      </w:r>
    </w:p>
    <w:p w14:paraId="1BCE39D8" w14:textId="77777777" w:rsidR="00C2296E" w:rsidRDefault="00C2296E" w:rsidP="00F516FE">
      <w:pPr>
        <w:widowControl w:val="0"/>
        <w:autoSpaceDE w:val="0"/>
        <w:autoSpaceDN w:val="0"/>
        <w:adjustRightInd w:val="0"/>
        <w:jc w:val="both"/>
        <w:rPr>
          <w:rFonts w:ascii="Times New Roman" w:hAnsi="Times New Roman" w:cs="Times New Roman"/>
          <w:sz w:val="23"/>
          <w:szCs w:val="23"/>
        </w:rPr>
      </w:pPr>
    </w:p>
    <w:p w14:paraId="63912BEE" w14:textId="292EFB59" w:rsidR="00DD50C8" w:rsidRPr="00567051" w:rsidRDefault="008729A6" w:rsidP="00F516FE">
      <w:pPr>
        <w:pStyle w:val="ListParagraph"/>
        <w:widowControl w:val="0"/>
        <w:numPr>
          <w:ilvl w:val="0"/>
          <w:numId w:val="1"/>
        </w:numPr>
        <w:autoSpaceDE w:val="0"/>
        <w:autoSpaceDN w:val="0"/>
        <w:adjustRightInd w:val="0"/>
        <w:jc w:val="both"/>
        <w:rPr>
          <w:rFonts w:ascii="Times New Roman" w:hAnsi="Times New Roman" w:cs="Times New Roman"/>
          <w:sz w:val="23"/>
          <w:szCs w:val="23"/>
        </w:rPr>
      </w:pPr>
      <w:r w:rsidRPr="00B34FE3">
        <w:rPr>
          <w:rFonts w:ascii="Times New Roman" w:hAnsi="Times New Roman" w:cs="Times New Roman"/>
          <w:sz w:val="23"/>
          <w:szCs w:val="23"/>
        </w:rPr>
        <w:t xml:space="preserve">In a 2012 report, </w:t>
      </w:r>
      <w:r w:rsidR="00C2296E" w:rsidRPr="00B34FE3">
        <w:rPr>
          <w:rFonts w:ascii="Times New Roman" w:hAnsi="Times New Roman" w:cs="Times New Roman"/>
          <w:sz w:val="23"/>
          <w:szCs w:val="23"/>
        </w:rPr>
        <w:t>Farida Shaheed, former</w:t>
      </w:r>
      <w:r w:rsidRPr="00B34FE3">
        <w:rPr>
          <w:rFonts w:ascii="Times New Roman" w:hAnsi="Times New Roman" w:cs="Times New Roman"/>
          <w:sz w:val="23"/>
          <w:szCs w:val="23"/>
        </w:rPr>
        <w:t xml:space="preserve"> Special Rapporteur in the field of cultural rights</w:t>
      </w:r>
      <w:r w:rsidR="00C2296E" w:rsidRPr="00B34FE3">
        <w:rPr>
          <w:rFonts w:ascii="Times New Roman" w:hAnsi="Times New Roman" w:cs="Times New Roman"/>
          <w:sz w:val="23"/>
          <w:szCs w:val="23"/>
        </w:rPr>
        <w:t>,</w:t>
      </w:r>
      <w:r w:rsidRPr="00B34FE3">
        <w:rPr>
          <w:rFonts w:ascii="Times New Roman" w:hAnsi="Times New Roman" w:cs="Times New Roman"/>
          <w:sz w:val="23"/>
          <w:szCs w:val="23"/>
        </w:rPr>
        <w:t xml:space="preserve"> noted the</w:t>
      </w:r>
      <w:r w:rsidR="00C2296E" w:rsidRPr="00B34FE3">
        <w:rPr>
          <w:rFonts w:ascii="Times New Roman" w:hAnsi="Times New Roman" w:cs="Times New Roman"/>
          <w:sz w:val="23"/>
          <w:szCs w:val="23"/>
        </w:rPr>
        <w:t xml:space="preserve"> </w:t>
      </w:r>
      <w:r w:rsidRPr="00B34FE3">
        <w:rPr>
          <w:rFonts w:ascii="Times New Roman" w:hAnsi="Times New Roman" w:cs="Times New Roman"/>
          <w:sz w:val="23"/>
          <w:szCs w:val="23"/>
        </w:rPr>
        <w:t xml:space="preserve">strong interdependence of the </w:t>
      </w:r>
      <w:r w:rsidR="00F516FE">
        <w:rPr>
          <w:rFonts w:ascii="Times New Roman" w:hAnsi="Times New Roman" w:cs="Times New Roman"/>
          <w:sz w:val="23"/>
          <w:szCs w:val="23"/>
        </w:rPr>
        <w:t>r</w:t>
      </w:r>
      <w:r w:rsidRPr="00B34FE3">
        <w:rPr>
          <w:rFonts w:ascii="Times New Roman" w:hAnsi="Times New Roman" w:cs="Times New Roman"/>
          <w:sz w:val="23"/>
          <w:szCs w:val="23"/>
        </w:rPr>
        <w:t xml:space="preserve">ight to </w:t>
      </w:r>
      <w:r w:rsidR="00F516FE">
        <w:rPr>
          <w:rFonts w:ascii="Times New Roman" w:hAnsi="Times New Roman" w:cs="Times New Roman"/>
          <w:sz w:val="23"/>
          <w:szCs w:val="23"/>
        </w:rPr>
        <w:t>s</w:t>
      </w:r>
      <w:r w:rsidRPr="00B34FE3">
        <w:rPr>
          <w:rFonts w:ascii="Times New Roman" w:hAnsi="Times New Roman" w:cs="Times New Roman"/>
          <w:sz w:val="23"/>
          <w:szCs w:val="23"/>
        </w:rPr>
        <w:t>cience and other human rights, including</w:t>
      </w:r>
      <w:r w:rsidR="00C2296E" w:rsidRPr="00B34FE3">
        <w:rPr>
          <w:rFonts w:ascii="Times New Roman" w:hAnsi="Times New Roman" w:cs="Times New Roman"/>
          <w:sz w:val="23"/>
          <w:szCs w:val="23"/>
        </w:rPr>
        <w:t xml:space="preserve"> </w:t>
      </w:r>
      <w:r w:rsidR="00B34FE3">
        <w:rPr>
          <w:rFonts w:ascii="Times New Roman" w:hAnsi="Times New Roman" w:cs="Times New Roman"/>
          <w:sz w:val="23"/>
          <w:szCs w:val="23"/>
        </w:rPr>
        <w:t>the right to h</w:t>
      </w:r>
      <w:r w:rsidRPr="00B34FE3">
        <w:rPr>
          <w:rFonts w:ascii="Times New Roman" w:hAnsi="Times New Roman" w:cs="Times New Roman"/>
          <w:sz w:val="23"/>
          <w:szCs w:val="23"/>
        </w:rPr>
        <w:t>ealth</w:t>
      </w:r>
      <w:r w:rsidR="00C2296E" w:rsidRPr="00B34FE3">
        <w:rPr>
          <w:rFonts w:ascii="Times New Roman" w:hAnsi="Times New Roman" w:cs="Times New Roman"/>
          <w:sz w:val="23"/>
          <w:szCs w:val="23"/>
        </w:rPr>
        <w:t>.</w:t>
      </w:r>
      <w:r w:rsidR="00DD50C8">
        <w:rPr>
          <w:rStyle w:val="EndnoteReference"/>
          <w:rFonts w:ascii="Times New Roman" w:hAnsi="Times New Roman" w:cs="Times New Roman"/>
          <w:sz w:val="23"/>
          <w:szCs w:val="23"/>
        </w:rPr>
        <w:endnoteReference w:id="1"/>
      </w:r>
      <w:r w:rsidR="00DD50C8" w:rsidRPr="00B34FE3">
        <w:rPr>
          <w:rFonts w:ascii="Times New Roman" w:hAnsi="Times New Roman" w:cs="Times New Roman"/>
          <w:sz w:val="23"/>
          <w:szCs w:val="23"/>
        </w:rPr>
        <w:t xml:space="preserve"> Our work with communities and scientists on the frontlines of the</w:t>
      </w:r>
      <w:r w:rsidR="00DD50C8">
        <w:rPr>
          <w:rFonts w:ascii="Times New Roman" w:hAnsi="Times New Roman" w:cs="Times New Roman"/>
          <w:sz w:val="23"/>
          <w:szCs w:val="23"/>
        </w:rPr>
        <w:t xml:space="preserve"> TB, HIV, and HCV </w:t>
      </w:r>
      <w:r w:rsidR="00DD50C8" w:rsidRPr="00B34FE3">
        <w:rPr>
          <w:rFonts w:ascii="Times New Roman" w:hAnsi="Times New Roman" w:cs="Times New Roman"/>
          <w:sz w:val="23"/>
          <w:szCs w:val="23"/>
        </w:rPr>
        <w:t xml:space="preserve">epidemics clearly demonstrates how science policy is human rights policy in the context of health. </w:t>
      </w:r>
    </w:p>
    <w:p w14:paraId="1AFA4FA7" w14:textId="77777777" w:rsidR="00DD50C8" w:rsidRPr="00E529C1" w:rsidRDefault="00DD50C8" w:rsidP="003A5C10">
      <w:pPr>
        <w:jc w:val="both"/>
        <w:rPr>
          <w:rFonts w:ascii="Times New Roman" w:hAnsi="Times New Roman" w:cs="Times New Roman"/>
          <w:sz w:val="23"/>
          <w:szCs w:val="23"/>
        </w:rPr>
      </w:pPr>
    </w:p>
    <w:p w14:paraId="5A31F5EF" w14:textId="5C8EB3EB" w:rsidR="00DD50C8" w:rsidRPr="00B34FE3" w:rsidRDefault="00DD50C8" w:rsidP="003A5C10">
      <w:pPr>
        <w:pStyle w:val="ListParagraph"/>
        <w:numPr>
          <w:ilvl w:val="0"/>
          <w:numId w:val="1"/>
        </w:numPr>
        <w:jc w:val="both"/>
        <w:rPr>
          <w:rFonts w:ascii="Times New Roman" w:hAnsi="Times New Roman" w:cs="Times New Roman"/>
          <w:sz w:val="23"/>
          <w:szCs w:val="23"/>
        </w:rPr>
      </w:pPr>
      <w:r w:rsidRPr="00E529C1">
        <w:rPr>
          <w:rFonts w:ascii="Times New Roman" w:hAnsi="Times New Roman" w:cs="Times New Roman"/>
          <w:sz w:val="23"/>
          <w:szCs w:val="23"/>
        </w:rPr>
        <w:lastRenderedPageBreak/>
        <w:t xml:space="preserve">In </w:t>
      </w:r>
      <w:r>
        <w:rPr>
          <w:rFonts w:ascii="Times New Roman" w:hAnsi="Times New Roman" w:cs="Times New Roman"/>
          <w:sz w:val="23"/>
          <w:szCs w:val="23"/>
        </w:rPr>
        <w:t xml:space="preserve">particular, we call the CESCR’s attention to the following four human rights dimensions of science in relation to health: </w:t>
      </w:r>
    </w:p>
    <w:p w14:paraId="64E957A0" w14:textId="5A3345D8" w:rsidR="00DD50C8" w:rsidRDefault="00DD50C8" w:rsidP="003A5C10">
      <w:pPr>
        <w:pStyle w:val="ListParagraph"/>
        <w:numPr>
          <w:ilvl w:val="1"/>
          <w:numId w:val="1"/>
        </w:numPr>
        <w:jc w:val="both"/>
        <w:rPr>
          <w:rFonts w:ascii="Times New Roman" w:hAnsi="Times New Roman" w:cs="Times New Roman"/>
          <w:sz w:val="23"/>
          <w:szCs w:val="23"/>
        </w:rPr>
      </w:pPr>
      <w:r w:rsidRPr="00E60F6B">
        <w:rPr>
          <w:rFonts w:ascii="Times New Roman" w:hAnsi="Times New Roman" w:cs="Times New Roman"/>
          <w:sz w:val="23"/>
          <w:szCs w:val="23"/>
          <w:u w:val="single"/>
        </w:rPr>
        <w:t xml:space="preserve">First, the ways in which science is financed, conducted, owned, and disseminated can either advance or undermine the realization of </w:t>
      </w:r>
      <w:r>
        <w:rPr>
          <w:rFonts w:ascii="Times New Roman" w:hAnsi="Times New Roman" w:cs="Times New Roman"/>
          <w:sz w:val="23"/>
          <w:szCs w:val="23"/>
          <w:u w:val="single"/>
        </w:rPr>
        <w:t xml:space="preserve">other </w:t>
      </w:r>
      <w:r w:rsidRPr="00E60F6B">
        <w:rPr>
          <w:rFonts w:ascii="Times New Roman" w:hAnsi="Times New Roman" w:cs="Times New Roman"/>
          <w:sz w:val="23"/>
          <w:szCs w:val="23"/>
          <w:u w:val="single"/>
        </w:rPr>
        <w:t>human rights</w:t>
      </w:r>
      <w:r w:rsidRPr="00E60F6B">
        <w:rPr>
          <w:rFonts w:ascii="Times New Roman" w:hAnsi="Times New Roman" w:cs="Times New Roman"/>
          <w:sz w:val="23"/>
          <w:szCs w:val="23"/>
        </w:rPr>
        <w:t>.</w:t>
      </w:r>
      <w:r>
        <w:rPr>
          <w:rFonts w:ascii="Times New Roman" w:hAnsi="Times New Roman" w:cs="Times New Roman"/>
          <w:sz w:val="23"/>
          <w:szCs w:val="23"/>
        </w:rPr>
        <w:t xml:space="preserve"> </w:t>
      </w:r>
      <w:r w:rsidRPr="00E60F6B">
        <w:rPr>
          <w:rFonts w:ascii="Times New Roman" w:hAnsi="Times New Roman" w:cs="Times New Roman"/>
          <w:sz w:val="23"/>
          <w:szCs w:val="23"/>
        </w:rPr>
        <w:t>In HIV, tremendous scientific progress, coupled with generic competition</w:t>
      </w:r>
      <w:r>
        <w:rPr>
          <w:rFonts w:ascii="Times New Roman" w:hAnsi="Times New Roman" w:cs="Times New Roman"/>
          <w:sz w:val="23"/>
          <w:szCs w:val="23"/>
        </w:rPr>
        <w:t xml:space="preserve"> and strong pro-access norms</w:t>
      </w:r>
      <w:r w:rsidRPr="00E60F6B">
        <w:rPr>
          <w:rFonts w:ascii="Times New Roman" w:hAnsi="Times New Roman" w:cs="Times New Roman"/>
          <w:sz w:val="23"/>
          <w:szCs w:val="23"/>
        </w:rPr>
        <w:t>, has improved treatment regimens to the point of simple, safe, and effective single-pill regimens now taken by over 22 million people</w:t>
      </w:r>
      <w:r>
        <w:rPr>
          <w:rFonts w:ascii="Times New Roman" w:hAnsi="Times New Roman" w:cs="Times New Roman"/>
          <w:sz w:val="23"/>
          <w:szCs w:val="23"/>
        </w:rPr>
        <w:t xml:space="preserve"> globally</w:t>
      </w:r>
      <w:r w:rsidRPr="00E60F6B">
        <w:rPr>
          <w:rFonts w:ascii="Times New Roman" w:hAnsi="Times New Roman" w:cs="Times New Roman"/>
          <w:sz w:val="23"/>
          <w:szCs w:val="23"/>
        </w:rPr>
        <w:t xml:space="preserve">. </w:t>
      </w:r>
    </w:p>
    <w:p w14:paraId="0D545FD5" w14:textId="55F07336" w:rsidR="00DD50C8" w:rsidRPr="00E529C1" w:rsidRDefault="00DD50C8" w:rsidP="003A5C10">
      <w:pPr>
        <w:pStyle w:val="ListParagraph"/>
        <w:numPr>
          <w:ilvl w:val="1"/>
          <w:numId w:val="1"/>
        </w:numPr>
        <w:jc w:val="both"/>
        <w:rPr>
          <w:rFonts w:ascii="Times New Roman" w:hAnsi="Times New Roman" w:cs="Times New Roman"/>
          <w:sz w:val="23"/>
          <w:szCs w:val="23"/>
        </w:rPr>
      </w:pPr>
      <w:r w:rsidRPr="00E529C1">
        <w:rPr>
          <w:rFonts w:ascii="Times New Roman" w:hAnsi="Times New Roman" w:cs="Times New Roman"/>
          <w:sz w:val="23"/>
          <w:szCs w:val="23"/>
          <w:u w:val="single"/>
        </w:rPr>
        <w:t>Second, state inattention to the development and diffusion of science can contribute to violations of human rights</w:t>
      </w:r>
      <w:r w:rsidRPr="00E529C1">
        <w:rPr>
          <w:rFonts w:ascii="Times New Roman" w:hAnsi="Times New Roman" w:cs="Times New Roman"/>
          <w:sz w:val="23"/>
          <w:szCs w:val="23"/>
        </w:rPr>
        <w:t>. Today, TB kills more people than any other infectious disease, and the World Health Organization has described “the present and future threat that TB poses to human health [as] mainly a consequence of the enormous neglect the TB research field has experienced over the past several decades.”</w:t>
      </w:r>
      <w:r>
        <w:rPr>
          <w:rStyle w:val="EndnoteReference"/>
          <w:rFonts w:ascii="Times New Roman" w:hAnsi="Times New Roman" w:cs="Times New Roman"/>
          <w:sz w:val="23"/>
          <w:szCs w:val="23"/>
        </w:rPr>
        <w:endnoteReference w:id="2"/>
      </w:r>
      <w:r w:rsidRPr="00E529C1">
        <w:rPr>
          <w:rFonts w:ascii="Times New Roman" w:hAnsi="Times New Roman" w:cs="Times New Roman"/>
          <w:sz w:val="23"/>
          <w:szCs w:val="23"/>
        </w:rPr>
        <w:t xml:space="preserve"> Only two new drugs to treat TB have been developed in the last 40 years, and funding for TB </w:t>
      </w:r>
      <w:r>
        <w:rPr>
          <w:rFonts w:ascii="Times New Roman" w:hAnsi="Times New Roman" w:cs="Times New Roman"/>
          <w:sz w:val="23"/>
          <w:szCs w:val="23"/>
        </w:rPr>
        <w:t>R&amp;D</w:t>
      </w:r>
      <w:r w:rsidRPr="00E529C1">
        <w:rPr>
          <w:rFonts w:ascii="Times New Roman" w:hAnsi="Times New Roman" w:cs="Times New Roman"/>
          <w:sz w:val="23"/>
          <w:szCs w:val="23"/>
        </w:rPr>
        <w:t xml:space="preserve"> has never exceeded one-third of the estimated level required.</w:t>
      </w:r>
      <w:r>
        <w:rPr>
          <w:rStyle w:val="EndnoteReference"/>
          <w:rFonts w:ascii="Times New Roman" w:hAnsi="Times New Roman" w:cs="Times New Roman"/>
          <w:sz w:val="23"/>
          <w:szCs w:val="23"/>
        </w:rPr>
        <w:endnoteReference w:id="3"/>
      </w:r>
      <w:r w:rsidRPr="00E529C1">
        <w:rPr>
          <w:rFonts w:ascii="Times New Roman" w:hAnsi="Times New Roman" w:cs="Times New Roman"/>
          <w:sz w:val="23"/>
          <w:szCs w:val="23"/>
        </w:rPr>
        <w:t xml:space="preserve"> The result is an</w:t>
      </w:r>
      <w:r>
        <w:rPr>
          <w:rFonts w:ascii="Times New Roman" w:hAnsi="Times New Roman" w:cs="Times New Roman"/>
          <w:sz w:val="23"/>
          <w:szCs w:val="23"/>
        </w:rPr>
        <w:t xml:space="preserve"> anemic</w:t>
      </w:r>
      <w:r w:rsidRPr="00E529C1">
        <w:rPr>
          <w:rFonts w:ascii="Times New Roman" w:hAnsi="Times New Roman" w:cs="Times New Roman"/>
          <w:sz w:val="23"/>
          <w:szCs w:val="23"/>
        </w:rPr>
        <w:t xml:space="preserve"> inn</w:t>
      </w:r>
      <w:r>
        <w:rPr>
          <w:rFonts w:ascii="Times New Roman" w:hAnsi="Times New Roman" w:cs="Times New Roman"/>
          <w:sz w:val="23"/>
          <w:szCs w:val="23"/>
        </w:rPr>
        <w:t>ovation system unable to keep pace</w:t>
      </w:r>
      <w:r w:rsidRPr="00E529C1">
        <w:rPr>
          <w:rFonts w:ascii="Times New Roman" w:hAnsi="Times New Roman" w:cs="Times New Roman"/>
          <w:sz w:val="23"/>
          <w:szCs w:val="23"/>
        </w:rPr>
        <w:t xml:space="preserve"> with the spread of drug-resistant TB, leaving patients and health system</w:t>
      </w:r>
      <w:r w:rsidR="00F516FE">
        <w:rPr>
          <w:rFonts w:ascii="Times New Roman" w:hAnsi="Times New Roman" w:cs="Times New Roman"/>
          <w:sz w:val="23"/>
          <w:szCs w:val="23"/>
        </w:rPr>
        <w:t>s</w:t>
      </w:r>
      <w:r w:rsidRPr="00E529C1">
        <w:rPr>
          <w:rFonts w:ascii="Times New Roman" w:hAnsi="Times New Roman" w:cs="Times New Roman"/>
          <w:sz w:val="23"/>
          <w:szCs w:val="23"/>
        </w:rPr>
        <w:t xml:space="preserve"> to rely on outdated</w:t>
      </w:r>
      <w:r w:rsidR="00F516FE">
        <w:rPr>
          <w:rFonts w:ascii="Times New Roman" w:hAnsi="Times New Roman" w:cs="Times New Roman"/>
          <w:sz w:val="23"/>
          <w:szCs w:val="23"/>
        </w:rPr>
        <w:t xml:space="preserve"> and</w:t>
      </w:r>
      <w:r w:rsidRPr="00E529C1">
        <w:rPr>
          <w:rFonts w:ascii="Times New Roman" w:hAnsi="Times New Roman" w:cs="Times New Roman"/>
          <w:sz w:val="23"/>
          <w:szCs w:val="23"/>
        </w:rPr>
        <w:t xml:space="preserve"> inadequate</w:t>
      </w:r>
      <w:r w:rsidR="00F516FE">
        <w:rPr>
          <w:rFonts w:ascii="Times New Roman" w:hAnsi="Times New Roman" w:cs="Times New Roman"/>
          <w:sz w:val="23"/>
          <w:szCs w:val="23"/>
        </w:rPr>
        <w:t xml:space="preserve"> </w:t>
      </w:r>
      <w:r>
        <w:rPr>
          <w:rFonts w:ascii="Times New Roman" w:hAnsi="Times New Roman" w:cs="Times New Roman"/>
          <w:sz w:val="23"/>
          <w:szCs w:val="23"/>
        </w:rPr>
        <w:t>technologies to prevent, diagnose</w:t>
      </w:r>
      <w:r w:rsidRPr="00E529C1">
        <w:rPr>
          <w:rFonts w:ascii="Times New Roman" w:hAnsi="Times New Roman" w:cs="Times New Roman"/>
          <w:sz w:val="23"/>
          <w:szCs w:val="23"/>
        </w:rPr>
        <w:t>, and trea</w:t>
      </w:r>
      <w:r>
        <w:rPr>
          <w:rFonts w:ascii="Times New Roman" w:hAnsi="Times New Roman" w:cs="Times New Roman"/>
          <w:sz w:val="23"/>
          <w:szCs w:val="23"/>
        </w:rPr>
        <w:t>t TB</w:t>
      </w:r>
      <w:r w:rsidRPr="00E529C1">
        <w:rPr>
          <w:rFonts w:ascii="Times New Roman" w:hAnsi="Times New Roman" w:cs="Times New Roman"/>
          <w:sz w:val="23"/>
          <w:szCs w:val="23"/>
        </w:rPr>
        <w:t xml:space="preserve">. </w:t>
      </w:r>
    </w:p>
    <w:p w14:paraId="026B3E49" w14:textId="50A9AD50" w:rsidR="00DD50C8" w:rsidRPr="00E529C1" w:rsidRDefault="00DD50C8" w:rsidP="00D37B4C">
      <w:pPr>
        <w:pStyle w:val="ListParagraph"/>
        <w:numPr>
          <w:ilvl w:val="1"/>
          <w:numId w:val="1"/>
        </w:numPr>
        <w:jc w:val="both"/>
        <w:rPr>
          <w:rFonts w:ascii="Times New Roman" w:hAnsi="Times New Roman" w:cs="Times New Roman"/>
          <w:sz w:val="23"/>
          <w:szCs w:val="23"/>
        </w:rPr>
      </w:pPr>
      <w:r w:rsidRPr="00E529C1">
        <w:rPr>
          <w:rFonts w:ascii="Times New Roman" w:hAnsi="Times New Roman" w:cs="Times New Roman"/>
          <w:sz w:val="23"/>
          <w:szCs w:val="23"/>
          <w:u w:val="single"/>
        </w:rPr>
        <w:t>Third, advances in science can shift cultural perceptions of disease</w:t>
      </w:r>
      <w:r w:rsidRPr="00E529C1">
        <w:rPr>
          <w:rFonts w:ascii="Times New Roman" w:hAnsi="Times New Roman" w:cs="Times New Roman"/>
          <w:sz w:val="23"/>
          <w:szCs w:val="23"/>
        </w:rPr>
        <w:t>. At the community</w:t>
      </w:r>
      <w:r w:rsidR="00D37B4C">
        <w:rPr>
          <w:rFonts w:ascii="Times New Roman" w:hAnsi="Times New Roman" w:cs="Times New Roman"/>
          <w:sz w:val="23"/>
          <w:szCs w:val="23"/>
        </w:rPr>
        <w:t xml:space="preserve"> </w:t>
      </w:r>
      <w:r w:rsidRPr="00E529C1">
        <w:rPr>
          <w:rFonts w:ascii="Times New Roman" w:hAnsi="Times New Roman" w:cs="Times New Roman"/>
          <w:sz w:val="23"/>
          <w:szCs w:val="23"/>
        </w:rPr>
        <w:t>level, improved understandings of disease dynamics or new technological capabilities may aid efforts to combat stigma and discrimination</w:t>
      </w:r>
      <w:r w:rsidR="00F516FE">
        <w:rPr>
          <w:rFonts w:ascii="Times New Roman" w:hAnsi="Times New Roman" w:cs="Times New Roman"/>
          <w:sz w:val="23"/>
          <w:szCs w:val="23"/>
        </w:rPr>
        <w:t>—</w:t>
      </w:r>
      <w:r w:rsidRPr="00E529C1">
        <w:rPr>
          <w:rFonts w:ascii="Times New Roman" w:hAnsi="Times New Roman" w:cs="Times New Roman"/>
          <w:sz w:val="23"/>
          <w:szCs w:val="23"/>
        </w:rPr>
        <w:t xml:space="preserve">when paired with supportive legal environments. For instance, the advent of direct-acting antivirals has made HCV curable for most people in 12 weeks, potentially lessening the stigma of an HCV diagnosis. </w:t>
      </w:r>
      <w:r>
        <w:rPr>
          <w:rFonts w:ascii="Times New Roman" w:hAnsi="Times New Roman" w:cs="Times New Roman"/>
          <w:sz w:val="23"/>
          <w:szCs w:val="23"/>
        </w:rPr>
        <w:t>In places where HCV transmission is criminalized, however, or where treatment is rationed in ways that deprive certain groups (e.g., drug users) of access, diagnosis may reify stigma and other harms even in the presence of transformati</w:t>
      </w:r>
      <w:r w:rsidR="00D37B4C">
        <w:rPr>
          <w:rFonts w:ascii="Times New Roman" w:hAnsi="Times New Roman" w:cs="Times New Roman"/>
          <w:sz w:val="23"/>
          <w:szCs w:val="23"/>
        </w:rPr>
        <w:t>ve therapeutic potential</w:t>
      </w:r>
      <w:r>
        <w:rPr>
          <w:rFonts w:ascii="Times New Roman" w:hAnsi="Times New Roman" w:cs="Times New Roman"/>
          <w:sz w:val="23"/>
          <w:szCs w:val="23"/>
        </w:rPr>
        <w:t xml:space="preserve">. </w:t>
      </w:r>
    </w:p>
    <w:p w14:paraId="3EA0EF7B" w14:textId="4C0E1234" w:rsidR="00DD50C8" w:rsidRDefault="00DD50C8" w:rsidP="00D37B4C">
      <w:pPr>
        <w:pStyle w:val="ListParagraph"/>
        <w:numPr>
          <w:ilvl w:val="1"/>
          <w:numId w:val="1"/>
        </w:numPr>
        <w:jc w:val="both"/>
        <w:rPr>
          <w:rFonts w:ascii="Times New Roman" w:hAnsi="Times New Roman" w:cs="Times New Roman"/>
          <w:sz w:val="23"/>
          <w:szCs w:val="23"/>
        </w:rPr>
      </w:pPr>
      <w:r w:rsidRPr="00E529C1">
        <w:rPr>
          <w:rFonts w:ascii="Times New Roman" w:hAnsi="Times New Roman" w:cs="Times New Roman"/>
          <w:sz w:val="23"/>
          <w:szCs w:val="23"/>
          <w:u w:val="single"/>
        </w:rPr>
        <w:t>Fourth, scientific knowledge can strengthen legal petitions for redress of disease-related harms</w:t>
      </w:r>
      <w:r w:rsidRPr="00E60F6B">
        <w:rPr>
          <w:rFonts w:ascii="Times New Roman" w:hAnsi="Times New Roman" w:cs="Times New Roman"/>
          <w:sz w:val="23"/>
          <w:szCs w:val="23"/>
        </w:rPr>
        <w:t xml:space="preserve">. For example, knowledge of TB transmission dynamics, such as understanding that TB is rapidly rendered noninfectious after starting </w:t>
      </w:r>
      <w:r>
        <w:rPr>
          <w:rFonts w:ascii="Times New Roman" w:hAnsi="Times New Roman" w:cs="Times New Roman"/>
          <w:sz w:val="23"/>
          <w:szCs w:val="23"/>
        </w:rPr>
        <w:t xml:space="preserve">effective </w:t>
      </w:r>
      <w:r w:rsidRPr="00E60F6B">
        <w:rPr>
          <w:rFonts w:ascii="Times New Roman" w:hAnsi="Times New Roman" w:cs="Times New Roman"/>
          <w:sz w:val="23"/>
          <w:szCs w:val="23"/>
        </w:rPr>
        <w:t>therapy, could ensure that deprivations of freedom of movement often placed on people with TB are evidence-based, time-limited, proportional to the potential public health risks at hand</w:t>
      </w:r>
      <w:r>
        <w:rPr>
          <w:rFonts w:ascii="Times New Roman" w:hAnsi="Times New Roman" w:cs="Times New Roman"/>
          <w:sz w:val="23"/>
          <w:szCs w:val="23"/>
        </w:rPr>
        <w:t>, and not taken as justification for limiting other rights</w:t>
      </w:r>
      <w:r w:rsidRPr="00E60F6B">
        <w:rPr>
          <w:rFonts w:ascii="Times New Roman" w:hAnsi="Times New Roman" w:cs="Times New Roman"/>
          <w:sz w:val="23"/>
          <w:szCs w:val="23"/>
        </w:rPr>
        <w:t xml:space="preserve">. </w:t>
      </w:r>
    </w:p>
    <w:p w14:paraId="0CB148B0" w14:textId="77777777" w:rsidR="00DD50C8" w:rsidRPr="00E529C1" w:rsidRDefault="00DD50C8" w:rsidP="003A5C10">
      <w:pPr>
        <w:jc w:val="both"/>
        <w:rPr>
          <w:rFonts w:ascii="Times New Roman" w:hAnsi="Times New Roman" w:cs="Times New Roman"/>
          <w:sz w:val="23"/>
          <w:szCs w:val="23"/>
        </w:rPr>
      </w:pPr>
    </w:p>
    <w:p w14:paraId="6BF74077" w14:textId="345822A4" w:rsidR="00DD50C8" w:rsidRPr="00D37B4C" w:rsidRDefault="00DD50C8" w:rsidP="00D37B4C">
      <w:pPr>
        <w:jc w:val="both"/>
        <w:rPr>
          <w:rFonts w:ascii="Times New Roman" w:hAnsi="Times New Roman" w:cs="Times New Roman"/>
          <w:i/>
          <w:sz w:val="23"/>
          <w:szCs w:val="23"/>
        </w:rPr>
      </w:pPr>
      <w:r w:rsidRPr="00D37B4C">
        <w:rPr>
          <w:rFonts w:ascii="Times New Roman" w:hAnsi="Times New Roman" w:cs="Times New Roman"/>
          <w:i/>
          <w:sz w:val="23"/>
          <w:szCs w:val="23"/>
        </w:rPr>
        <w:t xml:space="preserve">The dimensions of access under the right </w:t>
      </w:r>
      <w:r w:rsidRPr="00567051">
        <w:rPr>
          <w:rFonts w:ascii="Times New Roman" w:hAnsi="Times New Roman" w:cs="Times New Roman"/>
          <w:i/>
          <w:sz w:val="23"/>
          <w:szCs w:val="23"/>
        </w:rPr>
        <w:t>to science</w:t>
      </w:r>
    </w:p>
    <w:p w14:paraId="4E2CE7F1" w14:textId="77777777" w:rsidR="00DD50C8" w:rsidRPr="00D37B4C" w:rsidRDefault="00DD50C8" w:rsidP="003A5C10">
      <w:pPr>
        <w:jc w:val="both"/>
        <w:rPr>
          <w:rFonts w:ascii="Times New Roman" w:hAnsi="Times New Roman" w:cs="Times New Roman"/>
          <w:sz w:val="23"/>
          <w:szCs w:val="23"/>
        </w:rPr>
      </w:pPr>
    </w:p>
    <w:p w14:paraId="50590626" w14:textId="211D6DBF" w:rsidR="00DD50C8" w:rsidRDefault="00DD50C8" w:rsidP="00DF7AED">
      <w:pPr>
        <w:pStyle w:val="ListParagraph"/>
        <w:numPr>
          <w:ilvl w:val="0"/>
          <w:numId w:val="1"/>
        </w:numPr>
        <w:jc w:val="both"/>
        <w:rPr>
          <w:rFonts w:ascii="Times New Roman" w:hAnsi="Times New Roman" w:cs="Times New Roman"/>
          <w:sz w:val="23"/>
          <w:szCs w:val="23"/>
        </w:rPr>
      </w:pPr>
      <w:r w:rsidRPr="003A5C10">
        <w:rPr>
          <w:rFonts w:ascii="Times New Roman" w:hAnsi="Times New Roman" w:cs="Times New Roman"/>
          <w:sz w:val="23"/>
          <w:szCs w:val="23"/>
        </w:rPr>
        <w:t>The</w:t>
      </w:r>
      <w:r w:rsidRPr="00DF7AED">
        <w:rPr>
          <w:rFonts w:ascii="Times New Roman" w:hAnsi="Times New Roman" w:cs="Times New Roman"/>
          <w:sz w:val="23"/>
          <w:szCs w:val="23"/>
        </w:rPr>
        <w:t xml:space="preserve"> four human rights dimensions of science in the context of health enumerated above </w:t>
      </w:r>
      <w:r>
        <w:rPr>
          <w:rFonts w:ascii="Times New Roman" w:hAnsi="Times New Roman" w:cs="Times New Roman"/>
          <w:sz w:val="23"/>
          <w:szCs w:val="23"/>
        </w:rPr>
        <w:t xml:space="preserve">are </w:t>
      </w:r>
      <w:r w:rsidRPr="00DF7AED">
        <w:rPr>
          <w:rFonts w:ascii="Times New Roman" w:hAnsi="Times New Roman" w:cs="Times New Roman"/>
          <w:sz w:val="23"/>
          <w:szCs w:val="23"/>
        </w:rPr>
        <w:t>all, at so</w:t>
      </w:r>
      <w:r w:rsidRPr="003A5C10">
        <w:rPr>
          <w:rFonts w:ascii="Times New Roman" w:hAnsi="Times New Roman" w:cs="Times New Roman"/>
          <w:sz w:val="23"/>
          <w:szCs w:val="23"/>
        </w:rPr>
        <w:t xml:space="preserve">me level, </w:t>
      </w:r>
      <w:r w:rsidRPr="00DF7AED">
        <w:rPr>
          <w:rFonts w:ascii="Times New Roman" w:hAnsi="Times New Roman" w:cs="Times New Roman"/>
          <w:sz w:val="23"/>
          <w:szCs w:val="23"/>
        </w:rPr>
        <w:t>questions of access—to knowledg</w:t>
      </w:r>
      <w:r w:rsidRPr="003A5C10">
        <w:rPr>
          <w:rFonts w:ascii="Times New Roman" w:hAnsi="Times New Roman" w:cs="Times New Roman"/>
          <w:sz w:val="23"/>
          <w:szCs w:val="23"/>
        </w:rPr>
        <w:t>e, to information, and to the t</w:t>
      </w:r>
      <w:r w:rsidRPr="00DF7AED">
        <w:rPr>
          <w:rFonts w:ascii="Times New Roman" w:hAnsi="Times New Roman" w:cs="Times New Roman"/>
          <w:sz w:val="23"/>
          <w:szCs w:val="23"/>
        </w:rPr>
        <w:t xml:space="preserve">angible </w:t>
      </w:r>
      <w:r>
        <w:rPr>
          <w:rFonts w:ascii="Times New Roman" w:hAnsi="Times New Roman" w:cs="Times New Roman"/>
          <w:sz w:val="23"/>
          <w:szCs w:val="23"/>
        </w:rPr>
        <w:t>products of scientific advancement such as new medicines and vaccines. Recognizing this, w</w:t>
      </w:r>
      <w:r w:rsidRPr="00DF7AED">
        <w:rPr>
          <w:rFonts w:ascii="Times New Roman" w:hAnsi="Times New Roman" w:cs="Times New Roman"/>
          <w:sz w:val="23"/>
          <w:szCs w:val="23"/>
        </w:rPr>
        <w:t>e urge the C</w:t>
      </w:r>
      <w:r>
        <w:rPr>
          <w:rFonts w:ascii="Times New Roman" w:hAnsi="Times New Roman" w:cs="Times New Roman"/>
          <w:sz w:val="23"/>
          <w:szCs w:val="23"/>
        </w:rPr>
        <w:t>ESCR</w:t>
      </w:r>
      <w:r w:rsidRPr="00DF7AED">
        <w:rPr>
          <w:rFonts w:ascii="Times New Roman" w:hAnsi="Times New Roman" w:cs="Times New Roman"/>
          <w:sz w:val="23"/>
          <w:szCs w:val="23"/>
        </w:rPr>
        <w:t xml:space="preserve"> in its general comment to </w:t>
      </w:r>
      <w:r w:rsidRPr="00E5228C">
        <w:rPr>
          <w:rFonts w:ascii="Times New Roman" w:hAnsi="Times New Roman" w:cs="Times New Roman"/>
          <w:sz w:val="23"/>
          <w:szCs w:val="23"/>
        </w:rPr>
        <w:t>position</w:t>
      </w:r>
      <w:r w:rsidRPr="00DF7AED">
        <w:rPr>
          <w:rFonts w:ascii="Times New Roman" w:hAnsi="Times New Roman" w:cs="Times New Roman"/>
          <w:sz w:val="23"/>
          <w:szCs w:val="23"/>
        </w:rPr>
        <w:t xml:space="preserve"> access as a cornerstone of the right. </w:t>
      </w:r>
    </w:p>
    <w:p w14:paraId="2D613A78" w14:textId="77777777" w:rsidR="00DD50C8" w:rsidRDefault="00DD50C8" w:rsidP="00944149">
      <w:pPr>
        <w:pStyle w:val="ListParagraph"/>
        <w:ind w:left="360"/>
        <w:jc w:val="both"/>
        <w:rPr>
          <w:rFonts w:ascii="Times New Roman" w:hAnsi="Times New Roman" w:cs="Times New Roman"/>
          <w:sz w:val="23"/>
          <w:szCs w:val="23"/>
        </w:rPr>
      </w:pPr>
    </w:p>
    <w:p w14:paraId="2493D2AF" w14:textId="1B0C4255" w:rsidR="00DD50C8" w:rsidRPr="00D37B4C" w:rsidRDefault="00DD50C8" w:rsidP="00D37B4C">
      <w:pPr>
        <w:pStyle w:val="ListParagraph"/>
        <w:numPr>
          <w:ilvl w:val="0"/>
          <w:numId w:val="1"/>
        </w:numPr>
        <w:jc w:val="both"/>
        <w:rPr>
          <w:rFonts w:ascii="Times New Roman" w:hAnsi="Times New Roman" w:cs="Times New Roman"/>
          <w:sz w:val="23"/>
          <w:szCs w:val="23"/>
        </w:rPr>
      </w:pPr>
      <w:r w:rsidRPr="00D37B4C">
        <w:rPr>
          <w:rFonts w:ascii="Times New Roman" w:eastAsia="Times New Roman" w:hAnsi="Times New Roman" w:cs="Times New Roman"/>
          <w:sz w:val="23"/>
          <w:szCs w:val="23"/>
        </w:rPr>
        <w:t xml:space="preserve">In keeping with </w:t>
      </w:r>
      <w:r>
        <w:rPr>
          <w:rFonts w:ascii="Times New Roman" w:eastAsia="Times New Roman" w:hAnsi="Times New Roman" w:cs="Times New Roman"/>
          <w:sz w:val="23"/>
          <w:szCs w:val="23"/>
        </w:rPr>
        <w:t xml:space="preserve">the normative interpretation of </w:t>
      </w:r>
      <w:r w:rsidRPr="00D37B4C">
        <w:rPr>
          <w:rFonts w:ascii="Times New Roman" w:eastAsia="Times New Roman" w:hAnsi="Times New Roman" w:cs="Times New Roman"/>
          <w:sz w:val="23"/>
          <w:szCs w:val="23"/>
        </w:rPr>
        <w:t>other rights in the ICESCR, access under Article 15 should be understood as encompassing multiple dimensions. For example, in General Comment 14</w:t>
      </w:r>
      <w:r>
        <w:rPr>
          <w:rFonts w:ascii="Times New Roman" w:eastAsia="Times New Roman" w:hAnsi="Times New Roman" w:cs="Times New Roman"/>
          <w:sz w:val="23"/>
          <w:szCs w:val="23"/>
        </w:rPr>
        <w:t>,</w:t>
      </w:r>
      <w:r w:rsidRPr="00D37B4C">
        <w:rPr>
          <w:rFonts w:ascii="Times New Roman" w:eastAsia="Times New Roman" w:hAnsi="Times New Roman" w:cs="Times New Roman"/>
          <w:sz w:val="23"/>
          <w:szCs w:val="23"/>
        </w:rPr>
        <w:t xml:space="preserve"> the CESCR framed access under the right to health in terms of four overlapping components: non-discrimination, physical accessibility, economic accessibility (affordability), and access to information. Article 15.2 establishes the obligation of states to take steps “necessary for the conservation, the development, and the diffusion of science and culture.” By speaking of conservation, development, and diffusion together, the Covenant puts forward a concept of access that connects state support for scientific innovation (development) with the obligation of states to ensure all people enjoy the </w:t>
      </w:r>
      <w:r w:rsidRPr="00D37B4C">
        <w:rPr>
          <w:rFonts w:ascii="Times New Roman" w:eastAsia="Times New Roman" w:hAnsi="Times New Roman" w:cs="Times New Roman"/>
          <w:sz w:val="23"/>
          <w:szCs w:val="23"/>
        </w:rPr>
        <w:lastRenderedPageBreak/>
        <w:t>benefits of science and its applications without discrimination (diffusion)</w:t>
      </w:r>
      <w:r>
        <w:rPr>
          <w:rFonts w:ascii="Times New Roman" w:eastAsia="Times New Roman" w:hAnsi="Times New Roman" w:cs="Times New Roman"/>
          <w:sz w:val="23"/>
          <w:szCs w:val="23"/>
        </w:rPr>
        <w:t>,</w:t>
      </w:r>
      <w:r w:rsidRPr="00D37B4C">
        <w:rPr>
          <w:rFonts w:ascii="Times New Roman" w:eastAsia="Times New Roman" w:hAnsi="Times New Roman" w:cs="Times New Roman"/>
          <w:sz w:val="23"/>
          <w:szCs w:val="23"/>
        </w:rPr>
        <w:t xml:space="preserve"> and that the benefits gained through scientific progress are lasting (conservation). </w:t>
      </w:r>
    </w:p>
    <w:p w14:paraId="56064FED" w14:textId="77777777" w:rsidR="00DD50C8" w:rsidRDefault="00DD50C8" w:rsidP="00944149">
      <w:pPr>
        <w:pStyle w:val="ListParagraph"/>
        <w:ind w:left="360"/>
        <w:jc w:val="both"/>
        <w:rPr>
          <w:rFonts w:ascii="Times New Roman" w:eastAsia="Times New Roman" w:hAnsi="Times New Roman" w:cs="Times New Roman"/>
          <w:sz w:val="23"/>
          <w:szCs w:val="23"/>
        </w:rPr>
      </w:pPr>
    </w:p>
    <w:p w14:paraId="4B351475" w14:textId="51439A96" w:rsidR="00DD50C8" w:rsidRPr="00E5228C" w:rsidRDefault="00DD50C8" w:rsidP="00944149">
      <w:pPr>
        <w:pStyle w:val="ListParagraph"/>
        <w:numPr>
          <w:ilvl w:val="0"/>
          <w:numId w:val="1"/>
        </w:num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Thus, in order to ensure nondiscrimination in access under the right to science, s</w:t>
      </w:r>
      <w:r w:rsidRPr="00E5228C">
        <w:rPr>
          <w:rFonts w:ascii="Times New Roman" w:eastAsia="Times New Roman" w:hAnsi="Times New Roman" w:cs="Times New Roman"/>
          <w:sz w:val="23"/>
          <w:szCs w:val="23"/>
        </w:rPr>
        <w:t>tates must distinguish between, on the one hand, the mere availability of</w:t>
      </w:r>
      <w:r>
        <w:rPr>
          <w:rFonts w:ascii="Times New Roman" w:eastAsia="Times New Roman" w:hAnsi="Times New Roman" w:cs="Times New Roman"/>
          <w:sz w:val="23"/>
          <w:szCs w:val="23"/>
        </w:rPr>
        <w:t xml:space="preserve"> </w:t>
      </w:r>
      <w:r w:rsidR="00D37B4C">
        <w:rPr>
          <w:rFonts w:ascii="Times New Roman" w:eastAsia="Times New Roman" w:hAnsi="Times New Roman" w:cs="Times New Roman"/>
          <w:sz w:val="23"/>
          <w:szCs w:val="23"/>
        </w:rPr>
        <w:t>scientific</w:t>
      </w:r>
      <w:r>
        <w:rPr>
          <w:rFonts w:ascii="Times New Roman" w:eastAsia="Times New Roman" w:hAnsi="Times New Roman" w:cs="Times New Roman"/>
          <w:sz w:val="23"/>
          <w:szCs w:val="23"/>
        </w:rPr>
        <w:t xml:space="preserve"> benefits </w:t>
      </w:r>
      <w:r w:rsidRPr="00E5228C">
        <w:rPr>
          <w:rFonts w:ascii="Times New Roman" w:eastAsia="Times New Roman" w:hAnsi="Times New Roman" w:cs="Times New Roman"/>
          <w:sz w:val="23"/>
          <w:szCs w:val="23"/>
        </w:rPr>
        <w:t xml:space="preserve">that may not be </w:t>
      </w:r>
      <w:r>
        <w:rPr>
          <w:rFonts w:ascii="Times New Roman" w:eastAsia="Times New Roman" w:hAnsi="Times New Roman" w:cs="Times New Roman"/>
          <w:sz w:val="23"/>
          <w:szCs w:val="23"/>
        </w:rPr>
        <w:t>within reach by all</w:t>
      </w:r>
      <w:r w:rsidRPr="00E5228C">
        <w:rPr>
          <w:rFonts w:ascii="Times New Roman" w:eastAsia="Times New Roman" w:hAnsi="Times New Roman" w:cs="Times New Roman"/>
          <w:sz w:val="23"/>
          <w:szCs w:val="23"/>
        </w:rPr>
        <w:t xml:space="preserve">, and, on the other hand, the </w:t>
      </w:r>
      <w:r>
        <w:rPr>
          <w:rFonts w:ascii="Times New Roman" w:eastAsia="Times New Roman" w:hAnsi="Times New Roman" w:cs="Times New Roman"/>
          <w:sz w:val="23"/>
          <w:szCs w:val="23"/>
        </w:rPr>
        <w:t>equitable dissemination of such benefits to everyone in need, both present and future generations</w:t>
      </w:r>
      <w:r w:rsidRPr="00E5228C">
        <w:rPr>
          <w:rFonts w:ascii="Times New Roman" w:eastAsia="Times New Roman" w:hAnsi="Times New Roman" w:cs="Times New Roman"/>
          <w:sz w:val="23"/>
          <w:szCs w:val="23"/>
        </w:rPr>
        <w:t>.</w:t>
      </w:r>
    </w:p>
    <w:p w14:paraId="193819AB" w14:textId="77777777" w:rsidR="00DD50C8" w:rsidRDefault="00DD50C8" w:rsidP="00944149">
      <w:pPr>
        <w:pStyle w:val="ListParagraph"/>
        <w:ind w:left="360"/>
        <w:jc w:val="both"/>
        <w:rPr>
          <w:rFonts w:ascii="Times New Roman" w:hAnsi="Times New Roman" w:cs="Times New Roman"/>
          <w:sz w:val="23"/>
          <w:szCs w:val="23"/>
        </w:rPr>
      </w:pPr>
    </w:p>
    <w:p w14:paraId="7D19238F" w14:textId="679414F8" w:rsidR="00DD50C8" w:rsidRDefault="00DD50C8" w:rsidP="00944149">
      <w:pPr>
        <w:pStyle w:val="ListParagraph"/>
        <w:numPr>
          <w:ilvl w:val="0"/>
          <w:numId w:val="1"/>
        </w:numPr>
        <w:jc w:val="both"/>
        <w:rPr>
          <w:rFonts w:ascii="Times New Roman" w:hAnsi="Times New Roman" w:cs="Times New Roman"/>
          <w:sz w:val="23"/>
          <w:szCs w:val="23"/>
        </w:rPr>
      </w:pPr>
      <w:r>
        <w:rPr>
          <w:rFonts w:ascii="Times New Roman" w:hAnsi="Times New Roman" w:cs="Times New Roman"/>
          <w:sz w:val="23"/>
          <w:szCs w:val="23"/>
        </w:rPr>
        <w:t>In addition, we believe that a</w:t>
      </w:r>
      <w:r w:rsidRPr="00944149">
        <w:rPr>
          <w:rFonts w:ascii="Times New Roman" w:hAnsi="Times New Roman" w:cs="Times New Roman"/>
          <w:sz w:val="23"/>
          <w:szCs w:val="23"/>
        </w:rPr>
        <w:t>ccess is important for both th</w:t>
      </w:r>
      <w:r w:rsidRPr="00E5228C">
        <w:rPr>
          <w:rFonts w:ascii="Times New Roman" w:hAnsi="Times New Roman" w:cs="Times New Roman"/>
          <w:sz w:val="23"/>
          <w:szCs w:val="23"/>
        </w:rPr>
        <w:t>ose who contribute to science—including scientists themselves as well as research participants—</w:t>
      </w:r>
      <w:r w:rsidRPr="00944149">
        <w:rPr>
          <w:rFonts w:ascii="Times New Roman" w:hAnsi="Times New Roman" w:cs="Times New Roman"/>
          <w:sz w:val="23"/>
          <w:szCs w:val="23"/>
        </w:rPr>
        <w:t>a</w:t>
      </w:r>
      <w:r w:rsidRPr="00E5228C">
        <w:rPr>
          <w:rFonts w:ascii="Times New Roman" w:hAnsi="Times New Roman" w:cs="Times New Roman"/>
          <w:sz w:val="23"/>
          <w:szCs w:val="23"/>
        </w:rPr>
        <w:t>nd for</w:t>
      </w:r>
      <w:r w:rsidRPr="00944149">
        <w:rPr>
          <w:rFonts w:ascii="Times New Roman" w:hAnsi="Times New Roman" w:cs="Times New Roman"/>
          <w:sz w:val="23"/>
          <w:szCs w:val="23"/>
        </w:rPr>
        <w:t xml:space="preserve"> </w:t>
      </w:r>
      <w:r w:rsidRPr="00E5228C">
        <w:rPr>
          <w:rFonts w:ascii="Times New Roman" w:hAnsi="Times New Roman" w:cs="Times New Roman"/>
          <w:sz w:val="23"/>
          <w:szCs w:val="23"/>
        </w:rPr>
        <w:t>the</w:t>
      </w:r>
      <w:r w:rsidR="00D37B4C">
        <w:rPr>
          <w:rFonts w:ascii="Times New Roman" w:hAnsi="Times New Roman" w:cs="Times New Roman"/>
          <w:sz w:val="23"/>
          <w:szCs w:val="23"/>
        </w:rPr>
        <w:t xml:space="preserve"> intended</w:t>
      </w:r>
      <w:r w:rsidRPr="00E5228C">
        <w:rPr>
          <w:rFonts w:ascii="Times New Roman" w:hAnsi="Times New Roman" w:cs="Times New Roman"/>
          <w:sz w:val="23"/>
          <w:szCs w:val="23"/>
        </w:rPr>
        <w:t xml:space="preserve"> </w:t>
      </w:r>
      <w:r w:rsidRPr="00944149">
        <w:rPr>
          <w:rFonts w:ascii="Times New Roman" w:hAnsi="Times New Roman" w:cs="Times New Roman"/>
          <w:sz w:val="23"/>
          <w:szCs w:val="23"/>
        </w:rPr>
        <w:t>beneficiaries of scien</w:t>
      </w:r>
      <w:r w:rsidRPr="00E5228C">
        <w:rPr>
          <w:rFonts w:ascii="Times New Roman" w:hAnsi="Times New Roman" w:cs="Times New Roman"/>
          <w:sz w:val="23"/>
          <w:szCs w:val="23"/>
        </w:rPr>
        <w:t>tific progress</w:t>
      </w:r>
      <w:r w:rsidRPr="00944149">
        <w:rPr>
          <w:rFonts w:ascii="Times New Roman" w:hAnsi="Times New Roman" w:cs="Times New Roman"/>
          <w:sz w:val="23"/>
          <w:szCs w:val="23"/>
        </w:rPr>
        <w:t>.</w:t>
      </w:r>
      <w:r w:rsidRPr="00E5228C">
        <w:rPr>
          <w:rFonts w:ascii="Times New Roman" w:hAnsi="Times New Roman" w:cs="Times New Roman"/>
          <w:sz w:val="23"/>
          <w:szCs w:val="23"/>
        </w:rPr>
        <w:t xml:space="preserve"> </w:t>
      </w:r>
    </w:p>
    <w:p w14:paraId="75EF6CC2" w14:textId="77777777" w:rsidR="00DD50C8" w:rsidRDefault="00DD50C8" w:rsidP="00944149">
      <w:pPr>
        <w:pStyle w:val="ListParagraph"/>
        <w:ind w:left="360"/>
        <w:jc w:val="both"/>
        <w:rPr>
          <w:rFonts w:ascii="Times New Roman" w:hAnsi="Times New Roman" w:cs="Times New Roman"/>
          <w:sz w:val="23"/>
          <w:szCs w:val="23"/>
        </w:rPr>
      </w:pPr>
    </w:p>
    <w:p w14:paraId="707E5174" w14:textId="288164AD" w:rsidR="00DD50C8" w:rsidRDefault="00DD50C8" w:rsidP="00944149">
      <w:pPr>
        <w:pStyle w:val="ListParagraph"/>
        <w:numPr>
          <w:ilvl w:val="0"/>
          <w:numId w:val="1"/>
        </w:numPr>
        <w:jc w:val="both"/>
        <w:rPr>
          <w:rFonts w:ascii="Times New Roman" w:hAnsi="Times New Roman" w:cs="Times New Roman"/>
          <w:sz w:val="23"/>
          <w:szCs w:val="23"/>
        </w:rPr>
      </w:pPr>
      <w:r w:rsidRPr="00E5228C">
        <w:rPr>
          <w:rFonts w:ascii="Times New Roman" w:hAnsi="Times New Roman" w:cs="Times New Roman"/>
          <w:sz w:val="23"/>
          <w:szCs w:val="23"/>
        </w:rPr>
        <w:t>Importantly, beneficiaries must not be assumed to be consumers in the market sense of purchasers or payers.</w:t>
      </w:r>
      <w:r w:rsidRPr="00944149">
        <w:rPr>
          <w:rFonts w:ascii="Times New Roman" w:hAnsi="Times New Roman" w:cs="Times New Roman"/>
          <w:sz w:val="23"/>
          <w:szCs w:val="23"/>
        </w:rPr>
        <w:t xml:space="preserve"> </w:t>
      </w:r>
      <w:r>
        <w:rPr>
          <w:rFonts w:ascii="Times New Roman" w:hAnsi="Times New Roman" w:cs="Times New Roman"/>
          <w:sz w:val="23"/>
          <w:szCs w:val="23"/>
        </w:rPr>
        <w:t xml:space="preserve">Here, experience earned through efforts to secure the right to health offers a valuable lesson. </w:t>
      </w:r>
      <w:r w:rsidRPr="006615F0">
        <w:rPr>
          <w:rFonts w:ascii="Times New Roman" w:hAnsi="Times New Roman" w:cs="Times New Roman"/>
          <w:sz w:val="23"/>
          <w:szCs w:val="23"/>
        </w:rPr>
        <w:t xml:space="preserve">In terms of </w:t>
      </w:r>
      <w:r>
        <w:rPr>
          <w:rFonts w:ascii="Times New Roman" w:hAnsi="Times New Roman" w:cs="Times New Roman"/>
          <w:sz w:val="23"/>
          <w:szCs w:val="23"/>
        </w:rPr>
        <w:t xml:space="preserve">achieving </w:t>
      </w:r>
      <w:r w:rsidRPr="006615F0">
        <w:rPr>
          <w:rFonts w:ascii="Times New Roman" w:hAnsi="Times New Roman" w:cs="Times New Roman"/>
          <w:sz w:val="23"/>
          <w:szCs w:val="23"/>
        </w:rPr>
        <w:t xml:space="preserve">universal </w:t>
      </w:r>
      <w:r>
        <w:rPr>
          <w:rFonts w:ascii="Times New Roman" w:hAnsi="Times New Roman" w:cs="Times New Roman"/>
          <w:sz w:val="23"/>
          <w:szCs w:val="23"/>
        </w:rPr>
        <w:t>health coverage</w:t>
      </w:r>
      <w:r w:rsidRPr="006615F0">
        <w:rPr>
          <w:rFonts w:ascii="Times New Roman" w:hAnsi="Times New Roman" w:cs="Times New Roman"/>
          <w:sz w:val="23"/>
          <w:szCs w:val="23"/>
        </w:rPr>
        <w:t>, it has become clear that framing the right to health</w:t>
      </w:r>
      <w:r>
        <w:rPr>
          <w:rFonts w:ascii="Times New Roman" w:hAnsi="Times New Roman" w:cs="Times New Roman"/>
          <w:sz w:val="23"/>
          <w:szCs w:val="23"/>
        </w:rPr>
        <w:t xml:space="preserve"> </w:t>
      </w:r>
      <w:r w:rsidRPr="00944149">
        <w:rPr>
          <w:rFonts w:ascii="Times New Roman" w:hAnsi="Times New Roman" w:cs="Times New Roman"/>
          <w:sz w:val="23"/>
          <w:szCs w:val="23"/>
        </w:rPr>
        <w:t>primarily in terms of consumer rights</w:t>
      </w:r>
      <w:r>
        <w:rPr>
          <w:rFonts w:ascii="Times New Roman" w:hAnsi="Times New Roman" w:cs="Times New Roman"/>
          <w:sz w:val="23"/>
          <w:szCs w:val="23"/>
        </w:rPr>
        <w:t>, as some states have done,</w:t>
      </w:r>
      <w:r w:rsidRPr="00944149">
        <w:rPr>
          <w:rFonts w:ascii="Times New Roman" w:hAnsi="Times New Roman" w:cs="Times New Roman"/>
          <w:sz w:val="23"/>
          <w:szCs w:val="23"/>
        </w:rPr>
        <w:t xml:space="preserve"> has created a barrier to advancing the health related goals of the 2030 Agenda.</w:t>
      </w:r>
      <w:r w:rsidR="00E856C1">
        <w:rPr>
          <w:rStyle w:val="EndnoteReference"/>
          <w:rFonts w:ascii="Times New Roman" w:hAnsi="Times New Roman" w:cs="Times New Roman"/>
          <w:sz w:val="23"/>
          <w:szCs w:val="23"/>
        </w:rPr>
        <w:endnoteReference w:id="4"/>
      </w:r>
    </w:p>
    <w:p w14:paraId="445B39E1" w14:textId="77777777" w:rsidR="00DD50C8" w:rsidRPr="00BF1495" w:rsidRDefault="00DD50C8" w:rsidP="00D37B4C">
      <w:pPr>
        <w:jc w:val="both"/>
        <w:rPr>
          <w:rFonts w:ascii="Times New Roman" w:hAnsi="Times New Roman" w:cs="Times New Roman"/>
          <w:sz w:val="23"/>
          <w:szCs w:val="23"/>
        </w:rPr>
      </w:pPr>
    </w:p>
    <w:p w14:paraId="5D4F401B" w14:textId="374DAC61" w:rsidR="00DD50C8" w:rsidRDefault="00DD50C8" w:rsidP="00944149">
      <w:pPr>
        <w:pStyle w:val="ListParagraph"/>
        <w:numPr>
          <w:ilvl w:val="0"/>
          <w:numId w:val="1"/>
        </w:numPr>
        <w:jc w:val="both"/>
        <w:rPr>
          <w:rFonts w:ascii="Times New Roman" w:hAnsi="Times New Roman" w:cs="Times New Roman"/>
          <w:sz w:val="23"/>
          <w:szCs w:val="23"/>
        </w:rPr>
      </w:pPr>
      <w:r>
        <w:rPr>
          <w:rFonts w:ascii="Times New Roman" w:hAnsi="Times New Roman" w:cs="Times New Roman"/>
          <w:sz w:val="23"/>
          <w:szCs w:val="23"/>
        </w:rPr>
        <w:t>For beneficiaries, access under the right to science must not only refer to general knowledge, but to the tangible outputs of science. In this sense, we strongly echo the</w:t>
      </w:r>
      <w:r w:rsidR="00D37B4C">
        <w:rPr>
          <w:rFonts w:ascii="Times New Roman" w:hAnsi="Times New Roman" w:cs="Times New Roman"/>
          <w:sz w:val="23"/>
          <w:szCs w:val="23"/>
        </w:rPr>
        <w:t xml:space="preserve"> Special Rapporteur’s</w:t>
      </w:r>
      <w:r>
        <w:rPr>
          <w:rFonts w:ascii="Times New Roman" w:hAnsi="Times New Roman" w:cs="Times New Roman"/>
          <w:sz w:val="23"/>
          <w:szCs w:val="23"/>
        </w:rPr>
        <w:t xml:space="preserve"> 2012 report, which stated that one aspect of the right to science is “the right to have access to scientific applications and technologies.”</w:t>
      </w:r>
      <w:r w:rsidR="00D37B4C">
        <w:rPr>
          <w:rFonts w:ascii="Times New Roman" w:hAnsi="Times New Roman" w:cs="Times New Roman"/>
          <w:sz w:val="23"/>
          <w:szCs w:val="23"/>
        </w:rPr>
        <w:t xml:space="preserve"> The Special Rapporteur</w:t>
      </w:r>
      <w:r>
        <w:rPr>
          <w:rFonts w:ascii="Times New Roman" w:hAnsi="Times New Roman" w:cs="Times New Roman"/>
          <w:sz w:val="23"/>
          <w:szCs w:val="23"/>
        </w:rPr>
        <w:t xml:space="preserve"> </w:t>
      </w:r>
      <w:r w:rsidR="0014093D">
        <w:rPr>
          <w:rFonts w:ascii="Times New Roman" w:hAnsi="Times New Roman" w:cs="Times New Roman"/>
          <w:sz w:val="23"/>
          <w:szCs w:val="23"/>
        </w:rPr>
        <w:t>continued</w:t>
      </w:r>
      <w:r>
        <w:rPr>
          <w:rFonts w:ascii="Times New Roman" w:hAnsi="Times New Roman" w:cs="Times New Roman"/>
          <w:sz w:val="23"/>
          <w:szCs w:val="23"/>
        </w:rPr>
        <w:t xml:space="preserve">: “One core principle </w:t>
      </w:r>
      <w:r w:rsidR="00D37B4C">
        <w:rPr>
          <w:rFonts w:ascii="Times New Roman" w:hAnsi="Times New Roman" w:cs="Times New Roman"/>
          <w:sz w:val="23"/>
          <w:szCs w:val="23"/>
        </w:rPr>
        <w:t>i</w:t>
      </w:r>
      <w:r>
        <w:rPr>
          <w:rFonts w:ascii="Times New Roman" w:hAnsi="Times New Roman" w:cs="Times New Roman"/>
          <w:sz w:val="23"/>
          <w:szCs w:val="23"/>
        </w:rPr>
        <w:t xml:space="preserve">s that innovations essential for a life with dignity should be accessible to everyone, in particular marginalized populations.” We encourage the CESCR to devote space in the general comment to defining “innovations essential for a life with dignity,” at least in terms of its broad categories. Medical technologies would clearly qualify, especially since access to essential medicines is already seen as a core obligation under Article 12, the right to health. </w:t>
      </w:r>
    </w:p>
    <w:p w14:paraId="7A993800" w14:textId="77777777" w:rsidR="00DD50C8" w:rsidRPr="00944149" w:rsidRDefault="00DD50C8" w:rsidP="00826307">
      <w:pPr>
        <w:jc w:val="both"/>
        <w:rPr>
          <w:rFonts w:ascii="Times New Roman" w:hAnsi="Times New Roman" w:cs="Times New Roman"/>
          <w:sz w:val="23"/>
          <w:szCs w:val="23"/>
        </w:rPr>
      </w:pPr>
    </w:p>
    <w:p w14:paraId="466B8214" w14:textId="475F965C" w:rsidR="00DD50C8" w:rsidRDefault="00DD50C8" w:rsidP="00826307">
      <w:pPr>
        <w:pStyle w:val="ListParagraph"/>
        <w:numPr>
          <w:ilvl w:val="0"/>
          <w:numId w:val="1"/>
        </w:numPr>
        <w:jc w:val="both"/>
        <w:rPr>
          <w:rFonts w:ascii="Times New Roman" w:hAnsi="Times New Roman" w:cs="Times New Roman"/>
          <w:sz w:val="23"/>
          <w:szCs w:val="23"/>
        </w:rPr>
      </w:pPr>
      <w:r w:rsidRPr="00944149">
        <w:rPr>
          <w:rFonts w:ascii="Times New Roman" w:hAnsi="Times New Roman" w:cs="Times New Roman"/>
          <w:sz w:val="23"/>
          <w:szCs w:val="23"/>
        </w:rPr>
        <w:t xml:space="preserve">Scientists themselves must be able to access to the means, methods, and materials required for </w:t>
      </w:r>
      <w:r>
        <w:rPr>
          <w:rFonts w:ascii="Times New Roman" w:hAnsi="Times New Roman" w:cs="Times New Roman"/>
          <w:sz w:val="23"/>
          <w:szCs w:val="23"/>
        </w:rPr>
        <w:t xml:space="preserve">scientific </w:t>
      </w:r>
      <w:r w:rsidRPr="00944149">
        <w:rPr>
          <w:rFonts w:ascii="Times New Roman" w:hAnsi="Times New Roman" w:cs="Times New Roman"/>
          <w:sz w:val="23"/>
          <w:szCs w:val="23"/>
        </w:rPr>
        <w:t xml:space="preserve">exploration and discovery. </w:t>
      </w:r>
      <w:r>
        <w:rPr>
          <w:rFonts w:ascii="Times New Roman" w:hAnsi="Times New Roman" w:cs="Times New Roman"/>
          <w:sz w:val="23"/>
          <w:szCs w:val="23"/>
        </w:rPr>
        <w:t>Again, in Shaheed’s words: “The ‘benefits’ of science encompass not only scientific results and outcomes but also the scientific process, its methodologies, and tools.” Here, we draw the Committee’s attention to the work of the American Association for the Advancement of Science, which has proposed a “continuum of access” spanning the general public on one side and scientists on the other. Tools for sustaining and creating access as identified by AAAS include funding, education</w:t>
      </w:r>
      <w:r w:rsidR="00826307">
        <w:rPr>
          <w:rFonts w:ascii="Times New Roman" w:hAnsi="Times New Roman" w:cs="Times New Roman"/>
          <w:sz w:val="23"/>
          <w:szCs w:val="23"/>
        </w:rPr>
        <w:t>,</w:t>
      </w:r>
      <w:r>
        <w:rPr>
          <w:rFonts w:ascii="Times New Roman" w:hAnsi="Times New Roman" w:cs="Times New Roman"/>
          <w:sz w:val="23"/>
          <w:szCs w:val="23"/>
        </w:rPr>
        <w:t xml:space="preserve"> training, and communication and information technology.</w:t>
      </w:r>
      <w:r>
        <w:rPr>
          <w:rStyle w:val="EndnoteReference"/>
          <w:rFonts w:ascii="Times New Roman" w:hAnsi="Times New Roman" w:cs="Times New Roman"/>
          <w:sz w:val="23"/>
          <w:szCs w:val="23"/>
        </w:rPr>
        <w:endnoteReference w:id="5"/>
      </w:r>
      <w:r>
        <w:rPr>
          <w:rFonts w:ascii="Times New Roman" w:hAnsi="Times New Roman" w:cs="Times New Roman"/>
          <w:sz w:val="23"/>
          <w:szCs w:val="23"/>
        </w:rPr>
        <w:t xml:space="preserve"> </w:t>
      </w:r>
    </w:p>
    <w:p w14:paraId="737CACAF" w14:textId="77777777" w:rsidR="00DD50C8" w:rsidRPr="00826307" w:rsidRDefault="00DD50C8" w:rsidP="00567051">
      <w:pPr>
        <w:jc w:val="both"/>
        <w:rPr>
          <w:rFonts w:ascii="Times New Roman" w:hAnsi="Times New Roman" w:cs="Times New Roman"/>
          <w:sz w:val="23"/>
          <w:szCs w:val="23"/>
        </w:rPr>
      </w:pPr>
    </w:p>
    <w:p w14:paraId="4C6C3776" w14:textId="0454A41F" w:rsidR="00DD50C8" w:rsidRDefault="00DD50C8" w:rsidP="00826307">
      <w:pPr>
        <w:pStyle w:val="ListParagraph"/>
        <w:numPr>
          <w:ilvl w:val="0"/>
          <w:numId w:val="1"/>
        </w:numPr>
        <w:jc w:val="both"/>
        <w:rPr>
          <w:rFonts w:ascii="Times New Roman" w:hAnsi="Times New Roman" w:cs="Times New Roman"/>
          <w:sz w:val="23"/>
          <w:szCs w:val="23"/>
        </w:rPr>
      </w:pPr>
      <w:r w:rsidRPr="00944149">
        <w:rPr>
          <w:rFonts w:ascii="Times New Roman" w:hAnsi="Times New Roman" w:cs="Times New Roman"/>
          <w:sz w:val="23"/>
          <w:szCs w:val="23"/>
        </w:rPr>
        <w:t xml:space="preserve">Access is also essential for </w:t>
      </w:r>
      <w:r>
        <w:rPr>
          <w:rFonts w:ascii="Times New Roman" w:hAnsi="Times New Roman" w:cs="Times New Roman"/>
          <w:sz w:val="23"/>
          <w:szCs w:val="23"/>
        </w:rPr>
        <w:t xml:space="preserve">the </w:t>
      </w:r>
      <w:r w:rsidRPr="00944149">
        <w:rPr>
          <w:rFonts w:ascii="Times New Roman" w:hAnsi="Times New Roman" w:cs="Times New Roman"/>
          <w:sz w:val="23"/>
          <w:szCs w:val="23"/>
        </w:rPr>
        <w:t>non-scientists who make scientific progress possible through, for example, enrolling into clinical trials</w:t>
      </w:r>
      <w:r>
        <w:rPr>
          <w:rFonts w:ascii="Times New Roman" w:hAnsi="Times New Roman" w:cs="Times New Roman"/>
          <w:sz w:val="23"/>
          <w:szCs w:val="23"/>
        </w:rPr>
        <w:t xml:space="preserve">. The marginalization of certain groups from clinical trials means that the benefits of medical research accrue to some segments of the population but not others. In the TB research field, the prevalent exclusion of children, pregnant women, people with HIV, and persons who use drugs from studies means that the very groups most at risk of the disease are often unable to </w:t>
      </w:r>
      <w:r w:rsidR="00826307">
        <w:rPr>
          <w:rFonts w:ascii="Times New Roman" w:hAnsi="Times New Roman" w:cs="Times New Roman"/>
          <w:sz w:val="23"/>
          <w:szCs w:val="23"/>
        </w:rPr>
        <w:t>benefit from</w:t>
      </w:r>
      <w:r w:rsidR="0014093D">
        <w:rPr>
          <w:rFonts w:ascii="Times New Roman" w:hAnsi="Times New Roman" w:cs="Times New Roman"/>
          <w:sz w:val="23"/>
          <w:szCs w:val="23"/>
        </w:rPr>
        <w:t xml:space="preserve"> new scientific applications</w:t>
      </w:r>
      <w:r>
        <w:rPr>
          <w:rFonts w:ascii="Times New Roman" w:hAnsi="Times New Roman" w:cs="Times New Roman"/>
          <w:sz w:val="23"/>
          <w:szCs w:val="23"/>
        </w:rPr>
        <w:t xml:space="preserve"> because there is not enough evidence to recommend their use in such populations</w:t>
      </w:r>
      <w:r w:rsidRPr="00826307">
        <w:rPr>
          <w:rFonts w:ascii="Times New Roman" w:hAnsi="Times New Roman" w:cs="Times New Roman"/>
          <w:sz w:val="23"/>
          <w:szCs w:val="23"/>
        </w:rPr>
        <w:t>.</w:t>
      </w:r>
      <w:r w:rsidR="00E856C1">
        <w:rPr>
          <w:rStyle w:val="EndnoteReference"/>
          <w:rFonts w:ascii="Times New Roman" w:hAnsi="Times New Roman" w:cs="Times New Roman"/>
          <w:sz w:val="23"/>
          <w:szCs w:val="23"/>
        </w:rPr>
        <w:endnoteReference w:id="6"/>
      </w:r>
      <w:r w:rsidRPr="00826307">
        <w:rPr>
          <w:rFonts w:ascii="Times New Roman" w:hAnsi="Times New Roman" w:cs="Times New Roman"/>
          <w:sz w:val="23"/>
          <w:szCs w:val="23"/>
        </w:rPr>
        <w:t xml:space="preserve"> </w:t>
      </w:r>
      <w:r>
        <w:rPr>
          <w:rFonts w:ascii="Times New Roman" w:hAnsi="Times New Roman" w:cs="Times New Roman"/>
          <w:sz w:val="23"/>
          <w:szCs w:val="23"/>
        </w:rPr>
        <w:t xml:space="preserve">The systemic exclusion of certain groups from </w:t>
      </w:r>
      <w:r w:rsidR="0014093D">
        <w:rPr>
          <w:rFonts w:ascii="Times New Roman" w:hAnsi="Times New Roman" w:cs="Times New Roman"/>
          <w:sz w:val="23"/>
          <w:szCs w:val="23"/>
        </w:rPr>
        <w:t xml:space="preserve">participation in </w:t>
      </w:r>
      <w:r>
        <w:rPr>
          <w:rFonts w:ascii="Times New Roman" w:hAnsi="Times New Roman" w:cs="Times New Roman"/>
          <w:sz w:val="23"/>
          <w:szCs w:val="23"/>
        </w:rPr>
        <w:t xml:space="preserve">research—whether intentional or not—reinforces historic forms of marginalization and severely constrains the equity proposition of science. </w:t>
      </w:r>
    </w:p>
    <w:p w14:paraId="6ACB1664" w14:textId="77777777" w:rsidR="00DD50C8" w:rsidRPr="00826307" w:rsidRDefault="00DD50C8" w:rsidP="00567051">
      <w:pPr>
        <w:jc w:val="both"/>
        <w:rPr>
          <w:rFonts w:ascii="Times New Roman" w:hAnsi="Times New Roman" w:cs="Times New Roman"/>
          <w:sz w:val="23"/>
          <w:szCs w:val="23"/>
        </w:rPr>
      </w:pPr>
    </w:p>
    <w:p w14:paraId="4A178D0D" w14:textId="4EC0AAFC" w:rsidR="00DD50C8" w:rsidRPr="00826307" w:rsidRDefault="00DD50C8" w:rsidP="00826307">
      <w:pPr>
        <w:pStyle w:val="ListParagraph"/>
        <w:numPr>
          <w:ilvl w:val="0"/>
          <w:numId w:val="1"/>
        </w:numPr>
        <w:jc w:val="both"/>
        <w:rPr>
          <w:rFonts w:ascii="Times New Roman" w:hAnsi="Times New Roman" w:cs="Times New Roman"/>
          <w:sz w:val="23"/>
          <w:szCs w:val="23"/>
        </w:rPr>
      </w:pPr>
      <w:r>
        <w:rPr>
          <w:rFonts w:ascii="Times New Roman" w:hAnsi="Times New Roman" w:cs="Times New Roman"/>
          <w:sz w:val="23"/>
          <w:szCs w:val="23"/>
        </w:rPr>
        <w:t xml:space="preserve">On a larger scale, communities that are unable to access the benefits of science may be less likely to support science through e.g. the provision of public funding or participation in research. </w:t>
      </w:r>
      <w:r w:rsidR="00826307">
        <w:rPr>
          <w:rFonts w:ascii="Times New Roman" w:hAnsi="Times New Roman" w:cs="Times New Roman"/>
          <w:sz w:val="23"/>
          <w:szCs w:val="23"/>
        </w:rPr>
        <w:t xml:space="preserve">In our experience, </w:t>
      </w:r>
      <w:r>
        <w:rPr>
          <w:rFonts w:ascii="Times New Roman" w:hAnsi="Times New Roman" w:cs="Times New Roman"/>
          <w:sz w:val="23"/>
          <w:szCs w:val="23"/>
        </w:rPr>
        <w:t>communities that hold little reasonable expectation of ever benefitting from publicly funded research express less trust in the scientific pro</w:t>
      </w:r>
      <w:r w:rsidR="0014093D">
        <w:rPr>
          <w:rFonts w:ascii="Times New Roman" w:hAnsi="Times New Roman" w:cs="Times New Roman"/>
          <w:sz w:val="23"/>
          <w:szCs w:val="23"/>
        </w:rPr>
        <w:t>c</w:t>
      </w:r>
      <w:r>
        <w:rPr>
          <w:rFonts w:ascii="Times New Roman" w:hAnsi="Times New Roman" w:cs="Times New Roman"/>
          <w:sz w:val="23"/>
          <w:szCs w:val="23"/>
        </w:rPr>
        <w:t xml:space="preserve">ess and more skepticism about the importance of science for human dignity and development. Equitable dissemination of science and its benefits is therefore </w:t>
      </w:r>
      <w:r w:rsidR="0014093D">
        <w:rPr>
          <w:rFonts w:ascii="Times New Roman" w:hAnsi="Times New Roman" w:cs="Times New Roman"/>
          <w:sz w:val="23"/>
          <w:szCs w:val="23"/>
        </w:rPr>
        <w:t>necessary</w:t>
      </w:r>
      <w:r>
        <w:rPr>
          <w:rFonts w:ascii="Times New Roman" w:hAnsi="Times New Roman" w:cs="Times New Roman"/>
          <w:sz w:val="23"/>
          <w:szCs w:val="23"/>
        </w:rPr>
        <w:t xml:space="preserve"> for continued public participation in science, a point contained in the 2012 report of the Special Rapporteur: “The diffusion of science is a precond</w:t>
      </w:r>
      <w:r w:rsidR="00826307">
        <w:rPr>
          <w:rFonts w:ascii="Times New Roman" w:hAnsi="Times New Roman" w:cs="Times New Roman"/>
          <w:sz w:val="23"/>
          <w:szCs w:val="23"/>
        </w:rPr>
        <w:t>ition for public participation in</w:t>
      </w:r>
      <w:r>
        <w:rPr>
          <w:rFonts w:ascii="Times New Roman" w:hAnsi="Times New Roman" w:cs="Times New Roman"/>
          <w:sz w:val="23"/>
          <w:szCs w:val="23"/>
        </w:rPr>
        <w:t xml:space="preserve"> decision-making and essential for fostering further research, development, and applications.” </w:t>
      </w:r>
    </w:p>
    <w:p w14:paraId="3B01DD2F" w14:textId="77777777" w:rsidR="00DD50C8" w:rsidRPr="00567051" w:rsidRDefault="00DD50C8" w:rsidP="00567051"/>
    <w:p w14:paraId="11BC9630" w14:textId="35ABE237" w:rsidR="00DD50C8" w:rsidRDefault="00DD50C8" w:rsidP="003A5C10">
      <w:pPr>
        <w:pStyle w:val="ListParagraph"/>
        <w:numPr>
          <w:ilvl w:val="0"/>
          <w:numId w:val="1"/>
        </w:numPr>
        <w:jc w:val="both"/>
        <w:rPr>
          <w:rFonts w:ascii="Times New Roman" w:hAnsi="Times New Roman" w:cs="Times New Roman"/>
          <w:sz w:val="23"/>
          <w:szCs w:val="23"/>
        </w:rPr>
      </w:pPr>
      <w:r w:rsidRPr="00826307">
        <w:rPr>
          <w:rFonts w:ascii="Times New Roman" w:hAnsi="Times New Roman" w:cs="Times New Roman"/>
          <w:sz w:val="23"/>
          <w:szCs w:val="23"/>
        </w:rPr>
        <w:t>Access under the right to science not only requires attention to diffusion, but also to development. Sates must invest sufficient financial resources in science and direct these investments in ways that meet the needs of marginalized communities</w:t>
      </w:r>
      <w:r>
        <w:rPr>
          <w:rFonts w:ascii="Times New Roman" w:hAnsi="Times New Roman" w:cs="Times New Roman"/>
          <w:sz w:val="23"/>
          <w:szCs w:val="23"/>
        </w:rPr>
        <w:t xml:space="preserve"> (i.e. “purposive development”)</w:t>
      </w:r>
      <w:r w:rsidRPr="00826307">
        <w:rPr>
          <w:rFonts w:ascii="Times New Roman" w:hAnsi="Times New Roman" w:cs="Times New Roman"/>
          <w:sz w:val="23"/>
          <w:szCs w:val="23"/>
        </w:rPr>
        <w:t>.</w:t>
      </w:r>
      <w:r>
        <w:rPr>
          <w:rStyle w:val="EndnoteReference"/>
          <w:rFonts w:ascii="Times New Roman" w:hAnsi="Times New Roman" w:cs="Times New Roman"/>
          <w:sz w:val="23"/>
          <w:szCs w:val="23"/>
        </w:rPr>
        <w:endnoteReference w:id="7"/>
      </w:r>
      <w:r w:rsidRPr="00826307">
        <w:rPr>
          <w:rFonts w:ascii="Times New Roman" w:hAnsi="Times New Roman" w:cs="Times New Roman"/>
          <w:sz w:val="23"/>
          <w:szCs w:val="23"/>
        </w:rPr>
        <w:t xml:space="preserve"> Because the needs of the poor or marginalized are often left unaddressed by market-driven approaches to innovation in the absence of state a</w:t>
      </w:r>
      <w:r>
        <w:rPr>
          <w:rFonts w:ascii="Times New Roman" w:hAnsi="Times New Roman" w:cs="Times New Roman"/>
          <w:sz w:val="23"/>
          <w:szCs w:val="23"/>
        </w:rPr>
        <w:t>ction</w:t>
      </w:r>
      <w:r w:rsidRPr="00826307">
        <w:rPr>
          <w:rFonts w:ascii="Times New Roman" w:hAnsi="Times New Roman" w:cs="Times New Roman"/>
          <w:sz w:val="23"/>
          <w:szCs w:val="23"/>
        </w:rPr>
        <w:t xml:space="preserve">, the purposive development of science is necessary to ensure nondiscrimination </w:t>
      </w:r>
      <w:r>
        <w:rPr>
          <w:rFonts w:ascii="Times New Roman" w:hAnsi="Times New Roman" w:cs="Times New Roman"/>
          <w:sz w:val="23"/>
          <w:szCs w:val="23"/>
        </w:rPr>
        <w:t xml:space="preserve">in access </w:t>
      </w:r>
      <w:r w:rsidRPr="00826307">
        <w:rPr>
          <w:rFonts w:ascii="Times New Roman" w:hAnsi="Times New Roman" w:cs="Times New Roman"/>
          <w:sz w:val="23"/>
          <w:szCs w:val="23"/>
        </w:rPr>
        <w:t xml:space="preserve">under the right. </w:t>
      </w:r>
    </w:p>
    <w:p w14:paraId="761D27AB" w14:textId="77777777" w:rsidR="00DD50C8" w:rsidRDefault="00DD50C8" w:rsidP="001523D9">
      <w:pPr>
        <w:pStyle w:val="ListParagraph"/>
        <w:ind w:left="360"/>
        <w:jc w:val="both"/>
        <w:rPr>
          <w:rFonts w:ascii="Times New Roman" w:hAnsi="Times New Roman" w:cs="Times New Roman"/>
          <w:sz w:val="23"/>
          <w:szCs w:val="23"/>
        </w:rPr>
      </w:pPr>
    </w:p>
    <w:p w14:paraId="22FBF8C5" w14:textId="01C3F4CA" w:rsidR="00DD50C8" w:rsidRDefault="00DD50C8" w:rsidP="001523D9">
      <w:pPr>
        <w:pStyle w:val="ListParagraph"/>
        <w:numPr>
          <w:ilvl w:val="0"/>
          <w:numId w:val="1"/>
        </w:numPr>
        <w:rPr>
          <w:rFonts w:ascii="Times New Roman" w:hAnsi="Times New Roman" w:cs="Times New Roman"/>
          <w:sz w:val="23"/>
          <w:szCs w:val="23"/>
        </w:rPr>
      </w:pPr>
      <w:r w:rsidRPr="001523D9">
        <w:rPr>
          <w:rFonts w:ascii="Times New Roman" w:hAnsi="Times New Roman" w:cs="Times New Roman"/>
          <w:sz w:val="23"/>
          <w:szCs w:val="23"/>
        </w:rPr>
        <w:t xml:space="preserve">States have many tools at their disposal to </w:t>
      </w:r>
      <w:r>
        <w:rPr>
          <w:rFonts w:ascii="Times New Roman" w:hAnsi="Times New Roman" w:cs="Times New Roman"/>
          <w:sz w:val="23"/>
          <w:szCs w:val="23"/>
        </w:rPr>
        <w:t>support</w:t>
      </w:r>
      <w:r w:rsidRPr="001523D9">
        <w:rPr>
          <w:rFonts w:ascii="Times New Roman" w:hAnsi="Times New Roman" w:cs="Times New Roman"/>
          <w:sz w:val="23"/>
          <w:szCs w:val="23"/>
        </w:rPr>
        <w:t xml:space="preserve"> the purposive development of science. </w:t>
      </w:r>
      <w:r w:rsidRPr="00985351">
        <w:rPr>
          <w:rFonts w:ascii="Times New Roman" w:hAnsi="Times New Roman" w:cs="Times New Roman"/>
          <w:sz w:val="23"/>
          <w:szCs w:val="23"/>
        </w:rPr>
        <w:t>We draw the Committee’s attention to the recommendations contained in the final report of the UN Secretary-General’s High-Level Panel on Access to Medicines.</w:t>
      </w:r>
      <w:r>
        <w:rPr>
          <w:rStyle w:val="EndnoteReference"/>
          <w:rFonts w:ascii="Times New Roman" w:hAnsi="Times New Roman" w:cs="Times New Roman"/>
          <w:sz w:val="23"/>
          <w:szCs w:val="23"/>
        </w:rPr>
        <w:endnoteReference w:id="8"/>
      </w:r>
      <w:r w:rsidRPr="00985351">
        <w:rPr>
          <w:rFonts w:ascii="Times New Roman" w:hAnsi="Times New Roman" w:cs="Times New Roman"/>
          <w:sz w:val="23"/>
          <w:szCs w:val="23"/>
        </w:rPr>
        <w:t xml:space="preserve"> The report calls on governments to increase their current levels of investment in health innovation through e.g., the use of innovative financing strategies. In addition, the report </w:t>
      </w:r>
      <w:r>
        <w:rPr>
          <w:rFonts w:ascii="Times New Roman" w:hAnsi="Times New Roman" w:cs="Times New Roman"/>
          <w:sz w:val="23"/>
          <w:szCs w:val="23"/>
        </w:rPr>
        <w:t>encourages</w:t>
      </w:r>
      <w:r w:rsidRPr="00985351">
        <w:rPr>
          <w:rFonts w:ascii="Times New Roman" w:hAnsi="Times New Roman" w:cs="Times New Roman"/>
          <w:sz w:val="23"/>
          <w:szCs w:val="23"/>
        </w:rPr>
        <w:t xml:space="preserve"> governments to take steps to negotiate a binding R&amp;D convention that delinks the cost of </w:t>
      </w:r>
      <w:r w:rsidR="00826307">
        <w:rPr>
          <w:rFonts w:ascii="Times New Roman" w:hAnsi="Times New Roman" w:cs="Times New Roman"/>
          <w:sz w:val="23"/>
          <w:szCs w:val="23"/>
        </w:rPr>
        <w:t>R&amp;D</w:t>
      </w:r>
      <w:r w:rsidRPr="00985351">
        <w:rPr>
          <w:rFonts w:ascii="Times New Roman" w:hAnsi="Times New Roman" w:cs="Times New Roman"/>
          <w:sz w:val="23"/>
          <w:szCs w:val="23"/>
        </w:rPr>
        <w:t xml:space="preserve"> from end prices and sales volumes </w:t>
      </w:r>
      <w:r>
        <w:rPr>
          <w:rFonts w:ascii="Times New Roman" w:hAnsi="Times New Roman" w:cs="Times New Roman"/>
          <w:sz w:val="23"/>
          <w:szCs w:val="23"/>
        </w:rPr>
        <w:t>(a concept known as delinkage). Delinkage is a way for governments to</w:t>
      </w:r>
      <w:r w:rsidRPr="00985351">
        <w:rPr>
          <w:rFonts w:ascii="Times New Roman" w:hAnsi="Times New Roman" w:cs="Times New Roman"/>
          <w:sz w:val="23"/>
          <w:szCs w:val="23"/>
        </w:rPr>
        <w:t xml:space="preserve"> </w:t>
      </w:r>
      <w:r>
        <w:rPr>
          <w:rFonts w:ascii="Times New Roman" w:hAnsi="Times New Roman" w:cs="Times New Roman"/>
          <w:sz w:val="23"/>
          <w:szCs w:val="23"/>
        </w:rPr>
        <w:t xml:space="preserve">incentivize research without relying on high prices or </w:t>
      </w:r>
      <w:r w:rsidR="00826307">
        <w:rPr>
          <w:rFonts w:ascii="Times New Roman" w:hAnsi="Times New Roman" w:cs="Times New Roman"/>
          <w:sz w:val="23"/>
          <w:szCs w:val="23"/>
        </w:rPr>
        <w:t xml:space="preserve">the </w:t>
      </w:r>
      <w:r>
        <w:rPr>
          <w:rFonts w:ascii="Times New Roman" w:hAnsi="Times New Roman" w:cs="Times New Roman"/>
          <w:sz w:val="23"/>
          <w:szCs w:val="23"/>
        </w:rPr>
        <w:t xml:space="preserve">temporary monopolies </w:t>
      </w:r>
      <w:r w:rsidR="00826307">
        <w:rPr>
          <w:rFonts w:ascii="Times New Roman" w:hAnsi="Times New Roman" w:cs="Times New Roman"/>
          <w:sz w:val="23"/>
          <w:szCs w:val="23"/>
        </w:rPr>
        <w:t xml:space="preserve">afforded </w:t>
      </w:r>
      <w:r>
        <w:rPr>
          <w:rFonts w:ascii="Times New Roman" w:hAnsi="Times New Roman" w:cs="Times New Roman"/>
          <w:sz w:val="23"/>
          <w:szCs w:val="23"/>
        </w:rPr>
        <w:t xml:space="preserve">by patents to recoup R&amp;D costs. </w:t>
      </w:r>
    </w:p>
    <w:p w14:paraId="141A457F" w14:textId="77777777" w:rsidR="00DD50C8" w:rsidRPr="00821E42" w:rsidRDefault="00DD50C8" w:rsidP="00826307">
      <w:pPr>
        <w:rPr>
          <w:rFonts w:ascii="Times New Roman" w:hAnsi="Times New Roman" w:cs="Times New Roman"/>
          <w:sz w:val="23"/>
          <w:szCs w:val="23"/>
        </w:rPr>
      </w:pPr>
    </w:p>
    <w:p w14:paraId="26C16381" w14:textId="060BB03E" w:rsidR="00DD50C8" w:rsidRPr="00DE01B2" w:rsidRDefault="00DD50C8" w:rsidP="00DE01B2">
      <w:pPr>
        <w:pStyle w:val="ListParagraph"/>
        <w:numPr>
          <w:ilvl w:val="0"/>
          <w:numId w:val="1"/>
        </w:numPr>
        <w:jc w:val="both"/>
        <w:rPr>
          <w:rFonts w:ascii="Times New Roman" w:hAnsi="Times New Roman" w:cs="Times New Roman"/>
          <w:sz w:val="23"/>
          <w:szCs w:val="23"/>
        </w:rPr>
      </w:pPr>
      <w:r w:rsidRPr="00DE01B2">
        <w:rPr>
          <w:rFonts w:ascii="Times New Roman" w:hAnsi="Times New Roman" w:cs="Times New Roman"/>
          <w:sz w:val="23"/>
          <w:szCs w:val="23"/>
        </w:rPr>
        <w:t>Currently, R&amp;D for TB and other diseases primarily occurs within a system built around a “maximalist approach to intellectual property protection,” principally defined by the Agreement on Trade-Related Aspects of Intellectual Property Rights (TRIPS).</w:t>
      </w:r>
      <w:r w:rsidRPr="00821E42">
        <w:rPr>
          <w:vertAlign w:val="superscript"/>
        </w:rPr>
        <w:endnoteReference w:id="9"/>
      </w:r>
      <w:r w:rsidRPr="00821E42">
        <w:rPr>
          <w:rFonts w:ascii="Times New Roman" w:hAnsi="Times New Roman" w:cs="Times New Roman"/>
          <w:sz w:val="23"/>
          <w:szCs w:val="23"/>
          <w:vertAlign w:val="superscript"/>
        </w:rPr>
        <w:t> </w:t>
      </w:r>
      <w:r w:rsidRPr="00DE01B2">
        <w:rPr>
          <w:rFonts w:ascii="Times New Roman" w:hAnsi="Times New Roman" w:cs="Times New Roman"/>
          <w:sz w:val="23"/>
          <w:szCs w:val="23"/>
        </w:rPr>
        <w:t xml:space="preserve">By setting required minimum levels of protection without specifying upper limits, TRIPS and related trade laws have allowed an ever-upward expansion of intellectual property (IP) protection that has produced a growing misalignment between the interests of inventors—often large, multinational corporations—and health. Using international human rights law to set ceilings on such protections would engender an approach to innovation that does not, from the outset, prioritize protection over access. </w:t>
      </w:r>
    </w:p>
    <w:p w14:paraId="64131AC3" w14:textId="77777777" w:rsidR="00DD50C8" w:rsidRPr="00DE01B2" w:rsidRDefault="00DD50C8" w:rsidP="00567051">
      <w:pPr>
        <w:pStyle w:val="ListParagraph"/>
        <w:ind w:left="360"/>
        <w:jc w:val="both"/>
        <w:rPr>
          <w:rFonts w:ascii="Times New Roman" w:hAnsi="Times New Roman" w:cs="Times New Roman"/>
          <w:sz w:val="23"/>
          <w:szCs w:val="23"/>
        </w:rPr>
      </w:pPr>
    </w:p>
    <w:p w14:paraId="4BF68EF2" w14:textId="424CCFC2" w:rsidR="00DD50C8" w:rsidRPr="00DE01B2" w:rsidRDefault="00DD50C8" w:rsidP="00DE01B2">
      <w:pPr>
        <w:pStyle w:val="ListParagraph"/>
        <w:numPr>
          <w:ilvl w:val="0"/>
          <w:numId w:val="1"/>
        </w:numPr>
        <w:jc w:val="both"/>
        <w:rPr>
          <w:rFonts w:ascii="Times New Roman" w:hAnsi="Times New Roman" w:cs="Times New Roman"/>
          <w:sz w:val="23"/>
          <w:szCs w:val="23"/>
        </w:rPr>
      </w:pPr>
      <w:r w:rsidRPr="00DE01B2">
        <w:rPr>
          <w:rFonts w:ascii="Times New Roman" w:hAnsi="Times New Roman" w:cs="Times New Roman"/>
          <w:sz w:val="23"/>
          <w:szCs w:val="23"/>
        </w:rPr>
        <w:t xml:space="preserve">To this end, we strongly reaffirm the </w:t>
      </w:r>
      <w:r>
        <w:rPr>
          <w:rFonts w:ascii="Times New Roman" w:hAnsi="Times New Roman" w:cs="Times New Roman"/>
          <w:sz w:val="23"/>
          <w:szCs w:val="23"/>
        </w:rPr>
        <w:t>CESCR</w:t>
      </w:r>
      <w:r w:rsidRPr="00DE01B2">
        <w:rPr>
          <w:rFonts w:ascii="Times New Roman" w:hAnsi="Times New Roman" w:cs="Times New Roman"/>
          <w:sz w:val="23"/>
          <w:szCs w:val="23"/>
        </w:rPr>
        <w:t xml:space="preserve">’s conclusion in General Comment 17 that the “right of everyone to benefit from the protection of the moral and material interests resulting from any scientific, literary or artistic production of which he or she is the author” </w:t>
      </w:r>
      <w:r w:rsidR="0014093D">
        <w:rPr>
          <w:rFonts w:ascii="Times New Roman" w:hAnsi="Times New Roman" w:cs="Times New Roman"/>
          <w:sz w:val="23"/>
          <w:szCs w:val="23"/>
        </w:rPr>
        <w:t>[</w:t>
      </w:r>
      <w:r>
        <w:rPr>
          <w:rFonts w:ascii="Times New Roman" w:hAnsi="Times New Roman" w:cs="Times New Roman"/>
          <w:sz w:val="23"/>
          <w:szCs w:val="23"/>
        </w:rPr>
        <w:t>Art 15.1(c)</w:t>
      </w:r>
      <w:r w:rsidR="0014093D">
        <w:rPr>
          <w:rFonts w:ascii="Times New Roman" w:hAnsi="Times New Roman" w:cs="Times New Roman"/>
          <w:sz w:val="23"/>
          <w:szCs w:val="23"/>
        </w:rPr>
        <w:t>]</w:t>
      </w:r>
      <w:r>
        <w:rPr>
          <w:rFonts w:ascii="Times New Roman" w:hAnsi="Times New Roman" w:cs="Times New Roman"/>
          <w:sz w:val="23"/>
          <w:szCs w:val="23"/>
        </w:rPr>
        <w:t xml:space="preserve"> </w:t>
      </w:r>
      <w:r w:rsidRPr="00DE01B2">
        <w:rPr>
          <w:rFonts w:ascii="Times New Roman" w:hAnsi="Times New Roman" w:cs="Times New Roman"/>
          <w:sz w:val="23"/>
          <w:szCs w:val="23"/>
        </w:rPr>
        <w:t xml:space="preserve">must not be </w:t>
      </w:r>
      <w:r>
        <w:rPr>
          <w:rFonts w:ascii="Times New Roman" w:hAnsi="Times New Roman" w:cs="Times New Roman"/>
          <w:sz w:val="23"/>
          <w:szCs w:val="23"/>
        </w:rPr>
        <w:t>equated with IP</w:t>
      </w:r>
      <w:r w:rsidRPr="00DE01B2">
        <w:rPr>
          <w:rFonts w:ascii="Times New Roman" w:hAnsi="Times New Roman" w:cs="Times New Roman"/>
          <w:sz w:val="23"/>
          <w:szCs w:val="23"/>
        </w:rPr>
        <w:t xml:space="preserve"> protections</w:t>
      </w:r>
      <w:r w:rsidR="00826307">
        <w:rPr>
          <w:rFonts w:ascii="Times New Roman" w:hAnsi="Times New Roman" w:cs="Times New Roman"/>
          <w:sz w:val="23"/>
          <w:szCs w:val="23"/>
        </w:rPr>
        <w:t xml:space="preserve"> as currently defined through global trade agreements</w:t>
      </w:r>
      <w:r w:rsidRPr="00DE01B2">
        <w:rPr>
          <w:rFonts w:ascii="Times New Roman" w:hAnsi="Times New Roman" w:cs="Times New Roman"/>
          <w:sz w:val="23"/>
          <w:szCs w:val="23"/>
        </w:rPr>
        <w:t>. However, many states continue to fr</w:t>
      </w:r>
      <w:r>
        <w:rPr>
          <w:rFonts w:ascii="Times New Roman" w:hAnsi="Times New Roman" w:cs="Times New Roman"/>
          <w:sz w:val="23"/>
          <w:szCs w:val="23"/>
        </w:rPr>
        <w:t>ame IP rights</w:t>
      </w:r>
      <w:r w:rsidRPr="00DE01B2">
        <w:rPr>
          <w:rFonts w:ascii="Times New Roman" w:hAnsi="Times New Roman" w:cs="Times New Roman"/>
          <w:sz w:val="23"/>
          <w:szCs w:val="23"/>
        </w:rPr>
        <w:t xml:space="preserve"> as human rights i</w:t>
      </w:r>
      <w:r>
        <w:rPr>
          <w:rFonts w:ascii="Times New Roman" w:hAnsi="Times New Roman" w:cs="Times New Roman"/>
          <w:sz w:val="23"/>
          <w:szCs w:val="23"/>
        </w:rPr>
        <w:t>n contradiction to the CESCR</w:t>
      </w:r>
      <w:r w:rsidRPr="00DE01B2">
        <w:rPr>
          <w:rFonts w:ascii="Times New Roman" w:hAnsi="Times New Roman" w:cs="Times New Roman"/>
          <w:sz w:val="23"/>
          <w:szCs w:val="23"/>
        </w:rPr>
        <w:t xml:space="preserve">’s position. </w:t>
      </w:r>
      <w:r>
        <w:rPr>
          <w:rFonts w:ascii="Times New Roman" w:hAnsi="Times New Roman" w:cs="Times New Roman"/>
          <w:sz w:val="23"/>
          <w:szCs w:val="23"/>
        </w:rPr>
        <w:t xml:space="preserve">We encourage the CESCR to reemphasize the distinction between IP protections and human rights in this new general comment. </w:t>
      </w:r>
    </w:p>
    <w:p w14:paraId="2AE71909" w14:textId="77777777" w:rsidR="00DD50C8" w:rsidRPr="00E978A1" w:rsidRDefault="00DD50C8" w:rsidP="003A5C10">
      <w:pPr>
        <w:pStyle w:val="ListParagraph"/>
        <w:ind w:left="360"/>
        <w:jc w:val="both"/>
        <w:rPr>
          <w:rFonts w:ascii="Times New Roman" w:hAnsi="Times New Roman" w:cs="Times New Roman"/>
          <w:sz w:val="23"/>
          <w:szCs w:val="23"/>
        </w:rPr>
      </w:pPr>
    </w:p>
    <w:p w14:paraId="7D29610E" w14:textId="77777777" w:rsidR="00826307" w:rsidRDefault="00DD50C8" w:rsidP="00567051">
      <w:pPr>
        <w:pStyle w:val="ListParagraph"/>
        <w:numPr>
          <w:ilvl w:val="0"/>
          <w:numId w:val="1"/>
        </w:numPr>
        <w:jc w:val="both"/>
        <w:rPr>
          <w:rFonts w:ascii="Times New Roman" w:hAnsi="Times New Roman" w:cs="Times New Roman"/>
          <w:sz w:val="23"/>
          <w:szCs w:val="23"/>
        </w:rPr>
      </w:pPr>
      <w:r w:rsidRPr="00826307">
        <w:rPr>
          <w:rFonts w:ascii="Times New Roman" w:hAnsi="Times New Roman" w:cs="Times New Roman"/>
          <w:sz w:val="23"/>
          <w:szCs w:val="23"/>
        </w:rPr>
        <w:t>In short, the right to science should be understood as a vehicle for promoting needs-driven development</w:t>
      </w:r>
      <w:r w:rsidRPr="00567051">
        <w:rPr>
          <w:rFonts w:ascii="Times New Roman" w:hAnsi="Times New Roman" w:cs="Times New Roman"/>
          <w:sz w:val="23"/>
          <w:szCs w:val="23"/>
        </w:rPr>
        <w:t xml:space="preserve"> as an alternative to market-driven approaches. It is essential that</w:t>
      </w:r>
      <w:r w:rsidRPr="00826307">
        <w:rPr>
          <w:rFonts w:ascii="Times New Roman" w:hAnsi="Times New Roman" w:cs="Times New Roman"/>
          <w:sz w:val="23"/>
          <w:szCs w:val="23"/>
        </w:rPr>
        <w:t xml:space="preserve"> purposive investments in science be accompanied by norms and safeguards that create the conditions required for equitable access. This will require approaches to R&amp;D that take into account human need and not merely market interest</w:t>
      </w:r>
      <w:r w:rsidR="00826307">
        <w:rPr>
          <w:rFonts w:ascii="Times New Roman" w:hAnsi="Times New Roman" w:cs="Times New Roman"/>
          <w:sz w:val="23"/>
          <w:szCs w:val="23"/>
        </w:rPr>
        <w:t xml:space="preserve">. </w:t>
      </w:r>
    </w:p>
    <w:p w14:paraId="35939B62" w14:textId="77777777" w:rsidR="00DD50C8" w:rsidRPr="00826307" w:rsidRDefault="00DD50C8" w:rsidP="00826307">
      <w:pPr>
        <w:rPr>
          <w:rFonts w:eastAsia="Times New Roman"/>
        </w:rPr>
      </w:pPr>
    </w:p>
    <w:p w14:paraId="730A7A92" w14:textId="64D357E0" w:rsidR="00DD50C8" w:rsidRPr="001523D9" w:rsidRDefault="00DD50C8" w:rsidP="003A5C10">
      <w:pPr>
        <w:jc w:val="both"/>
        <w:rPr>
          <w:rFonts w:ascii="Times New Roman" w:eastAsia="Times New Roman" w:hAnsi="Times New Roman" w:cs="Times New Roman"/>
          <w:sz w:val="23"/>
          <w:szCs w:val="23"/>
        </w:rPr>
      </w:pPr>
      <w:r>
        <w:rPr>
          <w:rFonts w:ascii="Times New Roman" w:eastAsia="Times New Roman" w:hAnsi="Times New Roman" w:cs="Times New Roman"/>
          <w:i/>
          <w:sz w:val="23"/>
          <w:szCs w:val="23"/>
        </w:rPr>
        <w:t>The importance of participation to the right to science</w:t>
      </w:r>
    </w:p>
    <w:p w14:paraId="740D375C" w14:textId="77777777" w:rsidR="00DD50C8" w:rsidRPr="00E978A1" w:rsidRDefault="00DD50C8" w:rsidP="003A5C10">
      <w:pPr>
        <w:jc w:val="both"/>
        <w:rPr>
          <w:rFonts w:ascii="Times New Roman" w:eastAsia="Times New Roman" w:hAnsi="Times New Roman" w:cs="Times New Roman"/>
          <w:sz w:val="23"/>
          <w:szCs w:val="23"/>
        </w:rPr>
      </w:pPr>
    </w:p>
    <w:p w14:paraId="28047373" w14:textId="63298250" w:rsidR="00DD50C8" w:rsidRPr="00E978A1" w:rsidRDefault="00DD50C8" w:rsidP="003A5C10">
      <w:pPr>
        <w:pStyle w:val="ListParagraph"/>
        <w:numPr>
          <w:ilvl w:val="0"/>
          <w:numId w:val="1"/>
        </w:numPr>
        <w:jc w:val="both"/>
        <w:rPr>
          <w:rFonts w:ascii="Times New Roman" w:hAnsi="Times New Roman" w:cs="Times New Roman"/>
          <w:sz w:val="23"/>
          <w:szCs w:val="23"/>
        </w:rPr>
      </w:pPr>
      <w:r w:rsidRPr="00E978A1">
        <w:rPr>
          <w:rFonts w:ascii="Times New Roman" w:hAnsi="Times New Roman" w:cs="Times New Roman"/>
          <w:sz w:val="23"/>
          <w:szCs w:val="23"/>
        </w:rPr>
        <w:t xml:space="preserve">The dimensions of the right to science, its intersection with other human rights, and its application to health include the importance of participation in science and science-based policymaking, and the importance of science for participatory human rights-based policymaking. </w:t>
      </w:r>
    </w:p>
    <w:p w14:paraId="737972D6" w14:textId="77777777" w:rsidR="00DD50C8" w:rsidRDefault="00DD50C8" w:rsidP="00826307">
      <w:pPr>
        <w:pStyle w:val="ListParagraph"/>
        <w:ind w:left="360"/>
        <w:jc w:val="both"/>
        <w:rPr>
          <w:rFonts w:ascii="Times New Roman" w:hAnsi="Times New Roman" w:cs="Times New Roman"/>
          <w:sz w:val="23"/>
          <w:szCs w:val="23"/>
        </w:rPr>
      </w:pPr>
    </w:p>
    <w:p w14:paraId="66302283" w14:textId="2DC7F032" w:rsidR="00DD50C8" w:rsidRPr="00E978A1" w:rsidRDefault="00DD50C8" w:rsidP="003A5C10">
      <w:pPr>
        <w:pStyle w:val="ListParagraph"/>
        <w:numPr>
          <w:ilvl w:val="0"/>
          <w:numId w:val="1"/>
        </w:numPr>
        <w:jc w:val="both"/>
        <w:rPr>
          <w:rFonts w:ascii="Times New Roman" w:hAnsi="Times New Roman" w:cs="Times New Roman"/>
          <w:sz w:val="23"/>
          <w:szCs w:val="23"/>
        </w:rPr>
      </w:pPr>
      <w:r w:rsidRPr="00826307">
        <w:rPr>
          <w:rFonts w:ascii="Times New Roman" w:hAnsi="Times New Roman" w:cs="Times New Roman"/>
          <w:sz w:val="23"/>
          <w:szCs w:val="23"/>
        </w:rPr>
        <w:t xml:space="preserve">Participation should unfold across multiple levels. </w:t>
      </w:r>
      <w:r w:rsidR="0014093D">
        <w:rPr>
          <w:rFonts w:ascii="Times New Roman" w:eastAsia="Times New Roman" w:hAnsi="Times New Roman" w:cs="Times New Roman"/>
          <w:sz w:val="23"/>
          <w:szCs w:val="23"/>
          <w:shd w:val="clear" w:color="auto" w:fill="FFFFFF"/>
        </w:rPr>
        <w:t>G</w:t>
      </w:r>
      <w:r w:rsidRPr="00826307">
        <w:rPr>
          <w:rFonts w:ascii="Times New Roman" w:eastAsia="Times New Roman" w:hAnsi="Times New Roman" w:cs="Times New Roman"/>
          <w:sz w:val="23"/>
          <w:szCs w:val="23"/>
          <w:shd w:val="clear" w:color="auto" w:fill="FFFFFF"/>
        </w:rPr>
        <w:t xml:space="preserve">overnments should involve public stakeholders in setting national plans of action to address unmet research needs. These plans should </w:t>
      </w:r>
      <w:r w:rsidR="0014093D">
        <w:rPr>
          <w:rFonts w:ascii="Times New Roman" w:eastAsia="Times New Roman" w:hAnsi="Times New Roman" w:cs="Times New Roman"/>
          <w:sz w:val="23"/>
          <w:szCs w:val="23"/>
          <w:shd w:val="clear" w:color="auto" w:fill="FFFFFF"/>
        </w:rPr>
        <w:t>have</w:t>
      </w:r>
      <w:r w:rsidRPr="00826307">
        <w:rPr>
          <w:rFonts w:ascii="Times New Roman" w:eastAsia="Times New Roman" w:hAnsi="Times New Roman" w:cs="Times New Roman"/>
          <w:sz w:val="23"/>
          <w:szCs w:val="23"/>
          <w:shd w:val="clear" w:color="auto" w:fill="FFFFFF"/>
        </w:rPr>
        <w:t xml:space="preserve"> clear timetables, goals, and milestones, enabling </w:t>
      </w:r>
      <w:r>
        <w:rPr>
          <w:rFonts w:ascii="Times New Roman" w:eastAsia="Times New Roman" w:hAnsi="Times New Roman" w:cs="Times New Roman"/>
          <w:sz w:val="23"/>
          <w:szCs w:val="23"/>
          <w:shd w:val="clear" w:color="auto" w:fill="FFFFFF"/>
        </w:rPr>
        <w:t xml:space="preserve">the </w:t>
      </w:r>
      <w:r w:rsidRPr="00826307">
        <w:rPr>
          <w:rFonts w:ascii="Times New Roman" w:eastAsia="Times New Roman" w:hAnsi="Times New Roman" w:cs="Times New Roman"/>
          <w:sz w:val="23"/>
          <w:szCs w:val="23"/>
          <w:shd w:val="clear" w:color="auto" w:fill="FFFFFF"/>
        </w:rPr>
        <w:t>public to track</w:t>
      </w:r>
      <w:r>
        <w:rPr>
          <w:rFonts w:ascii="Times New Roman" w:eastAsia="Times New Roman" w:hAnsi="Times New Roman" w:cs="Times New Roman"/>
          <w:sz w:val="23"/>
          <w:szCs w:val="23"/>
          <w:shd w:val="clear" w:color="auto" w:fill="FFFFFF"/>
        </w:rPr>
        <w:t xml:space="preserve"> state</w:t>
      </w:r>
      <w:r w:rsidRPr="00826307">
        <w:rPr>
          <w:rFonts w:ascii="Times New Roman" w:eastAsia="Times New Roman" w:hAnsi="Times New Roman" w:cs="Times New Roman"/>
          <w:sz w:val="23"/>
          <w:szCs w:val="23"/>
          <w:shd w:val="clear" w:color="auto" w:fill="FFFFFF"/>
        </w:rPr>
        <w:t xml:space="preserve"> progress</w:t>
      </w:r>
      <w:r>
        <w:rPr>
          <w:rFonts w:ascii="Times New Roman" w:eastAsia="Times New Roman" w:hAnsi="Times New Roman" w:cs="Times New Roman"/>
          <w:sz w:val="23"/>
          <w:szCs w:val="23"/>
          <w:shd w:val="clear" w:color="auto" w:fill="FFFFFF"/>
        </w:rPr>
        <w:t>.</w:t>
      </w:r>
      <w:r w:rsidRPr="00826307">
        <w:rPr>
          <w:rFonts w:ascii="Times New Roman" w:eastAsia="Times New Roman" w:hAnsi="Times New Roman" w:cs="Times New Roman" w:hint="eastAsia"/>
          <w:sz w:val="23"/>
          <w:szCs w:val="23"/>
          <w:shd w:val="clear" w:color="auto" w:fill="FFFFFF"/>
        </w:rPr>
        <w:t> </w:t>
      </w:r>
      <w:r w:rsidRPr="00826307">
        <w:rPr>
          <w:rFonts w:ascii="Times New Roman" w:eastAsia="Times New Roman" w:hAnsi="Times New Roman" w:cs="Times New Roman"/>
          <w:sz w:val="23"/>
          <w:szCs w:val="23"/>
          <w:shd w:val="clear" w:color="auto" w:fill="FFFFFF"/>
        </w:rPr>
        <w:t xml:space="preserve">In this sense, participation is essential for accountability under the right. </w:t>
      </w:r>
    </w:p>
    <w:p w14:paraId="6CA03CA7" w14:textId="77777777" w:rsidR="00DD50C8" w:rsidRPr="00E978A1" w:rsidRDefault="00DD50C8" w:rsidP="00826307">
      <w:pPr>
        <w:jc w:val="both"/>
        <w:rPr>
          <w:rFonts w:ascii="Times New Roman" w:eastAsia="Times New Roman" w:hAnsi="Times New Roman" w:cs="Times New Roman"/>
          <w:sz w:val="23"/>
          <w:szCs w:val="23"/>
          <w:shd w:val="clear" w:color="auto" w:fill="FFFFFF"/>
        </w:rPr>
      </w:pPr>
    </w:p>
    <w:p w14:paraId="7FA2CBD5" w14:textId="0C6C1EA5" w:rsidR="00DD50C8" w:rsidRPr="0064025F" w:rsidRDefault="00DD50C8" w:rsidP="003A5C10">
      <w:pPr>
        <w:pStyle w:val="ListParagraph"/>
        <w:numPr>
          <w:ilvl w:val="0"/>
          <w:numId w:val="1"/>
        </w:numPr>
        <w:jc w:val="both"/>
        <w:rPr>
          <w:rFonts w:ascii="Times New Roman" w:hAnsi="Times New Roman" w:cs="Times New Roman"/>
          <w:sz w:val="23"/>
          <w:szCs w:val="23"/>
        </w:rPr>
      </w:pPr>
      <w:r w:rsidRPr="00E978A1">
        <w:rPr>
          <w:rFonts w:ascii="Times New Roman" w:eastAsia="Times New Roman" w:hAnsi="Times New Roman" w:cs="Times New Roman"/>
          <w:sz w:val="23"/>
          <w:szCs w:val="23"/>
          <w:shd w:val="clear" w:color="auto" w:fill="FFFFFF"/>
        </w:rPr>
        <w:t xml:space="preserve">As noted above, participation should extend to </w:t>
      </w:r>
      <w:r w:rsidR="00826307">
        <w:rPr>
          <w:rFonts w:ascii="Times New Roman" w:eastAsia="Times New Roman" w:hAnsi="Times New Roman" w:cs="Times New Roman"/>
          <w:sz w:val="23"/>
          <w:szCs w:val="23"/>
          <w:shd w:val="clear" w:color="auto" w:fill="FFFFFF"/>
        </w:rPr>
        <w:t>the</w:t>
      </w:r>
      <w:r w:rsidR="00826307" w:rsidRPr="00E978A1">
        <w:rPr>
          <w:rFonts w:ascii="Times New Roman" w:eastAsia="Times New Roman" w:hAnsi="Times New Roman" w:cs="Times New Roman"/>
          <w:sz w:val="23"/>
          <w:szCs w:val="23"/>
          <w:shd w:val="clear" w:color="auto" w:fill="FFFFFF"/>
        </w:rPr>
        <w:t xml:space="preserve"> </w:t>
      </w:r>
      <w:r w:rsidRPr="00E978A1">
        <w:rPr>
          <w:rFonts w:ascii="Times New Roman" w:eastAsia="Times New Roman" w:hAnsi="Times New Roman" w:cs="Times New Roman"/>
          <w:sz w:val="23"/>
          <w:szCs w:val="23"/>
          <w:shd w:val="clear" w:color="auto" w:fill="FFFFFF"/>
        </w:rPr>
        <w:t xml:space="preserve">inclusion and representation </w:t>
      </w:r>
      <w:r>
        <w:rPr>
          <w:rFonts w:ascii="Times New Roman" w:eastAsia="Times New Roman" w:hAnsi="Times New Roman" w:cs="Times New Roman"/>
          <w:sz w:val="23"/>
          <w:szCs w:val="23"/>
          <w:shd w:val="clear" w:color="auto" w:fill="FFFFFF"/>
        </w:rPr>
        <w:t xml:space="preserve">of communities </w:t>
      </w:r>
      <w:r w:rsidRPr="00E978A1">
        <w:rPr>
          <w:rFonts w:ascii="Times New Roman" w:eastAsia="Times New Roman" w:hAnsi="Times New Roman" w:cs="Times New Roman"/>
          <w:sz w:val="23"/>
          <w:szCs w:val="23"/>
          <w:shd w:val="clear" w:color="auto" w:fill="FFFFFF"/>
        </w:rPr>
        <w:t xml:space="preserve">in </w:t>
      </w:r>
      <w:r w:rsidR="00826307">
        <w:rPr>
          <w:rFonts w:ascii="Times New Roman" w:eastAsia="Times New Roman" w:hAnsi="Times New Roman" w:cs="Times New Roman"/>
          <w:sz w:val="23"/>
          <w:szCs w:val="23"/>
          <w:shd w:val="clear" w:color="auto" w:fill="FFFFFF"/>
        </w:rPr>
        <w:t xml:space="preserve">the </w:t>
      </w:r>
      <w:r w:rsidRPr="00E978A1">
        <w:rPr>
          <w:rFonts w:ascii="Times New Roman" w:eastAsia="Times New Roman" w:hAnsi="Times New Roman" w:cs="Times New Roman"/>
          <w:sz w:val="23"/>
          <w:szCs w:val="23"/>
          <w:shd w:val="clear" w:color="auto" w:fill="FFFFFF"/>
        </w:rPr>
        <w:t xml:space="preserve">scientific </w:t>
      </w:r>
      <w:r w:rsidR="00826307">
        <w:rPr>
          <w:rFonts w:ascii="Times New Roman" w:eastAsia="Times New Roman" w:hAnsi="Times New Roman" w:cs="Times New Roman"/>
          <w:sz w:val="23"/>
          <w:szCs w:val="23"/>
          <w:shd w:val="clear" w:color="auto" w:fill="FFFFFF"/>
        </w:rPr>
        <w:t xml:space="preserve">process and </w:t>
      </w:r>
      <w:r w:rsidRPr="00E978A1">
        <w:rPr>
          <w:rFonts w:ascii="Times New Roman" w:eastAsia="Times New Roman" w:hAnsi="Times New Roman" w:cs="Times New Roman"/>
          <w:sz w:val="23"/>
          <w:szCs w:val="23"/>
          <w:shd w:val="clear" w:color="auto" w:fill="FFFFFF"/>
        </w:rPr>
        <w:t>agenda.</w:t>
      </w:r>
      <w:r w:rsidRPr="00826307">
        <w:rPr>
          <w:rFonts w:ascii="Times New Roman" w:eastAsia="Times New Roman" w:hAnsi="Times New Roman" w:cs="Times New Roman"/>
          <w:sz w:val="23"/>
          <w:szCs w:val="23"/>
          <w:shd w:val="clear" w:color="auto" w:fill="FFFFFF"/>
        </w:rPr>
        <w:t xml:space="preserve"> Of foremost importance, communities affected by a particular </w:t>
      </w:r>
      <w:r>
        <w:rPr>
          <w:rFonts w:ascii="Times New Roman" w:eastAsia="Times New Roman" w:hAnsi="Times New Roman" w:cs="Times New Roman"/>
          <w:sz w:val="23"/>
          <w:szCs w:val="23"/>
          <w:shd w:val="clear" w:color="auto" w:fill="FFFFFF"/>
        </w:rPr>
        <w:t xml:space="preserve">condition or </w:t>
      </w:r>
      <w:r w:rsidRPr="00826307">
        <w:rPr>
          <w:rFonts w:ascii="Times New Roman" w:eastAsia="Times New Roman" w:hAnsi="Times New Roman" w:cs="Times New Roman"/>
          <w:sz w:val="23"/>
          <w:szCs w:val="23"/>
          <w:shd w:val="clear" w:color="auto" w:fill="FFFFFF"/>
        </w:rPr>
        <w:t xml:space="preserve">disease should be empowered to participate in research as more than just </w:t>
      </w:r>
      <w:r w:rsidR="00826307">
        <w:rPr>
          <w:rFonts w:ascii="Times New Roman" w:eastAsia="Times New Roman" w:hAnsi="Times New Roman" w:cs="Times New Roman"/>
          <w:sz w:val="23"/>
          <w:szCs w:val="23"/>
          <w:shd w:val="clear" w:color="auto" w:fill="FFFFFF"/>
        </w:rPr>
        <w:t xml:space="preserve">clinical </w:t>
      </w:r>
      <w:r w:rsidRPr="00826307">
        <w:rPr>
          <w:rFonts w:ascii="Times New Roman" w:eastAsia="Times New Roman" w:hAnsi="Times New Roman" w:cs="Times New Roman"/>
          <w:sz w:val="23"/>
          <w:szCs w:val="23"/>
          <w:shd w:val="clear" w:color="auto" w:fill="FFFFFF"/>
        </w:rPr>
        <w:t>trial participants. One effective strategy in HIV and TB research has been the involvement of community advisory boards (CABs) in setting the research agenda, overseeing the conduct of trials</w:t>
      </w:r>
      <w:r>
        <w:rPr>
          <w:rFonts w:ascii="Times New Roman" w:eastAsia="Times New Roman" w:hAnsi="Times New Roman" w:cs="Times New Roman"/>
          <w:sz w:val="23"/>
          <w:szCs w:val="23"/>
          <w:shd w:val="clear" w:color="auto" w:fill="FFFFFF"/>
        </w:rPr>
        <w:t>,</w:t>
      </w:r>
      <w:r w:rsidRPr="00826307">
        <w:rPr>
          <w:rFonts w:ascii="Times New Roman" w:eastAsia="Times New Roman" w:hAnsi="Times New Roman" w:cs="Times New Roman"/>
          <w:sz w:val="23"/>
          <w:szCs w:val="23"/>
          <w:shd w:val="clear" w:color="auto" w:fill="FFFFFF"/>
        </w:rPr>
        <w:t xml:space="preserve"> and advocating for research results to be made accessible through the translation of evidence into policy and practice.</w:t>
      </w:r>
      <w:r>
        <w:rPr>
          <w:rFonts w:ascii="Times New Roman" w:eastAsia="Times New Roman" w:hAnsi="Times New Roman" w:cs="Times New Roman"/>
          <w:sz w:val="23"/>
          <w:szCs w:val="23"/>
          <w:shd w:val="clear" w:color="auto" w:fill="FFFFFF"/>
        </w:rPr>
        <w:t xml:space="preserve"> There are multiple guidelines </w:t>
      </w:r>
      <w:r w:rsidR="00826307">
        <w:rPr>
          <w:rFonts w:ascii="Times New Roman" w:eastAsia="Times New Roman" w:hAnsi="Times New Roman" w:cs="Times New Roman"/>
          <w:sz w:val="23"/>
          <w:szCs w:val="23"/>
          <w:shd w:val="clear" w:color="auto" w:fill="FFFFFF"/>
        </w:rPr>
        <w:t>on community engagement—</w:t>
      </w:r>
      <w:r>
        <w:rPr>
          <w:rFonts w:ascii="Times New Roman" w:eastAsia="Times New Roman" w:hAnsi="Times New Roman" w:cs="Times New Roman"/>
          <w:sz w:val="23"/>
          <w:szCs w:val="23"/>
          <w:shd w:val="clear" w:color="auto" w:fill="FFFFFF"/>
        </w:rPr>
        <w:t>often called “good participatory practice”—that states can consult when establishing CABs or other participatory mechanisms.</w:t>
      </w:r>
      <w:r>
        <w:rPr>
          <w:rStyle w:val="EndnoteReference"/>
          <w:rFonts w:ascii="Times New Roman" w:eastAsia="Times New Roman" w:hAnsi="Times New Roman" w:cs="Times New Roman"/>
          <w:sz w:val="23"/>
          <w:szCs w:val="23"/>
          <w:shd w:val="clear" w:color="auto" w:fill="FFFFFF"/>
        </w:rPr>
        <w:endnoteReference w:id="10"/>
      </w:r>
    </w:p>
    <w:p w14:paraId="53A39010" w14:textId="77777777" w:rsidR="00E978A1" w:rsidRDefault="00E978A1" w:rsidP="0064025F">
      <w:pPr>
        <w:pStyle w:val="ListParagraph"/>
        <w:ind w:left="360"/>
        <w:jc w:val="both"/>
        <w:rPr>
          <w:rFonts w:ascii="Times New Roman" w:hAnsi="Times New Roman" w:cs="Times New Roman"/>
          <w:sz w:val="23"/>
          <w:szCs w:val="23"/>
        </w:rPr>
      </w:pPr>
    </w:p>
    <w:p w14:paraId="3B9AF26C" w14:textId="656C4895" w:rsidR="00E978A1" w:rsidRDefault="00DF4149" w:rsidP="0064025F">
      <w:pPr>
        <w:pStyle w:val="ListParagraph"/>
        <w:numPr>
          <w:ilvl w:val="0"/>
          <w:numId w:val="1"/>
        </w:numPr>
        <w:jc w:val="both"/>
        <w:rPr>
          <w:rFonts w:ascii="Times New Roman" w:hAnsi="Times New Roman" w:cs="Times New Roman"/>
          <w:sz w:val="23"/>
          <w:szCs w:val="23"/>
        </w:rPr>
      </w:pPr>
      <w:r w:rsidRPr="0064025F">
        <w:rPr>
          <w:rFonts w:ascii="Times New Roman" w:hAnsi="Times New Roman" w:cs="Times New Roman"/>
          <w:sz w:val="23"/>
          <w:szCs w:val="23"/>
        </w:rPr>
        <w:t xml:space="preserve">Participation is also essential for honoring </w:t>
      </w:r>
      <w:r w:rsidR="00826307">
        <w:rPr>
          <w:rFonts w:ascii="Times New Roman" w:hAnsi="Times New Roman" w:cs="Times New Roman"/>
          <w:sz w:val="23"/>
          <w:szCs w:val="23"/>
        </w:rPr>
        <w:t>the</w:t>
      </w:r>
      <w:r w:rsidR="00E978A1">
        <w:rPr>
          <w:rFonts w:ascii="Times New Roman" w:hAnsi="Times New Roman" w:cs="Times New Roman"/>
          <w:sz w:val="23"/>
          <w:szCs w:val="23"/>
        </w:rPr>
        <w:t xml:space="preserve"> related</w:t>
      </w:r>
      <w:r w:rsidR="00E978A1" w:rsidRPr="00E978A1">
        <w:rPr>
          <w:rFonts w:ascii="Times New Roman" w:hAnsi="Times New Roman" w:cs="Times New Roman"/>
          <w:sz w:val="23"/>
          <w:szCs w:val="23"/>
        </w:rPr>
        <w:t xml:space="preserve"> ethical value</w:t>
      </w:r>
      <w:r w:rsidRPr="0064025F">
        <w:rPr>
          <w:rFonts w:ascii="Times New Roman" w:hAnsi="Times New Roman" w:cs="Times New Roman"/>
          <w:sz w:val="23"/>
          <w:szCs w:val="23"/>
        </w:rPr>
        <w:t xml:space="preserve"> </w:t>
      </w:r>
      <w:r w:rsidR="00826307">
        <w:rPr>
          <w:rFonts w:ascii="Times New Roman" w:hAnsi="Times New Roman" w:cs="Times New Roman"/>
          <w:sz w:val="23"/>
          <w:szCs w:val="23"/>
        </w:rPr>
        <w:t>of</w:t>
      </w:r>
      <w:r w:rsidRPr="0064025F">
        <w:rPr>
          <w:rFonts w:ascii="Times New Roman" w:hAnsi="Times New Roman" w:cs="Times New Roman"/>
          <w:sz w:val="23"/>
          <w:szCs w:val="23"/>
        </w:rPr>
        <w:t xml:space="preserve"> reciprocity. Ethicists have defined reciprocity as returning goods in proportion to those receive</w:t>
      </w:r>
      <w:r w:rsidR="00567051">
        <w:rPr>
          <w:rFonts w:ascii="Times New Roman" w:hAnsi="Times New Roman" w:cs="Times New Roman"/>
          <w:sz w:val="23"/>
          <w:szCs w:val="23"/>
        </w:rPr>
        <w:t>d</w:t>
      </w:r>
      <w:r w:rsidR="00E978A1">
        <w:rPr>
          <w:rFonts w:ascii="Times New Roman" w:hAnsi="Times New Roman" w:cs="Times New Roman"/>
          <w:sz w:val="23"/>
          <w:szCs w:val="23"/>
        </w:rPr>
        <w:t>,</w:t>
      </w:r>
      <w:r w:rsidR="00E978A1" w:rsidRPr="00E978A1">
        <w:rPr>
          <w:rFonts w:ascii="Times New Roman" w:hAnsi="Times New Roman" w:cs="Times New Roman"/>
          <w:sz w:val="23"/>
          <w:szCs w:val="23"/>
        </w:rPr>
        <w:t xml:space="preserve"> and</w:t>
      </w:r>
      <w:r w:rsidRPr="0064025F">
        <w:rPr>
          <w:rFonts w:ascii="Times New Roman" w:hAnsi="Times New Roman" w:cs="Times New Roman"/>
          <w:sz w:val="23"/>
          <w:szCs w:val="23"/>
        </w:rPr>
        <w:t xml:space="preserve"> making reparations for harms that have been done. The individuals and communities that participate in research assume real risk in exchange for benefits that are by definition unknown and potential.</w:t>
      </w:r>
      <w:r w:rsidR="00E978A1" w:rsidRPr="00E978A1">
        <w:rPr>
          <w:rFonts w:ascii="Times New Roman" w:hAnsi="Times New Roman" w:cs="Times New Roman"/>
          <w:sz w:val="23"/>
          <w:szCs w:val="23"/>
        </w:rPr>
        <w:t xml:space="preserve"> In</w:t>
      </w:r>
      <w:r w:rsidRPr="0064025F">
        <w:rPr>
          <w:rFonts w:ascii="Times New Roman" w:hAnsi="Times New Roman" w:cs="Times New Roman"/>
          <w:sz w:val="23"/>
          <w:szCs w:val="23"/>
        </w:rPr>
        <w:t xml:space="preserve"> doing so, they create the conditions under which science advances—and therefore deserve to</w:t>
      </w:r>
      <w:r w:rsidR="00E978A1">
        <w:rPr>
          <w:rFonts w:ascii="Times New Roman" w:hAnsi="Times New Roman" w:cs="Times New Roman"/>
          <w:sz w:val="23"/>
          <w:szCs w:val="23"/>
        </w:rPr>
        <w:t xml:space="preserve"> receive good in return by enjoying the benefits of science and its applications. This reciprocity should extend beyond any direct participants in science to include </w:t>
      </w:r>
      <w:r w:rsidRPr="0064025F">
        <w:rPr>
          <w:rFonts w:ascii="Times New Roman" w:hAnsi="Times New Roman" w:cs="Times New Roman"/>
          <w:sz w:val="23"/>
          <w:szCs w:val="23"/>
        </w:rPr>
        <w:t>the countless others who</w:t>
      </w:r>
      <w:r w:rsidR="00826307">
        <w:rPr>
          <w:rFonts w:ascii="Times New Roman" w:hAnsi="Times New Roman" w:cs="Times New Roman"/>
          <w:sz w:val="23"/>
          <w:szCs w:val="23"/>
        </w:rPr>
        <w:t>m research participant</w:t>
      </w:r>
      <w:r w:rsidR="00567051">
        <w:rPr>
          <w:rFonts w:ascii="Times New Roman" w:hAnsi="Times New Roman" w:cs="Times New Roman"/>
          <w:sz w:val="23"/>
          <w:szCs w:val="23"/>
        </w:rPr>
        <w:t>s</w:t>
      </w:r>
      <w:r w:rsidR="00826307">
        <w:rPr>
          <w:rFonts w:ascii="Times New Roman" w:hAnsi="Times New Roman" w:cs="Times New Roman"/>
          <w:sz w:val="23"/>
          <w:szCs w:val="23"/>
        </w:rPr>
        <w:t xml:space="preserve"> </w:t>
      </w:r>
      <w:r w:rsidRPr="0064025F">
        <w:rPr>
          <w:rFonts w:ascii="Times New Roman" w:hAnsi="Times New Roman" w:cs="Times New Roman"/>
          <w:sz w:val="23"/>
          <w:szCs w:val="23"/>
        </w:rPr>
        <w:t xml:space="preserve">stand in for. </w:t>
      </w:r>
    </w:p>
    <w:p w14:paraId="7E4C775A" w14:textId="77777777" w:rsidR="0064025F" w:rsidRDefault="0064025F" w:rsidP="001A3726">
      <w:pPr>
        <w:pStyle w:val="ListParagraph"/>
        <w:ind w:left="360"/>
        <w:jc w:val="both"/>
        <w:rPr>
          <w:rFonts w:ascii="Times New Roman" w:hAnsi="Times New Roman" w:cs="Times New Roman"/>
          <w:sz w:val="23"/>
          <w:szCs w:val="23"/>
        </w:rPr>
      </w:pPr>
    </w:p>
    <w:p w14:paraId="519A880B" w14:textId="59346EAD" w:rsidR="00DF4149" w:rsidRDefault="00DF4149" w:rsidP="0064025F">
      <w:pPr>
        <w:pStyle w:val="ListParagraph"/>
        <w:numPr>
          <w:ilvl w:val="0"/>
          <w:numId w:val="1"/>
        </w:numPr>
        <w:jc w:val="both"/>
        <w:rPr>
          <w:rFonts w:ascii="Times New Roman" w:hAnsi="Times New Roman" w:cs="Times New Roman"/>
          <w:sz w:val="23"/>
          <w:szCs w:val="23"/>
        </w:rPr>
      </w:pPr>
      <w:r w:rsidRPr="0064025F">
        <w:rPr>
          <w:rFonts w:ascii="Times New Roman" w:hAnsi="Times New Roman" w:cs="Times New Roman"/>
          <w:sz w:val="23"/>
          <w:szCs w:val="23"/>
        </w:rPr>
        <w:t>In the context of health, some ethicists have taken the concept of reciprocity a step further to argue that reciprocity provides “means by which the state can accept responsibility for the conditions that have led to infection and disease.”</w:t>
      </w:r>
      <w:r w:rsidR="001A3726" w:rsidRPr="001A3726">
        <w:rPr>
          <w:rStyle w:val="EndnoteReference"/>
          <w:rFonts w:ascii="Times New Roman" w:hAnsi="Times New Roman" w:cs="Times New Roman"/>
          <w:sz w:val="23"/>
          <w:szCs w:val="23"/>
        </w:rPr>
        <w:t xml:space="preserve"> </w:t>
      </w:r>
      <w:r w:rsidR="001A3726">
        <w:rPr>
          <w:rStyle w:val="EndnoteReference"/>
          <w:rFonts w:ascii="Times New Roman" w:hAnsi="Times New Roman" w:cs="Times New Roman"/>
          <w:sz w:val="23"/>
          <w:szCs w:val="23"/>
        </w:rPr>
        <w:endnoteReference w:id="11"/>
      </w:r>
      <w:r w:rsidR="001A3726" w:rsidRPr="0064025F">
        <w:rPr>
          <w:rFonts w:ascii="Times New Roman" w:hAnsi="Times New Roman" w:cs="Times New Roman"/>
          <w:sz w:val="23"/>
          <w:szCs w:val="23"/>
        </w:rPr>
        <w:t xml:space="preserve"> </w:t>
      </w:r>
      <w:r w:rsidRPr="0064025F">
        <w:rPr>
          <w:rFonts w:ascii="Times New Roman" w:hAnsi="Times New Roman" w:cs="Times New Roman"/>
          <w:sz w:val="23"/>
          <w:szCs w:val="23"/>
        </w:rPr>
        <w:t>To the extent underlying social and economic conditions give rise to poverty, disease, or social precarity</w:t>
      </w:r>
      <w:r w:rsidR="00E978A1" w:rsidRPr="00E978A1">
        <w:rPr>
          <w:rFonts w:ascii="Times New Roman" w:hAnsi="Times New Roman" w:cs="Times New Roman"/>
          <w:sz w:val="23"/>
          <w:szCs w:val="23"/>
        </w:rPr>
        <w:t>, reciprocity may compel</w:t>
      </w:r>
      <w:r w:rsidRPr="0064025F">
        <w:rPr>
          <w:rFonts w:ascii="Times New Roman" w:hAnsi="Times New Roman" w:cs="Times New Roman"/>
          <w:sz w:val="23"/>
          <w:szCs w:val="23"/>
        </w:rPr>
        <w:t xml:space="preserve"> state</w:t>
      </w:r>
      <w:r w:rsidR="00E978A1">
        <w:rPr>
          <w:rFonts w:ascii="Times New Roman" w:hAnsi="Times New Roman" w:cs="Times New Roman"/>
          <w:sz w:val="23"/>
          <w:szCs w:val="23"/>
        </w:rPr>
        <w:t>s</w:t>
      </w:r>
      <w:r w:rsidRPr="0064025F">
        <w:rPr>
          <w:rFonts w:ascii="Times New Roman" w:hAnsi="Times New Roman" w:cs="Times New Roman"/>
          <w:sz w:val="23"/>
          <w:szCs w:val="23"/>
        </w:rPr>
        <w:t xml:space="preserve"> to invest in science and connect people to its benefits in order to address </w:t>
      </w:r>
      <w:r w:rsidR="00567051">
        <w:rPr>
          <w:rFonts w:ascii="Times New Roman" w:hAnsi="Times New Roman" w:cs="Times New Roman"/>
          <w:sz w:val="23"/>
          <w:szCs w:val="23"/>
        </w:rPr>
        <w:t>such</w:t>
      </w:r>
      <w:r w:rsidR="00567051" w:rsidRPr="0064025F">
        <w:rPr>
          <w:rFonts w:ascii="Times New Roman" w:hAnsi="Times New Roman" w:cs="Times New Roman"/>
          <w:sz w:val="23"/>
          <w:szCs w:val="23"/>
        </w:rPr>
        <w:t xml:space="preserve"> </w:t>
      </w:r>
      <w:r w:rsidRPr="0064025F">
        <w:rPr>
          <w:rFonts w:ascii="Times New Roman" w:hAnsi="Times New Roman" w:cs="Times New Roman"/>
          <w:sz w:val="23"/>
          <w:szCs w:val="23"/>
        </w:rPr>
        <w:t>conditions and any resulting harms.</w:t>
      </w:r>
      <w:r w:rsidR="00971ECC">
        <w:rPr>
          <w:rFonts w:ascii="Times New Roman" w:hAnsi="Times New Roman" w:cs="Times New Roman"/>
          <w:sz w:val="23"/>
          <w:szCs w:val="23"/>
        </w:rPr>
        <w:t xml:space="preserve"> </w:t>
      </w:r>
      <w:r w:rsidR="001302B1" w:rsidRPr="0064025F">
        <w:rPr>
          <w:rFonts w:ascii="Times New Roman" w:hAnsi="Times New Roman" w:cs="Times New Roman"/>
          <w:sz w:val="23"/>
          <w:szCs w:val="23"/>
        </w:rPr>
        <w:t>Action by states should proceed in ways tha</w:t>
      </w:r>
      <w:r w:rsidR="00E978A1" w:rsidRPr="00E978A1">
        <w:rPr>
          <w:rFonts w:ascii="Times New Roman" w:hAnsi="Times New Roman" w:cs="Times New Roman"/>
          <w:sz w:val="23"/>
          <w:szCs w:val="23"/>
        </w:rPr>
        <w:t>t center affected individuals,</w:t>
      </w:r>
      <w:r w:rsidR="001302B1" w:rsidRPr="0064025F">
        <w:rPr>
          <w:rFonts w:ascii="Times New Roman" w:hAnsi="Times New Roman" w:cs="Times New Roman"/>
          <w:sz w:val="23"/>
          <w:szCs w:val="23"/>
        </w:rPr>
        <w:t xml:space="preserve"> not </w:t>
      </w:r>
      <w:r w:rsidR="00E978A1">
        <w:rPr>
          <w:rFonts w:ascii="Times New Roman" w:hAnsi="Times New Roman" w:cs="Times New Roman"/>
          <w:sz w:val="23"/>
          <w:szCs w:val="23"/>
        </w:rPr>
        <w:t xml:space="preserve">as </w:t>
      </w:r>
      <w:r w:rsidR="001302B1" w:rsidRPr="0064025F">
        <w:rPr>
          <w:rFonts w:ascii="Times New Roman" w:hAnsi="Times New Roman" w:cs="Times New Roman"/>
          <w:sz w:val="23"/>
          <w:szCs w:val="23"/>
        </w:rPr>
        <w:t>mere informants</w:t>
      </w:r>
      <w:r w:rsidR="00E978A1">
        <w:rPr>
          <w:rFonts w:ascii="Times New Roman" w:hAnsi="Times New Roman" w:cs="Times New Roman"/>
          <w:sz w:val="23"/>
          <w:szCs w:val="23"/>
        </w:rPr>
        <w:t>,</w:t>
      </w:r>
      <w:r w:rsidR="001302B1" w:rsidRPr="0064025F">
        <w:rPr>
          <w:rFonts w:ascii="Times New Roman" w:hAnsi="Times New Roman" w:cs="Times New Roman"/>
          <w:sz w:val="23"/>
          <w:szCs w:val="23"/>
        </w:rPr>
        <w:t xml:space="preserve"> but </w:t>
      </w:r>
      <w:r w:rsidR="00E978A1">
        <w:rPr>
          <w:rFonts w:ascii="Times New Roman" w:hAnsi="Times New Roman" w:cs="Times New Roman"/>
          <w:sz w:val="23"/>
          <w:szCs w:val="23"/>
        </w:rPr>
        <w:t xml:space="preserve">as </w:t>
      </w:r>
      <w:r w:rsidR="001302B1" w:rsidRPr="0064025F">
        <w:rPr>
          <w:rFonts w:ascii="Times New Roman" w:hAnsi="Times New Roman" w:cs="Times New Roman"/>
          <w:sz w:val="23"/>
          <w:szCs w:val="23"/>
        </w:rPr>
        <w:t xml:space="preserve">actual decision-makers in the conservation, development, and diffusion of science for the public good. </w:t>
      </w:r>
    </w:p>
    <w:p w14:paraId="5BF758E5" w14:textId="77777777" w:rsidR="0064025F" w:rsidRDefault="0064025F" w:rsidP="001A3726">
      <w:pPr>
        <w:pStyle w:val="ListParagraph"/>
        <w:ind w:left="360"/>
        <w:jc w:val="both"/>
        <w:rPr>
          <w:rFonts w:ascii="Times New Roman" w:hAnsi="Times New Roman" w:cs="Times New Roman"/>
          <w:sz w:val="23"/>
          <w:szCs w:val="23"/>
        </w:rPr>
      </w:pPr>
    </w:p>
    <w:p w14:paraId="705D5E20" w14:textId="1967891C" w:rsidR="00E978A1" w:rsidRPr="0064025F" w:rsidRDefault="00E978A1" w:rsidP="0064025F">
      <w:pPr>
        <w:pStyle w:val="ListParagraph"/>
        <w:numPr>
          <w:ilvl w:val="0"/>
          <w:numId w:val="1"/>
        </w:numPr>
        <w:jc w:val="both"/>
        <w:rPr>
          <w:rFonts w:ascii="Times New Roman" w:hAnsi="Times New Roman" w:cs="Times New Roman"/>
          <w:sz w:val="23"/>
          <w:szCs w:val="23"/>
        </w:rPr>
      </w:pPr>
      <w:r>
        <w:rPr>
          <w:rFonts w:ascii="Times New Roman" w:hAnsi="Times New Roman" w:cs="Times New Roman"/>
          <w:sz w:val="23"/>
          <w:szCs w:val="23"/>
        </w:rPr>
        <w:t>We thank the CESCR for the opportunity to raise these issues to its attention</w:t>
      </w:r>
      <w:r w:rsidR="0064025F">
        <w:rPr>
          <w:rFonts w:ascii="Times New Roman" w:hAnsi="Times New Roman" w:cs="Times New Roman"/>
          <w:sz w:val="23"/>
          <w:szCs w:val="23"/>
        </w:rPr>
        <w:t xml:space="preserve"> and offer our further assistance in developing and disseminating the general commen</w:t>
      </w:r>
      <w:r w:rsidR="00DD50C8">
        <w:rPr>
          <w:rFonts w:ascii="Times New Roman" w:hAnsi="Times New Roman" w:cs="Times New Roman"/>
          <w:sz w:val="23"/>
          <w:szCs w:val="23"/>
        </w:rPr>
        <w:t>t</w:t>
      </w:r>
      <w:r>
        <w:rPr>
          <w:rFonts w:ascii="Times New Roman" w:hAnsi="Times New Roman" w:cs="Times New Roman"/>
          <w:sz w:val="23"/>
          <w:szCs w:val="23"/>
        </w:rPr>
        <w:t xml:space="preserve">. </w:t>
      </w:r>
    </w:p>
    <w:p w14:paraId="3061F746" w14:textId="77777777" w:rsidR="00DF4149" w:rsidRPr="001A3726" w:rsidRDefault="00DF4149" w:rsidP="003A5C10">
      <w:pPr>
        <w:jc w:val="both"/>
        <w:rPr>
          <w:rFonts w:ascii="Times New Roman" w:hAnsi="Times New Roman" w:cs="Times New Roman"/>
          <w:sz w:val="23"/>
          <w:szCs w:val="23"/>
        </w:rPr>
      </w:pPr>
    </w:p>
    <w:p w14:paraId="1B04E3A9" w14:textId="77777777" w:rsidR="006C18D1" w:rsidRPr="001A3726" w:rsidRDefault="006C18D1" w:rsidP="003A5C10">
      <w:pPr>
        <w:jc w:val="both"/>
        <w:rPr>
          <w:rFonts w:ascii="Times New Roman" w:hAnsi="Times New Roman" w:cs="Times New Roman"/>
          <w:sz w:val="23"/>
          <w:szCs w:val="23"/>
        </w:rPr>
      </w:pPr>
    </w:p>
    <w:sectPr w:rsidR="006C18D1" w:rsidRPr="001A3726" w:rsidSect="00DF7AED">
      <w:footerReference w:type="even" r:id="rId7"/>
      <w:footerReference w:type="default" r:id="rId8"/>
      <w:headerReference w:type="first" r:id="rId9"/>
      <w:endnotePr>
        <w:numFmt w:val="decimal"/>
      </w:endnotePr>
      <w:pgSz w:w="12240" w:h="15840"/>
      <w:pgMar w:top="1152" w:right="1728"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C1D9C" w14:textId="77777777" w:rsidR="0014093D" w:rsidRDefault="0014093D" w:rsidP="0060234C">
      <w:r>
        <w:separator/>
      </w:r>
    </w:p>
  </w:endnote>
  <w:endnote w:type="continuationSeparator" w:id="0">
    <w:p w14:paraId="71E3B7A7" w14:textId="77777777" w:rsidR="0014093D" w:rsidRDefault="0014093D" w:rsidP="0060234C">
      <w:r>
        <w:continuationSeparator/>
      </w:r>
    </w:p>
  </w:endnote>
  <w:endnote w:id="1">
    <w:p w14:paraId="4691AED4" w14:textId="23EB1E7F" w:rsidR="0014093D" w:rsidRPr="001A3726" w:rsidRDefault="0014093D">
      <w:pPr>
        <w:pStyle w:val="EndnoteText"/>
        <w:rPr>
          <w:rFonts w:ascii="Times" w:hAnsi="Times"/>
          <w:sz w:val="21"/>
          <w:szCs w:val="21"/>
        </w:rPr>
      </w:pPr>
      <w:r w:rsidRPr="001A3726">
        <w:rPr>
          <w:rStyle w:val="EndnoteReference"/>
          <w:rFonts w:ascii="Times" w:hAnsi="Times"/>
          <w:sz w:val="21"/>
          <w:szCs w:val="21"/>
        </w:rPr>
        <w:endnoteRef/>
      </w:r>
      <w:r w:rsidRPr="001A3726">
        <w:rPr>
          <w:rFonts w:ascii="Times" w:hAnsi="Times"/>
          <w:sz w:val="21"/>
          <w:szCs w:val="21"/>
        </w:rPr>
        <w:t xml:space="preserve"> </w:t>
      </w:r>
      <w:r w:rsidRPr="001A3726">
        <w:rPr>
          <w:rFonts w:ascii="Times" w:hAnsi="Times" w:cs="Times New Roman"/>
          <w:sz w:val="21"/>
          <w:szCs w:val="21"/>
        </w:rPr>
        <w:t>Shaheed F. Report of the Special Rapporteur in the field of cultural rights, the right to enjoy the benefits of scientific progress and its applications. A/HRC/20/26. 14 May 2012.</w:t>
      </w:r>
      <w:r w:rsidRPr="001A3726">
        <w:rPr>
          <w:rFonts w:ascii="Times" w:hAnsi="Times"/>
          <w:sz w:val="21"/>
          <w:szCs w:val="21"/>
        </w:rPr>
        <w:t xml:space="preserve"> </w:t>
      </w:r>
    </w:p>
  </w:endnote>
  <w:endnote w:id="2">
    <w:p w14:paraId="59C07724" w14:textId="5801A8DE" w:rsidR="0014093D" w:rsidRPr="001A3726" w:rsidRDefault="0014093D">
      <w:pPr>
        <w:pStyle w:val="EndnoteText"/>
        <w:rPr>
          <w:rFonts w:ascii="Times" w:hAnsi="Times"/>
          <w:sz w:val="21"/>
          <w:szCs w:val="21"/>
        </w:rPr>
      </w:pPr>
      <w:r w:rsidRPr="001A3726">
        <w:rPr>
          <w:rStyle w:val="EndnoteReference"/>
          <w:rFonts w:ascii="Times" w:hAnsi="Times"/>
          <w:sz w:val="21"/>
          <w:szCs w:val="21"/>
        </w:rPr>
        <w:endnoteRef/>
      </w:r>
      <w:r w:rsidRPr="001A3726">
        <w:rPr>
          <w:rFonts w:ascii="Times" w:hAnsi="Times"/>
          <w:sz w:val="21"/>
          <w:szCs w:val="21"/>
        </w:rPr>
        <w:t xml:space="preserve"> </w:t>
      </w:r>
      <w:r w:rsidRPr="001A3726">
        <w:rPr>
          <w:rFonts w:ascii="Times" w:hAnsi="Times" w:cs="Times New Roman"/>
          <w:sz w:val="21"/>
          <w:szCs w:val="21"/>
        </w:rPr>
        <w:t>World Health Organization. Global investments in TB research: past, present, and future. Geneva: World Health Organization; 2017.</w:t>
      </w:r>
      <w:r w:rsidRPr="001A3726">
        <w:rPr>
          <w:rFonts w:ascii="Times" w:hAnsi="Times"/>
          <w:sz w:val="21"/>
          <w:szCs w:val="21"/>
        </w:rPr>
        <w:t xml:space="preserve"> </w:t>
      </w:r>
    </w:p>
  </w:endnote>
  <w:endnote w:id="3">
    <w:p w14:paraId="0D8C2DE9" w14:textId="079F8572" w:rsidR="0014093D" w:rsidRPr="001A3726" w:rsidRDefault="0014093D">
      <w:pPr>
        <w:pStyle w:val="EndnoteText"/>
        <w:rPr>
          <w:rFonts w:ascii="Times" w:hAnsi="Times"/>
          <w:sz w:val="21"/>
          <w:szCs w:val="21"/>
        </w:rPr>
      </w:pPr>
      <w:r w:rsidRPr="001A3726">
        <w:rPr>
          <w:rStyle w:val="EndnoteReference"/>
          <w:rFonts w:ascii="Times" w:hAnsi="Times"/>
          <w:sz w:val="21"/>
          <w:szCs w:val="21"/>
        </w:rPr>
        <w:endnoteRef/>
      </w:r>
      <w:r w:rsidRPr="001A3726">
        <w:rPr>
          <w:rFonts w:ascii="Times" w:hAnsi="Times"/>
          <w:sz w:val="21"/>
          <w:szCs w:val="21"/>
        </w:rPr>
        <w:t xml:space="preserve"> </w:t>
      </w:r>
      <w:r w:rsidRPr="001A3726">
        <w:rPr>
          <w:rFonts w:ascii="Times" w:hAnsi="Times" w:cs="Times New Roman"/>
          <w:sz w:val="21"/>
          <w:szCs w:val="21"/>
        </w:rPr>
        <w:t>Treatment Action Group. The ascent begins: report on TB research funding trends, 2005–2016. New York: Treatment Action Group; 2017.</w:t>
      </w:r>
    </w:p>
  </w:endnote>
  <w:endnote w:id="4">
    <w:p w14:paraId="06FFFAFF" w14:textId="216BEF0A" w:rsidR="0014093D" w:rsidRPr="001A3726" w:rsidRDefault="0014093D">
      <w:pPr>
        <w:pStyle w:val="EndnoteText"/>
        <w:rPr>
          <w:rFonts w:ascii="Times" w:hAnsi="Times"/>
          <w:sz w:val="21"/>
          <w:szCs w:val="21"/>
        </w:rPr>
      </w:pPr>
      <w:r w:rsidRPr="001A3726">
        <w:rPr>
          <w:rStyle w:val="EndnoteReference"/>
          <w:rFonts w:ascii="Times" w:hAnsi="Times"/>
          <w:sz w:val="21"/>
          <w:szCs w:val="21"/>
        </w:rPr>
        <w:endnoteRef/>
      </w:r>
      <w:r w:rsidRPr="001A3726">
        <w:rPr>
          <w:rFonts w:ascii="Times" w:hAnsi="Times"/>
          <w:sz w:val="21"/>
          <w:szCs w:val="21"/>
        </w:rPr>
        <w:t xml:space="preserve"> Treatment Action Group. Submission to the Office of the United Nations high Commissioner for Human Rights to Report on Sustainable Development Goals and Health. 16 October 2017. http://www.treatmentactiongroup.org/content/submission-office-united-nations-high-commissioner-human-rights-report-sustainable</w:t>
      </w:r>
    </w:p>
  </w:endnote>
  <w:endnote w:id="5">
    <w:p w14:paraId="38F134AF" w14:textId="329CFFDF" w:rsidR="0014093D" w:rsidRPr="001A3726" w:rsidRDefault="0014093D">
      <w:pPr>
        <w:pStyle w:val="EndnoteText"/>
        <w:rPr>
          <w:rFonts w:ascii="Times" w:hAnsi="Times"/>
          <w:sz w:val="21"/>
          <w:szCs w:val="21"/>
        </w:rPr>
      </w:pPr>
      <w:r w:rsidRPr="001A3726">
        <w:rPr>
          <w:rStyle w:val="EndnoteReference"/>
          <w:rFonts w:ascii="Times" w:hAnsi="Times"/>
          <w:sz w:val="21"/>
          <w:szCs w:val="21"/>
        </w:rPr>
        <w:endnoteRef/>
      </w:r>
      <w:r w:rsidRPr="001A3726">
        <w:rPr>
          <w:rFonts w:ascii="Times" w:hAnsi="Times"/>
          <w:sz w:val="21"/>
          <w:szCs w:val="21"/>
        </w:rPr>
        <w:t xml:space="preserve"> </w:t>
      </w:r>
      <w:r w:rsidRPr="001A3726">
        <w:rPr>
          <w:rFonts w:ascii="Times" w:hAnsi="Times" w:cs="Times New Roman"/>
          <w:sz w:val="21"/>
          <w:szCs w:val="21"/>
        </w:rPr>
        <w:t>AAAS Science and Human Rights Coalition. Defining the right to enjoy the benefits of scientific progress and its application: American scientists’ perspectives. Washington, D.C.: AAAS; 2013.</w:t>
      </w:r>
    </w:p>
  </w:endnote>
  <w:endnote w:id="6">
    <w:p w14:paraId="7E055212" w14:textId="620EF5AA" w:rsidR="0014093D" w:rsidRPr="001A3726" w:rsidRDefault="0014093D">
      <w:pPr>
        <w:pStyle w:val="EndnoteText"/>
        <w:rPr>
          <w:rFonts w:ascii="Times" w:hAnsi="Times"/>
          <w:sz w:val="21"/>
          <w:szCs w:val="21"/>
        </w:rPr>
      </w:pPr>
      <w:r w:rsidRPr="001A3726">
        <w:rPr>
          <w:rStyle w:val="EndnoteReference"/>
          <w:rFonts w:ascii="Times" w:hAnsi="Times"/>
          <w:sz w:val="21"/>
          <w:szCs w:val="21"/>
        </w:rPr>
        <w:endnoteRef/>
      </w:r>
      <w:r w:rsidRPr="001A3726">
        <w:rPr>
          <w:rFonts w:ascii="Times" w:hAnsi="Times"/>
          <w:sz w:val="21"/>
          <w:szCs w:val="21"/>
        </w:rPr>
        <w:t xml:space="preserve"> Frick M, Henry I, Lessem E. Falling short of the rights to health and scientific progress: inadequate TB drug research and access. Health Hum Rights. 2016;18(1):9–24. </w:t>
      </w:r>
    </w:p>
  </w:endnote>
  <w:endnote w:id="7">
    <w:p w14:paraId="15FA7997" w14:textId="0B161E0E" w:rsidR="0014093D" w:rsidRPr="001A3726" w:rsidRDefault="0014093D">
      <w:pPr>
        <w:pStyle w:val="EndnoteText"/>
        <w:rPr>
          <w:rFonts w:ascii="Times" w:hAnsi="Times"/>
          <w:sz w:val="21"/>
          <w:szCs w:val="21"/>
        </w:rPr>
      </w:pPr>
      <w:r w:rsidRPr="001A3726">
        <w:rPr>
          <w:rStyle w:val="EndnoteReference"/>
          <w:rFonts w:ascii="Times" w:hAnsi="Times"/>
          <w:sz w:val="21"/>
          <w:szCs w:val="21"/>
        </w:rPr>
        <w:endnoteRef/>
      </w:r>
      <w:r w:rsidRPr="001A3726">
        <w:rPr>
          <w:rFonts w:ascii="Times" w:hAnsi="Times"/>
          <w:sz w:val="21"/>
          <w:szCs w:val="21"/>
        </w:rPr>
        <w:t xml:space="preserve"> </w:t>
      </w:r>
      <w:r w:rsidRPr="001A3726">
        <w:rPr>
          <w:rFonts w:ascii="Times" w:hAnsi="Times" w:cs="Times New Roman"/>
          <w:sz w:val="21"/>
          <w:szCs w:val="21"/>
        </w:rPr>
        <w:t>Chapman A. Towards an understanding of the right to enjoy the benefits of scientific progress and its applications. Journal of Human Rights. 2009;8:1–36.</w:t>
      </w:r>
      <w:r w:rsidRPr="001A3726">
        <w:rPr>
          <w:rFonts w:ascii="Times" w:hAnsi="Times"/>
          <w:sz w:val="21"/>
          <w:szCs w:val="21"/>
        </w:rPr>
        <w:t xml:space="preserve"> </w:t>
      </w:r>
    </w:p>
  </w:endnote>
  <w:endnote w:id="8">
    <w:p w14:paraId="4FF93E48" w14:textId="303EA0F6" w:rsidR="0014093D" w:rsidRPr="001A3726" w:rsidRDefault="0014093D">
      <w:pPr>
        <w:pStyle w:val="EndnoteText"/>
        <w:rPr>
          <w:rFonts w:ascii="Times" w:hAnsi="Times"/>
          <w:sz w:val="21"/>
          <w:szCs w:val="21"/>
        </w:rPr>
      </w:pPr>
      <w:r w:rsidRPr="001A3726">
        <w:rPr>
          <w:rStyle w:val="EndnoteReference"/>
          <w:rFonts w:ascii="Times" w:hAnsi="Times"/>
          <w:sz w:val="21"/>
          <w:szCs w:val="21"/>
        </w:rPr>
        <w:endnoteRef/>
      </w:r>
      <w:r w:rsidRPr="001A3726">
        <w:rPr>
          <w:rFonts w:ascii="Times" w:hAnsi="Times"/>
          <w:sz w:val="21"/>
          <w:szCs w:val="21"/>
        </w:rPr>
        <w:t xml:space="preserve"> </w:t>
      </w:r>
      <w:r w:rsidRPr="001A3726">
        <w:rPr>
          <w:rFonts w:ascii="Times" w:hAnsi="Times" w:cs="Times New Roman"/>
          <w:sz w:val="21"/>
          <w:szCs w:val="21"/>
        </w:rPr>
        <w:t xml:space="preserve">Final Report of the UN Secretary-General’s High-Level Panel on Access to Medicines. Final report. 2016. </w:t>
      </w:r>
      <w:hyperlink r:id="rId1" w:history="1">
        <w:r w:rsidRPr="001A3726">
          <w:rPr>
            <w:rStyle w:val="Hyperlink"/>
            <w:rFonts w:ascii="Times" w:hAnsi="Times" w:cs="Times New Roman"/>
            <w:sz w:val="21"/>
            <w:szCs w:val="21"/>
          </w:rPr>
          <w:t>http://www.unsgaccessmeds.org/final-report/</w:t>
        </w:r>
      </w:hyperlink>
      <w:r w:rsidRPr="001A3726">
        <w:rPr>
          <w:rFonts w:ascii="Times" w:hAnsi="Times" w:cs="Times New Roman"/>
          <w:sz w:val="21"/>
          <w:szCs w:val="21"/>
        </w:rPr>
        <w:t xml:space="preserve">. </w:t>
      </w:r>
    </w:p>
  </w:endnote>
  <w:endnote w:id="9">
    <w:p w14:paraId="61D7DA83" w14:textId="603EF324" w:rsidR="0014093D" w:rsidRPr="001A3726" w:rsidRDefault="0014093D" w:rsidP="00DD50C8">
      <w:pPr>
        <w:rPr>
          <w:rFonts w:ascii="Times" w:eastAsia="Times New Roman" w:hAnsi="Times" w:cs="Times New Roman"/>
          <w:sz w:val="21"/>
          <w:szCs w:val="21"/>
        </w:rPr>
      </w:pPr>
      <w:r w:rsidRPr="001A3726">
        <w:rPr>
          <w:rStyle w:val="EndnoteReference"/>
          <w:rFonts w:ascii="Times" w:hAnsi="Times"/>
          <w:sz w:val="21"/>
          <w:szCs w:val="21"/>
        </w:rPr>
        <w:endnoteRef/>
      </w:r>
      <w:r w:rsidRPr="001A3726">
        <w:rPr>
          <w:rFonts w:ascii="Times" w:hAnsi="Times"/>
          <w:sz w:val="21"/>
          <w:szCs w:val="21"/>
        </w:rPr>
        <w:t xml:space="preserve"> </w:t>
      </w:r>
      <w:r w:rsidRPr="001A3726">
        <w:rPr>
          <w:rFonts w:ascii="Times" w:eastAsia="Times New Roman" w:hAnsi="Times" w:cs="Times New Roman"/>
          <w:color w:val="5C5D5F"/>
          <w:sz w:val="21"/>
          <w:szCs w:val="21"/>
          <w:shd w:val="clear" w:color="auto" w:fill="FFFFFF"/>
        </w:rPr>
        <w:t xml:space="preserve">Shaver L. The right to science and culture. Wisconsin Law Review;2010(1):121–184. </w:t>
      </w:r>
    </w:p>
  </w:endnote>
  <w:endnote w:id="10">
    <w:p w14:paraId="05B0386C" w14:textId="7309A29A" w:rsidR="0014093D" w:rsidRPr="001A3726" w:rsidRDefault="0014093D">
      <w:pPr>
        <w:pStyle w:val="EndnoteText"/>
        <w:rPr>
          <w:rFonts w:ascii="Times" w:hAnsi="Times"/>
          <w:sz w:val="21"/>
          <w:szCs w:val="21"/>
        </w:rPr>
      </w:pPr>
      <w:r w:rsidRPr="001A3726">
        <w:rPr>
          <w:rStyle w:val="EndnoteReference"/>
          <w:rFonts w:ascii="Times" w:hAnsi="Times"/>
          <w:sz w:val="21"/>
          <w:szCs w:val="21"/>
        </w:rPr>
        <w:endnoteRef/>
      </w:r>
      <w:r w:rsidRPr="001A3726">
        <w:rPr>
          <w:rFonts w:ascii="Times" w:hAnsi="Times"/>
          <w:sz w:val="21"/>
          <w:szCs w:val="21"/>
        </w:rPr>
        <w:t xml:space="preserve"> </w:t>
      </w:r>
      <w:r w:rsidRPr="001A3726">
        <w:rPr>
          <w:rFonts w:ascii="Times" w:hAnsi="Times" w:cs="Times New Roman"/>
          <w:sz w:val="21"/>
          <w:szCs w:val="21"/>
        </w:rPr>
        <w:t>See, for example, Critical Path to TB Drug Regimens Stakeholder and Community Engagement Work Group. Good participatory practice guidelines for TB drug trials. Washington, D.C.: CPTR; 2012.</w:t>
      </w:r>
      <w:r w:rsidRPr="001A3726">
        <w:rPr>
          <w:rFonts w:ascii="Times" w:hAnsi="Times"/>
          <w:sz w:val="21"/>
          <w:szCs w:val="21"/>
        </w:rPr>
        <w:t xml:space="preserve"> </w:t>
      </w:r>
    </w:p>
  </w:endnote>
  <w:endnote w:id="11">
    <w:p w14:paraId="5B3B15DE" w14:textId="77777777" w:rsidR="001A3726" w:rsidRPr="001A3726" w:rsidRDefault="001A3726" w:rsidP="001A3726">
      <w:pPr>
        <w:pStyle w:val="EndnoteText"/>
        <w:rPr>
          <w:rFonts w:ascii="Times" w:hAnsi="Times"/>
          <w:sz w:val="20"/>
          <w:szCs w:val="20"/>
        </w:rPr>
      </w:pPr>
      <w:r w:rsidRPr="001A3726">
        <w:rPr>
          <w:rStyle w:val="EndnoteReference"/>
          <w:rFonts w:ascii="Times" w:hAnsi="Times"/>
          <w:sz w:val="21"/>
          <w:szCs w:val="21"/>
        </w:rPr>
        <w:endnoteRef/>
      </w:r>
      <w:r w:rsidRPr="001A3726">
        <w:rPr>
          <w:rFonts w:ascii="Times" w:hAnsi="Times"/>
          <w:sz w:val="21"/>
          <w:szCs w:val="21"/>
        </w:rPr>
        <w:t xml:space="preserve"> Silva D, Dawson A, Upshur R. Reciprocity and ethical tuberculosis treatment and control. J Bioeth Inq. 2016;13:75–86.</w:t>
      </w:r>
      <w:r w:rsidRPr="001A3726">
        <w:rPr>
          <w:rFonts w:ascii="Times" w:hAnsi="Times"/>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A32EB" w14:textId="77777777" w:rsidR="0014093D" w:rsidRDefault="0014093D" w:rsidP="004A79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2679C3" w14:textId="77777777" w:rsidR="0014093D" w:rsidRDefault="0014093D" w:rsidP="00CB41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A2E00" w14:textId="3189E2BA" w:rsidR="0014093D" w:rsidRDefault="0014093D" w:rsidP="004A79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770B">
      <w:rPr>
        <w:rStyle w:val="PageNumber"/>
        <w:noProof/>
      </w:rPr>
      <w:t>2</w:t>
    </w:r>
    <w:r>
      <w:rPr>
        <w:rStyle w:val="PageNumber"/>
      </w:rPr>
      <w:fldChar w:fldCharType="end"/>
    </w:r>
  </w:p>
  <w:p w14:paraId="2A76B568" w14:textId="77777777" w:rsidR="0014093D" w:rsidRDefault="0014093D" w:rsidP="00CB41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D4858" w14:textId="77777777" w:rsidR="0014093D" w:rsidRDefault="0014093D" w:rsidP="0060234C">
      <w:r>
        <w:separator/>
      </w:r>
    </w:p>
  </w:footnote>
  <w:footnote w:type="continuationSeparator" w:id="0">
    <w:p w14:paraId="4B3EA7AF" w14:textId="77777777" w:rsidR="0014093D" w:rsidRDefault="0014093D" w:rsidP="00602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9F799" w14:textId="19F4F365" w:rsidR="0014093D" w:rsidRDefault="0014093D" w:rsidP="0060234C">
    <w:pPr>
      <w:pStyle w:val="Header"/>
      <w:jc w:val="center"/>
    </w:pPr>
    <w:r>
      <w:rPr>
        <w:noProof/>
        <w:lang w:val="en-GB" w:eastAsia="en-GB"/>
      </w:rPr>
      <w:drawing>
        <wp:anchor distT="0" distB="0" distL="114300" distR="114300" simplePos="0" relativeHeight="251658240" behindDoc="0" locked="0" layoutInCell="1" allowOverlap="1" wp14:anchorId="1ABC3141" wp14:editId="0E848063">
          <wp:simplePos x="0" y="0"/>
          <wp:positionH relativeFrom="column">
            <wp:posOffset>1853565</wp:posOffset>
          </wp:positionH>
          <wp:positionV relativeFrom="paragraph">
            <wp:posOffset>-114300</wp:posOffset>
          </wp:positionV>
          <wp:extent cx="1774479" cy="624799"/>
          <wp:effectExtent l="0" t="0" r="3810" b="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479" cy="624799"/>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October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77858"/>
    <w:multiLevelType w:val="hybridMultilevel"/>
    <w:tmpl w:val="436C0FDA"/>
    <w:lvl w:ilvl="0" w:tplc="83E0A3B6">
      <w:start w:val="1"/>
      <w:numFmt w:val="decimal"/>
      <w:lvlText w:val="%1."/>
      <w:lvlJc w:val="left"/>
      <w:pPr>
        <w:ind w:left="360" w:hanging="360"/>
      </w:pPr>
      <w:rPr>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D3"/>
    <w:rsid w:val="00025ED0"/>
    <w:rsid w:val="0003719A"/>
    <w:rsid w:val="00044B1D"/>
    <w:rsid w:val="000C0330"/>
    <w:rsid w:val="000F7EC2"/>
    <w:rsid w:val="001302B1"/>
    <w:rsid w:val="00140058"/>
    <w:rsid w:val="0014093D"/>
    <w:rsid w:val="001523D9"/>
    <w:rsid w:val="001A3726"/>
    <w:rsid w:val="0034770B"/>
    <w:rsid w:val="003A5C10"/>
    <w:rsid w:val="00477C96"/>
    <w:rsid w:val="004A79A7"/>
    <w:rsid w:val="004C64D2"/>
    <w:rsid w:val="00567051"/>
    <w:rsid w:val="005A44D3"/>
    <w:rsid w:val="005E673F"/>
    <w:rsid w:val="0060234C"/>
    <w:rsid w:val="0064025F"/>
    <w:rsid w:val="00654A88"/>
    <w:rsid w:val="006615F0"/>
    <w:rsid w:val="00694615"/>
    <w:rsid w:val="006C18D1"/>
    <w:rsid w:val="0078534F"/>
    <w:rsid w:val="00821E42"/>
    <w:rsid w:val="00826307"/>
    <w:rsid w:val="008729A6"/>
    <w:rsid w:val="00893A96"/>
    <w:rsid w:val="008D4875"/>
    <w:rsid w:val="00935DDB"/>
    <w:rsid w:val="00944149"/>
    <w:rsid w:val="00971ECC"/>
    <w:rsid w:val="00985351"/>
    <w:rsid w:val="009A4ADA"/>
    <w:rsid w:val="00B22A97"/>
    <w:rsid w:val="00B34FE3"/>
    <w:rsid w:val="00B76E84"/>
    <w:rsid w:val="00BF1495"/>
    <w:rsid w:val="00BF3C1D"/>
    <w:rsid w:val="00C2296E"/>
    <w:rsid w:val="00CB4176"/>
    <w:rsid w:val="00D27836"/>
    <w:rsid w:val="00D37B4C"/>
    <w:rsid w:val="00D928EB"/>
    <w:rsid w:val="00DD4064"/>
    <w:rsid w:val="00DD50C8"/>
    <w:rsid w:val="00DE01B2"/>
    <w:rsid w:val="00DF4149"/>
    <w:rsid w:val="00DF7AED"/>
    <w:rsid w:val="00E5228C"/>
    <w:rsid w:val="00E529C1"/>
    <w:rsid w:val="00E60F6B"/>
    <w:rsid w:val="00E856C1"/>
    <w:rsid w:val="00E978A1"/>
    <w:rsid w:val="00EF7624"/>
    <w:rsid w:val="00F26713"/>
    <w:rsid w:val="00F516FE"/>
    <w:rsid w:val="00F930D3"/>
    <w:rsid w:val="00FD1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02A413"/>
  <w14:defaultImageDpi w14:val="300"/>
  <w15:docId w15:val="{E71B30C1-7698-45D1-AFD8-69456611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713"/>
    <w:rPr>
      <w:rFonts w:ascii="Lucida Grande" w:hAnsi="Lucida Grande" w:cs="Lucida Grande"/>
      <w:sz w:val="18"/>
      <w:szCs w:val="18"/>
    </w:rPr>
  </w:style>
  <w:style w:type="paragraph" w:styleId="ListParagraph">
    <w:name w:val="List Paragraph"/>
    <w:basedOn w:val="Normal"/>
    <w:uiPriority w:val="34"/>
    <w:qFormat/>
    <w:rsid w:val="00B76E84"/>
    <w:pPr>
      <w:ind w:left="720"/>
      <w:contextualSpacing/>
    </w:pPr>
  </w:style>
  <w:style w:type="paragraph" w:styleId="Header">
    <w:name w:val="header"/>
    <w:basedOn w:val="Normal"/>
    <w:link w:val="HeaderChar"/>
    <w:uiPriority w:val="99"/>
    <w:unhideWhenUsed/>
    <w:rsid w:val="0060234C"/>
    <w:pPr>
      <w:tabs>
        <w:tab w:val="center" w:pos="4320"/>
        <w:tab w:val="right" w:pos="8640"/>
      </w:tabs>
    </w:pPr>
  </w:style>
  <w:style w:type="character" w:customStyle="1" w:styleId="HeaderChar">
    <w:name w:val="Header Char"/>
    <w:basedOn w:val="DefaultParagraphFont"/>
    <w:link w:val="Header"/>
    <w:uiPriority w:val="99"/>
    <w:rsid w:val="0060234C"/>
  </w:style>
  <w:style w:type="paragraph" w:styleId="Footer">
    <w:name w:val="footer"/>
    <w:basedOn w:val="Normal"/>
    <w:link w:val="FooterChar"/>
    <w:uiPriority w:val="99"/>
    <w:unhideWhenUsed/>
    <w:rsid w:val="0060234C"/>
    <w:pPr>
      <w:tabs>
        <w:tab w:val="center" w:pos="4320"/>
        <w:tab w:val="right" w:pos="8640"/>
      </w:tabs>
    </w:pPr>
  </w:style>
  <w:style w:type="character" w:customStyle="1" w:styleId="FooterChar">
    <w:name w:val="Footer Char"/>
    <w:basedOn w:val="DefaultParagraphFont"/>
    <w:link w:val="Footer"/>
    <w:uiPriority w:val="99"/>
    <w:rsid w:val="0060234C"/>
  </w:style>
  <w:style w:type="paragraph" w:styleId="EndnoteText">
    <w:name w:val="endnote text"/>
    <w:basedOn w:val="Normal"/>
    <w:link w:val="EndnoteTextChar"/>
    <w:uiPriority w:val="99"/>
    <w:unhideWhenUsed/>
    <w:rsid w:val="00935DDB"/>
  </w:style>
  <w:style w:type="character" w:customStyle="1" w:styleId="EndnoteTextChar">
    <w:name w:val="Endnote Text Char"/>
    <w:basedOn w:val="DefaultParagraphFont"/>
    <w:link w:val="EndnoteText"/>
    <w:uiPriority w:val="99"/>
    <w:rsid w:val="00935DDB"/>
  </w:style>
  <w:style w:type="character" w:styleId="EndnoteReference">
    <w:name w:val="endnote reference"/>
    <w:basedOn w:val="DefaultParagraphFont"/>
    <w:uiPriority w:val="99"/>
    <w:unhideWhenUsed/>
    <w:rsid w:val="00935DDB"/>
    <w:rPr>
      <w:vertAlign w:val="superscript"/>
    </w:rPr>
  </w:style>
  <w:style w:type="character" w:styleId="PageNumber">
    <w:name w:val="page number"/>
    <w:basedOn w:val="DefaultParagraphFont"/>
    <w:uiPriority w:val="99"/>
    <w:semiHidden/>
    <w:unhideWhenUsed/>
    <w:rsid w:val="00CB4176"/>
  </w:style>
  <w:style w:type="paragraph" w:styleId="Revision">
    <w:name w:val="Revision"/>
    <w:hidden/>
    <w:uiPriority w:val="99"/>
    <w:semiHidden/>
    <w:rsid w:val="00B34FE3"/>
  </w:style>
  <w:style w:type="character" w:styleId="CommentReference">
    <w:name w:val="annotation reference"/>
    <w:basedOn w:val="DefaultParagraphFont"/>
    <w:uiPriority w:val="99"/>
    <w:semiHidden/>
    <w:unhideWhenUsed/>
    <w:rsid w:val="00DE01B2"/>
    <w:rPr>
      <w:sz w:val="18"/>
      <w:szCs w:val="18"/>
    </w:rPr>
  </w:style>
  <w:style w:type="paragraph" w:styleId="CommentText">
    <w:name w:val="annotation text"/>
    <w:basedOn w:val="Normal"/>
    <w:link w:val="CommentTextChar"/>
    <w:uiPriority w:val="99"/>
    <w:semiHidden/>
    <w:unhideWhenUsed/>
    <w:rsid w:val="00DE01B2"/>
  </w:style>
  <w:style w:type="character" w:customStyle="1" w:styleId="CommentTextChar">
    <w:name w:val="Comment Text Char"/>
    <w:basedOn w:val="DefaultParagraphFont"/>
    <w:link w:val="CommentText"/>
    <w:uiPriority w:val="99"/>
    <w:semiHidden/>
    <w:rsid w:val="00DE01B2"/>
  </w:style>
  <w:style w:type="paragraph" w:styleId="CommentSubject">
    <w:name w:val="annotation subject"/>
    <w:basedOn w:val="CommentText"/>
    <w:next w:val="CommentText"/>
    <w:link w:val="CommentSubjectChar"/>
    <w:uiPriority w:val="99"/>
    <w:semiHidden/>
    <w:unhideWhenUsed/>
    <w:rsid w:val="00DE01B2"/>
    <w:rPr>
      <w:b/>
      <w:bCs/>
      <w:sz w:val="20"/>
      <w:szCs w:val="20"/>
    </w:rPr>
  </w:style>
  <w:style w:type="character" w:customStyle="1" w:styleId="CommentSubjectChar">
    <w:name w:val="Comment Subject Char"/>
    <w:basedOn w:val="CommentTextChar"/>
    <w:link w:val="CommentSubject"/>
    <w:uiPriority w:val="99"/>
    <w:semiHidden/>
    <w:rsid w:val="00DE01B2"/>
    <w:rPr>
      <w:b/>
      <w:bCs/>
      <w:sz w:val="20"/>
      <w:szCs w:val="20"/>
    </w:rPr>
  </w:style>
  <w:style w:type="paragraph" w:styleId="FootnoteText">
    <w:name w:val="footnote text"/>
    <w:basedOn w:val="Normal"/>
    <w:link w:val="FootnoteTextChar"/>
    <w:uiPriority w:val="99"/>
    <w:unhideWhenUsed/>
    <w:rsid w:val="005A44D3"/>
  </w:style>
  <w:style w:type="character" w:customStyle="1" w:styleId="FootnoteTextChar">
    <w:name w:val="Footnote Text Char"/>
    <w:basedOn w:val="DefaultParagraphFont"/>
    <w:link w:val="FootnoteText"/>
    <w:uiPriority w:val="99"/>
    <w:rsid w:val="005A44D3"/>
  </w:style>
  <w:style w:type="character" w:styleId="FootnoteReference">
    <w:name w:val="footnote reference"/>
    <w:basedOn w:val="DefaultParagraphFont"/>
    <w:uiPriority w:val="99"/>
    <w:unhideWhenUsed/>
    <w:rsid w:val="005A44D3"/>
    <w:rPr>
      <w:vertAlign w:val="superscript"/>
    </w:rPr>
  </w:style>
  <w:style w:type="character" w:styleId="Hyperlink">
    <w:name w:val="Hyperlink"/>
    <w:basedOn w:val="DefaultParagraphFont"/>
    <w:uiPriority w:val="99"/>
    <w:unhideWhenUsed/>
    <w:rsid w:val="00DF7A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5990">
      <w:bodyDiv w:val="1"/>
      <w:marLeft w:val="0"/>
      <w:marRight w:val="0"/>
      <w:marTop w:val="0"/>
      <w:marBottom w:val="0"/>
      <w:divBdr>
        <w:top w:val="none" w:sz="0" w:space="0" w:color="auto"/>
        <w:left w:val="none" w:sz="0" w:space="0" w:color="auto"/>
        <w:bottom w:val="none" w:sz="0" w:space="0" w:color="auto"/>
        <w:right w:val="none" w:sz="0" w:space="0" w:color="auto"/>
      </w:divBdr>
    </w:div>
    <w:div w:id="214581701">
      <w:bodyDiv w:val="1"/>
      <w:marLeft w:val="0"/>
      <w:marRight w:val="0"/>
      <w:marTop w:val="0"/>
      <w:marBottom w:val="0"/>
      <w:divBdr>
        <w:top w:val="none" w:sz="0" w:space="0" w:color="auto"/>
        <w:left w:val="none" w:sz="0" w:space="0" w:color="auto"/>
        <w:bottom w:val="none" w:sz="0" w:space="0" w:color="auto"/>
        <w:right w:val="none" w:sz="0" w:space="0" w:color="auto"/>
      </w:divBdr>
    </w:div>
    <w:div w:id="470709887">
      <w:bodyDiv w:val="1"/>
      <w:marLeft w:val="0"/>
      <w:marRight w:val="0"/>
      <w:marTop w:val="0"/>
      <w:marBottom w:val="0"/>
      <w:divBdr>
        <w:top w:val="none" w:sz="0" w:space="0" w:color="auto"/>
        <w:left w:val="none" w:sz="0" w:space="0" w:color="auto"/>
        <w:bottom w:val="none" w:sz="0" w:space="0" w:color="auto"/>
        <w:right w:val="none" w:sz="0" w:space="0" w:color="auto"/>
      </w:divBdr>
    </w:div>
    <w:div w:id="578248176">
      <w:bodyDiv w:val="1"/>
      <w:marLeft w:val="0"/>
      <w:marRight w:val="0"/>
      <w:marTop w:val="0"/>
      <w:marBottom w:val="0"/>
      <w:divBdr>
        <w:top w:val="none" w:sz="0" w:space="0" w:color="auto"/>
        <w:left w:val="none" w:sz="0" w:space="0" w:color="auto"/>
        <w:bottom w:val="none" w:sz="0" w:space="0" w:color="auto"/>
        <w:right w:val="none" w:sz="0" w:space="0" w:color="auto"/>
      </w:divBdr>
    </w:div>
    <w:div w:id="673075406">
      <w:bodyDiv w:val="1"/>
      <w:marLeft w:val="0"/>
      <w:marRight w:val="0"/>
      <w:marTop w:val="0"/>
      <w:marBottom w:val="0"/>
      <w:divBdr>
        <w:top w:val="none" w:sz="0" w:space="0" w:color="auto"/>
        <w:left w:val="none" w:sz="0" w:space="0" w:color="auto"/>
        <w:bottom w:val="none" w:sz="0" w:space="0" w:color="auto"/>
        <w:right w:val="none" w:sz="0" w:space="0" w:color="auto"/>
      </w:divBdr>
    </w:div>
    <w:div w:id="1158964181">
      <w:bodyDiv w:val="1"/>
      <w:marLeft w:val="0"/>
      <w:marRight w:val="0"/>
      <w:marTop w:val="0"/>
      <w:marBottom w:val="0"/>
      <w:divBdr>
        <w:top w:val="none" w:sz="0" w:space="0" w:color="auto"/>
        <w:left w:val="none" w:sz="0" w:space="0" w:color="auto"/>
        <w:bottom w:val="none" w:sz="0" w:space="0" w:color="auto"/>
        <w:right w:val="none" w:sz="0" w:space="0" w:color="auto"/>
      </w:divBdr>
    </w:div>
    <w:div w:id="1406874020">
      <w:bodyDiv w:val="1"/>
      <w:marLeft w:val="0"/>
      <w:marRight w:val="0"/>
      <w:marTop w:val="0"/>
      <w:marBottom w:val="0"/>
      <w:divBdr>
        <w:top w:val="none" w:sz="0" w:space="0" w:color="auto"/>
        <w:left w:val="none" w:sz="0" w:space="0" w:color="auto"/>
        <w:bottom w:val="none" w:sz="0" w:space="0" w:color="auto"/>
        <w:right w:val="none" w:sz="0" w:space="0" w:color="auto"/>
      </w:divBdr>
    </w:div>
    <w:div w:id="1636058288">
      <w:bodyDiv w:val="1"/>
      <w:marLeft w:val="0"/>
      <w:marRight w:val="0"/>
      <w:marTop w:val="0"/>
      <w:marBottom w:val="0"/>
      <w:divBdr>
        <w:top w:val="none" w:sz="0" w:space="0" w:color="auto"/>
        <w:left w:val="none" w:sz="0" w:space="0" w:color="auto"/>
        <w:bottom w:val="none" w:sz="0" w:space="0" w:color="auto"/>
        <w:right w:val="none" w:sz="0" w:space="0" w:color="auto"/>
      </w:divBdr>
    </w:div>
    <w:div w:id="2091462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endnotes.xml.rels><?xml version="1.0" encoding="UTF-8" standalone="yes"?>
<Relationships xmlns="http://schemas.openxmlformats.org/package/2006/relationships"><Relationship Id="rId1" Type="http://schemas.openxmlformats.org/officeDocument/2006/relationships/hyperlink" Target="http://www.unsgaccessmeds.org/final-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E27403-ABAB-4687-A341-852D383CA453}"/>
</file>

<file path=customXml/itemProps2.xml><?xml version="1.0" encoding="utf-8"?>
<ds:datastoreItem xmlns:ds="http://schemas.openxmlformats.org/officeDocument/2006/customXml" ds:itemID="{F4B6922C-EFCA-4476-A968-09388657394B}"/>
</file>

<file path=customXml/itemProps3.xml><?xml version="1.0" encoding="utf-8"?>
<ds:datastoreItem xmlns:ds="http://schemas.openxmlformats.org/officeDocument/2006/customXml" ds:itemID="{7501E450-C429-4072-95E5-7175BBD04B42}"/>
</file>

<file path=docProps/app.xml><?xml version="1.0" encoding="utf-8"?>
<Properties xmlns="http://schemas.openxmlformats.org/officeDocument/2006/extended-properties" xmlns:vt="http://schemas.openxmlformats.org/officeDocument/2006/docPropsVTypes">
  <Template>Normal.dotm</Template>
  <TotalTime>1</TotalTime>
  <Pages>8</Pages>
  <Words>2566</Words>
  <Characters>14630</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Treatment Action Group</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Frick</dc:creator>
  <cp:keywords/>
  <dc:description/>
  <cp:lastModifiedBy>AREVALO FLORES Carmen</cp:lastModifiedBy>
  <cp:revision>2</cp:revision>
  <cp:lastPrinted>2018-10-01T19:14:00Z</cp:lastPrinted>
  <dcterms:created xsi:type="dcterms:W3CDTF">2018-10-05T08:22:00Z</dcterms:created>
  <dcterms:modified xsi:type="dcterms:W3CDTF">2018-10-05T08:22:00Z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