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B286C" w14:textId="77777777" w:rsidR="00D0438F" w:rsidRPr="002845AC" w:rsidRDefault="00DC6135" w:rsidP="002845AC">
      <w:pPr>
        <w:jc w:val="center"/>
        <w:rPr>
          <w:sz w:val="28"/>
          <w:szCs w:val="28"/>
        </w:rPr>
      </w:pPr>
      <w:r w:rsidRPr="002845AC">
        <w:rPr>
          <w:sz w:val="28"/>
          <w:szCs w:val="28"/>
        </w:rPr>
        <w:t>UNICEF Zimbabwe</w:t>
      </w:r>
    </w:p>
    <w:p w14:paraId="2D5A74E7" w14:textId="34AA892A" w:rsidR="00DC6135" w:rsidRPr="002845AC" w:rsidRDefault="00DC6135" w:rsidP="002845AC">
      <w:pPr>
        <w:jc w:val="center"/>
        <w:rPr>
          <w:sz w:val="28"/>
          <w:szCs w:val="28"/>
        </w:rPr>
      </w:pPr>
      <w:r w:rsidRPr="002845AC">
        <w:rPr>
          <w:sz w:val="28"/>
          <w:szCs w:val="28"/>
        </w:rPr>
        <w:t xml:space="preserve">Submission </w:t>
      </w:r>
      <w:r w:rsidR="006A4A98">
        <w:rPr>
          <w:sz w:val="28"/>
          <w:szCs w:val="28"/>
        </w:rPr>
        <w:t>to</w:t>
      </w:r>
      <w:r w:rsidRPr="002845AC">
        <w:rPr>
          <w:sz w:val="28"/>
          <w:szCs w:val="28"/>
        </w:rPr>
        <w:t xml:space="preserve"> the </w:t>
      </w:r>
      <w:r w:rsidR="006A4A98">
        <w:rPr>
          <w:sz w:val="28"/>
          <w:szCs w:val="28"/>
        </w:rPr>
        <w:t>Committee on the Economic, Social and Cultural Rights on the</w:t>
      </w:r>
      <w:r w:rsidR="006A4A98" w:rsidRPr="002845AC">
        <w:rPr>
          <w:sz w:val="28"/>
          <w:szCs w:val="28"/>
        </w:rPr>
        <w:t xml:space="preserve"> </w:t>
      </w:r>
      <w:r w:rsidRPr="002845AC">
        <w:rPr>
          <w:sz w:val="28"/>
          <w:szCs w:val="28"/>
        </w:rPr>
        <w:t>Draft General Comment on Science</w:t>
      </w:r>
      <w:r w:rsidR="00EC4352">
        <w:rPr>
          <w:sz w:val="28"/>
          <w:szCs w:val="28"/>
        </w:rPr>
        <w:t xml:space="preserve"> </w:t>
      </w:r>
      <w:r w:rsidR="00ED364E">
        <w:rPr>
          <w:sz w:val="28"/>
          <w:szCs w:val="28"/>
        </w:rPr>
        <w:t>and Economic, Social and Cultural Rights</w:t>
      </w:r>
    </w:p>
    <w:p w14:paraId="02438834" w14:textId="77777777" w:rsidR="00DC6135" w:rsidRPr="002845AC" w:rsidRDefault="00DC6135" w:rsidP="002845AC">
      <w:pPr>
        <w:jc w:val="center"/>
        <w:rPr>
          <w:sz w:val="28"/>
          <w:szCs w:val="28"/>
        </w:rPr>
      </w:pPr>
      <w:r w:rsidRPr="002845AC">
        <w:rPr>
          <w:sz w:val="28"/>
          <w:szCs w:val="28"/>
        </w:rPr>
        <w:t>14 February 2020</w:t>
      </w:r>
    </w:p>
    <w:p w14:paraId="73CCF4E6" w14:textId="77777777" w:rsidR="00DC6135" w:rsidRDefault="00DC6135"/>
    <w:p w14:paraId="18DC1CBC" w14:textId="6684E402" w:rsidR="00254552" w:rsidRPr="005153A9" w:rsidRDefault="00254552">
      <w:pPr>
        <w:rPr>
          <w:b/>
        </w:rPr>
      </w:pPr>
      <w:r w:rsidRPr="005153A9">
        <w:rPr>
          <w:b/>
        </w:rPr>
        <w:t>MAIN POINTS OF CONSIDERATION</w:t>
      </w:r>
      <w:r w:rsidR="008D0BAF">
        <w:rPr>
          <w:b/>
        </w:rPr>
        <w:t xml:space="preserve"> IN THE DRAFT GENERAL COMMENT</w:t>
      </w:r>
    </w:p>
    <w:p w14:paraId="4F47288B" w14:textId="559E7897" w:rsidR="00DC6135" w:rsidRDefault="00DC6135" w:rsidP="006C44D1">
      <w:pPr>
        <w:pStyle w:val="ListParagraph"/>
        <w:numPr>
          <w:ilvl w:val="0"/>
          <w:numId w:val="2"/>
        </w:numPr>
        <w:jc w:val="both"/>
      </w:pPr>
      <w:r>
        <w:t xml:space="preserve">The </w:t>
      </w:r>
      <w:r w:rsidRPr="00DC6135">
        <w:t>Draft General Comment</w:t>
      </w:r>
      <w:r w:rsidR="006C44D1">
        <w:t xml:space="preserve"> (GC)</w:t>
      </w:r>
      <w:r w:rsidRPr="00DC6135">
        <w:t xml:space="preserve"> on Science</w:t>
      </w:r>
      <w:r w:rsidR="006C44D1">
        <w:t xml:space="preserve"> and Economic, Social and Cultural Rights</w:t>
      </w:r>
      <w:r>
        <w:t xml:space="preserve"> is an important development in </w:t>
      </w:r>
      <w:r w:rsidR="004526BC">
        <w:t xml:space="preserve">strengthening </w:t>
      </w:r>
      <w:r w:rsidR="006C44D1">
        <w:t>the right to enjoy the benefits of scientific progress and its applications, as stipulated in article 15 of the International Covenant on Economic, Social and Cultural Rights</w:t>
      </w:r>
      <w:r w:rsidR="001040FC">
        <w:t xml:space="preserve"> (CESCR)</w:t>
      </w:r>
      <w:r w:rsidR="006C44D1">
        <w:t>.</w:t>
      </w:r>
    </w:p>
    <w:p w14:paraId="77EB4AF0" w14:textId="18A939D4" w:rsidR="006C44D1" w:rsidRDefault="006C44D1" w:rsidP="006C44D1">
      <w:pPr>
        <w:pStyle w:val="ListParagraph"/>
        <w:numPr>
          <w:ilvl w:val="0"/>
          <w:numId w:val="2"/>
        </w:numPr>
        <w:jc w:val="both"/>
      </w:pPr>
      <w:r>
        <w:t>Stakeholders with an interest in the subject have been invited to comment on the GC. This submission is put forward by the United Nations Children’s Fund</w:t>
      </w:r>
      <w:r w:rsidR="002A7536">
        <w:t xml:space="preserve"> (UNICEF)</w:t>
      </w:r>
      <w:r>
        <w:t xml:space="preserve"> in Zimbabwe.</w:t>
      </w:r>
    </w:p>
    <w:p w14:paraId="18A6CF5A" w14:textId="084ED4DB" w:rsidR="00932A30" w:rsidRDefault="006C44D1" w:rsidP="00932A30">
      <w:pPr>
        <w:pStyle w:val="ListParagraph"/>
        <w:numPr>
          <w:ilvl w:val="0"/>
          <w:numId w:val="2"/>
        </w:numPr>
        <w:jc w:val="both"/>
      </w:pPr>
      <w:r>
        <w:t>Science is defined in the GC as per the United Nations Educational, Scientific and Cultural Organization</w:t>
      </w:r>
      <w:r w:rsidR="002A7536">
        <w:t xml:space="preserve"> (UNESCO)</w:t>
      </w:r>
      <w:r>
        <w:t xml:space="preserve"> 2017 Recommendation on ‘Science and Scientific Researchers’</w:t>
      </w:r>
      <w:r w:rsidR="00C2560A">
        <w:t>, stipulating that science is the human act of understanding causalities, relations or interactions</w:t>
      </w:r>
      <w:r w:rsidR="00932A30">
        <w:t>.</w:t>
      </w:r>
      <w:r w:rsidR="00932A30">
        <w:rPr>
          <w:rStyle w:val="FootnoteReference"/>
        </w:rPr>
        <w:footnoteReference w:id="1"/>
      </w:r>
      <w:r w:rsidR="00932A30">
        <w:t xml:space="preserve"> The GC goes on to </w:t>
      </w:r>
      <w:r w:rsidR="008455EC">
        <w:t>specify</w:t>
      </w:r>
      <w:r w:rsidR="00932A30">
        <w:t xml:space="preserve"> that </w:t>
      </w:r>
      <w:r w:rsidR="004F1D0A">
        <w:t xml:space="preserve">the </w:t>
      </w:r>
      <w:r w:rsidR="00932A30">
        <w:t>application of science to the specific concerns and needs of the population is known as applied science, and</w:t>
      </w:r>
      <w:r w:rsidR="004F1D0A">
        <w:t xml:space="preserve"> “a</w:t>
      </w:r>
      <w:r w:rsidR="00932A30">
        <w:t xml:space="preserve">lso includes the technology deriving from scientific knowledge, such as the medical applications, the industrial or agricultural applications, or the </w:t>
      </w:r>
      <w:r w:rsidR="00932A30" w:rsidRPr="00E1778B">
        <w:rPr>
          <w:i/>
        </w:rPr>
        <w:t>information and communication technologies</w:t>
      </w:r>
      <w:r w:rsidR="004F1D0A">
        <w:t>.”</w:t>
      </w:r>
      <w:r w:rsidR="00932A30">
        <w:t xml:space="preserve"> </w:t>
      </w:r>
      <w:r w:rsidR="00C104EE">
        <w:rPr>
          <w:rStyle w:val="FootnoteReference"/>
        </w:rPr>
        <w:footnoteReference w:id="2"/>
      </w:r>
    </w:p>
    <w:p w14:paraId="526D7467" w14:textId="1464E6E0" w:rsidR="004F1D0A" w:rsidRDefault="004F1D0A" w:rsidP="00932A30">
      <w:pPr>
        <w:pStyle w:val="ListParagraph"/>
        <w:numPr>
          <w:ilvl w:val="0"/>
          <w:numId w:val="2"/>
        </w:numPr>
        <w:jc w:val="both"/>
      </w:pPr>
      <w:r>
        <w:t xml:space="preserve">It is commendable that the GC has paid </w:t>
      </w:r>
      <w:proofErr w:type="gramStart"/>
      <w:r>
        <w:t>particular attention</w:t>
      </w:r>
      <w:proofErr w:type="gramEnd"/>
      <w:r>
        <w:t xml:space="preserve"> to the need for special protection of the right to enjoy the benefits of science for specific groups</w:t>
      </w:r>
      <w:r w:rsidR="00254552">
        <w:t xml:space="preserve"> in points 36-44</w:t>
      </w:r>
      <w:r>
        <w:t>, recognizing women, persons with disabilities and low-income persons</w:t>
      </w:r>
      <w:r w:rsidR="008C1B82">
        <w:t xml:space="preserve"> as groups that have been</w:t>
      </w:r>
      <w:r>
        <w:t xml:space="preserve"> traditionally discriminated against in participating </w:t>
      </w:r>
      <w:r w:rsidR="00B56E6B">
        <w:t xml:space="preserve">in enjoyment of </w:t>
      </w:r>
      <w:r>
        <w:t>t</w:t>
      </w:r>
      <w:r w:rsidR="00392BFE">
        <w:t>his right</w:t>
      </w:r>
      <w:r>
        <w:t xml:space="preserve">. </w:t>
      </w:r>
    </w:p>
    <w:p w14:paraId="5306E8B7" w14:textId="6927ED21" w:rsidR="0025562A" w:rsidRPr="0025562A" w:rsidRDefault="0025562A" w:rsidP="00AF626A">
      <w:pPr>
        <w:pStyle w:val="ListParagraph"/>
        <w:numPr>
          <w:ilvl w:val="0"/>
          <w:numId w:val="2"/>
        </w:numPr>
        <w:jc w:val="both"/>
        <w:rPr>
          <w:b/>
        </w:rPr>
      </w:pPr>
      <w:r>
        <w:t xml:space="preserve">The draft General Comment underscores the need to allow all persons to enjoy the benefits of science. There are however </w:t>
      </w:r>
      <w:r w:rsidR="004F1D0A" w:rsidRPr="000B757C">
        <w:t>risks that come as science, and specifically information and communication technologies, develop</w:t>
      </w:r>
      <w:r w:rsidR="008D0BAF" w:rsidRPr="000B757C">
        <w:t>,</w:t>
      </w:r>
      <w:r w:rsidR="002845AC" w:rsidRPr="000B757C">
        <w:t xml:space="preserve"> before relevant </w:t>
      </w:r>
      <w:r w:rsidR="009A3DB0" w:rsidRPr="000B757C">
        <w:t>regulation</w:t>
      </w:r>
      <w:r w:rsidR="00392BFE" w:rsidRPr="000B757C">
        <w:t xml:space="preserve"> </w:t>
      </w:r>
      <w:r w:rsidR="002845AC" w:rsidRPr="000B757C">
        <w:t>can be adopted and enforced</w:t>
      </w:r>
      <w:r w:rsidR="004F1D0A">
        <w:t xml:space="preserve">. </w:t>
      </w:r>
      <w:r>
        <w:t>This creates a situation in which regulation is consistently a step behind scientific development, which in some cases can be harmful and infringe on fundamental human rights if not regulated appropriately. Whilst providing access to enjoying the benefits of science, especially vulnerable groups like women, persons with disabilities and low-income persons, is essential, so is making considerations for protecting these groups – a</w:t>
      </w:r>
      <w:r w:rsidR="00803DDF">
        <w:t>nd</w:t>
      </w:r>
      <w:r>
        <w:t xml:space="preserve"> others, such as children – as they </w:t>
      </w:r>
      <w:r w:rsidR="00E102B3">
        <w:t xml:space="preserve">access </w:t>
      </w:r>
      <w:r>
        <w:t>this right.</w:t>
      </w:r>
    </w:p>
    <w:p w14:paraId="538DE013" w14:textId="77777777" w:rsidR="0025562A" w:rsidRPr="0025562A" w:rsidRDefault="0025562A" w:rsidP="0025562A">
      <w:pPr>
        <w:pStyle w:val="ListParagraph"/>
        <w:jc w:val="both"/>
        <w:rPr>
          <w:b/>
        </w:rPr>
      </w:pPr>
    </w:p>
    <w:p w14:paraId="2B9E9A19" w14:textId="63114B74" w:rsidR="00254552" w:rsidRPr="0025562A" w:rsidRDefault="005153A9" w:rsidP="0025562A">
      <w:pPr>
        <w:jc w:val="both"/>
        <w:rPr>
          <w:b/>
        </w:rPr>
      </w:pPr>
      <w:r w:rsidRPr="0025562A">
        <w:rPr>
          <w:b/>
        </w:rPr>
        <w:t>PROBLEM DEFINITION</w:t>
      </w:r>
    </w:p>
    <w:p w14:paraId="7E8A787C" w14:textId="37909E71" w:rsidR="00254552" w:rsidRDefault="00254552" w:rsidP="00932A30">
      <w:pPr>
        <w:pStyle w:val="ListParagraph"/>
        <w:numPr>
          <w:ilvl w:val="0"/>
          <w:numId w:val="2"/>
        </w:numPr>
        <w:jc w:val="both"/>
      </w:pPr>
      <w:r>
        <w:t>This submission seeks to underscore that an important group has been left out in the recognition of</w:t>
      </w:r>
      <w:r w:rsidR="005D536E">
        <w:t xml:space="preserve"> </w:t>
      </w:r>
      <w:r w:rsidR="00803DDF">
        <w:t xml:space="preserve">the </w:t>
      </w:r>
      <w:r w:rsidR="005D536E">
        <w:t>need for</w:t>
      </w:r>
      <w:r>
        <w:t xml:space="preserve"> special protection </w:t>
      </w:r>
      <w:r w:rsidR="00803DDF">
        <w:t xml:space="preserve">of vulnerable groups </w:t>
      </w:r>
      <w:r w:rsidR="005D536E">
        <w:t xml:space="preserve">in </w:t>
      </w:r>
      <w:r>
        <w:t>enjoy</w:t>
      </w:r>
      <w:r w:rsidR="005D536E">
        <w:t>ing the right to</w:t>
      </w:r>
      <w:r>
        <w:t xml:space="preserve"> the benefits of science</w:t>
      </w:r>
      <w:r w:rsidR="00DD2334">
        <w:t xml:space="preserve">, </w:t>
      </w:r>
      <w:proofErr w:type="gramStart"/>
      <w:r w:rsidR="00DD2334">
        <w:t>in particular ICT</w:t>
      </w:r>
      <w:proofErr w:type="gramEnd"/>
      <w:r w:rsidR="00803DDF">
        <w:t xml:space="preserve"> – namely,</w:t>
      </w:r>
      <w:r>
        <w:t xml:space="preserve"> children.</w:t>
      </w:r>
    </w:p>
    <w:p w14:paraId="213D3139" w14:textId="07A36638" w:rsidR="00254552" w:rsidRDefault="008C6F7C" w:rsidP="008C6F7C">
      <w:pPr>
        <w:pStyle w:val="ListParagraph"/>
        <w:numPr>
          <w:ilvl w:val="0"/>
          <w:numId w:val="2"/>
        </w:numPr>
        <w:jc w:val="both"/>
      </w:pPr>
      <w:r>
        <w:t>Children and adolescents amount to 33% of internet users worldwide.</w:t>
      </w:r>
      <w:r>
        <w:rPr>
          <w:rStyle w:val="FootnoteReference"/>
        </w:rPr>
        <w:footnoteReference w:id="3"/>
      </w:r>
      <w:r>
        <w:t xml:space="preserve"> This has increased significantly over the past decade. T</w:t>
      </w:r>
      <w:r w:rsidR="00254552">
        <w:t>his submission pursues</w:t>
      </w:r>
      <w:r w:rsidR="005153A9">
        <w:t xml:space="preserve"> to show the need to make special consideration for children in the </w:t>
      </w:r>
      <w:r w:rsidR="00CE6F99">
        <w:t>development</w:t>
      </w:r>
      <w:r w:rsidR="005153A9">
        <w:t xml:space="preserve"> of </w:t>
      </w:r>
      <w:r w:rsidR="005D536E">
        <w:t>ICT</w:t>
      </w:r>
      <w:r w:rsidR="005153A9">
        <w:t xml:space="preserve">, especially as more communication is conducted online and becomes a primary tool for children </w:t>
      </w:r>
      <w:r w:rsidR="00821071">
        <w:t>to navigate</w:t>
      </w:r>
      <w:r w:rsidR="005153A9">
        <w:t xml:space="preserve"> the world, from a very young age.</w:t>
      </w:r>
    </w:p>
    <w:p w14:paraId="77D8CB61" w14:textId="5B66F58D" w:rsidR="005B17AC" w:rsidRPr="00A12FD3" w:rsidRDefault="005153A9" w:rsidP="001852A0">
      <w:pPr>
        <w:pStyle w:val="ListParagraph"/>
        <w:numPr>
          <w:ilvl w:val="0"/>
          <w:numId w:val="2"/>
        </w:numPr>
        <w:jc w:val="both"/>
      </w:pPr>
      <w:r>
        <w:t xml:space="preserve">ICT and the </w:t>
      </w:r>
      <w:r w:rsidRPr="009E7207">
        <w:t xml:space="preserve">Internet can be a </w:t>
      </w:r>
      <w:r w:rsidR="00D04586" w:rsidRPr="009E7207">
        <w:t>great source of learning for children</w:t>
      </w:r>
      <w:r w:rsidR="00C33851" w:rsidRPr="009E7207">
        <w:t xml:space="preserve"> and access is widespread. </w:t>
      </w:r>
      <w:r w:rsidR="00821071" w:rsidRPr="009E7207">
        <w:t>As science and technology advance,</w:t>
      </w:r>
      <w:r w:rsidR="00276C0E" w:rsidRPr="009E7207">
        <w:t xml:space="preserve"> however,</w:t>
      </w:r>
      <w:r w:rsidR="00821071" w:rsidRPr="009E7207">
        <w:t xml:space="preserve"> so do the forms in which they</w:t>
      </w:r>
      <w:r w:rsidR="00CF0EDA" w:rsidRPr="009E7207">
        <w:t xml:space="preserve"> can be </w:t>
      </w:r>
      <w:r w:rsidR="00276C0E" w:rsidRPr="009E7207">
        <w:t>abused</w:t>
      </w:r>
      <w:r w:rsidR="00CF0EDA" w:rsidRPr="009E7207">
        <w:t>.</w:t>
      </w:r>
      <w:r w:rsidR="009E7207" w:rsidRPr="009E7207">
        <w:t xml:space="preserve"> As set out in the Committee on the Rights of the Child concept note for a draft GC on children’s rights in the digital environment, important considerations must be made </w:t>
      </w:r>
      <w:r w:rsidR="004F5BF7" w:rsidRPr="009E7207">
        <w:t xml:space="preserve">as children navigate </w:t>
      </w:r>
      <w:r w:rsidR="004F5BF7">
        <w:t>the Internet</w:t>
      </w:r>
      <w:r w:rsidR="004F5BF7" w:rsidRPr="009E7207">
        <w:t xml:space="preserve"> </w:t>
      </w:r>
      <w:r w:rsidR="009E7207" w:rsidRPr="009E7207">
        <w:t xml:space="preserve">regarding children’s access to information and freedom of expression, protection of privacy, identity and data processing, </w:t>
      </w:r>
      <w:r w:rsidR="00CD3631">
        <w:t>as well as</w:t>
      </w:r>
      <w:r w:rsidR="009E7207" w:rsidRPr="009E7207">
        <w:t xml:space="preserve"> protection from violence, sexual exploitation and other harm.</w:t>
      </w:r>
      <w:r w:rsidR="009E7207" w:rsidRPr="009E7207">
        <w:rPr>
          <w:rStyle w:val="FootnoteReference"/>
        </w:rPr>
        <w:footnoteReference w:id="4"/>
      </w:r>
      <w:r w:rsidR="009E7207" w:rsidRPr="009E7207">
        <w:t xml:space="preserve"> A child o</w:t>
      </w:r>
      <w:r w:rsidR="009E7207">
        <w:t xml:space="preserve">nline </w:t>
      </w:r>
      <w:r w:rsidR="009E7207" w:rsidRPr="009E7207">
        <w:t>faces</w:t>
      </w:r>
      <w:r w:rsidR="00C33851" w:rsidRPr="009E7207">
        <w:t xml:space="preserve"> </w:t>
      </w:r>
      <w:r w:rsidR="003B07A9" w:rsidRPr="009E7207">
        <w:t xml:space="preserve">significant risks </w:t>
      </w:r>
      <w:r w:rsidR="009E7207" w:rsidRPr="009E7207">
        <w:t xml:space="preserve">and </w:t>
      </w:r>
      <w:r w:rsidR="00084FF3">
        <w:t>must be recognized as p</w:t>
      </w:r>
      <w:r w:rsidR="009E7207" w:rsidRPr="009E7207">
        <w:t xml:space="preserve">articularly vulnerable </w:t>
      </w:r>
      <w:r w:rsidR="009E7207" w:rsidRPr="00A12FD3">
        <w:t>as the right to enjoy the benefits of science is</w:t>
      </w:r>
      <w:r w:rsidR="00084FF3">
        <w:t xml:space="preserve"> considered</w:t>
      </w:r>
      <w:r w:rsidR="009E7207" w:rsidRPr="00A12FD3">
        <w:t xml:space="preserve">. </w:t>
      </w:r>
    </w:p>
    <w:p w14:paraId="6144EB31" w14:textId="5DC7AF44" w:rsidR="00A12FD3" w:rsidRPr="00A12FD3" w:rsidRDefault="000E6E63" w:rsidP="001852A0">
      <w:pPr>
        <w:pStyle w:val="ListParagraph"/>
        <w:numPr>
          <w:ilvl w:val="0"/>
          <w:numId w:val="2"/>
        </w:numPr>
        <w:jc w:val="both"/>
      </w:pPr>
      <w:r w:rsidRPr="00A12FD3">
        <w:t xml:space="preserve">Most children have very little or </w:t>
      </w:r>
      <w:r w:rsidR="00803DDF">
        <w:t>no</w:t>
      </w:r>
      <w:r w:rsidRPr="00A12FD3">
        <w:t xml:space="preserve"> understanding of how the data traces they leave behind online are collected, </w:t>
      </w:r>
      <w:proofErr w:type="spellStart"/>
      <w:r w:rsidRPr="00A12FD3">
        <w:t>analysed</w:t>
      </w:r>
      <w:proofErr w:type="spellEnd"/>
      <w:r w:rsidRPr="00A12FD3">
        <w:t xml:space="preserve"> and used</w:t>
      </w:r>
      <w:r w:rsidR="00A12FD3" w:rsidRPr="00A12FD3">
        <w:t>, or may be used against them in the future.</w:t>
      </w:r>
      <w:r w:rsidR="00A12FD3" w:rsidRPr="00A12FD3">
        <w:rPr>
          <w:rStyle w:val="FootnoteReference"/>
        </w:rPr>
        <w:footnoteReference w:id="5"/>
      </w:r>
      <w:r w:rsidR="00A12FD3" w:rsidRPr="00A12FD3">
        <w:t xml:space="preserve"> As children log on to websites, data </w:t>
      </w:r>
      <w:r w:rsidR="00183FB4">
        <w:t xml:space="preserve">is </w:t>
      </w:r>
      <w:r w:rsidR="00A12FD3" w:rsidRPr="00A12FD3">
        <w:t xml:space="preserve">collected and stored on them for embedded marketing and </w:t>
      </w:r>
      <w:r w:rsidR="00183FB4">
        <w:t xml:space="preserve">can </w:t>
      </w:r>
      <w:r w:rsidR="00A12FD3" w:rsidRPr="00A12FD3">
        <w:t xml:space="preserve">encourage </w:t>
      </w:r>
      <w:proofErr w:type="spellStart"/>
      <w:r w:rsidR="00183FB4">
        <w:t>behaviour</w:t>
      </w:r>
      <w:proofErr w:type="spellEnd"/>
      <w:r w:rsidR="00183FB4">
        <w:t xml:space="preserve"> inappropriate for children, </w:t>
      </w:r>
      <w:r w:rsidR="0065121F">
        <w:t>such as</w:t>
      </w:r>
      <w:r w:rsidR="00A12FD3" w:rsidRPr="00A12FD3">
        <w:t xml:space="preserve"> online gambling. In addition, personal data gathered can be violated and misused and given the vulnerabilities that come with being a child, children are at most risk of suffering harm from these practices.</w:t>
      </w:r>
      <w:r w:rsidR="00A12FD3" w:rsidRPr="00A12FD3">
        <w:rPr>
          <w:rStyle w:val="FootnoteReference"/>
        </w:rPr>
        <w:footnoteReference w:id="6"/>
      </w:r>
    </w:p>
    <w:p w14:paraId="336B8C9B" w14:textId="6638D4CD" w:rsidR="00D80981" w:rsidRPr="0070550B" w:rsidRDefault="009E7207" w:rsidP="00D80981">
      <w:pPr>
        <w:pStyle w:val="ListParagraph"/>
        <w:numPr>
          <w:ilvl w:val="0"/>
          <w:numId w:val="2"/>
        </w:numPr>
        <w:jc w:val="both"/>
      </w:pPr>
      <w:r>
        <w:t xml:space="preserve">As for </w:t>
      </w:r>
      <w:r w:rsidR="00092AE0">
        <w:t>the threat of violence and sexual exploitation online, t</w:t>
      </w:r>
      <w:r w:rsidR="002B5D4F">
        <w:t>here are a few common forms of online</w:t>
      </w:r>
      <w:r w:rsidR="00A65FD2">
        <w:t xml:space="preserve"> sexual</w:t>
      </w:r>
      <w:r w:rsidR="002B5D4F">
        <w:t xml:space="preserve"> abuse of children. </w:t>
      </w:r>
      <w:r w:rsidR="0045456F" w:rsidRPr="0070550B">
        <w:t>‘</w:t>
      </w:r>
      <w:r w:rsidR="00D80981" w:rsidRPr="0070550B">
        <w:t>Grooming</w:t>
      </w:r>
      <w:r w:rsidR="0045456F" w:rsidRPr="0070550B">
        <w:t xml:space="preserve">’ </w:t>
      </w:r>
      <w:r w:rsidR="00515C87">
        <w:t>or online grooming is</w:t>
      </w:r>
      <w:r w:rsidR="0065121F">
        <w:t xml:space="preserve"> one </w:t>
      </w:r>
      <w:r w:rsidR="00515C87">
        <w:t>practice</w:t>
      </w:r>
      <w:r w:rsidR="0065121F">
        <w:t>,</w:t>
      </w:r>
      <w:r w:rsidR="00515C87">
        <w:t xml:space="preserve"> in which a relationship is established with a child online, to </w:t>
      </w:r>
      <w:r w:rsidR="008F45C7">
        <w:t>initiate</w:t>
      </w:r>
      <w:r w:rsidR="00515C87">
        <w:t xml:space="preserve"> sexual contact with that child</w:t>
      </w:r>
      <w:r w:rsidR="00283964" w:rsidRPr="0070550B">
        <w:t>.</w:t>
      </w:r>
      <w:r w:rsidR="00515C87">
        <w:t xml:space="preserve"> In </w:t>
      </w:r>
      <w:r w:rsidR="00A65FD2">
        <w:t>short,</w:t>
      </w:r>
      <w:r w:rsidR="00515C87">
        <w:t xml:space="preserve"> a child is solicited for sexual purposes. </w:t>
      </w:r>
      <w:r w:rsidR="00F77D30" w:rsidRPr="0070550B">
        <w:rPr>
          <w:rStyle w:val="FootnoteReference"/>
        </w:rPr>
        <w:footnoteReference w:id="7"/>
      </w:r>
    </w:p>
    <w:p w14:paraId="4F5881C6" w14:textId="3A726B45" w:rsidR="004F39E1" w:rsidRDefault="004F39E1" w:rsidP="00803DDF">
      <w:pPr>
        <w:pStyle w:val="ListParagraph"/>
        <w:numPr>
          <w:ilvl w:val="0"/>
          <w:numId w:val="2"/>
        </w:numPr>
        <w:jc w:val="both"/>
      </w:pPr>
      <w:r>
        <w:t xml:space="preserve">Sextortion is a common result of grooming, </w:t>
      </w:r>
      <w:r w:rsidR="00431A9A">
        <w:t xml:space="preserve">in which </w:t>
      </w:r>
      <w:r w:rsidR="001F3B58">
        <w:t xml:space="preserve">the perpetrator threatens to share </w:t>
      </w:r>
      <w:r w:rsidR="00832476">
        <w:t>sexually explicit videos or images solicited from the victim</w:t>
      </w:r>
      <w:r w:rsidR="001F3B58">
        <w:t xml:space="preserve"> with </w:t>
      </w:r>
      <w:r w:rsidR="003F6348">
        <w:t xml:space="preserve">for example friends and family, </w:t>
      </w:r>
      <w:proofErr w:type="gramStart"/>
      <w:r w:rsidR="003F6348">
        <w:t>in order to</w:t>
      </w:r>
      <w:proofErr w:type="gramEnd"/>
      <w:r w:rsidR="003F6348">
        <w:t xml:space="preserve"> blackmail the victim into sharing </w:t>
      </w:r>
      <w:r w:rsidR="00832476">
        <w:t xml:space="preserve">more </w:t>
      </w:r>
      <w:r w:rsidR="00B44B27">
        <w:t>sexually explicit content</w:t>
      </w:r>
      <w:r w:rsidR="00832476">
        <w:t>.</w:t>
      </w:r>
      <w:r w:rsidR="00E265C8">
        <w:t xml:space="preserve"> </w:t>
      </w:r>
      <w:r w:rsidR="00604791">
        <w:t xml:space="preserve">In some cases, </w:t>
      </w:r>
      <w:r w:rsidR="00253DCB">
        <w:t xml:space="preserve">blackmail is carried out to get money from the victim or to force the victim to meet </w:t>
      </w:r>
      <w:proofErr w:type="gramStart"/>
      <w:r w:rsidR="00253DCB">
        <w:t>in order to</w:t>
      </w:r>
      <w:proofErr w:type="gramEnd"/>
      <w:r w:rsidR="00253DCB">
        <w:t xml:space="preserve"> </w:t>
      </w:r>
      <w:r w:rsidR="0014427C">
        <w:t>abuse the victim sexually</w:t>
      </w:r>
      <w:r w:rsidR="00253DCB">
        <w:t xml:space="preserve">. </w:t>
      </w:r>
      <w:r w:rsidR="00E265C8">
        <w:t xml:space="preserve">However, it should be noted that whilst grooming is often carried out by an adult against a child, incidents of sextortion </w:t>
      </w:r>
      <w:r w:rsidR="00ED7DF4">
        <w:t>concern a wider group, including teenagers consensually sharing images that are then used against them.</w:t>
      </w:r>
      <w:r w:rsidR="00414C74">
        <w:rPr>
          <w:rStyle w:val="FootnoteReference"/>
        </w:rPr>
        <w:footnoteReference w:id="8"/>
      </w:r>
    </w:p>
    <w:p w14:paraId="0610EC44" w14:textId="5A5704FC" w:rsidR="007362C7" w:rsidRDefault="002B5D4F" w:rsidP="007362C7">
      <w:pPr>
        <w:pStyle w:val="ListParagraph"/>
        <w:numPr>
          <w:ilvl w:val="0"/>
          <w:numId w:val="2"/>
        </w:numPr>
        <w:jc w:val="both"/>
      </w:pPr>
      <w:r>
        <w:lastRenderedPageBreak/>
        <w:t>Disseminating</w:t>
      </w:r>
      <w:r w:rsidR="007362C7">
        <w:t xml:space="preserve"> child sexual abuse material</w:t>
      </w:r>
      <w:r>
        <w:t xml:space="preserve"> online</w:t>
      </w:r>
      <w:r w:rsidR="007362C7">
        <w:t xml:space="preserve"> is </w:t>
      </w:r>
      <w:r>
        <w:t>sharing images that represent a</w:t>
      </w:r>
      <w:r w:rsidR="007362C7">
        <w:t xml:space="preserve"> child engaged in real or simulated explicit sexual activities</w:t>
      </w:r>
      <w:r w:rsidR="00C47FB8">
        <w:t>,</w:t>
      </w:r>
      <w:r w:rsidR="007362C7">
        <w:t xml:space="preserve"> or any representation of the sexual parts of a child for primarily sexual purposes.</w:t>
      </w:r>
      <w:r w:rsidR="007362C7">
        <w:rPr>
          <w:rStyle w:val="FootnoteReference"/>
        </w:rPr>
        <w:footnoteReference w:id="9"/>
      </w:r>
      <w:r w:rsidR="007362C7">
        <w:t xml:space="preserve"> </w:t>
      </w:r>
      <w:r w:rsidR="00C2560A">
        <w:t>In 2018, t</w:t>
      </w:r>
      <w:r w:rsidR="000A1FAA">
        <w:t xml:space="preserve">he </w:t>
      </w:r>
      <w:r w:rsidR="007362C7">
        <w:t>Internet Watch Foundation identified 105,0</w:t>
      </w:r>
      <w:r w:rsidR="00A65FD2">
        <w:t>47</w:t>
      </w:r>
      <w:r w:rsidR="007362C7">
        <w:t xml:space="preserve"> different URLs online reported to contain child sexual abuse material, steadily increasing from 50,000 in 2016.</w:t>
      </w:r>
      <w:r w:rsidR="00DE66D7">
        <w:t xml:space="preserve"> Most of these images are </w:t>
      </w:r>
      <w:r w:rsidR="00A31F03">
        <w:t>13 years or younger and 78% of the images depict girls.</w:t>
      </w:r>
      <w:r w:rsidR="00A31F03">
        <w:rPr>
          <w:rStyle w:val="FootnoteReference"/>
        </w:rPr>
        <w:footnoteReference w:id="10"/>
      </w:r>
    </w:p>
    <w:p w14:paraId="585165B2" w14:textId="7EDA5336" w:rsidR="00263619" w:rsidRPr="0033119C" w:rsidRDefault="004D2648" w:rsidP="00263619">
      <w:pPr>
        <w:pStyle w:val="ListParagraph"/>
        <w:numPr>
          <w:ilvl w:val="0"/>
          <w:numId w:val="2"/>
        </w:numPr>
        <w:jc w:val="both"/>
      </w:pPr>
      <w:r>
        <w:t xml:space="preserve">Whilst </w:t>
      </w:r>
      <w:r w:rsidR="00707D28">
        <w:t xml:space="preserve">these common forms of online child sexual abuse have been considered </w:t>
      </w:r>
      <w:r w:rsidR="001502F0">
        <w:t xml:space="preserve">extensively </w:t>
      </w:r>
      <w:r w:rsidR="0072502E">
        <w:t>by</w:t>
      </w:r>
      <w:r w:rsidR="001502F0">
        <w:t xml:space="preserve"> the Special Rapporteur </w:t>
      </w:r>
      <w:r w:rsidR="007463C6">
        <w:t>on the Sale of Children, Child Prostitution and Child Pornography</w:t>
      </w:r>
      <w:r w:rsidR="00B50103">
        <w:rPr>
          <w:rStyle w:val="FootnoteReference"/>
        </w:rPr>
        <w:footnoteReference w:id="11"/>
      </w:r>
      <w:r w:rsidR="00B50103">
        <w:t xml:space="preserve"> as well as</w:t>
      </w:r>
      <w:r w:rsidR="007463C6">
        <w:t xml:space="preserve"> </w:t>
      </w:r>
      <w:r w:rsidR="00A20E23">
        <w:t>by several UN agencies</w:t>
      </w:r>
      <w:r w:rsidR="00D80981">
        <w:t>,</w:t>
      </w:r>
      <w:r w:rsidR="00D80981">
        <w:rPr>
          <w:rStyle w:val="FootnoteReference"/>
        </w:rPr>
        <w:footnoteReference w:id="12"/>
      </w:r>
      <w:r w:rsidR="002003D1">
        <w:t xml:space="preserve"> and in </w:t>
      </w:r>
      <w:r w:rsidR="001502F0">
        <w:t xml:space="preserve">the Optional Protocol </w:t>
      </w:r>
      <w:r w:rsidR="00900118">
        <w:t>to the CRC on the Sale of Children</w:t>
      </w:r>
      <w:r w:rsidR="00440DE5">
        <w:t>, Child Prostitution and Child Pornography,</w:t>
      </w:r>
      <w:r w:rsidR="002003D1">
        <w:t xml:space="preserve"> </w:t>
      </w:r>
      <w:r w:rsidR="00800328">
        <w:t xml:space="preserve">there are </w:t>
      </w:r>
      <w:r w:rsidR="00C47FB8">
        <w:t>and</w:t>
      </w:r>
      <w:r w:rsidR="008D66E7">
        <w:t xml:space="preserve"> there will continue to be </w:t>
      </w:r>
      <w:r w:rsidR="00800328">
        <w:t>ever emerging forms of online abuse of children</w:t>
      </w:r>
      <w:r w:rsidR="00430468">
        <w:t>. As science and technology develop so do the forms of abuse,</w:t>
      </w:r>
      <w:r w:rsidR="00A12FD3">
        <w:t xml:space="preserve"> and new challenges arise. For example, some child sexual abuse material that is distributed among adults for sexual purposes is self-</w:t>
      </w:r>
      <w:r w:rsidR="007012DA">
        <w:t>generated but</w:t>
      </w:r>
      <w:r w:rsidR="00A12FD3">
        <w:t xml:space="preserve"> was produced non-consensually and used for sexual extortion online</w:t>
      </w:r>
      <w:r w:rsidR="00430468">
        <w:t>.</w:t>
      </w:r>
      <w:r w:rsidR="00D80981">
        <w:rPr>
          <w:rStyle w:val="FootnoteReference"/>
        </w:rPr>
        <w:footnoteReference w:id="13"/>
      </w:r>
      <w:r w:rsidR="00430468">
        <w:t xml:space="preserve"> It is against this background that this submission recommends </w:t>
      </w:r>
      <w:r w:rsidR="009A2397">
        <w:t xml:space="preserve">that children must be given </w:t>
      </w:r>
      <w:proofErr w:type="gramStart"/>
      <w:r w:rsidR="00E44DBF">
        <w:t>particular</w:t>
      </w:r>
      <w:r w:rsidR="009A2397">
        <w:t xml:space="preserve"> </w:t>
      </w:r>
      <w:r w:rsidR="00E44DBF">
        <w:t>attention</w:t>
      </w:r>
      <w:proofErr w:type="gramEnd"/>
      <w:r w:rsidR="007212FD">
        <w:t xml:space="preserve"> in the GC on science</w:t>
      </w:r>
      <w:r w:rsidR="009A2397">
        <w:t>.</w:t>
      </w:r>
    </w:p>
    <w:p w14:paraId="4245B899" w14:textId="77777777" w:rsidR="004F1D0A" w:rsidRDefault="00F47259" w:rsidP="004F1D0A">
      <w:pPr>
        <w:jc w:val="both"/>
        <w:rPr>
          <w:b/>
        </w:rPr>
      </w:pPr>
      <w:r>
        <w:rPr>
          <w:b/>
        </w:rPr>
        <w:t>RECOMMENDATION</w:t>
      </w:r>
    </w:p>
    <w:p w14:paraId="4A6838E4" w14:textId="781F1752" w:rsidR="007B348B" w:rsidRPr="007B348B" w:rsidRDefault="00801009" w:rsidP="007B348B">
      <w:pPr>
        <w:pStyle w:val="ListParagraph"/>
        <w:numPr>
          <w:ilvl w:val="0"/>
          <w:numId w:val="2"/>
        </w:numPr>
        <w:jc w:val="both"/>
        <w:rPr>
          <w:b/>
        </w:rPr>
      </w:pPr>
      <w:r>
        <w:t>As outlined above, i</w:t>
      </w:r>
      <w:r w:rsidR="00A40460">
        <w:t>t</w:t>
      </w:r>
      <w:r w:rsidR="006B7ADA">
        <w:t xml:space="preserve"> is clear that children are particularly </w:t>
      </w:r>
      <w:r w:rsidR="00CC0BE8">
        <w:t xml:space="preserve">vulnerable when it comes to </w:t>
      </w:r>
      <w:r w:rsidR="00440DE5">
        <w:t>ICT</w:t>
      </w:r>
      <w:r>
        <w:t>. S</w:t>
      </w:r>
      <w:r w:rsidR="00475838">
        <w:t>pecial consideration must be made when providing for enjoying the benefit of sc</w:t>
      </w:r>
      <w:r w:rsidR="00493BED">
        <w:t>ientific progress and its applications.</w:t>
      </w:r>
    </w:p>
    <w:p w14:paraId="63B310AA" w14:textId="58B17794" w:rsidR="00493BED" w:rsidRPr="00801009" w:rsidRDefault="00493BED" w:rsidP="007B348B">
      <w:pPr>
        <w:pStyle w:val="ListParagraph"/>
        <w:numPr>
          <w:ilvl w:val="0"/>
          <w:numId w:val="2"/>
        </w:numPr>
        <w:jc w:val="both"/>
        <w:rPr>
          <w:b/>
        </w:rPr>
      </w:pPr>
      <w:r>
        <w:t>Giving special consideration to this group does not mean that children should simply be prohibited from using the internet. It means that children’s right to access information and freedom of expression and raising children as digital citizens</w:t>
      </w:r>
      <w:r w:rsidR="00824C63">
        <w:t xml:space="preserve"> must be </w:t>
      </w:r>
      <w:proofErr w:type="gramStart"/>
      <w:r w:rsidR="00824C63">
        <w:t>taken into account</w:t>
      </w:r>
      <w:proofErr w:type="gramEnd"/>
      <w:r>
        <w:t>.</w:t>
      </w:r>
    </w:p>
    <w:p w14:paraId="09569FAF" w14:textId="08FB2571" w:rsidR="00AD428D" w:rsidRPr="00AD428D" w:rsidRDefault="00801009" w:rsidP="007B348B">
      <w:pPr>
        <w:pStyle w:val="ListParagraph"/>
        <w:numPr>
          <w:ilvl w:val="0"/>
          <w:numId w:val="2"/>
        </w:numPr>
        <w:jc w:val="both"/>
        <w:rPr>
          <w:b/>
        </w:rPr>
      </w:pPr>
      <w:r>
        <w:t xml:space="preserve">The recommendation is to include </w:t>
      </w:r>
      <w:r w:rsidR="00277FBA">
        <w:t xml:space="preserve">children as a fourth group </w:t>
      </w:r>
      <w:r w:rsidR="00D913D2">
        <w:t xml:space="preserve">under ‘Obligations – C’. Whilst the other groups have been </w:t>
      </w:r>
      <w:r w:rsidR="0017069E">
        <w:t xml:space="preserve">paid </w:t>
      </w:r>
      <w:proofErr w:type="gramStart"/>
      <w:r w:rsidR="0017069E">
        <w:t>particular attention</w:t>
      </w:r>
      <w:proofErr w:type="gramEnd"/>
      <w:r w:rsidR="0017069E">
        <w:t xml:space="preserve"> with regard to their special status in </w:t>
      </w:r>
      <w:r w:rsidR="0017069E">
        <w:rPr>
          <w:i/>
        </w:rPr>
        <w:t xml:space="preserve">accessing </w:t>
      </w:r>
      <w:r w:rsidR="0017069E">
        <w:t xml:space="preserve">the right to participate in enjoying the benefit of scientific progress, this additional paragraph must take into account the particular vulnerability of a child as </w:t>
      </w:r>
      <w:r w:rsidR="00940414">
        <w:t xml:space="preserve">they are affected by the progression of technology and its abuse to </w:t>
      </w:r>
      <w:r w:rsidR="00547E61">
        <w:t>take advantage of their vulnerability.</w:t>
      </w:r>
      <w:r w:rsidR="002C738F">
        <w:t xml:space="preserve"> It must recognize that children have been and will be conducting themselves online and this must be not only considered by Member States as they </w:t>
      </w:r>
      <w:r w:rsidR="00F70348">
        <w:t>strengthen access to benefits of science, but the appropriate safeguards must be put into place to ensure children</w:t>
      </w:r>
      <w:r w:rsidR="00033C15">
        <w:t xml:space="preserve"> – and the other </w:t>
      </w:r>
      <w:r w:rsidR="003D302D">
        <w:t xml:space="preserve">listed groups – </w:t>
      </w:r>
      <w:r w:rsidR="00F70348">
        <w:t>are protected</w:t>
      </w:r>
      <w:r w:rsidR="00AD428D">
        <w:t xml:space="preserve"> from abuse</w:t>
      </w:r>
      <w:r w:rsidR="00F70348">
        <w:t xml:space="preserve"> when using science, and particular</w:t>
      </w:r>
      <w:r w:rsidR="0070550B">
        <w:t>ly</w:t>
      </w:r>
      <w:r w:rsidR="00F70348">
        <w:t xml:space="preserve"> ICT</w:t>
      </w:r>
      <w:r w:rsidR="00AD428D">
        <w:t xml:space="preserve">. </w:t>
      </w:r>
    </w:p>
    <w:p w14:paraId="3E9890CA" w14:textId="58675597" w:rsidR="00801009" w:rsidRPr="007B348B" w:rsidRDefault="00AD428D" w:rsidP="007B348B">
      <w:pPr>
        <w:pStyle w:val="ListParagraph"/>
        <w:numPr>
          <w:ilvl w:val="0"/>
          <w:numId w:val="2"/>
        </w:numPr>
        <w:jc w:val="both"/>
        <w:rPr>
          <w:b/>
        </w:rPr>
      </w:pPr>
      <w:r>
        <w:t>The appropriate international legal framework</w:t>
      </w:r>
      <w:r w:rsidR="00A14A17">
        <w:t>s</w:t>
      </w:r>
      <w:r>
        <w:t xml:space="preserve"> </w:t>
      </w:r>
      <w:r w:rsidR="00092AE0">
        <w:t>and relevant guidelines</w:t>
      </w:r>
      <w:r>
        <w:t xml:space="preserve"> </w:t>
      </w:r>
      <w:r w:rsidR="00A14A17">
        <w:t xml:space="preserve">to </w:t>
      </w:r>
      <w:r>
        <w:t xml:space="preserve">ensure this protection </w:t>
      </w:r>
      <w:r w:rsidR="00A14A17">
        <w:t xml:space="preserve">are </w:t>
      </w:r>
      <w:bookmarkStart w:id="0" w:name="_GoBack"/>
      <w:bookmarkEnd w:id="0"/>
      <w:r>
        <w:t>listed below.</w:t>
      </w:r>
    </w:p>
    <w:p w14:paraId="0B62A593" w14:textId="77777777" w:rsidR="004F1D0A" w:rsidRDefault="004F1D0A" w:rsidP="004F1D0A">
      <w:pPr>
        <w:jc w:val="both"/>
      </w:pPr>
    </w:p>
    <w:p w14:paraId="075BC4CF" w14:textId="70970524" w:rsidR="009007F2" w:rsidRDefault="00FA5193" w:rsidP="004F1D0A">
      <w:pPr>
        <w:jc w:val="both"/>
        <w:rPr>
          <w:b/>
        </w:rPr>
      </w:pPr>
      <w:r>
        <w:rPr>
          <w:b/>
        </w:rPr>
        <w:lastRenderedPageBreak/>
        <w:t>IMPORTANT</w:t>
      </w:r>
      <w:r w:rsidR="00F47259">
        <w:rPr>
          <w:b/>
        </w:rPr>
        <w:t xml:space="preserve"> RESOURCES</w:t>
      </w:r>
    </w:p>
    <w:p w14:paraId="1DA6B8B1" w14:textId="23C8E99E" w:rsidR="009007F2" w:rsidRDefault="009007F2" w:rsidP="00135AAC">
      <w:pPr>
        <w:pStyle w:val="ListParagraph"/>
        <w:numPr>
          <w:ilvl w:val="0"/>
          <w:numId w:val="6"/>
        </w:numPr>
        <w:jc w:val="both"/>
      </w:pPr>
      <w:r w:rsidRPr="009007F2">
        <w:t>Guidelines regarding the implementation of the Optional Protocol to the Convention on the Rights of the Child on the sale of children, child prostitution and child pornography</w:t>
      </w:r>
      <w:r>
        <w:t>, CRC/C/156, September 2019</w:t>
      </w:r>
    </w:p>
    <w:p w14:paraId="4651DA73" w14:textId="7F39262E" w:rsidR="009007F2" w:rsidRDefault="00FA5193" w:rsidP="00135AAC">
      <w:pPr>
        <w:pStyle w:val="ListParagraph"/>
        <w:numPr>
          <w:ilvl w:val="0"/>
          <w:numId w:val="6"/>
        </w:numPr>
        <w:jc w:val="both"/>
      </w:pPr>
      <w:r w:rsidRPr="00FA5193">
        <w:t>UNODC, Study on the Effects of New Information Technologies on the Abuse of Children, New York 2015</w:t>
      </w:r>
    </w:p>
    <w:p w14:paraId="61A93D7C" w14:textId="77777777" w:rsidR="007012DA" w:rsidRDefault="007012DA" w:rsidP="007012DA">
      <w:pPr>
        <w:pStyle w:val="ListParagraph"/>
        <w:numPr>
          <w:ilvl w:val="0"/>
          <w:numId w:val="6"/>
        </w:numPr>
        <w:jc w:val="both"/>
      </w:pPr>
      <w:r w:rsidRPr="007012DA">
        <w:t xml:space="preserve">Committee on the Rights of the Child, Concept Note for a General Comment on children’s rights in relation to the digital environment, May 2019 </w:t>
      </w:r>
    </w:p>
    <w:p w14:paraId="008CE1C5" w14:textId="5B0EB694" w:rsidR="007012DA" w:rsidRDefault="007012DA" w:rsidP="00803DDF">
      <w:pPr>
        <w:pStyle w:val="ListParagraph"/>
        <w:numPr>
          <w:ilvl w:val="0"/>
          <w:numId w:val="6"/>
        </w:numPr>
        <w:jc w:val="both"/>
      </w:pPr>
      <w:r>
        <w:t xml:space="preserve">Optional Protocol to the Convention on the Rights of the Child on the sale of children, child prostitution and child pornography, </w:t>
      </w:r>
      <w:r w:rsidRPr="007012DA">
        <w:t>A/RES/54/263 of 25 May 200</w:t>
      </w:r>
      <w:r>
        <w:t>0</w:t>
      </w:r>
    </w:p>
    <w:p w14:paraId="5E7F41C7" w14:textId="18DFA366" w:rsidR="00385675" w:rsidRPr="009007F2" w:rsidRDefault="00385675" w:rsidP="00385675">
      <w:pPr>
        <w:pStyle w:val="ListParagraph"/>
        <w:numPr>
          <w:ilvl w:val="0"/>
          <w:numId w:val="6"/>
        </w:numPr>
        <w:jc w:val="both"/>
      </w:pPr>
      <w:r w:rsidRPr="0008787C">
        <w:t xml:space="preserve">UN General Assembly, Convention on the Rights of the Child, </w:t>
      </w:r>
      <w:r>
        <w:t xml:space="preserve">RES/44/25 of </w:t>
      </w:r>
      <w:r w:rsidRPr="0008787C">
        <w:t>20 November 1989</w:t>
      </w:r>
    </w:p>
    <w:sectPr w:rsidR="00385675" w:rsidRPr="009007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C0664" w14:textId="77777777" w:rsidR="00476353" w:rsidRDefault="00476353" w:rsidP="00932A30">
      <w:pPr>
        <w:spacing w:after="0" w:line="240" w:lineRule="auto"/>
      </w:pPr>
      <w:r>
        <w:separator/>
      </w:r>
    </w:p>
  </w:endnote>
  <w:endnote w:type="continuationSeparator" w:id="0">
    <w:p w14:paraId="52B69A53" w14:textId="77777777" w:rsidR="00476353" w:rsidRDefault="00476353" w:rsidP="00932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A4CEC" w14:textId="77777777" w:rsidR="00476353" w:rsidRDefault="00476353" w:rsidP="00932A30">
      <w:pPr>
        <w:spacing w:after="0" w:line="240" w:lineRule="auto"/>
      </w:pPr>
      <w:r>
        <w:separator/>
      </w:r>
    </w:p>
  </w:footnote>
  <w:footnote w:type="continuationSeparator" w:id="0">
    <w:p w14:paraId="5EA17282" w14:textId="77777777" w:rsidR="00476353" w:rsidRDefault="00476353" w:rsidP="00932A30">
      <w:pPr>
        <w:spacing w:after="0" w:line="240" w:lineRule="auto"/>
      </w:pPr>
      <w:r>
        <w:continuationSeparator/>
      </w:r>
    </w:p>
  </w:footnote>
  <w:footnote w:id="1">
    <w:p w14:paraId="28232D16" w14:textId="0D91BCE5" w:rsidR="00932A30" w:rsidRDefault="00932A30">
      <w:pPr>
        <w:pStyle w:val="FootnoteText"/>
      </w:pPr>
      <w:r>
        <w:rPr>
          <w:rStyle w:val="FootnoteReference"/>
        </w:rPr>
        <w:footnoteRef/>
      </w:r>
      <w:r>
        <w:t xml:space="preserve"> </w:t>
      </w:r>
      <w:r w:rsidR="00C2560A">
        <w:t xml:space="preserve">The full definition reads: </w:t>
      </w:r>
      <w:r>
        <w:t>“</w:t>
      </w:r>
      <w:r w:rsidR="00397077">
        <w:t>…t</w:t>
      </w:r>
      <w:r>
        <w:t xml:space="preserve">he enterprise whereby humankind, acting individually or in small or large groups, makes an organized attempt, by means of the objective study of observed phenomena and its validation through sharing of findings and data and through peer review, to discover and master the chain of causalities, relations or interactions; brings together in a coordinated form subsystems of knowledge by means of systematic reflection and conceptualization; and thereby furnishes itself with the opportunity of using, to its own advantage, understanding of the processes and phenomena occurring in nature and society”. UNESCO, </w:t>
      </w:r>
      <w:r w:rsidR="00397077">
        <w:t xml:space="preserve">Recommendations on Science and Scientific Researchers, 1 (a), </w:t>
      </w:r>
      <w:r>
        <w:t xml:space="preserve">2017 </w:t>
      </w:r>
    </w:p>
  </w:footnote>
  <w:footnote w:id="2">
    <w:p w14:paraId="673A29D5" w14:textId="1263203E" w:rsidR="00C104EE" w:rsidRDefault="00C104EE">
      <w:pPr>
        <w:pStyle w:val="FootnoteText"/>
      </w:pPr>
      <w:r>
        <w:rPr>
          <w:rStyle w:val="FootnoteReference"/>
        </w:rPr>
        <w:footnoteRef/>
      </w:r>
      <w:r>
        <w:t xml:space="preserve"> Draft General Comment on Science,</w:t>
      </w:r>
      <w:r w:rsidR="00B242CC">
        <w:t xml:space="preserve"> Committee on Economic, Social and Cultural Rights, </w:t>
      </w:r>
      <w:r>
        <w:t>2020</w:t>
      </w:r>
      <w:r w:rsidR="00DA6C3C">
        <w:t xml:space="preserve">, point </w:t>
      </w:r>
      <w:r w:rsidR="002D78DA">
        <w:t>9</w:t>
      </w:r>
      <w:r w:rsidR="00DA6C3C">
        <w:t xml:space="preserve">. Available at </w:t>
      </w:r>
      <w:hyperlink r:id="rId1" w:history="1">
        <w:r w:rsidR="00DA6C3C">
          <w:rPr>
            <w:rStyle w:val="Hyperlink"/>
          </w:rPr>
          <w:t>https://www.ohchr.org/EN/HRBodies/CESCR/Pages/DraftGeneralComment_Science.aspx</w:t>
        </w:r>
      </w:hyperlink>
    </w:p>
  </w:footnote>
  <w:footnote w:id="3">
    <w:p w14:paraId="2F467B00" w14:textId="462364DA" w:rsidR="008C6F7C" w:rsidRDefault="008C6F7C" w:rsidP="008C6F7C">
      <w:pPr>
        <w:pStyle w:val="FootnoteText"/>
      </w:pPr>
      <w:r>
        <w:rPr>
          <w:rStyle w:val="FootnoteReference"/>
        </w:rPr>
        <w:footnoteRef/>
      </w:r>
      <w:r>
        <w:t xml:space="preserve"> </w:t>
      </w:r>
      <w:r w:rsidR="00C473B0" w:rsidRPr="00400493">
        <w:t>UNICEF, The State of the World’s Children 2017, New York 2017</w:t>
      </w:r>
      <w:r w:rsidR="00C473B0">
        <w:t xml:space="preserve">, </w:t>
      </w:r>
      <w:r w:rsidR="00BF32C5">
        <w:t>p. 7</w:t>
      </w:r>
    </w:p>
  </w:footnote>
  <w:footnote w:id="4">
    <w:p w14:paraId="158CAE55" w14:textId="77777777" w:rsidR="009E7207" w:rsidRDefault="009E7207" w:rsidP="009E7207">
      <w:pPr>
        <w:pStyle w:val="FootnoteText"/>
      </w:pPr>
      <w:r>
        <w:rPr>
          <w:rStyle w:val="FootnoteReference"/>
        </w:rPr>
        <w:footnoteRef/>
      </w:r>
      <w:r>
        <w:t xml:space="preserve"> Committee on the Rights of the Child, Concept Note for a General Comment on children’s rights in relation to the digital environment, May 2019</w:t>
      </w:r>
    </w:p>
  </w:footnote>
  <w:footnote w:id="5">
    <w:p w14:paraId="179C41F3" w14:textId="33479801" w:rsidR="00A12FD3" w:rsidRDefault="00A12FD3">
      <w:pPr>
        <w:pStyle w:val="FootnoteText"/>
      </w:pPr>
      <w:r>
        <w:rPr>
          <w:rStyle w:val="FootnoteReference"/>
        </w:rPr>
        <w:footnoteRef/>
      </w:r>
      <w:r>
        <w:t xml:space="preserve"> </w:t>
      </w:r>
      <w:r w:rsidRPr="00400493">
        <w:t>UNICEF, The State of the World’s Children 2017, New York 2017</w:t>
      </w:r>
      <w:r>
        <w:t>, p. 71</w:t>
      </w:r>
    </w:p>
  </w:footnote>
  <w:footnote w:id="6">
    <w:p w14:paraId="64A32611" w14:textId="1D9E64AC" w:rsidR="00A12FD3" w:rsidRDefault="00A12FD3">
      <w:pPr>
        <w:pStyle w:val="FootnoteText"/>
      </w:pPr>
      <w:r>
        <w:rPr>
          <w:rStyle w:val="FootnoteReference"/>
        </w:rPr>
        <w:footnoteRef/>
      </w:r>
      <w:r>
        <w:t xml:space="preserve"> </w:t>
      </w:r>
      <w:r w:rsidRPr="00400493">
        <w:t>UNICEF, The State of the World’s Children 2017, New York 2017</w:t>
      </w:r>
      <w:r>
        <w:t>, p. 73</w:t>
      </w:r>
    </w:p>
  </w:footnote>
  <w:footnote w:id="7">
    <w:p w14:paraId="451FF4B9" w14:textId="203C61C5" w:rsidR="00F77D30" w:rsidRDefault="00F77D30">
      <w:pPr>
        <w:pStyle w:val="FootnoteText"/>
      </w:pPr>
      <w:r>
        <w:rPr>
          <w:rStyle w:val="FootnoteReference"/>
        </w:rPr>
        <w:footnoteRef/>
      </w:r>
      <w:r>
        <w:t xml:space="preserve"> </w:t>
      </w:r>
      <w:r w:rsidR="009E7207">
        <w:t xml:space="preserve">Committee on the Rights of the Child, </w:t>
      </w:r>
      <w:r w:rsidR="00515C87">
        <w:t>Guidelines on the implementation of the Optional Protocol to the Convention on the Rights of the Child on the sale of children, child prostitution and child pornography, point 74</w:t>
      </w:r>
      <w:r>
        <w:t xml:space="preserve"> </w:t>
      </w:r>
    </w:p>
  </w:footnote>
  <w:footnote w:id="8">
    <w:p w14:paraId="68F73089" w14:textId="0B027477" w:rsidR="00414C74" w:rsidRDefault="00414C74">
      <w:pPr>
        <w:pStyle w:val="FootnoteText"/>
      </w:pPr>
      <w:r>
        <w:rPr>
          <w:rStyle w:val="FootnoteReference"/>
        </w:rPr>
        <w:footnoteRef/>
      </w:r>
      <w:r>
        <w:t xml:space="preserve"> </w:t>
      </w:r>
      <w:hyperlink r:id="rId2" w:history="1">
        <w:r>
          <w:rPr>
            <w:rStyle w:val="Hyperlink"/>
          </w:rPr>
          <w:t>http://www.missingkids.org/theissues/sextortion</w:t>
        </w:r>
      </w:hyperlink>
    </w:p>
  </w:footnote>
  <w:footnote w:id="9">
    <w:p w14:paraId="52449D55" w14:textId="0D01E973" w:rsidR="007362C7" w:rsidRDefault="007362C7" w:rsidP="007362C7">
      <w:pPr>
        <w:pStyle w:val="FootnoteText"/>
      </w:pPr>
      <w:r>
        <w:rPr>
          <w:rStyle w:val="FootnoteReference"/>
        </w:rPr>
        <w:footnoteRef/>
      </w:r>
      <w:r>
        <w:t xml:space="preserve"> As </w:t>
      </w:r>
      <w:r w:rsidR="002F285E">
        <w:t>defined</w:t>
      </w:r>
      <w:r>
        <w:t xml:space="preserve"> in the Optional Protocol to the Convention on the Rights of the Child on the Sale of Children, Child Prostitution and Child Pornography</w:t>
      </w:r>
      <w:r w:rsidR="00D46F91">
        <w:t xml:space="preserve">, </w:t>
      </w:r>
      <w:r w:rsidR="00D46F91" w:rsidRPr="00D46F91">
        <w:t>A/RES/54/263 of 25 May 2000</w:t>
      </w:r>
    </w:p>
  </w:footnote>
  <w:footnote w:id="10">
    <w:p w14:paraId="1B22CDFD" w14:textId="0A92B00D" w:rsidR="00A31F03" w:rsidRDefault="00A31F03">
      <w:pPr>
        <w:pStyle w:val="FootnoteText"/>
      </w:pPr>
      <w:r>
        <w:rPr>
          <w:rStyle w:val="FootnoteReference"/>
        </w:rPr>
        <w:footnoteRef/>
      </w:r>
      <w:r>
        <w:t xml:space="preserve"> </w:t>
      </w:r>
      <w:r w:rsidR="00721394">
        <w:t xml:space="preserve">Internet Watch Foundation, </w:t>
      </w:r>
      <w:r w:rsidR="00A65FD2">
        <w:t xml:space="preserve">Once Upon a Year: Annual Report </w:t>
      </w:r>
      <w:r w:rsidR="00721394">
        <w:t xml:space="preserve">2018, p. </w:t>
      </w:r>
      <w:r w:rsidR="00263619">
        <w:t>10</w:t>
      </w:r>
    </w:p>
  </w:footnote>
  <w:footnote w:id="11">
    <w:p w14:paraId="2B094A49" w14:textId="368BBFBD" w:rsidR="00B50103" w:rsidRDefault="00B50103" w:rsidP="005F0090">
      <w:pPr>
        <w:pStyle w:val="FootnoteText"/>
      </w:pPr>
      <w:r>
        <w:rPr>
          <w:rStyle w:val="FootnoteReference"/>
        </w:rPr>
        <w:footnoteRef/>
      </w:r>
      <w:r>
        <w:t xml:space="preserve"> </w:t>
      </w:r>
      <w:r w:rsidR="00400493">
        <w:t>d</w:t>
      </w:r>
      <w:r w:rsidR="005F0090">
        <w:t>e Boer-Buquicchio, Maud, Report of the Special Rapporteur on the Sale of Children, Child Prostitution and Child Pornography, A/HRC/28/56 (22 December 2014) and Maalla, Najat M’jid, Report of the Special Rapporteur on the Sale of Children, Child Prostitution and Child Pornography, A/HCR/12/23 (13 July 2009)</w:t>
      </w:r>
    </w:p>
  </w:footnote>
  <w:footnote w:id="12">
    <w:p w14:paraId="0C854CE2" w14:textId="277AEE9E" w:rsidR="00D80981" w:rsidRDefault="00D80981" w:rsidP="00400493">
      <w:pPr>
        <w:pStyle w:val="FootnoteText"/>
      </w:pPr>
      <w:r>
        <w:rPr>
          <w:rStyle w:val="FootnoteReference"/>
        </w:rPr>
        <w:footnoteRef/>
      </w:r>
      <w:r>
        <w:t xml:space="preserve"> </w:t>
      </w:r>
      <w:r w:rsidR="00400493" w:rsidRPr="00400493">
        <w:t>UNICEF, The State of the World’s Children 2017, New York 2017</w:t>
      </w:r>
      <w:r w:rsidR="00400493">
        <w:t>, and UNODC, Study on the Effects of New Information Technologies on the Abuse of Children, New York 2015</w:t>
      </w:r>
    </w:p>
  </w:footnote>
  <w:footnote w:id="13">
    <w:p w14:paraId="3DE50DBA" w14:textId="17E175CB" w:rsidR="00D80981" w:rsidRDefault="00D80981" w:rsidP="00EB2C48">
      <w:pPr>
        <w:pStyle w:val="FootnoteText"/>
      </w:pPr>
      <w:r>
        <w:rPr>
          <w:rStyle w:val="FootnoteReference"/>
        </w:rPr>
        <w:footnoteRef/>
      </w:r>
      <w:r>
        <w:t xml:space="preserve"> </w:t>
      </w:r>
      <w:r w:rsidR="007012DA" w:rsidRPr="00400493">
        <w:t>UNICEF, The State of the World’s Children 2017, New York 2017</w:t>
      </w:r>
      <w:r w:rsidR="007012DA">
        <w:t xml:space="preserve">, p. 71 and </w:t>
      </w:r>
      <w:r w:rsidR="00EB2C48">
        <w:t>ECPAT International (2018), “Trends in online child sexual abuse material”, April 2018, Bangkok: ECPAT International.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B130A"/>
    <w:multiLevelType w:val="hybridMultilevel"/>
    <w:tmpl w:val="1172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EB24B0"/>
    <w:multiLevelType w:val="hybridMultilevel"/>
    <w:tmpl w:val="36A22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9625AC"/>
    <w:multiLevelType w:val="hybridMultilevel"/>
    <w:tmpl w:val="04325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DD1839"/>
    <w:multiLevelType w:val="hybridMultilevel"/>
    <w:tmpl w:val="1C3EEDF8"/>
    <w:lvl w:ilvl="0" w:tplc="D3A62ECE">
      <w:start w:val="1"/>
      <w:numFmt w:val="decimal"/>
      <w:lvlText w:val="%1."/>
      <w:lvlJc w:val="left"/>
      <w:pPr>
        <w:ind w:left="1689" w:hanging="555"/>
      </w:pPr>
      <w:rPr>
        <w:b w:val="0"/>
        <w:i w:val="0"/>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4" w15:restartNumberingAfterBreak="0">
    <w:nsid w:val="4F512C8B"/>
    <w:multiLevelType w:val="hybridMultilevel"/>
    <w:tmpl w:val="A8E61A4E"/>
    <w:lvl w:ilvl="0" w:tplc="66ECFB26">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CC4FD9"/>
    <w:multiLevelType w:val="hybridMultilevel"/>
    <w:tmpl w:val="FAD0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135"/>
    <w:rsid w:val="000043C7"/>
    <w:rsid w:val="0000515D"/>
    <w:rsid w:val="00007584"/>
    <w:rsid w:val="00014A86"/>
    <w:rsid w:val="00033C15"/>
    <w:rsid w:val="00084FF3"/>
    <w:rsid w:val="00092AE0"/>
    <w:rsid w:val="000A1FAA"/>
    <w:rsid w:val="000B757C"/>
    <w:rsid w:val="000D0CCF"/>
    <w:rsid w:val="000E6E63"/>
    <w:rsid w:val="001040FC"/>
    <w:rsid w:val="00137BC8"/>
    <w:rsid w:val="0014427C"/>
    <w:rsid w:val="00146754"/>
    <w:rsid w:val="001502F0"/>
    <w:rsid w:val="0017069E"/>
    <w:rsid w:val="00183FB4"/>
    <w:rsid w:val="001F3B58"/>
    <w:rsid w:val="002003D1"/>
    <w:rsid w:val="00253DCB"/>
    <w:rsid w:val="00254552"/>
    <w:rsid w:val="0025562A"/>
    <w:rsid w:val="00263619"/>
    <w:rsid w:val="00276C0E"/>
    <w:rsid w:val="00277FBA"/>
    <w:rsid w:val="00283964"/>
    <w:rsid w:val="002845AC"/>
    <w:rsid w:val="002849CA"/>
    <w:rsid w:val="002A71CD"/>
    <w:rsid w:val="002A7536"/>
    <w:rsid w:val="002B5D4F"/>
    <w:rsid w:val="002C595A"/>
    <w:rsid w:val="002C738F"/>
    <w:rsid w:val="002D78DA"/>
    <w:rsid w:val="002E405D"/>
    <w:rsid w:val="002F285E"/>
    <w:rsid w:val="002F4598"/>
    <w:rsid w:val="002F5C73"/>
    <w:rsid w:val="0033119C"/>
    <w:rsid w:val="00362A68"/>
    <w:rsid w:val="00385675"/>
    <w:rsid w:val="00392BFE"/>
    <w:rsid w:val="00396B4A"/>
    <w:rsid w:val="00397077"/>
    <w:rsid w:val="003A0E19"/>
    <w:rsid w:val="003B07A9"/>
    <w:rsid w:val="003D302D"/>
    <w:rsid w:val="003E2ED3"/>
    <w:rsid w:val="003F6348"/>
    <w:rsid w:val="00400493"/>
    <w:rsid w:val="00414C74"/>
    <w:rsid w:val="004150C3"/>
    <w:rsid w:val="00421D99"/>
    <w:rsid w:val="00430468"/>
    <w:rsid w:val="00431A9A"/>
    <w:rsid w:val="00440DE5"/>
    <w:rsid w:val="004526BC"/>
    <w:rsid w:val="0045456F"/>
    <w:rsid w:val="004707E2"/>
    <w:rsid w:val="00475838"/>
    <w:rsid w:val="00476353"/>
    <w:rsid w:val="004809F0"/>
    <w:rsid w:val="00493BED"/>
    <w:rsid w:val="004D2648"/>
    <w:rsid w:val="004F1D0A"/>
    <w:rsid w:val="004F39E1"/>
    <w:rsid w:val="004F5BF7"/>
    <w:rsid w:val="005153A9"/>
    <w:rsid w:val="00515C87"/>
    <w:rsid w:val="00521362"/>
    <w:rsid w:val="0053511C"/>
    <w:rsid w:val="00547E61"/>
    <w:rsid w:val="005B17AC"/>
    <w:rsid w:val="005C0CDE"/>
    <w:rsid w:val="005D2931"/>
    <w:rsid w:val="005D536E"/>
    <w:rsid w:val="005F0090"/>
    <w:rsid w:val="00604791"/>
    <w:rsid w:val="00631457"/>
    <w:rsid w:val="00632622"/>
    <w:rsid w:val="00640F8E"/>
    <w:rsid w:val="0064714C"/>
    <w:rsid w:val="0065121F"/>
    <w:rsid w:val="00670DFD"/>
    <w:rsid w:val="006A4A98"/>
    <w:rsid w:val="006B7ADA"/>
    <w:rsid w:val="006C44D1"/>
    <w:rsid w:val="007012DA"/>
    <w:rsid w:val="0070411F"/>
    <w:rsid w:val="0070550B"/>
    <w:rsid w:val="00707D28"/>
    <w:rsid w:val="007212FD"/>
    <w:rsid w:val="00721394"/>
    <w:rsid w:val="0072502E"/>
    <w:rsid w:val="00727CCA"/>
    <w:rsid w:val="00735130"/>
    <w:rsid w:val="00735675"/>
    <w:rsid w:val="007362C7"/>
    <w:rsid w:val="007463C6"/>
    <w:rsid w:val="00795853"/>
    <w:rsid w:val="007A70D2"/>
    <w:rsid w:val="007B02E6"/>
    <w:rsid w:val="007B348B"/>
    <w:rsid w:val="007D697B"/>
    <w:rsid w:val="00800328"/>
    <w:rsid w:val="00801009"/>
    <w:rsid w:val="00803DDF"/>
    <w:rsid w:val="00821071"/>
    <w:rsid w:val="00824C63"/>
    <w:rsid w:val="00832476"/>
    <w:rsid w:val="008455EC"/>
    <w:rsid w:val="00853661"/>
    <w:rsid w:val="00865386"/>
    <w:rsid w:val="00867C6E"/>
    <w:rsid w:val="008C1B82"/>
    <w:rsid w:val="008C6F7C"/>
    <w:rsid w:val="008D0BAF"/>
    <w:rsid w:val="008D66E7"/>
    <w:rsid w:val="008D75B9"/>
    <w:rsid w:val="008F3185"/>
    <w:rsid w:val="008F400D"/>
    <w:rsid w:val="008F45C7"/>
    <w:rsid w:val="008F5807"/>
    <w:rsid w:val="00900118"/>
    <w:rsid w:val="009007F2"/>
    <w:rsid w:val="00932A30"/>
    <w:rsid w:val="00932F66"/>
    <w:rsid w:val="00940414"/>
    <w:rsid w:val="009442FC"/>
    <w:rsid w:val="0099227D"/>
    <w:rsid w:val="009A2397"/>
    <w:rsid w:val="009A3DB0"/>
    <w:rsid w:val="009E5470"/>
    <w:rsid w:val="009E7207"/>
    <w:rsid w:val="00A0705A"/>
    <w:rsid w:val="00A12FD3"/>
    <w:rsid w:val="00A14A17"/>
    <w:rsid w:val="00A20E23"/>
    <w:rsid w:val="00A27C14"/>
    <w:rsid w:val="00A31F03"/>
    <w:rsid w:val="00A32019"/>
    <w:rsid w:val="00A40460"/>
    <w:rsid w:val="00A57318"/>
    <w:rsid w:val="00A65FD2"/>
    <w:rsid w:val="00A76ECB"/>
    <w:rsid w:val="00AA1277"/>
    <w:rsid w:val="00AB6DF3"/>
    <w:rsid w:val="00AD428D"/>
    <w:rsid w:val="00B242CC"/>
    <w:rsid w:val="00B44B27"/>
    <w:rsid w:val="00B50103"/>
    <w:rsid w:val="00B56E6B"/>
    <w:rsid w:val="00B60BE3"/>
    <w:rsid w:val="00BA55FE"/>
    <w:rsid w:val="00BF32C5"/>
    <w:rsid w:val="00C104EE"/>
    <w:rsid w:val="00C2560A"/>
    <w:rsid w:val="00C33851"/>
    <w:rsid w:val="00C368D5"/>
    <w:rsid w:val="00C473B0"/>
    <w:rsid w:val="00C47FB8"/>
    <w:rsid w:val="00C57317"/>
    <w:rsid w:val="00C73B38"/>
    <w:rsid w:val="00C92F11"/>
    <w:rsid w:val="00CC0BE8"/>
    <w:rsid w:val="00CD3631"/>
    <w:rsid w:val="00CD5EB4"/>
    <w:rsid w:val="00CD6C90"/>
    <w:rsid w:val="00CE6F99"/>
    <w:rsid w:val="00CF0EDA"/>
    <w:rsid w:val="00D0438F"/>
    <w:rsid w:val="00D04586"/>
    <w:rsid w:val="00D25F32"/>
    <w:rsid w:val="00D46F91"/>
    <w:rsid w:val="00D47E95"/>
    <w:rsid w:val="00D80981"/>
    <w:rsid w:val="00D913D2"/>
    <w:rsid w:val="00DA4A15"/>
    <w:rsid w:val="00DA6C3C"/>
    <w:rsid w:val="00DB37D8"/>
    <w:rsid w:val="00DC6135"/>
    <w:rsid w:val="00DD2334"/>
    <w:rsid w:val="00DE66D7"/>
    <w:rsid w:val="00DE7F03"/>
    <w:rsid w:val="00DF06B6"/>
    <w:rsid w:val="00E022C6"/>
    <w:rsid w:val="00E0617A"/>
    <w:rsid w:val="00E102B3"/>
    <w:rsid w:val="00E1778B"/>
    <w:rsid w:val="00E265C8"/>
    <w:rsid w:val="00E44DBF"/>
    <w:rsid w:val="00E45678"/>
    <w:rsid w:val="00E71671"/>
    <w:rsid w:val="00E85125"/>
    <w:rsid w:val="00E87599"/>
    <w:rsid w:val="00EB2C48"/>
    <w:rsid w:val="00EC4352"/>
    <w:rsid w:val="00ED364E"/>
    <w:rsid w:val="00ED7DF4"/>
    <w:rsid w:val="00F46B73"/>
    <w:rsid w:val="00F47259"/>
    <w:rsid w:val="00F70348"/>
    <w:rsid w:val="00F77D30"/>
    <w:rsid w:val="00F90766"/>
    <w:rsid w:val="00FA5193"/>
    <w:rsid w:val="00FB25D2"/>
    <w:rsid w:val="00FD74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0E7A7"/>
  <w15:chartTrackingRefBased/>
  <w15:docId w15:val="{73782F23-5E66-4216-9BFD-28B588D1E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135"/>
    <w:pPr>
      <w:ind w:left="720"/>
      <w:contextualSpacing/>
    </w:p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to"/>
    <w:basedOn w:val="Normal"/>
    <w:link w:val="FootnoteTextChar"/>
    <w:uiPriority w:val="99"/>
    <w:semiHidden/>
    <w:unhideWhenUsed/>
    <w:qFormat/>
    <w:rsid w:val="00932A30"/>
    <w:pPr>
      <w:spacing w:after="0" w:line="240" w:lineRule="auto"/>
    </w:pPr>
    <w:rPr>
      <w:sz w:val="20"/>
      <w:szCs w:val="20"/>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semiHidden/>
    <w:rsid w:val="00932A30"/>
    <w:rPr>
      <w:sz w:val="20"/>
      <w:szCs w:val="20"/>
    </w:rPr>
  </w:style>
  <w:style w:type="character" w:styleId="FootnoteReference">
    <w:name w:val="footnote reference"/>
    <w:aliases w:val="4_G,16 Point,Superscript 6 Point,callout,Footnotes refss,Ref,de nota al pie,Footnote Ref"/>
    <w:basedOn w:val="DefaultParagraphFont"/>
    <w:uiPriority w:val="99"/>
    <w:semiHidden/>
    <w:unhideWhenUsed/>
    <w:qFormat/>
    <w:rsid w:val="00932A30"/>
    <w:rPr>
      <w:vertAlign w:val="superscript"/>
    </w:rPr>
  </w:style>
  <w:style w:type="paragraph" w:customStyle="1" w:styleId="SingleTxtG">
    <w:name w:val="_ Single Txt_G"/>
    <w:basedOn w:val="Normal"/>
    <w:qFormat/>
    <w:rsid w:val="00932A30"/>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styleId="Hyperlink">
    <w:name w:val="Hyperlink"/>
    <w:basedOn w:val="DefaultParagraphFont"/>
    <w:uiPriority w:val="99"/>
    <w:semiHidden/>
    <w:unhideWhenUsed/>
    <w:rsid w:val="00DA6C3C"/>
    <w:rPr>
      <w:color w:val="0000FF"/>
      <w:u w:val="single"/>
    </w:rPr>
  </w:style>
  <w:style w:type="character" w:styleId="CommentReference">
    <w:name w:val="annotation reference"/>
    <w:basedOn w:val="DefaultParagraphFont"/>
    <w:uiPriority w:val="99"/>
    <w:semiHidden/>
    <w:unhideWhenUsed/>
    <w:rsid w:val="00C368D5"/>
    <w:rPr>
      <w:sz w:val="16"/>
      <w:szCs w:val="16"/>
    </w:rPr>
  </w:style>
  <w:style w:type="paragraph" w:styleId="CommentText">
    <w:name w:val="annotation text"/>
    <w:basedOn w:val="Normal"/>
    <w:link w:val="CommentTextChar"/>
    <w:uiPriority w:val="99"/>
    <w:semiHidden/>
    <w:unhideWhenUsed/>
    <w:rsid w:val="00C368D5"/>
    <w:pPr>
      <w:spacing w:line="240" w:lineRule="auto"/>
    </w:pPr>
    <w:rPr>
      <w:sz w:val="20"/>
      <w:szCs w:val="20"/>
    </w:rPr>
  </w:style>
  <w:style w:type="character" w:customStyle="1" w:styleId="CommentTextChar">
    <w:name w:val="Comment Text Char"/>
    <w:basedOn w:val="DefaultParagraphFont"/>
    <w:link w:val="CommentText"/>
    <w:uiPriority w:val="99"/>
    <w:semiHidden/>
    <w:rsid w:val="00C368D5"/>
    <w:rPr>
      <w:sz w:val="20"/>
      <w:szCs w:val="20"/>
    </w:rPr>
  </w:style>
  <w:style w:type="paragraph" w:styleId="CommentSubject">
    <w:name w:val="annotation subject"/>
    <w:basedOn w:val="CommentText"/>
    <w:next w:val="CommentText"/>
    <w:link w:val="CommentSubjectChar"/>
    <w:uiPriority w:val="99"/>
    <w:semiHidden/>
    <w:unhideWhenUsed/>
    <w:rsid w:val="00C368D5"/>
    <w:rPr>
      <w:b/>
      <w:bCs/>
    </w:rPr>
  </w:style>
  <w:style w:type="character" w:customStyle="1" w:styleId="CommentSubjectChar">
    <w:name w:val="Comment Subject Char"/>
    <w:basedOn w:val="CommentTextChar"/>
    <w:link w:val="CommentSubject"/>
    <w:uiPriority w:val="99"/>
    <w:semiHidden/>
    <w:rsid w:val="00C368D5"/>
    <w:rPr>
      <w:b/>
      <w:bCs/>
      <w:sz w:val="20"/>
      <w:szCs w:val="20"/>
    </w:rPr>
  </w:style>
  <w:style w:type="paragraph" w:styleId="BalloonText">
    <w:name w:val="Balloon Text"/>
    <w:basedOn w:val="Normal"/>
    <w:link w:val="BalloonTextChar"/>
    <w:uiPriority w:val="99"/>
    <w:semiHidden/>
    <w:unhideWhenUsed/>
    <w:rsid w:val="00C368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8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205966">
      <w:bodyDiv w:val="1"/>
      <w:marLeft w:val="0"/>
      <w:marRight w:val="0"/>
      <w:marTop w:val="0"/>
      <w:marBottom w:val="0"/>
      <w:divBdr>
        <w:top w:val="none" w:sz="0" w:space="0" w:color="auto"/>
        <w:left w:val="none" w:sz="0" w:space="0" w:color="auto"/>
        <w:bottom w:val="none" w:sz="0" w:space="0" w:color="auto"/>
        <w:right w:val="none" w:sz="0" w:space="0" w:color="auto"/>
      </w:divBdr>
    </w:div>
    <w:div w:id="1214000806">
      <w:bodyDiv w:val="1"/>
      <w:marLeft w:val="0"/>
      <w:marRight w:val="0"/>
      <w:marTop w:val="0"/>
      <w:marBottom w:val="0"/>
      <w:divBdr>
        <w:top w:val="none" w:sz="0" w:space="0" w:color="auto"/>
        <w:left w:val="none" w:sz="0" w:space="0" w:color="auto"/>
        <w:bottom w:val="none" w:sz="0" w:space="0" w:color="auto"/>
        <w:right w:val="none" w:sz="0" w:space="0" w:color="auto"/>
      </w:divBdr>
    </w:div>
    <w:div w:id="1782794220">
      <w:bodyDiv w:val="1"/>
      <w:marLeft w:val="0"/>
      <w:marRight w:val="0"/>
      <w:marTop w:val="0"/>
      <w:marBottom w:val="0"/>
      <w:divBdr>
        <w:top w:val="none" w:sz="0" w:space="0" w:color="auto"/>
        <w:left w:val="none" w:sz="0" w:space="0" w:color="auto"/>
        <w:bottom w:val="none" w:sz="0" w:space="0" w:color="auto"/>
        <w:right w:val="none" w:sz="0" w:space="0" w:color="auto"/>
      </w:divBdr>
    </w:div>
    <w:div w:id="1841239161">
      <w:bodyDiv w:val="1"/>
      <w:marLeft w:val="0"/>
      <w:marRight w:val="0"/>
      <w:marTop w:val="0"/>
      <w:marBottom w:val="0"/>
      <w:divBdr>
        <w:top w:val="none" w:sz="0" w:space="0" w:color="auto"/>
        <w:left w:val="none" w:sz="0" w:space="0" w:color="auto"/>
        <w:bottom w:val="none" w:sz="0" w:space="0" w:color="auto"/>
        <w:right w:val="none" w:sz="0" w:space="0" w:color="auto"/>
      </w:divBdr>
    </w:div>
    <w:div w:id="1962104216">
      <w:bodyDiv w:val="1"/>
      <w:marLeft w:val="0"/>
      <w:marRight w:val="0"/>
      <w:marTop w:val="0"/>
      <w:marBottom w:val="0"/>
      <w:divBdr>
        <w:top w:val="none" w:sz="0" w:space="0" w:color="auto"/>
        <w:left w:val="none" w:sz="0" w:space="0" w:color="auto"/>
        <w:bottom w:val="none" w:sz="0" w:space="0" w:color="auto"/>
        <w:right w:val="none" w:sz="0" w:space="0" w:color="auto"/>
      </w:divBdr>
    </w:div>
    <w:div w:id="203568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www.missingkids.org/theissues/sextortion" TargetMode="External"/><Relationship Id="rId1" Type="http://schemas.openxmlformats.org/officeDocument/2006/relationships/hyperlink" Target="https://www.ohchr.org/EN/HRBodies/CESCR/Pages/DraftGeneralComment_Scien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BC1D9-10E7-44AB-A334-CF194DF94EDA}">
  <ds:schemaRefs>
    <ds:schemaRef ds:uri="http://purl.org/dc/dcmitype/"/>
    <ds:schemaRef ds:uri="http://schemas.openxmlformats.org/package/2006/metadata/core-properties"/>
    <ds:schemaRef ds:uri="http://schemas.microsoft.com/office/2006/metadata/properties"/>
    <ds:schemaRef ds:uri="http://purl.org/dc/terms/"/>
    <ds:schemaRef ds:uri="0ee2b1c6-34ac-4db9-b2a7-1df18a441524"/>
    <ds:schemaRef ds:uri="http://purl.org/dc/elements/1.1/"/>
    <ds:schemaRef ds:uri="http://schemas.microsoft.com/office/2006/documentManagement/types"/>
    <ds:schemaRef ds:uri="http://schemas.microsoft.com/office/infopath/2007/PartnerControls"/>
    <ds:schemaRef ds:uri="db67118a-1816-41fc-aa0c-dfd0335aeece"/>
    <ds:schemaRef ds:uri="http://www.w3.org/XML/1998/namespace"/>
  </ds:schemaRefs>
</ds:datastoreItem>
</file>

<file path=customXml/itemProps2.xml><?xml version="1.0" encoding="utf-8"?>
<ds:datastoreItem xmlns:ds="http://schemas.openxmlformats.org/officeDocument/2006/customXml" ds:itemID="{0999955B-EB39-43EC-86D6-7055C0E0DAD1}">
  <ds:schemaRefs>
    <ds:schemaRef ds:uri="http://schemas.microsoft.com/sharepoint/v3/contenttype/forms"/>
  </ds:schemaRefs>
</ds:datastoreItem>
</file>

<file path=customXml/itemProps3.xml><?xml version="1.0" encoding="utf-8"?>
<ds:datastoreItem xmlns:ds="http://schemas.openxmlformats.org/officeDocument/2006/customXml" ds:itemID="{2C6BEECC-64DD-43A6-AE33-6EF05A679131}"/>
</file>

<file path=customXml/itemProps4.xml><?xml version="1.0" encoding="utf-8"?>
<ds:datastoreItem xmlns:ds="http://schemas.openxmlformats.org/officeDocument/2006/customXml" ds:itemID="{5DC359FD-AAFC-4979-80B3-260685433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1314</Words>
  <Characters>7491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Ryan</dc:creator>
  <cp:keywords/>
  <dc:description/>
  <cp:lastModifiedBy>Natasha Ryan</cp:lastModifiedBy>
  <cp:revision>2</cp:revision>
  <cp:lastPrinted>2020-02-12T12:22:00Z</cp:lastPrinted>
  <dcterms:created xsi:type="dcterms:W3CDTF">2020-02-14T10:18:00Z</dcterms:created>
  <dcterms:modified xsi:type="dcterms:W3CDTF">2020-02-14T10:18:00Z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