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D7EC" w14:textId="77777777" w:rsidR="00174304" w:rsidRPr="00174304" w:rsidRDefault="00174304" w:rsidP="00015644">
      <w:pPr>
        <w:spacing w:line="240" w:lineRule="auto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74304">
        <w:rPr>
          <w:rFonts w:asciiTheme="majorHAnsi" w:hAnsiTheme="majorHAnsi" w:cstheme="majorHAnsi"/>
          <w:b/>
          <w:color w:val="C00000"/>
          <w:sz w:val="28"/>
          <w:szCs w:val="28"/>
        </w:rPr>
        <w:t>Propuestas de Cáritas Española</w:t>
      </w:r>
    </w:p>
    <w:p w14:paraId="18231984" w14:textId="592756BE" w:rsidR="004413BA" w:rsidRPr="00174304" w:rsidRDefault="00174304" w:rsidP="00015644">
      <w:pPr>
        <w:spacing w:line="240" w:lineRule="auto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74304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P</w:t>
      </w:r>
      <w:r w:rsidR="00924340" w:rsidRPr="00174304">
        <w:rPr>
          <w:rFonts w:asciiTheme="majorHAnsi" w:hAnsiTheme="majorHAnsi" w:cstheme="majorHAnsi"/>
          <w:b/>
          <w:color w:val="C00000"/>
          <w:sz w:val="28"/>
          <w:szCs w:val="28"/>
        </w:rPr>
        <w:t>royecto de Reglamento en virtud del Protocolo Facultativo del Pacto Internacional de Derechos Económicos, Sociales y Culturales (PIDESC)</w:t>
      </w:r>
    </w:p>
    <w:p w14:paraId="1B1FC596" w14:textId="5B7C1C3D" w:rsidR="00044625" w:rsidRPr="00174304" w:rsidRDefault="00044625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D87EC50" w14:textId="1CA912E1" w:rsidR="00174304" w:rsidRDefault="0020534C" w:rsidP="00044625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Desde hace ya más de cinco años, Cáritas Española ha introducido, en el acompañamiento cotidiano que lleva a cabo a las personas y familias vulneradas del Estado español y de otros Estados (América Latina), el uso de las herramientas que el Derecho Internacional de los Derechos Humanos pone a disposición de las víctimas ante vulneraciones de Derechos Humanos ocasionadas por sus Gobiernos. Así ha sido, de forma muy especial, con las que el Pacto Internacional de Derechos Económicos, Sociales y Culturales provee, tanto con sus Exámenes Periódicos como con las propias comunicaciones individuales sustentadas en su Protocolo Facultativo.</w:t>
      </w:r>
    </w:p>
    <w:p w14:paraId="63142042" w14:textId="67789EB3" w:rsidR="003C02EB" w:rsidRDefault="003C02EB" w:rsidP="00044625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550AB97" w14:textId="1A792888" w:rsidR="0020534C" w:rsidRDefault="0020534C" w:rsidP="003C02EB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Igualmente, estos últimos años hemos tenido que convivir con una enorme paradoja: la utilización cada vez mayor de la herramienta de las comunicaciones individuales (dada la repetida vulneración del derecho humano a una vivienda adecuada en el Estado español) junto con, en paralelo y de forma totalmente contradictoria, la cada vez m</w:t>
      </w:r>
      <w:r w:rsidR="00312ABB">
        <w:rPr>
          <w:rFonts w:asciiTheme="majorHAnsi" w:hAnsiTheme="majorHAnsi" w:cstheme="majorHAnsi"/>
          <w:bCs/>
          <w:sz w:val="24"/>
          <w:szCs w:val="24"/>
        </w:rPr>
        <w:t>enor</w:t>
      </w:r>
      <w:r>
        <w:rPr>
          <w:rFonts w:asciiTheme="majorHAnsi" w:hAnsiTheme="majorHAnsi" w:cstheme="majorHAnsi"/>
          <w:bCs/>
          <w:sz w:val="24"/>
          <w:szCs w:val="24"/>
        </w:rPr>
        <w:t xml:space="preserve"> justiciabilidad de dicho derecho en nuestro territorio. No sólo por </w:t>
      </w:r>
      <w:r w:rsidR="003C02EB" w:rsidRPr="00174304">
        <w:rPr>
          <w:rFonts w:asciiTheme="majorHAnsi" w:hAnsiTheme="majorHAnsi" w:cstheme="majorHAnsi"/>
          <w:bCs/>
          <w:sz w:val="24"/>
          <w:szCs w:val="24"/>
        </w:rPr>
        <w:t xml:space="preserve">la falta de voluntad </w:t>
      </w:r>
      <w:r>
        <w:rPr>
          <w:rFonts w:asciiTheme="majorHAnsi" w:hAnsiTheme="majorHAnsi" w:cstheme="majorHAnsi"/>
          <w:bCs/>
          <w:sz w:val="24"/>
          <w:szCs w:val="24"/>
        </w:rPr>
        <w:t>política a la hora</w:t>
      </w:r>
      <w:r w:rsidR="003C02EB" w:rsidRPr="00174304">
        <w:rPr>
          <w:rFonts w:asciiTheme="majorHAnsi" w:hAnsiTheme="majorHAnsi" w:cstheme="majorHAnsi"/>
          <w:bCs/>
          <w:sz w:val="24"/>
          <w:szCs w:val="24"/>
        </w:rPr>
        <w:t xml:space="preserve"> de cumplir con las decisiones de </w:t>
      </w:r>
      <w:r>
        <w:rPr>
          <w:rFonts w:asciiTheme="majorHAnsi" w:hAnsiTheme="majorHAnsi" w:cstheme="majorHAnsi"/>
          <w:bCs/>
          <w:sz w:val="24"/>
          <w:szCs w:val="24"/>
        </w:rPr>
        <w:t xml:space="preserve">este Comité, sino también las enormes trabas que en </w:t>
      </w:r>
      <w:r w:rsidR="00312ABB">
        <w:rPr>
          <w:rFonts w:asciiTheme="majorHAnsi" w:hAnsiTheme="majorHAnsi" w:cstheme="majorHAnsi"/>
          <w:bCs/>
          <w:sz w:val="24"/>
          <w:szCs w:val="24"/>
        </w:rPr>
        <w:t xml:space="preserve">el </w:t>
      </w:r>
      <w:r>
        <w:rPr>
          <w:rFonts w:asciiTheme="majorHAnsi" w:hAnsiTheme="majorHAnsi" w:cstheme="majorHAnsi"/>
          <w:bCs/>
          <w:sz w:val="24"/>
          <w:szCs w:val="24"/>
        </w:rPr>
        <w:t>acceso a la tutela judicial efectiva se están dando. Desde la negativa a estudiar las medidas cautelares solicitadas por este Comit</w:t>
      </w:r>
      <w:r w:rsidR="00312ABB">
        <w:rPr>
          <w:rFonts w:asciiTheme="majorHAnsi" w:hAnsiTheme="majorHAnsi" w:cstheme="majorHAnsi"/>
          <w:bCs/>
          <w:sz w:val="24"/>
          <w:szCs w:val="24"/>
        </w:rPr>
        <w:t>é y otros</w:t>
      </w:r>
      <w:r>
        <w:rPr>
          <w:rFonts w:asciiTheme="majorHAnsi" w:hAnsiTheme="majorHAnsi" w:cstheme="majorHAnsi"/>
          <w:bCs/>
          <w:sz w:val="24"/>
          <w:szCs w:val="24"/>
        </w:rPr>
        <w:t xml:space="preserve">– Derechos del Niño, Derechos de las Personas con Discapacidad, </w:t>
      </w:r>
      <w:r w:rsidRPr="0020534C">
        <w:rPr>
          <w:rFonts w:asciiTheme="majorHAnsi" w:hAnsiTheme="majorHAnsi" w:cstheme="majorHAnsi"/>
          <w:bCs/>
          <w:sz w:val="24"/>
          <w:szCs w:val="24"/>
        </w:rPr>
        <w:t xml:space="preserve">Eliminación de Todas las Formas de Discriminación contra la Mujer </w:t>
      </w:r>
      <w:r>
        <w:rPr>
          <w:rFonts w:asciiTheme="majorHAnsi" w:hAnsiTheme="majorHAnsi" w:cstheme="majorHAnsi"/>
          <w:bCs/>
          <w:sz w:val="24"/>
          <w:szCs w:val="24"/>
        </w:rPr>
        <w:t>…-</w:t>
      </w:r>
      <w:r w:rsidR="00312ABB">
        <w:rPr>
          <w:rFonts w:asciiTheme="majorHAnsi" w:hAnsiTheme="majorHAnsi" w:cstheme="majorHAnsi"/>
          <w:bCs/>
          <w:sz w:val="24"/>
          <w:szCs w:val="24"/>
        </w:rPr>
        <w:t xml:space="preserve"> en los tribunales</w:t>
      </w:r>
      <w:r>
        <w:rPr>
          <w:rFonts w:asciiTheme="majorHAnsi" w:hAnsiTheme="majorHAnsi" w:cstheme="majorHAnsi"/>
          <w:bCs/>
          <w:sz w:val="24"/>
          <w:szCs w:val="24"/>
        </w:rPr>
        <w:t>; hasta la propia consideración de nuestro Tribunal Constitucional</w:t>
      </w:r>
      <w:r>
        <w:rPr>
          <w:rStyle w:val="Refdenotaalpie"/>
          <w:rFonts w:asciiTheme="majorHAnsi" w:hAnsiTheme="majorHAnsi" w:cstheme="majorHAnsi"/>
          <w:bCs/>
          <w:sz w:val="24"/>
          <w:szCs w:val="24"/>
        </w:rPr>
        <w:footnoteReference w:id="1"/>
      </w:r>
      <w:r>
        <w:rPr>
          <w:rFonts w:asciiTheme="majorHAnsi" w:hAnsiTheme="majorHAnsi" w:cstheme="majorHAnsi"/>
          <w:bCs/>
          <w:sz w:val="24"/>
          <w:szCs w:val="24"/>
        </w:rPr>
        <w:t xml:space="preserve"> de que los derechos no contenidos en nuestra Carta Magna como fundamentales quedarían fuera de la propia aplicación y subrogación al Derecho Internacional de los DDHH debida y obligada en su artículo 10. </w:t>
      </w:r>
    </w:p>
    <w:p w14:paraId="345FC9A7" w14:textId="77777777" w:rsidR="008572EF" w:rsidRDefault="008572EF" w:rsidP="000C50EA">
      <w:pPr>
        <w:spacing w:line="240" w:lineRule="auto"/>
        <w:ind w:left="720"/>
        <w:jc w:val="both"/>
        <w:rPr>
          <w:rFonts w:asciiTheme="majorHAnsi" w:hAnsiTheme="majorHAnsi" w:cstheme="majorHAnsi"/>
          <w:bCs/>
          <w:i/>
          <w:sz w:val="24"/>
          <w:szCs w:val="24"/>
        </w:rPr>
      </w:pPr>
    </w:p>
    <w:p w14:paraId="7C12D496" w14:textId="63FB224D" w:rsidR="0020534C" w:rsidRPr="000C50EA" w:rsidRDefault="000C50EA" w:rsidP="000C50EA">
      <w:pPr>
        <w:spacing w:line="240" w:lineRule="auto"/>
        <w:ind w:left="720"/>
        <w:jc w:val="both"/>
        <w:rPr>
          <w:rFonts w:asciiTheme="majorHAnsi" w:hAnsiTheme="majorHAnsi" w:cstheme="majorHAnsi"/>
          <w:bCs/>
          <w:i/>
          <w:sz w:val="24"/>
          <w:szCs w:val="24"/>
        </w:rPr>
      </w:pPr>
      <w:r w:rsidRPr="000C50EA">
        <w:rPr>
          <w:rFonts w:asciiTheme="majorHAnsi" w:hAnsiTheme="majorHAnsi" w:cstheme="majorHAnsi"/>
          <w:bCs/>
          <w:i/>
          <w:sz w:val="24"/>
          <w:szCs w:val="24"/>
        </w:rPr>
        <w:t>Por tanto, en la medida en que el art. 47 CE no garantiza un derecho fundamental sino que enuncia un principio rector de la política social y económica, una directriz constitucional dirigida a los poderes públicos, la regulación controvertida no puede en ningún caso contravenir el mandato del art. 10.2 CE de interpretar las normas relativas a los derechos fundamentales y a las libertades que la Constitución reconoce (esto es, los contenidos en los arts. 14 a 29, más la objeción de conciencia del art. 30.2) de conformidad con la Declaración universal de derechos humanos y los tratados y acuerdos internacionales sobre las mismas materias ratificados por España.</w:t>
      </w:r>
    </w:p>
    <w:p w14:paraId="1C3D2B3F" w14:textId="77777777" w:rsidR="000C50EA" w:rsidRDefault="000C50EA" w:rsidP="003C02EB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8E39525" w14:textId="303DBA39" w:rsidR="003D5CAA" w:rsidRDefault="00312ABB" w:rsidP="003C02EB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Por tanto, la</w:t>
      </w:r>
      <w:r w:rsidR="003C02EB" w:rsidRPr="00174304">
        <w:rPr>
          <w:rFonts w:asciiTheme="majorHAnsi" w:hAnsiTheme="majorHAnsi" w:cstheme="majorHAnsi"/>
          <w:bCs/>
          <w:sz w:val="24"/>
          <w:szCs w:val="24"/>
        </w:rPr>
        <w:t xml:space="preserve"> reparación y garantías de no repetición </w:t>
      </w:r>
      <w:r w:rsidR="00504F4E" w:rsidRPr="00174304">
        <w:rPr>
          <w:rFonts w:asciiTheme="majorHAnsi" w:hAnsiTheme="majorHAnsi" w:cstheme="majorHAnsi"/>
          <w:bCs/>
          <w:sz w:val="24"/>
          <w:szCs w:val="24"/>
        </w:rPr>
        <w:t>para las víctimas de v</w:t>
      </w:r>
      <w:r w:rsidR="00945D01" w:rsidRPr="00174304">
        <w:rPr>
          <w:rFonts w:asciiTheme="majorHAnsi" w:hAnsiTheme="majorHAnsi" w:cstheme="majorHAnsi"/>
          <w:bCs/>
          <w:sz w:val="24"/>
          <w:szCs w:val="24"/>
        </w:rPr>
        <w:t xml:space="preserve">iolaciones </w:t>
      </w:r>
      <w:r w:rsidR="000C50EA">
        <w:rPr>
          <w:rFonts w:asciiTheme="majorHAnsi" w:hAnsiTheme="majorHAnsi" w:cstheme="majorHAnsi"/>
          <w:bCs/>
          <w:sz w:val="24"/>
          <w:szCs w:val="24"/>
        </w:rPr>
        <w:t xml:space="preserve">de Derechos Humanos no están encontrando estos últimos años una adecuada respuesta. No se ha implementado un nuevo plan de DDHH como así se ha </w:t>
      </w:r>
      <w:r>
        <w:rPr>
          <w:rFonts w:asciiTheme="majorHAnsi" w:hAnsiTheme="majorHAnsi" w:cstheme="majorHAnsi"/>
          <w:bCs/>
          <w:sz w:val="24"/>
          <w:szCs w:val="24"/>
        </w:rPr>
        <w:t>estado comprometiendo</w:t>
      </w:r>
      <w:r w:rsidR="000C50EA">
        <w:rPr>
          <w:rFonts w:asciiTheme="majorHAnsi" w:hAnsiTheme="majorHAnsi" w:cstheme="majorHAnsi"/>
          <w:bCs/>
          <w:sz w:val="24"/>
          <w:szCs w:val="24"/>
        </w:rPr>
        <w:t xml:space="preserve"> el Estado en los últimos </w:t>
      </w:r>
      <w:r>
        <w:rPr>
          <w:rFonts w:asciiTheme="majorHAnsi" w:hAnsiTheme="majorHAnsi" w:cstheme="majorHAnsi"/>
          <w:bCs/>
          <w:sz w:val="24"/>
          <w:szCs w:val="24"/>
        </w:rPr>
        <w:t>ocho años (</w:t>
      </w:r>
      <w:r w:rsidR="000C50EA">
        <w:rPr>
          <w:rFonts w:asciiTheme="majorHAnsi" w:hAnsiTheme="majorHAnsi" w:cstheme="majorHAnsi"/>
          <w:bCs/>
          <w:sz w:val="24"/>
          <w:szCs w:val="24"/>
        </w:rPr>
        <w:t>Exámenes Peri</w:t>
      </w:r>
      <w:r>
        <w:rPr>
          <w:rFonts w:asciiTheme="majorHAnsi" w:hAnsiTheme="majorHAnsi" w:cstheme="majorHAnsi"/>
          <w:bCs/>
          <w:sz w:val="24"/>
          <w:szCs w:val="24"/>
        </w:rPr>
        <w:t>ódicos Universales)</w:t>
      </w:r>
      <w:r w:rsidR="000C50EA">
        <w:rPr>
          <w:rFonts w:asciiTheme="majorHAnsi" w:hAnsiTheme="majorHAnsi" w:cstheme="majorHAnsi"/>
          <w:bCs/>
          <w:sz w:val="24"/>
          <w:szCs w:val="24"/>
        </w:rPr>
        <w:t xml:space="preserve">; y tampoco se han abierto al análisis y proyección protocolos de aplicación de medidas cautelares o de implementación de las recomendaciones individuales y generales de los Comités. </w:t>
      </w:r>
    </w:p>
    <w:p w14:paraId="65951127" w14:textId="77777777" w:rsidR="003D5CAA" w:rsidRDefault="003D5CAA" w:rsidP="003C02EB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120B558" w14:textId="77E23202" w:rsidR="00044625" w:rsidRPr="00174304" w:rsidRDefault="008572EF" w:rsidP="003D5CAA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Si bien es cierto que la recién aprobada Estrategia de Desarrollo Sostenible</w:t>
      </w:r>
      <w:r>
        <w:rPr>
          <w:rStyle w:val="Refdenotaalpie"/>
          <w:rFonts w:asciiTheme="majorHAnsi" w:hAnsiTheme="majorHAnsi" w:cstheme="majorHAnsi"/>
          <w:bCs/>
          <w:sz w:val="24"/>
          <w:szCs w:val="24"/>
        </w:rPr>
        <w:footnoteReference w:id="2"/>
      </w:r>
      <w:r>
        <w:rPr>
          <w:rFonts w:asciiTheme="majorHAnsi" w:hAnsiTheme="majorHAnsi" w:cstheme="majorHAnsi"/>
          <w:bCs/>
          <w:sz w:val="24"/>
          <w:szCs w:val="24"/>
        </w:rPr>
        <w:t xml:space="preserve"> ha tomado en cuenta las peticiones de la sociedad civil</w:t>
      </w:r>
      <w:r>
        <w:rPr>
          <w:rStyle w:val="Refdenotaalpie"/>
          <w:rFonts w:asciiTheme="majorHAnsi" w:hAnsiTheme="majorHAnsi" w:cstheme="majorHAnsi"/>
          <w:bCs/>
          <w:sz w:val="24"/>
          <w:szCs w:val="24"/>
        </w:rPr>
        <w:footnoteReference w:id="3"/>
      </w:r>
      <w:r>
        <w:rPr>
          <w:rFonts w:asciiTheme="majorHAnsi" w:hAnsiTheme="majorHAnsi" w:cstheme="majorHAnsi"/>
          <w:bCs/>
          <w:sz w:val="24"/>
          <w:szCs w:val="24"/>
        </w:rPr>
        <w:t xml:space="preserve"> al respecto (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 xml:space="preserve">propuesta de 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>elaboración de protocolos es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 xml:space="preserve">peciales para la tramitación de 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>la solicitud de medidas cautelares por parte de los co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 xml:space="preserve">mités 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>y para la implementació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 xml:space="preserve">n de los dictámenes (decisiones 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 xml:space="preserve">finales ante quejas individuales) de los 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 xml:space="preserve">comités conllevando la 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>reparación efectiva de las víct</w:t>
      </w:r>
      <w:r w:rsidR="003D5CAA" w:rsidRPr="003D5CAA">
        <w:rPr>
          <w:rFonts w:asciiTheme="majorHAnsi" w:hAnsiTheme="majorHAnsi" w:cstheme="majorHAnsi"/>
          <w:bCs/>
          <w:i/>
          <w:sz w:val="24"/>
          <w:szCs w:val="24"/>
        </w:rPr>
        <w:t xml:space="preserve">imas y la adopción de garantías </w:t>
      </w:r>
      <w:r w:rsidR="003D5CAA">
        <w:rPr>
          <w:rFonts w:asciiTheme="majorHAnsi" w:hAnsiTheme="majorHAnsi" w:cstheme="majorHAnsi"/>
          <w:bCs/>
          <w:i/>
          <w:sz w:val="24"/>
          <w:szCs w:val="24"/>
        </w:rPr>
        <w:t>de no repetición</w:t>
      </w:r>
      <w:r w:rsidRPr="003D5CAA">
        <w:rPr>
          <w:rFonts w:asciiTheme="majorHAnsi" w:hAnsiTheme="majorHAnsi" w:cstheme="majorHAnsi"/>
          <w:bCs/>
          <w:i/>
          <w:sz w:val="24"/>
          <w:szCs w:val="24"/>
        </w:rPr>
        <w:t>)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12ABB">
        <w:rPr>
          <w:rFonts w:asciiTheme="majorHAnsi" w:hAnsiTheme="majorHAnsi" w:cstheme="majorHAnsi"/>
          <w:bCs/>
          <w:sz w:val="24"/>
          <w:szCs w:val="24"/>
        </w:rPr>
        <w:t xml:space="preserve">seguimos </w:t>
      </w:r>
      <w:r>
        <w:rPr>
          <w:rFonts w:asciiTheme="majorHAnsi" w:hAnsiTheme="majorHAnsi" w:cstheme="majorHAnsi"/>
          <w:bCs/>
          <w:sz w:val="24"/>
          <w:szCs w:val="24"/>
        </w:rPr>
        <w:t>estando a la espera de la organización y la asignación presupuestaria al efecto.</w:t>
      </w:r>
    </w:p>
    <w:p w14:paraId="78E20C32" w14:textId="77777777" w:rsidR="00044625" w:rsidRPr="00174304" w:rsidRDefault="00044625" w:rsidP="00044625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B9F7ADE" w14:textId="40C18E01" w:rsidR="006C1A87" w:rsidRPr="00174304" w:rsidRDefault="008572EF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En estos momentos, las personas</w:t>
      </w:r>
      <w:r w:rsidR="002F60FE">
        <w:rPr>
          <w:rFonts w:asciiTheme="majorHAnsi" w:hAnsiTheme="majorHAnsi" w:cstheme="majorHAnsi"/>
          <w:bCs/>
          <w:sz w:val="24"/>
          <w:szCs w:val="24"/>
        </w:rPr>
        <w:t xml:space="preserve"> y las familias</w:t>
      </w:r>
      <w:r>
        <w:rPr>
          <w:rFonts w:asciiTheme="majorHAnsi" w:hAnsiTheme="majorHAnsi" w:cstheme="majorHAnsi"/>
          <w:bCs/>
          <w:sz w:val="24"/>
          <w:szCs w:val="24"/>
        </w:rPr>
        <w:t xml:space="preserve"> se encuentran ante</w:t>
      </w:r>
      <w:r w:rsidR="005C6938" w:rsidRPr="00174304">
        <w:rPr>
          <w:rFonts w:asciiTheme="majorHAnsi" w:hAnsiTheme="majorHAnsi" w:cstheme="majorHAnsi"/>
          <w:bCs/>
          <w:sz w:val="24"/>
          <w:szCs w:val="24"/>
        </w:rPr>
        <w:t xml:space="preserve"> una grave desprotección</w:t>
      </w:r>
      <w:r w:rsidR="002F60FE">
        <w:rPr>
          <w:rFonts w:asciiTheme="majorHAnsi" w:hAnsiTheme="majorHAnsi" w:cstheme="majorHAnsi"/>
          <w:bCs/>
          <w:sz w:val="24"/>
          <w:szCs w:val="24"/>
        </w:rPr>
        <w:t xml:space="preserve"> de sus derechos</w:t>
      </w:r>
      <w:r w:rsidR="005C6938" w:rsidRPr="00174304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y de ahí también el enorme flujo e </w:t>
      </w:r>
      <w:r w:rsidR="00F47FE7" w:rsidRPr="00174304">
        <w:rPr>
          <w:rFonts w:asciiTheme="majorHAnsi" w:hAnsiTheme="majorHAnsi" w:cstheme="majorHAnsi"/>
          <w:bCs/>
          <w:sz w:val="24"/>
          <w:szCs w:val="24"/>
        </w:rPr>
        <w:t xml:space="preserve">incremento de comunicaciones individuales recibidas por el Comité DESC en los últimos 5 años. </w:t>
      </w:r>
      <w:r w:rsidR="006C1A87" w:rsidRPr="00174304">
        <w:rPr>
          <w:rFonts w:asciiTheme="majorHAnsi" w:hAnsiTheme="majorHAnsi" w:cstheme="majorHAnsi"/>
          <w:bCs/>
          <w:sz w:val="24"/>
          <w:szCs w:val="24"/>
        </w:rPr>
        <w:t>El informe del Secretario General presentado en enero de 2020 sobre la situación de los órganos de tratado (A/74/643)</w:t>
      </w:r>
      <w:r w:rsidR="002F60F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964C7" w:rsidRPr="00174304">
        <w:rPr>
          <w:rFonts w:asciiTheme="majorHAnsi" w:hAnsiTheme="majorHAnsi" w:cstheme="majorHAnsi"/>
          <w:bCs/>
          <w:sz w:val="24"/>
          <w:szCs w:val="24"/>
        </w:rPr>
        <w:t>destacaba el incremento porcentual en el promedio de comunicaciones recibida por este Comité en el periodo de 2018-2019 que pasó de 6 a 79,6 comunicaciones, es decir, un aumento del 1.226,7 %.</w:t>
      </w:r>
      <w:r w:rsidR="002F60FE">
        <w:rPr>
          <w:rFonts w:asciiTheme="majorHAnsi" w:hAnsiTheme="majorHAnsi" w:cstheme="majorHAnsi"/>
          <w:bCs/>
          <w:sz w:val="24"/>
          <w:szCs w:val="24"/>
        </w:rPr>
        <w:t xml:space="preserve"> En la actualidad, más de 130 comunicaciones contra el Estado español se encuentran pendientes de resolución.</w:t>
      </w:r>
    </w:p>
    <w:p w14:paraId="7F22C43E" w14:textId="2A60AAD3" w:rsidR="007238F0" w:rsidRDefault="007238F0" w:rsidP="0033377F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9861819" w14:textId="1C13B0C1" w:rsidR="002F60FE" w:rsidRDefault="002F60FE" w:rsidP="0033377F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Todo ello nos ha llevado a tratar estos últimos años de conjugar la situación de vulneración de DDHH de las personas y familias que acompañamos con la situación concreta de los Comités de los Órganos de los Tratados, y junto y como parte de la PlatDESC España y del Grupo de Monitoreo, hemos invertido esfuerzos personales y materiales, así como llevado a cabo una intensa tarea de incidencia y de participación ante los espacios de gobernanza legislativos, ejecutivos y judiciales para ir caminando en la consecución de un cada vez más garantista y efectivo acceso a la justicia. </w:t>
      </w:r>
    </w:p>
    <w:p w14:paraId="3A7096A2" w14:textId="4C1AD266" w:rsidR="002F60FE" w:rsidRDefault="002F60FE" w:rsidP="0033377F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053F092" w14:textId="563E06A2" w:rsidR="007238F0" w:rsidRPr="002F60FE" w:rsidRDefault="002F60FE" w:rsidP="007238F0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La reglamentación de la tramitación de las comunicaciones individuales viene a ser un paso más en ese camino, más aún con la </w:t>
      </w:r>
      <w:r w:rsidR="007F2993" w:rsidRPr="00174304">
        <w:rPr>
          <w:rFonts w:asciiTheme="majorHAnsi" w:hAnsiTheme="majorHAnsi" w:cstheme="majorHAnsi"/>
          <w:bCs/>
          <w:sz w:val="24"/>
          <w:szCs w:val="24"/>
        </w:rPr>
        <w:t xml:space="preserve">falta de recursos </w:t>
      </w:r>
      <w:r w:rsidR="00312ABB">
        <w:rPr>
          <w:rFonts w:asciiTheme="majorHAnsi" w:hAnsiTheme="majorHAnsi" w:cstheme="majorHAnsi"/>
          <w:bCs/>
          <w:sz w:val="24"/>
          <w:szCs w:val="24"/>
        </w:rPr>
        <w:t xml:space="preserve">materiales y de </w:t>
      </w:r>
      <w:bookmarkStart w:id="0" w:name="_GoBack"/>
      <w:bookmarkEnd w:id="0"/>
      <w:r>
        <w:rPr>
          <w:rFonts w:asciiTheme="majorHAnsi" w:hAnsiTheme="majorHAnsi" w:cstheme="majorHAnsi"/>
          <w:bCs/>
          <w:sz w:val="24"/>
          <w:szCs w:val="24"/>
        </w:rPr>
        <w:t xml:space="preserve">personal que sufre este Comité y el resto. Y, desde luego, </w:t>
      </w:r>
      <w:r w:rsidRPr="002F60FE">
        <w:rPr>
          <w:rFonts w:asciiTheme="majorHAnsi" w:hAnsiTheme="majorHAnsi" w:cstheme="majorHAnsi"/>
          <w:b/>
          <w:bCs/>
          <w:sz w:val="24"/>
          <w:szCs w:val="24"/>
        </w:rPr>
        <w:t>con los objetivos de facilitar el acceso de las víctimas tanto al examen individual de cada uno de sus casos, como a las posteriores medidas de reparación individuales y la garantía estructural de no repetición, que sólo puede sostenerse en modificaciones/innovaciones legislativas y de políticas públicas.</w:t>
      </w:r>
    </w:p>
    <w:p w14:paraId="780FD893" w14:textId="777A2B92" w:rsidR="00C139B7" w:rsidRPr="00174304" w:rsidRDefault="00C139B7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765FC35" w14:textId="5648B9ED" w:rsidR="007238F0" w:rsidRPr="00174304" w:rsidRDefault="002F60FE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Esa es nuestra máxima preocupación, y todas las herramientas de mejora que puedan crearse y/o profundizarse en la tramitación de las comunicaciones serán bienvenidas si no ponen en riesgo en ningún momento dichos objetivos y principios esenciales del Derecho Internacional de los Derechos Humanos.</w:t>
      </w:r>
    </w:p>
    <w:p w14:paraId="76ADFC13" w14:textId="6A7668AF" w:rsidR="007238F0" w:rsidRDefault="007238F0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B9AF1F7" w14:textId="77777777" w:rsidR="003D5CAA" w:rsidRPr="00174304" w:rsidRDefault="003D5CAA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916682C" w14:textId="77777777" w:rsidR="00B426D6" w:rsidRPr="00174304" w:rsidRDefault="00B426D6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6D6B111" w14:textId="5C381F18" w:rsidR="00381330" w:rsidRPr="00174304" w:rsidRDefault="00381330" w:rsidP="003744B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00DC78A" w14:textId="17A43EBD" w:rsidR="00B426D6" w:rsidRPr="00174304" w:rsidRDefault="00B426D6" w:rsidP="00B426D6">
      <w:pPr>
        <w:spacing w:line="240" w:lineRule="auto"/>
        <w:jc w:val="center"/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587BE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PROPUESTAS</w:t>
      </w:r>
      <w:r w:rsidR="00174304" w:rsidRPr="00587BE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DE </w:t>
      </w:r>
      <w:r w:rsidR="00E567CA">
        <w:rPr>
          <w:rFonts w:asciiTheme="majorHAnsi" w:hAnsiTheme="majorHAnsi" w:cstheme="majorHAnsi"/>
          <w:b/>
          <w:color w:val="C00000"/>
          <w:sz w:val="28"/>
          <w:szCs w:val="28"/>
        </w:rPr>
        <w:t>SUPRESIÓN</w:t>
      </w:r>
      <w:r w:rsidR="00587BEC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 </w:t>
      </w:r>
      <w:r w:rsidR="00587BEC" w:rsidRPr="00587BE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e</w:t>
      </w:r>
      <w:r w:rsidR="00587BEC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 </w:t>
      </w:r>
      <w:r w:rsidR="00587BEC" w:rsidRPr="00587BEC">
        <w:rPr>
          <w:rFonts w:asciiTheme="majorHAnsi" w:hAnsiTheme="majorHAnsi" w:cstheme="majorHAnsi"/>
          <w:b/>
          <w:color w:val="00B050"/>
          <w:sz w:val="28"/>
          <w:szCs w:val="28"/>
        </w:rPr>
        <w:t>INNOVACIÓN</w:t>
      </w:r>
      <w:r w:rsidR="00174304">
        <w:rPr>
          <w:rStyle w:val="Refdenotaalpie"/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footnoteReference w:id="4"/>
      </w:r>
    </w:p>
    <w:p w14:paraId="2ADA0FD4" w14:textId="23105560" w:rsidR="007D5221" w:rsidRPr="003D5CAA" w:rsidRDefault="00587BEC" w:rsidP="00B426D6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87BE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Artículo 19:</w:t>
      </w:r>
    </w:p>
    <w:p w14:paraId="18F6D71C" w14:textId="54590F23" w:rsidR="007D5221" w:rsidRPr="00174304" w:rsidRDefault="007D5221" w:rsidP="003D5CAA">
      <w:pPr>
        <w:spacing w:line="240" w:lineRule="auto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>1. Comité, por conducto de su grupo de trabajo sobre las comunicaciones, podrá nombrar a uno o dos miembros como relator o relatores sobre comunicaciones repetitivas.</w:t>
      </w:r>
    </w:p>
    <w:p w14:paraId="60267410" w14:textId="58D8BE36" w:rsidR="007D5221" w:rsidRPr="00174304" w:rsidRDefault="007D5221" w:rsidP="003D5CAA">
      <w:pPr>
        <w:spacing w:line="240" w:lineRule="auto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>2. El grupo de trabajo sobre las comunicaciones o el relator sobre nuevas comunicaciones y medidas provisionales podrán remitir al relator o los relatores sobre comunicaciones repetitivas los casos en los que se planteen hechos y cuestiones jurídicas que sean esencialmente de la misma naturaleza que aquellos sobre los que el Comité ya se haya pronunciado.</w:t>
      </w:r>
    </w:p>
    <w:p w14:paraId="44D8F041" w14:textId="499A956D" w:rsidR="007D5221" w:rsidRPr="003D5CAA" w:rsidRDefault="007D5221" w:rsidP="003D5CAA">
      <w:pPr>
        <w:spacing w:line="240" w:lineRule="auto"/>
        <w:ind w:left="720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587BEC">
        <w:rPr>
          <w:rFonts w:asciiTheme="majorHAnsi" w:hAnsiTheme="majorHAnsi" w:cstheme="majorHAnsi"/>
          <w:bCs/>
          <w:color w:val="00B050"/>
          <w:sz w:val="24"/>
          <w:szCs w:val="24"/>
        </w:rPr>
        <w:t>3.</w:t>
      </w:r>
      <w:r w:rsidRPr="00587BEC">
        <w:rPr>
          <w:rFonts w:asciiTheme="majorHAnsi" w:hAnsiTheme="majorHAnsi" w:cstheme="majorHAnsi"/>
          <w:bCs/>
          <w:color w:val="00B050"/>
          <w:sz w:val="24"/>
          <w:szCs w:val="24"/>
          <w:u w:val="single"/>
        </w:rPr>
        <w:t xml:space="preserve"> </w:t>
      </w:r>
      <w:r w:rsidRPr="00587BEC">
        <w:rPr>
          <w:rFonts w:asciiTheme="majorHAnsi" w:hAnsiTheme="majorHAnsi" w:cstheme="majorHAnsi"/>
          <w:bCs/>
          <w:color w:val="00B050"/>
          <w:sz w:val="24"/>
          <w:szCs w:val="24"/>
        </w:rPr>
        <w:t>En cuanto a qué constituye el mismo asunto, el Comité entiende que se trata del mismo autor, los mismos hechos y derechos sustantivos. La consideración de comunicaciones como repetitivas para su asignación a relator, relatores o grupo de trabajo, no implica merma de garantías ni simplificación</w:t>
      </w:r>
      <w:r w:rsidR="00EE3B53" w:rsidRPr="00587BEC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 de las normas de procedimiento; en especial la debida comunicación con la parte actora que se declara como víctima de la vulneración de un derecho humano contenido en el Pacto de referencia.”</w:t>
      </w:r>
    </w:p>
    <w:p w14:paraId="64DA0BAB" w14:textId="2B0687AA" w:rsidR="007D5221" w:rsidRPr="00174304" w:rsidRDefault="007D5221" w:rsidP="003D5CAA">
      <w:pPr>
        <w:spacing w:line="240" w:lineRule="auto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>4</w:t>
      </w:r>
      <w:r w:rsidR="00B426D6" w:rsidRPr="00174304">
        <w:rPr>
          <w:rFonts w:asciiTheme="majorHAnsi" w:hAnsiTheme="majorHAnsi" w:cstheme="majorHAnsi"/>
          <w:bCs/>
          <w:sz w:val="24"/>
          <w:szCs w:val="24"/>
        </w:rPr>
        <w:t>. El relator o los relatores sobre comunicaciones repetitivas propondrán un proyecto de recomendación al “grupo de trabajo sobre las comunicaciones o el relator sobre nuevas comunicaciones y medidas provisionales”. A menos que un miembro del grupo de trabajo se oponga, la recomendación del relator o los relatores sobre comunicaciones repetitivas se presentará al Comité para su aprobación. El grupo de trabajo podrá, si así lo decide, modificar o desestimar la recomendación.</w:t>
      </w:r>
    </w:p>
    <w:p w14:paraId="6151C9EB" w14:textId="65B36F33" w:rsidR="007D5221" w:rsidRPr="003D5CAA" w:rsidRDefault="007D5221" w:rsidP="003D5CAA">
      <w:pPr>
        <w:spacing w:line="240" w:lineRule="auto"/>
        <w:ind w:left="720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587BEC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5. </w:t>
      </w:r>
      <w:r w:rsidR="00B426D6" w:rsidRPr="00587BEC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La propuesta de Dictamen deberá examinar las circunstancias concretas de cada reclamación, sin hacer una aplicación </w:t>
      </w:r>
      <w:r w:rsidR="00EE3B53" w:rsidRPr="00587BEC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automática o </w:t>
      </w:r>
      <w:r w:rsidR="00B426D6" w:rsidRPr="00587BEC">
        <w:rPr>
          <w:rFonts w:asciiTheme="majorHAnsi" w:hAnsiTheme="majorHAnsi" w:cstheme="majorHAnsi"/>
          <w:bCs/>
          <w:color w:val="00B050"/>
          <w:sz w:val="24"/>
          <w:szCs w:val="24"/>
        </w:rPr>
        <w:t>genérica de resoluciones anteriores.</w:t>
      </w:r>
    </w:p>
    <w:p w14:paraId="764B38E2" w14:textId="1CA7CCC8" w:rsidR="00B426D6" w:rsidRPr="00174304" w:rsidRDefault="007D5221" w:rsidP="00E567CA">
      <w:pPr>
        <w:spacing w:line="240" w:lineRule="auto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>6</w:t>
      </w:r>
      <w:r w:rsidR="00B426D6" w:rsidRPr="00174304">
        <w:rPr>
          <w:rFonts w:asciiTheme="majorHAnsi" w:hAnsiTheme="majorHAnsi" w:cstheme="majorHAnsi"/>
          <w:bCs/>
          <w:sz w:val="24"/>
          <w:szCs w:val="24"/>
        </w:rPr>
        <w:t>.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426D6" w:rsidRPr="00174304">
        <w:rPr>
          <w:rFonts w:asciiTheme="majorHAnsi" w:hAnsiTheme="majorHAnsi" w:cstheme="majorHAnsi"/>
          <w:bCs/>
          <w:sz w:val="24"/>
          <w:szCs w:val="24"/>
        </w:rPr>
        <w:t>A menos que uno o más miembros del Comité se opongan, las recomendaciones del relator o los relatores sobre comunicaciones repetitivas se considerarán aprobadas como dictámenes del Comité.</w:t>
      </w:r>
    </w:p>
    <w:p w14:paraId="1256F310" w14:textId="2CB76FCD" w:rsidR="00B426D6" w:rsidRPr="00174304" w:rsidRDefault="00B426D6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448CDCA" w14:textId="389C0A0D" w:rsidR="00B426D6" w:rsidRPr="00587BEC" w:rsidRDefault="00587BEC" w:rsidP="00EE3B53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587BE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Artículo 20:</w:t>
      </w:r>
    </w:p>
    <w:p w14:paraId="280E2F7C" w14:textId="316F3698" w:rsidR="00E83FC6" w:rsidRPr="00174304" w:rsidRDefault="00E83FC6" w:rsidP="00E83FC6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AFAB557" w14:textId="61C019A1" w:rsidR="00E83FC6" w:rsidRPr="003D5CAA" w:rsidRDefault="00E83FC6" w:rsidP="00E83FC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El Comité podrá iniciar un procedimiento de dictamen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estructural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y aprobar un dictamen estructural cuando los hechos de una comunicación revelen la existencia en el Estado parte interesado de un problema estructural u otra disfunción que haya dado o pueda dar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lugar a comunicaciones que se refieran fundamentalmente al mismo problema estructural.</w:t>
      </w:r>
    </w:p>
    <w:p w14:paraId="349E6471" w14:textId="3FBD98C2" w:rsidR="00E83FC6" w:rsidRPr="003D5CAA" w:rsidRDefault="00E83FC6" w:rsidP="003D5CA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Antes de iniciar un procedimiento de dictamen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estructural</w:t>
      </w:r>
      <w:r w:rsidRPr="00174304">
        <w:rPr>
          <w:rFonts w:asciiTheme="majorHAnsi" w:hAnsiTheme="majorHAnsi" w:cstheme="majorHAnsi"/>
          <w:bCs/>
          <w:sz w:val="24"/>
          <w:szCs w:val="24"/>
          <w:u w:val="single"/>
        </w:rPr>
        <w:t>,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el Comité recabará en primer lugar las opiniones del Estado parte y del autor interesados sobre si la comunicación que se está examinando resulta de la existencia de ese problema o disfunción en el Estado parte, y sobre la conveniencia de tramitar la comunicación con arreglo a ese procedimiento.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Las opiniones y valoraciones del Estado parte interesado y el autor o autores tendrán carácter consultivo, no vinculante.</w:t>
      </w:r>
    </w:p>
    <w:p w14:paraId="4371A153" w14:textId="458E2E22" w:rsidR="00E83FC6" w:rsidRPr="003D5CAA" w:rsidRDefault="00E83FC6" w:rsidP="003D5CA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En caso de que ya se hayan presentado comunicaciones similares por hechos derivados del mismo problema estructural y otra disfunción, el Comité recabará también las opiniones de los autores de dichas comunicaciones.</w:t>
      </w:r>
    </w:p>
    <w:p w14:paraId="13E492EC" w14:textId="41316FAB" w:rsidR="000207B3" w:rsidRPr="003D5CAA" w:rsidRDefault="00E83FC6" w:rsidP="003D5CA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El Comité podrá iniciar un procedimiento de dictamen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estructura</w:t>
      </w:r>
      <w:r w:rsidRPr="00174304">
        <w:rPr>
          <w:rFonts w:asciiTheme="majorHAnsi" w:hAnsiTheme="majorHAnsi" w:cstheme="majorHAnsi"/>
          <w:bCs/>
          <w:sz w:val="24"/>
          <w:szCs w:val="24"/>
          <w:u w:val="single"/>
        </w:rPr>
        <w:t>l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de oficio o a petición de una o ambas partes. Antes de que se inicie ese procedimiento con respecto a una comunicación o grupos de comunicaciones determinadas, el grupo de trabajo sobre las comunicaciones preguntará al Estado parte interesado,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a el autor de la comunicación y, en su caso, a los autores de las comunicaciones a los que hace referencia el párrafo 3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si tienen alguna objeción a que se aplique el procedimiento del dictamen piloto estructural con arreglo al presente artículo.</w:t>
      </w:r>
    </w:p>
    <w:p w14:paraId="090638D1" w14:textId="5760AD76" w:rsidR="00E83FC6" w:rsidRPr="003D5CAA" w:rsidRDefault="000207B3" w:rsidP="003D5CA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Toda comunicación seleccionada para el procedimiento de dictamen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estructural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se tramitará con carácter prioritario.</w:t>
      </w:r>
    </w:p>
    <w:p w14:paraId="1E76E086" w14:textId="03718F0D" w:rsidR="00E83FC6" w:rsidRPr="003D5CAA" w:rsidRDefault="00BA79DD" w:rsidP="00E83FC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En caso de que, en su dictamen estructural, el Comité considere que se han vulnerado uno o más derechos enunciados en el Pacto, determinará la naturaleza del problema estructural o disfunción. Además de </w:t>
      </w:r>
      <w:r w:rsidRPr="00E567CA">
        <w:rPr>
          <w:rFonts w:asciiTheme="majorHAnsi" w:hAnsiTheme="majorHAnsi" w:cstheme="majorHAnsi"/>
          <w:bCs/>
          <w:color w:val="C00000"/>
          <w:sz w:val="24"/>
          <w:szCs w:val="24"/>
        </w:rPr>
        <w:t>las</w:t>
      </w:r>
      <w:r w:rsidR="00E567CA" w:rsidRPr="00E567CA">
        <w:rPr>
          <w:rFonts w:asciiTheme="majorHAnsi" w:hAnsiTheme="majorHAnsi" w:cstheme="majorHAnsi"/>
          <w:bCs/>
          <w:strike/>
          <w:color w:val="C00000"/>
          <w:sz w:val="24"/>
          <w:szCs w:val="24"/>
        </w:rPr>
        <w:t xml:space="preserve"> </w:t>
      </w:r>
      <w:r w:rsidR="00E567CA" w:rsidRPr="00E567CA">
        <w:rPr>
          <w:rFonts w:asciiTheme="majorHAnsi" w:hAnsiTheme="majorHAnsi" w:cstheme="majorHAnsi"/>
          <w:bCs/>
          <w:strike/>
          <w:color w:val="C00000"/>
          <w:sz w:val="24"/>
          <w:szCs w:val="24"/>
        </w:rPr>
        <w:t>recomendaciones individuales, formulará</w:t>
      </w:r>
      <w:r w:rsidRPr="00E567CA">
        <w:rPr>
          <w:rFonts w:asciiTheme="majorHAnsi" w:hAnsiTheme="majorHAnsi" w:cstheme="majorHAnsi"/>
          <w:bCs/>
          <w:color w:val="C00000"/>
          <w:sz w:val="24"/>
          <w:szCs w:val="24"/>
        </w:rPr>
        <w:t xml:space="preserve"> </w:t>
      </w:r>
      <w:r w:rsidRPr="00174304">
        <w:rPr>
          <w:rFonts w:asciiTheme="majorHAnsi" w:hAnsiTheme="majorHAnsi" w:cstheme="majorHAnsi"/>
          <w:bCs/>
          <w:sz w:val="24"/>
          <w:szCs w:val="24"/>
        </w:rPr>
        <w:t>generales</w:t>
      </w:r>
      <w:r w:rsidR="00FB3136" w:rsidRPr="00174304">
        <w:rPr>
          <w:rFonts w:asciiTheme="majorHAnsi" w:hAnsiTheme="majorHAnsi" w:cstheme="majorHAnsi"/>
          <w:bCs/>
          <w:sz w:val="24"/>
          <w:szCs w:val="24"/>
        </w:rPr>
        <w:t>,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encaminadas a determinar las medidas que el Estado parte deberá adoptar para hacer frente al problema estructural o disfunción,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formulará recomendaciones individuales en relación al autor de la comunicación y, </w:t>
      </w:r>
      <w:r w:rsidR="009D140B"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también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, a los autores de las comunicaciones similares a las que hace referencia el párrafo 3, sea en el dictamen estructural o dando respuesta individual a dichas comunicaciones. En la determinación de las recomendaciones individuales se atenderá a las circunstancias particulares de cada autor, garantizando una reparación efectiva y </w:t>
      </w:r>
      <w:r w:rsidR="003D5CAA">
        <w:rPr>
          <w:rFonts w:asciiTheme="majorHAnsi" w:hAnsiTheme="majorHAnsi" w:cstheme="majorHAnsi"/>
          <w:bCs/>
          <w:color w:val="00B050"/>
          <w:sz w:val="24"/>
          <w:szCs w:val="24"/>
        </w:rPr>
        <w:t>proporcional al daño ocasionado.</w:t>
      </w:r>
    </w:p>
    <w:p w14:paraId="69923BA4" w14:textId="372E2314" w:rsidR="00F731C3" w:rsidRPr="003D5CAA" w:rsidRDefault="00E83FC6" w:rsidP="003D5CA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En lo que respecta a casos posteriores que pudieran resolverse con un dictamen estructural previo, serán de aplicación las recomendaciones generales en él incluidas y el Comité deberá también establecer las recomendaciones individuales arriba mencionadas. Cabe garantizar que en caso de regresividad o retrocesos legislativos y de políticas públicas que empeoren la situación estructural, el Comité no utilice el anterior dictamen estructural o bien incluya nuevas recomendaciones generales al Estado.</w:t>
      </w:r>
    </w:p>
    <w:p w14:paraId="14EC013E" w14:textId="72D80833" w:rsidR="00F731C3" w:rsidRPr="003D5CAA" w:rsidRDefault="00E83FC6" w:rsidP="003D5CA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Para la determinación del problema estructural o disfunción, así como de las recomendaciones generales, el Comité convocará una consulta pública, permitiendo la participación de los Estados, incluyendo a las administraciones locales o territoriales que puedan estar afectadas, así como instituciones nacionales de derechos humanos, organizaciones de la sociedad civil y personas académicas o expertas de organizaciones internacionales y regionales.</w:t>
      </w:r>
    </w:p>
    <w:p w14:paraId="74258365" w14:textId="23E76868" w:rsidR="00561DEB" w:rsidRPr="003D5CAA" w:rsidRDefault="00561DEB" w:rsidP="003D5CAA">
      <w:pPr>
        <w:spacing w:line="240" w:lineRule="auto"/>
        <w:ind w:left="360"/>
        <w:jc w:val="both"/>
        <w:rPr>
          <w:rFonts w:asciiTheme="majorHAnsi" w:hAnsiTheme="majorHAnsi" w:cstheme="majorHAnsi"/>
          <w:bCs/>
          <w:strike/>
          <w:color w:val="C00000"/>
          <w:sz w:val="24"/>
          <w:szCs w:val="24"/>
        </w:rPr>
      </w:pPr>
      <w:r w:rsidRPr="00561DEB">
        <w:rPr>
          <w:rFonts w:asciiTheme="majorHAnsi" w:hAnsiTheme="majorHAnsi" w:cstheme="majorHAnsi"/>
          <w:bCs/>
          <w:strike/>
          <w:color w:val="C00000"/>
          <w:sz w:val="24"/>
          <w:szCs w:val="24"/>
        </w:rPr>
        <w:t>9.El Comité podrá, si procede, aplazar el examen de todas las comunicaciones similares hasta que se aprueben las recomendaciones generales formuladas en el dictamen piloto.</w:t>
      </w:r>
    </w:p>
    <w:p w14:paraId="4F9EF1CB" w14:textId="7BB36D51" w:rsidR="00F731C3" w:rsidRPr="00174304" w:rsidRDefault="00F731C3" w:rsidP="00F731C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En su dictamen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estructural</w:t>
      </w:r>
      <w:r w:rsidRPr="00174304">
        <w:rPr>
          <w:rFonts w:asciiTheme="majorHAnsi" w:hAnsiTheme="majorHAnsi" w:cstheme="majorHAnsi"/>
          <w:bCs/>
          <w:sz w:val="24"/>
          <w:szCs w:val="24"/>
        </w:rPr>
        <w:t>, el Comité podrá pedir que las recomendaciones a que se hace referencia en el párrafo 6 7 del presente artículo se apliquen en un plazo determinado, teniendo en cuenta la naturaleza de las medidas necesarias y la rapidez con que se pueda remediar el problema o disfunción a nivel nacional.</w:t>
      </w:r>
    </w:p>
    <w:p w14:paraId="664777A8" w14:textId="77777777" w:rsidR="00F731C3" w:rsidRPr="00174304" w:rsidRDefault="00F731C3" w:rsidP="00F731C3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562399C" w14:textId="1D7BEAD8" w:rsidR="00F731C3" w:rsidRPr="003D5CAA" w:rsidRDefault="00F731C3" w:rsidP="00F731C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Al aprobar un dictamen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estructural</w:t>
      </w:r>
      <w:r w:rsidRPr="00174304">
        <w:rPr>
          <w:rFonts w:asciiTheme="majorHAnsi" w:hAnsiTheme="majorHAnsi" w:cstheme="majorHAnsi"/>
          <w:bCs/>
          <w:sz w:val="24"/>
          <w:szCs w:val="24"/>
          <w:u w:val="single"/>
        </w:rPr>
        <w:t>,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el Comité podrá reservarse la cuestión de la indemnización financiera, ya sea en su totalidad o en parte, en espera de la aplicación por el Estado parte de las recomendaciones individuales y generales formuladas en el dictamen piloto.</w:t>
      </w:r>
    </w:p>
    <w:p w14:paraId="0CF0DCD2" w14:textId="73CE9720" w:rsidR="00561DEB" w:rsidRPr="003D5CAA" w:rsidRDefault="00E83FC6" w:rsidP="00561DE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Al aprobar un dictamen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estructural, 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el Comité podrá reservarse la cuestión de la indemnización financiera, ya sea en su totalidad o en parte, en espera de la aplicación por el Estado parte de las recomendaciones individuales y generales formuladas en el dictamen piloto, </w:t>
      </w:r>
      <w:r w:rsidRPr="00174304">
        <w:rPr>
          <w:rFonts w:asciiTheme="majorHAnsi" w:hAnsiTheme="majorHAnsi" w:cstheme="majorHAnsi"/>
          <w:bCs/>
          <w:sz w:val="24"/>
          <w:szCs w:val="24"/>
          <w:u w:val="single"/>
        </w:rPr>
        <w:t>que deberán ser llevadas a cabo en el plazo estipulado al efecto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0024E41B" w14:textId="5F608DDA" w:rsidR="00F731C3" w:rsidRPr="003D5CAA" w:rsidRDefault="00561DEB" w:rsidP="003D5CA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61DEB">
        <w:rPr>
          <w:rFonts w:asciiTheme="majorHAnsi" w:hAnsiTheme="majorHAnsi" w:cstheme="majorHAnsi"/>
          <w:bCs/>
          <w:strike/>
          <w:color w:val="C00000"/>
          <w:sz w:val="24"/>
          <w:szCs w:val="24"/>
        </w:rPr>
        <w:t>Los autores interesados serán informados debidamente de la decisión de aplazar el examen de sus comunicaciones. Se les notificarán, según proceda, todas las novedades pertinentes que afecten a sus casos.</w:t>
      </w:r>
      <w:r w:rsidRPr="00561DEB">
        <w:rPr>
          <w:rFonts w:ascii="Franklin Gothic Book" w:hAnsi="Franklin Gothic Book"/>
          <w:bCs/>
          <w:color w:val="C00000"/>
          <w:sz w:val="24"/>
          <w:szCs w:val="24"/>
        </w:rPr>
        <w:t xml:space="preserve"> </w:t>
      </w:r>
      <w:r w:rsidR="00E83FC6" w:rsidRPr="00174304">
        <w:rPr>
          <w:rFonts w:asciiTheme="majorHAnsi" w:hAnsiTheme="majorHAnsi" w:cstheme="majorHAnsi"/>
          <w:bCs/>
          <w:sz w:val="24"/>
          <w:szCs w:val="24"/>
        </w:rPr>
        <w:t xml:space="preserve">Los autores de las comunicaciones </w:t>
      </w:r>
      <w:r w:rsidR="00E83FC6"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a las que hace referencia el párrafo 3 </w:t>
      </w:r>
      <w:r w:rsidR="00E83FC6" w:rsidRPr="00174304">
        <w:rPr>
          <w:rFonts w:asciiTheme="majorHAnsi" w:hAnsiTheme="majorHAnsi" w:cstheme="majorHAnsi"/>
          <w:bCs/>
          <w:sz w:val="24"/>
          <w:szCs w:val="24"/>
        </w:rPr>
        <w:t xml:space="preserve">podrán en cualquier momento presentar al Comité declaraciones o comunicaciones en las que expliquen las razones por las cuales sus comunicaciones deben ser examinadas </w:t>
      </w:r>
      <w:r w:rsidR="00E83FC6"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individualmente y conforme al procedimiento sin aplazamiento en interés de la justicia.</w:t>
      </w:r>
    </w:p>
    <w:p w14:paraId="39AC44C1" w14:textId="5543AFD4" w:rsidR="00B045E1" w:rsidRPr="003D5CAA" w:rsidRDefault="00E83FC6" w:rsidP="00FB313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El Comité podrá examinar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individualmente y conforme al procedimiento ordinario 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en cualquier momento una comunicación </w:t>
      </w:r>
      <w:r w:rsidRPr="00561DEB">
        <w:rPr>
          <w:rFonts w:asciiTheme="majorHAnsi" w:hAnsiTheme="majorHAnsi" w:cstheme="majorHAnsi"/>
          <w:bCs/>
          <w:strike/>
          <w:color w:val="C00000"/>
          <w:sz w:val="24"/>
          <w:szCs w:val="24"/>
        </w:rPr>
        <w:t>aplazada</w:t>
      </w:r>
      <w:r w:rsidRPr="00174304">
        <w:rPr>
          <w:rFonts w:asciiTheme="majorHAnsi" w:hAnsiTheme="majorHAnsi" w:cstheme="majorHAnsi"/>
          <w:bCs/>
          <w:strike/>
          <w:sz w:val="24"/>
          <w:szCs w:val="24"/>
        </w:rPr>
        <w:t xml:space="preserve">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 xml:space="preserve">a las que hace referencia el párrafo 3 </w:t>
      </w:r>
      <w:r w:rsidRPr="00174304">
        <w:rPr>
          <w:rFonts w:asciiTheme="majorHAnsi" w:hAnsiTheme="majorHAnsi" w:cstheme="majorHAnsi"/>
          <w:bCs/>
          <w:sz w:val="24"/>
          <w:szCs w:val="24"/>
        </w:rPr>
        <w:t>siempre que el interés de la justicia lo exija.</w:t>
      </w:r>
    </w:p>
    <w:p w14:paraId="3BDDA194" w14:textId="13A998E5" w:rsidR="00F731C3" w:rsidRPr="003D5CAA" w:rsidRDefault="00E83FC6" w:rsidP="003D5CA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 xml:space="preserve">Cuando las partes en la comunicación objeto de un dictamen piloto lleguen a una solución amigable, como se detalla en el artículo 21, esta comprenderá una declaración del Estado parte interesado sobre la aplicación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manera y la calendarización en la que se van a aplicar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las recomendaciones generales formuladas en el dictamen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estructural</w:t>
      </w:r>
      <w:r w:rsidRPr="00174304">
        <w:rPr>
          <w:rFonts w:asciiTheme="majorHAnsi" w:hAnsiTheme="majorHAnsi" w:cstheme="majorHAnsi"/>
          <w:bCs/>
          <w:sz w:val="24"/>
          <w:szCs w:val="24"/>
          <w:u w:val="single"/>
        </w:rPr>
        <w:t xml:space="preserve"> 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y de las recomendaciones con respecto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al autor de la comunicación del dictamen estructural, así como, en su caso, a los autores de las comunicaciones similares a los que hace referencia el párrafo 3.</w:t>
      </w:r>
    </w:p>
    <w:p w14:paraId="45AC69F6" w14:textId="2B523FDB" w:rsidR="00BA79DD" w:rsidRPr="003D5CAA" w:rsidRDefault="00BA79DD" w:rsidP="00BA79DD">
      <w:pPr>
        <w:pStyle w:val="Prrafodelist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>Con sujeción a toda decisión en contrario, en caso de que el Estado parte interesado no cumpla las recomendaciones del dictamen estructural</w:t>
      </w:r>
      <w:r w:rsidRPr="00174304">
        <w:rPr>
          <w:rFonts w:asciiTheme="majorHAnsi" w:hAnsiTheme="majorHAnsi" w:cstheme="majorHAnsi"/>
          <w:bCs/>
          <w:sz w:val="24"/>
          <w:szCs w:val="24"/>
          <w:u w:val="single"/>
        </w:rPr>
        <w:t xml:space="preserve">,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en el plazo estipulado al efecto,</w:t>
      </w:r>
      <w:r w:rsidRPr="00174304">
        <w:rPr>
          <w:rFonts w:asciiTheme="majorHAnsi" w:hAnsiTheme="majorHAnsi" w:cstheme="majorHAnsi"/>
          <w:bCs/>
          <w:sz w:val="24"/>
          <w:szCs w:val="24"/>
        </w:rPr>
        <w:t xml:space="preserve"> el Comité reanudará el examen de las comunicaciones aplazadas de conformidad con el párrafo 9 del presente artículo.</w:t>
      </w:r>
    </w:p>
    <w:p w14:paraId="47EED5C9" w14:textId="5EF46413" w:rsidR="00F731C3" w:rsidRPr="00174304" w:rsidRDefault="00F731C3" w:rsidP="00E83FC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>En la página web del Comité se publicará información sobre el inicio de los procedimientos de dictamen piloto, sobre la aprobación de dictámenes</w:t>
      </w:r>
      <w:r w:rsidRPr="00174304">
        <w:rPr>
          <w:rFonts w:asciiTheme="majorHAnsi" w:hAnsiTheme="majorHAnsi" w:cstheme="majorHAnsi"/>
          <w:bCs/>
          <w:sz w:val="24"/>
          <w:szCs w:val="24"/>
          <w:u w:val="single"/>
        </w:rPr>
        <w:t xml:space="preserve"> </w:t>
      </w:r>
      <w:r w:rsidRPr="00561DEB">
        <w:rPr>
          <w:rFonts w:asciiTheme="majorHAnsi" w:hAnsiTheme="majorHAnsi" w:cstheme="majorHAnsi"/>
          <w:bCs/>
          <w:color w:val="00B050"/>
          <w:sz w:val="24"/>
          <w:szCs w:val="24"/>
        </w:rPr>
        <w:t>estructural</w:t>
      </w:r>
      <w:r w:rsidRPr="00174304">
        <w:rPr>
          <w:rFonts w:asciiTheme="majorHAnsi" w:hAnsiTheme="majorHAnsi" w:cstheme="majorHAnsi"/>
          <w:bCs/>
          <w:sz w:val="24"/>
          <w:szCs w:val="24"/>
          <w:u w:val="single"/>
        </w:rPr>
        <w:t xml:space="preserve"> </w:t>
      </w:r>
      <w:r w:rsidRPr="00174304">
        <w:rPr>
          <w:rFonts w:asciiTheme="majorHAnsi" w:hAnsiTheme="majorHAnsi" w:cstheme="majorHAnsi"/>
          <w:bCs/>
          <w:sz w:val="24"/>
          <w:szCs w:val="24"/>
        </w:rPr>
        <w:t>y su aplicación, y sobre la clausura de dichos procedimientos.</w:t>
      </w:r>
      <w:r w:rsidRPr="00174304">
        <w:rPr>
          <w:rFonts w:asciiTheme="majorHAnsi" w:hAnsiTheme="majorHAnsi" w:cstheme="majorHAnsi"/>
          <w:bCs/>
          <w:sz w:val="24"/>
          <w:szCs w:val="24"/>
        </w:rPr>
        <w:tab/>
      </w:r>
    </w:p>
    <w:p w14:paraId="000A593D" w14:textId="6AB4502C" w:rsidR="00E83FC6" w:rsidRPr="00174304" w:rsidRDefault="00E83FC6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274A56B" w14:textId="78BA1DC5" w:rsidR="00BA79DD" w:rsidRPr="00174304" w:rsidRDefault="00BA79DD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715191D" w14:textId="4F5A35D7" w:rsidR="00BA79DD" w:rsidRPr="00174304" w:rsidRDefault="00BA79DD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2D061B4" w14:textId="0E4FF39E" w:rsidR="00BA79DD" w:rsidRPr="00174304" w:rsidRDefault="00BA79DD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C41A04F" w14:textId="3DCE3F43" w:rsidR="00BA79DD" w:rsidRPr="00174304" w:rsidRDefault="00561DEB" w:rsidP="00BA79DD">
      <w:pPr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Madrid</w:t>
      </w:r>
    </w:p>
    <w:p w14:paraId="43B64D4C" w14:textId="59BD1B46" w:rsidR="00BA79DD" w:rsidRPr="00174304" w:rsidRDefault="00BA79DD" w:rsidP="00BA79DD">
      <w:pPr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174304">
        <w:rPr>
          <w:rFonts w:asciiTheme="majorHAnsi" w:hAnsiTheme="majorHAnsi" w:cstheme="majorHAnsi"/>
          <w:bCs/>
          <w:sz w:val="24"/>
          <w:szCs w:val="24"/>
        </w:rPr>
        <w:t>30 de julio de 2021</w:t>
      </w:r>
    </w:p>
    <w:p w14:paraId="50450D48" w14:textId="041B6F22" w:rsidR="0088022F" w:rsidRPr="00174304" w:rsidRDefault="0088022F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B832C04" w14:textId="623C65ED" w:rsidR="0088022F" w:rsidRPr="00174304" w:rsidRDefault="0088022F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21F1215" w14:textId="3D05996E" w:rsidR="0088022F" w:rsidRPr="00174304" w:rsidRDefault="0088022F" w:rsidP="003744B0">
      <w:p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sectPr w:rsidR="0088022F" w:rsidRPr="00174304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F0F9" w14:textId="77777777" w:rsidR="00015644" w:rsidRDefault="00015644" w:rsidP="00015644">
      <w:pPr>
        <w:spacing w:line="240" w:lineRule="auto"/>
      </w:pPr>
      <w:r>
        <w:separator/>
      </w:r>
    </w:p>
  </w:endnote>
  <w:endnote w:type="continuationSeparator" w:id="0">
    <w:p w14:paraId="1845A5B9" w14:textId="77777777" w:rsidR="00015644" w:rsidRDefault="00015644" w:rsidP="00015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4863"/>
      <w:docPartObj>
        <w:docPartGallery w:val="Page Numbers (Bottom of Page)"/>
        <w:docPartUnique/>
      </w:docPartObj>
    </w:sdtPr>
    <w:sdtEndPr/>
    <w:sdtContent>
      <w:p w14:paraId="3970F85D" w14:textId="47D77843" w:rsidR="00015644" w:rsidRDefault="000156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BB" w:rsidRPr="00312ABB">
          <w:rPr>
            <w:noProof/>
            <w:lang w:val="es-ES"/>
          </w:rPr>
          <w:t>2</w:t>
        </w:r>
        <w:r>
          <w:fldChar w:fldCharType="end"/>
        </w:r>
      </w:p>
    </w:sdtContent>
  </w:sdt>
  <w:p w14:paraId="0E2C95A2" w14:textId="77777777" w:rsidR="00015644" w:rsidRDefault="00015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5605" w14:textId="77777777" w:rsidR="00015644" w:rsidRDefault="00015644" w:rsidP="00015644">
      <w:pPr>
        <w:spacing w:line="240" w:lineRule="auto"/>
      </w:pPr>
      <w:r>
        <w:separator/>
      </w:r>
    </w:p>
  </w:footnote>
  <w:footnote w:type="continuationSeparator" w:id="0">
    <w:p w14:paraId="5E9A0B6E" w14:textId="77777777" w:rsidR="00015644" w:rsidRDefault="00015644" w:rsidP="00015644">
      <w:pPr>
        <w:spacing w:line="240" w:lineRule="auto"/>
      </w:pPr>
      <w:r>
        <w:continuationSeparator/>
      </w:r>
    </w:p>
  </w:footnote>
  <w:footnote w:id="1">
    <w:p w14:paraId="2B70402F" w14:textId="6A9294E7" w:rsidR="0020534C" w:rsidRPr="000C50EA" w:rsidRDefault="0020534C" w:rsidP="000C50EA">
      <w:pPr>
        <w:pStyle w:val="Textonotapie"/>
        <w:jc w:val="both"/>
        <w:rPr>
          <w:rFonts w:asciiTheme="majorHAnsi" w:hAnsiTheme="majorHAnsi"/>
          <w:lang w:val="es-ES"/>
        </w:rPr>
      </w:pPr>
      <w:r w:rsidRPr="000C50EA">
        <w:rPr>
          <w:rStyle w:val="Refdenotaalpie"/>
          <w:rFonts w:asciiTheme="majorHAnsi" w:hAnsiTheme="majorHAnsi"/>
        </w:rPr>
        <w:footnoteRef/>
      </w:r>
      <w:r w:rsidRPr="000C50EA">
        <w:rPr>
          <w:rFonts w:asciiTheme="majorHAnsi" w:hAnsiTheme="majorHAnsi"/>
        </w:rPr>
        <w:t xml:space="preserve"> </w:t>
      </w:r>
      <w:r w:rsidRPr="000C50EA">
        <w:rPr>
          <w:rFonts w:asciiTheme="majorHAnsi" w:hAnsiTheme="majorHAnsi"/>
          <w:lang w:val="es-ES"/>
        </w:rPr>
        <w:t>STC</w:t>
      </w:r>
      <w:r w:rsidRPr="000C50EA">
        <w:rPr>
          <w:rFonts w:asciiTheme="majorHAnsi" w:hAnsiTheme="majorHAnsi"/>
        </w:rPr>
        <w:t xml:space="preserve"> </w:t>
      </w:r>
      <w:r w:rsidRPr="000C50EA">
        <w:rPr>
          <w:rFonts w:asciiTheme="majorHAnsi" w:hAnsiTheme="majorHAnsi"/>
          <w:lang w:val="es-ES"/>
        </w:rPr>
        <w:t>32/2019, de 28 de febr</w:t>
      </w:r>
      <w:r w:rsidR="000C50EA" w:rsidRPr="000C50EA">
        <w:rPr>
          <w:rFonts w:asciiTheme="majorHAnsi" w:hAnsiTheme="majorHAnsi"/>
          <w:lang w:val="es-ES"/>
        </w:rPr>
        <w:t xml:space="preserve">ero, </w:t>
      </w:r>
      <w:r w:rsidRPr="000C50EA">
        <w:rPr>
          <w:rFonts w:asciiTheme="majorHAnsi" w:hAnsiTheme="majorHAnsi"/>
          <w:lang w:val="es-ES"/>
        </w:rPr>
        <w:t>sobre el recurso de</w:t>
      </w:r>
      <w:r w:rsidR="000C50EA" w:rsidRPr="000C50EA">
        <w:rPr>
          <w:rFonts w:asciiTheme="majorHAnsi" w:hAnsiTheme="majorHAnsi"/>
          <w:lang w:val="es-ES"/>
        </w:rPr>
        <w:t xml:space="preserve"> </w:t>
      </w:r>
      <w:r w:rsidRPr="000C50EA">
        <w:rPr>
          <w:rFonts w:asciiTheme="majorHAnsi" w:hAnsiTheme="majorHAnsi"/>
          <w:lang w:val="es-ES"/>
        </w:rPr>
        <w:t>inconstitucionalidad contra la Ley 5/2018, de 11 de junio, de modi</w:t>
      </w:r>
      <w:r w:rsidR="000C50EA" w:rsidRPr="000C50EA">
        <w:rPr>
          <w:rFonts w:asciiTheme="majorHAnsi" w:hAnsiTheme="majorHAnsi"/>
          <w:lang w:val="es-ES"/>
        </w:rPr>
        <w:t xml:space="preserve">ficación de la Ley 1/2000, de 7 </w:t>
      </w:r>
      <w:r w:rsidRPr="000C50EA">
        <w:rPr>
          <w:rFonts w:asciiTheme="majorHAnsi" w:hAnsiTheme="majorHAnsi"/>
          <w:lang w:val="es-ES"/>
        </w:rPr>
        <w:t xml:space="preserve">de enero, de enjuiciamiento civil, en relación con la ocupación </w:t>
      </w:r>
      <w:r w:rsidR="000C50EA" w:rsidRPr="000C50EA">
        <w:rPr>
          <w:rFonts w:asciiTheme="majorHAnsi" w:hAnsiTheme="majorHAnsi"/>
          <w:lang w:val="es-ES"/>
        </w:rPr>
        <w:t xml:space="preserve">ilegal de viviendas. </w:t>
      </w:r>
      <w:r w:rsidRPr="000C50EA">
        <w:rPr>
          <w:rFonts w:asciiTheme="majorHAnsi" w:hAnsiTheme="majorHAnsi"/>
          <w:lang w:val="es-ES"/>
        </w:rPr>
        <w:t>Fundam</w:t>
      </w:r>
      <w:r w:rsidR="000C50EA" w:rsidRPr="000C50EA">
        <w:rPr>
          <w:rFonts w:asciiTheme="majorHAnsi" w:hAnsiTheme="majorHAnsi"/>
          <w:lang w:val="es-ES"/>
        </w:rPr>
        <w:t xml:space="preserve">ento número 6. </w:t>
      </w:r>
      <w:hyperlink r:id="rId1" w:history="1">
        <w:r w:rsidR="000C50EA" w:rsidRPr="00B3034F">
          <w:rPr>
            <w:rStyle w:val="Hipervnculo"/>
            <w:rFonts w:asciiTheme="majorHAnsi" w:hAnsiTheme="majorHAnsi"/>
            <w:lang w:val="es-ES"/>
          </w:rPr>
          <w:t>https://www.boe.es/buscar/doc.php?id=BOE-A-2019-4447</w:t>
        </w:r>
      </w:hyperlink>
      <w:r w:rsidR="000C50EA">
        <w:rPr>
          <w:rFonts w:asciiTheme="majorHAnsi" w:hAnsiTheme="majorHAnsi"/>
          <w:lang w:val="es-ES"/>
        </w:rPr>
        <w:t xml:space="preserve"> </w:t>
      </w:r>
    </w:p>
  </w:footnote>
  <w:footnote w:id="2">
    <w:p w14:paraId="4DEDF5CC" w14:textId="0B641FF4" w:rsidR="008572EF" w:rsidRPr="008572EF" w:rsidRDefault="008572EF" w:rsidP="008572EF">
      <w:pPr>
        <w:pStyle w:val="Textonotapie"/>
        <w:jc w:val="both"/>
        <w:rPr>
          <w:rFonts w:asciiTheme="majorHAnsi" w:hAnsiTheme="majorHAnsi"/>
          <w:lang w:val="es-ES"/>
        </w:rPr>
      </w:pPr>
      <w:r w:rsidRPr="008572EF">
        <w:rPr>
          <w:rStyle w:val="Refdenotaalpie"/>
          <w:rFonts w:asciiTheme="majorHAnsi" w:hAnsiTheme="majorHAnsi"/>
        </w:rPr>
        <w:footnoteRef/>
      </w:r>
      <w:r w:rsidRPr="008572EF">
        <w:rPr>
          <w:rFonts w:asciiTheme="majorHAnsi" w:hAnsiTheme="majorHAnsi"/>
        </w:rPr>
        <w:t xml:space="preserve"> </w:t>
      </w:r>
      <w:r w:rsidRPr="008572EF">
        <w:rPr>
          <w:rFonts w:asciiTheme="majorHAnsi" w:hAnsiTheme="majorHAnsi"/>
          <w:lang w:val="es-ES"/>
        </w:rPr>
        <w:t>Secretaria de Estado para la Agenda 2030 (2021) Informe de Progreso 2021 y Estrategia de Desarrollo Sostenible 2030 Pág.</w:t>
      </w:r>
      <w:r>
        <w:rPr>
          <w:rFonts w:asciiTheme="majorHAnsi" w:hAnsiTheme="majorHAnsi"/>
          <w:lang w:val="es-ES"/>
        </w:rPr>
        <w:t xml:space="preserve"> 261</w:t>
      </w:r>
      <w:r w:rsidRPr="008572EF">
        <w:rPr>
          <w:rFonts w:asciiTheme="majorHAnsi" w:hAnsiTheme="majorHAnsi"/>
          <w:lang w:val="es-ES"/>
        </w:rPr>
        <w:t xml:space="preserve">  </w:t>
      </w:r>
      <w:hyperlink r:id="rId2" w:history="1">
        <w:r w:rsidRPr="008572EF">
          <w:rPr>
            <w:rStyle w:val="Hipervnculo"/>
            <w:rFonts w:asciiTheme="majorHAnsi" w:hAnsiTheme="majorHAnsi"/>
            <w:lang w:val="es-ES"/>
          </w:rPr>
          <w:t>https://www.agenda2030.gob.es/recursos/docs/informe-progreso21-eds-2030.pdf?fbclid=IwAR1r6Br3i0jtnQ8r5baP5wdPU6qp_ou71h7pttQ8uE1ig3X0JO4GPSpHQ84</w:t>
        </w:r>
      </w:hyperlink>
      <w:r w:rsidRPr="008572EF">
        <w:rPr>
          <w:rFonts w:asciiTheme="majorHAnsi" w:hAnsiTheme="majorHAnsi"/>
          <w:lang w:val="es-ES"/>
        </w:rPr>
        <w:t xml:space="preserve"> </w:t>
      </w:r>
    </w:p>
  </w:footnote>
  <w:footnote w:id="3">
    <w:p w14:paraId="0D68DE49" w14:textId="254E983F" w:rsidR="008572EF" w:rsidRPr="008572EF" w:rsidRDefault="008572EF" w:rsidP="008572EF">
      <w:pPr>
        <w:pStyle w:val="Textonotapie"/>
        <w:jc w:val="both"/>
        <w:rPr>
          <w:lang w:val="es-ES"/>
        </w:rPr>
      </w:pPr>
      <w:r w:rsidRPr="008572EF">
        <w:rPr>
          <w:rStyle w:val="Refdenotaalpie"/>
          <w:rFonts w:asciiTheme="majorHAnsi" w:hAnsiTheme="majorHAnsi"/>
        </w:rPr>
        <w:footnoteRef/>
      </w:r>
      <w:r w:rsidRPr="008572EF">
        <w:rPr>
          <w:rFonts w:asciiTheme="majorHAnsi" w:hAnsiTheme="majorHAnsi"/>
        </w:rPr>
        <w:t xml:space="preserve"> </w:t>
      </w:r>
      <w:r w:rsidRPr="008572EF">
        <w:rPr>
          <w:rFonts w:asciiTheme="majorHAnsi" w:hAnsiTheme="majorHAnsi"/>
          <w:lang w:val="es-ES"/>
        </w:rPr>
        <w:t xml:space="preserve">Propuestas contenidas en el DOCUMENTO DE </w:t>
      </w:r>
      <w:r w:rsidRPr="008572EF">
        <w:rPr>
          <w:rFonts w:asciiTheme="majorHAnsi" w:hAnsiTheme="majorHAnsi"/>
          <w:lang w:val="es-ES"/>
        </w:rPr>
        <w:t>POSICIONA</w:t>
      </w:r>
      <w:r w:rsidRPr="008572EF">
        <w:rPr>
          <w:rFonts w:asciiTheme="majorHAnsi" w:hAnsiTheme="majorHAnsi"/>
          <w:lang w:val="es-ES"/>
        </w:rPr>
        <w:t xml:space="preserve">MIENTO DE LA PLATAFORMA DESC EN </w:t>
      </w:r>
      <w:r w:rsidRPr="008572EF">
        <w:rPr>
          <w:rFonts w:asciiTheme="majorHAnsi" w:hAnsiTheme="majorHAnsi"/>
          <w:lang w:val="es-ES"/>
        </w:rPr>
        <w:t xml:space="preserve">RELACIÓN CON LA CIRCULAR 1/2020 DE LA ABOGACÍA </w:t>
      </w:r>
      <w:r w:rsidRPr="008572EF">
        <w:rPr>
          <w:rFonts w:asciiTheme="majorHAnsi" w:hAnsiTheme="majorHAnsi"/>
          <w:lang w:val="es-ES"/>
        </w:rPr>
        <w:t xml:space="preserve">DEL </w:t>
      </w:r>
      <w:r w:rsidRPr="008572EF">
        <w:rPr>
          <w:rFonts w:asciiTheme="majorHAnsi" w:hAnsiTheme="majorHAnsi"/>
          <w:lang w:val="es-ES"/>
        </w:rPr>
        <w:t>ESTADO, TRASLADO DE NOT</w:t>
      </w:r>
      <w:r w:rsidRPr="008572EF">
        <w:rPr>
          <w:rFonts w:asciiTheme="majorHAnsi" w:hAnsiTheme="majorHAnsi"/>
          <w:lang w:val="es-ES"/>
        </w:rPr>
        <w:t xml:space="preserve">A SOBRE “LA NATURALEZA JURÍDICA </w:t>
      </w:r>
      <w:r w:rsidRPr="008572EF">
        <w:rPr>
          <w:rFonts w:asciiTheme="majorHAnsi" w:hAnsiTheme="majorHAnsi"/>
          <w:lang w:val="es-ES"/>
        </w:rPr>
        <w:t>DE LA</w:t>
      </w:r>
      <w:r w:rsidRPr="008572EF">
        <w:rPr>
          <w:rFonts w:asciiTheme="majorHAnsi" w:hAnsiTheme="majorHAnsi"/>
          <w:lang w:val="es-ES"/>
        </w:rPr>
        <w:t xml:space="preserve">S RESOLUCIONES DICTADAS POR LOS COMITÉS </w:t>
      </w:r>
      <w:r w:rsidRPr="008572EF">
        <w:rPr>
          <w:rFonts w:asciiTheme="majorHAnsi" w:hAnsiTheme="majorHAnsi"/>
          <w:lang w:val="es-ES"/>
        </w:rPr>
        <w:t>ENCARGADOS DEL</w:t>
      </w:r>
      <w:r w:rsidRPr="008572EF">
        <w:rPr>
          <w:rFonts w:asciiTheme="majorHAnsi" w:hAnsiTheme="majorHAnsi"/>
          <w:lang w:val="es-ES"/>
        </w:rPr>
        <w:t xml:space="preserve"> SEGUIMIENTO DE LOS TRATADOS DE DERECHOS HUMANOS </w:t>
      </w:r>
      <w:r w:rsidRPr="008572EF">
        <w:rPr>
          <w:rFonts w:asciiTheme="majorHAnsi" w:hAnsiTheme="majorHAnsi"/>
          <w:lang w:val="es-ES"/>
        </w:rPr>
        <w:t>D</w:t>
      </w:r>
      <w:r w:rsidRPr="008572EF">
        <w:rPr>
          <w:rFonts w:asciiTheme="majorHAnsi" w:hAnsiTheme="majorHAnsi"/>
          <w:lang w:val="es-ES"/>
        </w:rPr>
        <w:t xml:space="preserve">E LAS NACIONES UNIDAS” de 22 de octubre de 2020. Páginas 33-35  </w:t>
      </w:r>
      <w:hyperlink r:id="rId3" w:history="1">
        <w:r w:rsidRPr="008572EF">
          <w:rPr>
            <w:rStyle w:val="Hipervnculo"/>
            <w:rFonts w:asciiTheme="majorHAnsi" w:hAnsiTheme="majorHAnsi"/>
            <w:lang w:val="es-ES"/>
          </w:rPr>
          <w:t>https://a0d0455b-cdb9-43e5-8ea6-ece7abf5fc7c.filesusr.com/ugd/10c749_2a5aca2328784ce0bf6bdae4fadeb3d4.pdf</w:t>
        </w:r>
      </w:hyperlink>
      <w:r>
        <w:rPr>
          <w:lang w:val="es-ES"/>
        </w:rPr>
        <w:t xml:space="preserve"> </w:t>
      </w:r>
    </w:p>
  </w:footnote>
  <w:footnote w:id="4">
    <w:p w14:paraId="7E1D0F7C" w14:textId="331C62AF" w:rsidR="00174304" w:rsidRPr="00587BEC" w:rsidRDefault="00174304">
      <w:pPr>
        <w:pStyle w:val="Textonotapie"/>
        <w:rPr>
          <w:rFonts w:asciiTheme="majorHAnsi" w:hAnsiTheme="majorHAnsi" w:cstheme="majorHAnsi"/>
          <w:lang w:val="es-ES"/>
        </w:rPr>
      </w:pPr>
      <w:r w:rsidRPr="00587BEC">
        <w:rPr>
          <w:rStyle w:val="Refdenotaalpie"/>
          <w:rFonts w:asciiTheme="majorHAnsi" w:hAnsiTheme="majorHAnsi" w:cstheme="majorHAnsi"/>
        </w:rPr>
        <w:footnoteRef/>
      </w:r>
      <w:r w:rsidRPr="00587BEC">
        <w:rPr>
          <w:rFonts w:asciiTheme="majorHAnsi" w:hAnsiTheme="majorHAnsi" w:cstheme="majorHAnsi"/>
        </w:rPr>
        <w:t xml:space="preserve"> Concordantes con las presentadas por la PlatDESC España y el Grupo de Monitoreo de la Sociedad Civil </w:t>
      </w:r>
      <w:r w:rsidR="00587BEC" w:rsidRPr="00587BEC">
        <w:rPr>
          <w:rFonts w:asciiTheme="majorHAnsi" w:hAnsiTheme="majorHAnsi" w:cstheme="majorHAnsi"/>
        </w:rPr>
        <w:t>para el cumplimiento de los Dictámenes del Comité DESC en el Estado español</w:t>
      </w:r>
      <w:r w:rsidR="00587BEC">
        <w:rPr>
          <w:rFonts w:asciiTheme="majorHAnsi" w:hAnsiTheme="majorHAnsi" w:cstheme="majorHAnsi"/>
        </w:rPr>
        <w:t>. Plataformas de las que Cáritas es miembro (Grupo de Monitoreo) o representa a una red miembro (EAPN-España en la PlatDESC-España).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77348" w14:textId="61FEADA7" w:rsidR="00174304" w:rsidRDefault="00174304" w:rsidP="00174304">
    <w:pPr>
      <w:pStyle w:val="Encabezado"/>
      <w:jc w:val="center"/>
    </w:pPr>
    <w:r>
      <w:rPr>
        <w:noProof/>
        <w:color w:val="0000FF"/>
      </w:rPr>
      <w:drawing>
        <wp:inline distT="0" distB="0" distL="0" distR="0" wp14:anchorId="0258C8CC" wp14:editId="231BE785">
          <wp:extent cx="832545" cy="612775"/>
          <wp:effectExtent l="0" t="0" r="5715" b="0"/>
          <wp:docPr id="2" name="irc_mi" descr="http://www.caritas.es/ImagesRepository/f7d5d147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aritas.es/ImagesRepository/f7d5d147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35" t="26271" r="29257" b="33559"/>
                  <a:stretch/>
                </pic:blipFill>
                <pic:spPr bwMode="auto">
                  <a:xfrm>
                    <a:off x="0" y="0"/>
                    <a:ext cx="869670" cy="64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3E7E12" w14:textId="77777777" w:rsidR="00EE3B53" w:rsidRDefault="00EE3B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063"/>
    <w:multiLevelType w:val="hybridMultilevel"/>
    <w:tmpl w:val="3298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23B5"/>
    <w:multiLevelType w:val="hybridMultilevel"/>
    <w:tmpl w:val="95C8A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221F"/>
    <w:multiLevelType w:val="hybridMultilevel"/>
    <w:tmpl w:val="62D89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04B"/>
    <w:multiLevelType w:val="hybridMultilevel"/>
    <w:tmpl w:val="8DC2B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FE4"/>
    <w:multiLevelType w:val="hybridMultilevel"/>
    <w:tmpl w:val="ECF6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4"/>
    <w:rsid w:val="00015644"/>
    <w:rsid w:val="000207B3"/>
    <w:rsid w:val="000277CA"/>
    <w:rsid w:val="00044625"/>
    <w:rsid w:val="000B3DE5"/>
    <w:rsid w:val="000C50EA"/>
    <w:rsid w:val="000E34FD"/>
    <w:rsid w:val="00142117"/>
    <w:rsid w:val="00174304"/>
    <w:rsid w:val="001B561E"/>
    <w:rsid w:val="001C7E1C"/>
    <w:rsid w:val="001F5D2D"/>
    <w:rsid w:val="0020534C"/>
    <w:rsid w:val="002F60FE"/>
    <w:rsid w:val="00312ABB"/>
    <w:rsid w:val="00330E14"/>
    <w:rsid w:val="0033377F"/>
    <w:rsid w:val="003744B0"/>
    <w:rsid w:val="00381330"/>
    <w:rsid w:val="003C02EB"/>
    <w:rsid w:val="003D5CAA"/>
    <w:rsid w:val="003E1760"/>
    <w:rsid w:val="00405C6D"/>
    <w:rsid w:val="004413BA"/>
    <w:rsid w:val="004579FC"/>
    <w:rsid w:val="004879BD"/>
    <w:rsid w:val="004F2C53"/>
    <w:rsid w:val="00504F4E"/>
    <w:rsid w:val="0053564B"/>
    <w:rsid w:val="00537B49"/>
    <w:rsid w:val="00561DEB"/>
    <w:rsid w:val="00567B5F"/>
    <w:rsid w:val="00587BEC"/>
    <w:rsid w:val="005B7A01"/>
    <w:rsid w:val="005C5FBF"/>
    <w:rsid w:val="005C6938"/>
    <w:rsid w:val="006C1754"/>
    <w:rsid w:val="006C1A87"/>
    <w:rsid w:val="006D10E0"/>
    <w:rsid w:val="007238F0"/>
    <w:rsid w:val="007575A8"/>
    <w:rsid w:val="007D5221"/>
    <w:rsid w:val="007D562D"/>
    <w:rsid w:val="007E2B7A"/>
    <w:rsid w:val="007F2993"/>
    <w:rsid w:val="00804F04"/>
    <w:rsid w:val="008213C7"/>
    <w:rsid w:val="008572EF"/>
    <w:rsid w:val="0088022F"/>
    <w:rsid w:val="008C26AA"/>
    <w:rsid w:val="00924340"/>
    <w:rsid w:val="00945D01"/>
    <w:rsid w:val="00966228"/>
    <w:rsid w:val="00985558"/>
    <w:rsid w:val="00996D24"/>
    <w:rsid w:val="009A73AF"/>
    <w:rsid w:val="009D140B"/>
    <w:rsid w:val="009D4242"/>
    <w:rsid w:val="00A15244"/>
    <w:rsid w:val="00A24FDE"/>
    <w:rsid w:val="00A37395"/>
    <w:rsid w:val="00A908C2"/>
    <w:rsid w:val="00AE26A3"/>
    <w:rsid w:val="00AE4231"/>
    <w:rsid w:val="00AF1DF2"/>
    <w:rsid w:val="00B045E1"/>
    <w:rsid w:val="00B206D8"/>
    <w:rsid w:val="00B426D6"/>
    <w:rsid w:val="00BA4FBD"/>
    <w:rsid w:val="00BA79DD"/>
    <w:rsid w:val="00C139B7"/>
    <w:rsid w:val="00D456EE"/>
    <w:rsid w:val="00E567CA"/>
    <w:rsid w:val="00E83FC6"/>
    <w:rsid w:val="00EE3B53"/>
    <w:rsid w:val="00EE5462"/>
    <w:rsid w:val="00F47FE7"/>
    <w:rsid w:val="00F731C3"/>
    <w:rsid w:val="00F964C7"/>
    <w:rsid w:val="00FB1118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14F29"/>
  <w15:docId w15:val="{596234FF-855C-49E7-81ED-601BD453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E26A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5D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D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D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D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D2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1564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644"/>
  </w:style>
  <w:style w:type="paragraph" w:styleId="Piedepgina">
    <w:name w:val="footer"/>
    <w:basedOn w:val="Normal"/>
    <w:link w:val="PiedepginaCar"/>
    <w:uiPriority w:val="99"/>
    <w:unhideWhenUsed/>
    <w:rsid w:val="0001564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644"/>
  </w:style>
  <w:style w:type="paragraph" w:styleId="Textodeglobo">
    <w:name w:val="Balloon Text"/>
    <w:basedOn w:val="Normal"/>
    <w:link w:val="TextodegloboCar"/>
    <w:uiPriority w:val="99"/>
    <w:semiHidden/>
    <w:unhideWhenUsed/>
    <w:rsid w:val="00EE3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B5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743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43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430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C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0d0455b-cdb9-43e5-8ea6-ece7abf5fc7c.filesusr.com/ugd/10c749_2a5aca2328784ce0bf6bdae4fadeb3d4.pdf" TargetMode="External"/><Relationship Id="rId2" Type="http://schemas.openxmlformats.org/officeDocument/2006/relationships/hyperlink" Target="https://www.agenda2030.gob.es/recursos/docs/informe-progreso21-eds-2030.pdf?fbclid=IwAR1r6Br3i0jtnQ8r5baP5wdPU6qp_ou71h7pttQ8uE1ig3X0JO4GPSpHQ84" TargetMode="External"/><Relationship Id="rId1" Type="http://schemas.openxmlformats.org/officeDocument/2006/relationships/hyperlink" Target="https://www.boe.es/buscar/doc.php?id=BOE-A-2019-44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url?sa=i&amp;rct=j&amp;q=&amp;esrc=s&amp;source=images&amp;cd=&amp;cad=rja&amp;uact=8&amp;ved=0ahUKEwirzdap07PLAhUCsxQKHUxJAmoQjRwIBw&amp;url=http://www.caritas.es/noticias_tags_noticia.aspx?Tag%3D%20Bilbao&amp;psig=AFQjCNHEZ-A9UnQ3mEg6_HYuvzxLhOu9lw&amp;ust=145761450635376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3A"/>
    <w:rsid w:val="005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E13F6B7FA24945ACF5280C692F804A">
    <w:name w:val="36E13F6B7FA24945ACF5280C692F804A"/>
    <w:rsid w:val="00585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BDEE-FD3E-4785-BCBD-BFBF26050D30}">
  <ds:schemaRefs>
    <ds:schemaRef ds:uri="http://schemas.microsoft.com/office/2006/metadata/properties"/>
    <ds:schemaRef ds:uri="http://schemas.openxmlformats.org/package/2006/metadata/core-properties"/>
    <ds:schemaRef ds:uri="772e7eca-42a7-4275-9b97-d94c846a2617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e79a7a3-a49e-42ae-8c3a-3856f6129b5e"/>
  </ds:schemaRefs>
</ds:datastoreItem>
</file>

<file path=customXml/itemProps2.xml><?xml version="1.0" encoding="utf-8"?>
<ds:datastoreItem xmlns:ds="http://schemas.openxmlformats.org/officeDocument/2006/customXml" ds:itemID="{F604F65A-BFA4-4E75-B0B3-DF61940BE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FA4C9-53EC-463B-A258-9943BDE55C71}"/>
</file>

<file path=customXml/itemProps4.xml><?xml version="1.0" encoding="utf-8"?>
<ds:datastoreItem xmlns:ds="http://schemas.openxmlformats.org/officeDocument/2006/customXml" ds:itemID="{3E88D8DE-6B86-4F13-B38D-36276AAE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2165</Words>
  <Characters>11911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INCIDENCIA</dc:creator>
  <cp:lastModifiedBy>Sonia Olea Ferreras</cp:lastModifiedBy>
  <cp:revision>5</cp:revision>
  <cp:lastPrinted>2021-07-30T10:33:00Z</cp:lastPrinted>
  <dcterms:created xsi:type="dcterms:W3CDTF">2021-07-30T08:52:00Z</dcterms:created>
  <dcterms:modified xsi:type="dcterms:W3CDTF">2021-07-30T10:39:00Z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