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83A07" w14:textId="77777777" w:rsidR="00FA147E" w:rsidRPr="00FA147E" w:rsidRDefault="00FA147E" w:rsidP="00FA147E">
      <w:pPr>
        <w:spacing w:line="259" w:lineRule="auto"/>
        <w:jc w:val="both"/>
        <w:rPr>
          <w:rFonts w:ascii="Verdana" w:hAnsi="Verdana" w:cstheme="minorBidi"/>
          <w:b/>
          <w:bCs/>
          <w:sz w:val="20"/>
          <w:szCs w:val="20"/>
          <w:lang w:val="en-GB"/>
        </w:rPr>
      </w:pPr>
      <w:r w:rsidRPr="00FA147E">
        <w:rPr>
          <w:rFonts w:ascii="Verdana" w:hAnsi="Verdana" w:cstheme="minorBidi"/>
          <w:b/>
          <w:bCs/>
          <w:sz w:val="20"/>
          <w:szCs w:val="20"/>
          <w:lang w:val="en-GB"/>
        </w:rPr>
        <w:t>Comments of the Netherlands concerning Draft General Recommendation on trafficking in women and girls in the context of global migration</w:t>
      </w:r>
    </w:p>
    <w:p w14:paraId="58A7190D" w14:textId="77777777" w:rsidR="00FA147E" w:rsidRPr="00FA147E" w:rsidRDefault="00FA147E" w:rsidP="00FA147E">
      <w:pPr>
        <w:spacing w:line="259" w:lineRule="auto"/>
        <w:jc w:val="both"/>
        <w:rPr>
          <w:rFonts w:ascii="Verdana" w:hAnsi="Verdana" w:cstheme="minorBidi"/>
          <w:sz w:val="20"/>
          <w:szCs w:val="20"/>
          <w:lang w:val="en-GB"/>
        </w:rPr>
      </w:pPr>
    </w:p>
    <w:p w14:paraId="1D78E0E4" w14:textId="77777777" w:rsidR="00FA147E" w:rsidRPr="00FA147E" w:rsidRDefault="00FA147E" w:rsidP="00FA147E">
      <w:pPr>
        <w:spacing w:line="259" w:lineRule="auto"/>
        <w:jc w:val="both"/>
        <w:rPr>
          <w:rFonts w:ascii="Verdana" w:hAnsi="Verdana" w:cstheme="minorBidi"/>
          <w:sz w:val="20"/>
          <w:szCs w:val="20"/>
          <w:lang w:val="en-GB"/>
        </w:rPr>
      </w:pPr>
      <w:r w:rsidRPr="00FA147E">
        <w:rPr>
          <w:rFonts w:ascii="Verdana" w:hAnsi="Verdana" w:cstheme="minorBidi"/>
          <w:sz w:val="20"/>
          <w:szCs w:val="20"/>
          <w:lang w:val="en-GB"/>
        </w:rPr>
        <w:t xml:space="preserve">The </w:t>
      </w:r>
      <w:r w:rsidR="00322B01">
        <w:rPr>
          <w:rFonts w:ascii="Verdana" w:hAnsi="Verdana" w:cstheme="minorBidi"/>
          <w:sz w:val="20"/>
          <w:szCs w:val="20"/>
          <w:lang w:val="en-GB"/>
        </w:rPr>
        <w:t xml:space="preserve">Government of the Kingdom of the </w:t>
      </w:r>
      <w:r w:rsidRPr="00FA147E">
        <w:rPr>
          <w:rFonts w:ascii="Verdana" w:hAnsi="Verdana" w:cstheme="minorBidi"/>
          <w:sz w:val="20"/>
          <w:szCs w:val="20"/>
          <w:lang w:val="en-GB"/>
        </w:rPr>
        <w:t>Netherlands</w:t>
      </w:r>
      <w:r w:rsidR="00322B01">
        <w:rPr>
          <w:rFonts w:ascii="Verdana" w:hAnsi="Verdana" w:cstheme="minorBidi"/>
          <w:sz w:val="20"/>
          <w:szCs w:val="20"/>
          <w:lang w:val="en-GB"/>
        </w:rPr>
        <w:t xml:space="preserve"> (the Government)</w:t>
      </w:r>
      <w:r w:rsidRPr="00FA147E">
        <w:rPr>
          <w:rFonts w:ascii="Verdana" w:hAnsi="Verdana" w:cstheme="minorBidi"/>
          <w:sz w:val="20"/>
          <w:szCs w:val="20"/>
          <w:lang w:val="en-GB"/>
        </w:rPr>
        <w:t xml:space="preserve"> welcomes the Committee on</w:t>
      </w:r>
      <w:r>
        <w:rPr>
          <w:rFonts w:ascii="Verdana" w:hAnsi="Verdana" w:cstheme="minorBidi"/>
          <w:sz w:val="20"/>
          <w:szCs w:val="20"/>
          <w:lang w:val="en-GB"/>
        </w:rPr>
        <w:t xml:space="preserve"> the Elimination of Discrimination Against Women</w:t>
      </w:r>
      <w:r w:rsidRPr="00FA147E">
        <w:rPr>
          <w:rFonts w:ascii="Verdana" w:hAnsi="Verdana" w:cstheme="minorBidi"/>
          <w:sz w:val="20"/>
          <w:szCs w:val="20"/>
          <w:lang w:val="en-GB"/>
        </w:rPr>
        <w:t xml:space="preserve"> Draft General Recommendation on trafficking in women and girls in the context of global migration and the Committee’s invitation to submit comments on this draft. The Netherlands submits the following observations. </w:t>
      </w:r>
    </w:p>
    <w:p w14:paraId="41584426" w14:textId="77777777" w:rsidR="00FA147E" w:rsidRDefault="00FA147E" w:rsidP="00FA147E">
      <w:pPr>
        <w:spacing w:line="259" w:lineRule="auto"/>
        <w:jc w:val="both"/>
        <w:rPr>
          <w:rFonts w:ascii="Verdana" w:hAnsi="Verdana" w:cstheme="minorBidi"/>
          <w:sz w:val="20"/>
          <w:szCs w:val="20"/>
          <w:lang w:val="en-GB"/>
        </w:rPr>
      </w:pPr>
    </w:p>
    <w:p w14:paraId="723B3DEB" w14:textId="77777777" w:rsidR="00FA147E" w:rsidRPr="00FA147E" w:rsidRDefault="00FA147E" w:rsidP="00FA147E">
      <w:pPr>
        <w:spacing w:line="259" w:lineRule="auto"/>
        <w:jc w:val="both"/>
        <w:rPr>
          <w:rFonts w:ascii="Verdana" w:hAnsi="Verdana" w:cstheme="minorBidi"/>
          <w:sz w:val="20"/>
          <w:szCs w:val="20"/>
          <w:lang w:val="en-GB"/>
        </w:rPr>
      </w:pPr>
    </w:p>
    <w:p w14:paraId="65C35196" w14:textId="77777777" w:rsidR="00FA147E" w:rsidRPr="00FA147E" w:rsidRDefault="00FA147E" w:rsidP="00FA147E">
      <w:pPr>
        <w:pBdr>
          <w:top w:val="single" w:sz="4" w:space="1" w:color="auto"/>
          <w:left w:val="single" w:sz="4" w:space="4" w:color="auto"/>
          <w:bottom w:val="single" w:sz="4" w:space="1" w:color="auto"/>
          <w:right w:val="single" w:sz="4" w:space="4" w:color="auto"/>
        </w:pBdr>
        <w:spacing w:line="259" w:lineRule="auto"/>
        <w:jc w:val="both"/>
        <w:rPr>
          <w:rFonts w:ascii="Verdana" w:hAnsi="Verdana" w:cstheme="minorBidi"/>
          <w:sz w:val="20"/>
          <w:szCs w:val="20"/>
          <w:lang w:val="en-GB"/>
        </w:rPr>
      </w:pPr>
      <w:r w:rsidRPr="00FA147E">
        <w:rPr>
          <w:rFonts w:ascii="Verdana" w:hAnsi="Verdana" w:cstheme="minorBidi"/>
          <w:sz w:val="20"/>
          <w:szCs w:val="20"/>
          <w:lang w:val="en-GB"/>
        </w:rPr>
        <w:t>Recommendation 29c and 62</w:t>
      </w:r>
      <w:r>
        <w:rPr>
          <w:rFonts w:ascii="Verdana" w:hAnsi="Verdana" w:cstheme="minorBidi"/>
          <w:sz w:val="20"/>
          <w:szCs w:val="20"/>
          <w:lang w:val="en-GB"/>
        </w:rPr>
        <w:t>a</w:t>
      </w:r>
    </w:p>
    <w:p w14:paraId="111DD304" w14:textId="77777777" w:rsidR="00FA147E" w:rsidRDefault="00FA147E" w:rsidP="00FA147E">
      <w:pPr>
        <w:spacing w:line="259" w:lineRule="auto"/>
        <w:jc w:val="both"/>
        <w:rPr>
          <w:rFonts w:ascii="Verdana" w:hAnsi="Verdana" w:cstheme="minorBidi"/>
          <w:sz w:val="20"/>
          <w:szCs w:val="20"/>
          <w:lang w:val="en-GB"/>
        </w:rPr>
      </w:pPr>
    </w:p>
    <w:p w14:paraId="40350D08" w14:textId="13F7153C" w:rsidR="00FA147E" w:rsidRPr="00FA147E" w:rsidRDefault="00FA147E" w:rsidP="00B070B6">
      <w:pPr>
        <w:spacing w:line="259" w:lineRule="auto"/>
        <w:jc w:val="both"/>
        <w:rPr>
          <w:rFonts w:ascii="Verdana" w:hAnsi="Verdana" w:cstheme="minorBidi"/>
          <w:sz w:val="20"/>
          <w:szCs w:val="20"/>
          <w:lang w:val="en-GB"/>
        </w:rPr>
      </w:pPr>
      <w:r w:rsidRPr="00FA147E">
        <w:rPr>
          <w:rFonts w:ascii="Verdana" w:hAnsi="Verdana" w:cstheme="minorBidi"/>
          <w:sz w:val="20"/>
          <w:szCs w:val="20"/>
          <w:lang w:val="en-GB"/>
        </w:rPr>
        <w:t xml:space="preserve">The </w:t>
      </w:r>
      <w:r w:rsidR="00322B01">
        <w:rPr>
          <w:rFonts w:ascii="Verdana" w:hAnsi="Verdana" w:cstheme="minorBidi"/>
          <w:sz w:val="20"/>
          <w:szCs w:val="20"/>
          <w:lang w:val="en-GB"/>
        </w:rPr>
        <w:t>Government</w:t>
      </w:r>
      <w:r w:rsidR="00322B01" w:rsidRPr="00FA147E">
        <w:rPr>
          <w:rFonts w:ascii="Verdana" w:hAnsi="Verdana" w:cstheme="minorBidi"/>
          <w:sz w:val="20"/>
          <w:szCs w:val="20"/>
          <w:lang w:val="en-GB"/>
        </w:rPr>
        <w:t xml:space="preserve"> </w:t>
      </w:r>
      <w:r w:rsidRPr="00FA147E">
        <w:rPr>
          <w:rFonts w:ascii="Verdana" w:hAnsi="Verdana" w:cstheme="minorBidi"/>
          <w:sz w:val="20"/>
          <w:szCs w:val="20"/>
          <w:lang w:val="en-GB"/>
        </w:rPr>
        <w:t>proposes to add ‘</w:t>
      </w:r>
      <w:r w:rsidRPr="00B070B6">
        <w:rPr>
          <w:rFonts w:ascii="Verdana" w:hAnsi="Verdana" w:cstheme="minorBidi"/>
          <w:i/>
          <w:iCs/>
          <w:sz w:val="20"/>
          <w:szCs w:val="20"/>
          <w:lang w:val="en-GB"/>
        </w:rPr>
        <w:t>where appropriate</w:t>
      </w:r>
      <w:r w:rsidRPr="00FA147E">
        <w:rPr>
          <w:rFonts w:ascii="Verdana" w:hAnsi="Verdana" w:cstheme="minorBidi"/>
          <w:sz w:val="20"/>
          <w:szCs w:val="20"/>
          <w:lang w:val="en-GB"/>
        </w:rPr>
        <w:t xml:space="preserve">’ to </w:t>
      </w:r>
      <w:r>
        <w:rPr>
          <w:rFonts w:ascii="Verdana" w:hAnsi="Verdana" w:cstheme="minorBidi"/>
          <w:sz w:val="20"/>
          <w:szCs w:val="20"/>
          <w:lang w:val="en-GB"/>
        </w:rPr>
        <w:t>29</w:t>
      </w:r>
      <w:r w:rsidRPr="00FA147E">
        <w:rPr>
          <w:rFonts w:ascii="Verdana" w:hAnsi="Verdana" w:cstheme="minorBidi"/>
          <w:sz w:val="20"/>
          <w:szCs w:val="20"/>
          <w:lang w:val="en-GB"/>
        </w:rPr>
        <w:t>c and</w:t>
      </w:r>
      <w:r>
        <w:rPr>
          <w:rFonts w:ascii="Verdana" w:hAnsi="Verdana" w:cstheme="minorBidi"/>
          <w:sz w:val="20"/>
          <w:szCs w:val="20"/>
          <w:lang w:val="en-GB"/>
        </w:rPr>
        <w:t xml:space="preserve"> 62</w:t>
      </w:r>
      <w:r w:rsidRPr="00FA147E">
        <w:rPr>
          <w:rFonts w:ascii="Verdana" w:hAnsi="Verdana" w:cstheme="minorBidi"/>
          <w:sz w:val="20"/>
          <w:szCs w:val="20"/>
          <w:lang w:val="en-GB"/>
        </w:rPr>
        <w:t xml:space="preserve">a. With regard to 29c, this is because </w:t>
      </w:r>
      <w:r w:rsidR="00322B01">
        <w:rPr>
          <w:rFonts w:ascii="Verdana" w:hAnsi="Verdana" w:cstheme="minorBidi"/>
          <w:sz w:val="20"/>
          <w:szCs w:val="20"/>
          <w:lang w:val="en-GB"/>
        </w:rPr>
        <w:t>Member States</w:t>
      </w:r>
      <w:r w:rsidRPr="00FA147E">
        <w:rPr>
          <w:rFonts w:ascii="Verdana" w:hAnsi="Verdana" w:cstheme="minorBidi"/>
          <w:sz w:val="20"/>
          <w:szCs w:val="20"/>
          <w:lang w:val="en-GB"/>
        </w:rPr>
        <w:t xml:space="preserve"> might have laws in place already. </w:t>
      </w:r>
      <w:r w:rsidR="00B070B6">
        <w:rPr>
          <w:rFonts w:ascii="Verdana" w:hAnsi="Verdana" w:cstheme="minorBidi"/>
          <w:sz w:val="20"/>
          <w:szCs w:val="20"/>
          <w:lang w:val="en-GB"/>
        </w:rPr>
        <w:t>In t</w:t>
      </w:r>
      <w:r w:rsidRPr="00FA147E">
        <w:rPr>
          <w:rFonts w:ascii="Verdana" w:hAnsi="Verdana" w:cstheme="minorBidi"/>
          <w:sz w:val="20"/>
          <w:szCs w:val="20"/>
          <w:lang w:val="en-GB"/>
        </w:rPr>
        <w:t>he Netherlands for example</w:t>
      </w:r>
      <w:r w:rsidR="00B070B6">
        <w:rPr>
          <w:rFonts w:ascii="Verdana" w:hAnsi="Verdana" w:cstheme="minorBidi"/>
          <w:sz w:val="20"/>
          <w:szCs w:val="20"/>
          <w:lang w:val="en-GB"/>
        </w:rPr>
        <w:t>,</w:t>
      </w:r>
      <w:r w:rsidRPr="00FA147E">
        <w:rPr>
          <w:rFonts w:ascii="Verdana" w:hAnsi="Verdana" w:cstheme="minorBidi"/>
          <w:sz w:val="20"/>
          <w:szCs w:val="20"/>
          <w:lang w:val="en-GB"/>
        </w:rPr>
        <w:t xml:space="preserve"> forced marriage</w:t>
      </w:r>
      <w:r w:rsidR="00B070B6">
        <w:rPr>
          <w:rFonts w:ascii="Verdana" w:hAnsi="Verdana" w:cstheme="minorBidi"/>
          <w:sz w:val="20"/>
          <w:szCs w:val="20"/>
          <w:lang w:val="en-GB"/>
        </w:rPr>
        <w:t xml:space="preserve"> is penalised</w:t>
      </w:r>
      <w:r w:rsidRPr="00FA147E">
        <w:rPr>
          <w:rFonts w:ascii="Verdana" w:hAnsi="Verdana" w:cstheme="minorBidi"/>
          <w:sz w:val="20"/>
          <w:szCs w:val="20"/>
          <w:lang w:val="en-GB"/>
        </w:rPr>
        <w:t xml:space="preserve"> through the Forced Marriage Prevention Act 2015, but does not</w:t>
      </w:r>
      <w:r w:rsidR="00B070B6">
        <w:rPr>
          <w:rFonts w:ascii="Verdana" w:hAnsi="Verdana" w:cstheme="minorBidi"/>
          <w:sz w:val="20"/>
          <w:szCs w:val="20"/>
          <w:lang w:val="en-GB"/>
        </w:rPr>
        <w:t xml:space="preserve"> explicitly</w:t>
      </w:r>
      <w:r w:rsidRPr="00FA147E">
        <w:rPr>
          <w:rFonts w:ascii="Verdana" w:hAnsi="Verdana" w:cstheme="minorBidi"/>
          <w:sz w:val="20"/>
          <w:szCs w:val="20"/>
          <w:lang w:val="en-GB"/>
        </w:rPr>
        <w:t xml:space="preserve"> relate this to trafficking in persons. This is because forced marriage does not necessarily contain the element of exploitation. With regard to 62a  </w:t>
      </w:r>
      <w:r w:rsidR="00B4615C">
        <w:rPr>
          <w:rFonts w:ascii="Verdana" w:hAnsi="Verdana" w:cstheme="minorBidi"/>
          <w:sz w:val="20"/>
          <w:szCs w:val="20"/>
          <w:lang w:val="en-GB"/>
        </w:rPr>
        <w:t>there are</w:t>
      </w:r>
      <w:r w:rsidR="00B070B6">
        <w:rPr>
          <w:rFonts w:ascii="Verdana" w:hAnsi="Verdana" w:cstheme="minorBidi"/>
          <w:sz w:val="20"/>
          <w:szCs w:val="20"/>
          <w:lang w:val="en-GB"/>
        </w:rPr>
        <w:t xml:space="preserve"> of course</w:t>
      </w:r>
      <w:r w:rsidR="00B4615C">
        <w:rPr>
          <w:rFonts w:ascii="Verdana" w:hAnsi="Verdana" w:cstheme="minorBidi"/>
          <w:sz w:val="20"/>
          <w:szCs w:val="20"/>
          <w:lang w:val="en-GB"/>
        </w:rPr>
        <w:t xml:space="preserve"> </w:t>
      </w:r>
      <w:r w:rsidR="00322B01">
        <w:rPr>
          <w:rFonts w:ascii="Verdana" w:hAnsi="Verdana" w:cstheme="minorBidi"/>
          <w:sz w:val="20"/>
          <w:szCs w:val="20"/>
          <w:lang w:val="en-GB"/>
        </w:rPr>
        <w:t>Member States</w:t>
      </w:r>
      <w:r w:rsidR="00322B01" w:rsidRPr="00FA147E">
        <w:rPr>
          <w:rFonts w:ascii="Verdana" w:hAnsi="Verdana" w:cstheme="minorBidi"/>
          <w:sz w:val="20"/>
          <w:szCs w:val="20"/>
          <w:lang w:val="en-GB"/>
        </w:rPr>
        <w:t xml:space="preserve"> </w:t>
      </w:r>
      <w:r w:rsidR="00B4615C">
        <w:rPr>
          <w:rFonts w:ascii="Verdana" w:hAnsi="Verdana" w:cstheme="minorBidi"/>
          <w:sz w:val="20"/>
          <w:szCs w:val="20"/>
          <w:lang w:val="en-GB"/>
        </w:rPr>
        <w:t xml:space="preserve">that </w:t>
      </w:r>
      <w:r w:rsidRPr="00FA147E">
        <w:rPr>
          <w:rFonts w:ascii="Verdana" w:hAnsi="Verdana" w:cstheme="minorBidi"/>
          <w:sz w:val="20"/>
          <w:szCs w:val="20"/>
          <w:lang w:val="en-GB"/>
        </w:rPr>
        <w:t xml:space="preserve">have other well-functioning methods to ensure corporate responsibility. </w:t>
      </w:r>
    </w:p>
    <w:p w14:paraId="4E41B7CF" w14:textId="77777777" w:rsidR="00FA147E" w:rsidRPr="00FA147E" w:rsidRDefault="00FA147E" w:rsidP="00FA147E">
      <w:pPr>
        <w:spacing w:line="259" w:lineRule="auto"/>
        <w:jc w:val="both"/>
        <w:rPr>
          <w:rFonts w:ascii="Verdana" w:hAnsi="Verdana" w:cstheme="minorBidi"/>
          <w:sz w:val="20"/>
          <w:szCs w:val="20"/>
          <w:lang w:val="en-GB"/>
        </w:rPr>
      </w:pPr>
    </w:p>
    <w:p w14:paraId="4A355A1D" w14:textId="77777777" w:rsidR="00FA147E" w:rsidRPr="00FA147E" w:rsidRDefault="00FA147E" w:rsidP="00FA147E">
      <w:pPr>
        <w:pBdr>
          <w:top w:val="single" w:sz="4" w:space="1" w:color="auto"/>
          <w:left w:val="single" w:sz="4" w:space="4" w:color="auto"/>
          <w:bottom w:val="single" w:sz="4" w:space="1" w:color="auto"/>
          <w:right w:val="single" w:sz="4" w:space="4" w:color="auto"/>
        </w:pBdr>
        <w:spacing w:line="259" w:lineRule="auto"/>
        <w:jc w:val="both"/>
        <w:rPr>
          <w:rFonts w:ascii="Verdana" w:hAnsi="Verdana" w:cstheme="minorBidi"/>
          <w:sz w:val="20"/>
          <w:szCs w:val="20"/>
          <w:lang w:val="en-GB"/>
        </w:rPr>
      </w:pPr>
      <w:r w:rsidRPr="00FA147E">
        <w:rPr>
          <w:rFonts w:ascii="Verdana" w:hAnsi="Verdana" w:cstheme="minorBidi"/>
          <w:sz w:val="20"/>
          <w:szCs w:val="20"/>
          <w:lang w:val="en-GB"/>
        </w:rPr>
        <w:t>Recommendation 4</w:t>
      </w:r>
      <w:r>
        <w:rPr>
          <w:rFonts w:ascii="Verdana" w:hAnsi="Verdana" w:cstheme="minorBidi"/>
          <w:sz w:val="20"/>
          <w:szCs w:val="20"/>
          <w:lang w:val="en-GB"/>
        </w:rPr>
        <w:t>5</w:t>
      </w:r>
      <w:r w:rsidRPr="00FA147E">
        <w:rPr>
          <w:rFonts w:ascii="Verdana" w:hAnsi="Verdana" w:cstheme="minorBidi"/>
          <w:sz w:val="20"/>
          <w:szCs w:val="20"/>
          <w:lang w:val="en-GB"/>
        </w:rPr>
        <w:t>c</w:t>
      </w:r>
    </w:p>
    <w:p w14:paraId="7BCEE32C" w14:textId="77777777" w:rsidR="00FA147E" w:rsidRPr="00FA147E" w:rsidRDefault="00FA147E" w:rsidP="00FA147E">
      <w:pPr>
        <w:spacing w:line="259" w:lineRule="auto"/>
        <w:jc w:val="both"/>
        <w:rPr>
          <w:rFonts w:ascii="Verdana" w:hAnsi="Verdana" w:cstheme="minorBidi"/>
          <w:sz w:val="20"/>
          <w:szCs w:val="20"/>
          <w:lang w:val="en-GB"/>
        </w:rPr>
      </w:pPr>
    </w:p>
    <w:p w14:paraId="111E8847" w14:textId="65570F39" w:rsidR="000B4F9F" w:rsidRDefault="00322B01" w:rsidP="003530F4">
      <w:pPr>
        <w:spacing w:line="259" w:lineRule="auto"/>
        <w:jc w:val="both"/>
        <w:rPr>
          <w:rFonts w:ascii="Verdana" w:hAnsi="Verdana" w:cstheme="minorBidi"/>
          <w:color w:val="222222"/>
          <w:sz w:val="20"/>
          <w:szCs w:val="20"/>
          <w:lang w:val="en"/>
        </w:rPr>
      </w:pPr>
      <w:r>
        <w:rPr>
          <w:rFonts w:ascii="Verdana" w:hAnsi="Verdana" w:cstheme="minorBidi"/>
          <w:color w:val="222222"/>
          <w:sz w:val="20"/>
          <w:szCs w:val="20"/>
          <w:lang w:val="en-US"/>
        </w:rPr>
        <w:t xml:space="preserve">The Government is concerned that this paragraph broadens the scope of the </w:t>
      </w:r>
      <w:r w:rsidR="000B4F9F">
        <w:rPr>
          <w:rFonts w:ascii="Verdana" w:hAnsi="Verdana" w:cstheme="minorBidi"/>
          <w:color w:val="222222"/>
          <w:sz w:val="20"/>
          <w:szCs w:val="20"/>
          <w:lang w:val="en-US"/>
        </w:rPr>
        <w:t xml:space="preserve">United Nations Convention Relating to the Status of Refugees. </w:t>
      </w:r>
      <w:r w:rsidR="00FA147E" w:rsidRPr="00FA147E">
        <w:rPr>
          <w:rFonts w:ascii="Verdana" w:hAnsi="Verdana" w:cstheme="minorBidi"/>
          <w:color w:val="222222"/>
          <w:sz w:val="20"/>
          <w:szCs w:val="20"/>
          <w:lang w:val="en-US"/>
        </w:rPr>
        <w:t xml:space="preserve">This </w:t>
      </w:r>
      <w:r w:rsidR="00FA147E" w:rsidRPr="00FA147E">
        <w:rPr>
          <w:rFonts w:ascii="Verdana" w:hAnsi="Verdana" w:cstheme="minorBidi"/>
          <w:color w:val="222222"/>
          <w:sz w:val="20"/>
          <w:szCs w:val="20"/>
          <w:lang w:val="en"/>
        </w:rPr>
        <w:t>paragraph suggests that in the application for international protection, the circumstance that a person is a victim of human trafficking in itself should weigh heavily i</w:t>
      </w:r>
      <w:r w:rsidR="00FA147E">
        <w:rPr>
          <w:rFonts w:ascii="Verdana" w:hAnsi="Verdana" w:cstheme="minorBidi"/>
          <w:color w:val="222222"/>
          <w:sz w:val="20"/>
          <w:szCs w:val="20"/>
          <w:lang w:val="en"/>
        </w:rPr>
        <w:t>n the decision-making procedure</w:t>
      </w:r>
      <w:r w:rsidR="00FA147E" w:rsidRPr="00FA147E">
        <w:rPr>
          <w:rFonts w:ascii="Verdana" w:hAnsi="Verdana" w:cstheme="minorBidi"/>
          <w:color w:val="222222"/>
          <w:sz w:val="20"/>
          <w:szCs w:val="20"/>
          <w:lang w:val="en"/>
        </w:rPr>
        <w:t xml:space="preserve"> by classifying those victims as a social group. The </w:t>
      </w:r>
      <w:r>
        <w:rPr>
          <w:rFonts w:ascii="Verdana" w:hAnsi="Verdana" w:cstheme="minorBidi"/>
          <w:color w:val="222222"/>
          <w:sz w:val="20"/>
          <w:szCs w:val="20"/>
          <w:lang w:val="en"/>
        </w:rPr>
        <w:t>G</w:t>
      </w:r>
      <w:r w:rsidR="00FA147E" w:rsidRPr="00FA147E">
        <w:rPr>
          <w:rFonts w:ascii="Verdana" w:hAnsi="Verdana" w:cstheme="minorBidi"/>
          <w:color w:val="222222"/>
          <w:sz w:val="20"/>
          <w:szCs w:val="20"/>
          <w:lang w:val="en"/>
        </w:rPr>
        <w:t xml:space="preserve">overnment does not support this recommendation. </w:t>
      </w:r>
      <w:r>
        <w:rPr>
          <w:rFonts w:ascii="Verdana" w:hAnsi="Verdana" w:cstheme="minorBidi"/>
          <w:color w:val="222222"/>
          <w:sz w:val="20"/>
          <w:szCs w:val="20"/>
          <w:lang w:val="en"/>
        </w:rPr>
        <w:t>Of course, a</w:t>
      </w:r>
      <w:r w:rsidR="00FA147E" w:rsidRPr="00FA147E">
        <w:rPr>
          <w:rFonts w:ascii="Verdana" w:hAnsi="Verdana" w:cstheme="minorBidi"/>
          <w:color w:val="222222"/>
          <w:sz w:val="20"/>
          <w:szCs w:val="20"/>
          <w:lang w:val="en"/>
        </w:rPr>
        <w:t xml:space="preserve">ll relevant circumstances concerning the person involved should be taken into account in </w:t>
      </w:r>
      <w:r w:rsidR="000B4F9F">
        <w:rPr>
          <w:rFonts w:ascii="Verdana" w:hAnsi="Verdana" w:cstheme="minorBidi"/>
          <w:color w:val="222222"/>
          <w:sz w:val="20"/>
          <w:szCs w:val="20"/>
          <w:lang w:val="en"/>
        </w:rPr>
        <w:t>for the assessment of</w:t>
      </w:r>
      <w:r w:rsidR="00FA147E" w:rsidRPr="00FA147E">
        <w:rPr>
          <w:rFonts w:ascii="Verdana" w:hAnsi="Verdana" w:cstheme="minorBidi"/>
          <w:color w:val="222222"/>
          <w:sz w:val="20"/>
          <w:szCs w:val="20"/>
          <w:lang w:val="en"/>
        </w:rPr>
        <w:t xml:space="preserve"> </w:t>
      </w:r>
      <w:r w:rsidR="000B4F9F">
        <w:rPr>
          <w:rFonts w:ascii="Verdana" w:hAnsi="Verdana" w:cstheme="minorBidi"/>
          <w:color w:val="222222"/>
          <w:sz w:val="20"/>
          <w:szCs w:val="20"/>
          <w:lang w:val="en"/>
        </w:rPr>
        <w:t xml:space="preserve">an </w:t>
      </w:r>
      <w:r w:rsidR="009F5AA9">
        <w:rPr>
          <w:rFonts w:ascii="Verdana" w:hAnsi="Verdana" w:cstheme="minorBidi"/>
          <w:color w:val="222222"/>
          <w:sz w:val="20"/>
          <w:szCs w:val="20"/>
          <w:lang w:val="en"/>
        </w:rPr>
        <w:t>application</w:t>
      </w:r>
      <w:r w:rsidR="000B4F9F">
        <w:rPr>
          <w:rFonts w:ascii="Verdana" w:hAnsi="Verdana" w:cstheme="minorBidi"/>
          <w:color w:val="222222"/>
          <w:sz w:val="20"/>
          <w:szCs w:val="20"/>
          <w:lang w:val="en"/>
        </w:rPr>
        <w:t xml:space="preserve"> for </w:t>
      </w:r>
      <w:r w:rsidR="00FA147E" w:rsidRPr="00FA147E">
        <w:rPr>
          <w:rFonts w:ascii="Verdana" w:hAnsi="Verdana" w:cstheme="minorBidi"/>
          <w:color w:val="222222"/>
          <w:sz w:val="20"/>
          <w:szCs w:val="20"/>
          <w:lang w:val="en"/>
        </w:rPr>
        <w:t xml:space="preserve">international protection. Attention should be paid to whether a person is a victim of trafficking in persons and to whether other circumstances put a person in a vulnerable position in </w:t>
      </w:r>
      <w:r w:rsidR="000B4F9F">
        <w:rPr>
          <w:rFonts w:ascii="Verdana" w:hAnsi="Verdana" w:cstheme="minorBidi"/>
          <w:color w:val="222222"/>
          <w:sz w:val="20"/>
          <w:szCs w:val="20"/>
          <w:lang w:val="en"/>
        </w:rPr>
        <w:t>her</w:t>
      </w:r>
      <w:r w:rsidR="00FA147E" w:rsidRPr="00FA147E">
        <w:rPr>
          <w:rFonts w:ascii="Verdana" w:hAnsi="Verdana" w:cstheme="minorBidi"/>
          <w:color w:val="222222"/>
          <w:sz w:val="20"/>
          <w:szCs w:val="20"/>
          <w:lang w:val="en"/>
        </w:rPr>
        <w:t xml:space="preserve"> country of origin. This should all be taken into account in the decision making process. </w:t>
      </w:r>
    </w:p>
    <w:p w14:paraId="6074625A" w14:textId="77777777" w:rsidR="000B4F9F" w:rsidRDefault="000B4F9F" w:rsidP="000B4F9F">
      <w:pPr>
        <w:spacing w:line="259" w:lineRule="auto"/>
        <w:jc w:val="both"/>
        <w:rPr>
          <w:rFonts w:ascii="Verdana" w:hAnsi="Verdana" w:cstheme="minorBidi"/>
          <w:color w:val="222222"/>
          <w:sz w:val="20"/>
          <w:szCs w:val="20"/>
          <w:lang w:val="en"/>
        </w:rPr>
      </w:pPr>
    </w:p>
    <w:p w14:paraId="4AEE0A9E" w14:textId="4C88608B" w:rsidR="00FA147E" w:rsidRPr="00FA147E" w:rsidRDefault="000B4F9F" w:rsidP="003530F4">
      <w:pPr>
        <w:spacing w:line="259" w:lineRule="auto"/>
        <w:jc w:val="both"/>
        <w:rPr>
          <w:rFonts w:ascii="Verdana" w:hAnsi="Verdana" w:cstheme="minorBidi"/>
          <w:sz w:val="20"/>
          <w:szCs w:val="20"/>
          <w:lang w:val="en-GB"/>
        </w:rPr>
      </w:pPr>
      <w:r>
        <w:rPr>
          <w:rFonts w:ascii="Verdana" w:hAnsi="Verdana" w:cstheme="minorBidi"/>
          <w:color w:val="222222"/>
          <w:sz w:val="20"/>
          <w:szCs w:val="20"/>
          <w:lang w:val="en"/>
        </w:rPr>
        <w:t>Having been subject to trafficking</w:t>
      </w:r>
      <w:r w:rsidRPr="00FA147E">
        <w:rPr>
          <w:rFonts w:ascii="Verdana" w:hAnsi="Verdana" w:cstheme="minorBidi"/>
          <w:color w:val="222222"/>
          <w:sz w:val="20"/>
          <w:szCs w:val="20"/>
          <w:lang w:val="en"/>
        </w:rPr>
        <w:t xml:space="preserve"> </w:t>
      </w:r>
      <w:r w:rsidR="00FA147E" w:rsidRPr="00FA147E">
        <w:rPr>
          <w:rFonts w:ascii="Verdana" w:hAnsi="Verdana" w:cstheme="minorBidi"/>
          <w:color w:val="222222"/>
          <w:sz w:val="20"/>
          <w:szCs w:val="20"/>
          <w:lang w:val="en"/>
        </w:rPr>
        <w:t>is not, however, in itself a ground for acquiring international protection as a refugee</w:t>
      </w:r>
      <w:r>
        <w:rPr>
          <w:rFonts w:ascii="Verdana" w:hAnsi="Verdana" w:cstheme="minorBidi"/>
          <w:color w:val="222222"/>
          <w:sz w:val="20"/>
          <w:szCs w:val="20"/>
          <w:lang w:val="en"/>
        </w:rPr>
        <w:t>. A</w:t>
      </w:r>
      <w:r w:rsidR="00B4615C">
        <w:rPr>
          <w:rFonts w:ascii="Verdana" w:hAnsi="Verdana" w:cstheme="minorBidi"/>
          <w:color w:val="222222"/>
          <w:sz w:val="20"/>
          <w:szCs w:val="20"/>
          <w:lang w:val="en"/>
        </w:rPr>
        <w:t>lthough there is no final list of what may const</w:t>
      </w:r>
      <w:r w:rsidR="009F5AA9">
        <w:rPr>
          <w:rFonts w:ascii="Verdana" w:hAnsi="Verdana" w:cstheme="minorBidi"/>
          <w:color w:val="222222"/>
          <w:sz w:val="20"/>
          <w:szCs w:val="20"/>
          <w:lang w:val="en"/>
        </w:rPr>
        <w:t>it</w:t>
      </w:r>
      <w:r w:rsidR="00B4615C">
        <w:rPr>
          <w:rFonts w:ascii="Verdana" w:hAnsi="Verdana" w:cstheme="minorBidi"/>
          <w:color w:val="222222"/>
          <w:sz w:val="20"/>
          <w:szCs w:val="20"/>
          <w:lang w:val="en"/>
        </w:rPr>
        <w:t>ute a particular social group, the Government considers that belonging to a</w:t>
      </w:r>
      <w:r>
        <w:rPr>
          <w:rFonts w:ascii="Verdana" w:hAnsi="Verdana" w:cstheme="minorBidi"/>
          <w:color w:val="222222"/>
          <w:sz w:val="20"/>
          <w:szCs w:val="20"/>
          <w:lang w:val="en"/>
        </w:rPr>
        <w:t xml:space="preserve"> social group</w:t>
      </w:r>
      <w:r w:rsidR="00FA147E" w:rsidRPr="00FA147E">
        <w:rPr>
          <w:rFonts w:ascii="Verdana" w:hAnsi="Verdana" w:cstheme="minorBidi"/>
          <w:color w:val="222222"/>
          <w:sz w:val="20"/>
          <w:szCs w:val="20"/>
          <w:lang w:val="en"/>
        </w:rPr>
        <w:t xml:space="preserve"> </w:t>
      </w:r>
      <w:r w:rsidR="00B4615C">
        <w:rPr>
          <w:rFonts w:ascii="Verdana" w:hAnsi="Verdana" w:cstheme="minorBidi"/>
          <w:color w:val="222222"/>
          <w:sz w:val="20"/>
          <w:szCs w:val="20"/>
          <w:lang w:val="en"/>
        </w:rPr>
        <w:t>requires a certain identity and/or social perception.</w:t>
      </w:r>
      <w:r w:rsidR="00FA147E" w:rsidRPr="00FA147E">
        <w:rPr>
          <w:rFonts w:ascii="Verdana" w:hAnsi="Verdana" w:cstheme="minorBidi"/>
          <w:color w:val="222222"/>
          <w:sz w:val="20"/>
          <w:szCs w:val="20"/>
          <w:lang w:val="en"/>
        </w:rPr>
        <w:t xml:space="preserve"> Article 45 could include the recommendation to give residence permits for victims of human trafficking on humanitarian grounds, and shelter and assistance for victims of trafficking.</w:t>
      </w:r>
    </w:p>
    <w:p w14:paraId="291A1E26" w14:textId="77777777" w:rsidR="00FA147E" w:rsidRPr="00FA147E" w:rsidRDefault="00FA147E" w:rsidP="00FA147E">
      <w:pPr>
        <w:spacing w:line="259" w:lineRule="auto"/>
        <w:jc w:val="both"/>
        <w:rPr>
          <w:rFonts w:ascii="Verdana" w:hAnsi="Verdana" w:cstheme="minorBidi"/>
          <w:sz w:val="20"/>
          <w:szCs w:val="20"/>
          <w:lang w:val="en-GB"/>
        </w:rPr>
      </w:pPr>
    </w:p>
    <w:tbl>
      <w:tblPr>
        <w:tblStyle w:val="Tabelraster"/>
        <w:tblW w:w="0" w:type="auto"/>
        <w:tblLook w:val="04A0" w:firstRow="1" w:lastRow="0" w:firstColumn="1" w:lastColumn="0" w:noHBand="0" w:noVBand="1"/>
      </w:tblPr>
      <w:tblGrid>
        <w:gridCol w:w="9062"/>
      </w:tblGrid>
      <w:tr w:rsidR="00FA147E" w:rsidRPr="00FA147E" w14:paraId="209EBEF4" w14:textId="77777777" w:rsidTr="00587564">
        <w:tc>
          <w:tcPr>
            <w:tcW w:w="9062" w:type="dxa"/>
          </w:tcPr>
          <w:p w14:paraId="6A036DF8" w14:textId="77777777" w:rsidR="00FA147E" w:rsidRPr="00FA147E" w:rsidRDefault="00FA147E" w:rsidP="00FA147E">
            <w:pPr>
              <w:jc w:val="both"/>
              <w:rPr>
                <w:rFonts w:ascii="Verdana" w:hAnsi="Verdana" w:cstheme="minorBidi"/>
                <w:sz w:val="20"/>
                <w:szCs w:val="20"/>
                <w:lang w:val="en-GB"/>
              </w:rPr>
            </w:pPr>
            <w:r w:rsidRPr="00FA147E">
              <w:rPr>
                <w:rFonts w:ascii="Verdana" w:hAnsi="Verdana" w:cstheme="minorBidi"/>
                <w:sz w:val="20"/>
                <w:szCs w:val="20"/>
                <w:lang w:val="en-GB"/>
              </w:rPr>
              <w:t>Recommendation 58</w:t>
            </w:r>
          </w:p>
        </w:tc>
      </w:tr>
    </w:tbl>
    <w:p w14:paraId="051053C9" w14:textId="77777777" w:rsidR="00FA147E" w:rsidRPr="00FA147E" w:rsidRDefault="00FA147E" w:rsidP="00FA147E">
      <w:pPr>
        <w:spacing w:line="259" w:lineRule="auto"/>
        <w:jc w:val="both"/>
        <w:rPr>
          <w:rFonts w:ascii="Verdana" w:eastAsia="Verdana" w:hAnsi="Verdana" w:cs="Verdana"/>
          <w:sz w:val="20"/>
          <w:szCs w:val="20"/>
          <w:lang w:val="en-GB"/>
        </w:rPr>
      </w:pPr>
    </w:p>
    <w:p w14:paraId="5E6B01E3" w14:textId="5B375542" w:rsidR="00FA147E" w:rsidRPr="00FA147E" w:rsidRDefault="00FA147E" w:rsidP="00B4615C">
      <w:pPr>
        <w:spacing w:line="259" w:lineRule="auto"/>
        <w:jc w:val="both"/>
        <w:rPr>
          <w:rFonts w:ascii="Verdana" w:hAnsi="Verdana" w:cstheme="minorBidi"/>
          <w:sz w:val="20"/>
          <w:szCs w:val="20"/>
          <w:lang w:val="en-GB"/>
        </w:rPr>
      </w:pPr>
      <w:r w:rsidRPr="00FA147E">
        <w:rPr>
          <w:rFonts w:ascii="Verdana" w:eastAsia="Verdana" w:hAnsi="Verdana" w:cs="Verdana"/>
          <w:sz w:val="20"/>
          <w:szCs w:val="20"/>
          <w:lang w:val="en-GB"/>
        </w:rPr>
        <w:t xml:space="preserve">Regarding sub a), the </w:t>
      </w:r>
      <w:r w:rsidR="00B4615C">
        <w:rPr>
          <w:rFonts w:ascii="Verdana" w:eastAsia="Verdana" w:hAnsi="Verdana" w:cs="Verdana"/>
          <w:sz w:val="20"/>
          <w:szCs w:val="20"/>
          <w:lang w:val="en-GB"/>
        </w:rPr>
        <w:t>Government</w:t>
      </w:r>
      <w:r w:rsidR="00B4615C" w:rsidRPr="00FA147E">
        <w:rPr>
          <w:rFonts w:ascii="Verdana" w:eastAsia="Verdana" w:hAnsi="Verdana" w:cs="Verdana"/>
          <w:sz w:val="20"/>
          <w:szCs w:val="20"/>
          <w:lang w:val="en-GB"/>
        </w:rPr>
        <w:t xml:space="preserve"> </w:t>
      </w:r>
      <w:r w:rsidRPr="00FA147E">
        <w:rPr>
          <w:rFonts w:ascii="Verdana" w:eastAsia="Verdana" w:hAnsi="Verdana" w:cs="Verdana"/>
          <w:sz w:val="20"/>
          <w:szCs w:val="20"/>
          <w:lang w:val="en-GB"/>
        </w:rPr>
        <w:t xml:space="preserve">notes that there seems to be a contradiction in this paragraph. The </w:t>
      </w:r>
      <w:r w:rsidR="00B4615C">
        <w:rPr>
          <w:rFonts w:ascii="Verdana" w:eastAsia="Verdana" w:hAnsi="Verdana" w:cs="Verdana"/>
          <w:sz w:val="20"/>
          <w:szCs w:val="20"/>
          <w:lang w:val="en-GB"/>
        </w:rPr>
        <w:t>Government</w:t>
      </w:r>
      <w:r w:rsidR="00B4615C" w:rsidRPr="00FA147E">
        <w:rPr>
          <w:rFonts w:ascii="Verdana" w:eastAsia="Verdana" w:hAnsi="Verdana" w:cs="Verdana"/>
          <w:sz w:val="20"/>
          <w:szCs w:val="20"/>
          <w:lang w:val="en-GB"/>
        </w:rPr>
        <w:t xml:space="preserve"> </w:t>
      </w:r>
      <w:r w:rsidRPr="00FA147E">
        <w:rPr>
          <w:rFonts w:ascii="Verdana" w:eastAsia="Verdana" w:hAnsi="Verdana" w:cs="Verdana"/>
          <w:sz w:val="20"/>
          <w:szCs w:val="20"/>
          <w:lang w:val="en-GB"/>
        </w:rPr>
        <w:t>would furthermore like the paragraph to explain in which ways legislation for unregulated and unmonitored economic sectors should be different from legislation designed to protect migrant workers from labour exploitation in general. With respect to sub c), an elaboration could be useful in understanding how this should be recognised in practice.</w:t>
      </w:r>
      <w:r w:rsidRPr="00FA147E">
        <w:rPr>
          <w:rFonts w:ascii="Verdana" w:eastAsia="Verdana" w:hAnsi="Verdana" w:cs="Verdana"/>
          <w:sz w:val="18"/>
          <w:szCs w:val="18"/>
          <w:lang w:val="en-GB"/>
        </w:rPr>
        <w:t xml:space="preserve"> </w:t>
      </w:r>
    </w:p>
    <w:p w14:paraId="4A344053" w14:textId="77777777" w:rsidR="00FA147E" w:rsidRPr="00FA147E" w:rsidRDefault="00FA147E" w:rsidP="00FA147E">
      <w:pPr>
        <w:spacing w:line="259" w:lineRule="auto"/>
        <w:jc w:val="both"/>
        <w:rPr>
          <w:rFonts w:asciiTheme="minorHAnsi" w:hAnsiTheme="minorHAnsi" w:cstheme="minorBidi"/>
          <w:lang w:val="en-US"/>
        </w:rPr>
      </w:pPr>
    </w:p>
    <w:tbl>
      <w:tblPr>
        <w:tblStyle w:val="Tabelraster"/>
        <w:tblW w:w="0" w:type="auto"/>
        <w:tblLook w:val="04A0" w:firstRow="1" w:lastRow="0" w:firstColumn="1" w:lastColumn="0" w:noHBand="0" w:noVBand="1"/>
      </w:tblPr>
      <w:tblGrid>
        <w:gridCol w:w="9062"/>
      </w:tblGrid>
      <w:tr w:rsidR="00FA147E" w:rsidRPr="00FA147E" w14:paraId="4A3F69CA" w14:textId="77777777" w:rsidTr="00587564">
        <w:tc>
          <w:tcPr>
            <w:tcW w:w="9062" w:type="dxa"/>
          </w:tcPr>
          <w:p w14:paraId="51948858" w14:textId="77777777" w:rsidR="00FA147E" w:rsidRPr="00FA147E" w:rsidRDefault="00FA147E" w:rsidP="00FA147E">
            <w:pPr>
              <w:jc w:val="both"/>
              <w:rPr>
                <w:rFonts w:ascii="Verdana" w:hAnsi="Verdana" w:cstheme="minorBidi"/>
                <w:sz w:val="20"/>
                <w:szCs w:val="20"/>
                <w:lang w:val="en-GB"/>
              </w:rPr>
            </w:pPr>
            <w:r w:rsidRPr="00FA147E">
              <w:rPr>
                <w:rFonts w:ascii="Verdana" w:hAnsi="Verdana" w:cstheme="minorBidi"/>
                <w:sz w:val="20"/>
                <w:szCs w:val="20"/>
                <w:lang w:val="en-GB"/>
              </w:rPr>
              <w:t>Recommendation 59</w:t>
            </w:r>
          </w:p>
        </w:tc>
      </w:tr>
    </w:tbl>
    <w:p w14:paraId="7DCA51B5" w14:textId="77777777" w:rsidR="00FA147E" w:rsidRPr="00FA147E" w:rsidRDefault="00FA147E" w:rsidP="00FA147E">
      <w:pPr>
        <w:spacing w:line="259" w:lineRule="auto"/>
        <w:jc w:val="both"/>
        <w:rPr>
          <w:rFonts w:ascii="Verdana" w:hAnsi="Verdana" w:cstheme="minorBidi"/>
          <w:sz w:val="20"/>
          <w:szCs w:val="20"/>
          <w:lang w:val="en-GB"/>
        </w:rPr>
      </w:pPr>
    </w:p>
    <w:p w14:paraId="55AD7919" w14:textId="74CEB524" w:rsidR="00FA147E" w:rsidRPr="00FA147E" w:rsidRDefault="00FA147E" w:rsidP="00B4615C">
      <w:pPr>
        <w:spacing w:line="259" w:lineRule="auto"/>
        <w:jc w:val="both"/>
        <w:rPr>
          <w:rFonts w:asciiTheme="minorHAnsi" w:hAnsiTheme="minorHAnsi" w:cstheme="minorBidi"/>
          <w:lang w:val="en-US"/>
        </w:rPr>
      </w:pPr>
      <w:r w:rsidRPr="00FA147E">
        <w:rPr>
          <w:rFonts w:ascii="Verdana" w:eastAsia="Verdana" w:hAnsi="Verdana" w:cs="Verdana"/>
          <w:sz w:val="20"/>
          <w:szCs w:val="20"/>
          <w:lang w:val="en-US"/>
        </w:rPr>
        <w:lastRenderedPageBreak/>
        <w:t xml:space="preserve">The </w:t>
      </w:r>
      <w:r w:rsidR="00B4615C">
        <w:rPr>
          <w:rFonts w:ascii="Verdana" w:eastAsia="Verdana" w:hAnsi="Verdana" w:cs="Verdana"/>
          <w:sz w:val="20"/>
          <w:szCs w:val="20"/>
          <w:lang w:val="en-US"/>
        </w:rPr>
        <w:t>Government</w:t>
      </w:r>
      <w:r w:rsidR="00B4615C" w:rsidRPr="00FA147E">
        <w:rPr>
          <w:rFonts w:ascii="Verdana" w:eastAsia="Verdana" w:hAnsi="Verdana" w:cs="Verdana"/>
          <w:sz w:val="20"/>
          <w:szCs w:val="20"/>
          <w:lang w:val="en-US"/>
        </w:rPr>
        <w:t xml:space="preserve"> </w:t>
      </w:r>
      <w:r w:rsidRPr="00FA147E">
        <w:rPr>
          <w:rFonts w:ascii="Verdana" w:eastAsia="Verdana" w:hAnsi="Verdana" w:cs="Verdana"/>
          <w:sz w:val="20"/>
          <w:szCs w:val="20"/>
          <w:lang w:val="en-US"/>
        </w:rPr>
        <w:t xml:space="preserve">wishes to remove ‘license’ from the recommendation, or to replace ‘Regulate, license </w:t>
      </w:r>
      <w:r w:rsidRPr="00FA147E">
        <w:rPr>
          <w:rFonts w:ascii="Verdana" w:eastAsia="Verdana" w:hAnsi="Verdana" w:cs="Verdana"/>
          <w:i/>
          <w:iCs/>
          <w:sz w:val="20"/>
          <w:szCs w:val="20"/>
          <w:lang w:val="en-US"/>
        </w:rPr>
        <w:t>and</w:t>
      </w:r>
      <w:r w:rsidRPr="00FA147E">
        <w:rPr>
          <w:rFonts w:ascii="Verdana" w:eastAsia="Verdana" w:hAnsi="Verdana" w:cs="Verdana"/>
          <w:sz w:val="20"/>
          <w:szCs w:val="20"/>
          <w:lang w:val="en-US"/>
        </w:rPr>
        <w:t xml:space="preserve"> monitor’ with </w:t>
      </w:r>
      <w:r w:rsidRPr="00FA147E">
        <w:rPr>
          <w:rFonts w:ascii="Verdana" w:eastAsia="Verdana" w:hAnsi="Verdana" w:cs="Verdana"/>
          <w:i/>
          <w:iCs/>
          <w:sz w:val="20"/>
          <w:szCs w:val="20"/>
          <w:lang w:val="en-US"/>
        </w:rPr>
        <w:t>‘</w:t>
      </w:r>
      <w:r w:rsidRPr="00FA147E">
        <w:rPr>
          <w:rFonts w:ascii="Verdana" w:eastAsia="Verdana" w:hAnsi="Verdana" w:cs="Verdana"/>
          <w:sz w:val="20"/>
          <w:szCs w:val="20"/>
          <w:lang w:val="en-US"/>
        </w:rPr>
        <w:t>Regulate, license</w:t>
      </w:r>
      <w:r w:rsidRPr="00FA147E">
        <w:rPr>
          <w:rFonts w:ascii="Verdana" w:eastAsia="Verdana" w:hAnsi="Verdana" w:cs="Verdana"/>
          <w:i/>
          <w:iCs/>
          <w:sz w:val="20"/>
          <w:szCs w:val="20"/>
          <w:lang w:val="en-US"/>
        </w:rPr>
        <w:t xml:space="preserve"> or </w:t>
      </w:r>
      <w:r w:rsidRPr="00FA147E">
        <w:rPr>
          <w:rFonts w:ascii="Verdana" w:eastAsia="Verdana" w:hAnsi="Verdana" w:cs="Verdana"/>
          <w:sz w:val="20"/>
          <w:szCs w:val="20"/>
          <w:lang w:val="en-US"/>
        </w:rPr>
        <w:t>monitor</w:t>
      </w:r>
      <w:r w:rsidRPr="00FA147E">
        <w:rPr>
          <w:rFonts w:ascii="Verdana" w:eastAsia="Verdana" w:hAnsi="Verdana" w:cs="Verdana"/>
          <w:i/>
          <w:iCs/>
          <w:sz w:val="20"/>
          <w:szCs w:val="20"/>
          <w:lang w:val="en-US"/>
        </w:rPr>
        <w:t>’</w:t>
      </w:r>
      <w:r w:rsidRPr="00FA147E">
        <w:rPr>
          <w:rFonts w:ascii="Verdana" w:eastAsia="Verdana" w:hAnsi="Verdana" w:cs="Verdana"/>
          <w:sz w:val="20"/>
          <w:szCs w:val="20"/>
          <w:lang w:val="en-US"/>
        </w:rPr>
        <w:t>, or to change the text in such a way that makes the licensing optional when appropriate. In our view, it is possible t</w:t>
      </w:r>
      <w:r>
        <w:rPr>
          <w:rFonts w:ascii="Verdana" w:eastAsia="Verdana" w:hAnsi="Verdana" w:cs="Verdana"/>
          <w:sz w:val="20"/>
          <w:szCs w:val="20"/>
          <w:lang w:val="en-US"/>
        </w:rPr>
        <w:t>o regulate recruitment agencies</w:t>
      </w:r>
      <w:r w:rsidRPr="00FA147E">
        <w:rPr>
          <w:rFonts w:ascii="Verdana" w:eastAsia="Verdana" w:hAnsi="Verdana" w:cs="Verdana"/>
          <w:sz w:val="20"/>
          <w:szCs w:val="20"/>
          <w:lang w:val="en-US"/>
        </w:rPr>
        <w:t xml:space="preserve"> without a system of licensing. </w:t>
      </w:r>
    </w:p>
    <w:p w14:paraId="7B0BA718" w14:textId="77777777" w:rsidR="00FA147E" w:rsidRPr="00FA147E" w:rsidRDefault="00FA147E" w:rsidP="00FA147E">
      <w:pPr>
        <w:spacing w:line="259" w:lineRule="auto"/>
        <w:jc w:val="both"/>
        <w:rPr>
          <w:rFonts w:asciiTheme="minorHAnsi" w:hAnsiTheme="minorHAnsi" w:cstheme="minorBidi"/>
          <w:lang w:val="en-US"/>
        </w:rPr>
      </w:pPr>
    </w:p>
    <w:p w14:paraId="09163CF5" w14:textId="77777777" w:rsidR="00FA147E" w:rsidRPr="00FA147E" w:rsidRDefault="00FA147E" w:rsidP="00FA147E">
      <w:pPr>
        <w:pBdr>
          <w:top w:val="single" w:sz="4" w:space="1" w:color="auto"/>
          <w:left w:val="single" w:sz="4" w:space="4" w:color="auto"/>
          <w:bottom w:val="single" w:sz="4" w:space="1" w:color="auto"/>
          <w:right w:val="single" w:sz="4" w:space="4" w:color="auto"/>
        </w:pBdr>
        <w:spacing w:line="259" w:lineRule="auto"/>
        <w:jc w:val="both"/>
        <w:rPr>
          <w:rFonts w:ascii="Verdana" w:hAnsi="Verdana" w:cstheme="minorBidi"/>
          <w:sz w:val="20"/>
          <w:szCs w:val="20"/>
          <w:lang w:val="en-GB"/>
        </w:rPr>
      </w:pPr>
      <w:r w:rsidRPr="00FA147E">
        <w:rPr>
          <w:rFonts w:ascii="Verdana" w:hAnsi="Verdana" w:cstheme="minorBidi"/>
          <w:sz w:val="20"/>
          <w:szCs w:val="20"/>
          <w:lang w:val="en-GB"/>
        </w:rPr>
        <w:t xml:space="preserve">Recommendation 60 </w:t>
      </w:r>
    </w:p>
    <w:p w14:paraId="352D3296" w14:textId="77777777" w:rsidR="00FA147E" w:rsidRPr="00FA147E" w:rsidRDefault="00FA147E" w:rsidP="00FA147E">
      <w:pPr>
        <w:spacing w:line="259" w:lineRule="auto"/>
        <w:jc w:val="both"/>
        <w:rPr>
          <w:rFonts w:ascii="Verdana" w:hAnsi="Verdana" w:cstheme="minorBidi"/>
          <w:sz w:val="20"/>
          <w:szCs w:val="20"/>
          <w:lang w:val="en-US"/>
        </w:rPr>
      </w:pPr>
    </w:p>
    <w:p w14:paraId="41DB48F1" w14:textId="359B4E30" w:rsidR="00111131" w:rsidRDefault="00111131" w:rsidP="00500DCF">
      <w:pPr>
        <w:jc w:val="both"/>
        <w:rPr>
          <w:rFonts w:ascii="Verdana" w:hAnsi="Verdana"/>
          <w:sz w:val="20"/>
          <w:szCs w:val="20"/>
          <w:lang w:val="en-US"/>
        </w:rPr>
      </w:pPr>
      <w:r>
        <w:rPr>
          <w:rFonts w:ascii="Verdana" w:hAnsi="Verdana"/>
          <w:sz w:val="20"/>
          <w:szCs w:val="20"/>
          <w:lang w:val="en-US"/>
        </w:rPr>
        <w:t xml:space="preserve">With regard to the heading of the article, in the view of the Government, a dependency between employer and employee is a risk which can be mitigated. Therefore, the </w:t>
      </w:r>
      <w:r w:rsidR="00500DCF">
        <w:rPr>
          <w:rFonts w:ascii="Verdana" w:hAnsi="Verdana"/>
          <w:sz w:val="20"/>
          <w:szCs w:val="20"/>
          <w:lang w:val="en-US"/>
        </w:rPr>
        <w:t>Government</w:t>
      </w:r>
      <w:r>
        <w:rPr>
          <w:rFonts w:ascii="Verdana" w:hAnsi="Verdana"/>
          <w:sz w:val="20"/>
          <w:szCs w:val="20"/>
          <w:lang w:val="en-US"/>
        </w:rPr>
        <w:t xml:space="preserve"> proposes to replace ‘remove’ with mitigate risks of dependency’.</w:t>
      </w:r>
    </w:p>
    <w:p w14:paraId="148A2D8E" w14:textId="77777777" w:rsidR="00111131" w:rsidRDefault="00111131" w:rsidP="00111131">
      <w:pPr>
        <w:jc w:val="both"/>
        <w:rPr>
          <w:rFonts w:ascii="Verdana" w:hAnsi="Verdana"/>
          <w:sz w:val="20"/>
          <w:szCs w:val="20"/>
          <w:lang w:val="en-US"/>
        </w:rPr>
      </w:pPr>
    </w:p>
    <w:p w14:paraId="390C33BA" w14:textId="6FDDD01A" w:rsidR="00111131" w:rsidRDefault="00500DCF" w:rsidP="00500DCF">
      <w:pPr>
        <w:jc w:val="both"/>
        <w:rPr>
          <w:rFonts w:ascii="Verdana" w:hAnsi="Verdana"/>
          <w:sz w:val="20"/>
          <w:szCs w:val="20"/>
          <w:lang w:val="en-US"/>
        </w:rPr>
      </w:pPr>
      <w:r w:rsidRPr="00500DCF">
        <w:rPr>
          <w:rFonts w:ascii="Verdana" w:hAnsi="Verdana"/>
          <w:sz w:val="20"/>
          <w:szCs w:val="20"/>
          <w:lang w:val="en-US"/>
        </w:rPr>
        <w:t xml:space="preserve">Regarding sub b), the </w:t>
      </w:r>
      <w:r>
        <w:rPr>
          <w:rFonts w:ascii="Verdana" w:hAnsi="Verdana"/>
          <w:sz w:val="20"/>
          <w:szCs w:val="20"/>
          <w:lang w:val="en-US"/>
        </w:rPr>
        <w:t>Government</w:t>
      </w:r>
      <w:r w:rsidRPr="00500DCF">
        <w:rPr>
          <w:rFonts w:ascii="Verdana" w:hAnsi="Verdana"/>
          <w:sz w:val="20"/>
          <w:szCs w:val="20"/>
          <w:lang w:val="en-US"/>
        </w:rPr>
        <w:t xml:space="preserve"> proposes to eliminate this paragraph. </w:t>
      </w:r>
      <w:r>
        <w:rPr>
          <w:rFonts w:ascii="Verdana" w:hAnsi="Verdana"/>
          <w:sz w:val="20"/>
          <w:szCs w:val="20"/>
          <w:lang w:val="en-US"/>
        </w:rPr>
        <w:t>In the Netherlands, t</w:t>
      </w:r>
      <w:r w:rsidRPr="00500DCF">
        <w:rPr>
          <w:rFonts w:ascii="Verdana" w:hAnsi="Verdana"/>
          <w:sz w:val="20"/>
          <w:szCs w:val="20"/>
          <w:lang w:val="en-US"/>
        </w:rPr>
        <w:t xml:space="preserve">he aim of the employment permit, with dependency on a specific employer – as regulated in the Aliens Employment Act – is both to avoid competition on </w:t>
      </w:r>
      <w:proofErr w:type="spellStart"/>
      <w:r w:rsidRPr="00500DCF">
        <w:rPr>
          <w:rFonts w:ascii="Verdana" w:hAnsi="Verdana"/>
          <w:sz w:val="20"/>
          <w:szCs w:val="20"/>
          <w:lang w:val="en-US"/>
        </w:rPr>
        <w:t>labour</w:t>
      </w:r>
      <w:proofErr w:type="spellEnd"/>
      <w:r w:rsidRPr="00500DCF">
        <w:rPr>
          <w:rFonts w:ascii="Verdana" w:hAnsi="Verdana"/>
          <w:sz w:val="20"/>
          <w:szCs w:val="20"/>
          <w:lang w:val="en-US"/>
        </w:rPr>
        <w:t xml:space="preserve"> conditions and to protect the rights of </w:t>
      </w:r>
      <w:proofErr w:type="spellStart"/>
      <w:r w:rsidRPr="00500DCF">
        <w:rPr>
          <w:rFonts w:ascii="Verdana" w:hAnsi="Verdana"/>
          <w:sz w:val="20"/>
          <w:szCs w:val="20"/>
          <w:lang w:val="en-US"/>
        </w:rPr>
        <w:t>labour</w:t>
      </w:r>
      <w:proofErr w:type="spellEnd"/>
      <w:r w:rsidRPr="00500DCF">
        <w:rPr>
          <w:rFonts w:ascii="Verdana" w:hAnsi="Verdana"/>
          <w:sz w:val="20"/>
          <w:szCs w:val="20"/>
          <w:lang w:val="en-US"/>
        </w:rPr>
        <w:t xml:space="preserve"> migrants. </w:t>
      </w:r>
      <w:r>
        <w:rPr>
          <w:rFonts w:ascii="Verdana" w:hAnsi="Verdana"/>
          <w:sz w:val="20"/>
          <w:szCs w:val="20"/>
          <w:lang w:val="en-US"/>
        </w:rPr>
        <w:t>Dutch authorities</w:t>
      </w:r>
      <w:r w:rsidRPr="00500DCF">
        <w:rPr>
          <w:rFonts w:ascii="Verdana" w:hAnsi="Verdana"/>
          <w:sz w:val="20"/>
          <w:szCs w:val="20"/>
          <w:lang w:val="en-US"/>
        </w:rPr>
        <w:t xml:space="preserve"> test </w:t>
      </w:r>
      <w:r>
        <w:rPr>
          <w:rFonts w:ascii="Verdana" w:hAnsi="Verdana"/>
          <w:sz w:val="20"/>
          <w:szCs w:val="20"/>
          <w:lang w:val="en-US"/>
        </w:rPr>
        <w:t>whether</w:t>
      </w:r>
      <w:r w:rsidRPr="00500DCF">
        <w:rPr>
          <w:rFonts w:ascii="Verdana" w:hAnsi="Verdana"/>
          <w:sz w:val="20"/>
          <w:szCs w:val="20"/>
          <w:lang w:val="en-US"/>
        </w:rPr>
        <w:t xml:space="preserve"> this employer will offer a salary and other </w:t>
      </w:r>
      <w:proofErr w:type="spellStart"/>
      <w:r w:rsidRPr="00500DCF">
        <w:rPr>
          <w:rFonts w:ascii="Verdana" w:hAnsi="Verdana"/>
          <w:sz w:val="20"/>
          <w:szCs w:val="20"/>
          <w:lang w:val="en-US"/>
        </w:rPr>
        <w:t>labour</w:t>
      </w:r>
      <w:proofErr w:type="spellEnd"/>
      <w:r w:rsidRPr="00500DCF">
        <w:rPr>
          <w:rFonts w:ascii="Verdana" w:hAnsi="Verdana"/>
          <w:sz w:val="20"/>
          <w:szCs w:val="20"/>
          <w:lang w:val="en-US"/>
        </w:rPr>
        <w:t xml:space="preserve"> conditions conform sector </w:t>
      </w:r>
      <w:r>
        <w:rPr>
          <w:rFonts w:ascii="Verdana" w:hAnsi="Verdana"/>
          <w:sz w:val="20"/>
          <w:szCs w:val="20"/>
          <w:lang w:val="en-US"/>
        </w:rPr>
        <w:t xml:space="preserve">specific standards and laws </w:t>
      </w:r>
      <w:r w:rsidRPr="00500DCF">
        <w:rPr>
          <w:rFonts w:ascii="Verdana" w:hAnsi="Verdana"/>
          <w:sz w:val="20"/>
          <w:szCs w:val="20"/>
          <w:lang w:val="en-US"/>
        </w:rPr>
        <w:t xml:space="preserve">and what is conform the </w:t>
      </w:r>
      <w:proofErr w:type="spellStart"/>
      <w:r w:rsidRPr="00500DCF">
        <w:rPr>
          <w:rFonts w:ascii="Verdana" w:hAnsi="Verdana"/>
          <w:sz w:val="20"/>
          <w:szCs w:val="20"/>
          <w:lang w:val="en-US"/>
        </w:rPr>
        <w:t>labour</w:t>
      </w:r>
      <w:proofErr w:type="spellEnd"/>
      <w:r w:rsidRPr="00500DCF">
        <w:rPr>
          <w:rFonts w:ascii="Verdana" w:hAnsi="Verdana"/>
          <w:sz w:val="20"/>
          <w:szCs w:val="20"/>
          <w:lang w:val="en-US"/>
        </w:rPr>
        <w:t xml:space="preserve"> law. The employment permit will be refused </w:t>
      </w:r>
      <w:r>
        <w:rPr>
          <w:rFonts w:ascii="Verdana" w:hAnsi="Verdana"/>
          <w:sz w:val="20"/>
          <w:szCs w:val="20"/>
          <w:lang w:val="en-US"/>
        </w:rPr>
        <w:t>when</w:t>
      </w:r>
      <w:r w:rsidRPr="00500DCF">
        <w:rPr>
          <w:rFonts w:ascii="Verdana" w:hAnsi="Verdana"/>
          <w:sz w:val="20"/>
          <w:szCs w:val="20"/>
          <w:lang w:val="en-US"/>
        </w:rPr>
        <w:t xml:space="preserve"> these conditions are not met. The employment permit will also be refused if the employer has been charged with an administrative fine or an irrevocable criminal conviction because of a violation of the </w:t>
      </w:r>
      <w:proofErr w:type="spellStart"/>
      <w:r w:rsidRPr="00500DCF">
        <w:rPr>
          <w:rFonts w:ascii="Verdana" w:hAnsi="Verdana"/>
          <w:sz w:val="20"/>
          <w:szCs w:val="20"/>
          <w:lang w:val="en-US"/>
        </w:rPr>
        <w:t>labour</w:t>
      </w:r>
      <w:proofErr w:type="spellEnd"/>
      <w:r w:rsidRPr="00500DCF">
        <w:rPr>
          <w:rFonts w:ascii="Verdana" w:hAnsi="Verdana"/>
          <w:sz w:val="20"/>
          <w:szCs w:val="20"/>
          <w:lang w:val="en-US"/>
        </w:rPr>
        <w:t xml:space="preserve"> law. In case of</w:t>
      </w:r>
      <w:r>
        <w:rPr>
          <w:rFonts w:ascii="Verdana" w:hAnsi="Verdana"/>
          <w:sz w:val="20"/>
          <w:szCs w:val="20"/>
          <w:lang w:val="en-US"/>
        </w:rPr>
        <w:t xml:space="preserve"> a</w:t>
      </w:r>
      <w:r w:rsidRPr="00500DCF">
        <w:rPr>
          <w:rFonts w:ascii="Verdana" w:hAnsi="Verdana"/>
          <w:sz w:val="20"/>
          <w:szCs w:val="20"/>
          <w:lang w:val="en-US"/>
        </w:rPr>
        <w:t xml:space="preserve"> preliminary termination of the </w:t>
      </w:r>
      <w:proofErr w:type="spellStart"/>
      <w:r w:rsidRPr="00500DCF">
        <w:rPr>
          <w:rFonts w:ascii="Verdana" w:hAnsi="Verdana"/>
          <w:sz w:val="20"/>
          <w:szCs w:val="20"/>
          <w:lang w:val="en-US"/>
        </w:rPr>
        <w:t>labour</w:t>
      </w:r>
      <w:proofErr w:type="spellEnd"/>
      <w:r w:rsidRPr="00500DCF">
        <w:rPr>
          <w:rFonts w:ascii="Verdana" w:hAnsi="Verdana"/>
          <w:sz w:val="20"/>
          <w:szCs w:val="20"/>
          <w:lang w:val="en-US"/>
        </w:rPr>
        <w:t xml:space="preserve"> contract or unemployment, the residence permit will be withdrawn. The </w:t>
      </w:r>
      <w:proofErr w:type="spellStart"/>
      <w:r w:rsidRPr="00500DCF">
        <w:rPr>
          <w:rFonts w:ascii="Verdana" w:hAnsi="Verdana"/>
          <w:sz w:val="20"/>
          <w:szCs w:val="20"/>
          <w:lang w:val="en-US"/>
        </w:rPr>
        <w:t>labour</w:t>
      </w:r>
      <w:proofErr w:type="spellEnd"/>
      <w:r w:rsidRPr="00500DCF">
        <w:rPr>
          <w:rFonts w:ascii="Verdana" w:hAnsi="Verdana"/>
          <w:sz w:val="20"/>
          <w:szCs w:val="20"/>
          <w:lang w:val="en-US"/>
        </w:rPr>
        <w:t xml:space="preserve"> migrant has the possibility to find a new job within a period of three months.</w:t>
      </w:r>
    </w:p>
    <w:p w14:paraId="2BF5685C" w14:textId="77777777" w:rsidR="00500DCF" w:rsidRPr="00500DCF" w:rsidRDefault="00500DCF" w:rsidP="00111131">
      <w:pPr>
        <w:jc w:val="both"/>
        <w:rPr>
          <w:rFonts w:ascii="Verdana" w:hAnsi="Verdana"/>
          <w:sz w:val="20"/>
          <w:szCs w:val="20"/>
          <w:lang w:val="en-GB"/>
        </w:rPr>
      </w:pPr>
    </w:p>
    <w:p w14:paraId="16D4ECD6" w14:textId="77777777" w:rsidR="00500DCF" w:rsidRDefault="00500DCF" w:rsidP="00500DCF">
      <w:pPr>
        <w:rPr>
          <w:rFonts w:ascii="Verdana" w:hAnsi="Verdana"/>
          <w:sz w:val="20"/>
          <w:szCs w:val="20"/>
          <w:lang w:val="en-US"/>
        </w:rPr>
      </w:pPr>
      <w:r w:rsidRPr="00500DCF">
        <w:rPr>
          <w:rFonts w:ascii="Verdana" w:hAnsi="Verdana"/>
          <w:sz w:val="20"/>
          <w:szCs w:val="20"/>
          <w:lang w:val="en-US"/>
        </w:rPr>
        <w:t xml:space="preserve">With regard to sub c), the </w:t>
      </w:r>
      <w:r>
        <w:rPr>
          <w:rFonts w:ascii="Verdana" w:hAnsi="Verdana"/>
          <w:sz w:val="20"/>
          <w:szCs w:val="20"/>
          <w:lang w:val="en-US"/>
        </w:rPr>
        <w:t>Government</w:t>
      </w:r>
      <w:r w:rsidRPr="00500DCF">
        <w:rPr>
          <w:rFonts w:ascii="Verdana" w:hAnsi="Verdana"/>
          <w:sz w:val="20"/>
          <w:szCs w:val="20"/>
          <w:lang w:val="en-US"/>
        </w:rPr>
        <w:t xml:space="preserve"> suggests rephrasing this paragraph as follows: </w:t>
      </w:r>
    </w:p>
    <w:p w14:paraId="76159F8F" w14:textId="77777777" w:rsidR="00500DCF" w:rsidRDefault="00500DCF" w:rsidP="00500DCF">
      <w:pPr>
        <w:rPr>
          <w:rFonts w:ascii="Verdana" w:hAnsi="Verdana"/>
          <w:sz w:val="20"/>
          <w:szCs w:val="20"/>
          <w:lang w:val="en-US"/>
        </w:rPr>
      </w:pPr>
    </w:p>
    <w:p w14:paraId="39C2757C" w14:textId="66661A8E" w:rsidR="00500DCF" w:rsidRPr="00500DCF" w:rsidRDefault="00500DCF" w:rsidP="00500DCF">
      <w:pPr>
        <w:ind w:left="708"/>
        <w:rPr>
          <w:rFonts w:ascii="Verdana" w:hAnsi="Verdana"/>
          <w:sz w:val="20"/>
          <w:szCs w:val="20"/>
          <w:lang w:val="en-US"/>
        </w:rPr>
      </w:pPr>
      <w:r w:rsidRPr="00500DCF">
        <w:rPr>
          <w:rFonts w:ascii="Verdana" w:hAnsi="Verdana"/>
          <w:sz w:val="20"/>
          <w:szCs w:val="20"/>
          <w:lang w:val="en-US"/>
        </w:rPr>
        <w:t xml:space="preserve">“Enforcing the rights for migrants to seek alternative employers and sectors of employment without seeking their existing employers’ permission or leaving the country.” </w:t>
      </w:r>
    </w:p>
    <w:p w14:paraId="05BA02D8" w14:textId="77777777" w:rsidR="00500DCF" w:rsidRDefault="00500DCF" w:rsidP="00500DCF">
      <w:pPr>
        <w:rPr>
          <w:rFonts w:ascii="Verdana" w:hAnsi="Verdana"/>
          <w:sz w:val="20"/>
          <w:szCs w:val="20"/>
          <w:lang w:val="en-US"/>
        </w:rPr>
      </w:pPr>
    </w:p>
    <w:p w14:paraId="7421DF66" w14:textId="4A32FADB" w:rsidR="00500DCF" w:rsidRPr="00500DCF" w:rsidRDefault="00500DCF" w:rsidP="0034583A">
      <w:pPr>
        <w:jc w:val="both"/>
        <w:rPr>
          <w:rFonts w:ascii="Verdana" w:hAnsi="Verdana"/>
          <w:sz w:val="20"/>
          <w:szCs w:val="20"/>
          <w:lang w:val="en-US"/>
        </w:rPr>
      </w:pPr>
      <w:r w:rsidRPr="00500DCF">
        <w:rPr>
          <w:rFonts w:ascii="Verdana" w:hAnsi="Verdana"/>
          <w:sz w:val="20"/>
          <w:szCs w:val="20"/>
          <w:lang w:val="en-US"/>
        </w:rPr>
        <w:t xml:space="preserve">The risk of dependency on a specific employer and possible vulnerability can be mitigated through other means than discontinuing the use of employer-specific work permits. In the Netherlands, the </w:t>
      </w:r>
      <w:proofErr w:type="spellStart"/>
      <w:r w:rsidRPr="00500DCF">
        <w:rPr>
          <w:rFonts w:ascii="Verdana" w:hAnsi="Verdana"/>
          <w:sz w:val="20"/>
          <w:szCs w:val="20"/>
          <w:lang w:val="en-US"/>
        </w:rPr>
        <w:t>labour</w:t>
      </w:r>
      <w:proofErr w:type="spellEnd"/>
      <w:r w:rsidRPr="00500DCF">
        <w:rPr>
          <w:rFonts w:ascii="Verdana" w:hAnsi="Verdana"/>
          <w:sz w:val="20"/>
          <w:szCs w:val="20"/>
          <w:lang w:val="en-US"/>
        </w:rPr>
        <w:t xml:space="preserve"> migrant has the possibility to change jobs, and, as mentioned above, in case of preliminary termination resulting in the withdrawal of her residence permit, she is given a period of three months to find new employment. Furthermore, a </w:t>
      </w:r>
      <w:proofErr w:type="spellStart"/>
      <w:r w:rsidRPr="00500DCF">
        <w:rPr>
          <w:rFonts w:ascii="Verdana" w:hAnsi="Verdana"/>
          <w:sz w:val="20"/>
          <w:szCs w:val="20"/>
          <w:lang w:val="en-US"/>
        </w:rPr>
        <w:t>labour</w:t>
      </w:r>
      <w:proofErr w:type="spellEnd"/>
      <w:r w:rsidRPr="00500DCF">
        <w:rPr>
          <w:rFonts w:ascii="Verdana" w:hAnsi="Verdana"/>
          <w:sz w:val="20"/>
          <w:szCs w:val="20"/>
          <w:lang w:val="en-US"/>
        </w:rPr>
        <w:t xml:space="preserve"> migrant is free on the </w:t>
      </w:r>
      <w:proofErr w:type="spellStart"/>
      <w:r w:rsidRPr="00500DCF">
        <w:rPr>
          <w:rFonts w:ascii="Verdana" w:hAnsi="Verdana"/>
          <w:sz w:val="20"/>
          <w:szCs w:val="20"/>
          <w:lang w:val="en-US"/>
        </w:rPr>
        <w:t>labour</w:t>
      </w:r>
      <w:proofErr w:type="spellEnd"/>
      <w:r w:rsidRPr="00500DCF">
        <w:rPr>
          <w:rFonts w:ascii="Verdana" w:hAnsi="Verdana"/>
          <w:sz w:val="20"/>
          <w:szCs w:val="20"/>
          <w:lang w:val="en-US"/>
        </w:rPr>
        <w:t xml:space="preserve"> market when she has worked in the Netherlands for 5 years, and does not need a residence permit for employment or an employment permit. Additionally, </w:t>
      </w:r>
      <w:r w:rsidR="0034583A">
        <w:rPr>
          <w:rFonts w:ascii="Verdana" w:hAnsi="Verdana"/>
          <w:sz w:val="20"/>
          <w:szCs w:val="20"/>
          <w:lang w:val="en-US"/>
        </w:rPr>
        <w:t>upon</w:t>
      </w:r>
      <w:r w:rsidRPr="00500DCF">
        <w:rPr>
          <w:rFonts w:ascii="Verdana" w:hAnsi="Verdana"/>
          <w:sz w:val="20"/>
          <w:szCs w:val="20"/>
          <w:lang w:val="en-US"/>
        </w:rPr>
        <w:t xml:space="preserve"> the slightest indication of human trafficking the supposed victim has access to assistance and shelter and can apply for a residence </w:t>
      </w:r>
      <w:r w:rsidR="0034583A">
        <w:rPr>
          <w:rFonts w:ascii="Verdana" w:hAnsi="Verdana"/>
          <w:sz w:val="20"/>
          <w:szCs w:val="20"/>
          <w:lang w:val="en-US"/>
        </w:rPr>
        <w:t>permit on humanitarian grounds</w:t>
      </w:r>
      <w:r w:rsidRPr="00500DCF">
        <w:rPr>
          <w:rFonts w:ascii="Verdana" w:hAnsi="Verdana"/>
          <w:sz w:val="20"/>
          <w:szCs w:val="20"/>
          <w:lang w:val="en-US"/>
        </w:rPr>
        <w:t>.</w:t>
      </w:r>
    </w:p>
    <w:p w14:paraId="4CFAD095" w14:textId="76338969" w:rsidR="00500DCF" w:rsidRPr="00500DCF" w:rsidRDefault="00500DCF" w:rsidP="008C36F1">
      <w:pPr>
        <w:rPr>
          <w:rFonts w:ascii="Verdana" w:hAnsi="Verdana"/>
          <w:sz w:val="20"/>
          <w:szCs w:val="20"/>
          <w:lang w:val="en-US"/>
        </w:rPr>
      </w:pPr>
      <w:bookmarkStart w:id="0" w:name="_GoBack"/>
      <w:bookmarkEnd w:id="0"/>
    </w:p>
    <w:p w14:paraId="18EE2FC0" w14:textId="77777777" w:rsidR="00500DCF" w:rsidRPr="00500DCF" w:rsidRDefault="00500DCF" w:rsidP="00500DCF">
      <w:pPr>
        <w:rPr>
          <w:rFonts w:ascii="Times New Roman" w:hAnsi="Times New Roman" w:cs="Times New Roman"/>
          <w:sz w:val="24"/>
          <w:szCs w:val="24"/>
          <w:lang w:val="en-GB" w:eastAsia="nl-NL"/>
        </w:rPr>
      </w:pPr>
    </w:p>
    <w:p w14:paraId="44E2F639" w14:textId="77777777" w:rsidR="00FA147E" w:rsidRPr="00FA147E" w:rsidRDefault="00FA147E" w:rsidP="00FA147E">
      <w:pPr>
        <w:pBdr>
          <w:top w:val="single" w:sz="4" w:space="1" w:color="auto"/>
          <w:left w:val="single" w:sz="4" w:space="4" w:color="auto"/>
          <w:bottom w:val="single" w:sz="4" w:space="1" w:color="auto"/>
          <w:right w:val="single" w:sz="4" w:space="4" w:color="auto"/>
        </w:pBdr>
        <w:spacing w:line="259" w:lineRule="auto"/>
        <w:jc w:val="both"/>
        <w:rPr>
          <w:rFonts w:ascii="Verdana" w:hAnsi="Verdana" w:cstheme="minorBidi"/>
          <w:sz w:val="20"/>
          <w:szCs w:val="20"/>
          <w:lang w:val="en-GB"/>
        </w:rPr>
      </w:pPr>
      <w:r w:rsidRPr="00FA147E">
        <w:rPr>
          <w:rFonts w:ascii="Verdana" w:hAnsi="Verdana" w:cstheme="minorBidi"/>
          <w:sz w:val="20"/>
          <w:szCs w:val="20"/>
          <w:lang w:val="en-GB"/>
        </w:rPr>
        <w:t>Recommendation 61d</w:t>
      </w:r>
    </w:p>
    <w:p w14:paraId="520CCE29" w14:textId="77777777" w:rsidR="00FA147E" w:rsidRPr="00FA147E" w:rsidRDefault="00FA147E" w:rsidP="00FA147E">
      <w:pPr>
        <w:spacing w:line="259" w:lineRule="auto"/>
        <w:jc w:val="both"/>
        <w:rPr>
          <w:rFonts w:ascii="Verdana" w:hAnsi="Verdana" w:cstheme="minorBidi"/>
          <w:sz w:val="20"/>
          <w:szCs w:val="20"/>
          <w:lang w:val="en-US"/>
        </w:rPr>
      </w:pPr>
    </w:p>
    <w:p w14:paraId="504DD27C" w14:textId="34AD3268" w:rsidR="00FA147E" w:rsidRPr="00FA147E" w:rsidRDefault="00FA147E" w:rsidP="00B070B6">
      <w:pPr>
        <w:spacing w:line="259" w:lineRule="auto"/>
        <w:jc w:val="both"/>
        <w:rPr>
          <w:rFonts w:ascii="Verdana" w:hAnsi="Verdana" w:cstheme="minorBidi"/>
          <w:sz w:val="20"/>
          <w:szCs w:val="20"/>
          <w:lang w:val="en-US"/>
        </w:rPr>
      </w:pPr>
      <w:r w:rsidRPr="00FA147E">
        <w:rPr>
          <w:rFonts w:ascii="Verdana" w:hAnsi="Verdana" w:cstheme="minorBidi"/>
          <w:sz w:val="20"/>
          <w:szCs w:val="20"/>
          <w:lang w:val="en-US"/>
        </w:rPr>
        <w:t xml:space="preserve">The </w:t>
      </w:r>
      <w:r w:rsidR="002B3720" w:rsidRPr="002B3720">
        <w:rPr>
          <w:rFonts w:ascii="Verdana" w:hAnsi="Verdana" w:cstheme="minorBidi"/>
          <w:sz w:val="20"/>
          <w:szCs w:val="20"/>
          <w:lang w:val="en-US"/>
        </w:rPr>
        <w:t>Government</w:t>
      </w:r>
      <w:r w:rsidR="002B3720">
        <w:rPr>
          <w:rFonts w:ascii="Verdana" w:hAnsi="Verdana" w:cstheme="minorBidi"/>
          <w:sz w:val="20"/>
          <w:szCs w:val="20"/>
          <w:lang w:val="en-US"/>
        </w:rPr>
        <w:t xml:space="preserve"> </w:t>
      </w:r>
      <w:r w:rsidRPr="00FA147E">
        <w:rPr>
          <w:rFonts w:ascii="Verdana" w:hAnsi="Verdana" w:cstheme="minorBidi"/>
          <w:sz w:val="20"/>
          <w:szCs w:val="20"/>
          <w:lang w:val="en-US"/>
        </w:rPr>
        <w:t xml:space="preserve">proposes to use ‘mitigate consequences of dependency’ instead of ‘remove any dependency’. </w:t>
      </w:r>
      <w:r w:rsidR="00B070B6">
        <w:rPr>
          <w:rFonts w:ascii="Verdana" w:hAnsi="Verdana" w:cstheme="minorBidi"/>
          <w:sz w:val="20"/>
          <w:szCs w:val="20"/>
          <w:lang w:val="en-US"/>
        </w:rPr>
        <w:t xml:space="preserve">In cases of family reunification the Government stresses the inherent dependency between family members, this does however not mean that migrant women should not be able to apply for independent residence permits or other visa. </w:t>
      </w:r>
      <w:r w:rsidRPr="00FA147E">
        <w:rPr>
          <w:rFonts w:ascii="Verdana" w:hAnsi="Verdana" w:cstheme="minorBidi"/>
          <w:sz w:val="20"/>
          <w:szCs w:val="20"/>
          <w:lang w:val="en-US"/>
        </w:rPr>
        <w:t>Some of the safeguards the Netherlands has installed, for example, is that if the marriage ends within five years as a result of domestic violence independent, residence is granted on humanitarian grounds. Additionally, migrant women with contingent resi</w:t>
      </w:r>
      <w:r w:rsidR="00B070B6">
        <w:rPr>
          <w:rFonts w:ascii="Verdana" w:hAnsi="Verdana" w:cstheme="minorBidi"/>
          <w:sz w:val="20"/>
          <w:szCs w:val="20"/>
          <w:lang w:val="en-US"/>
        </w:rPr>
        <w:t>dence</w:t>
      </w:r>
      <w:r w:rsidRPr="00FA147E">
        <w:rPr>
          <w:rFonts w:ascii="Verdana" w:hAnsi="Verdana" w:cstheme="minorBidi"/>
          <w:sz w:val="20"/>
          <w:szCs w:val="20"/>
          <w:lang w:val="en-US"/>
        </w:rPr>
        <w:t xml:space="preserve"> on the basis of their marriage can apply for independent residence after five years. </w:t>
      </w:r>
    </w:p>
    <w:p w14:paraId="5490C5D9" w14:textId="77777777" w:rsidR="00FA147E" w:rsidRPr="00FA147E" w:rsidRDefault="00FA147E" w:rsidP="00FA147E">
      <w:pPr>
        <w:spacing w:line="259" w:lineRule="auto"/>
        <w:jc w:val="both"/>
        <w:rPr>
          <w:rFonts w:ascii="Verdana" w:hAnsi="Verdana" w:cstheme="minorBidi"/>
          <w:sz w:val="20"/>
          <w:szCs w:val="20"/>
          <w:lang w:val="en-GB"/>
        </w:rPr>
      </w:pPr>
    </w:p>
    <w:p w14:paraId="5102F7C3" w14:textId="77777777" w:rsidR="00FA147E" w:rsidRPr="00FA147E" w:rsidRDefault="00FA147E" w:rsidP="00FA147E">
      <w:pPr>
        <w:pBdr>
          <w:top w:val="single" w:sz="4" w:space="1" w:color="auto"/>
          <w:left w:val="single" w:sz="4" w:space="4" w:color="auto"/>
          <w:bottom w:val="single" w:sz="4" w:space="1" w:color="auto"/>
          <w:right w:val="single" w:sz="4" w:space="4" w:color="auto"/>
        </w:pBdr>
        <w:spacing w:line="259" w:lineRule="auto"/>
        <w:jc w:val="both"/>
        <w:rPr>
          <w:rFonts w:ascii="Verdana" w:eastAsia="Calibri" w:hAnsi="Verdana" w:cs="Arial"/>
          <w:color w:val="222222"/>
          <w:sz w:val="20"/>
          <w:szCs w:val="16"/>
          <w:lang w:val="en"/>
        </w:rPr>
      </w:pPr>
      <w:r w:rsidRPr="00FA147E">
        <w:rPr>
          <w:rFonts w:ascii="Verdana" w:hAnsi="Verdana" w:cstheme="minorBidi"/>
          <w:sz w:val="20"/>
          <w:szCs w:val="20"/>
          <w:lang w:val="en-GB"/>
        </w:rPr>
        <w:t>Recommendation 76</w:t>
      </w:r>
    </w:p>
    <w:p w14:paraId="79E7DD30" w14:textId="77777777" w:rsidR="00FA147E" w:rsidRDefault="00FA147E" w:rsidP="00FA147E">
      <w:pPr>
        <w:jc w:val="both"/>
        <w:rPr>
          <w:rFonts w:ascii="Verdana" w:eastAsia="Verdana" w:hAnsi="Verdana" w:cs="Verdana"/>
          <w:color w:val="222222"/>
          <w:sz w:val="20"/>
          <w:szCs w:val="20"/>
          <w:lang w:val="en"/>
        </w:rPr>
      </w:pPr>
    </w:p>
    <w:p w14:paraId="74EE5CA0" w14:textId="5316D1B3" w:rsidR="00A96A72" w:rsidRDefault="00A96A72" w:rsidP="00A96A72">
      <w:pPr>
        <w:jc w:val="both"/>
        <w:rPr>
          <w:rFonts w:ascii="Verdana" w:eastAsia="Verdana" w:hAnsi="Verdana" w:cs="Verdana"/>
          <w:color w:val="222222"/>
          <w:sz w:val="20"/>
          <w:szCs w:val="20"/>
          <w:lang w:val="en-GB"/>
        </w:rPr>
      </w:pPr>
      <w:r w:rsidRPr="00A96A72">
        <w:rPr>
          <w:rFonts w:ascii="Verdana" w:eastAsia="Verdana" w:hAnsi="Verdana" w:cs="Verdana"/>
          <w:color w:val="222222"/>
          <w:sz w:val="20"/>
          <w:szCs w:val="20"/>
          <w:lang w:val="en-GB"/>
        </w:rPr>
        <w:lastRenderedPageBreak/>
        <w:t xml:space="preserve">The </w:t>
      </w:r>
      <w:r>
        <w:rPr>
          <w:rFonts w:ascii="Verdana" w:eastAsia="Verdana" w:hAnsi="Verdana" w:cs="Verdana"/>
          <w:color w:val="222222"/>
          <w:sz w:val="20"/>
          <w:szCs w:val="20"/>
          <w:lang w:val="en-GB"/>
        </w:rPr>
        <w:t>Government</w:t>
      </w:r>
      <w:r w:rsidRPr="00A96A72">
        <w:rPr>
          <w:rFonts w:ascii="Verdana" w:eastAsia="Verdana" w:hAnsi="Verdana" w:cs="Verdana"/>
          <w:color w:val="222222"/>
          <w:sz w:val="20"/>
          <w:szCs w:val="20"/>
          <w:lang w:val="en-GB"/>
        </w:rPr>
        <w:t xml:space="preserve"> believes that there should be a balance between the prosecution of perpetrators and the assistance and care for victims. </w:t>
      </w:r>
      <w:r>
        <w:rPr>
          <w:rFonts w:ascii="Verdana" w:eastAsia="Verdana" w:hAnsi="Verdana" w:cs="Verdana"/>
          <w:color w:val="222222"/>
          <w:sz w:val="20"/>
          <w:szCs w:val="20"/>
          <w:lang w:val="en-GB"/>
        </w:rPr>
        <w:t>In the Netherlands t</w:t>
      </w:r>
      <w:r w:rsidRPr="00A96A72">
        <w:rPr>
          <w:rFonts w:ascii="Verdana" w:eastAsia="Verdana" w:hAnsi="Verdana" w:cs="Verdana"/>
          <w:color w:val="222222"/>
          <w:sz w:val="20"/>
          <w:szCs w:val="20"/>
          <w:lang w:val="en-GB"/>
        </w:rPr>
        <w:t xml:space="preserve">his balance is maintained as follows: even the slightest indication of </w:t>
      </w:r>
      <w:r>
        <w:rPr>
          <w:rFonts w:ascii="Verdana" w:eastAsia="Verdana" w:hAnsi="Verdana" w:cs="Verdana"/>
          <w:color w:val="222222"/>
          <w:sz w:val="20"/>
          <w:szCs w:val="20"/>
          <w:lang w:val="en-GB"/>
        </w:rPr>
        <w:t>trafficking in human beings</w:t>
      </w:r>
      <w:r w:rsidRPr="00A96A72">
        <w:rPr>
          <w:rFonts w:ascii="Verdana" w:eastAsia="Verdana" w:hAnsi="Verdana" w:cs="Verdana"/>
          <w:color w:val="222222"/>
          <w:sz w:val="20"/>
          <w:szCs w:val="20"/>
          <w:lang w:val="en-GB"/>
        </w:rPr>
        <w:t xml:space="preserve"> gives foreign victims access to specialised shelter and assistance. During the three-month reflection period, as part of the regulation for victims of trafficking in human beings, possible victims get assistance without having to cooperate with the investigation. After this period, or sooner, possible victims of </w:t>
      </w:r>
      <w:r>
        <w:rPr>
          <w:rFonts w:ascii="Verdana" w:eastAsia="Verdana" w:hAnsi="Verdana" w:cs="Verdana"/>
          <w:color w:val="222222"/>
          <w:sz w:val="20"/>
          <w:szCs w:val="20"/>
          <w:lang w:val="en-GB"/>
        </w:rPr>
        <w:t>trafficking</w:t>
      </w:r>
      <w:r w:rsidRPr="00A96A72">
        <w:rPr>
          <w:rFonts w:ascii="Verdana" w:eastAsia="Verdana" w:hAnsi="Verdana" w:cs="Verdana"/>
          <w:color w:val="222222"/>
          <w:sz w:val="20"/>
          <w:szCs w:val="20"/>
          <w:lang w:val="en-GB"/>
        </w:rPr>
        <w:t xml:space="preserve"> can get a residence permit for trafficking in human beings. When a victim of human trafficking is not able to cooperate with the investigation and prosecution because of trauma, a psychological or physical condition or security risks (i.e. the conditions of the so-called ‘</w:t>
      </w:r>
      <w:proofErr w:type="spellStart"/>
      <w:r w:rsidRPr="00A96A72">
        <w:rPr>
          <w:rFonts w:ascii="Verdana" w:eastAsia="Verdana" w:hAnsi="Verdana" w:cs="Verdana"/>
          <w:color w:val="222222"/>
          <w:sz w:val="20"/>
          <w:szCs w:val="20"/>
          <w:lang w:val="en-GB"/>
        </w:rPr>
        <w:t>schrijnend</w:t>
      </w:r>
      <w:proofErr w:type="spellEnd"/>
      <w:r w:rsidRPr="00A96A72">
        <w:rPr>
          <w:rFonts w:ascii="Verdana" w:eastAsia="Verdana" w:hAnsi="Verdana" w:cs="Verdana"/>
          <w:color w:val="222222"/>
          <w:sz w:val="20"/>
          <w:szCs w:val="20"/>
          <w:lang w:val="en-GB"/>
        </w:rPr>
        <w:t xml:space="preserve"> pad’), the victim will receive a temporary residence permit for a year. The non-ability to cooperate has to be substantiated by declarations of the police and/or a medical practitioner. </w:t>
      </w:r>
    </w:p>
    <w:p w14:paraId="1DDFA632" w14:textId="77777777" w:rsidR="00A96A72" w:rsidRPr="00A96A72" w:rsidRDefault="00A96A72" w:rsidP="00A96A72">
      <w:pPr>
        <w:jc w:val="both"/>
        <w:rPr>
          <w:rFonts w:ascii="Verdana" w:eastAsia="Verdana" w:hAnsi="Verdana" w:cs="Verdana"/>
          <w:color w:val="222222"/>
          <w:sz w:val="20"/>
          <w:szCs w:val="20"/>
          <w:lang w:val="en-GB"/>
        </w:rPr>
      </w:pPr>
    </w:p>
    <w:p w14:paraId="5F5231E2" w14:textId="20E0E061" w:rsidR="00A96A72" w:rsidRDefault="00A96A72" w:rsidP="00A96A72">
      <w:pPr>
        <w:jc w:val="both"/>
        <w:rPr>
          <w:rFonts w:ascii="Verdana" w:eastAsia="Verdana" w:hAnsi="Verdana" w:cs="Verdana"/>
          <w:color w:val="222222"/>
          <w:sz w:val="20"/>
          <w:szCs w:val="20"/>
          <w:lang w:val="en-GB"/>
        </w:rPr>
      </w:pPr>
      <w:r w:rsidRPr="00A96A72">
        <w:rPr>
          <w:rFonts w:ascii="Verdana" w:eastAsia="Verdana" w:hAnsi="Verdana" w:cs="Verdana"/>
          <w:color w:val="222222"/>
          <w:sz w:val="20"/>
          <w:szCs w:val="20"/>
          <w:lang w:val="en-GB"/>
        </w:rPr>
        <w:t xml:space="preserve">In </w:t>
      </w:r>
      <w:r>
        <w:rPr>
          <w:rFonts w:ascii="Verdana" w:eastAsia="Verdana" w:hAnsi="Verdana" w:cs="Verdana"/>
          <w:color w:val="222222"/>
          <w:sz w:val="20"/>
          <w:szCs w:val="20"/>
          <w:lang w:val="en-GB"/>
        </w:rPr>
        <w:t>the Government’s</w:t>
      </w:r>
      <w:r w:rsidRPr="00A96A72">
        <w:rPr>
          <w:rFonts w:ascii="Verdana" w:eastAsia="Verdana" w:hAnsi="Verdana" w:cs="Verdana"/>
          <w:color w:val="222222"/>
          <w:sz w:val="20"/>
          <w:szCs w:val="20"/>
          <w:lang w:val="en-GB"/>
        </w:rPr>
        <w:t xml:space="preserve"> view, the essence of this recommendation is that proper care and safeguards are in place. This does not exclude conditionality of the residence permits on law enforcement cooperation. Furthermore, proper care and safeguards do not under all circumstances require the duration of a permit of at least one year, this will be dependent on the situation. The </w:t>
      </w:r>
      <w:r>
        <w:rPr>
          <w:rFonts w:ascii="Verdana" w:eastAsia="Verdana" w:hAnsi="Verdana" w:cs="Verdana"/>
          <w:color w:val="222222"/>
          <w:sz w:val="20"/>
          <w:szCs w:val="20"/>
          <w:lang w:val="en-GB"/>
        </w:rPr>
        <w:t>Government</w:t>
      </w:r>
      <w:r w:rsidRPr="00A96A72">
        <w:rPr>
          <w:rFonts w:ascii="Verdana" w:eastAsia="Verdana" w:hAnsi="Verdana" w:cs="Verdana"/>
          <w:color w:val="222222"/>
          <w:sz w:val="20"/>
          <w:szCs w:val="20"/>
          <w:lang w:val="en-GB"/>
        </w:rPr>
        <w:t xml:space="preserve"> therefore proposes the following phrasing: </w:t>
      </w:r>
    </w:p>
    <w:p w14:paraId="775F3494" w14:textId="77777777" w:rsidR="00A96A72" w:rsidRPr="00A96A72" w:rsidRDefault="00A96A72" w:rsidP="00A96A72">
      <w:pPr>
        <w:jc w:val="both"/>
        <w:rPr>
          <w:rFonts w:ascii="Verdana" w:eastAsia="Verdana" w:hAnsi="Verdana" w:cs="Verdana"/>
          <w:color w:val="222222"/>
          <w:sz w:val="20"/>
          <w:szCs w:val="20"/>
          <w:lang w:val="en-GB"/>
        </w:rPr>
      </w:pPr>
    </w:p>
    <w:p w14:paraId="6F508DEE" w14:textId="7B3E1D85" w:rsidR="00A96A72" w:rsidRPr="00A96A72" w:rsidRDefault="00A96A72" w:rsidP="003530F4">
      <w:pPr>
        <w:ind w:left="708"/>
        <w:jc w:val="both"/>
        <w:rPr>
          <w:rFonts w:ascii="Verdana" w:eastAsia="Verdana" w:hAnsi="Verdana" w:cs="Verdana"/>
          <w:color w:val="222222"/>
          <w:sz w:val="20"/>
          <w:szCs w:val="20"/>
          <w:lang w:val="en-GB"/>
        </w:rPr>
      </w:pPr>
      <w:r w:rsidRPr="00A96A72">
        <w:rPr>
          <w:rFonts w:ascii="Verdana" w:eastAsia="Verdana" w:hAnsi="Verdana" w:cs="Verdana"/>
          <w:color w:val="222222"/>
          <w:sz w:val="20"/>
          <w:szCs w:val="20"/>
          <w:lang w:val="en-GB"/>
        </w:rPr>
        <w:t xml:space="preserve">“Grant temporary or permanent residence permits to enable trafficked women to remain in the country in which they have been identified as a victim, considering humanitarian and compassionate factors, and to take part in protective and rehabilitation measures. During this period, victims should be granted access to accommodation, welfare benefits, authorization to work, vocational training, medical care and </w:t>
      </w:r>
      <w:proofErr w:type="spellStart"/>
      <w:r w:rsidRPr="00A96A72">
        <w:rPr>
          <w:rFonts w:ascii="Verdana" w:eastAsia="Verdana" w:hAnsi="Verdana" w:cs="Verdana"/>
          <w:color w:val="222222"/>
          <w:sz w:val="20"/>
          <w:szCs w:val="20"/>
          <w:lang w:val="en-GB"/>
        </w:rPr>
        <w:t>counseling</w:t>
      </w:r>
      <w:proofErr w:type="spellEnd"/>
      <w:r w:rsidRPr="00A96A72">
        <w:rPr>
          <w:rFonts w:ascii="Verdana" w:eastAsia="Verdana" w:hAnsi="Verdana" w:cs="Verdana"/>
          <w:color w:val="222222"/>
          <w:sz w:val="20"/>
          <w:szCs w:val="20"/>
          <w:lang w:val="en-GB"/>
        </w:rPr>
        <w:t xml:space="preserve">, to enable them to begin a process </w:t>
      </w:r>
      <w:r w:rsidR="003530F4">
        <w:rPr>
          <w:rFonts w:ascii="Verdana" w:eastAsia="Verdana" w:hAnsi="Verdana" w:cs="Verdana"/>
          <w:color w:val="222222"/>
          <w:sz w:val="20"/>
          <w:szCs w:val="20"/>
          <w:lang w:val="en-GB"/>
        </w:rPr>
        <w:t>of recovery and reintegration.”</w:t>
      </w:r>
    </w:p>
    <w:p w14:paraId="1168CB07" w14:textId="5B3AAC3C" w:rsidR="00FA147E" w:rsidRPr="00A96A72" w:rsidRDefault="00FA147E" w:rsidP="00A96A72">
      <w:pPr>
        <w:jc w:val="both"/>
        <w:rPr>
          <w:rFonts w:asciiTheme="minorHAnsi" w:hAnsiTheme="minorHAnsi" w:cstheme="minorBidi"/>
          <w:lang w:val="en-GB"/>
        </w:rPr>
      </w:pPr>
    </w:p>
    <w:sectPr w:rsidR="00FA147E" w:rsidRPr="00A96A7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A3A23" w14:textId="77777777" w:rsidR="00B070B6" w:rsidRDefault="00B070B6" w:rsidP="00B070B6">
      <w:r>
        <w:separator/>
      </w:r>
    </w:p>
  </w:endnote>
  <w:endnote w:type="continuationSeparator" w:id="0">
    <w:p w14:paraId="12180FB2" w14:textId="77777777" w:rsidR="00B070B6" w:rsidRDefault="00B070B6" w:rsidP="00B0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810236"/>
      <w:docPartObj>
        <w:docPartGallery w:val="Page Numbers (Bottom of Page)"/>
        <w:docPartUnique/>
      </w:docPartObj>
    </w:sdtPr>
    <w:sdtEndPr/>
    <w:sdtContent>
      <w:p w14:paraId="33410178" w14:textId="436C082E" w:rsidR="00B070B6" w:rsidRDefault="00B070B6">
        <w:pPr>
          <w:pStyle w:val="Voettekst"/>
          <w:jc w:val="right"/>
        </w:pPr>
        <w:r>
          <w:fldChar w:fldCharType="begin"/>
        </w:r>
        <w:r>
          <w:instrText>PAGE   \* MERGEFORMAT</w:instrText>
        </w:r>
        <w:r>
          <w:fldChar w:fldCharType="separate"/>
        </w:r>
        <w:r w:rsidR="0034583A">
          <w:rPr>
            <w:noProof/>
          </w:rPr>
          <w:t>2</w:t>
        </w:r>
        <w:r>
          <w:fldChar w:fldCharType="end"/>
        </w:r>
      </w:p>
    </w:sdtContent>
  </w:sdt>
  <w:p w14:paraId="673F3E67" w14:textId="77777777" w:rsidR="00B070B6" w:rsidRDefault="00B070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D9B41" w14:textId="77777777" w:rsidR="00B070B6" w:rsidRDefault="00B070B6" w:rsidP="00B070B6">
      <w:r>
        <w:separator/>
      </w:r>
    </w:p>
  </w:footnote>
  <w:footnote w:type="continuationSeparator" w:id="0">
    <w:p w14:paraId="731CA22F" w14:textId="77777777" w:rsidR="00B070B6" w:rsidRDefault="00B070B6" w:rsidP="00B07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7E"/>
    <w:rsid w:val="000A391C"/>
    <w:rsid w:val="000B4F9F"/>
    <w:rsid w:val="000D6A74"/>
    <w:rsid w:val="000E5384"/>
    <w:rsid w:val="00111131"/>
    <w:rsid w:val="002B3720"/>
    <w:rsid w:val="00322B01"/>
    <w:rsid w:val="0034583A"/>
    <w:rsid w:val="003530F4"/>
    <w:rsid w:val="00354DCD"/>
    <w:rsid w:val="00500DCF"/>
    <w:rsid w:val="0061399C"/>
    <w:rsid w:val="007C5CBD"/>
    <w:rsid w:val="008C36F1"/>
    <w:rsid w:val="00986FC7"/>
    <w:rsid w:val="009F5AA9"/>
    <w:rsid w:val="00A96A72"/>
    <w:rsid w:val="00AA2833"/>
    <w:rsid w:val="00B070B6"/>
    <w:rsid w:val="00B4615C"/>
    <w:rsid w:val="00D028CC"/>
    <w:rsid w:val="00ED4F4A"/>
    <w:rsid w:val="00EF3E2A"/>
    <w:rsid w:val="00FA147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E6BF"/>
  <w15:chartTrackingRefBased/>
  <w15:docId w15:val="{0A354F15-F8EA-4E24-BC42-7625176D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147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A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A147E"/>
    <w:rPr>
      <w:sz w:val="16"/>
      <w:szCs w:val="16"/>
    </w:rPr>
  </w:style>
  <w:style w:type="paragraph" w:styleId="Tekstopmerking">
    <w:name w:val="annotation text"/>
    <w:basedOn w:val="Standaard"/>
    <w:link w:val="TekstopmerkingChar"/>
    <w:uiPriority w:val="99"/>
    <w:semiHidden/>
    <w:unhideWhenUsed/>
    <w:rsid w:val="00FA147E"/>
    <w:pPr>
      <w:spacing w:after="16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FA147E"/>
    <w:rPr>
      <w:sz w:val="20"/>
      <w:szCs w:val="20"/>
    </w:rPr>
  </w:style>
  <w:style w:type="paragraph" w:styleId="Ballontekst">
    <w:name w:val="Balloon Text"/>
    <w:basedOn w:val="Standaard"/>
    <w:link w:val="BallontekstChar"/>
    <w:uiPriority w:val="99"/>
    <w:semiHidden/>
    <w:unhideWhenUsed/>
    <w:rsid w:val="00FA14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147E"/>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FA147E"/>
    <w:pPr>
      <w:spacing w:after="0"/>
    </w:pPr>
    <w:rPr>
      <w:rFonts w:ascii="Calibri" w:hAnsi="Calibri" w:cs="Calibri"/>
      <w:b/>
      <w:bCs/>
    </w:rPr>
  </w:style>
  <w:style w:type="character" w:customStyle="1" w:styleId="OnderwerpvanopmerkingChar">
    <w:name w:val="Onderwerp van opmerking Char"/>
    <w:basedOn w:val="TekstopmerkingChar"/>
    <w:link w:val="Onderwerpvanopmerking"/>
    <w:uiPriority w:val="99"/>
    <w:semiHidden/>
    <w:rsid w:val="00FA147E"/>
    <w:rPr>
      <w:rFonts w:ascii="Calibri" w:hAnsi="Calibri" w:cs="Calibri"/>
      <w:b/>
      <w:bCs/>
      <w:sz w:val="20"/>
      <w:szCs w:val="20"/>
    </w:rPr>
  </w:style>
  <w:style w:type="paragraph" w:styleId="Koptekst">
    <w:name w:val="header"/>
    <w:basedOn w:val="Standaard"/>
    <w:link w:val="KoptekstChar"/>
    <w:uiPriority w:val="99"/>
    <w:unhideWhenUsed/>
    <w:rsid w:val="00B070B6"/>
    <w:pPr>
      <w:tabs>
        <w:tab w:val="center" w:pos="4536"/>
        <w:tab w:val="right" w:pos="9072"/>
      </w:tabs>
    </w:pPr>
  </w:style>
  <w:style w:type="character" w:customStyle="1" w:styleId="KoptekstChar">
    <w:name w:val="Koptekst Char"/>
    <w:basedOn w:val="Standaardalinea-lettertype"/>
    <w:link w:val="Koptekst"/>
    <w:uiPriority w:val="99"/>
    <w:rsid w:val="00B070B6"/>
    <w:rPr>
      <w:rFonts w:ascii="Calibri" w:hAnsi="Calibri" w:cs="Calibri"/>
    </w:rPr>
  </w:style>
  <w:style w:type="paragraph" w:styleId="Voettekst">
    <w:name w:val="footer"/>
    <w:basedOn w:val="Standaard"/>
    <w:link w:val="VoettekstChar"/>
    <w:uiPriority w:val="99"/>
    <w:unhideWhenUsed/>
    <w:rsid w:val="00B070B6"/>
    <w:pPr>
      <w:tabs>
        <w:tab w:val="center" w:pos="4536"/>
        <w:tab w:val="right" w:pos="9072"/>
      </w:tabs>
    </w:pPr>
  </w:style>
  <w:style w:type="character" w:customStyle="1" w:styleId="VoettekstChar">
    <w:name w:val="Voettekst Char"/>
    <w:basedOn w:val="Standaardalinea-lettertype"/>
    <w:link w:val="Voettekst"/>
    <w:uiPriority w:val="99"/>
    <w:rsid w:val="00B070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1462">
      <w:bodyDiv w:val="1"/>
      <w:marLeft w:val="0"/>
      <w:marRight w:val="0"/>
      <w:marTop w:val="0"/>
      <w:marBottom w:val="0"/>
      <w:divBdr>
        <w:top w:val="none" w:sz="0" w:space="0" w:color="auto"/>
        <w:left w:val="none" w:sz="0" w:space="0" w:color="auto"/>
        <w:bottom w:val="none" w:sz="0" w:space="0" w:color="auto"/>
        <w:right w:val="none" w:sz="0" w:space="0" w:color="auto"/>
      </w:divBdr>
    </w:div>
    <w:div w:id="418449626">
      <w:bodyDiv w:val="1"/>
      <w:marLeft w:val="0"/>
      <w:marRight w:val="0"/>
      <w:marTop w:val="0"/>
      <w:marBottom w:val="0"/>
      <w:divBdr>
        <w:top w:val="none" w:sz="0" w:space="0" w:color="auto"/>
        <w:left w:val="none" w:sz="0" w:space="0" w:color="auto"/>
        <w:bottom w:val="none" w:sz="0" w:space="0" w:color="auto"/>
        <w:right w:val="none" w:sz="0" w:space="0" w:color="auto"/>
      </w:divBdr>
    </w:div>
    <w:div w:id="747188817">
      <w:bodyDiv w:val="1"/>
      <w:marLeft w:val="0"/>
      <w:marRight w:val="0"/>
      <w:marTop w:val="0"/>
      <w:marBottom w:val="0"/>
      <w:divBdr>
        <w:top w:val="none" w:sz="0" w:space="0" w:color="auto"/>
        <w:left w:val="none" w:sz="0" w:space="0" w:color="auto"/>
        <w:bottom w:val="none" w:sz="0" w:space="0" w:color="auto"/>
        <w:right w:val="none" w:sz="0" w:space="0" w:color="auto"/>
      </w:divBdr>
    </w:div>
    <w:div w:id="831264732">
      <w:bodyDiv w:val="1"/>
      <w:marLeft w:val="0"/>
      <w:marRight w:val="0"/>
      <w:marTop w:val="0"/>
      <w:marBottom w:val="0"/>
      <w:divBdr>
        <w:top w:val="none" w:sz="0" w:space="0" w:color="auto"/>
        <w:left w:val="none" w:sz="0" w:space="0" w:color="auto"/>
        <w:bottom w:val="none" w:sz="0" w:space="0" w:color="auto"/>
        <w:right w:val="none" w:sz="0" w:space="0" w:color="auto"/>
      </w:divBdr>
    </w:div>
    <w:div w:id="1738505884">
      <w:bodyDiv w:val="1"/>
      <w:marLeft w:val="0"/>
      <w:marRight w:val="0"/>
      <w:marTop w:val="0"/>
      <w:marBottom w:val="0"/>
      <w:divBdr>
        <w:top w:val="none" w:sz="0" w:space="0" w:color="auto"/>
        <w:left w:val="none" w:sz="0" w:space="0" w:color="auto"/>
        <w:bottom w:val="none" w:sz="0" w:space="0" w:color="auto"/>
        <w:right w:val="none" w:sz="0" w:space="0" w:color="auto"/>
      </w:divBdr>
    </w:div>
    <w:div w:id="1745445776">
      <w:bodyDiv w:val="1"/>
      <w:marLeft w:val="0"/>
      <w:marRight w:val="0"/>
      <w:marTop w:val="0"/>
      <w:marBottom w:val="0"/>
      <w:divBdr>
        <w:top w:val="none" w:sz="0" w:space="0" w:color="auto"/>
        <w:left w:val="none" w:sz="0" w:space="0" w:color="auto"/>
        <w:bottom w:val="none" w:sz="0" w:space="0" w:color="auto"/>
        <w:right w:val="none" w:sz="0" w:space="0" w:color="auto"/>
      </w:divBdr>
    </w:div>
    <w:div w:id="1870020399">
      <w:bodyDiv w:val="1"/>
      <w:marLeft w:val="0"/>
      <w:marRight w:val="0"/>
      <w:marTop w:val="0"/>
      <w:marBottom w:val="0"/>
      <w:divBdr>
        <w:top w:val="none" w:sz="0" w:space="0" w:color="auto"/>
        <w:left w:val="none" w:sz="0" w:space="0" w:color="auto"/>
        <w:bottom w:val="none" w:sz="0" w:space="0" w:color="auto"/>
        <w:right w:val="none" w:sz="0" w:space="0" w:color="auto"/>
      </w:divBdr>
    </w:div>
    <w:div w:id="20474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017108-0342-4810-99D2-E6295DD13CC6}"/>
</file>

<file path=customXml/itemProps2.xml><?xml version="1.0" encoding="utf-8"?>
<ds:datastoreItem xmlns:ds="http://schemas.openxmlformats.org/officeDocument/2006/customXml" ds:itemID="{5A20F49D-D559-46E9-80DB-68CD3A94791F}"/>
</file>

<file path=customXml/itemProps3.xml><?xml version="1.0" encoding="utf-8"?>
<ds:datastoreItem xmlns:ds="http://schemas.openxmlformats.org/officeDocument/2006/customXml" ds:itemID="{120EEAA2-BCF9-4397-80C1-897560A74A93}"/>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6976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Walraven, A.E. van - BD/DRC/GC</dc:creator>
  <cp:keywords/>
  <dc:description/>
  <cp:lastModifiedBy>Zijlstra, mr. E.K. - BD/DWJZ/JZW</cp:lastModifiedBy>
  <cp:revision>19</cp:revision>
  <dcterms:created xsi:type="dcterms:W3CDTF">2020-05-07T13:23:00Z</dcterms:created>
  <dcterms:modified xsi:type="dcterms:W3CDTF">2020-05-08T13:07:00Z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