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9185032"/>
        <w:docPartObj>
          <w:docPartGallery w:val="Cover Pages"/>
          <w:docPartUnique/>
        </w:docPartObj>
      </w:sdtPr>
      <w:sdtEndPr/>
      <w:sdtContent>
        <w:p w:rsidR="00D30620" w:rsidRPr="00CE5343" w:rsidRDefault="006A2B34" w:rsidP="00CE5343">
          <w:pPr>
            <w:jc w:val="center"/>
            <w:rPr>
              <w:sz w:val="26"/>
              <w:szCs w:val="26"/>
              <w:u w:val="single"/>
            </w:rPr>
          </w:pPr>
          <w:sdt>
            <w:sdtPr>
              <w:rPr>
                <w:bCs/>
                <w:caps/>
                <w:color w:val="000000" w:themeColor="text1"/>
                <w:sz w:val="26"/>
                <w:szCs w:val="2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EA5902" w:rsidRPr="00D6096A">
                <w:rPr>
                  <w:bCs/>
                  <w:caps/>
                  <w:color w:val="000000" w:themeColor="text1"/>
                  <w:sz w:val="26"/>
                  <w:szCs w:val="26"/>
                </w:rPr>
                <w:t>Comments on the draft general recommendation on trafficking in women and girls in the context of global migration (TWGCGM)</w:t>
              </w:r>
              <w:r w:rsidR="00822C4E">
                <w:rPr>
                  <w:bCs/>
                  <w:caps/>
                  <w:color w:val="000000" w:themeColor="text1"/>
                  <w:sz w:val="26"/>
                  <w:szCs w:val="26"/>
                </w:rPr>
                <w:t>.</w:t>
              </w:r>
              <w:r w:rsidR="00093160" w:rsidRPr="00D6096A">
                <w:rPr>
                  <w:bCs/>
                  <w:caps/>
                  <w:color w:val="000000" w:themeColor="text1"/>
                  <w:sz w:val="26"/>
                  <w:szCs w:val="26"/>
                </w:rPr>
                <w:t xml:space="preserve"> </w:t>
              </w:r>
              <w:r w:rsidR="00093160" w:rsidRPr="00D6096A">
                <w:rPr>
                  <w:bCs/>
                  <w:caps/>
                  <w:color w:val="000000" w:themeColor="text1"/>
                  <w:sz w:val="26"/>
                  <w:szCs w:val="26"/>
                </w:rPr>
                <w:br/>
                <w:t xml:space="preserve">By peter whitton, </w:t>
              </w:r>
              <w:r w:rsidR="00C44348" w:rsidRPr="00D6096A">
                <w:rPr>
                  <w:bCs/>
                  <w:caps/>
                  <w:color w:val="000000" w:themeColor="text1"/>
                  <w:sz w:val="26"/>
                  <w:szCs w:val="26"/>
                </w:rPr>
                <w:t>LL.B.</w:t>
              </w:r>
              <w:r w:rsidR="00093160" w:rsidRPr="00D6096A">
                <w:rPr>
                  <w:bCs/>
                  <w:caps/>
                  <w:color w:val="000000" w:themeColor="text1"/>
                  <w:sz w:val="26"/>
                  <w:szCs w:val="26"/>
                </w:rPr>
                <w:t xml:space="preserve"> student, international and european law, </w:t>
              </w:r>
              <w:r w:rsidR="008B621B" w:rsidRPr="00D6096A">
                <w:rPr>
                  <w:bCs/>
                  <w:caps/>
                  <w:color w:val="000000" w:themeColor="text1"/>
                  <w:sz w:val="26"/>
                  <w:szCs w:val="26"/>
                </w:rPr>
                <w:t>The Hague</w:t>
              </w:r>
              <w:r w:rsidR="00093160" w:rsidRPr="00D6096A">
                <w:rPr>
                  <w:bCs/>
                  <w:caps/>
                  <w:color w:val="000000" w:themeColor="text1"/>
                  <w:sz w:val="26"/>
                  <w:szCs w:val="26"/>
                </w:rPr>
                <w:t xml:space="preserve"> </w:t>
              </w:r>
              <w:r w:rsidR="00055231">
                <w:rPr>
                  <w:bCs/>
                  <w:caps/>
                  <w:color w:val="000000" w:themeColor="text1"/>
                  <w:sz w:val="26"/>
                  <w:szCs w:val="26"/>
                </w:rPr>
                <w:t>university of applied sciences</w:t>
              </w:r>
              <w:r w:rsidR="00822C4E">
                <w:rPr>
                  <w:bCs/>
                  <w:caps/>
                  <w:color w:val="000000" w:themeColor="text1"/>
                  <w:sz w:val="26"/>
                  <w:szCs w:val="26"/>
                </w:rPr>
                <w:t>.</w:t>
              </w:r>
              <w:r w:rsidR="00EA5902" w:rsidRPr="00D6096A">
                <w:rPr>
                  <w:bCs/>
                  <w:caps/>
                  <w:color w:val="000000" w:themeColor="text1"/>
                  <w:sz w:val="26"/>
                  <w:szCs w:val="26"/>
                </w:rPr>
                <w:br/>
                <w:t>Date: 1</w:t>
              </w:r>
              <w:r w:rsidR="00051FA0">
                <w:rPr>
                  <w:bCs/>
                  <w:caps/>
                  <w:color w:val="000000" w:themeColor="text1"/>
                  <w:sz w:val="26"/>
                  <w:szCs w:val="26"/>
                </w:rPr>
                <w:t>1</w:t>
              </w:r>
              <w:r w:rsidR="00093160" w:rsidRPr="00D6096A">
                <w:rPr>
                  <w:bCs/>
                  <w:caps/>
                  <w:color w:val="000000" w:themeColor="text1"/>
                  <w:sz w:val="26"/>
                  <w:szCs w:val="26"/>
                </w:rPr>
                <w:t xml:space="preserve"> </w:t>
              </w:r>
              <w:r w:rsidR="00EA5902" w:rsidRPr="00D6096A">
                <w:rPr>
                  <w:bCs/>
                  <w:caps/>
                  <w:color w:val="000000" w:themeColor="text1"/>
                  <w:sz w:val="26"/>
                  <w:szCs w:val="26"/>
                </w:rPr>
                <w:t>May</w:t>
              </w:r>
              <w:r w:rsidR="00093160" w:rsidRPr="00D6096A">
                <w:rPr>
                  <w:bCs/>
                  <w:caps/>
                  <w:color w:val="000000" w:themeColor="text1"/>
                  <w:sz w:val="26"/>
                  <w:szCs w:val="26"/>
                </w:rPr>
                <w:t xml:space="preserve"> 2020</w:t>
              </w:r>
            </w:sdtContent>
          </w:sdt>
        </w:p>
      </w:sdtContent>
    </w:sdt>
    <w:p w:rsidR="0034209E" w:rsidRPr="009C4B54" w:rsidRDefault="0034209E" w:rsidP="0026642B">
      <w:pPr>
        <w:pStyle w:val="Heading1"/>
        <w:spacing w:before="0"/>
        <w:jc w:val="both"/>
        <w:rPr>
          <w:rFonts w:ascii="Times New Roman" w:hAnsi="Times New Roman" w:cs="Times New Roman"/>
          <w:i w:val="0"/>
          <w:iCs w:val="0"/>
          <w:sz w:val="24"/>
          <w:szCs w:val="24"/>
        </w:rPr>
      </w:pPr>
      <w:bookmarkStart w:id="0" w:name="_Toc40027368"/>
      <w:r w:rsidRPr="009C4B54">
        <w:rPr>
          <w:rFonts w:ascii="Times New Roman" w:hAnsi="Times New Roman" w:cs="Times New Roman"/>
          <w:i w:val="0"/>
          <w:iCs w:val="0"/>
          <w:sz w:val="24"/>
          <w:szCs w:val="24"/>
        </w:rPr>
        <w:t>Introduction</w:t>
      </w:r>
      <w:bookmarkEnd w:id="0"/>
    </w:p>
    <w:p w:rsidR="005A18DF" w:rsidRPr="009C4B54" w:rsidRDefault="0034209E" w:rsidP="008D24C5">
      <w:pPr>
        <w:pStyle w:val="ListParagraph"/>
        <w:numPr>
          <w:ilvl w:val="0"/>
          <w:numId w:val="27"/>
        </w:numPr>
        <w:ind w:left="0" w:firstLine="0"/>
        <w:jc w:val="both"/>
        <w:rPr>
          <w:szCs w:val="24"/>
        </w:rPr>
      </w:pPr>
      <w:r w:rsidRPr="009C4B54">
        <w:rPr>
          <w:rFonts w:eastAsia="Times New Roman"/>
          <w:szCs w:val="24"/>
        </w:rPr>
        <w:t xml:space="preserve">The purpose of this </w:t>
      </w:r>
      <w:r w:rsidR="005A18DF" w:rsidRPr="009C4B54">
        <w:rPr>
          <w:rFonts w:eastAsia="Times New Roman"/>
          <w:szCs w:val="24"/>
        </w:rPr>
        <w:t xml:space="preserve">document is to provide </w:t>
      </w:r>
      <w:r w:rsidR="008A570A" w:rsidRPr="009C4B54">
        <w:rPr>
          <w:rFonts w:eastAsia="Times New Roman"/>
          <w:szCs w:val="24"/>
        </w:rPr>
        <w:t>comments</w:t>
      </w:r>
      <w:r w:rsidR="00EA5902" w:rsidRPr="009C4B54">
        <w:rPr>
          <w:rFonts w:eastAsia="Times New Roman"/>
          <w:szCs w:val="24"/>
        </w:rPr>
        <w:t xml:space="preserve"> </w:t>
      </w:r>
      <w:r w:rsidR="008A570A" w:rsidRPr="009C4B54">
        <w:rPr>
          <w:rFonts w:eastAsia="Times New Roman"/>
          <w:szCs w:val="24"/>
        </w:rPr>
        <w:t xml:space="preserve">on the </w:t>
      </w:r>
      <w:r w:rsidR="00DD44FF" w:rsidRPr="009C4B54">
        <w:rPr>
          <w:rFonts w:eastAsia="Times New Roman"/>
          <w:szCs w:val="24"/>
        </w:rPr>
        <w:t xml:space="preserve">DRAFT </w:t>
      </w:r>
      <w:r w:rsidR="008A570A" w:rsidRPr="009C4B54">
        <w:rPr>
          <w:rFonts w:eastAsia="Times New Roman"/>
          <w:szCs w:val="24"/>
        </w:rPr>
        <w:t>General Recommendation on trafficking in women and girls in the context of global migration (TWGCGM)</w:t>
      </w:r>
      <w:r w:rsidR="00B4765C" w:rsidRPr="009C4B54">
        <w:rPr>
          <w:rFonts w:eastAsia="Times New Roman"/>
          <w:szCs w:val="24"/>
        </w:rPr>
        <w:t xml:space="preserve"> produced by the</w:t>
      </w:r>
      <w:r w:rsidR="00EA5902" w:rsidRPr="009C4B54">
        <w:rPr>
          <w:rFonts w:eastAsia="Times New Roman"/>
          <w:szCs w:val="24"/>
        </w:rPr>
        <w:t xml:space="preserve"> Committee On The Elimination of Discrimination Against Women (CEDAW). </w:t>
      </w:r>
      <w:r w:rsidR="008A570A" w:rsidRPr="009C4B54">
        <w:rPr>
          <w:rFonts w:eastAsia="Times New Roman"/>
          <w:szCs w:val="24"/>
        </w:rPr>
        <w:t>The focus of my comments are towards the victim’s exemption from criminal liability</w:t>
      </w:r>
      <w:r w:rsidR="008A1767" w:rsidRPr="009C4B54">
        <w:rPr>
          <w:rFonts w:eastAsia="Times New Roman"/>
          <w:szCs w:val="24"/>
        </w:rPr>
        <w:t xml:space="preserve"> as discussed in paragraph 91. The key recommendation is to provide clearer guidance for a standard</w:t>
      </w:r>
      <w:r w:rsidR="008A570A" w:rsidRPr="009C4B54">
        <w:rPr>
          <w:rFonts w:eastAsia="Times New Roman"/>
          <w:szCs w:val="24"/>
        </w:rPr>
        <w:t xml:space="preserve"> No Prosecution Clause (NPC)</w:t>
      </w:r>
      <w:r w:rsidR="008F2BEA">
        <w:rPr>
          <w:rFonts w:eastAsia="Times New Roman"/>
          <w:szCs w:val="24"/>
        </w:rPr>
        <w:t xml:space="preserve"> which exempts criminal, administrative and civil liability of the victim</w:t>
      </w:r>
      <w:r w:rsidR="008A570A" w:rsidRPr="009C4B54">
        <w:rPr>
          <w:rFonts w:eastAsia="Times New Roman"/>
          <w:szCs w:val="24"/>
        </w:rPr>
        <w:t xml:space="preserve">. </w:t>
      </w:r>
    </w:p>
    <w:p w:rsidR="007A56D7" w:rsidRPr="009C4B54" w:rsidRDefault="007A56D7" w:rsidP="007A56D7">
      <w:pPr>
        <w:pStyle w:val="ListParagraph"/>
        <w:ind w:left="0"/>
        <w:jc w:val="both"/>
        <w:rPr>
          <w:rFonts w:eastAsia="Times New Roman"/>
        </w:rPr>
      </w:pPr>
    </w:p>
    <w:p w:rsidR="007A56D7" w:rsidRPr="009C4B54" w:rsidRDefault="007A56D7" w:rsidP="00344E98">
      <w:pPr>
        <w:pStyle w:val="Heading1"/>
        <w:spacing w:before="0"/>
        <w:jc w:val="both"/>
        <w:rPr>
          <w:rFonts w:ascii="Times New Roman" w:hAnsi="Times New Roman" w:cs="Times New Roman"/>
          <w:i w:val="0"/>
          <w:iCs w:val="0"/>
          <w:sz w:val="24"/>
          <w:szCs w:val="26"/>
        </w:rPr>
      </w:pPr>
      <w:r w:rsidRPr="009C4B54">
        <w:rPr>
          <w:rFonts w:ascii="Times New Roman" w:hAnsi="Times New Roman" w:cs="Times New Roman"/>
          <w:i w:val="0"/>
          <w:iCs w:val="0"/>
          <w:sz w:val="24"/>
          <w:szCs w:val="26"/>
        </w:rPr>
        <w:t>Paragraph 91 Victim’s exemption from criminal liability</w:t>
      </w:r>
    </w:p>
    <w:p w:rsidR="007A56D7" w:rsidRPr="009C4B54" w:rsidRDefault="007A56D7" w:rsidP="008D24C5">
      <w:pPr>
        <w:pStyle w:val="ListParagraph"/>
        <w:numPr>
          <w:ilvl w:val="0"/>
          <w:numId w:val="27"/>
        </w:numPr>
        <w:ind w:left="0" w:firstLine="0"/>
        <w:jc w:val="both"/>
      </w:pPr>
      <w:r w:rsidRPr="009C4B54">
        <w:rPr>
          <w:rFonts w:eastAsia="Times New Roman"/>
        </w:rPr>
        <w:t xml:space="preserve">Paragraph 91 discusses the general exemption of the victim’s criminal </w:t>
      </w:r>
      <w:r w:rsidR="00ED1F72" w:rsidRPr="009C4B54">
        <w:rPr>
          <w:rFonts w:eastAsia="Times New Roman"/>
        </w:rPr>
        <w:t xml:space="preserve">and administrative </w:t>
      </w:r>
      <w:r w:rsidRPr="009C4B54">
        <w:rPr>
          <w:rFonts w:eastAsia="Times New Roman"/>
        </w:rPr>
        <w:t xml:space="preserve">liability. Subparagraph </w:t>
      </w:r>
      <w:r w:rsidR="00FA23ED">
        <w:rPr>
          <w:rFonts w:eastAsia="Times New Roman"/>
        </w:rPr>
        <w:t>(</w:t>
      </w:r>
      <w:r w:rsidRPr="009C4B54">
        <w:rPr>
          <w:rFonts w:eastAsia="Times New Roman"/>
        </w:rPr>
        <w:t>A</w:t>
      </w:r>
      <w:r w:rsidR="00FA23ED">
        <w:rPr>
          <w:rFonts w:eastAsia="Times New Roman"/>
        </w:rPr>
        <w:t>)</w:t>
      </w:r>
      <w:r w:rsidRPr="009C4B54">
        <w:rPr>
          <w:rFonts w:eastAsia="Times New Roman"/>
        </w:rPr>
        <w:t xml:space="preserve"> discusses the general concept, </w:t>
      </w:r>
      <w:r w:rsidR="00FA23ED">
        <w:rPr>
          <w:rFonts w:eastAsia="Times New Roman"/>
        </w:rPr>
        <w:t>(</w:t>
      </w:r>
      <w:r w:rsidRPr="009C4B54">
        <w:rPr>
          <w:rFonts w:eastAsia="Times New Roman"/>
        </w:rPr>
        <w:t>B</w:t>
      </w:r>
      <w:r w:rsidR="00FA23ED">
        <w:rPr>
          <w:rFonts w:eastAsia="Times New Roman"/>
        </w:rPr>
        <w:t>)</w:t>
      </w:r>
      <w:r w:rsidRPr="009C4B54">
        <w:rPr>
          <w:rFonts w:eastAsia="Times New Roman"/>
        </w:rPr>
        <w:t>,</w:t>
      </w:r>
      <w:r w:rsidR="00460FED" w:rsidRPr="009C4B54">
        <w:rPr>
          <w:rFonts w:eastAsia="Times New Roman"/>
        </w:rPr>
        <w:t xml:space="preserve"> the prohibition of </w:t>
      </w:r>
      <w:r w:rsidRPr="009C4B54">
        <w:rPr>
          <w:rFonts w:eastAsia="Times New Roman"/>
        </w:rPr>
        <w:t xml:space="preserve">the exchange of </w:t>
      </w:r>
      <w:r w:rsidR="00460FED" w:rsidRPr="009C4B54">
        <w:rPr>
          <w:rFonts w:eastAsia="Times New Roman"/>
        </w:rPr>
        <w:t>an</w:t>
      </w:r>
      <w:r w:rsidRPr="009C4B54">
        <w:rPr>
          <w:rFonts w:eastAsia="Times New Roman"/>
        </w:rPr>
        <w:t xml:space="preserve"> exemption for cooperation by providing evidence or testimony and </w:t>
      </w:r>
      <w:r w:rsidR="00FA23ED">
        <w:rPr>
          <w:rFonts w:eastAsia="Times New Roman"/>
        </w:rPr>
        <w:t>(</w:t>
      </w:r>
      <w:r w:rsidRPr="009C4B54">
        <w:rPr>
          <w:rFonts w:eastAsia="Times New Roman"/>
        </w:rPr>
        <w:t>C</w:t>
      </w:r>
      <w:r w:rsidR="00FA23ED">
        <w:rPr>
          <w:rFonts w:eastAsia="Times New Roman"/>
        </w:rPr>
        <w:t>)</w:t>
      </w:r>
      <w:r w:rsidRPr="009C4B54">
        <w:rPr>
          <w:rFonts w:eastAsia="Times New Roman"/>
        </w:rPr>
        <w:t xml:space="preserve">, the expungement of recorded offences relevant to the trafficking situation. </w:t>
      </w:r>
      <w:r w:rsidR="00ED1F72" w:rsidRPr="009C4B54">
        <w:rPr>
          <w:rFonts w:eastAsia="Times New Roman"/>
        </w:rPr>
        <w:t xml:space="preserve">Paragraph 91 presents the concept of </w:t>
      </w:r>
      <w:r w:rsidR="00460FED" w:rsidRPr="009C4B54">
        <w:rPr>
          <w:rFonts w:eastAsia="Times New Roman"/>
        </w:rPr>
        <w:t>a NPC</w:t>
      </w:r>
      <w:r w:rsidR="00ED1F72" w:rsidRPr="009C4B54">
        <w:rPr>
          <w:rFonts w:eastAsia="Times New Roman"/>
        </w:rPr>
        <w:t xml:space="preserve"> and expungement but does not recommend steps to achieve or implement this idea. </w:t>
      </w:r>
    </w:p>
    <w:p w:rsidR="00460FED" w:rsidRPr="009C4B54" w:rsidRDefault="007A56D7" w:rsidP="00460FED">
      <w:pPr>
        <w:pStyle w:val="ListParagraph"/>
        <w:numPr>
          <w:ilvl w:val="0"/>
          <w:numId w:val="27"/>
        </w:numPr>
        <w:ind w:left="0" w:firstLine="0"/>
        <w:jc w:val="both"/>
      </w:pPr>
      <w:r w:rsidRPr="009C4B54">
        <w:rPr>
          <w:rFonts w:eastAsia="Times New Roman"/>
        </w:rPr>
        <w:t xml:space="preserve">I recommend paragraph 91 subparagraph </w:t>
      </w:r>
      <w:r w:rsidR="00FA23ED">
        <w:rPr>
          <w:rFonts w:eastAsia="Times New Roman"/>
        </w:rPr>
        <w:t>(</w:t>
      </w:r>
      <w:r w:rsidRPr="009C4B54">
        <w:rPr>
          <w:rFonts w:eastAsia="Times New Roman"/>
        </w:rPr>
        <w:t>A</w:t>
      </w:r>
      <w:r w:rsidR="00FA23ED">
        <w:rPr>
          <w:rFonts w:eastAsia="Times New Roman"/>
        </w:rPr>
        <w:t>)</w:t>
      </w:r>
      <w:r w:rsidRPr="009C4B54">
        <w:rPr>
          <w:rFonts w:eastAsia="Times New Roman"/>
        </w:rPr>
        <w:t xml:space="preserve"> </w:t>
      </w:r>
      <w:r w:rsidR="00D42EE3">
        <w:rPr>
          <w:rFonts w:eastAsia="Times New Roman"/>
        </w:rPr>
        <w:t>should detail</w:t>
      </w:r>
      <w:r w:rsidRPr="009C4B54">
        <w:rPr>
          <w:rFonts w:eastAsia="Times New Roman"/>
        </w:rPr>
        <w:t xml:space="preserve"> a NPC and its elements</w:t>
      </w:r>
      <w:r w:rsidR="00FE074D" w:rsidRPr="009C4B54">
        <w:rPr>
          <w:rFonts w:eastAsia="Times New Roman"/>
        </w:rPr>
        <w:t xml:space="preserve"> to provide a baseline</w:t>
      </w:r>
      <w:r w:rsidRPr="009C4B54">
        <w:rPr>
          <w:rFonts w:eastAsia="Times New Roman"/>
        </w:rPr>
        <w:t xml:space="preserve">. </w:t>
      </w:r>
      <w:r w:rsidR="00C44D18" w:rsidRPr="009C4B54">
        <w:rPr>
          <w:szCs w:val="24"/>
        </w:rPr>
        <w:t>The recommended elements of a standard</w:t>
      </w:r>
      <w:r w:rsidR="00460FED" w:rsidRPr="009C4B54">
        <w:rPr>
          <w:szCs w:val="24"/>
        </w:rPr>
        <w:t xml:space="preserve"> NPC should contain the following:</w:t>
      </w:r>
    </w:p>
    <w:p w:rsidR="00460FED" w:rsidRPr="009C4B54" w:rsidRDefault="00DD44FF" w:rsidP="00460FED">
      <w:pPr>
        <w:pStyle w:val="ListParagraph"/>
        <w:numPr>
          <w:ilvl w:val="0"/>
          <w:numId w:val="29"/>
        </w:numPr>
        <w:jc w:val="both"/>
        <w:rPr>
          <w:szCs w:val="24"/>
        </w:rPr>
      </w:pPr>
      <w:r w:rsidRPr="009C4B54">
        <w:rPr>
          <w:szCs w:val="24"/>
        </w:rPr>
        <w:t>N</w:t>
      </w:r>
      <w:r w:rsidR="00460FED" w:rsidRPr="009C4B54">
        <w:rPr>
          <w:szCs w:val="24"/>
        </w:rPr>
        <w:t>o liability for administrative, civil and criminal acts;</w:t>
      </w:r>
    </w:p>
    <w:p w:rsidR="00460FED" w:rsidRPr="00AC77DB" w:rsidRDefault="00DD44FF" w:rsidP="00460FED">
      <w:pPr>
        <w:pStyle w:val="ListParagraph"/>
        <w:numPr>
          <w:ilvl w:val="0"/>
          <w:numId w:val="29"/>
        </w:numPr>
        <w:jc w:val="both"/>
        <w:rPr>
          <w:szCs w:val="24"/>
        </w:rPr>
      </w:pPr>
      <w:r w:rsidRPr="009C4B54">
        <w:rPr>
          <w:szCs w:val="24"/>
        </w:rPr>
        <w:t>T</w:t>
      </w:r>
      <w:r w:rsidR="00460FED" w:rsidRPr="009C4B54">
        <w:rPr>
          <w:szCs w:val="24"/>
        </w:rPr>
        <w:t xml:space="preserve">he means for the expungement of </w:t>
      </w:r>
      <w:r w:rsidR="00460FED" w:rsidRPr="00AC77DB">
        <w:rPr>
          <w:szCs w:val="24"/>
        </w:rPr>
        <w:t xml:space="preserve">criminal conviction or non-prosecution of charges relevant to trafficking; </w:t>
      </w:r>
    </w:p>
    <w:p w:rsidR="00460FED" w:rsidRPr="00AC77DB" w:rsidRDefault="00DD44FF" w:rsidP="00460FED">
      <w:pPr>
        <w:pStyle w:val="ListParagraph"/>
        <w:numPr>
          <w:ilvl w:val="0"/>
          <w:numId w:val="29"/>
        </w:numPr>
        <w:jc w:val="both"/>
        <w:rPr>
          <w:szCs w:val="24"/>
        </w:rPr>
      </w:pPr>
      <w:r w:rsidRPr="00AC77DB">
        <w:rPr>
          <w:szCs w:val="24"/>
        </w:rPr>
        <w:t>T</w:t>
      </w:r>
      <w:r w:rsidR="00460FED" w:rsidRPr="00AC77DB">
        <w:rPr>
          <w:szCs w:val="24"/>
        </w:rPr>
        <w:t xml:space="preserve">he flexibility for the judiciary to consider unique and individual factors; and </w:t>
      </w:r>
    </w:p>
    <w:p w:rsidR="00460FED" w:rsidRPr="00AC77DB" w:rsidRDefault="00DD44FF" w:rsidP="00460FED">
      <w:pPr>
        <w:pStyle w:val="ListParagraph"/>
        <w:numPr>
          <w:ilvl w:val="0"/>
          <w:numId w:val="29"/>
        </w:numPr>
        <w:jc w:val="both"/>
        <w:rPr>
          <w:szCs w:val="24"/>
        </w:rPr>
      </w:pPr>
      <w:r w:rsidRPr="00AC77DB">
        <w:rPr>
          <w:szCs w:val="24"/>
        </w:rPr>
        <w:t>A</w:t>
      </w:r>
      <w:r w:rsidR="00460FED" w:rsidRPr="00AC77DB">
        <w:rPr>
          <w:szCs w:val="24"/>
        </w:rPr>
        <w:t xml:space="preserve"> positive duty for ratifying states to integrate the NPC into domestic legislation and allow the recourse for private individuals to challenge the NPC.</w:t>
      </w:r>
    </w:p>
    <w:p w:rsidR="00B4765C" w:rsidRPr="00AC77DB" w:rsidRDefault="00460FED" w:rsidP="00B4765C">
      <w:pPr>
        <w:pStyle w:val="ListParagraph"/>
        <w:numPr>
          <w:ilvl w:val="0"/>
          <w:numId w:val="27"/>
        </w:numPr>
        <w:ind w:left="0" w:firstLine="0"/>
        <w:jc w:val="both"/>
        <w:rPr>
          <w:color w:val="000000" w:themeColor="text1"/>
        </w:rPr>
      </w:pPr>
      <w:r w:rsidRPr="00AC77DB">
        <w:rPr>
          <w:szCs w:val="24"/>
        </w:rPr>
        <w:t xml:space="preserve">The applicability of the NPC would still be reliant on the </w:t>
      </w:r>
      <w:r w:rsidR="00D42EE3">
        <w:rPr>
          <w:szCs w:val="24"/>
        </w:rPr>
        <w:t>verification</w:t>
      </w:r>
      <w:r w:rsidRPr="00AC77DB">
        <w:rPr>
          <w:szCs w:val="24"/>
        </w:rPr>
        <w:t xml:space="preserve"> of victim status, along with determining compulsion. This could introduce a safeguard in the form of a </w:t>
      </w:r>
      <w:r w:rsidRPr="00AC77DB">
        <w:rPr>
          <w:szCs w:val="24"/>
        </w:rPr>
        <w:lastRenderedPageBreak/>
        <w:t xml:space="preserve">cumulative test taking inspiration from </w:t>
      </w:r>
      <w:r w:rsidR="00B4765C" w:rsidRPr="00AC77DB">
        <w:rPr>
          <w:i/>
          <w:szCs w:val="24"/>
        </w:rPr>
        <w:t>R v N</w:t>
      </w:r>
      <w:r w:rsidRPr="00AC77DB">
        <w:rPr>
          <w:szCs w:val="24"/>
        </w:rPr>
        <w:t>.</w:t>
      </w:r>
      <w:r w:rsidRPr="00AC77DB">
        <w:rPr>
          <w:rStyle w:val="FootnoteReference"/>
          <w:szCs w:val="24"/>
        </w:rPr>
        <w:footnoteReference w:id="1"/>
      </w:r>
      <w:r w:rsidR="00B4765C" w:rsidRPr="00AC77DB">
        <w:t xml:space="preserve"> The cumulative test assesses the relationship between the irrelevance of consent, the presence of compulsion and the limitations of compulsion (elaborated below). In </w:t>
      </w:r>
      <w:r w:rsidR="00B4765C" w:rsidRPr="00AC77DB">
        <w:rPr>
          <w:i/>
        </w:rPr>
        <w:t>R v N</w:t>
      </w:r>
      <w:r w:rsidR="00B66687">
        <w:rPr>
          <w:i/>
        </w:rPr>
        <w:t>,</w:t>
      </w:r>
      <w:r w:rsidR="00B4765C" w:rsidRPr="00AC77DB">
        <w:rPr>
          <w:i/>
        </w:rPr>
        <w:t xml:space="preserve"> </w:t>
      </w:r>
      <w:r w:rsidR="00B4765C" w:rsidRPr="00AC77DB">
        <w:t>the</w:t>
      </w:r>
      <w:r w:rsidR="00D42EE3">
        <w:t xml:space="preserve"> </w:t>
      </w:r>
      <w:r w:rsidR="00B66687" w:rsidRPr="009C4B54">
        <w:t>United Kingdom (UK</w:t>
      </w:r>
      <w:r w:rsidR="00B66687">
        <w:t>)</w:t>
      </w:r>
      <w:r w:rsidR="00B66687" w:rsidRPr="00AC77DB">
        <w:t xml:space="preserve"> </w:t>
      </w:r>
      <w:r w:rsidR="00B4765C" w:rsidRPr="00AC77DB">
        <w:t xml:space="preserve">Court of Appeal awarded victim status to a trafficked person, but this did not protect the trafficked person from </w:t>
      </w:r>
      <w:r w:rsidR="00B4765C" w:rsidRPr="00AC77DB">
        <w:rPr>
          <w:color w:val="000000" w:themeColor="text1"/>
        </w:rPr>
        <w:t>prosecution as the situation lacked compulsion.</w:t>
      </w:r>
      <w:r w:rsidR="00B4765C" w:rsidRPr="00AC77DB">
        <w:rPr>
          <w:rStyle w:val="FootnoteReference"/>
          <w:color w:val="000000" w:themeColor="text1"/>
        </w:rPr>
        <w:footnoteReference w:id="2"/>
      </w:r>
      <w:r w:rsidR="00B4765C" w:rsidRPr="00AC77DB">
        <w:rPr>
          <w:color w:val="000000" w:themeColor="text1"/>
        </w:rPr>
        <w:t xml:space="preserve"> The significance of this test negates a presumption that just because victim status is awarded the </w:t>
      </w:r>
      <w:r w:rsidR="00B4765C" w:rsidRPr="00AC77DB">
        <w:t>NPC</w:t>
      </w:r>
      <w:r w:rsidR="00B4765C" w:rsidRPr="00AC77DB">
        <w:rPr>
          <w:color w:val="000000" w:themeColor="text1"/>
        </w:rPr>
        <w:t xml:space="preserve"> is automatically granted. This cumulative test </w:t>
      </w:r>
      <w:r w:rsidR="00FC2343">
        <w:rPr>
          <w:color w:val="000000" w:themeColor="text1"/>
        </w:rPr>
        <w:t>c</w:t>
      </w:r>
      <w:r w:rsidR="00B4765C" w:rsidRPr="00AC77DB">
        <w:rPr>
          <w:color w:val="000000" w:themeColor="text1"/>
        </w:rPr>
        <w:t xml:space="preserve">ould hinder the abuse of the </w:t>
      </w:r>
      <w:r w:rsidR="00B4765C" w:rsidRPr="00AC77DB">
        <w:t>NPC</w:t>
      </w:r>
      <w:r w:rsidR="00B4765C" w:rsidRPr="00AC77DB">
        <w:rPr>
          <w:color w:val="000000" w:themeColor="text1"/>
        </w:rPr>
        <w:t xml:space="preserve"> but also creates additional steps which could result in more time required before determining the validity of the case before applying a </w:t>
      </w:r>
      <w:r w:rsidR="00B4765C" w:rsidRPr="00AC77DB">
        <w:t>NPC</w:t>
      </w:r>
      <w:r w:rsidR="00B4765C" w:rsidRPr="00AC77DB">
        <w:rPr>
          <w:color w:val="000000" w:themeColor="text1"/>
        </w:rPr>
        <w:t>.</w:t>
      </w:r>
    </w:p>
    <w:p w:rsidR="00D349D9" w:rsidRPr="00AC77DB" w:rsidRDefault="00460FED" w:rsidP="00D349D9">
      <w:pPr>
        <w:pStyle w:val="ListParagraph"/>
        <w:numPr>
          <w:ilvl w:val="0"/>
          <w:numId w:val="27"/>
        </w:numPr>
        <w:ind w:left="0" w:firstLine="0"/>
        <w:jc w:val="both"/>
        <w:rPr>
          <w:szCs w:val="24"/>
        </w:rPr>
      </w:pPr>
      <w:r w:rsidRPr="00AC77DB">
        <w:rPr>
          <w:szCs w:val="24"/>
        </w:rPr>
        <w:t>The first element</w:t>
      </w:r>
      <w:r w:rsidR="00B4765C" w:rsidRPr="00AC77DB">
        <w:rPr>
          <w:szCs w:val="24"/>
        </w:rPr>
        <w:t xml:space="preserve"> of the NPC</w:t>
      </w:r>
      <w:r w:rsidRPr="00AC77DB">
        <w:rPr>
          <w:szCs w:val="24"/>
        </w:rPr>
        <w:t xml:space="preserve"> is no liability for civil and criminal acts. This is due to the term’s ‘breadth and applicability beyond the criminal law sphere, this is particularly important as victims may also commit civil wrongdoings’.</w:t>
      </w:r>
      <w:r w:rsidRPr="00AC77DB">
        <w:rPr>
          <w:rStyle w:val="FootnoteReference"/>
          <w:szCs w:val="24"/>
        </w:rPr>
        <w:footnoteReference w:id="3"/>
      </w:r>
      <w:r w:rsidRPr="00AC77DB">
        <w:rPr>
          <w:szCs w:val="24"/>
        </w:rPr>
        <w:t xml:space="preserve"> The recommended NPC should be broad enough to consider, or at least allow the judiciary to consider all crimes and civil infringements committed by a trafficking victim pending satisfaction of the cumulative test. </w:t>
      </w:r>
    </w:p>
    <w:p w:rsidR="00460FED" w:rsidRPr="00AC77DB" w:rsidRDefault="00460FED" w:rsidP="00BF446B">
      <w:pPr>
        <w:pStyle w:val="ListParagraph"/>
        <w:numPr>
          <w:ilvl w:val="0"/>
          <w:numId w:val="27"/>
        </w:numPr>
        <w:ind w:left="0" w:firstLine="0"/>
        <w:jc w:val="both"/>
        <w:rPr>
          <w:szCs w:val="24"/>
        </w:rPr>
      </w:pPr>
      <w:r w:rsidRPr="00AC77DB">
        <w:rPr>
          <w:szCs w:val="24"/>
        </w:rPr>
        <w:t xml:space="preserve">The second element is the expungement of convictions on a criminal record relevant to </w:t>
      </w:r>
      <w:r w:rsidR="00D349D9" w:rsidRPr="00AC77DB">
        <w:rPr>
          <w:szCs w:val="24"/>
        </w:rPr>
        <w:t>a</w:t>
      </w:r>
      <w:r w:rsidRPr="00AC77DB">
        <w:rPr>
          <w:szCs w:val="24"/>
        </w:rPr>
        <w:t xml:space="preserve"> trafficking situation. This takes inspiration from North Carolina (USA), where victims can request for the removal of previous prostitution convictions from a record.</w:t>
      </w:r>
      <w:r w:rsidRPr="00AC77DB">
        <w:rPr>
          <w:rStyle w:val="FootnoteReference"/>
          <w:szCs w:val="24"/>
        </w:rPr>
        <w:footnoteReference w:id="4"/>
      </w:r>
      <w:r w:rsidRPr="00AC77DB">
        <w:rPr>
          <w:szCs w:val="24"/>
        </w:rPr>
        <w:t xml:space="preserve"> The recommended cumulative test can determine the victim’s lack of culpability. In essence this employs the same format to determine the applicability of the NPC and would determine the likelihood of expungement. The key aim here is</w:t>
      </w:r>
      <w:r w:rsidR="00C44D18" w:rsidRPr="00AC77DB">
        <w:rPr>
          <w:szCs w:val="24"/>
        </w:rPr>
        <w:t xml:space="preserve"> to promote</w:t>
      </w:r>
      <w:r w:rsidRPr="00AC77DB">
        <w:rPr>
          <w:szCs w:val="24"/>
        </w:rPr>
        <w:t xml:space="preserve"> the rehabilitation of trafficking victims and their reintegration into society.</w:t>
      </w:r>
    </w:p>
    <w:p w:rsidR="00460FED" w:rsidRPr="009C4B54" w:rsidRDefault="00460FED" w:rsidP="00460FED">
      <w:pPr>
        <w:pStyle w:val="ListParagraph"/>
        <w:numPr>
          <w:ilvl w:val="0"/>
          <w:numId w:val="27"/>
        </w:numPr>
        <w:ind w:left="0" w:firstLine="0"/>
        <w:jc w:val="both"/>
        <w:rPr>
          <w:szCs w:val="24"/>
        </w:rPr>
      </w:pPr>
      <w:r w:rsidRPr="00AC77DB">
        <w:rPr>
          <w:szCs w:val="24"/>
        </w:rPr>
        <w:t xml:space="preserve">The third element is the flexibility afforded to national legislatures and authorities to assess trafficking situations in accordance with the unique characteristics of their environment. Examples of unique characteristics </w:t>
      </w:r>
      <w:r w:rsidR="00C44D18" w:rsidRPr="00AC77DB">
        <w:rPr>
          <w:szCs w:val="24"/>
        </w:rPr>
        <w:t>used for</w:t>
      </w:r>
      <w:r w:rsidRPr="00AC77DB">
        <w:rPr>
          <w:szCs w:val="24"/>
        </w:rPr>
        <w:t xml:space="preserve"> trafficking include witchcraft - referred as </w:t>
      </w:r>
      <w:r w:rsidRPr="00AC77DB">
        <w:rPr>
          <w:i/>
          <w:szCs w:val="24"/>
        </w:rPr>
        <w:t>juju</w:t>
      </w:r>
      <w:r w:rsidRPr="00AC77DB">
        <w:rPr>
          <w:szCs w:val="24"/>
        </w:rPr>
        <w:t xml:space="preserve"> - commonly used by Nigerian syndicates to control victims and hypnosis which is identified as a means of control and explicitly stated in Taiwan’s human trafficking Prevention and Control Act.</w:t>
      </w:r>
      <w:r w:rsidRPr="00AC77DB">
        <w:rPr>
          <w:rStyle w:val="FootnoteReference"/>
          <w:szCs w:val="24"/>
        </w:rPr>
        <w:footnoteReference w:id="5"/>
      </w:r>
      <w:r w:rsidRPr="00AC77DB">
        <w:rPr>
          <w:szCs w:val="24"/>
        </w:rPr>
        <w:t xml:space="preserve"> This flexibility must be a positive duty to</w:t>
      </w:r>
      <w:r w:rsidR="00C44D18" w:rsidRPr="00AC77DB">
        <w:rPr>
          <w:szCs w:val="24"/>
        </w:rPr>
        <w:t>wards</w:t>
      </w:r>
      <w:r w:rsidRPr="00AC77DB">
        <w:rPr>
          <w:szCs w:val="24"/>
        </w:rPr>
        <w:t xml:space="preserve"> states to take proactive measures</w:t>
      </w:r>
      <w:r w:rsidRPr="009C4B54">
        <w:rPr>
          <w:szCs w:val="24"/>
        </w:rPr>
        <w:t xml:space="preserve"> to update </w:t>
      </w:r>
      <w:r w:rsidRPr="009C4B54">
        <w:rPr>
          <w:szCs w:val="24"/>
        </w:rPr>
        <w:lastRenderedPageBreak/>
        <w:t xml:space="preserve">their practices and interpretations of human trafficking in their national laws to allow flexibility and proactive approaches. </w:t>
      </w:r>
    </w:p>
    <w:p w:rsidR="00460FED" w:rsidRPr="009C4B54" w:rsidRDefault="00460FED" w:rsidP="00460FED">
      <w:pPr>
        <w:pStyle w:val="ListParagraph"/>
        <w:numPr>
          <w:ilvl w:val="0"/>
          <w:numId w:val="27"/>
        </w:numPr>
        <w:ind w:left="0" w:firstLine="0"/>
        <w:jc w:val="both"/>
        <w:rPr>
          <w:iCs/>
          <w:szCs w:val="24"/>
        </w:rPr>
      </w:pPr>
      <w:r w:rsidRPr="009C4B54">
        <w:rPr>
          <w:szCs w:val="24"/>
        </w:rPr>
        <w:t xml:space="preserve">The last recommended element is the positive duty for </w:t>
      </w:r>
      <w:r w:rsidR="00D349D9" w:rsidRPr="009C4B54">
        <w:rPr>
          <w:szCs w:val="24"/>
        </w:rPr>
        <w:t xml:space="preserve">parties </w:t>
      </w:r>
      <w:r w:rsidRPr="009C4B54">
        <w:rPr>
          <w:szCs w:val="24"/>
        </w:rPr>
        <w:t xml:space="preserve">to integrate the NPC into domestic legislation and allow private individuals to challenge the NPC in domestic courts. The reason for this is to increase the accessibility of private individuals to challenge the clause and to allow </w:t>
      </w:r>
      <w:r w:rsidR="00D349D9" w:rsidRPr="009C4B54">
        <w:rPr>
          <w:szCs w:val="24"/>
        </w:rPr>
        <w:t>its</w:t>
      </w:r>
      <w:r w:rsidRPr="009C4B54">
        <w:rPr>
          <w:szCs w:val="24"/>
        </w:rPr>
        <w:t xml:space="preserve"> development through revision. The NPC should </w:t>
      </w:r>
      <w:r w:rsidR="00D349D9" w:rsidRPr="009C4B54">
        <w:rPr>
          <w:szCs w:val="24"/>
        </w:rPr>
        <w:t>prescribe</w:t>
      </w:r>
      <w:r w:rsidRPr="009C4B54">
        <w:rPr>
          <w:szCs w:val="24"/>
        </w:rPr>
        <w:t xml:space="preserve"> the positive duty to allow private individuals to challenge the use or misuse of the NPC in domestic courts. This element is to explicitly inform individuals</w:t>
      </w:r>
      <w:r w:rsidR="00D349D9" w:rsidRPr="009C4B54">
        <w:rPr>
          <w:szCs w:val="24"/>
        </w:rPr>
        <w:t xml:space="preserve"> of a right available</w:t>
      </w:r>
      <w:r w:rsidRPr="009C4B54">
        <w:rPr>
          <w:szCs w:val="24"/>
        </w:rPr>
        <w:t>. The importance of this element is to address the state’s obligation to protect, investigate and correctly attribute victimhood status to victims of trafficking. T</w:t>
      </w:r>
      <w:r w:rsidRPr="009C4B54">
        <w:rPr>
          <w:iCs/>
          <w:szCs w:val="24"/>
        </w:rPr>
        <w:t>he explicit prescription in the NPC of a review mechanism available to private individuals may increase the reporting of trafficking cases at lower levels</w:t>
      </w:r>
      <w:r w:rsidR="00C44D18" w:rsidRPr="009C4B54">
        <w:rPr>
          <w:iCs/>
          <w:szCs w:val="24"/>
        </w:rPr>
        <w:t xml:space="preserve"> and allow judiciaries to </w:t>
      </w:r>
      <w:r w:rsidR="00FC2343">
        <w:rPr>
          <w:iCs/>
          <w:szCs w:val="24"/>
        </w:rPr>
        <w:t xml:space="preserve">further </w:t>
      </w:r>
      <w:r w:rsidR="00C44D18" w:rsidRPr="009C4B54">
        <w:rPr>
          <w:iCs/>
          <w:szCs w:val="24"/>
        </w:rPr>
        <w:t>develop domestic legislation and practices</w:t>
      </w:r>
      <w:r w:rsidRPr="009C4B54">
        <w:rPr>
          <w:iCs/>
          <w:szCs w:val="24"/>
        </w:rPr>
        <w:t>.</w:t>
      </w:r>
    </w:p>
    <w:p w:rsidR="00460FED" w:rsidRPr="009C4B54" w:rsidRDefault="00460FED" w:rsidP="00460FED">
      <w:pPr>
        <w:pStyle w:val="NormalWeb"/>
        <w:spacing w:before="0" w:beforeAutospacing="0" w:after="0" w:afterAutospacing="0"/>
        <w:ind w:right="231"/>
        <w:jc w:val="both"/>
        <w:rPr>
          <w:b/>
          <w:bCs/>
          <w:iCs/>
          <w:szCs w:val="24"/>
        </w:rPr>
      </w:pPr>
    </w:p>
    <w:p w:rsidR="00460FED" w:rsidRPr="009C4B54" w:rsidRDefault="00344E98" w:rsidP="00344E98">
      <w:pPr>
        <w:pStyle w:val="Heading1"/>
        <w:spacing w:before="0"/>
        <w:jc w:val="both"/>
        <w:rPr>
          <w:rFonts w:ascii="Times New Roman" w:hAnsi="Times New Roman" w:cs="Times New Roman"/>
          <w:i w:val="0"/>
          <w:iCs w:val="0"/>
          <w:sz w:val="24"/>
          <w:szCs w:val="26"/>
        </w:rPr>
      </w:pPr>
      <w:r w:rsidRPr="009C4B54">
        <w:rPr>
          <w:rFonts w:ascii="Times New Roman" w:hAnsi="Times New Roman" w:cs="Times New Roman"/>
          <w:i w:val="0"/>
          <w:iCs w:val="0"/>
          <w:sz w:val="24"/>
          <w:szCs w:val="26"/>
        </w:rPr>
        <w:t>Elements of the cumulative test</w:t>
      </w:r>
    </w:p>
    <w:p w:rsidR="00460FED" w:rsidRPr="009C4B54" w:rsidRDefault="00344E98" w:rsidP="00344E98">
      <w:pPr>
        <w:pStyle w:val="ListParagraph"/>
        <w:numPr>
          <w:ilvl w:val="0"/>
          <w:numId w:val="27"/>
        </w:numPr>
        <w:ind w:left="0" w:firstLine="0"/>
        <w:jc w:val="both"/>
      </w:pPr>
      <w:r w:rsidRPr="009C4B54">
        <w:rPr>
          <w:rFonts w:eastAsia="Times New Roman"/>
        </w:rPr>
        <w:t xml:space="preserve">This section elaborates on the elements of the recommended cumulative test. The recommended elements are: </w:t>
      </w:r>
    </w:p>
    <w:p w:rsidR="00775F27" w:rsidRPr="009C4B54" w:rsidRDefault="00DD44FF" w:rsidP="00344E98">
      <w:pPr>
        <w:pStyle w:val="ListParagraph"/>
        <w:numPr>
          <w:ilvl w:val="0"/>
          <w:numId w:val="29"/>
        </w:numPr>
        <w:jc w:val="both"/>
      </w:pPr>
      <w:r w:rsidRPr="009C4B54">
        <w:t>T</w:t>
      </w:r>
      <w:r w:rsidR="00775F27" w:rsidRPr="009C4B54">
        <w:t>he irrelevance of consent;</w:t>
      </w:r>
    </w:p>
    <w:p w:rsidR="00775F27" w:rsidRPr="009C4B54" w:rsidRDefault="00DD44FF" w:rsidP="00775F27">
      <w:pPr>
        <w:pStyle w:val="ListParagraph"/>
        <w:numPr>
          <w:ilvl w:val="0"/>
          <w:numId w:val="29"/>
        </w:numPr>
        <w:jc w:val="both"/>
      </w:pPr>
      <w:r w:rsidRPr="009C4B54">
        <w:t>T</w:t>
      </w:r>
      <w:r w:rsidR="0034209E" w:rsidRPr="009C4B54">
        <w:t>he presence of compulsion</w:t>
      </w:r>
      <w:r w:rsidR="00775F27" w:rsidRPr="009C4B54">
        <w:t>;</w:t>
      </w:r>
      <w:r w:rsidR="00D00320" w:rsidRPr="009C4B54">
        <w:t xml:space="preserve"> and</w:t>
      </w:r>
    </w:p>
    <w:p w:rsidR="00FE074D" w:rsidRPr="009C4B54" w:rsidRDefault="00DD44FF" w:rsidP="00FE074D">
      <w:pPr>
        <w:pStyle w:val="ListParagraph"/>
        <w:numPr>
          <w:ilvl w:val="0"/>
          <w:numId w:val="29"/>
        </w:numPr>
        <w:jc w:val="both"/>
      </w:pPr>
      <w:r w:rsidRPr="009C4B54">
        <w:t>T</w:t>
      </w:r>
      <w:r w:rsidR="00D00320" w:rsidRPr="009C4B54">
        <w:t>he limitations of compulsion</w:t>
      </w:r>
      <w:r w:rsidR="00344E98" w:rsidRPr="009C4B54">
        <w:t>.</w:t>
      </w:r>
    </w:p>
    <w:p w:rsidR="007608FD" w:rsidRPr="009C4B54" w:rsidRDefault="007608FD" w:rsidP="00D77219">
      <w:pPr>
        <w:jc w:val="both"/>
      </w:pPr>
    </w:p>
    <w:p w:rsidR="003E4C37" w:rsidRPr="009C4B54" w:rsidRDefault="009B7F4E" w:rsidP="007608FD">
      <w:pPr>
        <w:pStyle w:val="Heading2"/>
        <w:spacing w:before="0"/>
        <w:jc w:val="both"/>
        <w:rPr>
          <w:rFonts w:ascii="Times New Roman" w:hAnsi="Times New Roman" w:cs="Times New Roman"/>
          <w:i w:val="0"/>
          <w:iCs w:val="0"/>
          <w:sz w:val="24"/>
          <w:szCs w:val="26"/>
        </w:rPr>
      </w:pPr>
      <w:bookmarkStart w:id="1" w:name="_Toc40027371"/>
      <w:r w:rsidRPr="009C4B54">
        <w:rPr>
          <w:rFonts w:ascii="Times New Roman" w:hAnsi="Times New Roman" w:cs="Times New Roman"/>
          <w:i w:val="0"/>
          <w:iCs w:val="0"/>
          <w:sz w:val="24"/>
          <w:szCs w:val="26"/>
        </w:rPr>
        <w:t xml:space="preserve">Element </w:t>
      </w:r>
      <w:r w:rsidR="00344E98" w:rsidRPr="009C4B54">
        <w:rPr>
          <w:rFonts w:ascii="Times New Roman" w:hAnsi="Times New Roman" w:cs="Times New Roman"/>
          <w:i w:val="0"/>
          <w:iCs w:val="0"/>
          <w:sz w:val="24"/>
          <w:szCs w:val="26"/>
        </w:rPr>
        <w:t>one</w:t>
      </w:r>
      <w:r w:rsidR="003E4C37" w:rsidRPr="009C4B54">
        <w:rPr>
          <w:rFonts w:ascii="Times New Roman" w:hAnsi="Times New Roman" w:cs="Times New Roman"/>
          <w:i w:val="0"/>
          <w:iCs w:val="0"/>
          <w:sz w:val="24"/>
          <w:szCs w:val="26"/>
        </w:rPr>
        <w:t xml:space="preserve">: the </w:t>
      </w:r>
      <w:r w:rsidRPr="009C4B54">
        <w:rPr>
          <w:rFonts w:ascii="Times New Roman" w:hAnsi="Times New Roman" w:cs="Times New Roman"/>
          <w:i w:val="0"/>
          <w:iCs w:val="0"/>
          <w:sz w:val="24"/>
          <w:szCs w:val="26"/>
        </w:rPr>
        <w:t>Irrelevance of C</w:t>
      </w:r>
      <w:r w:rsidR="003E4C37" w:rsidRPr="009C4B54">
        <w:rPr>
          <w:rFonts w:ascii="Times New Roman" w:hAnsi="Times New Roman" w:cs="Times New Roman"/>
          <w:i w:val="0"/>
          <w:iCs w:val="0"/>
          <w:sz w:val="24"/>
          <w:szCs w:val="26"/>
        </w:rPr>
        <w:t>onsent</w:t>
      </w:r>
      <w:bookmarkEnd w:id="1"/>
    </w:p>
    <w:p w:rsidR="001E6B2C" w:rsidRPr="009C4B54" w:rsidRDefault="00FB0542" w:rsidP="00E957EF">
      <w:pPr>
        <w:pStyle w:val="ListParagraph"/>
        <w:numPr>
          <w:ilvl w:val="0"/>
          <w:numId w:val="27"/>
        </w:numPr>
        <w:ind w:left="0" w:firstLine="0"/>
        <w:jc w:val="both"/>
        <w:rPr>
          <w:color w:val="000000" w:themeColor="text1"/>
        </w:rPr>
      </w:pPr>
      <w:r w:rsidRPr="009C4B54">
        <w:t xml:space="preserve">This element focuses on the irrelevance of consent </w:t>
      </w:r>
      <w:r w:rsidR="005A7971" w:rsidRPr="009C4B54">
        <w:t>when</w:t>
      </w:r>
      <w:r w:rsidRPr="009C4B54">
        <w:t xml:space="preserve"> </w:t>
      </w:r>
      <w:r w:rsidR="00E957EF" w:rsidRPr="009C4B54">
        <w:t xml:space="preserve">the victim is </w:t>
      </w:r>
      <w:r w:rsidRPr="009C4B54">
        <w:t xml:space="preserve">subjected to </w:t>
      </w:r>
      <w:r w:rsidR="00DA037E" w:rsidRPr="009C4B54">
        <w:t>a</w:t>
      </w:r>
      <w:r w:rsidRPr="009C4B54">
        <w:t xml:space="preserve"> trafficking situation.</w:t>
      </w:r>
      <w:r w:rsidR="001E6B2C" w:rsidRPr="009C4B54">
        <w:t xml:space="preserve"> The importance of this element is </w:t>
      </w:r>
      <w:r w:rsidR="007F5C9E" w:rsidRPr="009C4B54">
        <w:t>the</w:t>
      </w:r>
      <w:r w:rsidR="001E6B2C" w:rsidRPr="009C4B54">
        <w:t xml:space="preserve"> </w:t>
      </w:r>
      <w:r w:rsidR="003205C0" w:rsidRPr="009C4B54">
        <w:t>prevention</w:t>
      </w:r>
      <w:r w:rsidR="007F5C9E" w:rsidRPr="009C4B54">
        <w:t xml:space="preserve"> of</w:t>
      </w:r>
      <w:r w:rsidR="001E6B2C" w:rsidRPr="009C4B54">
        <w:t xml:space="preserve"> </w:t>
      </w:r>
      <w:r w:rsidR="007F5C9E" w:rsidRPr="009C4B54">
        <w:t>a</w:t>
      </w:r>
      <w:r w:rsidR="00FB4C09" w:rsidRPr="009C4B54">
        <w:t xml:space="preserve"> victim </w:t>
      </w:r>
      <w:r w:rsidR="001E6B2C" w:rsidRPr="009C4B54">
        <w:t xml:space="preserve">being denied protection </w:t>
      </w:r>
      <w:r w:rsidR="007F5C9E" w:rsidRPr="009C4B54">
        <w:t xml:space="preserve">or prosecuted </w:t>
      </w:r>
      <w:r w:rsidR="00FB4C09" w:rsidRPr="009C4B54">
        <w:t>due to their</w:t>
      </w:r>
      <w:r w:rsidR="001E6B2C" w:rsidRPr="009C4B54">
        <w:t xml:space="preserve"> perceived consent</w:t>
      </w:r>
      <w:r w:rsidR="00752FA0" w:rsidRPr="009C4B54">
        <w:t xml:space="preserve"> to commit a crime</w:t>
      </w:r>
      <w:r w:rsidR="007F5C9E" w:rsidRPr="009C4B54">
        <w:t>.</w:t>
      </w:r>
      <w:r w:rsidR="007F5C9E" w:rsidRPr="009C4B54">
        <w:rPr>
          <w:rStyle w:val="FootnoteReference"/>
        </w:rPr>
        <w:footnoteReference w:id="6"/>
      </w:r>
      <w:r w:rsidR="00E21AA5" w:rsidRPr="009C4B54">
        <w:t xml:space="preserve"> </w:t>
      </w:r>
      <w:r w:rsidR="005A7971" w:rsidRPr="009C4B54">
        <w:t>C</w:t>
      </w:r>
      <w:r w:rsidR="00BD2517" w:rsidRPr="009C4B54">
        <w:t>onsent is</w:t>
      </w:r>
      <w:r w:rsidR="008E2AD3" w:rsidRPr="009C4B54">
        <w:t xml:space="preserve"> </w:t>
      </w:r>
      <w:r w:rsidR="00BD2517" w:rsidRPr="009C4B54">
        <w:t xml:space="preserve">deemed irrelevant </w:t>
      </w:r>
      <w:r w:rsidR="005A7971" w:rsidRPr="009C4B54">
        <w:t>under a</w:t>
      </w:r>
      <w:r w:rsidR="00292BBF" w:rsidRPr="009C4B54">
        <w:t xml:space="preserve">rticle </w:t>
      </w:r>
      <w:r w:rsidR="00FC2343">
        <w:t>3</w:t>
      </w:r>
      <w:r w:rsidR="00292BBF" w:rsidRPr="009C4B54">
        <w:t xml:space="preserve"> </w:t>
      </w:r>
      <w:r w:rsidR="005A7971" w:rsidRPr="009C4B54">
        <w:t>of the Palermo Protocol</w:t>
      </w:r>
      <w:r w:rsidR="00806150" w:rsidRPr="009C4B54">
        <w:t xml:space="preserve"> </w:t>
      </w:r>
      <w:r w:rsidR="00292BBF" w:rsidRPr="009C4B54">
        <w:t xml:space="preserve">if </w:t>
      </w:r>
      <w:r w:rsidR="008E2AD3" w:rsidRPr="009C4B54">
        <w:t>a</w:t>
      </w:r>
      <w:r w:rsidR="00BD2517" w:rsidRPr="009C4B54">
        <w:t xml:space="preserve"> person is trafficked for the purpose of ‘prostitution of others or other forms of sexual exploitation, forced labour or services, slavery or practices similar to slavery, servitude or the removal or organs’</w:t>
      </w:r>
      <w:r w:rsidR="004206B7" w:rsidRPr="009C4B54">
        <w:t>.</w:t>
      </w:r>
      <w:r w:rsidR="004206B7" w:rsidRPr="009C4B54">
        <w:rPr>
          <w:rStyle w:val="FootnoteReference"/>
        </w:rPr>
        <w:footnoteReference w:id="7"/>
      </w:r>
      <w:r w:rsidR="00C75464" w:rsidRPr="009C4B54">
        <w:t xml:space="preserve"> </w:t>
      </w:r>
      <w:r w:rsidR="00E957EF" w:rsidRPr="009C4B54">
        <w:t>T</w:t>
      </w:r>
      <w:r w:rsidR="00C75464" w:rsidRPr="009C4B54">
        <w:t>he consent of a child</w:t>
      </w:r>
      <w:r w:rsidR="005A7971" w:rsidRPr="009C4B54">
        <w:t xml:space="preserve"> is irrelevant regardless of the presence of </w:t>
      </w:r>
      <w:r w:rsidR="00C75464" w:rsidRPr="009C4B54">
        <w:t xml:space="preserve">the aforementioned </w:t>
      </w:r>
      <w:r w:rsidR="00FB4C09" w:rsidRPr="009C4B54">
        <w:t>purposes</w:t>
      </w:r>
      <w:r w:rsidR="00C75464" w:rsidRPr="009C4B54">
        <w:t>.</w:t>
      </w:r>
      <w:r w:rsidR="00C75464" w:rsidRPr="009C4B54">
        <w:rPr>
          <w:rStyle w:val="FootnoteReference"/>
        </w:rPr>
        <w:footnoteReference w:id="8"/>
      </w:r>
      <w:r w:rsidR="0019768D" w:rsidRPr="009C4B54">
        <w:t xml:space="preserve"> </w:t>
      </w:r>
      <w:r w:rsidR="00C75464" w:rsidRPr="009C4B54">
        <w:t xml:space="preserve">With regard to organ </w:t>
      </w:r>
      <w:r w:rsidR="00C75464" w:rsidRPr="009C4B54">
        <w:lastRenderedPageBreak/>
        <w:t>trafficking, r</w:t>
      </w:r>
      <w:r w:rsidR="008E2AD3" w:rsidRPr="009C4B54">
        <w:t>ecommendations have been presented to unify domestic approaches</w:t>
      </w:r>
      <w:r w:rsidR="00546312">
        <w:t>. The</w:t>
      </w:r>
      <w:r w:rsidR="00546312" w:rsidRPr="00F878F2">
        <w:rPr>
          <w:szCs w:val="24"/>
        </w:rPr>
        <w:t xml:space="preserve"> Special Rapporteur</w:t>
      </w:r>
      <w:r w:rsidR="00546312">
        <w:rPr>
          <w:szCs w:val="24"/>
        </w:rPr>
        <w:t xml:space="preserve"> for</w:t>
      </w:r>
      <w:r w:rsidR="00546312" w:rsidRPr="00F878F2">
        <w:rPr>
          <w:szCs w:val="24"/>
        </w:rPr>
        <w:t xml:space="preserve"> </w:t>
      </w:r>
      <w:r w:rsidR="00546312">
        <w:rPr>
          <w:szCs w:val="24"/>
        </w:rPr>
        <w:t>Trafficking in persons -</w:t>
      </w:r>
      <w:r w:rsidR="00546312" w:rsidRPr="00F878F2">
        <w:rPr>
          <w:szCs w:val="24"/>
        </w:rPr>
        <w:t xml:space="preserve"> especially women and children</w:t>
      </w:r>
      <w:r w:rsidR="00546312">
        <w:rPr>
          <w:szCs w:val="24"/>
        </w:rPr>
        <w:t xml:space="preserve"> (SRTP)</w:t>
      </w:r>
      <w:r w:rsidR="00546312" w:rsidRPr="00F878F2">
        <w:rPr>
          <w:szCs w:val="24"/>
        </w:rPr>
        <w:t xml:space="preserve"> </w:t>
      </w:r>
      <w:r w:rsidR="005B3909" w:rsidRPr="009C4B54">
        <w:t xml:space="preserve">recommends </w:t>
      </w:r>
      <w:r w:rsidR="00790677" w:rsidRPr="009C4B54">
        <w:t>all state’s</w:t>
      </w:r>
      <w:r w:rsidR="005B3909" w:rsidRPr="009C4B54">
        <w:t xml:space="preserve"> legislations </w:t>
      </w:r>
      <w:r w:rsidR="00DB5CD7" w:rsidRPr="009C4B54">
        <w:t>incl</w:t>
      </w:r>
      <w:r w:rsidR="00790677" w:rsidRPr="009C4B54">
        <w:t xml:space="preserve">ude </w:t>
      </w:r>
      <w:r w:rsidR="00DB5CD7" w:rsidRPr="009C4B54">
        <w:t xml:space="preserve">the term </w:t>
      </w:r>
      <w:r w:rsidR="00790677" w:rsidRPr="009C4B54">
        <w:t>‘</w:t>
      </w:r>
      <w:r w:rsidR="00DB5CD7" w:rsidRPr="009C4B54">
        <w:t>removal of organ</w:t>
      </w:r>
      <w:r w:rsidR="00790677" w:rsidRPr="009C4B54">
        <w:t>s’</w:t>
      </w:r>
      <w:r w:rsidR="00FA61E2" w:rsidRPr="009C4B54">
        <w:t xml:space="preserve"> into national definitions of trafficking in persons</w:t>
      </w:r>
      <w:r w:rsidR="00790677" w:rsidRPr="009C4B54">
        <w:t xml:space="preserve"> as well as to vitiate </w:t>
      </w:r>
      <w:r w:rsidR="008E0858" w:rsidRPr="009C4B54">
        <w:t>the notion of consent if consent were obtained in a</w:t>
      </w:r>
      <w:r w:rsidR="00DF5A42" w:rsidRPr="009C4B54">
        <w:t>n</w:t>
      </w:r>
      <w:r w:rsidR="008E0858" w:rsidRPr="009C4B54">
        <w:t xml:space="preserve"> exploitative manner</w:t>
      </w:r>
      <w:r w:rsidR="00FA61E2" w:rsidRPr="009C4B54">
        <w:t>.</w:t>
      </w:r>
      <w:r w:rsidR="00FA61E2" w:rsidRPr="009C4B54">
        <w:rPr>
          <w:rStyle w:val="FootnoteReference"/>
        </w:rPr>
        <w:footnoteReference w:id="9"/>
      </w:r>
      <w:r w:rsidR="00FA61E2" w:rsidRPr="009C4B54">
        <w:t xml:space="preserve"> </w:t>
      </w:r>
      <w:r w:rsidR="00DF5A42" w:rsidRPr="009C4B54">
        <w:t>T</w:t>
      </w:r>
      <w:r w:rsidR="008B570A" w:rsidRPr="009C4B54">
        <w:t>he</w:t>
      </w:r>
      <w:r w:rsidR="00A00290" w:rsidRPr="009C4B54">
        <w:t xml:space="preserve"> sole</w:t>
      </w:r>
      <w:r w:rsidR="00E80FD4" w:rsidRPr="009C4B54">
        <w:t xml:space="preserve"> rel</w:t>
      </w:r>
      <w:r w:rsidR="008B570A" w:rsidRPr="009C4B54">
        <w:t>iance</w:t>
      </w:r>
      <w:r w:rsidR="00A00290" w:rsidRPr="009C4B54">
        <w:t xml:space="preserve"> on article </w:t>
      </w:r>
      <w:r w:rsidR="00B66687">
        <w:t>3</w:t>
      </w:r>
      <w:r w:rsidR="00A00290" w:rsidRPr="009C4B54">
        <w:t xml:space="preserve"> of</w:t>
      </w:r>
      <w:r w:rsidR="00E60DC8" w:rsidRPr="009C4B54">
        <w:t xml:space="preserve"> the</w:t>
      </w:r>
      <w:r w:rsidR="00A00290" w:rsidRPr="009C4B54">
        <w:t xml:space="preserve"> </w:t>
      </w:r>
      <w:r w:rsidR="0019768D" w:rsidRPr="009C4B54">
        <w:t>Palermo Protocol</w:t>
      </w:r>
      <w:r w:rsidR="00A00290" w:rsidRPr="009C4B54">
        <w:t xml:space="preserve"> to determine the situations where consent is </w:t>
      </w:r>
      <w:r w:rsidR="00DF5A42" w:rsidRPr="009C4B54">
        <w:t>irrelevant present</w:t>
      </w:r>
      <w:r w:rsidR="004326E0" w:rsidRPr="009C4B54">
        <w:t>s</w:t>
      </w:r>
      <w:r w:rsidR="00DF5A42" w:rsidRPr="009C4B54">
        <w:t xml:space="preserve"> the potential issue </w:t>
      </w:r>
      <w:r w:rsidR="004326E0" w:rsidRPr="009C4B54">
        <w:t>where</w:t>
      </w:r>
      <w:r w:rsidR="001B142B" w:rsidRPr="009C4B54">
        <w:t xml:space="preserve"> not all </w:t>
      </w:r>
      <w:r w:rsidR="00A00290" w:rsidRPr="009C4B54">
        <w:rPr>
          <w:i/>
        </w:rPr>
        <w:t>victims</w:t>
      </w:r>
      <w:r w:rsidR="00A00290" w:rsidRPr="009C4B54">
        <w:t xml:space="preserve"> of </w:t>
      </w:r>
      <w:r w:rsidR="0019768D" w:rsidRPr="009C4B54">
        <w:t>human trafficking</w:t>
      </w:r>
      <w:r w:rsidR="00F228C3" w:rsidRPr="009C4B54">
        <w:t xml:space="preserve"> </w:t>
      </w:r>
      <w:r w:rsidR="00A00290" w:rsidRPr="009C4B54">
        <w:t xml:space="preserve">view themselves as </w:t>
      </w:r>
      <w:r w:rsidR="001B142B" w:rsidRPr="009C4B54">
        <w:t>victims</w:t>
      </w:r>
      <w:r w:rsidR="00A00290" w:rsidRPr="009C4B54">
        <w:t>.</w:t>
      </w:r>
      <w:r w:rsidR="00A00290" w:rsidRPr="009C4B54">
        <w:rPr>
          <w:rStyle w:val="FootnoteReference"/>
        </w:rPr>
        <w:footnoteReference w:id="10"/>
      </w:r>
      <w:r w:rsidR="00E60DC8" w:rsidRPr="009C4B54">
        <w:t xml:space="preserve"> </w:t>
      </w:r>
      <w:r w:rsidR="00CE2627" w:rsidRPr="009C4B54">
        <w:t xml:space="preserve">The </w:t>
      </w:r>
      <w:r w:rsidR="00584F20" w:rsidRPr="009C4B54">
        <w:rPr>
          <w:iCs/>
        </w:rPr>
        <w:t>SRTP</w:t>
      </w:r>
      <w:r w:rsidR="00D35B34" w:rsidRPr="009C4B54">
        <w:rPr>
          <w:i/>
          <w:iCs/>
        </w:rPr>
        <w:t xml:space="preserve"> </w:t>
      </w:r>
      <w:r w:rsidR="00D35B34" w:rsidRPr="009C4B54">
        <w:t>highlights this</w:t>
      </w:r>
      <w:r w:rsidR="004326E0" w:rsidRPr="009C4B54">
        <w:t xml:space="preserve"> victim</w:t>
      </w:r>
      <w:r w:rsidR="00D35B34" w:rsidRPr="009C4B54">
        <w:t xml:space="preserve"> complex</w:t>
      </w:r>
      <w:r w:rsidR="00641EE8" w:rsidRPr="009C4B54">
        <w:t xml:space="preserve"> is</w:t>
      </w:r>
      <w:r w:rsidR="00D35B34" w:rsidRPr="009C4B54">
        <w:t xml:space="preserve"> particular</w:t>
      </w:r>
      <w:r w:rsidR="00641EE8" w:rsidRPr="009C4B54">
        <w:t>ly present</w:t>
      </w:r>
      <w:r w:rsidR="00D35B34" w:rsidRPr="009C4B54">
        <w:t xml:space="preserve"> in organ trafficking where ‘[v]</w:t>
      </w:r>
      <w:proofErr w:type="spellStart"/>
      <w:r w:rsidR="00D35B34" w:rsidRPr="009C4B54">
        <w:t>ictims</w:t>
      </w:r>
      <w:proofErr w:type="spellEnd"/>
      <w:r w:rsidR="00D35B34" w:rsidRPr="009C4B54">
        <w:t xml:space="preserve"> may not perceive themselves as such, in particular if they have broken laws by engaging in an agreement to sell an organ’.</w:t>
      </w:r>
      <w:r w:rsidR="00D35B34" w:rsidRPr="009C4B54">
        <w:rPr>
          <w:rStyle w:val="FootnoteReference"/>
        </w:rPr>
        <w:footnoteReference w:id="11"/>
      </w:r>
      <w:r w:rsidR="00094B02" w:rsidRPr="009C4B54">
        <w:t xml:space="preserve"> The utility of art</w:t>
      </w:r>
      <w:r w:rsidR="00641EE8" w:rsidRPr="009C4B54">
        <w:t>icle</w:t>
      </w:r>
      <w:r w:rsidR="005E57B7" w:rsidRPr="009C4B54">
        <w:t xml:space="preserve"> </w:t>
      </w:r>
      <w:r w:rsidR="00B66687">
        <w:t>3</w:t>
      </w:r>
      <w:r w:rsidR="00094B02" w:rsidRPr="009C4B54">
        <w:t xml:space="preserve"> of the </w:t>
      </w:r>
      <w:r w:rsidR="004C72A0" w:rsidRPr="009C4B54">
        <w:t>Palermo Protocol</w:t>
      </w:r>
      <w:r w:rsidR="00806150" w:rsidRPr="009C4B54">
        <w:t xml:space="preserve"> </w:t>
      </w:r>
      <w:r w:rsidR="00094B02" w:rsidRPr="009C4B54">
        <w:t xml:space="preserve">can result in the difference between the case being treated as </w:t>
      </w:r>
      <w:r w:rsidR="00B01CD1" w:rsidRPr="009C4B54">
        <w:t>‘one of pimping and one of trafficking, resulting in higher penalties for the perpetrator and more protections for the object of the crime’</w:t>
      </w:r>
      <w:r w:rsidR="00B01CD1" w:rsidRPr="009C4B54">
        <w:rPr>
          <w:color w:val="000000" w:themeColor="text1"/>
        </w:rPr>
        <w:t>.</w:t>
      </w:r>
      <w:r w:rsidR="009B02FC" w:rsidRPr="009C4B54">
        <w:rPr>
          <w:rStyle w:val="FootnoteReference"/>
          <w:color w:val="000000" w:themeColor="text1"/>
        </w:rPr>
        <w:footnoteReference w:id="12"/>
      </w:r>
      <w:r w:rsidR="0092152F" w:rsidRPr="009C4B54">
        <w:rPr>
          <w:color w:val="000000" w:themeColor="text1"/>
        </w:rPr>
        <w:t xml:space="preserve"> To develop a uniform </w:t>
      </w:r>
      <w:r w:rsidR="00535F9C" w:rsidRPr="009C4B54">
        <w:t>NPC,</w:t>
      </w:r>
      <w:r w:rsidR="0092152F" w:rsidRPr="009C4B54">
        <w:rPr>
          <w:color w:val="000000" w:themeColor="text1"/>
        </w:rPr>
        <w:t xml:space="preserve"> the i</w:t>
      </w:r>
      <w:r w:rsidR="00641EE8" w:rsidRPr="009C4B54">
        <w:rPr>
          <w:color w:val="000000" w:themeColor="text1"/>
        </w:rPr>
        <w:t xml:space="preserve">rrelevance of consent </w:t>
      </w:r>
      <w:r w:rsidR="004353AC" w:rsidRPr="009C4B54">
        <w:rPr>
          <w:color w:val="000000" w:themeColor="text1"/>
        </w:rPr>
        <w:t>is</w:t>
      </w:r>
      <w:r w:rsidR="0092152F" w:rsidRPr="009C4B54">
        <w:rPr>
          <w:color w:val="000000" w:themeColor="text1"/>
        </w:rPr>
        <w:t xml:space="preserve"> </w:t>
      </w:r>
      <w:r w:rsidR="00CE2627" w:rsidRPr="009C4B54">
        <w:rPr>
          <w:color w:val="000000" w:themeColor="text1"/>
        </w:rPr>
        <w:t>necessary</w:t>
      </w:r>
      <w:r w:rsidR="0092152F" w:rsidRPr="009C4B54">
        <w:rPr>
          <w:color w:val="000000" w:themeColor="text1"/>
        </w:rPr>
        <w:t>.</w:t>
      </w:r>
      <w:r w:rsidR="00CE2627" w:rsidRPr="009C4B54">
        <w:rPr>
          <w:color w:val="000000" w:themeColor="text1"/>
        </w:rPr>
        <w:t xml:space="preserve"> </w:t>
      </w:r>
      <w:r w:rsidR="0092152F" w:rsidRPr="009C4B54">
        <w:rPr>
          <w:color w:val="000000" w:themeColor="text1"/>
        </w:rPr>
        <w:t xml:space="preserve"> </w:t>
      </w:r>
    </w:p>
    <w:p w:rsidR="007608FD" w:rsidRPr="009C4B54" w:rsidRDefault="007608FD" w:rsidP="007608FD">
      <w:pPr>
        <w:jc w:val="both"/>
      </w:pPr>
    </w:p>
    <w:p w:rsidR="00520A58" w:rsidRPr="009C4B54" w:rsidRDefault="003B16BE" w:rsidP="007608FD">
      <w:pPr>
        <w:pStyle w:val="Heading2"/>
        <w:spacing w:before="0"/>
        <w:jc w:val="both"/>
        <w:rPr>
          <w:rFonts w:ascii="Times New Roman" w:hAnsi="Times New Roman" w:cs="Times New Roman"/>
          <w:i w:val="0"/>
          <w:iCs w:val="0"/>
          <w:sz w:val="24"/>
          <w:szCs w:val="26"/>
        </w:rPr>
      </w:pPr>
      <w:bookmarkStart w:id="2" w:name="_Toc40027372"/>
      <w:r w:rsidRPr="009C4B54">
        <w:rPr>
          <w:rFonts w:ascii="Times New Roman" w:hAnsi="Times New Roman" w:cs="Times New Roman"/>
          <w:i w:val="0"/>
          <w:iCs w:val="0"/>
          <w:sz w:val="24"/>
          <w:szCs w:val="26"/>
        </w:rPr>
        <w:t xml:space="preserve">Element </w:t>
      </w:r>
      <w:r w:rsidR="00344E98" w:rsidRPr="009C4B54">
        <w:rPr>
          <w:rFonts w:ascii="Times New Roman" w:hAnsi="Times New Roman" w:cs="Times New Roman"/>
          <w:i w:val="0"/>
          <w:iCs w:val="0"/>
          <w:sz w:val="24"/>
          <w:szCs w:val="26"/>
        </w:rPr>
        <w:t>two</w:t>
      </w:r>
      <w:r w:rsidR="003E4C37" w:rsidRPr="009C4B54">
        <w:rPr>
          <w:rFonts w:ascii="Times New Roman" w:hAnsi="Times New Roman" w:cs="Times New Roman"/>
          <w:i w:val="0"/>
          <w:iCs w:val="0"/>
          <w:sz w:val="24"/>
          <w:szCs w:val="26"/>
        </w:rPr>
        <w:t xml:space="preserve">: </w:t>
      </w:r>
      <w:r w:rsidR="005B7A0F" w:rsidRPr="009C4B54">
        <w:rPr>
          <w:rFonts w:ascii="Times New Roman" w:hAnsi="Times New Roman" w:cs="Times New Roman"/>
          <w:i w:val="0"/>
          <w:iCs w:val="0"/>
          <w:sz w:val="24"/>
          <w:szCs w:val="26"/>
        </w:rPr>
        <w:t>the P</w:t>
      </w:r>
      <w:r w:rsidR="00367A6A" w:rsidRPr="009C4B54">
        <w:rPr>
          <w:rFonts w:ascii="Times New Roman" w:hAnsi="Times New Roman" w:cs="Times New Roman"/>
          <w:i w:val="0"/>
          <w:iCs w:val="0"/>
          <w:sz w:val="24"/>
          <w:szCs w:val="26"/>
        </w:rPr>
        <w:t xml:space="preserve">resence of </w:t>
      </w:r>
      <w:r w:rsidRPr="009C4B54">
        <w:rPr>
          <w:rFonts w:ascii="Times New Roman" w:hAnsi="Times New Roman" w:cs="Times New Roman"/>
          <w:i w:val="0"/>
          <w:iCs w:val="0"/>
          <w:sz w:val="24"/>
          <w:szCs w:val="26"/>
        </w:rPr>
        <w:t>C</w:t>
      </w:r>
      <w:r w:rsidR="003E4C37" w:rsidRPr="009C4B54">
        <w:rPr>
          <w:rFonts w:ascii="Times New Roman" w:hAnsi="Times New Roman" w:cs="Times New Roman"/>
          <w:i w:val="0"/>
          <w:iCs w:val="0"/>
          <w:sz w:val="24"/>
          <w:szCs w:val="26"/>
        </w:rPr>
        <w:t>ompulsion</w:t>
      </w:r>
      <w:bookmarkEnd w:id="2"/>
    </w:p>
    <w:p w:rsidR="004E7646" w:rsidRPr="009C4B54" w:rsidRDefault="00E4693D" w:rsidP="00C1266D">
      <w:pPr>
        <w:pStyle w:val="ListParagraph"/>
        <w:numPr>
          <w:ilvl w:val="0"/>
          <w:numId w:val="27"/>
        </w:numPr>
        <w:ind w:left="0" w:firstLine="0"/>
        <w:jc w:val="both"/>
      </w:pPr>
      <w:r w:rsidRPr="009C4B54">
        <w:t>T</w:t>
      </w:r>
      <w:r w:rsidR="00367A6A" w:rsidRPr="009C4B54">
        <w:t xml:space="preserve">he presence of </w:t>
      </w:r>
      <w:r w:rsidR="009024DB" w:rsidRPr="009C4B54">
        <w:t>compulsion</w:t>
      </w:r>
      <w:r w:rsidRPr="009C4B54">
        <w:t xml:space="preserve"> </w:t>
      </w:r>
      <w:r w:rsidR="000D1A71" w:rsidRPr="009C4B54">
        <w:t>is a key element which ‘rationalises why trafficked persons ought to be excused’.</w:t>
      </w:r>
      <w:r w:rsidR="000D1A71" w:rsidRPr="009C4B54">
        <w:rPr>
          <w:rStyle w:val="FootnoteReference"/>
        </w:rPr>
        <w:footnoteReference w:id="13"/>
      </w:r>
      <w:r w:rsidR="005D686D" w:rsidRPr="009C4B54">
        <w:t xml:space="preserve"> </w:t>
      </w:r>
      <w:r w:rsidR="00E957EF" w:rsidRPr="009C4B54">
        <w:t>T</w:t>
      </w:r>
      <w:r w:rsidR="00BA5D46" w:rsidRPr="009C4B54">
        <w:t xml:space="preserve">he trafficking victim often has </w:t>
      </w:r>
      <w:r w:rsidR="00BA3143" w:rsidRPr="009C4B54">
        <w:t xml:space="preserve">their </w:t>
      </w:r>
      <w:r w:rsidR="00BA5D46" w:rsidRPr="009C4B54">
        <w:t>free will removed or restricted enough to allow their captor to manipulate th</w:t>
      </w:r>
      <w:r w:rsidR="003B4936" w:rsidRPr="009C4B54">
        <w:t xml:space="preserve">em </w:t>
      </w:r>
      <w:r w:rsidR="00BA5D46" w:rsidRPr="009C4B54">
        <w:t>into performing acts they otherwise would not commit. This is importa</w:t>
      </w:r>
      <w:r w:rsidR="00756693" w:rsidRPr="009C4B54">
        <w:t xml:space="preserve">nt to remember when asking </w:t>
      </w:r>
      <w:r w:rsidR="00756693" w:rsidRPr="009C4B54">
        <w:rPr>
          <w:i/>
        </w:rPr>
        <w:t>why</w:t>
      </w:r>
      <w:r w:rsidR="00BA5D46" w:rsidRPr="009C4B54">
        <w:t xml:space="preserve"> compulsion should </w:t>
      </w:r>
      <w:r w:rsidR="00756693" w:rsidRPr="009C4B54">
        <w:t>be -</w:t>
      </w:r>
      <w:r w:rsidR="0019665A" w:rsidRPr="009C4B54">
        <w:t xml:space="preserve"> or</w:t>
      </w:r>
      <w:r w:rsidR="00BA5D46" w:rsidRPr="009C4B54">
        <w:t xml:space="preserve"> is a key </w:t>
      </w:r>
      <w:r w:rsidR="00756693" w:rsidRPr="009C4B54">
        <w:t xml:space="preserve">- </w:t>
      </w:r>
      <w:r w:rsidR="00BA5D46" w:rsidRPr="009C4B54">
        <w:t xml:space="preserve">factor for a </w:t>
      </w:r>
      <w:r w:rsidR="002B1002" w:rsidRPr="009C4B54">
        <w:t>NPC</w:t>
      </w:r>
      <w:r w:rsidR="00BA5D46" w:rsidRPr="009C4B54">
        <w:t>.</w:t>
      </w:r>
      <w:r w:rsidR="00E238FD" w:rsidRPr="009C4B54">
        <w:t xml:space="preserve"> </w:t>
      </w:r>
      <w:r w:rsidR="005331F1" w:rsidRPr="009C4B54">
        <w:t>For compulsion to be present there needs to be a control mechanism eroding the f</w:t>
      </w:r>
      <w:r w:rsidR="00FB4C09" w:rsidRPr="009C4B54">
        <w:t xml:space="preserve">reedom of choice of the victim. </w:t>
      </w:r>
      <w:r w:rsidR="00C1266D" w:rsidRPr="009C4B54">
        <w:t xml:space="preserve">For compulsion to be assessed, </w:t>
      </w:r>
      <w:r w:rsidR="00EF78C9" w:rsidRPr="009C4B54">
        <w:t xml:space="preserve">global complexities </w:t>
      </w:r>
      <w:r w:rsidR="003A3832" w:rsidRPr="009C4B54">
        <w:t>unique to a particular location need to be considered.</w:t>
      </w:r>
      <w:r w:rsidR="00EF78C9" w:rsidRPr="009C4B54">
        <w:t xml:space="preserve"> </w:t>
      </w:r>
      <w:r w:rsidR="00756693" w:rsidRPr="009C4B54">
        <w:t xml:space="preserve">For example, witchcraft (often referred to as </w:t>
      </w:r>
      <w:r w:rsidR="00756693" w:rsidRPr="009C4B54">
        <w:rPr>
          <w:i/>
        </w:rPr>
        <w:t>juju</w:t>
      </w:r>
      <w:r w:rsidR="00756693" w:rsidRPr="009C4B54">
        <w:t xml:space="preserve">) is used throughout Africa – notably by Nigerian syndicates – to bind victims </w:t>
      </w:r>
      <w:r w:rsidR="00E957EF" w:rsidRPr="009C4B54">
        <w:t>and</w:t>
      </w:r>
      <w:r w:rsidR="00756693" w:rsidRPr="009C4B54">
        <w:t xml:space="preserve"> </w:t>
      </w:r>
      <w:r w:rsidR="00EF78C9" w:rsidRPr="009C4B54">
        <w:t xml:space="preserve">compel them </w:t>
      </w:r>
      <w:r w:rsidR="00EF78C9" w:rsidRPr="009C4B54">
        <w:lastRenderedPageBreak/>
        <w:t>to obey.</w:t>
      </w:r>
      <w:r w:rsidR="00EF78C9" w:rsidRPr="009C4B54">
        <w:rPr>
          <w:rStyle w:val="FootnoteReference"/>
        </w:rPr>
        <w:footnoteReference w:id="14"/>
      </w:r>
      <w:r w:rsidR="00756693" w:rsidRPr="009C4B54">
        <w:t xml:space="preserve"> </w:t>
      </w:r>
      <w:r w:rsidR="00EF78C9" w:rsidRPr="009C4B54">
        <w:t>Uganda h</w:t>
      </w:r>
      <w:r w:rsidR="000B77A3" w:rsidRPr="009C4B54">
        <w:t>as addressed this complexity by</w:t>
      </w:r>
      <w:r w:rsidR="00EF78C9" w:rsidRPr="009C4B54">
        <w:t xml:space="preserve"> prohibiting </w:t>
      </w:r>
      <w:r w:rsidR="00226685" w:rsidRPr="009C4B54">
        <w:t>w</w:t>
      </w:r>
      <w:r w:rsidR="00EF78C9" w:rsidRPr="009C4B54">
        <w:t>itchcraft as a mechanism to</w:t>
      </w:r>
      <w:r w:rsidR="000B77A3" w:rsidRPr="009C4B54">
        <w:t xml:space="preserve"> control</w:t>
      </w:r>
      <w:r w:rsidR="00EF78C9" w:rsidRPr="009C4B54">
        <w:t xml:space="preserve"> </w:t>
      </w:r>
      <w:r w:rsidR="00E957EF" w:rsidRPr="009C4B54">
        <w:t>victims</w:t>
      </w:r>
      <w:r w:rsidR="00EF78C9" w:rsidRPr="009C4B54">
        <w:t>.</w:t>
      </w:r>
      <w:r w:rsidR="00EF78C9" w:rsidRPr="009C4B54">
        <w:rPr>
          <w:rStyle w:val="FootnoteReference"/>
        </w:rPr>
        <w:footnoteReference w:id="15"/>
      </w:r>
      <w:r w:rsidR="00EF78C9" w:rsidRPr="009C4B54">
        <w:t xml:space="preserve"> </w:t>
      </w:r>
      <w:r w:rsidR="00E238FD" w:rsidRPr="009C4B54">
        <w:t xml:space="preserve">I </w:t>
      </w:r>
      <w:r w:rsidR="003A3832" w:rsidRPr="009C4B54">
        <w:t>recommend</w:t>
      </w:r>
      <w:r w:rsidR="00E238FD" w:rsidRPr="009C4B54">
        <w:t xml:space="preserve"> this element is required to be dynamic to address the cultural and social differences globally. </w:t>
      </w:r>
      <w:r w:rsidR="00546312" w:rsidRPr="00F878F2">
        <w:t>The Organisation for Security and Co-operation in Eur</w:t>
      </w:r>
      <w:r w:rsidR="00546312">
        <w:t xml:space="preserve">ope (OSCE) </w:t>
      </w:r>
      <w:r w:rsidR="000E2B27" w:rsidRPr="009C4B54">
        <w:t>highlights ‘being compelled to commit a crime thus includes the full array of factual circumstances in which victims lose the possibility to act with free will; not only under the threat of physical or emotional abuse, but also in the devastatingly prevalent scenarios wherein traffickers exploit victims by abuse of a position of vulnerability’.</w:t>
      </w:r>
      <w:r w:rsidR="003C0B2D" w:rsidRPr="009C4B54">
        <w:rPr>
          <w:rStyle w:val="FootnoteReference"/>
        </w:rPr>
        <w:footnoteReference w:id="16"/>
      </w:r>
      <w:r w:rsidR="000E2B27" w:rsidRPr="009C4B54">
        <w:t xml:space="preserve"> </w:t>
      </w:r>
    </w:p>
    <w:p w:rsidR="007608FD" w:rsidRPr="009C4B54" w:rsidRDefault="006F447E" w:rsidP="00ED43C2">
      <w:pPr>
        <w:pStyle w:val="ListParagraph"/>
        <w:numPr>
          <w:ilvl w:val="0"/>
          <w:numId w:val="27"/>
        </w:numPr>
        <w:ind w:left="0" w:firstLine="0"/>
        <w:jc w:val="both"/>
      </w:pPr>
      <w:r w:rsidRPr="009C4B54">
        <w:t xml:space="preserve">In </w:t>
      </w:r>
      <w:r w:rsidR="00230025" w:rsidRPr="009C4B54">
        <w:rPr>
          <w:i/>
          <w:iCs/>
        </w:rPr>
        <w:t>ELS v The Home Office</w:t>
      </w:r>
      <w:r w:rsidR="00D03325" w:rsidRPr="009C4B54">
        <w:rPr>
          <w:iCs/>
        </w:rPr>
        <w:t>,</w:t>
      </w:r>
      <w:r w:rsidRPr="009C4B54">
        <w:rPr>
          <w:i/>
          <w:iCs/>
        </w:rPr>
        <w:t xml:space="preserve"> </w:t>
      </w:r>
      <w:r w:rsidRPr="009C4B54">
        <w:t xml:space="preserve">a Moldovan national </w:t>
      </w:r>
      <w:r w:rsidR="00B76844" w:rsidRPr="009C4B54">
        <w:t xml:space="preserve">was </w:t>
      </w:r>
      <w:r w:rsidR="00B76844" w:rsidRPr="00B66687">
        <w:t>arrested</w:t>
      </w:r>
      <w:r w:rsidR="00B76844" w:rsidRPr="009C4B54">
        <w:t xml:space="preserve"> in t</w:t>
      </w:r>
      <w:r w:rsidRPr="009C4B54">
        <w:t>he U</w:t>
      </w:r>
      <w:r w:rsidR="00B66687">
        <w:t>K</w:t>
      </w:r>
      <w:r w:rsidR="0007681A" w:rsidRPr="009C4B54">
        <w:t xml:space="preserve"> </w:t>
      </w:r>
      <w:r w:rsidRPr="009C4B54">
        <w:t xml:space="preserve">after </w:t>
      </w:r>
      <w:r w:rsidR="00B76844" w:rsidRPr="009C4B54">
        <w:t>she was</w:t>
      </w:r>
      <w:r w:rsidRPr="009C4B54">
        <w:t xml:space="preserve"> kidnapped and trafficked</w:t>
      </w:r>
      <w:r w:rsidR="009215FE" w:rsidRPr="009C4B54">
        <w:t xml:space="preserve"> for roughly seven years</w:t>
      </w:r>
      <w:r w:rsidRPr="009C4B54">
        <w:t xml:space="preserve"> through Italy, Turkey, Hungary</w:t>
      </w:r>
      <w:r w:rsidR="002C4957" w:rsidRPr="009C4B54">
        <w:t>,</w:t>
      </w:r>
      <w:r w:rsidRPr="009C4B54">
        <w:t xml:space="preserve"> Romania, Israel and </w:t>
      </w:r>
      <w:r w:rsidR="004036B9" w:rsidRPr="009C4B54">
        <w:t>t</w:t>
      </w:r>
      <w:r w:rsidRPr="009C4B54">
        <w:t>he UK.</w:t>
      </w:r>
      <w:r w:rsidR="00F30AFD" w:rsidRPr="009C4B54">
        <w:t xml:space="preserve"> The trafficked person was accused of possessing false documents and was imprisoned for three months before</w:t>
      </w:r>
      <w:r w:rsidR="007D22CD" w:rsidRPr="009C4B54">
        <w:t xml:space="preserve"> the UK</w:t>
      </w:r>
      <w:r w:rsidR="00F30AFD" w:rsidRPr="009C4B54">
        <w:t xml:space="preserve"> </w:t>
      </w:r>
      <w:r w:rsidR="00FF3B3C" w:rsidRPr="009C4B54">
        <w:t>refouled</w:t>
      </w:r>
      <w:r w:rsidR="007D22CD" w:rsidRPr="009C4B54">
        <w:t xml:space="preserve"> the victim</w:t>
      </w:r>
      <w:r w:rsidR="00F30AFD" w:rsidRPr="009C4B54">
        <w:t xml:space="preserve"> to Moldova.</w:t>
      </w:r>
      <w:r w:rsidR="0042157E" w:rsidRPr="009C4B54">
        <w:rPr>
          <w:rStyle w:val="FootnoteReference"/>
        </w:rPr>
        <w:footnoteReference w:id="17"/>
      </w:r>
      <w:r w:rsidR="009215FE" w:rsidRPr="009C4B54">
        <w:t xml:space="preserve"> The UK Court of Appeal discussed the reasoning why compulsion can significantly diminish or effectively extinguish culpability for compelled crimes as ‘no realistic alternative was available to the exploited victim but to comply with the dominant force of another individual, or group of individuals’.</w:t>
      </w:r>
      <w:r w:rsidR="009215FE" w:rsidRPr="009C4B54">
        <w:rPr>
          <w:rStyle w:val="FootnoteReference"/>
        </w:rPr>
        <w:footnoteReference w:id="18"/>
      </w:r>
      <w:r w:rsidR="000B2ECF" w:rsidRPr="009C4B54">
        <w:t xml:space="preserve"> </w:t>
      </w:r>
      <w:r w:rsidR="004353AC" w:rsidRPr="009C4B54">
        <w:t>C</w:t>
      </w:r>
      <w:r w:rsidR="00E56FB6" w:rsidRPr="009C4B54">
        <w:t>ompulsion is</w:t>
      </w:r>
      <w:r w:rsidR="00A621CE" w:rsidRPr="009C4B54">
        <w:t xml:space="preserve"> </w:t>
      </w:r>
      <w:r w:rsidR="00E56FB6" w:rsidRPr="009C4B54">
        <w:t>a factor for consideration in trafficking cases and</w:t>
      </w:r>
      <w:r w:rsidR="00B76844" w:rsidRPr="009C4B54">
        <w:t xml:space="preserve"> is</w:t>
      </w:r>
      <w:r w:rsidR="00E56FB6" w:rsidRPr="009C4B54">
        <w:t xml:space="preserve"> necessary for the justification </w:t>
      </w:r>
      <w:r w:rsidR="0019665A" w:rsidRPr="009C4B54">
        <w:t xml:space="preserve">and function </w:t>
      </w:r>
      <w:r w:rsidR="00E56FB6" w:rsidRPr="009C4B54">
        <w:t xml:space="preserve">of a </w:t>
      </w:r>
      <w:r w:rsidR="002255BD" w:rsidRPr="009C4B54">
        <w:t>NPC</w:t>
      </w:r>
      <w:r w:rsidR="00E56FB6" w:rsidRPr="009C4B54">
        <w:t xml:space="preserve">. </w:t>
      </w:r>
    </w:p>
    <w:p w:rsidR="00ED43C2" w:rsidRPr="009C4B54" w:rsidRDefault="00ED43C2" w:rsidP="00ED43C2">
      <w:pPr>
        <w:pStyle w:val="ListParagraph"/>
        <w:ind w:left="0"/>
        <w:jc w:val="both"/>
      </w:pPr>
    </w:p>
    <w:p w:rsidR="00514A62" w:rsidRPr="009C4B54" w:rsidRDefault="00FB250F" w:rsidP="007608FD">
      <w:pPr>
        <w:pStyle w:val="Heading2"/>
        <w:spacing w:before="0"/>
        <w:jc w:val="both"/>
        <w:rPr>
          <w:rFonts w:ascii="Times New Roman" w:hAnsi="Times New Roman" w:cs="Times New Roman"/>
          <w:i w:val="0"/>
          <w:iCs w:val="0"/>
          <w:sz w:val="24"/>
          <w:szCs w:val="26"/>
        </w:rPr>
      </w:pPr>
      <w:bookmarkStart w:id="3" w:name="_Toc40027373"/>
      <w:r w:rsidRPr="009C4B54">
        <w:rPr>
          <w:rFonts w:ascii="Times New Roman" w:hAnsi="Times New Roman" w:cs="Times New Roman"/>
          <w:i w:val="0"/>
          <w:iCs w:val="0"/>
          <w:sz w:val="24"/>
          <w:szCs w:val="26"/>
        </w:rPr>
        <w:t xml:space="preserve">Element </w:t>
      </w:r>
      <w:r w:rsidR="00344E98" w:rsidRPr="009C4B54">
        <w:rPr>
          <w:rFonts w:ascii="Times New Roman" w:hAnsi="Times New Roman" w:cs="Times New Roman"/>
          <w:i w:val="0"/>
          <w:iCs w:val="0"/>
          <w:sz w:val="24"/>
          <w:szCs w:val="26"/>
        </w:rPr>
        <w:t>three</w:t>
      </w:r>
      <w:r w:rsidR="003E4C37" w:rsidRPr="009C4B54">
        <w:rPr>
          <w:rFonts w:ascii="Times New Roman" w:hAnsi="Times New Roman" w:cs="Times New Roman"/>
          <w:i w:val="0"/>
          <w:iCs w:val="0"/>
          <w:sz w:val="24"/>
          <w:szCs w:val="26"/>
        </w:rPr>
        <w:t xml:space="preserve">: the </w:t>
      </w:r>
      <w:r w:rsidRPr="009C4B54">
        <w:rPr>
          <w:rFonts w:ascii="Times New Roman" w:hAnsi="Times New Roman" w:cs="Times New Roman"/>
          <w:i w:val="0"/>
          <w:iCs w:val="0"/>
          <w:sz w:val="24"/>
          <w:szCs w:val="26"/>
        </w:rPr>
        <w:t>L</w:t>
      </w:r>
      <w:r w:rsidR="003E4C37" w:rsidRPr="009C4B54">
        <w:rPr>
          <w:rFonts w:ascii="Times New Roman" w:hAnsi="Times New Roman" w:cs="Times New Roman"/>
          <w:i w:val="0"/>
          <w:iCs w:val="0"/>
          <w:sz w:val="24"/>
          <w:szCs w:val="26"/>
        </w:rPr>
        <w:t xml:space="preserve">imitation of </w:t>
      </w:r>
      <w:r w:rsidRPr="009C4B54">
        <w:rPr>
          <w:rFonts w:ascii="Times New Roman" w:hAnsi="Times New Roman" w:cs="Times New Roman"/>
          <w:i w:val="0"/>
          <w:iCs w:val="0"/>
          <w:sz w:val="24"/>
          <w:szCs w:val="26"/>
        </w:rPr>
        <w:t>C</w:t>
      </w:r>
      <w:r w:rsidR="003E4C37" w:rsidRPr="009C4B54">
        <w:rPr>
          <w:rFonts w:ascii="Times New Roman" w:hAnsi="Times New Roman" w:cs="Times New Roman"/>
          <w:i w:val="0"/>
          <w:iCs w:val="0"/>
          <w:sz w:val="24"/>
          <w:szCs w:val="26"/>
        </w:rPr>
        <w:t>ompulsion</w:t>
      </w:r>
      <w:bookmarkEnd w:id="3"/>
    </w:p>
    <w:p w:rsidR="00ED43C2" w:rsidRPr="009C4B54" w:rsidRDefault="00BC31CD" w:rsidP="009C4B54">
      <w:pPr>
        <w:pStyle w:val="ListParagraph"/>
        <w:numPr>
          <w:ilvl w:val="0"/>
          <w:numId w:val="27"/>
        </w:numPr>
        <w:ind w:left="0" w:firstLine="0"/>
        <w:jc w:val="both"/>
      </w:pPr>
      <w:r w:rsidRPr="009C4B54">
        <w:t xml:space="preserve">The limitation of compulsion is imperative as </w:t>
      </w:r>
      <w:r w:rsidR="000C740D" w:rsidRPr="009C4B54">
        <w:t>it presents the scenarios which could render a NPC invalid</w:t>
      </w:r>
      <w:r w:rsidRPr="009C4B54">
        <w:t xml:space="preserve">. </w:t>
      </w:r>
      <w:r w:rsidR="003A3832" w:rsidRPr="009C4B54">
        <w:t>C</w:t>
      </w:r>
      <w:r w:rsidR="007A5D00" w:rsidRPr="009C4B54">
        <w:t>ompulsion is seen in relation with the immediacy of the threat or the removal of free will</w:t>
      </w:r>
      <w:r w:rsidR="004633F2" w:rsidRPr="009C4B54">
        <w:t>.</w:t>
      </w:r>
      <w:r w:rsidR="007A5D00" w:rsidRPr="009C4B54">
        <w:rPr>
          <w:rStyle w:val="FootnoteReference"/>
        </w:rPr>
        <w:footnoteReference w:id="19"/>
      </w:r>
      <w:r w:rsidR="004633F2" w:rsidRPr="009C4B54">
        <w:t xml:space="preserve"> </w:t>
      </w:r>
      <w:r w:rsidR="003A3832" w:rsidRPr="009C4B54">
        <w:t>An</w:t>
      </w:r>
      <w:r w:rsidR="008513C6" w:rsidRPr="009C4B54">
        <w:t xml:space="preserve"> issue with the limitation of compulsion is where prosecutors argue a lack of compulsion (‘i</w:t>
      </w:r>
      <w:r w:rsidR="00AF64D6" w:rsidRPr="009C4B54">
        <w:t>.</w:t>
      </w:r>
      <w:r w:rsidR="008513C6" w:rsidRPr="009C4B54">
        <w:t>e</w:t>
      </w:r>
      <w:r w:rsidR="00AF64D6" w:rsidRPr="009C4B54">
        <w:t>.</w:t>
      </w:r>
      <w:r w:rsidR="008513C6" w:rsidRPr="009C4B54">
        <w:t xml:space="preserve"> control falling short of the defence of duress)</w:t>
      </w:r>
      <w:r w:rsidR="002D38E3" w:rsidRPr="009C4B54">
        <w:t>, or that the offence was not closely enough connected with the trafficking situation’.</w:t>
      </w:r>
      <w:r w:rsidR="002D38E3" w:rsidRPr="009C4B54">
        <w:rPr>
          <w:rStyle w:val="FootnoteReference"/>
        </w:rPr>
        <w:footnoteReference w:id="20"/>
      </w:r>
      <w:r w:rsidR="000F64DF" w:rsidRPr="009C4B54">
        <w:t xml:space="preserve"> </w:t>
      </w:r>
      <w:r w:rsidR="001F68BA" w:rsidRPr="009C4B54">
        <w:t>A</w:t>
      </w:r>
      <w:r w:rsidR="009F546F" w:rsidRPr="009C4B54">
        <w:t xml:space="preserve"> practiced doctrine </w:t>
      </w:r>
      <w:r w:rsidR="00894635" w:rsidRPr="009C4B54">
        <w:t xml:space="preserve">to determine the limitation of compulsion is where the conduct of the crime had ‘no realistic alternative </w:t>
      </w:r>
      <w:r w:rsidR="00634686" w:rsidRPr="009C4B54">
        <w:t>(</w:t>
      </w:r>
      <w:r w:rsidR="00894635" w:rsidRPr="009C4B54">
        <w:t>…</w:t>
      </w:r>
      <w:r w:rsidR="00634686" w:rsidRPr="009C4B54">
        <w:t>)</w:t>
      </w:r>
      <w:r w:rsidR="00894635" w:rsidRPr="009C4B54">
        <w:t xml:space="preserve"> but to comply with the dominant force of another individual, or group of individuals’</w:t>
      </w:r>
      <w:r w:rsidR="00753F56" w:rsidRPr="009C4B54">
        <w:t>.</w:t>
      </w:r>
      <w:r w:rsidR="00894635" w:rsidRPr="009C4B54">
        <w:rPr>
          <w:vertAlign w:val="superscript"/>
        </w:rPr>
        <w:footnoteReference w:id="21"/>
      </w:r>
    </w:p>
    <w:sectPr w:rsidR="00ED43C2" w:rsidRPr="009C4B54" w:rsidSect="001F6D32">
      <w:footerReference w:type="even" r:id="rId9"/>
      <w:footerReference w:type="default" r:id="rId10"/>
      <w:pgSz w:w="11900"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B34" w:rsidRDefault="006A2B34" w:rsidP="00E053A4">
      <w:pPr>
        <w:spacing w:line="240" w:lineRule="auto"/>
      </w:pPr>
      <w:r>
        <w:separator/>
      </w:r>
    </w:p>
  </w:endnote>
  <w:endnote w:type="continuationSeparator" w:id="0">
    <w:p w:rsidR="006A2B34" w:rsidRDefault="006A2B34" w:rsidP="00E05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9662311"/>
      <w:docPartObj>
        <w:docPartGallery w:val="Page Numbers (Bottom of Page)"/>
        <w:docPartUnique/>
      </w:docPartObj>
    </w:sdtPr>
    <w:sdtEndPr>
      <w:rPr>
        <w:rStyle w:val="PageNumber"/>
      </w:rPr>
    </w:sdtEndPr>
    <w:sdtContent>
      <w:p w:rsidR="00E957EF" w:rsidRDefault="00E957EF" w:rsidP="00E305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57EF" w:rsidRDefault="00E9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7EF" w:rsidRDefault="00E957EF">
    <w:pPr>
      <w:pStyle w:val="Footer"/>
    </w:pPr>
  </w:p>
  <w:sdt>
    <w:sdtPr>
      <w:rPr>
        <w:rStyle w:val="PageNumber"/>
        <w:color w:val="000000" w:themeColor="text1"/>
      </w:rPr>
      <w:id w:val="480574048"/>
      <w:docPartObj>
        <w:docPartGallery w:val="Page Numbers (Bottom of Page)"/>
        <w:docPartUnique/>
      </w:docPartObj>
    </w:sdtPr>
    <w:sdtEndPr>
      <w:rPr>
        <w:rStyle w:val="PageNumber"/>
      </w:rPr>
    </w:sdtEndPr>
    <w:sdtContent>
      <w:p w:rsidR="00E957EF" w:rsidRPr="00E053A4" w:rsidRDefault="00E957EF" w:rsidP="00B2170C">
        <w:pPr>
          <w:pStyle w:val="Footer"/>
          <w:framePr w:w="706" w:wrap="none" w:vAnchor="text" w:hAnchor="page" w:x="5858" w:y="64"/>
          <w:rPr>
            <w:rStyle w:val="PageNumber"/>
            <w:color w:val="000000" w:themeColor="text1"/>
          </w:rPr>
        </w:pPr>
        <w:r w:rsidRPr="00E053A4">
          <w:rPr>
            <w:rStyle w:val="PageNumber"/>
            <w:color w:val="000000" w:themeColor="text1"/>
          </w:rPr>
          <w:fldChar w:fldCharType="begin"/>
        </w:r>
        <w:r w:rsidRPr="00E053A4">
          <w:rPr>
            <w:rStyle w:val="PageNumber"/>
            <w:color w:val="000000" w:themeColor="text1"/>
          </w:rPr>
          <w:instrText xml:space="preserve"> PAGE </w:instrText>
        </w:r>
        <w:r w:rsidRPr="00E053A4">
          <w:rPr>
            <w:rStyle w:val="PageNumber"/>
            <w:color w:val="000000" w:themeColor="text1"/>
          </w:rPr>
          <w:fldChar w:fldCharType="separate"/>
        </w:r>
        <w:r w:rsidR="000C3645">
          <w:rPr>
            <w:rStyle w:val="PageNumber"/>
            <w:noProof/>
            <w:color w:val="000000" w:themeColor="text1"/>
          </w:rPr>
          <w:t>4</w:t>
        </w:r>
        <w:r w:rsidRPr="00E053A4">
          <w:rPr>
            <w:rStyle w:val="PageNumber"/>
            <w:color w:val="000000" w:themeColor="text1"/>
          </w:rPr>
          <w:fldChar w:fldCharType="end"/>
        </w:r>
      </w:p>
    </w:sdtContent>
  </w:sdt>
  <w:p w:rsidR="00E957EF" w:rsidRDefault="00E957E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B34" w:rsidRDefault="006A2B34" w:rsidP="00E053A4">
      <w:pPr>
        <w:spacing w:line="240" w:lineRule="auto"/>
      </w:pPr>
      <w:r>
        <w:separator/>
      </w:r>
    </w:p>
  </w:footnote>
  <w:footnote w:type="continuationSeparator" w:id="0">
    <w:p w:rsidR="006A2B34" w:rsidRDefault="006A2B34" w:rsidP="00E053A4">
      <w:pPr>
        <w:spacing w:line="240" w:lineRule="auto"/>
      </w:pPr>
      <w:r>
        <w:continuationSeparator/>
      </w:r>
    </w:p>
  </w:footnote>
  <w:footnote w:id="1">
    <w:p w:rsidR="00460FED" w:rsidRPr="006A7623" w:rsidRDefault="00460FED" w:rsidP="00460FED">
      <w:pPr>
        <w:pStyle w:val="FootnoteText"/>
        <w:rPr>
          <w:lang w:val="en-US"/>
        </w:rPr>
      </w:pPr>
      <w:r w:rsidRPr="006A7623">
        <w:rPr>
          <w:rStyle w:val="FootnoteReference"/>
        </w:rPr>
        <w:footnoteRef/>
      </w:r>
      <w:r w:rsidRPr="006A7623">
        <w:t xml:space="preserve"> </w:t>
      </w:r>
      <w:r w:rsidR="006A7623" w:rsidRPr="006A7623">
        <w:rPr>
          <w:i/>
        </w:rPr>
        <w:t>R v N</w:t>
      </w:r>
      <w:r w:rsidR="006A7623" w:rsidRPr="006A7623">
        <w:t xml:space="preserve"> [2012] EWCA Crim 189 Court of Appeal (UK)</w:t>
      </w:r>
    </w:p>
  </w:footnote>
  <w:footnote w:id="2">
    <w:p w:rsidR="00B4765C" w:rsidRPr="006A7623" w:rsidRDefault="00B4765C" w:rsidP="00B4765C">
      <w:pPr>
        <w:pStyle w:val="FootnoteText"/>
        <w:rPr>
          <w:lang w:val="en-US"/>
        </w:rPr>
      </w:pPr>
      <w:r w:rsidRPr="006A7623">
        <w:rPr>
          <w:rStyle w:val="FootnoteReference"/>
        </w:rPr>
        <w:footnoteRef/>
      </w:r>
      <w:r w:rsidRPr="006A7623">
        <w:t xml:space="preserve"> </w:t>
      </w:r>
      <w:r w:rsidR="006A7623" w:rsidRPr="006A7623">
        <w:t>ibid</w:t>
      </w:r>
    </w:p>
  </w:footnote>
  <w:footnote w:id="3">
    <w:p w:rsidR="00460FED" w:rsidRPr="006A7623" w:rsidRDefault="00460FED" w:rsidP="00460FED">
      <w:pPr>
        <w:pStyle w:val="FootnoteText"/>
        <w:rPr>
          <w:lang w:val="en-US"/>
        </w:rPr>
      </w:pPr>
      <w:r w:rsidRPr="006A7623">
        <w:rPr>
          <w:rStyle w:val="FootnoteReference"/>
        </w:rPr>
        <w:footnoteRef/>
      </w:r>
      <w:r w:rsidRPr="006A7623">
        <w:t xml:space="preserve"> </w:t>
      </w:r>
      <w:r w:rsidR="00530C34" w:rsidRPr="00FC25BB">
        <w:t xml:space="preserve">Julia </w:t>
      </w:r>
      <w:proofErr w:type="spellStart"/>
      <w:r w:rsidR="00530C34" w:rsidRPr="00FC25BB">
        <w:t>Muraszkiewicz</w:t>
      </w:r>
      <w:proofErr w:type="spellEnd"/>
      <w:r w:rsidR="00530C34" w:rsidRPr="00FC25BB">
        <w:t xml:space="preserve">, ‘Protecting victims of human trafficking from liability: an evaluation of section 45 of the Modern Slavery Act’ </w:t>
      </w:r>
      <w:r w:rsidR="00530C34">
        <w:t>(2</w:t>
      </w:r>
      <w:r w:rsidR="00530C34" w:rsidRPr="00FC25BB">
        <w:t>019</w:t>
      </w:r>
      <w:r w:rsidR="00530C34">
        <w:t>) 83</w:t>
      </w:r>
      <w:r w:rsidR="00530C34" w:rsidRPr="00FC25BB">
        <w:t xml:space="preserve"> Journal of Criminal Law </w:t>
      </w:r>
      <w:r w:rsidRPr="006A7623">
        <w:t>4</w:t>
      </w:r>
    </w:p>
  </w:footnote>
  <w:footnote w:id="4">
    <w:p w:rsidR="00460FED" w:rsidRPr="006A7623" w:rsidRDefault="00460FED" w:rsidP="00460FED">
      <w:pPr>
        <w:pStyle w:val="FootnoteText"/>
        <w:rPr>
          <w:lang w:val="it-IT"/>
        </w:rPr>
      </w:pPr>
      <w:r w:rsidRPr="006A7623">
        <w:rPr>
          <w:rStyle w:val="FootnoteReference"/>
        </w:rPr>
        <w:footnoteRef/>
      </w:r>
      <w:r w:rsidRPr="006A7623">
        <w:rPr>
          <w:lang w:val="it-IT"/>
        </w:rPr>
        <w:t xml:space="preserve"> </w:t>
      </w:r>
      <w:r w:rsidRPr="006A7623">
        <w:rPr>
          <w:lang w:val="it-IT"/>
        </w:rPr>
        <w:t>Chapter 14 NCGSA (North Carolina, USA) § 15A – 145.6 B (2)</w:t>
      </w:r>
    </w:p>
  </w:footnote>
  <w:footnote w:id="5">
    <w:p w:rsidR="00460FED" w:rsidRPr="006A7623" w:rsidRDefault="00460FED" w:rsidP="006A7623">
      <w:pPr>
        <w:spacing w:line="240" w:lineRule="auto"/>
        <w:rPr>
          <w:sz w:val="20"/>
          <w:szCs w:val="20"/>
        </w:rPr>
      </w:pPr>
      <w:r w:rsidRPr="006A7623">
        <w:rPr>
          <w:rStyle w:val="FootnoteReference"/>
          <w:sz w:val="20"/>
          <w:szCs w:val="20"/>
        </w:rPr>
        <w:footnoteRef/>
      </w:r>
      <w:r w:rsidRPr="006A7623">
        <w:rPr>
          <w:sz w:val="20"/>
          <w:szCs w:val="20"/>
        </w:rPr>
        <w:t xml:space="preserve"> </w:t>
      </w:r>
      <w:r w:rsidR="006A7623" w:rsidRPr="006A7623">
        <w:rPr>
          <w:sz w:val="20"/>
          <w:szCs w:val="20"/>
        </w:rPr>
        <w:t xml:space="preserve">LexisNexis International &amp; Foreign Law Centre </w:t>
      </w:r>
      <w:r w:rsidR="006A7623" w:rsidRPr="006A7623">
        <w:rPr>
          <w:i/>
          <w:iCs/>
          <w:sz w:val="20"/>
          <w:szCs w:val="20"/>
        </w:rPr>
        <w:t>‘</w:t>
      </w:r>
      <w:r w:rsidR="006A7623" w:rsidRPr="006A7623">
        <w:rPr>
          <w:iCs/>
          <w:sz w:val="20"/>
          <w:szCs w:val="20"/>
        </w:rPr>
        <w:t>Nigerian Sex Trafficking, Witchcraft, and the Rule of Law’</w:t>
      </w:r>
      <w:r w:rsidR="006A7623" w:rsidRPr="006A7623">
        <w:rPr>
          <w:sz w:val="20"/>
          <w:szCs w:val="20"/>
        </w:rPr>
        <w:t xml:space="preserve"> (LexisNexis International &amp; Foreign Law Centre, 27 November 2012) &lt;</w:t>
      </w:r>
      <w:hyperlink r:id="rId1" w:history="1">
        <w:r w:rsidR="006A7623" w:rsidRPr="006A7623">
          <w:rPr>
            <w:rStyle w:val="Hyperlink"/>
            <w:color w:val="auto"/>
            <w:sz w:val="20"/>
            <w:szCs w:val="20"/>
          </w:rPr>
          <w:t>https://www.lexisnexis.com/LegalNewsRoom/international-law/b/issuesspotlight/posts/nigeria-sex-trafficking-human-rights-rule-of-law</w:t>
        </w:r>
      </w:hyperlink>
      <w:r w:rsidR="006A7623" w:rsidRPr="006A7623">
        <w:rPr>
          <w:sz w:val="20"/>
          <w:szCs w:val="20"/>
        </w:rPr>
        <w:t>&gt; accessed 10 December 2019</w:t>
      </w:r>
      <w:r w:rsidRPr="006A7623">
        <w:rPr>
          <w:iCs/>
          <w:sz w:val="20"/>
          <w:szCs w:val="20"/>
        </w:rPr>
        <w:t xml:space="preserve">; </w:t>
      </w:r>
      <w:r w:rsidR="006A7623" w:rsidRPr="006A7623">
        <w:rPr>
          <w:sz w:val="20"/>
          <w:szCs w:val="20"/>
        </w:rPr>
        <w:t xml:space="preserve">Ronald Wong, ‘A Critique of International and Singapore Legal Treatments of Trafficking in Persons’ [2014] Singapore Journal of Legal Studies 179 &lt;https://ssrn.com/abstract=2529057&gt; accessed 16 April 2020 </w:t>
      </w:r>
      <w:r w:rsidRPr="006A7623">
        <w:rPr>
          <w:sz w:val="20"/>
          <w:szCs w:val="20"/>
        </w:rPr>
        <w:t>art 2(1)(1) of the Taiwanese Human Trafficking Prevention and Control Act includes “drugs [and] hypnosis” as a means of control</w:t>
      </w:r>
    </w:p>
  </w:footnote>
  <w:footnote w:id="6">
    <w:p w:rsidR="00E957EF" w:rsidRPr="00E60E53" w:rsidRDefault="00E957EF" w:rsidP="00E73F99">
      <w:pPr>
        <w:pStyle w:val="FootnoteText"/>
        <w:rPr>
          <w:lang w:val="it-IT"/>
        </w:rPr>
      </w:pPr>
      <w:r w:rsidRPr="004A77DE">
        <w:rPr>
          <w:rStyle w:val="FootnoteReference"/>
        </w:rPr>
        <w:footnoteRef/>
      </w:r>
      <w:r w:rsidRPr="00E60E53">
        <w:rPr>
          <w:lang w:val="it-IT"/>
        </w:rPr>
        <w:t xml:space="preserve"> </w:t>
      </w:r>
      <w:r w:rsidR="006A7623" w:rsidRPr="0001110D">
        <w:t>UN</w:t>
      </w:r>
      <w:r w:rsidR="006A7623">
        <w:t>GA</w:t>
      </w:r>
      <w:r w:rsidR="006A7623" w:rsidRPr="00741356">
        <w:t>, Trafficking in Persons especially Women and Children: Special Rapporteur on Trafficking in Persons, Especially Women and Children</w:t>
      </w:r>
      <w:r w:rsidR="006A7623" w:rsidRPr="0001110D">
        <w:t xml:space="preserve"> (2 August 2013)</w:t>
      </w:r>
      <w:r w:rsidR="006A7623">
        <w:t xml:space="preserve"> UN Doc</w:t>
      </w:r>
      <w:r w:rsidR="006A7623" w:rsidRPr="0001110D">
        <w:t xml:space="preserve"> A/68/256</w:t>
      </w:r>
      <w:r w:rsidR="006A7623" w:rsidRPr="0001110D">
        <w:rPr>
          <w:i/>
          <w:iCs/>
        </w:rPr>
        <w:t xml:space="preserve"> </w:t>
      </w:r>
      <w:r w:rsidR="006A7623" w:rsidRPr="0001110D">
        <w:t xml:space="preserve">p17 </w:t>
      </w:r>
      <w:r w:rsidR="006A7623">
        <w:t>p</w:t>
      </w:r>
      <w:r w:rsidR="006A7623" w:rsidRPr="0001110D">
        <w:t>ara 58</w:t>
      </w:r>
    </w:p>
  </w:footnote>
  <w:footnote w:id="7">
    <w:p w:rsidR="00E957EF" w:rsidRPr="00E5705D" w:rsidRDefault="00E957EF" w:rsidP="00B660A8">
      <w:pPr>
        <w:pStyle w:val="FootnoteText"/>
        <w:rPr>
          <w:lang w:val="it-IT"/>
        </w:rPr>
      </w:pPr>
      <w:r w:rsidRPr="004A77DE">
        <w:rPr>
          <w:rStyle w:val="FootnoteReference"/>
        </w:rPr>
        <w:footnoteRef/>
      </w:r>
      <w:r w:rsidRPr="00E5705D">
        <w:rPr>
          <w:lang w:val="it-IT"/>
        </w:rPr>
        <w:t xml:space="preserve"> </w:t>
      </w:r>
      <w:r w:rsidR="006A7623" w:rsidRPr="0066613D">
        <w:t xml:space="preserve">Protocol to Prevent, Suppress and Punish Trafficking in Persons, Especially Women and Children, </w:t>
      </w:r>
      <w:r w:rsidR="006A7623">
        <w:t>s</w:t>
      </w:r>
      <w:r w:rsidR="006A7623" w:rsidRPr="0066613D">
        <w:t>upplementing the United Nations Convention against Transnational Organized Crime (adopted</w:t>
      </w:r>
      <w:r w:rsidR="006A7623">
        <w:t xml:space="preserve"> 15 November 2000, entered into force 25 December 2003) UN Doc A/55/383 </w:t>
      </w:r>
      <w:r w:rsidR="006A7623" w:rsidRPr="0066613D">
        <w:t xml:space="preserve">(Palermo Protocol) </w:t>
      </w:r>
      <w:r w:rsidRPr="00E5705D">
        <w:rPr>
          <w:lang w:val="it-IT"/>
        </w:rPr>
        <w:t>art 3 (b)</w:t>
      </w:r>
    </w:p>
  </w:footnote>
  <w:footnote w:id="8">
    <w:p w:rsidR="00E957EF" w:rsidRPr="004A77DE" w:rsidRDefault="00E957EF" w:rsidP="006376BF">
      <w:pPr>
        <w:pStyle w:val="FootnoteText"/>
      </w:pPr>
      <w:r w:rsidRPr="004A77DE">
        <w:rPr>
          <w:rStyle w:val="FootnoteReference"/>
        </w:rPr>
        <w:footnoteRef/>
      </w:r>
      <w:r w:rsidRPr="004A77DE">
        <w:t xml:space="preserve"> </w:t>
      </w:r>
      <w:r>
        <w:t>ibid</w:t>
      </w:r>
      <w:r w:rsidRPr="004A77DE">
        <w:t xml:space="preserve"> art 3 (c); </w:t>
      </w:r>
      <w:r>
        <w:t xml:space="preserve">Council Framework decision </w:t>
      </w:r>
      <w:r w:rsidRPr="004A77DE">
        <w:t>2002/629/JHA</w:t>
      </w:r>
      <w:r>
        <w:t xml:space="preserve"> </w:t>
      </w:r>
      <w:r w:rsidRPr="004A77DE">
        <w:t>on combati</w:t>
      </w:r>
      <w:r>
        <w:t xml:space="preserve">ng trafficking in human beings </w:t>
      </w:r>
      <w:r w:rsidRPr="004A77DE">
        <w:t xml:space="preserve">[2002], OJ L 203, </w:t>
      </w:r>
      <w:r>
        <w:t>a</w:t>
      </w:r>
      <w:r w:rsidRPr="004A77DE">
        <w:t>rt 1 (3)</w:t>
      </w:r>
      <w:r w:rsidR="006A7623">
        <w:t xml:space="preserve">  </w:t>
      </w:r>
    </w:p>
  </w:footnote>
  <w:footnote w:id="9">
    <w:p w:rsidR="00E957EF" w:rsidRPr="00E60E53" w:rsidRDefault="00E957EF" w:rsidP="006376BF">
      <w:pPr>
        <w:pStyle w:val="FootnoteText"/>
        <w:rPr>
          <w:lang w:val="en-US"/>
        </w:rPr>
      </w:pPr>
      <w:r w:rsidRPr="004A77DE">
        <w:rPr>
          <w:rStyle w:val="FootnoteReference"/>
        </w:rPr>
        <w:footnoteRef/>
      </w:r>
      <w:r w:rsidRPr="00E60E53">
        <w:rPr>
          <w:lang w:val="en-US"/>
        </w:rPr>
        <w:t xml:space="preserve"> </w:t>
      </w:r>
      <w:r>
        <w:rPr>
          <w:lang w:val="it-IT"/>
        </w:rPr>
        <w:t>see</w:t>
      </w:r>
      <w:r w:rsidRPr="00D477E8">
        <w:rPr>
          <w:lang w:val="it-IT"/>
        </w:rPr>
        <w:t xml:space="preserve"> </w:t>
      </w:r>
      <w:r w:rsidRPr="00E60E53">
        <w:rPr>
          <w:lang w:val="en-US"/>
        </w:rPr>
        <w:t xml:space="preserve">UNGA Special Rapporteur report A/68/256 </w:t>
      </w:r>
      <w:r>
        <w:rPr>
          <w:lang w:val="en-US"/>
        </w:rPr>
        <w:t>(n</w:t>
      </w:r>
      <w:r w:rsidR="006A7623">
        <w:rPr>
          <w:lang w:val="en-US"/>
        </w:rPr>
        <w:t xml:space="preserve"> 6</w:t>
      </w:r>
      <w:r>
        <w:rPr>
          <w:lang w:val="en-US"/>
        </w:rPr>
        <w:t>)</w:t>
      </w:r>
      <w:r w:rsidRPr="00E60E53">
        <w:rPr>
          <w:lang w:val="en-US"/>
        </w:rPr>
        <w:t xml:space="preserve"> para 68 </w:t>
      </w:r>
    </w:p>
  </w:footnote>
  <w:footnote w:id="10">
    <w:p w:rsidR="00E957EF" w:rsidRPr="005D686D" w:rsidRDefault="00E957EF" w:rsidP="004326E0">
      <w:pPr>
        <w:pStyle w:val="FootnoteText"/>
      </w:pPr>
      <w:r w:rsidRPr="0098704A">
        <w:rPr>
          <w:rStyle w:val="FootnoteReference"/>
        </w:rPr>
        <w:footnoteRef/>
      </w:r>
      <w:r w:rsidRPr="0098704A">
        <w:t xml:space="preserve"> </w:t>
      </w:r>
      <w:r>
        <w:rPr>
          <w:lang w:val="it-IT"/>
        </w:rPr>
        <w:t>see</w:t>
      </w:r>
      <w:r w:rsidRPr="00D477E8">
        <w:rPr>
          <w:lang w:val="it-IT"/>
        </w:rPr>
        <w:t xml:space="preserve"> </w:t>
      </w:r>
      <w:r w:rsidRPr="0066613D">
        <w:t xml:space="preserve">Protocol to Prevent, Suppress and Punish Trafficking in Persons, Especially Women and Children, </w:t>
      </w:r>
      <w:r>
        <w:t>s</w:t>
      </w:r>
      <w:r w:rsidRPr="0066613D">
        <w:t xml:space="preserve">upplementing the United Nations Convention against Transnational Organized Crime </w:t>
      </w:r>
      <w:r w:rsidRPr="00E5705D">
        <w:rPr>
          <w:lang w:val="en-US"/>
        </w:rPr>
        <w:t>(Palermo)</w:t>
      </w:r>
      <w:r w:rsidRPr="0098704A">
        <w:t xml:space="preserve"> </w:t>
      </w:r>
      <w:r>
        <w:t>(</w:t>
      </w:r>
      <w:r>
        <w:rPr>
          <w:lang w:val="en-US"/>
        </w:rPr>
        <w:t>n</w:t>
      </w:r>
      <w:r w:rsidRPr="00E5705D">
        <w:rPr>
          <w:lang w:val="en-US"/>
        </w:rPr>
        <w:t xml:space="preserve"> </w:t>
      </w:r>
      <w:r w:rsidR="006A7623">
        <w:rPr>
          <w:lang w:val="en-US"/>
        </w:rPr>
        <w:t>7</w:t>
      </w:r>
      <w:r>
        <w:rPr>
          <w:lang w:val="en-US"/>
        </w:rPr>
        <w:t>)</w:t>
      </w:r>
      <w:r w:rsidRPr="00E5705D">
        <w:rPr>
          <w:lang w:val="en-US"/>
        </w:rPr>
        <w:t xml:space="preserve"> </w:t>
      </w:r>
      <w:r w:rsidRPr="0098704A">
        <w:t xml:space="preserve">art 3 (a) provides an overview of settings where the consent of a potential trafficking victim is obtained and what should be vitiated. Article 3 (a) is as follows ‘(a) "Trafficking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w:t>
      </w:r>
      <w:r w:rsidRPr="005D686D">
        <w:t>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E957EF" w:rsidRPr="005D686D" w:rsidRDefault="00E957EF" w:rsidP="00B139EB">
      <w:pPr>
        <w:pStyle w:val="FootnoteText"/>
      </w:pPr>
      <w:r w:rsidRPr="005D686D">
        <w:t xml:space="preserve">(b) The consent of a victim of trafficking in persons to the intended exploitation set forth in subparagraph (a) of this article shall be irrelevant where any of the means set forth in </w:t>
      </w:r>
      <w:r>
        <w:t>subparagraph (a) have been used.</w:t>
      </w:r>
    </w:p>
  </w:footnote>
  <w:footnote w:id="11">
    <w:p w:rsidR="00E957EF" w:rsidRPr="00FD38E5" w:rsidRDefault="00E957EF" w:rsidP="00E25B9A">
      <w:pPr>
        <w:pStyle w:val="FootnoteText"/>
        <w:rPr>
          <w:lang w:val="it-IT"/>
        </w:rPr>
      </w:pPr>
      <w:r w:rsidRPr="005D686D">
        <w:rPr>
          <w:rStyle w:val="FootnoteReference"/>
        </w:rPr>
        <w:footnoteRef/>
      </w:r>
      <w:r w:rsidRPr="00FD38E5">
        <w:rPr>
          <w:lang w:val="it-IT"/>
        </w:rPr>
        <w:t xml:space="preserve"> </w:t>
      </w:r>
      <w:r>
        <w:rPr>
          <w:lang w:val="it-IT"/>
        </w:rPr>
        <w:t>see</w:t>
      </w:r>
      <w:r w:rsidRPr="00D477E8">
        <w:rPr>
          <w:lang w:val="it-IT"/>
        </w:rPr>
        <w:t xml:space="preserve"> UNGA Special</w:t>
      </w:r>
      <w:r w:rsidR="006A7623">
        <w:rPr>
          <w:lang w:val="it-IT"/>
        </w:rPr>
        <w:t xml:space="preserve"> Rapporteur report A/68/256 (n 6</w:t>
      </w:r>
      <w:r w:rsidRPr="00D477E8">
        <w:rPr>
          <w:lang w:val="it-IT"/>
        </w:rPr>
        <w:t xml:space="preserve">) </w:t>
      </w:r>
      <w:r w:rsidR="006A7623">
        <w:rPr>
          <w:lang w:val="it-IT"/>
        </w:rPr>
        <w:t>para 52</w:t>
      </w:r>
      <w:r w:rsidRPr="00FD38E5">
        <w:rPr>
          <w:lang w:val="it-IT"/>
        </w:rPr>
        <w:t xml:space="preserve"> </w:t>
      </w:r>
    </w:p>
  </w:footnote>
  <w:footnote w:id="12">
    <w:p w:rsidR="00E957EF" w:rsidRPr="00D477E8" w:rsidRDefault="00E957EF" w:rsidP="00875FAC">
      <w:pPr>
        <w:pStyle w:val="FootnoteText"/>
        <w:rPr>
          <w:lang w:val="it-IT"/>
        </w:rPr>
      </w:pPr>
      <w:r w:rsidRPr="005D686D">
        <w:rPr>
          <w:rStyle w:val="FootnoteReference"/>
        </w:rPr>
        <w:footnoteRef/>
      </w:r>
      <w:r w:rsidRPr="00D477E8">
        <w:rPr>
          <w:lang w:val="it-IT"/>
        </w:rPr>
        <w:t xml:space="preserve"> </w:t>
      </w:r>
      <w:proofErr w:type="spellStart"/>
      <w:r w:rsidR="006A7623" w:rsidRPr="002A5A4A">
        <w:t>Ryszard</w:t>
      </w:r>
      <w:proofErr w:type="spellEnd"/>
      <w:r w:rsidR="006A7623" w:rsidRPr="002A5A4A">
        <w:t xml:space="preserve"> </w:t>
      </w:r>
      <w:proofErr w:type="spellStart"/>
      <w:r w:rsidR="006A7623" w:rsidRPr="002A5A4A">
        <w:t>Piotowicz</w:t>
      </w:r>
      <w:proofErr w:type="spellEnd"/>
      <w:r w:rsidR="006A7623" w:rsidRPr="002A5A4A">
        <w:t xml:space="preserve">, </w:t>
      </w:r>
      <w:r w:rsidR="006A7623" w:rsidRPr="002A5A4A">
        <w:rPr>
          <w:i/>
          <w:iCs/>
        </w:rPr>
        <w:t>Routledge Handbook of Human Trafficking</w:t>
      </w:r>
      <w:r w:rsidR="006A7623" w:rsidRPr="002A5A4A">
        <w:t xml:space="preserve"> (Routledge</w:t>
      </w:r>
      <w:r w:rsidR="006A7623">
        <w:t xml:space="preserve"> </w:t>
      </w:r>
      <w:r w:rsidR="006A7623" w:rsidRPr="002A5A4A">
        <w:t>International</w:t>
      </w:r>
      <w:r w:rsidR="006A7623">
        <w:t xml:space="preserve"> 2017) </w:t>
      </w:r>
      <w:r w:rsidRPr="00D477E8">
        <w:rPr>
          <w:lang w:val="it-IT"/>
        </w:rPr>
        <w:t>192</w:t>
      </w:r>
    </w:p>
  </w:footnote>
  <w:footnote w:id="13">
    <w:p w:rsidR="00E957EF" w:rsidRPr="005D686D" w:rsidRDefault="00E957EF" w:rsidP="0034209E">
      <w:pPr>
        <w:pStyle w:val="FootnoteText"/>
        <w:rPr>
          <w:lang w:val="en-US"/>
        </w:rPr>
      </w:pPr>
      <w:r w:rsidRPr="00FC25BB">
        <w:rPr>
          <w:rStyle w:val="FootnoteReference"/>
        </w:rPr>
        <w:footnoteRef/>
      </w:r>
      <w:r w:rsidRPr="00FC25BB">
        <w:t xml:space="preserve"> </w:t>
      </w:r>
      <w:r w:rsidR="003D69EB">
        <w:t>see</w:t>
      </w:r>
      <w:r w:rsidRPr="00FC25BB">
        <w:t xml:space="preserve"> </w:t>
      </w:r>
      <w:proofErr w:type="spellStart"/>
      <w:r w:rsidRPr="00FC25BB">
        <w:t>Muraszkiewicz</w:t>
      </w:r>
      <w:proofErr w:type="spellEnd"/>
      <w:r w:rsidR="003D69EB">
        <w:t xml:space="preserve"> (n 3)</w:t>
      </w:r>
      <w:r w:rsidRPr="00FC25BB">
        <w:t xml:space="preserve"> 394</w:t>
      </w:r>
    </w:p>
  </w:footnote>
  <w:footnote w:id="14">
    <w:p w:rsidR="00E957EF" w:rsidRPr="00155175" w:rsidRDefault="00E957EF" w:rsidP="006972E8">
      <w:pPr>
        <w:spacing w:line="240" w:lineRule="auto"/>
        <w:rPr>
          <w:sz w:val="20"/>
          <w:szCs w:val="20"/>
        </w:rPr>
      </w:pPr>
      <w:r w:rsidRPr="002A41AC">
        <w:rPr>
          <w:rStyle w:val="FootnoteReference"/>
          <w:sz w:val="20"/>
          <w:szCs w:val="20"/>
        </w:rPr>
        <w:footnoteRef/>
      </w:r>
      <w:r w:rsidRPr="002A41AC">
        <w:rPr>
          <w:sz w:val="20"/>
          <w:szCs w:val="20"/>
        </w:rPr>
        <w:t xml:space="preserve"> </w:t>
      </w:r>
      <w:r w:rsidR="006A7623">
        <w:rPr>
          <w:sz w:val="20"/>
          <w:szCs w:val="20"/>
        </w:rPr>
        <w:t xml:space="preserve">see </w:t>
      </w:r>
      <w:r w:rsidRPr="002A41AC">
        <w:rPr>
          <w:sz w:val="20"/>
          <w:szCs w:val="20"/>
        </w:rPr>
        <w:t xml:space="preserve">LexisNexis International &amp; Foreign Law Centre </w:t>
      </w:r>
      <w:r w:rsidRPr="002A41AC">
        <w:rPr>
          <w:i/>
          <w:iCs/>
          <w:sz w:val="20"/>
          <w:szCs w:val="20"/>
        </w:rPr>
        <w:t>‘</w:t>
      </w:r>
      <w:r w:rsidRPr="00C778A4">
        <w:rPr>
          <w:iCs/>
          <w:sz w:val="20"/>
          <w:szCs w:val="20"/>
        </w:rPr>
        <w:t>Nigerian Sex Trafficking, Witchcraft, and the Rule of Law’</w:t>
      </w:r>
      <w:r w:rsidRPr="00C778A4">
        <w:rPr>
          <w:sz w:val="20"/>
          <w:szCs w:val="20"/>
        </w:rPr>
        <w:t xml:space="preserve"> </w:t>
      </w:r>
      <w:r w:rsidR="006A7623">
        <w:rPr>
          <w:sz w:val="20"/>
          <w:szCs w:val="20"/>
        </w:rPr>
        <w:t>(n 5)</w:t>
      </w:r>
    </w:p>
  </w:footnote>
  <w:footnote w:id="15">
    <w:p w:rsidR="00E957EF" w:rsidRPr="00B139EB" w:rsidRDefault="00E957EF" w:rsidP="006972E8">
      <w:pPr>
        <w:pStyle w:val="FootnoteText"/>
      </w:pPr>
      <w:r w:rsidRPr="00155175">
        <w:rPr>
          <w:rStyle w:val="FootnoteReference"/>
        </w:rPr>
        <w:footnoteRef/>
      </w:r>
      <w:r w:rsidRPr="00155175">
        <w:t xml:space="preserve"> Prevention of Trafficking in Persons Act (2009) Uganda</w:t>
      </w:r>
      <w:r w:rsidRPr="00B139EB">
        <w:t>, act 7, section 4 (</w:t>
      </w:r>
      <w:proofErr w:type="spellStart"/>
      <w:r w:rsidRPr="00B139EB">
        <w:t>i</w:t>
      </w:r>
      <w:proofErr w:type="spellEnd"/>
      <w:r w:rsidRPr="00B139EB">
        <w:t>)</w:t>
      </w:r>
    </w:p>
  </w:footnote>
  <w:footnote w:id="16">
    <w:p w:rsidR="00E957EF" w:rsidRPr="00B139EB" w:rsidRDefault="00E957EF" w:rsidP="006972E8">
      <w:pPr>
        <w:pStyle w:val="FootnoteText"/>
      </w:pPr>
      <w:r w:rsidRPr="00F76F55">
        <w:rPr>
          <w:rStyle w:val="FootnoteReference"/>
        </w:rPr>
        <w:footnoteRef/>
      </w:r>
      <w:r w:rsidRPr="00F76F55">
        <w:t xml:space="preserve"> OSCE, </w:t>
      </w:r>
      <w:r w:rsidRPr="006D2A34">
        <w:rPr>
          <w:i/>
          <w:iCs/>
        </w:rPr>
        <w:t>Policy and Legislative Recommendations towards the Effective Implementation of the Non-Punishment Provision With Regard to Victims of Trafficking</w:t>
      </w:r>
      <w:r>
        <w:rPr>
          <w:i/>
          <w:iCs/>
        </w:rPr>
        <w:t xml:space="preserve"> </w:t>
      </w:r>
      <w:r>
        <w:t>(Office of the Special Representative and Co-ordinator for Combating Trafficking in Human Beings)</w:t>
      </w:r>
      <w:r w:rsidRPr="00F76F55">
        <w:t xml:space="preserve"> (2013) para 12</w:t>
      </w:r>
    </w:p>
  </w:footnote>
  <w:footnote w:id="17">
    <w:p w:rsidR="00E957EF" w:rsidRPr="00B139EB" w:rsidRDefault="00E957EF" w:rsidP="006972E8">
      <w:pPr>
        <w:pStyle w:val="FootnoteText"/>
      </w:pPr>
      <w:r w:rsidRPr="00B139EB">
        <w:rPr>
          <w:rStyle w:val="FootnoteReference"/>
        </w:rPr>
        <w:footnoteRef/>
      </w:r>
      <w:r w:rsidRPr="00B139EB">
        <w:t xml:space="preserve"> </w:t>
      </w:r>
      <w:r w:rsidRPr="00693D0B">
        <w:rPr>
          <w:i/>
        </w:rPr>
        <w:t>ELS v The Home Office</w:t>
      </w:r>
      <w:r w:rsidRPr="00B139EB">
        <w:t xml:space="preserve"> (UK), claim no. HQ09X01333</w:t>
      </w:r>
    </w:p>
  </w:footnote>
  <w:footnote w:id="18">
    <w:p w:rsidR="00E957EF" w:rsidRPr="0001110D" w:rsidRDefault="00E957EF" w:rsidP="00875FAC">
      <w:pPr>
        <w:pStyle w:val="FootnoteText"/>
      </w:pPr>
      <w:r w:rsidRPr="00B139EB">
        <w:rPr>
          <w:rStyle w:val="FootnoteReference"/>
        </w:rPr>
        <w:footnoteRef/>
      </w:r>
      <w:r w:rsidRPr="00B139EB">
        <w:t xml:space="preserve"> </w:t>
      </w:r>
      <w:r w:rsidRPr="00B76844">
        <w:rPr>
          <w:i/>
        </w:rPr>
        <w:t>R v L. and other appeals</w:t>
      </w:r>
      <w:r w:rsidRPr="00B139EB">
        <w:t xml:space="preserve"> [2013] EWCA Crim 991; [2014] 1 All ER 113 (UK)</w:t>
      </w:r>
      <w:r w:rsidRPr="0001110D">
        <w:t xml:space="preserve"> </w:t>
      </w:r>
    </w:p>
  </w:footnote>
  <w:footnote w:id="19">
    <w:p w:rsidR="00E957EF" w:rsidRPr="0001110D" w:rsidRDefault="00E957EF" w:rsidP="00B76844">
      <w:pPr>
        <w:pStyle w:val="FootnoteText"/>
      </w:pPr>
      <w:r w:rsidRPr="0001110D">
        <w:rPr>
          <w:rStyle w:val="FootnoteReference"/>
        </w:rPr>
        <w:footnoteRef/>
      </w:r>
      <w:r w:rsidRPr="0001110D">
        <w:t xml:space="preserve"> </w:t>
      </w:r>
      <w:r>
        <w:t xml:space="preserve">see </w:t>
      </w:r>
      <w:r w:rsidRPr="00F76F55">
        <w:t>OSCE</w:t>
      </w:r>
      <w:r w:rsidR="006A7623">
        <w:t xml:space="preserve"> (n 16</w:t>
      </w:r>
      <w:r>
        <w:t>) para 17 - 19</w:t>
      </w:r>
    </w:p>
  </w:footnote>
  <w:footnote w:id="20">
    <w:p w:rsidR="00E957EF" w:rsidRPr="00574F54" w:rsidRDefault="00E957EF" w:rsidP="0034209E">
      <w:pPr>
        <w:pStyle w:val="FootnoteText"/>
        <w:rPr>
          <w:lang w:val="en-US"/>
        </w:rPr>
      </w:pPr>
      <w:r w:rsidRPr="00574F54">
        <w:rPr>
          <w:rStyle w:val="FootnoteReference"/>
        </w:rPr>
        <w:footnoteRef/>
      </w:r>
      <w:r w:rsidRPr="00574F54">
        <w:rPr>
          <w:lang w:val="en-US"/>
        </w:rPr>
        <w:t xml:space="preserve"> </w:t>
      </w:r>
      <w:r w:rsidRPr="00574F54">
        <w:rPr>
          <w:lang w:val="it-IT"/>
        </w:rPr>
        <w:t xml:space="preserve">see </w:t>
      </w:r>
      <w:proofErr w:type="spellStart"/>
      <w:r w:rsidR="006A7623">
        <w:rPr>
          <w:lang w:val="en-US"/>
        </w:rPr>
        <w:t>Piotowicz</w:t>
      </w:r>
      <w:proofErr w:type="spellEnd"/>
      <w:r w:rsidR="006A7623">
        <w:rPr>
          <w:lang w:val="en-US"/>
        </w:rPr>
        <w:t xml:space="preserve"> (n 12</w:t>
      </w:r>
      <w:r w:rsidRPr="00574F54">
        <w:rPr>
          <w:lang w:val="en-US"/>
        </w:rPr>
        <w:t>) 179</w:t>
      </w:r>
    </w:p>
  </w:footnote>
  <w:footnote w:id="21">
    <w:p w:rsidR="00E957EF" w:rsidRPr="003C7922" w:rsidRDefault="00E957EF" w:rsidP="0034209E">
      <w:pPr>
        <w:pStyle w:val="FootnoteText"/>
      </w:pPr>
      <w:r w:rsidRPr="00574F54">
        <w:rPr>
          <w:rStyle w:val="FootnoteReference"/>
        </w:rPr>
        <w:footnoteRef/>
      </w:r>
      <w:r w:rsidRPr="00574F54">
        <w:t xml:space="preserve"> </w:t>
      </w:r>
      <w:r w:rsidRPr="00574F54">
        <w:rPr>
          <w:lang w:val="it-IT"/>
        </w:rPr>
        <w:t xml:space="preserve">see </w:t>
      </w:r>
      <w:r w:rsidRPr="00574F54">
        <w:rPr>
          <w:i/>
        </w:rPr>
        <w:t xml:space="preserve">R v L. and other appeals </w:t>
      </w:r>
      <w:r w:rsidRPr="00574F54">
        <w:t>(UK)</w:t>
      </w:r>
      <w:r w:rsidRPr="00574F54">
        <w:rPr>
          <w:i/>
        </w:rPr>
        <w:t xml:space="preserve"> </w:t>
      </w:r>
      <w:r w:rsidR="006A7623">
        <w:t>(n 18</w:t>
      </w:r>
      <w:r w:rsidRPr="00574F54">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A24"/>
    <w:multiLevelType w:val="multilevel"/>
    <w:tmpl w:val="7BBE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60CD2"/>
    <w:multiLevelType w:val="hybridMultilevel"/>
    <w:tmpl w:val="DBB421F2"/>
    <w:lvl w:ilvl="0" w:tplc="4104CA8E">
      <w:start w:val="1"/>
      <w:numFmt w:val="decimal"/>
      <w:lvlText w:val="%1."/>
      <w:lvlJc w:val="left"/>
      <w:pPr>
        <w:ind w:left="643" w:hanging="360"/>
      </w:pPr>
      <w:rPr>
        <w:b w:val="0"/>
        <w:bCs w:val="0"/>
      </w:rPr>
    </w:lvl>
    <w:lvl w:ilvl="1" w:tplc="A8B0F086">
      <w:start w:val="1"/>
      <w:numFmt w:val="lowerLetter"/>
      <w:lvlText w:val="%2."/>
      <w:lvlJc w:val="left"/>
      <w:pPr>
        <w:ind w:left="1070" w:hanging="360"/>
      </w:pPr>
      <w:rPr>
        <w:rFonts w:ascii="Times New Roman" w:hAnsi="Times New Roman" w:cs="Times New Roman" w:hint="default"/>
        <w:b w:val="0"/>
        <w:bCs w:val="0"/>
        <w:sz w:val="24"/>
        <w:szCs w:val="24"/>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F5D1C77"/>
    <w:multiLevelType w:val="hybridMultilevel"/>
    <w:tmpl w:val="534026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E8728A"/>
    <w:multiLevelType w:val="hybridMultilevel"/>
    <w:tmpl w:val="DBB421F2"/>
    <w:lvl w:ilvl="0" w:tplc="4104CA8E">
      <w:start w:val="1"/>
      <w:numFmt w:val="decimal"/>
      <w:lvlText w:val="%1."/>
      <w:lvlJc w:val="left"/>
      <w:pPr>
        <w:ind w:left="643" w:hanging="360"/>
      </w:pPr>
      <w:rPr>
        <w:b w:val="0"/>
        <w:bCs w:val="0"/>
      </w:rPr>
    </w:lvl>
    <w:lvl w:ilvl="1" w:tplc="A8B0F086">
      <w:start w:val="1"/>
      <w:numFmt w:val="lowerLetter"/>
      <w:lvlText w:val="%2."/>
      <w:lvlJc w:val="left"/>
      <w:pPr>
        <w:ind w:left="1070" w:hanging="360"/>
      </w:pPr>
      <w:rPr>
        <w:rFonts w:ascii="Times New Roman" w:hAnsi="Times New Roman" w:cs="Times New Roman" w:hint="default"/>
        <w:b w:val="0"/>
        <w:bCs w:val="0"/>
        <w:sz w:val="24"/>
        <w:szCs w:val="24"/>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2AD2DB6"/>
    <w:multiLevelType w:val="hybridMultilevel"/>
    <w:tmpl w:val="6AACE438"/>
    <w:lvl w:ilvl="0" w:tplc="6BC6FA0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37527C"/>
    <w:multiLevelType w:val="hybridMultilevel"/>
    <w:tmpl w:val="6D5CC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96679"/>
    <w:multiLevelType w:val="hybridMultilevel"/>
    <w:tmpl w:val="1270C818"/>
    <w:lvl w:ilvl="0" w:tplc="6BC6FA00">
      <w:start w:val="5"/>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4F56F9"/>
    <w:multiLevelType w:val="hybridMultilevel"/>
    <w:tmpl w:val="9470302E"/>
    <w:lvl w:ilvl="0" w:tplc="A8B0F086">
      <w:start w:val="1"/>
      <w:numFmt w:val="lowerLetter"/>
      <w:lvlText w:val="%1."/>
      <w:lvlJc w:val="left"/>
      <w:pPr>
        <w:ind w:left="107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B0FA9"/>
    <w:multiLevelType w:val="hybridMultilevel"/>
    <w:tmpl w:val="A6F4602A"/>
    <w:lvl w:ilvl="0" w:tplc="2618C310">
      <w:start w:val="18"/>
      <w:numFmt w:val="bullet"/>
      <w:lvlText w:val="-"/>
      <w:lvlJc w:val="left"/>
      <w:pPr>
        <w:ind w:left="1077" w:hanging="360"/>
      </w:pPr>
      <w:rPr>
        <w:rFonts w:ascii="Times New Roman" w:eastAsia="Times New Roman" w:hAnsi="Times New Roman"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C191D3F"/>
    <w:multiLevelType w:val="hybridMultilevel"/>
    <w:tmpl w:val="7BCA61E6"/>
    <w:lvl w:ilvl="0" w:tplc="0809000F">
      <w:start w:val="1"/>
      <w:numFmt w:val="decimal"/>
      <w:lvlText w:val="%1."/>
      <w:lvlJc w:val="left"/>
      <w:pPr>
        <w:ind w:left="1080" w:hanging="360"/>
      </w:pPr>
    </w:lvl>
    <w:lvl w:ilvl="1" w:tplc="2618C310">
      <w:start w:val="18"/>
      <w:numFmt w:val="bullet"/>
      <w:lvlText w:val="-"/>
      <w:lvlJc w:val="left"/>
      <w:pPr>
        <w:ind w:left="1070" w:hanging="360"/>
      </w:pPr>
      <w:rPr>
        <w:rFonts w:ascii="Times New Roman" w:eastAsia="Times New Roman"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A17775"/>
    <w:multiLevelType w:val="hybridMultilevel"/>
    <w:tmpl w:val="435A3C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8B46D9"/>
    <w:multiLevelType w:val="multilevel"/>
    <w:tmpl w:val="F1CCAF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4834838"/>
    <w:multiLevelType w:val="hybridMultilevel"/>
    <w:tmpl w:val="C07AA980"/>
    <w:lvl w:ilvl="0" w:tplc="DFCAC24C">
      <w:start w:val="1"/>
      <w:numFmt w:val="lowerLetter"/>
      <w:lvlText w:val="%1."/>
      <w:lvlJc w:val="left"/>
      <w:pPr>
        <w:ind w:left="1070" w:hanging="360"/>
      </w:pPr>
      <w:rPr>
        <w:rFonts w:ascii="Times New Roman" w:hAnsi="Times New Roman" w:cs="Times New Roman"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3B88"/>
    <w:multiLevelType w:val="multilevel"/>
    <w:tmpl w:val="1270C818"/>
    <w:lvl w:ilvl="0">
      <w:start w:val="5"/>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81A06EE"/>
    <w:multiLevelType w:val="hybridMultilevel"/>
    <w:tmpl w:val="E56AA274"/>
    <w:lvl w:ilvl="0" w:tplc="704808F4">
      <w:start w:val="18"/>
      <w:numFmt w:val="bullet"/>
      <w:lvlText w:val="-"/>
      <w:lvlJc w:val="left"/>
      <w:pPr>
        <w:ind w:left="717" w:hanging="360"/>
      </w:pPr>
      <w:rPr>
        <w:rFonts w:ascii="Times New Roman" w:eastAsiaTheme="minorEastAsia"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03A35CA"/>
    <w:multiLevelType w:val="hybridMultilevel"/>
    <w:tmpl w:val="7A3E27BC"/>
    <w:lvl w:ilvl="0" w:tplc="4104CA8E">
      <w:start w:val="1"/>
      <w:numFmt w:val="decimal"/>
      <w:lvlText w:val="%1."/>
      <w:lvlJc w:val="left"/>
      <w:pPr>
        <w:ind w:left="643" w:hanging="360"/>
      </w:pPr>
      <w:rPr>
        <w:b w:val="0"/>
        <w:bCs w:val="0"/>
      </w:rPr>
    </w:lvl>
    <w:lvl w:ilvl="1" w:tplc="704808F4">
      <w:start w:val="18"/>
      <w:numFmt w:val="bullet"/>
      <w:lvlText w:val="-"/>
      <w:lvlJc w:val="left"/>
      <w:pPr>
        <w:ind w:left="785" w:hanging="360"/>
      </w:pPr>
      <w:rPr>
        <w:rFonts w:ascii="Times New Roman" w:eastAsiaTheme="minorEastAsia" w:hAnsi="Times New Roman" w:cs="Times New Roman" w:hint="default"/>
        <w:b w:val="0"/>
        <w:bCs w:val="0"/>
        <w:i w:val="0"/>
        <w:sz w:val="24"/>
        <w:szCs w:val="24"/>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0E51A61"/>
    <w:multiLevelType w:val="hybridMultilevel"/>
    <w:tmpl w:val="47C4A8FA"/>
    <w:lvl w:ilvl="0" w:tplc="0809000F">
      <w:start w:val="1"/>
      <w:numFmt w:val="decimal"/>
      <w:lvlText w:val="%1."/>
      <w:lvlJc w:val="left"/>
      <w:pPr>
        <w:ind w:left="216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28877A7"/>
    <w:multiLevelType w:val="hybridMultilevel"/>
    <w:tmpl w:val="1E88AF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7F74D2"/>
    <w:multiLevelType w:val="hybridMultilevel"/>
    <w:tmpl w:val="8F98228E"/>
    <w:lvl w:ilvl="0" w:tplc="0809000F">
      <w:start w:val="1"/>
      <w:numFmt w:val="decimal"/>
      <w:lvlText w:val="%1."/>
      <w:lvlJc w:val="left"/>
      <w:pPr>
        <w:ind w:left="1080" w:hanging="360"/>
      </w:pPr>
    </w:lvl>
    <w:lvl w:ilvl="1" w:tplc="02827002">
      <w:start w:val="1"/>
      <w:numFmt w:val="decimal"/>
      <w:lvlText w:val="Q%2."/>
      <w:lvlJc w:val="left"/>
      <w:pPr>
        <w:ind w:left="107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6C4A37"/>
    <w:multiLevelType w:val="hybridMultilevel"/>
    <w:tmpl w:val="E460EE7E"/>
    <w:lvl w:ilvl="0" w:tplc="2618C31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D1303"/>
    <w:multiLevelType w:val="hybridMultilevel"/>
    <w:tmpl w:val="EFE83B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CA19FF"/>
    <w:multiLevelType w:val="multilevel"/>
    <w:tmpl w:val="1386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81D87"/>
    <w:multiLevelType w:val="hybridMultilevel"/>
    <w:tmpl w:val="37EA7A16"/>
    <w:lvl w:ilvl="0" w:tplc="10A86FD2">
      <w:start w:val="1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636594"/>
    <w:multiLevelType w:val="hybridMultilevel"/>
    <w:tmpl w:val="F03E1F94"/>
    <w:lvl w:ilvl="0" w:tplc="0809000F">
      <w:start w:val="1"/>
      <w:numFmt w:val="decimal"/>
      <w:lvlText w:val="%1."/>
      <w:lvlJc w:val="left"/>
      <w:pPr>
        <w:ind w:left="1647" w:hanging="360"/>
      </w:pPr>
    </w:lvl>
    <w:lvl w:ilvl="1" w:tplc="EEB641C0">
      <w:start w:val="1"/>
      <w:numFmt w:val="lowerLetter"/>
      <w:lvlText w:val="%2."/>
      <w:lvlJc w:val="left"/>
      <w:pPr>
        <w:ind w:left="2007" w:hanging="360"/>
      </w:pPr>
      <w:rPr>
        <w:rFonts w:ascii="Times New Roman" w:hAnsi="Times New Roman" w:cs="Times New Roman" w:hint="default"/>
        <w:sz w:val="24"/>
        <w:szCs w:val="24"/>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6D837E0"/>
    <w:multiLevelType w:val="hybridMultilevel"/>
    <w:tmpl w:val="83DE61DA"/>
    <w:lvl w:ilvl="0" w:tplc="45D209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95215"/>
    <w:multiLevelType w:val="hybridMultilevel"/>
    <w:tmpl w:val="E5243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573A4E"/>
    <w:multiLevelType w:val="hybridMultilevel"/>
    <w:tmpl w:val="F39C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83001"/>
    <w:multiLevelType w:val="multilevel"/>
    <w:tmpl w:val="B79A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420750"/>
    <w:multiLevelType w:val="hybridMultilevel"/>
    <w:tmpl w:val="60B2FB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EC667D"/>
    <w:multiLevelType w:val="hybridMultilevel"/>
    <w:tmpl w:val="1F102C1A"/>
    <w:lvl w:ilvl="0" w:tplc="A8B0F086">
      <w:start w:val="1"/>
      <w:numFmt w:val="lowerLetter"/>
      <w:lvlText w:val="%1."/>
      <w:lvlJc w:val="left"/>
      <w:pPr>
        <w:ind w:left="107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9"/>
  </w:num>
  <w:num w:numId="4">
    <w:abstractNumId w:val="14"/>
  </w:num>
  <w:num w:numId="5">
    <w:abstractNumId w:val="20"/>
  </w:num>
  <w:num w:numId="6">
    <w:abstractNumId w:val="5"/>
  </w:num>
  <w:num w:numId="7">
    <w:abstractNumId w:val="2"/>
  </w:num>
  <w:num w:numId="8">
    <w:abstractNumId w:val="10"/>
  </w:num>
  <w:num w:numId="9">
    <w:abstractNumId w:val="15"/>
  </w:num>
  <w:num w:numId="10">
    <w:abstractNumId w:val="16"/>
  </w:num>
  <w:num w:numId="11">
    <w:abstractNumId w:val="4"/>
  </w:num>
  <w:num w:numId="12">
    <w:abstractNumId w:val="11"/>
  </w:num>
  <w:num w:numId="13">
    <w:abstractNumId w:val="6"/>
  </w:num>
  <w:num w:numId="14">
    <w:abstractNumId w:val="13"/>
  </w:num>
  <w:num w:numId="15">
    <w:abstractNumId w:val="17"/>
  </w:num>
  <w:num w:numId="16">
    <w:abstractNumId w:val="23"/>
  </w:num>
  <w:num w:numId="17">
    <w:abstractNumId w:val="27"/>
  </w:num>
  <w:num w:numId="18">
    <w:abstractNumId w:val="9"/>
  </w:num>
  <w:num w:numId="19">
    <w:abstractNumId w:val="8"/>
  </w:num>
  <w:num w:numId="20">
    <w:abstractNumId w:val="25"/>
  </w:num>
  <w:num w:numId="21">
    <w:abstractNumId w:val="3"/>
  </w:num>
  <w:num w:numId="22">
    <w:abstractNumId w:val="1"/>
  </w:num>
  <w:num w:numId="23">
    <w:abstractNumId w:val="7"/>
  </w:num>
  <w:num w:numId="24">
    <w:abstractNumId w:val="29"/>
  </w:num>
  <w:num w:numId="25">
    <w:abstractNumId w:val="18"/>
  </w:num>
  <w:num w:numId="26">
    <w:abstractNumId w:val="12"/>
  </w:num>
  <w:num w:numId="27">
    <w:abstractNumId w:val="24"/>
  </w:num>
  <w:num w:numId="28">
    <w:abstractNumId w:val="26"/>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nl-NL" w:vendorID="64" w:dllVersion="6" w:nlCheck="1" w:checkStyle="0"/>
  <w:activeWritingStyle w:appName="MSWord" w:lang="it-IT" w:vendorID="64" w:dllVersion="6" w:nlCheck="1" w:checkStyle="0"/>
  <w:activeWritingStyle w:appName="MSWord" w:lang="en-AU"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it-IT"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7A"/>
    <w:rsid w:val="00000FFC"/>
    <w:rsid w:val="00001529"/>
    <w:rsid w:val="00002079"/>
    <w:rsid w:val="000036C2"/>
    <w:rsid w:val="000048F2"/>
    <w:rsid w:val="00005891"/>
    <w:rsid w:val="00005B23"/>
    <w:rsid w:val="00007E67"/>
    <w:rsid w:val="0001110D"/>
    <w:rsid w:val="00014173"/>
    <w:rsid w:val="00014369"/>
    <w:rsid w:val="0001447B"/>
    <w:rsid w:val="00014BE3"/>
    <w:rsid w:val="000154AA"/>
    <w:rsid w:val="00015DFC"/>
    <w:rsid w:val="000169D5"/>
    <w:rsid w:val="000173F3"/>
    <w:rsid w:val="00017F26"/>
    <w:rsid w:val="00017FDD"/>
    <w:rsid w:val="0002124C"/>
    <w:rsid w:val="0002311F"/>
    <w:rsid w:val="00023121"/>
    <w:rsid w:val="000233EF"/>
    <w:rsid w:val="00023495"/>
    <w:rsid w:val="0002525B"/>
    <w:rsid w:val="00026B4D"/>
    <w:rsid w:val="0002714C"/>
    <w:rsid w:val="000277CE"/>
    <w:rsid w:val="00030389"/>
    <w:rsid w:val="00030D44"/>
    <w:rsid w:val="0003202C"/>
    <w:rsid w:val="0003619E"/>
    <w:rsid w:val="00036BDE"/>
    <w:rsid w:val="00040293"/>
    <w:rsid w:val="00042050"/>
    <w:rsid w:val="0004549A"/>
    <w:rsid w:val="00045D63"/>
    <w:rsid w:val="000462EC"/>
    <w:rsid w:val="00047010"/>
    <w:rsid w:val="0004702E"/>
    <w:rsid w:val="00047E6E"/>
    <w:rsid w:val="00051A59"/>
    <w:rsid w:val="00051D77"/>
    <w:rsid w:val="00051FA0"/>
    <w:rsid w:val="0005414A"/>
    <w:rsid w:val="00055231"/>
    <w:rsid w:val="00060E2F"/>
    <w:rsid w:val="000614BE"/>
    <w:rsid w:val="00064A6D"/>
    <w:rsid w:val="00064C0D"/>
    <w:rsid w:val="0006537E"/>
    <w:rsid w:val="00065A2A"/>
    <w:rsid w:val="00066433"/>
    <w:rsid w:val="00067DD8"/>
    <w:rsid w:val="00072FCE"/>
    <w:rsid w:val="00073312"/>
    <w:rsid w:val="000739E9"/>
    <w:rsid w:val="00073AE5"/>
    <w:rsid w:val="0007416C"/>
    <w:rsid w:val="00074550"/>
    <w:rsid w:val="00075EA6"/>
    <w:rsid w:val="0007681A"/>
    <w:rsid w:val="00077204"/>
    <w:rsid w:val="00077E76"/>
    <w:rsid w:val="00077F81"/>
    <w:rsid w:val="0008158E"/>
    <w:rsid w:val="0008328B"/>
    <w:rsid w:val="000863C6"/>
    <w:rsid w:val="000877E4"/>
    <w:rsid w:val="00090E33"/>
    <w:rsid w:val="00093160"/>
    <w:rsid w:val="00094B02"/>
    <w:rsid w:val="000956FB"/>
    <w:rsid w:val="00095725"/>
    <w:rsid w:val="0009668C"/>
    <w:rsid w:val="0009734B"/>
    <w:rsid w:val="000A052D"/>
    <w:rsid w:val="000A1716"/>
    <w:rsid w:val="000A3FA2"/>
    <w:rsid w:val="000A60CD"/>
    <w:rsid w:val="000B05DF"/>
    <w:rsid w:val="000B2D6A"/>
    <w:rsid w:val="000B2ECF"/>
    <w:rsid w:val="000B3801"/>
    <w:rsid w:val="000B39EE"/>
    <w:rsid w:val="000B413C"/>
    <w:rsid w:val="000B4E1F"/>
    <w:rsid w:val="000B6105"/>
    <w:rsid w:val="000B6926"/>
    <w:rsid w:val="000B77A3"/>
    <w:rsid w:val="000C21CB"/>
    <w:rsid w:val="000C3217"/>
    <w:rsid w:val="000C32A1"/>
    <w:rsid w:val="000C3645"/>
    <w:rsid w:val="000C4230"/>
    <w:rsid w:val="000C4970"/>
    <w:rsid w:val="000C55DC"/>
    <w:rsid w:val="000C56E9"/>
    <w:rsid w:val="000C59EE"/>
    <w:rsid w:val="000C64B4"/>
    <w:rsid w:val="000C740D"/>
    <w:rsid w:val="000D08B0"/>
    <w:rsid w:val="000D0BA6"/>
    <w:rsid w:val="000D151B"/>
    <w:rsid w:val="000D15A7"/>
    <w:rsid w:val="000D16B7"/>
    <w:rsid w:val="000D1A71"/>
    <w:rsid w:val="000D23B1"/>
    <w:rsid w:val="000D2603"/>
    <w:rsid w:val="000D2E46"/>
    <w:rsid w:val="000D2E86"/>
    <w:rsid w:val="000D3EEB"/>
    <w:rsid w:val="000D3F39"/>
    <w:rsid w:val="000D4A5E"/>
    <w:rsid w:val="000D7597"/>
    <w:rsid w:val="000D7F96"/>
    <w:rsid w:val="000E08FE"/>
    <w:rsid w:val="000E19DE"/>
    <w:rsid w:val="000E2B27"/>
    <w:rsid w:val="000E4672"/>
    <w:rsid w:val="000E7EAB"/>
    <w:rsid w:val="000F042B"/>
    <w:rsid w:val="000F0D8F"/>
    <w:rsid w:val="000F2B8B"/>
    <w:rsid w:val="000F32F7"/>
    <w:rsid w:val="000F6495"/>
    <w:rsid w:val="000F64DF"/>
    <w:rsid w:val="000F6502"/>
    <w:rsid w:val="00101849"/>
    <w:rsid w:val="001028DE"/>
    <w:rsid w:val="00103016"/>
    <w:rsid w:val="001051EB"/>
    <w:rsid w:val="00105C9E"/>
    <w:rsid w:val="00107C7A"/>
    <w:rsid w:val="00110EB4"/>
    <w:rsid w:val="00110F62"/>
    <w:rsid w:val="0011296A"/>
    <w:rsid w:val="001131FC"/>
    <w:rsid w:val="00114B99"/>
    <w:rsid w:val="0011663C"/>
    <w:rsid w:val="00116CE2"/>
    <w:rsid w:val="00116D20"/>
    <w:rsid w:val="00117DE8"/>
    <w:rsid w:val="0012417A"/>
    <w:rsid w:val="00125B00"/>
    <w:rsid w:val="0012729D"/>
    <w:rsid w:val="001278DC"/>
    <w:rsid w:val="00131025"/>
    <w:rsid w:val="00132A6A"/>
    <w:rsid w:val="0013338E"/>
    <w:rsid w:val="00133D2A"/>
    <w:rsid w:val="0013464D"/>
    <w:rsid w:val="00135C16"/>
    <w:rsid w:val="0014027A"/>
    <w:rsid w:val="00141544"/>
    <w:rsid w:val="00142BEF"/>
    <w:rsid w:val="00142CDE"/>
    <w:rsid w:val="0014401E"/>
    <w:rsid w:val="001444D3"/>
    <w:rsid w:val="00147398"/>
    <w:rsid w:val="00147C2F"/>
    <w:rsid w:val="00150E19"/>
    <w:rsid w:val="0015241A"/>
    <w:rsid w:val="00152761"/>
    <w:rsid w:val="00152D05"/>
    <w:rsid w:val="00154FCA"/>
    <w:rsid w:val="00155175"/>
    <w:rsid w:val="00160B49"/>
    <w:rsid w:val="001615EC"/>
    <w:rsid w:val="0016232C"/>
    <w:rsid w:val="00162F8B"/>
    <w:rsid w:val="00163647"/>
    <w:rsid w:val="00163D71"/>
    <w:rsid w:val="0016411F"/>
    <w:rsid w:val="00164479"/>
    <w:rsid w:val="00164BAA"/>
    <w:rsid w:val="001711E5"/>
    <w:rsid w:val="00171DF4"/>
    <w:rsid w:val="001721CE"/>
    <w:rsid w:val="0017444A"/>
    <w:rsid w:val="00175A82"/>
    <w:rsid w:val="0017739D"/>
    <w:rsid w:val="00177B57"/>
    <w:rsid w:val="001806DE"/>
    <w:rsid w:val="00180E3A"/>
    <w:rsid w:val="00181678"/>
    <w:rsid w:val="00183FF1"/>
    <w:rsid w:val="00184958"/>
    <w:rsid w:val="00184F8B"/>
    <w:rsid w:val="00186D91"/>
    <w:rsid w:val="0018716A"/>
    <w:rsid w:val="00190CFF"/>
    <w:rsid w:val="0019478E"/>
    <w:rsid w:val="001952AB"/>
    <w:rsid w:val="001959E8"/>
    <w:rsid w:val="0019665A"/>
    <w:rsid w:val="00197643"/>
    <w:rsid w:val="0019768D"/>
    <w:rsid w:val="00197D8B"/>
    <w:rsid w:val="001A08F5"/>
    <w:rsid w:val="001A4BD1"/>
    <w:rsid w:val="001A56FD"/>
    <w:rsid w:val="001A6654"/>
    <w:rsid w:val="001A6AAA"/>
    <w:rsid w:val="001A7A25"/>
    <w:rsid w:val="001A7D80"/>
    <w:rsid w:val="001B093D"/>
    <w:rsid w:val="001B0980"/>
    <w:rsid w:val="001B0E8A"/>
    <w:rsid w:val="001B142B"/>
    <w:rsid w:val="001B1FE1"/>
    <w:rsid w:val="001B2323"/>
    <w:rsid w:val="001B32C2"/>
    <w:rsid w:val="001B3FE1"/>
    <w:rsid w:val="001B424F"/>
    <w:rsid w:val="001B5A0A"/>
    <w:rsid w:val="001B6410"/>
    <w:rsid w:val="001B6605"/>
    <w:rsid w:val="001B6888"/>
    <w:rsid w:val="001C283B"/>
    <w:rsid w:val="001C3A32"/>
    <w:rsid w:val="001C4150"/>
    <w:rsid w:val="001C4F99"/>
    <w:rsid w:val="001C542A"/>
    <w:rsid w:val="001C5AF6"/>
    <w:rsid w:val="001C648A"/>
    <w:rsid w:val="001C6CF9"/>
    <w:rsid w:val="001C6D8A"/>
    <w:rsid w:val="001C7B90"/>
    <w:rsid w:val="001C7CF5"/>
    <w:rsid w:val="001D18DD"/>
    <w:rsid w:val="001D482B"/>
    <w:rsid w:val="001D580E"/>
    <w:rsid w:val="001D5A46"/>
    <w:rsid w:val="001D6BC8"/>
    <w:rsid w:val="001D73DD"/>
    <w:rsid w:val="001E2F05"/>
    <w:rsid w:val="001E4986"/>
    <w:rsid w:val="001E513D"/>
    <w:rsid w:val="001E6451"/>
    <w:rsid w:val="001E6B2C"/>
    <w:rsid w:val="001F168B"/>
    <w:rsid w:val="001F1817"/>
    <w:rsid w:val="001F228C"/>
    <w:rsid w:val="001F3329"/>
    <w:rsid w:val="001F6107"/>
    <w:rsid w:val="001F68BA"/>
    <w:rsid w:val="001F6D32"/>
    <w:rsid w:val="0020027D"/>
    <w:rsid w:val="00201707"/>
    <w:rsid w:val="00201EDF"/>
    <w:rsid w:val="002030B2"/>
    <w:rsid w:val="00203F60"/>
    <w:rsid w:val="00204AC3"/>
    <w:rsid w:val="0020571B"/>
    <w:rsid w:val="00205DD2"/>
    <w:rsid w:val="00206CCA"/>
    <w:rsid w:val="0021129E"/>
    <w:rsid w:val="0021333C"/>
    <w:rsid w:val="0021494A"/>
    <w:rsid w:val="00215219"/>
    <w:rsid w:val="002157EF"/>
    <w:rsid w:val="00215840"/>
    <w:rsid w:val="0021748D"/>
    <w:rsid w:val="002200FA"/>
    <w:rsid w:val="0022418A"/>
    <w:rsid w:val="002255BD"/>
    <w:rsid w:val="00225988"/>
    <w:rsid w:val="0022607A"/>
    <w:rsid w:val="002260E1"/>
    <w:rsid w:val="00226685"/>
    <w:rsid w:val="00230025"/>
    <w:rsid w:val="002312BE"/>
    <w:rsid w:val="002316EC"/>
    <w:rsid w:val="002322AE"/>
    <w:rsid w:val="00232DAF"/>
    <w:rsid w:val="00233820"/>
    <w:rsid w:val="00233D94"/>
    <w:rsid w:val="002340CD"/>
    <w:rsid w:val="00234DCE"/>
    <w:rsid w:val="00235DDA"/>
    <w:rsid w:val="0024038A"/>
    <w:rsid w:val="00243DCF"/>
    <w:rsid w:val="00244D00"/>
    <w:rsid w:val="0024700D"/>
    <w:rsid w:val="0024727A"/>
    <w:rsid w:val="00250B54"/>
    <w:rsid w:val="00250DE8"/>
    <w:rsid w:val="002510E8"/>
    <w:rsid w:val="00253175"/>
    <w:rsid w:val="002531DF"/>
    <w:rsid w:val="00253B60"/>
    <w:rsid w:val="002543B0"/>
    <w:rsid w:val="00255BED"/>
    <w:rsid w:val="00257140"/>
    <w:rsid w:val="00260A0D"/>
    <w:rsid w:val="00260FB8"/>
    <w:rsid w:val="0026130C"/>
    <w:rsid w:val="002619D7"/>
    <w:rsid w:val="00261F50"/>
    <w:rsid w:val="00264401"/>
    <w:rsid w:val="00265E00"/>
    <w:rsid w:val="0026642B"/>
    <w:rsid w:val="00266B43"/>
    <w:rsid w:val="0027009A"/>
    <w:rsid w:val="00274577"/>
    <w:rsid w:val="00274794"/>
    <w:rsid w:val="00274B51"/>
    <w:rsid w:val="00275711"/>
    <w:rsid w:val="00275B4A"/>
    <w:rsid w:val="0027667F"/>
    <w:rsid w:val="00277831"/>
    <w:rsid w:val="00280C20"/>
    <w:rsid w:val="00281814"/>
    <w:rsid w:val="00281CDD"/>
    <w:rsid w:val="00283109"/>
    <w:rsid w:val="002831FD"/>
    <w:rsid w:val="00283381"/>
    <w:rsid w:val="00283F23"/>
    <w:rsid w:val="00291502"/>
    <w:rsid w:val="00291BBC"/>
    <w:rsid w:val="002926B9"/>
    <w:rsid w:val="00292A18"/>
    <w:rsid w:val="00292BBF"/>
    <w:rsid w:val="00294039"/>
    <w:rsid w:val="002957E5"/>
    <w:rsid w:val="0029709F"/>
    <w:rsid w:val="0029710B"/>
    <w:rsid w:val="00297481"/>
    <w:rsid w:val="002A0756"/>
    <w:rsid w:val="002A0974"/>
    <w:rsid w:val="002A1521"/>
    <w:rsid w:val="002A1F3F"/>
    <w:rsid w:val="002A3275"/>
    <w:rsid w:val="002A41AC"/>
    <w:rsid w:val="002A4CE2"/>
    <w:rsid w:val="002A5A4A"/>
    <w:rsid w:val="002A5D73"/>
    <w:rsid w:val="002A7932"/>
    <w:rsid w:val="002A7EF6"/>
    <w:rsid w:val="002B0E2A"/>
    <w:rsid w:val="002B1002"/>
    <w:rsid w:val="002B2DFD"/>
    <w:rsid w:val="002B2F0B"/>
    <w:rsid w:val="002B3557"/>
    <w:rsid w:val="002B502D"/>
    <w:rsid w:val="002B5A13"/>
    <w:rsid w:val="002B744E"/>
    <w:rsid w:val="002B747F"/>
    <w:rsid w:val="002C2B2E"/>
    <w:rsid w:val="002C2E8F"/>
    <w:rsid w:val="002C4957"/>
    <w:rsid w:val="002D069A"/>
    <w:rsid w:val="002D38E3"/>
    <w:rsid w:val="002D4A96"/>
    <w:rsid w:val="002D5CB5"/>
    <w:rsid w:val="002E04ED"/>
    <w:rsid w:val="002E09B3"/>
    <w:rsid w:val="002E149A"/>
    <w:rsid w:val="002E5FFC"/>
    <w:rsid w:val="002F1D0C"/>
    <w:rsid w:val="002F5E49"/>
    <w:rsid w:val="00301268"/>
    <w:rsid w:val="00301644"/>
    <w:rsid w:val="0030378C"/>
    <w:rsid w:val="00304037"/>
    <w:rsid w:val="00304BBB"/>
    <w:rsid w:val="00305B17"/>
    <w:rsid w:val="003061D1"/>
    <w:rsid w:val="00307ED8"/>
    <w:rsid w:val="003108F5"/>
    <w:rsid w:val="00310DE8"/>
    <w:rsid w:val="003115E6"/>
    <w:rsid w:val="003122A0"/>
    <w:rsid w:val="003132F5"/>
    <w:rsid w:val="00313A88"/>
    <w:rsid w:val="0031447C"/>
    <w:rsid w:val="003144BF"/>
    <w:rsid w:val="00314BAA"/>
    <w:rsid w:val="0031660F"/>
    <w:rsid w:val="003205C0"/>
    <w:rsid w:val="00321DD7"/>
    <w:rsid w:val="0032205A"/>
    <w:rsid w:val="003224F2"/>
    <w:rsid w:val="00322999"/>
    <w:rsid w:val="00324A0F"/>
    <w:rsid w:val="00325506"/>
    <w:rsid w:val="00325707"/>
    <w:rsid w:val="00325BC1"/>
    <w:rsid w:val="00330020"/>
    <w:rsid w:val="00330266"/>
    <w:rsid w:val="00330374"/>
    <w:rsid w:val="0033398E"/>
    <w:rsid w:val="003348F9"/>
    <w:rsid w:val="00336CAB"/>
    <w:rsid w:val="0034010A"/>
    <w:rsid w:val="00340E72"/>
    <w:rsid w:val="00340FA4"/>
    <w:rsid w:val="0034209E"/>
    <w:rsid w:val="00342A4A"/>
    <w:rsid w:val="00342CC8"/>
    <w:rsid w:val="00344440"/>
    <w:rsid w:val="00344E98"/>
    <w:rsid w:val="00345294"/>
    <w:rsid w:val="00345334"/>
    <w:rsid w:val="003458E7"/>
    <w:rsid w:val="00346ACE"/>
    <w:rsid w:val="00350A58"/>
    <w:rsid w:val="00351DF1"/>
    <w:rsid w:val="00355E14"/>
    <w:rsid w:val="0035611A"/>
    <w:rsid w:val="003575B7"/>
    <w:rsid w:val="00362BDF"/>
    <w:rsid w:val="00363739"/>
    <w:rsid w:val="00366236"/>
    <w:rsid w:val="00366F75"/>
    <w:rsid w:val="003674F1"/>
    <w:rsid w:val="00367A6A"/>
    <w:rsid w:val="00371D79"/>
    <w:rsid w:val="0037487C"/>
    <w:rsid w:val="003748EA"/>
    <w:rsid w:val="00374D3C"/>
    <w:rsid w:val="0038031C"/>
    <w:rsid w:val="00382AC6"/>
    <w:rsid w:val="00383A1E"/>
    <w:rsid w:val="00383DCE"/>
    <w:rsid w:val="00384730"/>
    <w:rsid w:val="0038524E"/>
    <w:rsid w:val="0038533F"/>
    <w:rsid w:val="00385D4C"/>
    <w:rsid w:val="00386DCF"/>
    <w:rsid w:val="00390DDF"/>
    <w:rsid w:val="003915D4"/>
    <w:rsid w:val="003920D7"/>
    <w:rsid w:val="0039242F"/>
    <w:rsid w:val="00392A82"/>
    <w:rsid w:val="0039632F"/>
    <w:rsid w:val="003A0425"/>
    <w:rsid w:val="003A1452"/>
    <w:rsid w:val="003A3832"/>
    <w:rsid w:val="003A4898"/>
    <w:rsid w:val="003B16BE"/>
    <w:rsid w:val="003B1956"/>
    <w:rsid w:val="003B1EF5"/>
    <w:rsid w:val="003B329F"/>
    <w:rsid w:val="003B4192"/>
    <w:rsid w:val="003B4936"/>
    <w:rsid w:val="003B5300"/>
    <w:rsid w:val="003B6E6C"/>
    <w:rsid w:val="003B7195"/>
    <w:rsid w:val="003B739E"/>
    <w:rsid w:val="003C0B2D"/>
    <w:rsid w:val="003C22D6"/>
    <w:rsid w:val="003C2E6F"/>
    <w:rsid w:val="003C42F2"/>
    <w:rsid w:val="003C62C1"/>
    <w:rsid w:val="003C74B0"/>
    <w:rsid w:val="003C7922"/>
    <w:rsid w:val="003D02BF"/>
    <w:rsid w:val="003D0AB8"/>
    <w:rsid w:val="003D136A"/>
    <w:rsid w:val="003D242D"/>
    <w:rsid w:val="003D29BB"/>
    <w:rsid w:val="003D565A"/>
    <w:rsid w:val="003D69EB"/>
    <w:rsid w:val="003D7D3F"/>
    <w:rsid w:val="003E2B57"/>
    <w:rsid w:val="003E3D6E"/>
    <w:rsid w:val="003E45EB"/>
    <w:rsid w:val="003E4C37"/>
    <w:rsid w:val="003E4C45"/>
    <w:rsid w:val="003E669F"/>
    <w:rsid w:val="003E67B5"/>
    <w:rsid w:val="003E73CF"/>
    <w:rsid w:val="003E7696"/>
    <w:rsid w:val="003F31DA"/>
    <w:rsid w:val="003F4148"/>
    <w:rsid w:val="003F4A10"/>
    <w:rsid w:val="003F4E95"/>
    <w:rsid w:val="003F5950"/>
    <w:rsid w:val="003F6083"/>
    <w:rsid w:val="003F62AE"/>
    <w:rsid w:val="003F7BD4"/>
    <w:rsid w:val="0040068E"/>
    <w:rsid w:val="004036B9"/>
    <w:rsid w:val="00403942"/>
    <w:rsid w:val="004052E7"/>
    <w:rsid w:val="00405438"/>
    <w:rsid w:val="00406B13"/>
    <w:rsid w:val="00407FBF"/>
    <w:rsid w:val="004117BB"/>
    <w:rsid w:val="00412AC0"/>
    <w:rsid w:val="004147B5"/>
    <w:rsid w:val="00414AAC"/>
    <w:rsid w:val="004158C9"/>
    <w:rsid w:val="00415ACC"/>
    <w:rsid w:val="00415C01"/>
    <w:rsid w:val="004161F8"/>
    <w:rsid w:val="004171D9"/>
    <w:rsid w:val="004206B7"/>
    <w:rsid w:val="0042121C"/>
    <w:rsid w:val="0042157E"/>
    <w:rsid w:val="004222DC"/>
    <w:rsid w:val="00423571"/>
    <w:rsid w:val="00423701"/>
    <w:rsid w:val="00423786"/>
    <w:rsid w:val="00423CCF"/>
    <w:rsid w:val="00423F19"/>
    <w:rsid w:val="00424EE3"/>
    <w:rsid w:val="00425587"/>
    <w:rsid w:val="00426F46"/>
    <w:rsid w:val="004271C5"/>
    <w:rsid w:val="00427D93"/>
    <w:rsid w:val="00430E39"/>
    <w:rsid w:val="00431F4A"/>
    <w:rsid w:val="004326E0"/>
    <w:rsid w:val="004353AC"/>
    <w:rsid w:val="004367D7"/>
    <w:rsid w:val="004370D3"/>
    <w:rsid w:val="004378D2"/>
    <w:rsid w:val="00440550"/>
    <w:rsid w:val="00440CDB"/>
    <w:rsid w:val="00440E87"/>
    <w:rsid w:val="004425A7"/>
    <w:rsid w:val="00444A89"/>
    <w:rsid w:val="00445361"/>
    <w:rsid w:val="00446DFD"/>
    <w:rsid w:val="00447849"/>
    <w:rsid w:val="004478D9"/>
    <w:rsid w:val="00447B30"/>
    <w:rsid w:val="00450A8A"/>
    <w:rsid w:val="00451D1B"/>
    <w:rsid w:val="004534BC"/>
    <w:rsid w:val="004538FD"/>
    <w:rsid w:val="00454830"/>
    <w:rsid w:val="0045634B"/>
    <w:rsid w:val="00457799"/>
    <w:rsid w:val="00460B7A"/>
    <w:rsid w:val="00460FED"/>
    <w:rsid w:val="004615B4"/>
    <w:rsid w:val="00462A35"/>
    <w:rsid w:val="004633F2"/>
    <w:rsid w:val="0046360B"/>
    <w:rsid w:val="004636E2"/>
    <w:rsid w:val="004658C3"/>
    <w:rsid w:val="00465FAC"/>
    <w:rsid w:val="00466679"/>
    <w:rsid w:val="00466786"/>
    <w:rsid w:val="004672C0"/>
    <w:rsid w:val="00473D78"/>
    <w:rsid w:val="00474664"/>
    <w:rsid w:val="00477484"/>
    <w:rsid w:val="00480170"/>
    <w:rsid w:val="0048118A"/>
    <w:rsid w:val="00483324"/>
    <w:rsid w:val="00485E82"/>
    <w:rsid w:val="00485EB7"/>
    <w:rsid w:val="004867E7"/>
    <w:rsid w:val="0048747B"/>
    <w:rsid w:val="00487694"/>
    <w:rsid w:val="00491678"/>
    <w:rsid w:val="0049349D"/>
    <w:rsid w:val="0049357D"/>
    <w:rsid w:val="00496C6D"/>
    <w:rsid w:val="0049790C"/>
    <w:rsid w:val="004A066C"/>
    <w:rsid w:val="004A2380"/>
    <w:rsid w:val="004A26AA"/>
    <w:rsid w:val="004A340C"/>
    <w:rsid w:val="004A3BAF"/>
    <w:rsid w:val="004A4A45"/>
    <w:rsid w:val="004A509D"/>
    <w:rsid w:val="004A5E8D"/>
    <w:rsid w:val="004A691C"/>
    <w:rsid w:val="004A732E"/>
    <w:rsid w:val="004A77DE"/>
    <w:rsid w:val="004A7EC2"/>
    <w:rsid w:val="004B09BF"/>
    <w:rsid w:val="004B3243"/>
    <w:rsid w:val="004B3D99"/>
    <w:rsid w:val="004B58BB"/>
    <w:rsid w:val="004B5A0A"/>
    <w:rsid w:val="004B64B0"/>
    <w:rsid w:val="004B6CD9"/>
    <w:rsid w:val="004B774D"/>
    <w:rsid w:val="004B782B"/>
    <w:rsid w:val="004B7957"/>
    <w:rsid w:val="004C026E"/>
    <w:rsid w:val="004C115D"/>
    <w:rsid w:val="004C59AC"/>
    <w:rsid w:val="004C6A02"/>
    <w:rsid w:val="004C72A0"/>
    <w:rsid w:val="004D02DB"/>
    <w:rsid w:val="004D0FE7"/>
    <w:rsid w:val="004D14A2"/>
    <w:rsid w:val="004D201A"/>
    <w:rsid w:val="004D56B8"/>
    <w:rsid w:val="004D5ACC"/>
    <w:rsid w:val="004E18AB"/>
    <w:rsid w:val="004E21C3"/>
    <w:rsid w:val="004E22C5"/>
    <w:rsid w:val="004E3482"/>
    <w:rsid w:val="004E3A7F"/>
    <w:rsid w:val="004E4C4F"/>
    <w:rsid w:val="004E4FD0"/>
    <w:rsid w:val="004E7646"/>
    <w:rsid w:val="004F0727"/>
    <w:rsid w:val="004F3044"/>
    <w:rsid w:val="004F4DA2"/>
    <w:rsid w:val="00500B05"/>
    <w:rsid w:val="0050140A"/>
    <w:rsid w:val="00501820"/>
    <w:rsid w:val="00501AEB"/>
    <w:rsid w:val="00502C22"/>
    <w:rsid w:val="00503E49"/>
    <w:rsid w:val="0050406B"/>
    <w:rsid w:val="005042B2"/>
    <w:rsid w:val="00504FAD"/>
    <w:rsid w:val="00507771"/>
    <w:rsid w:val="005103E0"/>
    <w:rsid w:val="0051064D"/>
    <w:rsid w:val="00514A62"/>
    <w:rsid w:val="005152EB"/>
    <w:rsid w:val="00517B2E"/>
    <w:rsid w:val="00520A58"/>
    <w:rsid w:val="0052402A"/>
    <w:rsid w:val="0052747B"/>
    <w:rsid w:val="00530C34"/>
    <w:rsid w:val="0053143F"/>
    <w:rsid w:val="005331F1"/>
    <w:rsid w:val="00533633"/>
    <w:rsid w:val="005354F6"/>
    <w:rsid w:val="00535983"/>
    <w:rsid w:val="00535F9C"/>
    <w:rsid w:val="005369F9"/>
    <w:rsid w:val="00537B77"/>
    <w:rsid w:val="00537E5A"/>
    <w:rsid w:val="00537F0C"/>
    <w:rsid w:val="00540E48"/>
    <w:rsid w:val="005422C3"/>
    <w:rsid w:val="00546312"/>
    <w:rsid w:val="00546851"/>
    <w:rsid w:val="00547CE3"/>
    <w:rsid w:val="00551C03"/>
    <w:rsid w:val="00553384"/>
    <w:rsid w:val="00555CC4"/>
    <w:rsid w:val="0055649F"/>
    <w:rsid w:val="00556C11"/>
    <w:rsid w:val="00556EF2"/>
    <w:rsid w:val="00557B85"/>
    <w:rsid w:val="00561F22"/>
    <w:rsid w:val="005623ED"/>
    <w:rsid w:val="00562AF4"/>
    <w:rsid w:val="0056448A"/>
    <w:rsid w:val="0056493E"/>
    <w:rsid w:val="00564B2A"/>
    <w:rsid w:val="00565359"/>
    <w:rsid w:val="0056575D"/>
    <w:rsid w:val="00566379"/>
    <w:rsid w:val="00566C97"/>
    <w:rsid w:val="005671F0"/>
    <w:rsid w:val="00574C0C"/>
    <w:rsid w:val="00574F54"/>
    <w:rsid w:val="005764A8"/>
    <w:rsid w:val="00576C34"/>
    <w:rsid w:val="0058047D"/>
    <w:rsid w:val="00580A85"/>
    <w:rsid w:val="005811D6"/>
    <w:rsid w:val="005817A0"/>
    <w:rsid w:val="00582173"/>
    <w:rsid w:val="005835B2"/>
    <w:rsid w:val="00584F20"/>
    <w:rsid w:val="00586BE9"/>
    <w:rsid w:val="00587DAE"/>
    <w:rsid w:val="00587E9A"/>
    <w:rsid w:val="00591AAD"/>
    <w:rsid w:val="00592C24"/>
    <w:rsid w:val="00592E1E"/>
    <w:rsid w:val="00594D20"/>
    <w:rsid w:val="00596B1E"/>
    <w:rsid w:val="00597464"/>
    <w:rsid w:val="005A00AC"/>
    <w:rsid w:val="005A0DB1"/>
    <w:rsid w:val="005A18DF"/>
    <w:rsid w:val="005A3067"/>
    <w:rsid w:val="005A3300"/>
    <w:rsid w:val="005A3385"/>
    <w:rsid w:val="005A5074"/>
    <w:rsid w:val="005A5C3B"/>
    <w:rsid w:val="005A67FD"/>
    <w:rsid w:val="005A7971"/>
    <w:rsid w:val="005B08F3"/>
    <w:rsid w:val="005B17F8"/>
    <w:rsid w:val="005B191E"/>
    <w:rsid w:val="005B1BD7"/>
    <w:rsid w:val="005B1BFA"/>
    <w:rsid w:val="005B2075"/>
    <w:rsid w:val="005B22AD"/>
    <w:rsid w:val="005B2C6E"/>
    <w:rsid w:val="005B2F58"/>
    <w:rsid w:val="005B3909"/>
    <w:rsid w:val="005B3C2A"/>
    <w:rsid w:val="005B4425"/>
    <w:rsid w:val="005B4CB8"/>
    <w:rsid w:val="005B553F"/>
    <w:rsid w:val="005B65A3"/>
    <w:rsid w:val="005B6D1F"/>
    <w:rsid w:val="005B7A0F"/>
    <w:rsid w:val="005C1EF2"/>
    <w:rsid w:val="005C28D8"/>
    <w:rsid w:val="005C2E37"/>
    <w:rsid w:val="005C2E70"/>
    <w:rsid w:val="005C4825"/>
    <w:rsid w:val="005C62ED"/>
    <w:rsid w:val="005C7042"/>
    <w:rsid w:val="005C7D19"/>
    <w:rsid w:val="005D4101"/>
    <w:rsid w:val="005D4330"/>
    <w:rsid w:val="005D5512"/>
    <w:rsid w:val="005D6295"/>
    <w:rsid w:val="005D686D"/>
    <w:rsid w:val="005E0B2F"/>
    <w:rsid w:val="005E28E3"/>
    <w:rsid w:val="005E4104"/>
    <w:rsid w:val="005E57B7"/>
    <w:rsid w:val="005E6828"/>
    <w:rsid w:val="005E6BE1"/>
    <w:rsid w:val="005F0097"/>
    <w:rsid w:val="005F08F6"/>
    <w:rsid w:val="005F0FAD"/>
    <w:rsid w:val="005F1C81"/>
    <w:rsid w:val="005F501A"/>
    <w:rsid w:val="005F67B3"/>
    <w:rsid w:val="005F768E"/>
    <w:rsid w:val="006026D5"/>
    <w:rsid w:val="00602AFA"/>
    <w:rsid w:val="00603247"/>
    <w:rsid w:val="006039D2"/>
    <w:rsid w:val="0060410A"/>
    <w:rsid w:val="006044B1"/>
    <w:rsid w:val="00606FDD"/>
    <w:rsid w:val="00607289"/>
    <w:rsid w:val="00607DE8"/>
    <w:rsid w:val="006133CE"/>
    <w:rsid w:val="00613D8D"/>
    <w:rsid w:val="00614976"/>
    <w:rsid w:val="006151FB"/>
    <w:rsid w:val="00615F30"/>
    <w:rsid w:val="006160A6"/>
    <w:rsid w:val="00616A77"/>
    <w:rsid w:val="00616F61"/>
    <w:rsid w:val="00620AB0"/>
    <w:rsid w:val="00624182"/>
    <w:rsid w:val="00625A4D"/>
    <w:rsid w:val="0062671F"/>
    <w:rsid w:val="00630A30"/>
    <w:rsid w:val="00631396"/>
    <w:rsid w:val="00632738"/>
    <w:rsid w:val="00632B03"/>
    <w:rsid w:val="00632E1B"/>
    <w:rsid w:val="00633940"/>
    <w:rsid w:val="00634686"/>
    <w:rsid w:val="0063490E"/>
    <w:rsid w:val="0063657E"/>
    <w:rsid w:val="0063663D"/>
    <w:rsid w:val="00636A69"/>
    <w:rsid w:val="0063720E"/>
    <w:rsid w:val="006376BF"/>
    <w:rsid w:val="00637A2C"/>
    <w:rsid w:val="00641076"/>
    <w:rsid w:val="00641EE8"/>
    <w:rsid w:val="00643077"/>
    <w:rsid w:val="00644DEC"/>
    <w:rsid w:val="006467A2"/>
    <w:rsid w:val="00646B78"/>
    <w:rsid w:val="006470D1"/>
    <w:rsid w:val="00647EDA"/>
    <w:rsid w:val="00651B4E"/>
    <w:rsid w:val="00654C99"/>
    <w:rsid w:val="00655581"/>
    <w:rsid w:val="00656352"/>
    <w:rsid w:val="00656E79"/>
    <w:rsid w:val="00657CEB"/>
    <w:rsid w:val="00657FC8"/>
    <w:rsid w:val="00661A3E"/>
    <w:rsid w:val="00662226"/>
    <w:rsid w:val="00662CF6"/>
    <w:rsid w:val="00662E64"/>
    <w:rsid w:val="00663026"/>
    <w:rsid w:val="006636C6"/>
    <w:rsid w:val="00663B6D"/>
    <w:rsid w:val="0066577B"/>
    <w:rsid w:val="00666139"/>
    <w:rsid w:val="0066613D"/>
    <w:rsid w:val="006704B6"/>
    <w:rsid w:val="006722F1"/>
    <w:rsid w:val="006741BA"/>
    <w:rsid w:val="00674DEC"/>
    <w:rsid w:val="006752E4"/>
    <w:rsid w:val="006765E5"/>
    <w:rsid w:val="00676A79"/>
    <w:rsid w:val="0068067E"/>
    <w:rsid w:val="00681C07"/>
    <w:rsid w:val="006828DE"/>
    <w:rsid w:val="00685F02"/>
    <w:rsid w:val="006920CE"/>
    <w:rsid w:val="00693D0B"/>
    <w:rsid w:val="006951AE"/>
    <w:rsid w:val="0069520C"/>
    <w:rsid w:val="006952DA"/>
    <w:rsid w:val="00695E43"/>
    <w:rsid w:val="006972E8"/>
    <w:rsid w:val="006973E2"/>
    <w:rsid w:val="00697D1D"/>
    <w:rsid w:val="00697FD5"/>
    <w:rsid w:val="006A24BC"/>
    <w:rsid w:val="006A2B34"/>
    <w:rsid w:val="006A3235"/>
    <w:rsid w:val="006A394E"/>
    <w:rsid w:val="006A43A3"/>
    <w:rsid w:val="006A50BB"/>
    <w:rsid w:val="006A60B5"/>
    <w:rsid w:val="006A70AE"/>
    <w:rsid w:val="006A72C0"/>
    <w:rsid w:val="006A7623"/>
    <w:rsid w:val="006B0389"/>
    <w:rsid w:val="006B06E6"/>
    <w:rsid w:val="006B1063"/>
    <w:rsid w:val="006B1109"/>
    <w:rsid w:val="006B2583"/>
    <w:rsid w:val="006B34F3"/>
    <w:rsid w:val="006B38A3"/>
    <w:rsid w:val="006B4D4D"/>
    <w:rsid w:val="006B509B"/>
    <w:rsid w:val="006B5D15"/>
    <w:rsid w:val="006B6314"/>
    <w:rsid w:val="006C0DBF"/>
    <w:rsid w:val="006C1D0E"/>
    <w:rsid w:val="006C424B"/>
    <w:rsid w:val="006C62A0"/>
    <w:rsid w:val="006C62B4"/>
    <w:rsid w:val="006C63F3"/>
    <w:rsid w:val="006C708C"/>
    <w:rsid w:val="006D1790"/>
    <w:rsid w:val="006D2684"/>
    <w:rsid w:val="006D2A34"/>
    <w:rsid w:val="006D3EBC"/>
    <w:rsid w:val="006D57CB"/>
    <w:rsid w:val="006D58AC"/>
    <w:rsid w:val="006D5AE1"/>
    <w:rsid w:val="006D67E7"/>
    <w:rsid w:val="006D6E65"/>
    <w:rsid w:val="006D6ED9"/>
    <w:rsid w:val="006D7DC2"/>
    <w:rsid w:val="006E053E"/>
    <w:rsid w:val="006E0CB4"/>
    <w:rsid w:val="006E2960"/>
    <w:rsid w:val="006E5E80"/>
    <w:rsid w:val="006E6866"/>
    <w:rsid w:val="006E6F06"/>
    <w:rsid w:val="006F28F8"/>
    <w:rsid w:val="006F291C"/>
    <w:rsid w:val="006F35DC"/>
    <w:rsid w:val="006F369E"/>
    <w:rsid w:val="006F3DDD"/>
    <w:rsid w:val="006F447E"/>
    <w:rsid w:val="006F61C6"/>
    <w:rsid w:val="006F7069"/>
    <w:rsid w:val="00700D8E"/>
    <w:rsid w:val="007039E3"/>
    <w:rsid w:val="00704909"/>
    <w:rsid w:val="007051F5"/>
    <w:rsid w:val="00705AF0"/>
    <w:rsid w:val="0071071E"/>
    <w:rsid w:val="007121E2"/>
    <w:rsid w:val="00712C54"/>
    <w:rsid w:val="00713408"/>
    <w:rsid w:val="0071446F"/>
    <w:rsid w:val="00715916"/>
    <w:rsid w:val="0071740E"/>
    <w:rsid w:val="007200C7"/>
    <w:rsid w:val="007211E2"/>
    <w:rsid w:val="00721548"/>
    <w:rsid w:val="00722ED7"/>
    <w:rsid w:val="0072326C"/>
    <w:rsid w:val="00724754"/>
    <w:rsid w:val="007266FA"/>
    <w:rsid w:val="00727454"/>
    <w:rsid w:val="00727D09"/>
    <w:rsid w:val="0073068C"/>
    <w:rsid w:val="00731D33"/>
    <w:rsid w:val="007324F9"/>
    <w:rsid w:val="007331E0"/>
    <w:rsid w:val="007338FB"/>
    <w:rsid w:val="00734047"/>
    <w:rsid w:val="007362F9"/>
    <w:rsid w:val="00741356"/>
    <w:rsid w:val="00741D74"/>
    <w:rsid w:val="00742062"/>
    <w:rsid w:val="0074392B"/>
    <w:rsid w:val="00745F60"/>
    <w:rsid w:val="00746A18"/>
    <w:rsid w:val="00750758"/>
    <w:rsid w:val="007509CA"/>
    <w:rsid w:val="00750ADF"/>
    <w:rsid w:val="00750FDF"/>
    <w:rsid w:val="00751355"/>
    <w:rsid w:val="00752536"/>
    <w:rsid w:val="00752FA0"/>
    <w:rsid w:val="00753278"/>
    <w:rsid w:val="00753F44"/>
    <w:rsid w:val="00753F56"/>
    <w:rsid w:val="00755EDE"/>
    <w:rsid w:val="00756693"/>
    <w:rsid w:val="00757760"/>
    <w:rsid w:val="00757D59"/>
    <w:rsid w:val="00760685"/>
    <w:rsid w:val="007608FD"/>
    <w:rsid w:val="00760C80"/>
    <w:rsid w:val="00760D05"/>
    <w:rsid w:val="007633E3"/>
    <w:rsid w:val="007635E6"/>
    <w:rsid w:val="00764D55"/>
    <w:rsid w:val="00764F5C"/>
    <w:rsid w:val="00766C6C"/>
    <w:rsid w:val="007704C4"/>
    <w:rsid w:val="007721DF"/>
    <w:rsid w:val="00772477"/>
    <w:rsid w:val="00772ADB"/>
    <w:rsid w:val="00772D98"/>
    <w:rsid w:val="00773678"/>
    <w:rsid w:val="00773F3E"/>
    <w:rsid w:val="007746FD"/>
    <w:rsid w:val="0077558F"/>
    <w:rsid w:val="00775917"/>
    <w:rsid w:val="00775F27"/>
    <w:rsid w:val="00777416"/>
    <w:rsid w:val="00777FC8"/>
    <w:rsid w:val="007806EE"/>
    <w:rsid w:val="007810FA"/>
    <w:rsid w:val="00781248"/>
    <w:rsid w:val="007812AD"/>
    <w:rsid w:val="00781921"/>
    <w:rsid w:val="00781B16"/>
    <w:rsid w:val="00783742"/>
    <w:rsid w:val="007840C8"/>
    <w:rsid w:val="0078454C"/>
    <w:rsid w:val="007847B3"/>
    <w:rsid w:val="00784A88"/>
    <w:rsid w:val="007875CE"/>
    <w:rsid w:val="00790677"/>
    <w:rsid w:val="00790D1C"/>
    <w:rsid w:val="00790D20"/>
    <w:rsid w:val="00792A44"/>
    <w:rsid w:val="00793232"/>
    <w:rsid w:val="00793BB5"/>
    <w:rsid w:val="00794E42"/>
    <w:rsid w:val="00795A49"/>
    <w:rsid w:val="00795B83"/>
    <w:rsid w:val="00795E5E"/>
    <w:rsid w:val="007A037C"/>
    <w:rsid w:val="007A0B21"/>
    <w:rsid w:val="007A0BD2"/>
    <w:rsid w:val="007A56D7"/>
    <w:rsid w:val="007A5D00"/>
    <w:rsid w:val="007B04B5"/>
    <w:rsid w:val="007B0C75"/>
    <w:rsid w:val="007B103D"/>
    <w:rsid w:val="007B19FE"/>
    <w:rsid w:val="007B3AAC"/>
    <w:rsid w:val="007B3FD2"/>
    <w:rsid w:val="007B4F32"/>
    <w:rsid w:val="007B5029"/>
    <w:rsid w:val="007B75E6"/>
    <w:rsid w:val="007B7A55"/>
    <w:rsid w:val="007C2633"/>
    <w:rsid w:val="007C339C"/>
    <w:rsid w:val="007C397E"/>
    <w:rsid w:val="007C4D5B"/>
    <w:rsid w:val="007C54F4"/>
    <w:rsid w:val="007C7A50"/>
    <w:rsid w:val="007D0558"/>
    <w:rsid w:val="007D0576"/>
    <w:rsid w:val="007D14D2"/>
    <w:rsid w:val="007D22CD"/>
    <w:rsid w:val="007D2981"/>
    <w:rsid w:val="007D44BD"/>
    <w:rsid w:val="007D4BA7"/>
    <w:rsid w:val="007D6314"/>
    <w:rsid w:val="007D6805"/>
    <w:rsid w:val="007D6A3A"/>
    <w:rsid w:val="007D782B"/>
    <w:rsid w:val="007E0946"/>
    <w:rsid w:val="007E19D0"/>
    <w:rsid w:val="007E23BB"/>
    <w:rsid w:val="007E4275"/>
    <w:rsid w:val="007E4CA7"/>
    <w:rsid w:val="007E56C6"/>
    <w:rsid w:val="007E588D"/>
    <w:rsid w:val="007F1285"/>
    <w:rsid w:val="007F23B9"/>
    <w:rsid w:val="007F23BB"/>
    <w:rsid w:val="007F3961"/>
    <w:rsid w:val="007F3A2F"/>
    <w:rsid w:val="007F5C9E"/>
    <w:rsid w:val="007F5E86"/>
    <w:rsid w:val="007F6627"/>
    <w:rsid w:val="007F7672"/>
    <w:rsid w:val="008008A0"/>
    <w:rsid w:val="00800992"/>
    <w:rsid w:val="00800BE2"/>
    <w:rsid w:val="0080160C"/>
    <w:rsid w:val="00802864"/>
    <w:rsid w:val="00802FB9"/>
    <w:rsid w:val="008035E4"/>
    <w:rsid w:val="00805C0D"/>
    <w:rsid w:val="00805C8B"/>
    <w:rsid w:val="00806049"/>
    <w:rsid w:val="00806150"/>
    <w:rsid w:val="008063DA"/>
    <w:rsid w:val="0080650E"/>
    <w:rsid w:val="00806B23"/>
    <w:rsid w:val="0080720C"/>
    <w:rsid w:val="008076E1"/>
    <w:rsid w:val="00812590"/>
    <w:rsid w:val="0081267C"/>
    <w:rsid w:val="00813ADD"/>
    <w:rsid w:val="0081433C"/>
    <w:rsid w:val="00815418"/>
    <w:rsid w:val="0081639D"/>
    <w:rsid w:val="008168F5"/>
    <w:rsid w:val="00816FAB"/>
    <w:rsid w:val="0081748C"/>
    <w:rsid w:val="00817505"/>
    <w:rsid w:val="0082255C"/>
    <w:rsid w:val="00822C4E"/>
    <w:rsid w:val="008230EC"/>
    <w:rsid w:val="00823603"/>
    <w:rsid w:val="00824937"/>
    <w:rsid w:val="008257DE"/>
    <w:rsid w:val="00825D7A"/>
    <w:rsid w:val="0083022E"/>
    <w:rsid w:val="00830499"/>
    <w:rsid w:val="00832FA2"/>
    <w:rsid w:val="008344AA"/>
    <w:rsid w:val="0083577F"/>
    <w:rsid w:val="00836395"/>
    <w:rsid w:val="008366EC"/>
    <w:rsid w:val="00836D50"/>
    <w:rsid w:val="00836F7A"/>
    <w:rsid w:val="0083713B"/>
    <w:rsid w:val="008428EB"/>
    <w:rsid w:val="00842CC5"/>
    <w:rsid w:val="0084316B"/>
    <w:rsid w:val="00843956"/>
    <w:rsid w:val="0084660B"/>
    <w:rsid w:val="0084696F"/>
    <w:rsid w:val="0084716A"/>
    <w:rsid w:val="008502B8"/>
    <w:rsid w:val="008513C6"/>
    <w:rsid w:val="00851B47"/>
    <w:rsid w:val="00855037"/>
    <w:rsid w:val="008554F3"/>
    <w:rsid w:val="008555AE"/>
    <w:rsid w:val="00857B1F"/>
    <w:rsid w:val="00857F4C"/>
    <w:rsid w:val="00860FE8"/>
    <w:rsid w:val="0086184C"/>
    <w:rsid w:val="00861C60"/>
    <w:rsid w:val="008622AF"/>
    <w:rsid w:val="00862501"/>
    <w:rsid w:val="008628D9"/>
    <w:rsid w:val="00862D8A"/>
    <w:rsid w:val="008637F3"/>
    <w:rsid w:val="008639EA"/>
    <w:rsid w:val="00863CF5"/>
    <w:rsid w:val="00864424"/>
    <w:rsid w:val="0086507B"/>
    <w:rsid w:val="008656CD"/>
    <w:rsid w:val="00866594"/>
    <w:rsid w:val="00867F31"/>
    <w:rsid w:val="0087072C"/>
    <w:rsid w:val="00870980"/>
    <w:rsid w:val="0087140A"/>
    <w:rsid w:val="00873023"/>
    <w:rsid w:val="008743D4"/>
    <w:rsid w:val="00874C80"/>
    <w:rsid w:val="00875E95"/>
    <w:rsid w:val="00875FAC"/>
    <w:rsid w:val="00876995"/>
    <w:rsid w:val="00876DA4"/>
    <w:rsid w:val="008770AB"/>
    <w:rsid w:val="0087763C"/>
    <w:rsid w:val="00877A60"/>
    <w:rsid w:val="00881174"/>
    <w:rsid w:val="0088191D"/>
    <w:rsid w:val="00881F71"/>
    <w:rsid w:val="00882BA4"/>
    <w:rsid w:val="008850DA"/>
    <w:rsid w:val="00886002"/>
    <w:rsid w:val="008924DE"/>
    <w:rsid w:val="00893151"/>
    <w:rsid w:val="00894354"/>
    <w:rsid w:val="00894635"/>
    <w:rsid w:val="0089659B"/>
    <w:rsid w:val="0089765F"/>
    <w:rsid w:val="008979F6"/>
    <w:rsid w:val="00897B37"/>
    <w:rsid w:val="008A0AB6"/>
    <w:rsid w:val="008A0E09"/>
    <w:rsid w:val="008A1767"/>
    <w:rsid w:val="008A2E72"/>
    <w:rsid w:val="008A570A"/>
    <w:rsid w:val="008A71DC"/>
    <w:rsid w:val="008A788A"/>
    <w:rsid w:val="008B1B0B"/>
    <w:rsid w:val="008B1DDB"/>
    <w:rsid w:val="008B21F8"/>
    <w:rsid w:val="008B390B"/>
    <w:rsid w:val="008B4370"/>
    <w:rsid w:val="008B570A"/>
    <w:rsid w:val="008B621B"/>
    <w:rsid w:val="008B6B26"/>
    <w:rsid w:val="008B6D20"/>
    <w:rsid w:val="008B6E27"/>
    <w:rsid w:val="008C07D6"/>
    <w:rsid w:val="008C1DF8"/>
    <w:rsid w:val="008C282F"/>
    <w:rsid w:val="008C6EF2"/>
    <w:rsid w:val="008C768E"/>
    <w:rsid w:val="008D1D4B"/>
    <w:rsid w:val="008D24C5"/>
    <w:rsid w:val="008D2D82"/>
    <w:rsid w:val="008D3A21"/>
    <w:rsid w:val="008D6C35"/>
    <w:rsid w:val="008E03D9"/>
    <w:rsid w:val="008E0858"/>
    <w:rsid w:val="008E0EFA"/>
    <w:rsid w:val="008E2AD3"/>
    <w:rsid w:val="008E3C3A"/>
    <w:rsid w:val="008E42E6"/>
    <w:rsid w:val="008E4CE6"/>
    <w:rsid w:val="008E52D9"/>
    <w:rsid w:val="008E67BC"/>
    <w:rsid w:val="008F177B"/>
    <w:rsid w:val="008F2728"/>
    <w:rsid w:val="008F2789"/>
    <w:rsid w:val="008F2BEA"/>
    <w:rsid w:val="008F52FA"/>
    <w:rsid w:val="009003AB"/>
    <w:rsid w:val="00900C74"/>
    <w:rsid w:val="009010B7"/>
    <w:rsid w:val="009024DB"/>
    <w:rsid w:val="00902D6E"/>
    <w:rsid w:val="0090385D"/>
    <w:rsid w:val="00904E58"/>
    <w:rsid w:val="00905E9D"/>
    <w:rsid w:val="0090602D"/>
    <w:rsid w:val="00907340"/>
    <w:rsid w:val="00907619"/>
    <w:rsid w:val="00911177"/>
    <w:rsid w:val="00911C1F"/>
    <w:rsid w:val="0091379B"/>
    <w:rsid w:val="009148FA"/>
    <w:rsid w:val="009159BF"/>
    <w:rsid w:val="00915C91"/>
    <w:rsid w:val="00916CEA"/>
    <w:rsid w:val="00917E3C"/>
    <w:rsid w:val="00920ABF"/>
    <w:rsid w:val="009212E0"/>
    <w:rsid w:val="0092152F"/>
    <w:rsid w:val="009215FE"/>
    <w:rsid w:val="009221AB"/>
    <w:rsid w:val="0092246C"/>
    <w:rsid w:val="0092503C"/>
    <w:rsid w:val="00927507"/>
    <w:rsid w:val="009300FF"/>
    <w:rsid w:val="00930B37"/>
    <w:rsid w:val="00932229"/>
    <w:rsid w:val="009330D4"/>
    <w:rsid w:val="00935624"/>
    <w:rsid w:val="009363C2"/>
    <w:rsid w:val="009374C3"/>
    <w:rsid w:val="009375BC"/>
    <w:rsid w:val="00937619"/>
    <w:rsid w:val="0094047A"/>
    <w:rsid w:val="009404B5"/>
    <w:rsid w:val="00941884"/>
    <w:rsid w:val="00944D26"/>
    <w:rsid w:val="00944D6B"/>
    <w:rsid w:val="009456F5"/>
    <w:rsid w:val="00946189"/>
    <w:rsid w:val="00956F1E"/>
    <w:rsid w:val="00957481"/>
    <w:rsid w:val="00957D03"/>
    <w:rsid w:val="0096080A"/>
    <w:rsid w:val="00960E97"/>
    <w:rsid w:val="00961636"/>
    <w:rsid w:val="00961A4A"/>
    <w:rsid w:val="00961B6E"/>
    <w:rsid w:val="00962AA7"/>
    <w:rsid w:val="00962B9A"/>
    <w:rsid w:val="009630BA"/>
    <w:rsid w:val="00963960"/>
    <w:rsid w:val="00963F4D"/>
    <w:rsid w:val="00966946"/>
    <w:rsid w:val="0096697E"/>
    <w:rsid w:val="00971269"/>
    <w:rsid w:val="00971CFB"/>
    <w:rsid w:val="00972A08"/>
    <w:rsid w:val="00972F6A"/>
    <w:rsid w:val="00973068"/>
    <w:rsid w:val="0097346B"/>
    <w:rsid w:val="00973A4B"/>
    <w:rsid w:val="009757CA"/>
    <w:rsid w:val="00976E20"/>
    <w:rsid w:val="00977DBD"/>
    <w:rsid w:val="00980567"/>
    <w:rsid w:val="00981092"/>
    <w:rsid w:val="00981093"/>
    <w:rsid w:val="00982250"/>
    <w:rsid w:val="00983339"/>
    <w:rsid w:val="00983AF9"/>
    <w:rsid w:val="00983EDD"/>
    <w:rsid w:val="00985CA5"/>
    <w:rsid w:val="0098704A"/>
    <w:rsid w:val="00987EAC"/>
    <w:rsid w:val="00991A55"/>
    <w:rsid w:val="0099403E"/>
    <w:rsid w:val="0099439A"/>
    <w:rsid w:val="009A024B"/>
    <w:rsid w:val="009A556F"/>
    <w:rsid w:val="009A599F"/>
    <w:rsid w:val="009A5DFA"/>
    <w:rsid w:val="009A7605"/>
    <w:rsid w:val="009A76BA"/>
    <w:rsid w:val="009B014B"/>
    <w:rsid w:val="009B02FC"/>
    <w:rsid w:val="009B17F7"/>
    <w:rsid w:val="009B185B"/>
    <w:rsid w:val="009B1CB2"/>
    <w:rsid w:val="009B1DD6"/>
    <w:rsid w:val="009B6436"/>
    <w:rsid w:val="009B643C"/>
    <w:rsid w:val="009B7F4A"/>
    <w:rsid w:val="009B7F4E"/>
    <w:rsid w:val="009C0270"/>
    <w:rsid w:val="009C2E19"/>
    <w:rsid w:val="009C32A1"/>
    <w:rsid w:val="009C4B54"/>
    <w:rsid w:val="009C4B91"/>
    <w:rsid w:val="009C4E64"/>
    <w:rsid w:val="009C50BB"/>
    <w:rsid w:val="009C75B9"/>
    <w:rsid w:val="009D0633"/>
    <w:rsid w:val="009D13B9"/>
    <w:rsid w:val="009D1416"/>
    <w:rsid w:val="009D1EFF"/>
    <w:rsid w:val="009D2F9A"/>
    <w:rsid w:val="009D311C"/>
    <w:rsid w:val="009D3369"/>
    <w:rsid w:val="009D37A3"/>
    <w:rsid w:val="009D4CC9"/>
    <w:rsid w:val="009D4EAF"/>
    <w:rsid w:val="009D69DC"/>
    <w:rsid w:val="009D6CDD"/>
    <w:rsid w:val="009D7932"/>
    <w:rsid w:val="009E1C61"/>
    <w:rsid w:val="009E1C6B"/>
    <w:rsid w:val="009E57EF"/>
    <w:rsid w:val="009E719A"/>
    <w:rsid w:val="009E7266"/>
    <w:rsid w:val="009F1294"/>
    <w:rsid w:val="009F25A4"/>
    <w:rsid w:val="009F39DE"/>
    <w:rsid w:val="009F4DA0"/>
    <w:rsid w:val="009F51B9"/>
    <w:rsid w:val="009F546F"/>
    <w:rsid w:val="009F6691"/>
    <w:rsid w:val="00A00290"/>
    <w:rsid w:val="00A01544"/>
    <w:rsid w:val="00A04C3E"/>
    <w:rsid w:val="00A04FF6"/>
    <w:rsid w:val="00A05319"/>
    <w:rsid w:val="00A05463"/>
    <w:rsid w:val="00A057EB"/>
    <w:rsid w:val="00A067B4"/>
    <w:rsid w:val="00A07A53"/>
    <w:rsid w:val="00A07B30"/>
    <w:rsid w:val="00A07E74"/>
    <w:rsid w:val="00A10837"/>
    <w:rsid w:val="00A11029"/>
    <w:rsid w:val="00A12505"/>
    <w:rsid w:val="00A12F96"/>
    <w:rsid w:val="00A1548C"/>
    <w:rsid w:val="00A169DF"/>
    <w:rsid w:val="00A21013"/>
    <w:rsid w:val="00A21CBC"/>
    <w:rsid w:val="00A22684"/>
    <w:rsid w:val="00A234B2"/>
    <w:rsid w:val="00A23F8F"/>
    <w:rsid w:val="00A25CFB"/>
    <w:rsid w:val="00A32229"/>
    <w:rsid w:val="00A34471"/>
    <w:rsid w:val="00A34C1C"/>
    <w:rsid w:val="00A35A76"/>
    <w:rsid w:val="00A368BE"/>
    <w:rsid w:val="00A36ECE"/>
    <w:rsid w:val="00A36FE5"/>
    <w:rsid w:val="00A4064D"/>
    <w:rsid w:val="00A4133D"/>
    <w:rsid w:val="00A426F4"/>
    <w:rsid w:val="00A431A4"/>
    <w:rsid w:val="00A46D20"/>
    <w:rsid w:val="00A479A8"/>
    <w:rsid w:val="00A47EA1"/>
    <w:rsid w:val="00A51798"/>
    <w:rsid w:val="00A52D03"/>
    <w:rsid w:val="00A52E32"/>
    <w:rsid w:val="00A5380C"/>
    <w:rsid w:val="00A53B79"/>
    <w:rsid w:val="00A53DFD"/>
    <w:rsid w:val="00A54D4F"/>
    <w:rsid w:val="00A604A8"/>
    <w:rsid w:val="00A619BC"/>
    <w:rsid w:val="00A62096"/>
    <w:rsid w:val="00A621CE"/>
    <w:rsid w:val="00A62856"/>
    <w:rsid w:val="00A628A0"/>
    <w:rsid w:val="00A662F3"/>
    <w:rsid w:val="00A66B12"/>
    <w:rsid w:val="00A72BC6"/>
    <w:rsid w:val="00A73D4C"/>
    <w:rsid w:val="00A73E9D"/>
    <w:rsid w:val="00A74525"/>
    <w:rsid w:val="00A75F19"/>
    <w:rsid w:val="00A807D6"/>
    <w:rsid w:val="00A8272C"/>
    <w:rsid w:val="00A83C30"/>
    <w:rsid w:val="00A85EF6"/>
    <w:rsid w:val="00A86B7F"/>
    <w:rsid w:val="00A86D46"/>
    <w:rsid w:val="00A902C9"/>
    <w:rsid w:val="00A919C6"/>
    <w:rsid w:val="00A949E7"/>
    <w:rsid w:val="00A95947"/>
    <w:rsid w:val="00A96376"/>
    <w:rsid w:val="00AA17C1"/>
    <w:rsid w:val="00AA2E1B"/>
    <w:rsid w:val="00AA302A"/>
    <w:rsid w:val="00AA5487"/>
    <w:rsid w:val="00AA7525"/>
    <w:rsid w:val="00AB0D9A"/>
    <w:rsid w:val="00AB16D5"/>
    <w:rsid w:val="00AB360B"/>
    <w:rsid w:val="00AB3D11"/>
    <w:rsid w:val="00AB404D"/>
    <w:rsid w:val="00AB45E1"/>
    <w:rsid w:val="00AB626C"/>
    <w:rsid w:val="00AB707F"/>
    <w:rsid w:val="00AB7452"/>
    <w:rsid w:val="00AC1894"/>
    <w:rsid w:val="00AC5B8C"/>
    <w:rsid w:val="00AC77DB"/>
    <w:rsid w:val="00AD1A0E"/>
    <w:rsid w:val="00AD1E5A"/>
    <w:rsid w:val="00AD65EE"/>
    <w:rsid w:val="00AE0AFC"/>
    <w:rsid w:val="00AE2776"/>
    <w:rsid w:val="00AE494B"/>
    <w:rsid w:val="00AF2FB9"/>
    <w:rsid w:val="00AF59F6"/>
    <w:rsid w:val="00AF5B3F"/>
    <w:rsid w:val="00AF5E48"/>
    <w:rsid w:val="00AF64D6"/>
    <w:rsid w:val="00B005FE"/>
    <w:rsid w:val="00B00C40"/>
    <w:rsid w:val="00B00F88"/>
    <w:rsid w:val="00B01CD1"/>
    <w:rsid w:val="00B038EB"/>
    <w:rsid w:val="00B04BD0"/>
    <w:rsid w:val="00B11309"/>
    <w:rsid w:val="00B1146D"/>
    <w:rsid w:val="00B118E7"/>
    <w:rsid w:val="00B11D87"/>
    <w:rsid w:val="00B1248D"/>
    <w:rsid w:val="00B139EB"/>
    <w:rsid w:val="00B14DA2"/>
    <w:rsid w:val="00B162C8"/>
    <w:rsid w:val="00B16FBB"/>
    <w:rsid w:val="00B2170C"/>
    <w:rsid w:val="00B21904"/>
    <w:rsid w:val="00B22475"/>
    <w:rsid w:val="00B24A35"/>
    <w:rsid w:val="00B255A8"/>
    <w:rsid w:val="00B274FB"/>
    <w:rsid w:val="00B27E4C"/>
    <w:rsid w:val="00B303E4"/>
    <w:rsid w:val="00B31A9C"/>
    <w:rsid w:val="00B3291D"/>
    <w:rsid w:val="00B32E8C"/>
    <w:rsid w:val="00B33080"/>
    <w:rsid w:val="00B330FB"/>
    <w:rsid w:val="00B333B9"/>
    <w:rsid w:val="00B33AF2"/>
    <w:rsid w:val="00B377AF"/>
    <w:rsid w:val="00B37F57"/>
    <w:rsid w:val="00B404C9"/>
    <w:rsid w:val="00B40820"/>
    <w:rsid w:val="00B40F2F"/>
    <w:rsid w:val="00B4173F"/>
    <w:rsid w:val="00B41D41"/>
    <w:rsid w:val="00B4205F"/>
    <w:rsid w:val="00B4234D"/>
    <w:rsid w:val="00B43C6B"/>
    <w:rsid w:val="00B4765C"/>
    <w:rsid w:val="00B476F1"/>
    <w:rsid w:val="00B50F90"/>
    <w:rsid w:val="00B519E5"/>
    <w:rsid w:val="00B527C2"/>
    <w:rsid w:val="00B54B57"/>
    <w:rsid w:val="00B54CDA"/>
    <w:rsid w:val="00B56399"/>
    <w:rsid w:val="00B56472"/>
    <w:rsid w:val="00B57AA4"/>
    <w:rsid w:val="00B60BEE"/>
    <w:rsid w:val="00B6141F"/>
    <w:rsid w:val="00B641E7"/>
    <w:rsid w:val="00B64200"/>
    <w:rsid w:val="00B660A8"/>
    <w:rsid w:val="00B66687"/>
    <w:rsid w:val="00B66E8D"/>
    <w:rsid w:val="00B676AC"/>
    <w:rsid w:val="00B71049"/>
    <w:rsid w:val="00B7146E"/>
    <w:rsid w:val="00B7230B"/>
    <w:rsid w:val="00B73498"/>
    <w:rsid w:val="00B759C4"/>
    <w:rsid w:val="00B75D9E"/>
    <w:rsid w:val="00B7667B"/>
    <w:rsid w:val="00B76844"/>
    <w:rsid w:val="00B77D03"/>
    <w:rsid w:val="00B80361"/>
    <w:rsid w:val="00B808EC"/>
    <w:rsid w:val="00B82DDD"/>
    <w:rsid w:val="00B8320A"/>
    <w:rsid w:val="00B8379A"/>
    <w:rsid w:val="00B83B70"/>
    <w:rsid w:val="00B85821"/>
    <w:rsid w:val="00B860BE"/>
    <w:rsid w:val="00B869AA"/>
    <w:rsid w:val="00B871E3"/>
    <w:rsid w:val="00B87544"/>
    <w:rsid w:val="00B87CE1"/>
    <w:rsid w:val="00B87CFF"/>
    <w:rsid w:val="00B90115"/>
    <w:rsid w:val="00B90545"/>
    <w:rsid w:val="00B93F2A"/>
    <w:rsid w:val="00B943D3"/>
    <w:rsid w:val="00B9626C"/>
    <w:rsid w:val="00BA0A11"/>
    <w:rsid w:val="00BA13E1"/>
    <w:rsid w:val="00BA1520"/>
    <w:rsid w:val="00BA1A8F"/>
    <w:rsid w:val="00BA292F"/>
    <w:rsid w:val="00BA3143"/>
    <w:rsid w:val="00BA5D46"/>
    <w:rsid w:val="00BA6046"/>
    <w:rsid w:val="00BA715A"/>
    <w:rsid w:val="00BA727D"/>
    <w:rsid w:val="00BA7F0E"/>
    <w:rsid w:val="00BB0285"/>
    <w:rsid w:val="00BB1017"/>
    <w:rsid w:val="00BB1020"/>
    <w:rsid w:val="00BB30D7"/>
    <w:rsid w:val="00BB3430"/>
    <w:rsid w:val="00BB45CA"/>
    <w:rsid w:val="00BB616F"/>
    <w:rsid w:val="00BB67F7"/>
    <w:rsid w:val="00BB70C6"/>
    <w:rsid w:val="00BC02C3"/>
    <w:rsid w:val="00BC02CB"/>
    <w:rsid w:val="00BC12DF"/>
    <w:rsid w:val="00BC18EA"/>
    <w:rsid w:val="00BC31CD"/>
    <w:rsid w:val="00BC42B1"/>
    <w:rsid w:val="00BC6573"/>
    <w:rsid w:val="00BC6A55"/>
    <w:rsid w:val="00BD2517"/>
    <w:rsid w:val="00BD2A2A"/>
    <w:rsid w:val="00BD3A37"/>
    <w:rsid w:val="00BD50C3"/>
    <w:rsid w:val="00BD5BB7"/>
    <w:rsid w:val="00BD5C92"/>
    <w:rsid w:val="00BE0FA9"/>
    <w:rsid w:val="00BE0FCA"/>
    <w:rsid w:val="00BE34F5"/>
    <w:rsid w:val="00BE5D9A"/>
    <w:rsid w:val="00BE7538"/>
    <w:rsid w:val="00BE78AC"/>
    <w:rsid w:val="00BE7A74"/>
    <w:rsid w:val="00BE7E60"/>
    <w:rsid w:val="00BF2860"/>
    <w:rsid w:val="00BF2BD6"/>
    <w:rsid w:val="00BF2E25"/>
    <w:rsid w:val="00BF4954"/>
    <w:rsid w:val="00BF6230"/>
    <w:rsid w:val="00C009FE"/>
    <w:rsid w:val="00C01447"/>
    <w:rsid w:val="00C01911"/>
    <w:rsid w:val="00C053E9"/>
    <w:rsid w:val="00C05A0D"/>
    <w:rsid w:val="00C06348"/>
    <w:rsid w:val="00C0760C"/>
    <w:rsid w:val="00C10942"/>
    <w:rsid w:val="00C109EF"/>
    <w:rsid w:val="00C11463"/>
    <w:rsid w:val="00C1266D"/>
    <w:rsid w:val="00C15A3F"/>
    <w:rsid w:val="00C160CE"/>
    <w:rsid w:val="00C20FF1"/>
    <w:rsid w:val="00C21292"/>
    <w:rsid w:val="00C22A9D"/>
    <w:rsid w:val="00C23AC5"/>
    <w:rsid w:val="00C2585C"/>
    <w:rsid w:val="00C27C5C"/>
    <w:rsid w:val="00C30B7D"/>
    <w:rsid w:val="00C30C54"/>
    <w:rsid w:val="00C312AB"/>
    <w:rsid w:val="00C33890"/>
    <w:rsid w:val="00C33981"/>
    <w:rsid w:val="00C354CD"/>
    <w:rsid w:val="00C4314B"/>
    <w:rsid w:val="00C4375C"/>
    <w:rsid w:val="00C44348"/>
    <w:rsid w:val="00C44BD9"/>
    <w:rsid w:val="00C44D18"/>
    <w:rsid w:val="00C45862"/>
    <w:rsid w:val="00C45BA3"/>
    <w:rsid w:val="00C474A0"/>
    <w:rsid w:val="00C502B8"/>
    <w:rsid w:val="00C52334"/>
    <w:rsid w:val="00C52340"/>
    <w:rsid w:val="00C5281D"/>
    <w:rsid w:val="00C52CF9"/>
    <w:rsid w:val="00C541FA"/>
    <w:rsid w:val="00C54407"/>
    <w:rsid w:val="00C55372"/>
    <w:rsid w:val="00C55E32"/>
    <w:rsid w:val="00C571FA"/>
    <w:rsid w:val="00C57FBC"/>
    <w:rsid w:val="00C6080A"/>
    <w:rsid w:val="00C627DD"/>
    <w:rsid w:val="00C63EB0"/>
    <w:rsid w:val="00C65E1E"/>
    <w:rsid w:val="00C6791E"/>
    <w:rsid w:val="00C714B3"/>
    <w:rsid w:val="00C71F38"/>
    <w:rsid w:val="00C721E9"/>
    <w:rsid w:val="00C735C8"/>
    <w:rsid w:val="00C74A29"/>
    <w:rsid w:val="00C75464"/>
    <w:rsid w:val="00C7623F"/>
    <w:rsid w:val="00C76510"/>
    <w:rsid w:val="00C76C6C"/>
    <w:rsid w:val="00C7722E"/>
    <w:rsid w:val="00C778A4"/>
    <w:rsid w:val="00C80183"/>
    <w:rsid w:val="00C81B66"/>
    <w:rsid w:val="00C82BC3"/>
    <w:rsid w:val="00C84EF0"/>
    <w:rsid w:val="00C85CA5"/>
    <w:rsid w:val="00C872DB"/>
    <w:rsid w:val="00C87B82"/>
    <w:rsid w:val="00C87F01"/>
    <w:rsid w:val="00C90565"/>
    <w:rsid w:val="00C90A54"/>
    <w:rsid w:val="00C918F5"/>
    <w:rsid w:val="00C9195C"/>
    <w:rsid w:val="00C9570E"/>
    <w:rsid w:val="00C95921"/>
    <w:rsid w:val="00C9763F"/>
    <w:rsid w:val="00C97BDA"/>
    <w:rsid w:val="00CA04D0"/>
    <w:rsid w:val="00CA1049"/>
    <w:rsid w:val="00CA1325"/>
    <w:rsid w:val="00CA271F"/>
    <w:rsid w:val="00CA2F8C"/>
    <w:rsid w:val="00CA540D"/>
    <w:rsid w:val="00CA7D28"/>
    <w:rsid w:val="00CB0C5F"/>
    <w:rsid w:val="00CB20C2"/>
    <w:rsid w:val="00CB4CAC"/>
    <w:rsid w:val="00CB518C"/>
    <w:rsid w:val="00CB6414"/>
    <w:rsid w:val="00CB68DD"/>
    <w:rsid w:val="00CB6964"/>
    <w:rsid w:val="00CC0E16"/>
    <w:rsid w:val="00CC1183"/>
    <w:rsid w:val="00CC1AA5"/>
    <w:rsid w:val="00CC37D9"/>
    <w:rsid w:val="00CC392E"/>
    <w:rsid w:val="00CD32D1"/>
    <w:rsid w:val="00CD3CBB"/>
    <w:rsid w:val="00CD4882"/>
    <w:rsid w:val="00CD4AD8"/>
    <w:rsid w:val="00CD54C6"/>
    <w:rsid w:val="00CD5C6C"/>
    <w:rsid w:val="00CE13A9"/>
    <w:rsid w:val="00CE2627"/>
    <w:rsid w:val="00CE3CEE"/>
    <w:rsid w:val="00CE4338"/>
    <w:rsid w:val="00CE5343"/>
    <w:rsid w:val="00CF1962"/>
    <w:rsid w:val="00CF33F0"/>
    <w:rsid w:val="00CF4232"/>
    <w:rsid w:val="00CF53FE"/>
    <w:rsid w:val="00CF67BF"/>
    <w:rsid w:val="00CF707D"/>
    <w:rsid w:val="00CF7809"/>
    <w:rsid w:val="00D002E3"/>
    <w:rsid w:val="00D00320"/>
    <w:rsid w:val="00D00656"/>
    <w:rsid w:val="00D03325"/>
    <w:rsid w:val="00D071C6"/>
    <w:rsid w:val="00D077A2"/>
    <w:rsid w:val="00D10383"/>
    <w:rsid w:val="00D112A9"/>
    <w:rsid w:val="00D14DB6"/>
    <w:rsid w:val="00D15E8F"/>
    <w:rsid w:val="00D17F5F"/>
    <w:rsid w:val="00D2080F"/>
    <w:rsid w:val="00D213C6"/>
    <w:rsid w:val="00D23EB8"/>
    <w:rsid w:val="00D25916"/>
    <w:rsid w:val="00D27452"/>
    <w:rsid w:val="00D27F82"/>
    <w:rsid w:val="00D27FBA"/>
    <w:rsid w:val="00D30620"/>
    <w:rsid w:val="00D30B46"/>
    <w:rsid w:val="00D337CB"/>
    <w:rsid w:val="00D33A97"/>
    <w:rsid w:val="00D349D9"/>
    <w:rsid w:val="00D34F43"/>
    <w:rsid w:val="00D357A7"/>
    <w:rsid w:val="00D35B34"/>
    <w:rsid w:val="00D35B9E"/>
    <w:rsid w:val="00D36E59"/>
    <w:rsid w:val="00D36F93"/>
    <w:rsid w:val="00D418CC"/>
    <w:rsid w:val="00D42EE3"/>
    <w:rsid w:val="00D444E8"/>
    <w:rsid w:val="00D45DFB"/>
    <w:rsid w:val="00D477E8"/>
    <w:rsid w:val="00D47B78"/>
    <w:rsid w:val="00D501CC"/>
    <w:rsid w:val="00D51C8C"/>
    <w:rsid w:val="00D526AC"/>
    <w:rsid w:val="00D534A3"/>
    <w:rsid w:val="00D53DAD"/>
    <w:rsid w:val="00D567CA"/>
    <w:rsid w:val="00D56F4F"/>
    <w:rsid w:val="00D60378"/>
    <w:rsid w:val="00D6096A"/>
    <w:rsid w:val="00D61775"/>
    <w:rsid w:val="00D61D86"/>
    <w:rsid w:val="00D63109"/>
    <w:rsid w:val="00D63EED"/>
    <w:rsid w:val="00D6452D"/>
    <w:rsid w:val="00D65FE8"/>
    <w:rsid w:val="00D6634A"/>
    <w:rsid w:val="00D6685C"/>
    <w:rsid w:val="00D6686F"/>
    <w:rsid w:val="00D72C48"/>
    <w:rsid w:val="00D73260"/>
    <w:rsid w:val="00D735B6"/>
    <w:rsid w:val="00D746AC"/>
    <w:rsid w:val="00D74DFF"/>
    <w:rsid w:val="00D74ED8"/>
    <w:rsid w:val="00D754F8"/>
    <w:rsid w:val="00D75A2E"/>
    <w:rsid w:val="00D77219"/>
    <w:rsid w:val="00D81503"/>
    <w:rsid w:val="00D81673"/>
    <w:rsid w:val="00D82150"/>
    <w:rsid w:val="00D8489F"/>
    <w:rsid w:val="00D85B33"/>
    <w:rsid w:val="00D86256"/>
    <w:rsid w:val="00D908CD"/>
    <w:rsid w:val="00D9102F"/>
    <w:rsid w:val="00D927BF"/>
    <w:rsid w:val="00D94680"/>
    <w:rsid w:val="00D94E32"/>
    <w:rsid w:val="00D958B0"/>
    <w:rsid w:val="00D96322"/>
    <w:rsid w:val="00D96E96"/>
    <w:rsid w:val="00D9707A"/>
    <w:rsid w:val="00D97B6A"/>
    <w:rsid w:val="00D97E57"/>
    <w:rsid w:val="00DA0155"/>
    <w:rsid w:val="00DA037E"/>
    <w:rsid w:val="00DA03AB"/>
    <w:rsid w:val="00DA151A"/>
    <w:rsid w:val="00DA1FB1"/>
    <w:rsid w:val="00DA20EC"/>
    <w:rsid w:val="00DA393D"/>
    <w:rsid w:val="00DA402C"/>
    <w:rsid w:val="00DA427E"/>
    <w:rsid w:val="00DA4AD6"/>
    <w:rsid w:val="00DB1809"/>
    <w:rsid w:val="00DB5463"/>
    <w:rsid w:val="00DB5CD7"/>
    <w:rsid w:val="00DB6DA1"/>
    <w:rsid w:val="00DC04D4"/>
    <w:rsid w:val="00DC07AE"/>
    <w:rsid w:val="00DC1796"/>
    <w:rsid w:val="00DC23DF"/>
    <w:rsid w:val="00DC6397"/>
    <w:rsid w:val="00DD1213"/>
    <w:rsid w:val="00DD3A09"/>
    <w:rsid w:val="00DD44FF"/>
    <w:rsid w:val="00DD75F8"/>
    <w:rsid w:val="00DD7B23"/>
    <w:rsid w:val="00DD7CE5"/>
    <w:rsid w:val="00DE0487"/>
    <w:rsid w:val="00DE050E"/>
    <w:rsid w:val="00DE0F72"/>
    <w:rsid w:val="00DE1224"/>
    <w:rsid w:val="00DE3C5F"/>
    <w:rsid w:val="00DE5B18"/>
    <w:rsid w:val="00DE7126"/>
    <w:rsid w:val="00DE7AF9"/>
    <w:rsid w:val="00DE7D47"/>
    <w:rsid w:val="00DF0B4A"/>
    <w:rsid w:val="00DF19E2"/>
    <w:rsid w:val="00DF2D4B"/>
    <w:rsid w:val="00DF32E5"/>
    <w:rsid w:val="00DF39E2"/>
    <w:rsid w:val="00DF4668"/>
    <w:rsid w:val="00DF5A42"/>
    <w:rsid w:val="00DF6023"/>
    <w:rsid w:val="00DF643B"/>
    <w:rsid w:val="00DF7E25"/>
    <w:rsid w:val="00E035F9"/>
    <w:rsid w:val="00E04F99"/>
    <w:rsid w:val="00E053A4"/>
    <w:rsid w:val="00E053EB"/>
    <w:rsid w:val="00E0659B"/>
    <w:rsid w:val="00E14584"/>
    <w:rsid w:val="00E14C3E"/>
    <w:rsid w:val="00E16A3C"/>
    <w:rsid w:val="00E17C95"/>
    <w:rsid w:val="00E208F7"/>
    <w:rsid w:val="00E21AA5"/>
    <w:rsid w:val="00E238FD"/>
    <w:rsid w:val="00E25264"/>
    <w:rsid w:val="00E25B9A"/>
    <w:rsid w:val="00E27277"/>
    <w:rsid w:val="00E27C33"/>
    <w:rsid w:val="00E305A0"/>
    <w:rsid w:val="00E30D7F"/>
    <w:rsid w:val="00E32486"/>
    <w:rsid w:val="00E33414"/>
    <w:rsid w:val="00E337D3"/>
    <w:rsid w:val="00E33FEA"/>
    <w:rsid w:val="00E34355"/>
    <w:rsid w:val="00E35310"/>
    <w:rsid w:val="00E37220"/>
    <w:rsid w:val="00E41B98"/>
    <w:rsid w:val="00E420F7"/>
    <w:rsid w:val="00E44663"/>
    <w:rsid w:val="00E44842"/>
    <w:rsid w:val="00E4693D"/>
    <w:rsid w:val="00E50656"/>
    <w:rsid w:val="00E52BBE"/>
    <w:rsid w:val="00E52F73"/>
    <w:rsid w:val="00E532A4"/>
    <w:rsid w:val="00E534A7"/>
    <w:rsid w:val="00E535C1"/>
    <w:rsid w:val="00E54851"/>
    <w:rsid w:val="00E56440"/>
    <w:rsid w:val="00E56FB6"/>
    <w:rsid w:val="00E5705D"/>
    <w:rsid w:val="00E57A98"/>
    <w:rsid w:val="00E60343"/>
    <w:rsid w:val="00E604FD"/>
    <w:rsid w:val="00E60DC8"/>
    <w:rsid w:val="00E60E53"/>
    <w:rsid w:val="00E62071"/>
    <w:rsid w:val="00E62D07"/>
    <w:rsid w:val="00E63190"/>
    <w:rsid w:val="00E64510"/>
    <w:rsid w:val="00E64F6E"/>
    <w:rsid w:val="00E6517D"/>
    <w:rsid w:val="00E651CC"/>
    <w:rsid w:val="00E662CD"/>
    <w:rsid w:val="00E67FC2"/>
    <w:rsid w:val="00E70094"/>
    <w:rsid w:val="00E73F99"/>
    <w:rsid w:val="00E74347"/>
    <w:rsid w:val="00E74379"/>
    <w:rsid w:val="00E747EC"/>
    <w:rsid w:val="00E74D08"/>
    <w:rsid w:val="00E74D77"/>
    <w:rsid w:val="00E75377"/>
    <w:rsid w:val="00E80B35"/>
    <w:rsid w:val="00E80FD4"/>
    <w:rsid w:val="00E83588"/>
    <w:rsid w:val="00E8453B"/>
    <w:rsid w:val="00E84D86"/>
    <w:rsid w:val="00E8652F"/>
    <w:rsid w:val="00E901BD"/>
    <w:rsid w:val="00E908A6"/>
    <w:rsid w:val="00E91631"/>
    <w:rsid w:val="00E91645"/>
    <w:rsid w:val="00E919F3"/>
    <w:rsid w:val="00E91AA1"/>
    <w:rsid w:val="00E94322"/>
    <w:rsid w:val="00E950B5"/>
    <w:rsid w:val="00E956F2"/>
    <w:rsid w:val="00E957EF"/>
    <w:rsid w:val="00E969BB"/>
    <w:rsid w:val="00EA0B32"/>
    <w:rsid w:val="00EA1776"/>
    <w:rsid w:val="00EA1CE6"/>
    <w:rsid w:val="00EA2DEF"/>
    <w:rsid w:val="00EA44DC"/>
    <w:rsid w:val="00EA4D66"/>
    <w:rsid w:val="00EA5414"/>
    <w:rsid w:val="00EA5902"/>
    <w:rsid w:val="00EA62AB"/>
    <w:rsid w:val="00EA79E6"/>
    <w:rsid w:val="00EB0B1B"/>
    <w:rsid w:val="00EB0FA4"/>
    <w:rsid w:val="00EB1C83"/>
    <w:rsid w:val="00EB1E17"/>
    <w:rsid w:val="00EB3288"/>
    <w:rsid w:val="00EB360C"/>
    <w:rsid w:val="00EB769B"/>
    <w:rsid w:val="00EB78ED"/>
    <w:rsid w:val="00EB7A9F"/>
    <w:rsid w:val="00EC0B25"/>
    <w:rsid w:val="00EC0E9B"/>
    <w:rsid w:val="00EC16DC"/>
    <w:rsid w:val="00EC22EB"/>
    <w:rsid w:val="00EC24E5"/>
    <w:rsid w:val="00EC29F0"/>
    <w:rsid w:val="00EC4CBB"/>
    <w:rsid w:val="00EC7267"/>
    <w:rsid w:val="00EC7821"/>
    <w:rsid w:val="00ED0C4B"/>
    <w:rsid w:val="00ED0CFC"/>
    <w:rsid w:val="00ED1066"/>
    <w:rsid w:val="00ED1F72"/>
    <w:rsid w:val="00ED3169"/>
    <w:rsid w:val="00ED43C2"/>
    <w:rsid w:val="00ED4F87"/>
    <w:rsid w:val="00ED510A"/>
    <w:rsid w:val="00ED73AC"/>
    <w:rsid w:val="00ED7882"/>
    <w:rsid w:val="00EE0DCD"/>
    <w:rsid w:val="00EE11A4"/>
    <w:rsid w:val="00EE1FDF"/>
    <w:rsid w:val="00EE31C9"/>
    <w:rsid w:val="00EE3BED"/>
    <w:rsid w:val="00EE3E54"/>
    <w:rsid w:val="00EE3EB0"/>
    <w:rsid w:val="00EE42F1"/>
    <w:rsid w:val="00EE49D3"/>
    <w:rsid w:val="00EE4C05"/>
    <w:rsid w:val="00EE5F25"/>
    <w:rsid w:val="00EE6FE5"/>
    <w:rsid w:val="00EE7A82"/>
    <w:rsid w:val="00EF2399"/>
    <w:rsid w:val="00EF59BB"/>
    <w:rsid w:val="00EF59EA"/>
    <w:rsid w:val="00EF6469"/>
    <w:rsid w:val="00EF662C"/>
    <w:rsid w:val="00EF78C9"/>
    <w:rsid w:val="00EF7CCD"/>
    <w:rsid w:val="00F001FB"/>
    <w:rsid w:val="00F02362"/>
    <w:rsid w:val="00F028FB"/>
    <w:rsid w:val="00F0351E"/>
    <w:rsid w:val="00F0498D"/>
    <w:rsid w:val="00F04B4C"/>
    <w:rsid w:val="00F04C5C"/>
    <w:rsid w:val="00F05770"/>
    <w:rsid w:val="00F057B9"/>
    <w:rsid w:val="00F06016"/>
    <w:rsid w:val="00F060BE"/>
    <w:rsid w:val="00F069EA"/>
    <w:rsid w:val="00F10FA5"/>
    <w:rsid w:val="00F11022"/>
    <w:rsid w:val="00F116EE"/>
    <w:rsid w:val="00F13A63"/>
    <w:rsid w:val="00F214AC"/>
    <w:rsid w:val="00F228C3"/>
    <w:rsid w:val="00F2404F"/>
    <w:rsid w:val="00F244A3"/>
    <w:rsid w:val="00F2707B"/>
    <w:rsid w:val="00F274AB"/>
    <w:rsid w:val="00F30AFD"/>
    <w:rsid w:val="00F3678F"/>
    <w:rsid w:val="00F40691"/>
    <w:rsid w:val="00F42363"/>
    <w:rsid w:val="00F43072"/>
    <w:rsid w:val="00F45365"/>
    <w:rsid w:val="00F45AA9"/>
    <w:rsid w:val="00F47502"/>
    <w:rsid w:val="00F47B72"/>
    <w:rsid w:val="00F5069B"/>
    <w:rsid w:val="00F52FBA"/>
    <w:rsid w:val="00F53A50"/>
    <w:rsid w:val="00F53F2F"/>
    <w:rsid w:val="00F5465E"/>
    <w:rsid w:val="00F60864"/>
    <w:rsid w:val="00F60C1F"/>
    <w:rsid w:val="00F6344E"/>
    <w:rsid w:val="00F63A83"/>
    <w:rsid w:val="00F64147"/>
    <w:rsid w:val="00F64614"/>
    <w:rsid w:val="00F64D29"/>
    <w:rsid w:val="00F674CA"/>
    <w:rsid w:val="00F718A7"/>
    <w:rsid w:val="00F71FCD"/>
    <w:rsid w:val="00F727BB"/>
    <w:rsid w:val="00F7496C"/>
    <w:rsid w:val="00F75DB1"/>
    <w:rsid w:val="00F76F55"/>
    <w:rsid w:val="00F776D6"/>
    <w:rsid w:val="00F77D7B"/>
    <w:rsid w:val="00F81EFE"/>
    <w:rsid w:val="00F827E8"/>
    <w:rsid w:val="00F835A8"/>
    <w:rsid w:val="00F85963"/>
    <w:rsid w:val="00F8605E"/>
    <w:rsid w:val="00F87862"/>
    <w:rsid w:val="00F878F2"/>
    <w:rsid w:val="00F92CB1"/>
    <w:rsid w:val="00F9513A"/>
    <w:rsid w:val="00F96854"/>
    <w:rsid w:val="00F97459"/>
    <w:rsid w:val="00F975BC"/>
    <w:rsid w:val="00F97E6B"/>
    <w:rsid w:val="00F97F37"/>
    <w:rsid w:val="00FA23ED"/>
    <w:rsid w:val="00FA2FA5"/>
    <w:rsid w:val="00FA457F"/>
    <w:rsid w:val="00FA52F0"/>
    <w:rsid w:val="00FA5A13"/>
    <w:rsid w:val="00FA61E2"/>
    <w:rsid w:val="00FA73EC"/>
    <w:rsid w:val="00FA7A43"/>
    <w:rsid w:val="00FB0542"/>
    <w:rsid w:val="00FB2488"/>
    <w:rsid w:val="00FB250F"/>
    <w:rsid w:val="00FB32B0"/>
    <w:rsid w:val="00FB4C09"/>
    <w:rsid w:val="00FB7415"/>
    <w:rsid w:val="00FB789B"/>
    <w:rsid w:val="00FC09C1"/>
    <w:rsid w:val="00FC1823"/>
    <w:rsid w:val="00FC1ACC"/>
    <w:rsid w:val="00FC203E"/>
    <w:rsid w:val="00FC21A3"/>
    <w:rsid w:val="00FC2343"/>
    <w:rsid w:val="00FC25BB"/>
    <w:rsid w:val="00FC4645"/>
    <w:rsid w:val="00FC4CCC"/>
    <w:rsid w:val="00FC5E92"/>
    <w:rsid w:val="00FC6397"/>
    <w:rsid w:val="00FC7DA0"/>
    <w:rsid w:val="00FD0E2A"/>
    <w:rsid w:val="00FD2862"/>
    <w:rsid w:val="00FD2E4D"/>
    <w:rsid w:val="00FD2F9F"/>
    <w:rsid w:val="00FD38E5"/>
    <w:rsid w:val="00FD3903"/>
    <w:rsid w:val="00FD46CF"/>
    <w:rsid w:val="00FD4FF2"/>
    <w:rsid w:val="00FD579D"/>
    <w:rsid w:val="00FD72C8"/>
    <w:rsid w:val="00FD75BD"/>
    <w:rsid w:val="00FE074D"/>
    <w:rsid w:val="00FE1508"/>
    <w:rsid w:val="00FE31E9"/>
    <w:rsid w:val="00FE486A"/>
    <w:rsid w:val="00FE4EFF"/>
    <w:rsid w:val="00FE54A4"/>
    <w:rsid w:val="00FE6080"/>
    <w:rsid w:val="00FF20D7"/>
    <w:rsid w:val="00FF24D9"/>
    <w:rsid w:val="00FF268D"/>
    <w:rsid w:val="00FF396E"/>
    <w:rsid w:val="00FF3B3C"/>
    <w:rsid w:val="00FF3C1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9F3A6"/>
  <w15:chartTrackingRefBased/>
  <w15:docId w15:val="{AB55DCE5-056C-7F4F-B001-861A46C1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AU" w:eastAsia="zh-CN" w:bidi="ar-SA"/>
      </w:rPr>
    </w:rPrDefault>
    <w:pPrDefault>
      <w:pPr>
        <w:spacing w:line="360" w:lineRule="auto"/>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D77"/>
    <w:pPr>
      <w:ind w:firstLine="0"/>
    </w:pPr>
  </w:style>
  <w:style w:type="paragraph" w:styleId="Heading1">
    <w:name w:val="heading 1"/>
    <w:basedOn w:val="Normal"/>
    <w:next w:val="Normal"/>
    <w:link w:val="Heading1Char"/>
    <w:uiPriority w:val="9"/>
    <w:qFormat/>
    <w:rsid w:val="00AF5B3F"/>
    <w:pPr>
      <w:spacing w:before="60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F5B3F"/>
    <w:pPr>
      <w:spacing w:before="3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F5B3F"/>
    <w:pPr>
      <w:spacing w:before="32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F5B3F"/>
    <w:pPr>
      <w:spacing w:before="28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AF5B3F"/>
    <w:pPr>
      <w:spacing w:before="28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F5B3F"/>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5B3F"/>
    <w:pPr>
      <w:spacing w:before="28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F5B3F"/>
    <w:pPr>
      <w:spacing w:before="28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F5B3F"/>
    <w:pPr>
      <w:spacing w:before="28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7A"/>
    <w:pPr>
      <w:spacing w:before="100" w:beforeAutospacing="1" w:after="100" w:afterAutospacing="1"/>
    </w:pPr>
    <w:rPr>
      <w:rFonts w:eastAsia="Times New Roman"/>
    </w:rPr>
  </w:style>
  <w:style w:type="paragraph" w:styleId="NoSpacing">
    <w:name w:val="No Spacing"/>
    <w:basedOn w:val="Normal"/>
    <w:link w:val="NoSpacingChar"/>
    <w:uiPriority w:val="1"/>
    <w:qFormat/>
    <w:rsid w:val="00AF5B3F"/>
    <w:pPr>
      <w:spacing w:line="240" w:lineRule="auto"/>
    </w:pPr>
  </w:style>
  <w:style w:type="character" w:customStyle="1" w:styleId="NoSpacingChar">
    <w:name w:val="No Spacing Char"/>
    <w:basedOn w:val="DefaultParagraphFont"/>
    <w:link w:val="NoSpacing"/>
    <w:uiPriority w:val="1"/>
    <w:rsid w:val="00AF5B3F"/>
  </w:style>
  <w:style w:type="character" w:customStyle="1" w:styleId="Heading1Char">
    <w:name w:val="Heading 1 Char"/>
    <w:basedOn w:val="DefaultParagraphFont"/>
    <w:link w:val="Heading1"/>
    <w:uiPriority w:val="9"/>
    <w:rsid w:val="00AF5B3F"/>
    <w:rPr>
      <w:rFonts w:asciiTheme="majorHAnsi" w:eastAsiaTheme="majorEastAsia" w:hAnsiTheme="majorHAnsi" w:cstheme="majorBidi"/>
      <w:b/>
      <w:bCs/>
      <w:i/>
      <w:iCs/>
      <w:sz w:val="32"/>
      <w:szCs w:val="32"/>
    </w:rPr>
  </w:style>
  <w:style w:type="paragraph" w:styleId="TOCHeading">
    <w:name w:val="TOC Heading"/>
    <w:basedOn w:val="Heading1"/>
    <w:next w:val="Normal"/>
    <w:uiPriority w:val="39"/>
    <w:unhideWhenUsed/>
    <w:qFormat/>
    <w:rsid w:val="00AF5B3F"/>
    <w:pPr>
      <w:outlineLvl w:val="9"/>
    </w:pPr>
  </w:style>
  <w:style w:type="paragraph" w:styleId="TOC1">
    <w:name w:val="toc 1"/>
    <w:basedOn w:val="Normal"/>
    <w:next w:val="Normal"/>
    <w:autoRedefine/>
    <w:uiPriority w:val="39"/>
    <w:unhideWhenUsed/>
    <w:rsid w:val="0062671F"/>
    <w:pPr>
      <w:tabs>
        <w:tab w:val="right" w:leader="dot" w:pos="9010"/>
      </w:tabs>
      <w:spacing w:before="120"/>
      <w:ind w:left="284"/>
      <w:jc w:val="both"/>
    </w:pPr>
    <w:rPr>
      <w:rFonts w:cstheme="minorHAnsi"/>
      <w:b/>
      <w:bCs/>
      <w:i/>
      <w:iCs/>
      <w:szCs w:val="28"/>
    </w:rPr>
  </w:style>
  <w:style w:type="paragraph" w:styleId="TOC2">
    <w:name w:val="toc 2"/>
    <w:basedOn w:val="Normal"/>
    <w:next w:val="Normal"/>
    <w:autoRedefine/>
    <w:uiPriority w:val="39"/>
    <w:unhideWhenUsed/>
    <w:rsid w:val="006E6866"/>
    <w:pPr>
      <w:tabs>
        <w:tab w:val="right" w:leader="dot" w:pos="9054"/>
      </w:tabs>
      <w:spacing w:before="120"/>
      <w:ind w:left="567"/>
    </w:pPr>
    <w:rPr>
      <w:rFonts w:cstheme="minorHAnsi"/>
      <w:b/>
      <w:bCs/>
      <w:szCs w:val="26"/>
    </w:rPr>
  </w:style>
  <w:style w:type="paragraph" w:styleId="TOC3">
    <w:name w:val="toc 3"/>
    <w:basedOn w:val="Normal"/>
    <w:next w:val="Normal"/>
    <w:autoRedefine/>
    <w:uiPriority w:val="39"/>
    <w:semiHidden/>
    <w:unhideWhenUsed/>
    <w:rsid w:val="00E053A4"/>
    <w:pPr>
      <w:ind w:left="480"/>
    </w:pPr>
    <w:rPr>
      <w:rFonts w:cstheme="minorHAnsi"/>
      <w:sz w:val="20"/>
    </w:rPr>
  </w:style>
  <w:style w:type="paragraph" w:styleId="TOC4">
    <w:name w:val="toc 4"/>
    <w:basedOn w:val="Normal"/>
    <w:next w:val="Normal"/>
    <w:autoRedefine/>
    <w:uiPriority w:val="39"/>
    <w:semiHidden/>
    <w:unhideWhenUsed/>
    <w:rsid w:val="00E053A4"/>
    <w:pPr>
      <w:ind w:left="720"/>
    </w:pPr>
    <w:rPr>
      <w:rFonts w:cstheme="minorHAnsi"/>
      <w:sz w:val="20"/>
    </w:rPr>
  </w:style>
  <w:style w:type="paragraph" w:styleId="TOC5">
    <w:name w:val="toc 5"/>
    <w:basedOn w:val="Normal"/>
    <w:next w:val="Normal"/>
    <w:autoRedefine/>
    <w:uiPriority w:val="39"/>
    <w:semiHidden/>
    <w:unhideWhenUsed/>
    <w:rsid w:val="00E053A4"/>
    <w:pPr>
      <w:ind w:left="960"/>
    </w:pPr>
    <w:rPr>
      <w:rFonts w:cstheme="minorHAnsi"/>
      <w:sz w:val="20"/>
    </w:rPr>
  </w:style>
  <w:style w:type="paragraph" w:styleId="TOC6">
    <w:name w:val="toc 6"/>
    <w:basedOn w:val="Normal"/>
    <w:next w:val="Normal"/>
    <w:autoRedefine/>
    <w:uiPriority w:val="39"/>
    <w:semiHidden/>
    <w:unhideWhenUsed/>
    <w:rsid w:val="00E053A4"/>
    <w:pPr>
      <w:ind w:left="1200"/>
    </w:pPr>
    <w:rPr>
      <w:rFonts w:cstheme="minorHAnsi"/>
      <w:sz w:val="20"/>
    </w:rPr>
  </w:style>
  <w:style w:type="paragraph" w:styleId="TOC7">
    <w:name w:val="toc 7"/>
    <w:basedOn w:val="Normal"/>
    <w:next w:val="Normal"/>
    <w:autoRedefine/>
    <w:uiPriority w:val="39"/>
    <w:semiHidden/>
    <w:unhideWhenUsed/>
    <w:rsid w:val="00E053A4"/>
    <w:pPr>
      <w:ind w:left="1440"/>
    </w:pPr>
    <w:rPr>
      <w:rFonts w:cstheme="minorHAnsi"/>
      <w:sz w:val="20"/>
    </w:rPr>
  </w:style>
  <w:style w:type="paragraph" w:styleId="TOC8">
    <w:name w:val="toc 8"/>
    <w:basedOn w:val="Normal"/>
    <w:next w:val="Normal"/>
    <w:autoRedefine/>
    <w:uiPriority w:val="39"/>
    <w:semiHidden/>
    <w:unhideWhenUsed/>
    <w:rsid w:val="00E053A4"/>
    <w:pPr>
      <w:ind w:left="1680"/>
    </w:pPr>
    <w:rPr>
      <w:rFonts w:cstheme="minorHAnsi"/>
      <w:sz w:val="20"/>
    </w:rPr>
  </w:style>
  <w:style w:type="paragraph" w:styleId="TOC9">
    <w:name w:val="toc 9"/>
    <w:basedOn w:val="Normal"/>
    <w:next w:val="Normal"/>
    <w:autoRedefine/>
    <w:uiPriority w:val="39"/>
    <w:semiHidden/>
    <w:unhideWhenUsed/>
    <w:rsid w:val="00E053A4"/>
    <w:pPr>
      <w:ind w:left="1920"/>
    </w:pPr>
    <w:rPr>
      <w:rFonts w:cstheme="minorHAnsi"/>
      <w:sz w:val="20"/>
    </w:rPr>
  </w:style>
  <w:style w:type="paragraph" w:styleId="Footer">
    <w:name w:val="footer"/>
    <w:basedOn w:val="Normal"/>
    <w:link w:val="FooterChar"/>
    <w:uiPriority w:val="99"/>
    <w:unhideWhenUsed/>
    <w:rsid w:val="00E053A4"/>
    <w:pPr>
      <w:tabs>
        <w:tab w:val="center" w:pos="4680"/>
        <w:tab w:val="right" w:pos="9360"/>
      </w:tabs>
    </w:pPr>
  </w:style>
  <w:style w:type="character" w:customStyle="1" w:styleId="FooterChar">
    <w:name w:val="Footer Char"/>
    <w:basedOn w:val="DefaultParagraphFont"/>
    <w:link w:val="Footer"/>
    <w:uiPriority w:val="99"/>
    <w:rsid w:val="00E053A4"/>
  </w:style>
  <w:style w:type="character" w:styleId="PageNumber">
    <w:name w:val="page number"/>
    <w:basedOn w:val="DefaultParagraphFont"/>
    <w:uiPriority w:val="99"/>
    <w:semiHidden/>
    <w:unhideWhenUsed/>
    <w:rsid w:val="00E053A4"/>
  </w:style>
  <w:style w:type="paragraph" w:styleId="Header">
    <w:name w:val="header"/>
    <w:basedOn w:val="Normal"/>
    <w:link w:val="HeaderChar"/>
    <w:uiPriority w:val="99"/>
    <w:unhideWhenUsed/>
    <w:rsid w:val="00E053A4"/>
    <w:pPr>
      <w:tabs>
        <w:tab w:val="center" w:pos="4680"/>
        <w:tab w:val="right" w:pos="9360"/>
      </w:tabs>
    </w:pPr>
  </w:style>
  <w:style w:type="character" w:customStyle="1" w:styleId="HeaderChar">
    <w:name w:val="Header Char"/>
    <w:basedOn w:val="DefaultParagraphFont"/>
    <w:link w:val="Header"/>
    <w:uiPriority w:val="99"/>
    <w:rsid w:val="00E053A4"/>
  </w:style>
  <w:style w:type="character" w:customStyle="1" w:styleId="Heading2Char">
    <w:name w:val="Heading 2 Char"/>
    <w:basedOn w:val="DefaultParagraphFont"/>
    <w:link w:val="Heading2"/>
    <w:uiPriority w:val="9"/>
    <w:rsid w:val="00AF5B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F5B3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F5B3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F5B3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F5B3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5B3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F5B3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F5B3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AF5B3F"/>
    <w:rPr>
      <w:b/>
      <w:bCs/>
      <w:sz w:val="18"/>
      <w:szCs w:val="18"/>
    </w:rPr>
  </w:style>
  <w:style w:type="paragraph" w:styleId="Title">
    <w:name w:val="Title"/>
    <w:basedOn w:val="Normal"/>
    <w:next w:val="Normal"/>
    <w:link w:val="TitleChar"/>
    <w:uiPriority w:val="10"/>
    <w:qFormat/>
    <w:rsid w:val="00AF5B3F"/>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F5B3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F5B3F"/>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AF5B3F"/>
    <w:rPr>
      <w:i/>
      <w:iCs/>
      <w:color w:val="808080" w:themeColor="text1" w:themeTint="7F"/>
      <w:spacing w:val="10"/>
      <w:sz w:val="24"/>
      <w:szCs w:val="24"/>
    </w:rPr>
  </w:style>
  <w:style w:type="character" w:styleId="Strong">
    <w:name w:val="Strong"/>
    <w:basedOn w:val="DefaultParagraphFont"/>
    <w:uiPriority w:val="22"/>
    <w:qFormat/>
    <w:rsid w:val="00AF5B3F"/>
    <w:rPr>
      <w:b/>
      <w:bCs/>
      <w:spacing w:val="0"/>
    </w:rPr>
  </w:style>
  <w:style w:type="character" w:styleId="Emphasis">
    <w:name w:val="Emphasis"/>
    <w:uiPriority w:val="20"/>
    <w:qFormat/>
    <w:rsid w:val="00AF5B3F"/>
    <w:rPr>
      <w:b/>
      <w:bCs/>
      <w:i/>
      <w:iCs/>
      <w:color w:val="auto"/>
    </w:rPr>
  </w:style>
  <w:style w:type="paragraph" w:styleId="ListParagraph">
    <w:name w:val="List Paragraph"/>
    <w:basedOn w:val="Normal"/>
    <w:uiPriority w:val="34"/>
    <w:qFormat/>
    <w:rsid w:val="00AF5B3F"/>
    <w:pPr>
      <w:ind w:left="720"/>
      <w:contextualSpacing/>
    </w:pPr>
  </w:style>
  <w:style w:type="paragraph" w:styleId="Quote">
    <w:name w:val="Quote"/>
    <w:basedOn w:val="Normal"/>
    <w:next w:val="Normal"/>
    <w:link w:val="QuoteChar"/>
    <w:uiPriority w:val="29"/>
    <w:qFormat/>
    <w:rsid w:val="00AF5B3F"/>
    <w:rPr>
      <w:color w:val="5A5A5A" w:themeColor="text1" w:themeTint="A5"/>
    </w:rPr>
  </w:style>
  <w:style w:type="character" w:customStyle="1" w:styleId="QuoteChar">
    <w:name w:val="Quote Char"/>
    <w:basedOn w:val="DefaultParagraphFont"/>
    <w:link w:val="Quote"/>
    <w:uiPriority w:val="29"/>
    <w:rsid w:val="00AF5B3F"/>
    <w:rPr>
      <w:color w:val="5A5A5A" w:themeColor="text1" w:themeTint="A5"/>
    </w:rPr>
  </w:style>
  <w:style w:type="paragraph" w:styleId="IntenseQuote">
    <w:name w:val="Intense Quote"/>
    <w:basedOn w:val="Normal"/>
    <w:next w:val="Normal"/>
    <w:link w:val="IntenseQuoteChar"/>
    <w:uiPriority w:val="30"/>
    <w:qFormat/>
    <w:rsid w:val="00AF5B3F"/>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F5B3F"/>
    <w:rPr>
      <w:rFonts w:asciiTheme="majorHAnsi" w:eastAsiaTheme="majorEastAsia" w:hAnsiTheme="majorHAnsi" w:cstheme="majorBidi"/>
      <w:i/>
      <w:iCs/>
      <w:sz w:val="20"/>
      <w:szCs w:val="20"/>
    </w:rPr>
  </w:style>
  <w:style w:type="character" w:styleId="SubtleEmphasis">
    <w:name w:val="Subtle Emphasis"/>
    <w:uiPriority w:val="19"/>
    <w:qFormat/>
    <w:rsid w:val="00AF5B3F"/>
    <w:rPr>
      <w:i/>
      <w:iCs/>
      <w:color w:val="5A5A5A" w:themeColor="text1" w:themeTint="A5"/>
    </w:rPr>
  </w:style>
  <w:style w:type="character" w:styleId="IntenseEmphasis">
    <w:name w:val="Intense Emphasis"/>
    <w:uiPriority w:val="21"/>
    <w:qFormat/>
    <w:rsid w:val="00AF5B3F"/>
    <w:rPr>
      <w:b/>
      <w:bCs/>
      <w:i/>
      <w:iCs/>
      <w:color w:val="auto"/>
      <w:u w:val="single"/>
    </w:rPr>
  </w:style>
  <w:style w:type="character" w:styleId="SubtleReference">
    <w:name w:val="Subtle Reference"/>
    <w:uiPriority w:val="31"/>
    <w:qFormat/>
    <w:rsid w:val="00AF5B3F"/>
    <w:rPr>
      <w:smallCaps/>
    </w:rPr>
  </w:style>
  <w:style w:type="character" w:styleId="IntenseReference">
    <w:name w:val="Intense Reference"/>
    <w:uiPriority w:val="32"/>
    <w:qFormat/>
    <w:rsid w:val="00AF5B3F"/>
    <w:rPr>
      <w:b/>
      <w:bCs/>
      <w:smallCaps/>
      <w:color w:val="auto"/>
    </w:rPr>
  </w:style>
  <w:style w:type="character" w:styleId="BookTitle">
    <w:name w:val="Book Title"/>
    <w:uiPriority w:val="33"/>
    <w:qFormat/>
    <w:rsid w:val="00AF5B3F"/>
    <w:rPr>
      <w:rFonts w:asciiTheme="majorHAnsi" w:eastAsiaTheme="majorEastAsia" w:hAnsiTheme="majorHAnsi" w:cstheme="majorBidi"/>
      <w:b/>
      <w:bCs/>
      <w:smallCaps/>
      <w:color w:val="auto"/>
      <w:u w:val="single"/>
    </w:rPr>
  </w:style>
  <w:style w:type="character" w:styleId="Hyperlink">
    <w:name w:val="Hyperlink"/>
    <w:basedOn w:val="DefaultParagraphFont"/>
    <w:uiPriority w:val="99"/>
    <w:unhideWhenUsed/>
    <w:rsid w:val="00060E2F"/>
    <w:rPr>
      <w:color w:val="0563C1" w:themeColor="hyperlink"/>
      <w:u w:val="single"/>
    </w:rPr>
  </w:style>
  <w:style w:type="paragraph" w:styleId="FootnoteText">
    <w:name w:val="footnote text"/>
    <w:basedOn w:val="Normal"/>
    <w:link w:val="FootnoteTextChar"/>
    <w:uiPriority w:val="99"/>
    <w:unhideWhenUsed/>
    <w:rsid w:val="00A604A8"/>
    <w:pPr>
      <w:spacing w:line="240" w:lineRule="auto"/>
    </w:pPr>
    <w:rPr>
      <w:sz w:val="20"/>
      <w:szCs w:val="20"/>
    </w:rPr>
  </w:style>
  <w:style w:type="character" w:customStyle="1" w:styleId="FootnoteTextChar">
    <w:name w:val="Footnote Text Char"/>
    <w:basedOn w:val="DefaultParagraphFont"/>
    <w:link w:val="FootnoteText"/>
    <w:uiPriority w:val="99"/>
    <w:rsid w:val="00A604A8"/>
    <w:rPr>
      <w:sz w:val="20"/>
      <w:szCs w:val="20"/>
    </w:rPr>
  </w:style>
  <w:style w:type="character" w:styleId="FootnoteReference">
    <w:name w:val="footnote reference"/>
    <w:basedOn w:val="DefaultParagraphFont"/>
    <w:uiPriority w:val="99"/>
    <w:semiHidden/>
    <w:unhideWhenUsed/>
    <w:rsid w:val="00A604A8"/>
    <w:rPr>
      <w:vertAlign w:val="superscript"/>
    </w:rPr>
  </w:style>
  <w:style w:type="character" w:styleId="CommentReference">
    <w:name w:val="annotation reference"/>
    <w:basedOn w:val="DefaultParagraphFont"/>
    <w:uiPriority w:val="99"/>
    <w:semiHidden/>
    <w:unhideWhenUsed/>
    <w:rsid w:val="00D74ED8"/>
    <w:rPr>
      <w:sz w:val="16"/>
      <w:szCs w:val="16"/>
    </w:rPr>
  </w:style>
  <w:style w:type="paragraph" w:styleId="CommentText">
    <w:name w:val="annotation text"/>
    <w:basedOn w:val="Normal"/>
    <w:link w:val="CommentTextChar"/>
    <w:uiPriority w:val="99"/>
    <w:semiHidden/>
    <w:unhideWhenUsed/>
    <w:rsid w:val="00D74ED8"/>
    <w:pPr>
      <w:spacing w:line="240" w:lineRule="auto"/>
    </w:pPr>
    <w:rPr>
      <w:sz w:val="20"/>
      <w:szCs w:val="20"/>
    </w:rPr>
  </w:style>
  <w:style w:type="character" w:customStyle="1" w:styleId="CommentTextChar">
    <w:name w:val="Comment Text Char"/>
    <w:basedOn w:val="DefaultParagraphFont"/>
    <w:link w:val="CommentText"/>
    <w:uiPriority w:val="99"/>
    <w:semiHidden/>
    <w:rsid w:val="00D74ED8"/>
    <w:rPr>
      <w:sz w:val="20"/>
      <w:szCs w:val="20"/>
    </w:rPr>
  </w:style>
  <w:style w:type="paragraph" w:styleId="CommentSubject">
    <w:name w:val="annotation subject"/>
    <w:basedOn w:val="CommentText"/>
    <w:next w:val="CommentText"/>
    <w:link w:val="CommentSubjectChar"/>
    <w:uiPriority w:val="99"/>
    <w:semiHidden/>
    <w:unhideWhenUsed/>
    <w:rsid w:val="00D74ED8"/>
    <w:rPr>
      <w:b/>
      <w:bCs/>
    </w:rPr>
  </w:style>
  <w:style w:type="character" w:customStyle="1" w:styleId="CommentSubjectChar">
    <w:name w:val="Comment Subject Char"/>
    <w:basedOn w:val="CommentTextChar"/>
    <w:link w:val="CommentSubject"/>
    <w:uiPriority w:val="99"/>
    <w:semiHidden/>
    <w:rsid w:val="00D74ED8"/>
    <w:rPr>
      <w:b/>
      <w:bCs/>
      <w:sz w:val="20"/>
      <w:szCs w:val="20"/>
    </w:rPr>
  </w:style>
  <w:style w:type="paragraph" w:styleId="BalloonText">
    <w:name w:val="Balloon Text"/>
    <w:basedOn w:val="Normal"/>
    <w:link w:val="BalloonTextChar"/>
    <w:uiPriority w:val="99"/>
    <w:semiHidden/>
    <w:unhideWhenUsed/>
    <w:rsid w:val="00D74ED8"/>
    <w:pPr>
      <w:spacing w:line="240" w:lineRule="auto"/>
    </w:pPr>
    <w:rPr>
      <w:sz w:val="18"/>
      <w:szCs w:val="18"/>
    </w:rPr>
  </w:style>
  <w:style w:type="character" w:customStyle="1" w:styleId="BalloonTextChar">
    <w:name w:val="Balloon Text Char"/>
    <w:basedOn w:val="DefaultParagraphFont"/>
    <w:link w:val="BalloonText"/>
    <w:uiPriority w:val="99"/>
    <w:semiHidden/>
    <w:rsid w:val="00D74ED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C7CF5"/>
    <w:rPr>
      <w:color w:val="605E5C"/>
      <w:shd w:val="clear" w:color="auto" w:fill="E1DFDD"/>
    </w:rPr>
  </w:style>
  <w:style w:type="paragraph" w:styleId="Revision">
    <w:name w:val="Revision"/>
    <w:hidden/>
    <w:uiPriority w:val="99"/>
    <w:semiHidden/>
    <w:rsid w:val="00F001FB"/>
    <w:pPr>
      <w:spacing w:line="240" w:lineRule="auto"/>
      <w:ind w:firstLine="0"/>
    </w:pPr>
  </w:style>
  <w:style w:type="paragraph" w:customStyle="1" w:styleId="Default">
    <w:name w:val="Default"/>
    <w:basedOn w:val="Normal"/>
    <w:rsid w:val="006F369E"/>
    <w:pPr>
      <w:autoSpaceDE w:val="0"/>
      <w:autoSpaceDN w:val="0"/>
      <w:spacing w:line="240" w:lineRule="auto"/>
    </w:pPr>
    <w:rPr>
      <w:rFonts w:eastAsiaTheme="minorHAnsi"/>
      <w:color w:val="000000"/>
      <w:szCs w:val="24"/>
      <w:lang w:val="en-US" w:eastAsia="en-US"/>
    </w:rPr>
  </w:style>
  <w:style w:type="paragraph" w:customStyle="1" w:styleId="xmsonormal">
    <w:name w:val="x_msonormal"/>
    <w:basedOn w:val="Normal"/>
    <w:rsid w:val="00D51C8C"/>
    <w:pPr>
      <w:spacing w:before="100" w:beforeAutospacing="1" w:after="100" w:afterAutospacing="1" w:line="240" w:lineRule="auto"/>
    </w:pPr>
    <w:rPr>
      <w:rFonts w:eastAsia="Times New Roman"/>
      <w:szCs w:val="24"/>
    </w:rPr>
  </w:style>
  <w:style w:type="character" w:customStyle="1" w:styleId="UnresolvedMention2">
    <w:name w:val="Unresolved Mention2"/>
    <w:basedOn w:val="DefaultParagraphFont"/>
    <w:uiPriority w:val="99"/>
    <w:semiHidden/>
    <w:unhideWhenUsed/>
    <w:rsid w:val="00DA402C"/>
    <w:rPr>
      <w:color w:val="605E5C"/>
      <w:shd w:val="clear" w:color="auto" w:fill="E1DFDD"/>
    </w:rPr>
  </w:style>
  <w:style w:type="character" w:styleId="FollowedHyperlink">
    <w:name w:val="FollowedHyperlink"/>
    <w:basedOn w:val="DefaultParagraphFont"/>
    <w:uiPriority w:val="99"/>
    <w:semiHidden/>
    <w:unhideWhenUsed/>
    <w:rsid w:val="00CC1AA5"/>
    <w:rPr>
      <w:color w:val="954F72" w:themeColor="followedHyperlink"/>
      <w:u w:val="single"/>
    </w:rPr>
  </w:style>
  <w:style w:type="character" w:customStyle="1" w:styleId="UnresolvedMention3">
    <w:name w:val="Unresolved Mention3"/>
    <w:basedOn w:val="DefaultParagraphFont"/>
    <w:uiPriority w:val="99"/>
    <w:semiHidden/>
    <w:unhideWhenUsed/>
    <w:rsid w:val="00A067B4"/>
    <w:rPr>
      <w:color w:val="605E5C"/>
      <w:shd w:val="clear" w:color="auto" w:fill="E1DFDD"/>
    </w:rPr>
  </w:style>
  <w:style w:type="character" w:styleId="PlaceholderText">
    <w:name w:val="Placeholder Text"/>
    <w:basedOn w:val="DefaultParagraphFont"/>
    <w:uiPriority w:val="99"/>
    <w:semiHidden/>
    <w:rsid w:val="00B038EB"/>
    <w:rPr>
      <w:color w:val="808080"/>
    </w:rPr>
  </w:style>
  <w:style w:type="character" w:customStyle="1" w:styleId="UnresolvedMention4">
    <w:name w:val="Unresolved Mention4"/>
    <w:basedOn w:val="DefaultParagraphFont"/>
    <w:uiPriority w:val="99"/>
    <w:semiHidden/>
    <w:unhideWhenUsed/>
    <w:rsid w:val="003F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34">
      <w:bodyDiv w:val="1"/>
      <w:marLeft w:val="0"/>
      <w:marRight w:val="0"/>
      <w:marTop w:val="0"/>
      <w:marBottom w:val="0"/>
      <w:divBdr>
        <w:top w:val="none" w:sz="0" w:space="0" w:color="auto"/>
        <w:left w:val="none" w:sz="0" w:space="0" w:color="auto"/>
        <w:bottom w:val="none" w:sz="0" w:space="0" w:color="auto"/>
        <w:right w:val="none" w:sz="0" w:space="0" w:color="auto"/>
      </w:divBdr>
    </w:div>
    <w:div w:id="45686796">
      <w:bodyDiv w:val="1"/>
      <w:marLeft w:val="0"/>
      <w:marRight w:val="0"/>
      <w:marTop w:val="0"/>
      <w:marBottom w:val="0"/>
      <w:divBdr>
        <w:top w:val="none" w:sz="0" w:space="0" w:color="auto"/>
        <w:left w:val="none" w:sz="0" w:space="0" w:color="auto"/>
        <w:bottom w:val="none" w:sz="0" w:space="0" w:color="auto"/>
        <w:right w:val="none" w:sz="0" w:space="0" w:color="auto"/>
      </w:divBdr>
    </w:div>
    <w:div w:id="260183008">
      <w:bodyDiv w:val="1"/>
      <w:marLeft w:val="0"/>
      <w:marRight w:val="0"/>
      <w:marTop w:val="0"/>
      <w:marBottom w:val="0"/>
      <w:divBdr>
        <w:top w:val="none" w:sz="0" w:space="0" w:color="auto"/>
        <w:left w:val="none" w:sz="0" w:space="0" w:color="auto"/>
        <w:bottom w:val="none" w:sz="0" w:space="0" w:color="auto"/>
        <w:right w:val="none" w:sz="0" w:space="0" w:color="auto"/>
      </w:divBdr>
      <w:divsChild>
        <w:div w:id="697775882">
          <w:marLeft w:val="0"/>
          <w:marRight w:val="0"/>
          <w:marTop w:val="0"/>
          <w:marBottom w:val="0"/>
          <w:divBdr>
            <w:top w:val="none" w:sz="0" w:space="0" w:color="auto"/>
            <w:left w:val="none" w:sz="0" w:space="0" w:color="auto"/>
            <w:bottom w:val="none" w:sz="0" w:space="0" w:color="auto"/>
            <w:right w:val="none" w:sz="0" w:space="0" w:color="auto"/>
          </w:divBdr>
          <w:divsChild>
            <w:div w:id="926769640">
              <w:marLeft w:val="0"/>
              <w:marRight w:val="0"/>
              <w:marTop w:val="0"/>
              <w:marBottom w:val="0"/>
              <w:divBdr>
                <w:top w:val="none" w:sz="0" w:space="0" w:color="auto"/>
                <w:left w:val="none" w:sz="0" w:space="0" w:color="auto"/>
                <w:bottom w:val="none" w:sz="0" w:space="0" w:color="auto"/>
                <w:right w:val="none" w:sz="0" w:space="0" w:color="auto"/>
              </w:divBdr>
              <w:divsChild>
                <w:div w:id="15008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0555">
      <w:bodyDiv w:val="1"/>
      <w:marLeft w:val="0"/>
      <w:marRight w:val="0"/>
      <w:marTop w:val="0"/>
      <w:marBottom w:val="0"/>
      <w:divBdr>
        <w:top w:val="none" w:sz="0" w:space="0" w:color="auto"/>
        <w:left w:val="none" w:sz="0" w:space="0" w:color="auto"/>
        <w:bottom w:val="none" w:sz="0" w:space="0" w:color="auto"/>
        <w:right w:val="none" w:sz="0" w:space="0" w:color="auto"/>
      </w:divBdr>
    </w:div>
    <w:div w:id="347372711">
      <w:bodyDiv w:val="1"/>
      <w:marLeft w:val="0"/>
      <w:marRight w:val="0"/>
      <w:marTop w:val="0"/>
      <w:marBottom w:val="0"/>
      <w:divBdr>
        <w:top w:val="none" w:sz="0" w:space="0" w:color="auto"/>
        <w:left w:val="none" w:sz="0" w:space="0" w:color="auto"/>
        <w:bottom w:val="none" w:sz="0" w:space="0" w:color="auto"/>
        <w:right w:val="none" w:sz="0" w:space="0" w:color="auto"/>
      </w:divBdr>
    </w:div>
    <w:div w:id="360671295">
      <w:bodyDiv w:val="1"/>
      <w:marLeft w:val="0"/>
      <w:marRight w:val="0"/>
      <w:marTop w:val="0"/>
      <w:marBottom w:val="0"/>
      <w:divBdr>
        <w:top w:val="none" w:sz="0" w:space="0" w:color="auto"/>
        <w:left w:val="none" w:sz="0" w:space="0" w:color="auto"/>
        <w:bottom w:val="none" w:sz="0" w:space="0" w:color="auto"/>
        <w:right w:val="none" w:sz="0" w:space="0" w:color="auto"/>
      </w:divBdr>
    </w:div>
    <w:div w:id="463542773">
      <w:bodyDiv w:val="1"/>
      <w:marLeft w:val="0"/>
      <w:marRight w:val="0"/>
      <w:marTop w:val="0"/>
      <w:marBottom w:val="0"/>
      <w:divBdr>
        <w:top w:val="none" w:sz="0" w:space="0" w:color="auto"/>
        <w:left w:val="none" w:sz="0" w:space="0" w:color="auto"/>
        <w:bottom w:val="none" w:sz="0" w:space="0" w:color="auto"/>
        <w:right w:val="none" w:sz="0" w:space="0" w:color="auto"/>
      </w:divBdr>
    </w:div>
    <w:div w:id="540627043">
      <w:bodyDiv w:val="1"/>
      <w:marLeft w:val="0"/>
      <w:marRight w:val="0"/>
      <w:marTop w:val="0"/>
      <w:marBottom w:val="0"/>
      <w:divBdr>
        <w:top w:val="none" w:sz="0" w:space="0" w:color="auto"/>
        <w:left w:val="none" w:sz="0" w:space="0" w:color="auto"/>
        <w:bottom w:val="none" w:sz="0" w:space="0" w:color="auto"/>
        <w:right w:val="none" w:sz="0" w:space="0" w:color="auto"/>
      </w:divBdr>
    </w:div>
    <w:div w:id="615406227">
      <w:bodyDiv w:val="1"/>
      <w:marLeft w:val="0"/>
      <w:marRight w:val="0"/>
      <w:marTop w:val="0"/>
      <w:marBottom w:val="0"/>
      <w:divBdr>
        <w:top w:val="none" w:sz="0" w:space="0" w:color="auto"/>
        <w:left w:val="none" w:sz="0" w:space="0" w:color="auto"/>
        <w:bottom w:val="none" w:sz="0" w:space="0" w:color="auto"/>
        <w:right w:val="none" w:sz="0" w:space="0" w:color="auto"/>
      </w:divBdr>
    </w:div>
    <w:div w:id="741608921">
      <w:bodyDiv w:val="1"/>
      <w:marLeft w:val="0"/>
      <w:marRight w:val="0"/>
      <w:marTop w:val="0"/>
      <w:marBottom w:val="0"/>
      <w:divBdr>
        <w:top w:val="none" w:sz="0" w:space="0" w:color="auto"/>
        <w:left w:val="none" w:sz="0" w:space="0" w:color="auto"/>
        <w:bottom w:val="none" w:sz="0" w:space="0" w:color="auto"/>
        <w:right w:val="none" w:sz="0" w:space="0" w:color="auto"/>
      </w:divBdr>
      <w:divsChild>
        <w:div w:id="485629962">
          <w:marLeft w:val="0"/>
          <w:marRight w:val="0"/>
          <w:marTop w:val="0"/>
          <w:marBottom w:val="0"/>
          <w:divBdr>
            <w:top w:val="none" w:sz="0" w:space="0" w:color="auto"/>
            <w:left w:val="none" w:sz="0" w:space="0" w:color="auto"/>
            <w:bottom w:val="none" w:sz="0" w:space="0" w:color="auto"/>
            <w:right w:val="none" w:sz="0" w:space="0" w:color="auto"/>
          </w:divBdr>
          <w:divsChild>
            <w:div w:id="1853032316">
              <w:marLeft w:val="0"/>
              <w:marRight w:val="0"/>
              <w:marTop w:val="0"/>
              <w:marBottom w:val="0"/>
              <w:divBdr>
                <w:top w:val="none" w:sz="0" w:space="0" w:color="auto"/>
                <w:left w:val="none" w:sz="0" w:space="0" w:color="auto"/>
                <w:bottom w:val="none" w:sz="0" w:space="0" w:color="auto"/>
                <w:right w:val="none" w:sz="0" w:space="0" w:color="auto"/>
              </w:divBdr>
              <w:divsChild>
                <w:div w:id="1421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0322">
      <w:bodyDiv w:val="1"/>
      <w:marLeft w:val="0"/>
      <w:marRight w:val="0"/>
      <w:marTop w:val="0"/>
      <w:marBottom w:val="0"/>
      <w:divBdr>
        <w:top w:val="none" w:sz="0" w:space="0" w:color="auto"/>
        <w:left w:val="none" w:sz="0" w:space="0" w:color="auto"/>
        <w:bottom w:val="none" w:sz="0" w:space="0" w:color="auto"/>
        <w:right w:val="none" w:sz="0" w:space="0" w:color="auto"/>
      </w:divBdr>
    </w:div>
    <w:div w:id="861363355">
      <w:bodyDiv w:val="1"/>
      <w:marLeft w:val="0"/>
      <w:marRight w:val="0"/>
      <w:marTop w:val="0"/>
      <w:marBottom w:val="0"/>
      <w:divBdr>
        <w:top w:val="none" w:sz="0" w:space="0" w:color="auto"/>
        <w:left w:val="none" w:sz="0" w:space="0" w:color="auto"/>
        <w:bottom w:val="none" w:sz="0" w:space="0" w:color="auto"/>
        <w:right w:val="none" w:sz="0" w:space="0" w:color="auto"/>
      </w:divBdr>
    </w:div>
    <w:div w:id="950941455">
      <w:bodyDiv w:val="1"/>
      <w:marLeft w:val="0"/>
      <w:marRight w:val="0"/>
      <w:marTop w:val="0"/>
      <w:marBottom w:val="0"/>
      <w:divBdr>
        <w:top w:val="none" w:sz="0" w:space="0" w:color="auto"/>
        <w:left w:val="none" w:sz="0" w:space="0" w:color="auto"/>
        <w:bottom w:val="none" w:sz="0" w:space="0" w:color="auto"/>
        <w:right w:val="none" w:sz="0" w:space="0" w:color="auto"/>
      </w:divBdr>
    </w:div>
    <w:div w:id="1140075853">
      <w:bodyDiv w:val="1"/>
      <w:marLeft w:val="0"/>
      <w:marRight w:val="0"/>
      <w:marTop w:val="0"/>
      <w:marBottom w:val="0"/>
      <w:divBdr>
        <w:top w:val="none" w:sz="0" w:space="0" w:color="auto"/>
        <w:left w:val="none" w:sz="0" w:space="0" w:color="auto"/>
        <w:bottom w:val="none" w:sz="0" w:space="0" w:color="auto"/>
        <w:right w:val="none" w:sz="0" w:space="0" w:color="auto"/>
      </w:divBdr>
      <w:divsChild>
        <w:div w:id="438181441">
          <w:marLeft w:val="0"/>
          <w:marRight w:val="0"/>
          <w:marTop w:val="0"/>
          <w:marBottom w:val="0"/>
          <w:divBdr>
            <w:top w:val="none" w:sz="0" w:space="0" w:color="auto"/>
            <w:left w:val="single" w:sz="6" w:space="0" w:color="BBBBBB"/>
            <w:bottom w:val="single" w:sz="6" w:space="0" w:color="BBBBBB"/>
            <w:right w:val="single" w:sz="6" w:space="0" w:color="BBBBBB"/>
          </w:divBdr>
          <w:divsChild>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75"/>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1200"/>
                                          <w:marRight w:val="120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24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1275"/>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14802">
      <w:bodyDiv w:val="1"/>
      <w:marLeft w:val="0"/>
      <w:marRight w:val="0"/>
      <w:marTop w:val="0"/>
      <w:marBottom w:val="0"/>
      <w:divBdr>
        <w:top w:val="none" w:sz="0" w:space="0" w:color="auto"/>
        <w:left w:val="none" w:sz="0" w:space="0" w:color="auto"/>
        <w:bottom w:val="none" w:sz="0" w:space="0" w:color="auto"/>
        <w:right w:val="none" w:sz="0" w:space="0" w:color="auto"/>
      </w:divBdr>
    </w:div>
    <w:div w:id="1229612935">
      <w:bodyDiv w:val="1"/>
      <w:marLeft w:val="0"/>
      <w:marRight w:val="0"/>
      <w:marTop w:val="0"/>
      <w:marBottom w:val="0"/>
      <w:divBdr>
        <w:top w:val="none" w:sz="0" w:space="0" w:color="auto"/>
        <w:left w:val="none" w:sz="0" w:space="0" w:color="auto"/>
        <w:bottom w:val="none" w:sz="0" w:space="0" w:color="auto"/>
        <w:right w:val="none" w:sz="0" w:space="0" w:color="auto"/>
      </w:divBdr>
      <w:divsChild>
        <w:div w:id="54790173">
          <w:marLeft w:val="0"/>
          <w:marRight w:val="0"/>
          <w:marTop w:val="0"/>
          <w:marBottom w:val="0"/>
          <w:divBdr>
            <w:top w:val="none" w:sz="0" w:space="0" w:color="auto"/>
            <w:left w:val="none" w:sz="0" w:space="0" w:color="auto"/>
            <w:bottom w:val="none" w:sz="0" w:space="0" w:color="auto"/>
            <w:right w:val="none" w:sz="0" w:space="0" w:color="auto"/>
          </w:divBdr>
          <w:divsChild>
            <w:div w:id="1112942398">
              <w:marLeft w:val="0"/>
              <w:marRight w:val="0"/>
              <w:marTop w:val="0"/>
              <w:marBottom w:val="0"/>
              <w:divBdr>
                <w:top w:val="none" w:sz="0" w:space="0" w:color="auto"/>
                <w:left w:val="none" w:sz="0" w:space="0" w:color="auto"/>
                <w:bottom w:val="none" w:sz="0" w:space="0" w:color="auto"/>
                <w:right w:val="none" w:sz="0" w:space="0" w:color="auto"/>
              </w:divBdr>
              <w:divsChild>
                <w:div w:id="616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261">
      <w:bodyDiv w:val="1"/>
      <w:marLeft w:val="0"/>
      <w:marRight w:val="0"/>
      <w:marTop w:val="0"/>
      <w:marBottom w:val="0"/>
      <w:divBdr>
        <w:top w:val="none" w:sz="0" w:space="0" w:color="auto"/>
        <w:left w:val="none" w:sz="0" w:space="0" w:color="auto"/>
        <w:bottom w:val="none" w:sz="0" w:space="0" w:color="auto"/>
        <w:right w:val="none" w:sz="0" w:space="0" w:color="auto"/>
      </w:divBdr>
    </w:div>
    <w:div w:id="1289973008">
      <w:bodyDiv w:val="1"/>
      <w:marLeft w:val="0"/>
      <w:marRight w:val="0"/>
      <w:marTop w:val="0"/>
      <w:marBottom w:val="0"/>
      <w:divBdr>
        <w:top w:val="none" w:sz="0" w:space="0" w:color="auto"/>
        <w:left w:val="none" w:sz="0" w:space="0" w:color="auto"/>
        <w:bottom w:val="none" w:sz="0" w:space="0" w:color="auto"/>
        <w:right w:val="none" w:sz="0" w:space="0" w:color="auto"/>
      </w:divBdr>
    </w:div>
    <w:div w:id="1317416567">
      <w:bodyDiv w:val="1"/>
      <w:marLeft w:val="0"/>
      <w:marRight w:val="0"/>
      <w:marTop w:val="0"/>
      <w:marBottom w:val="0"/>
      <w:divBdr>
        <w:top w:val="none" w:sz="0" w:space="0" w:color="auto"/>
        <w:left w:val="none" w:sz="0" w:space="0" w:color="auto"/>
        <w:bottom w:val="none" w:sz="0" w:space="0" w:color="auto"/>
        <w:right w:val="none" w:sz="0" w:space="0" w:color="auto"/>
      </w:divBdr>
    </w:div>
    <w:div w:id="1344042937">
      <w:bodyDiv w:val="1"/>
      <w:marLeft w:val="0"/>
      <w:marRight w:val="0"/>
      <w:marTop w:val="0"/>
      <w:marBottom w:val="0"/>
      <w:divBdr>
        <w:top w:val="none" w:sz="0" w:space="0" w:color="auto"/>
        <w:left w:val="none" w:sz="0" w:space="0" w:color="auto"/>
        <w:bottom w:val="none" w:sz="0" w:space="0" w:color="auto"/>
        <w:right w:val="none" w:sz="0" w:space="0" w:color="auto"/>
      </w:divBdr>
    </w:div>
    <w:div w:id="1375498853">
      <w:bodyDiv w:val="1"/>
      <w:marLeft w:val="0"/>
      <w:marRight w:val="0"/>
      <w:marTop w:val="0"/>
      <w:marBottom w:val="0"/>
      <w:divBdr>
        <w:top w:val="none" w:sz="0" w:space="0" w:color="auto"/>
        <w:left w:val="none" w:sz="0" w:space="0" w:color="auto"/>
        <w:bottom w:val="none" w:sz="0" w:space="0" w:color="auto"/>
        <w:right w:val="none" w:sz="0" w:space="0" w:color="auto"/>
      </w:divBdr>
    </w:div>
    <w:div w:id="1379161945">
      <w:bodyDiv w:val="1"/>
      <w:marLeft w:val="0"/>
      <w:marRight w:val="0"/>
      <w:marTop w:val="0"/>
      <w:marBottom w:val="0"/>
      <w:divBdr>
        <w:top w:val="none" w:sz="0" w:space="0" w:color="auto"/>
        <w:left w:val="none" w:sz="0" w:space="0" w:color="auto"/>
        <w:bottom w:val="none" w:sz="0" w:space="0" w:color="auto"/>
        <w:right w:val="none" w:sz="0" w:space="0" w:color="auto"/>
      </w:divBdr>
    </w:div>
    <w:div w:id="1463385303">
      <w:bodyDiv w:val="1"/>
      <w:marLeft w:val="0"/>
      <w:marRight w:val="0"/>
      <w:marTop w:val="0"/>
      <w:marBottom w:val="0"/>
      <w:divBdr>
        <w:top w:val="none" w:sz="0" w:space="0" w:color="auto"/>
        <w:left w:val="none" w:sz="0" w:space="0" w:color="auto"/>
        <w:bottom w:val="none" w:sz="0" w:space="0" w:color="auto"/>
        <w:right w:val="none" w:sz="0" w:space="0" w:color="auto"/>
      </w:divBdr>
    </w:div>
    <w:div w:id="1499006724">
      <w:bodyDiv w:val="1"/>
      <w:marLeft w:val="0"/>
      <w:marRight w:val="0"/>
      <w:marTop w:val="0"/>
      <w:marBottom w:val="0"/>
      <w:divBdr>
        <w:top w:val="none" w:sz="0" w:space="0" w:color="auto"/>
        <w:left w:val="none" w:sz="0" w:space="0" w:color="auto"/>
        <w:bottom w:val="none" w:sz="0" w:space="0" w:color="auto"/>
        <w:right w:val="none" w:sz="0" w:space="0" w:color="auto"/>
      </w:divBdr>
    </w:div>
    <w:div w:id="1560439739">
      <w:bodyDiv w:val="1"/>
      <w:marLeft w:val="0"/>
      <w:marRight w:val="0"/>
      <w:marTop w:val="0"/>
      <w:marBottom w:val="0"/>
      <w:divBdr>
        <w:top w:val="none" w:sz="0" w:space="0" w:color="auto"/>
        <w:left w:val="none" w:sz="0" w:space="0" w:color="auto"/>
        <w:bottom w:val="none" w:sz="0" w:space="0" w:color="auto"/>
        <w:right w:val="none" w:sz="0" w:space="0" w:color="auto"/>
      </w:divBdr>
    </w:div>
    <w:div w:id="1671106226">
      <w:bodyDiv w:val="1"/>
      <w:marLeft w:val="0"/>
      <w:marRight w:val="0"/>
      <w:marTop w:val="0"/>
      <w:marBottom w:val="0"/>
      <w:divBdr>
        <w:top w:val="none" w:sz="0" w:space="0" w:color="auto"/>
        <w:left w:val="none" w:sz="0" w:space="0" w:color="auto"/>
        <w:bottom w:val="none" w:sz="0" w:space="0" w:color="auto"/>
        <w:right w:val="none" w:sz="0" w:space="0" w:color="auto"/>
      </w:divBdr>
    </w:div>
    <w:div w:id="1769734869">
      <w:bodyDiv w:val="1"/>
      <w:marLeft w:val="0"/>
      <w:marRight w:val="0"/>
      <w:marTop w:val="0"/>
      <w:marBottom w:val="0"/>
      <w:divBdr>
        <w:top w:val="none" w:sz="0" w:space="0" w:color="auto"/>
        <w:left w:val="none" w:sz="0" w:space="0" w:color="auto"/>
        <w:bottom w:val="none" w:sz="0" w:space="0" w:color="auto"/>
        <w:right w:val="none" w:sz="0" w:space="0" w:color="auto"/>
      </w:divBdr>
    </w:div>
    <w:div w:id="1843425410">
      <w:bodyDiv w:val="1"/>
      <w:marLeft w:val="0"/>
      <w:marRight w:val="0"/>
      <w:marTop w:val="0"/>
      <w:marBottom w:val="0"/>
      <w:divBdr>
        <w:top w:val="none" w:sz="0" w:space="0" w:color="auto"/>
        <w:left w:val="none" w:sz="0" w:space="0" w:color="auto"/>
        <w:bottom w:val="none" w:sz="0" w:space="0" w:color="auto"/>
        <w:right w:val="none" w:sz="0" w:space="0" w:color="auto"/>
      </w:divBdr>
    </w:div>
    <w:div w:id="1884753828">
      <w:bodyDiv w:val="1"/>
      <w:marLeft w:val="0"/>
      <w:marRight w:val="0"/>
      <w:marTop w:val="0"/>
      <w:marBottom w:val="0"/>
      <w:divBdr>
        <w:top w:val="none" w:sz="0" w:space="0" w:color="auto"/>
        <w:left w:val="none" w:sz="0" w:space="0" w:color="auto"/>
        <w:bottom w:val="none" w:sz="0" w:space="0" w:color="auto"/>
        <w:right w:val="none" w:sz="0" w:space="0" w:color="auto"/>
      </w:divBdr>
    </w:div>
    <w:div w:id="20802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lexisnexis.com/LegalNewsRoom/international-law/b/issuesspotlight/posts/nigeria-sex-trafficking-human-rights-rule-of-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ECF72-D99D-4F46-8EC8-AB9FCDE4986D}">
  <ds:schemaRefs>
    <ds:schemaRef ds:uri="http://schemas.openxmlformats.org/officeDocument/2006/bibliography"/>
  </ds:schemaRefs>
</ds:datastoreItem>
</file>

<file path=customXml/itemProps3.xml><?xml version="1.0" encoding="utf-8"?>
<ds:datastoreItem xmlns:ds="http://schemas.openxmlformats.org/officeDocument/2006/customXml" ds:itemID="{00BB3E76-073D-4B64-B1EA-DA0C1F9F6C7A}"/>
</file>

<file path=customXml/itemProps4.xml><?xml version="1.0" encoding="utf-8"?>
<ds:datastoreItem xmlns:ds="http://schemas.openxmlformats.org/officeDocument/2006/customXml" ds:itemID="{8BC31309-71A4-4C44-85CB-E65B0C7937EB}"/>
</file>

<file path=customXml/itemProps5.xml><?xml version="1.0" encoding="utf-8"?>
<ds:datastoreItem xmlns:ds="http://schemas.openxmlformats.org/officeDocument/2006/customXml" ds:itemID="{1745230B-6EBA-4B1B-A080-3B03CFE352AD}"/>
</file>

<file path=docProps/app.xml><?xml version="1.0" encoding="utf-8"?>
<Properties xmlns="http://schemas.openxmlformats.org/officeDocument/2006/extended-properties" xmlns:vt="http://schemas.openxmlformats.org/officeDocument/2006/docPropsVTypes">
  <Template>Normal</Template>
  <TotalTime>38</TotalTime>
  <Pages>5</Pages>
  <Words>1642</Words>
  <Characters>8788</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Comments on the draft general recommendation on trafficking in women and girls in the context of global migration (TWGCGM) 
By peter whitton, LL.B. student, international and european law, The Hague university of applied sciences, Legal intern, justice mi</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draft general recommendation on trafficking in women and girls in the context of global migration (TWGCGM). 
By peter whitton, LL.B. student, international and european law, The Hague university of applied sciences.
Date: 11 May 2020</dc:title>
  <dc:subject/>
  <dc:creator>Peter Whitton</dc:creator>
  <cp:keywords/>
  <dc:description/>
  <cp:lastModifiedBy>Pete</cp:lastModifiedBy>
  <cp:revision>3</cp:revision>
  <cp:lastPrinted>2020-01-05T18:53:00Z</cp:lastPrinted>
  <dcterms:created xsi:type="dcterms:W3CDTF">2020-05-11T14:05:00Z</dcterms:created>
  <dcterms:modified xsi:type="dcterms:W3CDTF">2020-05-11T14:43:00Z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