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68CC" w14:textId="77777777" w:rsidR="00B365E5" w:rsidRDefault="00B365E5" w:rsidP="004E41A8"/>
    <w:p w14:paraId="69871227" w14:textId="4C6D7EEF" w:rsidR="00B365E5" w:rsidRDefault="00E131F8" w:rsidP="00E90CEC">
      <w:pPr>
        <w:tabs>
          <w:tab w:val="left" w:pos="6480"/>
        </w:tabs>
        <w:jc w:val="left"/>
      </w:pPr>
      <w:r>
        <w:t xml:space="preserve">May </w:t>
      </w:r>
      <w:r w:rsidRPr="005F1119">
        <w:t>1</w:t>
      </w:r>
      <w:r w:rsidR="00B427D8" w:rsidRPr="005F1119">
        <w:t>5</w:t>
      </w:r>
      <w:r w:rsidRPr="005F1119">
        <w:t>,</w:t>
      </w:r>
      <w:r>
        <w:t xml:space="preserve"> 2020</w:t>
      </w:r>
    </w:p>
    <w:p w14:paraId="7DD05D46" w14:textId="77777777" w:rsidR="004E41A8" w:rsidRDefault="004E41A8" w:rsidP="004E41A8"/>
    <w:p w14:paraId="3D973C71" w14:textId="267F62EB" w:rsidR="00B365E5" w:rsidRDefault="00B365E5" w:rsidP="004E41A8">
      <w:r>
        <w:t xml:space="preserve">Committee on the Elimination of Discrimination </w:t>
      </w:r>
      <w:r w:rsidR="00462890">
        <w:t>a</w:t>
      </w:r>
      <w:r>
        <w:t>gainst Women</w:t>
      </w:r>
    </w:p>
    <w:p w14:paraId="6DF6982F" w14:textId="77777777" w:rsidR="00B365E5" w:rsidRDefault="00B365E5" w:rsidP="004E41A8">
      <w:r>
        <w:t>Office of the High Commissioner for Human Rights</w:t>
      </w:r>
    </w:p>
    <w:p w14:paraId="28393AD0" w14:textId="77777777" w:rsidR="00B365E5" w:rsidRDefault="00966471" w:rsidP="004E41A8">
      <w:r>
        <w:t xml:space="preserve">By </w:t>
      </w:r>
      <w:r w:rsidR="00B365E5">
        <w:t>E</w:t>
      </w:r>
      <w:r>
        <w:t>-</w:t>
      </w:r>
      <w:r w:rsidR="00B365E5">
        <w:t xml:space="preserve">mail: </w:t>
      </w:r>
      <w:r w:rsidR="00E131F8">
        <w:rPr>
          <w:rStyle w:val="Hyperlink"/>
          <w:color w:val="auto"/>
          <w:u w:val="none"/>
        </w:rPr>
        <w:t>cedaw@ohchr.org</w:t>
      </w:r>
      <w:bookmarkStart w:id="0" w:name="_GoBack"/>
      <w:bookmarkEnd w:id="0"/>
    </w:p>
    <w:p w14:paraId="3691FB3B" w14:textId="77777777" w:rsidR="00B365E5" w:rsidRDefault="00B365E5" w:rsidP="004E41A8"/>
    <w:p w14:paraId="195FCCB8" w14:textId="77777777" w:rsidR="00B365E5" w:rsidRPr="0021327C" w:rsidRDefault="00B365E5" w:rsidP="004E41A8">
      <w:pPr>
        <w:ind w:firstLine="720"/>
        <w:rPr>
          <w:b/>
          <w:u w:val="single"/>
        </w:rPr>
      </w:pPr>
      <w:r w:rsidRPr="0021327C">
        <w:rPr>
          <w:b/>
          <w:u w:val="single"/>
        </w:rPr>
        <w:t xml:space="preserve">Re: </w:t>
      </w:r>
      <w:r w:rsidR="00E131F8">
        <w:rPr>
          <w:b/>
          <w:u w:val="single"/>
        </w:rPr>
        <w:t>Draft General Recommendation on TWGCGM</w:t>
      </w:r>
    </w:p>
    <w:p w14:paraId="0B3D70DC" w14:textId="77777777" w:rsidR="00B365E5" w:rsidRDefault="00B365E5" w:rsidP="004E41A8"/>
    <w:p w14:paraId="4F1F5C5F" w14:textId="77777777" w:rsidR="00B365E5" w:rsidRDefault="004E41A8" w:rsidP="004E41A8">
      <w:r>
        <w:t>Distinguished Committee Members</w:t>
      </w:r>
      <w:r w:rsidR="00B365E5">
        <w:t>:</w:t>
      </w:r>
    </w:p>
    <w:p w14:paraId="0127880D" w14:textId="77777777" w:rsidR="00B365E5" w:rsidRDefault="00B365E5" w:rsidP="004E41A8"/>
    <w:p w14:paraId="649AFE89" w14:textId="007AB349" w:rsidR="00E131F8" w:rsidRPr="00100EE7" w:rsidRDefault="00E131F8" w:rsidP="00E131F8">
      <w:r w:rsidRPr="00100EE7">
        <w:t xml:space="preserve">Sanctuary for Families (“Sanctuary”), World Without Exploitation (“WorldWE”), and the New York State Anti-Trafficking Coalition (the “Coalition”) respectfully </w:t>
      </w:r>
      <w:r w:rsidR="00E838A5" w:rsidRPr="00100EE7">
        <w:t>provide</w:t>
      </w:r>
      <w:r w:rsidRPr="00100EE7">
        <w:t xml:space="preserve"> this </w:t>
      </w:r>
      <w:r w:rsidR="00372E66" w:rsidRPr="00100EE7">
        <w:t>submission</w:t>
      </w:r>
      <w:r w:rsidRPr="00100EE7">
        <w:t xml:space="preserve"> in response to the Committee on the Elimination of Discrimination </w:t>
      </w:r>
      <w:r w:rsidR="00462890">
        <w:t>a</w:t>
      </w:r>
      <w:r w:rsidRPr="00100EE7">
        <w:t xml:space="preserve">gainst Women’s (the “Committee”) call for </w:t>
      </w:r>
      <w:r w:rsidR="0033396B" w:rsidRPr="00100EE7">
        <w:t>comments</w:t>
      </w:r>
      <w:r w:rsidRPr="00100EE7">
        <w:t xml:space="preserve"> </w:t>
      </w:r>
      <w:r w:rsidR="0033396B" w:rsidRPr="00100EE7">
        <w:t xml:space="preserve">on the </w:t>
      </w:r>
      <w:r w:rsidR="00CF4245" w:rsidRPr="00100EE7">
        <w:t>d</w:t>
      </w:r>
      <w:r w:rsidR="0033396B" w:rsidRPr="00100EE7">
        <w:t>raft General Recommendation on trafficking in women and girls in the context of global migration (the “</w:t>
      </w:r>
      <w:r w:rsidR="007723A1" w:rsidRPr="00100EE7">
        <w:t xml:space="preserve">Draft </w:t>
      </w:r>
      <w:r w:rsidR="0033396B" w:rsidRPr="00100EE7">
        <w:t>General Recommendation”)</w:t>
      </w:r>
      <w:r w:rsidRPr="00100EE7">
        <w:t>, as considered within the framework of the Convention on the Elimination of All Forms of Discrimination against Women (the “Convention”).</w:t>
      </w:r>
    </w:p>
    <w:p w14:paraId="2923C73B" w14:textId="77777777" w:rsidR="00E131F8" w:rsidRPr="00100EE7" w:rsidRDefault="00E131F8" w:rsidP="00E131F8"/>
    <w:p w14:paraId="5C9EF23B" w14:textId="77777777" w:rsidR="00E131F8" w:rsidRPr="00100EE7" w:rsidRDefault="00E131F8" w:rsidP="00E131F8">
      <w:r w:rsidRPr="00100EE7">
        <w:t xml:space="preserve">Sanctuary is the largest non-governmental organization in New York State, dedicated exclusively to addressing the multi-faceted needs of survivors of domestic violence, trafficking, and related forms of gender violence.  Sanctuary has served more than 1,000 survivors of human trafficking, the vast majority of whom are immigrants.  Sanctuary offers legal, shelter, clinical, and economic empowerment services to survivors, advocates for policies and legislation to advance the rights of survivors and improve the response of systems to gender violence, and conducts extensive community outreach, education, and training. </w:t>
      </w:r>
    </w:p>
    <w:p w14:paraId="58BFAC6E" w14:textId="77777777" w:rsidR="00E131F8" w:rsidRPr="00100EE7" w:rsidRDefault="00E131F8" w:rsidP="00E131F8"/>
    <w:p w14:paraId="4C46E07C" w14:textId="77777777" w:rsidR="00E131F8" w:rsidRPr="00100EE7" w:rsidRDefault="00E131F8" w:rsidP="00E131F8">
      <w:r w:rsidRPr="00100EE7">
        <w:t>WorldWE is a national coalition of organizations and individuals committed to creating a world where no person is bought, sold, or exploited.  WorldWE aims to create a culture where those who have been trafficked or sexually exploited are treated as victims of a crime not criminals themselves, while those who purchase, sell, or exploit other human beings are held accountable.</w:t>
      </w:r>
    </w:p>
    <w:p w14:paraId="561EDDCC" w14:textId="77777777" w:rsidR="00E131F8" w:rsidRPr="00100EE7" w:rsidRDefault="00E131F8" w:rsidP="00E131F8"/>
    <w:p w14:paraId="792FB266" w14:textId="77777777" w:rsidR="00E131F8" w:rsidRPr="00100EE7" w:rsidRDefault="00E131F8" w:rsidP="00E131F8">
      <w:r w:rsidRPr="00100EE7">
        <w:t xml:space="preserve">The New York State Anti-Trafficking Coalition is a network of more than 140 organizations throughout New York State working to improve the State’s response to all forms of human trafficking and commercial sexual exploitation and to assist and empower victims and survivors.  The Coalition has played a leading role in strengthening New York State laws that hold accountable sex and labor traffickers and their confederates, including sex buyers, extend social services to immigrant victims, and enable victims to vacate prostitution and related convictions. </w:t>
      </w:r>
    </w:p>
    <w:p w14:paraId="35DBE459" w14:textId="77777777" w:rsidR="00E131F8" w:rsidRPr="00100EE7" w:rsidRDefault="00E131F8" w:rsidP="00E131F8"/>
    <w:p w14:paraId="4FD3F662" w14:textId="77777777" w:rsidR="00E131F8" w:rsidRDefault="00E131F8" w:rsidP="00E131F8">
      <w:r w:rsidRPr="00100EE7">
        <w:t>Our advocacy is deeply informed by the experiences of the survivors we serve.</w:t>
      </w:r>
    </w:p>
    <w:p w14:paraId="119FF575" w14:textId="77777777" w:rsidR="004E41A8" w:rsidRDefault="004E41A8" w:rsidP="004E41A8">
      <w:pPr>
        <w:pStyle w:val="Heading1"/>
      </w:pPr>
      <w:r w:rsidRPr="004E41A8">
        <w:t>INTRODUCTION</w:t>
      </w:r>
    </w:p>
    <w:p w14:paraId="4098338A" w14:textId="77777777" w:rsidR="009C11DC" w:rsidRPr="00234ADA" w:rsidRDefault="007E5BB4" w:rsidP="004E41A8">
      <w:r>
        <w:t>Sanctuary</w:t>
      </w:r>
      <w:r w:rsidR="00966471">
        <w:t xml:space="preserve">, </w:t>
      </w:r>
      <w:r w:rsidR="00100EE7">
        <w:t>WorldWE and the Coalition</w:t>
      </w:r>
      <w:r>
        <w:t xml:space="preserve"> provide this </w:t>
      </w:r>
      <w:r w:rsidR="00372E66">
        <w:t>submission</w:t>
      </w:r>
      <w:r>
        <w:t xml:space="preserve"> in </w:t>
      </w:r>
      <w:r w:rsidR="00234ADA">
        <w:t xml:space="preserve">response to the call for comments on the </w:t>
      </w:r>
      <w:r w:rsidR="007723A1">
        <w:t xml:space="preserve">Draft </w:t>
      </w:r>
      <w:r w:rsidRPr="00234ADA">
        <w:rPr>
          <w:iCs/>
        </w:rPr>
        <w:t>General Recommendation</w:t>
      </w:r>
      <w:r w:rsidRPr="00234ADA">
        <w:t>.</w:t>
      </w:r>
      <w:r w:rsidR="00C137FD">
        <w:t xml:space="preserve">  This </w:t>
      </w:r>
      <w:r w:rsidR="00372E66">
        <w:t>submission</w:t>
      </w:r>
      <w:r w:rsidR="00C137FD">
        <w:t xml:space="preserve"> follows the </w:t>
      </w:r>
      <w:r w:rsidR="00FB28F5">
        <w:t xml:space="preserve">joint </w:t>
      </w:r>
      <w:r w:rsidR="00C137FD">
        <w:t xml:space="preserve">statement </w:t>
      </w:r>
      <w:r w:rsidR="00100EE7">
        <w:t>we</w:t>
      </w:r>
      <w:r w:rsidR="00C137FD">
        <w:t xml:space="preserve"> submitted to the Committee on February 18, 2019</w:t>
      </w:r>
      <w:r w:rsidR="00FB28F5">
        <w:t xml:space="preserve"> (the “2019 Statement”)</w:t>
      </w:r>
      <w:r w:rsidR="00C137FD">
        <w:t xml:space="preserve">, in response to </w:t>
      </w:r>
      <w:r w:rsidR="00FB28F5">
        <w:t xml:space="preserve">the </w:t>
      </w:r>
      <w:r w:rsidR="00FB28F5">
        <w:lastRenderedPageBreak/>
        <w:t>Committee’s</w:t>
      </w:r>
      <w:r w:rsidR="00C137FD">
        <w:t xml:space="preserve"> call for submissions regarding </w:t>
      </w:r>
      <w:r w:rsidR="00C137FD" w:rsidRPr="00C137FD">
        <w:t>trafficking in women and girls in the context of global migration</w:t>
      </w:r>
      <w:r w:rsidR="00C137FD">
        <w:t xml:space="preserve"> and the release of its Concept Note.</w:t>
      </w:r>
      <w:r w:rsidR="002608F4">
        <w:rPr>
          <w:rStyle w:val="FootnoteReference"/>
        </w:rPr>
        <w:footnoteReference w:id="1"/>
      </w:r>
    </w:p>
    <w:p w14:paraId="29FE0B27" w14:textId="77777777" w:rsidR="009C11DC" w:rsidRDefault="009C11DC" w:rsidP="004E41A8"/>
    <w:p w14:paraId="11FE9EBA" w14:textId="77777777" w:rsidR="004E41A8" w:rsidRDefault="00234ADA" w:rsidP="00D14BE9">
      <w:r>
        <w:t>W</w:t>
      </w:r>
      <w:r w:rsidR="00966471">
        <w:t>e have r</w:t>
      </w:r>
      <w:r w:rsidR="009C11DC">
        <w:t xml:space="preserve">eviewed the </w:t>
      </w:r>
      <w:r w:rsidR="007723A1">
        <w:t xml:space="preserve">Draft </w:t>
      </w:r>
      <w:r>
        <w:t>General Recommendation in detail</w:t>
      </w:r>
      <w:r w:rsidR="00900BEE">
        <w:t xml:space="preserve"> and</w:t>
      </w:r>
      <w:r w:rsidR="002608F4">
        <w:t xml:space="preserve"> </w:t>
      </w:r>
      <w:r w:rsidR="00900BEE">
        <w:t>appreciate the effo</w:t>
      </w:r>
      <w:r w:rsidR="00C137FD">
        <w:t>rts undertaken by the Committee</w:t>
      </w:r>
      <w:r w:rsidR="002608F4">
        <w:t xml:space="preserve"> to </w:t>
      </w:r>
      <w:r w:rsidR="0061364A">
        <w:t xml:space="preserve">set forth clear principles </w:t>
      </w:r>
      <w:r w:rsidR="00B95E7F">
        <w:t>to inform the States parties’ obligations</w:t>
      </w:r>
      <w:r w:rsidR="00B95E7F" w:rsidRPr="00B95E7F">
        <w:t xml:space="preserve"> to suppress all forms of trafficking in women and </w:t>
      </w:r>
      <w:r w:rsidR="00B95E7F">
        <w:t xml:space="preserve">exploitation of </w:t>
      </w:r>
      <w:r w:rsidR="009A0617">
        <w:t xml:space="preserve">the </w:t>
      </w:r>
      <w:r w:rsidR="00B95E7F">
        <w:t xml:space="preserve">prostitution of women, in accordance with </w:t>
      </w:r>
      <w:r w:rsidR="00A8079E">
        <w:t>A</w:t>
      </w:r>
      <w:r w:rsidR="00B95E7F" w:rsidRPr="00B95E7F">
        <w:t>rticle 6 of the Convention</w:t>
      </w:r>
      <w:r w:rsidR="00900BEE">
        <w:t xml:space="preserve">.  </w:t>
      </w:r>
      <w:r w:rsidR="00B95E7F">
        <w:t>In particular, we</w:t>
      </w:r>
      <w:r w:rsidR="00C137FD">
        <w:t xml:space="preserve"> recognize the progress made since the Concept Note </w:t>
      </w:r>
      <w:r w:rsidR="00DE6BC2">
        <w:t>to expressly recognize the exploitation of women in prostitution as a critical component of the phenomenon of global trafficking.  In addition, we commend the</w:t>
      </w:r>
      <w:r w:rsidR="00966471">
        <w:t xml:space="preserve"> </w:t>
      </w:r>
      <w:r w:rsidR="00DE6BC2">
        <w:t xml:space="preserve">Committee’s unequivocal assertion that women and girls are disproportionately affected by trafficking and the detailed discussion in the </w:t>
      </w:r>
      <w:r w:rsidR="007723A1">
        <w:t xml:space="preserve">Draft </w:t>
      </w:r>
      <w:r w:rsidR="00DE6BC2">
        <w:t xml:space="preserve">General Recommendation on the </w:t>
      </w:r>
      <w:r w:rsidR="00E1775D">
        <w:t xml:space="preserve">particular </w:t>
      </w:r>
      <w:r w:rsidR="00DE6BC2">
        <w:t>vulnerability of women and girls to trafficking and</w:t>
      </w:r>
      <w:r w:rsidR="00E1775D">
        <w:t xml:space="preserve"> sexual</w:t>
      </w:r>
      <w:r w:rsidR="00DE6BC2">
        <w:t xml:space="preserve"> exploitation. </w:t>
      </w:r>
      <w:r w:rsidR="00D14BE9">
        <w:t xml:space="preserve"> Finally, </w:t>
      </w:r>
      <w:r w:rsidR="006E71C6">
        <w:t xml:space="preserve">although </w:t>
      </w:r>
      <w:r w:rsidR="00D14BE9">
        <w:t>we largely a</w:t>
      </w:r>
      <w:r w:rsidR="004737D4">
        <w:t xml:space="preserve">gree </w:t>
      </w:r>
      <w:r w:rsidR="00900BEE">
        <w:t xml:space="preserve">with </w:t>
      </w:r>
      <w:r w:rsidR="00D441B5">
        <w:t xml:space="preserve">many of the principles </w:t>
      </w:r>
      <w:r w:rsidR="00900BEE">
        <w:t>reflected in</w:t>
      </w:r>
      <w:r w:rsidR="00D441B5">
        <w:t xml:space="preserve"> the </w:t>
      </w:r>
      <w:r w:rsidR="007723A1">
        <w:t xml:space="preserve">Draft </w:t>
      </w:r>
      <w:r w:rsidR="00D441B5">
        <w:t>General Recommendation</w:t>
      </w:r>
      <w:r w:rsidR="004737D4">
        <w:t>,</w:t>
      </w:r>
      <w:r w:rsidR="000E730C">
        <w:t xml:space="preserve"> </w:t>
      </w:r>
      <w:r w:rsidR="00CB7D13">
        <w:t xml:space="preserve">in Section II </w:t>
      </w:r>
      <w:r w:rsidR="001C31BC">
        <w:t xml:space="preserve">we </w:t>
      </w:r>
      <w:r w:rsidR="00CB7D13">
        <w:t xml:space="preserve">provide comments on specific sections and paragraphs of the </w:t>
      </w:r>
      <w:r w:rsidR="007723A1">
        <w:t xml:space="preserve">Draft </w:t>
      </w:r>
      <w:r w:rsidR="00CB7D13">
        <w:t>General Recommendation</w:t>
      </w:r>
      <w:r w:rsidR="00D14BE9">
        <w:t xml:space="preserve"> </w:t>
      </w:r>
      <w:r w:rsidR="00CB7D13">
        <w:t>that we believe will</w:t>
      </w:r>
      <w:r w:rsidR="00E1775D">
        <w:t xml:space="preserve"> further</w:t>
      </w:r>
      <w:r w:rsidR="00B66820">
        <w:t xml:space="preserve"> </w:t>
      </w:r>
      <w:r w:rsidR="000E730C">
        <w:t>contribute to</w:t>
      </w:r>
      <w:r w:rsidR="00C137FD">
        <w:t xml:space="preserve"> the</w:t>
      </w:r>
      <w:r w:rsidR="004737D4">
        <w:t xml:space="preserve"> realization of the </w:t>
      </w:r>
      <w:r w:rsidR="006E71C6">
        <w:t>Committee</w:t>
      </w:r>
      <w:r w:rsidR="001A66B3">
        <w:t>’s objective</w:t>
      </w:r>
      <w:r w:rsidR="004D0111">
        <w:t>s</w:t>
      </w:r>
      <w:r w:rsidR="001A66B3">
        <w:t>.</w:t>
      </w:r>
      <w:r w:rsidR="004737D4">
        <w:t xml:space="preserve"> </w:t>
      </w:r>
      <w:r w:rsidR="00360043">
        <w:t xml:space="preserve"> </w:t>
      </w:r>
    </w:p>
    <w:p w14:paraId="701C0AF4" w14:textId="77777777" w:rsidR="00052B86" w:rsidRDefault="0033396B" w:rsidP="00B33C75">
      <w:pPr>
        <w:pStyle w:val="Heading1"/>
      </w:pPr>
      <w:r>
        <w:t xml:space="preserve">COMMENTS </w:t>
      </w:r>
      <w:r w:rsidR="00D650FF">
        <w:t xml:space="preserve">ON </w:t>
      </w:r>
      <w:r>
        <w:t xml:space="preserve">THE </w:t>
      </w:r>
      <w:r w:rsidR="007723A1">
        <w:t xml:space="preserve">DRAFT </w:t>
      </w:r>
      <w:r>
        <w:t>GENERAL RECOMMENDATION</w:t>
      </w:r>
    </w:p>
    <w:p w14:paraId="7EDD141E" w14:textId="77777777" w:rsidR="00900BEE" w:rsidRDefault="00900BEE" w:rsidP="00900BEE">
      <w:r>
        <w:t xml:space="preserve">In accordance with the Committee’s instructions, below we provide our comments by reference to the relevant </w:t>
      </w:r>
      <w:r w:rsidR="00FE119B">
        <w:t xml:space="preserve">sections or </w:t>
      </w:r>
      <w:r>
        <w:t xml:space="preserve">paragraphs of the </w:t>
      </w:r>
      <w:r w:rsidR="007723A1">
        <w:t xml:space="preserve">Draft </w:t>
      </w:r>
      <w:r>
        <w:t>General Recommendation.</w:t>
      </w:r>
    </w:p>
    <w:p w14:paraId="0259CF3E" w14:textId="77777777" w:rsidR="00900BEE" w:rsidRPr="00900BEE" w:rsidRDefault="00900BEE" w:rsidP="00900BEE"/>
    <w:p w14:paraId="4A70393E" w14:textId="77777777" w:rsidR="00900BEE" w:rsidRDefault="00C137FD" w:rsidP="00900BEE">
      <w:pPr>
        <w:pStyle w:val="Heading3"/>
      </w:pPr>
      <w:r>
        <w:t xml:space="preserve">Part I (Introduction) &amp; </w:t>
      </w:r>
      <w:r w:rsidR="00900BEE">
        <w:t xml:space="preserve">Part II (Objective </w:t>
      </w:r>
      <w:r w:rsidR="00D650FF">
        <w:t xml:space="preserve">and </w:t>
      </w:r>
      <w:r w:rsidR="00900BEE">
        <w:t>Scope)</w:t>
      </w:r>
    </w:p>
    <w:p w14:paraId="4E50D073" w14:textId="77777777" w:rsidR="00900BEE" w:rsidRDefault="00900BEE" w:rsidP="00900BEE"/>
    <w:p w14:paraId="0D599CDA" w14:textId="77777777" w:rsidR="00FE119B" w:rsidRDefault="00C137FD" w:rsidP="003966A8">
      <w:r w:rsidRPr="00A8079E">
        <w:t xml:space="preserve">We </w:t>
      </w:r>
      <w:r w:rsidR="00C85F6F">
        <w:t xml:space="preserve">recognize and </w:t>
      </w:r>
      <w:r w:rsidR="00E1775D">
        <w:t>appreciate</w:t>
      </w:r>
      <w:r w:rsidRPr="00A8079E">
        <w:t xml:space="preserve"> that the introduct</w:t>
      </w:r>
      <w:r w:rsidR="00A8079E">
        <w:t xml:space="preserve">ory paragraph of the </w:t>
      </w:r>
      <w:r w:rsidR="007723A1">
        <w:t xml:space="preserve">Draft </w:t>
      </w:r>
      <w:r w:rsidR="00A8079E">
        <w:t xml:space="preserve">General Recommendation includes </w:t>
      </w:r>
      <w:r w:rsidR="00E1775D">
        <w:t>a</w:t>
      </w:r>
      <w:r w:rsidR="00A8079E">
        <w:t xml:space="preserve"> complete reference to </w:t>
      </w:r>
      <w:r w:rsidRPr="00A8079E">
        <w:t>Article 6 of the Convention</w:t>
      </w:r>
      <w:r w:rsidR="00A8079E">
        <w:t>,</w:t>
      </w:r>
      <w:r w:rsidRPr="00A8079E">
        <w:t xml:space="preserve"> which </w:t>
      </w:r>
      <w:r w:rsidR="00B12709" w:rsidRPr="00B12709">
        <w:t xml:space="preserve">explicitly recognizes the inextricable link between trafficking in women and the exploitation of the prostitution of women.  </w:t>
      </w:r>
      <w:r w:rsidR="001121B2">
        <w:t>A</w:t>
      </w:r>
      <w:r w:rsidR="00760892">
        <w:t xml:space="preserve">s </w:t>
      </w:r>
      <w:r w:rsidR="00B12709">
        <w:t xml:space="preserve">noted in our 2019 Statement, </w:t>
      </w:r>
      <w:r w:rsidR="001121B2" w:rsidRPr="001121B2">
        <w:t xml:space="preserve">the connection between trafficking in women and exploitation of </w:t>
      </w:r>
      <w:r w:rsidR="009A0617">
        <w:t xml:space="preserve">the </w:t>
      </w:r>
      <w:r w:rsidR="001121B2" w:rsidRPr="001121B2">
        <w:t xml:space="preserve">prostitution of women </w:t>
      </w:r>
      <w:r w:rsidR="00760892">
        <w:t xml:space="preserve">is </w:t>
      </w:r>
      <w:r w:rsidR="00B12709" w:rsidRPr="00B12709">
        <w:t xml:space="preserve">a foundational principle </w:t>
      </w:r>
      <w:r w:rsidR="001121B2">
        <w:t xml:space="preserve">that has been </w:t>
      </w:r>
      <w:r w:rsidR="00760892">
        <w:t xml:space="preserve">consistently </w:t>
      </w:r>
      <w:r w:rsidR="00B12709" w:rsidRPr="00B12709">
        <w:t>recognized by the United Nations</w:t>
      </w:r>
      <w:r w:rsidR="00760892">
        <w:t>, and is therefore essential to a comprehensive analysis of the global trafficking phenomenon.</w:t>
      </w:r>
      <w:r w:rsidR="00860C40">
        <w:t xml:space="preserve">  </w:t>
      </w:r>
    </w:p>
    <w:p w14:paraId="41E31F34" w14:textId="77777777" w:rsidR="00FE119B" w:rsidRDefault="00FE119B" w:rsidP="003966A8"/>
    <w:p w14:paraId="4130D6B9" w14:textId="77777777" w:rsidR="00900BEE" w:rsidRDefault="00860C40" w:rsidP="003966A8">
      <w:r>
        <w:t xml:space="preserve">Moreover, we </w:t>
      </w:r>
      <w:r w:rsidR="00142D48">
        <w:t>share</w:t>
      </w:r>
      <w:r>
        <w:t xml:space="preserve"> the Committee’s view </w:t>
      </w:r>
      <w:r w:rsidR="00FE119B">
        <w:t>i</w:t>
      </w:r>
      <w:r>
        <w:t>n paragraph 2 that “</w:t>
      </w:r>
      <w:r w:rsidRPr="00860C40">
        <w:rPr>
          <w:i/>
          <w:iCs/>
        </w:rPr>
        <w:t>the phenomenon persists due to States parties’ failure to effectively address the root causes of trafficking in women and girls and to discourage the demand that fosters the exploitation of women and girls, which leads to trafficking</w:t>
      </w:r>
      <w:r>
        <w:t>.”</w:t>
      </w:r>
      <w:r w:rsidR="00CE1CDE">
        <w:rPr>
          <w:rStyle w:val="FootnoteReference"/>
        </w:rPr>
        <w:footnoteReference w:id="2"/>
      </w:r>
      <w:r>
        <w:t xml:space="preserve"> </w:t>
      </w:r>
      <w:r w:rsidR="00E1775D">
        <w:t xml:space="preserve"> </w:t>
      </w:r>
      <w:r>
        <w:t xml:space="preserve">Given the </w:t>
      </w:r>
      <w:r w:rsidR="00456E66">
        <w:t xml:space="preserve">clear </w:t>
      </w:r>
      <w:r w:rsidR="003966A8">
        <w:t>inter</w:t>
      </w:r>
      <w:r w:rsidR="009D51C5">
        <w:t>-relationship</w:t>
      </w:r>
      <w:r w:rsidR="003966A8">
        <w:t xml:space="preserve"> between </w:t>
      </w:r>
      <w:r w:rsidR="003966A8" w:rsidRPr="003966A8">
        <w:t xml:space="preserve">trafficking and exploitation of </w:t>
      </w:r>
      <w:r w:rsidR="009A0617">
        <w:t xml:space="preserve">the </w:t>
      </w:r>
      <w:r w:rsidR="003966A8" w:rsidRPr="003966A8">
        <w:t>prostitution of women</w:t>
      </w:r>
      <w:r w:rsidR="003966A8">
        <w:t xml:space="preserve">, </w:t>
      </w:r>
      <w:r w:rsidR="00456E66">
        <w:t>t</w:t>
      </w:r>
      <w:r w:rsidR="00CE1AC2">
        <w:t xml:space="preserve">he </w:t>
      </w:r>
      <w:r w:rsidR="00456E66">
        <w:t xml:space="preserve">global </w:t>
      </w:r>
      <w:r w:rsidR="00CE1AC2">
        <w:t>t</w:t>
      </w:r>
      <w:r w:rsidRPr="00860C40">
        <w:t>rafficking</w:t>
      </w:r>
      <w:r w:rsidR="00CE1AC2">
        <w:t xml:space="preserve"> phenomenon</w:t>
      </w:r>
      <w:r w:rsidRPr="00860C40">
        <w:t xml:space="preserve"> </w:t>
      </w:r>
      <w:r w:rsidR="00456E66">
        <w:t>can</w:t>
      </w:r>
      <w:r w:rsidR="003966A8">
        <w:t>not</w:t>
      </w:r>
      <w:r w:rsidRPr="00860C40">
        <w:t xml:space="preserve"> be eradicated without</w:t>
      </w:r>
      <w:r w:rsidR="003966A8">
        <w:t xml:space="preserve"> </w:t>
      </w:r>
      <w:r w:rsidRPr="00860C40">
        <w:t>eliminating th</w:t>
      </w:r>
      <w:r w:rsidR="00456E66">
        <w:t xml:space="preserve">e </w:t>
      </w:r>
      <w:r w:rsidRPr="00860C40">
        <w:t>demand</w:t>
      </w:r>
      <w:r w:rsidR="00456E66">
        <w:t xml:space="preserve"> for</w:t>
      </w:r>
      <w:r w:rsidR="00456E66" w:rsidRPr="00860C40">
        <w:t xml:space="preserve"> prostitution</w:t>
      </w:r>
      <w:r w:rsidR="00456E66">
        <w:t xml:space="preserve"> which fuels trafficking</w:t>
      </w:r>
      <w:r w:rsidRPr="00860C40">
        <w:t>.</w:t>
      </w:r>
      <w:r w:rsidR="001A2176">
        <w:rPr>
          <w:rStyle w:val="FootnoteReference"/>
        </w:rPr>
        <w:footnoteReference w:id="3"/>
      </w:r>
      <w:r w:rsidR="009D51C5">
        <w:t xml:space="preserve"> </w:t>
      </w:r>
      <w:r w:rsidR="00142D48">
        <w:t xml:space="preserve"> </w:t>
      </w:r>
      <w:r w:rsidR="00A05E18">
        <w:t xml:space="preserve">In this regard, we </w:t>
      </w:r>
      <w:r w:rsidR="008B1008">
        <w:t>recognize</w:t>
      </w:r>
      <w:r w:rsidR="008B1008" w:rsidRPr="009D51C5">
        <w:t xml:space="preserve"> </w:t>
      </w:r>
      <w:r w:rsidR="009D51C5">
        <w:t>the Committee’s</w:t>
      </w:r>
      <w:r w:rsidR="009D51C5" w:rsidRPr="009D51C5">
        <w:t xml:space="preserve"> </w:t>
      </w:r>
      <w:r w:rsidR="009D51C5">
        <w:t>effort</w:t>
      </w:r>
      <w:r w:rsidR="009D51C5" w:rsidRPr="009D51C5">
        <w:t xml:space="preserve"> </w:t>
      </w:r>
      <w:r w:rsidR="008B1008">
        <w:t xml:space="preserve">in the </w:t>
      </w:r>
      <w:r w:rsidR="007723A1">
        <w:t xml:space="preserve">Draft </w:t>
      </w:r>
      <w:r w:rsidR="00A05E18">
        <w:t xml:space="preserve">General Recommendation </w:t>
      </w:r>
      <w:r w:rsidR="008B1008">
        <w:t xml:space="preserve">to make clear </w:t>
      </w:r>
      <w:r w:rsidR="00A05E18">
        <w:t xml:space="preserve">that </w:t>
      </w:r>
      <w:r w:rsidR="009D51C5" w:rsidRPr="009D51C5">
        <w:t xml:space="preserve">demand </w:t>
      </w:r>
      <w:r w:rsidR="00A05E18">
        <w:t xml:space="preserve">for sexual exploitation is one of the root causes of trafficking of </w:t>
      </w:r>
      <w:r w:rsidR="009D51C5">
        <w:t>women and girls.</w:t>
      </w:r>
      <w:r w:rsidR="00A05E18">
        <w:rPr>
          <w:rStyle w:val="FootnoteReference"/>
        </w:rPr>
        <w:footnoteReference w:id="4"/>
      </w:r>
    </w:p>
    <w:p w14:paraId="09AA3FF7" w14:textId="77777777" w:rsidR="00900BEE" w:rsidRDefault="00900BEE" w:rsidP="00900BEE"/>
    <w:p w14:paraId="6364A884" w14:textId="77777777" w:rsidR="00900BEE" w:rsidRDefault="00900BEE" w:rsidP="00900BEE">
      <w:pPr>
        <w:pStyle w:val="Heading3"/>
      </w:pPr>
      <w:r>
        <w:t>Part III (Legal Framework)</w:t>
      </w:r>
    </w:p>
    <w:p w14:paraId="27A1BC3A" w14:textId="77777777" w:rsidR="00900BEE" w:rsidRDefault="00900BEE" w:rsidP="00900BEE"/>
    <w:p w14:paraId="02BEC29C" w14:textId="4A2E967A" w:rsidR="00FE119B" w:rsidRDefault="00CE1AC2" w:rsidP="008C531F">
      <w:r>
        <w:lastRenderedPageBreak/>
        <w:t xml:space="preserve">We </w:t>
      </w:r>
      <w:r w:rsidR="008C531F">
        <w:t xml:space="preserve">concur with </w:t>
      </w:r>
      <w:r>
        <w:t xml:space="preserve">the Committee’s </w:t>
      </w:r>
      <w:r w:rsidR="008C531F">
        <w:t>analysis</w:t>
      </w:r>
      <w:r w:rsidR="00FE119B">
        <w:t xml:space="preserve"> in paragraph 8</w:t>
      </w:r>
      <w:r w:rsidR="008C531F">
        <w:t xml:space="preserve"> regarding the relevance of certain factors (such as the abuse of power and of a position of vulnerability) in understanding how trafficking </w:t>
      </w:r>
      <w:r w:rsidR="00B62082">
        <w:t>manifests itself</w:t>
      </w:r>
      <w:r w:rsidR="008C531F">
        <w:t>.</w:t>
      </w:r>
      <w:r w:rsidR="0070393B">
        <w:rPr>
          <w:rStyle w:val="FootnoteReference"/>
        </w:rPr>
        <w:footnoteReference w:id="5"/>
      </w:r>
      <w:r w:rsidR="008C531F">
        <w:t xml:space="preserve">  We also agree with the Committee in that</w:t>
      </w:r>
      <w:r w:rsidR="003966A8" w:rsidRPr="003966A8">
        <w:t xml:space="preserve"> the “</w:t>
      </w:r>
      <w:r w:rsidR="003966A8" w:rsidRPr="00FA5A33">
        <w:t>culture of impunity</w:t>
      </w:r>
      <w:r w:rsidR="003966A8" w:rsidRPr="003966A8">
        <w:t xml:space="preserve">” is </w:t>
      </w:r>
      <w:r w:rsidR="008C531F">
        <w:t xml:space="preserve">a </w:t>
      </w:r>
      <w:r w:rsidR="00B62082">
        <w:t>significant</w:t>
      </w:r>
      <w:r w:rsidR="008C531F">
        <w:t xml:space="preserve"> factor</w:t>
      </w:r>
      <w:r w:rsidR="00456E66">
        <w:t>; however, we understand it to be not o</w:t>
      </w:r>
      <w:r w:rsidR="008C531F">
        <w:t>nly</w:t>
      </w:r>
      <w:r w:rsidR="00456E66">
        <w:t xml:space="preserve"> </w:t>
      </w:r>
      <w:r w:rsidR="008C531F">
        <w:t>a</w:t>
      </w:r>
      <w:r w:rsidR="003966A8" w:rsidRPr="003966A8">
        <w:t xml:space="preserve"> means to commit</w:t>
      </w:r>
      <w:r w:rsidR="008C531F">
        <w:t xml:space="preserve">ting </w:t>
      </w:r>
      <w:r w:rsidR="003966A8" w:rsidRPr="003966A8">
        <w:t>the trafficking crime bu</w:t>
      </w:r>
      <w:r w:rsidR="008C531F">
        <w:t xml:space="preserve">t also </w:t>
      </w:r>
      <w:r w:rsidR="00456E66">
        <w:t>a key factor that</w:t>
      </w:r>
      <w:r w:rsidR="003966A8" w:rsidRPr="003966A8">
        <w:t xml:space="preserve"> perpetuat</w:t>
      </w:r>
      <w:r w:rsidR="00456E66">
        <w:t>es</w:t>
      </w:r>
      <w:r w:rsidR="003966A8" w:rsidRPr="003966A8">
        <w:t xml:space="preserve"> the vicious cycle</w:t>
      </w:r>
      <w:r w:rsidR="008C531F">
        <w:t xml:space="preserve"> of abuse </w:t>
      </w:r>
      <w:r w:rsidR="00634B7A">
        <w:t>to which</w:t>
      </w:r>
      <w:r w:rsidR="008C531F">
        <w:t xml:space="preserve"> victims are subjected</w:t>
      </w:r>
      <w:r w:rsidR="003966A8" w:rsidRPr="003966A8">
        <w:t>.</w:t>
      </w:r>
      <w:r w:rsidR="0070393B">
        <w:rPr>
          <w:rStyle w:val="FootnoteReference"/>
        </w:rPr>
        <w:footnoteReference w:id="6"/>
      </w:r>
      <w:r w:rsidR="008C531F">
        <w:t xml:space="preserve">  </w:t>
      </w:r>
      <w:r w:rsidR="00B62082">
        <w:t xml:space="preserve">As </w:t>
      </w:r>
      <w:r w:rsidR="009B1928">
        <w:t>expressed</w:t>
      </w:r>
      <w:r w:rsidR="00B62082">
        <w:t xml:space="preserve"> in our 2019 Statement, </w:t>
      </w:r>
      <w:r w:rsidR="00142D48">
        <w:t>p</w:t>
      </w:r>
      <w:r w:rsidR="008C531F" w:rsidRPr="008C531F">
        <w:t xml:space="preserve">ermitting (and even encouraging) the commercial sex industry legitimizes and therefore solidifies the bonds of </w:t>
      </w:r>
      <w:r w:rsidR="00B62082">
        <w:t xml:space="preserve">abuse, </w:t>
      </w:r>
      <w:r w:rsidR="008C531F" w:rsidRPr="008C531F">
        <w:t>domination and control that exist between pimps and women and girls in prostitution, not only legally but in public perceptions about trafficking in women and girls.</w:t>
      </w:r>
      <w:r w:rsidR="00142D48">
        <w:t xml:space="preserve">  In this context, t</w:t>
      </w:r>
      <w:r w:rsidR="00142D48" w:rsidRPr="008C531F">
        <w:t xml:space="preserve">raffickers and sex buyers cannot be held accountable if they are allowed to operate with legal impunity.  </w:t>
      </w:r>
    </w:p>
    <w:p w14:paraId="6B3C7D5D" w14:textId="77777777" w:rsidR="00FE119B" w:rsidRDefault="00FE119B" w:rsidP="008C531F"/>
    <w:p w14:paraId="0AA23674" w14:textId="77777777" w:rsidR="00900BEE" w:rsidRDefault="00900BEE" w:rsidP="00900BEE">
      <w:pPr>
        <w:pStyle w:val="Heading3"/>
      </w:pPr>
      <w:r>
        <w:t>Part IV (Root causes and discouraging the demand that fosters exploitation through trafficking)</w:t>
      </w:r>
    </w:p>
    <w:p w14:paraId="0C0FA648" w14:textId="77777777" w:rsidR="00900BEE" w:rsidRDefault="00900BEE" w:rsidP="00900BEE"/>
    <w:p w14:paraId="4F6ADD17" w14:textId="77777777" w:rsidR="00430347" w:rsidRDefault="009435C5" w:rsidP="00430347">
      <w:r>
        <w:t xml:space="preserve">We </w:t>
      </w:r>
      <w:r w:rsidR="008B1008">
        <w:t xml:space="preserve">affirm </w:t>
      </w:r>
      <w:r w:rsidR="00F76E4F">
        <w:t>the Committee</w:t>
      </w:r>
      <w:r w:rsidR="008B1008">
        <w:t>’s</w:t>
      </w:r>
      <w:r w:rsidR="00F76E4F">
        <w:t xml:space="preserve"> unequivocal </w:t>
      </w:r>
      <w:r w:rsidR="005A2BBD">
        <w:t>stat</w:t>
      </w:r>
      <w:r w:rsidR="008B1008">
        <w:t>ements in this Part</w:t>
      </w:r>
      <w:r w:rsidR="00F76E4F">
        <w:t xml:space="preserve"> that “</w:t>
      </w:r>
      <w:r w:rsidR="00F76E4F" w:rsidRPr="00430347">
        <w:rPr>
          <w:i/>
          <w:iCs/>
        </w:rPr>
        <w:t>w</w:t>
      </w:r>
      <w:r w:rsidR="00F76E4F" w:rsidRPr="00430347">
        <w:rPr>
          <w:bCs/>
          <w:i/>
          <w:iCs/>
        </w:rPr>
        <w:t>omen and girls are disproportionately affected by human trafficking</w:t>
      </w:r>
      <w:r w:rsidR="00F76E4F">
        <w:rPr>
          <w:bCs/>
        </w:rPr>
        <w:t>”</w:t>
      </w:r>
      <w:r w:rsidR="009D5C37">
        <w:rPr>
          <w:rStyle w:val="FootnoteReference"/>
          <w:bCs/>
        </w:rPr>
        <w:footnoteReference w:id="7"/>
      </w:r>
      <w:r w:rsidR="005A2BBD">
        <w:rPr>
          <w:bCs/>
        </w:rPr>
        <w:t xml:space="preserve"> </w:t>
      </w:r>
      <w:r w:rsidR="008B1008">
        <w:rPr>
          <w:bCs/>
        </w:rPr>
        <w:t>and that</w:t>
      </w:r>
      <w:r w:rsidR="00430347">
        <w:rPr>
          <w:bCs/>
        </w:rPr>
        <w:t xml:space="preserve"> </w:t>
      </w:r>
      <w:r w:rsidR="00430347">
        <w:t>“</w:t>
      </w:r>
      <w:r w:rsidR="00430347" w:rsidRPr="00430347">
        <w:rPr>
          <w:i/>
          <w:iCs/>
        </w:rPr>
        <w:t>trafficking in women is rooted in gender-based discrimination, gender-based structural inequality and the feminisation of poverty</w:t>
      </w:r>
      <w:r w:rsidR="008B1008">
        <w:t>.</w:t>
      </w:r>
      <w:r w:rsidR="00430347" w:rsidRPr="00430347">
        <w:t>”</w:t>
      </w:r>
      <w:r w:rsidR="00430347">
        <w:t xml:space="preserve">  </w:t>
      </w:r>
      <w:r w:rsidR="00245021">
        <w:rPr>
          <w:rFonts w:eastAsia="Calibri"/>
        </w:rPr>
        <w:t xml:space="preserve">As the Committee </w:t>
      </w:r>
      <w:r w:rsidR="00245021" w:rsidRPr="00445E1C">
        <w:rPr>
          <w:rFonts w:eastAsia="Calibri"/>
        </w:rPr>
        <w:t>recognize</w:t>
      </w:r>
      <w:r w:rsidR="00245021">
        <w:rPr>
          <w:rFonts w:eastAsia="Calibri"/>
        </w:rPr>
        <w:t>d in the Concept Note</w:t>
      </w:r>
      <w:r w:rsidR="00245021" w:rsidRPr="00445E1C">
        <w:rPr>
          <w:rFonts w:eastAsia="Calibri"/>
          <w:vertAlign w:val="superscript"/>
        </w:rPr>
        <w:footnoteReference w:id="8"/>
      </w:r>
      <w:r w:rsidR="00245021">
        <w:rPr>
          <w:rFonts w:eastAsia="Calibri"/>
        </w:rPr>
        <w:t xml:space="preserve"> and has reiterated throughout the </w:t>
      </w:r>
      <w:r w:rsidR="007723A1">
        <w:rPr>
          <w:rFonts w:eastAsia="Calibri"/>
        </w:rPr>
        <w:t xml:space="preserve">Draft </w:t>
      </w:r>
      <w:r w:rsidR="00245021">
        <w:rPr>
          <w:rFonts w:eastAsia="Calibri"/>
        </w:rPr>
        <w:t xml:space="preserve">General Recommendation, gendered ideological structures place women and girls in </w:t>
      </w:r>
      <w:r w:rsidR="00711874">
        <w:rPr>
          <w:rFonts w:eastAsia="Calibri"/>
        </w:rPr>
        <w:t xml:space="preserve">a </w:t>
      </w:r>
      <w:r w:rsidR="00245021">
        <w:rPr>
          <w:rFonts w:eastAsia="Calibri"/>
        </w:rPr>
        <w:t>situation of vulnerability that make</w:t>
      </w:r>
      <w:r w:rsidR="00711874">
        <w:rPr>
          <w:rFonts w:eastAsia="Calibri"/>
        </w:rPr>
        <w:t>s</w:t>
      </w:r>
      <w:r w:rsidR="00245021">
        <w:rPr>
          <w:rFonts w:eastAsia="Calibri"/>
        </w:rPr>
        <w:t xml:space="preserve"> them targets of</w:t>
      </w:r>
      <w:r w:rsidR="00245021" w:rsidRPr="00445E1C">
        <w:rPr>
          <w:rFonts w:eastAsia="Calibri"/>
        </w:rPr>
        <w:t xml:space="preserve"> exploiters </w:t>
      </w:r>
      <w:r w:rsidR="00245021">
        <w:rPr>
          <w:rFonts w:eastAsia="Calibri"/>
        </w:rPr>
        <w:t>and traffickers.</w:t>
      </w:r>
      <w:r w:rsidR="00245021">
        <w:rPr>
          <w:rStyle w:val="FootnoteReference"/>
          <w:rFonts w:eastAsia="Calibri"/>
        </w:rPr>
        <w:footnoteReference w:id="9"/>
      </w:r>
      <w:r w:rsidR="00245021">
        <w:rPr>
          <w:rFonts w:eastAsia="Calibri"/>
        </w:rPr>
        <w:t xml:space="preserve">  </w:t>
      </w:r>
    </w:p>
    <w:p w14:paraId="51B09964" w14:textId="77777777" w:rsidR="00430347" w:rsidRDefault="00430347" w:rsidP="00430347"/>
    <w:p w14:paraId="7EF96997" w14:textId="77777777" w:rsidR="009932E2" w:rsidRDefault="00245021" w:rsidP="00F5381C">
      <w:pPr>
        <w:rPr>
          <w:bCs/>
        </w:rPr>
      </w:pPr>
      <w:r>
        <w:rPr>
          <w:rFonts w:eastAsia="Calibri"/>
        </w:rPr>
        <w:t>As the Committee recognizes</w:t>
      </w:r>
      <w:r w:rsidR="00E838A5">
        <w:rPr>
          <w:rFonts w:eastAsia="Calibri"/>
        </w:rPr>
        <w:t xml:space="preserve">, </w:t>
      </w:r>
      <w:r>
        <w:rPr>
          <w:rFonts w:eastAsia="Calibri"/>
        </w:rPr>
        <w:t xml:space="preserve">94% of those trafficked for sexual exploitation </w:t>
      </w:r>
      <w:r w:rsidR="00F73DC3">
        <w:rPr>
          <w:rFonts w:eastAsia="Calibri"/>
        </w:rPr>
        <w:t xml:space="preserve">in 2016 </w:t>
      </w:r>
      <w:r>
        <w:rPr>
          <w:rFonts w:eastAsia="Calibri"/>
        </w:rPr>
        <w:t>were women and girls.</w:t>
      </w:r>
      <w:r w:rsidR="00E838A5">
        <w:rPr>
          <w:rStyle w:val="FootnoteReference"/>
          <w:rFonts w:eastAsia="Calibri"/>
        </w:rPr>
        <w:footnoteReference w:id="10"/>
      </w:r>
      <w:r>
        <w:rPr>
          <w:rFonts w:eastAsia="Calibri"/>
        </w:rPr>
        <w:t xml:space="preserve">  T</w:t>
      </w:r>
      <w:r w:rsidR="00971FB3">
        <w:rPr>
          <w:rFonts w:eastAsia="Calibri"/>
        </w:rPr>
        <w:t xml:space="preserve">he commercial sex industry perpetuates the gender discrimination and violence that is at the root of trafficking. </w:t>
      </w:r>
      <w:r>
        <w:rPr>
          <w:rFonts w:eastAsia="Calibri"/>
        </w:rPr>
        <w:t xml:space="preserve"> </w:t>
      </w:r>
      <w:r w:rsidR="00971FB3" w:rsidRPr="00445E1C">
        <w:rPr>
          <w:rFonts w:eastAsia="Calibri"/>
        </w:rPr>
        <w:t>The commercial sex industry and its buyers subscribe to a gendered ideological system, complete with stereotypes that support the feeling of male superiority over and ownership of women and the commodification of female bodies.</w:t>
      </w:r>
      <w:r w:rsidR="00971FB3" w:rsidRPr="00445E1C">
        <w:rPr>
          <w:rFonts w:eastAsia="Calibri"/>
          <w:vertAlign w:val="superscript"/>
        </w:rPr>
        <w:footnoteReference w:id="11"/>
      </w:r>
      <w:r w:rsidR="00971FB3" w:rsidRPr="00445E1C">
        <w:rPr>
          <w:rFonts w:eastAsia="Calibri"/>
        </w:rPr>
        <w:t xml:space="preserve"> </w:t>
      </w:r>
      <w:r w:rsidR="00971FB3" w:rsidRPr="00F76E4F">
        <w:rPr>
          <w:bCs/>
        </w:rPr>
        <w:t xml:space="preserve"> As the Concept Note acknowledge</w:t>
      </w:r>
      <w:r w:rsidR="00971FB3">
        <w:rPr>
          <w:bCs/>
        </w:rPr>
        <w:t>d</w:t>
      </w:r>
      <w:r w:rsidR="00971FB3" w:rsidRPr="00F76E4F">
        <w:rPr>
          <w:bCs/>
        </w:rPr>
        <w:t>, th</w:t>
      </w:r>
      <w:r w:rsidR="00971FB3">
        <w:rPr>
          <w:bCs/>
        </w:rPr>
        <w:t>is</w:t>
      </w:r>
      <w:r w:rsidR="00971FB3" w:rsidRPr="00F76E4F">
        <w:rPr>
          <w:bCs/>
        </w:rPr>
        <w:t xml:space="preserve"> system reinforces gender norms and stereotypical thinking regarding “</w:t>
      </w:r>
      <w:r w:rsidR="00971FB3" w:rsidRPr="00142D48">
        <w:rPr>
          <w:bCs/>
          <w:i/>
          <w:iCs/>
        </w:rPr>
        <w:t>male domination, sexual entitlement, coercion and control which drive the demand for the gender-stereotyped services</w:t>
      </w:r>
      <w:r w:rsidR="00971FB3" w:rsidRPr="00F76E4F">
        <w:rPr>
          <w:bCs/>
        </w:rPr>
        <w:t xml:space="preserve">” of those who are trafficked, including those who are exploited in </w:t>
      </w:r>
      <w:r w:rsidR="00971FB3" w:rsidRPr="00F76E4F">
        <w:rPr>
          <w:bCs/>
        </w:rPr>
        <w:lastRenderedPageBreak/>
        <w:t>prostitutio</w:t>
      </w:r>
      <w:r w:rsidR="00F5381C">
        <w:rPr>
          <w:bCs/>
        </w:rPr>
        <w:t>n,</w:t>
      </w:r>
      <w:r w:rsidR="00142D48" w:rsidRPr="00445E1C">
        <w:rPr>
          <w:rFonts w:eastAsia="Calibri"/>
          <w:vertAlign w:val="superscript"/>
        </w:rPr>
        <w:footnoteReference w:id="12"/>
      </w:r>
      <w:r w:rsidR="00F5381C">
        <w:rPr>
          <w:bCs/>
        </w:rPr>
        <w:t xml:space="preserve"> and also leads to an “</w:t>
      </w:r>
      <w:r w:rsidR="00F5381C" w:rsidRPr="00F5381C">
        <w:rPr>
          <w:bCs/>
          <w:i/>
          <w:iCs/>
        </w:rPr>
        <w:t>acceptance and normalization of gender-based violence against women</w:t>
      </w:r>
      <w:r w:rsidR="00F5381C">
        <w:rPr>
          <w:bCs/>
        </w:rPr>
        <w:t>.</w:t>
      </w:r>
      <w:r w:rsidR="00F5381C" w:rsidRPr="00F5381C">
        <w:rPr>
          <w:bCs/>
        </w:rPr>
        <w:t>”</w:t>
      </w:r>
      <w:r w:rsidR="00F5381C">
        <w:rPr>
          <w:rStyle w:val="FootnoteReference"/>
          <w:bCs/>
        </w:rPr>
        <w:footnoteReference w:id="13"/>
      </w:r>
      <w:r w:rsidR="00F5381C" w:rsidRPr="00F5381C">
        <w:rPr>
          <w:bCs/>
        </w:rPr>
        <w:t xml:space="preserve"> </w:t>
      </w:r>
      <w:r>
        <w:rPr>
          <w:bCs/>
        </w:rPr>
        <w:t xml:space="preserve"> </w:t>
      </w:r>
    </w:p>
    <w:p w14:paraId="4154C502" w14:textId="77777777" w:rsidR="009932E2" w:rsidRDefault="009932E2" w:rsidP="00430347">
      <w:pPr>
        <w:rPr>
          <w:bCs/>
        </w:rPr>
      </w:pPr>
    </w:p>
    <w:p w14:paraId="6C16C101" w14:textId="77777777" w:rsidR="00971FB3" w:rsidRDefault="00245021" w:rsidP="00430347">
      <w:r>
        <w:rPr>
          <w:bCs/>
        </w:rPr>
        <w:t>Therefore, we</w:t>
      </w:r>
      <w:r w:rsidR="00971FB3">
        <w:rPr>
          <w:bCs/>
        </w:rPr>
        <w:t xml:space="preserve"> </w:t>
      </w:r>
      <w:r w:rsidR="00142D48">
        <w:rPr>
          <w:bCs/>
        </w:rPr>
        <w:t xml:space="preserve">agree with the Committee’s </w:t>
      </w:r>
      <w:r>
        <w:rPr>
          <w:bCs/>
        </w:rPr>
        <w:t xml:space="preserve">statement </w:t>
      </w:r>
      <w:r w:rsidR="00142D48">
        <w:rPr>
          <w:bCs/>
        </w:rPr>
        <w:t xml:space="preserve">that </w:t>
      </w:r>
      <w:r w:rsidR="00202CF5">
        <w:rPr>
          <w:bCs/>
        </w:rPr>
        <w:t xml:space="preserve">a </w:t>
      </w:r>
      <w:r w:rsidR="00971FB3">
        <w:rPr>
          <w:bCs/>
        </w:rPr>
        <w:t>“</w:t>
      </w:r>
      <w:r w:rsidR="00971FB3" w:rsidRPr="00971FB3">
        <w:rPr>
          <w:i/>
          <w:iCs/>
        </w:rPr>
        <w:t>gender-transformative approach is required to dismantle the structural and systemic conditions that deprive women and girls of their fundamental rights, the consequence of which places them in situations of vulnerability to exploitation by traffickers</w:t>
      </w:r>
      <w:r w:rsidR="00971FB3" w:rsidRPr="00971FB3">
        <w:t>.”</w:t>
      </w:r>
      <w:r w:rsidR="00142D48">
        <w:rPr>
          <w:rStyle w:val="FootnoteReference"/>
        </w:rPr>
        <w:footnoteReference w:id="14"/>
      </w:r>
      <w:r w:rsidR="0012702F">
        <w:t xml:space="preserve">  </w:t>
      </w:r>
      <w:r w:rsidR="00246067" w:rsidRPr="00A255CB">
        <w:t>S</w:t>
      </w:r>
      <w:r w:rsidR="009A5D90" w:rsidRPr="00245954">
        <w:t>uch an</w:t>
      </w:r>
      <w:r w:rsidR="00F9225E" w:rsidRPr="00245954">
        <w:t xml:space="preserve"> approach</w:t>
      </w:r>
      <w:r w:rsidR="00246067" w:rsidRPr="00A255CB">
        <w:t xml:space="preserve"> must address gender-based discrimination and violence, as well as the demand that drives the exploitation of </w:t>
      </w:r>
      <w:r w:rsidR="009A0617">
        <w:t xml:space="preserve">the </w:t>
      </w:r>
      <w:r w:rsidR="00246067" w:rsidRPr="00A255CB">
        <w:t>prostitution of women</w:t>
      </w:r>
      <w:r w:rsidR="00F9225E" w:rsidRPr="00245954">
        <w:t xml:space="preserve">, </w:t>
      </w:r>
      <w:r w:rsidR="00246067" w:rsidRPr="00A255CB">
        <w:t xml:space="preserve">all of which are </w:t>
      </w:r>
      <w:r w:rsidR="00F9225E" w:rsidRPr="00245954">
        <w:t>perpetuated and promoted by the</w:t>
      </w:r>
      <w:r w:rsidR="00246067" w:rsidRPr="00A255CB">
        <w:t xml:space="preserve"> commercial</w:t>
      </w:r>
      <w:r w:rsidR="00F9225E" w:rsidRPr="00245954">
        <w:t xml:space="preserve"> sex industry</w:t>
      </w:r>
      <w:r w:rsidR="00246067" w:rsidRPr="00A255CB">
        <w:t xml:space="preserve">.  Addressing these pervasive issues is </w:t>
      </w:r>
      <w:r w:rsidR="00245954" w:rsidRPr="00A255CB">
        <w:t xml:space="preserve">a </w:t>
      </w:r>
      <w:r w:rsidR="00246067" w:rsidRPr="00A255CB">
        <w:t xml:space="preserve">crucial </w:t>
      </w:r>
      <w:r w:rsidR="00245954" w:rsidRPr="00A255CB">
        <w:t>step in</w:t>
      </w:r>
      <w:r w:rsidR="00F9225E" w:rsidRPr="00245954">
        <w:t xml:space="preserve"> </w:t>
      </w:r>
      <w:r w:rsidR="00890481" w:rsidRPr="00A255CB">
        <w:t>the</w:t>
      </w:r>
      <w:r w:rsidR="00F9225E" w:rsidRPr="00245954">
        <w:t xml:space="preserve"> elimination of the sexual exploitation of women and girls</w:t>
      </w:r>
      <w:r w:rsidR="00C43FD0" w:rsidRPr="00245954">
        <w:t>.</w:t>
      </w:r>
      <w:r w:rsidR="00C43FD0" w:rsidRPr="00245954">
        <w:rPr>
          <w:rStyle w:val="FootnoteReference"/>
        </w:rPr>
        <w:footnoteReference w:id="15"/>
      </w:r>
      <w:r>
        <w:t xml:space="preserve"> </w:t>
      </w:r>
      <w:r w:rsidR="00C43FD0">
        <w:t xml:space="preserve">  </w:t>
      </w:r>
    </w:p>
    <w:p w14:paraId="3FF7370E" w14:textId="77777777" w:rsidR="00CA4A2D" w:rsidRDefault="00CA4A2D" w:rsidP="00430347"/>
    <w:p w14:paraId="0A07D8F3" w14:textId="78FA2BD5" w:rsidR="00164377" w:rsidRDefault="00245021" w:rsidP="00101728">
      <w:pPr>
        <w:rPr>
          <w:rFonts w:eastAsia="Calibri"/>
        </w:rPr>
      </w:pPr>
      <w:r>
        <w:rPr>
          <w:rFonts w:eastAsia="Calibri"/>
        </w:rPr>
        <w:t>In addition, a</w:t>
      </w:r>
      <w:r w:rsidR="00164377">
        <w:rPr>
          <w:rFonts w:eastAsia="Calibri"/>
        </w:rPr>
        <w:t xml:space="preserve">s the </w:t>
      </w:r>
      <w:r w:rsidR="007723A1" w:rsidRPr="007723A1">
        <w:rPr>
          <w:rFonts w:eastAsia="Calibri"/>
        </w:rPr>
        <w:t xml:space="preserve">Draft </w:t>
      </w:r>
      <w:r w:rsidR="00164377">
        <w:rPr>
          <w:rFonts w:eastAsia="Calibri"/>
        </w:rPr>
        <w:t xml:space="preserve">General Recommendation makes clear, </w:t>
      </w:r>
      <w:r w:rsidR="003F1E8B" w:rsidRPr="00164377">
        <w:rPr>
          <w:rFonts w:eastAsia="Calibri"/>
        </w:rPr>
        <w:t xml:space="preserve">women </w:t>
      </w:r>
      <w:r w:rsidR="003F1E8B">
        <w:rPr>
          <w:rFonts w:eastAsia="Calibri"/>
        </w:rPr>
        <w:t xml:space="preserve">and girls </w:t>
      </w:r>
      <w:r w:rsidR="003F1E8B" w:rsidRPr="00164377">
        <w:rPr>
          <w:rFonts w:eastAsia="Calibri"/>
        </w:rPr>
        <w:t>who migrate</w:t>
      </w:r>
      <w:r w:rsidR="002B5A6C">
        <w:rPr>
          <w:rFonts w:eastAsia="Calibri"/>
        </w:rPr>
        <w:t>, either forcibly or by choice,</w:t>
      </w:r>
      <w:r w:rsidR="003F1E8B" w:rsidRPr="00164377">
        <w:rPr>
          <w:rFonts w:eastAsia="Calibri"/>
        </w:rPr>
        <w:t xml:space="preserve"> are particularly vulnerable to</w:t>
      </w:r>
      <w:r w:rsidR="003F1E8B">
        <w:rPr>
          <w:rFonts w:eastAsia="Calibri"/>
        </w:rPr>
        <w:t xml:space="preserve"> traffick</w:t>
      </w:r>
      <w:r w:rsidR="009A5D90">
        <w:rPr>
          <w:rFonts w:eastAsia="Calibri"/>
        </w:rPr>
        <w:t>ing an</w:t>
      </w:r>
      <w:r w:rsidR="003F1E8B">
        <w:rPr>
          <w:rFonts w:eastAsia="Calibri"/>
        </w:rPr>
        <w:t>d</w:t>
      </w:r>
      <w:r w:rsidR="003F1E8B" w:rsidRPr="00164377">
        <w:rPr>
          <w:rFonts w:eastAsia="Calibri"/>
        </w:rPr>
        <w:t xml:space="preserve"> exploit</w:t>
      </w:r>
      <w:r w:rsidR="009A5D90">
        <w:rPr>
          <w:rFonts w:eastAsia="Calibri"/>
        </w:rPr>
        <w:t>ation.</w:t>
      </w:r>
      <w:r w:rsidR="009A5D90">
        <w:rPr>
          <w:rStyle w:val="FootnoteReference"/>
          <w:rFonts w:eastAsia="Calibri"/>
        </w:rPr>
        <w:footnoteReference w:id="16"/>
      </w:r>
      <w:r w:rsidR="002B5A6C">
        <w:rPr>
          <w:rFonts w:eastAsia="Calibri"/>
        </w:rPr>
        <w:t xml:space="preserve">  At a time of </w:t>
      </w:r>
      <w:r w:rsidR="002B5A6C" w:rsidRPr="002B5A6C">
        <w:rPr>
          <w:rFonts w:eastAsia="Calibri"/>
        </w:rPr>
        <w:t xml:space="preserve">unprecedented global and internal migration flows, </w:t>
      </w:r>
      <w:r w:rsidR="002B5A6C">
        <w:rPr>
          <w:rFonts w:eastAsia="Calibri"/>
        </w:rPr>
        <w:t xml:space="preserve">while the legal frameworks of trafficking and migration </w:t>
      </w:r>
      <w:r w:rsidR="00AD76EE">
        <w:rPr>
          <w:rFonts w:eastAsia="Calibri"/>
        </w:rPr>
        <w:t>may be</w:t>
      </w:r>
      <w:r w:rsidR="002B5A6C">
        <w:rPr>
          <w:rFonts w:eastAsia="Calibri"/>
        </w:rPr>
        <w:t xml:space="preserve"> separate, </w:t>
      </w:r>
      <w:r w:rsidR="00AD76EE">
        <w:rPr>
          <w:rFonts w:eastAsia="Calibri"/>
        </w:rPr>
        <w:t>we highlight the Committee’s role in ensuring that</w:t>
      </w:r>
      <w:r w:rsidR="00746D42">
        <w:rPr>
          <w:rFonts w:eastAsia="Calibri"/>
        </w:rPr>
        <w:t xml:space="preserve"> States parties “</w:t>
      </w:r>
      <w:r w:rsidR="00746D42" w:rsidRPr="00746D42">
        <w:rPr>
          <w:rFonts w:eastAsia="Calibri"/>
          <w:i/>
          <w:iCs/>
        </w:rPr>
        <w:t xml:space="preserve">address the </w:t>
      </w:r>
      <w:r w:rsidR="00746D42" w:rsidRPr="00746D42">
        <w:rPr>
          <w:rFonts w:eastAsia="Calibri"/>
        </w:rPr>
        <w:t>[trafficking]</w:t>
      </w:r>
      <w:r w:rsidR="00746D42" w:rsidRPr="00746D42">
        <w:rPr>
          <w:rFonts w:eastAsia="Calibri"/>
          <w:i/>
          <w:iCs/>
        </w:rPr>
        <w:t xml:space="preserve"> phenomenon not only from a criminal justice framework but also as one that respects, protects and fulfills the human rights of persons who are most vulnerable to trafficking, its victims</w:t>
      </w:r>
      <w:r w:rsidR="00746D42">
        <w:rPr>
          <w:rFonts w:eastAsia="Calibri"/>
        </w:rPr>
        <w:t>”</w:t>
      </w:r>
      <w:r w:rsidR="00746D42">
        <w:rPr>
          <w:rStyle w:val="FootnoteReference"/>
          <w:rFonts w:eastAsia="Calibri"/>
        </w:rPr>
        <w:footnoteReference w:id="17"/>
      </w:r>
      <w:r w:rsidR="00101728">
        <w:rPr>
          <w:rFonts w:eastAsia="Calibri"/>
        </w:rPr>
        <w:t xml:space="preserve"> and that migrant women and girls have enhanced “</w:t>
      </w:r>
      <w:r w:rsidR="00101728" w:rsidRPr="00101728">
        <w:rPr>
          <w:rFonts w:eastAsia="Calibri"/>
          <w:i/>
          <w:iCs/>
        </w:rPr>
        <w:t>access to justice mechanisms to resolve complaints of exploitation and abuse</w:t>
      </w:r>
      <w:r w:rsidR="00101728">
        <w:rPr>
          <w:rFonts w:eastAsia="Calibri"/>
        </w:rPr>
        <w:t>,”</w:t>
      </w:r>
      <w:r w:rsidR="00101728">
        <w:rPr>
          <w:rStyle w:val="FootnoteReference"/>
          <w:rFonts w:eastAsia="Calibri"/>
        </w:rPr>
        <w:footnoteReference w:id="18"/>
      </w:r>
      <w:r w:rsidR="00101728">
        <w:rPr>
          <w:rFonts w:eastAsia="Calibri"/>
        </w:rPr>
        <w:t xml:space="preserve"> as well as protection, legal services</w:t>
      </w:r>
      <w:r w:rsidR="003B6FF3">
        <w:rPr>
          <w:rFonts w:eastAsia="Calibri"/>
        </w:rPr>
        <w:t>,</w:t>
      </w:r>
      <w:r w:rsidR="00101728">
        <w:rPr>
          <w:rFonts w:eastAsia="Calibri"/>
        </w:rPr>
        <w:t xml:space="preserve"> and immigration relief</w:t>
      </w:r>
      <w:r w:rsidR="002E7726">
        <w:rPr>
          <w:rFonts w:eastAsia="Calibri"/>
        </w:rPr>
        <w:t>,</w:t>
      </w:r>
      <w:r w:rsidR="00101728">
        <w:rPr>
          <w:rFonts w:eastAsia="Calibri"/>
        </w:rPr>
        <w:t xml:space="preserve"> such as asylum</w:t>
      </w:r>
      <w:r w:rsidR="00AD76EE">
        <w:rPr>
          <w:rFonts w:eastAsia="Calibri"/>
        </w:rPr>
        <w:t>.</w:t>
      </w:r>
    </w:p>
    <w:p w14:paraId="6A1A92FA" w14:textId="77777777" w:rsidR="009D5C37" w:rsidRDefault="009D5C37" w:rsidP="00900BEE">
      <w:pPr>
        <w:rPr>
          <w:highlight w:val="yellow"/>
        </w:rPr>
      </w:pPr>
    </w:p>
    <w:p w14:paraId="18858393" w14:textId="3070924D" w:rsidR="00900BEE" w:rsidRDefault="00183AF8" w:rsidP="00900BEE">
      <w:r>
        <w:t xml:space="preserve">Finally, we </w:t>
      </w:r>
      <w:r w:rsidR="009A5D90">
        <w:t>share</w:t>
      </w:r>
      <w:r>
        <w:t xml:space="preserve"> the Committee’s recommendation that </w:t>
      </w:r>
      <w:r w:rsidR="009F422F">
        <w:t>States parties “</w:t>
      </w:r>
      <w:r w:rsidR="009F422F" w:rsidRPr="00A255CB">
        <w:rPr>
          <w:i/>
        </w:rPr>
        <w:t>ensure women’s meaningful participation in trafficking prevention efforts.</w:t>
      </w:r>
      <w:r w:rsidR="009F422F">
        <w:t>”</w:t>
      </w:r>
      <w:r w:rsidR="009F422F">
        <w:rPr>
          <w:rStyle w:val="FootnoteReference"/>
        </w:rPr>
        <w:footnoteReference w:id="19"/>
      </w:r>
      <w:r w:rsidR="004D6935">
        <w:t xml:space="preserve">  </w:t>
      </w:r>
      <w:r w:rsidR="00813956">
        <w:t xml:space="preserve">We believe that it </w:t>
      </w:r>
      <w:r w:rsidR="00294097">
        <w:t xml:space="preserve">is </w:t>
      </w:r>
      <w:r w:rsidR="00813956">
        <w:t>crucial to have t</w:t>
      </w:r>
      <w:r w:rsidR="004D6935" w:rsidRPr="004D6935">
        <w:t xml:space="preserve">he experiences of survivors of trafficking </w:t>
      </w:r>
      <w:r w:rsidR="00813956">
        <w:t>inform</w:t>
      </w:r>
      <w:r w:rsidR="004D6935" w:rsidRPr="004D6935">
        <w:t xml:space="preserve"> any measures </w:t>
      </w:r>
      <w:r w:rsidR="00813956">
        <w:t>and efforts aimed at</w:t>
      </w:r>
      <w:r w:rsidR="004D6935" w:rsidRPr="004D6935">
        <w:t xml:space="preserve"> address</w:t>
      </w:r>
      <w:r w:rsidR="00813956">
        <w:t>ing</w:t>
      </w:r>
      <w:r w:rsidR="004D6935" w:rsidRPr="004D6935">
        <w:t xml:space="preserve"> </w:t>
      </w:r>
      <w:r w:rsidR="00813956">
        <w:t>this global phenomenon.</w:t>
      </w:r>
      <w:r w:rsidR="004D6935" w:rsidRPr="004D6935">
        <w:t xml:space="preserve">  </w:t>
      </w:r>
    </w:p>
    <w:p w14:paraId="55155074" w14:textId="77777777" w:rsidR="00183AF8" w:rsidRDefault="00183AF8" w:rsidP="00900BEE"/>
    <w:p w14:paraId="2DBC58DE" w14:textId="77777777" w:rsidR="00900BEE" w:rsidRDefault="00900BEE" w:rsidP="00900BEE">
      <w:pPr>
        <w:pStyle w:val="Heading3"/>
      </w:pPr>
      <w:r>
        <w:t>Part V (Victim identification, assistance and protection)</w:t>
      </w:r>
      <w:r w:rsidR="00CB4665">
        <w:t xml:space="preserve">, Part VI (Victims’ access to justice) </w:t>
      </w:r>
      <w:r w:rsidR="00A131BF">
        <w:t xml:space="preserve">&amp; </w:t>
      </w:r>
      <w:r w:rsidR="00CB4665">
        <w:t>Part VII (Dissemination and reporting)</w:t>
      </w:r>
    </w:p>
    <w:p w14:paraId="2DAA179D" w14:textId="77777777" w:rsidR="00900BEE" w:rsidRDefault="00900BEE" w:rsidP="00900BEE"/>
    <w:p w14:paraId="7158A924" w14:textId="7B8141C5" w:rsidR="00900BEE" w:rsidRDefault="00101728" w:rsidP="00900BEE">
      <w:r w:rsidRPr="00101728">
        <w:t xml:space="preserve">We </w:t>
      </w:r>
      <w:r>
        <w:t xml:space="preserve">appreciate the Committee’s </w:t>
      </w:r>
      <w:r w:rsidR="00294097">
        <w:t>recognition</w:t>
      </w:r>
      <w:r>
        <w:t xml:space="preserve"> </w:t>
      </w:r>
      <w:r w:rsidR="00294097">
        <w:t xml:space="preserve">of </w:t>
      </w:r>
      <w:r>
        <w:t>the challenges in identifying the victims of sexual exploitation and trafficking</w:t>
      </w:r>
      <w:r w:rsidR="0021521E">
        <w:t>,</w:t>
      </w:r>
      <w:r w:rsidR="0035719F">
        <w:rPr>
          <w:rStyle w:val="FootnoteReference"/>
        </w:rPr>
        <w:footnoteReference w:id="20"/>
      </w:r>
      <w:r w:rsidR="0021521E">
        <w:t xml:space="preserve"> as well as the </w:t>
      </w:r>
      <w:r w:rsidR="00A255CB">
        <w:t xml:space="preserve">barriers </w:t>
      </w:r>
      <w:r w:rsidR="0021521E">
        <w:t>victims, particularly migrant victims, face in accessing health care</w:t>
      </w:r>
      <w:r w:rsidR="00CB4665">
        <w:t>.</w:t>
      </w:r>
      <w:r w:rsidR="00CB4665">
        <w:rPr>
          <w:rStyle w:val="FootnoteReference"/>
        </w:rPr>
        <w:footnoteReference w:id="21"/>
      </w:r>
      <w:r w:rsidR="0021521E">
        <w:t xml:space="preserve">   </w:t>
      </w:r>
    </w:p>
    <w:p w14:paraId="32910716" w14:textId="28C51D73" w:rsidR="00F131D3" w:rsidRDefault="002E7726" w:rsidP="00900BEE">
      <w:pPr>
        <w:rPr>
          <w:rFonts w:eastAsia="Calibri"/>
        </w:rPr>
      </w:pPr>
      <w:r>
        <w:lastRenderedPageBreak/>
        <w:t xml:space="preserve">Moreover, </w:t>
      </w:r>
      <w:r w:rsidR="00CB4665">
        <w:t>victims</w:t>
      </w:r>
      <w:r w:rsidR="00786706">
        <w:t xml:space="preserve"> often</w:t>
      </w:r>
      <w:r w:rsidR="00CB4665">
        <w:t xml:space="preserve"> face uphill battles regarding </w:t>
      </w:r>
      <w:r w:rsidR="00CB4665" w:rsidRPr="00445E1C">
        <w:rPr>
          <w:rFonts w:eastAsia="Calibri"/>
        </w:rPr>
        <w:t xml:space="preserve">access to justice and </w:t>
      </w:r>
      <w:r w:rsidR="00F131D3">
        <w:rPr>
          <w:rFonts w:eastAsia="Calibri"/>
        </w:rPr>
        <w:t>necessary</w:t>
      </w:r>
      <w:r w:rsidR="00F131D3" w:rsidRPr="00445E1C">
        <w:rPr>
          <w:rFonts w:eastAsia="Calibri"/>
        </w:rPr>
        <w:t xml:space="preserve"> services to escape violence and build stable lives free from exploitation</w:t>
      </w:r>
      <w:r w:rsidR="00CB4665">
        <w:rPr>
          <w:rFonts w:eastAsia="Calibri"/>
        </w:rPr>
        <w:t xml:space="preserve">. </w:t>
      </w:r>
      <w:r w:rsidR="00E56E79">
        <w:rPr>
          <w:rFonts w:eastAsia="Calibri"/>
        </w:rPr>
        <w:t xml:space="preserve"> </w:t>
      </w:r>
      <w:r w:rsidR="00F131D3">
        <w:rPr>
          <w:rFonts w:eastAsia="Calibri"/>
        </w:rPr>
        <w:t>We commend the Committee’s call for the elimination of</w:t>
      </w:r>
      <w:r w:rsidR="00F131D3" w:rsidRPr="00F131D3">
        <w:rPr>
          <w:rFonts w:eastAsia="Calibri"/>
        </w:rPr>
        <w:t xml:space="preserve"> </w:t>
      </w:r>
      <w:r w:rsidR="00F131D3">
        <w:rPr>
          <w:rFonts w:eastAsia="Calibri"/>
        </w:rPr>
        <w:t>“</w:t>
      </w:r>
      <w:r w:rsidR="00F131D3" w:rsidRPr="00F131D3">
        <w:rPr>
          <w:rFonts w:eastAsia="Calibri"/>
          <w:i/>
          <w:iCs/>
        </w:rPr>
        <w:t xml:space="preserve">gender stereotyping in the justice system </w:t>
      </w:r>
      <w:r w:rsidR="00F131D3" w:rsidRPr="00F131D3">
        <w:rPr>
          <w:rFonts w:eastAsia="Calibri"/>
        </w:rPr>
        <w:t>[as]</w:t>
      </w:r>
      <w:r w:rsidR="00F131D3" w:rsidRPr="00F131D3">
        <w:rPr>
          <w:rFonts w:eastAsia="Calibri"/>
          <w:i/>
          <w:iCs/>
        </w:rPr>
        <w:t xml:space="preserve"> a crucial step in ensuring equality and justice for victims of trafficking</w:t>
      </w:r>
      <w:r w:rsidR="00F131D3">
        <w:rPr>
          <w:rFonts w:eastAsia="Calibri"/>
          <w:i/>
          <w:iCs/>
        </w:rPr>
        <w:t>.</w:t>
      </w:r>
      <w:r w:rsidR="00F131D3" w:rsidRPr="00F131D3">
        <w:rPr>
          <w:rFonts w:eastAsia="Calibri"/>
        </w:rPr>
        <w:t>”</w:t>
      </w:r>
      <w:r w:rsidR="00F131D3">
        <w:rPr>
          <w:rStyle w:val="FootnoteReference"/>
          <w:rFonts w:eastAsia="Calibri"/>
        </w:rPr>
        <w:footnoteReference w:id="22"/>
      </w:r>
      <w:r w:rsidR="00F131D3">
        <w:rPr>
          <w:rFonts w:eastAsia="Calibri"/>
        </w:rPr>
        <w:t xml:space="preserve">  While we agree with the Committee’s view that s</w:t>
      </w:r>
      <w:r w:rsidR="00F131D3" w:rsidRPr="00F131D3">
        <w:rPr>
          <w:rFonts w:eastAsia="Calibri"/>
        </w:rPr>
        <w:t xml:space="preserve">tereotyping </w:t>
      </w:r>
      <w:r w:rsidR="00F131D3">
        <w:rPr>
          <w:rFonts w:eastAsia="Calibri"/>
        </w:rPr>
        <w:t>“</w:t>
      </w:r>
      <w:r w:rsidR="00F131D3" w:rsidRPr="00F131D3">
        <w:rPr>
          <w:rFonts w:eastAsia="Calibri"/>
          <w:i/>
          <w:iCs/>
        </w:rPr>
        <w:t>compromises the impartiality and integrity of the justice system, which can, in turn, lead to miscarriages of justice preventing women from claiming their rights and access to effective remedies</w:t>
      </w:r>
      <w:r w:rsidR="00C85F6F">
        <w:rPr>
          <w:rFonts w:eastAsia="Calibri"/>
          <w:iCs/>
        </w:rPr>
        <w:t>,</w:t>
      </w:r>
      <w:r w:rsidR="00F131D3">
        <w:rPr>
          <w:rFonts w:eastAsia="Calibri"/>
        </w:rPr>
        <w:t>”</w:t>
      </w:r>
      <w:r w:rsidR="00F131D3">
        <w:rPr>
          <w:rStyle w:val="FootnoteReference"/>
          <w:rFonts w:eastAsia="Calibri"/>
        </w:rPr>
        <w:footnoteReference w:id="23"/>
      </w:r>
      <w:r w:rsidR="00F131D3">
        <w:rPr>
          <w:rFonts w:eastAsia="Calibri"/>
        </w:rPr>
        <w:t xml:space="preserve"> we </w:t>
      </w:r>
      <w:r w:rsidR="00694E99">
        <w:rPr>
          <w:rFonts w:eastAsia="Calibri"/>
        </w:rPr>
        <w:t xml:space="preserve">also note </w:t>
      </w:r>
      <w:r w:rsidR="00F131D3">
        <w:rPr>
          <w:rFonts w:eastAsia="Calibri"/>
        </w:rPr>
        <w:t xml:space="preserve">that systemic stereotyping </w:t>
      </w:r>
      <w:r w:rsidR="00F131D3" w:rsidRPr="00F131D3">
        <w:rPr>
          <w:rFonts w:eastAsia="Calibri"/>
        </w:rPr>
        <w:t>discourages women</w:t>
      </w:r>
      <w:r w:rsidR="00F131D3">
        <w:rPr>
          <w:rFonts w:eastAsia="Calibri"/>
        </w:rPr>
        <w:t xml:space="preserve"> </w:t>
      </w:r>
      <w:r w:rsidR="00F131D3" w:rsidRPr="00F131D3">
        <w:rPr>
          <w:rFonts w:eastAsia="Calibri"/>
        </w:rPr>
        <w:t>from coming forward</w:t>
      </w:r>
      <w:r w:rsidR="00F131D3">
        <w:rPr>
          <w:rFonts w:eastAsia="Calibri"/>
        </w:rPr>
        <w:t xml:space="preserve"> </w:t>
      </w:r>
      <w:r w:rsidR="009218D6">
        <w:rPr>
          <w:rFonts w:eastAsia="Calibri"/>
        </w:rPr>
        <w:t xml:space="preserve">before judicial and quasi-judicial mechanisms </w:t>
      </w:r>
      <w:r w:rsidR="00F131D3">
        <w:rPr>
          <w:rFonts w:eastAsia="Calibri"/>
        </w:rPr>
        <w:t>to tell their stories</w:t>
      </w:r>
      <w:r w:rsidR="00F131D3" w:rsidRPr="00F131D3">
        <w:rPr>
          <w:rFonts w:eastAsia="Calibri"/>
        </w:rPr>
        <w:t xml:space="preserve">, thus perpetuating the vicious </w:t>
      </w:r>
      <w:r w:rsidR="00F131D3">
        <w:rPr>
          <w:rFonts w:eastAsia="Calibri"/>
        </w:rPr>
        <w:t xml:space="preserve">trafficking </w:t>
      </w:r>
      <w:r w:rsidR="00F131D3" w:rsidRPr="00F131D3">
        <w:rPr>
          <w:rFonts w:eastAsia="Calibri"/>
        </w:rPr>
        <w:t>cycle</w:t>
      </w:r>
      <w:r w:rsidR="00F131D3">
        <w:rPr>
          <w:rFonts w:eastAsia="Calibri"/>
        </w:rPr>
        <w:t>.</w:t>
      </w:r>
      <w:r w:rsidR="00F131D3" w:rsidRPr="00F131D3">
        <w:rPr>
          <w:rFonts w:eastAsia="Calibri"/>
        </w:rPr>
        <w:t xml:space="preserve">  </w:t>
      </w:r>
    </w:p>
    <w:p w14:paraId="00C9945D" w14:textId="77777777" w:rsidR="00F131D3" w:rsidRDefault="00F131D3" w:rsidP="00900BEE">
      <w:pPr>
        <w:rPr>
          <w:rFonts w:eastAsia="Calibri"/>
        </w:rPr>
      </w:pPr>
    </w:p>
    <w:p w14:paraId="504D5E32" w14:textId="77777777" w:rsidR="00A131BF" w:rsidRDefault="00CB4665" w:rsidP="00900BEE">
      <w:pPr>
        <w:rPr>
          <w:rFonts w:eastAsia="Calibri"/>
        </w:rPr>
      </w:pPr>
      <w:r>
        <w:rPr>
          <w:rFonts w:eastAsia="Calibri"/>
        </w:rPr>
        <w:t>As explained in our 2019 Statement</w:t>
      </w:r>
      <w:r w:rsidR="00F131D3">
        <w:rPr>
          <w:rFonts w:eastAsia="Calibri"/>
        </w:rPr>
        <w:t>, w</w:t>
      </w:r>
      <w:r w:rsidRPr="00445E1C">
        <w:rPr>
          <w:rFonts w:eastAsia="Cambria" w:cs="Arial"/>
          <w:szCs w:val="22"/>
        </w:rPr>
        <w:t>omen and girls exploited</w:t>
      </w:r>
      <w:r w:rsidRPr="00445E1C">
        <w:rPr>
          <w:rFonts w:eastAsia="Calibri"/>
        </w:rPr>
        <w:t xml:space="preserve"> in prostitution deserve the same protection, respect, and services accorded to other survivors of gender violence, shifting the stigma to those who exploit women and girls for profit or pleasure</w:t>
      </w:r>
      <w:r w:rsidR="00F131D3">
        <w:rPr>
          <w:rFonts w:eastAsia="Calibri"/>
        </w:rPr>
        <w:t>.</w:t>
      </w:r>
      <w:r w:rsidR="00F131D3" w:rsidRPr="00445E1C">
        <w:rPr>
          <w:rFonts w:eastAsia="Calibri"/>
          <w:vertAlign w:val="superscript"/>
        </w:rPr>
        <w:footnoteReference w:id="24"/>
      </w:r>
      <w:r w:rsidR="00EA73B5">
        <w:rPr>
          <w:rFonts w:eastAsia="Calibri"/>
        </w:rPr>
        <w:t xml:space="preserve">  Therefore, we appreciate the Committee’s clear call to have victims of trafficking and exploitation be exempt from criminal liability in accordance with paragraph 91.</w:t>
      </w:r>
    </w:p>
    <w:p w14:paraId="432376A9" w14:textId="77777777" w:rsidR="00456EB5" w:rsidRDefault="00456EB5" w:rsidP="00900BEE"/>
    <w:p w14:paraId="428C162C" w14:textId="77777777" w:rsidR="008D29A9" w:rsidRPr="00900BEE" w:rsidRDefault="008D29A9" w:rsidP="008D29A9">
      <w:pPr>
        <w:pStyle w:val="Heading3"/>
      </w:pPr>
      <w:r>
        <w:t xml:space="preserve">Additional Considerations </w:t>
      </w:r>
      <w:r w:rsidR="00A131BF">
        <w:t>I</w:t>
      </w:r>
      <w:r>
        <w:t>n Light of COVID-19</w:t>
      </w:r>
    </w:p>
    <w:p w14:paraId="133B7B97" w14:textId="77777777" w:rsidR="008D29A9" w:rsidRPr="00900BEE" w:rsidRDefault="008D29A9" w:rsidP="008D29A9"/>
    <w:p w14:paraId="6C010F05" w14:textId="171ADE6B" w:rsidR="00EA73B5" w:rsidRDefault="00A131BF" w:rsidP="008D29A9">
      <w:pPr>
        <w:pStyle w:val="ListNumber"/>
        <w:spacing w:after="240"/>
        <w:contextualSpacing w:val="0"/>
      </w:pPr>
      <w:r>
        <w:t>T</w:t>
      </w:r>
      <w:r w:rsidR="00EA73B5" w:rsidRPr="00EA73B5">
        <w:t xml:space="preserve">he worldwide spread of the COVID-19 virus has caused significant and </w:t>
      </w:r>
      <w:r w:rsidR="00CB7D13" w:rsidRPr="00EA73B5">
        <w:t>unp</w:t>
      </w:r>
      <w:r w:rsidR="00CB7D13">
        <w:t xml:space="preserve">recedented </w:t>
      </w:r>
      <w:r w:rsidR="00EA73B5">
        <w:t xml:space="preserve">global </w:t>
      </w:r>
      <w:r w:rsidR="00EA73B5" w:rsidRPr="00EA73B5">
        <w:t>disruption.  Th</w:t>
      </w:r>
      <w:r w:rsidR="00CB7D13">
        <w:t xml:space="preserve">is </w:t>
      </w:r>
      <w:r w:rsidR="00EA73B5" w:rsidRPr="00EA73B5">
        <w:t xml:space="preserve">global pandemic has caused many governments around the world </w:t>
      </w:r>
      <w:r w:rsidR="00EA73B5">
        <w:t>t</w:t>
      </w:r>
      <w:r w:rsidR="00EA73B5" w:rsidRPr="00EA73B5">
        <w:t xml:space="preserve">o declare states of emergency and/or to take extreme steps to stem the spread of the virus.  </w:t>
      </w:r>
      <w:r w:rsidR="00CB7D13">
        <w:t>It is likely that this</w:t>
      </w:r>
      <w:r w:rsidR="00EA73B5">
        <w:t xml:space="preserve"> pandemic</w:t>
      </w:r>
      <w:r w:rsidR="0055047C">
        <w:t>,</w:t>
      </w:r>
      <w:r w:rsidR="00EA73B5">
        <w:t xml:space="preserve"> and the global economic recession that may follow</w:t>
      </w:r>
      <w:r w:rsidR="0055047C">
        <w:t>,</w:t>
      </w:r>
      <w:r w:rsidR="00EA73B5">
        <w:t xml:space="preserve"> will exacerbate the vulnerability of many women and girls, making them even more susceptible to trafficking and exploitation.  </w:t>
      </w:r>
      <w:r w:rsidR="00CB7D13">
        <w:t>To the extent possible, w</w:t>
      </w:r>
      <w:r w:rsidR="00EA73B5">
        <w:t xml:space="preserve">e believe </w:t>
      </w:r>
      <w:r w:rsidR="00CB7D13">
        <w:t>the</w:t>
      </w:r>
      <w:r w:rsidR="007723A1" w:rsidRPr="007723A1">
        <w:t xml:space="preserve"> </w:t>
      </w:r>
      <w:r w:rsidR="0035719F">
        <w:t xml:space="preserve">final </w:t>
      </w:r>
      <w:r w:rsidR="00EA73B5">
        <w:t>General Recommendation</w:t>
      </w:r>
      <w:r w:rsidR="00CB7D13">
        <w:t xml:space="preserve"> should acknowledge explicitly this increased risk in times of global pandemics and recessions</w:t>
      </w:r>
      <w:r w:rsidR="00294097">
        <w:t>, and provide recommendations to address such circumstances</w:t>
      </w:r>
      <w:r w:rsidR="00CB7D13">
        <w:t>.</w:t>
      </w:r>
    </w:p>
    <w:p w14:paraId="7FAA115F" w14:textId="77777777" w:rsidR="00E131F8" w:rsidRPr="0033396B" w:rsidRDefault="0033396B" w:rsidP="0033396B">
      <w:pPr>
        <w:pStyle w:val="Heading1"/>
        <w:rPr>
          <w:b w:val="0"/>
        </w:rPr>
      </w:pPr>
      <w:r>
        <w:t>CONCLUSION</w:t>
      </w:r>
    </w:p>
    <w:p w14:paraId="3A6972B5" w14:textId="54D27D9B" w:rsidR="00E131F8" w:rsidRPr="0033396B" w:rsidRDefault="00CB7D13" w:rsidP="00AD76EE">
      <w:r>
        <w:t>Again, w</w:t>
      </w:r>
      <w:r w:rsidR="00AD76EE">
        <w:t xml:space="preserve">e appreciate </w:t>
      </w:r>
      <w:r w:rsidR="00A131BF">
        <w:t xml:space="preserve">and commend </w:t>
      </w:r>
      <w:r w:rsidR="00AD76EE">
        <w:t xml:space="preserve">the Committee’s efforts in putting forth </w:t>
      </w:r>
      <w:r w:rsidR="00294097">
        <w:t>the</w:t>
      </w:r>
      <w:r w:rsidR="00AD76EE">
        <w:t xml:space="preserve"> comprehensive </w:t>
      </w:r>
      <w:r w:rsidR="007723A1" w:rsidRPr="007723A1">
        <w:t xml:space="preserve">Draft </w:t>
      </w:r>
      <w:r w:rsidR="00AD76EE">
        <w:t>General Recommendation that takes into account the real-life experiences of victims and survivors like those we represent on a daily basis</w:t>
      </w:r>
      <w:r>
        <w:t>.  W</w:t>
      </w:r>
      <w:r w:rsidR="00AD76EE">
        <w:t>e</w:t>
      </w:r>
      <w:r w:rsidR="00E131F8" w:rsidRPr="0033396B">
        <w:t xml:space="preserve"> thank you in advance for your consideration of </w:t>
      </w:r>
      <w:r w:rsidR="00AD76EE">
        <w:t xml:space="preserve">the </w:t>
      </w:r>
      <w:r>
        <w:t xml:space="preserve">comments </w:t>
      </w:r>
      <w:r w:rsidR="00AD76EE">
        <w:t xml:space="preserve">included in this </w:t>
      </w:r>
      <w:r w:rsidR="001D1FDA">
        <w:t>submission</w:t>
      </w:r>
      <w:r w:rsidR="00E131F8" w:rsidRPr="0033396B">
        <w:t>.</w:t>
      </w:r>
    </w:p>
    <w:p w14:paraId="7A6253B4" w14:textId="77777777" w:rsidR="00E131F8" w:rsidRPr="0033396B" w:rsidRDefault="00E131F8" w:rsidP="00E131F8"/>
    <w:p w14:paraId="29322B4F" w14:textId="77777777" w:rsidR="00E131F8" w:rsidRDefault="00E131F8" w:rsidP="0033396B">
      <w:r w:rsidRPr="0033396B">
        <w:t>Sincerely,</w:t>
      </w:r>
    </w:p>
    <w:p w14:paraId="04B4468D" w14:textId="77777777" w:rsidR="00D92605" w:rsidRDefault="00D92605" w:rsidP="004E41A8"/>
    <w:p w14:paraId="13034254" w14:textId="77777777" w:rsidR="00100EE7" w:rsidRDefault="00100EE7" w:rsidP="004E41A8">
      <w:pPr>
        <w:sectPr w:rsidR="00100EE7" w:rsidSect="0035719F">
          <w:headerReference w:type="even" r:id="rId8"/>
          <w:headerReference w:type="default" r:id="rId9"/>
          <w:footerReference w:type="even" r:id="rId10"/>
          <w:footerReference w:type="default" r:id="rId11"/>
          <w:headerReference w:type="first" r:id="rId12"/>
          <w:footerReference w:type="first" r:id="rId13"/>
          <w:pgSz w:w="12240" w:h="15840"/>
          <w:pgMar w:top="1350" w:right="1440" w:bottom="900" w:left="1440" w:header="720" w:footer="255" w:gutter="0"/>
          <w:cols w:space="720"/>
          <w:titlePg/>
          <w:docGrid w:linePitch="360"/>
        </w:sectPr>
      </w:pPr>
    </w:p>
    <w:tbl>
      <w:tblPr>
        <w:tblW w:w="14542" w:type="dxa"/>
        <w:tblLook w:val="04A0" w:firstRow="1" w:lastRow="0" w:firstColumn="1" w:lastColumn="0" w:noHBand="0" w:noVBand="1"/>
      </w:tblPr>
      <w:tblGrid>
        <w:gridCol w:w="3330"/>
        <w:gridCol w:w="3060"/>
        <w:gridCol w:w="4076"/>
        <w:gridCol w:w="4076"/>
      </w:tblGrid>
      <w:tr w:rsidR="00100EE7" w:rsidRPr="00E43F9D" w14:paraId="3BE39E4F" w14:textId="77777777" w:rsidTr="0035719F">
        <w:tc>
          <w:tcPr>
            <w:tcW w:w="3330" w:type="dxa"/>
            <w:shd w:val="clear" w:color="auto" w:fill="auto"/>
          </w:tcPr>
          <w:p w14:paraId="7F143F58" w14:textId="77777777" w:rsidR="00100EE7" w:rsidRPr="00100EE7" w:rsidRDefault="00100EE7" w:rsidP="004D01E6">
            <w:pPr>
              <w:rPr>
                <w:rFonts w:eastAsia="Calibri"/>
                <w:sz w:val="22"/>
                <w:szCs w:val="22"/>
              </w:rPr>
            </w:pPr>
            <w:r w:rsidRPr="00100EE7">
              <w:rPr>
                <w:rFonts w:eastAsia="Calibri"/>
                <w:b/>
                <w:noProof/>
                <w:sz w:val="22"/>
                <w:szCs w:val="22"/>
              </w:rPr>
              <w:drawing>
                <wp:inline distT="0" distB="0" distL="0" distR="0" wp14:anchorId="0D88A0FC" wp14:editId="4D949EF7">
                  <wp:extent cx="1662430"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2430" cy="286385"/>
                          </a:xfrm>
                          <a:prstGeom prst="rect">
                            <a:avLst/>
                          </a:prstGeom>
                          <a:noFill/>
                          <a:ln>
                            <a:noFill/>
                          </a:ln>
                        </pic:spPr>
                      </pic:pic>
                    </a:graphicData>
                  </a:graphic>
                </wp:inline>
              </w:drawing>
            </w:r>
          </w:p>
          <w:p w14:paraId="46CF00F7" w14:textId="77777777" w:rsidR="00100EE7" w:rsidRPr="00100EE7" w:rsidRDefault="00100EE7" w:rsidP="004D01E6">
            <w:pPr>
              <w:rPr>
                <w:rFonts w:eastAsia="Calibri"/>
                <w:sz w:val="22"/>
                <w:szCs w:val="22"/>
              </w:rPr>
            </w:pPr>
          </w:p>
          <w:p w14:paraId="0E64D016" w14:textId="77777777" w:rsidR="00100EE7" w:rsidRPr="00100EE7" w:rsidRDefault="00100EE7" w:rsidP="004D01E6">
            <w:pPr>
              <w:rPr>
                <w:rFonts w:eastAsia="Calibri"/>
                <w:sz w:val="22"/>
                <w:szCs w:val="22"/>
              </w:rPr>
            </w:pPr>
            <w:r w:rsidRPr="00100EE7">
              <w:rPr>
                <w:rFonts w:eastAsia="Calibri"/>
                <w:sz w:val="22"/>
                <w:szCs w:val="22"/>
              </w:rPr>
              <w:t>Dorchen A. Leidholdt</w:t>
            </w:r>
          </w:p>
          <w:p w14:paraId="4C8F92FD" w14:textId="77777777" w:rsidR="00100EE7" w:rsidRDefault="00100EE7" w:rsidP="004D01E6">
            <w:pPr>
              <w:rPr>
                <w:rFonts w:eastAsia="Calibri"/>
                <w:sz w:val="22"/>
                <w:szCs w:val="22"/>
              </w:rPr>
            </w:pPr>
            <w:r w:rsidRPr="00100EE7">
              <w:rPr>
                <w:rFonts w:eastAsia="Calibri"/>
                <w:sz w:val="22"/>
                <w:szCs w:val="22"/>
              </w:rPr>
              <w:t xml:space="preserve">Director, Center for Battered </w:t>
            </w:r>
          </w:p>
          <w:p w14:paraId="3B06DA30" w14:textId="77777777" w:rsidR="00100EE7" w:rsidRPr="00100EE7" w:rsidRDefault="00100EE7" w:rsidP="004D01E6">
            <w:pPr>
              <w:rPr>
                <w:rFonts w:eastAsia="Calibri"/>
                <w:sz w:val="22"/>
                <w:szCs w:val="22"/>
              </w:rPr>
            </w:pPr>
            <w:r w:rsidRPr="00100EE7">
              <w:rPr>
                <w:rFonts w:eastAsia="Calibri"/>
                <w:sz w:val="22"/>
                <w:szCs w:val="22"/>
              </w:rPr>
              <w:t>Women’s Legal Services</w:t>
            </w:r>
          </w:p>
          <w:p w14:paraId="10ED3AF5" w14:textId="77777777" w:rsidR="00100EE7" w:rsidRPr="00100EE7" w:rsidRDefault="00100EE7" w:rsidP="00100EE7">
            <w:pPr>
              <w:rPr>
                <w:rFonts w:eastAsia="Calibri"/>
                <w:sz w:val="22"/>
                <w:szCs w:val="22"/>
              </w:rPr>
            </w:pPr>
            <w:r w:rsidRPr="00100EE7">
              <w:rPr>
                <w:rFonts w:eastAsia="Calibri"/>
                <w:sz w:val="22"/>
                <w:szCs w:val="22"/>
              </w:rPr>
              <w:t>Sanctuary for Families</w:t>
            </w:r>
          </w:p>
        </w:tc>
        <w:tc>
          <w:tcPr>
            <w:tcW w:w="3060" w:type="dxa"/>
            <w:shd w:val="clear" w:color="auto" w:fill="auto"/>
          </w:tcPr>
          <w:p w14:paraId="77FB8279" w14:textId="77777777" w:rsidR="00100EE7" w:rsidRPr="00100EE7" w:rsidRDefault="00100EE7" w:rsidP="004D01E6">
            <w:pPr>
              <w:rPr>
                <w:rFonts w:eastAsia="Calibri"/>
                <w:sz w:val="22"/>
                <w:szCs w:val="22"/>
              </w:rPr>
            </w:pPr>
            <w:r w:rsidRPr="00100EE7">
              <w:rPr>
                <w:rFonts w:eastAsia="Calibri"/>
                <w:noProof/>
                <w:sz w:val="22"/>
                <w:szCs w:val="22"/>
              </w:rPr>
              <w:drawing>
                <wp:inline distT="0" distB="0" distL="0" distR="0" wp14:anchorId="59A34524" wp14:editId="67A066FE">
                  <wp:extent cx="1339215" cy="461645"/>
                  <wp:effectExtent l="0" t="0" r="0" b="0"/>
                  <wp:docPr id="2" name="Picture 2" descr="Laure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n S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461645"/>
                          </a:xfrm>
                          <a:prstGeom prst="rect">
                            <a:avLst/>
                          </a:prstGeom>
                          <a:noFill/>
                          <a:ln>
                            <a:noFill/>
                          </a:ln>
                        </pic:spPr>
                      </pic:pic>
                    </a:graphicData>
                  </a:graphic>
                </wp:inline>
              </w:drawing>
            </w:r>
          </w:p>
          <w:p w14:paraId="06C94203" w14:textId="77777777" w:rsidR="00100EE7" w:rsidRPr="00100EE7" w:rsidRDefault="00100EE7" w:rsidP="004D01E6">
            <w:pPr>
              <w:rPr>
                <w:rFonts w:eastAsia="Calibri"/>
                <w:sz w:val="22"/>
                <w:szCs w:val="22"/>
              </w:rPr>
            </w:pPr>
            <w:r w:rsidRPr="00100EE7">
              <w:rPr>
                <w:rFonts w:eastAsia="Calibri"/>
                <w:sz w:val="22"/>
                <w:szCs w:val="22"/>
              </w:rPr>
              <w:t>Lauren Hersh</w:t>
            </w:r>
          </w:p>
          <w:p w14:paraId="71F62FD9" w14:textId="77777777" w:rsidR="00100EE7" w:rsidRPr="00100EE7" w:rsidRDefault="00100EE7" w:rsidP="004D01E6">
            <w:pPr>
              <w:rPr>
                <w:rFonts w:eastAsia="Calibri"/>
                <w:sz w:val="22"/>
                <w:szCs w:val="22"/>
              </w:rPr>
            </w:pPr>
            <w:r w:rsidRPr="00100EE7">
              <w:rPr>
                <w:rFonts w:eastAsia="Calibri"/>
                <w:sz w:val="22"/>
                <w:szCs w:val="22"/>
              </w:rPr>
              <w:t xml:space="preserve">National Director </w:t>
            </w:r>
          </w:p>
          <w:p w14:paraId="0C9691F8" w14:textId="77777777" w:rsidR="00100EE7" w:rsidRPr="00100EE7" w:rsidRDefault="00100EE7" w:rsidP="004D01E6">
            <w:pPr>
              <w:rPr>
                <w:rFonts w:eastAsia="Calibri"/>
                <w:sz w:val="22"/>
                <w:szCs w:val="22"/>
              </w:rPr>
            </w:pPr>
            <w:r w:rsidRPr="00100EE7">
              <w:rPr>
                <w:rFonts w:eastAsia="Calibri"/>
                <w:sz w:val="22"/>
                <w:szCs w:val="22"/>
              </w:rPr>
              <w:t>World Without Exploitation</w:t>
            </w:r>
          </w:p>
        </w:tc>
        <w:tc>
          <w:tcPr>
            <w:tcW w:w="4076" w:type="dxa"/>
            <w:shd w:val="clear" w:color="auto" w:fill="auto"/>
          </w:tcPr>
          <w:p w14:paraId="076A8D92" w14:textId="77777777" w:rsidR="00100EE7" w:rsidRPr="00100EE7" w:rsidRDefault="00100EE7" w:rsidP="004D01E6">
            <w:pPr>
              <w:rPr>
                <w:rFonts w:eastAsia="Calibri"/>
                <w:sz w:val="22"/>
                <w:szCs w:val="22"/>
              </w:rPr>
            </w:pPr>
            <w:r w:rsidRPr="00100EE7">
              <w:rPr>
                <w:rFonts w:eastAsia="Calibri"/>
                <w:b/>
                <w:noProof/>
                <w:sz w:val="22"/>
                <w:szCs w:val="22"/>
              </w:rPr>
              <w:drawing>
                <wp:inline distT="0" distB="0" distL="0" distR="0" wp14:anchorId="0F9C1437" wp14:editId="71C031B5">
                  <wp:extent cx="166243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2430" cy="286385"/>
                          </a:xfrm>
                          <a:prstGeom prst="rect">
                            <a:avLst/>
                          </a:prstGeom>
                          <a:noFill/>
                          <a:ln>
                            <a:noFill/>
                          </a:ln>
                        </pic:spPr>
                      </pic:pic>
                    </a:graphicData>
                  </a:graphic>
                </wp:inline>
              </w:drawing>
            </w:r>
          </w:p>
          <w:p w14:paraId="1DC5CF8A" w14:textId="77777777" w:rsidR="00100EE7" w:rsidRPr="00100EE7" w:rsidRDefault="00100EE7" w:rsidP="004D01E6">
            <w:pPr>
              <w:rPr>
                <w:rFonts w:eastAsia="Calibri"/>
                <w:sz w:val="22"/>
                <w:szCs w:val="22"/>
              </w:rPr>
            </w:pPr>
          </w:p>
          <w:p w14:paraId="48B7AF22" w14:textId="77777777" w:rsidR="00100EE7" w:rsidRPr="00100EE7" w:rsidRDefault="00100EE7" w:rsidP="004D01E6">
            <w:pPr>
              <w:rPr>
                <w:rFonts w:eastAsia="Calibri"/>
                <w:sz w:val="22"/>
                <w:szCs w:val="22"/>
              </w:rPr>
            </w:pPr>
            <w:r w:rsidRPr="00100EE7">
              <w:rPr>
                <w:rFonts w:eastAsia="Calibri"/>
                <w:sz w:val="22"/>
                <w:szCs w:val="22"/>
              </w:rPr>
              <w:t>Dorchen A. Leidholdt</w:t>
            </w:r>
          </w:p>
          <w:p w14:paraId="49C68890" w14:textId="77777777" w:rsidR="00100EE7" w:rsidRPr="00100EE7" w:rsidRDefault="00100EE7" w:rsidP="004D01E6">
            <w:pPr>
              <w:rPr>
                <w:rFonts w:eastAsia="Calibri"/>
                <w:sz w:val="22"/>
                <w:szCs w:val="22"/>
              </w:rPr>
            </w:pPr>
            <w:r w:rsidRPr="00100EE7">
              <w:rPr>
                <w:rFonts w:eastAsia="Calibri"/>
                <w:sz w:val="22"/>
                <w:szCs w:val="22"/>
              </w:rPr>
              <w:t>Co-Chair</w:t>
            </w:r>
          </w:p>
          <w:p w14:paraId="6071D4A7" w14:textId="77777777" w:rsidR="00100EE7" w:rsidRDefault="00100EE7" w:rsidP="004D01E6">
            <w:pPr>
              <w:rPr>
                <w:rFonts w:eastAsia="Calibri"/>
                <w:sz w:val="22"/>
                <w:szCs w:val="22"/>
              </w:rPr>
            </w:pPr>
            <w:r w:rsidRPr="00100EE7">
              <w:rPr>
                <w:rFonts w:eastAsia="Calibri"/>
                <w:sz w:val="22"/>
                <w:szCs w:val="22"/>
              </w:rPr>
              <w:t xml:space="preserve">New York State Anti-Trafficking </w:t>
            </w:r>
          </w:p>
          <w:p w14:paraId="09F7EA6E" w14:textId="77777777" w:rsidR="00100EE7" w:rsidRPr="00100EE7" w:rsidRDefault="00100EE7" w:rsidP="004D01E6">
            <w:pPr>
              <w:rPr>
                <w:rFonts w:eastAsia="Calibri"/>
                <w:sz w:val="22"/>
                <w:szCs w:val="22"/>
              </w:rPr>
            </w:pPr>
            <w:r w:rsidRPr="00100EE7">
              <w:rPr>
                <w:rFonts w:eastAsia="Calibri"/>
                <w:sz w:val="22"/>
                <w:szCs w:val="22"/>
              </w:rPr>
              <w:t>Coalition</w:t>
            </w:r>
          </w:p>
        </w:tc>
        <w:tc>
          <w:tcPr>
            <w:tcW w:w="4076" w:type="dxa"/>
            <w:shd w:val="clear" w:color="auto" w:fill="auto"/>
          </w:tcPr>
          <w:p w14:paraId="06E936AF" w14:textId="77777777" w:rsidR="00100EE7" w:rsidRPr="00E43F9D" w:rsidRDefault="00100EE7" w:rsidP="004D01E6">
            <w:pPr>
              <w:rPr>
                <w:rFonts w:eastAsia="Calibri"/>
              </w:rPr>
            </w:pPr>
          </w:p>
        </w:tc>
      </w:tr>
    </w:tbl>
    <w:p w14:paraId="263D0229" w14:textId="77777777" w:rsidR="004E41A8" w:rsidRPr="004E41A8" w:rsidRDefault="004E41A8" w:rsidP="00E56E79"/>
    <w:sectPr w:rsidR="004E41A8" w:rsidRPr="004E41A8" w:rsidSect="00D92605">
      <w:type w:val="continuous"/>
      <w:pgSz w:w="12240" w:h="15840"/>
      <w:pgMar w:top="1440" w:right="1440" w:bottom="108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42F5" w14:textId="77777777" w:rsidR="000D00A2" w:rsidRDefault="000D00A2" w:rsidP="004E41A8">
      <w:r>
        <w:separator/>
      </w:r>
    </w:p>
  </w:endnote>
  <w:endnote w:type="continuationSeparator" w:id="0">
    <w:p w14:paraId="0C796AFA" w14:textId="77777777" w:rsidR="000D00A2" w:rsidRDefault="000D00A2" w:rsidP="004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0B32" w14:textId="77777777" w:rsidR="000416BA" w:rsidRDefault="0004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17648"/>
      <w:docPartObj>
        <w:docPartGallery w:val="Page Numbers (Bottom of Page)"/>
        <w:docPartUnique/>
      </w:docPartObj>
    </w:sdtPr>
    <w:sdtEndPr>
      <w:rPr>
        <w:noProof/>
      </w:rPr>
    </w:sdtEndPr>
    <w:sdtContent>
      <w:p w14:paraId="00A9BD9E" w14:textId="448D72BA" w:rsidR="00FE119B" w:rsidRDefault="00FE119B">
        <w:pPr>
          <w:pStyle w:val="Footer"/>
          <w:jc w:val="center"/>
        </w:pPr>
        <w:r>
          <w:fldChar w:fldCharType="begin"/>
        </w:r>
        <w:r>
          <w:instrText xml:space="preserve"> PAGE   \* MERGEFORMAT </w:instrText>
        </w:r>
        <w:r>
          <w:fldChar w:fldCharType="separate"/>
        </w:r>
        <w:r w:rsidR="005F1119">
          <w:rPr>
            <w:noProof/>
          </w:rPr>
          <w:t>5</w:t>
        </w:r>
        <w:r>
          <w:rPr>
            <w:noProof/>
          </w:rPr>
          <w:fldChar w:fldCharType="end"/>
        </w:r>
      </w:p>
    </w:sdtContent>
  </w:sdt>
  <w:p w14:paraId="0ADC0635" w14:textId="77777777" w:rsidR="00FE119B" w:rsidRDefault="00FE1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AEF8" w14:textId="77777777" w:rsidR="000416BA" w:rsidRDefault="0004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B4AB" w14:textId="77777777" w:rsidR="000D00A2" w:rsidRDefault="000D00A2" w:rsidP="004E41A8">
      <w:r>
        <w:separator/>
      </w:r>
    </w:p>
  </w:footnote>
  <w:footnote w:type="continuationSeparator" w:id="0">
    <w:p w14:paraId="70F46C5F" w14:textId="77777777" w:rsidR="000D00A2" w:rsidRDefault="000D00A2" w:rsidP="004E41A8">
      <w:r>
        <w:continuationSeparator/>
      </w:r>
    </w:p>
  </w:footnote>
  <w:footnote w:id="1">
    <w:p w14:paraId="71E8C04C" w14:textId="77777777" w:rsidR="00FE119B" w:rsidRDefault="00FE119B">
      <w:pPr>
        <w:pStyle w:val="FootnoteText"/>
      </w:pPr>
      <w:r>
        <w:rPr>
          <w:rStyle w:val="FootnoteReference"/>
        </w:rPr>
        <w:footnoteRef/>
      </w:r>
      <w:r w:rsidRPr="00CE1AC2">
        <w:rPr>
          <w:iCs/>
        </w:rPr>
        <w:t xml:space="preserve"> </w:t>
      </w:r>
      <w:r w:rsidRPr="00CE1CDE">
        <w:rPr>
          <w:i/>
        </w:rPr>
        <w:t xml:space="preserve">Concept Note prepared for the Committee on the Elimination of Discrimination </w:t>
      </w:r>
      <w:r w:rsidR="00CE1CDE">
        <w:rPr>
          <w:i/>
        </w:rPr>
        <w:t>A</w:t>
      </w:r>
      <w:r w:rsidR="00CE1CDE" w:rsidRPr="00CE1CDE">
        <w:rPr>
          <w:i/>
        </w:rPr>
        <w:t xml:space="preserve">gainst </w:t>
      </w:r>
      <w:r w:rsidRPr="00CE1CDE">
        <w:rPr>
          <w:i/>
        </w:rPr>
        <w:t>Women on its elaboratio</w:t>
      </w:r>
      <w:r w:rsidRPr="00445E1C">
        <w:rPr>
          <w:i/>
        </w:rPr>
        <w:t>n of a General Recommendation on Trafficking in Women and Girls in the Context of Global Migration</w:t>
      </w:r>
      <w:r w:rsidRPr="00445E1C">
        <w:t xml:space="preserve">, </w:t>
      </w:r>
      <w:hyperlink r:id="rId1" w:history="1">
        <w:r w:rsidRPr="00445E1C">
          <w:rPr>
            <w:rStyle w:val="Hyperlink"/>
          </w:rPr>
          <w:t>https://www.ohchr.org/Documents/HRBodies/CEDAW/Trafficking/ConceptNote.docx</w:t>
        </w:r>
      </w:hyperlink>
      <w:r w:rsidRPr="00445E1C">
        <w:t xml:space="preserve"> (</w:t>
      </w:r>
      <w:r>
        <w:t xml:space="preserve">the </w:t>
      </w:r>
      <w:r w:rsidRPr="00445E1C">
        <w:t>“Concept Note”).</w:t>
      </w:r>
    </w:p>
  </w:footnote>
  <w:footnote w:id="2">
    <w:p w14:paraId="09261368" w14:textId="77777777" w:rsidR="00CE1CDE" w:rsidRPr="00CE1CDE" w:rsidRDefault="00CE1CDE">
      <w:pPr>
        <w:pStyle w:val="FootnoteText"/>
      </w:pPr>
      <w:r>
        <w:rPr>
          <w:rStyle w:val="FootnoteReference"/>
        </w:rPr>
        <w:footnoteRef/>
      </w:r>
      <w:r>
        <w:t xml:space="preserve"> </w:t>
      </w:r>
      <w:r w:rsidR="00814057" w:rsidRPr="00814057">
        <w:rPr>
          <w:iCs/>
        </w:rPr>
        <w:t>Draft General Recommendation</w:t>
      </w:r>
      <w:r>
        <w:t xml:space="preserve">, </w:t>
      </w:r>
      <w:r w:rsidR="0070393B">
        <w:t>¶ 2</w:t>
      </w:r>
      <w:r w:rsidR="004C3192">
        <w:t xml:space="preserve"> </w:t>
      </w:r>
      <w:r w:rsidR="004A286B">
        <w:t>(emphasis added)</w:t>
      </w:r>
      <w:r w:rsidR="00F222DC">
        <w:t>.</w:t>
      </w:r>
      <w:r w:rsidR="004A286B">
        <w:t xml:space="preserve"> </w:t>
      </w:r>
    </w:p>
  </w:footnote>
  <w:footnote w:id="3">
    <w:p w14:paraId="14C3308F" w14:textId="77777777" w:rsidR="001A2176" w:rsidRDefault="001A2176" w:rsidP="001A2176">
      <w:pPr>
        <w:pStyle w:val="FootnoteText"/>
      </w:pPr>
      <w:r>
        <w:rPr>
          <w:rStyle w:val="FootnoteReference"/>
        </w:rPr>
        <w:footnoteRef/>
      </w:r>
      <w:r>
        <w:t xml:space="preserve"> </w:t>
      </w:r>
      <w:r w:rsidRPr="001A2176">
        <w:t>The direct correlation between increased demand for commercial sex and increased demand for sex trafficking is well documented</w:t>
      </w:r>
      <w:r>
        <w:t xml:space="preserve">. </w:t>
      </w:r>
      <w:r w:rsidR="00A05E18">
        <w:t xml:space="preserve"> </w:t>
      </w:r>
      <w:r w:rsidRPr="001A2176">
        <w:rPr>
          <w:i/>
          <w:iCs/>
        </w:rPr>
        <w:t>See</w:t>
      </w:r>
      <w:r>
        <w:t xml:space="preserve"> 2019 Statement</w:t>
      </w:r>
      <w:r w:rsidR="007723A1">
        <w:t>, n.</w:t>
      </w:r>
      <w:r w:rsidR="004D0111">
        <w:t xml:space="preserve"> </w:t>
      </w:r>
      <w:r w:rsidR="007723A1">
        <w:t>21</w:t>
      </w:r>
      <w:r>
        <w:t>.</w:t>
      </w:r>
    </w:p>
  </w:footnote>
  <w:footnote w:id="4">
    <w:p w14:paraId="1F2AA522" w14:textId="77777777" w:rsidR="00A05E18" w:rsidRPr="008B1008" w:rsidRDefault="00A05E18">
      <w:pPr>
        <w:pStyle w:val="FootnoteText"/>
      </w:pPr>
      <w:r>
        <w:rPr>
          <w:rStyle w:val="FootnoteReference"/>
        </w:rPr>
        <w:footnoteRef/>
      </w:r>
      <w:r>
        <w:rPr>
          <w:i/>
        </w:rPr>
        <w:t xml:space="preserve"> </w:t>
      </w:r>
      <w:r w:rsidRPr="001D1FDA">
        <w:rPr>
          <w:i/>
          <w:iCs/>
        </w:rPr>
        <w:t>See</w:t>
      </w:r>
      <w:r w:rsidRPr="00814057">
        <w:rPr>
          <w:i/>
        </w:rPr>
        <w:t>, e.g.</w:t>
      </w:r>
      <w:r>
        <w:t xml:space="preserve">, </w:t>
      </w:r>
      <w:r w:rsidR="007723A1">
        <w:t xml:space="preserve">Draft </w:t>
      </w:r>
      <w:r>
        <w:t>General Recommendation</w:t>
      </w:r>
      <w:r w:rsidR="008B1008">
        <w:t>,</w:t>
      </w:r>
      <w:r>
        <w:t xml:space="preserve"> </w:t>
      </w:r>
      <w:r w:rsidR="00CB0C36" w:rsidRPr="00AB27EE">
        <w:t>¶</w:t>
      </w:r>
      <w:r w:rsidR="008B1008">
        <w:t xml:space="preserve"> </w:t>
      </w:r>
      <w:r>
        <w:t xml:space="preserve">20. </w:t>
      </w:r>
    </w:p>
  </w:footnote>
  <w:footnote w:id="5">
    <w:p w14:paraId="420DD242" w14:textId="77777777" w:rsidR="0070393B" w:rsidRPr="0070393B" w:rsidRDefault="0070393B">
      <w:pPr>
        <w:pStyle w:val="FootnoteText"/>
      </w:pPr>
      <w:r>
        <w:rPr>
          <w:rStyle w:val="FootnoteReference"/>
        </w:rPr>
        <w:footnoteRef/>
      </w:r>
      <w:r>
        <w:t xml:space="preserve"> </w:t>
      </w:r>
      <w:r w:rsidR="007723A1">
        <w:t xml:space="preserve">Draft </w:t>
      </w:r>
      <w:r>
        <w:t xml:space="preserve">General Recommendation, </w:t>
      </w:r>
      <w:r w:rsidRPr="00AB27EE">
        <w:t>¶</w:t>
      </w:r>
      <w:r>
        <w:t xml:space="preserve"> 8. </w:t>
      </w:r>
    </w:p>
  </w:footnote>
  <w:footnote w:id="6">
    <w:p w14:paraId="2747FDB4" w14:textId="77777777" w:rsidR="0070393B" w:rsidRDefault="0070393B">
      <w:pPr>
        <w:pStyle w:val="FootnoteText"/>
      </w:pPr>
      <w:r>
        <w:rPr>
          <w:rStyle w:val="FootnoteReference"/>
        </w:rPr>
        <w:footnoteRef/>
      </w:r>
      <w:r>
        <w:t xml:space="preserve"> </w:t>
      </w:r>
      <w:r w:rsidR="00F222DC">
        <w:rPr>
          <w:i/>
          <w:iCs/>
        </w:rPr>
        <w:t>Id.</w:t>
      </w:r>
      <w:r>
        <w:t xml:space="preserve"> </w:t>
      </w:r>
      <w:r>
        <w:tab/>
      </w:r>
    </w:p>
  </w:footnote>
  <w:footnote w:id="7">
    <w:p w14:paraId="0FDCA00F" w14:textId="784F9990" w:rsidR="009D5C37" w:rsidRDefault="009D5C37" w:rsidP="009D5C37">
      <w:pPr>
        <w:pStyle w:val="FootnoteText"/>
      </w:pPr>
      <w:r>
        <w:rPr>
          <w:rStyle w:val="FootnoteReference"/>
        </w:rPr>
        <w:footnoteRef/>
      </w:r>
      <w:r>
        <w:t xml:space="preserve"> According to the information in paragraph 12, </w:t>
      </w:r>
      <w:r>
        <w:rPr>
          <w:bCs/>
        </w:rPr>
        <w:t xml:space="preserve">in 2016, </w:t>
      </w:r>
      <w:r w:rsidRPr="005A2BBD">
        <w:rPr>
          <w:bCs/>
        </w:rPr>
        <w:t>72% of all detected trafficking victims worldwide</w:t>
      </w:r>
      <w:r>
        <w:rPr>
          <w:bCs/>
        </w:rPr>
        <w:t xml:space="preserve"> were </w:t>
      </w:r>
      <w:r w:rsidRPr="005A2BBD">
        <w:rPr>
          <w:bCs/>
        </w:rPr>
        <w:t>w</w:t>
      </w:r>
      <w:r>
        <w:rPr>
          <w:bCs/>
        </w:rPr>
        <w:t>omen</w:t>
      </w:r>
      <w:r w:rsidRPr="005A2BBD">
        <w:rPr>
          <w:bCs/>
        </w:rPr>
        <w:t xml:space="preserve"> and girls</w:t>
      </w:r>
      <w:r>
        <w:rPr>
          <w:bCs/>
        </w:rPr>
        <w:t>, who also</w:t>
      </w:r>
      <w:r w:rsidRPr="005A2BBD">
        <w:rPr>
          <w:bCs/>
        </w:rPr>
        <w:t xml:space="preserve"> made up</w:t>
      </w:r>
      <w:r>
        <w:rPr>
          <w:bCs/>
        </w:rPr>
        <w:t xml:space="preserve"> a staggering </w:t>
      </w:r>
      <w:r w:rsidRPr="005A2BBD">
        <w:rPr>
          <w:bCs/>
        </w:rPr>
        <w:t>94% of those trafficked for sexual exploitation</w:t>
      </w:r>
      <w:r>
        <w:rPr>
          <w:bCs/>
        </w:rPr>
        <w:t>.</w:t>
      </w:r>
      <w:r w:rsidR="00F222DC">
        <w:rPr>
          <w:bCs/>
        </w:rPr>
        <w:t xml:space="preserve"> Draft General Recommendation</w:t>
      </w:r>
      <w:r w:rsidR="00F222DC">
        <w:t xml:space="preserve">, </w:t>
      </w:r>
      <w:r w:rsidR="00F222DC" w:rsidRPr="00AB27EE">
        <w:t>¶</w:t>
      </w:r>
      <w:r w:rsidR="00F222DC">
        <w:t> 12.</w:t>
      </w:r>
    </w:p>
  </w:footnote>
  <w:footnote w:id="8">
    <w:p w14:paraId="1DF525BC" w14:textId="77777777" w:rsidR="00245021" w:rsidRPr="00445E1C" w:rsidRDefault="00245021" w:rsidP="00245021">
      <w:pPr>
        <w:pStyle w:val="FootnoteText"/>
        <w:ind w:right="-2016"/>
        <w:jc w:val="left"/>
      </w:pPr>
      <w:r w:rsidRPr="00AB27EE">
        <w:rPr>
          <w:rStyle w:val="FootnoteReference"/>
        </w:rPr>
        <w:footnoteRef/>
      </w:r>
      <w:r w:rsidRPr="00AB27EE">
        <w:t xml:space="preserve"> Concept Note, ¶¶ 25, 26, 27, 31.</w:t>
      </w:r>
    </w:p>
  </w:footnote>
  <w:footnote w:id="9">
    <w:p w14:paraId="60B55F4F" w14:textId="20C321F3" w:rsidR="00245021" w:rsidRDefault="00245021" w:rsidP="00245021">
      <w:pPr>
        <w:pStyle w:val="FootnoteText"/>
      </w:pPr>
      <w:r>
        <w:rPr>
          <w:rStyle w:val="FootnoteReference"/>
        </w:rPr>
        <w:footnoteRef/>
      </w:r>
      <w:r>
        <w:t xml:space="preserve"> </w:t>
      </w:r>
      <w:r w:rsidRPr="00AD76EE">
        <w:t xml:space="preserve">Paragraph 22 of the </w:t>
      </w:r>
      <w:r w:rsidR="007723A1">
        <w:t xml:space="preserve">Draft </w:t>
      </w:r>
      <w:r w:rsidRPr="00AD76EE">
        <w:t>General Recommendation generally refers to these vulnerabilities as “</w:t>
      </w:r>
      <w:r w:rsidRPr="00F25D4A">
        <w:rPr>
          <w:i/>
        </w:rPr>
        <w:t>impoverished circumstances</w:t>
      </w:r>
      <w:r w:rsidR="00294097">
        <w:t>”</w:t>
      </w:r>
      <w:r w:rsidRPr="00AD76EE">
        <w:t>; however, we would suggest replacing such term with a more generic concept (such as “</w:t>
      </w:r>
      <w:r w:rsidRPr="00F25D4A">
        <w:rPr>
          <w:i/>
        </w:rPr>
        <w:t>disadvantages</w:t>
      </w:r>
      <w:r w:rsidRPr="00AD76EE">
        <w:t>” or “</w:t>
      </w:r>
      <w:r w:rsidRPr="00F25D4A">
        <w:rPr>
          <w:i/>
        </w:rPr>
        <w:t>vulnerabilities</w:t>
      </w:r>
      <w:r w:rsidRPr="00AD76EE">
        <w:t>”) to better account for the multiplicity of circumstances which may make a woman or girl more susceptible to being trafficked.</w:t>
      </w:r>
    </w:p>
  </w:footnote>
  <w:footnote w:id="10">
    <w:p w14:paraId="29163484" w14:textId="77777777" w:rsidR="00E838A5" w:rsidRDefault="00E838A5">
      <w:pPr>
        <w:pStyle w:val="FootnoteText"/>
      </w:pPr>
      <w:r>
        <w:rPr>
          <w:rStyle w:val="FootnoteReference"/>
        </w:rPr>
        <w:footnoteRef/>
      </w:r>
      <w:r>
        <w:t xml:space="preserve"> Draft General Recommendation, </w:t>
      </w:r>
      <w:r w:rsidRPr="00AB27EE">
        <w:t>¶</w:t>
      </w:r>
      <w:r>
        <w:t xml:space="preserve"> 12. </w:t>
      </w:r>
    </w:p>
  </w:footnote>
  <w:footnote w:id="11">
    <w:p w14:paraId="53E9651F" w14:textId="77777777" w:rsidR="00971FB3" w:rsidRPr="00445E1C" w:rsidRDefault="00971FB3" w:rsidP="00971FB3">
      <w:pPr>
        <w:pStyle w:val="FootnoteText"/>
      </w:pPr>
      <w:r w:rsidRPr="00445E1C">
        <w:rPr>
          <w:rStyle w:val="FootnoteReference"/>
        </w:rPr>
        <w:footnoteRef/>
      </w:r>
      <w:r>
        <w:t xml:space="preserve"> </w:t>
      </w:r>
      <w:r w:rsidRPr="00445E1C">
        <w:rPr>
          <w:i/>
        </w:rPr>
        <w:t xml:space="preserve">See </w:t>
      </w:r>
      <w:r w:rsidRPr="00445E1C">
        <w:t xml:space="preserve">Kathleen Barry, </w:t>
      </w:r>
      <w:r w:rsidRPr="00445E1C">
        <w:rPr>
          <w:i/>
        </w:rPr>
        <w:t>Prostitution of Sexuality: Global Exploitation of Women</w:t>
      </w:r>
      <w:r w:rsidRPr="00445E1C">
        <w:t xml:space="preserve"> (</w:t>
      </w:r>
      <w:r w:rsidR="00F62A58">
        <w:t xml:space="preserve">NYU Press, </w:t>
      </w:r>
      <w:r w:rsidRPr="00445E1C">
        <w:t xml:space="preserve">1995) 33 </w:t>
      </w:r>
      <w:r w:rsidRPr="00F62A58">
        <w:t>(“[w]</w:t>
      </w:r>
      <w:r w:rsidRPr="009B1928">
        <w:rPr>
          <w:i/>
        </w:rPr>
        <w:t>hen it is treated as a thing to be taken, the human being is rendered into a thing, an objectification that not only violates human rights but also destroys human dignity, which is a fundamental precondition to human rights</w:t>
      </w:r>
      <w:r w:rsidRPr="00F62A58">
        <w:t>.”);</w:t>
      </w:r>
      <w:r w:rsidR="00747917">
        <w:t xml:space="preserve"> </w:t>
      </w:r>
      <w:r w:rsidR="00747917">
        <w:rPr>
          <w:i/>
          <w:iCs/>
        </w:rPr>
        <w:t>see also</w:t>
      </w:r>
      <w:r w:rsidRPr="00445E1C">
        <w:t xml:space="preserve"> Melissa Farley et al., </w:t>
      </w:r>
      <w:r w:rsidRPr="00445E1C">
        <w:rPr>
          <w:i/>
        </w:rPr>
        <w:t>Prostitution and Trafficking in Nine Countries: An Update on Violence and Posttraumatic Stress Disorder</w:t>
      </w:r>
      <w:r w:rsidRPr="00445E1C">
        <w:t xml:space="preserve">, </w:t>
      </w:r>
      <w:r w:rsidR="00F62A58">
        <w:t xml:space="preserve">Vol. </w:t>
      </w:r>
      <w:r w:rsidRPr="00445E1C">
        <w:t>2</w:t>
      </w:r>
      <w:r w:rsidR="00F62A58">
        <w:t>, Issue 3-4</w:t>
      </w:r>
      <w:r w:rsidRPr="00445E1C">
        <w:t xml:space="preserve"> </w:t>
      </w:r>
      <w:r w:rsidRPr="00814057">
        <w:rPr>
          <w:smallCaps/>
        </w:rPr>
        <w:t>J. of Trauma Practice</w:t>
      </w:r>
      <w:r w:rsidRPr="00445E1C">
        <w:t xml:space="preserve"> 33, 34 (200</w:t>
      </w:r>
      <w:r w:rsidR="00F62A58">
        <w:t>4</w:t>
      </w:r>
      <w:r w:rsidRPr="00445E1C">
        <w:t>), (“</w:t>
      </w:r>
      <w:r w:rsidRPr="009B1928">
        <w:rPr>
          <w:i/>
          <w:iCs/>
        </w:rPr>
        <w:t>Prostitution dehumanizes, commodifies and fetishes women</w:t>
      </w:r>
      <w:r w:rsidRPr="00814057">
        <w:rPr>
          <w:iCs/>
        </w:rPr>
        <w:t>.”</w:t>
      </w:r>
      <w:r w:rsidRPr="00445E1C">
        <w:t>).</w:t>
      </w:r>
    </w:p>
  </w:footnote>
  <w:footnote w:id="12">
    <w:p w14:paraId="3BD946CE" w14:textId="77777777" w:rsidR="00142D48" w:rsidRPr="00445E1C" w:rsidRDefault="00142D48" w:rsidP="00142D48">
      <w:pPr>
        <w:pStyle w:val="FootnoteText"/>
        <w:ind w:right="-2016"/>
        <w:jc w:val="left"/>
      </w:pPr>
      <w:r w:rsidRPr="00445E1C">
        <w:rPr>
          <w:rStyle w:val="FootnoteReference"/>
        </w:rPr>
        <w:footnoteRef/>
      </w:r>
      <w:r>
        <w:t xml:space="preserve"> </w:t>
      </w:r>
      <w:r w:rsidRPr="00445E1C">
        <w:t>Concept Note, ¶ 25.</w:t>
      </w:r>
    </w:p>
  </w:footnote>
  <w:footnote w:id="13">
    <w:p w14:paraId="197E1FEF" w14:textId="77777777" w:rsidR="00F5381C" w:rsidRDefault="00F5381C">
      <w:pPr>
        <w:pStyle w:val="FootnoteText"/>
      </w:pPr>
      <w:r>
        <w:rPr>
          <w:rStyle w:val="FootnoteReference"/>
        </w:rPr>
        <w:footnoteRef/>
      </w:r>
      <w:r>
        <w:t xml:space="preserve"> </w:t>
      </w:r>
      <w:r w:rsidR="007723A1">
        <w:t xml:space="preserve">Draft </w:t>
      </w:r>
      <w:r>
        <w:t xml:space="preserve">General Recommendation, </w:t>
      </w:r>
      <w:r w:rsidR="0052480E" w:rsidRPr="00445E1C">
        <w:t>¶</w:t>
      </w:r>
      <w:r>
        <w:t xml:space="preserve"> 28.  We suggest supplementing th</w:t>
      </w:r>
      <w:r w:rsidRPr="00F5381C">
        <w:t>e reference to “</w:t>
      </w:r>
      <w:r w:rsidRPr="00456EB5">
        <w:rPr>
          <w:i/>
        </w:rPr>
        <w:t>normalization of gender-based violence against women</w:t>
      </w:r>
      <w:r w:rsidRPr="00F5381C">
        <w:t xml:space="preserve">” </w:t>
      </w:r>
      <w:r>
        <w:t xml:space="preserve">in paragraph 28 </w:t>
      </w:r>
      <w:r w:rsidRPr="00F5381C">
        <w:t>by adding “</w:t>
      </w:r>
      <w:r w:rsidRPr="00456EB5">
        <w:rPr>
          <w:i/>
        </w:rPr>
        <w:t>and girls in the public and private spheres, including sexual and other types of exploitation</w:t>
      </w:r>
      <w:r w:rsidRPr="00F5381C">
        <w:t xml:space="preserve">” to </w:t>
      </w:r>
      <w:r w:rsidR="00202CF5">
        <w:t>better align this language with</w:t>
      </w:r>
      <w:r w:rsidRPr="00F5381C">
        <w:t xml:space="preserve"> Target 5.2 of Goal #5 referenced therein.  </w:t>
      </w:r>
    </w:p>
  </w:footnote>
  <w:footnote w:id="14">
    <w:p w14:paraId="169BD829" w14:textId="77777777" w:rsidR="00142D48" w:rsidRPr="00AB27EE" w:rsidRDefault="00142D48">
      <w:pPr>
        <w:pStyle w:val="FootnoteText"/>
      </w:pPr>
      <w:r w:rsidRPr="00AB27EE">
        <w:rPr>
          <w:rStyle w:val="FootnoteReference"/>
        </w:rPr>
        <w:footnoteRef/>
      </w:r>
      <w:r w:rsidR="00CA4A2D" w:rsidRPr="00AB27EE">
        <w:t xml:space="preserve"> </w:t>
      </w:r>
      <w:r w:rsidR="007723A1">
        <w:t xml:space="preserve">Draft </w:t>
      </w:r>
      <w:r w:rsidR="00CA4A2D" w:rsidRPr="00AB27EE">
        <w:t xml:space="preserve">General Recommendation, </w:t>
      </w:r>
      <w:r w:rsidR="00711874" w:rsidRPr="00445E1C">
        <w:t>¶</w:t>
      </w:r>
      <w:r w:rsidR="00CA4A2D" w:rsidRPr="00AB27EE">
        <w:t xml:space="preserve"> 19.</w:t>
      </w:r>
    </w:p>
  </w:footnote>
  <w:footnote w:id="15">
    <w:p w14:paraId="73C0698B" w14:textId="77777777" w:rsidR="00C43FD0" w:rsidRPr="00AB27EE" w:rsidRDefault="00C43FD0" w:rsidP="00B003B4">
      <w:pPr>
        <w:pStyle w:val="FootnoteText"/>
      </w:pPr>
      <w:r w:rsidRPr="00AB27EE">
        <w:rPr>
          <w:rStyle w:val="FootnoteReference"/>
        </w:rPr>
        <w:footnoteRef/>
      </w:r>
      <w:r w:rsidRPr="00AB27EE">
        <w:t xml:space="preserve"> Related to this issue, we note that paragraph 20 of the </w:t>
      </w:r>
      <w:r w:rsidR="007723A1">
        <w:t xml:space="preserve">Draft </w:t>
      </w:r>
      <w:r w:rsidRPr="00AB27EE">
        <w:t>General Recommendation refers to “</w:t>
      </w:r>
      <w:r w:rsidRPr="00456EB5">
        <w:rPr>
          <w:i/>
        </w:rPr>
        <w:t>demand for cheap and/or forced labour, including the demand for sexual exploitation</w:t>
      </w:r>
      <w:r w:rsidRPr="00AB27EE">
        <w:t xml:space="preserve">.” </w:t>
      </w:r>
      <w:r w:rsidR="00294097">
        <w:t xml:space="preserve"> </w:t>
      </w:r>
      <w:r w:rsidR="00814057">
        <w:t>P</w:t>
      </w:r>
      <w:r w:rsidR="00B003B4" w:rsidRPr="00AB27EE">
        <w:t xml:space="preserve">lease consider making sexual exploitation the focus </w:t>
      </w:r>
      <w:r w:rsidR="00034AD0" w:rsidRPr="00AB27EE">
        <w:t xml:space="preserve">of this paragraph instead, particularly </w:t>
      </w:r>
      <w:r w:rsidR="00B003B4" w:rsidRPr="00AB27EE">
        <w:t xml:space="preserve">given the statistics </w:t>
      </w:r>
      <w:r w:rsidR="00034AD0" w:rsidRPr="00AB27EE">
        <w:t xml:space="preserve">that are </w:t>
      </w:r>
      <w:r w:rsidR="00B003B4" w:rsidRPr="00AB27EE">
        <w:t>cited in paragraph 12, which show that only 35% of women are trafficked for forced labor purposes.</w:t>
      </w:r>
      <w:r w:rsidR="00814057">
        <w:t xml:space="preserve"> In any case, </w:t>
      </w:r>
      <w:r w:rsidR="00814057" w:rsidRPr="00AB27EE">
        <w:t>we reject the notion of equalizing sexual exploitation with forced labor</w:t>
      </w:r>
      <w:r w:rsidR="00814057">
        <w:t>.</w:t>
      </w:r>
    </w:p>
  </w:footnote>
  <w:footnote w:id="16">
    <w:p w14:paraId="379DF2BB" w14:textId="77777777" w:rsidR="009A5D90" w:rsidRDefault="009A5D90">
      <w:pPr>
        <w:pStyle w:val="FootnoteText"/>
      </w:pPr>
      <w:r>
        <w:rPr>
          <w:rStyle w:val="FootnoteReference"/>
        </w:rPr>
        <w:footnoteRef/>
      </w:r>
      <w:r>
        <w:t xml:space="preserve"> </w:t>
      </w:r>
      <w:r w:rsidR="007723A1">
        <w:t xml:space="preserve">Draft </w:t>
      </w:r>
      <w:r>
        <w:t xml:space="preserve">General Recommendation, </w:t>
      </w:r>
      <w:r w:rsidR="00711874" w:rsidRPr="00445E1C">
        <w:t>¶¶</w:t>
      </w:r>
      <w:r>
        <w:t xml:space="preserve"> 33</w:t>
      </w:r>
      <w:r w:rsidR="00711874">
        <w:t>–</w:t>
      </w:r>
      <w:r>
        <w:t>65.</w:t>
      </w:r>
    </w:p>
  </w:footnote>
  <w:footnote w:id="17">
    <w:p w14:paraId="4175C5E0" w14:textId="77777777" w:rsidR="00746D42" w:rsidRDefault="00746D42">
      <w:pPr>
        <w:pStyle w:val="FootnoteText"/>
      </w:pPr>
      <w:r>
        <w:rPr>
          <w:rStyle w:val="FootnoteReference"/>
        </w:rPr>
        <w:footnoteRef/>
      </w:r>
      <w:r>
        <w:t xml:space="preserve"> </w:t>
      </w:r>
      <w:r w:rsidR="007723A1">
        <w:t xml:space="preserve">Draft </w:t>
      </w:r>
      <w:r>
        <w:t xml:space="preserve">General Recommendation, </w:t>
      </w:r>
      <w:r w:rsidR="003B6FF3" w:rsidRPr="00445E1C">
        <w:t>¶</w:t>
      </w:r>
      <w:r>
        <w:t xml:space="preserve"> 9.</w:t>
      </w:r>
    </w:p>
  </w:footnote>
  <w:footnote w:id="18">
    <w:p w14:paraId="5E350953" w14:textId="77777777" w:rsidR="00101728" w:rsidRDefault="00101728" w:rsidP="00101728">
      <w:pPr>
        <w:pStyle w:val="FootnoteText"/>
      </w:pPr>
      <w:r>
        <w:rPr>
          <w:rStyle w:val="FootnoteReference"/>
        </w:rPr>
        <w:footnoteRef/>
      </w:r>
      <w:r>
        <w:t xml:space="preserve"> </w:t>
      </w:r>
      <w:r w:rsidR="007723A1">
        <w:t xml:space="preserve">Draft </w:t>
      </w:r>
      <w:r>
        <w:t xml:space="preserve">General Recommendation, </w:t>
      </w:r>
      <w:r w:rsidR="003B6FF3" w:rsidRPr="00445E1C">
        <w:t>¶</w:t>
      </w:r>
      <w:r w:rsidR="003B6FF3">
        <w:t xml:space="preserve"> </w:t>
      </w:r>
      <w:r>
        <w:t>29(g).</w:t>
      </w:r>
    </w:p>
  </w:footnote>
  <w:footnote w:id="19">
    <w:p w14:paraId="33B3A505" w14:textId="77777777" w:rsidR="009F422F" w:rsidRDefault="009F422F">
      <w:pPr>
        <w:pStyle w:val="FootnoteText"/>
      </w:pPr>
      <w:r>
        <w:rPr>
          <w:rStyle w:val="FootnoteReference"/>
        </w:rPr>
        <w:footnoteRef/>
      </w:r>
      <w:r>
        <w:t xml:space="preserve"> </w:t>
      </w:r>
      <w:r w:rsidR="007723A1">
        <w:t xml:space="preserve">Draft </w:t>
      </w:r>
      <w:r>
        <w:t xml:space="preserve">General Recommendation, </w:t>
      </w:r>
      <w:r w:rsidR="003B6FF3" w:rsidRPr="00445E1C">
        <w:t>¶</w:t>
      </w:r>
      <w:r>
        <w:t xml:space="preserve"> 32.</w:t>
      </w:r>
    </w:p>
  </w:footnote>
  <w:footnote w:id="20">
    <w:p w14:paraId="16F30334" w14:textId="0F188CDE" w:rsidR="0035719F" w:rsidRDefault="0035719F">
      <w:pPr>
        <w:pStyle w:val="FootnoteText"/>
      </w:pPr>
      <w:r>
        <w:rPr>
          <w:rStyle w:val="FootnoteReference"/>
        </w:rPr>
        <w:footnoteRef/>
      </w:r>
      <w:r>
        <w:t xml:space="preserve"> Draft General Recommendation, </w:t>
      </w:r>
      <w:r w:rsidRPr="00445E1C">
        <w:t>¶</w:t>
      </w:r>
      <w:r>
        <w:t xml:space="preserve"> 66.  </w:t>
      </w:r>
    </w:p>
  </w:footnote>
  <w:footnote w:id="21">
    <w:p w14:paraId="0DCE91ED" w14:textId="77777777" w:rsidR="00CB4665" w:rsidRDefault="00CB4665" w:rsidP="00F131D3">
      <w:pPr>
        <w:pStyle w:val="FootnoteText"/>
      </w:pPr>
      <w:r>
        <w:rPr>
          <w:rStyle w:val="FootnoteReference"/>
        </w:rPr>
        <w:footnoteRef/>
      </w:r>
      <w:r>
        <w:t xml:space="preserve"> </w:t>
      </w:r>
      <w:r w:rsidR="007723A1">
        <w:t xml:space="preserve">Draft </w:t>
      </w:r>
      <w:r>
        <w:t xml:space="preserve">General Recommendation, </w:t>
      </w:r>
      <w:r w:rsidR="003B6FF3" w:rsidRPr="00445E1C">
        <w:t>¶</w:t>
      </w:r>
      <w:r>
        <w:t xml:space="preserve"> 67.  We suggest adding a reference </w:t>
      </w:r>
      <w:r w:rsidRPr="00CB4665">
        <w:t>to “</w:t>
      </w:r>
      <w:r w:rsidRPr="00456EB5">
        <w:rPr>
          <w:i/>
        </w:rPr>
        <w:t>legal barriers</w:t>
      </w:r>
      <w:r w:rsidRPr="00CB4665">
        <w:t>” in addition to administrative, linguistic</w:t>
      </w:r>
      <w:r>
        <w:t xml:space="preserve"> and</w:t>
      </w:r>
      <w:r w:rsidRPr="00CB4665">
        <w:t xml:space="preserve"> cultural</w:t>
      </w:r>
      <w:r>
        <w:t xml:space="preserve"> barriers as migrant victims, especially those in irregular immigration status, often face significant legal obstacles to access assistance in the country where they currently reside.</w:t>
      </w:r>
    </w:p>
  </w:footnote>
  <w:footnote w:id="22">
    <w:p w14:paraId="48C0F429" w14:textId="77777777" w:rsidR="00F131D3" w:rsidRDefault="00F131D3" w:rsidP="00F131D3">
      <w:pPr>
        <w:pStyle w:val="FootnoteText"/>
      </w:pPr>
      <w:r>
        <w:rPr>
          <w:rStyle w:val="FootnoteReference"/>
        </w:rPr>
        <w:footnoteRef/>
      </w:r>
      <w:r>
        <w:t xml:space="preserve"> </w:t>
      </w:r>
      <w:r w:rsidR="007723A1">
        <w:t xml:space="preserve">Draft </w:t>
      </w:r>
      <w:r>
        <w:t xml:space="preserve">General Recommendation, </w:t>
      </w:r>
      <w:r w:rsidR="003B6FF3" w:rsidRPr="00445E1C">
        <w:t>¶</w:t>
      </w:r>
      <w:r>
        <w:t xml:space="preserve"> 82.</w:t>
      </w:r>
    </w:p>
  </w:footnote>
  <w:footnote w:id="23">
    <w:p w14:paraId="2D63922D" w14:textId="77777777" w:rsidR="00F131D3" w:rsidRDefault="00F131D3">
      <w:pPr>
        <w:pStyle w:val="FootnoteText"/>
      </w:pPr>
      <w:r>
        <w:rPr>
          <w:rStyle w:val="FootnoteReference"/>
        </w:rPr>
        <w:footnoteRef/>
      </w:r>
      <w:r>
        <w:t xml:space="preserve"> </w:t>
      </w:r>
      <w:r w:rsidR="007C5125" w:rsidRPr="00F73DC3">
        <w:rPr>
          <w:i/>
        </w:rPr>
        <w:t>Id</w:t>
      </w:r>
      <w:r w:rsidR="00786706">
        <w:t>.</w:t>
      </w:r>
    </w:p>
  </w:footnote>
  <w:footnote w:id="24">
    <w:p w14:paraId="5FEB948C" w14:textId="77777777" w:rsidR="00F131D3" w:rsidRPr="00445E1C" w:rsidRDefault="00F131D3" w:rsidP="00F131D3">
      <w:pPr>
        <w:pStyle w:val="FootnoteText"/>
      </w:pPr>
      <w:r w:rsidRPr="00445E1C">
        <w:rPr>
          <w:rStyle w:val="FootnoteReference"/>
        </w:rPr>
        <w:footnoteRef/>
      </w:r>
      <w:r w:rsidRPr="00445E1C">
        <w:t xml:space="preserve"> </w:t>
      </w:r>
      <w:r w:rsidRPr="00445E1C">
        <w:rPr>
          <w:i/>
        </w:rPr>
        <w:t xml:space="preserve">See </w:t>
      </w:r>
      <w:r w:rsidRPr="00445E1C">
        <w:t xml:space="preserve">Julie Bindel &amp; Liz Kelly, </w:t>
      </w:r>
      <w:r w:rsidRPr="00445E1C">
        <w:rPr>
          <w:i/>
        </w:rPr>
        <w:t>A Critical Examination of Responses to Prostitution in Four Countries: Victoria, Australia; Ireland; the Netherlands; and Sweden, London Metropolitan University</w:t>
      </w:r>
      <w:r w:rsidRPr="00445E1C">
        <w:t xml:space="preserve">, 78 (2003) (examining the Nordic Model and noting “[decriminalizing </w:t>
      </w:r>
      <w:r w:rsidR="002F228C">
        <w:t>solicitation</w:t>
      </w:r>
      <w:r w:rsidRPr="00445E1C">
        <w:t xml:space="preserve">] </w:t>
      </w:r>
      <w:r w:rsidRPr="00456EB5">
        <w:rPr>
          <w:i/>
        </w:rPr>
        <w:t xml:space="preserve">not only changes </w:t>
      </w:r>
      <w:r w:rsidR="002F228C">
        <w:t>[</w:t>
      </w:r>
      <w:r w:rsidR="002F228C" w:rsidRPr="0035719F">
        <w:t>women’s</w:t>
      </w:r>
      <w:r w:rsidR="002F228C">
        <w:t>]</w:t>
      </w:r>
      <w:r w:rsidRPr="00456EB5">
        <w:rPr>
          <w:i/>
        </w:rPr>
        <w:t xml:space="preserve"> legal status, but how they are seen and treated by others</w:t>
      </w:r>
      <w:r w:rsidRPr="00445E1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2840" w14:textId="77777777" w:rsidR="000416BA" w:rsidRDefault="0004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F66B" w14:textId="77777777" w:rsidR="00FE119B" w:rsidRPr="00C137FD" w:rsidRDefault="00FE119B" w:rsidP="00C137FD">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749B" w14:textId="77777777" w:rsidR="00100EE7" w:rsidRDefault="00100EE7">
    <w:pPr>
      <w:pStyle w:val="Header"/>
    </w:pPr>
    <w:r>
      <w:rPr>
        <w:noProof/>
      </w:rPr>
      <w:drawing>
        <wp:anchor distT="36576" distB="36576" distL="36576" distR="36576" simplePos="0" relativeHeight="251658240" behindDoc="0" locked="0" layoutInCell="1" allowOverlap="1" wp14:anchorId="40236CF6" wp14:editId="2A17E63F">
          <wp:simplePos x="0" y="0"/>
          <wp:positionH relativeFrom="margin">
            <wp:align>left</wp:align>
          </wp:positionH>
          <wp:positionV relativeFrom="topMargin">
            <wp:align>bottom</wp:align>
          </wp:positionV>
          <wp:extent cx="1776730" cy="426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54A4F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ACC87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C523C"/>
    <w:multiLevelType w:val="hybridMultilevel"/>
    <w:tmpl w:val="3B1AC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81CFD"/>
    <w:multiLevelType w:val="multilevel"/>
    <w:tmpl w:val="013C9686"/>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rFonts w:ascii="Times New Roman" w:hAnsi="Times New Roman" w:cs="Times New Roman" w:hint="default"/>
        <w:b/>
        <w:color w:val="auto"/>
        <w:sz w:val="24"/>
        <w:szCs w:val="24"/>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3886E23"/>
    <w:multiLevelType w:val="multilevel"/>
    <w:tmpl w:val="2F92851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163EC0"/>
    <w:multiLevelType w:val="multilevel"/>
    <w:tmpl w:val="2F92851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B83326"/>
    <w:multiLevelType w:val="multilevel"/>
    <w:tmpl w:val="2F92851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76765"/>
    <w:multiLevelType w:val="hybridMultilevel"/>
    <w:tmpl w:val="C5DE88E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BF903AC"/>
    <w:multiLevelType w:val="hybridMultilevel"/>
    <w:tmpl w:val="DFD2FC3A"/>
    <w:lvl w:ilvl="0" w:tplc="F912CA5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6"/>
  </w:num>
  <w:num w:numId="5">
    <w:abstractNumId w:val="4"/>
  </w:num>
  <w:num w:numId="6">
    <w:abstractNumId w:val="3"/>
  </w:num>
  <w:num w:numId="7">
    <w:abstractNumId w:val="5"/>
  </w:num>
  <w:num w:numId="8">
    <w:abstractNumId w:val="7"/>
  </w:num>
  <w:num w:numId="9">
    <w:abstractNumId w:val="3"/>
  </w:num>
  <w:num w:numId="10">
    <w:abstractNumId w:val="3"/>
  </w:num>
  <w:num w:numId="11">
    <w:abstractNumId w:val="8"/>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Date" w:val="False"/>
    <w:docVar w:name="DocIDType" w:val="EndOfDoc"/>
    <w:docVar w:name="LegacyDocIDRemoved" w:val="True"/>
  </w:docVars>
  <w:rsids>
    <w:rsidRoot w:val="00B365E5"/>
    <w:rsid w:val="00011551"/>
    <w:rsid w:val="00012345"/>
    <w:rsid w:val="00013B96"/>
    <w:rsid w:val="00014858"/>
    <w:rsid w:val="00017E9F"/>
    <w:rsid w:val="00020966"/>
    <w:rsid w:val="00022953"/>
    <w:rsid w:val="000235F0"/>
    <w:rsid w:val="00025C87"/>
    <w:rsid w:val="00031570"/>
    <w:rsid w:val="000329E3"/>
    <w:rsid w:val="00034A3C"/>
    <w:rsid w:val="00034AD0"/>
    <w:rsid w:val="00040A52"/>
    <w:rsid w:val="000416BA"/>
    <w:rsid w:val="000519BB"/>
    <w:rsid w:val="00052B86"/>
    <w:rsid w:val="00053398"/>
    <w:rsid w:val="000550D0"/>
    <w:rsid w:val="00057D97"/>
    <w:rsid w:val="00065A2F"/>
    <w:rsid w:val="00066782"/>
    <w:rsid w:val="0006795D"/>
    <w:rsid w:val="000713C2"/>
    <w:rsid w:val="00072953"/>
    <w:rsid w:val="00075A35"/>
    <w:rsid w:val="00075C0B"/>
    <w:rsid w:val="00083344"/>
    <w:rsid w:val="0009370D"/>
    <w:rsid w:val="000A04D5"/>
    <w:rsid w:val="000A0ED0"/>
    <w:rsid w:val="000A1AB4"/>
    <w:rsid w:val="000A68CF"/>
    <w:rsid w:val="000B3185"/>
    <w:rsid w:val="000B6A2B"/>
    <w:rsid w:val="000B6C5E"/>
    <w:rsid w:val="000C25FF"/>
    <w:rsid w:val="000D00A2"/>
    <w:rsid w:val="000D4633"/>
    <w:rsid w:val="000D4862"/>
    <w:rsid w:val="000D5209"/>
    <w:rsid w:val="000E1481"/>
    <w:rsid w:val="000E5E90"/>
    <w:rsid w:val="000E730C"/>
    <w:rsid w:val="000F5A5C"/>
    <w:rsid w:val="000F7EFE"/>
    <w:rsid w:val="00100EE7"/>
    <w:rsid w:val="00101728"/>
    <w:rsid w:val="00103540"/>
    <w:rsid w:val="00104CD5"/>
    <w:rsid w:val="00105D0B"/>
    <w:rsid w:val="00110E3C"/>
    <w:rsid w:val="00110FE4"/>
    <w:rsid w:val="001121B2"/>
    <w:rsid w:val="00117C82"/>
    <w:rsid w:val="00123810"/>
    <w:rsid w:val="0012702F"/>
    <w:rsid w:val="00130F1D"/>
    <w:rsid w:val="001310DE"/>
    <w:rsid w:val="00131401"/>
    <w:rsid w:val="0013515F"/>
    <w:rsid w:val="001352C0"/>
    <w:rsid w:val="001356CF"/>
    <w:rsid w:val="001360C4"/>
    <w:rsid w:val="00136534"/>
    <w:rsid w:val="00141839"/>
    <w:rsid w:val="00142D48"/>
    <w:rsid w:val="00144196"/>
    <w:rsid w:val="00146289"/>
    <w:rsid w:val="001472E3"/>
    <w:rsid w:val="00150909"/>
    <w:rsid w:val="001544B4"/>
    <w:rsid w:val="00154AB9"/>
    <w:rsid w:val="00160B01"/>
    <w:rsid w:val="00164377"/>
    <w:rsid w:val="001711B1"/>
    <w:rsid w:val="00180374"/>
    <w:rsid w:val="001805AA"/>
    <w:rsid w:val="0018141C"/>
    <w:rsid w:val="00183AF8"/>
    <w:rsid w:val="001860CC"/>
    <w:rsid w:val="00190F6B"/>
    <w:rsid w:val="001928C4"/>
    <w:rsid w:val="00193F24"/>
    <w:rsid w:val="00195F05"/>
    <w:rsid w:val="001A2176"/>
    <w:rsid w:val="001A3008"/>
    <w:rsid w:val="001A5913"/>
    <w:rsid w:val="001A66B3"/>
    <w:rsid w:val="001B75E2"/>
    <w:rsid w:val="001C31BC"/>
    <w:rsid w:val="001C3F02"/>
    <w:rsid w:val="001D1832"/>
    <w:rsid w:val="001D1FDA"/>
    <w:rsid w:val="001D6048"/>
    <w:rsid w:val="001D7745"/>
    <w:rsid w:val="001F649B"/>
    <w:rsid w:val="001F6F40"/>
    <w:rsid w:val="00202CF5"/>
    <w:rsid w:val="0021327C"/>
    <w:rsid w:val="002138CD"/>
    <w:rsid w:val="00214AA3"/>
    <w:rsid w:val="0021521E"/>
    <w:rsid w:val="00217FB1"/>
    <w:rsid w:val="00221941"/>
    <w:rsid w:val="00222C8B"/>
    <w:rsid w:val="0022460F"/>
    <w:rsid w:val="0022611C"/>
    <w:rsid w:val="002330E9"/>
    <w:rsid w:val="00234ADA"/>
    <w:rsid w:val="00237646"/>
    <w:rsid w:val="00241690"/>
    <w:rsid w:val="002427A8"/>
    <w:rsid w:val="00243ECD"/>
    <w:rsid w:val="00245021"/>
    <w:rsid w:val="00245954"/>
    <w:rsid w:val="00246067"/>
    <w:rsid w:val="002513B6"/>
    <w:rsid w:val="00251F1C"/>
    <w:rsid w:val="00252E2F"/>
    <w:rsid w:val="00260727"/>
    <w:rsid w:val="002608F4"/>
    <w:rsid w:val="0026406D"/>
    <w:rsid w:val="00266058"/>
    <w:rsid w:val="00281895"/>
    <w:rsid w:val="00282B09"/>
    <w:rsid w:val="00286504"/>
    <w:rsid w:val="00292507"/>
    <w:rsid w:val="00293B1D"/>
    <w:rsid w:val="00294097"/>
    <w:rsid w:val="00296DC9"/>
    <w:rsid w:val="002A0A23"/>
    <w:rsid w:val="002A229C"/>
    <w:rsid w:val="002B5A6C"/>
    <w:rsid w:val="002C163B"/>
    <w:rsid w:val="002C688D"/>
    <w:rsid w:val="002D6229"/>
    <w:rsid w:val="002E2E48"/>
    <w:rsid w:val="002E4427"/>
    <w:rsid w:val="002E4880"/>
    <w:rsid w:val="002E7726"/>
    <w:rsid w:val="002F228C"/>
    <w:rsid w:val="002F6D8D"/>
    <w:rsid w:val="00300323"/>
    <w:rsid w:val="00301C65"/>
    <w:rsid w:val="0030380C"/>
    <w:rsid w:val="003063D5"/>
    <w:rsid w:val="003170AE"/>
    <w:rsid w:val="0032501A"/>
    <w:rsid w:val="0032644C"/>
    <w:rsid w:val="0033396B"/>
    <w:rsid w:val="00334CC5"/>
    <w:rsid w:val="00334E3C"/>
    <w:rsid w:val="0034436F"/>
    <w:rsid w:val="00345116"/>
    <w:rsid w:val="003515CD"/>
    <w:rsid w:val="0035719F"/>
    <w:rsid w:val="00360043"/>
    <w:rsid w:val="00364C04"/>
    <w:rsid w:val="00372DE9"/>
    <w:rsid w:val="00372E66"/>
    <w:rsid w:val="003773F6"/>
    <w:rsid w:val="003822D1"/>
    <w:rsid w:val="00390067"/>
    <w:rsid w:val="00390183"/>
    <w:rsid w:val="00390587"/>
    <w:rsid w:val="003966A8"/>
    <w:rsid w:val="003A2DE7"/>
    <w:rsid w:val="003A61A4"/>
    <w:rsid w:val="003B3EE3"/>
    <w:rsid w:val="003B62E7"/>
    <w:rsid w:val="003B6FF3"/>
    <w:rsid w:val="003C1ADE"/>
    <w:rsid w:val="003C30B1"/>
    <w:rsid w:val="003C3D12"/>
    <w:rsid w:val="003D2373"/>
    <w:rsid w:val="003D25B7"/>
    <w:rsid w:val="003D2F40"/>
    <w:rsid w:val="003D44AB"/>
    <w:rsid w:val="003E1E39"/>
    <w:rsid w:val="003E20A1"/>
    <w:rsid w:val="003F1E8B"/>
    <w:rsid w:val="003F252D"/>
    <w:rsid w:val="003F6C16"/>
    <w:rsid w:val="004049B0"/>
    <w:rsid w:val="004071DA"/>
    <w:rsid w:val="004078EA"/>
    <w:rsid w:val="00410290"/>
    <w:rsid w:val="0041607D"/>
    <w:rsid w:val="0042285B"/>
    <w:rsid w:val="00430347"/>
    <w:rsid w:val="004324F5"/>
    <w:rsid w:val="004375A5"/>
    <w:rsid w:val="0044164F"/>
    <w:rsid w:val="00443187"/>
    <w:rsid w:val="0045046A"/>
    <w:rsid w:val="00456E66"/>
    <w:rsid w:val="00456EB5"/>
    <w:rsid w:val="00462890"/>
    <w:rsid w:val="00463D7B"/>
    <w:rsid w:val="00463DDC"/>
    <w:rsid w:val="004737D4"/>
    <w:rsid w:val="004779B1"/>
    <w:rsid w:val="00477D0E"/>
    <w:rsid w:val="004A286B"/>
    <w:rsid w:val="004B1D90"/>
    <w:rsid w:val="004B66C6"/>
    <w:rsid w:val="004C3192"/>
    <w:rsid w:val="004D0111"/>
    <w:rsid w:val="004D6935"/>
    <w:rsid w:val="004E015B"/>
    <w:rsid w:val="004E41A8"/>
    <w:rsid w:val="004E455D"/>
    <w:rsid w:val="004F1154"/>
    <w:rsid w:val="004F3B47"/>
    <w:rsid w:val="004F40D5"/>
    <w:rsid w:val="00505725"/>
    <w:rsid w:val="005110B4"/>
    <w:rsid w:val="005116B8"/>
    <w:rsid w:val="00512656"/>
    <w:rsid w:val="005143EC"/>
    <w:rsid w:val="005150D8"/>
    <w:rsid w:val="0052480E"/>
    <w:rsid w:val="00524D45"/>
    <w:rsid w:val="0053202F"/>
    <w:rsid w:val="00532703"/>
    <w:rsid w:val="0054253D"/>
    <w:rsid w:val="005442D3"/>
    <w:rsid w:val="00547BA0"/>
    <w:rsid w:val="0055047C"/>
    <w:rsid w:val="0056164D"/>
    <w:rsid w:val="00565BC6"/>
    <w:rsid w:val="0057530E"/>
    <w:rsid w:val="005776B5"/>
    <w:rsid w:val="00577C7D"/>
    <w:rsid w:val="005A2BBD"/>
    <w:rsid w:val="005A3D7A"/>
    <w:rsid w:val="005B45E1"/>
    <w:rsid w:val="005B7690"/>
    <w:rsid w:val="005C233A"/>
    <w:rsid w:val="005C31DB"/>
    <w:rsid w:val="005C35B8"/>
    <w:rsid w:val="005D0483"/>
    <w:rsid w:val="005E21FB"/>
    <w:rsid w:val="005E521A"/>
    <w:rsid w:val="005E7D53"/>
    <w:rsid w:val="005F1119"/>
    <w:rsid w:val="005F492C"/>
    <w:rsid w:val="005F53CA"/>
    <w:rsid w:val="00600D1D"/>
    <w:rsid w:val="00611F6A"/>
    <w:rsid w:val="0061364A"/>
    <w:rsid w:val="00623884"/>
    <w:rsid w:val="00624741"/>
    <w:rsid w:val="00634B7A"/>
    <w:rsid w:val="006471E7"/>
    <w:rsid w:val="0067355B"/>
    <w:rsid w:val="006761EE"/>
    <w:rsid w:val="0068127A"/>
    <w:rsid w:val="00692F37"/>
    <w:rsid w:val="00694E99"/>
    <w:rsid w:val="006950E6"/>
    <w:rsid w:val="00697D08"/>
    <w:rsid w:val="006B6C03"/>
    <w:rsid w:val="006C0C81"/>
    <w:rsid w:val="006C260A"/>
    <w:rsid w:val="006C3567"/>
    <w:rsid w:val="006C4487"/>
    <w:rsid w:val="006D0788"/>
    <w:rsid w:val="006D087F"/>
    <w:rsid w:val="006D1385"/>
    <w:rsid w:val="006E3218"/>
    <w:rsid w:val="006E71C6"/>
    <w:rsid w:val="006F183A"/>
    <w:rsid w:val="006F2998"/>
    <w:rsid w:val="0070393B"/>
    <w:rsid w:val="00711874"/>
    <w:rsid w:val="00713817"/>
    <w:rsid w:val="00715307"/>
    <w:rsid w:val="00721D12"/>
    <w:rsid w:val="00732C10"/>
    <w:rsid w:val="0073358E"/>
    <w:rsid w:val="00734F67"/>
    <w:rsid w:val="007448D6"/>
    <w:rsid w:val="0074617E"/>
    <w:rsid w:val="00746D42"/>
    <w:rsid w:val="00747917"/>
    <w:rsid w:val="0075201C"/>
    <w:rsid w:val="00755DB4"/>
    <w:rsid w:val="00756B20"/>
    <w:rsid w:val="00760892"/>
    <w:rsid w:val="007621CF"/>
    <w:rsid w:val="0076362B"/>
    <w:rsid w:val="0076541D"/>
    <w:rsid w:val="00771835"/>
    <w:rsid w:val="007723A1"/>
    <w:rsid w:val="00772BB9"/>
    <w:rsid w:val="00780486"/>
    <w:rsid w:val="00783690"/>
    <w:rsid w:val="00783A28"/>
    <w:rsid w:val="00783C9A"/>
    <w:rsid w:val="00786706"/>
    <w:rsid w:val="00787C1D"/>
    <w:rsid w:val="00794A2F"/>
    <w:rsid w:val="00796462"/>
    <w:rsid w:val="00797EEB"/>
    <w:rsid w:val="007A634F"/>
    <w:rsid w:val="007B1F95"/>
    <w:rsid w:val="007C5125"/>
    <w:rsid w:val="007C5BB1"/>
    <w:rsid w:val="007D4486"/>
    <w:rsid w:val="007E1404"/>
    <w:rsid w:val="007E5BB4"/>
    <w:rsid w:val="007F00CC"/>
    <w:rsid w:val="007F5865"/>
    <w:rsid w:val="007F779F"/>
    <w:rsid w:val="00801342"/>
    <w:rsid w:val="00803059"/>
    <w:rsid w:val="00803C55"/>
    <w:rsid w:val="0080499C"/>
    <w:rsid w:val="00804C04"/>
    <w:rsid w:val="00813956"/>
    <w:rsid w:val="00814057"/>
    <w:rsid w:val="00816225"/>
    <w:rsid w:val="008206E1"/>
    <w:rsid w:val="00820C73"/>
    <w:rsid w:val="0082388D"/>
    <w:rsid w:val="008251AB"/>
    <w:rsid w:val="00831E3E"/>
    <w:rsid w:val="008333FA"/>
    <w:rsid w:val="00834B32"/>
    <w:rsid w:val="008366A1"/>
    <w:rsid w:val="00841DF8"/>
    <w:rsid w:val="008564E1"/>
    <w:rsid w:val="0085763F"/>
    <w:rsid w:val="00860AA6"/>
    <w:rsid w:val="00860B29"/>
    <w:rsid w:val="00860C40"/>
    <w:rsid w:val="0086289C"/>
    <w:rsid w:val="008646AC"/>
    <w:rsid w:val="00890481"/>
    <w:rsid w:val="008B022A"/>
    <w:rsid w:val="008B1008"/>
    <w:rsid w:val="008C0FBB"/>
    <w:rsid w:val="008C31C0"/>
    <w:rsid w:val="008C531F"/>
    <w:rsid w:val="008D29A9"/>
    <w:rsid w:val="008E3D62"/>
    <w:rsid w:val="008E5D7F"/>
    <w:rsid w:val="008F2F9B"/>
    <w:rsid w:val="008F3C12"/>
    <w:rsid w:val="00900BEE"/>
    <w:rsid w:val="009218D6"/>
    <w:rsid w:val="00933BDD"/>
    <w:rsid w:val="0094043D"/>
    <w:rsid w:val="009435C5"/>
    <w:rsid w:val="00945386"/>
    <w:rsid w:val="00955F54"/>
    <w:rsid w:val="009561D5"/>
    <w:rsid w:val="00962376"/>
    <w:rsid w:val="0096635D"/>
    <w:rsid w:val="00966471"/>
    <w:rsid w:val="009717E5"/>
    <w:rsid w:val="00971FB3"/>
    <w:rsid w:val="00973D6D"/>
    <w:rsid w:val="00977C9C"/>
    <w:rsid w:val="00986FF9"/>
    <w:rsid w:val="00990233"/>
    <w:rsid w:val="00991E90"/>
    <w:rsid w:val="009932E2"/>
    <w:rsid w:val="009966D5"/>
    <w:rsid w:val="0099695E"/>
    <w:rsid w:val="009A0307"/>
    <w:rsid w:val="009A0617"/>
    <w:rsid w:val="009A4A2A"/>
    <w:rsid w:val="009A5D90"/>
    <w:rsid w:val="009A7911"/>
    <w:rsid w:val="009B1928"/>
    <w:rsid w:val="009B6EC0"/>
    <w:rsid w:val="009B7CA6"/>
    <w:rsid w:val="009C11DC"/>
    <w:rsid w:val="009C5DF0"/>
    <w:rsid w:val="009D51C5"/>
    <w:rsid w:val="009D5853"/>
    <w:rsid w:val="009D5C37"/>
    <w:rsid w:val="009E1E4E"/>
    <w:rsid w:val="009E3493"/>
    <w:rsid w:val="009E7210"/>
    <w:rsid w:val="009F120C"/>
    <w:rsid w:val="009F30F7"/>
    <w:rsid w:val="009F422F"/>
    <w:rsid w:val="009F441D"/>
    <w:rsid w:val="009F645E"/>
    <w:rsid w:val="00A011EF"/>
    <w:rsid w:val="00A02234"/>
    <w:rsid w:val="00A05B3C"/>
    <w:rsid w:val="00A05E18"/>
    <w:rsid w:val="00A0680C"/>
    <w:rsid w:val="00A131BF"/>
    <w:rsid w:val="00A16517"/>
    <w:rsid w:val="00A17DEB"/>
    <w:rsid w:val="00A200CB"/>
    <w:rsid w:val="00A255CB"/>
    <w:rsid w:val="00A3373E"/>
    <w:rsid w:val="00A37F91"/>
    <w:rsid w:val="00A4095E"/>
    <w:rsid w:val="00A422F9"/>
    <w:rsid w:val="00A614CA"/>
    <w:rsid w:val="00A74A08"/>
    <w:rsid w:val="00A8079E"/>
    <w:rsid w:val="00A829C7"/>
    <w:rsid w:val="00A92C80"/>
    <w:rsid w:val="00AA49FF"/>
    <w:rsid w:val="00AB27EE"/>
    <w:rsid w:val="00AC0D8E"/>
    <w:rsid w:val="00AD76EE"/>
    <w:rsid w:val="00AE014C"/>
    <w:rsid w:val="00AE16B3"/>
    <w:rsid w:val="00AE567B"/>
    <w:rsid w:val="00AE5A26"/>
    <w:rsid w:val="00AE79BE"/>
    <w:rsid w:val="00AF28AD"/>
    <w:rsid w:val="00B003B4"/>
    <w:rsid w:val="00B06880"/>
    <w:rsid w:val="00B11563"/>
    <w:rsid w:val="00B125BF"/>
    <w:rsid w:val="00B12709"/>
    <w:rsid w:val="00B12B29"/>
    <w:rsid w:val="00B141DC"/>
    <w:rsid w:val="00B15EDC"/>
    <w:rsid w:val="00B222B9"/>
    <w:rsid w:val="00B27DCD"/>
    <w:rsid w:val="00B318C2"/>
    <w:rsid w:val="00B323C9"/>
    <w:rsid w:val="00B33065"/>
    <w:rsid w:val="00B33C75"/>
    <w:rsid w:val="00B365E5"/>
    <w:rsid w:val="00B376D0"/>
    <w:rsid w:val="00B402AA"/>
    <w:rsid w:val="00B427D8"/>
    <w:rsid w:val="00B43B44"/>
    <w:rsid w:val="00B45D8C"/>
    <w:rsid w:val="00B4742F"/>
    <w:rsid w:val="00B478FC"/>
    <w:rsid w:val="00B60CE8"/>
    <w:rsid w:val="00B62082"/>
    <w:rsid w:val="00B66820"/>
    <w:rsid w:val="00B70405"/>
    <w:rsid w:val="00B725AB"/>
    <w:rsid w:val="00B905F2"/>
    <w:rsid w:val="00B959DD"/>
    <w:rsid w:val="00B95E7F"/>
    <w:rsid w:val="00BA6AEF"/>
    <w:rsid w:val="00BA6FC2"/>
    <w:rsid w:val="00BA7725"/>
    <w:rsid w:val="00BB1B17"/>
    <w:rsid w:val="00BB2966"/>
    <w:rsid w:val="00BB63C9"/>
    <w:rsid w:val="00BC036C"/>
    <w:rsid w:val="00BC14C4"/>
    <w:rsid w:val="00BC1F05"/>
    <w:rsid w:val="00BE33D7"/>
    <w:rsid w:val="00BF1E64"/>
    <w:rsid w:val="00BF5754"/>
    <w:rsid w:val="00C137FD"/>
    <w:rsid w:val="00C177B1"/>
    <w:rsid w:val="00C212F3"/>
    <w:rsid w:val="00C2395E"/>
    <w:rsid w:val="00C26739"/>
    <w:rsid w:val="00C2686C"/>
    <w:rsid w:val="00C300BD"/>
    <w:rsid w:val="00C33F75"/>
    <w:rsid w:val="00C43FD0"/>
    <w:rsid w:val="00C624E2"/>
    <w:rsid w:val="00C653E3"/>
    <w:rsid w:val="00C810E0"/>
    <w:rsid w:val="00C820E1"/>
    <w:rsid w:val="00C85F6F"/>
    <w:rsid w:val="00C867AD"/>
    <w:rsid w:val="00C918A2"/>
    <w:rsid w:val="00C91CA3"/>
    <w:rsid w:val="00CA27BF"/>
    <w:rsid w:val="00CA3BD7"/>
    <w:rsid w:val="00CA4A2D"/>
    <w:rsid w:val="00CA5EC0"/>
    <w:rsid w:val="00CB0C36"/>
    <w:rsid w:val="00CB1BAD"/>
    <w:rsid w:val="00CB3AAC"/>
    <w:rsid w:val="00CB4665"/>
    <w:rsid w:val="00CB7D13"/>
    <w:rsid w:val="00CC5C2C"/>
    <w:rsid w:val="00CE166D"/>
    <w:rsid w:val="00CE1AC2"/>
    <w:rsid w:val="00CE1CDE"/>
    <w:rsid w:val="00CE4B98"/>
    <w:rsid w:val="00CE65D6"/>
    <w:rsid w:val="00CE6BED"/>
    <w:rsid w:val="00CF14E2"/>
    <w:rsid w:val="00CF15BB"/>
    <w:rsid w:val="00CF1B34"/>
    <w:rsid w:val="00CF4245"/>
    <w:rsid w:val="00CF44E0"/>
    <w:rsid w:val="00CF6DB2"/>
    <w:rsid w:val="00D01817"/>
    <w:rsid w:val="00D018D0"/>
    <w:rsid w:val="00D03694"/>
    <w:rsid w:val="00D063C9"/>
    <w:rsid w:val="00D06616"/>
    <w:rsid w:val="00D127FA"/>
    <w:rsid w:val="00D13163"/>
    <w:rsid w:val="00D14BE9"/>
    <w:rsid w:val="00D16445"/>
    <w:rsid w:val="00D253B4"/>
    <w:rsid w:val="00D276BC"/>
    <w:rsid w:val="00D37CA8"/>
    <w:rsid w:val="00D43CDD"/>
    <w:rsid w:val="00D441B5"/>
    <w:rsid w:val="00D45CBA"/>
    <w:rsid w:val="00D54EEC"/>
    <w:rsid w:val="00D650FF"/>
    <w:rsid w:val="00D72197"/>
    <w:rsid w:val="00D73027"/>
    <w:rsid w:val="00D752A1"/>
    <w:rsid w:val="00D764EC"/>
    <w:rsid w:val="00D764F2"/>
    <w:rsid w:val="00D81566"/>
    <w:rsid w:val="00D81B62"/>
    <w:rsid w:val="00D92473"/>
    <w:rsid w:val="00D92605"/>
    <w:rsid w:val="00D95635"/>
    <w:rsid w:val="00DA1ABB"/>
    <w:rsid w:val="00DA3E65"/>
    <w:rsid w:val="00DA4069"/>
    <w:rsid w:val="00DB5EEA"/>
    <w:rsid w:val="00DB7E8C"/>
    <w:rsid w:val="00DC2E3D"/>
    <w:rsid w:val="00DC3A26"/>
    <w:rsid w:val="00DC6799"/>
    <w:rsid w:val="00DC7E4F"/>
    <w:rsid w:val="00DD5730"/>
    <w:rsid w:val="00DD7CAA"/>
    <w:rsid w:val="00DE6BC2"/>
    <w:rsid w:val="00DF462E"/>
    <w:rsid w:val="00E041A1"/>
    <w:rsid w:val="00E10068"/>
    <w:rsid w:val="00E1015B"/>
    <w:rsid w:val="00E131F8"/>
    <w:rsid w:val="00E17713"/>
    <w:rsid w:val="00E1775D"/>
    <w:rsid w:val="00E2082A"/>
    <w:rsid w:val="00E27105"/>
    <w:rsid w:val="00E30A58"/>
    <w:rsid w:val="00E3586B"/>
    <w:rsid w:val="00E46CEB"/>
    <w:rsid w:val="00E4741C"/>
    <w:rsid w:val="00E476A0"/>
    <w:rsid w:val="00E4774C"/>
    <w:rsid w:val="00E56E79"/>
    <w:rsid w:val="00E57BDF"/>
    <w:rsid w:val="00E63FB3"/>
    <w:rsid w:val="00E65137"/>
    <w:rsid w:val="00E72AB5"/>
    <w:rsid w:val="00E75FCE"/>
    <w:rsid w:val="00E770E8"/>
    <w:rsid w:val="00E8129E"/>
    <w:rsid w:val="00E82AFE"/>
    <w:rsid w:val="00E838A5"/>
    <w:rsid w:val="00E90CEC"/>
    <w:rsid w:val="00E92EF2"/>
    <w:rsid w:val="00EA0D4F"/>
    <w:rsid w:val="00EA533B"/>
    <w:rsid w:val="00EA73B5"/>
    <w:rsid w:val="00EB348B"/>
    <w:rsid w:val="00EB5CF3"/>
    <w:rsid w:val="00EC7939"/>
    <w:rsid w:val="00ED0874"/>
    <w:rsid w:val="00EE5DFD"/>
    <w:rsid w:val="00EF7FD9"/>
    <w:rsid w:val="00F025F7"/>
    <w:rsid w:val="00F03324"/>
    <w:rsid w:val="00F04E49"/>
    <w:rsid w:val="00F07280"/>
    <w:rsid w:val="00F07819"/>
    <w:rsid w:val="00F131D3"/>
    <w:rsid w:val="00F17E04"/>
    <w:rsid w:val="00F222DC"/>
    <w:rsid w:val="00F2351C"/>
    <w:rsid w:val="00F23C0E"/>
    <w:rsid w:val="00F30DBD"/>
    <w:rsid w:val="00F35CB5"/>
    <w:rsid w:val="00F3676B"/>
    <w:rsid w:val="00F41980"/>
    <w:rsid w:val="00F5381C"/>
    <w:rsid w:val="00F60631"/>
    <w:rsid w:val="00F619E0"/>
    <w:rsid w:val="00F61D5B"/>
    <w:rsid w:val="00F62A58"/>
    <w:rsid w:val="00F704C7"/>
    <w:rsid w:val="00F73DC3"/>
    <w:rsid w:val="00F76E4F"/>
    <w:rsid w:val="00F80C47"/>
    <w:rsid w:val="00F82910"/>
    <w:rsid w:val="00F87159"/>
    <w:rsid w:val="00F9225E"/>
    <w:rsid w:val="00F97E4C"/>
    <w:rsid w:val="00FA5A33"/>
    <w:rsid w:val="00FB28F5"/>
    <w:rsid w:val="00FB3778"/>
    <w:rsid w:val="00FB4528"/>
    <w:rsid w:val="00FB4DE3"/>
    <w:rsid w:val="00FC0D48"/>
    <w:rsid w:val="00FC1684"/>
    <w:rsid w:val="00FD1C2E"/>
    <w:rsid w:val="00FE119B"/>
    <w:rsid w:val="00FE221E"/>
    <w:rsid w:val="00FE7428"/>
    <w:rsid w:val="00FF0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BE1B5"/>
  <w15:chartTrackingRefBased/>
  <w15:docId w15:val="{0C196653-3820-45BB-8949-637845D9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A8"/>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4E41A8"/>
    <w:pPr>
      <w:keepNext/>
      <w:keepLines/>
      <w:numPr>
        <w:numId w:val="1"/>
      </w:numPr>
      <w:spacing w:before="240" w:after="240"/>
      <w:outlineLvl w:val="0"/>
    </w:pPr>
    <w:rPr>
      <w:rFonts w:eastAsiaTheme="majorEastAsia"/>
      <w:b/>
    </w:rPr>
  </w:style>
  <w:style w:type="paragraph" w:styleId="Heading2">
    <w:name w:val="heading 2"/>
    <w:basedOn w:val="Normal"/>
    <w:next w:val="Normal"/>
    <w:link w:val="Heading2Char"/>
    <w:uiPriority w:val="9"/>
    <w:unhideWhenUsed/>
    <w:rsid w:val="004E41A8"/>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4049B0"/>
    <w:pPr>
      <w:ind w:left="1440" w:hanging="720"/>
      <w:outlineLvl w:val="2"/>
    </w:pPr>
    <w:rPr>
      <w:rFonts w:ascii="Times New Roman" w:hAnsi="Times New Roman" w:cs="Times New Roman"/>
      <w:b/>
      <w:color w:val="auto"/>
      <w:sz w:val="24"/>
      <w:szCs w:val="24"/>
    </w:rPr>
  </w:style>
  <w:style w:type="paragraph" w:styleId="Heading4">
    <w:name w:val="heading 4"/>
    <w:basedOn w:val="Normal"/>
    <w:next w:val="Normal"/>
    <w:link w:val="Heading4Char"/>
    <w:uiPriority w:val="9"/>
    <w:semiHidden/>
    <w:unhideWhenUsed/>
    <w:rsid w:val="004E41A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41A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41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1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1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1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E5"/>
    <w:pPr>
      <w:tabs>
        <w:tab w:val="center" w:pos="4680"/>
        <w:tab w:val="right" w:pos="9360"/>
      </w:tabs>
    </w:pPr>
  </w:style>
  <w:style w:type="character" w:customStyle="1" w:styleId="HeaderChar">
    <w:name w:val="Header Char"/>
    <w:basedOn w:val="DefaultParagraphFont"/>
    <w:link w:val="Header"/>
    <w:uiPriority w:val="99"/>
    <w:rsid w:val="00B365E5"/>
  </w:style>
  <w:style w:type="paragraph" w:styleId="Footer">
    <w:name w:val="footer"/>
    <w:basedOn w:val="Normal"/>
    <w:link w:val="FooterChar"/>
    <w:uiPriority w:val="99"/>
    <w:unhideWhenUsed/>
    <w:rsid w:val="00B365E5"/>
    <w:pPr>
      <w:tabs>
        <w:tab w:val="center" w:pos="4680"/>
        <w:tab w:val="right" w:pos="9360"/>
      </w:tabs>
    </w:pPr>
  </w:style>
  <w:style w:type="character" w:customStyle="1" w:styleId="FooterChar">
    <w:name w:val="Footer Char"/>
    <w:basedOn w:val="DefaultParagraphFont"/>
    <w:link w:val="Footer"/>
    <w:uiPriority w:val="99"/>
    <w:rsid w:val="00B365E5"/>
  </w:style>
  <w:style w:type="character" w:styleId="Hyperlink">
    <w:name w:val="Hyperlink"/>
    <w:basedOn w:val="DefaultParagraphFont"/>
    <w:uiPriority w:val="99"/>
    <w:unhideWhenUsed/>
    <w:rsid w:val="00B365E5"/>
    <w:rPr>
      <w:color w:val="0563C1" w:themeColor="hyperlink"/>
      <w:u w:val="single"/>
    </w:rPr>
  </w:style>
  <w:style w:type="character" w:customStyle="1" w:styleId="Heading1Char">
    <w:name w:val="Heading 1 Char"/>
    <w:basedOn w:val="DefaultParagraphFont"/>
    <w:link w:val="Heading1"/>
    <w:uiPriority w:val="9"/>
    <w:rsid w:val="004E41A8"/>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4E41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49B0"/>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semiHidden/>
    <w:rsid w:val="004E41A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4E41A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4E41A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E41A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4E41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1A8"/>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7E5BB4"/>
    <w:rPr>
      <w:sz w:val="20"/>
      <w:szCs w:val="20"/>
    </w:rPr>
  </w:style>
  <w:style w:type="character" w:customStyle="1" w:styleId="FootnoteTextChar">
    <w:name w:val="Footnote Text Char"/>
    <w:basedOn w:val="DefaultParagraphFont"/>
    <w:link w:val="FootnoteText"/>
    <w:uiPriority w:val="99"/>
    <w:rsid w:val="007E5BB4"/>
    <w:rPr>
      <w:rFonts w:ascii="Times New Roman" w:hAnsi="Times New Roman" w:cs="Times New Roman"/>
      <w:sz w:val="20"/>
      <w:szCs w:val="20"/>
    </w:rPr>
  </w:style>
  <w:style w:type="character" w:styleId="FootnoteReference">
    <w:name w:val="footnote reference"/>
    <w:basedOn w:val="DefaultParagraphFont"/>
    <w:uiPriority w:val="99"/>
    <w:unhideWhenUsed/>
    <w:rsid w:val="007E5BB4"/>
    <w:rPr>
      <w:vertAlign w:val="superscript"/>
    </w:rPr>
  </w:style>
  <w:style w:type="paragraph" w:styleId="ListBullet">
    <w:name w:val="List Bullet"/>
    <w:basedOn w:val="Normal"/>
    <w:uiPriority w:val="99"/>
    <w:unhideWhenUsed/>
    <w:rsid w:val="00052B86"/>
    <w:pPr>
      <w:numPr>
        <w:numId w:val="2"/>
      </w:numPr>
      <w:contextualSpacing/>
    </w:pPr>
  </w:style>
  <w:style w:type="paragraph" w:styleId="ListNumber">
    <w:name w:val="List Number"/>
    <w:basedOn w:val="Normal"/>
    <w:uiPriority w:val="99"/>
    <w:unhideWhenUsed/>
    <w:qFormat/>
    <w:rsid w:val="00052B86"/>
    <w:pPr>
      <w:contextualSpacing/>
    </w:pPr>
  </w:style>
  <w:style w:type="character" w:customStyle="1" w:styleId="DocID">
    <w:name w:val="DocID"/>
    <w:basedOn w:val="DefaultParagraphFont"/>
    <w:rsid w:val="00DD7CAA"/>
    <w:rPr>
      <w:rFonts w:ascii="Times New Roman" w:hAnsi="Times New Roman" w:cs="Times New Roman"/>
      <w:b w:val="0"/>
      <w:i w:val="0"/>
      <w:caps w:val="0"/>
      <w:vanish w:val="0"/>
      <w:color w:val="000000"/>
      <w:sz w:val="16"/>
      <w:u w:val="none"/>
    </w:rPr>
  </w:style>
  <w:style w:type="character" w:styleId="CommentReference">
    <w:name w:val="annotation reference"/>
    <w:basedOn w:val="DefaultParagraphFont"/>
    <w:uiPriority w:val="99"/>
    <w:semiHidden/>
    <w:unhideWhenUsed/>
    <w:rsid w:val="00E75FCE"/>
    <w:rPr>
      <w:sz w:val="16"/>
      <w:szCs w:val="16"/>
    </w:rPr>
  </w:style>
  <w:style w:type="paragraph" w:styleId="CommentText">
    <w:name w:val="annotation text"/>
    <w:basedOn w:val="Normal"/>
    <w:link w:val="CommentTextChar"/>
    <w:uiPriority w:val="99"/>
    <w:semiHidden/>
    <w:unhideWhenUsed/>
    <w:rsid w:val="00E75FCE"/>
    <w:rPr>
      <w:sz w:val="20"/>
      <w:szCs w:val="20"/>
    </w:rPr>
  </w:style>
  <w:style w:type="character" w:customStyle="1" w:styleId="CommentTextChar">
    <w:name w:val="Comment Text Char"/>
    <w:basedOn w:val="DefaultParagraphFont"/>
    <w:link w:val="CommentText"/>
    <w:uiPriority w:val="99"/>
    <w:semiHidden/>
    <w:rsid w:val="00E75F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FCE"/>
    <w:rPr>
      <w:b/>
      <w:bCs/>
    </w:rPr>
  </w:style>
  <w:style w:type="character" w:customStyle="1" w:styleId="CommentSubjectChar">
    <w:name w:val="Comment Subject Char"/>
    <w:basedOn w:val="CommentTextChar"/>
    <w:link w:val="CommentSubject"/>
    <w:uiPriority w:val="99"/>
    <w:semiHidden/>
    <w:rsid w:val="00E75FC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75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CE"/>
    <w:rPr>
      <w:rFonts w:ascii="Segoe UI" w:hAnsi="Segoe UI" w:cs="Segoe UI"/>
      <w:sz w:val="18"/>
      <w:szCs w:val="18"/>
    </w:rPr>
  </w:style>
  <w:style w:type="paragraph" w:styleId="Revision">
    <w:name w:val="Revision"/>
    <w:hidden/>
    <w:uiPriority w:val="99"/>
    <w:semiHidden/>
    <w:rsid w:val="001C31B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70405"/>
    <w:pPr>
      <w:ind w:left="720"/>
      <w:contextualSpacing/>
    </w:pPr>
  </w:style>
  <w:style w:type="paragraph" w:customStyle="1" w:styleId="Single">
    <w:name w:val="Single"/>
    <w:basedOn w:val="Normal"/>
    <w:link w:val="SingleChar"/>
    <w:qFormat/>
    <w:rsid w:val="000329E3"/>
    <w:pPr>
      <w:spacing w:before="240"/>
      <w:ind w:firstLine="720"/>
      <w:jc w:val="left"/>
    </w:pPr>
    <w:rPr>
      <w:rFonts w:cstheme="minorBidi"/>
    </w:rPr>
  </w:style>
  <w:style w:type="paragraph" w:styleId="TOC1">
    <w:name w:val="toc 1"/>
    <w:basedOn w:val="Normal"/>
    <w:next w:val="Normal"/>
    <w:autoRedefine/>
    <w:semiHidden/>
    <w:rsid w:val="000329E3"/>
    <w:pPr>
      <w:ind w:right="720"/>
      <w:jc w:val="left"/>
    </w:pPr>
  </w:style>
  <w:style w:type="character" w:customStyle="1" w:styleId="SingleChar">
    <w:name w:val="Single Char"/>
    <w:basedOn w:val="DefaultParagraphFont"/>
    <w:link w:val="Single"/>
    <w:rsid w:val="000329E3"/>
    <w:rPr>
      <w:rFonts w:ascii="Times New Roman" w:hAnsi="Times New Roman"/>
      <w:sz w:val="24"/>
      <w:szCs w:val="24"/>
    </w:rPr>
  </w:style>
  <w:style w:type="character" w:styleId="PlaceholderText">
    <w:name w:val="Placeholder Text"/>
    <w:basedOn w:val="DefaultParagraphFont"/>
    <w:uiPriority w:val="99"/>
    <w:semiHidden/>
    <w:rsid w:val="009966D5"/>
    <w:rPr>
      <w:color w:val="808080"/>
    </w:rPr>
  </w:style>
  <w:style w:type="character" w:styleId="FollowedHyperlink">
    <w:name w:val="FollowedHyperlink"/>
    <w:basedOn w:val="DefaultParagraphFont"/>
    <w:uiPriority w:val="99"/>
    <w:semiHidden/>
    <w:unhideWhenUsed/>
    <w:rsid w:val="00A02234"/>
    <w:rPr>
      <w:color w:val="954F72" w:themeColor="followedHyperlink"/>
      <w:u w:val="single"/>
    </w:rPr>
  </w:style>
  <w:style w:type="table" w:styleId="TableGrid">
    <w:name w:val="Table Grid"/>
    <w:basedOn w:val="TableNormal"/>
    <w:uiPriority w:val="39"/>
    <w:rsid w:val="00D9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A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6587">
      <w:bodyDiv w:val="1"/>
      <w:marLeft w:val="0"/>
      <w:marRight w:val="0"/>
      <w:marTop w:val="0"/>
      <w:marBottom w:val="0"/>
      <w:divBdr>
        <w:top w:val="none" w:sz="0" w:space="0" w:color="auto"/>
        <w:left w:val="none" w:sz="0" w:space="0" w:color="auto"/>
        <w:bottom w:val="none" w:sz="0" w:space="0" w:color="auto"/>
        <w:right w:val="none" w:sz="0" w:space="0" w:color="auto"/>
      </w:divBdr>
    </w:div>
    <w:div w:id="341126558">
      <w:bodyDiv w:val="1"/>
      <w:marLeft w:val="0"/>
      <w:marRight w:val="0"/>
      <w:marTop w:val="0"/>
      <w:marBottom w:val="0"/>
      <w:divBdr>
        <w:top w:val="none" w:sz="0" w:space="0" w:color="auto"/>
        <w:left w:val="none" w:sz="0" w:space="0" w:color="auto"/>
        <w:bottom w:val="none" w:sz="0" w:space="0" w:color="auto"/>
        <w:right w:val="none" w:sz="0" w:space="0" w:color="auto"/>
      </w:divBdr>
    </w:div>
    <w:div w:id="388846069">
      <w:bodyDiv w:val="1"/>
      <w:marLeft w:val="0"/>
      <w:marRight w:val="0"/>
      <w:marTop w:val="0"/>
      <w:marBottom w:val="0"/>
      <w:divBdr>
        <w:top w:val="none" w:sz="0" w:space="0" w:color="auto"/>
        <w:left w:val="none" w:sz="0" w:space="0" w:color="auto"/>
        <w:bottom w:val="none" w:sz="0" w:space="0" w:color="auto"/>
        <w:right w:val="none" w:sz="0" w:space="0" w:color="auto"/>
      </w:divBdr>
      <w:divsChild>
        <w:div w:id="73138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1169325722">
      <w:bodyDiv w:val="1"/>
      <w:marLeft w:val="0"/>
      <w:marRight w:val="0"/>
      <w:marTop w:val="0"/>
      <w:marBottom w:val="0"/>
      <w:divBdr>
        <w:top w:val="none" w:sz="0" w:space="0" w:color="auto"/>
        <w:left w:val="none" w:sz="0" w:space="0" w:color="auto"/>
        <w:bottom w:val="none" w:sz="0" w:space="0" w:color="auto"/>
        <w:right w:val="none" w:sz="0" w:space="0" w:color="auto"/>
      </w:divBdr>
    </w:div>
    <w:div w:id="1644194884">
      <w:bodyDiv w:val="1"/>
      <w:marLeft w:val="0"/>
      <w:marRight w:val="0"/>
      <w:marTop w:val="0"/>
      <w:marBottom w:val="0"/>
      <w:divBdr>
        <w:top w:val="none" w:sz="0" w:space="0" w:color="auto"/>
        <w:left w:val="none" w:sz="0" w:space="0" w:color="auto"/>
        <w:bottom w:val="none" w:sz="0" w:space="0" w:color="auto"/>
        <w:right w:val="none" w:sz="0" w:space="0" w:color="auto"/>
      </w:divBdr>
    </w:div>
    <w:div w:id="1999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EDAW/Trafficking/ConceptNote.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6B12A1-7EC8-467B-9A16-91A09CF27260}">
  <ds:schemaRefs>
    <ds:schemaRef ds:uri="http://schemas.openxmlformats.org/officeDocument/2006/bibliography"/>
  </ds:schemaRefs>
</ds:datastoreItem>
</file>

<file path=customXml/itemProps2.xml><?xml version="1.0" encoding="utf-8"?>
<ds:datastoreItem xmlns:ds="http://schemas.openxmlformats.org/officeDocument/2006/customXml" ds:itemID="{196E2849-5033-4213-95A2-974EFC8268E4}"/>
</file>

<file path=customXml/itemProps3.xml><?xml version="1.0" encoding="utf-8"?>
<ds:datastoreItem xmlns:ds="http://schemas.openxmlformats.org/officeDocument/2006/customXml" ds:itemID="{8914A650-9F8A-4C95-B186-5824965FBDBC}"/>
</file>

<file path=customXml/itemProps4.xml><?xml version="1.0" encoding="utf-8"?>
<ds:datastoreItem xmlns:ds="http://schemas.openxmlformats.org/officeDocument/2006/customXml" ds:itemID="{6989AE00-461A-4FB8-A0E3-034BD4C7C96F}"/>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Genevieve B.</dc:creator>
  <cp:lastModifiedBy>Neely, Jaclyn</cp:lastModifiedBy>
  <cp:revision>5</cp:revision>
  <cp:lastPrinted>1900-01-01T05:00:00Z</cp:lastPrinted>
  <dcterms:created xsi:type="dcterms:W3CDTF">2020-05-14T13:56:00Z</dcterms:created>
  <dcterms:modified xsi:type="dcterms:W3CDTF">2020-05-15T17:57:00Z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