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916D" w14:textId="77777777" w:rsidR="00AA1CE4" w:rsidRPr="00AA1CE4" w:rsidRDefault="00AA1CE4" w:rsidP="00AA1CE4">
      <w:pPr>
        <w:pStyle w:val="Header"/>
        <w:jc w:val="center"/>
        <w:rPr>
          <w:rFonts w:cstheme="minorHAnsi"/>
        </w:rPr>
      </w:pPr>
      <w:r w:rsidRPr="00AA1CE4">
        <w:rPr>
          <w:rFonts w:cstheme="minorHAnsi"/>
        </w:rPr>
        <w:t xml:space="preserve">Submission to the </w:t>
      </w:r>
    </w:p>
    <w:p w14:paraId="24AAFFA3" w14:textId="77777777" w:rsidR="00AA1CE4" w:rsidRPr="00AA1CE4" w:rsidRDefault="00AA1CE4" w:rsidP="00AA1CE4">
      <w:pPr>
        <w:pStyle w:val="Header"/>
        <w:jc w:val="center"/>
        <w:rPr>
          <w:rFonts w:cstheme="minorHAnsi"/>
        </w:rPr>
      </w:pPr>
      <w:r w:rsidRPr="00AA1CE4">
        <w:rPr>
          <w:rFonts w:cstheme="minorHAnsi"/>
        </w:rPr>
        <w:t xml:space="preserve">Committee for the Elimination of Discrimination Against Women on the </w:t>
      </w:r>
    </w:p>
    <w:p w14:paraId="23ADF955" w14:textId="0800E056" w:rsidR="00AA1CE4" w:rsidRPr="00AA1CE4" w:rsidRDefault="00AA1CE4" w:rsidP="00AA1CE4">
      <w:pPr>
        <w:pStyle w:val="Header"/>
        <w:jc w:val="center"/>
        <w:rPr>
          <w:rFonts w:cstheme="minorHAnsi"/>
          <w:b/>
          <w:sz w:val="28"/>
          <w:szCs w:val="28"/>
        </w:rPr>
      </w:pPr>
      <w:r w:rsidRPr="00AA1CE4">
        <w:rPr>
          <w:rFonts w:cstheme="minorHAnsi"/>
          <w:b/>
          <w:sz w:val="28"/>
          <w:szCs w:val="28"/>
        </w:rPr>
        <w:t xml:space="preserve">DRAFT General recommendation on Trafficking in </w:t>
      </w:r>
    </w:p>
    <w:p w14:paraId="6442F7C9" w14:textId="77777777" w:rsidR="00AA1CE4" w:rsidRPr="00AA1CE4" w:rsidRDefault="00AA1CE4" w:rsidP="00AA1CE4">
      <w:pPr>
        <w:pStyle w:val="Header"/>
        <w:jc w:val="center"/>
        <w:rPr>
          <w:rFonts w:cstheme="minorHAnsi"/>
          <w:b/>
          <w:sz w:val="28"/>
          <w:szCs w:val="28"/>
        </w:rPr>
      </w:pPr>
      <w:r w:rsidRPr="00AA1CE4">
        <w:rPr>
          <w:rFonts w:cstheme="minorHAnsi"/>
          <w:b/>
          <w:sz w:val="28"/>
          <w:szCs w:val="28"/>
        </w:rPr>
        <w:t>Women and Girls in the Context of Global Migration</w:t>
      </w:r>
    </w:p>
    <w:p w14:paraId="2103B512" w14:textId="63B9035F" w:rsidR="00AA1CE4" w:rsidRPr="00AA1CE4" w:rsidRDefault="00AA1CE4">
      <w:pPr>
        <w:rPr>
          <w:rFonts w:cstheme="minorHAnsi"/>
        </w:rPr>
      </w:pPr>
    </w:p>
    <w:p w14:paraId="19701E5E" w14:textId="77777777" w:rsidR="00AA1CE4" w:rsidRPr="00AA1CE4" w:rsidRDefault="00AA1CE4" w:rsidP="00AA1CE4">
      <w:pPr>
        <w:rPr>
          <w:rFonts w:cstheme="minorHAnsi"/>
          <w:sz w:val="26"/>
          <w:szCs w:val="26"/>
        </w:rPr>
      </w:pPr>
      <w:r w:rsidRPr="00AA1CE4">
        <w:rPr>
          <w:rFonts w:cstheme="minorHAnsi"/>
          <w:b/>
          <w:sz w:val="26"/>
          <w:szCs w:val="26"/>
        </w:rPr>
        <w:t>Full name of Organisation:</w:t>
      </w:r>
      <w:r w:rsidRPr="00AA1CE4">
        <w:rPr>
          <w:rFonts w:cstheme="minorHAnsi"/>
          <w:sz w:val="26"/>
          <w:szCs w:val="26"/>
        </w:rPr>
        <w:t xml:space="preserve"> New Zealand Prostitutes’ Collective</w:t>
      </w:r>
    </w:p>
    <w:p w14:paraId="7D49BFBB" w14:textId="77777777" w:rsidR="00AA1CE4" w:rsidRPr="00AA1CE4" w:rsidRDefault="00AA1CE4" w:rsidP="00AA1CE4">
      <w:pPr>
        <w:rPr>
          <w:rFonts w:cstheme="minorHAnsi"/>
        </w:rPr>
      </w:pPr>
    </w:p>
    <w:p w14:paraId="114D62FF" w14:textId="77777777" w:rsidR="00AA1CE4" w:rsidRPr="00AA1CE4" w:rsidRDefault="00AA1CE4" w:rsidP="00AA1CE4">
      <w:pPr>
        <w:rPr>
          <w:rFonts w:cstheme="minorHAnsi"/>
          <w:sz w:val="26"/>
          <w:szCs w:val="26"/>
        </w:rPr>
      </w:pPr>
      <w:r w:rsidRPr="00AA1CE4">
        <w:rPr>
          <w:rFonts w:cstheme="minorHAnsi"/>
          <w:b/>
          <w:sz w:val="26"/>
          <w:szCs w:val="26"/>
        </w:rPr>
        <w:t>State party:</w:t>
      </w:r>
      <w:r w:rsidRPr="00AA1CE4">
        <w:rPr>
          <w:rFonts w:cstheme="minorHAnsi"/>
          <w:sz w:val="26"/>
          <w:szCs w:val="26"/>
        </w:rPr>
        <w:t xml:space="preserve"> New Zealand</w:t>
      </w:r>
    </w:p>
    <w:p w14:paraId="60DB8011" w14:textId="77777777" w:rsidR="00AA1CE4" w:rsidRPr="00AA1CE4" w:rsidRDefault="00AA1CE4" w:rsidP="00AA1CE4">
      <w:pPr>
        <w:rPr>
          <w:rFonts w:cstheme="minorHAnsi"/>
        </w:rPr>
      </w:pPr>
    </w:p>
    <w:p w14:paraId="5FCCE530" w14:textId="77777777" w:rsidR="00AA1CE4" w:rsidRPr="00AA1CE4" w:rsidRDefault="00AA1CE4" w:rsidP="00AA1CE4">
      <w:pPr>
        <w:rPr>
          <w:rFonts w:cstheme="minorHAnsi"/>
          <w:sz w:val="26"/>
          <w:szCs w:val="26"/>
        </w:rPr>
      </w:pPr>
      <w:r w:rsidRPr="00AA1CE4">
        <w:rPr>
          <w:rFonts w:cstheme="minorHAnsi"/>
          <w:b/>
          <w:sz w:val="26"/>
          <w:szCs w:val="26"/>
        </w:rPr>
        <w:t>Submission available to the public:</w:t>
      </w:r>
      <w:r w:rsidRPr="00AA1CE4">
        <w:rPr>
          <w:rFonts w:cstheme="minorHAnsi"/>
          <w:sz w:val="26"/>
          <w:szCs w:val="26"/>
        </w:rPr>
        <w:t xml:space="preserve"> Yes</w:t>
      </w:r>
    </w:p>
    <w:p w14:paraId="52815A8C" w14:textId="77777777" w:rsidR="00AA1CE4" w:rsidRPr="00AA1CE4" w:rsidRDefault="00AA1CE4" w:rsidP="00AA1CE4">
      <w:pPr>
        <w:rPr>
          <w:rFonts w:cstheme="minorHAnsi"/>
        </w:rPr>
      </w:pPr>
    </w:p>
    <w:p w14:paraId="6D3F4B85" w14:textId="3240C679" w:rsidR="00AA1CE4" w:rsidRPr="000C59DB" w:rsidRDefault="00AA1CE4" w:rsidP="000C59DB">
      <w:pPr>
        <w:pStyle w:val="ListParagraph"/>
        <w:numPr>
          <w:ilvl w:val="0"/>
          <w:numId w:val="11"/>
        </w:numPr>
        <w:rPr>
          <w:rFonts w:cstheme="minorHAnsi"/>
          <w:b/>
          <w:sz w:val="26"/>
          <w:szCs w:val="26"/>
          <w:u w:val="single"/>
        </w:rPr>
      </w:pPr>
      <w:r w:rsidRPr="000C59DB">
        <w:rPr>
          <w:rFonts w:cstheme="minorHAnsi"/>
          <w:b/>
          <w:sz w:val="26"/>
          <w:szCs w:val="26"/>
          <w:u w:val="single"/>
        </w:rPr>
        <w:t>Executive Summary</w:t>
      </w:r>
    </w:p>
    <w:p w14:paraId="01A5112C" w14:textId="28B19677" w:rsidR="00BE7951" w:rsidRPr="000C59DB" w:rsidRDefault="004B3CA2">
      <w:pPr>
        <w:rPr>
          <w:rFonts w:cstheme="minorHAnsi"/>
        </w:rPr>
      </w:pPr>
      <w:r w:rsidRPr="000C59DB">
        <w:rPr>
          <w:rFonts w:cstheme="minorHAnsi"/>
        </w:rPr>
        <w:t>NZPC supports the general tenor of the General Recommendation</w:t>
      </w:r>
      <w:r w:rsidR="00A97ABE" w:rsidRPr="000C59DB">
        <w:rPr>
          <w:rFonts w:cstheme="minorHAnsi"/>
        </w:rPr>
        <w:t xml:space="preserve"> (GR)</w:t>
      </w:r>
      <w:r w:rsidRPr="000C59DB">
        <w:rPr>
          <w:rFonts w:cstheme="minorHAnsi"/>
        </w:rPr>
        <w:t xml:space="preserve"> but </w:t>
      </w:r>
      <w:r w:rsidR="00A97ABE" w:rsidRPr="000C59DB">
        <w:rPr>
          <w:rFonts w:cstheme="minorHAnsi"/>
        </w:rPr>
        <w:t xml:space="preserve">suggests the following amendments in order to clarify some points and make the GR </w:t>
      </w:r>
      <w:r w:rsidR="00BE7951" w:rsidRPr="000C59DB">
        <w:rPr>
          <w:rFonts w:cstheme="minorHAnsi"/>
        </w:rPr>
        <w:t>tighter and stronger. The following recommendations are made:</w:t>
      </w:r>
    </w:p>
    <w:p w14:paraId="685B27D4" w14:textId="2C69B50C" w:rsidR="00F04593" w:rsidRPr="000C59DB" w:rsidRDefault="00F04593" w:rsidP="000C59DB">
      <w:pPr>
        <w:pStyle w:val="ListParagraph"/>
        <w:numPr>
          <w:ilvl w:val="0"/>
          <w:numId w:val="10"/>
        </w:numPr>
        <w:rPr>
          <w:rFonts w:cstheme="minorHAnsi"/>
          <w:sz w:val="22"/>
          <w:szCs w:val="22"/>
        </w:rPr>
      </w:pPr>
      <w:r w:rsidRPr="000C59DB">
        <w:rPr>
          <w:rFonts w:cstheme="minorHAnsi"/>
          <w:b/>
          <w:bCs/>
          <w:i/>
          <w:iCs/>
          <w:sz w:val="22"/>
          <w:szCs w:val="22"/>
          <w:u w:val="single"/>
        </w:rPr>
        <w:t>Paragraph 2</w:t>
      </w:r>
      <w:r w:rsidRPr="000C59DB">
        <w:rPr>
          <w:rFonts w:cstheme="minorHAnsi"/>
          <w:sz w:val="22"/>
          <w:szCs w:val="22"/>
        </w:rPr>
        <w:t xml:space="preserve">: </w:t>
      </w:r>
      <w:r w:rsidR="0026492A" w:rsidRPr="000C59DB">
        <w:rPr>
          <w:rFonts w:cstheme="minorHAnsi"/>
          <w:sz w:val="22"/>
          <w:szCs w:val="22"/>
        </w:rPr>
        <w:t>systems that treat sex work as criminal have a negative effect on the safety, health, and well-being of sex workers</w:t>
      </w:r>
      <w:r w:rsidR="0026492A" w:rsidRPr="000C59DB">
        <w:rPr>
          <w:rFonts w:cstheme="minorHAnsi"/>
          <w:sz w:val="22"/>
          <w:szCs w:val="22"/>
        </w:rPr>
        <w:t xml:space="preserve"> while</w:t>
      </w:r>
      <w:r w:rsidR="0026492A" w:rsidRPr="000C59DB">
        <w:rPr>
          <w:rFonts w:cstheme="minorHAnsi"/>
          <w:sz w:val="22"/>
          <w:szCs w:val="22"/>
        </w:rPr>
        <w:t xml:space="preserve"> a decriminalised environment</w:t>
      </w:r>
      <w:r w:rsidR="00310866" w:rsidRPr="000C59DB">
        <w:rPr>
          <w:rFonts w:cstheme="minorHAnsi"/>
          <w:sz w:val="22"/>
          <w:szCs w:val="22"/>
        </w:rPr>
        <w:t xml:space="preserve"> </w:t>
      </w:r>
      <w:r w:rsidR="0026492A" w:rsidRPr="000C59DB">
        <w:rPr>
          <w:rFonts w:cstheme="minorHAnsi"/>
          <w:sz w:val="22"/>
          <w:szCs w:val="22"/>
        </w:rPr>
        <w:t>protect</w:t>
      </w:r>
      <w:r w:rsidR="00310866" w:rsidRPr="000C59DB">
        <w:rPr>
          <w:rFonts w:cstheme="minorHAnsi"/>
          <w:sz w:val="22"/>
          <w:szCs w:val="22"/>
        </w:rPr>
        <w:t>s</w:t>
      </w:r>
      <w:r w:rsidR="0026492A" w:rsidRPr="000C59DB">
        <w:rPr>
          <w:rFonts w:cstheme="minorHAnsi"/>
          <w:sz w:val="22"/>
          <w:szCs w:val="22"/>
        </w:rPr>
        <w:t xml:space="preserve"> them</w:t>
      </w:r>
      <w:r w:rsidR="00310866" w:rsidRPr="000C59DB">
        <w:rPr>
          <w:rFonts w:cstheme="minorHAnsi"/>
          <w:sz w:val="22"/>
          <w:szCs w:val="22"/>
        </w:rPr>
        <w:t xml:space="preserve">. </w:t>
      </w:r>
      <w:r w:rsidR="00310866" w:rsidRPr="000C59DB">
        <w:rPr>
          <w:rFonts w:cstheme="minorHAnsi"/>
          <w:b/>
          <w:bCs/>
          <w:sz w:val="22"/>
          <w:szCs w:val="22"/>
        </w:rPr>
        <w:t>Sex work should be decriminalised</w:t>
      </w:r>
      <w:r w:rsidR="00310866" w:rsidRPr="000C59DB">
        <w:rPr>
          <w:rFonts w:cstheme="minorHAnsi"/>
          <w:sz w:val="22"/>
          <w:szCs w:val="22"/>
        </w:rPr>
        <w:t>.</w:t>
      </w:r>
    </w:p>
    <w:p w14:paraId="6E5367CC" w14:textId="12293732" w:rsidR="00310866" w:rsidRPr="000C59DB" w:rsidRDefault="0074757D" w:rsidP="000C59DB">
      <w:pPr>
        <w:pStyle w:val="ListParagraph"/>
        <w:numPr>
          <w:ilvl w:val="0"/>
          <w:numId w:val="10"/>
        </w:numPr>
        <w:rPr>
          <w:rFonts w:cstheme="minorHAnsi"/>
          <w:sz w:val="22"/>
          <w:szCs w:val="22"/>
        </w:rPr>
      </w:pPr>
      <w:r w:rsidRPr="000C59DB">
        <w:rPr>
          <w:rFonts w:cstheme="minorHAnsi"/>
          <w:b/>
          <w:bCs/>
          <w:i/>
          <w:iCs/>
          <w:sz w:val="22"/>
          <w:szCs w:val="22"/>
          <w:u w:val="single"/>
        </w:rPr>
        <w:t>Paragraph 7</w:t>
      </w:r>
      <w:r w:rsidRPr="000C59DB">
        <w:rPr>
          <w:rFonts w:cstheme="minorHAnsi"/>
          <w:sz w:val="22"/>
          <w:szCs w:val="22"/>
        </w:rPr>
        <w:t xml:space="preserve">: sex work and trafficking should not be conflated, and it needs to be </w:t>
      </w:r>
      <w:r w:rsidR="005309B9" w:rsidRPr="000C59DB">
        <w:rPr>
          <w:rFonts w:cstheme="minorHAnsi"/>
          <w:sz w:val="22"/>
          <w:szCs w:val="22"/>
        </w:rPr>
        <w:t>clarified</w:t>
      </w:r>
      <w:r w:rsidRPr="000C59DB">
        <w:rPr>
          <w:rFonts w:cstheme="minorHAnsi"/>
          <w:sz w:val="22"/>
          <w:szCs w:val="22"/>
        </w:rPr>
        <w:t xml:space="preserve"> that “</w:t>
      </w:r>
      <w:r w:rsidRPr="000C59DB">
        <w:rPr>
          <w:rFonts w:cstheme="minorHAnsi"/>
          <w:i/>
          <w:iCs/>
          <w:sz w:val="22"/>
          <w:szCs w:val="22"/>
        </w:rPr>
        <w:t>the exploitation of the prostitution of others</w:t>
      </w:r>
      <w:r w:rsidRPr="000C59DB">
        <w:rPr>
          <w:rFonts w:cstheme="minorHAnsi"/>
          <w:sz w:val="22"/>
          <w:szCs w:val="22"/>
        </w:rPr>
        <w:t xml:space="preserve">” </w:t>
      </w:r>
      <w:r w:rsidRPr="000C59DB">
        <w:rPr>
          <w:rFonts w:cstheme="minorHAnsi"/>
          <w:b/>
          <w:bCs/>
          <w:sz w:val="22"/>
          <w:szCs w:val="22"/>
        </w:rPr>
        <w:t>does not include sex work</w:t>
      </w:r>
      <w:r w:rsidR="005309B9" w:rsidRPr="000C59DB">
        <w:rPr>
          <w:rFonts w:cstheme="minorHAnsi"/>
          <w:sz w:val="22"/>
          <w:szCs w:val="22"/>
        </w:rPr>
        <w:t>.</w:t>
      </w:r>
    </w:p>
    <w:p w14:paraId="7760ED29" w14:textId="5A25F621" w:rsidR="00AA1CE4" w:rsidRPr="000C59DB" w:rsidRDefault="003F6D3F" w:rsidP="000C59DB">
      <w:pPr>
        <w:pStyle w:val="ListParagraph"/>
        <w:numPr>
          <w:ilvl w:val="0"/>
          <w:numId w:val="10"/>
        </w:numPr>
        <w:rPr>
          <w:rFonts w:cstheme="minorHAnsi"/>
          <w:sz w:val="22"/>
          <w:szCs w:val="22"/>
        </w:rPr>
      </w:pPr>
      <w:r w:rsidRPr="000C59DB">
        <w:rPr>
          <w:rFonts w:cstheme="minorHAnsi"/>
          <w:b/>
          <w:bCs/>
          <w:i/>
          <w:iCs/>
          <w:sz w:val="22"/>
          <w:szCs w:val="22"/>
          <w:u w:val="single"/>
        </w:rPr>
        <w:t>Paragraph</w:t>
      </w:r>
      <w:r w:rsidR="00C002BB" w:rsidRPr="000C59DB">
        <w:rPr>
          <w:rFonts w:cstheme="minorHAnsi"/>
          <w:b/>
          <w:bCs/>
          <w:i/>
          <w:iCs/>
          <w:sz w:val="22"/>
          <w:szCs w:val="22"/>
          <w:u w:val="single"/>
        </w:rPr>
        <w:t xml:space="preserve"> 24</w:t>
      </w:r>
      <w:r w:rsidR="00C002BB" w:rsidRPr="000C59DB">
        <w:rPr>
          <w:rFonts w:cstheme="minorHAnsi"/>
          <w:sz w:val="22"/>
          <w:szCs w:val="22"/>
        </w:rPr>
        <w:t xml:space="preserve">: this paragraph may </w:t>
      </w:r>
      <w:r w:rsidR="00C002BB" w:rsidRPr="000C59DB">
        <w:rPr>
          <w:rFonts w:cstheme="minorHAnsi"/>
          <w:sz w:val="22"/>
          <w:szCs w:val="22"/>
        </w:rPr>
        <w:t xml:space="preserve">conflate sex work with trafficking and ignores that women make the choice to enter sex work. Conflating sex work with trafficking </w:t>
      </w:r>
      <w:r w:rsidR="00C002BB" w:rsidRPr="000C59DB">
        <w:rPr>
          <w:rFonts w:cstheme="minorHAnsi"/>
          <w:b/>
          <w:bCs/>
          <w:sz w:val="22"/>
          <w:szCs w:val="22"/>
        </w:rPr>
        <w:t>increases the vulnerability of the women involved</w:t>
      </w:r>
      <w:r w:rsidR="00C002BB" w:rsidRPr="000C59DB">
        <w:rPr>
          <w:rFonts w:cstheme="minorHAnsi"/>
          <w:sz w:val="22"/>
          <w:szCs w:val="22"/>
        </w:rPr>
        <w:t>.</w:t>
      </w:r>
    </w:p>
    <w:p w14:paraId="652E9B7C" w14:textId="6AEA274A" w:rsidR="00AA1CE4" w:rsidRPr="000C59DB" w:rsidRDefault="00E65B6B" w:rsidP="000C59DB">
      <w:pPr>
        <w:pStyle w:val="ListParagraph"/>
        <w:numPr>
          <w:ilvl w:val="0"/>
          <w:numId w:val="10"/>
        </w:numPr>
        <w:rPr>
          <w:rFonts w:cstheme="minorHAnsi"/>
          <w:sz w:val="22"/>
          <w:szCs w:val="22"/>
        </w:rPr>
      </w:pPr>
      <w:r w:rsidRPr="000C59DB">
        <w:rPr>
          <w:rFonts w:cstheme="minorHAnsi"/>
          <w:b/>
          <w:bCs/>
          <w:sz w:val="22"/>
          <w:szCs w:val="22"/>
          <w:u w:val="single"/>
        </w:rPr>
        <w:t>Paragraph 27:</w:t>
      </w:r>
      <w:r w:rsidRPr="000C59DB">
        <w:rPr>
          <w:rFonts w:cstheme="minorHAnsi"/>
          <w:sz w:val="22"/>
          <w:szCs w:val="22"/>
        </w:rPr>
        <w:t xml:space="preserve"> In line with earlier CEDAW decisions this </w:t>
      </w:r>
      <w:r w:rsidR="007C628B" w:rsidRPr="000C59DB">
        <w:rPr>
          <w:rFonts w:cstheme="minorHAnsi"/>
          <w:sz w:val="22"/>
          <w:szCs w:val="22"/>
        </w:rPr>
        <w:t xml:space="preserve">should refer to the </w:t>
      </w:r>
      <w:r w:rsidRPr="000C59DB">
        <w:rPr>
          <w:rFonts w:cstheme="minorHAnsi"/>
          <w:sz w:val="22"/>
          <w:szCs w:val="22"/>
        </w:rPr>
        <w:t>implementation of labour frameworks to</w:t>
      </w:r>
      <w:r w:rsidRPr="000C59DB">
        <w:rPr>
          <w:rFonts w:cstheme="minorHAnsi"/>
          <w:i/>
          <w:sz w:val="22"/>
          <w:szCs w:val="22"/>
        </w:rPr>
        <w:t xml:space="preserve"> “prevent and combat other exploitative practices assimilated to trafficking</w:t>
      </w:r>
      <w:r w:rsidRPr="000C59DB">
        <w:rPr>
          <w:rFonts w:cstheme="minorHAnsi"/>
          <w:i/>
          <w:sz w:val="22"/>
          <w:szCs w:val="22"/>
        </w:rPr>
        <w:t>”</w:t>
      </w:r>
      <w:r w:rsidR="007C628B" w:rsidRPr="000C59DB">
        <w:rPr>
          <w:rFonts w:cstheme="minorHAnsi"/>
          <w:sz w:val="22"/>
          <w:szCs w:val="22"/>
        </w:rPr>
        <w:t xml:space="preserve"> as </w:t>
      </w:r>
      <w:r w:rsidRPr="000C59DB">
        <w:rPr>
          <w:rFonts w:cstheme="minorHAnsi"/>
          <w:sz w:val="22"/>
          <w:szCs w:val="22"/>
        </w:rPr>
        <w:t>the phrase “including those on the demand side” may be misinterpreted and misapplied to target sex workers.</w:t>
      </w:r>
    </w:p>
    <w:p w14:paraId="33F2271D" w14:textId="1CC60A65" w:rsidR="007C628B" w:rsidRPr="000C59DB" w:rsidRDefault="0097147D" w:rsidP="000C59DB">
      <w:pPr>
        <w:pStyle w:val="NoSpacing"/>
        <w:numPr>
          <w:ilvl w:val="0"/>
          <w:numId w:val="10"/>
        </w:numPr>
        <w:rPr>
          <w:rFonts w:cstheme="minorHAnsi"/>
        </w:rPr>
      </w:pPr>
      <w:r w:rsidRPr="000C59DB">
        <w:rPr>
          <w:rFonts w:cstheme="minorHAnsi"/>
          <w:b/>
          <w:bCs/>
          <w:u w:val="single"/>
        </w:rPr>
        <w:t>Paragraph 58</w:t>
      </w:r>
      <w:r w:rsidRPr="000C59DB">
        <w:rPr>
          <w:rFonts w:cstheme="minorHAnsi"/>
        </w:rPr>
        <w:t xml:space="preserve">: </w:t>
      </w:r>
      <w:r w:rsidR="00D30EFC" w:rsidRPr="000C59DB">
        <w:rPr>
          <w:rFonts w:cstheme="minorHAnsi"/>
        </w:rPr>
        <w:t>T</w:t>
      </w:r>
      <w:r w:rsidR="00D30EFC" w:rsidRPr="000C59DB">
        <w:rPr>
          <w:rFonts w:cstheme="minorHAnsi"/>
        </w:rPr>
        <w:t>his paragraph should be moved to below the current paragraph 26 as it is more applicable to State obligations to address the root causes of trafficking</w:t>
      </w:r>
      <w:r w:rsidR="00D30EFC" w:rsidRPr="000C59DB">
        <w:rPr>
          <w:rFonts w:cstheme="minorHAnsi"/>
        </w:rPr>
        <w:t xml:space="preserve"> while c</w:t>
      </w:r>
      <w:r w:rsidR="00D30EFC" w:rsidRPr="000C59DB">
        <w:rPr>
          <w:rFonts w:cstheme="minorHAnsi"/>
        </w:rPr>
        <w:t>lause (a) should make it clear it is protecting</w:t>
      </w:r>
      <w:r w:rsidR="00D30EFC" w:rsidRPr="000C59DB">
        <w:rPr>
          <w:rFonts w:cstheme="minorHAnsi"/>
        </w:rPr>
        <w:t xml:space="preserve"> </w:t>
      </w:r>
      <w:r w:rsidR="00D30EFC" w:rsidRPr="000C59DB">
        <w:rPr>
          <w:rFonts w:cstheme="minorHAnsi"/>
          <w:i/>
          <w:iCs/>
        </w:rPr>
        <w:t>… all women workers, including women migrant workers</w:t>
      </w:r>
      <w:r w:rsidR="008B20BB" w:rsidRPr="000C59DB">
        <w:rPr>
          <w:rFonts w:cstheme="minorHAnsi"/>
        </w:rPr>
        <w:t>.</w:t>
      </w:r>
    </w:p>
    <w:p w14:paraId="74897CA9" w14:textId="2F2302DD" w:rsidR="008B20BB" w:rsidRPr="000C59DB" w:rsidRDefault="00305116" w:rsidP="000C59DB">
      <w:pPr>
        <w:pStyle w:val="NoSpacing"/>
        <w:numPr>
          <w:ilvl w:val="0"/>
          <w:numId w:val="10"/>
        </w:numPr>
        <w:rPr>
          <w:rFonts w:cstheme="minorHAnsi"/>
        </w:rPr>
      </w:pPr>
      <w:r w:rsidRPr="000C59DB">
        <w:rPr>
          <w:rFonts w:cstheme="minorHAnsi"/>
          <w:b/>
          <w:bCs/>
          <w:u w:val="single"/>
        </w:rPr>
        <w:t>Paragraph 92</w:t>
      </w:r>
      <w:r w:rsidRPr="000C59DB">
        <w:rPr>
          <w:rFonts w:cstheme="minorHAnsi"/>
        </w:rPr>
        <w:t xml:space="preserve">: NZPC notes the importance of ensuring </w:t>
      </w:r>
      <w:r w:rsidRPr="000C59DB">
        <w:rPr>
          <w:rFonts w:cstheme="minorHAnsi"/>
          <w:bCs/>
        </w:rPr>
        <w:t>anti-trafficking efforts are not used as a means to deport migrant women</w:t>
      </w:r>
      <w:r w:rsidRPr="000C59DB">
        <w:rPr>
          <w:rFonts w:cstheme="minorHAnsi"/>
          <w:bCs/>
        </w:rPr>
        <w:t>.</w:t>
      </w:r>
    </w:p>
    <w:p w14:paraId="1F2B1CAF" w14:textId="53F81707" w:rsidR="00AA1CE4" w:rsidRPr="000C59DB" w:rsidRDefault="00AA1CE4">
      <w:pPr>
        <w:rPr>
          <w:rFonts w:cstheme="minorHAnsi"/>
        </w:rPr>
      </w:pPr>
    </w:p>
    <w:p w14:paraId="3E61D0D5" w14:textId="27D0082D" w:rsidR="00AA1CE4" w:rsidRPr="00B06BFF" w:rsidRDefault="00AA1CE4" w:rsidP="00AA1CE4">
      <w:pPr>
        <w:pStyle w:val="ListParagraph"/>
        <w:numPr>
          <w:ilvl w:val="0"/>
          <w:numId w:val="11"/>
        </w:numPr>
        <w:rPr>
          <w:rFonts w:cstheme="minorHAnsi"/>
          <w:b/>
          <w:sz w:val="26"/>
          <w:szCs w:val="26"/>
          <w:u w:val="single"/>
        </w:rPr>
      </w:pPr>
      <w:r w:rsidRPr="00B06BFF">
        <w:rPr>
          <w:rFonts w:cstheme="minorHAnsi"/>
          <w:b/>
          <w:sz w:val="26"/>
          <w:szCs w:val="26"/>
          <w:u w:val="single"/>
        </w:rPr>
        <w:t>New Zealand Prostitutes’ Collective</w:t>
      </w:r>
    </w:p>
    <w:p w14:paraId="023AC847" w14:textId="727074A3" w:rsidR="00AA1CE4" w:rsidRPr="00BE3584" w:rsidRDefault="00AA1CE4" w:rsidP="00B06BFF">
      <w:pPr>
        <w:pStyle w:val="ListParagraph"/>
        <w:numPr>
          <w:ilvl w:val="0"/>
          <w:numId w:val="12"/>
        </w:numPr>
        <w:rPr>
          <w:rFonts w:cstheme="minorHAnsi"/>
        </w:rPr>
      </w:pPr>
      <w:r w:rsidRPr="00B06BFF">
        <w:rPr>
          <w:rFonts w:cstheme="minorHAnsi"/>
        </w:rPr>
        <w:t xml:space="preserve">The New Zealand Prostitutes’ Collective (NZPC) is a nationwide sex worker operated organisation. We advocate for rights, </w:t>
      </w:r>
      <w:r w:rsidR="00FD2C50">
        <w:rPr>
          <w:rFonts w:cstheme="minorHAnsi"/>
        </w:rPr>
        <w:t xml:space="preserve">safety, </w:t>
      </w:r>
      <w:r w:rsidRPr="00B06BFF">
        <w:rPr>
          <w:rFonts w:cstheme="minorHAnsi"/>
        </w:rPr>
        <w:t>health and wellbeing of all sex workers throughout New Zealand and are informed by both empirical research and lived experience. NZPC recognises sex work is work and is committed to the integration of sex workers into society, the majority of whom are women, so they may have agency over all aspects of their work and life.</w:t>
      </w:r>
    </w:p>
    <w:p w14:paraId="53F57E00" w14:textId="77777777" w:rsidR="00B06BFF" w:rsidRDefault="00AA1CE4" w:rsidP="00AA1CE4">
      <w:pPr>
        <w:pStyle w:val="ListParagraph"/>
        <w:numPr>
          <w:ilvl w:val="0"/>
          <w:numId w:val="12"/>
        </w:numPr>
        <w:rPr>
          <w:rFonts w:cstheme="minorHAnsi"/>
        </w:rPr>
      </w:pPr>
      <w:r w:rsidRPr="00B06BFF">
        <w:rPr>
          <w:rFonts w:cstheme="minorHAnsi"/>
        </w:rPr>
        <w:t>NZPC contracts to the Ministry of Health to provide sexual and reproductive health services. We also provide expert advice to a range of other government and non-government agencies, such as Police, Ministry of Justice and sexual violence services.</w:t>
      </w:r>
    </w:p>
    <w:p w14:paraId="0BEFAB4E" w14:textId="77777777" w:rsidR="00B06BFF" w:rsidRPr="00B06BFF" w:rsidRDefault="00B06BFF" w:rsidP="00B06BFF">
      <w:pPr>
        <w:pStyle w:val="ListParagraph"/>
        <w:rPr>
          <w:rFonts w:cstheme="minorHAnsi"/>
        </w:rPr>
      </w:pPr>
    </w:p>
    <w:p w14:paraId="3F28687C" w14:textId="5C5214D1" w:rsidR="00AA1CE4" w:rsidRPr="00B06BFF" w:rsidRDefault="00AA1CE4" w:rsidP="00AA1CE4">
      <w:pPr>
        <w:pStyle w:val="ListParagraph"/>
        <w:numPr>
          <w:ilvl w:val="0"/>
          <w:numId w:val="12"/>
        </w:numPr>
        <w:rPr>
          <w:rFonts w:cstheme="minorHAnsi"/>
        </w:rPr>
      </w:pPr>
      <w:r w:rsidRPr="00B06BFF">
        <w:rPr>
          <w:rFonts w:cstheme="minorHAnsi"/>
        </w:rPr>
        <w:lastRenderedPageBreak/>
        <w:t>NZPC has thousands of contacts with sex workers from all sectors of the sex industry each year</w:t>
      </w:r>
      <w:r w:rsidRPr="00AA1CE4">
        <w:rPr>
          <w:rStyle w:val="FootnoteReference"/>
          <w:rFonts w:cstheme="minorHAnsi"/>
        </w:rPr>
        <w:footnoteReference w:id="1"/>
      </w:r>
      <w:r w:rsidRPr="00B06BFF">
        <w:rPr>
          <w:rFonts w:cstheme="minorHAnsi"/>
        </w:rPr>
        <w:t xml:space="preserve"> and supports them with health services as well as occupational safety. NZPC recognises sex workers should not experience stigma or discrimination due to their work and assists sex workers to overcome barriers to their wellbeing.</w:t>
      </w:r>
    </w:p>
    <w:p w14:paraId="36426B88" w14:textId="6C94B8F8" w:rsidR="00AA1CE4" w:rsidRPr="00AA1CE4" w:rsidRDefault="00AA1CE4">
      <w:pPr>
        <w:rPr>
          <w:rFonts w:cstheme="minorHAnsi"/>
        </w:rPr>
      </w:pPr>
    </w:p>
    <w:p w14:paraId="74BAFC67" w14:textId="4BD84736" w:rsidR="00AA1CE4" w:rsidRPr="00BE3584" w:rsidRDefault="00AA1CE4" w:rsidP="00BE3584">
      <w:pPr>
        <w:pStyle w:val="ListParagraph"/>
        <w:numPr>
          <w:ilvl w:val="0"/>
          <w:numId w:val="11"/>
        </w:numPr>
        <w:rPr>
          <w:rFonts w:cstheme="minorHAnsi"/>
          <w:b/>
          <w:bCs/>
          <w:sz w:val="26"/>
          <w:szCs w:val="26"/>
          <w:u w:val="single"/>
        </w:rPr>
      </w:pPr>
      <w:r w:rsidRPr="00BE3584">
        <w:rPr>
          <w:rFonts w:cstheme="minorHAnsi"/>
          <w:b/>
          <w:bCs/>
          <w:sz w:val="26"/>
          <w:szCs w:val="26"/>
          <w:u w:val="single"/>
        </w:rPr>
        <w:t>Introduction</w:t>
      </w:r>
    </w:p>
    <w:p w14:paraId="52650EA0" w14:textId="77777777" w:rsidR="00BE3584" w:rsidRDefault="00AA1CE4" w:rsidP="00BE3584">
      <w:pPr>
        <w:pStyle w:val="ListParagraph"/>
        <w:numPr>
          <w:ilvl w:val="0"/>
          <w:numId w:val="13"/>
        </w:numPr>
        <w:rPr>
          <w:rFonts w:cstheme="minorHAnsi"/>
        </w:rPr>
      </w:pPr>
      <w:r w:rsidRPr="00BE3584">
        <w:rPr>
          <w:rFonts w:cstheme="minorHAnsi"/>
        </w:rPr>
        <w:t>New Zealand decriminalised sex work in 2003 by removing the offences of soliciting, brothel keeping, living on the earnings of prostitution, and procuring, replacing these offences with legislation that integrated sex work into the general employment and other law, and</w:t>
      </w:r>
      <w:r>
        <w:rPr>
          <w:rStyle w:val="FootnoteReference"/>
          <w:rFonts w:cstheme="minorHAnsi"/>
        </w:rPr>
        <w:footnoteReference w:id="2"/>
      </w:r>
    </w:p>
    <w:p w14:paraId="55CA83E1" w14:textId="77777777" w:rsidR="00BE3584" w:rsidRPr="00BE3584" w:rsidRDefault="00BE3584" w:rsidP="00BE3584">
      <w:pPr>
        <w:shd w:val="clear" w:color="auto" w:fill="FFFFFF"/>
        <w:spacing w:line="288" w:lineRule="atLeast"/>
        <w:ind w:left="1072"/>
        <w:jc w:val="both"/>
        <w:textAlignment w:val="baseline"/>
        <w:outlineLvl w:val="4"/>
        <w:rPr>
          <w:rFonts w:asciiTheme="majorHAnsi" w:eastAsia="Times New Roman" w:hAnsiTheme="majorHAnsi" w:cstheme="majorHAnsi"/>
          <w:color w:val="000000"/>
          <w:lang w:eastAsia="en-NZ"/>
        </w:rPr>
      </w:pPr>
      <w:r w:rsidRPr="00BE3584">
        <w:rPr>
          <w:rFonts w:asciiTheme="majorHAnsi" w:eastAsia="Times New Roman" w:hAnsiTheme="majorHAnsi" w:cstheme="majorHAnsi"/>
          <w:color w:val="000000"/>
          <w:bdr w:val="none" w:sz="0" w:space="0" w:color="auto" w:frame="1"/>
          <w:lang w:eastAsia="en-NZ"/>
        </w:rPr>
        <w:t>(a)</w:t>
      </w:r>
      <w:r w:rsidRPr="00BE3584">
        <w:rPr>
          <w:rFonts w:asciiTheme="majorHAnsi" w:eastAsia="Times New Roman" w:hAnsiTheme="majorHAnsi" w:cstheme="majorHAnsi"/>
          <w:color w:val="000000"/>
          <w:lang w:eastAsia="en-NZ"/>
        </w:rPr>
        <w:t xml:space="preserve"> safeguards the human rights of sex workers and protects them from exploitation:</w:t>
      </w:r>
    </w:p>
    <w:p w14:paraId="55321FE2" w14:textId="77777777" w:rsidR="00BE3584" w:rsidRPr="00BE3584" w:rsidRDefault="00BE3584" w:rsidP="00BE3584">
      <w:pPr>
        <w:shd w:val="clear" w:color="auto" w:fill="FFFFFF"/>
        <w:spacing w:line="288" w:lineRule="atLeast"/>
        <w:ind w:left="1072"/>
        <w:jc w:val="both"/>
        <w:textAlignment w:val="baseline"/>
        <w:outlineLvl w:val="4"/>
        <w:rPr>
          <w:rFonts w:asciiTheme="majorHAnsi" w:eastAsia="Times New Roman" w:hAnsiTheme="majorHAnsi" w:cstheme="majorHAnsi"/>
          <w:color w:val="000000"/>
          <w:lang w:eastAsia="en-NZ"/>
        </w:rPr>
      </w:pPr>
      <w:r w:rsidRPr="00BE3584">
        <w:rPr>
          <w:rFonts w:asciiTheme="majorHAnsi" w:eastAsia="Times New Roman" w:hAnsiTheme="majorHAnsi" w:cstheme="majorHAnsi"/>
          <w:color w:val="000000"/>
          <w:bdr w:val="none" w:sz="0" w:space="0" w:color="auto" w:frame="1"/>
          <w:lang w:eastAsia="en-NZ"/>
        </w:rPr>
        <w:t>(b)</w:t>
      </w:r>
      <w:r w:rsidRPr="00BE3584">
        <w:rPr>
          <w:rFonts w:asciiTheme="majorHAnsi" w:eastAsia="Times New Roman" w:hAnsiTheme="majorHAnsi" w:cstheme="majorHAnsi"/>
          <w:color w:val="000000"/>
          <w:lang w:eastAsia="en-NZ"/>
        </w:rPr>
        <w:t xml:space="preserve"> promotes the welfare and occupational health and safety of sex workers:</w:t>
      </w:r>
    </w:p>
    <w:p w14:paraId="7EFE1670" w14:textId="77777777" w:rsidR="00BE3584" w:rsidRPr="00BE3584" w:rsidRDefault="00BE3584" w:rsidP="00BE3584">
      <w:pPr>
        <w:shd w:val="clear" w:color="auto" w:fill="FFFFFF"/>
        <w:spacing w:line="288" w:lineRule="atLeast"/>
        <w:ind w:left="1072"/>
        <w:jc w:val="both"/>
        <w:textAlignment w:val="baseline"/>
        <w:outlineLvl w:val="4"/>
        <w:rPr>
          <w:rFonts w:asciiTheme="majorHAnsi" w:eastAsia="Times New Roman" w:hAnsiTheme="majorHAnsi" w:cstheme="majorHAnsi"/>
          <w:color w:val="000000"/>
          <w:lang w:eastAsia="en-NZ"/>
        </w:rPr>
      </w:pPr>
      <w:r w:rsidRPr="00BE3584">
        <w:rPr>
          <w:rFonts w:asciiTheme="majorHAnsi" w:eastAsia="Times New Roman" w:hAnsiTheme="majorHAnsi" w:cstheme="majorHAnsi"/>
          <w:color w:val="000000"/>
          <w:bdr w:val="none" w:sz="0" w:space="0" w:color="auto" w:frame="1"/>
          <w:lang w:eastAsia="en-NZ"/>
        </w:rPr>
        <w:t>(c)</w:t>
      </w:r>
      <w:r w:rsidRPr="00BE3584">
        <w:rPr>
          <w:rFonts w:asciiTheme="majorHAnsi" w:eastAsia="Times New Roman" w:hAnsiTheme="majorHAnsi" w:cstheme="majorHAnsi"/>
          <w:color w:val="000000"/>
          <w:lang w:eastAsia="en-NZ"/>
        </w:rPr>
        <w:t xml:space="preserve"> is conducive to public health:</w:t>
      </w:r>
    </w:p>
    <w:p w14:paraId="0BA9F47E" w14:textId="281E74F1" w:rsidR="00AA1CE4" w:rsidRPr="003D277B" w:rsidRDefault="00BE3584" w:rsidP="003D277B">
      <w:pPr>
        <w:shd w:val="clear" w:color="auto" w:fill="FFFFFF"/>
        <w:spacing w:line="288" w:lineRule="atLeast"/>
        <w:ind w:left="1072"/>
        <w:jc w:val="both"/>
        <w:textAlignment w:val="baseline"/>
        <w:outlineLvl w:val="4"/>
        <w:rPr>
          <w:rFonts w:asciiTheme="majorHAnsi" w:eastAsia="Times New Roman" w:hAnsiTheme="majorHAnsi" w:cstheme="majorHAnsi"/>
          <w:color w:val="000000"/>
          <w:lang w:eastAsia="en-NZ"/>
        </w:rPr>
      </w:pPr>
      <w:r w:rsidRPr="00BE3584">
        <w:rPr>
          <w:rFonts w:asciiTheme="majorHAnsi" w:eastAsia="Times New Roman" w:hAnsiTheme="majorHAnsi" w:cstheme="majorHAnsi"/>
          <w:color w:val="000000"/>
          <w:bdr w:val="none" w:sz="0" w:space="0" w:color="auto" w:frame="1"/>
          <w:lang w:eastAsia="en-NZ"/>
        </w:rPr>
        <w:t>(d)</w:t>
      </w:r>
      <w:r w:rsidRPr="00BE3584">
        <w:rPr>
          <w:rFonts w:asciiTheme="majorHAnsi" w:eastAsia="Times New Roman" w:hAnsiTheme="majorHAnsi" w:cstheme="majorHAnsi"/>
          <w:color w:val="000000"/>
          <w:lang w:eastAsia="en-NZ"/>
        </w:rPr>
        <w:t xml:space="preserve"> prohibits the use in prostitution of persons under 18 years of age:</w:t>
      </w:r>
    </w:p>
    <w:p w14:paraId="41AD4A93" w14:textId="6D9E7ECD" w:rsidR="00AA1CE4" w:rsidRPr="003D277B" w:rsidRDefault="00AA1CE4" w:rsidP="003D277B">
      <w:pPr>
        <w:pStyle w:val="ListParagraph"/>
        <w:numPr>
          <w:ilvl w:val="0"/>
          <w:numId w:val="13"/>
        </w:numPr>
        <w:rPr>
          <w:rFonts w:cstheme="minorHAnsi"/>
        </w:rPr>
      </w:pPr>
      <w:r w:rsidRPr="00BE3584">
        <w:rPr>
          <w:rFonts w:cstheme="minorHAnsi"/>
        </w:rPr>
        <w:t>Research has shown this legislation reduces exploitation of sex workers. Prior to the change in law, 37% of Christchurch based independent sex workers felt they could refuse a client. After decriminalisation, this increased to 62%. Similarly, 48% of managed sex workers in Christchurch had refused a client in the 12 months prior to decriminalisation and this increased to 68%</w:t>
      </w:r>
      <w:r>
        <w:rPr>
          <w:rStyle w:val="FootnoteReference"/>
          <w:rFonts w:cstheme="minorHAnsi"/>
        </w:rPr>
        <w:footnoteReference w:id="3"/>
      </w:r>
      <w:r w:rsidRPr="00BE3584">
        <w:rPr>
          <w:rFonts w:cstheme="minorHAnsi"/>
        </w:rPr>
        <w:t>.</w:t>
      </w:r>
    </w:p>
    <w:p w14:paraId="755025F1" w14:textId="1ECC8AC9" w:rsidR="003D277B" w:rsidRDefault="00AA1CE4" w:rsidP="003D277B">
      <w:pPr>
        <w:pStyle w:val="ListParagraph"/>
        <w:numPr>
          <w:ilvl w:val="0"/>
          <w:numId w:val="13"/>
        </w:numPr>
        <w:rPr>
          <w:rFonts w:cstheme="minorHAnsi"/>
        </w:rPr>
      </w:pPr>
      <w:r w:rsidRPr="00BE3584">
        <w:rPr>
          <w:rFonts w:cstheme="minorHAnsi"/>
        </w:rPr>
        <w:t xml:space="preserve">The Prostitution Law Review Committee, a statutory body formed as a result of the </w:t>
      </w:r>
      <w:r w:rsidRPr="00BE3584">
        <w:rPr>
          <w:rFonts w:cstheme="minorHAnsi"/>
        </w:rPr>
        <w:t>Prostitution Reform Act</w:t>
      </w:r>
      <w:r w:rsidRPr="00BE3584">
        <w:rPr>
          <w:rFonts w:cstheme="minorHAnsi"/>
        </w:rPr>
        <w:t xml:space="preserve"> to examine the effect of the Act and to report those findings to government within 5 years. This involved extensive visits to brothels, to areas where street-based sex work occur</w:t>
      </w:r>
      <w:r w:rsidR="00C15BD4" w:rsidRPr="00BE3584">
        <w:rPr>
          <w:rFonts w:cstheme="minorHAnsi"/>
        </w:rPr>
        <w:t>s</w:t>
      </w:r>
      <w:r w:rsidRPr="00BE3584">
        <w:rPr>
          <w:rFonts w:cstheme="minorHAnsi"/>
        </w:rPr>
        <w:t xml:space="preserve">, and to the private houses of individual sex workers, speaking with sex workers and seeking their input. The Committee also sought information from Police, Immigration, and a range of other government and non-government agencies. The Committee found </w:t>
      </w:r>
    </w:p>
    <w:p w14:paraId="27F4FACB" w14:textId="7211912D" w:rsidR="003D277B" w:rsidRPr="003D277B" w:rsidRDefault="003D277B" w:rsidP="003D277B">
      <w:pPr>
        <w:ind w:left="1072"/>
        <w:rPr>
          <w:rFonts w:cstheme="minorHAnsi"/>
        </w:rPr>
      </w:pPr>
      <w:r w:rsidRPr="003D277B">
        <w:rPr>
          <w:rFonts w:asciiTheme="majorHAnsi" w:hAnsiTheme="majorHAnsi" w:cstheme="majorHAnsi"/>
        </w:rPr>
        <w:t>That the PRA has had a marked effect in safeguarding the right of sex workers to refuse particular clients and practices, chiefly by empowering sex workers through removing the illegality of their work</w:t>
      </w:r>
      <w:r>
        <w:rPr>
          <w:rStyle w:val="FootnoteReference"/>
          <w:rFonts w:cstheme="minorHAnsi"/>
        </w:rPr>
        <w:footnoteReference w:id="4"/>
      </w:r>
      <w:r w:rsidRPr="003D277B">
        <w:rPr>
          <w:rFonts w:asciiTheme="majorHAnsi" w:hAnsiTheme="majorHAnsi" w:cstheme="majorHAnsi"/>
        </w:rPr>
        <w:t>.</w:t>
      </w:r>
    </w:p>
    <w:p w14:paraId="6B4BE806" w14:textId="5102D91E" w:rsidR="00AA1CE4" w:rsidRPr="003D277B" w:rsidRDefault="00AA1CE4" w:rsidP="003D277B">
      <w:pPr>
        <w:pStyle w:val="ListParagraph"/>
        <w:numPr>
          <w:ilvl w:val="0"/>
          <w:numId w:val="13"/>
        </w:numPr>
        <w:rPr>
          <w:rFonts w:cstheme="minorHAnsi"/>
        </w:rPr>
      </w:pPr>
      <w:r w:rsidRPr="003D277B">
        <w:rPr>
          <w:rFonts w:cstheme="minorHAnsi"/>
        </w:rPr>
        <w:t>Furthermore, the Committee sought information from Immigration about trafficking in the sex industry in New Zealand. The Committee, in it’s report to Parliament stated:</w:t>
      </w:r>
    </w:p>
    <w:p w14:paraId="2F85C514" w14:textId="0175E8B1" w:rsidR="00AA1CE4" w:rsidRDefault="00AA1CE4" w:rsidP="003D277B">
      <w:pPr>
        <w:ind w:left="1072"/>
        <w:rPr>
          <w:rFonts w:asciiTheme="majorHAnsi" w:hAnsiTheme="majorHAnsi" w:cstheme="majorHAnsi"/>
        </w:rPr>
      </w:pPr>
      <w:r>
        <w:rPr>
          <w:rFonts w:asciiTheme="majorHAnsi" w:hAnsiTheme="majorHAnsi" w:cstheme="majorHAnsi"/>
        </w:rPr>
        <w:t>Information received from Immigration Services NZ indicates that no situations involving trafficking in the sex industry have been identified</w:t>
      </w:r>
    </w:p>
    <w:p w14:paraId="55119B8B" w14:textId="78743DD0" w:rsidR="00AA1CE4" w:rsidRPr="00AA1CE4" w:rsidRDefault="00AA1CE4" w:rsidP="003D277B">
      <w:pPr>
        <w:ind w:left="720"/>
        <w:rPr>
          <w:rFonts w:cstheme="minorHAnsi"/>
        </w:rPr>
      </w:pPr>
      <w:r>
        <w:rPr>
          <w:rFonts w:cstheme="minorHAnsi"/>
        </w:rPr>
        <w:t xml:space="preserve">and the Committee was </w:t>
      </w:r>
    </w:p>
    <w:p w14:paraId="6004F928" w14:textId="19D073AA" w:rsidR="00AA1CE4" w:rsidRPr="00AA1CE4" w:rsidRDefault="00AA1CE4" w:rsidP="003D277B">
      <w:pPr>
        <w:ind w:left="1072"/>
        <w:rPr>
          <w:rFonts w:asciiTheme="majorHAnsi" w:hAnsiTheme="majorHAnsi" w:cstheme="majorHAnsi"/>
        </w:rPr>
      </w:pPr>
      <w:r>
        <w:rPr>
          <w:rFonts w:asciiTheme="majorHAnsi" w:hAnsiTheme="majorHAnsi" w:cstheme="majorHAnsi"/>
        </w:rPr>
        <w:t>satisfied, on the basis of information received from NZPC and other NGOs involved with street based sex workers, that during the period of tis investigation, there were no internationally trafficked women working as street-based sex workers in New Zealand</w:t>
      </w:r>
      <w:r>
        <w:rPr>
          <w:rStyle w:val="FootnoteReference"/>
          <w:rFonts w:asciiTheme="majorHAnsi" w:hAnsiTheme="majorHAnsi" w:cstheme="majorHAnsi"/>
        </w:rPr>
        <w:footnoteReference w:id="5"/>
      </w:r>
    </w:p>
    <w:p w14:paraId="179FBA92" w14:textId="77777777" w:rsidR="00AA1CE4" w:rsidRDefault="00AA1CE4">
      <w:pPr>
        <w:rPr>
          <w:rFonts w:cstheme="minorHAnsi"/>
        </w:rPr>
      </w:pPr>
    </w:p>
    <w:p w14:paraId="66DEC95A" w14:textId="5110E26F" w:rsidR="004D6644" w:rsidRPr="00C73845" w:rsidRDefault="00C15BD4" w:rsidP="00C73845">
      <w:pPr>
        <w:pStyle w:val="ListParagraph"/>
        <w:numPr>
          <w:ilvl w:val="0"/>
          <w:numId w:val="13"/>
        </w:numPr>
        <w:rPr>
          <w:rFonts w:cstheme="minorHAnsi"/>
        </w:rPr>
      </w:pPr>
      <w:bookmarkStart w:id="0" w:name="_GoBack"/>
      <w:bookmarkEnd w:id="0"/>
      <w:r w:rsidRPr="00C73845">
        <w:rPr>
          <w:rFonts w:cstheme="minorHAnsi"/>
        </w:rPr>
        <w:lastRenderedPageBreak/>
        <w:t xml:space="preserve">It can therefore be seen that </w:t>
      </w:r>
      <w:r w:rsidR="003F097B" w:rsidRPr="00C73845">
        <w:rPr>
          <w:rFonts w:cstheme="minorHAnsi"/>
        </w:rPr>
        <w:t xml:space="preserve">sex work in a decriminalised environment discourages criminal acts against sex workers while </w:t>
      </w:r>
      <w:r w:rsidR="005C1C6E" w:rsidRPr="00C73845">
        <w:rPr>
          <w:rFonts w:cstheme="minorHAnsi"/>
        </w:rPr>
        <w:t>protecting their rights, health, and well-being.</w:t>
      </w:r>
    </w:p>
    <w:p w14:paraId="5D36C497" w14:textId="1920C8B3" w:rsidR="005C1C6E" w:rsidRDefault="005C1C6E">
      <w:pPr>
        <w:rPr>
          <w:rFonts w:cstheme="minorHAnsi"/>
        </w:rPr>
      </w:pPr>
    </w:p>
    <w:p w14:paraId="6B74A88F" w14:textId="6DA9C376" w:rsidR="00815805" w:rsidRDefault="00C9581F" w:rsidP="00C73845">
      <w:pPr>
        <w:pStyle w:val="ListParagraph"/>
        <w:numPr>
          <w:ilvl w:val="0"/>
          <w:numId w:val="11"/>
        </w:numPr>
        <w:rPr>
          <w:rFonts w:cstheme="minorHAnsi"/>
          <w:b/>
          <w:bCs/>
          <w:sz w:val="26"/>
          <w:szCs w:val="26"/>
          <w:u w:val="single"/>
        </w:rPr>
      </w:pPr>
      <w:r w:rsidRPr="00C73845">
        <w:rPr>
          <w:rFonts w:cstheme="minorHAnsi"/>
          <w:b/>
          <w:bCs/>
          <w:sz w:val="26"/>
          <w:szCs w:val="26"/>
          <w:u w:val="single"/>
        </w:rPr>
        <w:t>Key concerns and recommendations</w:t>
      </w:r>
    </w:p>
    <w:p w14:paraId="24BC652E" w14:textId="77777777" w:rsidR="00240F39" w:rsidRPr="00C73845" w:rsidRDefault="00240F39" w:rsidP="00240F39">
      <w:pPr>
        <w:pStyle w:val="ListParagraph"/>
        <w:ind w:left="360"/>
        <w:rPr>
          <w:rFonts w:cstheme="minorHAnsi"/>
          <w:b/>
          <w:bCs/>
          <w:sz w:val="26"/>
          <w:szCs w:val="26"/>
          <w:u w:val="single"/>
        </w:rPr>
      </w:pPr>
    </w:p>
    <w:p w14:paraId="3925CD5E" w14:textId="30410E0D" w:rsidR="000E5C88" w:rsidRPr="00C73845" w:rsidRDefault="000E5C88" w:rsidP="00C73845">
      <w:pPr>
        <w:pStyle w:val="ListParagraph"/>
        <w:numPr>
          <w:ilvl w:val="0"/>
          <w:numId w:val="14"/>
        </w:numPr>
        <w:rPr>
          <w:rFonts w:cstheme="minorHAnsi"/>
          <w:b/>
          <w:bCs/>
          <w:i/>
          <w:iCs/>
        </w:rPr>
      </w:pPr>
      <w:r w:rsidRPr="00C73845">
        <w:rPr>
          <w:rFonts w:cstheme="minorHAnsi"/>
          <w:b/>
          <w:bCs/>
          <w:i/>
          <w:iCs/>
        </w:rPr>
        <w:t>Paragraph 2</w:t>
      </w:r>
    </w:p>
    <w:p w14:paraId="17C13665" w14:textId="302BC331" w:rsidR="00AA1CE4" w:rsidRPr="00C73845" w:rsidRDefault="00165664" w:rsidP="00C73845">
      <w:pPr>
        <w:ind w:left="720"/>
        <w:rPr>
          <w:rFonts w:cstheme="minorHAnsi"/>
          <w:b/>
          <w:bCs/>
          <w:i/>
          <w:iCs/>
        </w:rPr>
      </w:pPr>
      <w:r w:rsidRPr="00A47221">
        <w:rPr>
          <w:rFonts w:cstheme="minorHAnsi"/>
          <w:b/>
          <w:bCs/>
          <w:i/>
          <w:iCs/>
        </w:rPr>
        <w:t xml:space="preserve">… </w:t>
      </w:r>
      <w:r w:rsidR="000E5C88" w:rsidRPr="00A47221">
        <w:rPr>
          <w:rFonts w:cstheme="minorHAnsi"/>
          <w:b/>
          <w:bCs/>
          <w:i/>
          <w:iCs/>
        </w:rPr>
        <w:t>over-reliance on the criminal justice system to address trafficking in women and girls are</w:t>
      </w:r>
      <w:r w:rsidRPr="00A47221">
        <w:rPr>
          <w:rFonts w:cstheme="minorHAnsi"/>
          <w:b/>
          <w:bCs/>
          <w:i/>
          <w:iCs/>
        </w:rPr>
        <w:t xml:space="preserve"> </w:t>
      </w:r>
      <w:r w:rsidR="000E5C88" w:rsidRPr="00A47221">
        <w:rPr>
          <w:rFonts w:cstheme="minorHAnsi"/>
          <w:b/>
          <w:bCs/>
          <w:i/>
          <w:iCs/>
        </w:rPr>
        <w:t>barriers for victims’ access to justice and other services including health and psychosocial support.</w:t>
      </w:r>
    </w:p>
    <w:p w14:paraId="0BB5FE43" w14:textId="28998D3B" w:rsidR="00D6029A" w:rsidRPr="0032554A" w:rsidRDefault="002D225F" w:rsidP="0032554A">
      <w:pPr>
        <w:pStyle w:val="ListParagraph"/>
        <w:numPr>
          <w:ilvl w:val="0"/>
          <w:numId w:val="15"/>
        </w:numPr>
        <w:rPr>
          <w:rFonts w:cstheme="minorHAnsi"/>
        </w:rPr>
      </w:pPr>
      <w:r w:rsidRPr="0032554A">
        <w:rPr>
          <w:rFonts w:cstheme="minorHAnsi"/>
        </w:rPr>
        <w:t xml:space="preserve">From the experience that NZPC has gathered in over 30 years working with sex workers and supporting their rights, </w:t>
      </w:r>
      <w:r w:rsidR="006563A5" w:rsidRPr="0032554A">
        <w:rPr>
          <w:rFonts w:cstheme="minorHAnsi"/>
        </w:rPr>
        <w:t xml:space="preserve">NZPC is well aware that systems that treat sex work as criminal </w:t>
      </w:r>
      <w:r w:rsidR="00D5434A" w:rsidRPr="0032554A">
        <w:rPr>
          <w:rFonts w:cstheme="minorHAnsi"/>
        </w:rPr>
        <w:t xml:space="preserve">have a negative effect on the safety, health, and well-being of sex workers. On the contrary, in a decriminalised environment, police, rather than prosecute sex workers, protect them. </w:t>
      </w:r>
      <w:r w:rsidR="00E91555" w:rsidRPr="0032554A">
        <w:rPr>
          <w:rFonts w:cstheme="minorHAnsi"/>
        </w:rPr>
        <w:t xml:space="preserve">Rather than arrest a sex worker for seeking consensual adult sexual activity, they concentrate on those who </w:t>
      </w:r>
      <w:r w:rsidR="0073542A" w:rsidRPr="0032554A">
        <w:rPr>
          <w:rFonts w:cstheme="minorHAnsi"/>
        </w:rPr>
        <w:t>exploit or commit crimes against them. For example, police have helped street</w:t>
      </w:r>
      <w:r w:rsidR="009A5B7D" w:rsidRPr="0032554A">
        <w:rPr>
          <w:rFonts w:cstheme="minorHAnsi"/>
        </w:rPr>
        <w:t>-</w:t>
      </w:r>
      <w:r w:rsidR="0073542A" w:rsidRPr="0032554A">
        <w:rPr>
          <w:rFonts w:cstheme="minorHAnsi"/>
        </w:rPr>
        <w:t>based sex worker obtain money from those who have refused to pay them for services provided</w:t>
      </w:r>
      <w:r w:rsidR="00D6029A" w:rsidRPr="0032554A">
        <w:rPr>
          <w:rFonts w:cstheme="minorHAnsi"/>
        </w:rPr>
        <w:t>:</w:t>
      </w:r>
    </w:p>
    <w:p w14:paraId="61EF7C1C" w14:textId="191E45AB" w:rsidR="00D6029A" w:rsidRPr="00D6029A" w:rsidRDefault="00D6029A" w:rsidP="0032554A">
      <w:pPr>
        <w:ind w:left="1440"/>
        <w:rPr>
          <w:rFonts w:asciiTheme="majorHAnsi" w:hAnsiTheme="majorHAnsi" w:cstheme="majorHAnsi"/>
        </w:rPr>
      </w:pPr>
      <w:r w:rsidRPr="00D6029A">
        <w:rPr>
          <w:rFonts w:asciiTheme="majorHAnsi" w:eastAsia="Times New Roman" w:hAnsiTheme="majorHAnsi" w:cstheme="majorHAnsi"/>
          <w:color w:val="000000"/>
          <w:lang w:eastAsia="en-NZ"/>
        </w:rPr>
        <w:t xml:space="preserve">The client had refused to pay the woman </w:t>
      </w:r>
      <w:r w:rsidR="00E73C56" w:rsidRPr="005F799D">
        <w:rPr>
          <w:rFonts w:asciiTheme="majorHAnsi" w:eastAsia="Times New Roman" w:hAnsiTheme="majorHAnsi" w:cstheme="majorHAnsi"/>
          <w:color w:val="000000"/>
          <w:lang w:eastAsia="en-NZ"/>
        </w:rPr>
        <w:t>...</w:t>
      </w:r>
      <w:r w:rsidRPr="00D6029A">
        <w:rPr>
          <w:rFonts w:asciiTheme="majorHAnsi" w:eastAsia="Times New Roman" w:hAnsiTheme="majorHAnsi" w:cstheme="majorHAnsi"/>
          <w:color w:val="000000"/>
          <w:lang w:eastAsia="en-NZ"/>
        </w:rPr>
        <w:t>.</w:t>
      </w:r>
      <w:r w:rsidR="00E73C56" w:rsidRPr="005F799D">
        <w:rPr>
          <w:rFonts w:asciiTheme="majorHAnsi" w:hAnsiTheme="majorHAnsi" w:cstheme="majorHAnsi"/>
        </w:rPr>
        <w:t xml:space="preserve"> </w:t>
      </w:r>
      <w:r w:rsidRPr="00D6029A">
        <w:rPr>
          <w:rFonts w:asciiTheme="majorHAnsi" w:eastAsia="Times New Roman" w:hAnsiTheme="majorHAnsi" w:cstheme="majorHAnsi"/>
          <w:color w:val="000000"/>
          <w:lang w:eastAsia="en-NZ"/>
        </w:rPr>
        <w:t>Police settled the matter by driving the man home to get his wallet, taking him to an ATM and then delivering the cash to the worker.</w:t>
      </w:r>
      <w:r w:rsidR="00E73C56" w:rsidRPr="005F799D">
        <w:rPr>
          <w:rFonts w:asciiTheme="majorHAnsi" w:eastAsia="Times New Roman" w:hAnsiTheme="majorHAnsi" w:cstheme="majorHAnsi"/>
          <w:color w:val="000000"/>
          <w:lang w:eastAsia="en-NZ"/>
        </w:rPr>
        <w:t xml:space="preserve"> … </w:t>
      </w:r>
      <w:r w:rsidR="009A5B7D" w:rsidRPr="005F799D">
        <w:rPr>
          <w:rFonts w:asciiTheme="majorHAnsi" w:hAnsiTheme="majorHAnsi" w:cstheme="majorHAnsi"/>
          <w:color w:val="000000"/>
          <w:shd w:val="clear" w:color="auto" w:fill="FFFFFF"/>
        </w:rPr>
        <w:t>A Counties Manukau police spokesperson said the incident was common. "It sounds remarkable but it is a routine thing. Police would help any citizen having a disagreement whether they were a sex-worker or working in a pizza shop"</w:t>
      </w:r>
      <w:r w:rsidR="009A5B7D" w:rsidRPr="005F799D">
        <w:rPr>
          <w:rStyle w:val="FootnoteReference"/>
          <w:rFonts w:asciiTheme="majorHAnsi" w:hAnsiTheme="majorHAnsi" w:cstheme="majorHAnsi"/>
          <w:color w:val="000000"/>
          <w:shd w:val="clear" w:color="auto" w:fill="FFFFFF"/>
        </w:rPr>
        <w:footnoteReference w:id="6"/>
      </w:r>
    </w:p>
    <w:p w14:paraId="355531F5" w14:textId="77777777" w:rsidR="00165664" w:rsidRPr="005F799D" w:rsidRDefault="00165664">
      <w:pPr>
        <w:rPr>
          <w:rFonts w:cstheme="minorHAnsi"/>
        </w:rPr>
      </w:pPr>
    </w:p>
    <w:p w14:paraId="2CE41784" w14:textId="1F8BAEBB" w:rsidR="00AA1CE4" w:rsidRPr="0032554A" w:rsidRDefault="00AA1CE4" w:rsidP="0032554A">
      <w:pPr>
        <w:pStyle w:val="ListParagraph"/>
        <w:numPr>
          <w:ilvl w:val="0"/>
          <w:numId w:val="14"/>
        </w:numPr>
        <w:rPr>
          <w:rFonts w:cstheme="minorHAnsi"/>
          <w:b/>
          <w:bCs/>
          <w:i/>
          <w:iCs/>
        </w:rPr>
      </w:pPr>
      <w:r w:rsidRPr="0032554A">
        <w:rPr>
          <w:rFonts w:cstheme="minorHAnsi"/>
          <w:b/>
          <w:bCs/>
          <w:i/>
          <w:iCs/>
        </w:rPr>
        <w:t>Paragraph 7</w:t>
      </w:r>
    </w:p>
    <w:p w14:paraId="47478641" w14:textId="276D703B" w:rsidR="00AA1CE4" w:rsidRPr="00A47221" w:rsidRDefault="00AA1CE4" w:rsidP="009A407A">
      <w:pPr>
        <w:ind w:left="720"/>
        <w:rPr>
          <w:rFonts w:cstheme="minorHAnsi"/>
          <w:b/>
          <w:bCs/>
          <w:i/>
          <w:iCs/>
        </w:rPr>
      </w:pPr>
      <w:r w:rsidRPr="00A47221">
        <w:rPr>
          <w:rFonts w:cstheme="minorHAnsi"/>
          <w:b/>
          <w:bCs/>
          <w:i/>
          <w:iCs/>
        </w:rPr>
        <w:t>Exploitation shall include, at a minimum, the exploitation of the prostitution of others</w:t>
      </w:r>
      <w:r w:rsidRPr="00A47221">
        <w:rPr>
          <w:rFonts w:cstheme="minorHAnsi"/>
          <w:b/>
          <w:bCs/>
          <w:i/>
          <w:iCs/>
        </w:rPr>
        <w:t xml:space="preserve"> …</w:t>
      </w:r>
    </w:p>
    <w:p w14:paraId="6B11541D" w14:textId="2ED58DB4" w:rsidR="009A407A" w:rsidRPr="0032554A" w:rsidRDefault="009A407A" w:rsidP="006734E8">
      <w:pPr>
        <w:pStyle w:val="ListParagraph"/>
        <w:numPr>
          <w:ilvl w:val="0"/>
          <w:numId w:val="16"/>
        </w:numPr>
        <w:rPr>
          <w:rFonts w:cstheme="minorHAnsi"/>
        </w:rPr>
      </w:pPr>
      <w:r w:rsidRPr="0032554A">
        <w:rPr>
          <w:rFonts w:cstheme="minorHAnsi"/>
        </w:rPr>
        <w:t xml:space="preserve">NZPC believes very strongly that it is important not to conflate sex work with trafficking in any way. </w:t>
      </w:r>
      <w:r w:rsidR="00242B43" w:rsidRPr="0032554A">
        <w:rPr>
          <w:rFonts w:cstheme="minorHAnsi"/>
        </w:rPr>
        <w:t>To do so treats women as if they have no self</w:t>
      </w:r>
      <w:r w:rsidR="005F799D" w:rsidRPr="0032554A">
        <w:rPr>
          <w:rFonts w:cstheme="minorHAnsi"/>
        </w:rPr>
        <w:t>-</w:t>
      </w:r>
      <w:r w:rsidR="00242B43" w:rsidRPr="0032554A">
        <w:rPr>
          <w:rFonts w:cstheme="minorHAnsi"/>
        </w:rPr>
        <w:t>agency, and cannot make valid choices for themselves.</w:t>
      </w:r>
      <w:r w:rsidR="005F799D" w:rsidRPr="0032554A">
        <w:rPr>
          <w:rFonts w:cstheme="minorHAnsi"/>
        </w:rPr>
        <w:t xml:space="preserve"> </w:t>
      </w:r>
      <w:r w:rsidR="00841FE4" w:rsidRPr="0032554A">
        <w:rPr>
          <w:rFonts w:cstheme="minorHAnsi"/>
        </w:rPr>
        <w:t>It thus increases their vulnerability.</w:t>
      </w:r>
      <w:r w:rsidR="005F799D" w:rsidRPr="0032554A">
        <w:rPr>
          <w:rFonts w:cstheme="minorHAnsi"/>
        </w:rPr>
        <w:t xml:space="preserve"> NZPC therefore believes it must be made clear that “</w:t>
      </w:r>
      <w:r w:rsidR="005F799D" w:rsidRPr="0032554A">
        <w:rPr>
          <w:rFonts w:cstheme="minorHAnsi"/>
          <w:i/>
          <w:iCs/>
        </w:rPr>
        <w:t>the exploitation of the prostitution of others</w:t>
      </w:r>
      <w:r w:rsidR="005F799D" w:rsidRPr="0032554A">
        <w:rPr>
          <w:rFonts w:cstheme="minorHAnsi"/>
        </w:rPr>
        <w:t>”</w:t>
      </w:r>
      <w:r w:rsidR="00F54991" w:rsidRPr="0032554A">
        <w:rPr>
          <w:rFonts w:cstheme="minorHAnsi"/>
        </w:rPr>
        <w:t xml:space="preserve"> does not include sex work where the woman has entered it voluntarily, or through limited choices.</w:t>
      </w:r>
    </w:p>
    <w:p w14:paraId="06316985" w14:textId="77777777" w:rsidR="009A407A" w:rsidRPr="00AA1CE4" w:rsidRDefault="009A407A">
      <w:pPr>
        <w:rPr>
          <w:rFonts w:cstheme="minorHAnsi"/>
          <w:sz w:val="20"/>
          <w:szCs w:val="20"/>
        </w:rPr>
      </w:pPr>
    </w:p>
    <w:p w14:paraId="44445D38" w14:textId="4E2069B5" w:rsidR="00AA1CE4" w:rsidRPr="0032554A" w:rsidRDefault="00AA1CE4" w:rsidP="0032554A">
      <w:pPr>
        <w:pStyle w:val="ListParagraph"/>
        <w:numPr>
          <w:ilvl w:val="0"/>
          <w:numId w:val="14"/>
        </w:numPr>
        <w:rPr>
          <w:rFonts w:cstheme="minorHAnsi"/>
          <w:b/>
          <w:bCs/>
          <w:i/>
          <w:iCs/>
        </w:rPr>
      </w:pPr>
      <w:r w:rsidRPr="0032554A">
        <w:rPr>
          <w:rFonts w:cstheme="minorHAnsi"/>
          <w:b/>
          <w:bCs/>
          <w:i/>
          <w:iCs/>
        </w:rPr>
        <w:t>Paragraph 24</w:t>
      </w:r>
    </w:p>
    <w:p w14:paraId="1522CB68" w14:textId="67070F17" w:rsidR="00AA1CE4" w:rsidRPr="006734E8" w:rsidRDefault="00A47221" w:rsidP="006734E8">
      <w:pPr>
        <w:ind w:left="720"/>
        <w:rPr>
          <w:rFonts w:cstheme="minorHAnsi"/>
          <w:b/>
          <w:bCs/>
          <w:i/>
          <w:iCs/>
        </w:rPr>
      </w:pPr>
      <w:r>
        <w:rPr>
          <w:rFonts w:cstheme="minorHAnsi"/>
          <w:b/>
          <w:bCs/>
          <w:i/>
          <w:iCs/>
        </w:rPr>
        <w:t xml:space="preserve">… </w:t>
      </w:r>
      <w:r w:rsidR="00AA1CE4" w:rsidRPr="00A47221">
        <w:rPr>
          <w:rFonts w:cstheme="minorHAnsi"/>
          <w:b/>
          <w:bCs/>
          <w:i/>
          <w:iCs/>
        </w:rPr>
        <w:t>render rural women especially vulnerable to exploitation, in particular in prostitution</w:t>
      </w:r>
      <w:r>
        <w:rPr>
          <w:rFonts w:cstheme="minorHAnsi"/>
          <w:b/>
          <w:bCs/>
          <w:i/>
          <w:iCs/>
        </w:rPr>
        <w:t>…</w:t>
      </w:r>
    </w:p>
    <w:p w14:paraId="6D7F33B2" w14:textId="08C0C85C" w:rsidR="00993B1E" w:rsidRDefault="00A47221" w:rsidP="006734E8">
      <w:pPr>
        <w:pStyle w:val="ListParagraph"/>
        <w:numPr>
          <w:ilvl w:val="0"/>
          <w:numId w:val="17"/>
        </w:numPr>
      </w:pPr>
      <w:r w:rsidRPr="006734E8">
        <w:rPr>
          <w:rFonts w:cstheme="minorHAnsi"/>
        </w:rPr>
        <w:t xml:space="preserve">NZPC is concerned this </w:t>
      </w:r>
      <w:r w:rsidR="008F2556" w:rsidRPr="006734E8">
        <w:rPr>
          <w:rFonts w:cstheme="minorHAnsi"/>
        </w:rPr>
        <w:t>conflates sex work with trafficking and ignores the fact that rural women make the choice to enter sex work. Conflating sex work with trafficking increases the vulnerability of the women involved</w:t>
      </w:r>
      <w:r w:rsidR="00611A8B" w:rsidRPr="006734E8">
        <w:rPr>
          <w:rFonts w:cstheme="minorHAnsi"/>
        </w:rPr>
        <w:t xml:space="preserve">. Furthermore, in writing the </w:t>
      </w:r>
      <w:r w:rsidR="00611A8B">
        <w:t>Trafficking in Persons Protocol</w:t>
      </w:r>
      <w:r w:rsidR="00611A8B">
        <w:t xml:space="preserve">, UNODC </w:t>
      </w:r>
      <w:r w:rsidR="00BE1305">
        <w:t>made it clear</w:t>
      </w:r>
      <w:r w:rsidR="00993B1E">
        <w:t xml:space="preserve"> that</w:t>
      </w:r>
      <w:r w:rsidR="00611A8B">
        <w:t xml:space="preserve"> </w:t>
      </w:r>
      <w:r w:rsidR="00286649">
        <w:t>‘sexual</w:t>
      </w:r>
      <w:r w:rsidR="00286649">
        <w:t xml:space="preserve"> </w:t>
      </w:r>
      <w:r w:rsidR="00286649">
        <w:t xml:space="preserve">exploitation’ does not refer to all sex work: </w:t>
      </w:r>
    </w:p>
    <w:p w14:paraId="7563C90C" w14:textId="66D33561" w:rsidR="00A47221" w:rsidRPr="00993B1E" w:rsidRDefault="00286649" w:rsidP="006734E8">
      <w:pPr>
        <w:ind w:left="1440"/>
        <w:rPr>
          <w:rFonts w:asciiTheme="majorHAnsi" w:hAnsiTheme="majorHAnsi" w:cstheme="majorHAnsi"/>
        </w:rPr>
      </w:pPr>
      <w:r w:rsidRPr="00993B1E">
        <w:rPr>
          <w:rFonts w:asciiTheme="majorHAnsi" w:hAnsiTheme="majorHAnsi" w:cstheme="majorHAnsi"/>
        </w:rPr>
        <w:lastRenderedPageBreak/>
        <w:t xml:space="preserve">When used in the context of the Protocol, </w:t>
      </w:r>
      <w:r w:rsidRPr="00BE1305">
        <w:rPr>
          <w:rFonts w:asciiTheme="majorHAnsi" w:hAnsiTheme="majorHAnsi" w:cstheme="majorHAnsi"/>
          <w:b/>
          <w:bCs/>
        </w:rPr>
        <w:t>this</w:t>
      </w:r>
      <w:r w:rsidR="00993B1E" w:rsidRPr="00BE1305">
        <w:rPr>
          <w:rFonts w:asciiTheme="majorHAnsi" w:hAnsiTheme="majorHAnsi" w:cstheme="majorHAnsi"/>
          <w:b/>
          <w:bCs/>
        </w:rPr>
        <w:t xml:space="preserve"> </w:t>
      </w:r>
      <w:r w:rsidRPr="00BE1305">
        <w:rPr>
          <w:rFonts w:asciiTheme="majorHAnsi" w:hAnsiTheme="majorHAnsi" w:cstheme="majorHAnsi"/>
          <w:b/>
          <w:bCs/>
        </w:rPr>
        <w:t>term could not be applied to prostitution generally as States made clear that was not their</w:t>
      </w:r>
      <w:r w:rsidR="00993B1E" w:rsidRPr="00BE1305">
        <w:rPr>
          <w:rFonts w:asciiTheme="majorHAnsi" w:hAnsiTheme="majorHAnsi" w:cstheme="majorHAnsi"/>
          <w:b/>
          <w:bCs/>
        </w:rPr>
        <w:t xml:space="preserve"> </w:t>
      </w:r>
      <w:r w:rsidRPr="00BE1305">
        <w:rPr>
          <w:rFonts w:asciiTheme="majorHAnsi" w:hAnsiTheme="majorHAnsi" w:cstheme="majorHAnsi"/>
          <w:b/>
          <w:bCs/>
        </w:rPr>
        <w:t>intention</w:t>
      </w:r>
      <w:r w:rsidR="00BE1305">
        <w:rPr>
          <w:rStyle w:val="FootnoteReference"/>
          <w:rFonts w:asciiTheme="majorHAnsi" w:hAnsiTheme="majorHAnsi" w:cstheme="majorHAnsi"/>
          <w:b/>
          <w:bCs/>
        </w:rPr>
        <w:footnoteReference w:id="7"/>
      </w:r>
      <w:r w:rsidRPr="00993B1E">
        <w:rPr>
          <w:rFonts w:asciiTheme="majorHAnsi" w:hAnsiTheme="majorHAnsi" w:cstheme="majorHAnsi"/>
        </w:rPr>
        <w:t>.</w:t>
      </w:r>
    </w:p>
    <w:p w14:paraId="71DAC336" w14:textId="77777777" w:rsidR="00A47221" w:rsidRPr="00AA1CE4" w:rsidRDefault="00A47221">
      <w:pPr>
        <w:rPr>
          <w:rFonts w:cstheme="minorHAnsi"/>
        </w:rPr>
      </w:pPr>
    </w:p>
    <w:p w14:paraId="29CBC615" w14:textId="412B8D1E" w:rsidR="000A1BA3" w:rsidRPr="000A1BA3" w:rsidRDefault="000A1BA3" w:rsidP="006734E8">
      <w:pPr>
        <w:pStyle w:val="ListParagraph"/>
        <w:numPr>
          <w:ilvl w:val="0"/>
          <w:numId w:val="14"/>
        </w:numPr>
        <w:jc w:val="both"/>
        <w:rPr>
          <w:rFonts w:cstheme="minorHAnsi"/>
          <w:b/>
          <w:i/>
          <w:iCs/>
          <w:sz w:val="22"/>
          <w:szCs w:val="22"/>
        </w:rPr>
      </w:pPr>
      <w:r w:rsidRPr="000A1BA3">
        <w:rPr>
          <w:rFonts w:cstheme="minorHAnsi"/>
          <w:b/>
          <w:i/>
          <w:iCs/>
          <w:sz w:val="22"/>
          <w:szCs w:val="22"/>
        </w:rPr>
        <w:t>Paragraph 27</w:t>
      </w:r>
    </w:p>
    <w:p w14:paraId="233FD3A9" w14:textId="636160CF" w:rsidR="003250A3" w:rsidRPr="000A1BA3" w:rsidRDefault="003250A3" w:rsidP="000C59DB">
      <w:pPr>
        <w:pStyle w:val="ListParagraph"/>
        <w:jc w:val="both"/>
        <w:rPr>
          <w:rFonts w:cstheme="minorHAnsi"/>
          <w:b/>
          <w:i/>
          <w:iCs/>
          <w:sz w:val="22"/>
          <w:szCs w:val="22"/>
        </w:rPr>
      </w:pPr>
      <w:r w:rsidRPr="000A1BA3">
        <w:rPr>
          <w:rFonts w:cstheme="minorHAnsi"/>
          <w:b/>
          <w:i/>
          <w:iCs/>
          <w:sz w:val="22"/>
          <w:szCs w:val="22"/>
        </w:rPr>
        <w:t>Discourage the demand that fosters all forms of exploitation of persons, especially women and children, that leads to human trafficking by:</w:t>
      </w:r>
      <w:r w:rsidRPr="000A1BA3">
        <w:rPr>
          <w:rStyle w:val="FootnoteReference"/>
          <w:rFonts w:cstheme="minorHAnsi"/>
          <w:b/>
          <w:i/>
          <w:iCs/>
          <w:sz w:val="22"/>
          <w:szCs w:val="22"/>
        </w:rPr>
        <w:footnoteReference w:id="8"/>
      </w:r>
    </w:p>
    <w:p w14:paraId="62A7B729" w14:textId="77777777" w:rsidR="003250A3" w:rsidRPr="000A1BA3" w:rsidRDefault="003250A3" w:rsidP="000C59DB">
      <w:pPr>
        <w:pStyle w:val="ListParagraph"/>
        <w:numPr>
          <w:ilvl w:val="0"/>
          <w:numId w:val="4"/>
        </w:numPr>
        <w:ind w:left="1440"/>
        <w:jc w:val="both"/>
        <w:rPr>
          <w:rFonts w:cstheme="minorHAnsi"/>
          <w:b/>
          <w:i/>
          <w:iCs/>
          <w:sz w:val="22"/>
          <w:szCs w:val="22"/>
        </w:rPr>
      </w:pPr>
      <w:r w:rsidRPr="000A1BA3">
        <w:rPr>
          <w:rFonts w:cstheme="minorHAnsi"/>
          <w:b/>
          <w:i/>
          <w:iCs/>
          <w:sz w:val="22"/>
          <w:szCs w:val="22"/>
        </w:rPr>
        <w:t>Adopting or strengthening legislative and other measures to implement prevention techniques through educational, social or cultural measures, including in particular those targeted toward potential users of trafficked goods or services;</w:t>
      </w:r>
    </w:p>
    <w:p w14:paraId="572A85A5" w14:textId="77777777" w:rsidR="003250A3" w:rsidRPr="000A1BA3" w:rsidRDefault="003250A3" w:rsidP="000C59DB">
      <w:pPr>
        <w:pStyle w:val="ListParagraph"/>
        <w:numPr>
          <w:ilvl w:val="0"/>
          <w:numId w:val="4"/>
        </w:numPr>
        <w:ind w:left="1440"/>
        <w:jc w:val="both"/>
        <w:rPr>
          <w:rFonts w:cstheme="minorHAnsi"/>
          <w:b/>
          <w:i/>
          <w:iCs/>
          <w:sz w:val="22"/>
          <w:szCs w:val="22"/>
        </w:rPr>
      </w:pPr>
      <w:r w:rsidRPr="000A1BA3">
        <w:rPr>
          <w:rFonts w:cstheme="minorHAnsi"/>
          <w:b/>
          <w:i/>
          <w:iCs/>
          <w:sz w:val="22"/>
          <w:szCs w:val="22"/>
        </w:rPr>
        <w:t>Where applicable, instituting penal legislation to sanction the users of goods and services that result from trafficking in persons;</w:t>
      </w:r>
    </w:p>
    <w:p w14:paraId="1555FE69" w14:textId="77777777" w:rsidR="003250A3" w:rsidRPr="000A1BA3" w:rsidRDefault="003250A3" w:rsidP="000C59DB">
      <w:pPr>
        <w:pStyle w:val="ListParagraph"/>
        <w:numPr>
          <w:ilvl w:val="0"/>
          <w:numId w:val="4"/>
        </w:numPr>
        <w:ind w:left="1440"/>
        <w:jc w:val="both"/>
        <w:rPr>
          <w:rFonts w:cstheme="minorHAnsi"/>
          <w:b/>
          <w:i/>
          <w:iCs/>
          <w:sz w:val="22"/>
          <w:szCs w:val="22"/>
        </w:rPr>
      </w:pPr>
      <w:r w:rsidRPr="000A1BA3">
        <w:rPr>
          <w:rFonts w:cstheme="minorHAnsi"/>
          <w:b/>
          <w:i/>
          <w:iCs/>
          <w:sz w:val="22"/>
          <w:szCs w:val="22"/>
        </w:rPr>
        <w:t>Instituting regulations, policies and procedures for public agencies and private businesses to identify and remove goods and services that result from trafficking in persons from their supply chains;</w:t>
      </w:r>
    </w:p>
    <w:p w14:paraId="51E0237C" w14:textId="0E8B1953" w:rsidR="006D00C6" w:rsidRPr="006734E8" w:rsidRDefault="003250A3" w:rsidP="006734E8">
      <w:pPr>
        <w:pStyle w:val="ListParagraph"/>
        <w:numPr>
          <w:ilvl w:val="0"/>
          <w:numId w:val="4"/>
        </w:numPr>
        <w:ind w:left="1440"/>
        <w:jc w:val="both"/>
        <w:rPr>
          <w:rFonts w:cstheme="minorHAnsi"/>
          <w:b/>
          <w:i/>
          <w:iCs/>
          <w:sz w:val="22"/>
          <w:szCs w:val="22"/>
        </w:rPr>
      </w:pPr>
      <w:r w:rsidRPr="000A1BA3">
        <w:rPr>
          <w:rFonts w:cstheme="minorHAnsi"/>
          <w:b/>
          <w:i/>
          <w:iCs/>
          <w:sz w:val="22"/>
          <w:szCs w:val="22"/>
        </w:rPr>
        <w:t>Investigating, prosecuting and convicting all perpetrators involved in the trafficking of persons, including those on the demand side.</w:t>
      </w:r>
    </w:p>
    <w:p w14:paraId="1F9A6A80" w14:textId="77777777" w:rsidR="006508C3" w:rsidRDefault="00B15A17" w:rsidP="006508C3">
      <w:pPr>
        <w:pStyle w:val="ListParagraph"/>
        <w:numPr>
          <w:ilvl w:val="0"/>
          <w:numId w:val="18"/>
        </w:numPr>
      </w:pPr>
      <w:r>
        <w:t xml:space="preserve">This clause is a </w:t>
      </w:r>
      <w:r w:rsidR="001E145B">
        <w:t>barely veiled</w:t>
      </w:r>
      <w:r>
        <w:t xml:space="preserve"> attempt to focus solely on buyers of sex work and push for the introduction of the Nordic Model that has immense adverse human rights impacts on sex workers. This position is also incongruous with the CEDAW Committee’s existing body of work on Article 6 that so far, that rightly, does not indicate an equivocal espousal of client criminalisation strategies as an effective method to ‘discourage demand’. </w:t>
      </w:r>
    </w:p>
    <w:p w14:paraId="7B5E69E2" w14:textId="3A9274DF" w:rsidR="00B15A17" w:rsidRDefault="00B15A17" w:rsidP="006508C3">
      <w:pPr>
        <w:pStyle w:val="ListParagraph"/>
        <w:numPr>
          <w:ilvl w:val="0"/>
          <w:numId w:val="18"/>
        </w:numPr>
      </w:pPr>
      <w:r>
        <w:t>The CEDAW Concluding Observations on Article 6 have included recognising the adverse human rights impact of client criminalisation on sex workers</w:t>
      </w:r>
      <w:r>
        <w:rPr>
          <w:vertAlign w:val="superscript"/>
        </w:rPr>
        <w:footnoteReference w:id="9"/>
      </w:r>
      <w:r>
        <w:t xml:space="preserve"> and recommending implementation of labour frameworks to</w:t>
      </w:r>
      <w:r w:rsidRPr="006734E8">
        <w:rPr>
          <w:i/>
        </w:rPr>
        <w:t xml:space="preserve"> “prevent and combat other exploitative practices assimilated to trafficking”</w:t>
      </w:r>
      <w:r>
        <w:rPr>
          <w:i/>
          <w:vertAlign w:val="superscript"/>
        </w:rPr>
        <w:footnoteReference w:id="10"/>
      </w:r>
      <w:r>
        <w:t>.</w:t>
      </w:r>
      <w:r w:rsidR="0043565B">
        <w:t xml:space="preserve"> In particular, </w:t>
      </w:r>
      <w:r w:rsidR="005D23A3">
        <w:t>the phrase “</w:t>
      </w:r>
      <w:r w:rsidR="0012654B">
        <w:t>including those on the demand side</w:t>
      </w:r>
      <w:r w:rsidR="005D23A3">
        <w:t>”</w:t>
      </w:r>
      <w:r w:rsidR="0012654B">
        <w:t xml:space="preserve"> may be misinterpreted and </w:t>
      </w:r>
      <w:r w:rsidR="000E70E2">
        <w:t>mis</w:t>
      </w:r>
      <w:r w:rsidR="0012654B">
        <w:t>applied to target sex workers</w:t>
      </w:r>
      <w:r w:rsidR="000E70E2">
        <w:t>.</w:t>
      </w:r>
    </w:p>
    <w:p w14:paraId="1C2CEBA3" w14:textId="36BCAE12" w:rsidR="006508C3" w:rsidRDefault="006508C3">
      <w:pPr>
        <w:rPr>
          <w:rFonts w:cstheme="minorHAnsi"/>
        </w:rPr>
      </w:pPr>
    </w:p>
    <w:p w14:paraId="7F6EC7EB" w14:textId="57F88B57" w:rsidR="000F7228" w:rsidRDefault="000F7228">
      <w:pPr>
        <w:rPr>
          <w:rFonts w:cstheme="minorHAnsi"/>
        </w:rPr>
      </w:pPr>
    </w:p>
    <w:p w14:paraId="750663F1" w14:textId="77777777" w:rsidR="000F7228" w:rsidRDefault="000F7228">
      <w:pPr>
        <w:rPr>
          <w:rFonts w:cstheme="minorHAnsi"/>
        </w:rPr>
      </w:pPr>
    </w:p>
    <w:p w14:paraId="26BE183F" w14:textId="0DB8A6E3" w:rsidR="00AD3CC8" w:rsidRPr="006508C3" w:rsidRDefault="00B10250" w:rsidP="006508C3">
      <w:pPr>
        <w:pStyle w:val="ListParagraph"/>
        <w:numPr>
          <w:ilvl w:val="0"/>
          <w:numId w:val="14"/>
        </w:numPr>
        <w:rPr>
          <w:rFonts w:cstheme="minorHAnsi"/>
          <w:b/>
          <w:bCs/>
          <w:i/>
          <w:iCs/>
        </w:rPr>
      </w:pPr>
      <w:r w:rsidRPr="006508C3">
        <w:rPr>
          <w:rFonts w:cstheme="minorHAnsi"/>
          <w:b/>
          <w:bCs/>
          <w:i/>
          <w:iCs/>
        </w:rPr>
        <w:t>Paragraph 58</w:t>
      </w:r>
    </w:p>
    <w:p w14:paraId="037448E7" w14:textId="086C88F7" w:rsidR="003F751C" w:rsidRDefault="00063408" w:rsidP="006508C3">
      <w:pPr>
        <w:pStyle w:val="NoSpacing"/>
        <w:numPr>
          <w:ilvl w:val="0"/>
          <w:numId w:val="19"/>
        </w:numPr>
      </w:pPr>
      <w:r>
        <w:t xml:space="preserve">NZPC believes this paragraph </w:t>
      </w:r>
      <w:r w:rsidR="008451CA">
        <w:t>s</w:t>
      </w:r>
      <w:r>
        <w:t xml:space="preserve">hould be moved to below the current paragraph 26 </w:t>
      </w:r>
      <w:r w:rsidR="00934315">
        <w:t>as it is more applicable to State obligations to address the root causes of trafficking.</w:t>
      </w:r>
      <w:r w:rsidR="00287416">
        <w:t xml:space="preserve"> Clause (a) should make it clear it is </w:t>
      </w:r>
      <w:r w:rsidR="003F751C">
        <w:t>protecting</w:t>
      </w:r>
    </w:p>
    <w:p w14:paraId="1DF17B32" w14:textId="33FEDD73" w:rsidR="00A330D9" w:rsidRDefault="008451CA" w:rsidP="00240F39">
      <w:pPr>
        <w:pStyle w:val="NoSpacing"/>
        <w:ind w:left="1080"/>
        <w:rPr>
          <w:rFonts w:asciiTheme="majorHAnsi" w:hAnsiTheme="majorHAnsi" w:cstheme="majorHAnsi"/>
        </w:rPr>
      </w:pPr>
      <w:r>
        <w:rPr>
          <w:rFonts w:asciiTheme="majorHAnsi" w:hAnsiTheme="majorHAnsi" w:cstheme="majorHAnsi"/>
          <w:i/>
          <w:iCs/>
        </w:rPr>
        <w:t>… a</w:t>
      </w:r>
      <w:r w:rsidR="0028216A" w:rsidRPr="008451CA">
        <w:rPr>
          <w:rFonts w:asciiTheme="majorHAnsi" w:hAnsiTheme="majorHAnsi" w:cstheme="majorHAnsi"/>
          <w:i/>
          <w:iCs/>
        </w:rPr>
        <w:t>ll</w:t>
      </w:r>
      <w:r w:rsidR="0028216A">
        <w:rPr>
          <w:rFonts w:asciiTheme="majorHAnsi" w:hAnsiTheme="majorHAnsi" w:cstheme="majorHAnsi"/>
        </w:rPr>
        <w:t xml:space="preserve"> </w:t>
      </w:r>
      <w:r w:rsidR="0028216A">
        <w:rPr>
          <w:rFonts w:asciiTheme="majorHAnsi" w:hAnsiTheme="majorHAnsi" w:cstheme="majorHAnsi"/>
          <w:i/>
          <w:iCs/>
        </w:rPr>
        <w:t>women</w:t>
      </w:r>
      <w:r w:rsidR="0028216A">
        <w:rPr>
          <w:rFonts w:asciiTheme="majorHAnsi" w:hAnsiTheme="majorHAnsi" w:cstheme="majorHAnsi"/>
        </w:rPr>
        <w:t xml:space="preserve"> workers, </w:t>
      </w:r>
      <w:r w:rsidR="0028216A">
        <w:rPr>
          <w:rFonts w:asciiTheme="majorHAnsi" w:hAnsiTheme="majorHAnsi" w:cstheme="majorHAnsi"/>
          <w:i/>
          <w:iCs/>
        </w:rPr>
        <w:t xml:space="preserve">including </w:t>
      </w:r>
      <w:r>
        <w:rPr>
          <w:rFonts w:asciiTheme="majorHAnsi" w:hAnsiTheme="majorHAnsi" w:cstheme="majorHAnsi"/>
          <w:i/>
          <w:iCs/>
        </w:rPr>
        <w:t>women</w:t>
      </w:r>
      <w:r>
        <w:rPr>
          <w:rFonts w:asciiTheme="majorHAnsi" w:hAnsiTheme="majorHAnsi" w:cstheme="majorHAnsi"/>
          <w:i/>
          <w:iCs/>
        </w:rPr>
        <w:t xml:space="preserve"> </w:t>
      </w:r>
      <w:r w:rsidR="0028216A">
        <w:rPr>
          <w:rFonts w:asciiTheme="majorHAnsi" w:hAnsiTheme="majorHAnsi" w:cstheme="majorHAnsi"/>
          <w:i/>
          <w:iCs/>
        </w:rPr>
        <w:t>migrant</w:t>
      </w:r>
      <w:r>
        <w:rPr>
          <w:rFonts w:asciiTheme="majorHAnsi" w:hAnsiTheme="majorHAnsi" w:cstheme="majorHAnsi"/>
          <w:i/>
          <w:iCs/>
        </w:rPr>
        <w:t xml:space="preserve"> workers</w:t>
      </w:r>
      <w:r w:rsidR="0028216A">
        <w:rPr>
          <w:rFonts w:asciiTheme="majorHAnsi" w:hAnsiTheme="majorHAnsi" w:cstheme="majorHAnsi"/>
        </w:rPr>
        <w:t xml:space="preserve">, </w:t>
      </w:r>
      <w:r w:rsidR="00BB4F2F">
        <w:rPr>
          <w:rFonts w:asciiTheme="majorHAnsi" w:hAnsiTheme="majorHAnsi" w:cstheme="majorHAnsi"/>
        </w:rPr>
        <w:t>i</w:t>
      </w:r>
      <w:r w:rsidR="00A330D9">
        <w:rPr>
          <w:rFonts w:asciiTheme="majorHAnsi" w:hAnsiTheme="majorHAnsi" w:cstheme="majorHAnsi"/>
        </w:rPr>
        <w:t>rrespective of level of skill or the sector in which they work,</w:t>
      </w:r>
      <w:r w:rsidR="00A330D9">
        <w:rPr>
          <w:rFonts w:asciiTheme="majorHAnsi" w:hAnsiTheme="majorHAnsi" w:cstheme="majorHAnsi"/>
        </w:rPr>
        <w:t xml:space="preserve"> </w:t>
      </w:r>
      <w:r w:rsidR="00EF5825" w:rsidRPr="00A330D9">
        <w:rPr>
          <w:rFonts w:asciiTheme="majorHAnsi" w:hAnsiTheme="majorHAnsi" w:cstheme="majorHAnsi"/>
          <w:i/>
          <w:iCs/>
        </w:rPr>
        <w:t>or whether they are in the formal or informa</w:t>
      </w:r>
      <w:r w:rsidR="00A330D9" w:rsidRPr="00A330D9">
        <w:rPr>
          <w:rFonts w:asciiTheme="majorHAnsi" w:hAnsiTheme="majorHAnsi" w:cstheme="majorHAnsi"/>
          <w:i/>
          <w:iCs/>
        </w:rPr>
        <w:t>l economy</w:t>
      </w:r>
      <w:r w:rsidR="00A330D9">
        <w:rPr>
          <w:rFonts w:asciiTheme="majorHAnsi" w:hAnsiTheme="majorHAnsi" w:cstheme="majorHAnsi"/>
        </w:rPr>
        <w:t xml:space="preserve"> …</w:t>
      </w:r>
    </w:p>
    <w:p w14:paraId="56D474EE" w14:textId="77777777" w:rsidR="00372A0F" w:rsidRDefault="00A330D9" w:rsidP="00240F39">
      <w:pPr>
        <w:pStyle w:val="NoSpacing"/>
        <w:numPr>
          <w:ilvl w:val="0"/>
          <w:numId w:val="19"/>
        </w:numPr>
        <w:rPr>
          <w:rFonts w:cstheme="minorHAnsi"/>
        </w:rPr>
      </w:pPr>
      <w:r w:rsidRPr="00A330D9">
        <w:rPr>
          <w:rFonts w:cstheme="minorHAnsi"/>
        </w:rPr>
        <w:t>Clause (f)</w:t>
      </w:r>
      <w:r>
        <w:rPr>
          <w:rFonts w:cstheme="minorHAnsi"/>
        </w:rPr>
        <w:t xml:space="preserve"> </w:t>
      </w:r>
      <w:r w:rsidR="00372A0F">
        <w:rPr>
          <w:rFonts w:cstheme="minorHAnsi"/>
        </w:rPr>
        <w:t xml:space="preserve">should similarly include the wording </w:t>
      </w:r>
    </w:p>
    <w:p w14:paraId="47067D8A" w14:textId="0C9C02F7" w:rsidR="003F751C" w:rsidRPr="00240F39" w:rsidRDefault="00372A0F" w:rsidP="00240F39">
      <w:pPr>
        <w:pStyle w:val="NoSpacing"/>
        <w:ind w:left="1080"/>
        <w:rPr>
          <w:rFonts w:asciiTheme="majorHAnsi" w:hAnsiTheme="majorHAnsi" w:cstheme="majorHAnsi"/>
        </w:rPr>
      </w:pPr>
      <w:r w:rsidRPr="00372A0F">
        <w:rPr>
          <w:rFonts w:asciiTheme="majorHAnsi" w:hAnsiTheme="majorHAnsi" w:cstheme="majorHAnsi"/>
        </w:rPr>
        <w:t>“Facilitate the self-organis</w:t>
      </w:r>
      <w:r w:rsidRPr="006A441E">
        <w:rPr>
          <w:rFonts w:asciiTheme="majorHAnsi" w:hAnsiTheme="majorHAnsi" w:cstheme="majorHAnsi"/>
        </w:rPr>
        <w:t xml:space="preserve">ation and unionisation of </w:t>
      </w:r>
      <w:r w:rsidRPr="006A441E">
        <w:rPr>
          <w:rFonts w:asciiTheme="majorHAnsi" w:hAnsiTheme="majorHAnsi" w:cstheme="majorHAnsi"/>
          <w:i/>
          <w:iCs/>
        </w:rPr>
        <w:t>women workers, including in particular women migrant workers</w:t>
      </w:r>
      <w:r w:rsidRPr="006A441E">
        <w:rPr>
          <w:rFonts w:asciiTheme="majorHAnsi" w:hAnsiTheme="majorHAnsi" w:cstheme="majorHAnsi"/>
        </w:rPr>
        <w:t xml:space="preserve"> …</w:t>
      </w:r>
      <w:r w:rsidRPr="00372A0F">
        <w:rPr>
          <w:rFonts w:asciiTheme="majorHAnsi" w:hAnsiTheme="majorHAnsi" w:cstheme="majorHAnsi"/>
        </w:rPr>
        <w:t xml:space="preserve"> </w:t>
      </w:r>
    </w:p>
    <w:p w14:paraId="36CBAAE1" w14:textId="07C06F58" w:rsidR="008F2DA6" w:rsidRDefault="006A441E" w:rsidP="00240F39">
      <w:pPr>
        <w:pStyle w:val="NoSpacing"/>
        <w:numPr>
          <w:ilvl w:val="0"/>
          <w:numId w:val="19"/>
        </w:numPr>
      </w:pPr>
      <w:r w:rsidRPr="007941A8">
        <w:t>NZPC</w:t>
      </w:r>
      <w:r w:rsidR="008F2DA6">
        <w:t xml:space="preserve"> acknowledge</w:t>
      </w:r>
      <w:r w:rsidR="007941A8">
        <w:t>s</w:t>
      </w:r>
      <w:r w:rsidR="008F2DA6">
        <w:t xml:space="preserve"> and appreciate the Committee’s responsiveness to addressing the structural links between labour exploitation and trafficking. The Committee’s </w:t>
      </w:r>
      <w:r w:rsidR="008F2DA6">
        <w:lastRenderedPageBreak/>
        <w:t xml:space="preserve">recommendations in this respect are progressive and far reaching and should be made applicable to women workers in general, not just women migrant workers in order for their gender transformative impact to be realised. </w:t>
      </w:r>
    </w:p>
    <w:p w14:paraId="7C7C41D5" w14:textId="45F6716E" w:rsidR="00BB4F2F" w:rsidRDefault="00BB4F2F" w:rsidP="007941A8">
      <w:pPr>
        <w:pStyle w:val="NoSpacing"/>
      </w:pPr>
    </w:p>
    <w:p w14:paraId="7C6EBA63" w14:textId="77777777" w:rsidR="00BB4F2F" w:rsidRPr="00240F39" w:rsidRDefault="00BB4F2F" w:rsidP="00240F39">
      <w:pPr>
        <w:pStyle w:val="ListParagraph"/>
        <w:numPr>
          <w:ilvl w:val="0"/>
          <w:numId w:val="14"/>
        </w:numPr>
        <w:rPr>
          <w:rFonts w:cstheme="minorHAnsi"/>
          <w:b/>
          <w:bCs/>
          <w:i/>
          <w:iCs/>
        </w:rPr>
      </w:pPr>
      <w:r w:rsidRPr="00240F39">
        <w:rPr>
          <w:rFonts w:cstheme="minorHAnsi"/>
          <w:b/>
          <w:bCs/>
          <w:i/>
          <w:iCs/>
        </w:rPr>
        <w:t>Paragraph 66</w:t>
      </w:r>
    </w:p>
    <w:p w14:paraId="4B226ECE" w14:textId="1EDED83E" w:rsidR="00BB4F2F" w:rsidRPr="00240F39" w:rsidRDefault="00BB4F2F" w:rsidP="00240F39">
      <w:pPr>
        <w:ind w:left="720"/>
        <w:rPr>
          <w:rFonts w:cstheme="minorHAnsi"/>
          <w:b/>
          <w:bCs/>
          <w:i/>
          <w:iCs/>
        </w:rPr>
      </w:pPr>
      <w:r w:rsidRPr="00AD2F40">
        <w:rPr>
          <w:rFonts w:cstheme="minorHAnsi"/>
          <w:b/>
          <w:bCs/>
          <w:i/>
          <w:iCs/>
        </w:rPr>
        <w:t>particularly as victims are often hidden in non-public areas such as private residences, isolated factories and farms, and brothels and private apartments used for commercial sexual exploitation. The victims, themselves, may lack awareness that they are subject to a criminal act, may not know where to report the crime or may be reluctant to engage with law enforcement and other state agents due to uncertainty about legal processes or for fear of being placed in detention and deported</w:t>
      </w:r>
    </w:p>
    <w:p w14:paraId="1A6A55EA" w14:textId="1D650CB8" w:rsidR="00BB4F2F" w:rsidRPr="00240F39" w:rsidRDefault="00BB4F2F" w:rsidP="00240F39">
      <w:pPr>
        <w:pStyle w:val="ListParagraph"/>
        <w:numPr>
          <w:ilvl w:val="0"/>
          <w:numId w:val="20"/>
        </w:numPr>
        <w:rPr>
          <w:rFonts w:cstheme="minorHAnsi"/>
        </w:rPr>
      </w:pPr>
      <w:r w:rsidRPr="00240F39">
        <w:rPr>
          <w:rFonts w:cstheme="minorHAnsi"/>
        </w:rPr>
        <w:t xml:space="preserve">This paragraph, in the opinion of NZPC treats women as if they cannot make a choice and cannot consent. It therefore infantilises women. The </w:t>
      </w:r>
      <w:r w:rsidR="000317AB" w:rsidRPr="00240F39">
        <w:rPr>
          <w:rFonts w:cstheme="minorHAnsi"/>
        </w:rPr>
        <w:t>GR</w:t>
      </w:r>
      <w:r w:rsidRPr="00240F39">
        <w:rPr>
          <w:rFonts w:cstheme="minorHAnsi"/>
        </w:rPr>
        <w:t xml:space="preserve"> would be better without this.</w:t>
      </w:r>
    </w:p>
    <w:p w14:paraId="452C54ED" w14:textId="77777777" w:rsidR="00AD2F40" w:rsidRPr="00367952" w:rsidRDefault="00AD2F40">
      <w:pPr>
        <w:rPr>
          <w:rFonts w:cstheme="minorHAnsi"/>
        </w:rPr>
      </w:pPr>
    </w:p>
    <w:p w14:paraId="67CD8D56" w14:textId="69F986A6" w:rsidR="00AA1CE4" w:rsidRPr="00240F39" w:rsidRDefault="00AA1CE4" w:rsidP="00240F39">
      <w:pPr>
        <w:pStyle w:val="ListParagraph"/>
        <w:numPr>
          <w:ilvl w:val="0"/>
          <w:numId w:val="14"/>
        </w:numPr>
        <w:rPr>
          <w:rFonts w:cstheme="minorHAnsi"/>
          <w:b/>
          <w:bCs/>
          <w:i/>
          <w:iCs/>
        </w:rPr>
      </w:pPr>
      <w:r w:rsidRPr="00240F39">
        <w:rPr>
          <w:rFonts w:cstheme="minorHAnsi"/>
          <w:b/>
          <w:bCs/>
          <w:i/>
          <w:iCs/>
        </w:rPr>
        <w:t>Paragraph 92</w:t>
      </w:r>
    </w:p>
    <w:p w14:paraId="1A020748" w14:textId="5A283B9F" w:rsidR="00AA1CE4" w:rsidRPr="000F7228" w:rsidRDefault="00AA1CE4" w:rsidP="000F7228">
      <w:pPr>
        <w:pStyle w:val="ListParagraph"/>
        <w:jc w:val="both"/>
        <w:rPr>
          <w:rFonts w:cstheme="minorHAnsi"/>
          <w:b/>
          <w:sz w:val="22"/>
          <w:szCs w:val="22"/>
        </w:rPr>
      </w:pPr>
      <w:r w:rsidRPr="006A4076">
        <w:rPr>
          <w:rFonts w:cstheme="minorHAnsi"/>
          <w:b/>
          <w:i/>
          <w:iCs/>
        </w:rPr>
        <w:t>Ensure that anti-trafficking efforts are not used as a means to deport migrant women with an irregular immigration status.</w:t>
      </w:r>
    </w:p>
    <w:p w14:paraId="1584C36E" w14:textId="5CFB940E" w:rsidR="00AA1CE4" w:rsidRPr="000F7228" w:rsidRDefault="006A4076" w:rsidP="000F7228">
      <w:pPr>
        <w:pStyle w:val="ListParagraph"/>
        <w:numPr>
          <w:ilvl w:val="0"/>
          <w:numId w:val="21"/>
        </w:numPr>
        <w:rPr>
          <w:rFonts w:cstheme="minorHAnsi"/>
        </w:rPr>
      </w:pPr>
      <w:r w:rsidRPr="000F7228">
        <w:rPr>
          <w:rFonts w:cstheme="minorHAnsi"/>
        </w:rPr>
        <w:t xml:space="preserve">Although New Zealand decriminalised sex work in 2003, </w:t>
      </w:r>
      <w:r w:rsidR="00BA3530" w:rsidRPr="000F7228">
        <w:rPr>
          <w:rFonts w:cstheme="minorHAnsi"/>
        </w:rPr>
        <w:t xml:space="preserve">in an attempt to prevent trafficking </w:t>
      </w:r>
      <w:r w:rsidRPr="000F7228">
        <w:rPr>
          <w:rFonts w:cstheme="minorHAnsi"/>
        </w:rPr>
        <w:t>migrant sex workers were excluded from the protections offered by the Act</w:t>
      </w:r>
      <w:r w:rsidR="00FD5106" w:rsidRPr="000F7228">
        <w:rPr>
          <w:rFonts w:cstheme="minorHAnsi"/>
        </w:rPr>
        <w:t xml:space="preserve"> </w:t>
      </w:r>
      <w:r w:rsidRPr="000F7228">
        <w:rPr>
          <w:rFonts w:cstheme="minorHAnsi"/>
        </w:rPr>
        <w:t xml:space="preserve">and </w:t>
      </w:r>
      <w:r w:rsidR="00723082" w:rsidRPr="000F7228">
        <w:rPr>
          <w:rFonts w:cstheme="minorHAnsi"/>
        </w:rPr>
        <w:t>will be</w:t>
      </w:r>
      <w:r w:rsidR="001A29C2" w:rsidRPr="000F7228">
        <w:rPr>
          <w:rFonts w:cstheme="minorHAnsi"/>
        </w:rPr>
        <w:t xml:space="preserve"> deport</w:t>
      </w:r>
      <w:r w:rsidR="00723082" w:rsidRPr="000F7228">
        <w:rPr>
          <w:rFonts w:cstheme="minorHAnsi"/>
        </w:rPr>
        <w:t>ed</w:t>
      </w:r>
      <w:r w:rsidR="001A29C2" w:rsidRPr="000F7228">
        <w:rPr>
          <w:rFonts w:cstheme="minorHAnsi"/>
        </w:rPr>
        <w:t xml:space="preserve"> if they were found to be sex working in New Zealand. As a result, </w:t>
      </w:r>
      <w:r w:rsidR="009C345D" w:rsidRPr="000F7228">
        <w:rPr>
          <w:rFonts w:cstheme="minorHAnsi"/>
        </w:rPr>
        <w:t xml:space="preserve">migrant sex workers are loathe to report any criminal acts against them to the police due to fear of deportation, even if </w:t>
      </w:r>
      <w:r w:rsidR="00FD5106" w:rsidRPr="000F7228">
        <w:rPr>
          <w:rFonts w:cstheme="minorHAnsi"/>
        </w:rPr>
        <w:t xml:space="preserve">the criminal act is not related to their sex work. It is therefore very important that </w:t>
      </w:r>
    </w:p>
    <w:p w14:paraId="52144FDB" w14:textId="18A0A1A4" w:rsidR="00AD3CC8" w:rsidRPr="00AD3CC8" w:rsidRDefault="00AD3CC8" w:rsidP="000F7228">
      <w:pPr>
        <w:ind w:left="1080"/>
        <w:rPr>
          <w:rFonts w:asciiTheme="majorHAnsi" w:hAnsiTheme="majorHAnsi" w:cstheme="majorHAnsi"/>
          <w:bCs/>
        </w:rPr>
      </w:pPr>
      <w:r w:rsidRPr="00AD3CC8">
        <w:rPr>
          <w:rFonts w:asciiTheme="majorHAnsi" w:hAnsiTheme="majorHAnsi" w:cstheme="majorHAnsi"/>
          <w:bCs/>
        </w:rPr>
        <w:t>anti-trafficking efforts are not used as a means to deport migrant women with an irregular immigration status</w:t>
      </w:r>
      <w:r>
        <w:rPr>
          <w:rFonts w:asciiTheme="majorHAnsi" w:hAnsiTheme="majorHAnsi" w:cstheme="majorHAnsi"/>
          <w:bCs/>
        </w:rPr>
        <w:t>.</w:t>
      </w:r>
    </w:p>
    <w:sectPr w:rsidR="00AD3CC8" w:rsidRPr="00AD3C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05ED9" w14:textId="77777777" w:rsidR="00116538" w:rsidRDefault="00116538" w:rsidP="00AA1CE4">
      <w:pPr>
        <w:spacing w:line="240" w:lineRule="auto"/>
      </w:pPr>
      <w:r>
        <w:separator/>
      </w:r>
    </w:p>
  </w:endnote>
  <w:endnote w:type="continuationSeparator" w:id="0">
    <w:p w14:paraId="403BCE6E" w14:textId="77777777" w:rsidR="00116538" w:rsidRDefault="00116538" w:rsidP="00AA1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676322"/>
      <w:docPartObj>
        <w:docPartGallery w:val="Page Numbers (Bottom of Page)"/>
        <w:docPartUnique/>
      </w:docPartObj>
    </w:sdtPr>
    <w:sdtEndPr>
      <w:rPr>
        <w:noProof/>
      </w:rPr>
    </w:sdtEndPr>
    <w:sdtContent>
      <w:p w14:paraId="41EF55F0" w14:textId="1BA2F1EB" w:rsidR="009B3CD2" w:rsidRDefault="009B3C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FAA700" w14:textId="77777777" w:rsidR="009B3CD2" w:rsidRDefault="009B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9896" w14:textId="77777777" w:rsidR="00116538" w:rsidRDefault="00116538" w:rsidP="00AA1CE4">
      <w:pPr>
        <w:spacing w:line="240" w:lineRule="auto"/>
      </w:pPr>
      <w:r>
        <w:separator/>
      </w:r>
    </w:p>
  </w:footnote>
  <w:footnote w:type="continuationSeparator" w:id="0">
    <w:p w14:paraId="3DBB01E3" w14:textId="77777777" w:rsidR="00116538" w:rsidRDefault="00116538" w:rsidP="00AA1CE4">
      <w:pPr>
        <w:spacing w:line="240" w:lineRule="auto"/>
      </w:pPr>
      <w:r>
        <w:continuationSeparator/>
      </w:r>
    </w:p>
  </w:footnote>
  <w:footnote w:id="1">
    <w:p w14:paraId="0C3D3D7C" w14:textId="77777777" w:rsidR="00AA1CE4" w:rsidRPr="00FB702E" w:rsidRDefault="00AA1CE4" w:rsidP="00AA1CE4">
      <w:pPr>
        <w:pStyle w:val="FootnoteText"/>
        <w:rPr>
          <w:lang w:val="en-AU"/>
        </w:rPr>
      </w:pPr>
      <w:r>
        <w:rPr>
          <w:rStyle w:val="FootnoteReference"/>
        </w:rPr>
        <w:footnoteRef/>
      </w:r>
      <w:r>
        <w:t xml:space="preserve"> </w:t>
      </w:r>
      <w:r>
        <w:rPr>
          <w:lang w:val="en-AU"/>
        </w:rPr>
        <w:t xml:space="preserve">NZPC, (2018). </w:t>
      </w:r>
      <w:r w:rsidRPr="00BF5A02">
        <w:rPr>
          <w:i/>
          <w:lang w:val="en-AU"/>
        </w:rPr>
        <w:t xml:space="preserve">Six Monthly </w:t>
      </w:r>
      <w:r>
        <w:rPr>
          <w:i/>
          <w:lang w:val="en-AU"/>
        </w:rPr>
        <w:t>Report to the Ministry of Health</w:t>
      </w:r>
      <w:r>
        <w:rPr>
          <w:lang w:val="en-AU"/>
        </w:rPr>
        <w:t>. Wellington, NZ: NZPC. Available upon request.</w:t>
      </w:r>
    </w:p>
  </w:footnote>
  <w:footnote w:id="2">
    <w:p w14:paraId="5CF9FF4A" w14:textId="3BBE1899" w:rsidR="00AA1CE4" w:rsidRDefault="00AA1CE4">
      <w:pPr>
        <w:pStyle w:val="FootnoteText"/>
      </w:pPr>
      <w:r>
        <w:rPr>
          <w:rStyle w:val="FootnoteReference"/>
        </w:rPr>
        <w:footnoteRef/>
      </w:r>
      <w:r>
        <w:t xml:space="preserve"> NZ Government, (2003). Prostitution Reform Act 2003, (section 3). Available from </w:t>
      </w:r>
      <w:hyperlink r:id="rId1" w:history="1">
        <w:r>
          <w:rPr>
            <w:rStyle w:val="Hyperlink"/>
          </w:rPr>
          <w:t>http://www.legislation.govt.nz/act/public/2003/0028/latest/DLM197821.html</w:t>
        </w:r>
      </w:hyperlink>
    </w:p>
  </w:footnote>
  <w:footnote w:id="3">
    <w:p w14:paraId="6E4B3CE4" w14:textId="33927951" w:rsidR="00AA1CE4" w:rsidRDefault="00AA1CE4">
      <w:pPr>
        <w:pStyle w:val="FootnoteText"/>
      </w:pPr>
      <w:r>
        <w:rPr>
          <w:rStyle w:val="FootnoteReference"/>
        </w:rPr>
        <w:footnoteRef/>
      </w:r>
      <w:r>
        <w:t xml:space="preserve"> Abel, G., Fitzgerald, L., &amp; Brunton, C., (2007). </w:t>
      </w:r>
      <w:r w:rsidRPr="00AA1CE4">
        <w:rPr>
          <w:i/>
          <w:iCs/>
        </w:rPr>
        <w:t>The impact of the Prostitution Review Act on the occupational health and safety of sex workers</w:t>
      </w:r>
      <w:r>
        <w:t>. Christchurch, (NZ): Christchurch School of Medicine, p117.</w:t>
      </w:r>
    </w:p>
  </w:footnote>
  <w:footnote w:id="4">
    <w:p w14:paraId="22860668" w14:textId="77777777" w:rsidR="003D277B" w:rsidRDefault="003D277B" w:rsidP="003D277B">
      <w:pPr>
        <w:pStyle w:val="FootnoteText"/>
      </w:pPr>
      <w:r>
        <w:rPr>
          <w:rStyle w:val="FootnoteReference"/>
        </w:rPr>
        <w:footnoteRef/>
      </w:r>
      <w:r>
        <w:t xml:space="preserve"> Prostitution Law Review Committee, (2008). </w:t>
      </w:r>
      <w:r w:rsidRPr="00AA1CE4">
        <w:rPr>
          <w:i/>
          <w:iCs/>
        </w:rPr>
        <w:t>Report of the Prostitution Law Review Committee on the Operation of the Prostitution Reform Act 2003</w:t>
      </w:r>
      <w:r>
        <w:t>. Wellington: Ministry of Justice, p14.</w:t>
      </w:r>
    </w:p>
  </w:footnote>
  <w:footnote w:id="5">
    <w:p w14:paraId="6CF20D08" w14:textId="387C1485" w:rsidR="00AA1CE4" w:rsidRDefault="00AA1CE4">
      <w:pPr>
        <w:pStyle w:val="FootnoteText"/>
      </w:pPr>
      <w:r>
        <w:rPr>
          <w:rStyle w:val="FootnoteReference"/>
        </w:rPr>
        <w:footnoteRef/>
      </w:r>
      <w:r>
        <w:t xml:space="preserve"> Ibid, p</w:t>
      </w:r>
      <w:r w:rsidR="0042039A">
        <w:t>167.</w:t>
      </w:r>
    </w:p>
  </w:footnote>
  <w:footnote w:id="6">
    <w:p w14:paraId="39636738" w14:textId="46E70626" w:rsidR="009A5B7D" w:rsidRDefault="009A5B7D">
      <w:pPr>
        <w:pStyle w:val="FootnoteText"/>
      </w:pPr>
      <w:r>
        <w:rPr>
          <w:rStyle w:val="FootnoteReference"/>
        </w:rPr>
        <w:footnoteRef/>
      </w:r>
      <w:r>
        <w:t xml:space="preserve"> Wynn, </w:t>
      </w:r>
      <w:r w:rsidR="00112000">
        <w:t xml:space="preserve">K., (2014). Police help short changed sex worker, </w:t>
      </w:r>
      <w:r w:rsidR="00112000" w:rsidRPr="00112000">
        <w:rPr>
          <w:i/>
          <w:iCs/>
        </w:rPr>
        <w:t>New Zealand Herald</w:t>
      </w:r>
      <w:r w:rsidR="00112000">
        <w:t xml:space="preserve">, 13 July 2014, </w:t>
      </w:r>
      <w:hyperlink r:id="rId2" w:history="1">
        <w:r w:rsidR="00B147F8">
          <w:rPr>
            <w:rStyle w:val="Hyperlink"/>
          </w:rPr>
          <w:t>https://www.nzherald.co.nz/nz/news/article.cfm?c_id=1&amp;objectid=11292537</w:t>
        </w:r>
      </w:hyperlink>
    </w:p>
  </w:footnote>
  <w:footnote w:id="7">
    <w:p w14:paraId="4FB3C0C6" w14:textId="57A08728" w:rsidR="00BE1305" w:rsidRPr="002C5792" w:rsidRDefault="00BE1305">
      <w:pPr>
        <w:pStyle w:val="FootnoteText"/>
      </w:pPr>
      <w:r>
        <w:rPr>
          <w:rStyle w:val="FootnoteReference"/>
        </w:rPr>
        <w:footnoteRef/>
      </w:r>
      <w:r>
        <w:t xml:space="preserve"> </w:t>
      </w:r>
      <w:r w:rsidR="002C5792" w:rsidRPr="002C5792">
        <w:t>N</w:t>
      </w:r>
      <w:r w:rsidR="00EF5836">
        <w:t xml:space="preserve">etwork of </w:t>
      </w:r>
      <w:r w:rsidR="002C5792" w:rsidRPr="002C5792">
        <w:t>S</w:t>
      </w:r>
      <w:r w:rsidR="00EF5836">
        <w:t xml:space="preserve">ex </w:t>
      </w:r>
      <w:r w:rsidR="002C5792" w:rsidRPr="002C5792">
        <w:t>W</w:t>
      </w:r>
      <w:r w:rsidR="00EF5836">
        <w:t xml:space="preserve">ork </w:t>
      </w:r>
      <w:r w:rsidR="002C5792" w:rsidRPr="002C5792">
        <w:t>P</w:t>
      </w:r>
      <w:r w:rsidR="00EF5836">
        <w:t>rojects</w:t>
      </w:r>
      <w:r w:rsidR="002C5792" w:rsidRPr="002C5792">
        <w:t xml:space="preserve">, </w:t>
      </w:r>
      <w:r w:rsidR="00EF5836">
        <w:t>(</w:t>
      </w:r>
      <w:r w:rsidR="002C5792" w:rsidRPr="002C5792">
        <w:t>2019</w:t>
      </w:r>
      <w:r w:rsidR="00EF5836">
        <w:t>).</w:t>
      </w:r>
      <w:r w:rsidR="002C5792" w:rsidRPr="002C5792">
        <w:t xml:space="preserve"> </w:t>
      </w:r>
      <w:r w:rsidR="002C5792" w:rsidRPr="00EF5836">
        <w:rPr>
          <w:i/>
          <w:iCs/>
        </w:rPr>
        <w:t>Briefing Note: Sex Work is not Sexual Exploitation</w:t>
      </w:r>
      <w:r w:rsidR="00EF5836">
        <w:t>.</w:t>
      </w:r>
      <w:r w:rsidR="00436852">
        <w:t xml:space="preserve"> Edinburgh (UK): NSWP, </w:t>
      </w:r>
      <w:r w:rsidR="00436852" w:rsidRPr="00436852">
        <w:t>https://www.nswp.org/sites/nswp.org/files/briefing_note_sex_work_is_not_sexual_exploitation_nswp_-_2019_0.pdf</w:t>
      </w:r>
    </w:p>
  </w:footnote>
  <w:footnote w:id="8">
    <w:p w14:paraId="6B764C82" w14:textId="77777777" w:rsidR="003250A3" w:rsidRPr="00B15A17" w:rsidRDefault="003250A3" w:rsidP="003250A3">
      <w:pPr>
        <w:pStyle w:val="FootnoteText"/>
        <w:rPr>
          <w:rFonts w:cstheme="minorHAnsi"/>
        </w:rPr>
      </w:pPr>
      <w:r w:rsidRPr="00B15A17">
        <w:rPr>
          <w:rStyle w:val="FootnoteReference"/>
          <w:rFonts w:cstheme="minorHAnsi"/>
        </w:rPr>
        <w:footnoteRef/>
      </w:r>
      <w:r w:rsidRPr="00B15A17">
        <w:rPr>
          <w:rFonts w:cstheme="minorHAnsi"/>
        </w:rPr>
        <w:t xml:space="preserve"> Article 9(5), UN Trafficking Protocol; A/73/263 (2018), para. 18.</w:t>
      </w:r>
    </w:p>
  </w:footnote>
  <w:footnote w:id="9">
    <w:p w14:paraId="70110D6B" w14:textId="77777777" w:rsidR="00B15A17" w:rsidRPr="00B15A17" w:rsidRDefault="00B15A17" w:rsidP="00B15A17">
      <w:pPr>
        <w:pStyle w:val="NoSpacing"/>
        <w:rPr>
          <w:rFonts w:cstheme="minorHAnsi"/>
          <w:sz w:val="20"/>
          <w:szCs w:val="20"/>
        </w:rPr>
      </w:pPr>
      <w:r w:rsidRPr="00B15A17">
        <w:rPr>
          <w:rFonts w:cstheme="minorHAnsi"/>
          <w:sz w:val="20"/>
          <w:szCs w:val="20"/>
          <w:vertAlign w:val="superscript"/>
        </w:rPr>
        <w:footnoteRef/>
      </w:r>
      <w:r w:rsidRPr="00B15A17">
        <w:rPr>
          <w:rFonts w:cstheme="minorHAnsi"/>
          <w:sz w:val="20"/>
          <w:szCs w:val="20"/>
        </w:rPr>
        <w:t xml:space="preserve"> CEDAW/C/NOR/CO/9, para 28</w:t>
      </w:r>
    </w:p>
  </w:footnote>
  <w:footnote w:id="10">
    <w:p w14:paraId="593CA7B3" w14:textId="77777777" w:rsidR="00B15A17" w:rsidRDefault="00B15A17" w:rsidP="00B15A17">
      <w:pPr>
        <w:pStyle w:val="NoSpacing"/>
        <w:rPr>
          <w:sz w:val="16"/>
          <w:szCs w:val="16"/>
        </w:rPr>
      </w:pPr>
      <w:r w:rsidRPr="00B15A17">
        <w:rPr>
          <w:rFonts w:cstheme="minorHAnsi"/>
          <w:sz w:val="20"/>
          <w:szCs w:val="20"/>
          <w:vertAlign w:val="superscript"/>
        </w:rPr>
        <w:footnoteRef/>
      </w:r>
      <w:r w:rsidRPr="00B15A17">
        <w:rPr>
          <w:rFonts w:cstheme="minorHAnsi"/>
          <w:sz w:val="20"/>
          <w:szCs w:val="20"/>
        </w:rPr>
        <w:t xml:space="preserve"> CEDAW/C/CHE/CO/4-5, para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E5E"/>
    <w:multiLevelType w:val="multilevel"/>
    <w:tmpl w:val="03E4A2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FF5DCE"/>
    <w:multiLevelType w:val="hybridMultilevel"/>
    <w:tmpl w:val="B2946D2A"/>
    <w:lvl w:ilvl="0" w:tplc="7FF6840E">
      <w:start w:val="1"/>
      <w:numFmt w:val="lowerLetter"/>
      <w:lvlText w:val="%1)"/>
      <w:lvlJc w:val="left"/>
      <w:pPr>
        <w:ind w:left="720" w:hanging="360"/>
      </w:pPr>
      <w:rPr>
        <w:rFonts w:ascii="Times New Roman" w:hAnsi="Times New Roman" w:cs="Times New Roman"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D84C42"/>
    <w:multiLevelType w:val="multilevel"/>
    <w:tmpl w:val="6B7E5320"/>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0DE40434"/>
    <w:multiLevelType w:val="hybridMultilevel"/>
    <w:tmpl w:val="62D01B4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F6B28BD"/>
    <w:multiLevelType w:val="hybridMultilevel"/>
    <w:tmpl w:val="4CF4C4D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08C7CEB"/>
    <w:multiLevelType w:val="hybridMultilevel"/>
    <w:tmpl w:val="9634F4B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312449E"/>
    <w:multiLevelType w:val="hybridMultilevel"/>
    <w:tmpl w:val="A642D996"/>
    <w:lvl w:ilvl="0" w:tplc="3CCE2F60">
      <w:start w:val="1"/>
      <w:numFmt w:val="lowerLetter"/>
      <w:lvlText w:val="%1)"/>
      <w:lvlJc w:val="left"/>
      <w:pPr>
        <w:ind w:left="720" w:hanging="360"/>
      </w:pPr>
      <w:rPr>
        <w:rFonts w:asciiTheme="minorHAnsi" w:hAnsiTheme="minorHAnsi" w:cstheme="minorHAnsi" w:hint="default"/>
        <w:b/>
        <w:bCs/>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DA2C68"/>
    <w:multiLevelType w:val="hybridMultilevel"/>
    <w:tmpl w:val="644C2C3A"/>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03D7C82"/>
    <w:multiLevelType w:val="hybridMultilevel"/>
    <w:tmpl w:val="269A3DB2"/>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45A5280"/>
    <w:multiLevelType w:val="multilevel"/>
    <w:tmpl w:val="6B7E5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AB81F2D"/>
    <w:multiLevelType w:val="hybridMultilevel"/>
    <w:tmpl w:val="5554E2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FF2364"/>
    <w:multiLevelType w:val="hybridMultilevel"/>
    <w:tmpl w:val="08EE13D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50302C"/>
    <w:multiLevelType w:val="hybridMultilevel"/>
    <w:tmpl w:val="7518B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303B24"/>
    <w:multiLevelType w:val="hybridMultilevel"/>
    <w:tmpl w:val="832237AE"/>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49FC0787"/>
    <w:multiLevelType w:val="hybridMultilevel"/>
    <w:tmpl w:val="FF807372"/>
    <w:lvl w:ilvl="0" w:tplc="3CCE2F60">
      <w:start w:val="1"/>
      <w:numFmt w:val="lowerLetter"/>
      <w:lvlText w:val="%1)"/>
      <w:lvlJc w:val="left"/>
      <w:pPr>
        <w:ind w:left="360" w:hanging="360"/>
      </w:pPr>
      <w:rPr>
        <w:rFonts w:asciiTheme="minorHAnsi" w:hAnsiTheme="minorHAnsi" w:cstheme="minorHAnsi" w:hint="default"/>
        <w:b/>
        <w:bCs/>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4993B95"/>
    <w:multiLevelType w:val="hybridMultilevel"/>
    <w:tmpl w:val="1B480804"/>
    <w:lvl w:ilvl="0" w:tplc="3CCE2F60">
      <w:start w:val="1"/>
      <w:numFmt w:val="lowerLetter"/>
      <w:lvlText w:val="%1)"/>
      <w:lvlJc w:val="left"/>
      <w:pPr>
        <w:ind w:left="720" w:hanging="360"/>
      </w:pPr>
      <w:rPr>
        <w:rFonts w:asciiTheme="minorHAnsi" w:hAnsiTheme="minorHAnsi" w:cstheme="minorHAnsi"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55B5A30"/>
    <w:multiLevelType w:val="hybridMultilevel"/>
    <w:tmpl w:val="269A3DB2"/>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F0454B1"/>
    <w:multiLevelType w:val="hybridMultilevel"/>
    <w:tmpl w:val="3ABE0018"/>
    <w:lvl w:ilvl="0" w:tplc="1409000F">
      <w:start w:val="1"/>
      <w:numFmt w:val="decimal"/>
      <w:lvlText w:val="%1."/>
      <w:lvlJc w:val="left"/>
      <w:pPr>
        <w:ind w:left="36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18C7DA4"/>
    <w:multiLevelType w:val="hybridMultilevel"/>
    <w:tmpl w:val="C7CA362C"/>
    <w:lvl w:ilvl="0" w:tplc="3CCE2F60">
      <w:start w:val="1"/>
      <w:numFmt w:val="lowerLetter"/>
      <w:lvlText w:val="%1)"/>
      <w:lvlJc w:val="left"/>
      <w:pPr>
        <w:ind w:left="720" w:hanging="360"/>
      </w:pPr>
      <w:rPr>
        <w:rFonts w:asciiTheme="minorHAnsi" w:hAnsiTheme="minorHAnsi" w:cstheme="minorHAnsi" w:hint="default"/>
        <w:b/>
        <w:bCs/>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46A058E"/>
    <w:multiLevelType w:val="hybridMultilevel"/>
    <w:tmpl w:val="9D74FF66"/>
    <w:lvl w:ilvl="0" w:tplc="7248B630">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D544D65"/>
    <w:multiLevelType w:val="hybridMultilevel"/>
    <w:tmpl w:val="832237AE"/>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2"/>
  </w:num>
  <w:num w:numId="7">
    <w:abstractNumId w:val="9"/>
  </w:num>
  <w:num w:numId="8">
    <w:abstractNumId w:val="12"/>
  </w:num>
  <w:num w:numId="9">
    <w:abstractNumId w:val="4"/>
  </w:num>
  <w:num w:numId="10">
    <w:abstractNumId w:val="14"/>
  </w:num>
  <w:num w:numId="11">
    <w:abstractNumId w:val="17"/>
  </w:num>
  <w:num w:numId="12">
    <w:abstractNumId w:val="15"/>
  </w:num>
  <w:num w:numId="13">
    <w:abstractNumId w:val="6"/>
  </w:num>
  <w:num w:numId="14">
    <w:abstractNumId w:val="18"/>
  </w:num>
  <w:num w:numId="15">
    <w:abstractNumId w:val="5"/>
  </w:num>
  <w:num w:numId="16">
    <w:abstractNumId w:val="7"/>
  </w:num>
  <w:num w:numId="17">
    <w:abstractNumId w:val="8"/>
  </w:num>
  <w:num w:numId="18">
    <w:abstractNumId w:val="16"/>
  </w:num>
  <w:num w:numId="19">
    <w:abstractNumId w:val="3"/>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88"/>
    <w:rsid w:val="000317AB"/>
    <w:rsid w:val="000521B6"/>
    <w:rsid w:val="00063408"/>
    <w:rsid w:val="0009694C"/>
    <w:rsid w:val="000A1BA3"/>
    <w:rsid w:val="000C59DB"/>
    <w:rsid w:val="000E5C88"/>
    <w:rsid w:val="000E70E2"/>
    <w:rsid w:val="000F1F40"/>
    <w:rsid w:val="000F7228"/>
    <w:rsid w:val="00112000"/>
    <w:rsid w:val="00116538"/>
    <w:rsid w:val="0012654B"/>
    <w:rsid w:val="00165664"/>
    <w:rsid w:val="001A29C2"/>
    <w:rsid w:val="001E145B"/>
    <w:rsid w:val="00222065"/>
    <w:rsid w:val="00240F39"/>
    <w:rsid w:val="00242B43"/>
    <w:rsid w:val="0026492A"/>
    <w:rsid w:val="0028216A"/>
    <w:rsid w:val="00286649"/>
    <w:rsid w:val="00287416"/>
    <w:rsid w:val="002C5792"/>
    <w:rsid w:val="002D225F"/>
    <w:rsid w:val="00305116"/>
    <w:rsid w:val="00310866"/>
    <w:rsid w:val="003250A3"/>
    <w:rsid w:val="0032554A"/>
    <w:rsid w:val="00345EC1"/>
    <w:rsid w:val="00367952"/>
    <w:rsid w:val="00372A0F"/>
    <w:rsid w:val="003D277B"/>
    <w:rsid w:val="003F097B"/>
    <w:rsid w:val="003F6D3F"/>
    <w:rsid w:val="003F751C"/>
    <w:rsid w:val="0042039A"/>
    <w:rsid w:val="0043565B"/>
    <w:rsid w:val="00436852"/>
    <w:rsid w:val="0045649C"/>
    <w:rsid w:val="004B3CA2"/>
    <w:rsid w:val="004D6644"/>
    <w:rsid w:val="005309B9"/>
    <w:rsid w:val="005B5105"/>
    <w:rsid w:val="005C1C6E"/>
    <w:rsid w:val="005D23A3"/>
    <w:rsid w:val="005F799D"/>
    <w:rsid w:val="00611A8B"/>
    <w:rsid w:val="006508C3"/>
    <w:rsid w:val="006563A5"/>
    <w:rsid w:val="006734E8"/>
    <w:rsid w:val="006A4076"/>
    <w:rsid w:val="006A441E"/>
    <w:rsid w:val="006D00C6"/>
    <w:rsid w:val="006F3158"/>
    <w:rsid w:val="00723082"/>
    <w:rsid w:val="0073542A"/>
    <w:rsid w:val="0074757D"/>
    <w:rsid w:val="00786B07"/>
    <w:rsid w:val="007941A8"/>
    <w:rsid w:val="007A5E5B"/>
    <w:rsid w:val="007C628B"/>
    <w:rsid w:val="007F5DC4"/>
    <w:rsid w:val="00815805"/>
    <w:rsid w:val="00841FE4"/>
    <w:rsid w:val="008451CA"/>
    <w:rsid w:val="0087467D"/>
    <w:rsid w:val="008B0898"/>
    <w:rsid w:val="008B20BB"/>
    <w:rsid w:val="008C75CF"/>
    <w:rsid w:val="008F2556"/>
    <w:rsid w:val="008F2DA6"/>
    <w:rsid w:val="00900658"/>
    <w:rsid w:val="00934315"/>
    <w:rsid w:val="00936505"/>
    <w:rsid w:val="00954251"/>
    <w:rsid w:val="0097147D"/>
    <w:rsid w:val="00993B1E"/>
    <w:rsid w:val="009A407A"/>
    <w:rsid w:val="009A5B7D"/>
    <w:rsid w:val="009B3CD2"/>
    <w:rsid w:val="009C345D"/>
    <w:rsid w:val="00A330D9"/>
    <w:rsid w:val="00A47221"/>
    <w:rsid w:val="00A54472"/>
    <w:rsid w:val="00A97ABE"/>
    <w:rsid w:val="00AA1CE4"/>
    <w:rsid w:val="00AD2F40"/>
    <w:rsid w:val="00AD3CC8"/>
    <w:rsid w:val="00B06BFF"/>
    <w:rsid w:val="00B10250"/>
    <w:rsid w:val="00B147F8"/>
    <w:rsid w:val="00B15A17"/>
    <w:rsid w:val="00B517E2"/>
    <w:rsid w:val="00BA3530"/>
    <w:rsid w:val="00BB4F2F"/>
    <w:rsid w:val="00BE1305"/>
    <w:rsid w:val="00BE3584"/>
    <w:rsid w:val="00BE7951"/>
    <w:rsid w:val="00C002BB"/>
    <w:rsid w:val="00C15BD4"/>
    <w:rsid w:val="00C44F59"/>
    <w:rsid w:val="00C45C25"/>
    <w:rsid w:val="00C73845"/>
    <w:rsid w:val="00C9581F"/>
    <w:rsid w:val="00D20AEA"/>
    <w:rsid w:val="00D30EFC"/>
    <w:rsid w:val="00D5434A"/>
    <w:rsid w:val="00D6029A"/>
    <w:rsid w:val="00E65B6B"/>
    <w:rsid w:val="00E73C56"/>
    <w:rsid w:val="00E91555"/>
    <w:rsid w:val="00EB386F"/>
    <w:rsid w:val="00EF5825"/>
    <w:rsid w:val="00EF5836"/>
    <w:rsid w:val="00F04593"/>
    <w:rsid w:val="00F45A96"/>
    <w:rsid w:val="00F54991"/>
    <w:rsid w:val="00FD2C50"/>
    <w:rsid w:val="00FD5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A58A"/>
  <w15:chartTrackingRefBased/>
  <w15:docId w15:val="{74B1A844-519C-4414-A570-11819A68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AA1CE4"/>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E4"/>
    <w:rPr>
      <w:rFonts w:ascii="Segoe UI" w:hAnsi="Segoe UI" w:cs="Segoe UI"/>
      <w:sz w:val="18"/>
      <w:szCs w:val="18"/>
    </w:rPr>
  </w:style>
  <w:style w:type="paragraph" w:styleId="ListParagraph">
    <w:name w:val="List Paragraph"/>
    <w:basedOn w:val="Normal"/>
    <w:uiPriority w:val="34"/>
    <w:qFormat/>
    <w:rsid w:val="00AA1CE4"/>
    <w:pPr>
      <w:spacing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AA1CE4"/>
    <w:pPr>
      <w:tabs>
        <w:tab w:val="center" w:pos="4320"/>
        <w:tab w:val="right" w:pos="8640"/>
      </w:tabs>
      <w:spacing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AA1CE4"/>
    <w:rPr>
      <w:rFonts w:eastAsiaTheme="minorEastAsia"/>
      <w:sz w:val="24"/>
      <w:szCs w:val="24"/>
      <w:lang w:val="en-US"/>
    </w:rPr>
  </w:style>
  <w:style w:type="paragraph" w:styleId="FootnoteText">
    <w:name w:val="footnote text"/>
    <w:basedOn w:val="Normal"/>
    <w:link w:val="FootnoteTextChar"/>
    <w:uiPriority w:val="99"/>
    <w:unhideWhenUsed/>
    <w:rsid w:val="00AA1CE4"/>
    <w:pPr>
      <w:spacing w:line="240" w:lineRule="auto"/>
    </w:pPr>
    <w:rPr>
      <w:sz w:val="20"/>
      <w:szCs w:val="20"/>
    </w:rPr>
  </w:style>
  <w:style w:type="character" w:customStyle="1" w:styleId="FootnoteTextChar">
    <w:name w:val="Footnote Text Char"/>
    <w:basedOn w:val="DefaultParagraphFont"/>
    <w:link w:val="FootnoteText"/>
    <w:uiPriority w:val="99"/>
    <w:rsid w:val="00AA1CE4"/>
    <w:rPr>
      <w:sz w:val="20"/>
      <w:szCs w:val="20"/>
    </w:rPr>
  </w:style>
  <w:style w:type="character" w:styleId="FootnoteReference">
    <w:name w:val="footnote reference"/>
    <w:basedOn w:val="DefaultParagraphFont"/>
    <w:uiPriority w:val="99"/>
    <w:semiHidden/>
    <w:unhideWhenUsed/>
    <w:rsid w:val="00AA1CE4"/>
    <w:rPr>
      <w:vertAlign w:val="superscript"/>
    </w:rPr>
  </w:style>
  <w:style w:type="character" w:customStyle="1" w:styleId="Heading5Char">
    <w:name w:val="Heading 5 Char"/>
    <w:basedOn w:val="DefaultParagraphFont"/>
    <w:link w:val="Heading5"/>
    <w:uiPriority w:val="9"/>
    <w:rsid w:val="00AA1CE4"/>
    <w:rPr>
      <w:rFonts w:ascii="Times New Roman" w:eastAsia="Times New Roman" w:hAnsi="Times New Roman" w:cs="Times New Roman"/>
      <w:b/>
      <w:bCs/>
      <w:sz w:val="20"/>
      <w:szCs w:val="20"/>
      <w:lang w:eastAsia="en-NZ"/>
    </w:rPr>
  </w:style>
  <w:style w:type="character" w:customStyle="1" w:styleId="label">
    <w:name w:val="label"/>
    <w:basedOn w:val="DefaultParagraphFont"/>
    <w:rsid w:val="00AA1CE4"/>
  </w:style>
  <w:style w:type="paragraph" w:customStyle="1" w:styleId="text">
    <w:name w:val="text"/>
    <w:basedOn w:val="Normal"/>
    <w:rsid w:val="00AA1CE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A1CE4"/>
    <w:rPr>
      <w:color w:val="0000FF"/>
      <w:u w:val="single"/>
    </w:rPr>
  </w:style>
  <w:style w:type="character" w:styleId="UnresolvedMention">
    <w:name w:val="Unresolved Mention"/>
    <w:basedOn w:val="DefaultParagraphFont"/>
    <w:uiPriority w:val="99"/>
    <w:semiHidden/>
    <w:unhideWhenUsed/>
    <w:rsid w:val="007F5DC4"/>
    <w:rPr>
      <w:color w:val="605E5C"/>
      <w:shd w:val="clear" w:color="auto" w:fill="E1DFDD"/>
    </w:rPr>
  </w:style>
  <w:style w:type="paragraph" w:styleId="NoSpacing">
    <w:name w:val="No Spacing"/>
    <w:uiPriority w:val="1"/>
    <w:qFormat/>
    <w:rsid w:val="00B15A17"/>
    <w:pPr>
      <w:spacing w:line="240" w:lineRule="auto"/>
    </w:pPr>
    <w:rPr>
      <w:rFonts w:eastAsiaTheme="minorEastAsia"/>
      <w:lang w:val="en-GB" w:eastAsia="zh-CN"/>
    </w:rPr>
  </w:style>
  <w:style w:type="paragraph" w:styleId="Footer">
    <w:name w:val="footer"/>
    <w:basedOn w:val="Normal"/>
    <w:link w:val="FooterChar"/>
    <w:uiPriority w:val="99"/>
    <w:unhideWhenUsed/>
    <w:rsid w:val="009B3CD2"/>
    <w:pPr>
      <w:tabs>
        <w:tab w:val="center" w:pos="4513"/>
        <w:tab w:val="right" w:pos="9026"/>
      </w:tabs>
      <w:spacing w:line="240" w:lineRule="auto"/>
    </w:pPr>
  </w:style>
  <w:style w:type="character" w:customStyle="1" w:styleId="FooterChar">
    <w:name w:val="Footer Char"/>
    <w:basedOn w:val="DefaultParagraphFont"/>
    <w:link w:val="Footer"/>
    <w:uiPriority w:val="99"/>
    <w:rsid w:val="009B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8793">
      <w:bodyDiv w:val="1"/>
      <w:marLeft w:val="0"/>
      <w:marRight w:val="0"/>
      <w:marTop w:val="0"/>
      <w:marBottom w:val="0"/>
      <w:divBdr>
        <w:top w:val="none" w:sz="0" w:space="0" w:color="auto"/>
        <w:left w:val="none" w:sz="0" w:space="0" w:color="auto"/>
        <w:bottom w:val="none" w:sz="0" w:space="0" w:color="auto"/>
        <w:right w:val="none" w:sz="0" w:space="0" w:color="auto"/>
      </w:divBdr>
    </w:div>
    <w:div w:id="434133425">
      <w:bodyDiv w:val="1"/>
      <w:marLeft w:val="0"/>
      <w:marRight w:val="0"/>
      <w:marTop w:val="0"/>
      <w:marBottom w:val="0"/>
      <w:divBdr>
        <w:top w:val="none" w:sz="0" w:space="0" w:color="auto"/>
        <w:left w:val="none" w:sz="0" w:space="0" w:color="auto"/>
        <w:bottom w:val="none" w:sz="0" w:space="0" w:color="auto"/>
        <w:right w:val="none" w:sz="0" w:space="0" w:color="auto"/>
      </w:divBdr>
    </w:div>
    <w:div w:id="602952810">
      <w:bodyDiv w:val="1"/>
      <w:marLeft w:val="0"/>
      <w:marRight w:val="0"/>
      <w:marTop w:val="0"/>
      <w:marBottom w:val="0"/>
      <w:divBdr>
        <w:top w:val="none" w:sz="0" w:space="0" w:color="auto"/>
        <w:left w:val="none" w:sz="0" w:space="0" w:color="auto"/>
        <w:bottom w:val="none" w:sz="0" w:space="0" w:color="auto"/>
        <w:right w:val="none" w:sz="0" w:space="0" w:color="auto"/>
      </w:divBdr>
    </w:div>
    <w:div w:id="878593348">
      <w:bodyDiv w:val="1"/>
      <w:marLeft w:val="0"/>
      <w:marRight w:val="0"/>
      <w:marTop w:val="0"/>
      <w:marBottom w:val="0"/>
      <w:divBdr>
        <w:top w:val="none" w:sz="0" w:space="0" w:color="auto"/>
        <w:left w:val="none" w:sz="0" w:space="0" w:color="auto"/>
        <w:bottom w:val="none" w:sz="0" w:space="0" w:color="auto"/>
        <w:right w:val="none" w:sz="0" w:space="0" w:color="auto"/>
      </w:divBdr>
      <w:divsChild>
        <w:div w:id="41371042">
          <w:marLeft w:val="0"/>
          <w:marRight w:val="0"/>
          <w:marTop w:val="83"/>
          <w:marBottom w:val="0"/>
          <w:divBdr>
            <w:top w:val="none" w:sz="0" w:space="0" w:color="auto"/>
            <w:left w:val="none" w:sz="0" w:space="0" w:color="auto"/>
            <w:bottom w:val="none" w:sz="0" w:space="0" w:color="auto"/>
            <w:right w:val="none" w:sz="0" w:space="0" w:color="auto"/>
          </w:divBdr>
        </w:div>
        <w:div w:id="1890217182">
          <w:marLeft w:val="0"/>
          <w:marRight w:val="0"/>
          <w:marTop w:val="83"/>
          <w:marBottom w:val="0"/>
          <w:divBdr>
            <w:top w:val="none" w:sz="0" w:space="0" w:color="auto"/>
            <w:left w:val="none" w:sz="0" w:space="0" w:color="auto"/>
            <w:bottom w:val="none" w:sz="0" w:space="0" w:color="auto"/>
            <w:right w:val="none" w:sz="0" w:space="0" w:color="auto"/>
          </w:divBdr>
        </w:div>
        <w:div w:id="638925901">
          <w:marLeft w:val="0"/>
          <w:marRight w:val="0"/>
          <w:marTop w:val="83"/>
          <w:marBottom w:val="0"/>
          <w:divBdr>
            <w:top w:val="none" w:sz="0" w:space="0" w:color="auto"/>
            <w:left w:val="none" w:sz="0" w:space="0" w:color="auto"/>
            <w:bottom w:val="none" w:sz="0" w:space="0" w:color="auto"/>
            <w:right w:val="none" w:sz="0" w:space="0" w:color="auto"/>
          </w:divBdr>
        </w:div>
        <w:div w:id="1809321986">
          <w:marLeft w:val="0"/>
          <w:marRight w:val="0"/>
          <w:marTop w:val="83"/>
          <w:marBottom w:val="0"/>
          <w:divBdr>
            <w:top w:val="none" w:sz="0" w:space="0" w:color="auto"/>
            <w:left w:val="none" w:sz="0" w:space="0" w:color="auto"/>
            <w:bottom w:val="none" w:sz="0" w:space="0" w:color="auto"/>
            <w:right w:val="none" w:sz="0" w:space="0" w:color="auto"/>
          </w:divBdr>
        </w:div>
      </w:divsChild>
    </w:div>
    <w:div w:id="1005476203">
      <w:bodyDiv w:val="1"/>
      <w:marLeft w:val="0"/>
      <w:marRight w:val="0"/>
      <w:marTop w:val="0"/>
      <w:marBottom w:val="0"/>
      <w:divBdr>
        <w:top w:val="none" w:sz="0" w:space="0" w:color="auto"/>
        <w:left w:val="none" w:sz="0" w:space="0" w:color="auto"/>
        <w:bottom w:val="none" w:sz="0" w:space="0" w:color="auto"/>
        <w:right w:val="none" w:sz="0" w:space="0" w:color="auto"/>
      </w:divBdr>
    </w:div>
    <w:div w:id="1489664825">
      <w:bodyDiv w:val="1"/>
      <w:marLeft w:val="0"/>
      <w:marRight w:val="0"/>
      <w:marTop w:val="0"/>
      <w:marBottom w:val="0"/>
      <w:divBdr>
        <w:top w:val="none" w:sz="0" w:space="0" w:color="auto"/>
        <w:left w:val="none" w:sz="0" w:space="0" w:color="auto"/>
        <w:bottom w:val="none" w:sz="0" w:space="0" w:color="auto"/>
        <w:right w:val="none" w:sz="0" w:space="0" w:color="auto"/>
      </w:divBdr>
    </w:div>
    <w:div w:id="1567179388">
      <w:bodyDiv w:val="1"/>
      <w:marLeft w:val="0"/>
      <w:marRight w:val="0"/>
      <w:marTop w:val="0"/>
      <w:marBottom w:val="0"/>
      <w:divBdr>
        <w:top w:val="none" w:sz="0" w:space="0" w:color="auto"/>
        <w:left w:val="none" w:sz="0" w:space="0" w:color="auto"/>
        <w:bottom w:val="none" w:sz="0" w:space="0" w:color="auto"/>
        <w:right w:val="none" w:sz="0" w:space="0" w:color="auto"/>
      </w:divBdr>
    </w:div>
    <w:div w:id="1683703263">
      <w:bodyDiv w:val="1"/>
      <w:marLeft w:val="0"/>
      <w:marRight w:val="0"/>
      <w:marTop w:val="0"/>
      <w:marBottom w:val="0"/>
      <w:divBdr>
        <w:top w:val="none" w:sz="0" w:space="0" w:color="auto"/>
        <w:left w:val="none" w:sz="0" w:space="0" w:color="auto"/>
        <w:bottom w:val="none" w:sz="0" w:space="0" w:color="auto"/>
        <w:right w:val="none" w:sz="0" w:space="0" w:color="auto"/>
      </w:divBdr>
    </w:div>
    <w:div w:id="1693798500">
      <w:bodyDiv w:val="1"/>
      <w:marLeft w:val="0"/>
      <w:marRight w:val="0"/>
      <w:marTop w:val="0"/>
      <w:marBottom w:val="0"/>
      <w:divBdr>
        <w:top w:val="none" w:sz="0" w:space="0" w:color="auto"/>
        <w:left w:val="none" w:sz="0" w:space="0" w:color="auto"/>
        <w:bottom w:val="none" w:sz="0" w:space="0" w:color="auto"/>
        <w:right w:val="none" w:sz="0" w:space="0" w:color="auto"/>
      </w:divBdr>
    </w:div>
    <w:div w:id="18293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zherald.co.nz/nz/news/article.cfm?c_id=1&amp;objectid=11292537" TargetMode="External"/><Relationship Id="rId1" Type="http://schemas.openxmlformats.org/officeDocument/2006/relationships/hyperlink" Target="http://www.legislation.govt.nz/act/public/2003/0028/latest/DLM1978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0ABE06-B6FD-4294-AF91-470F48FEAA5D}">
  <ds:schemaRefs>
    <ds:schemaRef ds:uri="http://schemas.openxmlformats.org/officeDocument/2006/bibliography"/>
  </ds:schemaRefs>
</ds:datastoreItem>
</file>

<file path=customXml/itemProps2.xml><?xml version="1.0" encoding="utf-8"?>
<ds:datastoreItem xmlns:ds="http://schemas.openxmlformats.org/officeDocument/2006/customXml" ds:itemID="{D5C37BE4-72A4-41CF-9A62-20B3D56D7350}"/>
</file>

<file path=customXml/itemProps3.xml><?xml version="1.0" encoding="utf-8"?>
<ds:datastoreItem xmlns:ds="http://schemas.openxmlformats.org/officeDocument/2006/customXml" ds:itemID="{E8D939DD-262D-44CB-88CA-29DD6E960C41}"/>
</file>

<file path=customXml/itemProps4.xml><?xml version="1.0" encoding="utf-8"?>
<ds:datastoreItem xmlns:ds="http://schemas.openxmlformats.org/officeDocument/2006/customXml" ds:itemID="{D63A9F11-24BB-454B-A0A6-284CCF41A1AE}"/>
</file>

<file path=docProps/app.xml><?xml version="1.0" encoding="utf-8"?>
<Properties xmlns="http://schemas.openxmlformats.org/officeDocument/2006/extended-properties" xmlns:vt="http://schemas.openxmlformats.org/officeDocument/2006/docPropsVTypes">
  <Template>Normal</Template>
  <TotalTime>2225</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Bennachie</dc:creator>
  <cp:keywords/>
  <dc:description/>
  <cp:lastModifiedBy>Calum Bennachie</cp:lastModifiedBy>
  <cp:revision>116</cp:revision>
  <dcterms:created xsi:type="dcterms:W3CDTF">2020-05-13T03:16:00Z</dcterms:created>
  <dcterms:modified xsi:type="dcterms:W3CDTF">2020-05-15T21:57:00Z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