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0FE7" w14:textId="0A45C8B7" w:rsidR="00ED6175" w:rsidRPr="0074037B" w:rsidRDefault="00AB24CC" w:rsidP="009B6C8E">
      <w:pPr>
        <w:jc w:val="both"/>
        <w:rPr>
          <w:rFonts w:asciiTheme="minorHAnsi" w:hAnsiTheme="minorHAnsi"/>
        </w:rPr>
      </w:pPr>
      <w:bookmarkStart w:id="0" w:name="_GoBack"/>
      <w:bookmarkEnd w:id="0"/>
      <w:r>
        <w:rPr>
          <w:b/>
          <w:bCs/>
          <w:noProof/>
          <w:sz w:val="28"/>
          <w:szCs w:val="28"/>
          <w:lang w:bidi="ar-SA"/>
        </w:rPr>
        <w:drawing>
          <wp:anchor distT="0" distB="0" distL="114300" distR="114300" simplePos="0" relativeHeight="251659264" behindDoc="1" locked="0" layoutInCell="1" allowOverlap="1" wp14:anchorId="40F033B2" wp14:editId="295EFEFE">
            <wp:simplePos x="0" y="0"/>
            <wp:positionH relativeFrom="column">
              <wp:posOffset>2838450</wp:posOffset>
            </wp:positionH>
            <wp:positionV relativeFrom="page">
              <wp:posOffset>351155</wp:posOffset>
            </wp:positionV>
            <wp:extent cx="1371600" cy="643890"/>
            <wp:effectExtent l="0" t="0" r="0" b="3810"/>
            <wp:wrapTight wrapText="bothSides">
              <wp:wrapPolygon edited="0">
                <wp:start x="0" y="0"/>
                <wp:lineTo x="0" y="21089"/>
                <wp:lineTo x="21300" y="21089"/>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_log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438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lang w:bidi="ar-SA"/>
        </w:rPr>
        <w:drawing>
          <wp:anchor distT="0" distB="0" distL="114300" distR="114300" simplePos="0" relativeHeight="251662336" behindDoc="1" locked="0" layoutInCell="1" allowOverlap="1" wp14:anchorId="4DADF3F3" wp14:editId="6143E55E">
            <wp:simplePos x="0" y="0"/>
            <wp:positionH relativeFrom="page">
              <wp:posOffset>854075</wp:posOffset>
            </wp:positionH>
            <wp:positionV relativeFrom="page">
              <wp:posOffset>411480</wp:posOffset>
            </wp:positionV>
            <wp:extent cx="2075688" cy="484632"/>
            <wp:effectExtent l="0" t="0" r="1270" b="0"/>
            <wp:wrapTight wrapText="bothSides">
              <wp:wrapPolygon edited="0">
                <wp:start x="0" y="0"/>
                <wp:lineTo x="0" y="20383"/>
                <wp:lineTo x="21415" y="20383"/>
                <wp:lineTo x="214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688" cy="4846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0C2882C" wp14:editId="6F72C5E7">
            <wp:simplePos x="0" y="0"/>
            <wp:positionH relativeFrom="column">
              <wp:posOffset>5540375</wp:posOffset>
            </wp:positionH>
            <wp:positionV relativeFrom="page">
              <wp:posOffset>57150</wp:posOffset>
            </wp:positionV>
            <wp:extent cx="1205230" cy="1706245"/>
            <wp:effectExtent l="0" t="0" r="0" b="8255"/>
            <wp:wrapTight wrapText="bothSides">
              <wp:wrapPolygon edited="0">
                <wp:start x="0" y="0"/>
                <wp:lineTo x="0" y="21463"/>
                <wp:lineTo x="21168" y="21463"/>
                <wp:lineTo x="21168" y="0"/>
                <wp:lineTo x="0" y="0"/>
              </wp:wrapPolygon>
            </wp:wrapTight>
            <wp:docPr id="4" name="Picture 4" descr="Image result fo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23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1F4CC" w14:textId="40038940" w:rsidR="00ED6175" w:rsidRPr="0074037B" w:rsidRDefault="00ED6175" w:rsidP="009B6C8E">
      <w:pPr>
        <w:pStyle w:val="Heading2"/>
        <w:spacing w:before="0"/>
        <w:jc w:val="both"/>
        <w:rPr>
          <w:rFonts w:asciiTheme="minorHAnsi" w:eastAsia="Arial" w:hAnsiTheme="minorHAnsi" w:cs="Arial"/>
          <w:color w:val="auto"/>
          <w:sz w:val="22"/>
          <w:szCs w:val="22"/>
        </w:rPr>
      </w:pPr>
    </w:p>
    <w:p w14:paraId="30C8BAA0" w14:textId="77777777" w:rsidR="00AB24CC" w:rsidRDefault="00AB24CC" w:rsidP="009B6C8E">
      <w:pPr>
        <w:pStyle w:val="Heading2"/>
        <w:spacing w:before="0"/>
        <w:jc w:val="both"/>
        <w:rPr>
          <w:rFonts w:asciiTheme="minorHAnsi" w:eastAsia="Arial" w:hAnsiTheme="minorHAnsi" w:cs="Arial"/>
          <w:color w:val="auto"/>
          <w:sz w:val="22"/>
          <w:szCs w:val="22"/>
        </w:rPr>
      </w:pPr>
    </w:p>
    <w:p w14:paraId="342C8244" w14:textId="77777777" w:rsidR="00AB24CC" w:rsidRDefault="00AB24CC" w:rsidP="009B6C8E">
      <w:pPr>
        <w:pStyle w:val="Heading2"/>
        <w:spacing w:before="0"/>
        <w:jc w:val="both"/>
        <w:rPr>
          <w:rFonts w:asciiTheme="minorHAnsi" w:eastAsia="Arial" w:hAnsiTheme="minorHAnsi" w:cs="Arial"/>
          <w:color w:val="auto"/>
          <w:sz w:val="22"/>
          <w:szCs w:val="22"/>
        </w:rPr>
      </w:pPr>
    </w:p>
    <w:p w14:paraId="2C5337EA" w14:textId="77777777" w:rsidR="00AB24CC" w:rsidRDefault="00AB24CC" w:rsidP="009B6C8E">
      <w:pPr>
        <w:pStyle w:val="Heading2"/>
        <w:spacing w:before="0"/>
        <w:jc w:val="both"/>
        <w:rPr>
          <w:rFonts w:asciiTheme="minorHAnsi" w:eastAsia="Arial" w:hAnsiTheme="minorHAnsi" w:cs="Arial"/>
          <w:color w:val="auto"/>
          <w:sz w:val="22"/>
          <w:szCs w:val="22"/>
        </w:rPr>
      </w:pPr>
    </w:p>
    <w:p w14:paraId="5C821BAD" w14:textId="77777777" w:rsidR="00AB24CC" w:rsidRDefault="00AB24CC" w:rsidP="009B6C8E">
      <w:pPr>
        <w:pStyle w:val="Heading2"/>
        <w:spacing w:before="0"/>
        <w:jc w:val="both"/>
        <w:rPr>
          <w:rFonts w:asciiTheme="minorHAnsi" w:eastAsia="Arial" w:hAnsiTheme="minorHAnsi" w:cs="Arial"/>
          <w:color w:val="auto"/>
          <w:sz w:val="22"/>
          <w:szCs w:val="22"/>
        </w:rPr>
      </w:pPr>
    </w:p>
    <w:p w14:paraId="13016136" w14:textId="77777777" w:rsidR="00AB24CC" w:rsidRDefault="00AB24CC" w:rsidP="009B6C8E">
      <w:pPr>
        <w:pStyle w:val="Heading2"/>
        <w:spacing w:before="0"/>
        <w:jc w:val="both"/>
        <w:rPr>
          <w:rFonts w:asciiTheme="minorHAnsi" w:eastAsia="Arial" w:hAnsiTheme="minorHAnsi" w:cs="Arial"/>
          <w:color w:val="auto"/>
          <w:sz w:val="22"/>
          <w:szCs w:val="22"/>
        </w:rPr>
      </w:pPr>
    </w:p>
    <w:p w14:paraId="51E914E5" w14:textId="066CB250" w:rsidR="00ED6175" w:rsidRPr="00AB24CC" w:rsidRDefault="002A223E" w:rsidP="00AB24CC">
      <w:pPr>
        <w:pStyle w:val="Heading2"/>
        <w:spacing w:before="0"/>
        <w:jc w:val="center"/>
        <w:rPr>
          <w:rFonts w:asciiTheme="minorHAnsi" w:eastAsia="Arial" w:hAnsiTheme="minorHAnsi" w:cs="Arial"/>
          <w:b/>
          <w:color w:val="auto"/>
          <w:sz w:val="22"/>
          <w:szCs w:val="22"/>
        </w:rPr>
      </w:pPr>
      <w:r w:rsidRPr="00AB24CC">
        <w:rPr>
          <w:rFonts w:asciiTheme="minorHAnsi" w:eastAsia="Arial" w:hAnsiTheme="minorHAnsi" w:cs="Arial"/>
          <w:b/>
          <w:color w:val="auto"/>
          <w:sz w:val="22"/>
          <w:szCs w:val="22"/>
        </w:rPr>
        <w:t xml:space="preserve">Joint submission </w:t>
      </w:r>
      <w:r w:rsidR="00ED6175" w:rsidRPr="00AB24CC">
        <w:rPr>
          <w:rFonts w:asciiTheme="minorHAnsi" w:eastAsia="Arial" w:hAnsiTheme="minorHAnsi" w:cs="Arial"/>
          <w:b/>
          <w:color w:val="auto"/>
          <w:sz w:val="22"/>
          <w:szCs w:val="22"/>
        </w:rPr>
        <w:t xml:space="preserve">to CEDAW </w:t>
      </w:r>
      <w:r w:rsidRPr="00AB24CC">
        <w:rPr>
          <w:rFonts w:asciiTheme="minorHAnsi" w:eastAsia="Arial" w:hAnsiTheme="minorHAnsi" w:cs="Arial"/>
          <w:b/>
          <w:color w:val="auto"/>
          <w:sz w:val="22"/>
          <w:szCs w:val="22"/>
        </w:rPr>
        <w:t xml:space="preserve">on </w:t>
      </w:r>
      <w:r w:rsidR="00ED6175" w:rsidRPr="00AB24CC">
        <w:rPr>
          <w:rFonts w:asciiTheme="minorHAnsi" w:eastAsia="Arial" w:hAnsiTheme="minorHAnsi" w:cs="Arial"/>
          <w:b/>
          <w:color w:val="auto"/>
          <w:sz w:val="22"/>
          <w:szCs w:val="22"/>
        </w:rPr>
        <w:t>trafficking in women and girls in the context of global migration</w:t>
      </w:r>
    </w:p>
    <w:p w14:paraId="75D36669" w14:textId="77777777" w:rsidR="00E9268B" w:rsidRPr="00AB24CC" w:rsidRDefault="00E9268B" w:rsidP="00AB24CC">
      <w:pPr>
        <w:pStyle w:val="BodyText"/>
        <w:jc w:val="center"/>
        <w:rPr>
          <w:rFonts w:asciiTheme="minorHAnsi" w:hAnsiTheme="minorHAnsi"/>
          <w:b/>
        </w:rPr>
      </w:pPr>
    </w:p>
    <w:p w14:paraId="4A0CC673" w14:textId="36FB064C" w:rsidR="00E9268B" w:rsidRPr="00AB24CC" w:rsidRDefault="002A223E" w:rsidP="00AB24CC">
      <w:pPr>
        <w:pStyle w:val="Heading1"/>
        <w:ind w:left="0"/>
        <w:jc w:val="center"/>
        <w:rPr>
          <w:rFonts w:asciiTheme="minorHAnsi" w:hAnsiTheme="minorHAnsi"/>
        </w:rPr>
      </w:pPr>
      <w:r w:rsidRPr="00AB24CC">
        <w:rPr>
          <w:rFonts w:asciiTheme="minorHAnsi" w:hAnsiTheme="minorHAnsi"/>
        </w:rPr>
        <w:t>Submitted by the Secretariat to the Joint United Nations Programme on HIV/AIDS (UNAIDS Secretariat)</w:t>
      </w:r>
      <w:r w:rsidR="006B051F" w:rsidRPr="00AB24CC">
        <w:rPr>
          <w:rFonts w:asciiTheme="minorHAnsi" w:hAnsiTheme="minorHAnsi"/>
        </w:rPr>
        <w:t>,</w:t>
      </w:r>
      <w:r w:rsidRPr="00AB24CC">
        <w:rPr>
          <w:rFonts w:asciiTheme="minorHAnsi" w:hAnsiTheme="minorHAnsi"/>
        </w:rPr>
        <w:t xml:space="preserve"> the United Nations Development Programme (</w:t>
      </w:r>
      <w:r w:rsidR="00ED6175" w:rsidRPr="00AB24CC">
        <w:rPr>
          <w:rFonts w:asciiTheme="minorHAnsi" w:hAnsiTheme="minorHAnsi"/>
        </w:rPr>
        <w:t>UNDP)</w:t>
      </w:r>
      <w:r w:rsidR="006B051F" w:rsidRPr="00AB24CC">
        <w:rPr>
          <w:rFonts w:asciiTheme="minorHAnsi" w:hAnsiTheme="minorHAnsi"/>
        </w:rPr>
        <w:t>,</w:t>
      </w:r>
      <w:r w:rsidR="00ED6175" w:rsidRPr="00AB24CC">
        <w:rPr>
          <w:rFonts w:asciiTheme="minorHAnsi" w:hAnsiTheme="minorHAnsi"/>
        </w:rPr>
        <w:t xml:space="preserve"> and </w:t>
      </w:r>
      <w:r w:rsidRPr="00AB24CC">
        <w:rPr>
          <w:rFonts w:asciiTheme="minorHAnsi" w:hAnsiTheme="minorHAnsi"/>
        </w:rPr>
        <w:t>the United Nations Population Fund (UNFPA)</w:t>
      </w:r>
    </w:p>
    <w:p w14:paraId="672610CD" w14:textId="77777777" w:rsidR="00E9268B" w:rsidRPr="0074037B" w:rsidRDefault="00E9268B" w:rsidP="009B6C8E">
      <w:pPr>
        <w:pStyle w:val="BodyText"/>
        <w:jc w:val="both"/>
        <w:rPr>
          <w:rFonts w:asciiTheme="minorHAnsi" w:hAnsiTheme="minorHAnsi"/>
          <w:b/>
        </w:rPr>
      </w:pPr>
    </w:p>
    <w:p w14:paraId="3A5F7F4F" w14:textId="77777777" w:rsidR="00E9268B" w:rsidRPr="0074037B" w:rsidRDefault="002A223E" w:rsidP="009B6C8E">
      <w:pPr>
        <w:pStyle w:val="BodyText"/>
        <w:jc w:val="both"/>
        <w:rPr>
          <w:rFonts w:asciiTheme="minorHAnsi" w:hAnsiTheme="minorHAnsi"/>
        </w:rPr>
      </w:pPr>
      <w:r w:rsidRPr="0074037B">
        <w:rPr>
          <w:rFonts w:asciiTheme="minorHAnsi" w:hAnsiTheme="minorHAnsi"/>
        </w:rPr>
        <w:t xml:space="preserve">Date: </w:t>
      </w:r>
      <w:r w:rsidR="006B051F">
        <w:rPr>
          <w:rFonts w:asciiTheme="minorHAnsi" w:hAnsiTheme="minorHAnsi"/>
        </w:rPr>
        <w:t>18</w:t>
      </w:r>
      <w:r w:rsidR="00ED6175" w:rsidRPr="0074037B">
        <w:rPr>
          <w:rFonts w:asciiTheme="minorHAnsi" w:hAnsiTheme="minorHAnsi"/>
        </w:rPr>
        <w:t xml:space="preserve"> February 2019</w:t>
      </w:r>
    </w:p>
    <w:p w14:paraId="7CA3D6AF" w14:textId="77777777" w:rsidR="00E9268B" w:rsidRPr="0074037B" w:rsidRDefault="00E9268B" w:rsidP="009B6C8E">
      <w:pPr>
        <w:pStyle w:val="BodyText"/>
        <w:jc w:val="both"/>
        <w:rPr>
          <w:rFonts w:asciiTheme="minorHAnsi" w:hAnsiTheme="minorHAnsi"/>
        </w:rPr>
      </w:pPr>
    </w:p>
    <w:p w14:paraId="346FE160" w14:textId="77777777" w:rsidR="00230427" w:rsidRDefault="00230427" w:rsidP="00046E86">
      <w:pPr>
        <w:pStyle w:val="BodyText"/>
        <w:jc w:val="both"/>
        <w:rPr>
          <w:rFonts w:asciiTheme="minorHAnsi" w:hAnsiTheme="minorHAnsi"/>
        </w:rPr>
      </w:pPr>
      <w:r w:rsidRPr="00AB24CC">
        <w:rPr>
          <w:rFonts w:asciiTheme="minorHAnsi" w:hAnsiTheme="minorHAnsi"/>
        </w:rPr>
        <w:t xml:space="preserve">In the 2016 Political Declaration on HIV and AIDS UN Member States, among other things, noted with concern that while global epidemiological evidence demonstrates that sex workers are at higher risk of HIV, the progress in reducing new infections among them and other key and vulnerable populations is alarmingly slow; the scale of combination prevention programmes is limited. The Political Declaration encouraged Member States to address HIV vulnerabilities and specific healthcare needs of migrants, mobile populations, refugees, and to take steps to reduce </w:t>
      </w:r>
      <w:r w:rsidRPr="00AB24CC">
        <w:rPr>
          <w:rFonts w:asciiTheme="minorHAnsi" w:hAnsiTheme="minorHAnsi"/>
        </w:rPr>
        <w:lastRenderedPageBreak/>
        <w:t>stigma, discrimination and violence. UN Member States pledged to promote tailored comprehensive HIV prevention services including for migrants and key populations and to commit to ending all forms of violence and discrimination, including trafficking in persons, and other forms of sexual violence, discriminatory laws and harmful social norms.</w:t>
      </w:r>
      <w:r w:rsidRPr="00AB24CC">
        <w:rPr>
          <w:rStyle w:val="FootnoteReference"/>
          <w:rFonts w:asciiTheme="minorHAnsi" w:hAnsiTheme="minorHAnsi"/>
        </w:rPr>
        <w:footnoteReference w:id="1"/>
      </w:r>
      <w:r>
        <w:rPr>
          <w:rFonts w:asciiTheme="minorHAnsi" w:hAnsiTheme="minorHAnsi"/>
        </w:rPr>
        <w:t xml:space="preserve"> </w:t>
      </w:r>
    </w:p>
    <w:p w14:paraId="4325E5A2" w14:textId="77777777" w:rsidR="00230427" w:rsidRDefault="00230427" w:rsidP="00046E86">
      <w:pPr>
        <w:pStyle w:val="BodyText"/>
        <w:jc w:val="both"/>
        <w:rPr>
          <w:rFonts w:asciiTheme="minorHAnsi" w:hAnsiTheme="minorHAnsi"/>
        </w:rPr>
      </w:pPr>
    </w:p>
    <w:p w14:paraId="1FE755D0" w14:textId="77777777" w:rsidR="00046E86" w:rsidRDefault="002A223E" w:rsidP="00046E86">
      <w:pPr>
        <w:pStyle w:val="BodyText"/>
        <w:jc w:val="both"/>
        <w:rPr>
          <w:rFonts w:asciiTheme="minorHAnsi" w:hAnsiTheme="minorHAnsi"/>
        </w:rPr>
      </w:pPr>
      <w:r w:rsidRPr="0074037B">
        <w:rPr>
          <w:rFonts w:asciiTheme="minorHAnsi" w:hAnsiTheme="minorHAnsi"/>
        </w:rPr>
        <w:t xml:space="preserve">This </w:t>
      </w:r>
      <w:r w:rsidR="00CE783C" w:rsidRPr="0074037B">
        <w:rPr>
          <w:rFonts w:asciiTheme="minorHAnsi" w:hAnsiTheme="minorHAnsi"/>
        </w:rPr>
        <w:t xml:space="preserve">joint </w:t>
      </w:r>
      <w:r w:rsidRPr="0074037B">
        <w:rPr>
          <w:rFonts w:asciiTheme="minorHAnsi" w:hAnsiTheme="minorHAnsi"/>
        </w:rPr>
        <w:t>submission presents the position of UNAIDS as a Joint Programme</w:t>
      </w:r>
      <w:r w:rsidR="009B6C8E" w:rsidRPr="0074037B">
        <w:rPr>
          <w:rStyle w:val="FootnoteReference"/>
          <w:rFonts w:asciiTheme="minorHAnsi" w:hAnsiTheme="minorHAnsi"/>
        </w:rPr>
        <w:footnoteReference w:id="2"/>
      </w:r>
      <w:r w:rsidRPr="0074037B">
        <w:rPr>
          <w:rFonts w:asciiTheme="minorHAnsi" w:hAnsiTheme="minorHAnsi"/>
        </w:rPr>
        <w:t xml:space="preserve"> in relation to</w:t>
      </w:r>
      <w:r w:rsidR="00ED6175" w:rsidRPr="0074037B">
        <w:rPr>
          <w:rFonts w:asciiTheme="minorHAnsi" w:hAnsiTheme="minorHAnsi"/>
        </w:rPr>
        <w:t xml:space="preserve"> </w:t>
      </w:r>
      <w:r w:rsidR="00CE783C" w:rsidRPr="0074037B">
        <w:rPr>
          <w:rFonts w:asciiTheme="minorHAnsi" w:hAnsiTheme="minorHAnsi"/>
        </w:rPr>
        <w:t xml:space="preserve">the </w:t>
      </w:r>
      <w:r w:rsidR="00ED6175" w:rsidRPr="0074037B">
        <w:rPr>
          <w:rFonts w:asciiTheme="minorHAnsi" w:hAnsiTheme="minorHAnsi"/>
        </w:rPr>
        <w:t>distinction between</w:t>
      </w:r>
      <w:r w:rsidRPr="0074037B">
        <w:rPr>
          <w:rFonts w:asciiTheme="minorHAnsi" w:hAnsiTheme="minorHAnsi"/>
        </w:rPr>
        <w:t xml:space="preserve"> sex work</w:t>
      </w:r>
      <w:r w:rsidR="00ED6175" w:rsidRPr="0074037B">
        <w:rPr>
          <w:rFonts w:asciiTheme="minorHAnsi" w:hAnsiTheme="minorHAnsi"/>
        </w:rPr>
        <w:t xml:space="preserve"> and trafficking in women and girls</w:t>
      </w:r>
      <w:r w:rsidRPr="0074037B">
        <w:rPr>
          <w:rFonts w:asciiTheme="minorHAnsi" w:hAnsiTheme="minorHAnsi"/>
        </w:rPr>
        <w:t>, as provided under guidance documents issued by the UNAIDS Secretariat and its co-sponsors, namely the Guidance Note on HIV and sex work and the Recommendations for a public health approach to HIV among sex workers.</w:t>
      </w:r>
      <w:r w:rsidR="009B6C8E" w:rsidRPr="0074037B">
        <w:rPr>
          <w:rStyle w:val="FootnoteReference"/>
          <w:rFonts w:asciiTheme="minorHAnsi" w:hAnsiTheme="minorHAnsi"/>
        </w:rPr>
        <w:footnoteReference w:id="3"/>
      </w:r>
      <w:r w:rsidRPr="0074037B">
        <w:rPr>
          <w:rFonts w:asciiTheme="minorHAnsi" w:hAnsiTheme="minorHAnsi"/>
        </w:rPr>
        <w:t xml:space="preserve"> The submission also highlights key evidence-informed and rights-based HIV-related recommendations issued by</w:t>
      </w:r>
      <w:r w:rsidR="00C32CE6" w:rsidRPr="0074037B">
        <w:rPr>
          <w:rFonts w:asciiTheme="minorHAnsi" w:hAnsiTheme="minorHAnsi"/>
        </w:rPr>
        <w:t xml:space="preserve"> independent bodies s</w:t>
      </w:r>
      <w:r w:rsidRPr="0074037B">
        <w:rPr>
          <w:rFonts w:asciiTheme="minorHAnsi" w:hAnsiTheme="minorHAnsi"/>
        </w:rPr>
        <w:t xml:space="preserve">uch as the Global Commission on HIV and the </w:t>
      </w:r>
      <w:r w:rsidRPr="0074037B">
        <w:rPr>
          <w:rFonts w:asciiTheme="minorHAnsi" w:hAnsiTheme="minorHAnsi"/>
        </w:rPr>
        <w:lastRenderedPageBreak/>
        <w:t>Law in the context of sex work</w:t>
      </w:r>
      <w:r w:rsidR="009B6C8E" w:rsidRPr="0074037B">
        <w:rPr>
          <w:rFonts w:asciiTheme="minorHAnsi" w:hAnsiTheme="minorHAnsi"/>
        </w:rPr>
        <w:t>.</w:t>
      </w:r>
      <w:r w:rsidR="009B6C8E" w:rsidRPr="0074037B">
        <w:rPr>
          <w:rStyle w:val="FootnoteReference"/>
          <w:rFonts w:asciiTheme="minorHAnsi" w:hAnsiTheme="minorHAnsi"/>
        </w:rPr>
        <w:footnoteReference w:id="4"/>
      </w:r>
      <w:r w:rsidRPr="0074037B">
        <w:rPr>
          <w:rFonts w:asciiTheme="minorHAnsi" w:hAnsiTheme="minorHAnsi"/>
        </w:rPr>
        <w:t xml:space="preserve"> </w:t>
      </w:r>
      <w:r w:rsidR="00CE783C" w:rsidRPr="0074037B">
        <w:rPr>
          <w:rFonts w:asciiTheme="minorHAnsi" w:hAnsiTheme="minorHAnsi"/>
        </w:rPr>
        <w:t xml:space="preserve"> </w:t>
      </w:r>
      <w:r w:rsidR="00046E86">
        <w:rPr>
          <w:rFonts w:asciiTheme="minorHAnsi" w:hAnsiTheme="minorHAnsi"/>
        </w:rPr>
        <w:t>T</w:t>
      </w:r>
      <w:r w:rsidR="00046E86" w:rsidRPr="0074037B">
        <w:rPr>
          <w:rFonts w:asciiTheme="minorHAnsi" w:hAnsiTheme="minorHAnsi"/>
        </w:rPr>
        <w:t xml:space="preserve">he Joint UN Programme on HIV/AIDS, its co-sponsors, as well as the Global Commission on HIV and the Law trafficking in persons, as well as sexual violence and exploitation, in all contexts, including migration </w:t>
      </w:r>
      <w:r w:rsidR="00046E86">
        <w:rPr>
          <w:rFonts w:asciiTheme="minorHAnsi" w:hAnsiTheme="minorHAnsi"/>
        </w:rPr>
        <w:t xml:space="preserve">– and </w:t>
      </w:r>
      <w:r w:rsidR="00046E86" w:rsidRPr="0074037B">
        <w:rPr>
          <w:rFonts w:asciiTheme="minorHAnsi" w:hAnsiTheme="minorHAnsi"/>
        </w:rPr>
        <w:t>support measures against these practices.</w:t>
      </w:r>
    </w:p>
    <w:p w14:paraId="08D3DDDD" w14:textId="77777777" w:rsidR="006B051F" w:rsidRPr="0074037B" w:rsidRDefault="006B051F" w:rsidP="00046E86">
      <w:pPr>
        <w:pStyle w:val="BodyText"/>
        <w:jc w:val="both"/>
        <w:rPr>
          <w:rFonts w:asciiTheme="minorHAnsi" w:hAnsiTheme="minorHAnsi"/>
        </w:rPr>
      </w:pPr>
    </w:p>
    <w:p w14:paraId="42F31DD5" w14:textId="77777777" w:rsidR="003058AD" w:rsidRDefault="00046E86" w:rsidP="00046E86">
      <w:pPr>
        <w:pStyle w:val="BodyText"/>
        <w:jc w:val="both"/>
        <w:rPr>
          <w:rFonts w:asciiTheme="minorHAnsi" w:hAnsiTheme="minorHAnsi"/>
        </w:rPr>
      </w:pPr>
      <w:r w:rsidRPr="0074037B">
        <w:rPr>
          <w:rFonts w:asciiTheme="minorHAnsi" w:hAnsiTheme="minorHAnsi"/>
        </w:rPr>
        <w:t xml:space="preserve">The UNAIDS Guidance Note </w:t>
      </w:r>
      <w:r w:rsidR="00C87DC6">
        <w:rPr>
          <w:rFonts w:asciiTheme="minorHAnsi" w:hAnsiTheme="minorHAnsi"/>
        </w:rPr>
        <w:t xml:space="preserve">on HIV and Sex Work </w:t>
      </w:r>
      <w:r w:rsidRPr="0074037B">
        <w:rPr>
          <w:rFonts w:asciiTheme="minorHAnsi" w:hAnsiTheme="minorHAnsi"/>
        </w:rPr>
        <w:t>defines sex workers to include female, male and transgender adults, over the age of 18, who receive money or goods in exchange for sexual services, either regularly or occasionally, and who may or may not self-identify as sex workers.</w:t>
      </w:r>
      <w:r w:rsidRPr="0074037B">
        <w:rPr>
          <w:rStyle w:val="FootnoteReference"/>
          <w:rFonts w:asciiTheme="minorHAnsi" w:hAnsiTheme="minorHAnsi"/>
        </w:rPr>
        <w:footnoteReference w:id="5"/>
      </w:r>
      <w:r w:rsidRPr="0074037B">
        <w:rPr>
          <w:rFonts w:asciiTheme="minorHAnsi" w:hAnsiTheme="minorHAnsi"/>
        </w:rPr>
        <w:t xml:space="preserve">  In terms of this definition, three elements are worth highlighting: a) sex work and sex workers involve adults only;  </w:t>
      </w:r>
      <w:r w:rsidR="007B1D3D">
        <w:rPr>
          <w:rFonts w:asciiTheme="minorHAnsi" w:hAnsiTheme="minorHAnsi"/>
        </w:rPr>
        <w:t>b</w:t>
      </w:r>
      <w:r w:rsidRPr="0074037B">
        <w:rPr>
          <w:rFonts w:asciiTheme="minorHAnsi" w:hAnsiTheme="minorHAnsi"/>
        </w:rPr>
        <w:t xml:space="preserve">) sex work involves </w:t>
      </w:r>
      <w:r w:rsidRPr="0074037B">
        <w:rPr>
          <w:rFonts w:asciiTheme="minorHAnsi" w:hAnsiTheme="minorHAnsi"/>
          <w:i/>
        </w:rPr>
        <w:t xml:space="preserve">consensual </w:t>
      </w:r>
      <w:r w:rsidRPr="0074037B">
        <w:rPr>
          <w:rFonts w:asciiTheme="minorHAnsi" w:hAnsiTheme="minorHAnsi"/>
        </w:rPr>
        <w:t>acts between adults</w:t>
      </w:r>
      <w:r w:rsidR="001D5673">
        <w:rPr>
          <w:rFonts w:asciiTheme="minorHAnsi" w:hAnsiTheme="minorHAnsi"/>
        </w:rPr>
        <w:t>;  c) a</w:t>
      </w:r>
      <w:r w:rsidRPr="0074037B">
        <w:rPr>
          <w:rFonts w:asciiTheme="minorHAnsi" w:hAnsiTheme="minorHAnsi"/>
        </w:rPr>
        <w:t>cts involving deceit, fraud, coercion, force or violence do not fall under the definition of sex work.</w:t>
      </w:r>
      <w:r w:rsidRPr="0074037B">
        <w:rPr>
          <w:rFonts w:asciiTheme="minorHAnsi" w:hAnsiTheme="minorHAnsi"/>
          <w:vertAlign w:val="superscript"/>
        </w:rPr>
        <w:t>5</w:t>
      </w:r>
      <w:r w:rsidRPr="0074037B">
        <w:rPr>
          <w:rFonts w:asciiTheme="minorHAnsi" w:hAnsiTheme="minorHAnsi"/>
        </w:rPr>
        <w:t xml:space="preserve"> </w:t>
      </w:r>
      <w:r w:rsidRPr="0074037B">
        <w:rPr>
          <w:rStyle w:val="FootnoteReference"/>
          <w:rFonts w:asciiTheme="minorHAnsi" w:hAnsiTheme="minorHAnsi"/>
        </w:rPr>
        <w:footnoteReference w:id="6"/>
      </w:r>
      <w:r w:rsidR="00C87DC6">
        <w:rPr>
          <w:rFonts w:asciiTheme="minorHAnsi" w:hAnsiTheme="minorHAnsi"/>
        </w:rPr>
        <w:t xml:space="preserve"> </w:t>
      </w:r>
    </w:p>
    <w:p w14:paraId="03CC5737" w14:textId="77777777" w:rsidR="003058AD" w:rsidRDefault="003058AD" w:rsidP="00046E86">
      <w:pPr>
        <w:pStyle w:val="BodyText"/>
        <w:jc w:val="both"/>
        <w:rPr>
          <w:rFonts w:asciiTheme="minorHAnsi" w:hAnsiTheme="minorHAnsi"/>
        </w:rPr>
      </w:pPr>
    </w:p>
    <w:p w14:paraId="513A7C7F" w14:textId="77777777" w:rsidR="00046E86" w:rsidRPr="0074037B" w:rsidRDefault="003058AD" w:rsidP="00046E86">
      <w:pPr>
        <w:pStyle w:val="BodyText"/>
        <w:jc w:val="both"/>
        <w:rPr>
          <w:rFonts w:asciiTheme="minorHAnsi" w:hAnsiTheme="minorHAnsi"/>
        </w:rPr>
      </w:pPr>
      <w:r>
        <w:rPr>
          <w:rFonts w:asciiTheme="minorHAnsi" w:hAnsiTheme="minorHAnsi"/>
        </w:rPr>
        <w:t xml:space="preserve">Sex work and trafficking are not the same. </w:t>
      </w:r>
      <w:r w:rsidR="00C87DC6">
        <w:rPr>
          <w:rFonts w:asciiTheme="minorHAnsi" w:hAnsiTheme="minorHAnsi"/>
        </w:rPr>
        <w:t xml:space="preserve">Annex 3 </w:t>
      </w:r>
      <w:r w:rsidR="00B36F38">
        <w:rPr>
          <w:rFonts w:asciiTheme="minorHAnsi" w:hAnsiTheme="minorHAnsi"/>
        </w:rPr>
        <w:t>of</w:t>
      </w:r>
      <w:r w:rsidR="00C87DC6">
        <w:rPr>
          <w:rFonts w:asciiTheme="minorHAnsi" w:hAnsiTheme="minorHAnsi"/>
        </w:rPr>
        <w:t xml:space="preserve"> the UNAIDS Guidance Note focuses on differentiating sex work and trafficking in persons. The Annex gives further rationale for the need for this </w:t>
      </w:r>
      <w:r w:rsidR="001D5673">
        <w:rPr>
          <w:rFonts w:asciiTheme="minorHAnsi" w:hAnsiTheme="minorHAnsi"/>
        </w:rPr>
        <w:t>differentiation and</w:t>
      </w:r>
      <w:r w:rsidR="00C87DC6">
        <w:rPr>
          <w:rFonts w:asciiTheme="minorHAnsi" w:hAnsiTheme="minorHAnsi"/>
        </w:rPr>
        <w:t xml:space="preserve"> summarises the harmful impact of conflation of sex work and trafficking – increasing harassment and confinement of sex </w:t>
      </w:r>
      <w:r w:rsidR="001D5673">
        <w:rPr>
          <w:rFonts w:asciiTheme="minorHAnsi" w:hAnsiTheme="minorHAnsi"/>
        </w:rPr>
        <w:t>workers and</w:t>
      </w:r>
      <w:r w:rsidR="00C87DC6">
        <w:rPr>
          <w:rFonts w:asciiTheme="minorHAnsi" w:hAnsiTheme="minorHAnsi"/>
        </w:rPr>
        <w:t xml:space="preserve"> reducing their access to life-saving HIV and violence prevention interventions.</w:t>
      </w:r>
    </w:p>
    <w:p w14:paraId="4BC6F1B9" w14:textId="77777777" w:rsidR="00046E86" w:rsidRDefault="00046E86" w:rsidP="00046E86">
      <w:pPr>
        <w:pStyle w:val="BodyText"/>
        <w:jc w:val="both"/>
        <w:rPr>
          <w:rFonts w:asciiTheme="minorHAnsi" w:hAnsiTheme="minorHAnsi"/>
        </w:rPr>
      </w:pPr>
    </w:p>
    <w:p w14:paraId="2A341B07" w14:textId="77777777" w:rsidR="00046E86" w:rsidRDefault="00046E86" w:rsidP="00046E86">
      <w:pPr>
        <w:pStyle w:val="BodyText"/>
        <w:jc w:val="both"/>
        <w:rPr>
          <w:rFonts w:asciiTheme="minorHAnsi" w:hAnsiTheme="minorHAnsi"/>
        </w:rPr>
      </w:pPr>
      <w:r w:rsidRPr="0074037B">
        <w:rPr>
          <w:rFonts w:asciiTheme="minorHAnsi" w:hAnsiTheme="minorHAnsi"/>
        </w:rPr>
        <w:t xml:space="preserve">The Global Commission on </w:t>
      </w:r>
      <w:r w:rsidR="001D5673" w:rsidRPr="0074037B">
        <w:rPr>
          <w:rFonts w:asciiTheme="minorHAnsi" w:hAnsiTheme="minorHAnsi"/>
        </w:rPr>
        <w:t xml:space="preserve">HIV </w:t>
      </w:r>
      <w:r w:rsidR="001D5673">
        <w:rPr>
          <w:rFonts w:asciiTheme="minorHAnsi" w:hAnsiTheme="minorHAnsi"/>
        </w:rPr>
        <w:t xml:space="preserve">and the Law </w:t>
      </w:r>
      <w:r w:rsidR="00032090">
        <w:rPr>
          <w:rFonts w:asciiTheme="minorHAnsi" w:hAnsiTheme="minorHAnsi"/>
        </w:rPr>
        <w:t xml:space="preserve">explains that </w:t>
      </w:r>
      <w:r w:rsidRPr="0074037B">
        <w:rPr>
          <w:rFonts w:asciiTheme="minorHAnsi" w:hAnsiTheme="minorHAnsi"/>
        </w:rPr>
        <w:t>difference</w:t>
      </w:r>
      <w:r w:rsidR="00032090">
        <w:rPr>
          <w:rFonts w:asciiTheme="minorHAnsi" w:hAnsiTheme="minorHAnsi"/>
        </w:rPr>
        <w:t xml:space="preserve"> between sex work and trafficking</w:t>
      </w:r>
      <w:r w:rsidRPr="0074037B">
        <w:rPr>
          <w:rFonts w:asciiTheme="minorHAnsi" w:hAnsiTheme="minorHAnsi"/>
        </w:rPr>
        <w:t xml:space="preserve"> is that the former is consensual whereas the latter </w:t>
      </w:r>
      <w:r w:rsidR="00150B43">
        <w:rPr>
          <w:rFonts w:asciiTheme="minorHAnsi" w:hAnsiTheme="minorHAnsi"/>
        </w:rPr>
        <w:t xml:space="preserve">is </w:t>
      </w:r>
      <w:r w:rsidRPr="0074037B">
        <w:rPr>
          <w:rFonts w:asciiTheme="minorHAnsi" w:hAnsiTheme="minorHAnsi"/>
        </w:rPr>
        <w:t>coercive. Trafficking in persons, as defined by international and local treaties, is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1D5673">
        <w:rPr>
          <w:rStyle w:val="FootnoteReference"/>
          <w:rFonts w:asciiTheme="minorHAnsi" w:hAnsiTheme="minorHAnsi"/>
        </w:rPr>
        <w:footnoteReference w:id="7"/>
      </w:r>
    </w:p>
    <w:p w14:paraId="2BFDA6B3" w14:textId="77777777" w:rsidR="00046E86" w:rsidRDefault="00046E86" w:rsidP="00046E86">
      <w:pPr>
        <w:pStyle w:val="BodyText"/>
        <w:jc w:val="both"/>
        <w:rPr>
          <w:rFonts w:asciiTheme="minorHAnsi" w:hAnsiTheme="minorHAnsi"/>
        </w:rPr>
      </w:pPr>
    </w:p>
    <w:p w14:paraId="3CF0DB9F" w14:textId="77777777" w:rsidR="00135F29" w:rsidRDefault="009304A7" w:rsidP="00046E86">
      <w:pPr>
        <w:pStyle w:val="BodyText"/>
        <w:jc w:val="both"/>
        <w:rPr>
          <w:rFonts w:asciiTheme="minorHAnsi" w:hAnsiTheme="minorHAnsi"/>
        </w:rPr>
      </w:pPr>
      <w:r>
        <w:rPr>
          <w:rFonts w:asciiTheme="minorHAnsi" w:hAnsiTheme="minorHAnsi"/>
        </w:rPr>
        <w:t xml:space="preserve">Given the consensual nature </w:t>
      </w:r>
      <w:r w:rsidR="00A177BB">
        <w:rPr>
          <w:rFonts w:asciiTheme="minorHAnsi" w:hAnsiTheme="minorHAnsi"/>
        </w:rPr>
        <w:t>of sex work</w:t>
      </w:r>
      <w:r w:rsidR="00815DD2">
        <w:rPr>
          <w:rFonts w:asciiTheme="minorHAnsi" w:hAnsiTheme="minorHAnsi"/>
        </w:rPr>
        <w:t>, anti-human-trafficking laws should be drafted in such a way</w:t>
      </w:r>
      <w:r w:rsidR="00310AC2">
        <w:rPr>
          <w:rFonts w:asciiTheme="minorHAnsi" w:hAnsiTheme="minorHAnsi"/>
        </w:rPr>
        <w:t xml:space="preserve"> that they do not allow for a broad interpretation that would include sex work and sex workers. </w:t>
      </w:r>
      <w:r w:rsidR="00046E86" w:rsidRPr="0074037B">
        <w:rPr>
          <w:rFonts w:asciiTheme="minorHAnsi" w:hAnsiTheme="minorHAnsi"/>
        </w:rPr>
        <w:t xml:space="preserve">The Commission </w:t>
      </w:r>
      <w:r w:rsidR="00046E86">
        <w:rPr>
          <w:rFonts w:asciiTheme="minorHAnsi" w:hAnsiTheme="minorHAnsi"/>
        </w:rPr>
        <w:t>notes</w:t>
      </w:r>
      <w:r w:rsidR="00046E86" w:rsidRPr="0074037B">
        <w:rPr>
          <w:rFonts w:asciiTheme="minorHAnsi" w:hAnsiTheme="minorHAnsi"/>
        </w:rPr>
        <w:t xml:space="preserve"> that some governments deploy anti-human-trafficking laws so broadly as to conflate consensual adult sex work with the exploitative, coerced trafficking of people (primarily women and girls) for the purposes of sex. Anti-t</w:t>
      </w:r>
      <w:r w:rsidR="00046E86" w:rsidRPr="00FE0062">
        <w:rPr>
          <w:rFonts w:asciiTheme="minorHAnsi" w:hAnsiTheme="minorHAnsi"/>
        </w:rPr>
        <w:t xml:space="preserve">rafficking efforts should be carefully tailored </w:t>
      </w:r>
      <w:r w:rsidR="00C87DC6" w:rsidRPr="00FE0062">
        <w:rPr>
          <w:rFonts w:asciiTheme="minorHAnsi" w:hAnsiTheme="minorHAnsi"/>
        </w:rPr>
        <w:t>and based on intelligence of</w:t>
      </w:r>
      <w:r w:rsidR="00046E86" w:rsidRPr="00FE0062">
        <w:rPr>
          <w:rFonts w:asciiTheme="minorHAnsi" w:hAnsiTheme="minorHAnsi"/>
        </w:rPr>
        <w:t xml:space="preserve"> actual trafficking situations</w:t>
      </w:r>
      <w:r w:rsidR="000D03A8" w:rsidRPr="00FE0062">
        <w:rPr>
          <w:rFonts w:asciiTheme="minorHAnsi" w:hAnsiTheme="minorHAnsi"/>
        </w:rPr>
        <w:t>.</w:t>
      </w:r>
      <w:r w:rsidR="00046E86" w:rsidRPr="00FE0062">
        <w:rPr>
          <w:rFonts w:asciiTheme="minorHAnsi" w:hAnsiTheme="minorHAnsi"/>
        </w:rPr>
        <w:t xml:space="preserve"> </w:t>
      </w:r>
      <w:r w:rsidR="000D03A8" w:rsidRPr="00FE0062">
        <w:rPr>
          <w:rFonts w:asciiTheme="minorHAnsi" w:hAnsiTheme="minorHAnsi"/>
        </w:rPr>
        <w:t xml:space="preserve">“Blind sweeps” – </w:t>
      </w:r>
      <w:r w:rsidR="001D5673" w:rsidRPr="00FE0062">
        <w:rPr>
          <w:rFonts w:asciiTheme="minorHAnsi" w:hAnsiTheme="minorHAnsi"/>
        </w:rPr>
        <w:t>e.g.</w:t>
      </w:r>
      <w:r w:rsidR="000D03A8" w:rsidRPr="00FE0062">
        <w:rPr>
          <w:rFonts w:asciiTheme="minorHAnsi" w:hAnsiTheme="minorHAnsi"/>
        </w:rPr>
        <w:t xml:space="preserve"> </w:t>
      </w:r>
      <w:r w:rsidR="000D03A8" w:rsidRPr="00FE0062">
        <w:rPr>
          <w:rFonts w:asciiTheme="minorHAnsi" w:hAnsiTheme="minorHAnsi"/>
        </w:rPr>
        <w:lastRenderedPageBreak/>
        <w:t xml:space="preserve">of </w:t>
      </w:r>
      <w:r w:rsidR="001D5673" w:rsidRPr="00FE0062">
        <w:rPr>
          <w:rFonts w:asciiTheme="minorHAnsi" w:hAnsiTheme="minorHAnsi"/>
        </w:rPr>
        <w:t>“</w:t>
      </w:r>
      <w:r w:rsidR="000D03A8" w:rsidRPr="00FE0062">
        <w:rPr>
          <w:rFonts w:asciiTheme="minorHAnsi" w:hAnsiTheme="minorHAnsi"/>
        </w:rPr>
        <w:t>red-light</w:t>
      </w:r>
      <w:r w:rsidR="001D5673" w:rsidRPr="00FE0062">
        <w:rPr>
          <w:rFonts w:asciiTheme="minorHAnsi" w:hAnsiTheme="minorHAnsi"/>
        </w:rPr>
        <w:t>”</w:t>
      </w:r>
      <w:r w:rsidR="000D03A8" w:rsidRPr="00FE0062">
        <w:rPr>
          <w:rFonts w:asciiTheme="minorHAnsi" w:hAnsiTheme="minorHAnsi"/>
        </w:rPr>
        <w:t xml:space="preserve"> districts </w:t>
      </w:r>
      <w:r w:rsidR="00702174" w:rsidRPr="00FE0062">
        <w:rPr>
          <w:rFonts w:asciiTheme="minorHAnsi" w:hAnsiTheme="minorHAnsi"/>
        </w:rPr>
        <w:t xml:space="preserve">or ‘hot spots’ </w:t>
      </w:r>
      <w:r w:rsidR="000D03A8" w:rsidRPr="00FE0062">
        <w:rPr>
          <w:rFonts w:asciiTheme="minorHAnsi" w:hAnsiTheme="minorHAnsi"/>
        </w:rPr>
        <w:t>where all sex workers are rounded up and detained – should be replaced with “smart raids” – intelligence-based and focused interventions that target known cases of TiP.</w:t>
      </w:r>
      <w:r w:rsidR="000D03A8" w:rsidRPr="00FE0062">
        <w:rPr>
          <w:rStyle w:val="FootnoteReference"/>
          <w:rFonts w:asciiTheme="minorHAnsi" w:hAnsiTheme="minorHAnsi"/>
        </w:rPr>
        <w:footnoteReference w:id="8"/>
      </w:r>
      <w:r w:rsidR="000D03A8" w:rsidRPr="00FE0062">
        <w:rPr>
          <w:rFonts w:asciiTheme="minorHAnsi" w:hAnsiTheme="minorHAnsi"/>
        </w:rPr>
        <w:t xml:space="preserve"> </w:t>
      </w:r>
      <w:r w:rsidR="00135F29" w:rsidRPr="003274B5">
        <w:rPr>
          <w:rFonts w:asciiTheme="minorHAnsi" w:hAnsiTheme="minorHAnsi"/>
        </w:rPr>
        <w:t>Where possible, these interventions should be carried out in consultation with sex workers and their communities and organisations.</w:t>
      </w:r>
      <w:r w:rsidR="00135F29">
        <w:rPr>
          <w:rFonts w:asciiTheme="minorHAnsi" w:hAnsiTheme="minorHAnsi"/>
        </w:rPr>
        <w:t xml:space="preserve"> </w:t>
      </w:r>
    </w:p>
    <w:p w14:paraId="7F263E3F" w14:textId="77777777" w:rsidR="006B051F" w:rsidRDefault="006B051F" w:rsidP="00046E86">
      <w:pPr>
        <w:pStyle w:val="BodyText"/>
        <w:jc w:val="both"/>
        <w:rPr>
          <w:rFonts w:asciiTheme="minorHAnsi" w:hAnsiTheme="minorHAnsi"/>
        </w:rPr>
      </w:pPr>
    </w:p>
    <w:p w14:paraId="792EEEC5" w14:textId="77777777" w:rsidR="00F86C8D" w:rsidRDefault="000D03A8" w:rsidP="00046E86">
      <w:pPr>
        <w:pStyle w:val="BodyText"/>
        <w:jc w:val="both"/>
        <w:rPr>
          <w:rFonts w:asciiTheme="minorHAnsi" w:hAnsiTheme="minorHAnsi"/>
        </w:rPr>
      </w:pPr>
      <w:r w:rsidRPr="00FE0062">
        <w:rPr>
          <w:rFonts w:asciiTheme="minorHAnsi" w:hAnsiTheme="minorHAnsi"/>
        </w:rPr>
        <w:t>Anti</w:t>
      </w:r>
      <w:r>
        <w:rPr>
          <w:rFonts w:asciiTheme="minorHAnsi" w:hAnsiTheme="minorHAnsi"/>
        </w:rPr>
        <w:t xml:space="preserve">-trafficking efforts </w:t>
      </w:r>
      <w:r w:rsidR="00046E86" w:rsidRPr="0074037B">
        <w:rPr>
          <w:rFonts w:asciiTheme="minorHAnsi" w:hAnsiTheme="minorHAnsi"/>
        </w:rPr>
        <w:t>should not justify or result in criminal prosecution or other coercive measures against adults who engage in sex work on a consensual basis, either as sex workers or clients. Persons who are trafficked should not face criminal prosecution but should receive care and support, including access to comprehensive health services.</w:t>
      </w:r>
      <w:r w:rsidR="00BB38EC">
        <w:rPr>
          <w:rFonts w:asciiTheme="minorHAnsi" w:hAnsiTheme="minorHAnsi"/>
        </w:rPr>
        <w:t xml:space="preserve"> If sex workers are caught up in anti-trafficking </w:t>
      </w:r>
      <w:r w:rsidR="00135F29">
        <w:rPr>
          <w:rFonts w:asciiTheme="minorHAnsi" w:hAnsiTheme="minorHAnsi"/>
        </w:rPr>
        <w:t>efforts,</w:t>
      </w:r>
      <w:r w:rsidR="00BB38EC">
        <w:rPr>
          <w:rFonts w:asciiTheme="minorHAnsi" w:hAnsiTheme="minorHAnsi"/>
        </w:rPr>
        <w:t xml:space="preserve"> they should not be penalised or further detained.</w:t>
      </w:r>
      <w:r w:rsidR="00046E86" w:rsidRPr="0074037B">
        <w:rPr>
          <w:rFonts w:asciiTheme="minorHAnsi" w:hAnsiTheme="minorHAnsi"/>
        </w:rPr>
        <w:t xml:space="preserve"> </w:t>
      </w:r>
    </w:p>
    <w:p w14:paraId="188AED63" w14:textId="77777777" w:rsidR="00F86C8D" w:rsidRDefault="00F86C8D" w:rsidP="00046E86">
      <w:pPr>
        <w:pStyle w:val="BodyText"/>
        <w:jc w:val="both"/>
        <w:rPr>
          <w:rFonts w:asciiTheme="minorHAnsi" w:hAnsiTheme="minorHAnsi"/>
        </w:rPr>
      </w:pPr>
    </w:p>
    <w:p w14:paraId="24C19F25" w14:textId="5A114853" w:rsidR="006B051F" w:rsidRDefault="00796079" w:rsidP="006B051F">
      <w:pPr>
        <w:pStyle w:val="BodyText"/>
        <w:jc w:val="both"/>
        <w:rPr>
          <w:rFonts w:asciiTheme="minorHAnsi" w:hAnsiTheme="minorHAnsi"/>
        </w:rPr>
      </w:pPr>
      <w:r>
        <w:rPr>
          <w:rFonts w:asciiTheme="minorHAnsi" w:hAnsiTheme="minorHAnsi"/>
        </w:rPr>
        <w:t>To achieve the target of SDG 3 to end AIDS as a public health threat by 2030, it is critical</w:t>
      </w:r>
      <w:r w:rsidRPr="0074037B">
        <w:rPr>
          <w:rFonts w:asciiTheme="minorHAnsi" w:hAnsiTheme="minorHAnsi"/>
        </w:rPr>
        <w:t xml:space="preserve"> to advance </w:t>
      </w:r>
      <w:r>
        <w:rPr>
          <w:rFonts w:asciiTheme="minorHAnsi" w:hAnsiTheme="minorHAnsi"/>
        </w:rPr>
        <w:t>the</w:t>
      </w:r>
      <w:r w:rsidRPr="0074037B">
        <w:rPr>
          <w:rFonts w:asciiTheme="minorHAnsi" w:hAnsiTheme="minorHAnsi"/>
        </w:rPr>
        <w:t xml:space="preserve"> health and human rights of sex workers, who are 1</w:t>
      </w:r>
      <w:r w:rsidR="00664DF2">
        <w:rPr>
          <w:rFonts w:asciiTheme="minorHAnsi" w:hAnsiTheme="minorHAnsi"/>
        </w:rPr>
        <w:t>3</w:t>
      </w:r>
      <w:r w:rsidRPr="0074037B">
        <w:rPr>
          <w:rFonts w:asciiTheme="minorHAnsi" w:hAnsiTheme="minorHAnsi"/>
        </w:rPr>
        <w:t xml:space="preserve"> times more likely to contract HIV compared to </w:t>
      </w:r>
      <w:r w:rsidR="00664DF2">
        <w:rPr>
          <w:rFonts w:asciiTheme="minorHAnsi" w:hAnsiTheme="minorHAnsi"/>
        </w:rPr>
        <w:t>adults who are not sex workers</w:t>
      </w:r>
      <w:r w:rsidRPr="0074037B">
        <w:rPr>
          <w:rFonts w:asciiTheme="minorHAnsi" w:hAnsiTheme="minorHAnsi"/>
        </w:rPr>
        <w:t>.</w:t>
      </w:r>
      <w:r w:rsidR="00AB24CC">
        <w:rPr>
          <w:rStyle w:val="FootnoteReference"/>
          <w:rFonts w:asciiTheme="minorHAnsi" w:hAnsiTheme="minorHAnsi"/>
        </w:rPr>
        <w:footnoteReference w:id="9"/>
      </w:r>
      <w:r w:rsidRPr="0074037B">
        <w:rPr>
          <w:rFonts w:asciiTheme="minorHAnsi" w:hAnsiTheme="minorHAnsi"/>
        </w:rPr>
        <w:t xml:space="preserve"> </w:t>
      </w:r>
      <w:r>
        <w:rPr>
          <w:rFonts w:asciiTheme="minorHAnsi" w:hAnsiTheme="minorHAnsi"/>
        </w:rPr>
        <w:t xml:space="preserve">Abolishing punitive approaches and the adoption of enabling laws, policies and practices is especially important in the context of women and girls, as well as in the context of migration. </w:t>
      </w:r>
    </w:p>
    <w:p w14:paraId="3303206A" w14:textId="77777777" w:rsidR="006B051F" w:rsidRDefault="006B051F" w:rsidP="006B051F">
      <w:pPr>
        <w:pStyle w:val="BodyText"/>
        <w:jc w:val="both"/>
        <w:rPr>
          <w:rFonts w:asciiTheme="minorHAnsi" w:hAnsiTheme="minorHAnsi"/>
        </w:rPr>
      </w:pPr>
    </w:p>
    <w:p w14:paraId="19FF5169" w14:textId="66F5A217" w:rsidR="006B051F" w:rsidRPr="00E27E58" w:rsidRDefault="006B051F" w:rsidP="006B051F">
      <w:pPr>
        <w:pStyle w:val="BodyText"/>
        <w:jc w:val="both"/>
      </w:pPr>
      <w:r>
        <w:rPr>
          <w:rFonts w:asciiTheme="minorHAnsi" w:hAnsiTheme="minorHAnsi"/>
        </w:rPr>
        <w:t xml:space="preserve">Any conflation of voluntary, adult sex work with trafficking in persons is an abuse of sex workers’ </w:t>
      </w:r>
      <w:r>
        <w:rPr>
          <w:rFonts w:asciiTheme="minorHAnsi" w:hAnsiTheme="minorHAnsi"/>
        </w:rPr>
        <w:lastRenderedPageBreak/>
        <w:t xml:space="preserve">human rights, and greatly increases the risk of HIV and violence for both sex workers and trafficked women and girls, by driving it to be further hidden “underground”. It results in a </w:t>
      </w:r>
      <w:r w:rsidRPr="00CA0972">
        <w:rPr>
          <w:rFonts w:asciiTheme="minorHAnsi" w:hAnsiTheme="minorHAnsi"/>
          <w:i/>
        </w:rPr>
        <w:t>de facto</w:t>
      </w:r>
      <w:r>
        <w:rPr>
          <w:rFonts w:asciiTheme="minorHAnsi" w:hAnsiTheme="minorHAnsi"/>
        </w:rPr>
        <w:t xml:space="preserve"> criminalisation (or further criminalisation) of sex work which can result in arbitrary arrests and incarceration, denial of freedom of movement, inability to carry condoms and negotiate their use and inability to support and creates an environment of fear and marginalisation.  Modelling for the Lancet Special Series on HIV and Sex Workers estimated that decriminalisation of sex work would lead to between 33–46 per cent overall reduction of new HIV cases over the next decade, the single biggest factor in reducing HIV transmission.</w:t>
      </w:r>
      <w:r w:rsidR="00CB0D6B">
        <w:rPr>
          <w:rStyle w:val="FootnoteReference"/>
          <w:rFonts w:asciiTheme="minorHAnsi" w:hAnsiTheme="minorHAnsi"/>
        </w:rPr>
        <w:footnoteReference w:id="10"/>
      </w:r>
      <w:r w:rsidR="00CB0D6B">
        <w:rPr>
          <w:rFonts w:asciiTheme="minorHAnsi" w:hAnsiTheme="minorHAnsi"/>
        </w:rPr>
        <w:t xml:space="preserve"> </w:t>
      </w:r>
      <w:r>
        <w:rPr>
          <w:rFonts w:asciiTheme="minorHAnsi" w:hAnsiTheme="minorHAnsi"/>
        </w:rPr>
        <w:t xml:space="preserve">Punitive approaches to trafficking exacerbate HIV transmission when applied to sex </w:t>
      </w:r>
      <w:r w:rsidR="00CB0D6B">
        <w:rPr>
          <w:rFonts w:asciiTheme="minorHAnsi" w:hAnsiTheme="minorHAnsi"/>
        </w:rPr>
        <w:t>work and are ultimately</w:t>
      </w:r>
      <w:r>
        <w:rPr>
          <w:rFonts w:asciiTheme="minorHAnsi" w:hAnsiTheme="minorHAnsi"/>
        </w:rPr>
        <w:t xml:space="preserve"> counterproductive. The sex worker community </w:t>
      </w:r>
      <w:r w:rsidR="00CB0D6B">
        <w:rPr>
          <w:rFonts w:asciiTheme="minorHAnsi" w:hAnsiTheme="minorHAnsi"/>
        </w:rPr>
        <w:t>c</w:t>
      </w:r>
      <w:r>
        <w:rPr>
          <w:rFonts w:asciiTheme="minorHAnsi" w:hAnsiTheme="minorHAnsi"/>
        </w:rPr>
        <w:t xml:space="preserve">ould be one of the biggest allies in the fight against trafficking in persons, </w:t>
      </w:r>
      <w:r w:rsidR="003C4B88">
        <w:rPr>
          <w:rFonts w:asciiTheme="minorHAnsi" w:hAnsiTheme="minorHAnsi"/>
        </w:rPr>
        <w:t>if</w:t>
      </w:r>
      <w:r>
        <w:rPr>
          <w:rFonts w:asciiTheme="minorHAnsi" w:hAnsiTheme="minorHAnsi"/>
        </w:rPr>
        <w:t xml:space="preserve"> partnership</w:t>
      </w:r>
      <w:r w:rsidR="00D12532">
        <w:rPr>
          <w:rFonts w:asciiTheme="minorHAnsi" w:hAnsiTheme="minorHAnsi"/>
        </w:rPr>
        <w:t xml:space="preserve">s engaging this community are </w:t>
      </w:r>
      <w:r>
        <w:rPr>
          <w:rFonts w:asciiTheme="minorHAnsi" w:hAnsiTheme="minorHAnsi"/>
        </w:rPr>
        <w:t xml:space="preserve">developed </w:t>
      </w:r>
      <w:r w:rsidR="00D12532">
        <w:rPr>
          <w:rFonts w:asciiTheme="minorHAnsi" w:hAnsiTheme="minorHAnsi"/>
        </w:rPr>
        <w:t>and accepted</w:t>
      </w:r>
      <w:r>
        <w:rPr>
          <w:rFonts w:asciiTheme="minorHAnsi" w:hAnsiTheme="minorHAnsi"/>
        </w:rPr>
        <w:t>.</w:t>
      </w:r>
    </w:p>
    <w:p w14:paraId="72E2E6E2" w14:textId="77777777" w:rsidR="00796079" w:rsidRDefault="00796079" w:rsidP="00046E86">
      <w:pPr>
        <w:pStyle w:val="BodyText"/>
        <w:jc w:val="both"/>
        <w:rPr>
          <w:rFonts w:asciiTheme="minorHAnsi" w:hAnsiTheme="minorHAnsi"/>
        </w:rPr>
      </w:pPr>
    </w:p>
    <w:p w14:paraId="05C05FB8" w14:textId="6A2E0D48" w:rsidR="00046E86" w:rsidRPr="0074037B" w:rsidRDefault="00046E86" w:rsidP="00046E86">
      <w:pPr>
        <w:pStyle w:val="BodyText"/>
        <w:jc w:val="both"/>
        <w:rPr>
          <w:rFonts w:asciiTheme="minorHAnsi" w:hAnsiTheme="minorHAnsi"/>
        </w:rPr>
      </w:pPr>
      <w:r>
        <w:rPr>
          <w:rFonts w:asciiTheme="minorHAnsi" w:hAnsiTheme="minorHAnsi"/>
        </w:rPr>
        <w:t xml:space="preserve">The </w:t>
      </w:r>
      <w:r w:rsidR="006B051F">
        <w:rPr>
          <w:rFonts w:asciiTheme="minorHAnsi" w:hAnsiTheme="minorHAnsi"/>
        </w:rPr>
        <w:t xml:space="preserve">Global </w:t>
      </w:r>
      <w:r w:rsidR="00CA0972">
        <w:rPr>
          <w:rFonts w:asciiTheme="minorHAnsi" w:hAnsiTheme="minorHAnsi"/>
        </w:rPr>
        <w:t>Commission on</w:t>
      </w:r>
      <w:r w:rsidR="006B051F">
        <w:rPr>
          <w:rFonts w:asciiTheme="minorHAnsi" w:hAnsiTheme="minorHAnsi"/>
        </w:rPr>
        <w:t xml:space="preserve"> HIV and the Law </w:t>
      </w:r>
      <w:r>
        <w:rPr>
          <w:rFonts w:asciiTheme="minorHAnsi" w:hAnsiTheme="minorHAnsi"/>
        </w:rPr>
        <w:t>points to evidence that where</w:t>
      </w:r>
      <w:r w:rsidRPr="0074037B">
        <w:rPr>
          <w:rFonts w:asciiTheme="minorHAnsi" w:hAnsiTheme="minorHAnsi"/>
        </w:rPr>
        <w:t xml:space="preserve"> sex workers’ communities are empowered, supported and </w:t>
      </w:r>
      <w:r w:rsidR="005B2738">
        <w:rPr>
          <w:rFonts w:asciiTheme="minorHAnsi" w:hAnsiTheme="minorHAnsi"/>
        </w:rPr>
        <w:t>c</w:t>
      </w:r>
      <w:r w:rsidRPr="0074037B">
        <w:rPr>
          <w:rFonts w:asciiTheme="minorHAnsi" w:hAnsiTheme="minorHAnsi"/>
        </w:rPr>
        <w:t>onsulted, they can be strong allies for anti-trafficking efforts, providing critical information about trafficked and underage people.</w:t>
      </w:r>
      <w:r w:rsidR="00BB38EC">
        <w:rPr>
          <w:rFonts w:asciiTheme="minorHAnsi" w:hAnsiTheme="minorHAnsi"/>
        </w:rPr>
        <w:t xml:space="preserve"> The DMSC sex worker “self-regulating boards” in India provide compelling evidence of reduction of trafficking and under-age sale of sex</w:t>
      </w:r>
      <w:r w:rsidR="00921ED0">
        <w:rPr>
          <w:rFonts w:asciiTheme="minorHAnsi" w:hAnsiTheme="minorHAnsi"/>
        </w:rPr>
        <w:t>,</w:t>
      </w:r>
      <w:r w:rsidR="00BB38EC">
        <w:rPr>
          <w:rFonts w:asciiTheme="minorHAnsi" w:hAnsiTheme="minorHAnsi"/>
        </w:rPr>
        <w:t xml:space="preserve"> through </w:t>
      </w:r>
      <w:r w:rsidR="00921ED0">
        <w:rPr>
          <w:rFonts w:asciiTheme="minorHAnsi" w:hAnsiTheme="minorHAnsi"/>
        </w:rPr>
        <w:t xml:space="preserve">active involvement of </w:t>
      </w:r>
      <w:r w:rsidR="00BB38EC">
        <w:rPr>
          <w:rFonts w:asciiTheme="minorHAnsi" w:hAnsiTheme="minorHAnsi"/>
        </w:rPr>
        <w:t>sex worker communit</w:t>
      </w:r>
      <w:r w:rsidR="00921ED0">
        <w:rPr>
          <w:rFonts w:asciiTheme="minorHAnsi" w:hAnsiTheme="minorHAnsi"/>
        </w:rPr>
        <w:t xml:space="preserve">ies, and </w:t>
      </w:r>
      <w:r w:rsidR="00BB38EC">
        <w:rPr>
          <w:rFonts w:asciiTheme="minorHAnsi" w:hAnsiTheme="minorHAnsi"/>
        </w:rPr>
        <w:t>self</w:t>
      </w:r>
      <w:r w:rsidR="00921ED0">
        <w:rPr>
          <w:rFonts w:asciiTheme="minorHAnsi" w:hAnsiTheme="minorHAnsi"/>
        </w:rPr>
        <w:t>-</w:t>
      </w:r>
      <w:r w:rsidR="00BB38EC">
        <w:rPr>
          <w:rFonts w:asciiTheme="minorHAnsi" w:hAnsiTheme="minorHAnsi"/>
        </w:rPr>
        <w:lastRenderedPageBreak/>
        <w:t>regulation.</w:t>
      </w:r>
      <w:r w:rsidR="00EB5C65">
        <w:rPr>
          <w:rStyle w:val="FootnoteReference"/>
          <w:rFonts w:asciiTheme="minorHAnsi" w:hAnsiTheme="minorHAnsi"/>
        </w:rPr>
        <w:footnoteReference w:id="11"/>
      </w:r>
      <w:r w:rsidR="00921ED0">
        <w:rPr>
          <w:rFonts w:asciiTheme="minorHAnsi" w:hAnsiTheme="minorHAnsi"/>
        </w:rPr>
        <w:t>,</w:t>
      </w:r>
      <w:r w:rsidR="00921ED0">
        <w:rPr>
          <w:rStyle w:val="FootnoteReference"/>
          <w:rFonts w:asciiTheme="minorHAnsi" w:hAnsiTheme="minorHAnsi"/>
        </w:rPr>
        <w:footnoteReference w:id="12"/>
      </w:r>
      <w:r w:rsidR="00921ED0">
        <w:rPr>
          <w:rFonts w:asciiTheme="minorHAnsi" w:hAnsiTheme="minorHAnsi"/>
        </w:rPr>
        <w:t xml:space="preserve"> For this to be effective, sex worker communities have to be engaged as formal partners with state anti-trafficking agencies</w:t>
      </w:r>
      <w:r w:rsidR="00633EDD">
        <w:rPr>
          <w:rFonts w:asciiTheme="minorHAnsi" w:hAnsiTheme="minorHAnsi"/>
        </w:rPr>
        <w:t>, operatives</w:t>
      </w:r>
      <w:r w:rsidR="00921ED0">
        <w:rPr>
          <w:rFonts w:asciiTheme="minorHAnsi" w:hAnsiTheme="minorHAnsi"/>
        </w:rPr>
        <w:t xml:space="preserve"> and policy makers, and harassment </w:t>
      </w:r>
      <w:r w:rsidR="00633EDD">
        <w:rPr>
          <w:rFonts w:asciiTheme="minorHAnsi" w:hAnsiTheme="minorHAnsi"/>
        </w:rPr>
        <w:t xml:space="preserve">by law enforcement officers </w:t>
      </w:r>
      <w:r w:rsidR="00921ED0">
        <w:rPr>
          <w:rFonts w:asciiTheme="minorHAnsi" w:hAnsiTheme="minorHAnsi"/>
        </w:rPr>
        <w:t>and criminalisation of sex work ha</w:t>
      </w:r>
      <w:r w:rsidR="00633EDD">
        <w:rPr>
          <w:rFonts w:asciiTheme="minorHAnsi" w:hAnsiTheme="minorHAnsi"/>
        </w:rPr>
        <w:t>ve</w:t>
      </w:r>
      <w:r w:rsidR="00921ED0">
        <w:rPr>
          <w:rFonts w:asciiTheme="minorHAnsi" w:hAnsiTheme="minorHAnsi"/>
        </w:rPr>
        <w:t xml:space="preserve"> to be rescinded, </w:t>
      </w:r>
      <w:r w:rsidR="00633EDD">
        <w:rPr>
          <w:rFonts w:asciiTheme="minorHAnsi" w:hAnsiTheme="minorHAnsi"/>
        </w:rPr>
        <w:t xml:space="preserve">to enable </w:t>
      </w:r>
      <w:r w:rsidR="00921ED0">
        <w:rPr>
          <w:rFonts w:asciiTheme="minorHAnsi" w:hAnsiTheme="minorHAnsi"/>
        </w:rPr>
        <w:t xml:space="preserve">sex workers </w:t>
      </w:r>
      <w:r w:rsidR="00633EDD">
        <w:rPr>
          <w:rFonts w:asciiTheme="minorHAnsi" w:hAnsiTheme="minorHAnsi"/>
        </w:rPr>
        <w:t xml:space="preserve">to </w:t>
      </w:r>
      <w:r w:rsidR="00921ED0">
        <w:rPr>
          <w:rFonts w:asciiTheme="minorHAnsi" w:hAnsiTheme="minorHAnsi"/>
        </w:rPr>
        <w:t xml:space="preserve">operate freely without fear of arrest. </w:t>
      </w:r>
      <w:r w:rsidR="00F70F55">
        <w:rPr>
          <w:rFonts w:asciiTheme="minorHAnsi" w:hAnsiTheme="minorHAnsi"/>
        </w:rPr>
        <w:t>The sex worker community stands against trafficking in persons as a human rights abuse. The Global Network of Sex Work Projects (NSWP)</w:t>
      </w:r>
      <w:r w:rsidR="00F70F55">
        <w:rPr>
          <w:rStyle w:val="FootnoteReference"/>
          <w:rFonts w:asciiTheme="minorHAnsi" w:hAnsiTheme="minorHAnsi"/>
        </w:rPr>
        <w:footnoteReference w:id="13"/>
      </w:r>
      <w:r w:rsidR="00F70F55">
        <w:rPr>
          <w:rFonts w:asciiTheme="minorHAnsi" w:hAnsiTheme="minorHAnsi"/>
        </w:rPr>
        <w:t xml:space="preserve"> calls for greater dialogue and partnership with the sex worker community</w:t>
      </w:r>
      <w:r w:rsidR="00633EDD">
        <w:rPr>
          <w:rFonts w:asciiTheme="minorHAnsi" w:hAnsiTheme="minorHAnsi"/>
        </w:rPr>
        <w:t>,</w:t>
      </w:r>
      <w:r w:rsidR="00F70F55">
        <w:rPr>
          <w:rFonts w:asciiTheme="minorHAnsi" w:hAnsiTheme="minorHAnsi"/>
        </w:rPr>
        <w:t xml:space="preserve"> </w:t>
      </w:r>
      <w:r w:rsidR="003C4B88">
        <w:rPr>
          <w:rFonts w:asciiTheme="minorHAnsi" w:hAnsiTheme="minorHAnsi"/>
        </w:rPr>
        <w:t>to</w:t>
      </w:r>
      <w:r w:rsidR="00F70F55">
        <w:rPr>
          <w:rFonts w:asciiTheme="minorHAnsi" w:hAnsiTheme="minorHAnsi"/>
        </w:rPr>
        <w:t xml:space="preserve"> simultaneously reduce TiP and address sex workers’ human rights concerns. To this end, NSWP has sought to further engage with the Interagency Coalition Against Trafficking in Persons (ICAT).</w:t>
      </w:r>
    </w:p>
    <w:p w14:paraId="4024D3CF" w14:textId="77777777" w:rsidR="00E56D79" w:rsidRDefault="00E56D79" w:rsidP="009B6C8E">
      <w:pPr>
        <w:pStyle w:val="BodyText"/>
        <w:jc w:val="both"/>
        <w:rPr>
          <w:rFonts w:asciiTheme="minorHAnsi" w:hAnsiTheme="minorHAnsi"/>
        </w:rPr>
      </w:pPr>
    </w:p>
    <w:p w14:paraId="5FDE8E5B" w14:textId="13E21E89" w:rsidR="00046E86" w:rsidRDefault="00046E86" w:rsidP="009B6C8E">
      <w:pPr>
        <w:pStyle w:val="BodyText"/>
        <w:jc w:val="both"/>
        <w:rPr>
          <w:rFonts w:asciiTheme="minorHAnsi" w:hAnsiTheme="minorHAnsi"/>
        </w:rPr>
      </w:pPr>
      <w:r>
        <w:rPr>
          <w:rFonts w:asciiTheme="minorHAnsi" w:hAnsiTheme="minorHAnsi"/>
        </w:rPr>
        <w:t>In</w:t>
      </w:r>
      <w:r w:rsidR="001A3EE4">
        <w:rPr>
          <w:rFonts w:asciiTheme="minorHAnsi" w:hAnsiTheme="minorHAnsi"/>
        </w:rPr>
        <w:t xml:space="preserve"> the</w:t>
      </w:r>
      <w:r>
        <w:rPr>
          <w:rFonts w:asciiTheme="minorHAnsi" w:hAnsiTheme="minorHAnsi"/>
        </w:rPr>
        <w:t xml:space="preserve"> 2018</w:t>
      </w:r>
      <w:r w:rsidR="001A3EE4">
        <w:rPr>
          <w:rFonts w:asciiTheme="minorHAnsi" w:hAnsiTheme="minorHAnsi"/>
        </w:rPr>
        <w:t xml:space="preserve"> Supplement</w:t>
      </w:r>
      <w:r>
        <w:rPr>
          <w:rFonts w:asciiTheme="minorHAnsi" w:hAnsiTheme="minorHAnsi"/>
        </w:rPr>
        <w:t xml:space="preserve">, the </w:t>
      </w:r>
      <w:r w:rsidR="0074037B">
        <w:rPr>
          <w:rFonts w:asciiTheme="minorHAnsi" w:hAnsiTheme="minorHAnsi"/>
        </w:rPr>
        <w:t>Global Commission on HIV and the Law</w:t>
      </w:r>
      <w:r>
        <w:rPr>
          <w:rFonts w:asciiTheme="minorHAnsi" w:hAnsiTheme="minorHAnsi"/>
        </w:rPr>
        <w:t xml:space="preserve"> pointed out that</w:t>
      </w:r>
      <w:r w:rsidR="006D6167">
        <w:rPr>
          <w:rFonts w:asciiTheme="minorHAnsi" w:hAnsiTheme="minorHAnsi"/>
        </w:rPr>
        <w:t xml:space="preserve"> </w:t>
      </w:r>
      <w:r w:rsidR="006D6167" w:rsidRPr="0074037B">
        <w:rPr>
          <w:rFonts w:asciiTheme="minorHAnsi" w:hAnsiTheme="minorHAnsi"/>
        </w:rPr>
        <w:t>258 million migrants, including 28.5 million refugees and asylum seekers, are now in search of safety and hope. With uncertain access to food, water and health services, they are vulnerable to illness and violence, including gender-based and sexual violence.</w:t>
      </w:r>
      <w:r>
        <w:rPr>
          <w:rFonts w:asciiTheme="minorHAnsi" w:hAnsiTheme="minorHAnsi"/>
        </w:rPr>
        <w:t xml:space="preserve"> M</w:t>
      </w:r>
      <w:r w:rsidR="006D6167" w:rsidRPr="0074037B">
        <w:rPr>
          <w:rFonts w:asciiTheme="minorHAnsi" w:hAnsiTheme="minorHAnsi"/>
        </w:rPr>
        <w:t>assive displacement</w:t>
      </w:r>
      <w:r>
        <w:rPr>
          <w:rFonts w:asciiTheme="minorHAnsi" w:hAnsiTheme="minorHAnsi"/>
        </w:rPr>
        <w:t>s</w:t>
      </w:r>
      <w:r w:rsidR="006D6167" w:rsidRPr="0074037B">
        <w:rPr>
          <w:rFonts w:asciiTheme="minorHAnsi" w:hAnsiTheme="minorHAnsi"/>
        </w:rPr>
        <w:t xml:space="preserve">, which should trigger </w:t>
      </w:r>
      <w:r w:rsidRPr="0074037B">
        <w:rPr>
          <w:rFonts w:asciiTheme="minorHAnsi" w:hAnsiTheme="minorHAnsi"/>
        </w:rPr>
        <w:t xml:space="preserve">solidarity </w:t>
      </w:r>
      <w:r w:rsidR="006D6167" w:rsidRPr="0074037B">
        <w:rPr>
          <w:rFonts w:asciiTheme="minorHAnsi" w:hAnsiTheme="minorHAnsi"/>
        </w:rPr>
        <w:t>a</w:t>
      </w:r>
      <w:r>
        <w:rPr>
          <w:rFonts w:asciiTheme="minorHAnsi" w:hAnsiTheme="minorHAnsi"/>
        </w:rPr>
        <w:t>nd</w:t>
      </w:r>
      <w:r w:rsidR="006D6167" w:rsidRPr="0074037B">
        <w:rPr>
          <w:rFonts w:asciiTheme="minorHAnsi" w:hAnsiTheme="minorHAnsi"/>
        </w:rPr>
        <w:t xml:space="preserve"> aid instead receive insufficient attention</w:t>
      </w:r>
      <w:r>
        <w:rPr>
          <w:rFonts w:asciiTheme="minorHAnsi" w:hAnsiTheme="minorHAnsi"/>
        </w:rPr>
        <w:t xml:space="preserve"> and often </w:t>
      </w:r>
      <w:r w:rsidR="00287095">
        <w:rPr>
          <w:rFonts w:asciiTheme="minorHAnsi" w:hAnsiTheme="minorHAnsi"/>
        </w:rPr>
        <w:t xml:space="preserve">result in </w:t>
      </w:r>
      <w:r>
        <w:rPr>
          <w:rFonts w:asciiTheme="minorHAnsi" w:hAnsiTheme="minorHAnsi"/>
        </w:rPr>
        <w:t xml:space="preserve">punitive </w:t>
      </w:r>
      <w:r>
        <w:rPr>
          <w:rFonts w:asciiTheme="minorHAnsi" w:hAnsiTheme="minorHAnsi"/>
        </w:rPr>
        <w:lastRenderedPageBreak/>
        <w:t>measures</w:t>
      </w:r>
      <w:r w:rsidR="006D6167" w:rsidRPr="0074037B">
        <w:rPr>
          <w:rFonts w:asciiTheme="minorHAnsi" w:hAnsiTheme="minorHAnsi"/>
        </w:rPr>
        <w:t>.</w:t>
      </w:r>
      <w:r w:rsidR="006D6167">
        <w:rPr>
          <w:rFonts w:asciiTheme="minorHAnsi" w:hAnsiTheme="minorHAnsi"/>
        </w:rPr>
        <w:t xml:space="preserve"> </w:t>
      </w:r>
      <w:r>
        <w:rPr>
          <w:rFonts w:asciiTheme="minorHAnsi" w:hAnsiTheme="minorHAnsi"/>
        </w:rPr>
        <w:t>A</w:t>
      </w:r>
      <w:r w:rsidR="006D6167" w:rsidRPr="0074037B">
        <w:rPr>
          <w:rFonts w:asciiTheme="minorHAnsi" w:hAnsiTheme="minorHAnsi"/>
        </w:rPr>
        <w:t>dolescent girls and young women are</w:t>
      </w:r>
      <w:r>
        <w:rPr>
          <w:rFonts w:asciiTheme="minorHAnsi" w:hAnsiTheme="minorHAnsi"/>
        </w:rPr>
        <w:t xml:space="preserve"> particularly affected, and they are also</w:t>
      </w:r>
      <w:r w:rsidR="006D6167" w:rsidRPr="0074037B">
        <w:rPr>
          <w:rFonts w:asciiTheme="minorHAnsi" w:hAnsiTheme="minorHAnsi"/>
        </w:rPr>
        <w:t xml:space="preserve"> uniquely endangered</w:t>
      </w:r>
      <w:r w:rsidR="006D6167">
        <w:rPr>
          <w:rFonts w:asciiTheme="minorHAnsi" w:hAnsiTheme="minorHAnsi"/>
        </w:rPr>
        <w:t xml:space="preserve"> by HIV</w:t>
      </w:r>
      <w:r>
        <w:rPr>
          <w:rFonts w:asciiTheme="minorHAnsi" w:hAnsiTheme="minorHAnsi"/>
        </w:rPr>
        <w:t>. The</w:t>
      </w:r>
      <w:r w:rsidR="006D6167">
        <w:rPr>
          <w:rFonts w:asciiTheme="minorHAnsi" w:hAnsiTheme="minorHAnsi"/>
        </w:rPr>
        <w:t xml:space="preserve"> global response to their vulnerability has been insufficient, largely because of punitive and stigmatizing approaches including a </w:t>
      </w:r>
      <w:r w:rsidR="003C4B88">
        <w:rPr>
          <w:rFonts w:asciiTheme="minorHAnsi" w:hAnsiTheme="minorHAnsi"/>
        </w:rPr>
        <w:t>pervasive lack</w:t>
      </w:r>
      <w:r w:rsidR="006D6167">
        <w:rPr>
          <w:rFonts w:asciiTheme="minorHAnsi" w:hAnsiTheme="minorHAnsi"/>
        </w:rPr>
        <w:t xml:space="preserve"> of access to </w:t>
      </w:r>
      <w:r w:rsidR="0076721F">
        <w:rPr>
          <w:rFonts w:asciiTheme="minorHAnsi" w:hAnsiTheme="minorHAnsi"/>
        </w:rPr>
        <w:t xml:space="preserve">HIV </w:t>
      </w:r>
      <w:r w:rsidR="006D6167">
        <w:rPr>
          <w:rFonts w:asciiTheme="minorHAnsi" w:hAnsiTheme="minorHAnsi"/>
        </w:rPr>
        <w:t>prevention.</w:t>
      </w:r>
    </w:p>
    <w:p w14:paraId="780810F2" w14:textId="77777777" w:rsidR="00135F29" w:rsidRDefault="00135F29" w:rsidP="009B6C8E">
      <w:pPr>
        <w:pStyle w:val="BodyText"/>
        <w:jc w:val="both"/>
        <w:rPr>
          <w:rFonts w:asciiTheme="minorHAnsi" w:hAnsiTheme="minorHAnsi"/>
        </w:rPr>
      </w:pPr>
    </w:p>
    <w:p w14:paraId="687F1696" w14:textId="05B09FE0" w:rsidR="00230427" w:rsidRPr="0074037B" w:rsidRDefault="007977E9" w:rsidP="009B6C8E">
      <w:pPr>
        <w:pStyle w:val="BodyText"/>
        <w:jc w:val="both"/>
        <w:rPr>
          <w:rFonts w:asciiTheme="minorHAnsi" w:hAnsiTheme="minorHAnsi"/>
        </w:rPr>
      </w:pPr>
      <w:r w:rsidRPr="0074037B">
        <w:rPr>
          <w:rFonts w:asciiTheme="minorHAnsi" w:hAnsiTheme="minorHAnsi"/>
        </w:rPr>
        <w:t>The Commission</w:t>
      </w:r>
      <w:r w:rsidR="00C32CE6" w:rsidRPr="0074037B">
        <w:rPr>
          <w:rFonts w:asciiTheme="minorHAnsi" w:hAnsiTheme="minorHAnsi"/>
        </w:rPr>
        <w:t xml:space="preserve"> </w:t>
      </w:r>
      <w:r w:rsidRPr="0074037B">
        <w:rPr>
          <w:rFonts w:asciiTheme="minorHAnsi" w:hAnsiTheme="minorHAnsi"/>
        </w:rPr>
        <w:t>recommends that governments provide migrants, including asylum seekers or refugee applicants, access to the full range of health services including for HIV, TB and viral hepatitis regardless of immigration status. Governments must provide this standard of care in detention and confinement settings.</w:t>
      </w:r>
      <w:r w:rsidR="00046E86">
        <w:rPr>
          <w:rFonts w:asciiTheme="minorHAnsi" w:hAnsiTheme="minorHAnsi"/>
        </w:rPr>
        <w:t xml:space="preserve"> The Commission also recommends that</w:t>
      </w:r>
      <w:r w:rsidR="00E27E58" w:rsidRPr="00E27E58">
        <w:t xml:space="preserve"> </w:t>
      </w:r>
      <w:r w:rsidR="00E27E58" w:rsidRPr="00E27E58">
        <w:rPr>
          <w:rFonts w:asciiTheme="minorHAnsi" w:hAnsiTheme="minorHAnsi"/>
        </w:rPr>
        <w:t>enforcement of laws against</w:t>
      </w:r>
      <w:r w:rsidR="00E27E58">
        <w:rPr>
          <w:rFonts w:asciiTheme="minorHAnsi" w:hAnsiTheme="minorHAnsi"/>
        </w:rPr>
        <w:t xml:space="preserve"> </w:t>
      </w:r>
      <w:r w:rsidR="00E27E58" w:rsidRPr="00E27E58">
        <w:rPr>
          <w:rFonts w:asciiTheme="minorHAnsi" w:hAnsiTheme="minorHAnsi"/>
        </w:rPr>
        <w:t>human trafficking is carefully targeted to</w:t>
      </w:r>
      <w:r w:rsidR="00E27E58">
        <w:rPr>
          <w:rFonts w:asciiTheme="minorHAnsi" w:hAnsiTheme="minorHAnsi"/>
        </w:rPr>
        <w:t xml:space="preserve"> </w:t>
      </w:r>
      <w:r w:rsidR="00E27E58" w:rsidRPr="00E27E58">
        <w:rPr>
          <w:rFonts w:asciiTheme="minorHAnsi" w:hAnsiTheme="minorHAnsi"/>
        </w:rPr>
        <w:t>punish those who use force, dishonesty or</w:t>
      </w:r>
      <w:r w:rsidR="00E27E58">
        <w:rPr>
          <w:rFonts w:asciiTheme="minorHAnsi" w:hAnsiTheme="minorHAnsi"/>
        </w:rPr>
        <w:t xml:space="preserve"> </w:t>
      </w:r>
      <w:r w:rsidR="00E27E58" w:rsidRPr="00E27E58">
        <w:rPr>
          <w:rFonts w:asciiTheme="minorHAnsi" w:hAnsiTheme="minorHAnsi"/>
        </w:rPr>
        <w:t>coercion to procure people into sex, or who abuse migrant sex workers</w:t>
      </w:r>
      <w:r w:rsidR="00E27E58">
        <w:rPr>
          <w:rFonts w:asciiTheme="minorHAnsi" w:hAnsiTheme="minorHAnsi"/>
        </w:rPr>
        <w:t xml:space="preserve"> </w:t>
      </w:r>
      <w:r w:rsidR="00E27E58" w:rsidRPr="00E27E58">
        <w:rPr>
          <w:rFonts w:asciiTheme="minorHAnsi" w:hAnsiTheme="minorHAnsi"/>
        </w:rPr>
        <w:t>through debt bondage, violence or</w:t>
      </w:r>
      <w:r w:rsidR="00E27E58">
        <w:rPr>
          <w:rFonts w:asciiTheme="minorHAnsi" w:hAnsiTheme="minorHAnsi"/>
        </w:rPr>
        <w:t xml:space="preserve"> </w:t>
      </w:r>
      <w:r w:rsidR="00E27E58" w:rsidRPr="00E27E58">
        <w:rPr>
          <w:rFonts w:asciiTheme="minorHAnsi" w:hAnsiTheme="minorHAnsi"/>
        </w:rPr>
        <w:t>deprivation of liberty. Laws against human</w:t>
      </w:r>
      <w:r w:rsidR="00E27E58">
        <w:rPr>
          <w:rFonts w:asciiTheme="minorHAnsi" w:hAnsiTheme="minorHAnsi"/>
        </w:rPr>
        <w:t xml:space="preserve"> </w:t>
      </w:r>
      <w:r w:rsidR="00E27E58" w:rsidRPr="00E27E58">
        <w:rPr>
          <w:rFonts w:asciiTheme="minorHAnsi" w:hAnsiTheme="minorHAnsi"/>
        </w:rPr>
        <w:t>trafficking must be used to prohibit sexual</w:t>
      </w:r>
      <w:r w:rsidR="00E27E58">
        <w:rPr>
          <w:rFonts w:asciiTheme="minorHAnsi" w:hAnsiTheme="minorHAnsi"/>
        </w:rPr>
        <w:t xml:space="preserve"> </w:t>
      </w:r>
      <w:r w:rsidR="00E27E58" w:rsidRPr="00E27E58">
        <w:rPr>
          <w:rFonts w:asciiTheme="minorHAnsi" w:hAnsiTheme="minorHAnsi"/>
        </w:rPr>
        <w:t>exploitation, but they must not be used</w:t>
      </w:r>
      <w:r w:rsidR="00E27E58">
        <w:rPr>
          <w:rFonts w:asciiTheme="minorHAnsi" w:hAnsiTheme="minorHAnsi"/>
        </w:rPr>
        <w:t xml:space="preserve"> </w:t>
      </w:r>
      <w:r w:rsidR="00E27E58" w:rsidRPr="00E27E58">
        <w:rPr>
          <w:rFonts w:asciiTheme="minorHAnsi" w:hAnsiTheme="minorHAnsi"/>
        </w:rPr>
        <w:t>against adults involved in consensual sex</w:t>
      </w:r>
      <w:r w:rsidR="00E27E58">
        <w:rPr>
          <w:rFonts w:asciiTheme="minorHAnsi" w:hAnsiTheme="minorHAnsi"/>
        </w:rPr>
        <w:t xml:space="preserve"> </w:t>
      </w:r>
      <w:r w:rsidR="00E27E58" w:rsidRPr="00E27E58">
        <w:rPr>
          <w:rFonts w:asciiTheme="minorHAnsi" w:hAnsiTheme="minorHAnsi"/>
        </w:rPr>
        <w:t>work.</w:t>
      </w:r>
      <w:r w:rsidR="00CA0972">
        <w:rPr>
          <w:rStyle w:val="FootnoteReference"/>
          <w:rFonts w:asciiTheme="minorHAnsi" w:hAnsiTheme="minorHAnsi"/>
        </w:rPr>
        <w:footnoteReference w:id="14"/>
      </w:r>
      <w:r w:rsidR="004F7225">
        <w:rPr>
          <w:rFonts w:asciiTheme="minorHAnsi" w:hAnsiTheme="minorHAnsi"/>
        </w:rPr>
        <w:t xml:space="preserve"> </w:t>
      </w:r>
      <w:r w:rsidR="004F7225" w:rsidRPr="00D12532">
        <w:rPr>
          <w:rFonts w:asciiTheme="minorHAnsi" w:hAnsiTheme="minorHAnsi"/>
        </w:rPr>
        <w:t>Avoiding the misguided application of punitive norms, even if well-intended, and the promotion of e</w:t>
      </w:r>
      <w:r w:rsidR="00230427" w:rsidRPr="00D12532">
        <w:rPr>
          <w:rFonts w:asciiTheme="minorHAnsi" w:hAnsiTheme="minorHAnsi"/>
        </w:rPr>
        <w:t xml:space="preserve">nabling legislation, policies and practices are </w:t>
      </w:r>
      <w:r w:rsidR="004F7225" w:rsidRPr="00D12532">
        <w:rPr>
          <w:rFonts w:asciiTheme="minorHAnsi" w:hAnsiTheme="minorHAnsi"/>
        </w:rPr>
        <w:t>important</w:t>
      </w:r>
      <w:r w:rsidR="00230427" w:rsidRPr="00D12532">
        <w:rPr>
          <w:rFonts w:asciiTheme="minorHAnsi" w:hAnsiTheme="minorHAnsi"/>
        </w:rPr>
        <w:t xml:space="preserve"> preconditions for effective and efficient access to</w:t>
      </w:r>
      <w:r w:rsidR="004F7225" w:rsidRPr="00D12532">
        <w:rPr>
          <w:rFonts w:asciiTheme="minorHAnsi" w:hAnsiTheme="minorHAnsi"/>
        </w:rPr>
        <w:t xml:space="preserve"> services for</w:t>
      </w:r>
      <w:r w:rsidR="00230427" w:rsidRPr="00D12532">
        <w:rPr>
          <w:rFonts w:asciiTheme="minorHAnsi" w:hAnsiTheme="minorHAnsi"/>
        </w:rPr>
        <w:t xml:space="preserve"> key HIV populations</w:t>
      </w:r>
      <w:r w:rsidR="004F7225" w:rsidRPr="00D12532">
        <w:rPr>
          <w:rFonts w:asciiTheme="minorHAnsi" w:hAnsiTheme="minorHAnsi"/>
        </w:rPr>
        <w:t>,</w:t>
      </w:r>
      <w:r w:rsidR="00230427" w:rsidRPr="00D12532">
        <w:rPr>
          <w:rFonts w:asciiTheme="minorHAnsi" w:hAnsiTheme="minorHAnsi"/>
        </w:rPr>
        <w:t xml:space="preserve"> </w:t>
      </w:r>
      <w:r w:rsidR="004F7225" w:rsidRPr="00D12532">
        <w:rPr>
          <w:rFonts w:asciiTheme="minorHAnsi" w:hAnsiTheme="minorHAnsi"/>
        </w:rPr>
        <w:t>such as</w:t>
      </w:r>
      <w:r w:rsidR="00230427" w:rsidRPr="00D12532">
        <w:rPr>
          <w:rFonts w:asciiTheme="minorHAnsi" w:hAnsiTheme="minorHAnsi"/>
        </w:rPr>
        <w:t xml:space="preserve"> sex workers</w:t>
      </w:r>
      <w:r w:rsidR="004F7225" w:rsidRPr="00D12532">
        <w:rPr>
          <w:rFonts w:asciiTheme="minorHAnsi" w:hAnsiTheme="minorHAnsi"/>
        </w:rPr>
        <w:t xml:space="preserve">, as well as to extremely vulnerable populations like migrants. They are instrumental for delivering on </w:t>
      </w:r>
      <w:r w:rsidR="0076721F" w:rsidRPr="00D12532">
        <w:rPr>
          <w:rFonts w:asciiTheme="minorHAnsi" w:hAnsiTheme="minorHAnsi"/>
        </w:rPr>
        <w:t xml:space="preserve">the </w:t>
      </w:r>
      <w:r w:rsidR="004F7225" w:rsidRPr="00D12532">
        <w:rPr>
          <w:rFonts w:asciiTheme="minorHAnsi" w:hAnsiTheme="minorHAnsi"/>
        </w:rPr>
        <w:t xml:space="preserve">Agenda 2030 </w:t>
      </w:r>
      <w:r w:rsidR="0076721F" w:rsidRPr="00D12532">
        <w:rPr>
          <w:rFonts w:asciiTheme="minorHAnsi" w:hAnsiTheme="minorHAnsi"/>
        </w:rPr>
        <w:t xml:space="preserve">with regard </w:t>
      </w:r>
      <w:r w:rsidR="004F7225" w:rsidRPr="00D12532">
        <w:rPr>
          <w:rFonts w:asciiTheme="minorHAnsi" w:hAnsiTheme="minorHAnsi"/>
        </w:rPr>
        <w:t>to end</w:t>
      </w:r>
      <w:r w:rsidR="0076721F" w:rsidRPr="00D12532">
        <w:rPr>
          <w:rFonts w:asciiTheme="minorHAnsi" w:hAnsiTheme="minorHAnsi"/>
        </w:rPr>
        <w:t>ing</w:t>
      </w:r>
      <w:r w:rsidR="004F7225" w:rsidRPr="00D12532">
        <w:rPr>
          <w:rFonts w:asciiTheme="minorHAnsi" w:hAnsiTheme="minorHAnsi"/>
        </w:rPr>
        <w:t xml:space="preserve"> </w:t>
      </w:r>
      <w:r w:rsidR="008D3422" w:rsidRPr="00D12532">
        <w:rPr>
          <w:rFonts w:asciiTheme="minorHAnsi" w:hAnsiTheme="minorHAnsi"/>
        </w:rPr>
        <w:t>AIDS as public health threat</w:t>
      </w:r>
      <w:r w:rsidR="0076721F" w:rsidRPr="00D12532">
        <w:rPr>
          <w:rFonts w:asciiTheme="minorHAnsi" w:hAnsiTheme="minorHAnsi"/>
        </w:rPr>
        <w:t xml:space="preserve"> and</w:t>
      </w:r>
      <w:r w:rsidR="008D3422" w:rsidRPr="00D12532">
        <w:rPr>
          <w:rFonts w:asciiTheme="minorHAnsi" w:hAnsiTheme="minorHAnsi"/>
        </w:rPr>
        <w:t xml:space="preserve"> leaving no one behind.</w:t>
      </w:r>
    </w:p>
    <w:sectPr w:rsidR="00230427" w:rsidRPr="0074037B">
      <w:footerReference w:type="default" r:id="rId13"/>
      <w:pgSz w:w="12240" w:h="15840"/>
      <w:pgMar w:top="1360" w:right="1320" w:bottom="1200" w:left="134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9768" w14:textId="77777777" w:rsidR="00536519" w:rsidRDefault="00536519">
      <w:r>
        <w:separator/>
      </w:r>
    </w:p>
  </w:endnote>
  <w:endnote w:type="continuationSeparator" w:id="0">
    <w:p w14:paraId="048D5DE2" w14:textId="77777777" w:rsidR="00536519" w:rsidRDefault="0053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4383" w14:textId="77777777" w:rsidR="00E9268B" w:rsidRDefault="00E9243D">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0A8E5FAB" wp14:editId="12F8DCF8">
              <wp:simplePos x="0" y="0"/>
              <wp:positionH relativeFrom="page">
                <wp:posOffset>6764020</wp:posOffset>
              </wp:positionH>
              <wp:positionV relativeFrom="page">
                <wp:posOffset>9274810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F437D" w14:textId="77777777" w:rsidR="00E9268B" w:rsidRDefault="002A223E">
                          <w:pPr>
                            <w:pStyle w:val="BodyText"/>
                            <w:spacing w:line="245" w:lineRule="exact"/>
                            <w:ind w:left="40"/>
                            <w:rPr>
                              <w:rFonts w:ascii="Calibri"/>
                            </w:rPr>
                          </w:pPr>
                          <w:r>
                            <w:fldChar w:fldCharType="begin"/>
                          </w:r>
                          <w:r>
                            <w:rPr>
                              <w:rFonts w:ascii="Calibri"/>
                            </w:rPr>
                            <w:instrText xml:space="preserve"> PAGE </w:instrText>
                          </w:r>
                          <w:r>
                            <w:fldChar w:fldCharType="separate"/>
                          </w:r>
                          <w:r w:rsidR="008B0224">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E5FAB" id="_x0000_t202" coordsize="21600,21600" o:spt="202" path="m,l,21600r21600,l21600,xe">
              <v:stroke joinstyle="miter"/>
              <v:path gradientshapeok="t" o:connecttype="rect"/>
            </v:shapetype>
            <v:shape id="Text Box 1" o:spid="_x0000_s1026" type="#_x0000_t202" style="position:absolute;margin-left:532.6pt;margin-top:730.3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" filled="f" stroked="f">
              <v:textbox inset="0,0,0,0">
                <w:txbxContent>
                  <w:p w14:paraId="63BF437D" w14:textId="77777777" w:rsidR="00E9268B" w:rsidRDefault="002A223E">
                    <w:pPr>
                      <w:pStyle w:val="BodyText"/>
                      <w:spacing w:line="245" w:lineRule="exact"/>
                      <w:ind w:left="40"/>
                      <w:rPr>
                        <w:rFonts w:ascii="Calibri"/>
                      </w:rPr>
                    </w:pPr>
                    <w:r>
                      <w:fldChar w:fldCharType="begin"/>
                    </w:r>
                    <w:r>
                      <w:rPr>
                        <w:rFonts w:ascii="Calibri"/>
                      </w:rPr>
                      <w:instrText xml:space="preserve"> PAGE </w:instrText>
                    </w:r>
                    <w:r>
                      <w:fldChar w:fldCharType="separate"/>
                    </w:r>
                    <w:r w:rsidR="008B0224">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16673" w14:textId="77777777" w:rsidR="00536519" w:rsidRDefault="00536519">
      <w:r>
        <w:separator/>
      </w:r>
    </w:p>
  </w:footnote>
  <w:footnote w:type="continuationSeparator" w:id="0">
    <w:p w14:paraId="6D847B8E" w14:textId="77777777" w:rsidR="00536519" w:rsidRDefault="00536519">
      <w:r>
        <w:continuationSeparator/>
      </w:r>
    </w:p>
  </w:footnote>
  <w:footnote w:id="1">
    <w:p w14:paraId="7041D242" w14:textId="77777777" w:rsidR="00230427" w:rsidRPr="003C4B88" w:rsidRDefault="00230427">
      <w:pPr>
        <w:pStyle w:val="FootnoteText"/>
        <w:rPr>
          <w:rFonts w:asciiTheme="minorHAnsi" w:hAnsiTheme="minorHAnsi"/>
          <w:lang w:val="en-US"/>
        </w:rPr>
      </w:pPr>
      <w:r w:rsidRPr="003C4B88">
        <w:rPr>
          <w:rStyle w:val="FootnoteReference"/>
          <w:rFonts w:asciiTheme="minorHAnsi" w:hAnsiTheme="minorHAnsi"/>
        </w:rPr>
        <w:footnoteRef/>
      </w:r>
      <w:r w:rsidRPr="003C4B88">
        <w:rPr>
          <w:rFonts w:asciiTheme="minorHAnsi" w:hAnsiTheme="minorHAnsi"/>
        </w:rPr>
        <w:t xml:space="preserve"> Political Declaration on HIV and AIDS: On the Fast Track to Accelerating the Fight against HIV and to Ending the AIDS Epidemic by 2030. Resolution adopted by the General Assembly on 8 June 2016. </w:t>
      </w:r>
      <w:hyperlink r:id="rId1" w:history="1">
        <w:r w:rsidRPr="003C4B88">
          <w:rPr>
            <w:rStyle w:val="Hyperlink"/>
            <w:rFonts w:asciiTheme="minorHAnsi" w:hAnsiTheme="minorHAnsi"/>
          </w:rPr>
          <w:t>http://www.unaids.org/sites/default/files/media_asset/2016-political-declaration-HIV-AIDS_en.pdf</w:t>
        </w:r>
      </w:hyperlink>
      <w:r w:rsidRPr="003C4B88">
        <w:rPr>
          <w:rFonts w:asciiTheme="minorHAnsi" w:hAnsiTheme="minorHAnsi"/>
        </w:rPr>
        <w:t xml:space="preserve"> </w:t>
      </w:r>
    </w:p>
  </w:footnote>
  <w:footnote w:id="2">
    <w:p w14:paraId="282C28B6" w14:textId="77777777" w:rsidR="009B6C8E" w:rsidRPr="003C4B88" w:rsidRDefault="009B6C8E" w:rsidP="00CA0972">
      <w:pPr>
        <w:rPr>
          <w:rFonts w:asciiTheme="minorHAnsi" w:hAnsiTheme="minorHAnsi"/>
          <w:sz w:val="20"/>
          <w:szCs w:val="20"/>
        </w:rPr>
      </w:pPr>
      <w:r w:rsidRPr="003C4B88">
        <w:rPr>
          <w:rStyle w:val="FootnoteReference"/>
          <w:rFonts w:asciiTheme="minorHAnsi" w:hAnsiTheme="minorHAnsi"/>
          <w:sz w:val="20"/>
          <w:szCs w:val="20"/>
        </w:rPr>
        <w:footnoteRef/>
      </w:r>
      <w:r w:rsidRPr="003C4B88">
        <w:rPr>
          <w:rFonts w:asciiTheme="minorHAnsi" w:hAnsiTheme="minorHAnsi"/>
          <w:sz w:val="20"/>
          <w:szCs w:val="20"/>
        </w:rPr>
        <w:t xml:space="preserve"> UNAIDS was established pursuant to UN Economic and Social Council Resolution 1994/24 with a mandate to coordinate the global response to HIV, including through the creation of enabling legal and policy environments at national level. See UN Economic and Social Council Resolution 1992/24, available at </w:t>
      </w:r>
      <w:hyperlink r:id="rId2">
        <w:r w:rsidRPr="003C4B88">
          <w:rPr>
            <w:rFonts w:asciiTheme="minorHAnsi" w:hAnsiTheme="minorHAnsi"/>
            <w:color w:val="0562C1"/>
            <w:sz w:val="20"/>
            <w:szCs w:val="20"/>
            <w:u w:val="single" w:color="0562C1"/>
          </w:rPr>
          <w:t>http://data.unaids.org/pub/externaldocument/1994/ecosoc_resolutions_establishing_unaids_en.pdf</w:t>
        </w:r>
        <w:r w:rsidRPr="003C4B88">
          <w:rPr>
            <w:rFonts w:asciiTheme="minorHAnsi" w:hAnsiTheme="minorHAnsi"/>
            <w:color w:val="0562C1"/>
            <w:sz w:val="20"/>
            <w:szCs w:val="20"/>
          </w:rPr>
          <w:t xml:space="preserve"> </w:t>
        </w:r>
      </w:hyperlink>
      <w:r w:rsidRPr="003C4B88">
        <w:rPr>
          <w:rFonts w:asciiTheme="minorHAnsi" w:hAnsiTheme="minorHAnsi"/>
          <w:sz w:val="20"/>
          <w:szCs w:val="20"/>
        </w:rPr>
        <w:t>.</w:t>
      </w:r>
    </w:p>
  </w:footnote>
  <w:footnote w:id="3">
    <w:p w14:paraId="412295F9" w14:textId="77777777" w:rsidR="009B6C8E" w:rsidRPr="003C4B88" w:rsidRDefault="009B6C8E" w:rsidP="00CA0972">
      <w:pPr>
        <w:pStyle w:val="BodyText"/>
        <w:rPr>
          <w:rFonts w:asciiTheme="minorHAnsi" w:hAnsiTheme="minorHAnsi"/>
          <w:sz w:val="20"/>
          <w:szCs w:val="20"/>
        </w:rPr>
      </w:pPr>
      <w:r w:rsidRPr="003C4B88">
        <w:rPr>
          <w:rStyle w:val="FootnoteReference"/>
          <w:rFonts w:asciiTheme="minorHAnsi" w:hAnsiTheme="minorHAnsi"/>
          <w:sz w:val="20"/>
          <w:szCs w:val="20"/>
        </w:rPr>
        <w:footnoteRef/>
      </w:r>
      <w:r w:rsidRPr="003C4B88">
        <w:rPr>
          <w:rFonts w:asciiTheme="minorHAnsi" w:hAnsiTheme="minorHAnsi"/>
          <w:sz w:val="20"/>
          <w:szCs w:val="20"/>
        </w:rPr>
        <w:t xml:space="preserve"> See UNAIDS, </w:t>
      </w:r>
      <w:r w:rsidRPr="003C4B88">
        <w:rPr>
          <w:rFonts w:asciiTheme="minorHAnsi" w:hAnsiTheme="minorHAnsi"/>
          <w:i/>
          <w:sz w:val="20"/>
          <w:szCs w:val="20"/>
        </w:rPr>
        <w:t>Guidance note on HIV and sex work</w:t>
      </w:r>
      <w:r w:rsidRPr="003C4B88">
        <w:rPr>
          <w:rFonts w:asciiTheme="minorHAnsi" w:hAnsiTheme="minorHAnsi"/>
          <w:sz w:val="20"/>
          <w:szCs w:val="20"/>
        </w:rPr>
        <w:t>. Geneva, 2009, updated 2012, available at</w:t>
      </w:r>
    </w:p>
    <w:p w14:paraId="66E052B6" w14:textId="77777777" w:rsidR="009B6C8E" w:rsidRPr="003C4B88" w:rsidRDefault="008B0224" w:rsidP="00CA0972">
      <w:pPr>
        <w:pStyle w:val="FootnoteText"/>
        <w:rPr>
          <w:rFonts w:asciiTheme="minorHAnsi" w:hAnsiTheme="minorHAnsi"/>
          <w:lang w:val="en-US"/>
        </w:rPr>
      </w:pPr>
      <w:hyperlink r:id="rId3">
        <w:r w:rsidR="009B6C8E" w:rsidRPr="003C4B88">
          <w:rPr>
            <w:rFonts w:asciiTheme="minorHAnsi" w:hAnsiTheme="minorHAnsi"/>
            <w:color w:val="0562C1"/>
            <w:spacing w:val="-1"/>
            <w:u w:val="single" w:color="0562C1"/>
          </w:rPr>
          <w:t>www.unaids.org/en/media/unaids/contentassets/documents/unaidspublication/2009/JC2306_UNAIDS-guidance-note-</w:t>
        </w:r>
      </w:hyperlink>
      <w:r w:rsidR="009B6C8E" w:rsidRPr="003C4B88">
        <w:rPr>
          <w:rFonts w:asciiTheme="minorHAnsi" w:hAnsiTheme="minorHAnsi"/>
          <w:color w:val="0562C1"/>
          <w:spacing w:val="-1"/>
        </w:rPr>
        <w:t xml:space="preserve"> </w:t>
      </w:r>
      <w:hyperlink r:id="rId4">
        <w:r w:rsidR="009B6C8E" w:rsidRPr="003C4B88">
          <w:rPr>
            <w:rFonts w:asciiTheme="minorHAnsi" w:hAnsiTheme="minorHAnsi"/>
            <w:color w:val="0562C1"/>
            <w:u w:val="single" w:color="0562C1"/>
          </w:rPr>
          <w:t>HIV-sex-work_en.pdf</w:t>
        </w:r>
        <w:r w:rsidR="009B6C8E" w:rsidRPr="003C4B88">
          <w:rPr>
            <w:rFonts w:asciiTheme="minorHAnsi" w:hAnsiTheme="minorHAnsi"/>
            <w:color w:val="0562C1"/>
          </w:rPr>
          <w:t xml:space="preserve"> </w:t>
        </w:r>
      </w:hyperlink>
      <w:r w:rsidR="009B6C8E" w:rsidRPr="003C4B88">
        <w:rPr>
          <w:rFonts w:asciiTheme="minorHAnsi" w:hAnsiTheme="minorHAnsi"/>
        </w:rPr>
        <w:t xml:space="preserve">; WHO, UNFPA, UNAIDS &amp; NSWP, </w:t>
      </w:r>
      <w:r w:rsidR="009B6C8E" w:rsidRPr="003C4B88">
        <w:rPr>
          <w:rFonts w:asciiTheme="minorHAnsi" w:hAnsiTheme="minorHAnsi"/>
          <w:i/>
        </w:rPr>
        <w:t>Prevention and treatment of HIV and other sexually transmitted infections for sex workers in low- and middle-income countries:</w:t>
      </w:r>
    </w:p>
  </w:footnote>
  <w:footnote w:id="4">
    <w:p w14:paraId="46D2077A" w14:textId="77777777" w:rsidR="009B6C8E" w:rsidRPr="003C4B88" w:rsidRDefault="009B6C8E" w:rsidP="00CA0972">
      <w:pPr>
        <w:rPr>
          <w:rFonts w:asciiTheme="minorHAnsi" w:hAnsiTheme="minorHAnsi"/>
          <w:sz w:val="20"/>
          <w:szCs w:val="20"/>
        </w:rPr>
      </w:pPr>
      <w:r w:rsidRPr="003C4B88">
        <w:rPr>
          <w:rStyle w:val="FootnoteReference"/>
          <w:rFonts w:asciiTheme="minorHAnsi" w:hAnsiTheme="minorHAnsi"/>
          <w:sz w:val="20"/>
          <w:szCs w:val="20"/>
        </w:rPr>
        <w:footnoteRef/>
      </w:r>
      <w:r w:rsidRPr="003C4B88">
        <w:rPr>
          <w:rFonts w:asciiTheme="minorHAnsi" w:hAnsiTheme="minorHAnsi"/>
          <w:sz w:val="20"/>
          <w:szCs w:val="20"/>
        </w:rPr>
        <w:t xml:space="preserve"> The Global Commission on HIV and the Law was composed of world leaders and advocates in the areas of HIV,</w:t>
      </w:r>
    </w:p>
    <w:p w14:paraId="0275BABA" w14:textId="77777777" w:rsidR="009B6C8E" w:rsidRPr="003C4B88" w:rsidRDefault="009B6C8E" w:rsidP="0050518C">
      <w:pPr>
        <w:rPr>
          <w:rFonts w:asciiTheme="minorHAnsi" w:hAnsiTheme="minorHAnsi"/>
          <w:sz w:val="20"/>
          <w:szCs w:val="20"/>
        </w:rPr>
      </w:pPr>
      <w:r w:rsidRPr="003C4B88">
        <w:rPr>
          <w:rFonts w:asciiTheme="minorHAnsi" w:hAnsiTheme="minorHAnsi"/>
          <w:sz w:val="20"/>
          <w:szCs w:val="20"/>
        </w:rPr>
        <w:t>public health, law and development. It issued its final report in July 2012</w:t>
      </w:r>
      <w:r w:rsidR="0074037B" w:rsidRPr="003C4B88">
        <w:rPr>
          <w:rFonts w:asciiTheme="minorHAnsi" w:hAnsiTheme="minorHAnsi"/>
          <w:sz w:val="20"/>
          <w:szCs w:val="20"/>
        </w:rPr>
        <w:t xml:space="preserve"> and supplemented it in 2018 with additional recommendations</w:t>
      </w:r>
      <w:r w:rsidRPr="003C4B88">
        <w:rPr>
          <w:rFonts w:asciiTheme="minorHAnsi" w:hAnsiTheme="minorHAnsi"/>
          <w:sz w:val="20"/>
          <w:szCs w:val="20"/>
        </w:rPr>
        <w:t xml:space="preserve">. The report is the result of 18 months of extensive research, consultation, analysis and deliberation. It is based on evidence derived from the testimony of more than 700 people most affected by HIV-related legal environments from 140 countries, expert submissions and the large body of scholarship on HIV, health and the law. The Commission’s report and full documentation of the consultative process are available at </w:t>
      </w:r>
      <w:hyperlink r:id="rId5" w:history="1">
        <w:r w:rsidR="001D5673" w:rsidRPr="003C4B88">
          <w:rPr>
            <w:rStyle w:val="Hyperlink"/>
            <w:rFonts w:asciiTheme="minorHAnsi" w:hAnsiTheme="minorHAnsi"/>
            <w:sz w:val="20"/>
            <w:szCs w:val="20"/>
          </w:rPr>
          <w:t xml:space="preserve">www.hivlawcommission.org/report </w:t>
        </w:r>
      </w:hyperlink>
      <w:r w:rsidR="00CA0972" w:rsidRPr="003C4B88">
        <w:rPr>
          <w:rFonts w:asciiTheme="minorHAnsi" w:hAnsiTheme="minorHAnsi"/>
          <w:color w:val="0562C1"/>
          <w:sz w:val="20"/>
          <w:szCs w:val="20"/>
          <w:u w:val="single" w:color="0562C1"/>
        </w:rPr>
        <w:t>.</w:t>
      </w:r>
    </w:p>
  </w:footnote>
  <w:footnote w:id="5">
    <w:p w14:paraId="79891828" w14:textId="77777777" w:rsidR="00046E86" w:rsidRPr="003C4B88" w:rsidRDefault="00046E86" w:rsidP="00CA0972">
      <w:pPr>
        <w:pStyle w:val="FootnoteText"/>
        <w:rPr>
          <w:rFonts w:asciiTheme="minorHAnsi" w:hAnsiTheme="minorHAnsi"/>
          <w:lang w:val="en-US"/>
        </w:rPr>
      </w:pPr>
      <w:r w:rsidRPr="003C4B88">
        <w:rPr>
          <w:rStyle w:val="FootnoteReference"/>
          <w:rFonts w:asciiTheme="minorHAnsi" w:hAnsiTheme="minorHAnsi"/>
        </w:rPr>
        <w:footnoteRef/>
      </w:r>
      <w:r w:rsidRPr="003C4B88">
        <w:rPr>
          <w:rFonts w:asciiTheme="minorHAnsi" w:hAnsiTheme="minorHAnsi"/>
        </w:rPr>
        <w:t xml:space="preserve"> See UNAIDS (note 2 above) p 3</w:t>
      </w:r>
    </w:p>
  </w:footnote>
  <w:footnote w:id="6">
    <w:p w14:paraId="1B70A548" w14:textId="77777777" w:rsidR="00046E86" w:rsidRPr="003C4B88" w:rsidRDefault="00046E86" w:rsidP="00CA0972">
      <w:pPr>
        <w:pStyle w:val="BodyText"/>
        <w:rPr>
          <w:rFonts w:asciiTheme="minorHAnsi" w:hAnsiTheme="minorHAnsi"/>
          <w:sz w:val="20"/>
          <w:szCs w:val="20"/>
        </w:rPr>
      </w:pPr>
      <w:r w:rsidRPr="003C4B88">
        <w:rPr>
          <w:rStyle w:val="FootnoteReference"/>
          <w:rFonts w:asciiTheme="minorHAnsi" w:hAnsiTheme="minorHAnsi"/>
          <w:sz w:val="20"/>
          <w:szCs w:val="20"/>
        </w:rPr>
        <w:footnoteRef/>
      </w:r>
      <w:r w:rsidRPr="003C4B88">
        <w:rPr>
          <w:rFonts w:asciiTheme="minorHAnsi" w:hAnsiTheme="minorHAnsi"/>
          <w:sz w:val="20"/>
          <w:szCs w:val="20"/>
        </w:rPr>
        <w:t xml:space="preserve"> The 2015 UNAIDS terminology guidelines and the recommendations of the Global Commission on HIV and the Law advise against the use of the terms “prostitution” and “prostitute”, as they denote value judgement.</w:t>
      </w:r>
    </w:p>
  </w:footnote>
  <w:footnote w:id="7">
    <w:p w14:paraId="4B81712E" w14:textId="77777777" w:rsidR="001D5673" w:rsidRPr="003C4B88" w:rsidRDefault="001D5673" w:rsidP="00CA0972">
      <w:pPr>
        <w:pStyle w:val="FootnoteText"/>
        <w:rPr>
          <w:rFonts w:asciiTheme="minorHAnsi" w:hAnsiTheme="minorHAnsi"/>
          <w:lang w:val="en-US"/>
        </w:rPr>
      </w:pPr>
      <w:r w:rsidRPr="003C4B88">
        <w:rPr>
          <w:rStyle w:val="FootnoteReference"/>
          <w:rFonts w:asciiTheme="minorHAnsi" w:hAnsiTheme="minorHAnsi"/>
        </w:rPr>
        <w:footnoteRef/>
      </w:r>
      <w:r w:rsidRPr="003C4B88">
        <w:rPr>
          <w:rFonts w:asciiTheme="minorHAnsi" w:hAnsiTheme="minorHAnsi"/>
        </w:rPr>
        <w:t xml:space="preserve"> </w:t>
      </w:r>
      <w:r w:rsidR="00CA0972" w:rsidRPr="003C4B88">
        <w:rPr>
          <w:rFonts w:asciiTheme="minorHAnsi" w:hAnsiTheme="minorHAnsi"/>
        </w:rPr>
        <w:t xml:space="preserve">See: </w:t>
      </w:r>
      <w:r w:rsidRPr="003C4B88">
        <w:rPr>
          <w:rFonts w:asciiTheme="minorHAnsi" w:hAnsiTheme="minorHAnsi"/>
          <w:lang w:val="en-US"/>
        </w:rPr>
        <w:t>Global Commission on HIV and the Law, Final Report.</w:t>
      </w:r>
      <w:r w:rsidR="001A3EE4" w:rsidRPr="003C4B88">
        <w:rPr>
          <w:rFonts w:asciiTheme="minorHAnsi" w:hAnsiTheme="minorHAnsi"/>
          <w:lang w:val="en-US"/>
        </w:rPr>
        <w:t xml:space="preserve"> </w:t>
      </w:r>
    </w:p>
  </w:footnote>
  <w:footnote w:id="8">
    <w:p w14:paraId="3FDFCA20" w14:textId="77777777" w:rsidR="000D03A8" w:rsidRPr="003C4B88" w:rsidRDefault="000D03A8" w:rsidP="00CA0972">
      <w:pPr>
        <w:pStyle w:val="FootnoteText"/>
        <w:rPr>
          <w:rFonts w:asciiTheme="minorHAnsi" w:hAnsiTheme="minorHAnsi" w:cstheme="minorHAnsi"/>
          <w:lang w:val="en-US"/>
        </w:rPr>
      </w:pPr>
      <w:r w:rsidRPr="003C4B88">
        <w:rPr>
          <w:rStyle w:val="FootnoteReference"/>
          <w:rFonts w:asciiTheme="minorHAnsi" w:hAnsiTheme="minorHAnsi"/>
        </w:rPr>
        <w:footnoteRef/>
      </w:r>
      <w:r w:rsidRPr="003C4B88">
        <w:rPr>
          <w:rFonts w:asciiTheme="minorHAnsi" w:hAnsiTheme="minorHAnsi"/>
        </w:rPr>
        <w:t xml:space="preserve"> </w:t>
      </w:r>
      <w:r w:rsidRPr="003C4B88">
        <w:rPr>
          <w:rFonts w:asciiTheme="minorHAnsi" w:hAnsiTheme="minorHAnsi" w:cstheme="minorHAnsi"/>
        </w:rPr>
        <w:t xml:space="preserve">US Department of State (2010): </w:t>
      </w:r>
      <w:r w:rsidR="00921ED0" w:rsidRPr="003C4B88">
        <w:rPr>
          <w:rFonts w:asciiTheme="minorHAnsi" w:hAnsiTheme="minorHAnsi" w:cstheme="minorHAnsi"/>
        </w:rPr>
        <w:t>“</w:t>
      </w:r>
      <w:r w:rsidRPr="003C4B88">
        <w:rPr>
          <w:rFonts w:asciiTheme="minorHAnsi" w:hAnsiTheme="minorHAnsi" w:cstheme="minorHAnsi"/>
          <w:lang w:val="en-US"/>
        </w:rPr>
        <w:t>Blind sweeps and smart raids</w:t>
      </w:r>
      <w:r w:rsidR="00921ED0" w:rsidRPr="003C4B88">
        <w:rPr>
          <w:rFonts w:asciiTheme="minorHAnsi" w:hAnsiTheme="minorHAnsi" w:cstheme="minorHAnsi"/>
          <w:lang w:val="en-US"/>
        </w:rPr>
        <w:t>”</w:t>
      </w:r>
      <w:r w:rsidRPr="003C4B88">
        <w:rPr>
          <w:rFonts w:asciiTheme="minorHAnsi" w:hAnsiTheme="minorHAnsi" w:cstheme="minorHAnsi"/>
          <w:lang w:val="en-US"/>
        </w:rPr>
        <w:t xml:space="preserve"> in</w:t>
      </w:r>
      <w:r w:rsidR="00921ED0" w:rsidRPr="003C4B88">
        <w:rPr>
          <w:rFonts w:asciiTheme="minorHAnsi" w:hAnsiTheme="minorHAnsi" w:cstheme="minorHAnsi"/>
          <w:lang w:val="en-US"/>
        </w:rPr>
        <w:t>:</w:t>
      </w:r>
      <w:r w:rsidRPr="003C4B88">
        <w:rPr>
          <w:rFonts w:asciiTheme="minorHAnsi" w:hAnsiTheme="minorHAnsi" w:cstheme="minorHAnsi"/>
          <w:lang w:val="en-US"/>
        </w:rPr>
        <w:t xml:space="preserve"> </w:t>
      </w:r>
      <w:r w:rsidR="00921ED0" w:rsidRPr="003C4B88">
        <w:rPr>
          <w:rFonts w:asciiTheme="minorHAnsi" w:hAnsiTheme="minorHAnsi" w:cstheme="minorHAnsi"/>
          <w:lang w:val="en-US"/>
        </w:rPr>
        <w:t xml:space="preserve">The 2010 </w:t>
      </w:r>
      <w:r w:rsidRPr="003C4B88">
        <w:rPr>
          <w:rFonts w:asciiTheme="minorHAnsi" w:hAnsiTheme="minorHAnsi" w:cstheme="minorHAnsi"/>
          <w:lang w:val="en-US"/>
        </w:rPr>
        <w:t xml:space="preserve">Trafficking in persons report (p40). </w:t>
      </w:r>
      <w:hyperlink r:id="rId6" w:history="1">
        <w:r w:rsidRPr="003C4B88">
          <w:rPr>
            <w:rStyle w:val="Hyperlink"/>
            <w:rFonts w:asciiTheme="minorHAnsi" w:hAnsiTheme="minorHAnsi" w:cstheme="minorHAnsi"/>
            <w:lang w:val="en-US"/>
          </w:rPr>
          <w:t>https://www.state.gov/j/tip/rls/tiprpt/2010/</w:t>
        </w:r>
      </w:hyperlink>
      <w:r w:rsidRPr="003C4B88">
        <w:rPr>
          <w:rFonts w:asciiTheme="minorHAnsi" w:hAnsiTheme="minorHAnsi" w:cstheme="minorHAnsi"/>
          <w:lang w:val="en-US"/>
        </w:rPr>
        <w:t xml:space="preserve"> </w:t>
      </w:r>
    </w:p>
  </w:footnote>
  <w:footnote w:id="9">
    <w:p w14:paraId="64106FAB" w14:textId="7CEA5BF6" w:rsidR="00AB24CC" w:rsidRPr="003C4B88" w:rsidRDefault="00AB24CC">
      <w:pPr>
        <w:pStyle w:val="FootnoteText"/>
        <w:rPr>
          <w:rFonts w:asciiTheme="minorHAnsi" w:hAnsiTheme="minorHAnsi"/>
          <w:lang w:val="en-US"/>
        </w:rPr>
      </w:pPr>
      <w:r w:rsidRPr="003C4B88">
        <w:rPr>
          <w:rStyle w:val="FootnoteReference"/>
          <w:rFonts w:asciiTheme="minorHAnsi" w:hAnsiTheme="minorHAnsi"/>
        </w:rPr>
        <w:footnoteRef/>
      </w:r>
      <w:r w:rsidRPr="003C4B88">
        <w:rPr>
          <w:rFonts w:asciiTheme="minorHAnsi" w:hAnsiTheme="minorHAnsi"/>
        </w:rPr>
        <w:t xml:space="preserve"> </w:t>
      </w:r>
      <w:r w:rsidRPr="003C4B88">
        <w:rPr>
          <w:rFonts w:asciiTheme="minorHAnsi" w:hAnsiTheme="minorHAnsi"/>
          <w:lang w:val="en-US"/>
        </w:rPr>
        <w:t xml:space="preserve">UNAIDS, Miles to go—closing gaps, breaking barriers, righting injustices (2018) </w:t>
      </w:r>
      <w:hyperlink r:id="rId7" w:history="1">
        <w:r w:rsidRPr="003C4B88">
          <w:rPr>
            <w:rStyle w:val="Hyperlink"/>
            <w:rFonts w:asciiTheme="minorHAnsi" w:hAnsiTheme="minorHAnsi"/>
            <w:lang w:val="en-US"/>
          </w:rPr>
          <w:t>http://www.unaids.org/sites/default/files/media_asset/miles-to-go_en.pdf</w:t>
        </w:r>
      </w:hyperlink>
      <w:r w:rsidRPr="003C4B88">
        <w:rPr>
          <w:rFonts w:asciiTheme="minorHAnsi" w:hAnsiTheme="minorHAnsi"/>
          <w:lang w:val="en-US"/>
        </w:rPr>
        <w:t xml:space="preserve">, at 14.  </w:t>
      </w:r>
    </w:p>
  </w:footnote>
  <w:footnote w:id="10">
    <w:p w14:paraId="23E8BDD8" w14:textId="4A6C6848" w:rsidR="00CB0D6B" w:rsidRPr="003C4B88" w:rsidRDefault="00CB0D6B">
      <w:pPr>
        <w:pStyle w:val="FootnoteText"/>
        <w:rPr>
          <w:rFonts w:asciiTheme="minorHAnsi" w:hAnsiTheme="minorHAnsi"/>
          <w:lang w:val="en-US"/>
        </w:rPr>
      </w:pPr>
      <w:r w:rsidRPr="003C4B88">
        <w:rPr>
          <w:rStyle w:val="FootnoteReference"/>
          <w:rFonts w:asciiTheme="minorHAnsi" w:hAnsiTheme="minorHAnsi"/>
        </w:rPr>
        <w:footnoteRef/>
      </w:r>
      <w:r w:rsidRPr="003C4B88">
        <w:rPr>
          <w:rFonts w:asciiTheme="minorHAnsi" w:hAnsiTheme="minorHAnsi"/>
        </w:rPr>
        <w:t xml:space="preserve"> </w:t>
      </w:r>
      <w:r w:rsidRPr="003C4B88">
        <w:rPr>
          <w:rFonts w:asciiTheme="minorHAnsi" w:hAnsiTheme="minorHAnsi"/>
          <w:lang w:val="en-US"/>
        </w:rPr>
        <w:t>Shannon et al.</w:t>
      </w:r>
      <w:r w:rsidRPr="003C4B88">
        <w:rPr>
          <w:rFonts w:asciiTheme="minorHAnsi" w:hAnsiTheme="minorHAnsi"/>
        </w:rPr>
        <w:t xml:space="preserve"> </w:t>
      </w:r>
      <w:r w:rsidRPr="003C4B88">
        <w:rPr>
          <w:rFonts w:asciiTheme="minorHAnsi" w:hAnsiTheme="minorHAnsi"/>
          <w:lang w:val="en-US"/>
        </w:rPr>
        <w:t>The Global Response and unmet actions for HIV and Sex Workers. The Lancet (2018)</w:t>
      </w:r>
      <w:r w:rsidRPr="003C4B88">
        <w:rPr>
          <w:rFonts w:asciiTheme="minorHAnsi" w:hAnsiTheme="minorHAnsi"/>
        </w:rPr>
        <w:t xml:space="preserve"> </w:t>
      </w:r>
      <w:hyperlink r:id="rId8" w:history="1">
        <w:r w:rsidRPr="003C4B88">
          <w:rPr>
            <w:rStyle w:val="Hyperlink"/>
            <w:rFonts w:asciiTheme="minorHAnsi" w:hAnsiTheme="minorHAnsi"/>
            <w:lang w:val="en-US"/>
          </w:rPr>
          <w:t>https://www.thelancet.com/journals/lancet/article/PIIS0140-6736(18)31439-9/fulltext</w:t>
        </w:r>
      </w:hyperlink>
      <w:r w:rsidRPr="003C4B88">
        <w:rPr>
          <w:rFonts w:asciiTheme="minorHAnsi" w:hAnsiTheme="minorHAnsi"/>
          <w:lang w:val="en-US"/>
        </w:rPr>
        <w:t xml:space="preserve"> . See also: Shannon et al. Global Epidemiology of HIV Among Female Sex Workers: Influence of Structural Determinants</w:t>
      </w:r>
      <w:r w:rsidR="00D12532" w:rsidRPr="003C4B88">
        <w:rPr>
          <w:rFonts w:asciiTheme="minorHAnsi" w:hAnsiTheme="minorHAnsi"/>
          <w:lang w:val="en-US"/>
        </w:rPr>
        <w:t xml:space="preserve">. The Lancet (2015) </w:t>
      </w:r>
      <w:hyperlink r:id="rId9" w:history="1">
        <w:r w:rsidR="00D12532" w:rsidRPr="003C4B88">
          <w:rPr>
            <w:rStyle w:val="Hyperlink"/>
            <w:rFonts w:asciiTheme="minorHAnsi" w:hAnsiTheme="minorHAnsi"/>
            <w:lang w:val="en-US"/>
          </w:rPr>
          <w:t>https://www.thelancet.com/journals/lancet/article/PIIS0140-6736(14)60931-4/fulltext</w:t>
        </w:r>
      </w:hyperlink>
      <w:r w:rsidR="00D12532" w:rsidRPr="003C4B88">
        <w:rPr>
          <w:rFonts w:asciiTheme="minorHAnsi" w:hAnsiTheme="minorHAnsi"/>
          <w:lang w:val="en-US"/>
        </w:rPr>
        <w:t xml:space="preserve"> </w:t>
      </w:r>
    </w:p>
  </w:footnote>
  <w:footnote w:id="11">
    <w:p w14:paraId="25CB9BA9" w14:textId="77777777" w:rsidR="00EB5C65" w:rsidRPr="003C4B88" w:rsidRDefault="00EB5C65" w:rsidP="00CA0972">
      <w:pPr>
        <w:pStyle w:val="FootnoteText"/>
        <w:rPr>
          <w:rFonts w:asciiTheme="minorHAnsi" w:hAnsiTheme="minorHAnsi" w:cstheme="minorHAnsi"/>
        </w:rPr>
      </w:pPr>
      <w:r w:rsidRPr="003C4B88">
        <w:rPr>
          <w:rStyle w:val="FootnoteReference"/>
          <w:rFonts w:asciiTheme="minorHAnsi" w:hAnsiTheme="minorHAnsi" w:cstheme="minorHAnsi"/>
        </w:rPr>
        <w:footnoteRef/>
      </w:r>
      <w:r w:rsidRPr="003C4B88">
        <w:rPr>
          <w:rFonts w:asciiTheme="minorHAnsi" w:hAnsiTheme="minorHAnsi" w:cstheme="minorHAnsi"/>
        </w:rPr>
        <w:t xml:space="preserve"> </w:t>
      </w:r>
      <w:r w:rsidR="00CA0972" w:rsidRPr="003C4B88">
        <w:rPr>
          <w:rFonts w:asciiTheme="minorHAnsi" w:hAnsiTheme="minorHAnsi" w:cstheme="minorHAnsi"/>
        </w:rPr>
        <w:t xml:space="preserve">Durbar Mahila Samanwaya Committee, Anti-trafficking: Durbar is building a Chinese wall  </w:t>
      </w:r>
      <w:hyperlink r:id="rId10" w:history="1">
        <w:r w:rsidR="00CA0972" w:rsidRPr="003C4B88">
          <w:rPr>
            <w:rStyle w:val="Hyperlink"/>
            <w:rFonts w:asciiTheme="minorHAnsi" w:hAnsiTheme="minorHAnsi" w:cstheme="minorHAnsi"/>
          </w:rPr>
          <w:t>https://durbar.org/html/anti_trafficking.html</w:t>
        </w:r>
      </w:hyperlink>
      <w:r w:rsidR="00921ED0" w:rsidRPr="003C4B88">
        <w:rPr>
          <w:rFonts w:asciiTheme="minorHAnsi" w:hAnsiTheme="minorHAnsi" w:cstheme="minorHAnsi"/>
        </w:rPr>
        <w:t xml:space="preserve"> </w:t>
      </w:r>
      <w:r w:rsidR="00CA0972" w:rsidRPr="003C4B88">
        <w:rPr>
          <w:rFonts w:asciiTheme="minorHAnsi" w:hAnsiTheme="minorHAnsi" w:cstheme="minorHAnsi"/>
        </w:rPr>
        <w:t>.</w:t>
      </w:r>
    </w:p>
  </w:footnote>
  <w:footnote w:id="12">
    <w:p w14:paraId="0F1F6981" w14:textId="77777777" w:rsidR="00921ED0" w:rsidRPr="003C4B88" w:rsidRDefault="00921ED0" w:rsidP="00CA0972">
      <w:pPr>
        <w:pStyle w:val="FootnoteText"/>
        <w:rPr>
          <w:rFonts w:asciiTheme="minorHAnsi" w:hAnsiTheme="minorHAnsi"/>
          <w:lang w:val="en-US"/>
        </w:rPr>
      </w:pPr>
      <w:r w:rsidRPr="003C4B88">
        <w:rPr>
          <w:rStyle w:val="FootnoteReference"/>
          <w:rFonts w:asciiTheme="minorHAnsi" w:hAnsiTheme="minorHAnsi"/>
        </w:rPr>
        <w:footnoteRef/>
      </w:r>
      <w:r w:rsidRPr="003C4B88">
        <w:rPr>
          <w:rFonts w:asciiTheme="minorHAnsi" w:hAnsiTheme="minorHAnsi"/>
        </w:rPr>
        <w:t xml:space="preserve"> </w:t>
      </w:r>
      <w:r w:rsidRPr="003C4B88">
        <w:rPr>
          <w:rFonts w:asciiTheme="minorHAnsi" w:hAnsiTheme="minorHAnsi" w:cstheme="minorHAnsi"/>
        </w:rPr>
        <w:t xml:space="preserve">DMSC, UNFPA (2019) “An innovative model anti-trafficking program with the inclusion of survivors of trafficking” Submission to the 2019 Thematic Report of OHCHR </w:t>
      </w:r>
      <w:r w:rsidRPr="003C4B88">
        <w:rPr>
          <w:rFonts w:asciiTheme="minorHAnsi" w:hAnsiTheme="minorHAnsi" w:cstheme="minorHAnsi"/>
          <w:color w:val="000000"/>
          <w:shd w:val="clear" w:color="auto" w:fill="FFFFFF"/>
        </w:rPr>
        <w:t xml:space="preserve">UN Special Rapporteur on TiP, on </w:t>
      </w:r>
      <w:r w:rsidRPr="003C4B88">
        <w:rPr>
          <w:rFonts w:asciiTheme="minorHAnsi" w:hAnsiTheme="minorHAnsi" w:cstheme="minorHAnsi"/>
          <w:color w:val="202124"/>
        </w:rPr>
        <w:t>innovative and transformative models of social inclusion for victims of trafficking.</w:t>
      </w:r>
    </w:p>
  </w:footnote>
  <w:footnote w:id="13">
    <w:p w14:paraId="431F3BCD" w14:textId="77777777" w:rsidR="00F70F55" w:rsidRPr="003C4B88" w:rsidRDefault="00F70F55" w:rsidP="00CA0972">
      <w:pPr>
        <w:pStyle w:val="FootnoteText"/>
        <w:rPr>
          <w:rFonts w:asciiTheme="minorHAnsi" w:hAnsiTheme="minorHAnsi"/>
        </w:rPr>
      </w:pPr>
      <w:r w:rsidRPr="003C4B88">
        <w:rPr>
          <w:rStyle w:val="FootnoteReference"/>
          <w:rFonts w:asciiTheme="minorHAnsi" w:hAnsiTheme="minorHAnsi"/>
        </w:rPr>
        <w:footnoteRef/>
      </w:r>
      <w:r w:rsidRPr="003C4B88">
        <w:rPr>
          <w:rFonts w:asciiTheme="minorHAnsi" w:hAnsiTheme="minorHAnsi"/>
        </w:rPr>
        <w:t xml:space="preserve"> </w:t>
      </w:r>
      <w:r w:rsidR="006B051F" w:rsidRPr="003C4B88">
        <w:rPr>
          <w:rFonts w:asciiTheme="minorHAnsi" w:hAnsiTheme="minorHAnsi"/>
        </w:rPr>
        <w:t xml:space="preserve"> See: Global Network of Sex Work Projects (NSWP),</w:t>
      </w:r>
      <w:hyperlink r:id="rId11" w:history="1">
        <w:r w:rsidR="006B051F" w:rsidRPr="003C4B88">
          <w:rPr>
            <w:rStyle w:val="Hyperlink"/>
            <w:rFonts w:asciiTheme="minorHAnsi" w:hAnsiTheme="minorHAnsi"/>
          </w:rPr>
          <w:t>https://www.nswp.org/</w:t>
        </w:r>
      </w:hyperlink>
      <w:r w:rsidRPr="003C4B88">
        <w:rPr>
          <w:rFonts w:asciiTheme="minorHAnsi" w:hAnsiTheme="minorHAnsi"/>
        </w:rPr>
        <w:t xml:space="preserve"> </w:t>
      </w:r>
    </w:p>
    <w:p w14:paraId="2045FB52" w14:textId="77777777" w:rsidR="00F70F55" w:rsidRPr="003C4B88" w:rsidRDefault="008B0224" w:rsidP="00CA0972">
      <w:pPr>
        <w:pStyle w:val="FootnoteText"/>
        <w:rPr>
          <w:rFonts w:asciiTheme="minorHAnsi" w:hAnsiTheme="minorHAnsi"/>
          <w:lang w:val="en-US"/>
        </w:rPr>
      </w:pPr>
      <w:hyperlink r:id="rId12" w:history="1">
        <w:r w:rsidR="00F70F55" w:rsidRPr="003C4B88">
          <w:rPr>
            <w:rStyle w:val="Hyperlink"/>
            <w:rFonts w:asciiTheme="minorHAnsi" w:hAnsiTheme="minorHAnsi"/>
            <w:lang w:val="en-US"/>
          </w:rPr>
          <w:t>https://www.nswp.org/resource/sex-work-not-trafficking</w:t>
        </w:r>
      </w:hyperlink>
      <w:r w:rsidR="00F70F55" w:rsidRPr="003C4B88">
        <w:rPr>
          <w:rFonts w:asciiTheme="minorHAnsi" w:hAnsiTheme="minorHAnsi"/>
          <w:lang w:val="en-US"/>
        </w:rPr>
        <w:t xml:space="preserve"> </w:t>
      </w:r>
    </w:p>
    <w:p w14:paraId="37C73615" w14:textId="77777777" w:rsidR="00F70F55" w:rsidRPr="003C4B88" w:rsidRDefault="008B0224" w:rsidP="00CA0972">
      <w:pPr>
        <w:pStyle w:val="FootnoteText"/>
        <w:rPr>
          <w:rFonts w:asciiTheme="minorHAnsi" w:hAnsiTheme="minorHAnsi"/>
          <w:lang w:val="en-US"/>
        </w:rPr>
      </w:pPr>
      <w:hyperlink r:id="rId13" w:history="1">
        <w:r w:rsidR="00F70F55" w:rsidRPr="003C4B88">
          <w:rPr>
            <w:rStyle w:val="Hyperlink"/>
            <w:rFonts w:asciiTheme="minorHAnsi" w:hAnsiTheme="minorHAnsi"/>
            <w:lang w:val="en-US"/>
          </w:rPr>
          <w:t>https://www.nswp.org/resource/policy-brief-the-impact-anti-trafficking-legislation-and-initiatives-sex-workers</w:t>
        </w:r>
      </w:hyperlink>
      <w:r w:rsidR="00F70F55" w:rsidRPr="003C4B88">
        <w:rPr>
          <w:rFonts w:asciiTheme="minorHAnsi" w:hAnsiTheme="minorHAnsi"/>
          <w:lang w:val="en-US"/>
        </w:rPr>
        <w:t xml:space="preserve"> </w:t>
      </w:r>
    </w:p>
  </w:footnote>
  <w:footnote w:id="14">
    <w:p w14:paraId="70728D6E" w14:textId="77777777" w:rsidR="00CA0972" w:rsidRPr="003C4B88" w:rsidRDefault="00CA0972" w:rsidP="00CA0972">
      <w:pPr>
        <w:pStyle w:val="FootnoteText"/>
        <w:rPr>
          <w:rFonts w:asciiTheme="minorHAnsi" w:hAnsiTheme="minorHAnsi"/>
          <w:lang w:val="en-US"/>
        </w:rPr>
      </w:pPr>
      <w:r w:rsidRPr="003C4B88">
        <w:rPr>
          <w:rStyle w:val="FootnoteReference"/>
          <w:rFonts w:asciiTheme="minorHAnsi" w:hAnsiTheme="minorHAnsi"/>
        </w:rPr>
        <w:footnoteRef/>
      </w:r>
      <w:r w:rsidRPr="003C4B88">
        <w:rPr>
          <w:rFonts w:asciiTheme="minorHAnsi" w:hAnsiTheme="minorHAnsi"/>
        </w:rPr>
        <w:t xml:space="preserve"> Global Commission on HIV and the Law, HIV and the Law: Risks, Rights &amp; Health – 2018 Supplement, </w:t>
      </w:r>
      <w:hyperlink r:id="rId14" w:history="1">
        <w:r w:rsidRPr="003C4B88">
          <w:rPr>
            <w:rStyle w:val="Hyperlink"/>
            <w:rFonts w:asciiTheme="minorHAnsi" w:hAnsiTheme="minorHAnsi"/>
          </w:rPr>
          <w:t>https://hivlawcommission.org/supplement/</w:t>
        </w:r>
      </w:hyperlink>
      <w:r w:rsidRPr="003C4B88">
        <w:rPr>
          <w:rFonts w:asciiTheme="minorHAnsi" w:hAnsiTheme="minorHAns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8B"/>
    <w:rsid w:val="00006D10"/>
    <w:rsid w:val="00032090"/>
    <w:rsid w:val="00046E86"/>
    <w:rsid w:val="0009770A"/>
    <w:rsid w:val="000D03A8"/>
    <w:rsid w:val="00135F29"/>
    <w:rsid w:val="00150B43"/>
    <w:rsid w:val="00184534"/>
    <w:rsid w:val="001A3EE4"/>
    <w:rsid w:val="001B14A3"/>
    <w:rsid w:val="001D5673"/>
    <w:rsid w:val="00230427"/>
    <w:rsid w:val="00287095"/>
    <w:rsid w:val="00291DBA"/>
    <w:rsid w:val="002A223E"/>
    <w:rsid w:val="003058AD"/>
    <w:rsid w:val="00310AC2"/>
    <w:rsid w:val="003274B5"/>
    <w:rsid w:val="00333D76"/>
    <w:rsid w:val="00335523"/>
    <w:rsid w:val="00343200"/>
    <w:rsid w:val="00352089"/>
    <w:rsid w:val="003711F1"/>
    <w:rsid w:val="003C285B"/>
    <w:rsid w:val="003C4B88"/>
    <w:rsid w:val="003E6F5F"/>
    <w:rsid w:val="004F7225"/>
    <w:rsid w:val="0050518C"/>
    <w:rsid w:val="005260EE"/>
    <w:rsid w:val="00536519"/>
    <w:rsid w:val="005B2738"/>
    <w:rsid w:val="00633EDD"/>
    <w:rsid w:val="00664DF2"/>
    <w:rsid w:val="006724DD"/>
    <w:rsid w:val="006B051F"/>
    <w:rsid w:val="006C32B8"/>
    <w:rsid w:val="006D4653"/>
    <w:rsid w:val="006D6167"/>
    <w:rsid w:val="00702174"/>
    <w:rsid w:val="00721C36"/>
    <w:rsid w:val="0074037B"/>
    <w:rsid w:val="00741B11"/>
    <w:rsid w:val="0076721F"/>
    <w:rsid w:val="0079111E"/>
    <w:rsid w:val="00796079"/>
    <w:rsid w:val="007977E9"/>
    <w:rsid w:val="007A2EAD"/>
    <w:rsid w:val="007B1D3D"/>
    <w:rsid w:val="007C65E9"/>
    <w:rsid w:val="007F7B7A"/>
    <w:rsid w:val="00807C5A"/>
    <w:rsid w:val="00815DD2"/>
    <w:rsid w:val="00834FBC"/>
    <w:rsid w:val="008B0224"/>
    <w:rsid w:val="008D3422"/>
    <w:rsid w:val="00921ED0"/>
    <w:rsid w:val="00922270"/>
    <w:rsid w:val="009304A7"/>
    <w:rsid w:val="00956F1A"/>
    <w:rsid w:val="009B53C5"/>
    <w:rsid w:val="009B6C8E"/>
    <w:rsid w:val="00A177BB"/>
    <w:rsid w:val="00A60C93"/>
    <w:rsid w:val="00AB24CC"/>
    <w:rsid w:val="00AD1160"/>
    <w:rsid w:val="00B36F38"/>
    <w:rsid w:val="00B54177"/>
    <w:rsid w:val="00BB38EC"/>
    <w:rsid w:val="00BF4D18"/>
    <w:rsid w:val="00C32CE6"/>
    <w:rsid w:val="00C42FCF"/>
    <w:rsid w:val="00C87DC6"/>
    <w:rsid w:val="00CA0972"/>
    <w:rsid w:val="00CA7CD9"/>
    <w:rsid w:val="00CB0D6B"/>
    <w:rsid w:val="00CC0C34"/>
    <w:rsid w:val="00CE783C"/>
    <w:rsid w:val="00D12532"/>
    <w:rsid w:val="00D261BD"/>
    <w:rsid w:val="00D674FB"/>
    <w:rsid w:val="00DA4EAF"/>
    <w:rsid w:val="00DC1EF5"/>
    <w:rsid w:val="00E07023"/>
    <w:rsid w:val="00E27E58"/>
    <w:rsid w:val="00E33225"/>
    <w:rsid w:val="00E56D79"/>
    <w:rsid w:val="00E9243D"/>
    <w:rsid w:val="00E9268B"/>
    <w:rsid w:val="00EA36BF"/>
    <w:rsid w:val="00EB5C65"/>
    <w:rsid w:val="00ED6175"/>
    <w:rsid w:val="00F15896"/>
    <w:rsid w:val="00F70F55"/>
    <w:rsid w:val="00F86C8D"/>
    <w:rsid w:val="00FB42C1"/>
    <w:rsid w:val="00FE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A7229"/>
  <w15:docId w15:val="{33499715-2AD8-4C6C-9030-1578A9D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rPr>
  </w:style>
  <w:style w:type="paragraph" w:styleId="Heading2">
    <w:name w:val="heading 2"/>
    <w:basedOn w:val="Normal"/>
    <w:next w:val="Normal"/>
    <w:link w:val="Heading2Char"/>
    <w:uiPriority w:val="9"/>
    <w:semiHidden/>
    <w:unhideWhenUsed/>
    <w:qFormat/>
    <w:rsid w:val="00ED61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ED6175"/>
    <w:rPr>
      <w:rFonts w:asciiTheme="majorHAnsi" w:eastAsiaTheme="majorEastAsia" w:hAnsiTheme="majorHAnsi" w:cstheme="majorBidi"/>
      <w:color w:val="365F91" w:themeColor="accent1" w:themeShade="BF"/>
      <w:sz w:val="26"/>
      <w:szCs w:val="26"/>
      <w:lang w:val="en-GB" w:eastAsia="en-GB" w:bidi="en-GB"/>
    </w:rPr>
  </w:style>
  <w:style w:type="character" w:styleId="Strong">
    <w:name w:val="Strong"/>
    <w:basedOn w:val="DefaultParagraphFont"/>
    <w:uiPriority w:val="22"/>
    <w:qFormat/>
    <w:rsid w:val="00ED6175"/>
    <w:rPr>
      <w:b/>
      <w:bCs/>
    </w:rPr>
  </w:style>
  <w:style w:type="character" w:styleId="Hyperlink">
    <w:name w:val="Hyperlink"/>
    <w:basedOn w:val="DefaultParagraphFont"/>
    <w:uiPriority w:val="99"/>
    <w:unhideWhenUsed/>
    <w:rsid w:val="00ED6175"/>
    <w:rPr>
      <w:color w:val="0000FF"/>
      <w:u w:val="single"/>
    </w:rPr>
  </w:style>
  <w:style w:type="paragraph" w:styleId="FootnoteText">
    <w:name w:val="footnote text"/>
    <w:basedOn w:val="Normal"/>
    <w:link w:val="FootnoteTextChar"/>
    <w:uiPriority w:val="99"/>
    <w:semiHidden/>
    <w:unhideWhenUsed/>
    <w:rsid w:val="009B6C8E"/>
    <w:rPr>
      <w:sz w:val="20"/>
      <w:szCs w:val="20"/>
    </w:rPr>
  </w:style>
  <w:style w:type="character" w:customStyle="1" w:styleId="FootnoteTextChar">
    <w:name w:val="Footnote Text Char"/>
    <w:basedOn w:val="DefaultParagraphFont"/>
    <w:link w:val="FootnoteText"/>
    <w:uiPriority w:val="99"/>
    <w:semiHidden/>
    <w:rsid w:val="009B6C8E"/>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9B6C8E"/>
    <w:rPr>
      <w:vertAlign w:val="superscript"/>
    </w:rPr>
  </w:style>
  <w:style w:type="character" w:customStyle="1" w:styleId="st">
    <w:name w:val="st"/>
    <w:basedOn w:val="DefaultParagraphFont"/>
    <w:rsid w:val="00C32CE6"/>
  </w:style>
  <w:style w:type="paragraph" w:styleId="Header">
    <w:name w:val="header"/>
    <w:basedOn w:val="Normal"/>
    <w:link w:val="HeaderChar"/>
    <w:uiPriority w:val="99"/>
    <w:unhideWhenUsed/>
    <w:rsid w:val="00E27E58"/>
    <w:pPr>
      <w:tabs>
        <w:tab w:val="center" w:pos="4680"/>
        <w:tab w:val="right" w:pos="9360"/>
      </w:tabs>
    </w:pPr>
  </w:style>
  <w:style w:type="character" w:customStyle="1" w:styleId="HeaderChar">
    <w:name w:val="Header Char"/>
    <w:basedOn w:val="DefaultParagraphFont"/>
    <w:link w:val="Header"/>
    <w:uiPriority w:val="99"/>
    <w:rsid w:val="00E27E58"/>
    <w:rPr>
      <w:rFonts w:ascii="Arial" w:eastAsia="Arial" w:hAnsi="Arial" w:cs="Arial"/>
      <w:lang w:val="en-GB" w:eastAsia="en-GB" w:bidi="en-GB"/>
    </w:rPr>
  </w:style>
  <w:style w:type="paragraph" w:styleId="Footer">
    <w:name w:val="footer"/>
    <w:basedOn w:val="Normal"/>
    <w:link w:val="FooterChar"/>
    <w:uiPriority w:val="99"/>
    <w:unhideWhenUsed/>
    <w:rsid w:val="00E27E58"/>
    <w:pPr>
      <w:tabs>
        <w:tab w:val="center" w:pos="4680"/>
        <w:tab w:val="right" w:pos="9360"/>
      </w:tabs>
    </w:pPr>
  </w:style>
  <w:style w:type="character" w:customStyle="1" w:styleId="FooterChar">
    <w:name w:val="Footer Char"/>
    <w:basedOn w:val="DefaultParagraphFont"/>
    <w:link w:val="Footer"/>
    <w:uiPriority w:val="99"/>
    <w:rsid w:val="00E27E58"/>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0D0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A8"/>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333D76"/>
    <w:rPr>
      <w:sz w:val="16"/>
      <w:szCs w:val="16"/>
    </w:rPr>
  </w:style>
  <w:style w:type="paragraph" w:styleId="CommentText">
    <w:name w:val="annotation text"/>
    <w:basedOn w:val="Normal"/>
    <w:link w:val="CommentTextChar"/>
    <w:uiPriority w:val="99"/>
    <w:semiHidden/>
    <w:unhideWhenUsed/>
    <w:rsid w:val="00333D76"/>
    <w:rPr>
      <w:sz w:val="20"/>
      <w:szCs w:val="20"/>
    </w:rPr>
  </w:style>
  <w:style w:type="character" w:customStyle="1" w:styleId="CommentTextChar">
    <w:name w:val="Comment Text Char"/>
    <w:basedOn w:val="DefaultParagraphFont"/>
    <w:link w:val="CommentText"/>
    <w:uiPriority w:val="99"/>
    <w:semiHidden/>
    <w:rsid w:val="00333D7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33D76"/>
    <w:rPr>
      <w:b/>
      <w:bCs/>
    </w:rPr>
  </w:style>
  <w:style w:type="character" w:customStyle="1" w:styleId="CommentSubjectChar">
    <w:name w:val="Comment Subject Char"/>
    <w:basedOn w:val="CommentTextChar"/>
    <w:link w:val="CommentSubject"/>
    <w:uiPriority w:val="99"/>
    <w:semiHidden/>
    <w:rsid w:val="00333D76"/>
    <w:rPr>
      <w:rFonts w:ascii="Arial" w:eastAsia="Arial" w:hAnsi="Arial" w:cs="Arial"/>
      <w:b/>
      <w:bCs/>
      <w:sz w:val="20"/>
      <w:szCs w:val="20"/>
      <w:lang w:val="en-GB" w:eastAsia="en-GB" w:bidi="en-GB"/>
    </w:rPr>
  </w:style>
  <w:style w:type="character" w:customStyle="1" w:styleId="UnresolvedMention">
    <w:name w:val="Unresolved Mention"/>
    <w:basedOn w:val="DefaultParagraphFont"/>
    <w:uiPriority w:val="99"/>
    <w:semiHidden/>
    <w:unhideWhenUsed/>
    <w:rsid w:val="001D5673"/>
    <w:rPr>
      <w:color w:val="605E5C"/>
      <w:shd w:val="clear" w:color="auto" w:fill="E1DFDD"/>
    </w:rPr>
  </w:style>
  <w:style w:type="character" w:styleId="FollowedHyperlink">
    <w:name w:val="FollowedHyperlink"/>
    <w:basedOn w:val="DefaultParagraphFont"/>
    <w:uiPriority w:val="99"/>
    <w:semiHidden/>
    <w:unhideWhenUsed/>
    <w:rsid w:val="001D5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252">
      <w:bodyDiv w:val="1"/>
      <w:marLeft w:val="0"/>
      <w:marRight w:val="0"/>
      <w:marTop w:val="0"/>
      <w:marBottom w:val="0"/>
      <w:divBdr>
        <w:top w:val="none" w:sz="0" w:space="0" w:color="auto"/>
        <w:left w:val="none" w:sz="0" w:space="0" w:color="auto"/>
        <w:bottom w:val="none" w:sz="0" w:space="0" w:color="auto"/>
        <w:right w:val="none" w:sz="0" w:space="0" w:color="auto"/>
      </w:divBdr>
    </w:div>
    <w:div w:id="547641490">
      <w:bodyDiv w:val="1"/>
      <w:marLeft w:val="0"/>
      <w:marRight w:val="0"/>
      <w:marTop w:val="0"/>
      <w:marBottom w:val="0"/>
      <w:divBdr>
        <w:top w:val="none" w:sz="0" w:space="0" w:color="auto"/>
        <w:left w:val="none" w:sz="0" w:space="0" w:color="auto"/>
        <w:bottom w:val="none" w:sz="0" w:space="0" w:color="auto"/>
        <w:right w:val="none" w:sz="0" w:space="0" w:color="auto"/>
      </w:divBdr>
    </w:div>
    <w:div w:id="876041699">
      <w:bodyDiv w:val="1"/>
      <w:marLeft w:val="0"/>
      <w:marRight w:val="0"/>
      <w:marTop w:val="0"/>
      <w:marBottom w:val="0"/>
      <w:divBdr>
        <w:top w:val="none" w:sz="0" w:space="0" w:color="auto"/>
        <w:left w:val="none" w:sz="0" w:space="0" w:color="auto"/>
        <w:bottom w:val="none" w:sz="0" w:space="0" w:color="auto"/>
        <w:right w:val="none" w:sz="0" w:space="0" w:color="auto"/>
      </w:divBdr>
    </w:div>
    <w:div w:id="121099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lancet.com/journals/lancet/article/PIIS0140-6736(18)31439-9/fulltext" TargetMode="External"/><Relationship Id="rId13" Type="http://schemas.openxmlformats.org/officeDocument/2006/relationships/hyperlink" Target="https://www.nswp.org/resource/policy-brief-the-impact-anti-trafficking-legislation-and-initiatives-sex-workers" TargetMode="External"/><Relationship Id="rId3" Type="http://schemas.openxmlformats.org/officeDocument/2006/relationships/hyperlink" Target="http://www.unaids.org/en/media/unaids/contentassets/documents/unaidspublication/2009/JC2306_UNAIDS-guidance-note-HIV-sex-work_en.pdf" TargetMode="External"/><Relationship Id="rId7" Type="http://schemas.openxmlformats.org/officeDocument/2006/relationships/hyperlink" Target="http://www.unaids.org/sites/default/files/media_asset/miles-to-go_en.pdf" TargetMode="External"/><Relationship Id="rId12" Type="http://schemas.openxmlformats.org/officeDocument/2006/relationships/hyperlink" Target="https://www.nswp.org/resource/sex-work-not-trafficking" TargetMode="External"/><Relationship Id="rId2" Type="http://schemas.openxmlformats.org/officeDocument/2006/relationships/hyperlink" Target="http://data.unaids.org/pub/externaldocument/1994/ecosoc_resolutions_establishing_unaids_en.pdf" TargetMode="External"/><Relationship Id="rId1" Type="http://schemas.openxmlformats.org/officeDocument/2006/relationships/hyperlink" Target="http://www.unaids.org/sites/default/files/media_asset/2016-political-declaration-HIV-AIDS_en.pdf" TargetMode="External"/><Relationship Id="rId6" Type="http://schemas.openxmlformats.org/officeDocument/2006/relationships/hyperlink" Target="https://www.state.gov/j/tip/rls/tiprpt/2010/" TargetMode="External"/><Relationship Id="rId11" Type="http://schemas.openxmlformats.org/officeDocument/2006/relationships/hyperlink" Target="https://www.nswp.org/" TargetMode="External"/><Relationship Id="rId5" Type="http://schemas.openxmlformats.org/officeDocument/2006/relationships/hyperlink" Target="http://www.hivlawcommission.org/report%20" TargetMode="External"/><Relationship Id="rId10" Type="http://schemas.openxmlformats.org/officeDocument/2006/relationships/hyperlink" Target="https://durbar.org/html/anti_trafficking.html" TargetMode="External"/><Relationship Id="rId4" Type="http://schemas.openxmlformats.org/officeDocument/2006/relationships/hyperlink" Target="http://www.unaids.org/en/media/unaids/contentassets/documents/unaidspublication/2009/JC2306_UNAIDS-guidance-note-HIV-sex-work_en.pdf" TargetMode="External"/><Relationship Id="rId9" Type="http://schemas.openxmlformats.org/officeDocument/2006/relationships/hyperlink" Target="https://www.thelancet.com/journals/lancet/article/PIIS0140-6736(14)60931-4/fulltext" TargetMode="External"/><Relationship Id="rId14" Type="http://schemas.openxmlformats.org/officeDocument/2006/relationships/hyperlink" Target="https://hivlawcommission.org/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2D5C-587B-4986-8054-203CF1D50C18}">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2ddeef39-65d3-4660-94f2-f063f949c57e"/>
    <ds:schemaRef ds:uri="22426231-67da-44e9-9361-5888dcd2f72e"/>
    <ds:schemaRef ds:uri="http://www.w3.org/XML/1998/namespace"/>
  </ds:schemaRefs>
</ds:datastoreItem>
</file>

<file path=customXml/itemProps2.xml><?xml version="1.0" encoding="utf-8"?>
<ds:datastoreItem xmlns:ds="http://schemas.openxmlformats.org/officeDocument/2006/customXml" ds:itemID="{920B6A19-C270-42E1-90D4-F72F507E1EF1}">
  <ds:schemaRefs>
    <ds:schemaRef ds:uri="http://schemas.microsoft.com/sharepoint/v3/contenttype/forms"/>
  </ds:schemaRefs>
</ds:datastoreItem>
</file>

<file path=customXml/itemProps3.xml><?xml version="1.0" encoding="utf-8"?>
<ds:datastoreItem xmlns:ds="http://schemas.openxmlformats.org/officeDocument/2006/customXml" ds:itemID="{45223CBD-C227-455A-91DF-0CA62C8AC399}"/>
</file>

<file path=customXml/itemProps4.xml><?xml version="1.0" encoding="utf-8"?>
<ds:datastoreItem xmlns:ds="http://schemas.openxmlformats.org/officeDocument/2006/customXml" ds:itemID="{A4BA186E-0F81-4D82-B66C-405C6B75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Boyan Konstantinov</dc:creator>
  <cp:lastModifiedBy>Daniela Buchmann</cp:lastModifiedBy>
  <cp:revision>2</cp:revision>
  <dcterms:created xsi:type="dcterms:W3CDTF">2019-02-19T10:51:00Z</dcterms:created>
  <dcterms:modified xsi:type="dcterms:W3CDTF">2019-02-19T10:51:00Z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Microsoft® Word 2010</vt:lpwstr>
  </property>
  <property fmtid="{D5CDD505-2E9C-101B-9397-08002B2CF9AE}" pid="4" name="LastSaved">
    <vt:filetime>2019-02-07T00:00:00Z</vt:filetime>
  </property>
  <property fmtid="{D5CDD505-2E9C-101B-9397-08002B2CF9AE}" pid="5" name="ContentTypeId">
    <vt:lpwstr>0x0101008822B9E06671B54FA89F14538B9B0FEA</vt:lpwstr>
  </property>
</Properties>
</file>