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967" w:rsidRPr="003326BE" w:rsidRDefault="00DB7967" w:rsidP="00DB7967">
      <w:pPr>
        <w:rPr>
          <w:sz w:val="20"/>
          <w:szCs w:val="20"/>
          <w:lang w:val="en-GB"/>
        </w:rPr>
      </w:pPr>
      <w:bookmarkStart w:id="0" w:name="_GoBack"/>
      <w:bookmarkEnd w:id="0"/>
      <w:r w:rsidRPr="00DB7967">
        <w:rPr>
          <w:b/>
          <w:lang w:val="en-GB"/>
        </w:rPr>
        <w:t>Patricia Schulz</w:t>
      </w:r>
      <w:r w:rsidRPr="00DB7967">
        <w:rPr>
          <w:lang w:val="en-GB"/>
        </w:rPr>
        <w:t xml:space="preserve">, </w:t>
      </w:r>
      <w:r w:rsidRPr="003326BE">
        <w:rPr>
          <w:sz w:val="20"/>
          <w:szCs w:val="20"/>
          <w:lang w:val="en-GB"/>
        </w:rPr>
        <w:t>Dr. h.c.</w:t>
      </w:r>
    </w:p>
    <w:p w:rsidR="00DB7967" w:rsidRPr="00DB7967" w:rsidRDefault="00DB7967" w:rsidP="00DB7967">
      <w:pPr>
        <w:rPr>
          <w:sz w:val="20"/>
          <w:szCs w:val="20"/>
          <w:lang w:val="en-GB"/>
        </w:rPr>
      </w:pPr>
      <w:r w:rsidRPr="00DB7967">
        <w:rPr>
          <w:sz w:val="20"/>
          <w:szCs w:val="20"/>
          <w:lang w:val="en-GB"/>
        </w:rPr>
        <w:t>Lawyer</w:t>
      </w:r>
    </w:p>
    <w:p w:rsidR="00DB7967" w:rsidRPr="00DB7967" w:rsidRDefault="00DB7967" w:rsidP="00DB7967">
      <w:pPr>
        <w:rPr>
          <w:rFonts w:eastAsia="Batang" w:cstheme="minorHAnsi"/>
          <w:sz w:val="16"/>
          <w:szCs w:val="16"/>
          <w:lang w:val="en-GB"/>
        </w:rPr>
      </w:pPr>
      <w:r w:rsidRPr="00DB7967">
        <w:rPr>
          <w:rFonts w:eastAsia="Batang" w:cstheme="minorHAnsi"/>
          <w:sz w:val="16"/>
          <w:szCs w:val="16"/>
          <w:lang w:val="en-GB"/>
        </w:rPr>
        <w:t>Senior Research Associate UNRISD</w:t>
      </w:r>
    </w:p>
    <w:p w:rsidR="00DB7967" w:rsidRPr="00DB7967" w:rsidRDefault="00DB7967" w:rsidP="00DB7967">
      <w:pPr>
        <w:pStyle w:val="Header"/>
        <w:rPr>
          <w:sz w:val="16"/>
          <w:szCs w:val="16"/>
          <w:lang w:val="en-GB"/>
        </w:rPr>
      </w:pPr>
      <w:r w:rsidRPr="00DB7967">
        <w:rPr>
          <w:sz w:val="16"/>
          <w:szCs w:val="16"/>
          <w:lang w:val="en-GB"/>
        </w:rPr>
        <w:t>Switzerland</w:t>
      </w:r>
    </w:p>
    <w:p w:rsidR="00DB7967" w:rsidRPr="00DB7967" w:rsidRDefault="00DB7967" w:rsidP="00DB7967">
      <w:pPr>
        <w:pStyle w:val="Header"/>
        <w:rPr>
          <w:sz w:val="16"/>
          <w:szCs w:val="16"/>
          <w:lang w:val="en-GB"/>
        </w:rPr>
      </w:pPr>
      <w:r w:rsidRPr="00DB7967">
        <w:rPr>
          <w:sz w:val="16"/>
          <w:szCs w:val="16"/>
          <w:lang w:val="en-GB"/>
        </w:rPr>
        <w:t>pschulz.</w:t>
      </w:r>
      <w:r w:rsidR="006B2BAE">
        <w:rPr>
          <w:sz w:val="16"/>
          <w:szCs w:val="16"/>
          <w:lang w:val="en-GB"/>
        </w:rPr>
        <w:t>law</w:t>
      </w:r>
      <w:r w:rsidRPr="00DB7967">
        <w:rPr>
          <w:sz w:val="16"/>
          <w:szCs w:val="16"/>
          <w:lang w:val="en-GB"/>
        </w:rPr>
        <w:t>@patja.ch</w:t>
      </w:r>
    </w:p>
    <w:p w:rsidR="004225AB" w:rsidRPr="00DB7967" w:rsidRDefault="004225AB">
      <w:pPr>
        <w:rPr>
          <w:lang w:val="en-GB"/>
        </w:rPr>
      </w:pPr>
    </w:p>
    <w:p w:rsidR="00DB7967" w:rsidRDefault="00DB7967">
      <w:pPr>
        <w:rPr>
          <w:lang w:val="en-GB"/>
        </w:rPr>
      </w:pPr>
    </w:p>
    <w:p w:rsidR="003326BE" w:rsidRPr="00DB7967" w:rsidRDefault="003326BE">
      <w:pPr>
        <w:rPr>
          <w:lang w:val="en-GB"/>
        </w:rPr>
      </w:pPr>
    </w:p>
    <w:p w:rsidR="00DB7967" w:rsidRPr="00DB7967" w:rsidRDefault="00DB7967">
      <w:pPr>
        <w:rPr>
          <w:lang w:val="en-GB"/>
        </w:rPr>
      </w:pPr>
    </w:p>
    <w:p w:rsidR="006B7E9B" w:rsidRDefault="00DB7967" w:rsidP="006B7E9B">
      <w:pPr>
        <w:jc w:val="center"/>
        <w:rPr>
          <w:b/>
          <w:lang w:val="en-GB"/>
        </w:rPr>
      </w:pPr>
      <w:r w:rsidRPr="00DB7967">
        <w:rPr>
          <w:b/>
          <w:lang w:val="en-GB"/>
        </w:rPr>
        <w:t xml:space="preserve">Contribution to the elaboration of </w:t>
      </w:r>
      <w:r w:rsidR="006B7E9B">
        <w:rPr>
          <w:b/>
          <w:lang w:val="en-GB"/>
        </w:rPr>
        <w:t xml:space="preserve">the </w:t>
      </w:r>
      <w:r w:rsidRPr="00DB7967">
        <w:rPr>
          <w:b/>
          <w:lang w:val="en-GB"/>
        </w:rPr>
        <w:t>G</w:t>
      </w:r>
      <w:r w:rsidR="006B7E9B">
        <w:rPr>
          <w:b/>
          <w:lang w:val="en-GB"/>
        </w:rPr>
        <w:t xml:space="preserve">eneral </w:t>
      </w:r>
      <w:r w:rsidR="006B7E9B" w:rsidRPr="00DB7967">
        <w:rPr>
          <w:b/>
          <w:lang w:val="en-GB"/>
        </w:rPr>
        <w:t>R</w:t>
      </w:r>
      <w:r w:rsidR="006B7E9B">
        <w:rPr>
          <w:b/>
          <w:lang w:val="en-GB"/>
        </w:rPr>
        <w:t>ecommendation</w:t>
      </w:r>
      <w:r w:rsidRPr="00DB7967">
        <w:rPr>
          <w:b/>
          <w:lang w:val="en-GB"/>
        </w:rPr>
        <w:t xml:space="preserve"> on Trafficking in Women and Girls in the Context of Global Migration</w:t>
      </w:r>
      <w:r w:rsidR="00F32794">
        <w:rPr>
          <w:b/>
          <w:lang w:val="en-GB"/>
        </w:rPr>
        <w:t xml:space="preserve"> by the CEDAW Committee</w:t>
      </w:r>
    </w:p>
    <w:p w:rsidR="006B7E9B" w:rsidRDefault="00F32794" w:rsidP="006B7E9B">
      <w:pPr>
        <w:jc w:val="center"/>
        <w:rPr>
          <w:b/>
          <w:lang w:val="en-GB"/>
        </w:rPr>
      </w:pPr>
      <w:r>
        <w:rPr>
          <w:b/>
          <w:lang w:val="en-GB"/>
        </w:rPr>
        <w:t xml:space="preserve">Day of general Discussion, </w:t>
      </w:r>
    </w:p>
    <w:p w:rsidR="00DB7967" w:rsidRDefault="00F32794" w:rsidP="006B7E9B">
      <w:pPr>
        <w:jc w:val="center"/>
        <w:rPr>
          <w:b/>
          <w:lang w:val="en-GB"/>
        </w:rPr>
      </w:pPr>
      <w:r>
        <w:rPr>
          <w:b/>
          <w:lang w:val="en-GB"/>
        </w:rPr>
        <w:t>22 February 2019, 72</w:t>
      </w:r>
      <w:r w:rsidRPr="00F32794">
        <w:rPr>
          <w:b/>
          <w:vertAlign w:val="superscript"/>
          <w:lang w:val="en-GB"/>
        </w:rPr>
        <w:t>nd</w:t>
      </w:r>
      <w:r>
        <w:rPr>
          <w:b/>
          <w:lang w:val="en-GB"/>
        </w:rPr>
        <w:t xml:space="preserve"> session</w:t>
      </w:r>
    </w:p>
    <w:p w:rsidR="00DB7967" w:rsidRDefault="00DB7967">
      <w:pPr>
        <w:rPr>
          <w:b/>
          <w:lang w:val="en-GB"/>
        </w:rPr>
      </w:pPr>
    </w:p>
    <w:p w:rsidR="006B7E9B" w:rsidRDefault="006B7E9B">
      <w:pPr>
        <w:rPr>
          <w:lang w:val="en-GB"/>
        </w:rPr>
      </w:pPr>
    </w:p>
    <w:p w:rsidR="003326BE" w:rsidRDefault="003326BE">
      <w:pPr>
        <w:rPr>
          <w:lang w:val="en-GB"/>
        </w:rPr>
      </w:pPr>
    </w:p>
    <w:p w:rsidR="00F32794" w:rsidRDefault="00F32794">
      <w:pPr>
        <w:rPr>
          <w:lang w:val="en-GB"/>
        </w:rPr>
      </w:pPr>
      <w:r>
        <w:rPr>
          <w:lang w:val="en-GB"/>
        </w:rPr>
        <w:t>Dear members of the CEDAW Committee,</w:t>
      </w:r>
    </w:p>
    <w:p w:rsidR="00F32794" w:rsidRDefault="00F32794">
      <w:pPr>
        <w:rPr>
          <w:lang w:val="en-GB"/>
        </w:rPr>
      </w:pPr>
    </w:p>
    <w:p w:rsidR="00B016FD" w:rsidRDefault="009951A2">
      <w:pPr>
        <w:rPr>
          <w:highlight w:val="yellow"/>
          <w:lang w:val="en-GB"/>
        </w:rPr>
      </w:pPr>
      <w:r>
        <w:rPr>
          <w:lang w:val="en-GB"/>
        </w:rPr>
        <w:t xml:space="preserve">As </w:t>
      </w:r>
      <w:r w:rsidR="003E4CE2">
        <w:rPr>
          <w:lang w:val="en-GB"/>
        </w:rPr>
        <w:t>former member of the CEDAW Committee and of the WG tasked with elaborati</w:t>
      </w:r>
      <w:r w:rsidR="006B7E9B">
        <w:rPr>
          <w:lang w:val="en-GB"/>
        </w:rPr>
        <w:t>ng</w:t>
      </w:r>
      <w:r w:rsidR="003E4CE2">
        <w:rPr>
          <w:lang w:val="en-GB"/>
        </w:rPr>
        <w:t xml:space="preserve"> the planned G</w:t>
      </w:r>
      <w:r w:rsidR="003326BE">
        <w:rPr>
          <w:lang w:val="en-GB"/>
        </w:rPr>
        <w:t xml:space="preserve">eneral </w:t>
      </w:r>
      <w:r w:rsidR="003E4CE2">
        <w:rPr>
          <w:lang w:val="en-GB"/>
        </w:rPr>
        <w:t>R</w:t>
      </w:r>
      <w:r w:rsidR="003326BE">
        <w:rPr>
          <w:lang w:val="en-GB"/>
        </w:rPr>
        <w:t>ecommendation (GR)</w:t>
      </w:r>
      <w:r w:rsidR="003E4CE2">
        <w:rPr>
          <w:lang w:val="en-GB"/>
        </w:rPr>
        <w:t xml:space="preserve">, it is my pleasure to submit this contribution. </w:t>
      </w:r>
      <w:r w:rsidR="004014F5">
        <w:rPr>
          <w:lang w:val="en-GB"/>
        </w:rPr>
        <w:t xml:space="preserve">I associate myself </w:t>
      </w:r>
      <w:r w:rsidR="004014F5" w:rsidRPr="004014F5">
        <w:rPr>
          <w:b/>
          <w:lang w:val="en-GB"/>
        </w:rPr>
        <w:t>fully</w:t>
      </w:r>
      <w:r w:rsidR="004014F5">
        <w:rPr>
          <w:lang w:val="en-GB"/>
        </w:rPr>
        <w:t xml:space="preserve"> to the submission made by IWRAW-AP following the Global Convening on Trafficking in the Context of Global Migration organized by IWRAW-AP and the Global alliance Against Traffic in Women (GAATW) in January </w:t>
      </w:r>
      <w:r w:rsidR="004014F5">
        <w:rPr>
          <w:lang w:val="en-GB"/>
        </w:rPr>
        <w:lastRenderedPageBreak/>
        <w:t xml:space="preserve">2019, </w:t>
      </w:r>
      <w:r w:rsidR="00F32794">
        <w:rPr>
          <w:lang w:val="en-GB"/>
        </w:rPr>
        <w:t xml:space="preserve">in </w:t>
      </w:r>
      <w:r w:rsidR="004014F5">
        <w:rPr>
          <w:lang w:val="en-GB"/>
        </w:rPr>
        <w:t xml:space="preserve">which I participated. I share the analysis and the recommendations. In addition to </w:t>
      </w:r>
      <w:r w:rsidR="00F32794">
        <w:rPr>
          <w:lang w:val="en-GB"/>
        </w:rPr>
        <w:t xml:space="preserve">IWRAW-AP’s </w:t>
      </w:r>
      <w:r w:rsidR="004014F5">
        <w:rPr>
          <w:lang w:val="en-GB"/>
        </w:rPr>
        <w:t xml:space="preserve">submission, I wish to </w:t>
      </w:r>
      <w:r w:rsidR="003326BE">
        <w:rPr>
          <w:lang w:val="en-GB"/>
        </w:rPr>
        <w:t xml:space="preserve">address </w:t>
      </w:r>
      <w:r w:rsidR="004014F5">
        <w:rPr>
          <w:lang w:val="en-GB"/>
        </w:rPr>
        <w:t xml:space="preserve">some of the </w:t>
      </w:r>
      <w:r w:rsidR="00D4648D">
        <w:rPr>
          <w:lang w:val="en-GB"/>
        </w:rPr>
        <w:t>challenges</w:t>
      </w:r>
      <w:r w:rsidR="00004B84">
        <w:rPr>
          <w:lang w:val="en-GB"/>
        </w:rPr>
        <w:t xml:space="preserve"> </w:t>
      </w:r>
      <w:r w:rsidR="00EF2D65">
        <w:rPr>
          <w:lang w:val="en-GB"/>
        </w:rPr>
        <w:t xml:space="preserve">I </w:t>
      </w:r>
      <w:r w:rsidR="00004B84">
        <w:rPr>
          <w:lang w:val="en-GB"/>
        </w:rPr>
        <w:t xml:space="preserve">believe </w:t>
      </w:r>
      <w:r w:rsidR="00D4648D">
        <w:rPr>
          <w:lang w:val="en-GB"/>
        </w:rPr>
        <w:t xml:space="preserve">the Committee </w:t>
      </w:r>
      <w:r w:rsidR="00EF2D65">
        <w:rPr>
          <w:lang w:val="en-GB"/>
        </w:rPr>
        <w:t xml:space="preserve">must </w:t>
      </w:r>
      <w:r w:rsidR="008E3C24">
        <w:rPr>
          <w:lang w:val="en-GB"/>
        </w:rPr>
        <w:t>meet</w:t>
      </w:r>
      <w:r w:rsidR="00EF2D65">
        <w:rPr>
          <w:lang w:val="en-GB"/>
        </w:rPr>
        <w:t xml:space="preserve"> </w:t>
      </w:r>
      <w:r w:rsidR="004014F5">
        <w:rPr>
          <w:lang w:val="en-GB"/>
        </w:rPr>
        <w:t>in the elaboration of the GR</w:t>
      </w:r>
      <w:r w:rsidR="00B016FD">
        <w:rPr>
          <w:lang w:val="en-GB"/>
        </w:rPr>
        <w:t xml:space="preserve">. </w:t>
      </w:r>
    </w:p>
    <w:p w:rsidR="00371035" w:rsidRDefault="006B2BAE" w:rsidP="00B016FD">
      <w:pPr>
        <w:rPr>
          <w:lang w:val="en-GB"/>
        </w:rPr>
      </w:pPr>
      <w:r w:rsidRPr="009613D4">
        <w:rPr>
          <w:lang w:val="en-GB"/>
        </w:rPr>
        <w:t xml:space="preserve"> </w:t>
      </w:r>
    </w:p>
    <w:p w:rsidR="003326BE" w:rsidRPr="000158CC" w:rsidRDefault="003326BE" w:rsidP="00B016FD">
      <w:pPr>
        <w:rPr>
          <w:lang w:val="en-GB"/>
        </w:rPr>
      </w:pPr>
    </w:p>
    <w:p w:rsidR="00371035" w:rsidRPr="00FC37B2" w:rsidRDefault="00FC37B2" w:rsidP="00FC37B2">
      <w:pPr>
        <w:pStyle w:val="ListParagraph"/>
        <w:numPr>
          <w:ilvl w:val="0"/>
          <w:numId w:val="15"/>
        </w:numPr>
        <w:rPr>
          <w:b/>
          <w:lang w:val="en-GB"/>
        </w:rPr>
      </w:pPr>
      <w:r w:rsidRPr="00FC37B2">
        <w:rPr>
          <w:b/>
          <w:lang w:val="en-GB"/>
        </w:rPr>
        <w:t>L</w:t>
      </w:r>
      <w:r w:rsidR="00371035" w:rsidRPr="00FC37B2">
        <w:rPr>
          <w:b/>
          <w:lang w:val="en-GB"/>
        </w:rPr>
        <w:t>ack of proper research and statistics</w:t>
      </w:r>
    </w:p>
    <w:p w:rsidR="00371035" w:rsidRPr="00CA33A8" w:rsidRDefault="00371035" w:rsidP="00371035">
      <w:pPr>
        <w:rPr>
          <w:b/>
          <w:lang w:val="en-GB"/>
        </w:rPr>
      </w:pPr>
    </w:p>
    <w:p w:rsidR="003326BE" w:rsidRPr="003326BE" w:rsidRDefault="00371035" w:rsidP="00B016FD">
      <w:pPr>
        <w:rPr>
          <w:lang w:val="en-GB"/>
        </w:rPr>
      </w:pPr>
      <w:r w:rsidRPr="004511FD">
        <w:rPr>
          <w:lang w:val="en-GB"/>
        </w:rPr>
        <w:t xml:space="preserve">The lack of proper research and statistics makes a comprehensive </w:t>
      </w:r>
      <w:r w:rsidR="006B7E9B">
        <w:rPr>
          <w:lang w:val="en-GB"/>
        </w:rPr>
        <w:t xml:space="preserve">and evidence-based </w:t>
      </w:r>
      <w:r w:rsidRPr="004511FD">
        <w:rPr>
          <w:lang w:val="en-GB"/>
        </w:rPr>
        <w:t>approach to the various forms of trafficking</w:t>
      </w:r>
      <w:r w:rsidRPr="00651976">
        <w:rPr>
          <w:lang w:val="en-GB"/>
        </w:rPr>
        <w:t xml:space="preserve"> difficult. Indeed, under the lead of the United States of America during the drafting of the Palermo Protocol and since </w:t>
      </w:r>
      <w:r w:rsidR="00EE1A86">
        <w:rPr>
          <w:lang w:val="en-GB"/>
        </w:rPr>
        <w:t xml:space="preserve">then, </w:t>
      </w:r>
      <w:r w:rsidR="006B7E9B">
        <w:rPr>
          <w:lang w:val="en-GB"/>
        </w:rPr>
        <w:t>(</w:t>
      </w:r>
      <w:r w:rsidRPr="00651976">
        <w:rPr>
          <w:lang w:val="en-GB"/>
        </w:rPr>
        <w:t>thanks to their role in benchmarking countries</w:t>
      </w:r>
      <w:r w:rsidR="009613D4">
        <w:rPr>
          <w:rStyle w:val="FootnoteReference"/>
          <w:lang w:val="en-GB"/>
        </w:rPr>
        <w:footnoteReference w:id="1"/>
      </w:r>
      <w:r w:rsidRPr="00651976">
        <w:rPr>
          <w:lang w:val="en-GB"/>
        </w:rPr>
        <w:t xml:space="preserve"> according to limited criteria</w:t>
      </w:r>
      <w:r w:rsidR="009613D4">
        <w:rPr>
          <w:lang w:val="en-GB"/>
        </w:rPr>
        <w:t xml:space="preserve"> prior</w:t>
      </w:r>
      <w:r w:rsidR="00E84166">
        <w:rPr>
          <w:lang w:val="en-GB"/>
        </w:rPr>
        <w:t>i</w:t>
      </w:r>
      <w:r w:rsidR="003326BE">
        <w:rPr>
          <w:lang w:val="en-GB"/>
        </w:rPr>
        <w:t>ti</w:t>
      </w:r>
      <w:r w:rsidR="009613D4">
        <w:rPr>
          <w:lang w:val="en-GB"/>
        </w:rPr>
        <w:t>zing criminal prosecution</w:t>
      </w:r>
      <w:r w:rsidR="006B7E9B">
        <w:rPr>
          <w:lang w:val="en-GB"/>
        </w:rPr>
        <w:t>)</w:t>
      </w:r>
      <w:r w:rsidRPr="00651976">
        <w:rPr>
          <w:lang w:val="en-GB"/>
        </w:rPr>
        <w:t>, the focus has been mainly on trafficking in women and girls into forced prostitution and/or other forms of sexual exploitation</w:t>
      </w:r>
      <w:r w:rsidR="003326BE">
        <w:rPr>
          <w:rStyle w:val="FootnoteReference"/>
          <w:lang w:val="en-GB"/>
        </w:rPr>
        <w:footnoteReference w:id="2"/>
      </w:r>
      <w:r w:rsidRPr="00651976">
        <w:rPr>
          <w:lang w:val="en-GB"/>
        </w:rPr>
        <w:t xml:space="preserve">, leading to the </w:t>
      </w:r>
      <w:r w:rsidR="006B7E9B">
        <w:rPr>
          <w:lang w:val="en-GB"/>
        </w:rPr>
        <w:t xml:space="preserve">near </w:t>
      </w:r>
      <w:r w:rsidRPr="00651976">
        <w:rPr>
          <w:lang w:val="en-GB"/>
        </w:rPr>
        <w:t xml:space="preserve">invisibility of other forms of trafficking, in women and girls, men and boys, in industry, agriculture, services such as domestic work and care work. </w:t>
      </w:r>
      <w:r>
        <w:rPr>
          <w:lang w:val="en-GB"/>
        </w:rPr>
        <w:t>The extent of traf</w:t>
      </w:r>
      <w:r>
        <w:rPr>
          <w:lang w:val="en-GB"/>
        </w:rPr>
        <w:lastRenderedPageBreak/>
        <w:t xml:space="preserve">ficking in nonsexual labour </w:t>
      </w:r>
      <w:r w:rsidR="006B7E9B">
        <w:rPr>
          <w:lang w:val="en-GB"/>
        </w:rPr>
        <w:t>ha</w:t>
      </w:r>
      <w:r>
        <w:rPr>
          <w:lang w:val="en-GB"/>
        </w:rPr>
        <w:t xml:space="preserve">s only </w:t>
      </w:r>
      <w:r w:rsidR="006B7E9B">
        <w:rPr>
          <w:lang w:val="en-GB"/>
        </w:rPr>
        <w:t xml:space="preserve">recently started </w:t>
      </w:r>
      <w:r>
        <w:rPr>
          <w:lang w:val="en-GB"/>
        </w:rPr>
        <w:t xml:space="preserve">coming to light, including in industrialized countries. </w:t>
      </w:r>
      <w:r w:rsidRPr="00651976">
        <w:rPr>
          <w:lang w:val="en-GB"/>
        </w:rPr>
        <w:t>The Committee will have to tread very carefully through the maze of often contradictory</w:t>
      </w:r>
      <w:r w:rsidR="003326BE">
        <w:rPr>
          <w:lang w:val="en-GB"/>
        </w:rPr>
        <w:t>, insufficient,</w:t>
      </w:r>
      <w:r w:rsidRPr="00651976">
        <w:rPr>
          <w:lang w:val="en-GB"/>
        </w:rPr>
        <w:t xml:space="preserve"> statistical data and their </w:t>
      </w:r>
      <w:r w:rsidR="003326BE">
        <w:rPr>
          <w:lang w:val="en-GB"/>
        </w:rPr>
        <w:t xml:space="preserve">(sometimes hasty) </w:t>
      </w:r>
      <w:r w:rsidRPr="00651976">
        <w:rPr>
          <w:lang w:val="en-GB"/>
        </w:rPr>
        <w:t>interpretation</w:t>
      </w:r>
      <w:r w:rsidR="003326BE">
        <w:rPr>
          <w:lang w:val="en-GB"/>
        </w:rPr>
        <w:t>, as well as with unsubstantiated assertions regarding the nature and extent of trafficking in women and girls, based on these data</w:t>
      </w:r>
      <w:r w:rsidRPr="00651976">
        <w:rPr>
          <w:lang w:val="en-GB"/>
        </w:rPr>
        <w:t>. The GR will need to recommend the development of evidence-based statistic</w:t>
      </w:r>
      <w:r w:rsidR="00EE1A86">
        <w:rPr>
          <w:lang w:val="en-GB"/>
        </w:rPr>
        <w:t>s</w:t>
      </w:r>
      <w:r w:rsidR="003326BE">
        <w:rPr>
          <w:lang w:val="en-GB"/>
        </w:rPr>
        <w:t xml:space="preserve"> and research</w:t>
      </w:r>
      <w:r w:rsidRPr="00651976">
        <w:rPr>
          <w:lang w:val="en-GB"/>
        </w:rPr>
        <w:t xml:space="preserve">, responding to </w:t>
      </w:r>
      <w:r w:rsidR="000158CC">
        <w:rPr>
          <w:lang w:val="en-GB"/>
        </w:rPr>
        <w:t xml:space="preserve">scientific </w:t>
      </w:r>
      <w:r w:rsidR="000158CC" w:rsidRPr="00651976">
        <w:rPr>
          <w:lang w:val="en-GB"/>
        </w:rPr>
        <w:t>methodological</w:t>
      </w:r>
      <w:r w:rsidRPr="00651976">
        <w:rPr>
          <w:lang w:val="en-GB"/>
        </w:rPr>
        <w:t xml:space="preserve"> quality criteria for data collection</w:t>
      </w:r>
      <w:r>
        <w:rPr>
          <w:lang w:val="en-GB"/>
        </w:rPr>
        <w:t xml:space="preserve"> and treatment</w:t>
      </w:r>
      <w:r w:rsidRPr="00651976">
        <w:rPr>
          <w:lang w:val="en-GB"/>
        </w:rPr>
        <w:t>.</w:t>
      </w:r>
    </w:p>
    <w:p w:rsidR="003326BE" w:rsidRDefault="003326BE" w:rsidP="00B016FD">
      <w:pPr>
        <w:rPr>
          <w:b/>
          <w:lang w:val="en-GB"/>
        </w:rPr>
      </w:pPr>
    </w:p>
    <w:p w:rsidR="00B016FD" w:rsidRPr="00FC37B2" w:rsidRDefault="00FC37B2" w:rsidP="00FC37B2">
      <w:pPr>
        <w:pStyle w:val="ListParagraph"/>
        <w:numPr>
          <w:ilvl w:val="0"/>
          <w:numId w:val="15"/>
        </w:numPr>
        <w:rPr>
          <w:b/>
          <w:lang w:val="en-GB"/>
        </w:rPr>
      </w:pPr>
      <w:r>
        <w:rPr>
          <w:b/>
          <w:lang w:val="en-GB"/>
        </w:rPr>
        <w:t>C</w:t>
      </w:r>
      <w:r w:rsidR="00B016FD" w:rsidRPr="00FC37B2">
        <w:rPr>
          <w:b/>
          <w:lang w:val="en-GB"/>
        </w:rPr>
        <w:t xml:space="preserve">omplexity </w:t>
      </w:r>
    </w:p>
    <w:p w:rsidR="004511FD" w:rsidRDefault="004511FD" w:rsidP="00B016FD">
      <w:pPr>
        <w:rPr>
          <w:b/>
          <w:lang w:val="en-GB"/>
        </w:rPr>
      </w:pPr>
    </w:p>
    <w:p w:rsidR="00C250FD" w:rsidRDefault="00B016FD">
      <w:pPr>
        <w:rPr>
          <w:lang w:val="en-GB"/>
        </w:rPr>
      </w:pPr>
      <w:r>
        <w:rPr>
          <w:lang w:val="en-GB"/>
        </w:rPr>
        <w:t>The GR will have to deal with the conceptual, legal and policy complexity deriving from the evolution and sometimes conflation of various legal concepts</w:t>
      </w:r>
      <w:r w:rsidR="00651976">
        <w:rPr>
          <w:rStyle w:val="FootnoteReference"/>
          <w:lang w:val="en-GB"/>
        </w:rPr>
        <w:footnoteReference w:id="3"/>
      </w:r>
      <w:r>
        <w:rPr>
          <w:lang w:val="en-GB"/>
        </w:rPr>
        <w:t xml:space="preserve"> such as trafficking, slavery, forced labour, as well as of the various legal fields dealing with them, - criminal law, labour law, migration law, human rights law, humanitarian law</w:t>
      </w:r>
      <w:r w:rsidR="00E84166">
        <w:rPr>
          <w:lang w:val="en-GB"/>
        </w:rPr>
        <w:t xml:space="preserve"> </w:t>
      </w:r>
      <w:r>
        <w:rPr>
          <w:lang w:val="en-GB"/>
        </w:rPr>
        <w:t>as well as with the complexity of migration regimes and practices themselves.</w:t>
      </w:r>
      <w:r w:rsidR="006C0195">
        <w:rPr>
          <w:lang w:val="en-GB"/>
        </w:rPr>
        <w:t xml:space="preserve"> </w:t>
      </w:r>
      <w:r w:rsidR="00EE1A86">
        <w:rPr>
          <w:lang w:val="en-GB"/>
        </w:rPr>
        <w:t>The GR will have to determine which type(s) of legal framework(s) are most effective to ensure respect, protection and promotion of the rights of women and girls at risk of trafficking or trafficked</w:t>
      </w:r>
      <w:r w:rsidR="007D0064">
        <w:rPr>
          <w:lang w:val="en-GB"/>
        </w:rPr>
        <w:t xml:space="preserve"> in the context of global migration. </w:t>
      </w:r>
      <w:r w:rsidR="00EE1A86">
        <w:rPr>
          <w:lang w:val="en-GB"/>
        </w:rPr>
        <w:t xml:space="preserve">  </w:t>
      </w:r>
    </w:p>
    <w:p w:rsidR="00B016FD" w:rsidRDefault="00B016FD" w:rsidP="00F32794">
      <w:pPr>
        <w:rPr>
          <w:b/>
          <w:lang w:val="en-GB"/>
        </w:rPr>
      </w:pPr>
    </w:p>
    <w:p w:rsidR="00651976" w:rsidRPr="00FC37B2" w:rsidRDefault="00651976" w:rsidP="00FC37B2">
      <w:pPr>
        <w:pStyle w:val="ListParagraph"/>
        <w:numPr>
          <w:ilvl w:val="0"/>
          <w:numId w:val="15"/>
        </w:numPr>
        <w:rPr>
          <w:b/>
          <w:lang w:val="en-GB"/>
        </w:rPr>
      </w:pPr>
      <w:r w:rsidRPr="00FC37B2">
        <w:rPr>
          <w:b/>
          <w:lang w:val="en-GB"/>
        </w:rPr>
        <w:lastRenderedPageBreak/>
        <w:t>Approaches to trafficking</w:t>
      </w:r>
    </w:p>
    <w:p w:rsidR="00651976" w:rsidRDefault="00651976" w:rsidP="00F32794">
      <w:pPr>
        <w:rPr>
          <w:b/>
          <w:lang w:val="en-GB"/>
        </w:rPr>
      </w:pPr>
    </w:p>
    <w:p w:rsidR="00651976" w:rsidRDefault="00651976" w:rsidP="00F32794">
      <w:pPr>
        <w:rPr>
          <w:lang w:val="en-GB"/>
        </w:rPr>
      </w:pPr>
      <w:r w:rsidRPr="004511FD">
        <w:rPr>
          <w:lang w:val="en-GB"/>
        </w:rPr>
        <w:t xml:space="preserve">The GR </w:t>
      </w:r>
      <w:r>
        <w:rPr>
          <w:lang w:val="en-GB"/>
        </w:rPr>
        <w:t xml:space="preserve">should analyse </w:t>
      </w:r>
      <w:r w:rsidRPr="004511FD">
        <w:rPr>
          <w:lang w:val="en-GB"/>
        </w:rPr>
        <w:t>the conceptually restrictive approach</w:t>
      </w:r>
      <w:r w:rsidR="004D31D3">
        <w:rPr>
          <w:lang w:val="en-GB"/>
        </w:rPr>
        <w:t xml:space="preserve"> chosen by the USA</w:t>
      </w:r>
      <w:r>
        <w:rPr>
          <w:lang w:val="en-GB"/>
        </w:rPr>
        <w:t>,</w:t>
      </w:r>
      <w:r w:rsidRPr="004511FD">
        <w:rPr>
          <w:lang w:val="en-GB"/>
        </w:rPr>
        <w:t xml:space="preserve"> </w:t>
      </w:r>
      <w:r w:rsidR="004D31D3">
        <w:rPr>
          <w:lang w:val="en-GB"/>
        </w:rPr>
        <w:t>focussed on forced prostitution and sexual exploitation</w:t>
      </w:r>
      <w:r>
        <w:rPr>
          <w:lang w:val="en-GB"/>
        </w:rPr>
        <w:t xml:space="preserve"> </w:t>
      </w:r>
      <w:r w:rsidR="004D31D3">
        <w:rPr>
          <w:lang w:val="en-GB"/>
        </w:rPr>
        <w:t>and their victims (</w:t>
      </w:r>
      <w:r w:rsidRPr="004511FD">
        <w:rPr>
          <w:lang w:val="en-GB"/>
        </w:rPr>
        <w:t xml:space="preserve">including </w:t>
      </w:r>
      <w:r>
        <w:rPr>
          <w:lang w:val="en-GB"/>
        </w:rPr>
        <w:t xml:space="preserve">the view </w:t>
      </w:r>
      <w:r w:rsidRPr="004511FD">
        <w:rPr>
          <w:lang w:val="en-GB"/>
        </w:rPr>
        <w:t>that prostitution is victimization in all cases</w:t>
      </w:r>
      <w:r>
        <w:rPr>
          <w:rStyle w:val="FootnoteReference"/>
          <w:lang w:val="en-GB"/>
        </w:rPr>
        <w:footnoteReference w:id="4"/>
      </w:r>
      <w:r w:rsidRPr="004511FD">
        <w:rPr>
          <w:lang w:val="en-GB"/>
        </w:rPr>
        <w:t xml:space="preserve"> and that NGO’ s wanting to receive financing need to take the “anti-prostitution pledge”</w:t>
      </w:r>
      <w:r w:rsidR="004D31D3">
        <w:rPr>
          <w:lang w:val="en-GB"/>
        </w:rPr>
        <w:t>)</w:t>
      </w:r>
      <w:r>
        <w:rPr>
          <w:lang w:val="en-GB"/>
        </w:rPr>
        <w:t xml:space="preserve"> and the negative effects of this approach</w:t>
      </w:r>
      <w:r>
        <w:rPr>
          <w:rStyle w:val="FootnoteReference"/>
          <w:lang w:val="en-GB"/>
        </w:rPr>
        <w:footnoteReference w:id="5"/>
      </w:r>
      <w:r>
        <w:rPr>
          <w:lang w:val="en-GB"/>
        </w:rPr>
        <w:t xml:space="preserve">. </w:t>
      </w:r>
    </w:p>
    <w:p w:rsidR="00651976" w:rsidRDefault="00651976" w:rsidP="00F32794">
      <w:pPr>
        <w:rPr>
          <w:lang w:val="en-GB"/>
        </w:rPr>
      </w:pPr>
    </w:p>
    <w:p w:rsidR="007D0064" w:rsidRPr="007D0064" w:rsidRDefault="00651976" w:rsidP="00F32794">
      <w:pPr>
        <w:rPr>
          <w:lang w:val="en-GB"/>
        </w:rPr>
      </w:pPr>
      <w:r>
        <w:rPr>
          <w:lang w:val="en-GB"/>
        </w:rPr>
        <w:t xml:space="preserve">The GR should instead recommend a labour and social law approach addressing the </w:t>
      </w:r>
      <w:r w:rsidRPr="00F21DA3">
        <w:rPr>
          <w:b/>
          <w:lang w:val="en-GB"/>
        </w:rPr>
        <w:t>structural</w:t>
      </w:r>
      <w:r>
        <w:rPr>
          <w:lang w:val="en-GB"/>
        </w:rPr>
        <w:t xml:space="preserve"> causes of exploitation in </w:t>
      </w:r>
      <w:r w:rsidRPr="00FD159F">
        <w:rPr>
          <w:b/>
          <w:lang w:val="en-GB"/>
        </w:rPr>
        <w:t>all</w:t>
      </w:r>
      <w:r>
        <w:rPr>
          <w:lang w:val="en-GB"/>
        </w:rPr>
        <w:t xml:space="preserve"> fields of labour, with a strong accent on primary prevention, rather than on secondary and/or tertiary prevention</w:t>
      </w:r>
      <w:r w:rsidR="000158CC">
        <w:rPr>
          <w:lang w:val="en-GB"/>
        </w:rPr>
        <w:t>, in particular using the ILO framework</w:t>
      </w:r>
      <w:r>
        <w:rPr>
          <w:lang w:val="en-GB"/>
        </w:rPr>
        <w:t xml:space="preserve">. This means recommending the right of all women workers, </w:t>
      </w:r>
      <w:r w:rsidR="004D31D3">
        <w:rPr>
          <w:lang w:val="en-GB"/>
        </w:rPr>
        <w:t xml:space="preserve">migrants or not, </w:t>
      </w:r>
      <w:r>
        <w:rPr>
          <w:lang w:val="en-GB"/>
        </w:rPr>
        <w:t xml:space="preserve">irrelevant of their field of work, to freedom of expression, association and assembly, to unionize and to collective bargaining, and their inclusion under the protection of labour and social laws, including occupational health and safety laws and social security laws. It </w:t>
      </w:r>
      <w:r w:rsidR="004D31D3">
        <w:rPr>
          <w:lang w:val="en-GB"/>
        </w:rPr>
        <w:t xml:space="preserve">may </w:t>
      </w:r>
      <w:r>
        <w:rPr>
          <w:lang w:val="en-GB"/>
        </w:rPr>
        <w:t xml:space="preserve">also mean a better regime of </w:t>
      </w:r>
      <w:r w:rsidR="004D31D3">
        <w:rPr>
          <w:lang w:val="en-GB"/>
        </w:rPr>
        <w:t xml:space="preserve">protection, </w:t>
      </w:r>
      <w:r>
        <w:rPr>
          <w:lang w:val="en-GB"/>
        </w:rPr>
        <w:t xml:space="preserve">rehabilitation and compensation for </w:t>
      </w:r>
      <w:r w:rsidR="004D31D3">
        <w:rPr>
          <w:lang w:val="en-GB"/>
        </w:rPr>
        <w:t xml:space="preserve">actual </w:t>
      </w:r>
      <w:r>
        <w:rPr>
          <w:lang w:val="en-GB"/>
        </w:rPr>
        <w:t xml:space="preserve">victims than under only criminal law. </w:t>
      </w:r>
    </w:p>
    <w:p w:rsidR="007D0064" w:rsidRDefault="007D0064" w:rsidP="00F32794">
      <w:pPr>
        <w:rPr>
          <w:b/>
          <w:lang w:val="en-GB"/>
        </w:rPr>
      </w:pPr>
    </w:p>
    <w:p w:rsidR="00D724DE" w:rsidRPr="00FC37B2" w:rsidRDefault="00D724DE" w:rsidP="00FC37B2">
      <w:pPr>
        <w:pStyle w:val="ListParagraph"/>
        <w:numPr>
          <w:ilvl w:val="0"/>
          <w:numId w:val="15"/>
        </w:numPr>
        <w:rPr>
          <w:b/>
          <w:lang w:val="en-GB"/>
        </w:rPr>
      </w:pPr>
      <w:r w:rsidRPr="00FC37B2">
        <w:rPr>
          <w:b/>
          <w:lang w:val="en-GB"/>
        </w:rPr>
        <w:lastRenderedPageBreak/>
        <w:t>Conflation of trafficking with sex work and reduc</w:t>
      </w:r>
      <w:r w:rsidR="007D0064" w:rsidRPr="00FC37B2">
        <w:rPr>
          <w:b/>
          <w:lang w:val="en-GB"/>
        </w:rPr>
        <w:t>tion of</w:t>
      </w:r>
      <w:r w:rsidRPr="00FC37B2">
        <w:rPr>
          <w:b/>
          <w:lang w:val="en-GB"/>
        </w:rPr>
        <w:t xml:space="preserve"> demand </w:t>
      </w:r>
      <w:r w:rsidR="007D0064" w:rsidRPr="00FC37B2">
        <w:rPr>
          <w:b/>
          <w:lang w:val="en-GB"/>
        </w:rPr>
        <w:t>approach</w:t>
      </w:r>
    </w:p>
    <w:p w:rsidR="00D724DE" w:rsidRDefault="00D724DE" w:rsidP="00F32794">
      <w:pPr>
        <w:rPr>
          <w:b/>
          <w:lang w:val="en-GB"/>
        </w:rPr>
      </w:pPr>
    </w:p>
    <w:p w:rsidR="00D724DE" w:rsidRPr="00D724DE" w:rsidRDefault="00D724DE" w:rsidP="00D724DE">
      <w:pPr>
        <w:rPr>
          <w:lang w:val="en-GB"/>
        </w:rPr>
      </w:pPr>
      <w:r w:rsidRPr="00D724DE">
        <w:rPr>
          <w:lang w:val="en-GB"/>
        </w:rPr>
        <w:t>The GR should avoid any conflation of trafficking with sex work, acknowledge the agency of sex workers</w:t>
      </w:r>
      <w:r>
        <w:rPr>
          <w:rStyle w:val="FootnoteReference"/>
          <w:lang w:val="en-GB"/>
        </w:rPr>
        <w:footnoteReference w:id="6"/>
      </w:r>
      <w:r w:rsidRPr="00D724DE">
        <w:rPr>
          <w:lang w:val="en-GB"/>
        </w:rPr>
        <w:t xml:space="preserve"> and recognize sex work as work, fully benefitting from labour and social laws</w:t>
      </w:r>
      <w:r w:rsidR="009207F8">
        <w:rPr>
          <w:lang w:val="en-GB"/>
        </w:rPr>
        <w:t>, to be exercised respecting the decent work criteria set by the ILO</w:t>
      </w:r>
      <w:r w:rsidR="009207F8">
        <w:rPr>
          <w:rStyle w:val="FootnoteReference"/>
          <w:lang w:val="en-GB"/>
        </w:rPr>
        <w:footnoteReference w:id="7"/>
      </w:r>
      <w:r w:rsidRPr="00D724DE">
        <w:rPr>
          <w:lang w:val="en-GB"/>
        </w:rPr>
        <w:t xml:space="preserve">. </w:t>
      </w:r>
    </w:p>
    <w:p w:rsidR="00D724DE" w:rsidRPr="00D776A7" w:rsidRDefault="00D724DE" w:rsidP="00D724DE">
      <w:pPr>
        <w:pStyle w:val="ListParagraph"/>
        <w:rPr>
          <w:lang w:val="en-GB"/>
        </w:rPr>
      </w:pPr>
    </w:p>
    <w:p w:rsidR="00E84166" w:rsidRDefault="00D724DE" w:rsidP="00E84166">
      <w:pPr>
        <w:rPr>
          <w:lang w:val="en-GB"/>
        </w:rPr>
      </w:pPr>
      <w:r w:rsidRPr="00D724DE">
        <w:rPr>
          <w:lang w:val="en-GB"/>
        </w:rPr>
        <w:t xml:space="preserve">The GR should </w:t>
      </w:r>
      <w:r w:rsidR="004D31D3">
        <w:rPr>
          <w:lang w:val="en-GB"/>
        </w:rPr>
        <w:t xml:space="preserve">not recommend </w:t>
      </w:r>
      <w:r w:rsidR="007D0064" w:rsidRPr="00D724DE">
        <w:rPr>
          <w:lang w:val="en-GB"/>
        </w:rPr>
        <w:t>reducing</w:t>
      </w:r>
      <w:r w:rsidRPr="00D724DE">
        <w:rPr>
          <w:lang w:val="en-GB"/>
        </w:rPr>
        <w:t xml:space="preserve"> demand for sexual services offered by non</w:t>
      </w:r>
      <w:r w:rsidR="009207F8">
        <w:rPr>
          <w:lang w:val="en-GB"/>
        </w:rPr>
        <w:t>-</w:t>
      </w:r>
      <w:r w:rsidRPr="00D724DE">
        <w:rPr>
          <w:lang w:val="en-GB"/>
        </w:rPr>
        <w:t xml:space="preserve"> trafficked women</w:t>
      </w:r>
      <w:r w:rsidR="009207F8">
        <w:rPr>
          <w:lang w:val="en-GB"/>
        </w:rPr>
        <w:t xml:space="preserve">. </w:t>
      </w:r>
      <w:r w:rsidRPr="007B6B02">
        <w:rPr>
          <w:lang w:val="en-GB"/>
        </w:rPr>
        <w:t xml:space="preserve">Indeed, the call for reduction of demand, often linked to criminalization of clients, brings harm – unintended but nether less huge, to the very women </w:t>
      </w:r>
      <w:r w:rsidRPr="007B6B02">
        <w:rPr>
          <w:lang w:val="en-GB"/>
        </w:rPr>
        <w:lastRenderedPageBreak/>
        <w:t>this approach wants to protect</w:t>
      </w:r>
      <w:r>
        <w:rPr>
          <w:rStyle w:val="FootnoteReference"/>
          <w:lang w:val="en-GB"/>
        </w:rPr>
        <w:footnoteReference w:id="8"/>
      </w:r>
      <w:r w:rsidRPr="00D724DE">
        <w:rPr>
          <w:lang w:val="en-GB"/>
        </w:rPr>
        <w:t>. By conflating trafficking with sex wo</w:t>
      </w:r>
      <w:r w:rsidRPr="007B6B02">
        <w:rPr>
          <w:lang w:val="en-GB"/>
        </w:rPr>
        <w:t>rk and considering that prostitution is inherently exploitative</w:t>
      </w:r>
      <w:r w:rsidR="00E84166">
        <w:rPr>
          <w:lang w:val="en-GB"/>
        </w:rPr>
        <w:t xml:space="preserve"> even when exercised </w:t>
      </w:r>
      <w:r w:rsidR="009207F8">
        <w:rPr>
          <w:lang w:val="en-GB"/>
        </w:rPr>
        <w:t>freely</w:t>
      </w:r>
      <w:r w:rsidR="009613D4">
        <w:rPr>
          <w:rStyle w:val="FootnoteReference"/>
          <w:lang w:val="en-GB"/>
        </w:rPr>
        <w:footnoteReference w:id="9"/>
      </w:r>
      <w:r w:rsidRPr="007B6B02">
        <w:rPr>
          <w:lang w:val="en-GB"/>
        </w:rPr>
        <w:t>, this approach deprives sex work</w:t>
      </w:r>
      <w:r w:rsidR="004D31D3">
        <w:rPr>
          <w:lang w:val="en-GB"/>
        </w:rPr>
        <w:t xml:space="preserve">ers </w:t>
      </w:r>
      <w:r w:rsidRPr="007B6B02">
        <w:rPr>
          <w:lang w:val="en-GB"/>
        </w:rPr>
        <w:t>of their agency and exposes them to police, social services, and court</w:t>
      </w:r>
      <w:r w:rsidR="007D0064">
        <w:rPr>
          <w:lang w:val="en-GB"/>
        </w:rPr>
        <w:t>s</w:t>
      </w:r>
      <w:r w:rsidRPr="007B6B02">
        <w:rPr>
          <w:lang w:val="en-GB"/>
        </w:rPr>
        <w:t xml:space="preserve"> interventions – not to say abuse</w:t>
      </w:r>
      <w:r w:rsidR="00E84166">
        <w:rPr>
          <w:lang w:val="en-GB"/>
        </w:rPr>
        <w:t>s</w:t>
      </w:r>
      <w:r w:rsidRPr="007B6B02">
        <w:rPr>
          <w:lang w:val="en-GB"/>
        </w:rPr>
        <w:t xml:space="preserve"> –  that for migrant sex workers often mean immediate deportation, and that for all sex workers means </w:t>
      </w:r>
      <w:r w:rsidRPr="009613D4">
        <w:rPr>
          <w:lang w:val="en-GB"/>
        </w:rPr>
        <w:t>exposure to higher risks in the exercise of their work but also in their private lives, for in</w:t>
      </w:r>
      <w:r w:rsidRPr="007B6B02">
        <w:rPr>
          <w:lang w:val="en-GB"/>
        </w:rPr>
        <w:t xml:space="preserve">stance being deprived of custody of their children or losing their housing, as documented in a recent </w:t>
      </w:r>
      <w:r w:rsidRPr="009613D4">
        <w:rPr>
          <w:lang w:val="en-GB"/>
        </w:rPr>
        <w:t xml:space="preserve">analysis of the intended and non-intended effects of the Swedish Sex Purchase Act, </w:t>
      </w:r>
      <w:r w:rsidR="009613D4" w:rsidRPr="009613D4">
        <w:rPr>
          <w:lang w:val="en-GB"/>
        </w:rPr>
        <w:t xml:space="preserve">inspirer of </w:t>
      </w:r>
      <w:r w:rsidRPr="009613D4">
        <w:rPr>
          <w:lang w:val="en-GB"/>
        </w:rPr>
        <w:t>the “Nordic model”</w:t>
      </w:r>
      <w:r w:rsidRPr="009613D4">
        <w:rPr>
          <w:rStyle w:val="FootnoteReference"/>
          <w:lang w:val="en-GB"/>
        </w:rPr>
        <w:footnoteReference w:id="10"/>
      </w:r>
      <w:r w:rsidR="009613D4" w:rsidRPr="009613D4">
        <w:rPr>
          <w:lang w:val="en-GB"/>
        </w:rPr>
        <w:t>.</w:t>
      </w:r>
      <w:r w:rsidRPr="009613D4">
        <w:rPr>
          <w:lang w:val="en-GB"/>
        </w:rPr>
        <w:t xml:space="preserve"> </w:t>
      </w:r>
    </w:p>
    <w:p w:rsidR="00E84166" w:rsidRPr="00BC42E6" w:rsidRDefault="00E84166" w:rsidP="00E84166">
      <w:pPr>
        <w:pStyle w:val="ListParagraph"/>
        <w:rPr>
          <w:lang w:val="en-GB"/>
        </w:rPr>
      </w:pPr>
    </w:p>
    <w:p w:rsidR="00125830" w:rsidRDefault="00FC37B2" w:rsidP="00E84166">
      <w:pPr>
        <w:rPr>
          <w:lang w:val="en-GB"/>
        </w:rPr>
      </w:pPr>
      <w:r>
        <w:rPr>
          <w:lang w:val="en-GB"/>
        </w:rPr>
        <w:lastRenderedPageBreak/>
        <w:t>A recommendation in favour of</w:t>
      </w:r>
      <w:r w:rsidR="000158CC">
        <w:rPr>
          <w:lang w:val="en-GB"/>
        </w:rPr>
        <w:t xml:space="preserve"> the </w:t>
      </w:r>
      <w:r w:rsidR="00E84166" w:rsidRPr="00372289">
        <w:rPr>
          <w:lang w:val="en-GB"/>
        </w:rPr>
        <w:t xml:space="preserve">reduction of demand for </w:t>
      </w:r>
      <w:r w:rsidR="00125830">
        <w:rPr>
          <w:lang w:val="en-GB"/>
        </w:rPr>
        <w:t>sex wor</w:t>
      </w:r>
      <w:r>
        <w:rPr>
          <w:lang w:val="en-GB"/>
        </w:rPr>
        <w:t>k</w:t>
      </w:r>
      <w:r w:rsidR="00125830">
        <w:rPr>
          <w:lang w:val="en-GB"/>
        </w:rPr>
        <w:t xml:space="preserve"> would have to deal with the contradiction of not asking for </w:t>
      </w:r>
      <w:r w:rsidR="000158CC">
        <w:rPr>
          <w:lang w:val="en-GB"/>
        </w:rPr>
        <w:t xml:space="preserve">reduction of demand and/or </w:t>
      </w:r>
      <w:r w:rsidR="00125830">
        <w:rPr>
          <w:lang w:val="en-GB"/>
        </w:rPr>
        <w:t xml:space="preserve">criminalization of the end purchaser </w:t>
      </w:r>
      <w:r w:rsidR="00372289">
        <w:rPr>
          <w:lang w:val="en-GB"/>
        </w:rPr>
        <w:t>in other fields of labour</w:t>
      </w:r>
      <w:r w:rsidR="007D0064">
        <w:rPr>
          <w:lang w:val="en-GB"/>
        </w:rPr>
        <w:t xml:space="preserve"> particularly where forced labour/trafficking is frequent</w:t>
      </w:r>
      <w:r w:rsidR="00372289">
        <w:rPr>
          <w:lang w:val="en-GB"/>
        </w:rPr>
        <w:t xml:space="preserve">. Although one knows that domestic and/or care work is at high risk of forced labour, there </w:t>
      </w:r>
      <w:r w:rsidR="00EE1A86">
        <w:rPr>
          <w:lang w:val="en-GB"/>
        </w:rPr>
        <w:t xml:space="preserve">are </w:t>
      </w:r>
      <w:r w:rsidR="00372289">
        <w:rPr>
          <w:lang w:val="en-GB"/>
        </w:rPr>
        <w:t xml:space="preserve">no calls for </w:t>
      </w:r>
      <w:r w:rsidR="000158CC">
        <w:rPr>
          <w:lang w:val="en-GB"/>
        </w:rPr>
        <w:t xml:space="preserve">a reduction of the demand for domestic or care work and/or </w:t>
      </w:r>
      <w:r w:rsidR="00372289">
        <w:rPr>
          <w:lang w:val="en-GB"/>
        </w:rPr>
        <w:t xml:space="preserve">criminalizing the employers of </w:t>
      </w:r>
      <w:r w:rsidR="00125830">
        <w:rPr>
          <w:lang w:val="en-GB"/>
        </w:rPr>
        <w:t xml:space="preserve">domestic </w:t>
      </w:r>
      <w:r w:rsidR="00372289">
        <w:rPr>
          <w:lang w:val="en-GB"/>
        </w:rPr>
        <w:t xml:space="preserve">or care </w:t>
      </w:r>
      <w:r w:rsidR="00125830">
        <w:rPr>
          <w:lang w:val="en-GB"/>
        </w:rPr>
        <w:t>work</w:t>
      </w:r>
      <w:r w:rsidR="00372289">
        <w:rPr>
          <w:lang w:val="en-GB"/>
        </w:rPr>
        <w:t>ers. T</w:t>
      </w:r>
      <w:r w:rsidR="00125830">
        <w:rPr>
          <w:lang w:val="en-GB"/>
        </w:rPr>
        <w:t>he buyer</w:t>
      </w:r>
      <w:r w:rsidR="00682FF2">
        <w:rPr>
          <w:lang w:val="en-GB"/>
        </w:rPr>
        <w:t>s</w:t>
      </w:r>
      <w:r w:rsidR="00125830">
        <w:rPr>
          <w:lang w:val="en-GB"/>
        </w:rPr>
        <w:t xml:space="preserve"> of cheap clothing, the amateur</w:t>
      </w:r>
      <w:r w:rsidR="00682FF2">
        <w:rPr>
          <w:lang w:val="en-GB"/>
        </w:rPr>
        <w:t>s</w:t>
      </w:r>
      <w:r w:rsidR="00125830">
        <w:rPr>
          <w:lang w:val="en-GB"/>
        </w:rPr>
        <w:t xml:space="preserve"> of shrimps </w:t>
      </w:r>
      <w:r w:rsidR="00372289">
        <w:rPr>
          <w:lang w:val="en-GB"/>
        </w:rPr>
        <w:t xml:space="preserve">or tomatoes </w:t>
      </w:r>
      <w:r w:rsidR="00125830">
        <w:rPr>
          <w:lang w:val="en-GB"/>
        </w:rPr>
        <w:t>as end buyers know or should know that production of cheap goods often occur</w:t>
      </w:r>
      <w:r w:rsidR="00372289">
        <w:rPr>
          <w:lang w:val="en-GB"/>
        </w:rPr>
        <w:t>s</w:t>
      </w:r>
      <w:r w:rsidR="00125830">
        <w:rPr>
          <w:lang w:val="en-GB"/>
        </w:rPr>
        <w:t xml:space="preserve"> under conditions of forced labo</w:t>
      </w:r>
      <w:r w:rsidR="007D0064">
        <w:rPr>
          <w:lang w:val="en-GB"/>
        </w:rPr>
        <w:t>u</w:t>
      </w:r>
      <w:r w:rsidR="00125830">
        <w:rPr>
          <w:lang w:val="en-GB"/>
        </w:rPr>
        <w:t>r</w:t>
      </w:r>
      <w:r w:rsidR="00EE1A86">
        <w:rPr>
          <w:lang w:val="en-GB"/>
        </w:rPr>
        <w:t>/</w:t>
      </w:r>
      <w:r w:rsidR="00125830">
        <w:rPr>
          <w:lang w:val="en-GB"/>
        </w:rPr>
        <w:t>trafficking</w:t>
      </w:r>
      <w:r w:rsidR="007927DA">
        <w:rPr>
          <w:lang w:val="en-GB"/>
        </w:rPr>
        <w:t xml:space="preserve"> in which women are often the majority of victims</w:t>
      </w:r>
      <w:r w:rsidR="00125830">
        <w:rPr>
          <w:lang w:val="en-GB"/>
        </w:rPr>
        <w:t xml:space="preserve">. </w:t>
      </w:r>
      <w:r w:rsidR="00372289">
        <w:rPr>
          <w:lang w:val="en-GB"/>
        </w:rPr>
        <w:t>Yet, there is no call for</w:t>
      </w:r>
      <w:r w:rsidR="007927DA">
        <w:rPr>
          <w:lang w:val="en-GB"/>
        </w:rPr>
        <w:t xml:space="preserve"> reduction of demand for these goods and/or </w:t>
      </w:r>
      <w:r w:rsidR="00372289">
        <w:rPr>
          <w:lang w:val="en-GB"/>
        </w:rPr>
        <w:t>criminalizing the end buyers</w:t>
      </w:r>
      <w:r w:rsidR="007927DA">
        <w:rPr>
          <w:lang w:val="en-GB"/>
        </w:rPr>
        <w:t xml:space="preserve">. </w:t>
      </w:r>
      <w:r w:rsidR="00FE291A">
        <w:rPr>
          <w:lang w:val="en-GB"/>
        </w:rPr>
        <w:t xml:space="preserve">If there is a call, it </w:t>
      </w:r>
      <w:r w:rsidR="00372289">
        <w:rPr>
          <w:lang w:val="en-GB"/>
        </w:rPr>
        <w:t xml:space="preserve">is to improve the working conditions of the persons employed in those domains, at all stages of the process, and by all the actors involved. </w:t>
      </w:r>
      <w:r w:rsidR="00125830">
        <w:rPr>
          <w:lang w:val="en-GB"/>
        </w:rPr>
        <w:t xml:space="preserve">The GR should </w:t>
      </w:r>
      <w:r w:rsidR="00372289">
        <w:rPr>
          <w:lang w:val="en-GB"/>
        </w:rPr>
        <w:t xml:space="preserve">therefore </w:t>
      </w:r>
      <w:r w:rsidR="00125830">
        <w:rPr>
          <w:lang w:val="en-GB"/>
        </w:rPr>
        <w:t xml:space="preserve">recommend respect for the human rights of </w:t>
      </w:r>
      <w:r w:rsidR="00EE1A86">
        <w:rPr>
          <w:lang w:val="en-GB"/>
        </w:rPr>
        <w:t xml:space="preserve">all </w:t>
      </w:r>
      <w:r w:rsidR="00125830">
        <w:rPr>
          <w:lang w:val="en-GB"/>
        </w:rPr>
        <w:t>women, irrespective of the type of work they are involved in</w:t>
      </w:r>
      <w:r w:rsidR="00EE1A86">
        <w:rPr>
          <w:lang w:val="en-GB"/>
        </w:rPr>
        <w:t xml:space="preserve">, without asking to reduce their employment opportunities </w:t>
      </w:r>
      <w:r w:rsidR="007D0064">
        <w:rPr>
          <w:lang w:val="en-GB"/>
        </w:rPr>
        <w:t xml:space="preserve">in any field </w:t>
      </w:r>
      <w:r w:rsidR="00EE1A86">
        <w:rPr>
          <w:lang w:val="en-GB"/>
        </w:rPr>
        <w:t>but to ensure decent working conditions</w:t>
      </w:r>
      <w:r w:rsidR="00125830">
        <w:rPr>
          <w:lang w:val="en-GB"/>
        </w:rPr>
        <w:t xml:space="preserve">. </w:t>
      </w:r>
    </w:p>
    <w:p w:rsidR="00D724DE" w:rsidRDefault="00D724DE" w:rsidP="00F32794">
      <w:pPr>
        <w:rPr>
          <w:b/>
          <w:lang w:val="en-GB"/>
        </w:rPr>
      </w:pPr>
    </w:p>
    <w:p w:rsidR="007D0064" w:rsidRPr="00FC37B2" w:rsidRDefault="007D0064" w:rsidP="00FC37B2">
      <w:pPr>
        <w:pStyle w:val="ListParagraph"/>
        <w:numPr>
          <w:ilvl w:val="0"/>
          <w:numId w:val="15"/>
        </w:numPr>
        <w:rPr>
          <w:b/>
          <w:lang w:val="en-GB"/>
        </w:rPr>
      </w:pPr>
      <w:r w:rsidRPr="00FC37B2">
        <w:rPr>
          <w:b/>
          <w:lang w:val="en-GB"/>
        </w:rPr>
        <w:t>Failure of the mainstream metrics of performance for combatting trafficking</w:t>
      </w:r>
    </w:p>
    <w:p w:rsidR="007D0064" w:rsidRPr="009613D4" w:rsidRDefault="007D0064" w:rsidP="007D0064">
      <w:pPr>
        <w:rPr>
          <w:b/>
          <w:lang w:val="en-GB"/>
        </w:rPr>
      </w:pPr>
    </w:p>
    <w:p w:rsidR="007D0064" w:rsidRPr="007D0064" w:rsidRDefault="007D0064" w:rsidP="007D0064">
      <w:pPr>
        <w:rPr>
          <w:lang w:val="en-GB"/>
        </w:rPr>
      </w:pPr>
      <w:r w:rsidRPr="00372289">
        <w:rPr>
          <w:lang w:val="en-GB"/>
        </w:rPr>
        <w:t xml:space="preserve">The Committee should </w:t>
      </w:r>
      <w:r>
        <w:rPr>
          <w:lang w:val="en-GB"/>
        </w:rPr>
        <w:t xml:space="preserve">analyse </w:t>
      </w:r>
      <w:r w:rsidRPr="00372289">
        <w:rPr>
          <w:lang w:val="en-GB"/>
        </w:rPr>
        <w:t xml:space="preserve">metrics of success in the fight against trafficking in women and girls in the context of global migration, away from the </w:t>
      </w:r>
      <w:r w:rsidRPr="003F5A75">
        <w:rPr>
          <w:lang w:val="en-GB"/>
        </w:rPr>
        <w:t xml:space="preserve">US led concentration on criminal prosecutions and benchmarking on this basis of countries in the TIP </w:t>
      </w:r>
      <w:r w:rsidRPr="003F5A75">
        <w:rPr>
          <w:lang w:val="en-GB"/>
        </w:rPr>
        <w:lastRenderedPageBreak/>
        <w:t xml:space="preserve">reports. </w:t>
      </w:r>
      <w:r w:rsidRPr="004511FD">
        <w:rPr>
          <w:lang w:val="en-GB"/>
        </w:rPr>
        <w:t>For instance, the</w:t>
      </w:r>
      <w:r>
        <w:rPr>
          <w:lang w:val="en-GB"/>
        </w:rPr>
        <w:t xml:space="preserve"> GR could recommend critically looking into </w:t>
      </w:r>
      <w:r w:rsidRPr="004511FD">
        <w:rPr>
          <w:lang w:val="en-GB"/>
        </w:rPr>
        <w:t xml:space="preserve">the classification of countries under Tier 1 </w:t>
      </w:r>
      <w:r>
        <w:rPr>
          <w:lang w:val="en-GB"/>
        </w:rPr>
        <w:t xml:space="preserve">that </w:t>
      </w:r>
      <w:r w:rsidRPr="004511FD">
        <w:rPr>
          <w:lang w:val="en-GB"/>
        </w:rPr>
        <w:t>have a kafala system</w:t>
      </w:r>
      <w:r>
        <w:rPr>
          <w:lang w:val="en-GB"/>
        </w:rPr>
        <w:t xml:space="preserve"> or are known to have huge gaps in the identification of victims, the support they receive, </w:t>
      </w:r>
      <w:r w:rsidR="005066DA">
        <w:rPr>
          <w:lang w:val="en-GB"/>
        </w:rPr>
        <w:t>the conditions of their deportation and/</w:t>
      </w:r>
      <w:r>
        <w:rPr>
          <w:lang w:val="en-GB"/>
        </w:rPr>
        <w:t xml:space="preserve">or the </w:t>
      </w:r>
      <w:r w:rsidRPr="004511FD">
        <w:rPr>
          <w:lang w:val="en-GB"/>
        </w:rPr>
        <w:t>creat</w:t>
      </w:r>
      <w:r>
        <w:rPr>
          <w:lang w:val="en-GB"/>
        </w:rPr>
        <w:t xml:space="preserve">ion of </w:t>
      </w:r>
      <w:r w:rsidRPr="004511FD">
        <w:rPr>
          <w:lang w:val="en-GB"/>
        </w:rPr>
        <w:t>a hostile environment</w:t>
      </w:r>
      <w:r>
        <w:rPr>
          <w:lang w:val="en-GB"/>
        </w:rPr>
        <w:t xml:space="preserve"> towards victims of trafficking</w:t>
      </w:r>
      <w:r>
        <w:rPr>
          <w:rStyle w:val="FootnoteReference"/>
          <w:lang w:val="en-GB"/>
        </w:rPr>
        <w:footnoteReference w:id="11"/>
      </w:r>
      <w:r>
        <w:rPr>
          <w:lang w:val="en-GB"/>
        </w:rPr>
        <w:t>.  A</w:t>
      </w:r>
      <w:r w:rsidR="005066DA">
        <w:rPr>
          <w:lang w:val="en-GB"/>
        </w:rPr>
        <w:t xml:space="preserve">ccording to </w:t>
      </w:r>
      <w:r w:rsidRPr="003F5A75">
        <w:rPr>
          <w:lang w:val="en-GB"/>
        </w:rPr>
        <w:t>Prof</w:t>
      </w:r>
      <w:r w:rsidR="00682FF2">
        <w:rPr>
          <w:lang w:val="en-GB"/>
        </w:rPr>
        <w:t>essor</w:t>
      </w:r>
      <w:r w:rsidRPr="003F5A75">
        <w:rPr>
          <w:lang w:val="en-GB"/>
        </w:rPr>
        <w:t xml:space="preserve"> Chuang, the concentration on criminal law and prosecutions has failed to reach the aim of eradicating trafficking. The very low number of cases shows this failure, in particular regarding trafficking for exploitation in nonsexual labour. In addition, victims are exposed to pressures and risks </w:t>
      </w:r>
      <w:r>
        <w:rPr>
          <w:lang w:val="en-GB"/>
        </w:rPr>
        <w:t xml:space="preserve">during criminal proceedings, they often lack sufficient protection, social, financial and legal aid, </w:t>
      </w:r>
      <w:r w:rsidRPr="003F5A75">
        <w:rPr>
          <w:lang w:val="en-GB"/>
        </w:rPr>
        <w:t>and compensation to victims is often not obtained through this way</w:t>
      </w:r>
      <w:r>
        <w:rPr>
          <w:lang w:val="en-GB"/>
        </w:rPr>
        <w:t xml:space="preserve"> -especially if victims have already been deported</w:t>
      </w:r>
      <w:r w:rsidRPr="003F5A75">
        <w:rPr>
          <w:lang w:val="en-GB"/>
        </w:rPr>
        <w:t>. Lastly, the criminal approach is flawed by its “failure to address how the structure of labo</w:t>
      </w:r>
      <w:r w:rsidR="00682FF2">
        <w:rPr>
          <w:lang w:val="en-GB"/>
        </w:rPr>
        <w:t>u</w:t>
      </w:r>
      <w:r w:rsidRPr="003F5A75">
        <w:rPr>
          <w:lang w:val="en-GB"/>
        </w:rPr>
        <w:t>r relations and labo</w:t>
      </w:r>
      <w:r w:rsidR="00682FF2">
        <w:rPr>
          <w:lang w:val="en-GB"/>
        </w:rPr>
        <w:t>u</w:t>
      </w:r>
      <w:r w:rsidRPr="003F5A75">
        <w:rPr>
          <w:lang w:val="en-GB"/>
        </w:rPr>
        <w:t>r markers renders workers vulnerable to forced labour and trafficking”</w:t>
      </w:r>
      <w:r>
        <w:rPr>
          <w:rStyle w:val="FootnoteReference"/>
          <w:lang w:val="en-GB"/>
        </w:rPr>
        <w:footnoteReference w:id="12"/>
      </w:r>
      <w:r>
        <w:rPr>
          <w:lang w:val="en-GB"/>
        </w:rPr>
        <w:t>, including in guest workers programm</w:t>
      </w:r>
      <w:r w:rsidR="00682FF2">
        <w:rPr>
          <w:lang w:val="en-GB"/>
        </w:rPr>
        <w:t>es</w:t>
      </w:r>
      <w:r>
        <w:rPr>
          <w:lang w:val="en-GB"/>
        </w:rPr>
        <w:t xml:space="preserve">, or in relation to recruiting agencies’ </w:t>
      </w:r>
      <w:r w:rsidR="005066DA">
        <w:rPr>
          <w:lang w:val="en-GB"/>
        </w:rPr>
        <w:t xml:space="preserve">exorbitant </w:t>
      </w:r>
      <w:r>
        <w:rPr>
          <w:lang w:val="en-GB"/>
        </w:rPr>
        <w:t>fees.</w:t>
      </w:r>
    </w:p>
    <w:p w:rsidR="007D0064" w:rsidRDefault="007D0064" w:rsidP="007D0064">
      <w:pPr>
        <w:pStyle w:val="ListParagraph"/>
        <w:rPr>
          <w:lang w:val="en-GB"/>
        </w:rPr>
      </w:pPr>
    </w:p>
    <w:p w:rsidR="007D0064" w:rsidRDefault="007D0064" w:rsidP="007D0064">
      <w:pPr>
        <w:rPr>
          <w:b/>
          <w:lang w:val="en-GB"/>
        </w:rPr>
      </w:pPr>
      <w:r w:rsidRPr="00E84166">
        <w:rPr>
          <w:b/>
          <w:lang w:val="en-GB"/>
        </w:rPr>
        <w:t>New metrics of success</w:t>
      </w:r>
    </w:p>
    <w:p w:rsidR="007D0064" w:rsidRDefault="007D0064" w:rsidP="007D0064">
      <w:pPr>
        <w:rPr>
          <w:b/>
          <w:lang w:val="en-GB"/>
        </w:rPr>
      </w:pPr>
    </w:p>
    <w:p w:rsidR="007D0064" w:rsidRPr="006C0195" w:rsidRDefault="007D0064" w:rsidP="007D0064">
      <w:pPr>
        <w:rPr>
          <w:lang w:val="en-GB"/>
        </w:rPr>
      </w:pPr>
      <w:r w:rsidRPr="004511FD">
        <w:rPr>
          <w:lang w:val="en-GB"/>
        </w:rPr>
        <w:t>The GR</w:t>
      </w:r>
      <w:r>
        <w:rPr>
          <w:lang w:val="en-GB"/>
        </w:rPr>
        <w:t xml:space="preserve"> c</w:t>
      </w:r>
      <w:r w:rsidRPr="004511FD">
        <w:rPr>
          <w:lang w:val="en-GB"/>
        </w:rPr>
        <w:t xml:space="preserve">ould </w:t>
      </w:r>
      <w:r>
        <w:rPr>
          <w:lang w:val="en-GB"/>
        </w:rPr>
        <w:t xml:space="preserve">therefore </w:t>
      </w:r>
      <w:r w:rsidRPr="004511FD">
        <w:rPr>
          <w:lang w:val="en-GB"/>
        </w:rPr>
        <w:t xml:space="preserve">suggest </w:t>
      </w:r>
      <w:r>
        <w:rPr>
          <w:lang w:val="en-GB"/>
        </w:rPr>
        <w:t xml:space="preserve">new </w:t>
      </w:r>
      <w:r w:rsidRPr="004511FD">
        <w:rPr>
          <w:lang w:val="en-GB"/>
        </w:rPr>
        <w:t xml:space="preserve">criteria </w:t>
      </w:r>
      <w:r>
        <w:rPr>
          <w:lang w:val="en-GB"/>
        </w:rPr>
        <w:t xml:space="preserve">to measure </w:t>
      </w:r>
      <w:r w:rsidRPr="004511FD">
        <w:rPr>
          <w:lang w:val="en-GB"/>
        </w:rPr>
        <w:t>fight against trafficking</w:t>
      </w:r>
      <w:r>
        <w:rPr>
          <w:lang w:val="en-GB"/>
        </w:rPr>
        <w:t xml:space="preserve"> focussed first on effective </w:t>
      </w:r>
      <w:r w:rsidR="005066DA">
        <w:rPr>
          <w:lang w:val="en-GB"/>
        </w:rPr>
        <w:t xml:space="preserve">primary </w:t>
      </w:r>
      <w:r>
        <w:rPr>
          <w:lang w:val="en-GB"/>
        </w:rPr>
        <w:t xml:space="preserve">prevention </w:t>
      </w:r>
      <w:r w:rsidRPr="004511FD">
        <w:rPr>
          <w:lang w:val="en-GB"/>
        </w:rPr>
        <w:t>and</w:t>
      </w:r>
      <w:r>
        <w:rPr>
          <w:lang w:val="en-GB"/>
        </w:rPr>
        <w:t xml:space="preserve"> then </w:t>
      </w:r>
      <w:r w:rsidR="005066DA">
        <w:rPr>
          <w:lang w:val="en-GB"/>
        </w:rPr>
        <w:t xml:space="preserve">on </w:t>
      </w:r>
      <w:r>
        <w:rPr>
          <w:lang w:val="en-GB"/>
        </w:rPr>
        <w:t xml:space="preserve">protection </w:t>
      </w:r>
      <w:r w:rsidR="005066DA">
        <w:rPr>
          <w:lang w:val="en-GB"/>
        </w:rPr>
        <w:t xml:space="preserve">and treatment </w:t>
      </w:r>
      <w:r>
        <w:rPr>
          <w:lang w:val="en-GB"/>
        </w:rPr>
        <w:t xml:space="preserve">of victims. </w:t>
      </w:r>
      <w:r w:rsidRPr="00E84166">
        <w:rPr>
          <w:lang w:val="en-GB"/>
        </w:rPr>
        <w:t>Address</w:t>
      </w:r>
      <w:r>
        <w:rPr>
          <w:lang w:val="en-GB"/>
        </w:rPr>
        <w:t>ing</w:t>
      </w:r>
      <w:r w:rsidRPr="00E84166">
        <w:rPr>
          <w:lang w:val="en-GB"/>
        </w:rPr>
        <w:t xml:space="preserve"> </w:t>
      </w:r>
      <w:r>
        <w:rPr>
          <w:lang w:val="en-GB"/>
        </w:rPr>
        <w:t xml:space="preserve">education and </w:t>
      </w:r>
      <w:r w:rsidRPr="00E84166">
        <w:rPr>
          <w:lang w:val="en-GB"/>
        </w:rPr>
        <w:t>the labour market</w:t>
      </w:r>
      <w:r>
        <w:rPr>
          <w:lang w:val="en-GB"/>
        </w:rPr>
        <w:t xml:space="preserve"> and </w:t>
      </w:r>
      <w:r w:rsidRPr="00E84166">
        <w:rPr>
          <w:lang w:val="en-GB"/>
        </w:rPr>
        <w:t>focussing on the actions of corporations</w:t>
      </w:r>
      <w:r>
        <w:rPr>
          <w:lang w:val="en-GB"/>
        </w:rPr>
        <w:t xml:space="preserve"> and </w:t>
      </w:r>
      <w:r w:rsidRPr="00E84166">
        <w:rPr>
          <w:lang w:val="en-GB"/>
        </w:rPr>
        <w:t xml:space="preserve">employers to prevent slavery, forced labour, </w:t>
      </w:r>
      <w:r>
        <w:rPr>
          <w:lang w:val="en-GB"/>
        </w:rPr>
        <w:t>and trafficking would be</w:t>
      </w:r>
      <w:r w:rsidRPr="00E84166">
        <w:rPr>
          <w:lang w:val="en-GB"/>
        </w:rPr>
        <w:t xml:space="preserve"> more eff</w:t>
      </w:r>
      <w:r>
        <w:rPr>
          <w:lang w:val="en-GB"/>
        </w:rPr>
        <w:t>ective</w:t>
      </w:r>
      <w:r w:rsidRPr="00E84166">
        <w:rPr>
          <w:lang w:val="en-GB"/>
        </w:rPr>
        <w:t xml:space="preserve"> than trying to find isolated </w:t>
      </w:r>
      <w:r>
        <w:rPr>
          <w:lang w:val="en-GB"/>
        </w:rPr>
        <w:t>victims.</w:t>
      </w:r>
    </w:p>
    <w:p w:rsidR="007D0064" w:rsidRDefault="007D0064" w:rsidP="007D0064">
      <w:pPr>
        <w:rPr>
          <w:lang w:val="en-GB"/>
        </w:rPr>
      </w:pPr>
    </w:p>
    <w:p w:rsidR="007D0064" w:rsidRDefault="007D0064" w:rsidP="007D0064">
      <w:pPr>
        <w:rPr>
          <w:lang w:val="en-GB"/>
        </w:rPr>
      </w:pPr>
      <w:r w:rsidRPr="00E84166">
        <w:rPr>
          <w:lang w:val="en-GB"/>
        </w:rPr>
        <w:t xml:space="preserve">The new metrics of success </w:t>
      </w:r>
      <w:r>
        <w:rPr>
          <w:lang w:val="en-GB"/>
        </w:rPr>
        <w:t xml:space="preserve">for prevention could therefore </w:t>
      </w:r>
      <w:r w:rsidRPr="00E84166">
        <w:rPr>
          <w:lang w:val="en-GB"/>
        </w:rPr>
        <w:t xml:space="preserve">be the way in which States reduce the root </w:t>
      </w:r>
      <w:r>
        <w:rPr>
          <w:lang w:val="en-GB"/>
        </w:rPr>
        <w:t>causes of forced labo</w:t>
      </w:r>
      <w:r w:rsidR="00682FF2">
        <w:rPr>
          <w:lang w:val="en-GB"/>
        </w:rPr>
        <w:t>u</w:t>
      </w:r>
      <w:r>
        <w:rPr>
          <w:lang w:val="en-GB"/>
        </w:rPr>
        <w:t xml:space="preserve">r/trafficking </w:t>
      </w:r>
      <w:r w:rsidRPr="00E84166">
        <w:rPr>
          <w:lang w:val="en-GB"/>
        </w:rPr>
        <w:t xml:space="preserve">by: lifting their population away from poverty, providing proper education to all, with no gender-based discrimination either in access of choice of studies, ensure health care services </w:t>
      </w:r>
      <w:r>
        <w:rPr>
          <w:lang w:val="en-GB"/>
        </w:rPr>
        <w:t xml:space="preserve">; </w:t>
      </w:r>
      <w:r w:rsidRPr="00E84166">
        <w:rPr>
          <w:lang w:val="en-GB"/>
        </w:rPr>
        <w:t>improve the market</w:t>
      </w:r>
      <w:r>
        <w:rPr>
          <w:lang w:val="en-GB"/>
        </w:rPr>
        <w:t xml:space="preserve"> conditions through</w:t>
      </w:r>
      <w:r w:rsidRPr="00E84166">
        <w:rPr>
          <w:lang w:val="en-GB"/>
        </w:rPr>
        <w:t xml:space="preserve"> labor and social laws</w:t>
      </w:r>
      <w:r>
        <w:rPr>
          <w:lang w:val="en-GB"/>
        </w:rPr>
        <w:t xml:space="preserve">, </w:t>
      </w:r>
      <w:r w:rsidRPr="00E84166">
        <w:rPr>
          <w:lang w:val="en-GB"/>
        </w:rPr>
        <w:t xml:space="preserve">unionizing, collective bargaining and all other legislative or practical conditions </w:t>
      </w:r>
      <w:r>
        <w:rPr>
          <w:lang w:val="en-GB"/>
        </w:rPr>
        <w:t xml:space="preserve">determining </w:t>
      </w:r>
      <w:r w:rsidRPr="009207F8">
        <w:rPr>
          <w:lang w:val="en-GB"/>
        </w:rPr>
        <w:t xml:space="preserve">decent work opportunities for all, in particular tackling the structural gender discrimination </w:t>
      </w:r>
      <w:r>
        <w:rPr>
          <w:lang w:val="en-GB"/>
        </w:rPr>
        <w:t>in</w:t>
      </w:r>
      <w:r w:rsidRPr="009207F8">
        <w:rPr>
          <w:lang w:val="en-GB"/>
        </w:rPr>
        <w:t xml:space="preserve"> the world of work</w:t>
      </w:r>
      <w:r>
        <w:rPr>
          <w:lang w:val="en-GB"/>
        </w:rPr>
        <w:t>, formal and informal</w:t>
      </w:r>
      <w:r w:rsidRPr="009207F8">
        <w:rPr>
          <w:lang w:val="en-GB"/>
        </w:rPr>
        <w:t>.</w:t>
      </w:r>
    </w:p>
    <w:p w:rsidR="007D0064" w:rsidRDefault="007D0064" w:rsidP="007D0064">
      <w:pPr>
        <w:rPr>
          <w:lang w:val="en-GB"/>
        </w:rPr>
      </w:pPr>
    </w:p>
    <w:p w:rsidR="007D0064" w:rsidRDefault="007D0064" w:rsidP="007D0064">
      <w:pPr>
        <w:rPr>
          <w:lang w:val="en-GB"/>
        </w:rPr>
      </w:pPr>
      <w:r>
        <w:rPr>
          <w:lang w:val="en-GB"/>
        </w:rPr>
        <w:t>The GR could recommend proper access to justice as a</w:t>
      </w:r>
      <w:r w:rsidR="005066DA">
        <w:rPr>
          <w:lang w:val="en-GB"/>
        </w:rPr>
        <w:t>n important element for evaluation of secondary and tertiary prevention of forced la</w:t>
      </w:r>
      <w:r w:rsidR="00682FF2">
        <w:rPr>
          <w:lang w:val="en-GB"/>
        </w:rPr>
        <w:t>b</w:t>
      </w:r>
      <w:r w:rsidR="005066DA">
        <w:rPr>
          <w:lang w:val="en-GB"/>
        </w:rPr>
        <w:t xml:space="preserve">our/trafficking. </w:t>
      </w:r>
      <w:r>
        <w:rPr>
          <w:lang w:val="en-GB"/>
        </w:rPr>
        <w:t xml:space="preserve"> The GR should put the accent on the </w:t>
      </w:r>
      <w:r w:rsidRPr="00E84166">
        <w:rPr>
          <w:lang w:val="en-GB"/>
        </w:rPr>
        <w:t>services at disposal of victims, health, social and legal</w:t>
      </w:r>
      <w:r>
        <w:rPr>
          <w:lang w:val="en-GB"/>
        </w:rPr>
        <w:t xml:space="preserve"> services, the financial support they receive, proper housing, protection against retaliation by the employers/traffickers, the delinking of these services </w:t>
      </w:r>
      <w:r w:rsidRPr="00E84166">
        <w:rPr>
          <w:lang w:val="en-GB"/>
        </w:rPr>
        <w:t xml:space="preserve">from migration services so </w:t>
      </w:r>
      <w:r>
        <w:rPr>
          <w:lang w:val="en-GB"/>
        </w:rPr>
        <w:lastRenderedPageBreak/>
        <w:t xml:space="preserve">victims wouldn’t </w:t>
      </w:r>
      <w:r w:rsidRPr="00E84166">
        <w:rPr>
          <w:lang w:val="en-GB"/>
        </w:rPr>
        <w:t>fear deportation</w:t>
      </w:r>
      <w:r>
        <w:rPr>
          <w:lang w:val="en-GB"/>
        </w:rPr>
        <w:t>, and as a rule, renouncing deportation of victims</w:t>
      </w:r>
      <w:r>
        <w:rPr>
          <w:rStyle w:val="FootnoteReference"/>
          <w:lang w:val="en-GB"/>
        </w:rPr>
        <w:footnoteReference w:id="13"/>
      </w:r>
      <w:r>
        <w:rPr>
          <w:lang w:val="en-GB"/>
        </w:rPr>
        <w:t>.</w:t>
      </w:r>
      <w:r w:rsidRPr="00E84166">
        <w:rPr>
          <w:lang w:val="en-GB"/>
        </w:rPr>
        <w:t xml:space="preserve"> </w:t>
      </w:r>
      <w:r>
        <w:rPr>
          <w:lang w:val="en-GB"/>
        </w:rPr>
        <w:t>The GR could also recommend c</w:t>
      </w:r>
      <w:r w:rsidRPr="00E84166">
        <w:rPr>
          <w:lang w:val="en-GB"/>
        </w:rPr>
        <w:t xml:space="preserve">reation of funds for compensation, delinked from the willingness of the person to testify </w:t>
      </w:r>
      <w:r>
        <w:rPr>
          <w:lang w:val="en-GB"/>
        </w:rPr>
        <w:t>in criminal proceedings; b</w:t>
      </w:r>
      <w:r w:rsidRPr="00E84166">
        <w:rPr>
          <w:lang w:val="en-GB"/>
        </w:rPr>
        <w:t xml:space="preserve">eing identified as victim </w:t>
      </w:r>
      <w:r>
        <w:rPr>
          <w:lang w:val="en-GB"/>
        </w:rPr>
        <w:t xml:space="preserve">should </w:t>
      </w:r>
      <w:r w:rsidRPr="00E84166">
        <w:rPr>
          <w:lang w:val="en-GB"/>
        </w:rPr>
        <w:t xml:space="preserve">open </w:t>
      </w:r>
      <w:r>
        <w:rPr>
          <w:lang w:val="en-GB"/>
        </w:rPr>
        <w:t xml:space="preserve">a </w:t>
      </w:r>
      <w:r w:rsidRPr="00E84166">
        <w:rPr>
          <w:lang w:val="en-GB"/>
        </w:rPr>
        <w:t>right to compensation</w:t>
      </w:r>
      <w:r>
        <w:rPr>
          <w:lang w:val="en-GB"/>
        </w:rPr>
        <w:t xml:space="preserve">. </w:t>
      </w:r>
    </w:p>
    <w:p w:rsidR="007D0064" w:rsidRDefault="007D0064" w:rsidP="00F32794">
      <w:pPr>
        <w:rPr>
          <w:b/>
          <w:lang w:val="en-GB"/>
        </w:rPr>
      </w:pPr>
    </w:p>
    <w:p w:rsidR="00F32794" w:rsidRDefault="00F32794" w:rsidP="00F32794">
      <w:pPr>
        <w:rPr>
          <w:b/>
          <w:lang w:val="en-GB"/>
        </w:rPr>
      </w:pPr>
      <w:r w:rsidRPr="00F32794">
        <w:rPr>
          <w:b/>
          <w:lang w:val="en-GB"/>
        </w:rPr>
        <w:t>Effects of migration laws</w:t>
      </w:r>
    </w:p>
    <w:p w:rsidR="004511FD" w:rsidRPr="00F32794" w:rsidRDefault="004511FD" w:rsidP="00F32794">
      <w:pPr>
        <w:rPr>
          <w:b/>
          <w:lang w:val="en-GB"/>
        </w:rPr>
      </w:pPr>
    </w:p>
    <w:p w:rsidR="004511FD" w:rsidRDefault="002F43F7" w:rsidP="00CA33A8">
      <w:pPr>
        <w:rPr>
          <w:lang w:val="en-GB"/>
        </w:rPr>
      </w:pPr>
      <w:r w:rsidRPr="00F32794">
        <w:rPr>
          <w:lang w:val="en-GB"/>
        </w:rPr>
        <w:t xml:space="preserve">The GR must carefully analyse, under a gender perspective, the operation of migration laws in creating flows of illegal migrants and </w:t>
      </w:r>
      <w:r w:rsidR="0004161C" w:rsidRPr="00F32794">
        <w:rPr>
          <w:lang w:val="en-GB"/>
        </w:rPr>
        <w:t xml:space="preserve">exposing them to risks to their lives, health, bodily </w:t>
      </w:r>
      <w:r w:rsidR="00F32794">
        <w:rPr>
          <w:lang w:val="en-GB"/>
        </w:rPr>
        <w:t xml:space="preserve">and mental </w:t>
      </w:r>
      <w:r w:rsidR="0004161C" w:rsidRPr="00F32794">
        <w:rPr>
          <w:lang w:val="en-GB"/>
        </w:rPr>
        <w:t xml:space="preserve">integrity and freedom </w:t>
      </w:r>
      <w:r w:rsidRPr="00F32794">
        <w:rPr>
          <w:lang w:val="en-GB"/>
        </w:rPr>
        <w:t>during their attempt to reach the country of their choice</w:t>
      </w:r>
      <w:r w:rsidR="0004161C" w:rsidRPr="00F32794">
        <w:rPr>
          <w:lang w:val="en-GB"/>
        </w:rPr>
        <w:t xml:space="preserve"> or once there</w:t>
      </w:r>
      <w:r w:rsidRPr="00F32794">
        <w:rPr>
          <w:lang w:val="en-GB"/>
        </w:rPr>
        <w:t xml:space="preserve">. It should deconstruct how States themselves create higher risks for women by </w:t>
      </w:r>
      <w:r w:rsidR="00F32794">
        <w:rPr>
          <w:lang w:val="en-GB"/>
        </w:rPr>
        <w:t xml:space="preserve">insufficiently </w:t>
      </w:r>
      <w:r w:rsidRPr="00F32794">
        <w:rPr>
          <w:lang w:val="en-GB"/>
        </w:rPr>
        <w:t>tackl</w:t>
      </w:r>
      <w:r w:rsidR="00F32794">
        <w:rPr>
          <w:lang w:val="en-GB"/>
        </w:rPr>
        <w:t>ing</w:t>
      </w:r>
      <w:r w:rsidRPr="00F32794">
        <w:rPr>
          <w:lang w:val="en-GB"/>
        </w:rPr>
        <w:t xml:space="preserve"> poverty and gender-based discrimination, by setting bans or criteria limiting the migration of women that are never set for men’s migration and </w:t>
      </w:r>
      <w:r w:rsidR="00F32794">
        <w:rPr>
          <w:lang w:val="en-GB"/>
        </w:rPr>
        <w:t xml:space="preserve">that </w:t>
      </w:r>
      <w:r w:rsidRPr="00F32794">
        <w:rPr>
          <w:lang w:val="en-GB"/>
        </w:rPr>
        <w:t>limit women’s choices of a profession</w:t>
      </w:r>
      <w:r w:rsidR="00B016FD">
        <w:rPr>
          <w:lang w:val="en-GB"/>
        </w:rPr>
        <w:t>,</w:t>
      </w:r>
      <w:r w:rsidRPr="00F32794">
        <w:rPr>
          <w:lang w:val="en-GB"/>
        </w:rPr>
        <w:t xml:space="preserve"> freedom to move from their country and by excluding less qualified jobs from legal avenues of migration</w:t>
      </w:r>
      <w:r w:rsidR="008B1860">
        <w:rPr>
          <w:rStyle w:val="FootnoteReference"/>
          <w:lang w:val="en-GB"/>
        </w:rPr>
        <w:footnoteReference w:id="14"/>
      </w:r>
      <w:r w:rsidRPr="00F32794">
        <w:rPr>
          <w:lang w:val="en-GB"/>
        </w:rPr>
        <w:t xml:space="preserve">, in national laws and regional agreements. </w:t>
      </w:r>
    </w:p>
    <w:p w:rsidR="004511FD" w:rsidRDefault="004511FD" w:rsidP="00CA33A8">
      <w:pPr>
        <w:rPr>
          <w:lang w:val="en-GB"/>
        </w:rPr>
      </w:pPr>
    </w:p>
    <w:p w:rsidR="004511FD" w:rsidRDefault="0004161C" w:rsidP="00CA33A8">
      <w:pPr>
        <w:rPr>
          <w:lang w:val="en-GB"/>
        </w:rPr>
      </w:pPr>
      <w:r w:rsidRPr="00F32794">
        <w:rPr>
          <w:lang w:val="en-GB"/>
        </w:rPr>
        <w:lastRenderedPageBreak/>
        <w:t xml:space="preserve">The GR should recommend </w:t>
      </w:r>
      <w:r w:rsidR="00F32794">
        <w:rPr>
          <w:lang w:val="en-GB"/>
        </w:rPr>
        <w:t xml:space="preserve">that </w:t>
      </w:r>
      <w:r w:rsidRPr="00F32794">
        <w:rPr>
          <w:lang w:val="en-GB"/>
        </w:rPr>
        <w:t xml:space="preserve">States stop </w:t>
      </w:r>
      <w:r w:rsidR="00CA33A8">
        <w:rPr>
          <w:lang w:val="en-GB"/>
        </w:rPr>
        <w:t xml:space="preserve">forcing </w:t>
      </w:r>
      <w:r w:rsidR="002F43F7" w:rsidRPr="00F32794">
        <w:rPr>
          <w:lang w:val="en-GB"/>
        </w:rPr>
        <w:t>women with few/low qualifications to resort to smugglers and endure the risk that smuggling may result in forced labo</w:t>
      </w:r>
      <w:r w:rsidR="00682FF2">
        <w:rPr>
          <w:lang w:val="en-GB"/>
        </w:rPr>
        <w:t>u</w:t>
      </w:r>
      <w:r w:rsidR="002F43F7" w:rsidRPr="00F32794">
        <w:rPr>
          <w:lang w:val="en-GB"/>
        </w:rPr>
        <w:t xml:space="preserve">r and/or trafficking during their travel or in the country of destination. The GR should </w:t>
      </w:r>
      <w:r w:rsidRPr="00F32794">
        <w:rPr>
          <w:lang w:val="en-GB"/>
        </w:rPr>
        <w:t xml:space="preserve">also recommend </w:t>
      </w:r>
      <w:r w:rsidR="002F43F7" w:rsidRPr="00F32794">
        <w:rPr>
          <w:lang w:val="en-GB"/>
        </w:rPr>
        <w:t xml:space="preserve">that </w:t>
      </w:r>
      <w:r w:rsidR="00B016FD">
        <w:rPr>
          <w:lang w:val="en-GB"/>
        </w:rPr>
        <w:t xml:space="preserve">industrialised </w:t>
      </w:r>
      <w:r w:rsidR="002F43F7" w:rsidRPr="00F32794">
        <w:rPr>
          <w:lang w:val="en-GB"/>
        </w:rPr>
        <w:t>States</w:t>
      </w:r>
      <w:r w:rsidR="00B016FD">
        <w:rPr>
          <w:lang w:val="en-GB"/>
        </w:rPr>
        <w:t xml:space="preserve"> </w:t>
      </w:r>
      <w:r w:rsidRPr="00F32794">
        <w:rPr>
          <w:lang w:val="en-GB"/>
        </w:rPr>
        <w:t xml:space="preserve">cease to </w:t>
      </w:r>
      <w:r w:rsidR="002F43F7" w:rsidRPr="00F32794">
        <w:rPr>
          <w:lang w:val="en-GB"/>
        </w:rPr>
        <w:t xml:space="preserve">produce vulnerability to trafficking and/or forced labour for women and girls </w:t>
      </w:r>
      <w:r w:rsidR="00B016FD">
        <w:rPr>
          <w:lang w:val="en-GB"/>
        </w:rPr>
        <w:t xml:space="preserve">and </w:t>
      </w:r>
      <w:r w:rsidR="002F43F7" w:rsidRPr="00F32794">
        <w:rPr>
          <w:lang w:val="en-GB"/>
        </w:rPr>
        <w:t>acknowledg</w:t>
      </w:r>
      <w:r w:rsidR="00B016FD">
        <w:rPr>
          <w:lang w:val="en-GB"/>
        </w:rPr>
        <w:t xml:space="preserve">e </w:t>
      </w:r>
      <w:r w:rsidR="002F43F7" w:rsidRPr="00F32794">
        <w:rPr>
          <w:lang w:val="en-GB"/>
        </w:rPr>
        <w:t>the</w:t>
      </w:r>
      <w:r w:rsidR="00B016FD">
        <w:rPr>
          <w:lang w:val="en-GB"/>
        </w:rPr>
        <w:t>ir</w:t>
      </w:r>
      <w:r w:rsidR="002F43F7" w:rsidRPr="00F32794">
        <w:rPr>
          <w:lang w:val="en-GB"/>
        </w:rPr>
        <w:t xml:space="preserve"> need for </w:t>
      </w:r>
      <w:r w:rsidR="00B016FD">
        <w:rPr>
          <w:lang w:val="en-GB"/>
        </w:rPr>
        <w:t xml:space="preserve">the </w:t>
      </w:r>
      <w:r w:rsidR="002F43F7" w:rsidRPr="00F32794">
        <w:rPr>
          <w:lang w:val="en-GB"/>
        </w:rPr>
        <w:t>less qualified work</w:t>
      </w:r>
      <w:r w:rsidR="00B016FD">
        <w:rPr>
          <w:lang w:val="en-GB"/>
        </w:rPr>
        <w:t xml:space="preserve"> </w:t>
      </w:r>
      <w:r w:rsidR="004511FD">
        <w:rPr>
          <w:lang w:val="en-GB"/>
        </w:rPr>
        <w:t>predominantly ensured by women, such as domestic and/or care</w:t>
      </w:r>
      <w:r w:rsidR="002F43F7" w:rsidRPr="00F32794">
        <w:rPr>
          <w:lang w:val="en-GB"/>
        </w:rPr>
        <w:t xml:space="preserve"> work</w:t>
      </w:r>
      <w:r w:rsidR="004511FD">
        <w:rPr>
          <w:lang w:val="en-GB"/>
        </w:rPr>
        <w:t xml:space="preserve">. </w:t>
      </w:r>
    </w:p>
    <w:p w:rsidR="004511FD" w:rsidRDefault="004511FD" w:rsidP="00CA33A8">
      <w:pPr>
        <w:rPr>
          <w:lang w:val="en-GB"/>
        </w:rPr>
      </w:pPr>
    </w:p>
    <w:p w:rsidR="004511FD" w:rsidRDefault="002F43F7" w:rsidP="00CA33A8">
      <w:pPr>
        <w:rPr>
          <w:lang w:val="en-GB"/>
        </w:rPr>
      </w:pPr>
      <w:r w:rsidRPr="00F32794">
        <w:rPr>
          <w:lang w:val="en-GB"/>
        </w:rPr>
        <w:t xml:space="preserve">The GR should </w:t>
      </w:r>
      <w:r w:rsidR="00CA33A8">
        <w:rPr>
          <w:lang w:val="en-GB"/>
        </w:rPr>
        <w:t>also co</w:t>
      </w:r>
      <w:r w:rsidRPr="00F32794">
        <w:rPr>
          <w:lang w:val="en-GB"/>
        </w:rPr>
        <w:t xml:space="preserve">ntain a strong message on the need to ratify the Convention on the Protection of the Rights of All Migrant Workers and Members of Their Families which </w:t>
      </w:r>
      <w:r w:rsidR="00CA33A8">
        <w:rPr>
          <w:lang w:val="en-GB"/>
        </w:rPr>
        <w:t xml:space="preserve">would give women migrants workers a stronger protection than the </w:t>
      </w:r>
      <w:r w:rsidRPr="00F32794">
        <w:rPr>
          <w:lang w:val="en-GB"/>
        </w:rPr>
        <w:t xml:space="preserve">the Global Compact on Migration </w:t>
      </w:r>
      <w:r w:rsidR="00CA33A8">
        <w:rPr>
          <w:lang w:val="en-GB"/>
        </w:rPr>
        <w:t>will afford them.</w:t>
      </w:r>
      <w:r w:rsidRPr="00F32794">
        <w:rPr>
          <w:lang w:val="en-GB"/>
        </w:rPr>
        <w:t xml:space="preserve"> </w:t>
      </w:r>
    </w:p>
    <w:p w:rsidR="004511FD" w:rsidRDefault="004511FD" w:rsidP="00CA33A8">
      <w:pPr>
        <w:rPr>
          <w:lang w:val="en-GB"/>
        </w:rPr>
      </w:pPr>
    </w:p>
    <w:p w:rsidR="00D724DE" w:rsidRDefault="002F43F7" w:rsidP="000158CC">
      <w:pPr>
        <w:rPr>
          <w:lang w:val="en-GB"/>
        </w:rPr>
      </w:pPr>
      <w:r w:rsidRPr="003F5A75">
        <w:rPr>
          <w:lang w:val="en-GB"/>
        </w:rPr>
        <w:t xml:space="preserve">The GR should </w:t>
      </w:r>
      <w:r w:rsidR="000158CC">
        <w:rPr>
          <w:lang w:val="en-GB"/>
        </w:rPr>
        <w:t xml:space="preserve">recommend </w:t>
      </w:r>
      <w:r w:rsidRPr="003F5A75">
        <w:rPr>
          <w:lang w:val="en-GB"/>
        </w:rPr>
        <w:t>address</w:t>
      </w:r>
      <w:r w:rsidR="000158CC">
        <w:rPr>
          <w:lang w:val="en-GB"/>
        </w:rPr>
        <w:t>ing</w:t>
      </w:r>
      <w:r w:rsidRPr="003F5A75">
        <w:rPr>
          <w:lang w:val="en-GB"/>
        </w:rPr>
        <w:t xml:space="preserve"> the failures of </w:t>
      </w:r>
      <w:r w:rsidR="00CA33A8" w:rsidRPr="003F5A75">
        <w:rPr>
          <w:lang w:val="en-GB"/>
        </w:rPr>
        <w:t xml:space="preserve">national and/or </w:t>
      </w:r>
      <w:r w:rsidRPr="003F5A75">
        <w:rPr>
          <w:lang w:val="en-GB"/>
        </w:rPr>
        <w:t>regional agreements that created a migration “crisis”, such as with the European Union Dublin Agreement</w:t>
      </w:r>
      <w:r>
        <w:rPr>
          <w:rStyle w:val="FootnoteReference"/>
          <w:lang w:val="en-GB"/>
        </w:rPr>
        <w:footnoteReference w:id="15"/>
      </w:r>
      <w:r w:rsidRPr="003F5A75">
        <w:rPr>
          <w:lang w:val="en-GB"/>
        </w:rPr>
        <w:t xml:space="preserve"> and the ensuing, discourse</w:t>
      </w:r>
      <w:r w:rsidR="004511FD" w:rsidRPr="003F5A75">
        <w:rPr>
          <w:lang w:val="en-GB"/>
        </w:rPr>
        <w:t>s</w:t>
      </w:r>
      <w:r w:rsidRPr="003F5A75">
        <w:rPr>
          <w:lang w:val="en-GB"/>
        </w:rPr>
        <w:t xml:space="preserve"> on migration as a </w:t>
      </w:r>
      <w:r w:rsidR="000158CC">
        <w:rPr>
          <w:lang w:val="en-GB"/>
        </w:rPr>
        <w:t>“</w:t>
      </w:r>
      <w:r w:rsidRPr="003F5A75">
        <w:rPr>
          <w:lang w:val="en-GB"/>
        </w:rPr>
        <w:t>problem</w:t>
      </w:r>
      <w:r w:rsidR="000158CC">
        <w:rPr>
          <w:lang w:val="en-GB"/>
        </w:rPr>
        <w:t>”</w:t>
      </w:r>
      <w:r w:rsidRPr="003F5A75">
        <w:rPr>
          <w:lang w:val="en-GB"/>
        </w:rPr>
        <w:t xml:space="preserve">, </w:t>
      </w:r>
      <w:r w:rsidR="000158CC">
        <w:rPr>
          <w:lang w:val="en-GB"/>
        </w:rPr>
        <w:t>“</w:t>
      </w:r>
      <w:r w:rsidRPr="003F5A75">
        <w:rPr>
          <w:lang w:val="en-GB"/>
        </w:rPr>
        <w:t>a crisis</w:t>
      </w:r>
      <w:r w:rsidR="000158CC">
        <w:rPr>
          <w:lang w:val="en-GB"/>
        </w:rPr>
        <w:t>”</w:t>
      </w:r>
      <w:r w:rsidRPr="003F5A75">
        <w:rPr>
          <w:lang w:val="en-GB"/>
        </w:rPr>
        <w:t xml:space="preserve">, </w:t>
      </w:r>
      <w:r w:rsidR="004511FD" w:rsidRPr="003F5A75">
        <w:rPr>
          <w:lang w:val="en-GB"/>
        </w:rPr>
        <w:t xml:space="preserve">used </w:t>
      </w:r>
      <w:r w:rsidRPr="003F5A75">
        <w:rPr>
          <w:lang w:val="en-GB"/>
        </w:rPr>
        <w:t>to fan hatred of migrants</w:t>
      </w:r>
      <w:r w:rsidR="000158CC">
        <w:rPr>
          <w:lang w:val="en-GB"/>
        </w:rPr>
        <w:t xml:space="preserve"> and create an anti-migrant reaction</w:t>
      </w:r>
      <w:r w:rsidRPr="003F5A75">
        <w:rPr>
          <w:lang w:val="en-GB"/>
        </w:rPr>
        <w:t xml:space="preserve">. </w:t>
      </w:r>
      <w:r w:rsidR="000158CC">
        <w:rPr>
          <w:lang w:val="en-GB"/>
        </w:rPr>
        <w:t>The GR should also recommend measures to counteract this evolution.</w:t>
      </w:r>
    </w:p>
    <w:p w:rsidR="00BC42E6" w:rsidRPr="00BC42E6" w:rsidRDefault="00BC42E6" w:rsidP="00BC42E6">
      <w:pPr>
        <w:pStyle w:val="ListParagraph"/>
        <w:rPr>
          <w:lang w:val="en-GB"/>
        </w:rPr>
      </w:pPr>
    </w:p>
    <w:p w:rsidR="001E137D" w:rsidRPr="00EE1A86" w:rsidRDefault="00EE1A86" w:rsidP="00EE1A86">
      <w:pPr>
        <w:rPr>
          <w:b/>
          <w:lang w:val="en-GB"/>
        </w:rPr>
      </w:pPr>
      <w:r w:rsidRPr="00EE1A86">
        <w:rPr>
          <w:b/>
          <w:lang w:val="en-GB"/>
        </w:rPr>
        <w:lastRenderedPageBreak/>
        <w:t>Coherence with the Social Development Go</w:t>
      </w:r>
      <w:r>
        <w:rPr>
          <w:b/>
          <w:lang w:val="en-GB"/>
        </w:rPr>
        <w:t>a</w:t>
      </w:r>
      <w:r w:rsidRPr="00EE1A86">
        <w:rPr>
          <w:b/>
          <w:lang w:val="en-GB"/>
        </w:rPr>
        <w:t>ls</w:t>
      </w:r>
    </w:p>
    <w:p w:rsidR="00EE1A86" w:rsidRPr="00EE1A86" w:rsidRDefault="00EE1A86" w:rsidP="00EE1A86">
      <w:pPr>
        <w:rPr>
          <w:lang w:val="en-GB"/>
        </w:rPr>
      </w:pPr>
    </w:p>
    <w:p w:rsidR="00BE04E7" w:rsidRPr="00BE04E7" w:rsidRDefault="00EE1A86" w:rsidP="00EE1A86">
      <w:pPr>
        <w:rPr>
          <w:lang w:val="en-GB"/>
        </w:rPr>
      </w:pPr>
      <w:r>
        <w:rPr>
          <w:lang w:val="en-GB"/>
        </w:rPr>
        <w:t xml:space="preserve">To </w:t>
      </w:r>
      <w:r w:rsidR="00906F6A" w:rsidRPr="00EE1A86">
        <w:rPr>
          <w:lang w:val="en-GB"/>
        </w:rPr>
        <w:t>be c</w:t>
      </w:r>
      <w:r w:rsidR="00872025" w:rsidRPr="00EE1A86">
        <w:rPr>
          <w:lang w:val="en-GB"/>
        </w:rPr>
        <w:t>oherent with the link</w:t>
      </w:r>
      <w:r w:rsidR="00460142">
        <w:rPr>
          <w:lang w:val="en-GB"/>
        </w:rPr>
        <w:t>age</w:t>
      </w:r>
      <w:r w:rsidR="00872025" w:rsidRPr="00EE1A86">
        <w:rPr>
          <w:lang w:val="en-GB"/>
        </w:rPr>
        <w:t xml:space="preserve"> the Committee </w:t>
      </w:r>
      <w:r>
        <w:rPr>
          <w:lang w:val="en-GB"/>
        </w:rPr>
        <w:t xml:space="preserve">systematically </w:t>
      </w:r>
      <w:r w:rsidR="003F413B" w:rsidRPr="00EE1A86">
        <w:rPr>
          <w:lang w:val="en-GB"/>
        </w:rPr>
        <w:t xml:space="preserve">makes </w:t>
      </w:r>
      <w:r w:rsidR="00872025" w:rsidRPr="00EE1A86">
        <w:rPr>
          <w:lang w:val="en-GB"/>
        </w:rPr>
        <w:t xml:space="preserve">between the Sustainable Development Goals and the </w:t>
      </w:r>
      <w:r w:rsidR="000C764E">
        <w:rPr>
          <w:lang w:val="en-GB"/>
        </w:rPr>
        <w:t>CEDAW C</w:t>
      </w:r>
      <w:r w:rsidR="00872025" w:rsidRPr="00EE1A86">
        <w:rPr>
          <w:lang w:val="en-GB"/>
        </w:rPr>
        <w:t xml:space="preserve">onvention, the GR should put </w:t>
      </w:r>
      <w:r w:rsidR="003F413B" w:rsidRPr="00EE1A86">
        <w:rPr>
          <w:lang w:val="en-GB"/>
        </w:rPr>
        <w:t xml:space="preserve">the main accent on </w:t>
      </w:r>
      <w:r w:rsidR="00E81B7D" w:rsidRPr="00EE1A86">
        <w:rPr>
          <w:lang w:val="en-GB"/>
        </w:rPr>
        <w:t xml:space="preserve">an anti-discrimination, </w:t>
      </w:r>
      <w:r w:rsidR="003F413B" w:rsidRPr="00EE1A86">
        <w:rPr>
          <w:lang w:val="en-GB"/>
        </w:rPr>
        <w:t xml:space="preserve"> </w:t>
      </w:r>
      <w:r w:rsidR="000C764E">
        <w:rPr>
          <w:lang w:val="en-GB"/>
        </w:rPr>
        <w:t xml:space="preserve">gender-equality, </w:t>
      </w:r>
      <w:r w:rsidR="00682FF2" w:rsidRPr="00EE1A86">
        <w:rPr>
          <w:lang w:val="en-GB"/>
        </w:rPr>
        <w:t>labour</w:t>
      </w:r>
      <w:r w:rsidR="003F413B" w:rsidRPr="00EE1A86">
        <w:rPr>
          <w:lang w:val="en-GB"/>
        </w:rPr>
        <w:t>, social</w:t>
      </w:r>
      <w:r w:rsidR="001E137D" w:rsidRPr="00EE1A86">
        <w:rPr>
          <w:lang w:val="en-GB"/>
        </w:rPr>
        <w:t xml:space="preserve">, </w:t>
      </w:r>
      <w:r w:rsidR="003F413B" w:rsidRPr="00EE1A86">
        <w:rPr>
          <w:lang w:val="en-GB"/>
        </w:rPr>
        <w:t xml:space="preserve">health </w:t>
      </w:r>
      <w:r w:rsidR="001E137D" w:rsidRPr="00EE1A86">
        <w:rPr>
          <w:lang w:val="en-GB"/>
        </w:rPr>
        <w:t xml:space="preserve">and education </w:t>
      </w:r>
      <w:r w:rsidR="003F413B" w:rsidRPr="00EE1A86">
        <w:rPr>
          <w:lang w:val="en-GB"/>
        </w:rPr>
        <w:t>law approach</w:t>
      </w:r>
      <w:r w:rsidR="00460142">
        <w:rPr>
          <w:lang w:val="en-GB"/>
        </w:rPr>
        <w:t>,</w:t>
      </w:r>
      <w:r w:rsidR="003F413B" w:rsidRPr="00EE1A86">
        <w:rPr>
          <w:lang w:val="en-GB"/>
        </w:rPr>
        <w:t xml:space="preserve"> granting the best protection possible under these legal frameworks</w:t>
      </w:r>
      <w:r w:rsidR="001E137D">
        <w:rPr>
          <w:rStyle w:val="FootnoteReference"/>
          <w:lang w:val="en-GB"/>
        </w:rPr>
        <w:footnoteReference w:id="16"/>
      </w:r>
      <w:r w:rsidR="001E137D" w:rsidRPr="00EE1A86">
        <w:rPr>
          <w:lang w:val="en-GB"/>
        </w:rPr>
        <w:t xml:space="preserve"> and objectives</w:t>
      </w:r>
      <w:r w:rsidR="003F413B" w:rsidRPr="00EE1A86">
        <w:rPr>
          <w:lang w:val="en-GB"/>
        </w:rPr>
        <w:t xml:space="preserve">, enabling primary prevention, </w:t>
      </w:r>
      <w:r w:rsidR="006B7E9B">
        <w:rPr>
          <w:lang w:val="en-GB"/>
        </w:rPr>
        <w:t xml:space="preserve">and not </w:t>
      </w:r>
      <w:r w:rsidR="003F413B" w:rsidRPr="00EE1A86">
        <w:rPr>
          <w:lang w:val="en-GB"/>
        </w:rPr>
        <w:t xml:space="preserve">relying mainly on secondary or tertiary prevention of </w:t>
      </w:r>
      <w:r>
        <w:rPr>
          <w:lang w:val="en-GB"/>
        </w:rPr>
        <w:t>forced labo</w:t>
      </w:r>
      <w:r w:rsidR="00682FF2">
        <w:rPr>
          <w:lang w:val="en-GB"/>
        </w:rPr>
        <w:t>u</w:t>
      </w:r>
      <w:r>
        <w:rPr>
          <w:lang w:val="en-GB"/>
        </w:rPr>
        <w:t>r/trafficking.</w:t>
      </w:r>
      <w:r w:rsidR="003F413B" w:rsidRPr="00EE1A86">
        <w:rPr>
          <w:lang w:val="en-GB"/>
        </w:rPr>
        <w:t xml:space="preserve"> </w:t>
      </w:r>
      <w:r>
        <w:rPr>
          <w:lang w:val="en-GB"/>
        </w:rPr>
        <w:t xml:space="preserve">This means recommending the right of all </w:t>
      </w:r>
      <w:r w:rsidR="006B7E9B">
        <w:rPr>
          <w:lang w:val="en-GB"/>
        </w:rPr>
        <w:t xml:space="preserve">women at risk of trafficking or trafficked, migrant or not, </w:t>
      </w:r>
      <w:r w:rsidRPr="00460142">
        <w:rPr>
          <w:i/>
          <w:lang w:val="en-GB"/>
        </w:rPr>
        <w:t>irrelevant of their field of work</w:t>
      </w:r>
      <w:r>
        <w:rPr>
          <w:lang w:val="en-GB"/>
        </w:rPr>
        <w:t xml:space="preserve">, to freedom of expression, association and assembly, to unionize and to collective bargaining, and their inclusion under the protection of labour and social laws, including occupational health and safety laws and social security laws. </w:t>
      </w:r>
      <w:r w:rsidR="006B7E9B">
        <w:rPr>
          <w:lang w:val="en-GB"/>
        </w:rPr>
        <w:t>And thus the GR w</w:t>
      </w:r>
      <w:r w:rsidR="00DB3191">
        <w:rPr>
          <w:lang w:val="en-GB"/>
        </w:rPr>
        <w:t>ill</w:t>
      </w:r>
      <w:r w:rsidR="006B7E9B">
        <w:rPr>
          <w:lang w:val="en-GB"/>
        </w:rPr>
        <w:t xml:space="preserve"> help implement the main principle of the SDG’s, “leave no one behind and reach the furthest behind first”.</w:t>
      </w:r>
    </w:p>
    <w:p w:rsidR="00F621CC" w:rsidRPr="0004161C" w:rsidRDefault="00F621CC" w:rsidP="0004161C">
      <w:pPr>
        <w:rPr>
          <w:lang w:val="en-GB"/>
        </w:rPr>
      </w:pPr>
    </w:p>
    <w:sectPr w:rsidR="00F621CC" w:rsidRPr="0004161C" w:rsidSect="00BA26DA">
      <w:headerReference w:type="even" r:id="rId8"/>
      <w:head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8E4" w:rsidRDefault="006E28E4" w:rsidP="00BA26DA">
      <w:r>
        <w:separator/>
      </w:r>
    </w:p>
  </w:endnote>
  <w:endnote w:type="continuationSeparator" w:id="0">
    <w:p w:rsidR="006E28E4" w:rsidRDefault="006E28E4" w:rsidP="00BA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orps C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8E4" w:rsidRDefault="006E28E4" w:rsidP="00BA26DA">
      <w:r>
        <w:separator/>
      </w:r>
    </w:p>
  </w:footnote>
  <w:footnote w:type="continuationSeparator" w:id="0">
    <w:p w:rsidR="006E28E4" w:rsidRDefault="006E28E4" w:rsidP="00BA26DA">
      <w:r>
        <w:continuationSeparator/>
      </w:r>
    </w:p>
  </w:footnote>
  <w:footnote w:id="1">
    <w:p w:rsidR="007D0064" w:rsidRPr="006C0195" w:rsidRDefault="007D0064" w:rsidP="009613D4">
      <w:pPr>
        <w:pStyle w:val="FootnoteText"/>
        <w:rPr>
          <w:sz w:val="18"/>
          <w:szCs w:val="18"/>
          <w:lang w:val="en-US"/>
        </w:rPr>
      </w:pPr>
      <w:r w:rsidRPr="006C0195">
        <w:rPr>
          <w:rStyle w:val="FootnoteReference"/>
          <w:sz w:val="18"/>
          <w:szCs w:val="18"/>
        </w:rPr>
        <w:footnoteRef/>
      </w:r>
      <w:r w:rsidRPr="006C0195">
        <w:rPr>
          <w:sz w:val="18"/>
          <w:szCs w:val="18"/>
          <w:lang w:val="en-US"/>
        </w:rPr>
        <w:t xml:space="preserve"> Janie A. Chuang </w:t>
      </w:r>
      <w:r w:rsidR="00DB3191">
        <w:rPr>
          <w:sz w:val="18"/>
          <w:szCs w:val="18"/>
          <w:lang w:val="en-US"/>
        </w:rPr>
        <w:t>,</w:t>
      </w:r>
      <w:r w:rsidRPr="006C0195">
        <w:rPr>
          <w:sz w:val="18"/>
          <w:szCs w:val="18"/>
          <w:lang w:val="en-US"/>
        </w:rPr>
        <w:t xml:space="preserve"> </w:t>
      </w:r>
      <w:r w:rsidRPr="00DB3191">
        <w:rPr>
          <w:i/>
          <w:sz w:val="18"/>
          <w:szCs w:val="18"/>
          <w:lang w:val="en-US"/>
        </w:rPr>
        <w:t>The United States as Global Sheriff: Using Unilateral Sanctions to Combat Human Trafficking</w:t>
      </w:r>
      <w:r w:rsidRPr="006C0195">
        <w:rPr>
          <w:sz w:val="18"/>
          <w:szCs w:val="18"/>
          <w:lang w:val="en-US"/>
        </w:rPr>
        <w:t>, Michigan Journal of International Law, 2006, Volume 27 | Issue 2</w:t>
      </w:r>
      <w:r w:rsidR="00DB3191">
        <w:rPr>
          <w:sz w:val="18"/>
          <w:szCs w:val="18"/>
          <w:lang w:val="en-US"/>
        </w:rPr>
        <w:t>, h</w:t>
      </w:r>
      <w:r w:rsidR="00DB3191" w:rsidRPr="00DB3191">
        <w:rPr>
          <w:sz w:val="18"/>
          <w:szCs w:val="18"/>
          <w:lang w:val="en-US"/>
        </w:rPr>
        <w:t>ttps://repository.law.umich.edu/cgi/viewcontent.cgi?article=1188&amp;context=mjil</w:t>
      </w:r>
    </w:p>
  </w:footnote>
  <w:footnote w:id="2">
    <w:p w:rsidR="007D0064" w:rsidRPr="003326BE" w:rsidRDefault="007D0064">
      <w:pPr>
        <w:pStyle w:val="FootnoteText"/>
        <w:rPr>
          <w:lang w:val="en-US"/>
        </w:rPr>
      </w:pPr>
      <w:r>
        <w:rPr>
          <w:rStyle w:val="FootnoteReference"/>
        </w:rPr>
        <w:footnoteRef/>
      </w:r>
      <w:r w:rsidRPr="003326BE">
        <w:rPr>
          <w:lang w:val="en-US"/>
        </w:rPr>
        <w:t xml:space="preserve"> </w:t>
      </w:r>
      <w:r w:rsidRPr="006C0195">
        <w:rPr>
          <w:sz w:val="18"/>
          <w:szCs w:val="18"/>
          <w:lang w:val="en-US"/>
        </w:rPr>
        <w:t xml:space="preserve">Janie A. Chuang, The American Journal of International Law, Vol. 108, No. 4 (October 2014) pp. 609-649, </w:t>
      </w:r>
      <w:r w:rsidRPr="006C0195">
        <w:rPr>
          <w:i/>
          <w:sz w:val="18"/>
          <w:szCs w:val="18"/>
          <w:lang w:val="en-GB"/>
        </w:rPr>
        <w:t>Exploitation creep and the unmaking of human trafficking law</w:t>
      </w:r>
      <w:r w:rsidRPr="006C0195">
        <w:rPr>
          <w:sz w:val="18"/>
          <w:szCs w:val="18"/>
          <w:lang w:val="en-GB"/>
        </w:rPr>
        <w:t xml:space="preserve"> </w:t>
      </w:r>
      <w:hyperlink r:id="rId1" w:history="1">
        <w:r w:rsidRPr="006C0195">
          <w:rPr>
            <w:rStyle w:val="Hyperlink"/>
            <w:sz w:val="18"/>
            <w:szCs w:val="18"/>
            <w:lang w:val="en-US"/>
          </w:rPr>
          <w:t>https://www.jstor.org/stable/10.5305/amerjintelaw.108.4.0609?seq=1 - metadata_info_tab_contents</w:t>
        </w:r>
      </w:hyperlink>
    </w:p>
  </w:footnote>
  <w:footnote w:id="3">
    <w:p w:rsidR="007D0064" w:rsidRPr="003326BE" w:rsidRDefault="007D0064">
      <w:pPr>
        <w:pStyle w:val="FootnoteText"/>
        <w:rPr>
          <w:sz w:val="18"/>
          <w:szCs w:val="18"/>
          <w:lang w:val="en-US"/>
        </w:rPr>
      </w:pPr>
      <w:r w:rsidRPr="006C0195">
        <w:rPr>
          <w:rStyle w:val="FootnoteReference"/>
          <w:sz w:val="18"/>
          <w:szCs w:val="18"/>
        </w:rPr>
        <w:footnoteRef/>
      </w:r>
      <w:r w:rsidRPr="006C0195">
        <w:rPr>
          <w:sz w:val="18"/>
          <w:szCs w:val="18"/>
          <w:lang w:val="en-US"/>
        </w:rPr>
        <w:t xml:space="preserve"> Janie A. Chuang, </w:t>
      </w:r>
      <w:r>
        <w:rPr>
          <w:sz w:val="18"/>
          <w:szCs w:val="18"/>
          <w:lang w:val="en-US"/>
        </w:rPr>
        <w:t xml:space="preserve">see note 2 </w:t>
      </w:r>
      <w:r w:rsidRPr="006C0195">
        <w:rPr>
          <w:i/>
          <w:sz w:val="18"/>
          <w:szCs w:val="18"/>
          <w:lang w:val="en-GB"/>
        </w:rPr>
        <w:t>Exploitation creep and the unmaking of human trafficking law</w:t>
      </w:r>
      <w:r w:rsidRPr="006C0195">
        <w:rPr>
          <w:sz w:val="18"/>
          <w:szCs w:val="18"/>
          <w:lang w:val="en-GB"/>
        </w:rPr>
        <w:t xml:space="preserve"> </w:t>
      </w:r>
      <w:r>
        <w:rPr>
          <w:rStyle w:val="Hyperlink"/>
          <w:sz w:val="18"/>
          <w:szCs w:val="18"/>
          <w:lang w:val="en-US"/>
        </w:rPr>
        <w:t xml:space="preserve">; </w:t>
      </w:r>
      <w:r w:rsidRPr="006C0195">
        <w:rPr>
          <w:sz w:val="18"/>
          <w:szCs w:val="18"/>
          <w:lang w:val="en-US"/>
        </w:rPr>
        <w:t>T</w:t>
      </w:r>
      <w:r w:rsidRPr="006C0195">
        <w:rPr>
          <w:sz w:val="18"/>
          <w:szCs w:val="18"/>
          <w:lang w:val="en-GB"/>
        </w:rPr>
        <w:t xml:space="preserve">he Business of sex, ed. </w:t>
      </w:r>
      <w:r w:rsidRPr="006C0195">
        <w:rPr>
          <w:sz w:val="18"/>
          <w:szCs w:val="18"/>
          <w:lang w:val="en-US"/>
        </w:rPr>
        <w:t>By Laxmi Murthy and Meena Saraswathi Seshu, 2013, Zuban</w:t>
      </w:r>
    </w:p>
  </w:footnote>
  <w:footnote w:id="4">
    <w:p w:rsidR="007D0064" w:rsidRPr="006C0195" w:rsidRDefault="007D0064">
      <w:pPr>
        <w:pStyle w:val="FootnoteText"/>
        <w:rPr>
          <w:sz w:val="18"/>
          <w:szCs w:val="18"/>
          <w:lang w:val="en-US"/>
        </w:rPr>
      </w:pPr>
      <w:r>
        <w:rPr>
          <w:rStyle w:val="FootnoteReference"/>
        </w:rPr>
        <w:footnoteRef/>
      </w:r>
      <w:r w:rsidRPr="003F5A75">
        <w:rPr>
          <w:lang w:val="en-US"/>
        </w:rPr>
        <w:t xml:space="preserve"> </w:t>
      </w:r>
      <w:r w:rsidRPr="003F5A75">
        <w:rPr>
          <w:sz w:val="18"/>
          <w:szCs w:val="18"/>
          <w:lang w:val="en-US"/>
        </w:rPr>
        <w:t>T</w:t>
      </w:r>
      <w:r w:rsidRPr="006C0195">
        <w:rPr>
          <w:sz w:val="18"/>
          <w:szCs w:val="18"/>
          <w:lang w:val="en-GB"/>
        </w:rPr>
        <w:t xml:space="preserve">he Business of sex, ed. </w:t>
      </w:r>
      <w:r w:rsidRPr="006C0195">
        <w:rPr>
          <w:sz w:val="18"/>
          <w:szCs w:val="18"/>
          <w:lang w:val="en-US"/>
        </w:rPr>
        <w:t>By Laxmi Murthy and Meena Saraswathi Seshu, 2013, Zuban</w:t>
      </w:r>
    </w:p>
  </w:footnote>
  <w:footnote w:id="5">
    <w:p w:rsidR="007D0064" w:rsidRPr="006C0195" w:rsidRDefault="007D0064" w:rsidP="00651976">
      <w:pPr>
        <w:pStyle w:val="FootnoteText"/>
        <w:rPr>
          <w:sz w:val="18"/>
          <w:szCs w:val="18"/>
          <w:lang w:val="en-US"/>
        </w:rPr>
      </w:pPr>
      <w:r w:rsidRPr="003F5A75">
        <w:rPr>
          <w:rStyle w:val="FootnoteReference"/>
          <w:sz w:val="18"/>
          <w:szCs w:val="18"/>
        </w:rPr>
        <w:footnoteRef/>
      </w:r>
      <w:r w:rsidRPr="003F5A75">
        <w:rPr>
          <w:sz w:val="18"/>
          <w:szCs w:val="18"/>
          <w:lang w:val="en-US"/>
        </w:rPr>
        <w:t xml:space="preserve"> Joanne Csete, </w:t>
      </w:r>
      <w:r w:rsidRPr="003F5A75">
        <w:rPr>
          <w:i/>
          <w:sz w:val="18"/>
          <w:szCs w:val="18"/>
          <w:lang w:val="en-US"/>
        </w:rPr>
        <w:t>Victimhood and Vulnerability, sex work and the Rhetoric and Reality of the Global Response to HIV/AIDS</w:t>
      </w:r>
      <w:r w:rsidRPr="003F5A75">
        <w:rPr>
          <w:sz w:val="18"/>
          <w:szCs w:val="18"/>
          <w:lang w:val="en-US"/>
        </w:rPr>
        <w:t>, in The Business of Sex, see note 1</w:t>
      </w:r>
    </w:p>
  </w:footnote>
  <w:footnote w:id="6">
    <w:p w:rsidR="007D0064" w:rsidRPr="003F5A75" w:rsidRDefault="007D0064" w:rsidP="00D724DE">
      <w:pPr>
        <w:pStyle w:val="FootnoteText"/>
        <w:rPr>
          <w:sz w:val="18"/>
          <w:szCs w:val="18"/>
          <w:lang w:val="en-US"/>
        </w:rPr>
      </w:pPr>
      <w:r w:rsidRPr="003F5A75">
        <w:rPr>
          <w:rStyle w:val="FootnoteReference"/>
          <w:sz w:val="18"/>
          <w:szCs w:val="18"/>
        </w:rPr>
        <w:footnoteRef/>
      </w:r>
      <w:r w:rsidRPr="003F5A75">
        <w:rPr>
          <w:sz w:val="18"/>
          <w:szCs w:val="18"/>
          <w:lang w:val="en-US"/>
        </w:rPr>
        <w:t xml:space="preserve"> </w:t>
      </w:r>
      <w:r w:rsidRPr="003F5A75">
        <w:rPr>
          <w:sz w:val="18"/>
          <w:szCs w:val="18"/>
          <w:lang w:val="en-GB"/>
        </w:rPr>
        <w:t xml:space="preserve">Meena Saraswathi Seshu and Laxmi Murthy,  </w:t>
      </w:r>
      <w:r w:rsidRPr="003F5A75">
        <w:rPr>
          <w:i/>
          <w:sz w:val="18"/>
          <w:szCs w:val="18"/>
          <w:lang w:val="en-GB"/>
        </w:rPr>
        <w:t xml:space="preserve">The Feminist and the sex worker </w:t>
      </w:r>
      <w:r w:rsidRPr="003F5A75">
        <w:rPr>
          <w:sz w:val="18"/>
          <w:szCs w:val="18"/>
          <w:lang w:val="en-GB"/>
        </w:rPr>
        <w:t>in The Business of sex, pp 16-44</w:t>
      </w:r>
    </w:p>
    <w:p w:rsidR="007D0064" w:rsidRPr="006C0195" w:rsidRDefault="007D0064" w:rsidP="00D724DE">
      <w:pPr>
        <w:pStyle w:val="FootnoteText"/>
        <w:rPr>
          <w:sz w:val="18"/>
          <w:szCs w:val="18"/>
          <w:lang w:val="en-US"/>
        </w:rPr>
      </w:pPr>
      <w:r w:rsidRPr="006C0195">
        <w:rPr>
          <w:i/>
          <w:sz w:val="18"/>
          <w:szCs w:val="18"/>
          <w:lang w:val="en-GB"/>
        </w:rPr>
        <w:t xml:space="preserve">; </w:t>
      </w:r>
      <w:r w:rsidRPr="006C0195">
        <w:rPr>
          <w:sz w:val="18"/>
          <w:szCs w:val="18"/>
          <w:lang w:val="en-GB"/>
        </w:rPr>
        <w:t>Sandhya Rao and Cath Sluggett</w:t>
      </w:r>
      <w:r w:rsidRPr="006C0195">
        <w:rPr>
          <w:i/>
          <w:sz w:val="18"/>
          <w:szCs w:val="18"/>
          <w:lang w:val="en-GB"/>
        </w:rPr>
        <w:t>, Sex work, Trafficking and Human Rights</w:t>
      </w:r>
      <w:r w:rsidRPr="006C0195">
        <w:rPr>
          <w:sz w:val="18"/>
          <w:szCs w:val="18"/>
          <w:lang w:val="en-GB"/>
        </w:rPr>
        <w:t xml:space="preserve"> in The Business of sex, pp 148-174</w:t>
      </w:r>
    </w:p>
  </w:footnote>
  <w:footnote w:id="7">
    <w:p w:rsidR="007D0064" w:rsidRPr="006C0195" w:rsidRDefault="007D0064">
      <w:pPr>
        <w:pStyle w:val="FootnoteText"/>
        <w:rPr>
          <w:sz w:val="18"/>
          <w:szCs w:val="18"/>
          <w:lang w:val="en-US"/>
        </w:rPr>
      </w:pPr>
      <w:r w:rsidRPr="006C0195">
        <w:rPr>
          <w:rStyle w:val="FootnoteReference"/>
          <w:sz w:val="18"/>
          <w:szCs w:val="18"/>
        </w:rPr>
        <w:footnoteRef/>
      </w:r>
      <w:r w:rsidRPr="006C0195">
        <w:rPr>
          <w:sz w:val="18"/>
          <w:szCs w:val="18"/>
          <w:lang w:val="en-US"/>
        </w:rPr>
        <w:t xml:space="preserve"> For an application of these criteria to sex work, see the publication by the Empower Foundation based in Thailand,  Moving Towards Decent Sex Work, Sex worker community research decent work and exploitation in Thailand, 2016</w:t>
      </w:r>
    </w:p>
  </w:footnote>
  <w:footnote w:id="8">
    <w:p w:rsidR="007D0064" w:rsidRPr="006C0195" w:rsidRDefault="007D0064" w:rsidP="006C0195">
      <w:pPr>
        <w:pStyle w:val="FootnoteText"/>
        <w:rPr>
          <w:sz w:val="18"/>
          <w:szCs w:val="18"/>
          <w:lang w:val="en-US"/>
        </w:rPr>
      </w:pPr>
      <w:r w:rsidRPr="006C0195">
        <w:rPr>
          <w:rStyle w:val="FootnoteReference"/>
          <w:sz w:val="18"/>
          <w:szCs w:val="18"/>
        </w:rPr>
        <w:footnoteRef/>
      </w:r>
      <w:r w:rsidRPr="006C0195">
        <w:rPr>
          <w:sz w:val="18"/>
          <w:szCs w:val="18"/>
          <w:lang w:val="en-US"/>
        </w:rPr>
        <w:t xml:space="preserve"> Global Network of Sex Work Projects, </w:t>
      </w:r>
      <w:r w:rsidRPr="006C0195">
        <w:rPr>
          <w:i/>
          <w:sz w:val="18"/>
          <w:szCs w:val="18"/>
          <w:lang w:val="en-US"/>
        </w:rPr>
        <w:t>Consensus Statement on Sex Work, Human Rights and the Law</w:t>
      </w:r>
      <w:r w:rsidRPr="006C0195">
        <w:rPr>
          <w:sz w:val="18"/>
          <w:szCs w:val="18"/>
          <w:lang w:val="en-US"/>
        </w:rPr>
        <w:t xml:space="preserve">, 2013, and </w:t>
      </w:r>
      <w:r w:rsidRPr="006C0195">
        <w:rPr>
          <w:i/>
          <w:sz w:val="18"/>
          <w:szCs w:val="18"/>
          <w:lang w:val="en-US"/>
        </w:rPr>
        <w:t>Advocacy Toolkit: The Real Impact of the Swedish Model on Sex Workers</w:t>
      </w:r>
      <w:r w:rsidRPr="006C0195">
        <w:rPr>
          <w:sz w:val="18"/>
          <w:szCs w:val="18"/>
          <w:lang w:val="en-US"/>
        </w:rPr>
        <w:t xml:space="preserve">, 2015; </w:t>
      </w:r>
      <w:r w:rsidRPr="003F5A75">
        <w:rPr>
          <w:sz w:val="18"/>
          <w:szCs w:val="18"/>
          <w:lang w:val="en-US"/>
        </w:rPr>
        <w:t>Amnesty International Policy On State Obligations To Respect, Protect And Fulfil The Human Rights Of Sex Workers</w:t>
      </w:r>
      <w:r>
        <w:rPr>
          <w:sz w:val="18"/>
          <w:szCs w:val="18"/>
          <w:lang w:val="en-US"/>
        </w:rPr>
        <w:t xml:space="preserve">, </w:t>
      </w:r>
      <w:r w:rsidRPr="003F5A75">
        <w:rPr>
          <w:sz w:val="18"/>
          <w:szCs w:val="18"/>
          <w:lang w:val="en-US"/>
        </w:rPr>
        <w:t>2016</w:t>
      </w:r>
      <w:r>
        <w:rPr>
          <w:sz w:val="18"/>
          <w:szCs w:val="18"/>
          <w:lang w:val="en-US"/>
        </w:rPr>
        <w:t>,  h</w:t>
      </w:r>
      <w:r w:rsidRPr="003F5A75">
        <w:rPr>
          <w:sz w:val="18"/>
          <w:szCs w:val="18"/>
          <w:lang w:val="en-US"/>
        </w:rPr>
        <w:t>ttps://www.amnesty.org/download/Documents/POL3040622016ENGLISH.PDF</w:t>
      </w:r>
      <w:r w:rsidRPr="006C0195">
        <w:rPr>
          <w:sz w:val="18"/>
          <w:szCs w:val="18"/>
          <w:lang w:val="en-US"/>
        </w:rPr>
        <w:t xml:space="preserve">,  International Commission of Jurists, </w:t>
      </w:r>
      <w:r>
        <w:rPr>
          <w:sz w:val="18"/>
          <w:szCs w:val="18"/>
          <w:lang w:val="en-US"/>
        </w:rPr>
        <w:t xml:space="preserve">2019, </w:t>
      </w:r>
      <w:r w:rsidRPr="006C0195">
        <w:rPr>
          <w:sz w:val="18"/>
          <w:szCs w:val="18"/>
          <w:lang w:val="en-US"/>
        </w:rPr>
        <w:t>Call for submissions</w:t>
      </w:r>
      <w:r>
        <w:rPr>
          <w:sz w:val="18"/>
          <w:szCs w:val="18"/>
          <w:lang w:val="en-US"/>
        </w:rPr>
        <w:t xml:space="preserve">, </w:t>
      </w:r>
      <w:r w:rsidRPr="006C0195">
        <w:rPr>
          <w:sz w:val="18"/>
          <w:szCs w:val="18"/>
          <w:lang w:val="en-US"/>
        </w:rPr>
        <w:t>“Developing principles to address the detrimental impact on health, equality and human rights of criminalization with a focus on select conduct in the areas of sexuality, reproduction, drug use and HIV”</w:t>
      </w:r>
      <w:r>
        <w:rPr>
          <w:sz w:val="18"/>
          <w:szCs w:val="18"/>
          <w:lang w:val="en-US"/>
        </w:rPr>
        <w:t xml:space="preserve">, </w:t>
      </w:r>
      <w:r w:rsidRPr="006C0195">
        <w:rPr>
          <w:sz w:val="18"/>
          <w:szCs w:val="18"/>
          <w:lang w:val="en-US"/>
        </w:rPr>
        <w:t>https://www.icj.org/icj-call-for-submissions-on-the-misuse-of-criminal-law-in-the-areas-of-sexuality-reproduction-drug-use-and-hiv/</w:t>
      </w:r>
    </w:p>
  </w:footnote>
  <w:footnote w:id="9">
    <w:p w:rsidR="007D0064" w:rsidRPr="006C0195" w:rsidRDefault="007D0064">
      <w:pPr>
        <w:pStyle w:val="FootnoteText"/>
        <w:rPr>
          <w:sz w:val="18"/>
          <w:szCs w:val="18"/>
          <w:lang w:val="en-US"/>
        </w:rPr>
      </w:pPr>
      <w:r w:rsidRPr="006C0195">
        <w:rPr>
          <w:rStyle w:val="FootnoteReference"/>
          <w:sz w:val="18"/>
          <w:szCs w:val="18"/>
        </w:rPr>
        <w:footnoteRef/>
      </w:r>
      <w:r w:rsidRPr="006C0195">
        <w:rPr>
          <w:sz w:val="18"/>
          <w:szCs w:val="18"/>
          <w:lang w:val="en-US"/>
        </w:rPr>
        <w:t xml:space="preserve"> </w:t>
      </w:r>
      <w:r w:rsidRPr="003F5A75">
        <w:rPr>
          <w:sz w:val="18"/>
          <w:szCs w:val="18"/>
          <w:lang w:val="en-US"/>
        </w:rPr>
        <w:t xml:space="preserve">Joanne Csete, </w:t>
      </w:r>
      <w:r w:rsidRPr="003F5A75">
        <w:rPr>
          <w:i/>
          <w:sz w:val="18"/>
          <w:szCs w:val="18"/>
          <w:lang w:val="en-US"/>
        </w:rPr>
        <w:t>Victimhood and Vulnerability, sex work and the Rhetoric and Reality of the Global Response to HIV/AIDS</w:t>
      </w:r>
      <w:r w:rsidRPr="003F5A75">
        <w:rPr>
          <w:sz w:val="18"/>
          <w:szCs w:val="18"/>
          <w:lang w:val="en-US"/>
        </w:rPr>
        <w:t>, in The Business of Sex</w:t>
      </w:r>
      <w:r w:rsidRPr="006C0195">
        <w:rPr>
          <w:sz w:val="18"/>
          <w:szCs w:val="18"/>
          <w:lang w:val="en-US"/>
        </w:rPr>
        <w:t xml:space="preserve">, see note </w:t>
      </w:r>
      <w:r>
        <w:rPr>
          <w:sz w:val="18"/>
          <w:szCs w:val="18"/>
          <w:lang w:val="en-US"/>
        </w:rPr>
        <w:t>3</w:t>
      </w:r>
    </w:p>
  </w:footnote>
  <w:footnote w:id="10">
    <w:p w:rsidR="007D0064" w:rsidRPr="00BD7236" w:rsidRDefault="007D0064" w:rsidP="00D724DE">
      <w:pPr>
        <w:pStyle w:val="FootnoteText"/>
        <w:contextualSpacing/>
        <w:rPr>
          <w:i/>
          <w:sz w:val="18"/>
          <w:szCs w:val="18"/>
          <w:lang w:val="en-US"/>
        </w:rPr>
      </w:pPr>
      <w:r w:rsidRPr="00BD7236">
        <w:rPr>
          <w:rStyle w:val="FootnoteReference"/>
          <w:sz w:val="18"/>
          <w:szCs w:val="18"/>
        </w:rPr>
        <w:footnoteRef/>
      </w:r>
      <w:r w:rsidRPr="00BD7236">
        <w:rPr>
          <w:sz w:val="18"/>
          <w:szCs w:val="18"/>
          <w:lang w:val="en-US"/>
        </w:rPr>
        <w:t xml:space="preserve"> Charlott</w:t>
      </w:r>
      <w:r>
        <w:rPr>
          <w:sz w:val="18"/>
          <w:szCs w:val="18"/>
          <w:lang w:val="en-US"/>
        </w:rPr>
        <w:t xml:space="preserve">a </w:t>
      </w:r>
      <w:r w:rsidRPr="00BD7236">
        <w:rPr>
          <w:sz w:val="18"/>
          <w:szCs w:val="18"/>
          <w:lang w:val="en-US"/>
        </w:rPr>
        <w:t>Holmström, May-Len Skillbre</w:t>
      </w:r>
      <w:r>
        <w:rPr>
          <w:sz w:val="18"/>
          <w:szCs w:val="18"/>
          <w:lang w:val="en-US"/>
        </w:rPr>
        <w:t>i</w:t>
      </w:r>
      <w:r w:rsidRPr="00BD7236">
        <w:rPr>
          <w:sz w:val="18"/>
          <w:szCs w:val="18"/>
          <w:lang w:val="en-US"/>
        </w:rPr>
        <w:t xml:space="preserve">, Oslo Law Review 2017/2, </w:t>
      </w:r>
      <w:r w:rsidRPr="00BD7236">
        <w:rPr>
          <w:i/>
          <w:sz w:val="18"/>
          <w:szCs w:val="18"/>
          <w:lang w:val="en-US"/>
        </w:rPr>
        <w:t>The Swedish Sex Purchase Act: Where Does it Stand?</w:t>
      </w:r>
    </w:p>
    <w:p w:rsidR="007D0064" w:rsidRPr="00BD7236" w:rsidRDefault="003A64E5" w:rsidP="00D724DE">
      <w:pPr>
        <w:pStyle w:val="FootnoteText"/>
        <w:contextualSpacing/>
        <w:rPr>
          <w:sz w:val="18"/>
          <w:szCs w:val="18"/>
          <w:lang w:val="en-US"/>
        </w:rPr>
      </w:pPr>
      <w:hyperlink r:id="rId2" w:history="1">
        <w:r w:rsidR="007D0064" w:rsidRPr="00BD7236">
          <w:rPr>
            <w:rStyle w:val="Hyperlink"/>
            <w:sz w:val="18"/>
            <w:szCs w:val="18"/>
            <w:lang w:val="en-US"/>
          </w:rPr>
          <w:t>https://www.idunn.no/oslo_law_review/2017/02/the_swedish_sex_purchase_act_where_does_it_stand</w:t>
        </w:r>
      </w:hyperlink>
    </w:p>
  </w:footnote>
  <w:footnote w:id="11">
    <w:p w:rsidR="007D0064" w:rsidRPr="000B3F0F" w:rsidRDefault="007D0064" w:rsidP="007D0064">
      <w:pPr>
        <w:pStyle w:val="FootnoteText"/>
        <w:rPr>
          <w:sz w:val="18"/>
          <w:szCs w:val="18"/>
          <w:lang w:val="en-US"/>
        </w:rPr>
      </w:pPr>
      <w:r w:rsidRPr="006C0195">
        <w:rPr>
          <w:rStyle w:val="FootnoteReference"/>
          <w:sz w:val="18"/>
          <w:szCs w:val="18"/>
        </w:rPr>
        <w:footnoteRef/>
      </w:r>
      <w:r w:rsidRPr="000B3F0F">
        <w:rPr>
          <w:sz w:val="18"/>
          <w:szCs w:val="18"/>
          <w:lang w:val="en-US"/>
        </w:rPr>
        <w:t>See the present discussion</w:t>
      </w:r>
      <w:r>
        <w:rPr>
          <w:sz w:val="18"/>
          <w:szCs w:val="18"/>
          <w:lang w:val="en-US"/>
        </w:rPr>
        <w:t xml:space="preserve"> i</w:t>
      </w:r>
      <w:r w:rsidRPr="000B3F0F">
        <w:rPr>
          <w:sz w:val="18"/>
          <w:szCs w:val="18"/>
          <w:lang w:val="en-US"/>
        </w:rPr>
        <w:t xml:space="preserve">n the United Kingdom </w:t>
      </w:r>
      <w:hyperlink r:id="rId3" w:history="1">
        <w:r w:rsidRPr="000B3F0F">
          <w:rPr>
            <w:rStyle w:val="Hyperlink"/>
            <w:sz w:val="18"/>
            <w:szCs w:val="18"/>
            <w:lang w:val="en-US"/>
          </w:rPr>
          <w:t>https://www.independent.co.uk/news/uk/home-news/human-trafficking-women-uk-victims-prisons-jail-modern-slavery-prison-reform-trust-hibiscus-a8534726.html</w:t>
        </w:r>
      </w:hyperlink>
      <w:r w:rsidRPr="000B3F0F">
        <w:rPr>
          <w:sz w:val="18"/>
          <w:szCs w:val="18"/>
          <w:lang w:val="en-US"/>
        </w:rPr>
        <w:t xml:space="preserve"> ; </w:t>
      </w:r>
      <w:hyperlink r:id="rId4" w:history="1">
        <w:r w:rsidRPr="000B3F0F">
          <w:rPr>
            <w:rStyle w:val="Hyperlink"/>
            <w:sz w:val="18"/>
            <w:szCs w:val="18"/>
            <w:lang w:val="en-US"/>
          </w:rPr>
          <w:t>https://www.independent.co.uk/news/uk/home-news/modern-slavery-victims-human-trafficking-uk-home-office-support-report-a8668451.html</w:t>
        </w:r>
      </w:hyperlink>
      <w:r w:rsidRPr="000B3F0F">
        <w:rPr>
          <w:sz w:val="18"/>
          <w:szCs w:val="18"/>
          <w:lang w:val="en-US"/>
        </w:rPr>
        <w:t xml:space="preserve">; </w:t>
      </w:r>
      <w:hyperlink r:id="rId5" w:history="1">
        <w:r w:rsidRPr="000B3F0F">
          <w:rPr>
            <w:rStyle w:val="Hyperlink"/>
            <w:sz w:val="18"/>
            <w:szCs w:val="18"/>
            <w:lang w:val="en-US"/>
          </w:rPr>
          <w:t>https://www.independent.co.uk/news/uk/home-news/modern-slavery-government-failing-bid-tackle-report-a8111431.html</w:t>
        </w:r>
      </w:hyperlink>
      <w:r w:rsidRPr="000B3F0F">
        <w:rPr>
          <w:sz w:val="18"/>
          <w:szCs w:val="18"/>
          <w:lang w:val="en-US"/>
        </w:rPr>
        <w:t xml:space="preserve"> </w:t>
      </w:r>
    </w:p>
  </w:footnote>
  <w:footnote w:id="12">
    <w:p w:rsidR="007D0064" w:rsidRPr="00DB3191" w:rsidRDefault="007D0064" w:rsidP="007D0064">
      <w:pPr>
        <w:pStyle w:val="FootnoteText"/>
        <w:rPr>
          <w:sz w:val="18"/>
          <w:szCs w:val="18"/>
          <w:lang w:val="en-US"/>
        </w:rPr>
      </w:pPr>
      <w:r w:rsidRPr="00DB3191">
        <w:rPr>
          <w:rStyle w:val="FootnoteReference"/>
          <w:sz w:val="18"/>
          <w:szCs w:val="18"/>
        </w:rPr>
        <w:footnoteRef/>
      </w:r>
      <w:r w:rsidRPr="00DB3191">
        <w:rPr>
          <w:sz w:val="18"/>
          <w:szCs w:val="18"/>
          <w:lang w:val="en-US"/>
        </w:rPr>
        <w:t xml:space="preserve"> See Chuang, note 2, quoting James Pope and Hila Shamir, p. 639</w:t>
      </w:r>
      <w:r w:rsidR="005066DA" w:rsidRPr="00DB3191">
        <w:rPr>
          <w:sz w:val="18"/>
          <w:szCs w:val="18"/>
          <w:lang w:val="en-US"/>
        </w:rPr>
        <w:t>-640</w:t>
      </w:r>
    </w:p>
  </w:footnote>
  <w:footnote w:id="13">
    <w:p w:rsidR="007D0064" w:rsidRPr="00211E19" w:rsidRDefault="007D0064" w:rsidP="007D0064">
      <w:pPr>
        <w:pStyle w:val="FootnoteText"/>
        <w:rPr>
          <w:sz w:val="18"/>
          <w:szCs w:val="18"/>
          <w:lang w:val="en-US"/>
        </w:rPr>
      </w:pPr>
      <w:r>
        <w:rPr>
          <w:rStyle w:val="FootnoteReference"/>
        </w:rPr>
        <w:footnoteRef/>
      </w:r>
      <w:r w:rsidRPr="00211E19">
        <w:rPr>
          <w:lang w:val="en-US"/>
        </w:rPr>
        <w:t xml:space="preserve"> </w:t>
      </w:r>
      <w:r w:rsidRPr="00211E19">
        <w:rPr>
          <w:sz w:val="18"/>
          <w:szCs w:val="18"/>
          <w:lang w:val="en-US"/>
        </w:rPr>
        <w:t xml:space="preserve">See </w:t>
      </w:r>
      <w:hyperlink r:id="rId6" w:history="1">
        <w:r w:rsidRPr="00F258D1">
          <w:rPr>
            <w:rStyle w:val="Hyperlink"/>
            <w:sz w:val="18"/>
            <w:szCs w:val="18"/>
            <w:lang w:val="en-US"/>
          </w:rPr>
          <w:t>https://www.independent.co.uk/news/uk/home-news/uk-modern-slavery-trafficking-deportation-vietnam-home-office-duc-kien-nguyen-a8394261.html</w:t>
        </w:r>
      </w:hyperlink>
    </w:p>
  </w:footnote>
  <w:footnote w:id="14">
    <w:p w:rsidR="007D0064" w:rsidRPr="008B1860" w:rsidRDefault="007D0064">
      <w:pPr>
        <w:pStyle w:val="FootnoteText"/>
        <w:rPr>
          <w:sz w:val="18"/>
          <w:szCs w:val="18"/>
          <w:lang w:val="en-US"/>
        </w:rPr>
      </w:pPr>
      <w:r w:rsidRPr="008B1860">
        <w:rPr>
          <w:rStyle w:val="FootnoteReference"/>
          <w:sz w:val="18"/>
          <w:szCs w:val="18"/>
        </w:rPr>
        <w:footnoteRef/>
      </w:r>
      <w:r w:rsidRPr="008B1860">
        <w:rPr>
          <w:sz w:val="18"/>
          <w:szCs w:val="18"/>
          <w:lang w:val="en-US"/>
        </w:rPr>
        <w:t xml:space="preserve"> Protected or put in harm’s way? Bans and restrictions on women’s labour migration in ASEAN countries, ILO-UN Women, 2017, Rebecca Napier Moore</w:t>
      </w:r>
      <w:r>
        <w:rPr>
          <w:sz w:val="18"/>
          <w:szCs w:val="18"/>
          <w:lang w:val="en-US"/>
        </w:rPr>
        <w:t xml:space="preserve">, </w:t>
      </w:r>
      <w:r w:rsidRPr="008B1860">
        <w:rPr>
          <w:sz w:val="18"/>
          <w:szCs w:val="18"/>
          <w:lang w:val="en-US"/>
        </w:rPr>
        <w:t>https://www.ilo.org/wcmsp5/groups/public/---asia/---ro-bangkok/---sro-bangkok/documents/publication/wcms_555974.pdf</w:t>
      </w:r>
    </w:p>
  </w:footnote>
  <w:footnote w:id="15">
    <w:p w:rsidR="007D0064" w:rsidRPr="00FA6101" w:rsidRDefault="007D0064" w:rsidP="002F43F7">
      <w:pPr>
        <w:pStyle w:val="FootnoteText"/>
        <w:rPr>
          <w:sz w:val="18"/>
          <w:szCs w:val="18"/>
        </w:rPr>
      </w:pPr>
      <w:r w:rsidRPr="00FA6101">
        <w:rPr>
          <w:rStyle w:val="FootnoteReference"/>
          <w:sz w:val="18"/>
          <w:szCs w:val="18"/>
        </w:rPr>
        <w:footnoteRef/>
      </w:r>
      <w:r w:rsidRPr="00FA6101">
        <w:rPr>
          <w:sz w:val="18"/>
          <w:szCs w:val="18"/>
        </w:rPr>
        <w:t xml:space="preserve"> Parcours et politiques d’accueil des demandeurs et demandeuses d’asile dans l’Union européenne, Avis du Conseil Économique, Social et Environnemental, Paris juin 2018, Paul Fourier et Emelyn Weber, rapporteurs</w:t>
      </w:r>
    </w:p>
  </w:footnote>
  <w:footnote w:id="16">
    <w:p w:rsidR="007D0064" w:rsidRPr="005066DA" w:rsidRDefault="007D0064" w:rsidP="00BD7236">
      <w:pPr>
        <w:pStyle w:val="FootnoteText"/>
        <w:contextualSpacing/>
        <w:rPr>
          <w:sz w:val="18"/>
          <w:szCs w:val="18"/>
        </w:rPr>
      </w:pPr>
      <w:r w:rsidRPr="00FA6101">
        <w:rPr>
          <w:rStyle w:val="FootnoteReference"/>
          <w:sz w:val="18"/>
          <w:szCs w:val="18"/>
        </w:rPr>
        <w:footnoteRef/>
      </w:r>
      <w:r w:rsidRPr="005066DA">
        <w:rPr>
          <w:sz w:val="18"/>
          <w:szCs w:val="18"/>
        </w:rPr>
        <w:t xml:space="preserve"> </w:t>
      </w:r>
      <w:hyperlink r:id="rId7" w:history="1">
        <w:r w:rsidRPr="005066DA">
          <w:rPr>
            <w:rStyle w:val="Hyperlink"/>
            <w:sz w:val="18"/>
            <w:szCs w:val="18"/>
          </w:rPr>
          <w:t>http://icat.network/sites/default/files/publications/documents/ICAT_Issue_Brief_SDGs%202018.pdf</w:t>
        </w:r>
      </w:hyperlink>
      <w:r w:rsidRPr="005066DA">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41559406"/>
      <w:docPartObj>
        <w:docPartGallery w:val="Page Numbers (Top of Page)"/>
        <w:docPartUnique/>
      </w:docPartObj>
    </w:sdtPr>
    <w:sdtEndPr>
      <w:rPr>
        <w:rStyle w:val="PageNumber"/>
      </w:rPr>
    </w:sdtEndPr>
    <w:sdtContent>
      <w:p w:rsidR="007D0064" w:rsidRDefault="007D0064" w:rsidP="00EA4D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D0064" w:rsidRDefault="007D0064" w:rsidP="00BA26D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94139342"/>
      <w:docPartObj>
        <w:docPartGallery w:val="Page Numbers (Top of Page)"/>
        <w:docPartUnique/>
      </w:docPartObj>
    </w:sdtPr>
    <w:sdtEndPr>
      <w:rPr>
        <w:rStyle w:val="PageNumber"/>
      </w:rPr>
    </w:sdtEndPr>
    <w:sdtContent>
      <w:p w:rsidR="007D0064" w:rsidRDefault="007D0064" w:rsidP="00EA4D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A64E5">
          <w:rPr>
            <w:rStyle w:val="PageNumber"/>
            <w:noProof/>
          </w:rPr>
          <w:t>3</w:t>
        </w:r>
        <w:r>
          <w:rPr>
            <w:rStyle w:val="PageNumber"/>
          </w:rPr>
          <w:fldChar w:fldCharType="end"/>
        </w:r>
      </w:p>
    </w:sdtContent>
  </w:sdt>
  <w:p w:rsidR="007D0064" w:rsidRDefault="007D0064" w:rsidP="00BA26D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D2CAD"/>
    <w:multiLevelType w:val="hybridMultilevel"/>
    <w:tmpl w:val="B276E5E2"/>
    <w:lvl w:ilvl="0" w:tplc="10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984E0F"/>
    <w:multiLevelType w:val="hybridMultilevel"/>
    <w:tmpl w:val="B276E5E2"/>
    <w:lvl w:ilvl="0" w:tplc="10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9D7808"/>
    <w:multiLevelType w:val="hybridMultilevel"/>
    <w:tmpl w:val="B276E5E2"/>
    <w:lvl w:ilvl="0" w:tplc="100C000F">
      <w:start w:val="1"/>
      <w:numFmt w:val="decimal"/>
      <w:lvlText w:val="%1."/>
      <w:lvlJc w:val="left"/>
      <w:pPr>
        <w:ind w:left="927"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735005"/>
    <w:multiLevelType w:val="hybridMultilevel"/>
    <w:tmpl w:val="4062444A"/>
    <w:lvl w:ilvl="0" w:tplc="10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372B7E"/>
    <w:multiLevelType w:val="hybridMultilevel"/>
    <w:tmpl w:val="5C129572"/>
    <w:lvl w:ilvl="0" w:tplc="B67C20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5F3072"/>
    <w:multiLevelType w:val="hybridMultilevel"/>
    <w:tmpl w:val="0FFA532E"/>
    <w:lvl w:ilvl="0" w:tplc="10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E934D1B"/>
    <w:multiLevelType w:val="hybridMultilevel"/>
    <w:tmpl w:val="0FFA532E"/>
    <w:lvl w:ilvl="0" w:tplc="10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62F1A2B"/>
    <w:multiLevelType w:val="hybridMultilevel"/>
    <w:tmpl w:val="1878FDB6"/>
    <w:lvl w:ilvl="0" w:tplc="E30608DE">
      <w:start w:val="1"/>
      <w:numFmt w:val="decimal"/>
      <w:lvlText w:val="%1."/>
      <w:lvlJc w:val="left"/>
      <w:pPr>
        <w:ind w:left="720" w:hanging="360"/>
      </w:pPr>
      <w:rPr>
        <w:rFonts w:asciiTheme="minorHAnsi" w:eastAsiaTheme="minorHAnsi" w:hAnsiTheme="minorHAnsi" w:cs="Times New Roman (Corps 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042000C"/>
    <w:multiLevelType w:val="hybridMultilevel"/>
    <w:tmpl w:val="B276E5E2"/>
    <w:lvl w:ilvl="0" w:tplc="10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7493976"/>
    <w:multiLevelType w:val="hybridMultilevel"/>
    <w:tmpl w:val="B276E5E2"/>
    <w:lvl w:ilvl="0" w:tplc="10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F2B2500"/>
    <w:multiLevelType w:val="hybridMultilevel"/>
    <w:tmpl w:val="F5A41F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7F42CF3"/>
    <w:multiLevelType w:val="hybridMultilevel"/>
    <w:tmpl w:val="03AEA8B0"/>
    <w:lvl w:ilvl="0" w:tplc="0A42DC2C">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D0C061B"/>
    <w:multiLevelType w:val="hybridMultilevel"/>
    <w:tmpl w:val="EC980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D16452"/>
    <w:multiLevelType w:val="hybridMultilevel"/>
    <w:tmpl w:val="B276E5E2"/>
    <w:lvl w:ilvl="0" w:tplc="10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D63BA3"/>
    <w:multiLevelType w:val="hybridMultilevel"/>
    <w:tmpl w:val="B276E5E2"/>
    <w:lvl w:ilvl="0" w:tplc="10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4"/>
  </w:num>
  <w:num w:numId="3">
    <w:abstractNumId w:val="13"/>
  </w:num>
  <w:num w:numId="4">
    <w:abstractNumId w:val="0"/>
  </w:num>
  <w:num w:numId="5">
    <w:abstractNumId w:val="11"/>
  </w:num>
  <w:num w:numId="6">
    <w:abstractNumId w:val="1"/>
  </w:num>
  <w:num w:numId="7">
    <w:abstractNumId w:val="7"/>
  </w:num>
  <w:num w:numId="8">
    <w:abstractNumId w:val="14"/>
  </w:num>
  <w:num w:numId="9">
    <w:abstractNumId w:val="9"/>
  </w:num>
  <w:num w:numId="10">
    <w:abstractNumId w:val="3"/>
  </w:num>
  <w:num w:numId="11">
    <w:abstractNumId w:val="2"/>
  </w:num>
  <w:num w:numId="12">
    <w:abstractNumId w:val="8"/>
  </w:num>
  <w:num w:numId="13">
    <w:abstractNumId w:val="6"/>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5F"/>
    <w:rsid w:val="00004B84"/>
    <w:rsid w:val="000158CC"/>
    <w:rsid w:val="00021E39"/>
    <w:rsid w:val="0004161C"/>
    <w:rsid w:val="00081E41"/>
    <w:rsid w:val="000B3F0F"/>
    <w:rsid w:val="000C764E"/>
    <w:rsid w:val="000F6CEC"/>
    <w:rsid w:val="00110475"/>
    <w:rsid w:val="00125830"/>
    <w:rsid w:val="00130E4A"/>
    <w:rsid w:val="00180A63"/>
    <w:rsid w:val="001E137D"/>
    <w:rsid w:val="001F1AC2"/>
    <w:rsid w:val="00203E19"/>
    <w:rsid w:val="00211E19"/>
    <w:rsid w:val="00216958"/>
    <w:rsid w:val="002357B4"/>
    <w:rsid w:val="00236EC7"/>
    <w:rsid w:val="00292D5D"/>
    <w:rsid w:val="00296F52"/>
    <w:rsid w:val="002E1996"/>
    <w:rsid w:val="002F43F7"/>
    <w:rsid w:val="003326BE"/>
    <w:rsid w:val="00371035"/>
    <w:rsid w:val="00372289"/>
    <w:rsid w:val="0039618B"/>
    <w:rsid w:val="003A64E5"/>
    <w:rsid w:val="003B215F"/>
    <w:rsid w:val="003C47F1"/>
    <w:rsid w:val="003E1771"/>
    <w:rsid w:val="003E4CE2"/>
    <w:rsid w:val="003F413B"/>
    <w:rsid w:val="003F5A75"/>
    <w:rsid w:val="004014F5"/>
    <w:rsid w:val="004225AB"/>
    <w:rsid w:val="004511FD"/>
    <w:rsid w:val="00460142"/>
    <w:rsid w:val="00460403"/>
    <w:rsid w:val="00461919"/>
    <w:rsid w:val="00484084"/>
    <w:rsid w:val="004D31D3"/>
    <w:rsid w:val="00500232"/>
    <w:rsid w:val="00503210"/>
    <w:rsid w:val="005066DA"/>
    <w:rsid w:val="00543149"/>
    <w:rsid w:val="005508EB"/>
    <w:rsid w:val="00571DBC"/>
    <w:rsid w:val="0057645B"/>
    <w:rsid w:val="005F0736"/>
    <w:rsid w:val="00642CE0"/>
    <w:rsid w:val="0064438A"/>
    <w:rsid w:val="00651976"/>
    <w:rsid w:val="00682FF2"/>
    <w:rsid w:val="006A50FE"/>
    <w:rsid w:val="006B2BAE"/>
    <w:rsid w:val="006B7E9B"/>
    <w:rsid w:val="006C0195"/>
    <w:rsid w:val="006E1CD7"/>
    <w:rsid w:val="006E28E4"/>
    <w:rsid w:val="006F55C8"/>
    <w:rsid w:val="00700C08"/>
    <w:rsid w:val="00716787"/>
    <w:rsid w:val="00747296"/>
    <w:rsid w:val="00766A98"/>
    <w:rsid w:val="00782BA8"/>
    <w:rsid w:val="007927DA"/>
    <w:rsid w:val="007B4631"/>
    <w:rsid w:val="007C3AF2"/>
    <w:rsid w:val="007C4B1F"/>
    <w:rsid w:val="007D0064"/>
    <w:rsid w:val="007D22BA"/>
    <w:rsid w:val="007D7CA1"/>
    <w:rsid w:val="00806942"/>
    <w:rsid w:val="008254C4"/>
    <w:rsid w:val="00872025"/>
    <w:rsid w:val="00873ADC"/>
    <w:rsid w:val="008B1860"/>
    <w:rsid w:val="008D438C"/>
    <w:rsid w:val="008E3C24"/>
    <w:rsid w:val="008F4E10"/>
    <w:rsid w:val="00906F6A"/>
    <w:rsid w:val="009207F8"/>
    <w:rsid w:val="009613D4"/>
    <w:rsid w:val="00967482"/>
    <w:rsid w:val="00975C77"/>
    <w:rsid w:val="009951A2"/>
    <w:rsid w:val="009A5C77"/>
    <w:rsid w:val="009C508A"/>
    <w:rsid w:val="00A039CD"/>
    <w:rsid w:val="00A06AFD"/>
    <w:rsid w:val="00A20336"/>
    <w:rsid w:val="00A26710"/>
    <w:rsid w:val="00A754CA"/>
    <w:rsid w:val="00A806B3"/>
    <w:rsid w:val="00AC7E4E"/>
    <w:rsid w:val="00AE41A7"/>
    <w:rsid w:val="00AF6419"/>
    <w:rsid w:val="00B016FD"/>
    <w:rsid w:val="00B06536"/>
    <w:rsid w:val="00B462CA"/>
    <w:rsid w:val="00B76173"/>
    <w:rsid w:val="00BA26DA"/>
    <w:rsid w:val="00BC42E6"/>
    <w:rsid w:val="00BD7236"/>
    <w:rsid w:val="00BE04E7"/>
    <w:rsid w:val="00BE5CE9"/>
    <w:rsid w:val="00C07C74"/>
    <w:rsid w:val="00C250FD"/>
    <w:rsid w:val="00C3702E"/>
    <w:rsid w:val="00C81492"/>
    <w:rsid w:val="00CA33A8"/>
    <w:rsid w:val="00CB3218"/>
    <w:rsid w:val="00CE4F71"/>
    <w:rsid w:val="00D07142"/>
    <w:rsid w:val="00D13959"/>
    <w:rsid w:val="00D20246"/>
    <w:rsid w:val="00D26F6D"/>
    <w:rsid w:val="00D3132E"/>
    <w:rsid w:val="00D4648D"/>
    <w:rsid w:val="00D57DB4"/>
    <w:rsid w:val="00D6271C"/>
    <w:rsid w:val="00D724DE"/>
    <w:rsid w:val="00D776A7"/>
    <w:rsid w:val="00D852AE"/>
    <w:rsid w:val="00D9131A"/>
    <w:rsid w:val="00DB3191"/>
    <w:rsid w:val="00DB7967"/>
    <w:rsid w:val="00DE7750"/>
    <w:rsid w:val="00DF7D20"/>
    <w:rsid w:val="00E81B7D"/>
    <w:rsid w:val="00E84166"/>
    <w:rsid w:val="00EA4DC2"/>
    <w:rsid w:val="00EE1A86"/>
    <w:rsid w:val="00EF2D65"/>
    <w:rsid w:val="00EF6946"/>
    <w:rsid w:val="00F207AB"/>
    <w:rsid w:val="00F214A1"/>
    <w:rsid w:val="00F25841"/>
    <w:rsid w:val="00F32794"/>
    <w:rsid w:val="00F443D4"/>
    <w:rsid w:val="00F54BC5"/>
    <w:rsid w:val="00F621CC"/>
    <w:rsid w:val="00F82746"/>
    <w:rsid w:val="00FA6101"/>
    <w:rsid w:val="00FC37B2"/>
    <w:rsid w:val="00FE291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21710-1EF2-3243-8A24-50A30D00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967"/>
    <w:pPr>
      <w:tabs>
        <w:tab w:val="center" w:pos="4536"/>
        <w:tab w:val="right" w:pos="9072"/>
      </w:tabs>
    </w:pPr>
  </w:style>
  <w:style w:type="character" w:customStyle="1" w:styleId="HeaderChar">
    <w:name w:val="Header Char"/>
    <w:basedOn w:val="DefaultParagraphFont"/>
    <w:link w:val="Header"/>
    <w:uiPriority w:val="99"/>
    <w:rsid w:val="00DB7967"/>
  </w:style>
  <w:style w:type="paragraph" w:styleId="ListParagraph">
    <w:name w:val="List Paragraph"/>
    <w:basedOn w:val="Normal"/>
    <w:uiPriority w:val="34"/>
    <w:qFormat/>
    <w:rsid w:val="00D3132E"/>
    <w:pPr>
      <w:ind w:left="720"/>
      <w:contextualSpacing/>
    </w:pPr>
  </w:style>
  <w:style w:type="character" w:styleId="Hyperlink">
    <w:name w:val="Hyperlink"/>
    <w:basedOn w:val="DefaultParagraphFont"/>
    <w:uiPriority w:val="99"/>
    <w:unhideWhenUsed/>
    <w:rsid w:val="00F621CC"/>
    <w:rPr>
      <w:color w:val="0563C1" w:themeColor="hyperlink"/>
      <w:u w:val="single"/>
    </w:rPr>
  </w:style>
  <w:style w:type="character" w:customStyle="1" w:styleId="UnresolvedMention">
    <w:name w:val="Unresolved Mention"/>
    <w:basedOn w:val="DefaultParagraphFont"/>
    <w:uiPriority w:val="99"/>
    <w:semiHidden/>
    <w:unhideWhenUsed/>
    <w:rsid w:val="00F621CC"/>
    <w:rPr>
      <w:color w:val="605E5C"/>
      <w:shd w:val="clear" w:color="auto" w:fill="E1DFDD"/>
    </w:rPr>
  </w:style>
  <w:style w:type="character" w:styleId="FollowedHyperlink">
    <w:name w:val="FollowedHyperlink"/>
    <w:basedOn w:val="DefaultParagraphFont"/>
    <w:uiPriority w:val="99"/>
    <w:semiHidden/>
    <w:unhideWhenUsed/>
    <w:rsid w:val="00A26710"/>
    <w:rPr>
      <w:color w:val="954F72" w:themeColor="followedHyperlink"/>
      <w:u w:val="single"/>
    </w:rPr>
  </w:style>
  <w:style w:type="character" w:styleId="PageNumber">
    <w:name w:val="page number"/>
    <w:basedOn w:val="DefaultParagraphFont"/>
    <w:uiPriority w:val="99"/>
    <w:semiHidden/>
    <w:unhideWhenUsed/>
    <w:rsid w:val="00BA26DA"/>
  </w:style>
  <w:style w:type="paragraph" w:styleId="FootnoteText">
    <w:name w:val="footnote text"/>
    <w:basedOn w:val="Normal"/>
    <w:link w:val="FootnoteTextChar"/>
    <w:uiPriority w:val="99"/>
    <w:semiHidden/>
    <w:unhideWhenUsed/>
    <w:rsid w:val="003E1771"/>
    <w:rPr>
      <w:sz w:val="20"/>
      <w:szCs w:val="20"/>
    </w:rPr>
  </w:style>
  <w:style w:type="character" w:customStyle="1" w:styleId="FootnoteTextChar">
    <w:name w:val="Footnote Text Char"/>
    <w:basedOn w:val="DefaultParagraphFont"/>
    <w:link w:val="FootnoteText"/>
    <w:uiPriority w:val="99"/>
    <w:semiHidden/>
    <w:rsid w:val="003E1771"/>
    <w:rPr>
      <w:sz w:val="20"/>
      <w:szCs w:val="20"/>
    </w:rPr>
  </w:style>
  <w:style w:type="character" w:styleId="FootnoteReference">
    <w:name w:val="footnote reference"/>
    <w:basedOn w:val="DefaultParagraphFont"/>
    <w:uiPriority w:val="99"/>
    <w:semiHidden/>
    <w:unhideWhenUsed/>
    <w:rsid w:val="003E1771"/>
    <w:rPr>
      <w:vertAlign w:val="superscript"/>
    </w:rPr>
  </w:style>
  <w:style w:type="paragraph" w:styleId="BalloonText">
    <w:name w:val="Balloon Text"/>
    <w:basedOn w:val="Normal"/>
    <w:link w:val="BalloonTextChar"/>
    <w:uiPriority w:val="99"/>
    <w:semiHidden/>
    <w:unhideWhenUsed/>
    <w:rsid w:val="00B016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16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759580">
      <w:bodyDiv w:val="1"/>
      <w:marLeft w:val="0"/>
      <w:marRight w:val="0"/>
      <w:marTop w:val="0"/>
      <w:marBottom w:val="0"/>
      <w:divBdr>
        <w:top w:val="none" w:sz="0" w:space="0" w:color="auto"/>
        <w:left w:val="none" w:sz="0" w:space="0" w:color="auto"/>
        <w:bottom w:val="none" w:sz="0" w:space="0" w:color="auto"/>
        <w:right w:val="none" w:sz="0" w:space="0" w:color="auto"/>
      </w:divBdr>
      <w:divsChild>
        <w:div w:id="422843743">
          <w:marLeft w:val="0"/>
          <w:marRight w:val="0"/>
          <w:marTop w:val="0"/>
          <w:marBottom w:val="0"/>
          <w:divBdr>
            <w:top w:val="none" w:sz="0" w:space="0" w:color="auto"/>
            <w:left w:val="none" w:sz="0" w:space="0" w:color="auto"/>
            <w:bottom w:val="none" w:sz="0" w:space="0" w:color="auto"/>
            <w:right w:val="none" w:sz="0" w:space="0" w:color="auto"/>
          </w:divBdr>
          <w:divsChild>
            <w:div w:id="1056587060">
              <w:marLeft w:val="0"/>
              <w:marRight w:val="0"/>
              <w:marTop w:val="0"/>
              <w:marBottom w:val="0"/>
              <w:divBdr>
                <w:top w:val="none" w:sz="0" w:space="0" w:color="auto"/>
                <w:left w:val="none" w:sz="0" w:space="0" w:color="auto"/>
                <w:bottom w:val="none" w:sz="0" w:space="0" w:color="auto"/>
                <w:right w:val="none" w:sz="0" w:space="0" w:color="auto"/>
              </w:divBdr>
              <w:divsChild>
                <w:div w:id="1891116500">
                  <w:marLeft w:val="0"/>
                  <w:marRight w:val="0"/>
                  <w:marTop w:val="0"/>
                  <w:marBottom w:val="0"/>
                  <w:divBdr>
                    <w:top w:val="none" w:sz="0" w:space="0" w:color="auto"/>
                    <w:left w:val="none" w:sz="0" w:space="0" w:color="auto"/>
                    <w:bottom w:val="none" w:sz="0" w:space="0" w:color="auto"/>
                    <w:right w:val="none" w:sz="0" w:space="0" w:color="auto"/>
                  </w:divBdr>
                  <w:divsChild>
                    <w:div w:id="9167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independent.co.uk/news/uk/home-news/human-trafficking-women-uk-victims-prisons-jail-modern-slavery-prison-reform-trust-hibiscus-a8534726.html" TargetMode="External"/><Relationship Id="rId7" Type="http://schemas.openxmlformats.org/officeDocument/2006/relationships/hyperlink" Target="http://icat.network/sites/default/files/publications/documents/ICAT_Issue_Brief_SDGs%202018.pdf" TargetMode="External"/><Relationship Id="rId2" Type="http://schemas.openxmlformats.org/officeDocument/2006/relationships/hyperlink" Target="https://www.idunn.no/oslo_law_review/2017/02/the_swedish_sex_purchase_act_where_does_it_stand" TargetMode="External"/><Relationship Id="rId1" Type="http://schemas.openxmlformats.org/officeDocument/2006/relationships/hyperlink" Target="https://www.jstor.org/stable/10.5305/amerjintelaw.108.4.0609?seq=1%20-%20metadata_info_tab_contents" TargetMode="External"/><Relationship Id="rId6" Type="http://schemas.openxmlformats.org/officeDocument/2006/relationships/hyperlink" Target="https://www.independent.co.uk/news/uk/home-news/uk-modern-slavery-trafficking-deportation-vietnam-home-office-duc-kien-nguyen-a8394261.html" TargetMode="External"/><Relationship Id="rId5" Type="http://schemas.openxmlformats.org/officeDocument/2006/relationships/hyperlink" Target="https://www.independent.co.uk/news/uk/home-news/modern-slavery-government-failing-bid-tackle-report-a8111431.html" TargetMode="External"/><Relationship Id="rId4" Type="http://schemas.openxmlformats.org/officeDocument/2006/relationships/hyperlink" Target="https://www.independent.co.uk/news/uk/home-news/modern-slavery-victims-human-trafficking-uk-home-office-support-report-a866845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6A60B4-48CA-4716-A822-063F8C54315F}">
  <ds:schemaRefs>
    <ds:schemaRef ds:uri="http://schemas.openxmlformats.org/officeDocument/2006/bibliography"/>
  </ds:schemaRefs>
</ds:datastoreItem>
</file>

<file path=customXml/itemProps2.xml><?xml version="1.0" encoding="utf-8"?>
<ds:datastoreItem xmlns:ds="http://schemas.openxmlformats.org/officeDocument/2006/customXml" ds:itemID="{5BEA2862-CD86-4772-AE00-B318CC4A8C00}"/>
</file>

<file path=customXml/itemProps3.xml><?xml version="1.0" encoding="utf-8"?>
<ds:datastoreItem xmlns:ds="http://schemas.openxmlformats.org/officeDocument/2006/customXml" ds:itemID="{78C610CC-20A8-444E-B395-C2C80B641945}"/>
</file>

<file path=customXml/itemProps4.xml><?xml version="1.0" encoding="utf-8"?>
<ds:datastoreItem xmlns:ds="http://schemas.openxmlformats.org/officeDocument/2006/customXml" ds:itemID="{1C32BE71-4C03-478D-8654-0CB5F2E3C867}"/>
</file>

<file path=docProps/app.xml><?xml version="1.0" encoding="utf-8"?>
<Properties xmlns="http://schemas.openxmlformats.org/officeDocument/2006/extended-properties" xmlns:vt="http://schemas.openxmlformats.org/officeDocument/2006/docPropsVTypes">
  <Template>Normal.dotm</Template>
  <TotalTime>0</TotalTime>
  <Pages>5</Pages>
  <Words>1915</Words>
  <Characters>10921</Characters>
  <Application>Microsoft Office Word</Application>
  <DocSecurity>4</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Schulz</dc:creator>
  <cp:keywords/>
  <dc:description/>
  <cp:lastModifiedBy>Daniela Buchmann</cp:lastModifiedBy>
  <cp:revision>2</cp:revision>
  <cp:lastPrinted>2019-02-18T19:27:00Z</cp:lastPrinted>
  <dcterms:created xsi:type="dcterms:W3CDTF">2019-02-19T10:23:00Z</dcterms:created>
  <dcterms:modified xsi:type="dcterms:W3CDTF">2019-02-19T10:23:00Z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