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30A" w:rsidRPr="00B00D77" w:rsidRDefault="00AB0CA9" w:rsidP="005C2A7B">
      <w:pPr>
        <w:spacing w:line="276" w:lineRule="auto"/>
        <w:jc w:val="right"/>
        <w:rPr>
          <w:rFonts w:ascii="Times New Roman" w:hAnsi="Times New Roman" w:cs="Times New Roman"/>
          <w:b/>
          <w:lang w:val="en-GB"/>
        </w:rPr>
      </w:pPr>
      <w:r w:rsidRPr="00B00D77">
        <w:rPr>
          <w:rFonts w:ascii="Times New Roman" w:hAnsi="Times New Roman" w:cs="Times New Roman"/>
          <w:b/>
          <w:lang w:val="en-GB"/>
        </w:rPr>
        <w:t>Concept note response</w:t>
      </w:r>
      <w:r w:rsidR="00655586" w:rsidRPr="00B00D77">
        <w:rPr>
          <w:rFonts w:ascii="Times New Roman" w:hAnsi="Times New Roman" w:cs="Times New Roman"/>
          <w:b/>
          <w:lang w:val="en-GB"/>
        </w:rPr>
        <w:br/>
      </w:r>
      <w:r w:rsidR="00AB5BDC" w:rsidRPr="00B00D77">
        <w:rPr>
          <w:rFonts w:ascii="Times New Roman" w:hAnsi="Times New Roman" w:cs="Times New Roman"/>
          <w:b/>
          <w:lang w:val="en-GB"/>
        </w:rPr>
        <w:t xml:space="preserve">CEDAW General Recommendation on </w:t>
      </w:r>
      <w:r w:rsidR="00655586" w:rsidRPr="00B00D77">
        <w:rPr>
          <w:rFonts w:ascii="Times New Roman" w:hAnsi="Times New Roman" w:cs="Times New Roman"/>
          <w:b/>
          <w:lang w:val="en-GB"/>
        </w:rPr>
        <w:t xml:space="preserve">Trafficking in Women and Girls in the Context of Global Migration </w:t>
      </w:r>
      <w:r w:rsidR="00655586" w:rsidRPr="00B00D77">
        <w:rPr>
          <w:rFonts w:ascii="Times New Roman" w:hAnsi="Times New Roman" w:cs="Times New Roman"/>
          <w:b/>
          <w:lang w:val="en-GB"/>
        </w:rPr>
        <w:br/>
      </w:r>
      <w:r w:rsidR="00AB5BDC" w:rsidRPr="00B00D77">
        <w:rPr>
          <w:rFonts w:ascii="Times New Roman" w:hAnsi="Times New Roman" w:cs="Times New Roman"/>
          <w:b/>
          <w:lang w:val="en-GB"/>
        </w:rPr>
        <w:t>18 February 2019</w:t>
      </w:r>
    </w:p>
    <w:p w:rsidR="0040787D" w:rsidRPr="00B00D77" w:rsidRDefault="0040787D" w:rsidP="005C2A7B">
      <w:pPr>
        <w:spacing w:line="276" w:lineRule="auto"/>
        <w:jc w:val="right"/>
        <w:rPr>
          <w:rFonts w:ascii="Times New Roman" w:hAnsi="Times New Roman" w:cs="Times New Roman"/>
          <w:b/>
          <w:lang w:val="en-GB"/>
        </w:rPr>
      </w:pPr>
    </w:p>
    <w:p w:rsidR="00C8082F" w:rsidRPr="00B00D77" w:rsidRDefault="00C8082F" w:rsidP="005C2A7B">
      <w:pPr>
        <w:spacing w:line="276" w:lineRule="auto"/>
        <w:rPr>
          <w:rFonts w:ascii="Times New Roman" w:hAnsi="Times New Roman" w:cs="Times New Roman"/>
          <w:b/>
          <w:lang w:val="en-GB"/>
        </w:rPr>
      </w:pPr>
      <w:r w:rsidRPr="00B00D77">
        <w:rPr>
          <w:rFonts w:ascii="Times New Roman" w:hAnsi="Times New Roman" w:cs="Times New Roman"/>
          <w:b/>
          <w:lang w:val="en-GB"/>
        </w:rPr>
        <w:t>Summary</w:t>
      </w:r>
    </w:p>
    <w:p w:rsidR="000679BC" w:rsidRPr="00B00D77" w:rsidRDefault="006C180B" w:rsidP="005C2A7B">
      <w:pPr>
        <w:spacing w:line="276" w:lineRule="auto"/>
        <w:rPr>
          <w:rFonts w:ascii="Times New Roman" w:hAnsi="Times New Roman" w:cs="Times New Roman"/>
          <w:lang w:val="en-GB"/>
        </w:rPr>
      </w:pPr>
      <w:r w:rsidRPr="00B00D77">
        <w:rPr>
          <w:rFonts w:ascii="Times New Roman" w:hAnsi="Times New Roman" w:cs="Times New Roman"/>
          <w:lang w:val="en-GB"/>
        </w:rPr>
        <w:t>PROUD, the Dutch sex worker union</w:t>
      </w:r>
      <w:r w:rsidR="0040787D" w:rsidRPr="00B00D77">
        <w:rPr>
          <w:rFonts w:ascii="Times New Roman" w:hAnsi="Times New Roman" w:cs="Times New Roman"/>
          <w:lang w:val="en-GB"/>
        </w:rPr>
        <w:t xml:space="preserve">, </w:t>
      </w:r>
      <w:r w:rsidRPr="00B00D77">
        <w:rPr>
          <w:rFonts w:ascii="Times New Roman" w:hAnsi="Times New Roman" w:cs="Times New Roman"/>
          <w:lang w:val="en-GB"/>
        </w:rPr>
        <w:t>request</w:t>
      </w:r>
      <w:r w:rsidR="0040787D" w:rsidRPr="00B00D77">
        <w:rPr>
          <w:rFonts w:ascii="Times New Roman" w:hAnsi="Times New Roman" w:cs="Times New Roman"/>
          <w:lang w:val="en-GB"/>
        </w:rPr>
        <w:t xml:space="preserve">s </w:t>
      </w:r>
      <w:r w:rsidRPr="00B00D77">
        <w:rPr>
          <w:rFonts w:ascii="Times New Roman" w:hAnsi="Times New Roman" w:cs="Times New Roman"/>
          <w:lang w:val="en-GB"/>
        </w:rPr>
        <w:t>the Committee</w:t>
      </w:r>
      <w:r w:rsidR="0040787D" w:rsidRPr="00B00D77">
        <w:rPr>
          <w:rFonts w:ascii="Times New Roman" w:hAnsi="Times New Roman" w:cs="Times New Roman"/>
          <w:lang w:val="en-GB"/>
        </w:rPr>
        <w:t xml:space="preserve"> on the Elimination of Discrimination Against Women</w:t>
      </w:r>
      <w:r w:rsidRPr="00B00D77">
        <w:rPr>
          <w:rFonts w:ascii="Times New Roman" w:hAnsi="Times New Roman" w:cs="Times New Roman"/>
          <w:lang w:val="en-GB"/>
        </w:rPr>
        <w:t xml:space="preserve"> to consider the following </w:t>
      </w:r>
      <w:r w:rsidR="00AB0CA9" w:rsidRPr="00B00D77">
        <w:rPr>
          <w:rFonts w:ascii="Times New Roman" w:hAnsi="Times New Roman" w:cs="Times New Roman"/>
          <w:lang w:val="en-GB"/>
        </w:rPr>
        <w:t xml:space="preserve">when elaborating a General Recommendation on </w:t>
      </w:r>
      <w:r w:rsidR="001E730A" w:rsidRPr="00B00D77">
        <w:rPr>
          <w:rFonts w:ascii="Times New Roman" w:hAnsi="Times New Roman" w:cs="Times New Roman"/>
          <w:lang w:val="en-GB"/>
        </w:rPr>
        <w:t>CEDAW art.</w:t>
      </w:r>
      <w:r w:rsidR="00AB1A99">
        <w:rPr>
          <w:rFonts w:ascii="Times New Roman" w:hAnsi="Times New Roman" w:cs="Times New Roman"/>
          <w:lang w:val="en-GB"/>
        </w:rPr>
        <w:t xml:space="preserve"> </w:t>
      </w:r>
      <w:r w:rsidR="001E730A" w:rsidRPr="00B00D77">
        <w:rPr>
          <w:rFonts w:ascii="Times New Roman" w:hAnsi="Times New Roman" w:cs="Times New Roman"/>
          <w:lang w:val="en-GB"/>
        </w:rPr>
        <w:t>6</w:t>
      </w:r>
      <w:r w:rsidR="0040787D" w:rsidRPr="00B00D77">
        <w:rPr>
          <w:rFonts w:ascii="Times New Roman" w:hAnsi="Times New Roman" w:cs="Times New Roman"/>
          <w:lang w:val="en-GB"/>
        </w:rPr>
        <w:t>:</w:t>
      </w:r>
    </w:p>
    <w:p w:rsidR="00AB0CA9" w:rsidRPr="00B00D77" w:rsidRDefault="00AB0CA9" w:rsidP="005C2A7B">
      <w:pPr>
        <w:pStyle w:val="ListParagraph"/>
        <w:numPr>
          <w:ilvl w:val="0"/>
          <w:numId w:val="1"/>
        </w:numPr>
        <w:spacing w:line="276" w:lineRule="auto"/>
        <w:rPr>
          <w:rFonts w:ascii="Times New Roman" w:hAnsi="Times New Roman" w:cs="Times New Roman"/>
          <w:lang w:val="en-GB"/>
        </w:rPr>
      </w:pPr>
      <w:r w:rsidRPr="00B00D77">
        <w:rPr>
          <w:rFonts w:ascii="Times New Roman" w:hAnsi="Times New Roman" w:cs="Times New Roman"/>
          <w:lang w:val="en-GB"/>
        </w:rPr>
        <w:t>The General Recommendation should not infringe upon the human rights and labo</w:t>
      </w:r>
      <w:r w:rsidR="0040787D" w:rsidRPr="00B00D77">
        <w:rPr>
          <w:rFonts w:ascii="Times New Roman" w:hAnsi="Times New Roman" w:cs="Times New Roman"/>
          <w:lang w:val="en-GB"/>
        </w:rPr>
        <w:t>u</w:t>
      </w:r>
      <w:r w:rsidRPr="00B00D77">
        <w:rPr>
          <w:rFonts w:ascii="Times New Roman" w:hAnsi="Times New Roman" w:cs="Times New Roman"/>
          <w:lang w:val="en-GB"/>
        </w:rPr>
        <w:t xml:space="preserve">r rights of women and girls, particularly </w:t>
      </w:r>
      <w:r w:rsidR="00E34705" w:rsidRPr="00B00D77">
        <w:rPr>
          <w:rFonts w:ascii="Times New Roman" w:hAnsi="Times New Roman" w:cs="Times New Roman"/>
          <w:lang w:val="en-GB"/>
        </w:rPr>
        <w:t>trafficked or smuggled (</w:t>
      </w:r>
      <w:r w:rsidRPr="00B00D77">
        <w:rPr>
          <w:rFonts w:ascii="Times New Roman" w:hAnsi="Times New Roman" w:cs="Times New Roman"/>
          <w:lang w:val="en-GB"/>
        </w:rPr>
        <w:t>migrant</w:t>
      </w:r>
      <w:r w:rsidR="00E34705" w:rsidRPr="00B00D77">
        <w:rPr>
          <w:rFonts w:ascii="Times New Roman" w:hAnsi="Times New Roman" w:cs="Times New Roman"/>
          <w:lang w:val="en-GB"/>
        </w:rPr>
        <w:t xml:space="preserve">) </w:t>
      </w:r>
      <w:r w:rsidRPr="00B00D77">
        <w:rPr>
          <w:rFonts w:ascii="Times New Roman" w:hAnsi="Times New Roman" w:cs="Times New Roman"/>
          <w:lang w:val="en-GB"/>
        </w:rPr>
        <w:t xml:space="preserve">sex workers. </w:t>
      </w:r>
    </w:p>
    <w:p w:rsidR="0040787D" w:rsidRPr="00B00D77" w:rsidRDefault="00AB0CA9" w:rsidP="005C2A7B">
      <w:pPr>
        <w:pStyle w:val="ListParagraph"/>
        <w:numPr>
          <w:ilvl w:val="0"/>
          <w:numId w:val="1"/>
        </w:numPr>
        <w:spacing w:line="276" w:lineRule="auto"/>
        <w:rPr>
          <w:rFonts w:ascii="Times New Roman" w:hAnsi="Times New Roman" w:cs="Times New Roman"/>
          <w:lang w:val="en-GB"/>
        </w:rPr>
      </w:pPr>
      <w:r w:rsidRPr="00B00D77">
        <w:rPr>
          <w:rFonts w:ascii="Times New Roman" w:hAnsi="Times New Roman" w:cs="Times New Roman"/>
          <w:lang w:val="en-GB"/>
        </w:rPr>
        <w:t xml:space="preserve">The General Recommendation should uphold a gender-sensitive, rights-based, and evidence-based approach. </w:t>
      </w:r>
    </w:p>
    <w:p w:rsidR="00E34705" w:rsidRDefault="00E34705" w:rsidP="005C2A7B">
      <w:pPr>
        <w:pStyle w:val="ListParagraph"/>
        <w:numPr>
          <w:ilvl w:val="0"/>
          <w:numId w:val="1"/>
        </w:numPr>
        <w:spacing w:line="276" w:lineRule="auto"/>
        <w:rPr>
          <w:rFonts w:ascii="Times New Roman" w:hAnsi="Times New Roman" w:cs="Times New Roman"/>
          <w:lang w:val="en-GB"/>
        </w:rPr>
      </w:pPr>
      <w:r w:rsidRPr="00B00D77">
        <w:rPr>
          <w:rFonts w:ascii="Times New Roman" w:hAnsi="Times New Roman" w:cs="Times New Roman"/>
          <w:lang w:val="en-GB"/>
        </w:rPr>
        <w:t>We call upon the Committee to remove all references to the 1949 Convention for the Suppression of the Traffic in Persons and of the Exploitation of the Prostitution of Others</w:t>
      </w:r>
      <w:r w:rsidR="00B00D77" w:rsidRPr="00B00D77">
        <w:rPr>
          <w:rFonts w:ascii="Times New Roman" w:hAnsi="Times New Roman" w:cs="Times New Roman"/>
          <w:lang w:val="en-GB"/>
        </w:rPr>
        <w:t xml:space="preserve">, as this would be a setback for respecting the rights of sex workers. </w:t>
      </w:r>
    </w:p>
    <w:p w:rsidR="00B00D77" w:rsidRPr="00B00D77" w:rsidRDefault="00B00D77" w:rsidP="005C2A7B">
      <w:pPr>
        <w:pStyle w:val="ListParagraph"/>
        <w:numPr>
          <w:ilvl w:val="0"/>
          <w:numId w:val="1"/>
        </w:numPr>
        <w:spacing w:line="276" w:lineRule="auto"/>
        <w:rPr>
          <w:rFonts w:ascii="Times New Roman" w:hAnsi="Times New Roman" w:cs="Times New Roman"/>
          <w:lang w:val="en-GB"/>
        </w:rPr>
      </w:pPr>
      <w:r>
        <w:rPr>
          <w:rFonts w:ascii="Times New Roman" w:hAnsi="Times New Roman" w:cs="Times New Roman"/>
          <w:lang w:val="en-GB"/>
        </w:rPr>
        <w:t xml:space="preserve">We urge the Committee to distinguish more clearly between </w:t>
      </w:r>
      <w:r w:rsidR="005C2A7B">
        <w:rPr>
          <w:rFonts w:ascii="Times New Roman" w:hAnsi="Times New Roman" w:cs="Times New Roman"/>
          <w:lang w:val="en-GB"/>
        </w:rPr>
        <w:t>trafficking and smuggling, and coercion and consent.</w:t>
      </w:r>
    </w:p>
    <w:p w:rsidR="00AB0CA9" w:rsidRPr="00B00D77" w:rsidRDefault="00AB0CA9" w:rsidP="005C2A7B">
      <w:pPr>
        <w:spacing w:line="276" w:lineRule="auto"/>
        <w:rPr>
          <w:rFonts w:ascii="Times New Roman" w:hAnsi="Times New Roman" w:cs="Times New Roman"/>
          <w:lang w:val="en-GB"/>
        </w:rPr>
      </w:pPr>
    </w:p>
    <w:p w:rsidR="004F1656" w:rsidRPr="00B00D77" w:rsidRDefault="00AB0CA9" w:rsidP="005C2A7B">
      <w:pPr>
        <w:spacing w:line="276" w:lineRule="auto"/>
        <w:rPr>
          <w:rFonts w:ascii="Times New Roman" w:hAnsi="Times New Roman" w:cs="Times New Roman"/>
          <w:b/>
          <w:lang w:val="en-GB"/>
        </w:rPr>
      </w:pPr>
      <w:r w:rsidRPr="00B00D77">
        <w:rPr>
          <w:rFonts w:ascii="Times New Roman" w:hAnsi="Times New Roman" w:cs="Times New Roman"/>
          <w:b/>
          <w:lang w:val="en-GB"/>
        </w:rPr>
        <w:lastRenderedPageBreak/>
        <w:t>Introduction</w:t>
      </w:r>
      <w:r w:rsidR="00B00D77">
        <w:rPr>
          <w:rFonts w:ascii="Times New Roman" w:hAnsi="Times New Roman" w:cs="Times New Roman"/>
          <w:b/>
          <w:lang w:val="en-GB"/>
        </w:rPr>
        <w:br/>
      </w:r>
      <w:r w:rsidR="00771543" w:rsidRPr="00B00D77">
        <w:rPr>
          <w:rFonts w:asciiTheme="majorBidi" w:hAnsiTheme="majorBidi" w:cstheme="majorBidi"/>
          <w:bCs/>
          <w:lang w:val="en-GB"/>
        </w:rPr>
        <w:t>PROUD</w:t>
      </w:r>
      <w:r w:rsidR="00C8082F" w:rsidRPr="00B00D77">
        <w:rPr>
          <w:rFonts w:asciiTheme="majorBidi" w:hAnsiTheme="majorBidi" w:cstheme="majorBidi"/>
          <w:bCs/>
          <w:lang w:val="en-GB"/>
        </w:rPr>
        <w:t xml:space="preserve"> appreciates the efforts of the Committee</w:t>
      </w:r>
      <w:r w:rsidR="004F1656" w:rsidRPr="00B00D77">
        <w:rPr>
          <w:rFonts w:asciiTheme="majorBidi" w:hAnsiTheme="majorBidi" w:cstheme="majorBidi"/>
          <w:bCs/>
          <w:lang w:val="en-GB"/>
        </w:rPr>
        <w:t xml:space="preserve"> to create a General Recommendation on article 6 of the CEDAW. We are concerned for the human rights and labour rights of trafficked and smuggled persons working in the sex industry. The following re</w:t>
      </w:r>
      <w:bookmarkStart w:id="0" w:name="_GoBack"/>
      <w:bookmarkEnd w:id="0"/>
      <w:r w:rsidR="004F1656" w:rsidRPr="00B00D77">
        <w:rPr>
          <w:rFonts w:asciiTheme="majorBidi" w:hAnsiTheme="majorBidi" w:cstheme="majorBidi"/>
          <w:bCs/>
          <w:lang w:val="en-GB"/>
        </w:rPr>
        <w:t>sponse will</w:t>
      </w:r>
      <w:r w:rsidR="00B00D77" w:rsidRPr="00B00D77">
        <w:rPr>
          <w:rFonts w:asciiTheme="majorBidi" w:hAnsiTheme="majorBidi" w:cstheme="majorBidi"/>
          <w:bCs/>
          <w:lang w:val="en-GB"/>
        </w:rPr>
        <w:t xml:space="preserve"> briefly</w:t>
      </w:r>
      <w:r w:rsidR="004F1656" w:rsidRPr="00B00D77">
        <w:rPr>
          <w:rFonts w:asciiTheme="majorBidi" w:hAnsiTheme="majorBidi" w:cstheme="majorBidi"/>
          <w:bCs/>
          <w:lang w:val="en-GB"/>
        </w:rPr>
        <w:t xml:space="preserve"> address this issue.</w:t>
      </w:r>
    </w:p>
    <w:p w:rsidR="003B02A3" w:rsidRDefault="004F1656" w:rsidP="005C2A7B">
      <w:pPr>
        <w:spacing w:line="276" w:lineRule="auto"/>
        <w:ind w:right="326"/>
        <w:rPr>
          <w:rFonts w:asciiTheme="majorBidi" w:hAnsiTheme="majorBidi" w:cstheme="majorBidi"/>
          <w:lang w:val="en-GB"/>
        </w:rPr>
      </w:pPr>
      <w:r w:rsidRPr="00B00D77">
        <w:rPr>
          <w:rFonts w:asciiTheme="majorBidi" w:hAnsiTheme="majorBidi" w:cstheme="majorBidi"/>
          <w:b/>
          <w:bCs/>
          <w:lang w:val="en-GB"/>
        </w:rPr>
        <w:t>Sex work is work</w:t>
      </w:r>
      <w:r w:rsidR="00B00D77">
        <w:rPr>
          <w:rFonts w:asciiTheme="majorBidi" w:hAnsiTheme="majorBidi" w:cstheme="majorBidi"/>
          <w:b/>
          <w:bCs/>
          <w:lang w:val="en-GB"/>
        </w:rPr>
        <w:br/>
      </w:r>
      <w:r w:rsidR="00E34705" w:rsidRPr="00B00D77">
        <w:rPr>
          <w:rFonts w:asciiTheme="majorBidi" w:hAnsiTheme="majorBidi" w:cstheme="majorBidi"/>
          <w:lang w:val="en-GB"/>
        </w:rPr>
        <w:t xml:space="preserve">Even when done under </w:t>
      </w:r>
      <w:r w:rsidR="00B00D77">
        <w:rPr>
          <w:rFonts w:asciiTheme="majorBidi" w:hAnsiTheme="majorBidi" w:cstheme="majorBidi"/>
          <w:lang w:val="en-GB"/>
        </w:rPr>
        <w:t xml:space="preserve">unsafe, unhealthy, or exploitative </w:t>
      </w:r>
      <w:r w:rsidR="00E34705" w:rsidRPr="00B00D77">
        <w:rPr>
          <w:rFonts w:asciiTheme="majorBidi" w:hAnsiTheme="majorBidi" w:cstheme="majorBidi"/>
          <w:lang w:val="en-GB"/>
        </w:rPr>
        <w:t>conditions, sex work is work. Labour does not become something else when this labour is deeply exploitative or done under unacceptable conditions</w:t>
      </w:r>
      <w:r w:rsidR="005C2A7B">
        <w:rPr>
          <w:rStyle w:val="FootnoteReference"/>
          <w:rFonts w:asciiTheme="majorBidi" w:hAnsiTheme="majorBidi" w:cstheme="majorBidi"/>
          <w:lang w:val="en-GB"/>
        </w:rPr>
        <w:footnoteReference w:id="1"/>
      </w:r>
      <w:r w:rsidR="00E34705" w:rsidRPr="00B00D77">
        <w:rPr>
          <w:rFonts w:asciiTheme="majorBidi" w:hAnsiTheme="majorBidi" w:cstheme="majorBidi"/>
          <w:lang w:val="en-GB"/>
        </w:rPr>
        <w:t xml:space="preserve">. States must respect, protect and fulfil labour rights for all, including trafficked </w:t>
      </w:r>
      <w:r w:rsidR="00B00D77">
        <w:rPr>
          <w:rFonts w:asciiTheme="majorBidi" w:hAnsiTheme="majorBidi" w:cstheme="majorBidi"/>
          <w:lang w:val="en-GB"/>
        </w:rPr>
        <w:t xml:space="preserve">and smuggled </w:t>
      </w:r>
      <w:r w:rsidR="00E34705" w:rsidRPr="00B00D77">
        <w:rPr>
          <w:rFonts w:asciiTheme="majorBidi" w:hAnsiTheme="majorBidi" w:cstheme="majorBidi"/>
          <w:lang w:val="en-GB"/>
        </w:rPr>
        <w:t xml:space="preserve">persons. </w:t>
      </w:r>
    </w:p>
    <w:p w:rsidR="00E34705" w:rsidRPr="005C2A7B" w:rsidRDefault="00E34705" w:rsidP="005C2A7B">
      <w:pPr>
        <w:spacing w:line="276" w:lineRule="auto"/>
        <w:ind w:right="326"/>
        <w:rPr>
          <w:rFonts w:asciiTheme="majorBidi" w:hAnsiTheme="majorBidi" w:cstheme="majorBidi"/>
          <w:lang w:val="en-GB"/>
        </w:rPr>
      </w:pPr>
      <w:r w:rsidRPr="00B00D77">
        <w:rPr>
          <w:rFonts w:asciiTheme="majorBidi" w:hAnsiTheme="majorBidi" w:cstheme="majorBidi"/>
          <w:lang w:val="en-GB"/>
        </w:rPr>
        <w:t>Sexual exploitation within the sex industry is a form of forced labour. The human rights of sex workers are in grave danger when we do not pay attention to situations of exploitation that can arise whilst working in the sex industry, but merely on how one gets involved in the sex industry. This falsely suggests that forced labour cannot exist in the sex industry,</w:t>
      </w:r>
      <w:r w:rsidR="00B00D77" w:rsidRPr="00B00D77">
        <w:rPr>
          <w:rFonts w:asciiTheme="majorBidi" w:hAnsiTheme="majorBidi" w:cstheme="majorBidi"/>
          <w:lang w:val="en-GB"/>
        </w:rPr>
        <w:t xml:space="preserve"> or that by consenting to opt for this line of work, it is considered ‘part of the deal’</w:t>
      </w:r>
      <w:r w:rsidRPr="00B00D77">
        <w:rPr>
          <w:rFonts w:asciiTheme="majorBidi" w:hAnsiTheme="majorBidi" w:cstheme="majorBidi"/>
          <w:lang w:val="en-GB"/>
        </w:rPr>
        <w:t>.</w:t>
      </w:r>
      <w:r w:rsidRPr="00B00D77">
        <w:rPr>
          <w:rStyle w:val="FootnoteReference"/>
          <w:rFonts w:asciiTheme="majorBidi" w:hAnsiTheme="majorBidi" w:cstheme="majorBidi"/>
          <w:lang w:val="en-GB"/>
        </w:rPr>
        <w:footnoteReference w:id="2"/>
      </w:r>
      <w:r w:rsidRPr="00B00D77">
        <w:rPr>
          <w:rFonts w:asciiTheme="majorBidi" w:hAnsiTheme="majorBidi" w:cstheme="majorBidi"/>
          <w:lang w:val="en-GB"/>
        </w:rPr>
        <w:t xml:space="preserve"> </w:t>
      </w:r>
    </w:p>
    <w:p w:rsidR="00E34705" w:rsidRPr="00B00D77" w:rsidRDefault="00E34705" w:rsidP="005C2A7B">
      <w:pPr>
        <w:spacing w:line="276" w:lineRule="auto"/>
        <w:ind w:right="326"/>
        <w:rPr>
          <w:rFonts w:asciiTheme="majorBidi" w:hAnsiTheme="majorBidi" w:cstheme="majorBidi"/>
          <w:i/>
          <w:lang w:val="en-GB"/>
        </w:rPr>
      </w:pPr>
      <w:r w:rsidRPr="00B00D77">
        <w:rPr>
          <w:rFonts w:asciiTheme="majorBidi" w:hAnsiTheme="majorBidi" w:cstheme="majorBidi"/>
          <w:lang w:val="en-GB"/>
        </w:rPr>
        <w:t>‘</w:t>
      </w:r>
      <w:r w:rsidRPr="00B00D77">
        <w:rPr>
          <w:rFonts w:asciiTheme="majorBidi" w:hAnsiTheme="majorBidi" w:cstheme="majorBidi"/>
          <w:i/>
          <w:lang w:val="en-GB"/>
        </w:rPr>
        <w:t xml:space="preserve">The struggle for the recognition of sex work as work is closely tied to the struggle for decriminalisation. Central to the demand for decriminalisation is the argument that sex workers </w:t>
      </w:r>
      <w:r w:rsidRPr="00B00D77">
        <w:rPr>
          <w:rFonts w:asciiTheme="majorBidi" w:hAnsiTheme="majorBidi" w:cstheme="majorBidi"/>
          <w:i/>
          <w:lang w:val="en-GB"/>
        </w:rPr>
        <w:lastRenderedPageBreak/>
        <w:t xml:space="preserve">should be afforded the civil and labour rights and social protections that are the entitlement of all workers, regardless of occupation’. </w:t>
      </w:r>
    </w:p>
    <w:p w:rsidR="00E34705" w:rsidRPr="00B00D77" w:rsidRDefault="00E34705" w:rsidP="005C2A7B">
      <w:pPr>
        <w:pStyle w:val="ListParagraph"/>
        <w:numPr>
          <w:ilvl w:val="0"/>
          <w:numId w:val="1"/>
        </w:numPr>
        <w:spacing w:line="276" w:lineRule="auto"/>
        <w:ind w:right="326"/>
        <w:rPr>
          <w:rFonts w:asciiTheme="majorBidi" w:hAnsiTheme="majorBidi" w:cstheme="majorBidi"/>
          <w:lang w:val="en-GB"/>
        </w:rPr>
      </w:pPr>
      <w:r w:rsidRPr="00B00D77">
        <w:rPr>
          <w:rFonts w:asciiTheme="majorBidi" w:hAnsiTheme="majorBidi" w:cstheme="majorBidi"/>
          <w:lang w:val="en-GB"/>
        </w:rPr>
        <w:t xml:space="preserve">NSWP Sex Work as Work policy brief p. 1 - </w:t>
      </w:r>
    </w:p>
    <w:p w:rsidR="004F1656" w:rsidRPr="00B00D77" w:rsidRDefault="004F1656" w:rsidP="005C2A7B">
      <w:pPr>
        <w:spacing w:line="276" w:lineRule="auto"/>
        <w:ind w:right="326"/>
        <w:rPr>
          <w:rFonts w:asciiTheme="majorBidi" w:hAnsiTheme="majorBidi" w:cstheme="majorBidi"/>
          <w:lang w:val="en-GB"/>
        </w:rPr>
      </w:pPr>
      <w:r w:rsidRPr="00B00D77">
        <w:rPr>
          <w:rFonts w:ascii="Times New Roman" w:hAnsi="Times New Roman" w:cs="Times New Roman"/>
          <w:lang w:val="en-GB"/>
        </w:rPr>
        <w:t xml:space="preserve">We remind </w:t>
      </w:r>
      <w:r w:rsidR="00B00D77" w:rsidRPr="00B00D77">
        <w:rPr>
          <w:rFonts w:ascii="Times New Roman" w:hAnsi="Times New Roman" w:cs="Times New Roman"/>
          <w:lang w:val="en-GB"/>
        </w:rPr>
        <w:t>States of</w:t>
      </w:r>
      <w:r w:rsidRPr="00B00D77">
        <w:rPr>
          <w:rFonts w:ascii="Times New Roman" w:hAnsi="Times New Roman" w:cs="Times New Roman"/>
          <w:lang w:val="en-GB"/>
        </w:rPr>
        <w:t xml:space="preserve"> the </w:t>
      </w:r>
      <w:r w:rsidR="00B00D77" w:rsidRPr="00B00D77">
        <w:rPr>
          <w:rFonts w:ascii="Times New Roman" w:hAnsi="Times New Roman" w:cs="Times New Roman"/>
          <w:lang w:val="en-GB"/>
        </w:rPr>
        <w:t>possibility of</w:t>
      </w:r>
      <w:r w:rsidRPr="00B00D77">
        <w:rPr>
          <w:rFonts w:ascii="Times New Roman" w:hAnsi="Times New Roman" w:cs="Times New Roman"/>
          <w:lang w:val="en-GB"/>
        </w:rPr>
        <w:t xml:space="preserve"> </w:t>
      </w:r>
      <w:r w:rsidR="00B00D77" w:rsidRPr="00B00D77">
        <w:rPr>
          <w:rFonts w:ascii="Times New Roman" w:hAnsi="Times New Roman" w:cs="Times New Roman"/>
          <w:lang w:val="en-GB"/>
        </w:rPr>
        <w:t xml:space="preserve">and </w:t>
      </w:r>
      <w:r w:rsidR="00B00D77">
        <w:rPr>
          <w:rFonts w:ascii="Times New Roman" w:hAnsi="Times New Roman" w:cs="Times New Roman"/>
          <w:lang w:val="en-GB"/>
        </w:rPr>
        <w:t xml:space="preserve">urge them to </w:t>
      </w:r>
      <w:r w:rsidRPr="00B00D77">
        <w:rPr>
          <w:rFonts w:ascii="Times New Roman" w:hAnsi="Times New Roman" w:cs="Times New Roman"/>
          <w:lang w:val="en-GB"/>
        </w:rPr>
        <w:t>respect the trafficked</w:t>
      </w:r>
      <w:r w:rsidR="00B00D77" w:rsidRPr="00B00D77">
        <w:rPr>
          <w:rFonts w:ascii="Times New Roman" w:hAnsi="Times New Roman" w:cs="Times New Roman"/>
          <w:lang w:val="en-GB"/>
        </w:rPr>
        <w:t xml:space="preserve"> or smuggled</w:t>
      </w:r>
      <w:r w:rsidRPr="00B00D77">
        <w:rPr>
          <w:rFonts w:ascii="Times New Roman" w:hAnsi="Times New Roman" w:cs="Times New Roman"/>
          <w:lang w:val="en-GB"/>
        </w:rPr>
        <w:t xml:space="preserve"> person’s choice and consent to work in the sex industry, </w:t>
      </w:r>
      <w:r w:rsidR="005C2A7B">
        <w:rPr>
          <w:rFonts w:ascii="Times New Roman" w:hAnsi="Times New Roman" w:cs="Times New Roman"/>
          <w:lang w:val="en-GB"/>
        </w:rPr>
        <w:t xml:space="preserve">for whatever reason or necessity, as well as </w:t>
      </w:r>
      <w:r w:rsidRPr="00B00D77">
        <w:rPr>
          <w:rFonts w:ascii="Times New Roman" w:hAnsi="Times New Roman" w:cs="Times New Roman"/>
          <w:lang w:val="en-GB"/>
        </w:rPr>
        <w:t xml:space="preserve">respect, protect and fulfil the human rights and labour rights of all people in this industry. </w:t>
      </w:r>
      <w:r w:rsidR="00B00D77">
        <w:rPr>
          <w:rFonts w:ascii="Times New Roman" w:hAnsi="Times New Roman" w:cs="Times New Roman"/>
          <w:lang w:val="en-GB"/>
        </w:rPr>
        <w:t>This includes respecting and acknowledging the diversity of people involved in the sex industry</w:t>
      </w:r>
      <w:r w:rsidR="003B02A3">
        <w:rPr>
          <w:rFonts w:ascii="Times New Roman" w:hAnsi="Times New Roman" w:cs="Times New Roman"/>
          <w:lang w:val="en-GB"/>
        </w:rPr>
        <w:t>. Gender-sensitive in this case means more than women and girls. Although fewer in number, adequate attention is needed for trafficked or smuggled men and trans people. Next to this, a</w:t>
      </w:r>
      <w:r w:rsidRPr="00B00D77">
        <w:rPr>
          <w:rFonts w:ascii="Times New Roman" w:hAnsi="Times New Roman" w:cs="Times New Roman"/>
          <w:lang w:val="en-GB"/>
        </w:rPr>
        <w:t xml:space="preserve">n approach of harm reduction must always be chosen over </w:t>
      </w:r>
      <w:r w:rsidR="00B00D77" w:rsidRPr="00B00D77">
        <w:rPr>
          <w:rFonts w:ascii="Times New Roman" w:hAnsi="Times New Roman" w:cs="Times New Roman"/>
          <w:lang w:val="en-GB"/>
        </w:rPr>
        <w:t xml:space="preserve">the </w:t>
      </w:r>
      <w:r w:rsidRPr="00B00D77">
        <w:rPr>
          <w:rFonts w:ascii="Times New Roman" w:hAnsi="Times New Roman" w:cs="Times New Roman"/>
          <w:lang w:val="en-GB"/>
        </w:rPr>
        <w:t xml:space="preserve">harsh </w:t>
      </w:r>
      <w:r w:rsidR="00B00D77" w:rsidRPr="00B00D77">
        <w:rPr>
          <w:rFonts w:ascii="Times New Roman" w:hAnsi="Times New Roman" w:cs="Times New Roman"/>
          <w:lang w:val="en-GB"/>
        </w:rPr>
        <w:t xml:space="preserve">effects of </w:t>
      </w:r>
      <w:r w:rsidRPr="00B00D77">
        <w:rPr>
          <w:rFonts w:ascii="Times New Roman" w:hAnsi="Times New Roman" w:cs="Times New Roman"/>
          <w:lang w:val="en-GB"/>
        </w:rPr>
        <w:t>criminalisation</w:t>
      </w:r>
      <w:r w:rsidR="003B02A3">
        <w:rPr>
          <w:rFonts w:ascii="Times New Roman" w:hAnsi="Times New Roman" w:cs="Times New Roman"/>
          <w:lang w:val="en-GB"/>
        </w:rPr>
        <w:t>, which includes not arresting or penalizing sex workers when seeking assistance for a situation of exploitation, in a context where their work is criminalized.</w:t>
      </w:r>
    </w:p>
    <w:p w:rsidR="00771543" w:rsidRPr="00B00D77" w:rsidRDefault="00771543" w:rsidP="005C2A7B">
      <w:pPr>
        <w:spacing w:line="276" w:lineRule="auto"/>
        <w:ind w:right="326"/>
        <w:rPr>
          <w:rFonts w:asciiTheme="majorBidi" w:hAnsiTheme="majorBidi" w:cstheme="majorBidi"/>
          <w:lang w:val="en-GB"/>
        </w:rPr>
      </w:pPr>
      <w:r w:rsidRPr="00B00D77">
        <w:rPr>
          <w:rFonts w:asciiTheme="majorBidi" w:hAnsiTheme="majorBidi" w:cstheme="majorBidi"/>
          <w:lang w:val="en-GB"/>
        </w:rPr>
        <w:t xml:space="preserve">PROUD strongly advises to use the term ‘trafficked persons’ above the term ‘victims’ in all documents of international (soft)law. ‘The term ‘victim’ tends to reduce the identity of, in particular, women </w:t>
      </w:r>
      <w:r w:rsidR="00B00D77" w:rsidRPr="00B00D77">
        <w:rPr>
          <w:rFonts w:asciiTheme="majorBidi" w:hAnsiTheme="majorBidi" w:cstheme="majorBidi"/>
          <w:lang w:val="en-GB"/>
        </w:rPr>
        <w:t xml:space="preserve">and girls </w:t>
      </w:r>
      <w:r w:rsidRPr="00B00D77">
        <w:rPr>
          <w:rFonts w:asciiTheme="majorBidi" w:hAnsiTheme="majorBidi" w:cstheme="majorBidi"/>
          <w:lang w:val="en-GB"/>
        </w:rPr>
        <w:t>to that of a passive victim rather than recognising them as persons with agency, decision-making abilities and rights.’</w:t>
      </w:r>
      <w:r w:rsidRPr="00B00D77">
        <w:rPr>
          <w:rStyle w:val="FootnoteReference"/>
          <w:rFonts w:asciiTheme="majorBidi" w:hAnsiTheme="majorBidi" w:cstheme="majorBidi"/>
          <w:lang w:val="en-GB"/>
        </w:rPr>
        <w:footnoteReference w:id="3"/>
      </w:r>
    </w:p>
    <w:p w:rsidR="005C2A7B" w:rsidRDefault="005C2A7B" w:rsidP="00D73521">
      <w:pPr>
        <w:spacing w:after="0" w:line="276" w:lineRule="auto"/>
        <w:rPr>
          <w:rFonts w:asciiTheme="majorBidi" w:hAnsiTheme="majorBidi" w:cstheme="majorBidi"/>
          <w:lang w:val="en-GB"/>
        </w:rPr>
      </w:pPr>
      <w:r w:rsidRPr="005C2A7B">
        <w:rPr>
          <w:rFonts w:asciiTheme="majorBidi" w:hAnsiTheme="majorBidi" w:cstheme="majorBidi"/>
          <w:b/>
          <w:lang w:val="en-GB"/>
        </w:rPr>
        <w:lastRenderedPageBreak/>
        <w:t>Eliminating discrimination against trafficked and smuggle</w:t>
      </w:r>
      <w:r w:rsidR="000C1EC6">
        <w:rPr>
          <w:rFonts w:asciiTheme="majorBidi" w:hAnsiTheme="majorBidi" w:cstheme="majorBidi"/>
          <w:b/>
          <w:lang w:val="en-GB"/>
        </w:rPr>
        <w:t>d</w:t>
      </w:r>
      <w:r w:rsidRPr="005C2A7B">
        <w:rPr>
          <w:rFonts w:asciiTheme="majorBidi" w:hAnsiTheme="majorBidi" w:cstheme="majorBidi"/>
          <w:b/>
          <w:lang w:val="en-GB"/>
        </w:rPr>
        <w:t xml:space="preserve"> women and girls</w:t>
      </w:r>
      <w:r w:rsidRPr="005C2A7B">
        <w:rPr>
          <w:rFonts w:asciiTheme="majorBidi" w:hAnsiTheme="majorBidi" w:cstheme="majorBidi"/>
          <w:b/>
          <w:lang w:val="en-GB"/>
        </w:rPr>
        <w:br/>
      </w:r>
      <w:r w:rsidRPr="00B00D77">
        <w:rPr>
          <w:rFonts w:asciiTheme="majorBidi" w:hAnsiTheme="majorBidi" w:cstheme="majorBidi"/>
          <w:bCs/>
          <w:lang w:val="en-GB"/>
        </w:rPr>
        <w:t xml:space="preserve">A step forward in eliminating discrimination against women and girls who are deeply exploited, starts </w:t>
      </w:r>
      <w:r>
        <w:rPr>
          <w:rFonts w:asciiTheme="majorBidi" w:hAnsiTheme="majorBidi" w:cstheme="majorBidi"/>
          <w:bCs/>
          <w:lang w:val="en-GB"/>
        </w:rPr>
        <w:t>by</w:t>
      </w:r>
      <w:r w:rsidRPr="00B00D77">
        <w:rPr>
          <w:rFonts w:asciiTheme="majorBidi" w:hAnsiTheme="majorBidi" w:cstheme="majorBidi"/>
          <w:bCs/>
          <w:lang w:val="en-GB"/>
        </w:rPr>
        <w:t xml:space="preserve"> States respecting their labour rights. </w:t>
      </w:r>
      <w:r w:rsidRPr="00B00D77">
        <w:rPr>
          <w:rFonts w:asciiTheme="majorBidi" w:hAnsiTheme="majorBidi" w:cstheme="majorBidi"/>
          <w:lang w:val="en-GB"/>
        </w:rPr>
        <w:t>Anti-trafficking measures should n</w:t>
      </w:r>
      <w:r>
        <w:rPr>
          <w:rFonts w:asciiTheme="majorBidi" w:hAnsiTheme="majorBidi" w:cstheme="majorBidi"/>
          <w:lang w:val="en-GB"/>
        </w:rPr>
        <w:t>ever</w:t>
      </w:r>
      <w:r w:rsidRPr="00B00D77">
        <w:rPr>
          <w:rFonts w:asciiTheme="majorBidi" w:hAnsiTheme="majorBidi" w:cstheme="majorBidi"/>
          <w:lang w:val="en-GB"/>
        </w:rPr>
        <w:t xml:space="preserve"> adversely affect the human rights and dignity of persons, in particular the rights of those who have been trafficked and of migrants, internally displaced persons, refugees and asylum seekers.</w:t>
      </w:r>
      <w:r w:rsidRPr="00B00D77">
        <w:rPr>
          <w:rStyle w:val="FootnoteReference"/>
          <w:rFonts w:asciiTheme="majorBidi" w:hAnsiTheme="majorBidi" w:cstheme="majorBidi"/>
          <w:lang w:val="en-GB"/>
        </w:rPr>
        <w:footnoteReference w:id="4"/>
      </w:r>
      <w:r w:rsidR="00D73521">
        <w:rPr>
          <w:rFonts w:asciiTheme="majorBidi" w:hAnsiTheme="majorBidi" w:cstheme="majorBidi"/>
          <w:b/>
          <w:lang w:val="en-GB"/>
        </w:rPr>
        <w:t xml:space="preserve"> </w:t>
      </w:r>
      <w:r>
        <w:rPr>
          <w:rFonts w:asciiTheme="majorBidi" w:hAnsiTheme="majorBidi" w:cstheme="majorBidi"/>
          <w:bCs/>
          <w:lang w:val="en-GB"/>
        </w:rPr>
        <w:t>The h</w:t>
      </w:r>
      <w:r w:rsidRPr="00B00D77">
        <w:rPr>
          <w:rFonts w:asciiTheme="majorBidi" w:hAnsiTheme="majorBidi" w:cstheme="majorBidi"/>
          <w:bCs/>
          <w:lang w:val="en-GB"/>
        </w:rPr>
        <w:t>ealth and safety for the trafficked person must be prioritized over criminal investigations.</w:t>
      </w:r>
      <w:r w:rsidRPr="005C2A7B">
        <w:rPr>
          <w:rFonts w:asciiTheme="majorBidi" w:hAnsiTheme="majorBidi" w:cstheme="majorBidi"/>
          <w:lang w:val="en-GB"/>
        </w:rPr>
        <w:t xml:space="preserve"> </w:t>
      </w:r>
    </w:p>
    <w:p w:rsidR="00D73521" w:rsidRPr="00D73521" w:rsidRDefault="00D73521" w:rsidP="00D73521">
      <w:pPr>
        <w:spacing w:after="0" w:line="276" w:lineRule="auto"/>
        <w:rPr>
          <w:rFonts w:asciiTheme="majorBidi" w:hAnsiTheme="majorBidi" w:cstheme="majorBidi"/>
          <w:b/>
          <w:lang w:val="en-GB"/>
        </w:rPr>
      </w:pPr>
    </w:p>
    <w:p w:rsidR="00282710" w:rsidRDefault="005C2A7B" w:rsidP="00282710">
      <w:pPr>
        <w:spacing w:line="276" w:lineRule="auto"/>
        <w:ind w:right="326"/>
        <w:rPr>
          <w:rFonts w:asciiTheme="majorBidi" w:hAnsiTheme="majorBidi" w:cstheme="majorBidi"/>
          <w:lang w:val="en-GB"/>
        </w:rPr>
      </w:pPr>
      <w:r w:rsidRPr="00B00D77">
        <w:rPr>
          <w:rFonts w:asciiTheme="majorBidi" w:hAnsiTheme="majorBidi" w:cstheme="majorBidi"/>
          <w:lang w:val="en-GB"/>
        </w:rPr>
        <w:t>Trafficked persons who are deeply exploited, should not be discriminated against by law or practise when seeking help or assistance.</w:t>
      </w:r>
      <w:r w:rsidRPr="00B00D77">
        <w:rPr>
          <w:rStyle w:val="FootnoteReference"/>
          <w:rFonts w:asciiTheme="majorBidi" w:hAnsiTheme="majorBidi" w:cstheme="majorBidi"/>
          <w:lang w:val="en-GB"/>
        </w:rPr>
        <w:footnoteReference w:id="5"/>
      </w:r>
      <w:r w:rsidRPr="00B00D77">
        <w:rPr>
          <w:rFonts w:asciiTheme="majorBidi" w:hAnsiTheme="majorBidi" w:cstheme="majorBidi"/>
          <w:lang w:val="en-GB"/>
        </w:rPr>
        <w:t xml:space="preserve"> </w:t>
      </w:r>
      <w:r w:rsidRPr="00B00D77">
        <w:rPr>
          <w:rFonts w:asciiTheme="majorBidi" w:hAnsiTheme="majorBidi" w:cstheme="majorBidi"/>
          <w:bCs/>
          <w:lang w:val="en-GB"/>
        </w:rPr>
        <w:t>C</w:t>
      </w:r>
      <w:r w:rsidRPr="00B00D77">
        <w:rPr>
          <w:rFonts w:asciiTheme="majorBidi" w:hAnsiTheme="majorBidi" w:cstheme="majorBidi"/>
          <w:lang w:val="en-GB"/>
        </w:rPr>
        <w:t>onditions of coercion, abuse and deceit should be addressed when protecting human rights, no matter in what industry</w:t>
      </w:r>
      <w:r>
        <w:rPr>
          <w:rFonts w:asciiTheme="majorBidi" w:hAnsiTheme="majorBidi" w:cstheme="majorBidi"/>
          <w:lang w:val="en-GB"/>
        </w:rPr>
        <w:t>, or prior choices of the trafficked or smuggled person</w:t>
      </w:r>
      <w:r w:rsidRPr="00B00D77">
        <w:rPr>
          <w:rFonts w:asciiTheme="majorBidi" w:hAnsiTheme="majorBidi" w:cstheme="majorBidi"/>
          <w:lang w:val="en-GB"/>
        </w:rPr>
        <w:t>.</w:t>
      </w:r>
      <w:r w:rsidRPr="00B00D77">
        <w:rPr>
          <w:rStyle w:val="FootnoteReference"/>
          <w:rFonts w:asciiTheme="majorBidi" w:hAnsiTheme="majorBidi" w:cstheme="majorBidi"/>
          <w:lang w:val="en-GB"/>
        </w:rPr>
        <w:footnoteReference w:id="6"/>
      </w:r>
      <w:r w:rsidRPr="00B00D77">
        <w:rPr>
          <w:rFonts w:asciiTheme="majorBidi" w:hAnsiTheme="majorBidi" w:cstheme="majorBidi"/>
          <w:lang w:val="en-GB"/>
        </w:rPr>
        <w:t xml:space="preserve"> Therefore PROUD advocates for a broad and inclusive definition of trafficking. Trafficking is constituted in the cases of forced labour, slavery and servitude, irrespective of the nature of the work, the services provided or the gender of the trafficked person. </w:t>
      </w:r>
    </w:p>
    <w:p w:rsidR="00431393" w:rsidRPr="00D73521" w:rsidRDefault="003B02A3" w:rsidP="00431393">
      <w:pPr>
        <w:spacing w:line="276" w:lineRule="auto"/>
        <w:ind w:right="326"/>
        <w:rPr>
          <w:rFonts w:asciiTheme="majorBidi" w:hAnsiTheme="majorBidi" w:cstheme="majorBidi"/>
          <w:b/>
          <w:lang w:val="en-GB"/>
        </w:rPr>
      </w:pPr>
      <w:r w:rsidRPr="003B02A3">
        <w:rPr>
          <w:rFonts w:asciiTheme="majorBidi" w:hAnsiTheme="majorBidi" w:cstheme="majorBidi"/>
          <w:b/>
          <w:lang w:val="en-GB"/>
        </w:rPr>
        <w:lastRenderedPageBreak/>
        <w:t>Removing harmful references</w:t>
      </w:r>
      <w:r>
        <w:rPr>
          <w:rFonts w:asciiTheme="majorBidi" w:hAnsiTheme="majorBidi" w:cstheme="majorBidi"/>
          <w:b/>
          <w:lang w:val="en-GB"/>
        </w:rPr>
        <w:t xml:space="preserve"> and ambiguity</w:t>
      </w:r>
      <w:r w:rsidR="00D73521">
        <w:rPr>
          <w:rFonts w:asciiTheme="majorBidi" w:hAnsiTheme="majorBidi" w:cstheme="majorBidi"/>
          <w:b/>
          <w:lang w:val="en-GB"/>
        </w:rPr>
        <w:br/>
      </w:r>
      <w:r w:rsidR="00282710" w:rsidRPr="003B02A3">
        <w:rPr>
          <w:rFonts w:ascii="Times New Roman" w:hAnsi="Times New Roman" w:cs="Times New Roman"/>
          <w:lang w:val="en-GB"/>
        </w:rPr>
        <w:t xml:space="preserve">We </w:t>
      </w:r>
      <w:r w:rsidR="00431393" w:rsidRPr="003B02A3">
        <w:rPr>
          <w:rFonts w:ascii="Times New Roman" w:hAnsi="Times New Roman" w:cs="Times New Roman"/>
          <w:lang w:val="en-GB"/>
        </w:rPr>
        <w:t>call upon</w:t>
      </w:r>
      <w:r w:rsidR="00282710" w:rsidRPr="003B02A3">
        <w:rPr>
          <w:rFonts w:ascii="Times New Roman" w:hAnsi="Times New Roman" w:cs="Times New Roman"/>
          <w:lang w:val="en-GB"/>
        </w:rPr>
        <w:t xml:space="preserve"> the Committee to remove all references to the 1949 Convention for the Suppression of the Traffic in Persons and of the Exploitation of the Prostitution of Others, as this would be a setback for respecting the rights of sex workers. The rules laid down in this convention are discriminatory toward sex workers</w:t>
      </w:r>
      <w:r w:rsidRPr="003B02A3">
        <w:rPr>
          <w:rFonts w:ascii="Times New Roman" w:hAnsi="Times New Roman" w:cs="Times New Roman"/>
          <w:lang w:val="en-GB"/>
        </w:rPr>
        <w:t xml:space="preserve">, irrespective of their choice and consent to a certain situation, </w:t>
      </w:r>
      <w:r w:rsidR="00282710" w:rsidRPr="003B02A3">
        <w:rPr>
          <w:rFonts w:ascii="Times New Roman" w:hAnsi="Times New Roman" w:cs="Times New Roman"/>
          <w:lang w:val="en-GB"/>
        </w:rPr>
        <w:t xml:space="preserve">and do not </w:t>
      </w:r>
      <w:r w:rsidR="00431393" w:rsidRPr="003B02A3">
        <w:rPr>
          <w:rFonts w:ascii="Times New Roman" w:hAnsi="Times New Roman" w:cs="Times New Roman"/>
          <w:lang w:val="en-GB"/>
        </w:rPr>
        <w:t xml:space="preserve">in any way </w:t>
      </w:r>
      <w:r w:rsidR="00282710" w:rsidRPr="003B02A3">
        <w:rPr>
          <w:rFonts w:ascii="Times New Roman" w:hAnsi="Times New Roman" w:cs="Times New Roman"/>
          <w:lang w:val="en-GB"/>
        </w:rPr>
        <w:t>contribute to</w:t>
      </w:r>
      <w:r w:rsidR="00431393" w:rsidRPr="003B02A3">
        <w:rPr>
          <w:rFonts w:ascii="Times New Roman" w:hAnsi="Times New Roman" w:cs="Times New Roman"/>
          <w:lang w:val="en-GB"/>
        </w:rPr>
        <w:t xml:space="preserve"> protecting the human rights of trafficked </w:t>
      </w:r>
      <w:r w:rsidRPr="003B02A3">
        <w:rPr>
          <w:rFonts w:ascii="Times New Roman" w:hAnsi="Times New Roman" w:cs="Times New Roman"/>
          <w:lang w:val="en-GB"/>
        </w:rPr>
        <w:t xml:space="preserve">and smuggled </w:t>
      </w:r>
      <w:r w:rsidR="00431393" w:rsidRPr="003B02A3">
        <w:rPr>
          <w:rFonts w:ascii="Times New Roman" w:hAnsi="Times New Roman" w:cs="Times New Roman"/>
          <w:lang w:val="en-GB"/>
        </w:rPr>
        <w:t xml:space="preserve">persons. </w:t>
      </w:r>
    </w:p>
    <w:p w:rsidR="000B39A6" w:rsidRPr="003B02A3" w:rsidRDefault="003B02A3" w:rsidP="003F503A">
      <w:pPr>
        <w:spacing w:line="276" w:lineRule="auto"/>
        <w:ind w:right="326"/>
        <w:rPr>
          <w:rFonts w:ascii="Times New Roman" w:hAnsi="Times New Roman" w:cs="Times New Roman"/>
          <w:lang w:val="en-GB"/>
        </w:rPr>
      </w:pPr>
      <w:r w:rsidRPr="003B02A3">
        <w:rPr>
          <w:rFonts w:ascii="Times New Roman" w:hAnsi="Times New Roman" w:cs="Times New Roman"/>
          <w:lang w:val="en-GB"/>
        </w:rPr>
        <w:t xml:space="preserve">Next to this, we </w:t>
      </w:r>
      <w:r w:rsidR="00431393" w:rsidRPr="003B02A3">
        <w:rPr>
          <w:rFonts w:ascii="Times New Roman" w:hAnsi="Times New Roman" w:cs="Times New Roman"/>
          <w:lang w:val="en-GB"/>
        </w:rPr>
        <w:t xml:space="preserve">urge the Committee to distinguish more clearly between trafficking and smuggling, and coercion and consent. </w:t>
      </w:r>
    </w:p>
    <w:p w:rsidR="00431393" w:rsidRPr="003B02A3" w:rsidRDefault="003F503A" w:rsidP="003F503A">
      <w:pPr>
        <w:spacing w:line="276" w:lineRule="auto"/>
        <w:ind w:right="326"/>
        <w:rPr>
          <w:rFonts w:ascii="Times New Roman" w:hAnsi="Times New Roman" w:cs="Times New Roman"/>
          <w:lang w:val="en-GB"/>
        </w:rPr>
      </w:pPr>
      <w:r w:rsidRPr="003B02A3">
        <w:rPr>
          <w:rFonts w:ascii="Times New Roman" w:hAnsi="Times New Roman" w:cs="Times New Roman"/>
          <w:lang w:val="en-GB"/>
        </w:rPr>
        <w:t>‘</w:t>
      </w:r>
      <w:r w:rsidR="00431393" w:rsidRPr="003B02A3">
        <w:rPr>
          <w:rFonts w:ascii="Times New Roman" w:hAnsi="Times New Roman" w:cs="Times New Roman"/>
          <w:lang w:val="en-GB"/>
        </w:rPr>
        <w:t>Although the problem of needing to prove innocence is particularly visible and began in relation to the</w:t>
      </w:r>
      <w:r w:rsidRPr="003B02A3">
        <w:rPr>
          <w:rFonts w:ascii="Times New Roman" w:hAnsi="Times New Roman" w:cs="Times New Roman"/>
          <w:lang w:val="en-GB"/>
        </w:rPr>
        <w:t xml:space="preserve"> </w:t>
      </w:r>
      <w:r w:rsidR="00431393" w:rsidRPr="003B02A3">
        <w:rPr>
          <w:rFonts w:ascii="Times New Roman" w:hAnsi="Times New Roman" w:cs="Times New Roman"/>
          <w:lang w:val="en-GB"/>
        </w:rPr>
        <w:t xml:space="preserve">sex industry, it has spread in relevance to all trafficked undocumented migrants who may be perceived to lack the necessary ‘innocent victim’ status, as they may have consented to illegal border crossing, </w:t>
      </w:r>
      <w:r w:rsidR="00431393" w:rsidRPr="003B02A3">
        <w:rPr>
          <w:rStyle w:val="highlight"/>
          <w:rFonts w:ascii="Times New Roman" w:hAnsi="Times New Roman" w:cs="Times New Roman"/>
          <w:lang w:val="en-GB"/>
        </w:rPr>
        <w:t>smug</w:t>
      </w:r>
      <w:r w:rsidR="00431393" w:rsidRPr="003B02A3">
        <w:rPr>
          <w:rFonts w:ascii="Times New Roman" w:hAnsi="Times New Roman" w:cs="Times New Roman"/>
          <w:lang w:val="en-GB"/>
        </w:rPr>
        <w:t>gling or working in exploitative conditions.</w:t>
      </w:r>
      <w:r w:rsidRPr="003B02A3">
        <w:rPr>
          <w:rFonts w:ascii="Times New Roman" w:hAnsi="Times New Roman" w:cs="Times New Roman"/>
          <w:lang w:val="en-GB"/>
        </w:rPr>
        <w:t>’</w:t>
      </w:r>
      <w:r w:rsidRPr="003B02A3">
        <w:rPr>
          <w:rStyle w:val="FootnoteReference"/>
          <w:rFonts w:ascii="Times New Roman" w:hAnsi="Times New Roman" w:cs="Times New Roman"/>
        </w:rPr>
        <w:footnoteReference w:id="7"/>
      </w:r>
      <w:r w:rsidR="000B39A6" w:rsidRPr="003B02A3">
        <w:rPr>
          <w:rFonts w:ascii="Times New Roman" w:hAnsi="Times New Roman" w:cs="Times New Roman"/>
          <w:lang w:val="en-GB"/>
        </w:rPr>
        <w:t xml:space="preserve"> </w:t>
      </w:r>
    </w:p>
    <w:p w:rsidR="00282710" w:rsidRDefault="003F503A" w:rsidP="003B02A3">
      <w:pPr>
        <w:spacing w:line="276" w:lineRule="auto"/>
        <w:ind w:right="326"/>
        <w:rPr>
          <w:rFonts w:ascii="Times New Roman" w:hAnsi="Times New Roman" w:cs="Times New Roman"/>
          <w:lang w:val="en-GB"/>
        </w:rPr>
      </w:pPr>
      <w:r w:rsidRPr="003B02A3">
        <w:rPr>
          <w:rFonts w:ascii="Times New Roman" w:hAnsi="Times New Roman" w:cs="Times New Roman"/>
          <w:lang w:val="en-GB"/>
        </w:rPr>
        <w:t xml:space="preserve">‘A person can consent to be </w:t>
      </w:r>
      <w:r w:rsidRPr="003B02A3">
        <w:rPr>
          <w:rStyle w:val="highlight"/>
          <w:rFonts w:ascii="Times New Roman" w:hAnsi="Times New Roman" w:cs="Times New Roman"/>
          <w:lang w:val="en-GB"/>
        </w:rPr>
        <w:t>smug</w:t>
      </w:r>
      <w:r w:rsidRPr="003B02A3">
        <w:rPr>
          <w:rFonts w:ascii="Times New Roman" w:hAnsi="Times New Roman" w:cs="Times New Roman"/>
          <w:lang w:val="en-GB"/>
        </w:rPr>
        <w:t>gled, to migrate or to work as a domestic worker, sex worker or any other work, but this does not imply that the person consented to the exploitation.’</w:t>
      </w:r>
      <w:r w:rsidRPr="003B02A3">
        <w:rPr>
          <w:rStyle w:val="FootnoteReference"/>
          <w:rFonts w:ascii="Times New Roman" w:hAnsi="Times New Roman" w:cs="Times New Roman"/>
        </w:rPr>
        <w:footnoteReference w:id="8"/>
      </w:r>
    </w:p>
    <w:p w:rsidR="003B02A3" w:rsidRPr="003B02A3" w:rsidRDefault="003B02A3" w:rsidP="003B02A3">
      <w:pPr>
        <w:spacing w:line="276" w:lineRule="auto"/>
        <w:ind w:right="326"/>
        <w:rPr>
          <w:rFonts w:ascii="Times New Roman" w:hAnsi="Times New Roman" w:cs="Times New Roman"/>
          <w:lang w:val="en-GB"/>
        </w:rPr>
      </w:pPr>
    </w:p>
    <w:p w:rsidR="008E14D1" w:rsidRDefault="008E14D1" w:rsidP="005C2A7B">
      <w:pPr>
        <w:spacing w:line="276" w:lineRule="auto"/>
        <w:ind w:right="326"/>
        <w:rPr>
          <w:rFonts w:asciiTheme="majorBidi" w:hAnsiTheme="majorBidi" w:cstheme="majorBidi"/>
          <w:lang w:val="en-GB"/>
        </w:rPr>
      </w:pPr>
    </w:p>
    <w:p w:rsidR="00282710" w:rsidRDefault="00282710" w:rsidP="005C2A7B">
      <w:pPr>
        <w:spacing w:line="276" w:lineRule="auto"/>
        <w:ind w:right="326"/>
        <w:rPr>
          <w:rFonts w:asciiTheme="majorBidi" w:hAnsiTheme="majorBidi" w:cstheme="majorBidi"/>
          <w:lang w:val="en-GB"/>
        </w:rPr>
      </w:pPr>
    </w:p>
    <w:p w:rsidR="008E14D1" w:rsidRPr="00B00D77" w:rsidRDefault="008E14D1" w:rsidP="005C2A7B">
      <w:pPr>
        <w:spacing w:line="276" w:lineRule="auto"/>
        <w:ind w:right="326"/>
        <w:rPr>
          <w:rFonts w:asciiTheme="majorBidi" w:hAnsiTheme="majorBidi" w:cstheme="majorBidi"/>
          <w:lang w:val="en-GB"/>
        </w:rPr>
      </w:pPr>
    </w:p>
    <w:sectPr w:rsidR="008E14D1" w:rsidRPr="00B00D7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B7F" w:rsidRDefault="005A5B7F" w:rsidP="00AB0CA9">
      <w:pPr>
        <w:spacing w:after="0" w:line="240" w:lineRule="auto"/>
      </w:pPr>
      <w:r>
        <w:separator/>
      </w:r>
    </w:p>
  </w:endnote>
  <w:endnote w:type="continuationSeparator" w:id="0">
    <w:p w:rsidR="005A5B7F" w:rsidRDefault="005A5B7F" w:rsidP="00AB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060324"/>
      <w:docPartObj>
        <w:docPartGallery w:val="Page Numbers (Bottom of Page)"/>
        <w:docPartUnique/>
      </w:docPartObj>
    </w:sdtPr>
    <w:sdtEndPr>
      <w:rPr>
        <w:noProof/>
      </w:rPr>
    </w:sdtEndPr>
    <w:sdtContent>
      <w:p w:rsidR="004C4A86" w:rsidRDefault="004C4A8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4C4A86" w:rsidRDefault="004C4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B7F" w:rsidRDefault="005A5B7F" w:rsidP="00AB0CA9">
      <w:pPr>
        <w:spacing w:after="0" w:line="240" w:lineRule="auto"/>
      </w:pPr>
      <w:r>
        <w:separator/>
      </w:r>
    </w:p>
  </w:footnote>
  <w:footnote w:type="continuationSeparator" w:id="0">
    <w:p w:rsidR="005A5B7F" w:rsidRDefault="005A5B7F" w:rsidP="00AB0CA9">
      <w:pPr>
        <w:spacing w:after="0" w:line="240" w:lineRule="auto"/>
      </w:pPr>
      <w:r>
        <w:continuationSeparator/>
      </w:r>
    </w:p>
  </w:footnote>
  <w:footnote w:id="1">
    <w:p w:rsidR="000C1EC6" w:rsidRPr="005C2A7B" w:rsidRDefault="000C1EC6">
      <w:pPr>
        <w:pStyle w:val="FootnoteText"/>
        <w:rPr>
          <w:rFonts w:ascii="Times New Roman" w:hAnsi="Times New Roman" w:cs="Times New Roman"/>
          <w:lang w:val="en-GB"/>
        </w:rPr>
      </w:pPr>
      <w:r w:rsidRPr="005C2A7B">
        <w:rPr>
          <w:rStyle w:val="FootnoteReference"/>
          <w:rFonts w:ascii="Times New Roman" w:hAnsi="Times New Roman" w:cs="Times New Roman"/>
        </w:rPr>
        <w:footnoteRef/>
      </w:r>
      <w:r w:rsidRPr="005C2A7B">
        <w:rPr>
          <w:rFonts w:ascii="Times New Roman" w:hAnsi="Times New Roman" w:cs="Times New Roman"/>
          <w:lang w:val="en-GB"/>
        </w:rPr>
        <w:t xml:space="preserve"> </w:t>
      </w:r>
      <w:r>
        <w:rPr>
          <w:rFonts w:ascii="Times New Roman" w:hAnsi="Times New Roman" w:cs="Times New Roman"/>
          <w:lang w:val="en-GB"/>
        </w:rPr>
        <w:t xml:space="preserve">NSWP Sex work as work policy brief, 2017 via: </w:t>
      </w:r>
      <w:hyperlink r:id="rId1" w:history="1">
        <w:r w:rsidRPr="00286244">
          <w:rPr>
            <w:rStyle w:val="Hyperlink"/>
            <w:rFonts w:ascii="Times New Roman" w:hAnsi="Times New Roman" w:cs="Times New Roman"/>
            <w:lang w:val="en-GB"/>
          </w:rPr>
          <w:t>https://www.nswp.org/sites/nswp.org/files/policy_brief_sex_work_as_work_nswp_-_2017.pdf</w:t>
        </w:r>
      </w:hyperlink>
      <w:r w:rsidRPr="005C2A7B">
        <w:rPr>
          <w:rFonts w:ascii="Times New Roman" w:hAnsi="Times New Roman" w:cs="Times New Roman"/>
          <w:lang w:val="en-GB"/>
        </w:rPr>
        <w:t xml:space="preserve"> </w:t>
      </w:r>
    </w:p>
  </w:footnote>
  <w:footnote w:id="2">
    <w:p w:rsidR="000C1EC6" w:rsidRPr="008340FF" w:rsidRDefault="000C1EC6" w:rsidP="00E34705">
      <w:pPr>
        <w:pStyle w:val="NoSpacing"/>
        <w:rPr>
          <w:rFonts w:asciiTheme="majorBidi" w:hAnsiTheme="majorBidi" w:cstheme="majorBidi"/>
          <w:sz w:val="20"/>
          <w:szCs w:val="20"/>
          <w:lang w:val="en-GB"/>
        </w:rPr>
      </w:pPr>
      <w:r w:rsidRPr="00A36A8C">
        <w:rPr>
          <w:rStyle w:val="FootnoteReference"/>
          <w:rFonts w:asciiTheme="majorBidi" w:hAnsiTheme="majorBidi" w:cstheme="majorBidi"/>
          <w:sz w:val="20"/>
          <w:szCs w:val="20"/>
        </w:rPr>
        <w:footnoteRef/>
      </w:r>
      <w:r w:rsidRPr="008340FF">
        <w:rPr>
          <w:rFonts w:asciiTheme="majorBidi" w:hAnsiTheme="majorBidi" w:cstheme="majorBidi"/>
          <w:sz w:val="20"/>
          <w:szCs w:val="20"/>
          <w:lang w:val="en-GB"/>
        </w:rPr>
        <w:t xml:space="preserve"> M Wijers, ‘Purity, Victimhood and Agency: </w:t>
      </w:r>
      <w:r w:rsidR="00F918F5" w:rsidRPr="008340FF">
        <w:rPr>
          <w:rFonts w:asciiTheme="majorBidi" w:hAnsiTheme="majorBidi" w:cstheme="majorBidi"/>
          <w:sz w:val="20"/>
          <w:szCs w:val="20"/>
          <w:lang w:val="en-GB"/>
        </w:rPr>
        <w:t>Fifteen years</w:t>
      </w:r>
      <w:r w:rsidRPr="008340FF">
        <w:rPr>
          <w:rFonts w:asciiTheme="majorBidi" w:hAnsiTheme="majorBidi" w:cstheme="majorBidi"/>
          <w:sz w:val="20"/>
          <w:szCs w:val="20"/>
          <w:lang w:val="en-GB"/>
        </w:rPr>
        <w:t xml:space="preserve"> of the UN Trafficking Protocol’, Anti-Trafficking Review, issue 4, 2015, pp.56—79, www.antitraffickingreview.org, page 7-8.</w:t>
      </w:r>
    </w:p>
  </w:footnote>
  <w:footnote w:id="3">
    <w:p w:rsidR="000C1EC6" w:rsidRPr="008340FF" w:rsidRDefault="000C1EC6" w:rsidP="00771543">
      <w:pPr>
        <w:pStyle w:val="NoSpacing"/>
        <w:rPr>
          <w:rFonts w:asciiTheme="majorBidi" w:hAnsiTheme="majorBidi" w:cstheme="majorBidi"/>
          <w:sz w:val="20"/>
          <w:szCs w:val="20"/>
          <w:lang w:val="en-GB"/>
        </w:rPr>
      </w:pPr>
      <w:r w:rsidRPr="00A36A8C">
        <w:rPr>
          <w:rStyle w:val="FootnoteReference"/>
          <w:rFonts w:asciiTheme="majorBidi" w:hAnsiTheme="majorBidi" w:cstheme="majorBidi"/>
          <w:sz w:val="20"/>
          <w:szCs w:val="20"/>
        </w:rPr>
        <w:footnoteRef/>
      </w:r>
      <w:r w:rsidRPr="008340FF">
        <w:rPr>
          <w:rFonts w:asciiTheme="majorBidi" w:hAnsiTheme="majorBidi" w:cstheme="majorBidi"/>
          <w:sz w:val="20"/>
          <w:szCs w:val="20"/>
          <w:lang w:val="en-GB"/>
        </w:rPr>
        <w:t xml:space="preserve"> M Wijers, ‘Purity, Victimhood and Agency: </w:t>
      </w:r>
      <w:r w:rsidR="00F918F5" w:rsidRPr="008340FF">
        <w:rPr>
          <w:rFonts w:asciiTheme="majorBidi" w:hAnsiTheme="majorBidi" w:cstheme="majorBidi"/>
          <w:sz w:val="20"/>
          <w:szCs w:val="20"/>
          <w:lang w:val="en-GB"/>
        </w:rPr>
        <w:t>Fifteen years</w:t>
      </w:r>
      <w:r w:rsidRPr="008340FF">
        <w:rPr>
          <w:rFonts w:asciiTheme="majorBidi" w:hAnsiTheme="majorBidi" w:cstheme="majorBidi"/>
          <w:sz w:val="20"/>
          <w:szCs w:val="20"/>
          <w:lang w:val="en-GB"/>
        </w:rPr>
        <w:t xml:space="preserve"> of the UN Trafficking Protocol’, Anti-Trafficking Review, issue 4, 2015, pp.56—79, www.antitraffickingreview.org, page 7.</w:t>
      </w:r>
    </w:p>
  </w:footnote>
  <w:footnote w:id="4">
    <w:p w:rsidR="000C1EC6" w:rsidRPr="008340FF" w:rsidRDefault="000C1EC6" w:rsidP="005C2A7B">
      <w:pPr>
        <w:pStyle w:val="NoSpacing"/>
        <w:rPr>
          <w:rFonts w:asciiTheme="majorBidi" w:hAnsiTheme="majorBidi" w:cstheme="majorBidi"/>
          <w:sz w:val="20"/>
          <w:szCs w:val="20"/>
          <w:lang w:val="en-GB"/>
        </w:rPr>
      </w:pPr>
      <w:r w:rsidRPr="00A36A8C">
        <w:rPr>
          <w:rStyle w:val="FootnoteReference"/>
          <w:rFonts w:asciiTheme="majorBidi" w:hAnsiTheme="majorBidi" w:cstheme="majorBidi"/>
          <w:sz w:val="20"/>
          <w:szCs w:val="20"/>
        </w:rPr>
        <w:footnoteRef/>
      </w:r>
      <w:r w:rsidRPr="008340FF">
        <w:rPr>
          <w:rFonts w:asciiTheme="majorBidi" w:hAnsiTheme="majorBidi" w:cstheme="majorBidi"/>
          <w:sz w:val="20"/>
          <w:szCs w:val="20"/>
          <w:lang w:val="en-GB"/>
        </w:rPr>
        <w:t xml:space="preserve"> M Wijers, ‘Purity, Victimhood and Agency: </w:t>
      </w:r>
      <w:r w:rsidR="00F918F5" w:rsidRPr="008340FF">
        <w:rPr>
          <w:rFonts w:asciiTheme="majorBidi" w:hAnsiTheme="majorBidi" w:cstheme="majorBidi"/>
          <w:sz w:val="20"/>
          <w:szCs w:val="20"/>
          <w:lang w:val="en-GB"/>
        </w:rPr>
        <w:t>Fifteen years</w:t>
      </w:r>
      <w:r w:rsidRPr="008340FF">
        <w:rPr>
          <w:rFonts w:asciiTheme="majorBidi" w:hAnsiTheme="majorBidi" w:cstheme="majorBidi"/>
          <w:sz w:val="20"/>
          <w:szCs w:val="20"/>
          <w:lang w:val="en-GB"/>
        </w:rPr>
        <w:t xml:space="preserve"> of the UN Trafficking Protocol’, Anti-Trafficking Review, issue 4, 2015, pp.56—79, www.antitraffickingreview.org, P. 12</w:t>
      </w:r>
    </w:p>
  </w:footnote>
  <w:footnote w:id="5">
    <w:p w:rsidR="000C1EC6" w:rsidRPr="008340FF" w:rsidRDefault="000C1EC6" w:rsidP="005C2A7B">
      <w:pPr>
        <w:pStyle w:val="FootnoteText"/>
        <w:rPr>
          <w:lang w:val="en-GB"/>
        </w:rPr>
      </w:pPr>
      <w:r w:rsidRPr="00A36A8C">
        <w:rPr>
          <w:rStyle w:val="FootnoteReference"/>
          <w:rFonts w:asciiTheme="majorBidi" w:hAnsiTheme="majorBidi" w:cstheme="majorBidi"/>
        </w:rPr>
        <w:footnoteRef/>
      </w:r>
      <w:r w:rsidRPr="008340FF">
        <w:rPr>
          <w:rFonts w:asciiTheme="majorBidi" w:hAnsiTheme="majorBidi" w:cstheme="majorBidi"/>
          <w:lang w:val="en-GB"/>
        </w:rPr>
        <w:t xml:space="preserve"> M Wijers, ‘Purity, Victimhood and Agency: </w:t>
      </w:r>
      <w:r w:rsidR="00F918F5" w:rsidRPr="008340FF">
        <w:rPr>
          <w:rFonts w:asciiTheme="majorBidi" w:hAnsiTheme="majorBidi" w:cstheme="majorBidi"/>
          <w:lang w:val="en-GB"/>
        </w:rPr>
        <w:t>Fifteen years</w:t>
      </w:r>
      <w:r w:rsidRPr="008340FF">
        <w:rPr>
          <w:rFonts w:asciiTheme="majorBidi" w:hAnsiTheme="majorBidi" w:cstheme="majorBidi"/>
          <w:lang w:val="en-GB"/>
        </w:rPr>
        <w:t xml:space="preserve"> of the UN Trafficking Protocol’, Anti-Trafficking Review, issue 4, 2015, pp.56—79, www.antitraffickingreview.org, page 3-4.</w:t>
      </w:r>
    </w:p>
  </w:footnote>
  <w:footnote w:id="6">
    <w:p w:rsidR="000C1EC6" w:rsidRPr="008340FF" w:rsidRDefault="000C1EC6" w:rsidP="005C2A7B">
      <w:pPr>
        <w:pStyle w:val="FootnoteText"/>
        <w:rPr>
          <w:rFonts w:asciiTheme="majorBidi" w:hAnsiTheme="majorBidi" w:cstheme="majorBidi"/>
          <w:lang w:val="en-GB"/>
        </w:rPr>
      </w:pPr>
      <w:r w:rsidRPr="00A36A8C">
        <w:rPr>
          <w:rStyle w:val="FootnoteReference"/>
          <w:rFonts w:asciiTheme="majorBidi" w:hAnsiTheme="majorBidi" w:cstheme="majorBidi"/>
        </w:rPr>
        <w:footnoteRef/>
      </w:r>
      <w:r w:rsidRPr="008340FF">
        <w:rPr>
          <w:rFonts w:asciiTheme="majorBidi" w:hAnsiTheme="majorBidi" w:cstheme="majorBidi"/>
          <w:lang w:val="en-GB"/>
        </w:rPr>
        <w:t xml:space="preserve"> M Wijers, ‘Purity, Victimhood and Agency: </w:t>
      </w:r>
      <w:r w:rsidR="00F918F5" w:rsidRPr="008340FF">
        <w:rPr>
          <w:rFonts w:asciiTheme="majorBidi" w:hAnsiTheme="majorBidi" w:cstheme="majorBidi"/>
          <w:lang w:val="en-GB"/>
        </w:rPr>
        <w:t>Fifteen years</w:t>
      </w:r>
      <w:r w:rsidRPr="008340FF">
        <w:rPr>
          <w:rFonts w:asciiTheme="majorBidi" w:hAnsiTheme="majorBidi" w:cstheme="majorBidi"/>
          <w:lang w:val="en-GB"/>
        </w:rPr>
        <w:t xml:space="preserve"> of the UN Trafficking Protocol’, Anti-Trafficking Review, issue 4, 2015, pp.56—79, www.antitraffickingreview.org, page 2-3.</w:t>
      </w:r>
    </w:p>
  </w:footnote>
  <w:footnote w:id="7">
    <w:p w:rsidR="003F503A" w:rsidRPr="003B02A3" w:rsidRDefault="003F503A">
      <w:pPr>
        <w:pStyle w:val="FootnoteText"/>
        <w:rPr>
          <w:lang w:val="en-GB"/>
        </w:rPr>
      </w:pPr>
      <w:r>
        <w:rPr>
          <w:rStyle w:val="FootnoteReference"/>
        </w:rPr>
        <w:footnoteRef/>
      </w:r>
      <w:r w:rsidRPr="003B02A3">
        <w:rPr>
          <w:lang w:val="en-GB"/>
        </w:rPr>
        <w:t xml:space="preserve"> </w:t>
      </w:r>
      <w:r w:rsidRPr="003B02A3">
        <w:rPr>
          <w:rFonts w:asciiTheme="majorBidi" w:hAnsiTheme="majorBidi" w:cstheme="majorBidi"/>
          <w:lang w:val="en-GB"/>
        </w:rPr>
        <w:t>Experts Group on Trafficking in Human Beings, p. 51.</w:t>
      </w:r>
    </w:p>
  </w:footnote>
  <w:footnote w:id="8">
    <w:p w:rsidR="003F503A" w:rsidRPr="003B02A3" w:rsidRDefault="003F503A" w:rsidP="003F503A">
      <w:pPr>
        <w:pStyle w:val="FootnoteText"/>
        <w:rPr>
          <w:lang w:val="en-GB"/>
        </w:rPr>
      </w:pPr>
      <w:r>
        <w:rPr>
          <w:rStyle w:val="FootnoteReference"/>
        </w:rPr>
        <w:footnoteRef/>
      </w:r>
      <w:r w:rsidRPr="003B02A3">
        <w:rPr>
          <w:lang w:val="en-GB"/>
        </w:rPr>
        <w:t xml:space="preserve"> </w:t>
      </w:r>
      <w:r w:rsidRPr="008340FF">
        <w:rPr>
          <w:rFonts w:asciiTheme="majorBidi" w:hAnsiTheme="majorBidi" w:cstheme="majorBidi"/>
          <w:lang w:val="en-GB"/>
        </w:rPr>
        <w:t xml:space="preserve">M Wijers, ‘Purity, Victimhood and Agency: </w:t>
      </w:r>
      <w:r w:rsidR="00F918F5" w:rsidRPr="008340FF">
        <w:rPr>
          <w:rFonts w:asciiTheme="majorBidi" w:hAnsiTheme="majorBidi" w:cstheme="majorBidi"/>
          <w:lang w:val="en-GB"/>
        </w:rPr>
        <w:t>Fifteen years</w:t>
      </w:r>
      <w:r w:rsidRPr="008340FF">
        <w:rPr>
          <w:rFonts w:asciiTheme="majorBidi" w:hAnsiTheme="majorBidi" w:cstheme="majorBidi"/>
          <w:lang w:val="en-GB"/>
        </w:rPr>
        <w:t xml:space="preserve"> of the UN Trafficking Protocol’, Anti-Trafficking Review, issue 4, 2015, pp.56—79, www.antitraffickingreview.org, page </w:t>
      </w:r>
      <w:r>
        <w:rPr>
          <w:rFonts w:asciiTheme="majorBidi" w:hAnsiTheme="majorBidi" w:cstheme="majorBidi"/>
          <w:lang w:val="en-GB"/>
        </w:rPr>
        <w:t>10</w:t>
      </w:r>
      <w:r w:rsidRPr="008340FF">
        <w:rPr>
          <w:rFonts w:asciiTheme="majorBidi" w:hAnsiTheme="majorBidi" w:cstheme="majorBidi"/>
          <w:lang w:val="en-GB"/>
        </w:rPr>
        <w:t>.</w:t>
      </w:r>
      <w:r>
        <w:rPr>
          <w:rFonts w:asciiTheme="majorBidi" w:hAnsiTheme="majorBidi" w:cstheme="majorBidi"/>
          <w:lang w:val="en-GB"/>
        </w:rPr>
        <w:t xml:space="preserve"> </w:t>
      </w:r>
      <w:r w:rsidRPr="003B02A3">
        <w:rPr>
          <w:rFonts w:asciiTheme="majorBidi" w:hAnsiTheme="majorBidi" w:cstheme="majorBidi"/>
          <w:color w:val="000000" w:themeColor="text1"/>
          <w:lang w:val="en-GB"/>
        </w:rPr>
        <w:t>On the issue of consent also see: UNODC, ‘The Role of Consent in the Trafficking in Persons Protocol’, Issue Paper, UNODC,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C6" w:rsidRDefault="000C1EC6">
    <w:pPr>
      <w:pStyle w:val="Header"/>
    </w:pPr>
    <w:r w:rsidRPr="00AB0CA9">
      <w:rPr>
        <w:noProof/>
        <w:lang w:val="en-GB" w:eastAsia="en-GB"/>
      </w:rPr>
      <w:drawing>
        <wp:inline distT="0" distB="0" distL="0" distR="0">
          <wp:extent cx="977622" cy="971550"/>
          <wp:effectExtent l="0" t="0" r="0" b="0"/>
          <wp:docPr id="1" name="Afbeelding 1" descr="Afbeeldingsresultaat voor proud dutch sex worker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roud dutch sex worker un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725" cy="9776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94B41"/>
    <w:multiLevelType w:val="hybridMultilevel"/>
    <w:tmpl w:val="F2149C52"/>
    <w:lvl w:ilvl="0" w:tplc="50CE44BA">
      <w:start w:val="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DC"/>
    <w:rsid w:val="00060C53"/>
    <w:rsid w:val="000679BC"/>
    <w:rsid w:val="000B39A6"/>
    <w:rsid w:val="000C1EC6"/>
    <w:rsid w:val="000D1F0E"/>
    <w:rsid w:val="000E09BB"/>
    <w:rsid w:val="001E730A"/>
    <w:rsid w:val="00282710"/>
    <w:rsid w:val="003B02A3"/>
    <w:rsid w:val="003F503A"/>
    <w:rsid w:val="0040787D"/>
    <w:rsid w:val="00431393"/>
    <w:rsid w:val="004C4A86"/>
    <w:rsid w:val="004F1656"/>
    <w:rsid w:val="005A5B7F"/>
    <w:rsid w:val="005A79BB"/>
    <w:rsid w:val="005C2A7B"/>
    <w:rsid w:val="00642C44"/>
    <w:rsid w:val="00655586"/>
    <w:rsid w:val="006669D4"/>
    <w:rsid w:val="006C180B"/>
    <w:rsid w:val="00771543"/>
    <w:rsid w:val="007C5710"/>
    <w:rsid w:val="008A7D33"/>
    <w:rsid w:val="008E14D1"/>
    <w:rsid w:val="009C538F"/>
    <w:rsid w:val="00AB0CA9"/>
    <w:rsid w:val="00AB1A99"/>
    <w:rsid w:val="00AB5BDC"/>
    <w:rsid w:val="00AB7747"/>
    <w:rsid w:val="00B00D77"/>
    <w:rsid w:val="00C8082F"/>
    <w:rsid w:val="00D73521"/>
    <w:rsid w:val="00D94184"/>
    <w:rsid w:val="00E13281"/>
    <w:rsid w:val="00E34705"/>
    <w:rsid w:val="00E661DC"/>
    <w:rsid w:val="00F918F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933A9-7239-48B7-8789-683075B7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0CA9"/>
  </w:style>
  <w:style w:type="paragraph" w:styleId="Footer">
    <w:name w:val="footer"/>
    <w:basedOn w:val="Normal"/>
    <w:link w:val="FooterChar"/>
    <w:uiPriority w:val="99"/>
    <w:unhideWhenUsed/>
    <w:rsid w:val="00AB0C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0CA9"/>
  </w:style>
  <w:style w:type="paragraph" w:styleId="ListParagraph">
    <w:name w:val="List Paragraph"/>
    <w:basedOn w:val="Normal"/>
    <w:uiPriority w:val="34"/>
    <w:qFormat/>
    <w:rsid w:val="00AB0CA9"/>
    <w:pPr>
      <w:ind w:left="720"/>
      <w:contextualSpacing/>
    </w:pPr>
  </w:style>
  <w:style w:type="paragraph" w:styleId="FootnoteText">
    <w:name w:val="footnote text"/>
    <w:basedOn w:val="Normal"/>
    <w:link w:val="FootnoteTextChar"/>
    <w:uiPriority w:val="99"/>
    <w:semiHidden/>
    <w:unhideWhenUsed/>
    <w:rsid w:val="009C53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38F"/>
    <w:rPr>
      <w:sz w:val="20"/>
      <w:szCs w:val="20"/>
    </w:rPr>
  </w:style>
  <w:style w:type="character" w:styleId="FootnoteReference">
    <w:name w:val="footnote reference"/>
    <w:basedOn w:val="DefaultParagraphFont"/>
    <w:uiPriority w:val="99"/>
    <w:semiHidden/>
    <w:unhideWhenUsed/>
    <w:rsid w:val="009C538F"/>
    <w:rPr>
      <w:vertAlign w:val="superscript"/>
    </w:rPr>
  </w:style>
  <w:style w:type="paragraph" w:styleId="NoSpacing">
    <w:name w:val="No Spacing"/>
    <w:uiPriority w:val="1"/>
    <w:qFormat/>
    <w:rsid w:val="00771543"/>
    <w:pPr>
      <w:spacing w:after="0" w:line="240" w:lineRule="auto"/>
    </w:pPr>
    <w:rPr>
      <w:rFonts w:eastAsiaTheme="minorEastAsia"/>
      <w:lang w:eastAsia="zh-CN"/>
    </w:rPr>
  </w:style>
  <w:style w:type="character" w:styleId="Hyperlink">
    <w:name w:val="Hyperlink"/>
    <w:basedOn w:val="DefaultParagraphFont"/>
    <w:uiPriority w:val="99"/>
    <w:unhideWhenUsed/>
    <w:rsid w:val="005C2A7B"/>
    <w:rPr>
      <w:color w:val="0563C1" w:themeColor="hyperlink"/>
      <w:u w:val="single"/>
    </w:rPr>
  </w:style>
  <w:style w:type="character" w:customStyle="1" w:styleId="UnresolvedMention">
    <w:name w:val="Unresolved Mention"/>
    <w:basedOn w:val="DefaultParagraphFont"/>
    <w:uiPriority w:val="99"/>
    <w:semiHidden/>
    <w:unhideWhenUsed/>
    <w:rsid w:val="005C2A7B"/>
    <w:rPr>
      <w:color w:val="605E5C"/>
      <w:shd w:val="clear" w:color="auto" w:fill="E1DFDD"/>
    </w:rPr>
  </w:style>
  <w:style w:type="character" w:customStyle="1" w:styleId="highlight">
    <w:name w:val="highlight"/>
    <w:basedOn w:val="DefaultParagraphFont"/>
    <w:rsid w:val="00431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nswp.org/sites/nswp.org/files/policy_brief_sex_work_as_work_nswp_-_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504E23-B5E4-4F7F-AE7C-4DD123832FBC}">
  <ds:schemaRefs>
    <ds:schemaRef ds:uri="http://schemas.openxmlformats.org/officeDocument/2006/bibliography"/>
  </ds:schemaRefs>
</ds:datastoreItem>
</file>

<file path=customXml/itemProps2.xml><?xml version="1.0" encoding="utf-8"?>
<ds:datastoreItem xmlns:ds="http://schemas.openxmlformats.org/officeDocument/2006/customXml" ds:itemID="{81218BA8-3EE2-4F59-9FCD-927F83A18044}"/>
</file>

<file path=customXml/itemProps3.xml><?xml version="1.0" encoding="utf-8"?>
<ds:datastoreItem xmlns:ds="http://schemas.openxmlformats.org/officeDocument/2006/customXml" ds:itemID="{E8C90CE5-BF2C-4EC8-9062-EAD4D7A8F484}"/>
</file>

<file path=customXml/itemProps4.xml><?xml version="1.0" encoding="utf-8"?>
<ds:datastoreItem xmlns:ds="http://schemas.openxmlformats.org/officeDocument/2006/customXml" ds:itemID="{C35D2471-8C8F-44F9-9359-5A5014ABFDE9}"/>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5027</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Velvet December</dc:creator>
  <cp:keywords/>
  <dc:description/>
  <cp:lastModifiedBy>Daniela Buchmann</cp:lastModifiedBy>
  <cp:revision>2</cp:revision>
  <dcterms:created xsi:type="dcterms:W3CDTF">2019-02-19T12:20:00Z</dcterms:created>
  <dcterms:modified xsi:type="dcterms:W3CDTF">2019-02-19T12:20:00Z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