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14998" w14:textId="5B700EDC" w:rsidR="005F478B" w:rsidRPr="00DC03F7" w:rsidRDefault="001C3B26" w:rsidP="00E819C9">
      <w:pPr>
        <w:spacing w:line="276" w:lineRule="auto"/>
        <w:jc w:val="center"/>
        <w:rPr>
          <w:b/>
          <w:bCs/>
          <w:color w:val="000000"/>
          <w:sz w:val="21"/>
          <w:szCs w:val="21"/>
          <w:shd w:val="clear" w:color="auto" w:fill="FFFFFF"/>
        </w:rPr>
      </w:pPr>
      <w:bookmarkStart w:id="0" w:name="_GoBack"/>
      <w:bookmarkEnd w:id="0"/>
      <w:r w:rsidRPr="00DC03F7">
        <w:rPr>
          <w:b/>
          <w:bCs/>
          <w:color w:val="000000"/>
          <w:sz w:val="21"/>
          <w:szCs w:val="21"/>
          <w:shd w:val="clear" w:color="auto" w:fill="FFFFFF"/>
        </w:rPr>
        <w:t>Apor</w:t>
      </w:r>
      <w:r w:rsidR="005F478B" w:rsidRPr="00DC03F7">
        <w:rPr>
          <w:b/>
          <w:bCs/>
          <w:color w:val="000000"/>
          <w:sz w:val="21"/>
          <w:szCs w:val="21"/>
          <w:shd w:val="clear" w:color="auto" w:fill="FFFFFF"/>
        </w:rPr>
        <w:t xml:space="preserve">taciones </w:t>
      </w:r>
      <w:r w:rsidRPr="00DC03F7">
        <w:rPr>
          <w:b/>
          <w:bCs/>
          <w:color w:val="000000"/>
          <w:sz w:val="21"/>
          <w:szCs w:val="21"/>
          <w:shd w:val="clear" w:color="auto" w:fill="FFFFFF"/>
        </w:rPr>
        <w:t>escrit</w:t>
      </w:r>
      <w:r w:rsidR="005F478B" w:rsidRPr="00DC03F7">
        <w:rPr>
          <w:b/>
          <w:bCs/>
          <w:color w:val="000000"/>
          <w:sz w:val="21"/>
          <w:szCs w:val="21"/>
          <w:shd w:val="clear" w:color="auto" w:fill="FFFFFF"/>
        </w:rPr>
        <w:t xml:space="preserve">as </w:t>
      </w:r>
      <w:r w:rsidR="0023725C" w:rsidRPr="00DC03F7">
        <w:rPr>
          <w:b/>
          <w:bCs/>
          <w:color w:val="000000"/>
          <w:sz w:val="21"/>
          <w:szCs w:val="21"/>
          <w:shd w:val="clear" w:color="auto" w:fill="FFFFFF"/>
        </w:rPr>
        <w:t>para</w:t>
      </w:r>
      <w:r w:rsidR="005F478B" w:rsidRPr="00DC03F7">
        <w:rPr>
          <w:b/>
          <w:bCs/>
          <w:color w:val="000000"/>
          <w:sz w:val="21"/>
          <w:szCs w:val="21"/>
          <w:shd w:val="clear" w:color="auto" w:fill="FFFFFF"/>
        </w:rPr>
        <w:t xml:space="preserve"> la discusión sobre </w:t>
      </w:r>
      <w:r w:rsidR="0023725C" w:rsidRPr="00DC03F7">
        <w:rPr>
          <w:b/>
          <w:bCs/>
          <w:color w:val="000000"/>
          <w:sz w:val="21"/>
          <w:szCs w:val="21"/>
          <w:shd w:val="clear" w:color="auto" w:fill="FFFFFF"/>
        </w:rPr>
        <w:t xml:space="preserve">la </w:t>
      </w:r>
      <w:r w:rsidR="005F478B" w:rsidRPr="00DC03F7">
        <w:rPr>
          <w:b/>
          <w:bCs/>
          <w:color w:val="000000"/>
          <w:sz w:val="21"/>
          <w:szCs w:val="21"/>
          <w:shd w:val="clear" w:color="auto" w:fill="FFFFFF"/>
        </w:rPr>
        <w:t xml:space="preserve">elaboración de la Recomendación General </w:t>
      </w:r>
      <w:r w:rsidR="0023725C" w:rsidRPr="00DC03F7">
        <w:rPr>
          <w:b/>
          <w:bCs/>
          <w:color w:val="000000"/>
          <w:sz w:val="21"/>
          <w:szCs w:val="21"/>
          <w:shd w:val="clear" w:color="auto" w:fill="FFFFFF"/>
        </w:rPr>
        <w:t xml:space="preserve">sobre la </w:t>
      </w:r>
      <w:r w:rsidR="005F478B" w:rsidRPr="00DC03F7">
        <w:rPr>
          <w:b/>
          <w:bCs/>
          <w:color w:val="000000"/>
          <w:sz w:val="21"/>
          <w:szCs w:val="21"/>
          <w:shd w:val="clear" w:color="auto" w:fill="FFFFFF"/>
        </w:rPr>
        <w:t>trata de mujeres y niñas en el contexto de la migración global</w:t>
      </w:r>
    </w:p>
    <w:p w14:paraId="242132B9" w14:textId="77777777" w:rsidR="005F478B" w:rsidRPr="00DC03F7" w:rsidRDefault="005F478B" w:rsidP="00E819C9">
      <w:pPr>
        <w:spacing w:line="276" w:lineRule="auto"/>
        <w:jc w:val="center"/>
        <w:rPr>
          <w:b/>
          <w:bCs/>
          <w:color w:val="000000"/>
          <w:sz w:val="21"/>
          <w:szCs w:val="21"/>
          <w:shd w:val="clear" w:color="auto" w:fill="FFFFFF"/>
        </w:rPr>
      </w:pPr>
    </w:p>
    <w:p w14:paraId="28A3A944" w14:textId="74F6F5C5" w:rsidR="001C3B26" w:rsidRPr="00DC03F7" w:rsidRDefault="001C3B26" w:rsidP="00E819C9">
      <w:pPr>
        <w:spacing w:line="276" w:lineRule="auto"/>
        <w:jc w:val="center"/>
        <w:rPr>
          <w:b/>
          <w:bCs/>
          <w:color w:val="000000"/>
          <w:sz w:val="21"/>
          <w:szCs w:val="21"/>
          <w:shd w:val="clear" w:color="auto" w:fill="FFFFFF"/>
        </w:rPr>
      </w:pPr>
      <w:r w:rsidRPr="00DC03F7">
        <w:rPr>
          <w:b/>
          <w:bCs/>
          <w:color w:val="000000"/>
          <w:sz w:val="21"/>
          <w:szCs w:val="21"/>
          <w:shd w:val="clear" w:color="auto" w:fill="FFFFFF"/>
        </w:rPr>
        <w:t>Comité para la Eliminación de la Discriminación contra la Mujer</w:t>
      </w:r>
    </w:p>
    <w:p w14:paraId="29A1692D" w14:textId="77777777" w:rsidR="005F478B" w:rsidRPr="00DC03F7" w:rsidRDefault="005F478B" w:rsidP="00E819C9">
      <w:pPr>
        <w:spacing w:line="276" w:lineRule="auto"/>
        <w:jc w:val="center"/>
        <w:rPr>
          <w:b/>
          <w:bCs/>
          <w:color w:val="000000"/>
          <w:sz w:val="21"/>
          <w:szCs w:val="21"/>
          <w:shd w:val="clear" w:color="auto" w:fill="FFFFFF"/>
        </w:rPr>
      </w:pPr>
      <w:r w:rsidRPr="00DC03F7">
        <w:rPr>
          <w:b/>
          <w:bCs/>
          <w:color w:val="000000"/>
          <w:sz w:val="21"/>
          <w:szCs w:val="21"/>
          <w:shd w:val="clear" w:color="auto" w:fill="FFFFFF"/>
        </w:rPr>
        <w:t>Febrero de 2019</w:t>
      </w:r>
    </w:p>
    <w:p w14:paraId="304CA429" w14:textId="77777777" w:rsidR="00C47428" w:rsidRPr="00DC03F7" w:rsidRDefault="00C47428" w:rsidP="00E819C9">
      <w:pPr>
        <w:spacing w:line="276" w:lineRule="auto"/>
        <w:jc w:val="center"/>
        <w:rPr>
          <w:b/>
          <w:bCs/>
          <w:color w:val="000000"/>
          <w:sz w:val="21"/>
          <w:szCs w:val="21"/>
          <w:shd w:val="clear" w:color="auto" w:fill="FFFFFF"/>
        </w:rPr>
      </w:pPr>
    </w:p>
    <w:p w14:paraId="0742974F" w14:textId="29F742CB" w:rsidR="00846692" w:rsidRPr="00DC03F7" w:rsidRDefault="00C47428" w:rsidP="005A20B7">
      <w:pPr>
        <w:spacing w:line="276" w:lineRule="auto"/>
        <w:jc w:val="both"/>
        <w:rPr>
          <w:sz w:val="21"/>
          <w:szCs w:val="21"/>
        </w:rPr>
      </w:pPr>
      <w:r w:rsidRPr="00DC03F7">
        <w:rPr>
          <w:sz w:val="21"/>
          <w:szCs w:val="21"/>
        </w:rPr>
        <w:t>Este documento presenta una aportación de Women’s Link Worldwide (</w:t>
      </w:r>
      <w:hyperlink r:id="rId8" w:history="1">
        <w:r w:rsidR="00425C1B" w:rsidRPr="00571A23">
          <w:rPr>
            <w:rStyle w:val="Hyperlink"/>
            <w:sz w:val="21"/>
            <w:szCs w:val="21"/>
          </w:rPr>
          <w:t>www.womenslinkworldwide.org</w:t>
        </w:r>
      </w:hyperlink>
      <w:r w:rsidRPr="00DC03F7">
        <w:rPr>
          <w:sz w:val="21"/>
          <w:szCs w:val="21"/>
        </w:rPr>
        <w:t xml:space="preserve">) a la elaboración de la Recomendación General </w:t>
      </w:r>
      <w:r w:rsidR="004C518E" w:rsidRPr="00DC03F7">
        <w:rPr>
          <w:sz w:val="21"/>
          <w:szCs w:val="21"/>
        </w:rPr>
        <w:t xml:space="preserve">sobre la </w:t>
      </w:r>
      <w:r w:rsidRPr="00DC03F7">
        <w:rPr>
          <w:sz w:val="21"/>
          <w:szCs w:val="21"/>
        </w:rPr>
        <w:t xml:space="preserve">trata de mujeres y niñas en el contexto de la migración global. </w:t>
      </w:r>
      <w:r w:rsidR="00D54A66" w:rsidRPr="00DC03F7">
        <w:rPr>
          <w:sz w:val="21"/>
          <w:szCs w:val="21"/>
        </w:rPr>
        <w:t xml:space="preserve">Se adjunta un </w:t>
      </w:r>
      <w:r w:rsidR="00795F89">
        <w:rPr>
          <w:sz w:val="21"/>
          <w:szCs w:val="21"/>
        </w:rPr>
        <w:t>“</w:t>
      </w:r>
      <w:hyperlink r:id="rId9" w:history="1">
        <w:r w:rsidR="00D54A66" w:rsidRPr="00767D34">
          <w:rPr>
            <w:rStyle w:val="Hyperlink"/>
            <w:sz w:val="21"/>
            <w:szCs w:val="21"/>
          </w:rPr>
          <w:t xml:space="preserve">documento </w:t>
        </w:r>
        <w:r w:rsidR="00DD6594" w:rsidRPr="00767D34">
          <w:rPr>
            <w:rStyle w:val="Hyperlink"/>
            <w:sz w:val="21"/>
            <w:szCs w:val="21"/>
          </w:rPr>
          <w:t>de respaldo</w:t>
        </w:r>
      </w:hyperlink>
      <w:r w:rsidR="00795F89" w:rsidRPr="00512D7B">
        <w:rPr>
          <w:color w:val="000000" w:themeColor="text1"/>
          <w:sz w:val="21"/>
          <w:szCs w:val="21"/>
        </w:rPr>
        <w:t>”</w:t>
      </w:r>
      <w:r w:rsidR="00D54A66" w:rsidRPr="00512D7B">
        <w:rPr>
          <w:color w:val="000000" w:themeColor="text1"/>
          <w:sz w:val="21"/>
          <w:szCs w:val="21"/>
        </w:rPr>
        <w:t xml:space="preserve"> </w:t>
      </w:r>
      <w:r w:rsidR="00D54A66" w:rsidRPr="00DC03F7">
        <w:rPr>
          <w:sz w:val="21"/>
          <w:szCs w:val="21"/>
        </w:rPr>
        <w:t xml:space="preserve">que contiene las fuentes y los </w:t>
      </w:r>
      <w:r w:rsidR="00317901" w:rsidRPr="00DC03F7">
        <w:rPr>
          <w:sz w:val="21"/>
          <w:szCs w:val="21"/>
        </w:rPr>
        <w:t>7</w:t>
      </w:r>
      <w:r w:rsidR="00975412" w:rsidRPr="00DC03F7">
        <w:rPr>
          <w:sz w:val="21"/>
          <w:szCs w:val="21"/>
        </w:rPr>
        <w:t xml:space="preserve"> </w:t>
      </w:r>
      <w:r w:rsidR="00D54A66" w:rsidRPr="00DC03F7">
        <w:rPr>
          <w:sz w:val="21"/>
          <w:szCs w:val="21"/>
        </w:rPr>
        <w:t xml:space="preserve">casos de estudio que se citan en </w:t>
      </w:r>
      <w:r w:rsidR="00975412" w:rsidRPr="00DC03F7">
        <w:rPr>
          <w:sz w:val="21"/>
          <w:szCs w:val="21"/>
        </w:rPr>
        <w:t>esta aportación</w:t>
      </w:r>
      <w:r w:rsidR="00D54A66" w:rsidRPr="00DC03F7">
        <w:rPr>
          <w:sz w:val="21"/>
          <w:szCs w:val="21"/>
        </w:rPr>
        <w:t>.</w:t>
      </w:r>
    </w:p>
    <w:p w14:paraId="20B36015" w14:textId="77777777" w:rsidR="00D54A66" w:rsidRPr="00DC03F7" w:rsidRDefault="00D54A66" w:rsidP="005A20B7">
      <w:pPr>
        <w:spacing w:line="276" w:lineRule="auto"/>
        <w:jc w:val="both"/>
        <w:rPr>
          <w:sz w:val="21"/>
          <w:szCs w:val="21"/>
        </w:rPr>
      </w:pPr>
    </w:p>
    <w:p w14:paraId="1C79C9D1" w14:textId="2D0842EE" w:rsidR="00846692" w:rsidRPr="00DC03F7" w:rsidRDefault="00846692" w:rsidP="005A20B7">
      <w:pPr>
        <w:spacing w:line="276" w:lineRule="auto"/>
        <w:jc w:val="both"/>
        <w:rPr>
          <w:sz w:val="21"/>
          <w:szCs w:val="21"/>
        </w:rPr>
      </w:pPr>
      <w:r w:rsidRPr="00DC03F7">
        <w:rPr>
          <w:sz w:val="21"/>
          <w:szCs w:val="21"/>
        </w:rPr>
        <w:t xml:space="preserve">Women’s Link Worldwide es una </w:t>
      </w:r>
      <w:r w:rsidR="009A1CB9" w:rsidRPr="00DC03F7">
        <w:rPr>
          <w:sz w:val="21"/>
          <w:szCs w:val="21"/>
        </w:rPr>
        <w:t>o</w:t>
      </w:r>
      <w:r w:rsidRPr="00DC03F7">
        <w:rPr>
          <w:sz w:val="21"/>
          <w:szCs w:val="21"/>
        </w:rPr>
        <w:t xml:space="preserve">rganización </w:t>
      </w:r>
      <w:r w:rsidR="009A1CB9" w:rsidRPr="00DC03F7">
        <w:rPr>
          <w:sz w:val="21"/>
          <w:szCs w:val="21"/>
        </w:rPr>
        <w:t>i</w:t>
      </w:r>
      <w:r w:rsidRPr="00DC03F7">
        <w:rPr>
          <w:sz w:val="21"/>
          <w:szCs w:val="21"/>
        </w:rPr>
        <w:t>nternacional de</w:t>
      </w:r>
      <w:r w:rsidR="009A1CB9" w:rsidRPr="00DC03F7">
        <w:rPr>
          <w:sz w:val="21"/>
          <w:szCs w:val="21"/>
        </w:rPr>
        <w:t xml:space="preserve"> d</w:t>
      </w:r>
      <w:r w:rsidRPr="00DC03F7">
        <w:rPr>
          <w:sz w:val="21"/>
          <w:szCs w:val="21"/>
        </w:rPr>
        <w:t xml:space="preserve">erechos </w:t>
      </w:r>
      <w:r w:rsidR="009A1CB9" w:rsidRPr="00DC03F7">
        <w:rPr>
          <w:sz w:val="21"/>
          <w:szCs w:val="21"/>
        </w:rPr>
        <w:t>h</w:t>
      </w:r>
      <w:r w:rsidRPr="00DC03F7">
        <w:rPr>
          <w:sz w:val="21"/>
          <w:szCs w:val="21"/>
        </w:rPr>
        <w:t xml:space="preserve">umanos que utiliza el poder del </w:t>
      </w:r>
      <w:r w:rsidR="009A1CB9" w:rsidRPr="00DC03F7">
        <w:rPr>
          <w:sz w:val="21"/>
          <w:szCs w:val="21"/>
        </w:rPr>
        <w:t>d</w:t>
      </w:r>
      <w:r w:rsidRPr="00DC03F7">
        <w:rPr>
          <w:sz w:val="21"/>
          <w:szCs w:val="21"/>
        </w:rPr>
        <w:t xml:space="preserve">erecho para generar un cambio social que permita avanzar los derechos humanos de las mujeres y las niñas, especialmente de aquellas que enfrentan discriminación interseccional. </w:t>
      </w:r>
      <w:r w:rsidR="004716A8" w:rsidRPr="00DC03F7">
        <w:rPr>
          <w:sz w:val="21"/>
          <w:szCs w:val="21"/>
        </w:rPr>
        <w:t>Tiene</w:t>
      </w:r>
      <w:r w:rsidR="003F5897" w:rsidRPr="00DC03F7">
        <w:rPr>
          <w:sz w:val="21"/>
          <w:szCs w:val="21"/>
        </w:rPr>
        <w:t xml:space="preserve"> dos oficinas regionales (Madrid, España y Bogotá, Colombia)</w:t>
      </w:r>
      <w:r w:rsidR="001B27B8" w:rsidRPr="00DC03F7">
        <w:rPr>
          <w:sz w:val="21"/>
          <w:szCs w:val="21"/>
        </w:rPr>
        <w:t xml:space="preserve"> y personal y algunos proyectos en África oriental (Kenia, Uganda y Ruanda). </w:t>
      </w:r>
      <w:r w:rsidR="005534D1" w:rsidRPr="00DC03F7">
        <w:rPr>
          <w:sz w:val="21"/>
          <w:szCs w:val="21"/>
        </w:rPr>
        <w:t xml:space="preserve">En los últimos diez años hemos </w:t>
      </w:r>
      <w:r w:rsidR="00CF0B8C" w:rsidRPr="00DC03F7">
        <w:rPr>
          <w:sz w:val="21"/>
          <w:szCs w:val="21"/>
        </w:rPr>
        <w:t xml:space="preserve">representado a </w:t>
      </w:r>
      <w:r w:rsidR="0058304C" w:rsidRPr="00DC03F7">
        <w:rPr>
          <w:sz w:val="21"/>
          <w:szCs w:val="21"/>
        </w:rPr>
        <w:t>mujeres víctimas de trata frente a los sistemas de justicia nacionales, regionales e internacionales</w:t>
      </w:r>
      <w:r w:rsidR="00FE23E1" w:rsidRPr="00DC03F7">
        <w:rPr>
          <w:sz w:val="21"/>
          <w:szCs w:val="21"/>
        </w:rPr>
        <w:t xml:space="preserve"> en defensa de su derecho de acceso a la justicia </w:t>
      </w:r>
      <w:r w:rsidR="00331B84" w:rsidRPr="00DC03F7">
        <w:rPr>
          <w:sz w:val="21"/>
          <w:szCs w:val="21"/>
        </w:rPr>
        <w:t>y a reparaciones por las vulneraciones de sus derechos. Además, t</w:t>
      </w:r>
      <w:r w:rsidRPr="00DC03F7">
        <w:rPr>
          <w:sz w:val="21"/>
          <w:szCs w:val="21"/>
          <w:lang w:val="es-CO"/>
        </w:rPr>
        <w:t xml:space="preserve">rabajamos para que el marco </w:t>
      </w:r>
      <w:r w:rsidRPr="00DC03F7">
        <w:rPr>
          <w:sz w:val="21"/>
          <w:szCs w:val="21"/>
          <w:lang w:val="es-CO"/>
        </w:rPr>
        <w:lastRenderedPageBreak/>
        <w:t xml:space="preserve">legal </w:t>
      </w:r>
      <w:r w:rsidR="00A7084D" w:rsidRPr="00DC03F7">
        <w:rPr>
          <w:sz w:val="21"/>
          <w:szCs w:val="21"/>
          <w:lang w:val="es-CO"/>
        </w:rPr>
        <w:t xml:space="preserve">de referencia </w:t>
      </w:r>
      <w:r w:rsidRPr="00DC03F7">
        <w:rPr>
          <w:sz w:val="21"/>
          <w:szCs w:val="21"/>
          <w:lang w:val="es-CO"/>
        </w:rPr>
        <w:t>para combatir</w:t>
      </w:r>
      <w:r w:rsidR="00A7084D" w:rsidRPr="00DC03F7">
        <w:rPr>
          <w:sz w:val="21"/>
          <w:szCs w:val="21"/>
          <w:lang w:val="es-CO"/>
        </w:rPr>
        <w:t xml:space="preserve"> </w:t>
      </w:r>
      <w:r w:rsidRPr="00DC03F7">
        <w:rPr>
          <w:sz w:val="21"/>
          <w:szCs w:val="21"/>
          <w:lang w:val="es-CO"/>
        </w:rPr>
        <w:t>la</w:t>
      </w:r>
      <w:r w:rsidR="00A7084D" w:rsidRPr="00DC03F7">
        <w:rPr>
          <w:sz w:val="21"/>
          <w:szCs w:val="21"/>
          <w:lang w:val="es-CO"/>
        </w:rPr>
        <w:t xml:space="preserve"> trata</w:t>
      </w:r>
      <w:r w:rsidRPr="00DC03F7">
        <w:rPr>
          <w:sz w:val="21"/>
          <w:szCs w:val="21"/>
          <w:lang w:val="es-CO"/>
        </w:rPr>
        <w:t xml:space="preserve"> sea el marco de derechos humanos </w:t>
      </w:r>
      <w:r w:rsidR="00FF5625" w:rsidRPr="00DC03F7">
        <w:rPr>
          <w:sz w:val="21"/>
          <w:szCs w:val="21"/>
          <w:lang w:val="es-CO"/>
        </w:rPr>
        <w:t xml:space="preserve">con </w:t>
      </w:r>
      <w:r w:rsidRPr="00DC03F7">
        <w:rPr>
          <w:sz w:val="21"/>
          <w:szCs w:val="21"/>
          <w:lang w:val="es-CO"/>
        </w:rPr>
        <w:t>una perspectiva de género</w:t>
      </w:r>
      <w:r w:rsidR="00311AFF" w:rsidRPr="00DC03F7">
        <w:rPr>
          <w:sz w:val="21"/>
          <w:szCs w:val="21"/>
          <w:lang w:val="es-CO"/>
        </w:rPr>
        <w:t xml:space="preserve"> </w:t>
      </w:r>
      <w:r w:rsidRPr="00DC03F7">
        <w:rPr>
          <w:sz w:val="21"/>
          <w:szCs w:val="21"/>
          <w:lang w:val="es-CO"/>
        </w:rPr>
        <w:t>que prior</w:t>
      </w:r>
      <w:r w:rsidR="00311AFF" w:rsidRPr="00DC03F7">
        <w:rPr>
          <w:sz w:val="21"/>
          <w:szCs w:val="21"/>
          <w:lang w:val="es-CO"/>
        </w:rPr>
        <w:t xml:space="preserve">ice </w:t>
      </w:r>
      <w:r w:rsidRPr="00DC03F7">
        <w:rPr>
          <w:sz w:val="21"/>
          <w:szCs w:val="21"/>
          <w:lang w:val="es-CO"/>
        </w:rPr>
        <w:t>la protección de l</w:t>
      </w:r>
      <w:r w:rsidR="00311AFF" w:rsidRPr="00DC03F7">
        <w:rPr>
          <w:sz w:val="21"/>
          <w:szCs w:val="21"/>
          <w:lang w:val="es-CO"/>
        </w:rPr>
        <w:t>o</w:t>
      </w:r>
      <w:r w:rsidRPr="00DC03F7">
        <w:rPr>
          <w:sz w:val="21"/>
          <w:szCs w:val="21"/>
          <w:lang w:val="es-CO"/>
        </w:rPr>
        <w:t xml:space="preserve">s </w:t>
      </w:r>
      <w:r w:rsidR="00311AFF" w:rsidRPr="00DC03F7">
        <w:rPr>
          <w:sz w:val="21"/>
          <w:szCs w:val="21"/>
          <w:lang w:val="es-CO"/>
        </w:rPr>
        <w:t xml:space="preserve">derechos de las </w:t>
      </w:r>
      <w:r w:rsidRPr="00DC03F7">
        <w:rPr>
          <w:sz w:val="21"/>
          <w:szCs w:val="21"/>
          <w:lang w:val="es-CO"/>
        </w:rPr>
        <w:t xml:space="preserve">víctimas. El control migratorio y la persecución del delito sin un enfoque de derechos </w:t>
      </w:r>
      <w:r w:rsidRPr="00DC03F7">
        <w:rPr>
          <w:sz w:val="21"/>
          <w:szCs w:val="21"/>
        </w:rPr>
        <w:t>humanos son marcos incompletos y vulneran los derechos de las víctimas.</w:t>
      </w:r>
    </w:p>
    <w:p w14:paraId="074015A5" w14:textId="77777777" w:rsidR="003C63B6" w:rsidRPr="00DC03F7" w:rsidRDefault="003C63B6" w:rsidP="00E819C9">
      <w:pPr>
        <w:spacing w:line="276" w:lineRule="auto"/>
        <w:jc w:val="both"/>
        <w:rPr>
          <w:sz w:val="21"/>
          <w:szCs w:val="21"/>
        </w:rPr>
      </w:pPr>
    </w:p>
    <w:p w14:paraId="408B0FB1" w14:textId="04BAE462" w:rsidR="005F478B" w:rsidRPr="00DC03F7" w:rsidRDefault="005E611D" w:rsidP="00E819C9">
      <w:pPr>
        <w:spacing w:line="276" w:lineRule="auto"/>
        <w:jc w:val="both"/>
        <w:rPr>
          <w:sz w:val="21"/>
          <w:szCs w:val="21"/>
          <w:lang w:val="es-CO"/>
        </w:rPr>
      </w:pPr>
      <w:r w:rsidRPr="00DC03F7">
        <w:rPr>
          <w:sz w:val="21"/>
          <w:szCs w:val="21"/>
        </w:rPr>
        <w:t>En todo el mundo</w:t>
      </w:r>
      <w:r w:rsidR="00846692" w:rsidRPr="00DC03F7">
        <w:rPr>
          <w:sz w:val="21"/>
          <w:szCs w:val="21"/>
        </w:rPr>
        <w:t>, las víctimas de trata enfrentan enormes obstáculos</w:t>
      </w:r>
      <w:r w:rsidR="00846692" w:rsidRPr="00DC03F7">
        <w:rPr>
          <w:sz w:val="21"/>
          <w:szCs w:val="21"/>
          <w:lang w:val="es-CO"/>
        </w:rPr>
        <w:t xml:space="preserve"> para </w:t>
      </w:r>
      <w:r w:rsidR="00A753B9" w:rsidRPr="00DC03F7">
        <w:rPr>
          <w:sz w:val="21"/>
          <w:szCs w:val="21"/>
          <w:lang w:val="es-CO"/>
        </w:rPr>
        <w:t>ejercer su derecho de acceso a la justicia</w:t>
      </w:r>
      <w:r w:rsidR="00846692" w:rsidRPr="00DC03F7">
        <w:rPr>
          <w:sz w:val="21"/>
          <w:szCs w:val="21"/>
          <w:lang w:val="es-CO"/>
        </w:rPr>
        <w:t>. La</w:t>
      </w:r>
      <w:r w:rsidR="00D8406D" w:rsidRPr="00DC03F7">
        <w:rPr>
          <w:sz w:val="21"/>
          <w:szCs w:val="21"/>
          <w:lang w:val="es-CO"/>
        </w:rPr>
        <w:t xml:space="preserve"> priorización de los enfoques de control migrato</w:t>
      </w:r>
      <w:r w:rsidR="00AA7B6B" w:rsidRPr="00DC03F7">
        <w:rPr>
          <w:sz w:val="21"/>
          <w:szCs w:val="21"/>
          <w:lang w:val="es-CO"/>
        </w:rPr>
        <w:t>r</w:t>
      </w:r>
      <w:r w:rsidR="00D8406D" w:rsidRPr="00DC03F7">
        <w:rPr>
          <w:sz w:val="21"/>
          <w:szCs w:val="21"/>
          <w:lang w:val="es-CO"/>
        </w:rPr>
        <w:t xml:space="preserve">io y de persecución del delito </w:t>
      </w:r>
      <w:r w:rsidR="00AA7B6B" w:rsidRPr="00DC03F7">
        <w:rPr>
          <w:sz w:val="21"/>
          <w:szCs w:val="21"/>
          <w:lang w:val="es-CO"/>
        </w:rPr>
        <w:t>por parte de los Estados en su</w:t>
      </w:r>
      <w:r w:rsidR="00C13885" w:rsidRPr="00DC03F7">
        <w:rPr>
          <w:sz w:val="21"/>
          <w:szCs w:val="21"/>
          <w:lang w:val="es-CO"/>
        </w:rPr>
        <w:t xml:space="preserve"> </w:t>
      </w:r>
      <w:r w:rsidR="00B36BA8" w:rsidRPr="00DC03F7">
        <w:rPr>
          <w:sz w:val="21"/>
          <w:szCs w:val="21"/>
          <w:lang w:val="es-CO"/>
        </w:rPr>
        <w:t xml:space="preserve">actuación contra </w:t>
      </w:r>
      <w:r w:rsidR="0065214A" w:rsidRPr="00DC03F7">
        <w:rPr>
          <w:sz w:val="21"/>
          <w:szCs w:val="21"/>
          <w:lang w:val="es-CO"/>
        </w:rPr>
        <w:t>la trata</w:t>
      </w:r>
      <w:r w:rsidR="00846692" w:rsidRPr="00DC03F7">
        <w:rPr>
          <w:sz w:val="21"/>
          <w:szCs w:val="21"/>
          <w:lang w:val="es-CO"/>
        </w:rPr>
        <w:t xml:space="preserve"> </w:t>
      </w:r>
      <w:r w:rsidR="005A0193" w:rsidRPr="00DC03F7">
        <w:rPr>
          <w:sz w:val="21"/>
          <w:szCs w:val="21"/>
          <w:lang w:val="es-CO"/>
        </w:rPr>
        <w:t>favorece la discriminación</w:t>
      </w:r>
      <w:r w:rsidR="00EF7B57" w:rsidRPr="00DC03F7">
        <w:rPr>
          <w:sz w:val="21"/>
          <w:szCs w:val="21"/>
          <w:lang w:val="es-CO"/>
        </w:rPr>
        <w:t xml:space="preserve"> </w:t>
      </w:r>
      <w:r w:rsidR="005A0193" w:rsidRPr="00DC03F7">
        <w:rPr>
          <w:sz w:val="21"/>
          <w:szCs w:val="21"/>
          <w:lang w:val="es-CO"/>
        </w:rPr>
        <w:t>por</w:t>
      </w:r>
      <w:r w:rsidR="00301C50" w:rsidRPr="00DC03F7">
        <w:rPr>
          <w:sz w:val="21"/>
          <w:szCs w:val="21"/>
          <w:lang w:val="es-CO"/>
        </w:rPr>
        <w:t xml:space="preserve"> parte de</w:t>
      </w:r>
      <w:r w:rsidR="00846692" w:rsidRPr="00DC03F7">
        <w:rPr>
          <w:sz w:val="21"/>
          <w:szCs w:val="21"/>
          <w:lang w:val="es-CO"/>
        </w:rPr>
        <w:t xml:space="preserve"> </w:t>
      </w:r>
      <w:r w:rsidR="00132FDF" w:rsidRPr="00DC03F7">
        <w:rPr>
          <w:sz w:val="21"/>
          <w:szCs w:val="21"/>
          <w:lang w:val="es-CO"/>
        </w:rPr>
        <w:t xml:space="preserve">los </w:t>
      </w:r>
      <w:r w:rsidR="00846692" w:rsidRPr="00DC03F7">
        <w:rPr>
          <w:sz w:val="21"/>
          <w:szCs w:val="21"/>
          <w:lang w:val="es-CO"/>
        </w:rPr>
        <w:t>sistema</w:t>
      </w:r>
      <w:r w:rsidR="00132FDF" w:rsidRPr="00DC03F7">
        <w:rPr>
          <w:sz w:val="21"/>
          <w:szCs w:val="21"/>
          <w:lang w:val="es-CO"/>
        </w:rPr>
        <w:t>s</w:t>
      </w:r>
      <w:r w:rsidR="00846692" w:rsidRPr="00DC03F7">
        <w:rPr>
          <w:sz w:val="21"/>
          <w:szCs w:val="21"/>
          <w:lang w:val="es-CO"/>
        </w:rPr>
        <w:t xml:space="preserve"> legal</w:t>
      </w:r>
      <w:r w:rsidR="00132FDF" w:rsidRPr="00DC03F7">
        <w:rPr>
          <w:sz w:val="21"/>
          <w:szCs w:val="21"/>
          <w:lang w:val="es-CO"/>
        </w:rPr>
        <w:t>es</w:t>
      </w:r>
      <w:r w:rsidR="00846692" w:rsidRPr="00DC03F7">
        <w:rPr>
          <w:sz w:val="21"/>
          <w:szCs w:val="21"/>
          <w:lang w:val="es-CO"/>
        </w:rPr>
        <w:t xml:space="preserve"> y l</w:t>
      </w:r>
      <w:r w:rsidR="00301C50" w:rsidRPr="00DC03F7">
        <w:rPr>
          <w:sz w:val="21"/>
          <w:szCs w:val="21"/>
          <w:lang w:val="es-CO"/>
        </w:rPr>
        <w:t>a</w:t>
      </w:r>
      <w:r w:rsidR="00846692" w:rsidRPr="00DC03F7">
        <w:rPr>
          <w:sz w:val="21"/>
          <w:szCs w:val="21"/>
          <w:lang w:val="es-CO"/>
        </w:rPr>
        <w:t xml:space="preserve"> apli</w:t>
      </w:r>
      <w:r w:rsidR="00301C50" w:rsidRPr="00DC03F7">
        <w:rPr>
          <w:sz w:val="21"/>
          <w:szCs w:val="21"/>
          <w:lang w:val="es-CO"/>
        </w:rPr>
        <w:t>cación de</w:t>
      </w:r>
      <w:r w:rsidR="00846692" w:rsidRPr="00DC03F7">
        <w:rPr>
          <w:sz w:val="21"/>
          <w:szCs w:val="21"/>
          <w:lang w:val="es-CO"/>
        </w:rPr>
        <w:t xml:space="preserve"> estereotipos de género, raciales e interseccionales que </w:t>
      </w:r>
      <w:r w:rsidR="009A67C7" w:rsidRPr="00DC03F7">
        <w:rPr>
          <w:sz w:val="21"/>
          <w:szCs w:val="21"/>
          <w:lang w:val="es-CO"/>
        </w:rPr>
        <w:t xml:space="preserve">dificultan </w:t>
      </w:r>
      <w:r w:rsidR="00846692" w:rsidRPr="00DC03F7">
        <w:rPr>
          <w:sz w:val="21"/>
          <w:szCs w:val="21"/>
          <w:lang w:val="es-CO"/>
        </w:rPr>
        <w:t xml:space="preserve">su acceso a la justicia. </w:t>
      </w:r>
    </w:p>
    <w:p w14:paraId="31E5CE58" w14:textId="77777777" w:rsidR="001C3B26" w:rsidRPr="00DC03F7" w:rsidRDefault="001C3B26" w:rsidP="00E819C9">
      <w:pPr>
        <w:spacing w:line="276" w:lineRule="auto"/>
        <w:ind w:hanging="360"/>
        <w:rPr>
          <w:sz w:val="21"/>
          <w:szCs w:val="21"/>
        </w:rPr>
      </w:pPr>
    </w:p>
    <w:p w14:paraId="5829E607" w14:textId="77777777" w:rsidR="00D30871" w:rsidRPr="00DC03F7" w:rsidRDefault="00D30871" w:rsidP="00E819C9">
      <w:pPr>
        <w:pStyle w:val="ListParagraph"/>
        <w:numPr>
          <w:ilvl w:val="0"/>
          <w:numId w:val="1"/>
        </w:numPr>
        <w:spacing w:line="276" w:lineRule="auto"/>
        <w:ind w:left="0"/>
        <w:rPr>
          <w:rFonts w:ascii="Times New Roman" w:hAnsi="Times New Roman" w:cs="Times New Roman"/>
          <w:b/>
          <w:sz w:val="21"/>
          <w:szCs w:val="21"/>
          <w:lang w:val="es-ES"/>
        </w:rPr>
      </w:pPr>
      <w:r w:rsidRPr="00DC03F7">
        <w:rPr>
          <w:rFonts w:ascii="Times New Roman" w:hAnsi="Times New Roman" w:cs="Times New Roman"/>
          <w:b/>
          <w:sz w:val="21"/>
          <w:szCs w:val="21"/>
          <w:lang w:val="es-ES"/>
        </w:rPr>
        <w:t>I</w:t>
      </w:r>
      <w:r w:rsidR="00400AF1" w:rsidRPr="00DC03F7">
        <w:rPr>
          <w:rFonts w:ascii="Times New Roman" w:hAnsi="Times New Roman" w:cs="Times New Roman"/>
          <w:b/>
          <w:sz w:val="21"/>
          <w:szCs w:val="21"/>
          <w:lang w:val="es-ES"/>
        </w:rPr>
        <w:t>NTRODUCCIÓN</w:t>
      </w:r>
    </w:p>
    <w:p w14:paraId="5A6A6F23" w14:textId="77777777" w:rsidR="00400AF1" w:rsidRPr="00DC03F7" w:rsidRDefault="00400AF1" w:rsidP="00E819C9">
      <w:pPr>
        <w:spacing w:line="276" w:lineRule="auto"/>
        <w:rPr>
          <w:b/>
          <w:sz w:val="21"/>
          <w:szCs w:val="21"/>
          <w:highlight w:val="yellow"/>
        </w:rPr>
      </w:pPr>
    </w:p>
    <w:p w14:paraId="40366E54" w14:textId="0FF4E749" w:rsidR="00400AF1" w:rsidRPr="00DC03F7" w:rsidRDefault="00400AF1" w:rsidP="00E819C9">
      <w:pPr>
        <w:pStyle w:val="ListParagraph"/>
        <w:numPr>
          <w:ilvl w:val="0"/>
          <w:numId w:val="9"/>
        </w:numPr>
        <w:spacing w:line="276" w:lineRule="auto"/>
        <w:ind w:left="0"/>
        <w:jc w:val="both"/>
        <w:rPr>
          <w:rFonts w:ascii="Times New Roman" w:hAnsi="Times New Roman" w:cs="Times New Roman"/>
          <w:sz w:val="21"/>
          <w:szCs w:val="21"/>
          <w:lang w:val="es-ES"/>
        </w:rPr>
      </w:pPr>
      <w:r w:rsidRPr="00DC03F7">
        <w:rPr>
          <w:rFonts w:ascii="Times New Roman" w:hAnsi="Times New Roman" w:cs="Times New Roman"/>
          <w:sz w:val="21"/>
          <w:szCs w:val="21"/>
          <w:lang w:val="es-ES"/>
        </w:rPr>
        <w:t xml:space="preserve">La trata de </w:t>
      </w:r>
      <w:r w:rsidRPr="00DC03F7">
        <w:rPr>
          <w:rFonts w:ascii="Times New Roman" w:hAnsi="Times New Roman" w:cs="Times New Roman"/>
          <w:color w:val="000000" w:themeColor="text1"/>
          <w:sz w:val="21"/>
          <w:szCs w:val="21"/>
          <w:lang w:val="es-ES"/>
        </w:rPr>
        <w:t>personas es un</w:t>
      </w:r>
      <w:r w:rsidR="00004B14" w:rsidRPr="00DC03F7">
        <w:rPr>
          <w:rFonts w:ascii="Times New Roman" w:hAnsi="Times New Roman" w:cs="Times New Roman"/>
          <w:color w:val="000000" w:themeColor="text1"/>
          <w:sz w:val="21"/>
          <w:szCs w:val="21"/>
          <w:lang w:val="es-ES"/>
        </w:rPr>
        <w:t xml:space="preserve">a </w:t>
      </w:r>
      <w:r w:rsidR="0006008A" w:rsidRPr="00DC03F7">
        <w:rPr>
          <w:rFonts w:ascii="Times New Roman" w:hAnsi="Times New Roman" w:cs="Times New Roman"/>
          <w:color w:val="000000" w:themeColor="text1"/>
          <w:sz w:val="21"/>
          <w:szCs w:val="21"/>
          <w:lang w:val="es-ES"/>
        </w:rPr>
        <w:t xml:space="preserve">violación de derechos humanos a escala </w:t>
      </w:r>
      <w:r w:rsidRPr="00DC03F7">
        <w:rPr>
          <w:rFonts w:ascii="Times New Roman" w:hAnsi="Times New Roman" w:cs="Times New Roman"/>
          <w:color w:val="000000" w:themeColor="text1"/>
          <w:sz w:val="21"/>
          <w:szCs w:val="21"/>
          <w:lang w:val="es-ES"/>
        </w:rPr>
        <w:t xml:space="preserve">global que ocurre tanto dentro como a través de las fronteras nacionales, y casi todos los países del mundo se ven afectados bien sea como origen, tránsito y/o destino de </w:t>
      </w:r>
      <w:r w:rsidR="0006008A" w:rsidRPr="00DC03F7">
        <w:rPr>
          <w:rFonts w:ascii="Times New Roman" w:hAnsi="Times New Roman" w:cs="Times New Roman"/>
          <w:color w:val="000000" w:themeColor="text1"/>
          <w:sz w:val="21"/>
          <w:szCs w:val="21"/>
          <w:lang w:val="es-ES"/>
        </w:rPr>
        <w:t xml:space="preserve">los </w:t>
      </w:r>
      <w:r w:rsidRPr="00DC03F7">
        <w:rPr>
          <w:rFonts w:ascii="Times New Roman" w:hAnsi="Times New Roman" w:cs="Times New Roman"/>
          <w:sz w:val="21"/>
          <w:szCs w:val="21"/>
          <w:lang w:val="es-ES"/>
        </w:rPr>
        <w:t xml:space="preserve">millones de personas que anualmente son víctimas de las redes de </w:t>
      </w:r>
      <w:r w:rsidR="0006008A" w:rsidRPr="00DC03F7">
        <w:rPr>
          <w:rFonts w:ascii="Times New Roman" w:hAnsi="Times New Roman" w:cs="Times New Roman"/>
          <w:sz w:val="21"/>
          <w:szCs w:val="21"/>
          <w:lang w:val="es-ES"/>
        </w:rPr>
        <w:t>trata de personas</w:t>
      </w:r>
      <w:r w:rsidRPr="00DC03F7">
        <w:rPr>
          <w:rFonts w:ascii="Times New Roman" w:hAnsi="Times New Roman" w:cs="Times New Roman"/>
          <w:sz w:val="21"/>
          <w:szCs w:val="21"/>
          <w:lang w:val="es-ES"/>
        </w:rPr>
        <w:t>. La trata no es sólo un delito, es ante todo una grave violación de derechos humanos que plantea un “grave reto para la humanidad</w:t>
      </w:r>
      <w:r w:rsidR="00415D3C" w:rsidRPr="00DC03F7">
        <w:rPr>
          <w:rFonts w:ascii="Times New Roman" w:hAnsi="Times New Roman" w:cs="Times New Roman"/>
          <w:sz w:val="21"/>
          <w:szCs w:val="21"/>
          <w:lang w:val="es-ES"/>
        </w:rPr>
        <w:t>” cuya</w:t>
      </w:r>
      <w:r w:rsidRPr="00DC03F7">
        <w:rPr>
          <w:rFonts w:ascii="Times New Roman" w:hAnsi="Times New Roman" w:cs="Times New Roman"/>
          <w:sz w:val="21"/>
          <w:szCs w:val="21"/>
          <w:lang w:val="es-ES"/>
        </w:rPr>
        <w:t xml:space="preserve"> erradicación </w:t>
      </w:r>
      <w:r w:rsidR="00415D3C" w:rsidRPr="00DC03F7">
        <w:rPr>
          <w:rFonts w:ascii="Times New Roman" w:hAnsi="Times New Roman" w:cs="Times New Roman"/>
          <w:sz w:val="21"/>
          <w:szCs w:val="21"/>
          <w:lang w:val="es-ES"/>
        </w:rPr>
        <w:t>“</w:t>
      </w:r>
      <w:r w:rsidRPr="00DC03F7">
        <w:rPr>
          <w:rFonts w:ascii="Times New Roman" w:hAnsi="Times New Roman" w:cs="Times New Roman"/>
          <w:sz w:val="21"/>
          <w:szCs w:val="21"/>
          <w:lang w:val="es-ES"/>
        </w:rPr>
        <w:t xml:space="preserve">exige una evaluación y una respuesta internacionales concertadas mediante una </w:t>
      </w:r>
      <w:r w:rsidRPr="00DC03F7">
        <w:rPr>
          <w:rFonts w:ascii="Times New Roman" w:hAnsi="Times New Roman" w:cs="Times New Roman"/>
          <w:sz w:val="21"/>
          <w:szCs w:val="21"/>
          <w:lang w:val="es-ES"/>
        </w:rPr>
        <w:lastRenderedPageBreak/>
        <w:t>genuina cooperación multilateral entre los países de origen, de tránsito y de destino”</w:t>
      </w:r>
      <w:r w:rsidRPr="00DC03F7">
        <w:rPr>
          <w:rStyle w:val="FootnoteReference"/>
          <w:rFonts w:ascii="Times New Roman" w:hAnsi="Times New Roman" w:cs="Times New Roman"/>
          <w:sz w:val="21"/>
          <w:szCs w:val="21"/>
          <w:lang w:val="es-ES"/>
        </w:rPr>
        <w:footnoteReference w:id="1"/>
      </w:r>
      <w:r w:rsidRPr="00DC03F7">
        <w:rPr>
          <w:rFonts w:ascii="Times New Roman" w:hAnsi="Times New Roman" w:cs="Times New Roman"/>
          <w:sz w:val="21"/>
          <w:szCs w:val="21"/>
          <w:lang w:val="es-ES"/>
        </w:rPr>
        <w:t xml:space="preserve">. </w:t>
      </w:r>
      <w:r w:rsidR="00BD6795" w:rsidRPr="00DC03F7">
        <w:rPr>
          <w:rFonts w:ascii="Times New Roman" w:hAnsi="Times New Roman" w:cs="Times New Roman"/>
          <w:sz w:val="21"/>
          <w:szCs w:val="21"/>
          <w:lang w:val="es-ES"/>
        </w:rPr>
        <w:t xml:space="preserve">La trata </w:t>
      </w:r>
      <w:r w:rsidRPr="00DC03F7">
        <w:rPr>
          <w:rFonts w:ascii="Times New Roman" w:hAnsi="Times New Roman" w:cs="Times New Roman"/>
          <w:sz w:val="21"/>
          <w:szCs w:val="21"/>
          <w:lang w:val="es-ES"/>
        </w:rPr>
        <w:t xml:space="preserve">afecta de forma </w:t>
      </w:r>
      <w:r w:rsidR="0006008A" w:rsidRPr="00DC03F7">
        <w:rPr>
          <w:rFonts w:ascii="Times New Roman" w:hAnsi="Times New Roman" w:cs="Times New Roman"/>
          <w:sz w:val="21"/>
          <w:szCs w:val="21"/>
          <w:lang w:val="es-ES"/>
        </w:rPr>
        <w:t xml:space="preserve">desproporcionada </w:t>
      </w:r>
      <w:r w:rsidRPr="00DC03F7">
        <w:rPr>
          <w:rFonts w:ascii="Times New Roman" w:hAnsi="Times New Roman" w:cs="Times New Roman"/>
          <w:sz w:val="21"/>
          <w:szCs w:val="21"/>
          <w:lang w:val="es-ES"/>
        </w:rPr>
        <w:t>a mujeres y niñas</w:t>
      </w:r>
      <w:r w:rsidR="00BD6795" w:rsidRPr="00DC03F7">
        <w:rPr>
          <w:rFonts w:ascii="Times New Roman" w:hAnsi="Times New Roman" w:cs="Times New Roman"/>
          <w:sz w:val="21"/>
          <w:szCs w:val="21"/>
          <w:lang w:val="es-ES"/>
        </w:rPr>
        <w:t xml:space="preserve"> y ha sido calificada como</w:t>
      </w:r>
      <w:r w:rsidR="00BC4A2D" w:rsidRPr="00DC03F7">
        <w:rPr>
          <w:rFonts w:ascii="Times New Roman" w:hAnsi="Times New Roman" w:cs="Times New Roman"/>
          <w:sz w:val="21"/>
          <w:szCs w:val="21"/>
          <w:lang w:val="es-ES"/>
        </w:rPr>
        <w:t xml:space="preserve"> </w:t>
      </w:r>
      <w:r w:rsidRPr="00DC03F7">
        <w:rPr>
          <w:rFonts w:ascii="Times New Roman" w:hAnsi="Times New Roman" w:cs="Times New Roman"/>
          <w:sz w:val="21"/>
          <w:szCs w:val="21"/>
          <w:lang w:val="es-ES"/>
        </w:rPr>
        <w:t xml:space="preserve">una </w:t>
      </w:r>
      <w:r w:rsidR="0006008A" w:rsidRPr="00DC03F7">
        <w:rPr>
          <w:rFonts w:ascii="Times New Roman" w:hAnsi="Times New Roman" w:cs="Times New Roman"/>
          <w:sz w:val="21"/>
          <w:szCs w:val="21"/>
          <w:lang w:val="es-ES"/>
        </w:rPr>
        <w:t>forma de violencia por razón de género contra las mujeres</w:t>
      </w:r>
      <w:r w:rsidRPr="00DC03F7">
        <w:rPr>
          <w:rStyle w:val="FootnoteReference"/>
          <w:rFonts w:ascii="Times New Roman" w:hAnsi="Times New Roman" w:cs="Times New Roman"/>
          <w:sz w:val="21"/>
          <w:szCs w:val="21"/>
          <w:lang w:val="es-ES"/>
        </w:rPr>
        <w:footnoteReference w:id="2"/>
      </w:r>
      <w:r w:rsidRPr="00DC03F7">
        <w:rPr>
          <w:rFonts w:ascii="Times New Roman" w:hAnsi="Times New Roman" w:cs="Times New Roman"/>
          <w:sz w:val="21"/>
          <w:szCs w:val="21"/>
          <w:lang w:val="es-ES"/>
        </w:rPr>
        <w:t xml:space="preserve">. Como </w:t>
      </w:r>
      <w:r w:rsidR="00820170" w:rsidRPr="00DC03F7">
        <w:rPr>
          <w:rFonts w:ascii="Times New Roman" w:hAnsi="Times New Roman" w:cs="Times New Roman"/>
          <w:sz w:val="21"/>
          <w:szCs w:val="21"/>
          <w:lang w:val="es-ES"/>
        </w:rPr>
        <w:t xml:space="preserve">ha </w:t>
      </w:r>
      <w:r w:rsidRPr="00DC03F7">
        <w:rPr>
          <w:rFonts w:ascii="Times New Roman" w:hAnsi="Times New Roman" w:cs="Times New Roman"/>
          <w:sz w:val="21"/>
          <w:szCs w:val="21"/>
          <w:lang w:val="es-ES"/>
        </w:rPr>
        <w:t>señal</w:t>
      </w:r>
      <w:r w:rsidR="00820170" w:rsidRPr="00DC03F7">
        <w:rPr>
          <w:rFonts w:ascii="Times New Roman" w:hAnsi="Times New Roman" w:cs="Times New Roman"/>
          <w:sz w:val="21"/>
          <w:szCs w:val="21"/>
          <w:lang w:val="es-ES"/>
        </w:rPr>
        <w:t>ado</w:t>
      </w:r>
      <w:r w:rsidRPr="00DC03F7">
        <w:rPr>
          <w:rFonts w:ascii="Times New Roman" w:hAnsi="Times New Roman" w:cs="Times New Roman"/>
          <w:sz w:val="21"/>
          <w:szCs w:val="21"/>
          <w:lang w:val="es-ES"/>
        </w:rPr>
        <w:t xml:space="preserve"> la Relatora Especial sobre violencia contra la mujer, sus causas y consecuencias, Yakin Ertürk, la trata de personas es una de las principales áreas de preocupación en relación con la violencia contra la mujer (junto con la violencia doméstica, la violencia sexual en conflicto y </w:t>
      </w:r>
      <w:r w:rsidR="00E45797" w:rsidRPr="00DC03F7">
        <w:rPr>
          <w:rFonts w:ascii="Times New Roman" w:hAnsi="Times New Roman" w:cs="Times New Roman"/>
          <w:sz w:val="21"/>
          <w:szCs w:val="21"/>
          <w:lang w:val="es-ES"/>
        </w:rPr>
        <w:t xml:space="preserve">las </w:t>
      </w:r>
      <w:r w:rsidRPr="00DC03F7">
        <w:rPr>
          <w:rFonts w:ascii="Times New Roman" w:hAnsi="Times New Roman" w:cs="Times New Roman"/>
          <w:sz w:val="21"/>
          <w:szCs w:val="21"/>
          <w:lang w:val="es-ES"/>
        </w:rPr>
        <w:t>violaciones a los derechos reproductivos)</w:t>
      </w:r>
      <w:r w:rsidRPr="00DC03F7">
        <w:rPr>
          <w:rStyle w:val="FootnoteReference"/>
          <w:rFonts w:ascii="Times New Roman" w:hAnsi="Times New Roman" w:cs="Times New Roman"/>
          <w:sz w:val="21"/>
          <w:szCs w:val="21"/>
          <w:lang w:val="es-ES"/>
        </w:rPr>
        <w:footnoteReference w:id="3"/>
      </w:r>
      <w:r w:rsidRPr="00DC03F7">
        <w:rPr>
          <w:rFonts w:ascii="Times New Roman" w:hAnsi="Times New Roman" w:cs="Times New Roman"/>
          <w:sz w:val="21"/>
          <w:szCs w:val="21"/>
          <w:lang w:val="es-ES"/>
        </w:rPr>
        <w:t xml:space="preserve">. </w:t>
      </w:r>
    </w:p>
    <w:p w14:paraId="0333537A" w14:textId="77777777" w:rsidR="00400AF1" w:rsidRPr="00DC03F7" w:rsidRDefault="00400AF1" w:rsidP="00E819C9">
      <w:pPr>
        <w:pStyle w:val="ListParagraph"/>
        <w:spacing w:line="276" w:lineRule="auto"/>
        <w:ind w:left="0"/>
        <w:jc w:val="both"/>
        <w:rPr>
          <w:rFonts w:ascii="Times New Roman" w:hAnsi="Times New Roman" w:cs="Times New Roman"/>
          <w:sz w:val="21"/>
          <w:szCs w:val="21"/>
          <w:lang w:val="es-ES"/>
        </w:rPr>
      </w:pPr>
    </w:p>
    <w:p w14:paraId="63162352" w14:textId="361DA8BE" w:rsidR="00400AF1" w:rsidRPr="00DC03F7" w:rsidRDefault="00400AF1" w:rsidP="00E819C9">
      <w:pPr>
        <w:pStyle w:val="ListParagraph"/>
        <w:numPr>
          <w:ilvl w:val="0"/>
          <w:numId w:val="9"/>
        </w:numPr>
        <w:spacing w:line="276" w:lineRule="auto"/>
        <w:ind w:left="0"/>
        <w:jc w:val="both"/>
        <w:rPr>
          <w:rFonts w:ascii="Times New Roman" w:hAnsi="Times New Roman" w:cs="Times New Roman"/>
          <w:sz w:val="21"/>
          <w:szCs w:val="21"/>
          <w:lang w:val="es-ES"/>
        </w:rPr>
      </w:pPr>
      <w:r w:rsidRPr="00DC03F7">
        <w:rPr>
          <w:rFonts w:ascii="Times New Roman" w:hAnsi="Times New Roman" w:cs="Times New Roman"/>
          <w:sz w:val="21"/>
          <w:szCs w:val="21"/>
          <w:lang w:val="es-ES"/>
        </w:rPr>
        <w:t xml:space="preserve">De esta forma, las violaciones de derechos humanos no son sólo una consecuencia de la trata de mujeres y niñas, también son la causa raíz. La discriminación generalizada </w:t>
      </w:r>
      <w:r w:rsidRPr="00DC03F7">
        <w:rPr>
          <w:rFonts w:ascii="Times New Roman" w:hAnsi="Times New Roman" w:cs="Times New Roman"/>
          <w:i/>
          <w:sz w:val="21"/>
          <w:szCs w:val="21"/>
          <w:lang w:val="es-ES"/>
        </w:rPr>
        <w:t>de jure</w:t>
      </w:r>
      <w:r w:rsidRPr="00DC03F7">
        <w:rPr>
          <w:rFonts w:ascii="Times New Roman" w:hAnsi="Times New Roman" w:cs="Times New Roman"/>
          <w:sz w:val="21"/>
          <w:szCs w:val="21"/>
          <w:lang w:val="es-ES"/>
        </w:rPr>
        <w:t xml:space="preserve"> y </w:t>
      </w:r>
      <w:r w:rsidRPr="00DC03F7">
        <w:rPr>
          <w:rFonts w:ascii="Times New Roman" w:hAnsi="Times New Roman" w:cs="Times New Roman"/>
          <w:i/>
          <w:sz w:val="21"/>
          <w:szCs w:val="21"/>
          <w:lang w:val="es-ES"/>
        </w:rPr>
        <w:t>de facto</w:t>
      </w:r>
      <w:r w:rsidRPr="00DC03F7">
        <w:rPr>
          <w:rFonts w:ascii="Times New Roman" w:hAnsi="Times New Roman" w:cs="Times New Roman"/>
          <w:sz w:val="21"/>
          <w:szCs w:val="21"/>
          <w:lang w:val="es-ES"/>
        </w:rPr>
        <w:t xml:space="preserve"> basada en el género en los países de origen, que limita directa o indirectamente el acceso de las mujeres a la educación, recursos y oportunidades de empleo, entre otros, aumenta el riesgo de que mujeres y niñas vivan en situaciones de pobreza y grave exclusión. Otras violaciones de </w:t>
      </w:r>
      <w:r w:rsidRPr="00DC03F7">
        <w:rPr>
          <w:rFonts w:ascii="Times New Roman" w:hAnsi="Times New Roman" w:cs="Times New Roman"/>
          <w:sz w:val="21"/>
          <w:szCs w:val="21"/>
          <w:lang w:val="es-ES"/>
        </w:rPr>
        <w:lastRenderedPageBreak/>
        <w:t>derechos humanos, incluidas las normas culturales que toleran la violencia de género</w:t>
      </w:r>
      <w:r w:rsidR="00B43E3A" w:rsidRPr="00DC03F7">
        <w:rPr>
          <w:rFonts w:ascii="Times New Roman" w:hAnsi="Times New Roman" w:cs="Times New Roman"/>
          <w:sz w:val="21"/>
          <w:szCs w:val="21"/>
          <w:lang w:val="es-ES"/>
        </w:rPr>
        <w:t>, imponen</w:t>
      </w:r>
      <w:r w:rsidRPr="00DC03F7">
        <w:rPr>
          <w:rFonts w:ascii="Times New Roman" w:hAnsi="Times New Roman" w:cs="Times New Roman"/>
          <w:sz w:val="21"/>
          <w:szCs w:val="21"/>
          <w:lang w:val="es-ES"/>
        </w:rPr>
        <w:t xml:space="preserve"> roles de género estereotipados dentro de las familias y comunidades, obligan</w:t>
      </w:r>
      <w:r w:rsidR="000C3313" w:rsidRPr="00DC03F7">
        <w:rPr>
          <w:rFonts w:ascii="Times New Roman" w:hAnsi="Times New Roman" w:cs="Times New Roman"/>
          <w:sz w:val="21"/>
          <w:szCs w:val="21"/>
          <w:lang w:val="es-ES"/>
        </w:rPr>
        <w:t>do</w:t>
      </w:r>
      <w:r w:rsidRPr="00DC03F7">
        <w:rPr>
          <w:rFonts w:ascii="Times New Roman" w:hAnsi="Times New Roman" w:cs="Times New Roman"/>
          <w:sz w:val="21"/>
          <w:szCs w:val="21"/>
          <w:lang w:val="es-ES"/>
        </w:rPr>
        <w:t xml:space="preserve"> a las mujeres a buscar oportunidades de empleo fuera de sus comunidades de origen. El conjunto de estos factores exacerba la </w:t>
      </w:r>
      <w:r w:rsidR="00F3456F" w:rsidRPr="00DC03F7">
        <w:rPr>
          <w:rFonts w:ascii="Times New Roman" w:hAnsi="Times New Roman" w:cs="Times New Roman"/>
          <w:sz w:val="21"/>
          <w:szCs w:val="21"/>
          <w:lang w:val="es-ES"/>
        </w:rPr>
        <w:t xml:space="preserve">situación de </w:t>
      </w:r>
      <w:r w:rsidRPr="00DC03F7">
        <w:rPr>
          <w:rFonts w:ascii="Times New Roman" w:hAnsi="Times New Roman" w:cs="Times New Roman"/>
          <w:sz w:val="21"/>
          <w:szCs w:val="21"/>
          <w:lang w:val="es-ES"/>
        </w:rPr>
        <w:t>vulnerabilidad de las mujeres y las niñas a la trata</w:t>
      </w:r>
      <w:r w:rsidR="00F3456F" w:rsidRPr="00DC03F7">
        <w:rPr>
          <w:rFonts w:ascii="Times New Roman" w:hAnsi="Times New Roman" w:cs="Times New Roman"/>
          <w:sz w:val="21"/>
          <w:szCs w:val="21"/>
          <w:lang w:val="es-ES"/>
        </w:rPr>
        <w:t xml:space="preserve"> de personas</w:t>
      </w:r>
      <w:r w:rsidRPr="00DC03F7">
        <w:rPr>
          <w:rFonts w:ascii="Times New Roman" w:hAnsi="Times New Roman" w:cs="Times New Roman"/>
          <w:sz w:val="21"/>
          <w:szCs w:val="21"/>
          <w:lang w:val="es-ES"/>
        </w:rPr>
        <w:t xml:space="preserve"> y </w:t>
      </w:r>
      <w:r w:rsidR="00B80377" w:rsidRPr="00DC03F7">
        <w:rPr>
          <w:rFonts w:ascii="Times New Roman" w:hAnsi="Times New Roman" w:cs="Times New Roman"/>
          <w:sz w:val="21"/>
          <w:szCs w:val="21"/>
          <w:lang w:val="es-ES"/>
        </w:rPr>
        <w:t xml:space="preserve">las expone al riesgo </w:t>
      </w:r>
      <w:r w:rsidRPr="00DC03F7">
        <w:rPr>
          <w:rFonts w:ascii="Times New Roman" w:hAnsi="Times New Roman" w:cs="Times New Roman"/>
          <w:sz w:val="21"/>
          <w:szCs w:val="21"/>
          <w:lang w:val="es-ES"/>
        </w:rPr>
        <w:t xml:space="preserve">de </w:t>
      </w:r>
      <w:r w:rsidR="00B80377" w:rsidRPr="00DC03F7">
        <w:rPr>
          <w:rFonts w:ascii="Times New Roman" w:hAnsi="Times New Roman" w:cs="Times New Roman"/>
          <w:sz w:val="21"/>
          <w:szCs w:val="21"/>
          <w:lang w:val="es-ES"/>
        </w:rPr>
        <w:t xml:space="preserve">caer en las redes de trata </w:t>
      </w:r>
      <w:r w:rsidRPr="00DC03F7">
        <w:rPr>
          <w:rFonts w:ascii="Times New Roman" w:hAnsi="Times New Roman" w:cs="Times New Roman"/>
          <w:sz w:val="21"/>
          <w:szCs w:val="21"/>
          <w:lang w:val="es-ES"/>
        </w:rPr>
        <w:t xml:space="preserve">al intentar escapar de la pobreza, </w:t>
      </w:r>
      <w:r w:rsidR="00F3456F" w:rsidRPr="00DC03F7">
        <w:rPr>
          <w:rFonts w:ascii="Times New Roman" w:hAnsi="Times New Roman" w:cs="Times New Roman"/>
          <w:sz w:val="21"/>
          <w:szCs w:val="21"/>
          <w:lang w:val="es-ES"/>
        </w:rPr>
        <w:t xml:space="preserve">la violencia, </w:t>
      </w:r>
      <w:r w:rsidRPr="00DC03F7">
        <w:rPr>
          <w:rFonts w:ascii="Times New Roman" w:hAnsi="Times New Roman" w:cs="Times New Roman"/>
          <w:sz w:val="21"/>
          <w:szCs w:val="21"/>
          <w:lang w:val="es-ES"/>
        </w:rPr>
        <w:t>la discriminación y el abuso</w:t>
      </w:r>
      <w:r w:rsidRPr="00DC03F7">
        <w:rPr>
          <w:rStyle w:val="FootnoteReference"/>
          <w:rFonts w:ascii="Times New Roman" w:hAnsi="Times New Roman" w:cs="Times New Roman"/>
          <w:sz w:val="21"/>
          <w:szCs w:val="21"/>
          <w:lang w:val="es-ES"/>
        </w:rPr>
        <w:footnoteReference w:id="4"/>
      </w:r>
      <w:r w:rsidRPr="00DC03F7">
        <w:rPr>
          <w:rFonts w:ascii="Times New Roman" w:hAnsi="Times New Roman" w:cs="Times New Roman"/>
          <w:sz w:val="21"/>
          <w:szCs w:val="21"/>
          <w:lang w:val="es-ES"/>
        </w:rPr>
        <w:t xml:space="preserve">. </w:t>
      </w:r>
    </w:p>
    <w:p w14:paraId="6355DCE0" w14:textId="77777777" w:rsidR="00400AF1" w:rsidRPr="00DC03F7" w:rsidRDefault="00400AF1" w:rsidP="00E819C9">
      <w:pPr>
        <w:pStyle w:val="ListParagraph"/>
        <w:spacing w:line="276" w:lineRule="auto"/>
        <w:ind w:left="0"/>
        <w:jc w:val="both"/>
        <w:rPr>
          <w:rFonts w:ascii="Times New Roman" w:hAnsi="Times New Roman" w:cs="Times New Roman"/>
          <w:sz w:val="21"/>
          <w:szCs w:val="21"/>
          <w:lang w:val="es-ES"/>
        </w:rPr>
      </w:pPr>
    </w:p>
    <w:p w14:paraId="70077748" w14:textId="5229EA6F" w:rsidR="00400AF1" w:rsidRDefault="00810A8C" w:rsidP="00E819C9">
      <w:pPr>
        <w:pStyle w:val="ListParagraph"/>
        <w:numPr>
          <w:ilvl w:val="0"/>
          <w:numId w:val="9"/>
        </w:numPr>
        <w:spacing w:line="276" w:lineRule="auto"/>
        <w:ind w:left="0"/>
        <w:jc w:val="both"/>
        <w:rPr>
          <w:rFonts w:ascii="Times New Roman" w:hAnsi="Times New Roman" w:cs="Times New Roman"/>
          <w:sz w:val="21"/>
          <w:szCs w:val="21"/>
          <w:lang w:val="es-ES"/>
        </w:rPr>
      </w:pPr>
      <w:r w:rsidRPr="00DC03F7">
        <w:rPr>
          <w:rFonts w:ascii="Times New Roman" w:hAnsi="Times New Roman" w:cs="Times New Roman"/>
          <w:sz w:val="21"/>
          <w:szCs w:val="21"/>
          <w:lang w:val="es-ES"/>
        </w:rPr>
        <w:t>S</w:t>
      </w:r>
      <w:r w:rsidR="00400AF1" w:rsidRPr="00DC03F7">
        <w:rPr>
          <w:rFonts w:ascii="Times New Roman" w:hAnsi="Times New Roman" w:cs="Times New Roman"/>
          <w:sz w:val="21"/>
          <w:szCs w:val="21"/>
          <w:lang w:val="es-ES"/>
        </w:rPr>
        <w:t>i bien el Protocolo para Prevenir, Reprimir y Sancionar la trata de personas, especialmente mujeres y niños (Protocolo de Palermo</w:t>
      </w:r>
      <w:r w:rsidR="004C68B6">
        <w:rPr>
          <w:rFonts w:ascii="Times New Roman" w:hAnsi="Times New Roman" w:cs="Times New Roman"/>
          <w:sz w:val="21"/>
          <w:szCs w:val="21"/>
          <w:lang w:val="es-ES"/>
        </w:rPr>
        <w:t>, 2000</w:t>
      </w:r>
      <w:r w:rsidR="00400AF1" w:rsidRPr="00DC03F7">
        <w:rPr>
          <w:rFonts w:ascii="Times New Roman" w:hAnsi="Times New Roman" w:cs="Times New Roman"/>
          <w:sz w:val="21"/>
          <w:szCs w:val="21"/>
          <w:lang w:val="es-ES"/>
        </w:rPr>
        <w:t>) ha sido el instrumento internacional de referencia en este ámbito, éste tiene un enfoque de cooperación interestatal en la lucha contra crímenes trasnacionales, lo cual implica que se centra en la política criminal por encima de la protección de las víctimas, y que su ámbito de aplicación se circunscribe al delito de trata siempre y cuando ésta sea de carácter trasnacional y entrañe la participación de un grupo delictivo organizado</w:t>
      </w:r>
      <w:r w:rsidR="00400AF1" w:rsidRPr="00DC03F7">
        <w:rPr>
          <w:rStyle w:val="FootnoteReference"/>
          <w:rFonts w:ascii="Times New Roman" w:hAnsi="Times New Roman" w:cs="Times New Roman"/>
          <w:sz w:val="21"/>
          <w:szCs w:val="21"/>
          <w:lang w:val="es-ES"/>
        </w:rPr>
        <w:footnoteReference w:id="5"/>
      </w:r>
      <w:r w:rsidR="00400AF1" w:rsidRPr="00DC03F7">
        <w:rPr>
          <w:rFonts w:ascii="Times New Roman" w:hAnsi="Times New Roman" w:cs="Times New Roman"/>
          <w:sz w:val="21"/>
          <w:szCs w:val="21"/>
          <w:lang w:val="es-ES"/>
        </w:rPr>
        <w:t xml:space="preserve">. De ahí que </w:t>
      </w:r>
      <w:r w:rsidR="000C3313" w:rsidRPr="00DC03F7">
        <w:rPr>
          <w:rFonts w:ascii="Times New Roman" w:hAnsi="Times New Roman" w:cs="Times New Roman"/>
          <w:sz w:val="21"/>
          <w:szCs w:val="21"/>
          <w:lang w:val="es-ES"/>
        </w:rPr>
        <w:t xml:space="preserve">sea </w:t>
      </w:r>
      <w:r w:rsidR="00400AF1" w:rsidRPr="00DC03F7">
        <w:rPr>
          <w:rFonts w:ascii="Times New Roman" w:hAnsi="Times New Roman" w:cs="Times New Roman"/>
          <w:sz w:val="21"/>
          <w:szCs w:val="21"/>
          <w:lang w:val="es-ES"/>
        </w:rPr>
        <w:t>necesario un desarrollo armonizado con las obligaciones internacionales de los Estados en materia de protección de derechos humanos y</w:t>
      </w:r>
      <w:r w:rsidR="007E6F45">
        <w:rPr>
          <w:rFonts w:ascii="Times New Roman" w:hAnsi="Times New Roman" w:cs="Times New Roman"/>
          <w:sz w:val="21"/>
          <w:szCs w:val="21"/>
          <w:lang w:val="es-ES"/>
        </w:rPr>
        <w:t>,</w:t>
      </w:r>
      <w:r w:rsidR="00400AF1" w:rsidRPr="00DC03F7">
        <w:rPr>
          <w:rFonts w:ascii="Times New Roman" w:hAnsi="Times New Roman" w:cs="Times New Roman"/>
          <w:sz w:val="21"/>
          <w:szCs w:val="21"/>
          <w:lang w:val="es-ES"/>
        </w:rPr>
        <w:t xml:space="preserve"> en particular</w:t>
      </w:r>
      <w:r w:rsidR="007E6F45">
        <w:rPr>
          <w:rFonts w:ascii="Times New Roman" w:hAnsi="Times New Roman" w:cs="Times New Roman"/>
          <w:sz w:val="21"/>
          <w:szCs w:val="21"/>
          <w:lang w:val="es-ES"/>
        </w:rPr>
        <w:t>, con</w:t>
      </w:r>
      <w:r w:rsidR="00400AF1" w:rsidRPr="00DC03F7">
        <w:rPr>
          <w:rFonts w:ascii="Times New Roman" w:hAnsi="Times New Roman" w:cs="Times New Roman"/>
          <w:sz w:val="21"/>
          <w:szCs w:val="21"/>
          <w:lang w:val="es-ES"/>
        </w:rPr>
        <w:t xml:space="preserve"> la obligación reforzada de combatir por todos los medios la violencia contra la</w:t>
      </w:r>
      <w:r w:rsidR="008E269F" w:rsidRPr="00DC03F7">
        <w:rPr>
          <w:rFonts w:ascii="Times New Roman" w:hAnsi="Times New Roman" w:cs="Times New Roman"/>
          <w:sz w:val="21"/>
          <w:szCs w:val="21"/>
          <w:lang w:val="es-ES"/>
        </w:rPr>
        <w:t>s</w:t>
      </w:r>
      <w:r w:rsidR="00400AF1" w:rsidRPr="00DC03F7">
        <w:rPr>
          <w:rFonts w:ascii="Times New Roman" w:hAnsi="Times New Roman" w:cs="Times New Roman"/>
          <w:sz w:val="21"/>
          <w:szCs w:val="21"/>
          <w:lang w:val="es-ES"/>
        </w:rPr>
        <w:t xml:space="preserve"> mujer</w:t>
      </w:r>
      <w:r w:rsidR="008E269F" w:rsidRPr="00DC03F7">
        <w:rPr>
          <w:rFonts w:ascii="Times New Roman" w:hAnsi="Times New Roman" w:cs="Times New Roman"/>
          <w:sz w:val="21"/>
          <w:szCs w:val="21"/>
          <w:lang w:val="es-ES"/>
        </w:rPr>
        <w:t>es</w:t>
      </w:r>
      <w:r w:rsidR="00400AF1" w:rsidRPr="00DC03F7">
        <w:rPr>
          <w:rFonts w:ascii="Times New Roman" w:hAnsi="Times New Roman" w:cs="Times New Roman"/>
          <w:sz w:val="21"/>
          <w:szCs w:val="21"/>
          <w:lang w:val="es-ES"/>
        </w:rPr>
        <w:t xml:space="preserve"> y la discriminación que </w:t>
      </w:r>
      <w:r w:rsidR="004D472F" w:rsidRPr="00DC03F7">
        <w:rPr>
          <w:rFonts w:ascii="Times New Roman" w:hAnsi="Times New Roman" w:cs="Times New Roman"/>
          <w:sz w:val="21"/>
          <w:szCs w:val="21"/>
          <w:lang w:val="es-ES"/>
        </w:rPr>
        <w:t xml:space="preserve">impacta en sus </w:t>
      </w:r>
      <w:r w:rsidR="004D472F" w:rsidRPr="00DC03F7">
        <w:rPr>
          <w:rFonts w:ascii="Times New Roman" w:hAnsi="Times New Roman" w:cs="Times New Roman"/>
          <w:sz w:val="21"/>
          <w:szCs w:val="21"/>
          <w:lang w:val="es-ES"/>
        </w:rPr>
        <w:lastRenderedPageBreak/>
        <w:t>vidas y derechos</w:t>
      </w:r>
      <w:r w:rsidR="00400AF1" w:rsidRPr="00DC03F7">
        <w:rPr>
          <w:rFonts w:ascii="Times New Roman" w:hAnsi="Times New Roman" w:cs="Times New Roman"/>
          <w:sz w:val="21"/>
          <w:szCs w:val="21"/>
          <w:lang w:val="es-ES"/>
        </w:rPr>
        <w:t xml:space="preserve"> de manera desproporcionada.  Se trata de una lectura con enfoque de derechos humanos</w:t>
      </w:r>
      <w:r w:rsidR="004D472F" w:rsidRPr="00DC03F7">
        <w:rPr>
          <w:rFonts w:ascii="Times New Roman" w:hAnsi="Times New Roman" w:cs="Times New Roman"/>
          <w:sz w:val="21"/>
          <w:szCs w:val="21"/>
          <w:lang w:val="es-ES"/>
        </w:rPr>
        <w:t xml:space="preserve"> y con perspectiva de género</w:t>
      </w:r>
      <w:r w:rsidR="00400AF1" w:rsidRPr="00DC03F7">
        <w:rPr>
          <w:rFonts w:ascii="Times New Roman" w:hAnsi="Times New Roman" w:cs="Times New Roman"/>
          <w:sz w:val="21"/>
          <w:szCs w:val="21"/>
          <w:lang w:val="es-ES"/>
        </w:rPr>
        <w:t>, es decir, un “enfoque centrado en la víctima y [en] asegurar el respeto a sus derechos humanos, su seguridad y bienestar”</w:t>
      </w:r>
      <w:r w:rsidR="00400AF1" w:rsidRPr="00DC03F7">
        <w:rPr>
          <w:rStyle w:val="FootnoteReference"/>
          <w:rFonts w:ascii="Times New Roman" w:hAnsi="Times New Roman" w:cs="Times New Roman"/>
          <w:sz w:val="21"/>
          <w:szCs w:val="21"/>
          <w:lang w:val="es-ES"/>
        </w:rPr>
        <w:footnoteReference w:id="6"/>
      </w:r>
      <w:r w:rsidR="00400AF1" w:rsidRPr="00DC03F7">
        <w:rPr>
          <w:rFonts w:ascii="Times New Roman" w:hAnsi="Times New Roman" w:cs="Times New Roman"/>
          <w:sz w:val="21"/>
          <w:szCs w:val="21"/>
          <w:lang w:val="es-ES"/>
        </w:rPr>
        <w:t xml:space="preserve">. </w:t>
      </w:r>
    </w:p>
    <w:p w14:paraId="012C2F9E" w14:textId="77777777" w:rsidR="0069751C" w:rsidRPr="00425C1B" w:rsidRDefault="0069751C" w:rsidP="00425C1B">
      <w:pPr>
        <w:pStyle w:val="ListParagraph"/>
        <w:rPr>
          <w:rFonts w:ascii="Times New Roman" w:hAnsi="Times New Roman" w:cs="Times New Roman"/>
          <w:sz w:val="21"/>
          <w:szCs w:val="21"/>
          <w:lang w:val="es-ES"/>
        </w:rPr>
      </w:pPr>
    </w:p>
    <w:p w14:paraId="3A05C94E" w14:textId="4F51B1EA" w:rsidR="0069751C" w:rsidRPr="0069751C" w:rsidRDefault="00E52342" w:rsidP="0069751C">
      <w:pPr>
        <w:pStyle w:val="ListParagraph"/>
        <w:numPr>
          <w:ilvl w:val="0"/>
          <w:numId w:val="9"/>
        </w:numPr>
        <w:spacing w:line="276" w:lineRule="auto"/>
        <w:ind w:left="0"/>
        <w:jc w:val="both"/>
        <w:rPr>
          <w:rFonts w:ascii="Times New Roman" w:hAnsi="Times New Roman" w:cs="Times New Roman"/>
          <w:sz w:val="21"/>
          <w:szCs w:val="21"/>
          <w:lang w:val="es-ES"/>
        </w:rPr>
      </w:pPr>
      <w:r>
        <w:rPr>
          <w:rFonts w:ascii="Times New Roman" w:hAnsi="Times New Roman" w:cs="Times New Roman"/>
          <w:sz w:val="21"/>
          <w:szCs w:val="21"/>
          <w:lang w:val="es-ES"/>
        </w:rPr>
        <w:t xml:space="preserve">La trata de mujeres y niñas fue incluida por primera en un tratado de derechos humanos </w:t>
      </w:r>
      <w:r w:rsidR="004C68B6">
        <w:rPr>
          <w:rFonts w:ascii="Times New Roman" w:hAnsi="Times New Roman" w:cs="Times New Roman"/>
          <w:sz w:val="21"/>
          <w:szCs w:val="21"/>
          <w:lang w:val="es-ES"/>
        </w:rPr>
        <w:t xml:space="preserve">en 1979 </w:t>
      </w:r>
      <w:r>
        <w:rPr>
          <w:rFonts w:ascii="Times New Roman" w:hAnsi="Times New Roman" w:cs="Times New Roman"/>
          <w:sz w:val="21"/>
          <w:szCs w:val="21"/>
          <w:lang w:val="es-ES"/>
        </w:rPr>
        <w:t xml:space="preserve">a través del </w:t>
      </w:r>
      <w:r w:rsidR="0069751C">
        <w:rPr>
          <w:rFonts w:ascii="Times New Roman" w:hAnsi="Times New Roman" w:cs="Times New Roman"/>
          <w:sz w:val="21"/>
          <w:szCs w:val="21"/>
          <w:lang w:val="es-ES"/>
        </w:rPr>
        <w:t xml:space="preserve">artículo 6 de la Convención </w:t>
      </w:r>
      <w:r>
        <w:rPr>
          <w:rFonts w:ascii="Times New Roman" w:hAnsi="Times New Roman" w:cs="Times New Roman"/>
          <w:sz w:val="21"/>
          <w:szCs w:val="21"/>
          <w:lang w:val="es-ES"/>
        </w:rPr>
        <w:t>CEDAW</w:t>
      </w:r>
      <w:r w:rsidR="004C68B6">
        <w:rPr>
          <w:rFonts w:ascii="Times New Roman" w:hAnsi="Times New Roman" w:cs="Times New Roman"/>
          <w:sz w:val="21"/>
          <w:szCs w:val="21"/>
          <w:lang w:val="es-ES"/>
        </w:rPr>
        <w:t xml:space="preserve">. </w:t>
      </w:r>
      <w:r w:rsidR="006C4F87">
        <w:rPr>
          <w:rFonts w:ascii="Times New Roman" w:hAnsi="Times New Roman" w:cs="Times New Roman"/>
          <w:sz w:val="21"/>
          <w:szCs w:val="21"/>
          <w:lang w:val="es-ES"/>
        </w:rPr>
        <w:t>Para que los Estados cumplan e</w:t>
      </w:r>
      <w:r w:rsidR="004C68B6">
        <w:rPr>
          <w:rFonts w:ascii="Times New Roman" w:hAnsi="Times New Roman" w:cs="Times New Roman"/>
          <w:sz w:val="21"/>
          <w:szCs w:val="21"/>
          <w:lang w:val="es-ES"/>
        </w:rPr>
        <w:t xml:space="preserve">l mandato </w:t>
      </w:r>
      <w:r w:rsidR="008640BF">
        <w:rPr>
          <w:rFonts w:ascii="Times New Roman" w:hAnsi="Times New Roman" w:cs="Times New Roman"/>
          <w:sz w:val="21"/>
          <w:szCs w:val="21"/>
          <w:lang w:val="es-ES"/>
        </w:rPr>
        <w:t>contemplado en</w:t>
      </w:r>
      <w:r w:rsidR="00F00F21">
        <w:rPr>
          <w:rFonts w:ascii="Times New Roman" w:hAnsi="Times New Roman" w:cs="Times New Roman"/>
          <w:sz w:val="21"/>
          <w:szCs w:val="21"/>
          <w:lang w:val="es-ES"/>
        </w:rPr>
        <w:t xml:space="preserve"> </w:t>
      </w:r>
      <w:r w:rsidR="006C4F87">
        <w:rPr>
          <w:rFonts w:ascii="Times New Roman" w:hAnsi="Times New Roman" w:cs="Times New Roman"/>
          <w:sz w:val="21"/>
          <w:szCs w:val="21"/>
          <w:lang w:val="es-ES"/>
        </w:rPr>
        <w:t>la Convención</w:t>
      </w:r>
      <w:r w:rsidR="008640BF">
        <w:rPr>
          <w:rFonts w:ascii="Times New Roman" w:hAnsi="Times New Roman" w:cs="Times New Roman"/>
          <w:sz w:val="21"/>
          <w:szCs w:val="21"/>
          <w:lang w:val="es-ES"/>
        </w:rPr>
        <w:t>, consistente en adoptar</w:t>
      </w:r>
      <w:r w:rsidR="006C4F87">
        <w:rPr>
          <w:rFonts w:ascii="Times New Roman" w:hAnsi="Times New Roman" w:cs="Times New Roman"/>
          <w:sz w:val="21"/>
          <w:szCs w:val="21"/>
          <w:lang w:val="es-ES"/>
        </w:rPr>
        <w:t xml:space="preserve"> </w:t>
      </w:r>
      <w:r w:rsidR="008640BF">
        <w:rPr>
          <w:rFonts w:ascii="Times New Roman" w:hAnsi="Times New Roman" w:cs="Times New Roman"/>
          <w:sz w:val="21"/>
          <w:szCs w:val="21"/>
          <w:lang w:val="es-ES"/>
        </w:rPr>
        <w:t>“</w:t>
      </w:r>
      <w:r w:rsidR="008640BF" w:rsidRPr="008640BF">
        <w:rPr>
          <w:rFonts w:ascii="Times New Roman" w:hAnsi="Times New Roman" w:cs="Times New Roman"/>
          <w:sz w:val="21"/>
          <w:szCs w:val="21"/>
          <w:lang w:val="es-ES"/>
        </w:rPr>
        <w:t>todas las medidas apropiadas, incluso de carácter legislativo, para suprimir todas las formas de trata de mujeres</w:t>
      </w:r>
      <w:r w:rsidR="008640BF">
        <w:rPr>
          <w:rFonts w:ascii="Times New Roman" w:hAnsi="Times New Roman" w:cs="Times New Roman"/>
          <w:sz w:val="21"/>
          <w:szCs w:val="21"/>
          <w:lang w:val="es-ES"/>
        </w:rPr>
        <w:t>”</w:t>
      </w:r>
      <w:r w:rsidR="008203D1">
        <w:rPr>
          <w:rFonts w:ascii="Times New Roman" w:hAnsi="Times New Roman" w:cs="Times New Roman"/>
          <w:sz w:val="21"/>
          <w:szCs w:val="21"/>
          <w:lang w:val="es-ES"/>
        </w:rPr>
        <w:t xml:space="preserve">, la actuación penal </w:t>
      </w:r>
      <w:r w:rsidR="00852F2C">
        <w:rPr>
          <w:rFonts w:ascii="Times New Roman" w:hAnsi="Times New Roman" w:cs="Times New Roman"/>
          <w:sz w:val="21"/>
          <w:szCs w:val="21"/>
          <w:lang w:val="es-ES"/>
        </w:rPr>
        <w:t>dirigida a</w:t>
      </w:r>
      <w:r w:rsidR="00EF3B3F">
        <w:rPr>
          <w:rFonts w:ascii="Times New Roman" w:hAnsi="Times New Roman" w:cs="Times New Roman"/>
          <w:sz w:val="21"/>
          <w:szCs w:val="21"/>
          <w:lang w:val="es-ES"/>
        </w:rPr>
        <w:t xml:space="preserve"> la persecución del delito es un elemento </w:t>
      </w:r>
      <w:r w:rsidR="00795F89">
        <w:rPr>
          <w:rFonts w:ascii="Times New Roman" w:hAnsi="Times New Roman" w:cs="Times New Roman"/>
          <w:sz w:val="21"/>
          <w:szCs w:val="21"/>
          <w:lang w:val="es-ES"/>
        </w:rPr>
        <w:t>importante,</w:t>
      </w:r>
      <w:r w:rsidR="00EF3B3F">
        <w:rPr>
          <w:rFonts w:ascii="Times New Roman" w:hAnsi="Times New Roman" w:cs="Times New Roman"/>
          <w:sz w:val="21"/>
          <w:szCs w:val="21"/>
          <w:lang w:val="es-ES"/>
        </w:rPr>
        <w:t xml:space="preserve"> pero a todas luces insuficiente. </w:t>
      </w:r>
      <w:r w:rsidR="00E20471">
        <w:rPr>
          <w:rFonts w:ascii="Times New Roman" w:hAnsi="Times New Roman" w:cs="Times New Roman"/>
          <w:sz w:val="21"/>
          <w:szCs w:val="21"/>
          <w:lang w:val="es-ES"/>
        </w:rPr>
        <w:t xml:space="preserve">La prevención </w:t>
      </w:r>
      <w:r w:rsidR="008578D2">
        <w:rPr>
          <w:rFonts w:ascii="Times New Roman" w:hAnsi="Times New Roman" w:cs="Times New Roman"/>
          <w:sz w:val="21"/>
          <w:szCs w:val="21"/>
          <w:lang w:val="es-ES"/>
        </w:rPr>
        <w:t xml:space="preserve">de las causas que generan vulnerabilidad a la trata, </w:t>
      </w:r>
      <w:r w:rsidR="00F4654B">
        <w:rPr>
          <w:rFonts w:ascii="Times New Roman" w:hAnsi="Times New Roman" w:cs="Times New Roman"/>
          <w:sz w:val="21"/>
          <w:szCs w:val="21"/>
          <w:lang w:val="es-ES"/>
        </w:rPr>
        <w:t>la identificación temprana y efectiva de situaciones de trata y explotación</w:t>
      </w:r>
      <w:r w:rsidR="00C82D64">
        <w:rPr>
          <w:rFonts w:ascii="Times New Roman" w:hAnsi="Times New Roman" w:cs="Times New Roman"/>
          <w:sz w:val="21"/>
          <w:szCs w:val="21"/>
          <w:lang w:val="es-ES"/>
        </w:rPr>
        <w:t xml:space="preserve">, </w:t>
      </w:r>
      <w:r w:rsidR="00091233">
        <w:rPr>
          <w:rFonts w:ascii="Times New Roman" w:hAnsi="Times New Roman" w:cs="Times New Roman"/>
          <w:sz w:val="21"/>
          <w:szCs w:val="21"/>
          <w:lang w:val="es-ES"/>
        </w:rPr>
        <w:t xml:space="preserve">la protección de las víctimas y su </w:t>
      </w:r>
      <w:r w:rsidR="00E20471">
        <w:rPr>
          <w:rFonts w:ascii="Times New Roman" w:hAnsi="Times New Roman" w:cs="Times New Roman"/>
          <w:sz w:val="21"/>
          <w:szCs w:val="21"/>
          <w:lang w:val="es-ES"/>
        </w:rPr>
        <w:t xml:space="preserve">acceso </w:t>
      </w:r>
      <w:r w:rsidR="00091233">
        <w:rPr>
          <w:rFonts w:ascii="Times New Roman" w:hAnsi="Times New Roman" w:cs="Times New Roman"/>
          <w:sz w:val="21"/>
          <w:szCs w:val="21"/>
          <w:lang w:val="es-ES"/>
        </w:rPr>
        <w:t xml:space="preserve">a la justicia y a la reparación de sus derechos </w:t>
      </w:r>
      <w:r w:rsidR="00EE3DD9">
        <w:rPr>
          <w:rFonts w:ascii="Times New Roman" w:hAnsi="Times New Roman" w:cs="Times New Roman"/>
          <w:sz w:val="21"/>
          <w:szCs w:val="21"/>
          <w:lang w:val="es-ES"/>
        </w:rPr>
        <w:t xml:space="preserve">son elementos </w:t>
      </w:r>
      <w:r w:rsidR="00F4654B">
        <w:rPr>
          <w:rFonts w:ascii="Times New Roman" w:hAnsi="Times New Roman" w:cs="Times New Roman"/>
          <w:sz w:val="21"/>
          <w:szCs w:val="21"/>
          <w:lang w:val="es-ES"/>
        </w:rPr>
        <w:t xml:space="preserve">fundamentales </w:t>
      </w:r>
      <w:r w:rsidR="00C82D64">
        <w:rPr>
          <w:rFonts w:ascii="Times New Roman" w:hAnsi="Times New Roman" w:cs="Times New Roman"/>
          <w:sz w:val="21"/>
          <w:szCs w:val="21"/>
          <w:lang w:val="es-ES"/>
        </w:rPr>
        <w:t xml:space="preserve">de la acción de los Estados contra la trata. </w:t>
      </w:r>
      <w:r w:rsidR="00F219B0">
        <w:rPr>
          <w:rFonts w:ascii="Times New Roman" w:hAnsi="Times New Roman" w:cs="Times New Roman"/>
          <w:sz w:val="21"/>
          <w:szCs w:val="21"/>
          <w:lang w:val="es-ES"/>
        </w:rPr>
        <w:t xml:space="preserve">Esta visión holística de la trata </w:t>
      </w:r>
      <w:r w:rsidR="00C57AB4">
        <w:rPr>
          <w:rFonts w:ascii="Times New Roman" w:hAnsi="Times New Roman" w:cs="Times New Roman"/>
          <w:sz w:val="21"/>
          <w:szCs w:val="21"/>
          <w:lang w:val="es-ES"/>
        </w:rPr>
        <w:t xml:space="preserve">como una vulneración de derechos humanos que otorga un lugar central a los derechos de las víctimas </w:t>
      </w:r>
      <w:r w:rsidR="00F219B0">
        <w:rPr>
          <w:rFonts w:ascii="Times New Roman" w:hAnsi="Times New Roman" w:cs="Times New Roman"/>
          <w:sz w:val="21"/>
          <w:szCs w:val="21"/>
          <w:lang w:val="es-ES"/>
        </w:rPr>
        <w:t xml:space="preserve">es recogida en los </w:t>
      </w:r>
      <w:r w:rsidR="00F219B0" w:rsidRPr="00F219B0">
        <w:rPr>
          <w:rFonts w:ascii="Times New Roman" w:hAnsi="Times New Roman" w:cs="Times New Roman"/>
          <w:sz w:val="21"/>
          <w:szCs w:val="21"/>
          <w:lang w:val="es-ES"/>
        </w:rPr>
        <w:t>Principios y Directrices recomendados sobre los derechos</w:t>
      </w:r>
      <w:r w:rsidR="00DC6658">
        <w:rPr>
          <w:rFonts w:ascii="Times New Roman" w:hAnsi="Times New Roman" w:cs="Times New Roman"/>
          <w:sz w:val="21"/>
          <w:szCs w:val="21"/>
          <w:lang w:val="es-ES"/>
        </w:rPr>
        <w:t xml:space="preserve"> </w:t>
      </w:r>
      <w:r w:rsidR="00F219B0" w:rsidRPr="00F219B0">
        <w:rPr>
          <w:rFonts w:ascii="Times New Roman" w:hAnsi="Times New Roman" w:cs="Times New Roman"/>
          <w:sz w:val="21"/>
          <w:szCs w:val="21"/>
          <w:lang w:val="es-ES"/>
        </w:rPr>
        <w:t>humanos y la trata de personas</w:t>
      </w:r>
      <w:r w:rsidR="00DC6658">
        <w:rPr>
          <w:rFonts w:ascii="Times New Roman" w:hAnsi="Times New Roman" w:cs="Times New Roman"/>
          <w:sz w:val="21"/>
          <w:szCs w:val="21"/>
          <w:lang w:val="es-ES"/>
        </w:rPr>
        <w:t xml:space="preserve"> </w:t>
      </w:r>
      <w:r w:rsidR="00904D3B">
        <w:rPr>
          <w:rFonts w:ascii="Times New Roman" w:hAnsi="Times New Roman" w:cs="Times New Roman"/>
          <w:sz w:val="21"/>
          <w:szCs w:val="21"/>
          <w:lang w:val="es-ES"/>
        </w:rPr>
        <w:t>d</w:t>
      </w:r>
      <w:r w:rsidR="00904D3B" w:rsidRPr="00904D3B">
        <w:rPr>
          <w:rFonts w:ascii="Times New Roman" w:hAnsi="Times New Roman" w:cs="Times New Roman"/>
          <w:sz w:val="21"/>
          <w:szCs w:val="21"/>
          <w:lang w:val="es-ES"/>
        </w:rPr>
        <w:t>el Alto Comisionado de las Naciones Unidas para</w:t>
      </w:r>
      <w:r w:rsidR="00904D3B">
        <w:rPr>
          <w:rFonts w:ascii="Times New Roman" w:hAnsi="Times New Roman" w:cs="Times New Roman"/>
          <w:sz w:val="21"/>
          <w:szCs w:val="21"/>
          <w:lang w:val="es-ES"/>
        </w:rPr>
        <w:t xml:space="preserve"> </w:t>
      </w:r>
      <w:r w:rsidR="00904D3B" w:rsidRPr="00904D3B">
        <w:rPr>
          <w:rFonts w:ascii="Times New Roman" w:hAnsi="Times New Roman" w:cs="Times New Roman"/>
          <w:sz w:val="21"/>
          <w:szCs w:val="21"/>
          <w:lang w:val="es-ES"/>
        </w:rPr>
        <w:t>los Derechos Humanos</w:t>
      </w:r>
      <w:r w:rsidR="00904D3B">
        <w:rPr>
          <w:rFonts w:ascii="Times New Roman" w:hAnsi="Times New Roman" w:cs="Times New Roman"/>
          <w:sz w:val="21"/>
          <w:szCs w:val="21"/>
          <w:lang w:val="es-ES"/>
        </w:rPr>
        <w:t xml:space="preserve">, así como </w:t>
      </w:r>
      <w:r w:rsidR="00904D3B">
        <w:rPr>
          <w:rFonts w:ascii="Times New Roman" w:hAnsi="Times New Roman" w:cs="Times New Roman"/>
          <w:sz w:val="21"/>
          <w:szCs w:val="21"/>
          <w:lang w:val="es-ES"/>
        </w:rPr>
        <w:lastRenderedPageBreak/>
        <w:t xml:space="preserve">en </w:t>
      </w:r>
      <w:r w:rsidR="00C57AB4">
        <w:rPr>
          <w:rFonts w:ascii="Times New Roman" w:hAnsi="Times New Roman" w:cs="Times New Roman"/>
          <w:sz w:val="21"/>
          <w:szCs w:val="21"/>
          <w:lang w:val="es-ES"/>
        </w:rPr>
        <w:t xml:space="preserve">el </w:t>
      </w:r>
      <w:r w:rsidR="00C57AB4" w:rsidRPr="00C57AB4">
        <w:rPr>
          <w:rFonts w:ascii="Times New Roman" w:hAnsi="Times New Roman" w:cs="Times New Roman"/>
          <w:sz w:val="21"/>
          <w:szCs w:val="21"/>
          <w:lang w:val="es-ES"/>
        </w:rPr>
        <w:t>Plan de Acción Mundial de las Naciones Unidas para combatir la trata de personas</w:t>
      </w:r>
      <w:r w:rsidR="002E5C36">
        <w:rPr>
          <w:rFonts w:ascii="Times New Roman" w:hAnsi="Times New Roman" w:cs="Times New Roman"/>
          <w:sz w:val="21"/>
          <w:szCs w:val="21"/>
          <w:lang w:val="es-ES"/>
        </w:rPr>
        <w:t xml:space="preserve"> aprobado por la Asamblea General</w:t>
      </w:r>
      <w:r w:rsidR="002E5C36">
        <w:rPr>
          <w:rStyle w:val="FootnoteReference"/>
          <w:rFonts w:ascii="Times New Roman" w:hAnsi="Times New Roman" w:cs="Times New Roman"/>
          <w:sz w:val="21"/>
          <w:szCs w:val="21"/>
          <w:lang w:val="es-ES"/>
        </w:rPr>
        <w:footnoteReference w:id="7"/>
      </w:r>
      <w:r w:rsidR="002E5C36">
        <w:rPr>
          <w:rFonts w:ascii="Times New Roman" w:hAnsi="Times New Roman" w:cs="Times New Roman"/>
          <w:sz w:val="21"/>
          <w:szCs w:val="21"/>
          <w:lang w:val="es-ES"/>
        </w:rPr>
        <w:t xml:space="preserve">. </w:t>
      </w:r>
    </w:p>
    <w:p w14:paraId="6977F34C" w14:textId="77777777" w:rsidR="00400AF1" w:rsidRPr="00DC03F7" w:rsidRDefault="00400AF1" w:rsidP="00E819C9">
      <w:pPr>
        <w:pStyle w:val="ListParagraph"/>
        <w:spacing w:line="276" w:lineRule="auto"/>
        <w:ind w:left="0"/>
        <w:jc w:val="both"/>
        <w:rPr>
          <w:rFonts w:ascii="Times New Roman" w:hAnsi="Times New Roman" w:cs="Times New Roman"/>
          <w:sz w:val="21"/>
          <w:szCs w:val="21"/>
          <w:lang w:val="es-ES"/>
        </w:rPr>
      </w:pPr>
    </w:p>
    <w:p w14:paraId="39BDAB69" w14:textId="6C7509EE" w:rsidR="00400AF1" w:rsidRPr="00DC03F7" w:rsidRDefault="000160D2" w:rsidP="00E819C9">
      <w:pPr>
        <w:pStyle w:val="ListParagraph"/>
        <w:numPr>
          <w:ilvl w:val="0"/>
          <w:numId w:val="9"/>
        </w:numPr>
        <w:spacing w:line="276" w:lineRule="auto"/>
        <w:ind w:left="0"/>
        <w:jc w:val="both"/>
        <w:rPr>
          <w:rFonts w:ascii="Times New Roman" w:hAnsi="Times New Roman" w:cs="Times New Roman"/>
          <w:sz w:val="21"/>
          <w:szCs w:val="21"/>
          <w:lang w:val="es-ES"/>
        </w:rPr>
      </w:pPr>
      <w:r w:rsidRPr="00DC03F7">
        <w:rPr>
          <w:rFonts w:ascii="Times New Roman" w:hAnsi="Times New Roman" w:cs="Times New Roman"/>
          <w:sz w:val="21"/>
          <w:szCs w:val="21"/>
          <w:lang w:val="es-ES"/>
        </w:rPr>
        <w:t>E</w:t>
      </w:r>
      <w:r w:rsidR="00400AF1" w:rsidRPr="00DC03F7">
        <w:rPr>
          <w:rFonts w:ascii="Times New Roman" w:hAnsi="Times New Roman" w:cs="Times New Roman"/>
          <w:sz w:val="21"/>
          <w:szCs w:val="21"/>
          <w:lang w:val="es-ES"/>
        </w:rPr>
        <w:t xml:space="preserve">s </w:t>
      </w:r>
      <w:r w:rsidR="00A75535" w:rsidRPr="00DC03F7">
        <w:rPr>
          <w:rFonts w:ascii="Times New Roman" w:hAnsi="Times New Roman" w:cs="Times New Roman"/>
          <w:sz w:val="21"/>
          <w:szCs w:val="21"/>
          <w:lang w:val="es-ES"/>
        </w:rPr>
        <w:t xml:space="preserve">necesario </w:t>
      </w:r>
      <w:r w:rsidR="00400AF1" w:rsidRPr="00DC03F7">
        <w:rPr>
          <w:rFonts w:ascii="Times New Roman" w:hAnsi="Times New Roman" w:cs="Times New Roman"/>
          <w:sz w:val="21"/>
          <w:szCs w:val="21"/>
          <w:lang w:val="es-ES"/>
        </w:rPr>
        <w:t xml:space="preserve">que los Estados implementen todas las medidas </w:t>
      </w:r>
      <w:r w:rsidRPr="00DC03F7">
        <w:rPr>
          <w:rFonts w:ascii="Times New Roman" w:hAnsi="Times New Roman" w:cs="Times New Roman"/>
          <w:sz w:val="21"/>
          <w:szCs w:val="21"/>
          <w:lang w:val="es-ES"/>
        </w:rPr>
        <w:t xml:space="preserve">a su alcance </w:t>
      </w:r>
      <w:r w:rsidR="00400AF1" w:rsidRPr="00DC03F7">
        <w:rPr>
          <w:rFonts w:ascii="Times New Roman" w:hAnsi="Times New Roman" w:cs="Times New Roman"/>
          <w:sz w:val="21"/>
          <w:szCs w:val="21"/>
          <w:lang w:val="es-ES"/>
        </w:rPr>
        <w:t>para abordar la</w:t>
      </w:r>
      <w:r w:rsidR="009A49D5" w:rsidRPr="00DC03F7">
        <w:rPr>
          <w:rFonts w:ascii="Times New Roman" w:hAnsi="Times New Roman" w:cs="Times New Roman"/>
          <w:sz w:val="21"/>
          <w:szCs w:val="21"/>
          <w:lang w:val="es-ES"/>
        </w:rPr>
        <w:t xml:space="preserve"> desigualdad y la</w:t>
      </w:r>
      <w:r w:rsidR="00A75535" w:rsidRPr="00DC03F7">
        <w:rPr>
          <w:rFonts w:ascii="Times New Roman" w:hAnsi="Times New Roman" w:cs="Times New Roman"/>
          <w:sz w:val="21"/>
          <w:szCs w:val="21"/>
          <w:lang w:val="es-ES"/>
        </w:rPr>
        <w:t xml:space="preserve"> discriminación </w:t>
      </w:r>
      <w:r w:rsidR="00F72D07" w:rsidRPr="00DC03F7">
        <w:rPr>
          <w:rFonts w:ascii="Times New Roman" w:hAnsi="Times New Roman" w:cs="Times New Roman"/>
          <w:sz w:val="21"/>
          <w:szCs w:val="21"/>
          <w:lang w:val="es-ES"/>
        </w:rPr>
        <w:t xml:space="preserve">estructurales </w:t>
      </w:r>
      <w:r w:rsidR="00A75535" w:rsidRPr="00DC03F7">
        <w:rPr>
          <w:rFonts w:ascii="Times New Roman" w:hAnsi="Times New Roman" w:cs="Times New Roman"/>
          <w:sz w:val="21"/>
          <w:szCs w:val="21"/>
          <w:lang w:val="es-ES"/>
        </w:rPr>
        <w:t xml:space="preserve">que </w:t>
      </w:r>
      <w:r w:rsidR="009A49D5" w:rsidRPr="00DC03F7">
        <w:rPr>
          <w:rFonts w:ascii="Times New Roman" w:hAnsi="Times New Roman" w:cs="Times New Roman"/>
          <w:sz w:val="21"/>
          <w:szCs w:val="21"/>
          <w:lang w:val="es-ES"/>
        </w:rPr>
        <w:t xml:space="preserve">impiden a las mujeres y las niñas el acceso a sus derechos </w:t>
      </w:r>
      <w:r w:rsidR="00A75535" w:rsidRPr="00DC03F7">
        <w:rPr>
          <w:rFonts w:ascii="Times New Roman" w:hAnsi="Times New Roman" w:cs="Times New Roman"/>
          <w:sz w:val="21"/>
          <w:szCs w:val="21"/>
          <w:lang w:val="es-ES"/>
        </w:rPr>
        <w:t xml:space="preserve">económicos, sociales y culturales </w:t>
      </w:r>
      <w:r w:rsidR="00400AF1" w:rsidRPr="00DC03F7">
        <w:rPr>
          <w:rFonts w:ascii="Times New Roman" w:hAnsi="Times New Roman" w:cs="Times New Roman"/>
          <w:sz w:val="21"/>
          <w:szCs w:val="21"/>
          <w:lang w:val="es-ES"/>
        </w:rPr>
        <w:t>como una forma de prevenir eficazmente l</w:t>
      </w:r>
      <w:r w:rsidR="00F72D07" w:rsidRPr="00DC03F7">
        <w:rPr>
          <w:rFonts w:ascii="Times New Roman" w:hAnsi="Times New Roman" w:cs="Times New Roman"/>
          <w:sz w:val="21"/>
          <w:szCs w:val="21"/>
          <w:lang w:val="es-ES"/>
        </w:rPr>
        <w:t>o</w:t>
      </w:r>
      <w:r w:rsidR="00400AF1" w:rsidRPr="00DC03F7">
        <w:rPr>
          <w:rFonts w:ascii="Times New Roman" w:hAnsi="Times New Roman" w:cs="Times New Roman"/>
          <w:sz w:val="21"/>
          <w:szCs w:val="21"/>
          <w:lang w:val="es-ES"/>
        </w:rPr>
        <w:t>s</w:t>
      </w:r>
      <w:r w:rsidR="00F72D07" w:rsidRPr="00DC03F7">
        <w:rPr>
          <w:rFonts w:ascii="Times New Roman" w:hAnsi="Times New Roman" w:cs="Times New Roman"/>
          <w:sz w:val="21"/>
          <w:szCs w:val="21"/>
          <w:lang w:val="es-ES"/>
        </w:rPr>
        <w:t xml:space="preserve"> factores que </w:t>
      </w:r>
      <w:r w:rsidR="00FB04A0" w:rsidRPr="00DC03F7">
        <w:rPr>
          <w:rFonts w:ascii="Times New Roman" w:hAnsi="Times New Roman" w:cs="Times New Roman"/>
          <w:sz w:val="21"/>
          <w:szCs w:val="21"/>
          <w:lang w:val="es-ES"/>
        </w:rPr>
        <w:t xml:space="preserve">las hacen vulnerables a </w:t>
      </w:r>
      <w:r w:rsidR="00400AF1" w:rsidRPr="00DC03F7">
        <w:rPr>
          <w:rFonts w:ascii="Times New Roman" w:hAnsi="Times New Roman" w:cs="Times New Roman"/>
          <w:sz w:val="21"/>
          <w:szCs w:val="21"/>
          <w:lang w:val="es-ES"/>
        </w:rPr>
        <w:t xml:space="preserve">la trata y </w:t>
      </w:r>
      <w:r w:rsidR="004A740A" w:rsidRPr="00DC03F7">
        <w:rPr>
          <w:rFonts w:ascii="Times New Roman" w:hAnsi="Times New Roman" w:cs="Times New Roman"/>
          <w:sz w:val="21"/>
          <w:szCs w:val="21"/>
          <w:lang w:val="es-ES"/>
        </w:rPr>
        <w:t xml:space="preserve">para </w:t>
      </w:r>
      <w:r w:rsidR="00400AF1" w:rsidRPr="00DC03F7">
        <w:rPr>
          <w:rFonts w:ascii="Times New Roman" w:hAnsi="Times New Roman" w:cs="Times New Roman"/>
          <w:sz w:val="21"/>
          <w:szCs w:val="21"/>
          <w:lang w:val="es-ES"/>
        </w:rPr>
        <w:t>proteger</w:t>
      </w:r>
      <w:r w:rsidR="004A740A" w:rsidRPr="00DC03F7">
        <w:rPr>
          <w:rFonts w:ascii="Times New Roman" w:hAnsi="Times New Roman" w:cs="Times New Roman"/>
          <w:sz w:val="21"/>
          <w:szCs w:val="21"/>
          <w:lang w:val="es-ES"/>
        </w:rPr>
        <w:t>las</w:t>
      </w:r>
      <w:r w:rsidR="00400AF1" w:rsidRPr="00DC03F7">
        <w:rPr>
          <w:rFonts w:ascii="Times New Roman" w:hAnsi="Times New Roman" w:cs="Times New Roman"/>
          <w:sz w:val="21"/>
          <w:szCs w:val="21"/>
          <w:lang w:val="es-ES"/>
        </w:rPr>
        <w:t xml:space="preserve"> de ésta. De esta forma, la obligación </w:t>
      </w:r>
      <w:r w:rsidR="00E8126E" w:rsidRPr="00DC03F7">
        <w:rPr>
          <w:rFonts w:ascii="Times New Roman" w:hAnsi="Times New Roman" w:cs="Times New Roman"/>
          <w:sz w:val="21"/>
          <w:szCs w:val="21"/>
          <w:lang w:val="es-ES"/>
        </w:rPr>
        <w:t>‘</w:t>
      </w:r>
      <w:r w:rsidR="00400AF1" w:rsidRPr="00DC03F7">
        <w:rPr>
          <w:rFonts w:ascii="Times New Roman" w:hAnsi="Times New Roman" w:cs="Times New Roman"/>
          <w:sz w:val="21"/>
          <w:szCs w:val="21"/>
          <w:lang w:val="es-ES"/>
        </w:rPr>
        <w:t>positiva</w:t>
      </w:r>
      <w:r w:rsidR="00E8126E" w:rsidRPr="00DC03F7">
        <w:rPr>
          <w:rFonts w:ascii="Times New Roman" w:hAnsi="Times New Roman" w:cs="Times New Roman"/>
          <w:sz w:val="21"/>
          <w:szCs w:val="21"/>
          <w:lang w:val="es-ES"/>
        </w:rPr>
        <w:t>’</w:t>
      </w:r>
      <w:r w:rsidR="00400AF1" w:rsidRPr="00DC03F7">
        <w:rPr>
          <w:rFonts w:ascii="Times New Roman" w:hAnsi="Times New Roman" w:cs="Times New Roman"/>
          <w:sz w:val="21"/>
          <w:szCs w:val="21"/>
          <w:lang w:val="es-ES"/>
        </w:rPr>
        <w:t xml:space="preserve"> que tienen los Estados de garantizar el disfrute de los derechos humanos, cobra especial relevancia pues es necesario que tomen medidas activas, especialmente en el ámbito de prevención, protección y reparación integral para las víctimas, más allá de la persecución y castigo a los responsables. </w:t>
      </w:r>
      <w:r w:rsidR="00400AF1" w:rsidRPr="00DC03F7">
        <w:rPr>
          <w:rFonts w:ascii="Times New Roman" w:hAnsi="Times New Roman" w:cs="Times New Roman"/>
          <w:color w:val="000000" w:themeColor="text1"/>
          <w:sz w:val="21"/>
          <w:szCs w:val="21"/>
          <w:lang w:val="es-ES"/>
        </w:rPr>
        <w:t xml:space="preserve">Sobre estas obligaciones específicas se abordará el análisis en las secciones siguientes. </w:t>
      </w:r>
    </w:p>
    <w:p w14:paraId="3C65BE33" w14:textId="77777777" w:rsidR="00400AF1" w:rsidRPr="00DC03F7" w:rsidRDefault="00400AF1" w:rsidP="00E819C9">
      <w:pPr>
        <w:spacing w:line="276" w:lineRule="auto"/>
        <w:rPr>
          <w:b/>
          <w:sz w:val="21"/>
          <w:szCs w:val="21"/>
          <w:highlight w:val="yellow"/>
        </w:rPr>
      </w:pPr>
    </w:p>
    <w:p w14:paraId="263E8950" w14:textId="77777777" w:rsidR="0069545C" w:rsidRPr="00DC03F7" w:rsidRDefault="00D30871" w:rsidP="00E819C9">
      <w:pPr>
        <w:pStyle w:val="ListParagraph"/>
        <w:numPr>
          <w:ilvl w:val="0"/>
          <w:numId w:val="1"/>
        </w:numPr>
        <w:spacing w:line="276" w:lineRule="auto"/>
        <w:ind w:left="0"/>
        <w:rPr>
          <w:rFonts w:ascii="Times New Roman" w:hAnsi="Times New Roman" w:cs="Times New Roman"/>
          <w:sz w:val="21"/>
          <w:szCs w:val="21"/>
          <w:lang w:val="es-ES"/>
        </w:rPr>
      </w:pPr>
      <w:r w:rsidRPr="00DC03F7">
        <w:rPr>
          <w:rFonts w:ascii="Times New Roman" w:hAnsi="Times New Roman" w:cs="Times New Roman"/>
          <w:b/>
          <w:sz w:val="21"/>
          <w:szCs w:val="21"/>
          <w:lang w:val="es-ES"/>
        </w:rPr>
        <w:t>A</w:t>
      </w:r>
      <w:r w:rsidR="00400AF1" w:rsidRPr="00DC03F7">
        <w:rPr>
          <w:rFonts w:ascii="Times New Roman" w:hAnsi="Times New Roman" w:cs="Times New Roman"/>
          <w:b/>
          <w:sz w:val="21"/>
          <w:szCs w:val="21"/>
          <w:lang w:val="es-ES"/>
        </w:rPr>
        <w:t>CCESO A LA JUSTICIA</w:t>
      </w:r>
    </w:p>
    <w:p w14:paraId="48269349" w14:textId="77777777" w:rsidR="00400AF1" w:rsidRPr="00DC03F7" w:rsidRDefault="00400AF1" w:rsidP="00E819C9">
      <w:pPr>
        <w:pStyle w:val="ListParagraph"/>
        <w:spacing w:line="276" w:lineRule="auto"/>
        <w:ind w:left="0"/>
        <w:rPr>
          <w:rFonts w:ascii="Times New Roman" w:hAnsi="Times New Roman" w:cs="Times New Roman"/>
          <w:sz w:val="21"/>
          <w:szCs w:val="21"/>
          <w:lang w:val="es-ES"/>
        </w:rPr>
      </w:pPr>
    </w:p>
    <w:p w14:paraId="0AED2D77" w14:textId="77777777" w:rsidR="00D30871" w:rsidRPr="00DC03F7" w:rsidRDefault="00D30871" w:rsidP="00DB4704">
      <w:pPr>
        <w:spacing w:line="276" w:lineRule="auto"/>
        <w:ind w:firstLine="708"/>
        <w:jc w:val="both"/>
        <w:rPr>
          <w:b/>
          <w:i/>
          <w:sz w:val="21"/>
          <w:szCs w:val="21"/>
        </w:rPr>
      </w:pPr>
      <w:r w:rsidRPr="00DC03F7">
        <w:rPr>
          <w:b/>
          <w:i/>
          <w:sz w:val="21"/>
          <w:szCs w:val="21"/>
        </w:rPr>
        <w:t>Sobre la obligación de Identificación</w:t>
      </w:r>
      <w:r w:rsidR="00DB4704" w:rsidRPr="00DC03F7">
        <w:rPr>
          <w:b/>
          <w:i/>
          <w:sz w:val="21"/>
          <w:szCs w:val="21"/>
        </w:rPr>
        <w:t>. -</w:t>
      </w:r>
    </w:p>
    <w:p w14:paraId="47F5EED2" w14:textId="77777777" w:rsidR="00AA1BFA" w:rsidRPr="00DC03F7" w:rsidRDefault="00AA1BFA" w:rsidP="00E819C9">
      <w:pPr>
        <w:spacing w:line="276" w:lineRule="auto"/>
        <w:rPr>
          <w:sz w:val="21"/>
          <w:szCs w:val="21"/>
        </w:rPr>
      </w:pPr>
    </w:p>
    <w:p w14:paraId="40D7B7CB" w14:textId="5652B226" w:rsidR="00F3230C" w:rsidRPr="00DC03F7" w:rsidRDefault="009425E8" w:rsidP="00E819C9">
      <w:pPr>
        <w:pStyle w:val="ListParagraph"/>
        <w:numPr>
          <w:ilvl w:val="0"/>
          <w:numId w:val="9"/>
        </w:numPr>
        <w:spacing w:line="276" w:lineRule="auto"/>
        <w:ind w:left="0"/>
        <w:jc w:val="both"/>
        <w:rPr>
          <w:rFonts w:ascii="Times New Roman" w:eastAsia="Times New Roman" w:hAnsi="Times New Roman" w:cs="Times New Roman"/>
          <w:sz w:val="21"/>
          <w:szCs w:val="21"/>
        </w:rPr>
      </w:pPr>
      <w:r w:rsidRPr="00DC03F7">
        <w:rPr>
          <w:rFonts w:ascii="Times New Roman" w:eastAsia="Times New Roman" w:hAnsi="Times New Roman" w:cs="Times New Roman"/>
          <w:sz w:val="21"/>
          <w:szCs w:val="21"/>
          <w:lang w:val="es-ES" w:eastAsia="es-ES_tradnl"/>
        </w:rPr>
        <w:lastRenderedPageBreak/>
        <w:t xml:space="preserve">La Recomendación General No. 35 del Comité </w:t>
      </w:r>
      <w:r w:rsidR="001E6999" w:rsidRPr="00DC03F7">
        <w:rPr>
          <w:rFonts w:ascii="Times New Roman" w:eastAsia="Times New Roman" w:hAnsi="Times New Roman" w:cs="Times New Roman"/>
          <w:sz w:val="21"/>
          <w:szCs w:val="21"/>
          <w:lang w:val="es-ES" w:eastAsia="es-ES_tradnl"/>
        </w:rPr>
        <w:t>afirma que</w:t>
      </w:r>
      <w:r w:rsidR="00F3230C" w:rsidRPr="00DC03F7">
        <w:rPr>
          <w:rFonts w:ascii="Times New Roman" w:eastAsia="Times New Roman" w:hAnsi="Times New Roman" w:cs="Times New Roman"/>
          <w:sz w:val="21"/>
          <w:szCs w:val="21"/>
          <w:lang w:val="es-ES" w:eastAsia="es-ES_tradnl"/>
        </w:rPr>
        <w:t>, en virtud de la obligación de diligencia debida,</w:t>
      </w:r>
      <w:r w:rsidR="000C3313" w:rsidRPr="00DC03F7">
        <w:rPr>
          <w:rFonts w:ascii="Times New Roman" w:eastAsia="Times New Roman" w:hAnsi="Times New Roman" w:cs="Times New Roman"/>
          <w:sz w:val="21"/>
          <w:szCs w:val="21"/>
          <w:lang w:val="es-ES" w:eastAsia="es-ES_tradnl"/>
        </w:rPr>
        <w:t xml:space="preserve"> </w:t>
      </w:r>
      <w:r w:rsidR="00F3230C" w:rsidRPr="00DC03F7">
        <w:rPr>
          <w:rFonts w:ascii="Times New Roman" w:eastAsia="Times New Roman" w:hAnsi="Times New Roman" w:cs="Times New Roman"/>
          <w:sz w:val="21"/>
          <w:szCs w:val="21"/>
          <w:lang w:val="es-ES" w:eastAsia="es-ES_tradnl"/>
        </w:rPr>
        <w:t>los Estados partes deben adoptar y aplicar diversas medidas para hacer frente a la violencia por razón de género contra la</w:t>
      </w:r>
      <w:r w:rsidR="001E6999" w:rsidRPr="00DC03F7">
        <w:rPr>
          <w:rFonts w:ascii="Times New Roman" w:eastAsia="Times New Roman" w:hAnsi="Times New Roman" w:cs="Times New Roman"/>
          <w:sz w:val="21"/>
          <w:szCs w:val="21"/>
          <w:lang w:val="es-ES" w:eastAsia="es-ES_tradnl"/>
        </w:rPr>
        <w:t>s</w:t>
      </w:r>
      <w:r w:rsidR="00F3230C" w:rsidRPr="00DC03F7">
        <w:rPr>
          <w:rFonts w:ascii="Times New Roman" w:eastAsia="Times New Roman" w:hAnsi="Times New Roman" w:cs="Times New Roman"/>
          <w:sz w:val="21"/>
          <w:szCs w:val="21"/>
          <w:lang w:val="es-ES" w:eastAsia="es-ES_tradnl"/>
        </w:rPr>
        <w:t xml:space="preserve"> mujer</w:t>
      </w:r>
      <w:r w:rsidR="001E6999" w:rsidRPr="00DC03F7">
        <w:rPr>
          <w:rFonts w:ascii="Times New Roman" w:eastAsia="Times New Roman" w:hAnsi="Times New Roman" w:cs="Times New Roman"/>
          <w:sz w:val="21"/>
          <w:szCs w:val="21"/>
          <w:lang w:val="es-ES" w:eastAsia="es-ES_tradnl"/>
        </w:rPr>
        <w:t>es</w:t>
      </w:r>
      <w:r w:rsidR="00CF6B27" w:rsidRPr="00DC03F7">
        <w:rPr>
          <w:rFonts w:ascii="Times New Roman" w:eastAsia="Times New Roman" w:hAnsi="Times New Roman" w:cs="Times New Roman"/>
          <w:sz w:val="21"/>
          <w:szCs w:val="21"/>
          <w:lang w:val="es-ES" w:eastAsia="es-ES_tradnl"/>
        </w:rPr>
        <w:t xml:space="preserve"> </w:t>
      </w:r>
      <w:r w:rsidR="00F3230C" w:rsidRPr="00DC03F7">
        <w:rPr>
          <w:rFonts w:ascii="Times New Roman" w:eastAsia="Times New Roman" w:hAnsi="Times New Roman" w:cs="Times New Roman"/>
          <w:sz w:val="21"/>
          <w:szCs w:val="21"/>
          <w:lang w:val="es-ES" w:eastAsia="es-ES_tradnl"/>
        </w:rPr>
        <w:t>cometida por agentes no estatales</w:t>
      </w:r>
      <w:r w:rsidR="00CF6B27" w:rsidRPr="00DC03F7">
        <w:rPr>
          <w:rStyle w:val="FootnoteReference"/>
          <w:rFonts w:ascii="Times New Roman" w:eastAsia="Times New Roman" w:hAnsi="Times New Roman" w:cs="Times New Roman"/>
          <w:sz w:val="21"/>
          <w:szCs w:val="21"/>
          <w:lang w:val="es-ES" w:eastAsia="es-ES_tradnl"/>
        </w:rPr>
        <w:footnoteReference w:id="8"/>
      </w:r>
      <w:r w:rsidR="00C22E8A" w:rsidRPr="00DC03F7">
        <w:rPr>
          <w:rFonts w:ascii="Times New Roman" w:eastAsia="Times New Roman" w:hAnsi="Times New Roman" w:cs="Times New Roman"/>
          <w:sz w:val="21"/>
          <w:szCs w:val="21"/>
          <w:lang w:val="es-ES" w:eastAsia="es-ES_tradnl"/>
        </w:rPr>
        <w:t xml:space="preserve">. </w:t>
      </w:r>
      <w:r w:rsidR="00A332DD" w:rsidRPr="00DC03F7">
        <w:rPr>
          <w:rFonts w:ascii="Times New Roman" w:eastAsia="Times New Roman" w:hAnsi="Times New Roman" w:cs="Times New Roman"/>
          <w:sz w:val="21"/>
          <w:szCs w:val="21"/>
          <w:lang w:val="es-ES" w:eastAsia="es-ES_tradnl"/>
        </w:rPr>
        <w:t xml:space="preserve">Ello </w:t>
      </w:r>
      <w:r w:rsidR="002A206C" w:rsidRPr="00DC03F7">
        <w:rPr>
          <w:rFonts w:ascii="Times New Roman" w:eastAsia="Times New Roman" w:hAnsi="Times New Roman" w:cs="Times New Roman"/>
          <w:sz w:val="21"/>
          <w:szCs w:val="21"/>
          <w:lang w:val="es-ES" w:eastAsia="es-ES_tradnl"/>
        </w:rPr>
        <w:t>incluye</w:t>
      </w:r>
      <w:r w:rsidR="00F3230C" w:rsidRPr="00DC03F7">
        <w:rPr>
          <w:rFonts w:ascii="Times New Roman" w:eastAsia="Times New Roman" w:hAnsi="Times New Roman" w:cs="Times New Roman"/>
          <w:sz w:val="21"/>
          <w:szCs w:val="21"/>
          <w:lang w:val="es-ES" w:eastAsia="es-ES_tradnl"/>
        </w:rPr>
        <w:t xml:space="preserve"> contar con un sistema que aborde dicha violencia </w:t>
      </w:r>
      <w:r w:rsidR="00EC1F33" w:rsidRPr="00DC03F7">
        <w:rPr>
          <w:rFonts w:ascii="Times New Roman" w:eastAsia="Times New Roman" w:hAnsi="Times New Roman" w:cs="Times New Roman"/>
          <w:sz w:val="21"/>
          <w:szCs w:val="21"/>
          <w:lang w:val="es-ES" w:eastAsia="es-ES_tradnl"/>
        </w:rPr>
        <w:t>que</w:t>
      </w:r>
      <w:r w:rsidR="00F3230C" w:rsidRPr="00DC03F7">
        <w:rPr>
          <w:rFonts w:ascii="Times New Roman" w:eastAsia="Times New Roman" w:hAnsi="Times New Roman" w:cs="Times New Roman"/>
          <w:sz w:val="21"/>
          <w:szCs w:val="21"/>
          <w:lang w:val="es-ES" w:eastAsia="es-ES_tradnl"/>
        </w:rPr>
        <w:t xml:space="preserve"> funcion</w:t>
      </w:r>
      <w:r w:rsidR="009C2D18" w:rsidRPr="00DC03F7">
        <w:rPr>
          <w:rFonts w:ascii="Times New Roman" w:eastAsia="Times New Roman" w:hAnsi="Times New Roman" w:cs="Times New Roman"/>
          <w:sz w:val="21"/>
          <w:szCs w:val="21"/>
          <w:lang w:val="es-ES" w:eastAsia="es-ES_tradnl"/>
        </w:rPr>
        <w:t>e</w:t>
      </w:r>
      <w:r w:rsidR="00F3230C" w:rsidRPr="00DC03F7">
        <w:rPr>
          <w:rFonts w:ascii="Times New Roman" w:eastAsia="Times New Roman" w:hAnsi="Times New Roman" w:cs="Times New Roman"/>
          <w:sz w:val="21"/>
          <w:szCs w:val="21"/>
          <w:lang w:val="es-ES" w:eastAsia="es-ES_tradnl"/>
        </w:rPr>
        <w:t xml:space="preserve"> de manera eficaz en la práctica</w:t>
      </w:r>
      <w:r w:rsidR="009C2D18" w:rsidRPr="00DC03F7">
        <w:rPr>
          <w:rFonts w:ascii="Times New Roman" w:eastAsia="Times New Roman" w:hAnsi="Times New Roman" w:cs="Times New Roman"/>
          <w:sz w:val="21"/>
          <w:szCs w:val="21"/>
          <w:lang w:val="es-ES" w:eastAsia="es-ES_tradnl"/>
        </w:rPr>
        <w:t>, contando</w:t>
      </w:r>
      <w:r w:rsidR="00F3230C" w:rsidRPr="00DC03F7">
        <w:rPr>
          <w:rFonts w:ascii="Times New Roman" w:eastAsia="Times New Roman" w:hAnsi="Times New Roman" w:cs="Times New Roman"/>
          <w:sz w:val="21"/>
          <w:szCs w:val="21"/>
          <w:lang w:val="es-ES" w:eastAsia="es-ES_tradnl"/>
        </w:rPr>
        <w:t xml:space="preserve"> con el apoyo de todos los agentes y órganos del Estado que ha</w:t>
      </w:r>
      <w:r w:rsidR="00E113D7" w:rsidRPr="00DC03F7">
        <w:rPr>
          <w:rFonts w:ascii="Times New Roman" w:eastAsia="Times New Roman" w:hAnsi="Times New Roman" w:cs="Times New Roman"/>
          <w:sz w:val="21"/>
          <w:szCs w:val="21"/>
          <w:lang w:val="es-ES" w:eastAsia="es-ES_tradnl"/>
        </w:rPr>
        <w:t>ga</w:t>
      </w:r>
      <w:r w:rsidR="00F3230C" w:rsidRPr="00DC03F7">
        <w:rPr>
          <w:rFonts w:ascii="Times New Roman" w:eastAsia="Times New Roman" w:hAnsi="Times New Roman" w:cs="Times New Roman"/>
          <w:sz w:val="21"/>
          <w:szCs w:val="21"/>
          <w:lang w:val="es-ES" w:eastAsia="es-ES_tradnl"/>
        </w:rPr>
        <w:t>n cumplir las leyes con diligencia</w:t>
      </w:r>
      <w:r w:rsidR="00F3230C" w:rsidRPr="00DC03F7">
        <w:rPr>
          <w:rStyle w:val="FootnoteReference"/>
          <w:rFonts w:ascii="Times New Roman" w:eastAsia="Times New Roman" w:hAnsi="Times New Roman" w:cs="Times New Roman"/>
          <w:sz w:val="21"/>
          <w:szCs w:val="21"/>
          <w:lang w:val="es-ES" w:eastAsia="es-ES_tradnl"/>
        </w:rPr>
        <w:footnoteReference w:id="9"/>
      </w:r>
      <w:r w:rsidR="00F3230C" w:rsidRPr="00DC03F7">
        <w:rPr>
          <w:rFonts w:ascii="Times New Roman" w:eastAsia="Times New Roman" w:hAnsi="Times New Roman" w:cs="Times New Roman"/>
          <w:sz w:val="21"/>
          <w:szCs w:val="21"/>
          <w:lang w:val="es-ES" w:eastAsia="es-ES_tradnl"/>
        </w:rPr>
        <w:t xml:space="preserve">. </w:t>
      </w:r>
      <w:r w:rsidR="00B659BD" w:rsidRPr="00DC03F7">
        <w:rPr>
          <w:rFonts w:ascii="Times New Roman" w:eastAsia="Times New Roman" w:hAnsi="Times New Roman" w:cs="Times New Roman"/>
          <w:sz w:val="21"/>
          <w:szCs w:val="21"/>
          <w:lang w:val="es-ES" w:eastAsia="es-ES_tradnl"/>
        </w:rPr>
        <w:t>E</w:t>
      </w:r>
      <w:r w:rsidR="00F3230C" w:rsidRPr="00DC03F7">
        <w:rPr>
          <w:rFonts w:ascii="Times New Roman" w:eastAsia="Times New Roman" w:hAnsi="Times New Roman" w:cs="Times New Roman"/>
          <w:sz w:val="21"/>
          <w:szCs w:val="21"/>
          <w:lang w:val="es-ES" w:eastAsia="es-ES_tradnl"/>
        </w:rPr>
        <w:t xml:space="preserve">l Comité </w:t>
      </w:r>
      <w:r w:rsidR="00B659BD" w:rsidRPr="00DC03F7">
        <w:rPr>
          <w:rFonts w:ascii="Times New Roman" w:eastAsia="Times New Roman" w:hAnsi="Times New Roman" w:cs="Times New Roman"/>
          <w:sz w:val="21"/>
          <w:szCs w:val="21"/>
          <w:lang w:val="es-ES" w:eastAsia="es-ES_tradnl"/>
        </w:rPr>
        <w:t>reitera</w:t>
      </w:r>
      <w:r w:rsidR="00F3230C" w:rsidRPr="00DC03F7">
        <w:rPr>
          <w:rFonts w:ascii="Times New Roman" w:eastAsia="Times New Roman" w:hAnsi="Times New Roman" w:cs="Times New Roman"/>
          <w:sz w:val="21"/>
          <w:szCs w:val="21"/>
          <w:lang w:val="es-ES" w:eastAsia="es-ES_tradnl"/>
        </w:rPr>
        <w:t xml:space="preserve"> que el hecho de que un Estado parte no adopte todas las medidas adecuadas para prevenir los actos de violencia por razón de género contra la mujer en los casos en que sus autoridades tengan conocimiento o deban ser conscientes del riesgo de dicha violencia, o el hecho de que no investigue, enjuicie y castigue a los autores, constituye un consentimiento tácito o una incitación a cometer actos de violencia por razón de género contra las mujeres</w:t>
      </w:r>
      <w:r w:rsidR="00F3230C" w:rsidRPr="00DC03F7">
        <w:rPr>
          <w:rStyle w:val="FootnoteReference"/>
          <w:rFonts w:ascii="Times New Roman" w:eastAsia="Times New Roman" w:hAnsi="Times New Roman" w:cs="Times New Roman"/>
          <w:sz w:val="21"/>
          <w:szCs w:val="21"/>
          <w:lang w:val="es-ES" w:eastAsia="es-ES_tradnl"/>
        </w:rPr>
        <w:footnoteReference w:id="10"/>
      </w:r>
      <w:r w:rsidR="00F3230C" w:rsidRPr="00DC03F7">
        <w:rPr>
          <w:rFonts w:ascii="Times New Roman" w:eastAsia="Times New Roman" w:hAnsi="Times New Roman" w:cs="Times New Roman"/>
          <w:sz w:val="21"/>
          <w:szCs w:val="21"/>
          <w:lang w:val="es-ES" w:eastAsia="es-ES_tradnl"/>
        </w:rPr>
        <w:t xml:space="preserve">, </w:t>
      </w:r>
      <w:r w:rsidR="00985A26" w:rsidRPr="00DC03F7">
        <w:rPr>
          <w:rFonts w:ascii="Times New Roman" w:eastAsia="Times New Roman" w:hAnsi="Times New Roman" w:cs="Times New Roman"/>
          <w:sz w:val="21"/>
          <w:szCs w:val="21"/>
          <w:lang w:val="es-ES" w:eastAsia="es-ES_tradnl"/>
        </w:rPr>
        <w:t xml:space="preserve">haciendo hincapié en </w:t>
      </w:r>
      <w:r w:rsidR="00F3230C" w:rsidRPr="00DC03F7">
        <w:rPr>
          <w:rFonts w:ascii="Times New Roman" w:eastAsia="Times New Roman" w:hAnsi="Times New Roman" w:cs="Times New Roman"/>
          <w:sz w:val="21"/>
          <w:szCs w:val="21"/>
          <w:lang w:val="es-ES" w:eastAsia="es-ES_tradnl"/>
        </w:rPr>
        <w:t>que esa falta de debida diligencia por sus acciones u omisiones constituyen violaciones a los derechos humanos de las mujeres</w:t>
      </w:r>
      <w:r w:rsidR="00F3230C" w:rsidRPr="00DC03F7">
        <w:rPr>
          <w:rStyle w:val="FootnoteReference"/>
          <w:rFonts w:ascii="Times New Roman" w:eastAsia="Times New Roman" w:hAnsi="Times New Roman" w:cs="Times New Roman"/>
          <w:sz w:val="21"/>
          <w:szCs w:val="21"/>
          <w:lang w:val="es-ES" w:eastAsia="es-ES_tradnl"/>
        </w:rPr>
        <w:footnoteReference w:id="11"/>
      </w:r>
      <w:r w:rsidR="00F3230C" w:rsidRPr="00DC03F7">
        <w:rPr>
          <w:rFonts w:ascii="Times New Roman" w:eastAsia="Times New Roman" w:hAnsi="Times New Roman" w:cs="Times New Roman"/>
          <w:sz w:val="21"/>
          <w:szCs w:val="21"/>
          <w:lang w:val="es-ES" w:eastAsia="es-ES_tradnl"/>
        </w:rPr>
        <w:t xml:space="preserve">. </w:t>
      </w:r>
    </w:p>
    <w:p w14:paraId="2EB2C7DB" w14:textId="77777777" w:rsidR="00910D7A" w:rsidRPr="00DC03F7" w:rsidRDefault="00910D7A" w:rsidP="00E819C9">
      <w:pPr>
        <w:spacing w:line="276" w:lineRule="auto"/>
        <w:jc w:val="both"/>
        <w:rPr>
          <w:sz w:val="21"/>
          <w:szCs w:val="21"/>
        </w:rPr>
      </w:pPr>
    </w:p>
    <w:p w14:paraId="1BA9DF9F" w14:textId="4E408ADA" w:rsidR="003661D8" w:rsidRPr="00DC03F7" w:rsidRDefault="00910D7A" w:rsidP="00E819C9">
      <w:pPr>
        <w:pStyle w:val="ListParagraph"/>
        <w:numPr>
          <w:ilvl w:val="0"/>
          <w:numId w:val="9"/>
        </w:numPr>
        <w:spacing w:line="276" w:lineRule="auto"/>
        <w:ind w:left="0"/>
        <w:jc w:val="both"/>
        <w:rPr>
          <w:rFonts w:ascii="Times New Roman" w:eastAsia="Times New Roman" w:hAnsi="Times New Roman" w:cs="Times New Roman"/>
          <w:sz w:val="21"/>
          <w:szCs w:val="21"/>
          <w:lang w:val="es-ES" w:eastAsia="es-ES_tradnl"/>
        </w:rPr>
      </w:pPr>
      <w:r w:rsidRPr="00DC03F7">
        <w:rPr>
          <w:rFonts w:ascii="Times New Roman" w:eastAsia="Times New Roman" w:hAnsi="Times New Roman" w:cs="Times New Roman"/>
          <w:sz w:val="21"/>
          <w:szCs w:val="21"/>
        </w:rPr>
        <w:lastRenderedPageBreak/>
        <w:t>En e</w:t>
      </w:r>
      <w:r w:rsidR="00977316" w:rsidRPr="00DC03F7">
        <w:rPr>
          <w:rFonts w:ascii="Times New Roman" w:eastAsia="Times New Roman" w:hAnsi="Times New Roman" w:cs="Times New Roman"/>
          <w:sz w:val="21"/>
          <w:szCs w:val="21"/>
        </w:rPr>
        <w:t>l</w:t>
      </w:r>
      <w:r w:rsidRPr="00DC03F7">
        <w:rPr>
          <w:rFonts w:ascii="Times New Roman" w:eastAsia="Times New Roman" w:hAnsi="Times New Roman" w:cs="Times New Roman"/>
          <w:sz w:val="21"/>
          <w:szCs w:val="21"/>
        </w:rPr>
        <w:t xml:space="preserve"> mismo sentido, la Relatora Especial sobre la trata de personas, especialmente mujeres y niños</w:t>
      </w:r>
      <w:r w:rsidR="003661D8" w:rsidRPr="00DC03F7">
        <w:rPr>
          <w:rFonts w:ascii="Times New Roman" w:eastAsia="Times New Roman" w:hAnsi="Times New Roman" w:cs="Times New Roman"/>
          <w:sz w:val="21"/>
          <w:szCs w:val="21"/>
        </w:rPr>
        <w:t xml:space="preserve"> (en adelante Relatora de trata)</w:t>
      </w:r>
      <w:r w:rsidRPr="00DC03F7">
        <w:rPr>
          <w:rFonts w:ascii="Times New Roman" w:eastAsia="Times New Roman" w:hAnsi="Times New Roman" w:cs="Times New Roman"/>
          <w:sz w:val="21"/>
          <w:szCs w:val="21"/>
        </w:rPr>
        <w:t xml:space="preserve"> </w:t>
      </w:r>
      <w:r w:rsidRPr="00DC03F7">
        <w:rPr>
          <w:rFonts w:ascii="Times New Roman" w:eastAsia="Times New Roman" w:hAnsi="Times New Roman" w:cs="Times New Roman"/>
          <w:sz w:val="21"/>
          <w:szCs w:val="21"/>
          <w:lang w:val="es-ES" w:eastAsia="es-ES_tradnl"/>
        </w:rPr>
        <w:t xml:space="preserve">ha insistido en que los Estados tienen la obligación de diligencia debida </w:t>
      </w:r>
      <w:r w:rsidR="00977316" w:rsidRPr="00DC03F7">
        <w:rPr>
          <w:rFonts w:ascii="Times New Roman" w:eastAsia="Times New Roman" w:hAnsi="Times New Roman" w:cs="Times New Roman"/>
          <w:sz w:val="21"/>
          <w:szCs w:val="21"/>
          <w:lang w:val="es-ES" w:eastAsia="es-ES_tradnl"/>
        </w:rPr>
        <w:t xml:space="preserve">de </w:t>
      </w:r>
      <w:r w:rsidRPr="00DC03F7">
        <w:rPr>
          <w:rFonts w:ascii="Times New Roman" w:eastAsia="Times New Roman" w:hAnsi="Times New Roman" w:cs="Times New Roman"/>
          <w:sz w:val="21"/>
          <w:szCs w:val="21"/>
          <w:lang w:val="es-ES" w:eastAsia="es-ES_tradnl"/>
        </w:rPr>
        <w:t>identificar a las personas víctimas de trata de seres humanos</w:t>
      </w:r>
      <w:r w:rsidR="00AC2DEE" w:rsidRPr="00DC03F7">
        <w:rPr>
          <w:rFonts w:ascii="Times New Roman" w:eastAsia="Times New Roman" w:hAnsi="Times New Roman" w:cs="Times New Roman"/>
          <w:sz w:val="21"/>
          <w:szCs w:val="21"/>
          <w:lang w:val="es-ES" w:eastAsia="es-ES_tradnl"/>
        </w:rPr>
        <w:t xml:space="preserve"> con un enfoque de derechos humanos</w:t>
      </w:r>
      <w:r w:rsidRPr="00DC03F7">
        <w:rPr>
          <w:rStyle w:val="FootnoteReference"/>
          <w:rFonts w:ascii="Times New Roman" w:eastAsia="Times New Roman" w:hAnsi="Times New Roman" w:cs="Times New Roman"/>
          <w:sz w:val="21"/>
          <w:szCs w:val="21"/>
          <w:lang w:val="es-ES" w:eastAsia="es-ES_tradnl"/>
        </w:rPr>
        <w:footnoteReference w:id="12"/>
      </w:r>
      <w:r w:rsidRPr="00DC03F7">
        <w:rPr>
          <w:rFonts w:ascii="Times New Roman" w:eastAsia="Times New Roman" w:hAnsi="Times New Roman" w:cs="Times New Roman"/>
          <w:sz w:val="21"/>
          <w:szCs w:val="21"/>
          <w:lang w:val="es-ES" w:eastAsia="es-ES_tradnl"/>
        </w:rPr>
        <w:t xml:space="preserve">, </w:t>
      </w:r>
      <w:r w:rsidR="00C96ADC" w:rsidRPr="00DC03F7">
        <w:rPr>
          <w:rFonts w:ascii="Times New Roman" w:eastAsia="Times New Roman" w:hAnsi="Times New Roman" w:cs="Times New Roman"/>
          <w:sz w:val="21"/>
          <w:szCs w:val="21"/>
          <w:lang w:val="es-ES" w:eastAsia="es-ES_tradnl"/>
        </w:rPr>
        <w:t>recordando, además que</w:t>
      </w:r>
      <w:r w:rsidRPr="00DC03F7">
        <w:rPr>
          <w:rFonts w:ascii="Times New Roman" w:eastAsia="Times New Roman" w:hAnsi="Times New Roman" w:cs="Times New Roman"/>
          <w:sz w:val="21"/>
          <w:szCs w:val="21"/>
          <w:lang w:val="es-ES" w:eastAsia="es-ES_tradnl"/>
        </w:rPr>
        <w:t xml:space="preserve"> dicha obligación</w:t>
      </w:r>
      <w:r w:rsidR="00AC14CE" w:rsidRPr="00DC03F7">
        <w:rPr>
          <w:rFonts w:ascii="Times New Roman" w:eastAsia="Times New Roman" w:hAnsi="Times New Roman" w:cs="Times New Roman"/>
          <w:sz w:val="21"/>
          <w:szCs w:val="21"/>
          <w:lang w:val="es-ES" w:eastAsia="es-ES_tradnl"/>
        </w:rPr>
        <w:t xml:space="preserve"> </w:t>
      </w:r>
      <w:r w:rsidRPr="00DC03F7">
        <w:rPr>
          <w:rFonts w:ascii="Times New Roman" w:eastAsia="Times New Roman" w:hAnsi="Times New Roman" w:cs="Times New Roman"/>
          <w:sz w:val="21"/>
          <w:szCs w:val="21"/>
          <w:lang w:val="es-ES" w:eastAsia="es-ES_tradnl"/>
        </w:rPr>
        <w:t xml:space="preserve">es imprescindible para asegurar el cumplimiento de muchos otros aspectos de las obligaciones de debida diligencia como </w:t>
      </w:r>
      <w:r w:rsidR="003B4FAF" w:rsidRPr="00DC03F7">
        <w:rPr>
          <w:rFonts w:ascii="Times New Roman" w:eastAsia="Times New Roman" w:hAnsi="Times New Roman" w:cs="Times New Roman"/>
          <w:sz w:val="21"/>
          <w:szCs w:val="21"/>
          <w:lang w:val="es-ES" w:eastAsia="es-ES_tradnl"/>
        </w:rPr>
        <w:t xml:space="preserve">el acceso a la justicia, </w:t>
      </w:r>
      <w:r w:rsidRPr="00DC03F7">
        <w:rPr>
          <w:rFonts w:ascii="Times New Roman" w:eastAsia="Times New Roman" w:hAnsi="Times New Roman" w:cs="Times New Roman"/>
          <w:sz w:val="21"/>
          <w:szCs w:val="21"/>
          <w:lang w:val="es-ES" w:eastAsia="es-ES_tradnl"/>
        </w:rPr>
        <w:t>la investigación y el procesamiento de tratantes, así como la protección integral de las víctimas</w:t>
      </w:r>
      <w:r w:rsidR="003B4FAF" w:rsidRPr="00DC03F7">
        <w:rPr>
          <w:rFonts w:ascii="Times New Roman" w:eastAsia="Times New Roman" w:hAnsi="Times New Roman" w:cs="Times New Roman"/>
          <w:sz w:val="21"/>
          <w:szCs w:val="21"/>
          <w:lang w:val="es-ES" w:eastAsia="es-ES_tradnl"/>
        </w:rPr>
        <w:t>, incluido el acceso efectivo a formas de reparación integral</w:t>
      </w:r>
      <w:r w:rsidRPr="00DC03F7">
        <w:rPr>
          <w:rStyle w:val="FootnoteReference"/>
          <w:rFonts w:ascii="Times New Roman" w:eastAsia="Times New Roman" w:hAnsi="Times New Roman" w:cs="Times New Roman"/>
          <w:sz w:val="21"/>
          <w:szCs w:val="21"/>
          <w:lang w:val="es-ES" w:eastAsia="es-ES_tradnl"/>
        </w:rPr>
        <w:footnoteReference w:id="13"/>
      </w:r>
      <w:r w:rsidR="003B4FAF" w:rsidRPr="00DC03F7">
        <w:rPr>
          <w:rFonts w:ascii="Times New Roman" w:eastAsia="Times New Roman" w:hAnsi="Times New Roman" w:cs="Times New Roman"/>
          <w:sz w:val="21"/>
          <w:szCs w:val="21"/>
          <w:lang w:val="es-ES" w:eastAsia="es-ES_tradnl"/>
        </w:rPr>
        <w:t>.</w:t>
      </w:r>
      <w:r w:rsidR="00385B18" w:rsidRPr="00DC03F7">
        <w:rPr>
          <w:rFonts w:ascii="Times New Roman" w:eastAsia="Times New Roman" w:hAnsi="Times New Roman" w:cs="Times New Roman"/>
          <w:sz w:val="21"/>
          <w:szCs w:val="21"/>
          <w:lang w:val="es-ES" w:eastAsia="es-ES_tradnl"/>
        </w:rPr>
        <w:t xml:space="preserve"> </w:t>
      </w:r>
      <w:r w:rsidR="003661D8" w:rsidRPr="00DC03F7">
        <w:rPr>
          <w:rFonts w:ascii="Times New Roman" w:eastAsia="Times New Roman" w:hAnsi="Times New Roman" w:cs="Times New Roman"/>
          <w:sz w:val="21"/>
          <w:szCs w:val="21"/>
          <w:lang w:val="es-ES" w:eastAsia="es-ES_tradnl"/>
        </w:rPr>
        <w:t>Tal como insiste la Relatora de trata</w:t>
      </w:r>
      <w:r w:rsidR="00936F4B" w:rsidRPr="00DC03F7">
        <w:rPr>
          <w:rFonts w:ascii="Times New Roman" w:eastAsia="Times New Roman" w:hAnsi="Times New Roman" w:cs="Times New Roman"/>
          <w:sz w:val="21"/>
          <w:szCs w:val="21"/>
          <w:lang w:val="es-ES" w:eastAsia="es-ES_tradnl"/>
        </w:rPr>
        <w:t>, c</w:t>
      </w:r>
      <w:r w:rsidR="003661D8" w:rsidRPr="00DC03F7">
        <w:rPr>
          <w:rFonts w:ascii="Times New Roman" w:eastAsia="Times New Roman" w:hAnsi="Times New Roman" w:cs="Times New Roman"/>
          <w:sz w:val="21"/>
          <w:szCs w:val="21"/>
          <w:lang w:val="es-ES" w:eastAsia="es-ES_tradnl"/>
        </w:rPr>
        <w:t>on mucha frecuencia</w:t>
      </w:r>
      <w:r w:rsidR="00936F4B" w:rsidRPr="00DC03F7">
        <w:rPr>
          <w:rFonts w:ascii="Times New Roman" w:eastAsia="Times New Roman" w:hAnsi="Times New Roman" w:cs="Times New Roman"/>
          <w:sz w:val="21"/>
          <w:szCs w:val="21"/>
          <w:lang w:val="es-ES" w:eastAsia="es-ES_tradnl"/>
        </w:rPr>
        <w:t xml:space="preserve"> en la práctica de los Estados </w:t>
      </w:r>
      <w:r w:rsidR="003661D8" w:rsidRPr="00DC03F7">
        <w:rPr>
          <w:rFonts w:ascii="Times New Roman" w:eastAsia="Times New Roman" w:hAnsi="Times New Roman" w:cs="Times New Roman"/>
          <w:sz w:val="21"/>
          <w:szCs w:val="21"/>
          <w:lang w:val="es-ES" w:eastAsia="es-ES_tradnl"/>
        </w:rPr>
        <w:t xml:space="preserve">la identificación de las víctimas se hace </w:t>
      </w:r>
      <w:r w:rsidR="003661D8" w:rsidRPr="00DC03F7">
        <w:rPr>
          <w:rFonts w:ascii="Times New Roman" w:eastAsia="Times New Roman" w:hAnsi="Times New Roman" w:cs="Times New Roman"/>
          <w:i/>
          <w:sz w:val="21"/>
          <w:szCs w:val="21"/>
          <w:lang w:val="es-ES" w:eastAsia="es-ES_tradnl"/>
        </w:rPr>
        <w:t>post hoc</w:t>
      </w:r>
      <w:r w:rsidR="003661D8" w:rsidRPr="00DC03F7">
        <w:rPr>
          <w:rFonts w:ascii="Times New Roman" w:eastAsia="Times New Roman" w:hAnsi="Times New Roman" w:cs="Times New Roman"/>
          <w:sz w:val="21"/>
          <w:szCs w:val="21"/>
          <w:lang w:val="es-ES" w:eastAsia="es-ES_tradnl"/>
        </w:rPr>
        <w:t xml:space="preserve"> y está </w:t>
      </w:r>
      <w:r w:rsidR="00936F4B" w:rsidRPr="00DC03F7">
        <w:rPr>
          <w:rFonts w:ascii="Times New Roman" w:eastAsia="Times New Roman" w:hAnsi="Times New Roman" w:cs="Times New Roman"/>
          <w:sz w:val="21"/>
          <w:szCs w:val="21"/>
          <w:lang w:val="es-ES" w:eastAsia="es-ES_tradnl"/>
        </w:rPr>
        <w:t xml:space="preserve">íntimamente relacionada </w:t>
      </w:r>
      <w:r w:rsidR="003661D8" w:rsidRPr="00DC03F7">
        <w:rPr>
          <w:rFonts w:ascii="Times New Roman" w:eastAsia="Times New Roman" w:hAnsi="Times New Roman" w:cs="Times New Roman"/>
          <w:sz w:val="21"/>
          <w:szCs w:val="21"/>
          <w:lang w:val="es-ES" w:eastAsia="es-ES_tradnl"/>
        </w:rPr>
        <w:t xml:space="preserve">con la necesidad de establecer </w:t>
      </w:r>
      <w:r w:rsidR="005A2D4A" w:rsidRPr="00DC03F7">
        <w:rPr>
          <w:rFonts w:ascii="Times New Roman" w:eastAsia="Times New Roman" w:hAnsi="Times New Roman" w:cs="Times New Roman"/>
          <w:sz w:val="21"/>
          <w:szCs w:val="21"/>
          <w:lang w:val="es-ES" w:eastAsia="es-ES_tradnl"/>
        </w:rPr>
        <w:t xml:space="preserve">su </w:t>
      </w:r>
      <w:r w:rsidR="003661D8" w:rsidRPr="00DC03F7">
        <w:rPr>
          <w:rFonts w:ascii="Times New Roman" w:eastAsia="Times New Roman" w:hAnsi="Times New Roman" w:cs="Times New Roman"/>
          <w:sz w:val="21"/>
          <w:szCs w:val="21"/>
          <w:lang w:val="es-ES" w:eastAsia="es-ES_tradnl"/>
        </w:rPr>
        <w:t>identidad para los procesos penales o migratorios</w:t>
      </w:r>
      <w:r w:rsidR="008D3682" w:rsidRPr="00DC03F7">
        <w:rPr>
          <w:rFonts w:ascii="Times New Roman" w:eastAsia="Times New Roman" w:hAnsi="Times New Roman" w:cs="Times New Roman"/>
          <w:sz w:val="21"/>
          <w:szCs w:val="21"/>
          <w:lang w:val="es-ES" w:eastAsia="es-ES_tradnl"/>
        </w:rPr>
        <w:t xml:space="preserve"> </w:t>
      </w:r>
      <w:r w:rsidR="003661D8" w:rsidRPr="00DC03F7">
        <w:rPr>
          <w:rFonts w:ascii="Times New Roman" w:eastAsia="Times New Roman" w:hAnsi="Times New Roman" w:cs="Times New Roman"/>
          <w:sz w:val="21"/>
          <w:szCs w:val="21"/>
          <w:lang w:val="es-ES" w:eastAsia="es-ES_tradnl"/>
        </w:rPr>
        <w:t>y no como</w:t>
      </w:r>
      <w:r w:rsidR="00936F4B" w:rsidRPr="00DC03F7">
        <w:rPr>
          <w:rFonts w:ascii="Times New Roman" w:eastAsia="Times New Roman" w:hAnsi="Times New Roman" w:cs="Times New Roman"/>
          <w:sz w:val="21"/>
          <w:szCs w:val="21"/>
          <w:lang w:val="es-ES" w:eastAsia="es-ES_tradnl"/>
        </w:rPr>
        <w:t xml:space="preserve"> una</w:t>
      </w:r>
      <w:r w:rsidR="003661D8" w:rsidRPr="00DC03F7">
        <w:rPr>
          <w:rFonts w:ascii="Times New Roman" w:eastAsia="Times New Roman" w:hAnsi="Times New Roman" w:cs="Times New Roman"/>
          <w:sz w:val="21"/>
          <w:szCs w:val="21"/>
          <w:lang w:val="es-ES" w:eastAsia="es-ES_tradnl"/>
        </w:rPr>
        <w:t xml:space="preserve"> medida preventiva para evitar las situaciones de explotación </w:t>
      </w:r>
      <w:r w:rsidR="00390AEF" w:rsidRPr="00DC03F7">
        <w:rPr>
          <w:rFonts w:ascii="Times New Roman" w:eastAsia="Times New Roman" w:hAnsi="Times New Roman" w:cs="Times New Roman"/>
          <w:sz w:val="21"/>
          <w:szCs w:val="21"/>
          <w:lang w:val="es-ES" w:eastAsia="es-ES_tradnl"/>
        </w:rPr>
        <w:t xml:space="preserve">o </w:t>
      </w:r>
      <w:r w:rsidR="008F79D6" w:rsidRPr="00DC03F7">
        <w:rPr>
          <w:rFonts w:ascii="Times New Roman" w:eastAsia="Times New Roman" w:hAnsi="Times New Roman" w:cs="Times New Roman"/>
          <w:sz w:val="21"/>
          <w:szCs w:val="21"/>
          <w:lang w:val="es-ES" w:eastAsia="es-ES_tradnl"/>
        </w:rPr>
        <w:t>proteger</w:t>
      </w:r>
      <w:r w:rsidR="00390AEF" w:rsidRPr="00DC03F7">
        <w:rPr>
          <w:rFonts w:ascii="Times New Roman" w:eastAsia="Times New Roman" w:hAnsi="Times New Roman" w:cs="Times New Roman"/>
          <w:sz w:val="21"/>
          <w:szCs w:val="21"/>
          <w:lang w:val="es-ES" w:eastAsia="es-ES_tradnl"/>
        </w:rPr>
        <w:t xml:space="preserve"> </w:t>
      </w:r>
      <w:r w:rsidR="008F79D6" w:rsidRPr="00DC03F7">
        <w:rPr>
          <w:rFonts w:ascii="Times New Roman" w:eastAsia="Times New Roman" w:hAnsi="Times New Roman" w:cs="Times New Roman"/>
          <w:sz w:val="21"/>
          <w:szCs w:val="21"/>
          <w:lang w:val="es-ES" w:eastAsia="es-ES_tradnl"/>
        </w:rPr>
        <w:t xml:space="preserve">de manera </w:t>
      </w:r>
      <w:r w:rsidR="00390AEF" w:rsidRPr="00DC03F7">
        <w:rPr>
          <w:rFonts w:ascii="Times New Roman" w:eastAsia="Times New Roman" w:hAnsi="Times New Roman" w:cs="Times New Roman"/>
          <w:sz w:val="21"/>
          <w:szCs w:val="21"/>
          <w:lang w:val="es-ES" w:eastAsia="es-ES_tradnl"/>
        </w:rPr>
        <w:t>integral y efectiv</w:t>
      </w:r>
      <w:r w:rsidR="00392EB9" w:rsidRPr="00DC03F7">
        <w:rPr>
          <w:rFonts w:ascii="Times New Roman" w:eastAsia="Times New Roman" w:hAnsi="Times New Roman" w:cs="Times New Roman"/>
          <w:sz w:val="21"/>
          <w:szCs w:val="21"/>
          <w:lang w:val="es-ES" w:eastAsia="es-ES_tradnl"/>
        </w:rPr>
        <w:t>a</w:t>
      </w:r>
      <w:r w:rsidR="008D3682" w:rsidRPr="00DC03F7">
        <w:rPr>
          <w:rFonts w:ascii="Times New Roman" w:eastAsia="Times New Roman" w:hAnsi="Times New Roman" w:cs="Times New Roman"/>
          <w:sz w:val="21"/>
          <w:szCs w:val="21"/>
          <w:lang w:val="es-ES" w:eastAsia="es-ES_tradnl"/>
        </w:rPr>
        <w:t xml:space="preserve"> </w:t>
      </w:r>
      <w:r w:rsidR="008F79D6" w:rsidRPr="00DC03F7">
        <w:rPr>
          <w:rFonts w:ascii="Times New Roman" w:eastAsia="Times New Roman" w:hAnsi="Times New Roman" w:cs="Times New Roman"/>
          <w:sz w:val="21"/>
          <w:szCs w:val="21"/>
          <w:lang w:val="es-ES" w:eastAsia="es-ES_tradnl"/>
        </w:rPr>
        <w:t xml:space="preserve">a </w:t>
      </w:r>
      <w:r w:rsidR="008D3682" w:rsidRPr="00DC03F7">
        <w:rPr>
          <w:rFonts w:ascii="Times New Roman" w:eastAsia="Times New Roman" w:hAnsi="Times New Roman" w:cs="Times New Roman"/>
          <w:sz w:val="21"/>
          <w:szCs w:val="21"/>
          <w:lang w:val="es-ES" w:eastAsia="es-ES_tradnl"/>
        </w:rPr>
        <w:t>las víctimas</w:t>
      </w:r>
      <w:r w:rsidR="00936F4B" w:rsidRPr="00DC03F7">
        <w:rPr>
          <w:rStyle w:val="FootnoteReference"/>
          <w:rFonts w:ascii="Times New Roman" w:eastAsia="Times New Roman" w:hAnsi="Times New Roman" w:cs="Times New Roman"/>
          <w:sz w:val="21"/>
          <w:szCs w:val="21"/>
          <w:lang w:val="es-ES" w:eastAsia="es-ES_tradnl"/>
        </w:rPr>
        <w:footnoteReference w:id="14"/>
      </w:r>
      <w:r w:rsidR="003661D8" w:rsidRPr="00DC03F7">
        <w:rPr>
          <w:rFonts w:ascii="Times New Roman" w:eastAsia="Times New Roman" w:hAnsi="Times New Roman" w:cs="Times New Roman"/>
          <w:sz w:val="21"/>
          <w:szCs w:val="21"/>
          <w:lang w:val="es-ES" w:eastAsia="es-ES_tradnl"/>
        </w:rPr>
        <w:t xml:space="preserve">. </w:t>
      </w:r>
    </w:p>
    <w:p w14:paraId="5EF4A00A" w14:textId="77777777" w:rsidR="003661D8" w:rsidRPr="00DC03F7" w:rsidRDefault="003661D8" w:rsidP="00E819C9">
      <w:pPr>
        <w:spacing w:line="276" w:lineRule="auto"/>
        <w:jc w:val="both"/>
        <w:rPr>
          <w:sz w:val="21"/>
          <w:szCs w:val="21"/>
        </w:rPr>
      </w:pPr>
    </w:p>
    <w:p w14:paraId="69AC9232" w14:textId="2C24F5DB" w:rsidR="00C519BA" w:rsidRPr="00DC03F7" w:rsidRDefault="00071E32" w:rsidP="00E819C9">
      <w:pPr>
        <w:pStyle w:val="ListParagraph"/>
        <w:numPr>
          <w:ilvl w:val="0"/>
          <w:numId w:val="9"/>
        </w:numPr>
        <w:spacing w:line="276" w:lineRule="auto"/>
        <w:ind w:left="0"/>
        <w:jc w:val="both"/>
        <w:rPr>
          <w:rFonts w:ascii="Times New Roman" w:eastAsia="Times New Roman" w:hAnsi="Times New Roman" w:cs="Times New Roman"/>
          <w:sz w:val="21"/>
          <w:szCs w:val="21"/>
          <w:lang w:val="es-ES" w:eastAsia="es-ES_tradnl"/>
        </w:rPr>
      </w:pPr>
      <w:r w:rsidRPr="00DC03F7">
        <w:rPr>
          <w:rFonts w:ascii="Times New Roman" w:eastAsia="Times New Roman" w:hAnsi="Times New Roman" w:cs="Times New Roman"/>
          <w:sz w:val="21"/>
          <w:szCs w:val="21"/>
          <w:lang w:val="es-ES" w:eastAsia="es-ES_tradnl"/>
        </w:rPr>
        <w:t>E</w:t>
      </w:r>
      <w:r w:rsidR="00850CB1" w:rsidRPr="00DC03F7">
        <w:rPr>
          <w:rFonts w:ascii="Times New Roman" w:eastAsia="Times New Roman" w:hAnsi="Times New Roman" w:cs="Times New Roman"/>
          <w:sz w:val="21"/>
          <w:szCs w:val="21"/>
          <w:lang w:val="es-ES" w:eastAsia="es-ES_tradnl"/>
        </w:rPr>
        <w:t>l incumplimiento</w:t>
      </w:r>
      <w:r w:rsidR="00385B18" w:rsidRPr="00DC03F7">
        <w:rPr>
          <w:rFonts w:ascii="Times New Roman" w:eastAsia="Times New Roman" w:hAnsi="Times New Roman" w:cs="Times New Roman"/>
          <w:sz w:val="21"/>
          <w:szCs w:val="21"/>
          <w:lang w:val="es-ES" w:eastAsia="es-ES_tradnl"/>
        </w:rPr>
        <w:t xml:space="preserve"> </w:t>
      </w:r>
      <w:r w:rsidR="00073271" w:rsidRPr="00DC03F7">
        <w:rPr>
          <w:rFonts w:ascii="Times New Roman" w:eastAsia="Times New Roman" w:hAnsi="Times New Roman" w:cs="Times New Roman"/>
          <w:sz w:val="21"/>
          <w:szCs w:val="21"/>
          <w:lang w:val="es-ES" w:eastAsia="es-ES_tradnl"/>
        </w:rPr>
        <w:t xml:space="preserve">por parte de </w:t>
      </w:r>
      <w:r w:rsidR="00385B18" w:rsidRPr="00DC03F7">
        <w:rPr>
          <w:rFonts w:ascii="Times New Roman" w:eastAsia="Times New Roman" w:hAnsi="Times New Roman" w:cs="Times New Roman"/>
          <w:sz w:val="21"/>
          <w:szCs w:val="21"/>
          <w:lang w:val="es-ES" w:eastAsia="es-ES_tradnl"/>
        </w:rPr>
        <w:t>los Estado</w:t>
      </w:r>
      <w:r w:rsidR="001A38A5" w:rsidRPr="00DC03F7">
        <w:rPr>
          <w:rFonts w:ascii="Times New Roman" w:eastAsia="Times New Roman" w:hAnsi="Times New Roman" w:cs="Times New Roman"/>
          <w:sz w:val="21"/>
          <w:szCs w:val="21"/>
          <w:lang w:val="es-ES" w:eastAsia="es-ES_tradnl"/>
        </w:rPr>
        <w:t>s</w:t>
      </w:r>
      <w:r w:rsidR="00385B18" w:rsidRPr="00DC03F7">
        <w:rPr>
          <w:rFonts w:ascii="Times New Roman" w:eastAsia="Times New Roman" w:hAnsi="Times New Roman" w:cs="Times New Roman"/>
          <w:sz w:val="21"/>
          <w:szCs w:val="21"/>
          <w:lang w:val="es-ES" w:eastAsia="es-ES_tradnl"/>
        </w:rPr>
        <w:t xml:space="preserve"> </w:t>
      </w:r>
      <w:r w:rsidR="008A059F" w:rsidRPr="00DC03F7">
        <w:rPr>
          <w:rFonts w:ascii="Times New Roman" w:eastAsia="Times New Roman" w:hAnsi="Times New Roman" w:cs="Times New Roman"/>
          <w:sz w:val="21"/>
          <w:szCs w:val="21"/>
          <w:lang w:val="es-ES" w:eastAsia="es-ES_tradnl"/>
        </w:rPr>
        <w:t xml:space="preserve">de </w:t>
      </w:r>
      <w:r w:rsidRPr="00DC03F7">
        <w:rPr>
          <w:rFonts w:ascii="Times New Roman" w:eastAsia="Times New Roman" w:hAnsi="Times New Roman" w:cs="Times New Roman"/>
          <w:sz w:val="21"/>
          <w:szCs w:val="21"/>
          <w:lang w:val="es-ES" w:eastAsia="es-ES_tradnl"/>
        </w:rPr>
        <w:t xml:space="preserve">su </w:t>
      </w:r>
      <w:r w:rsidR="00385B18" w:rsidRPr="00DC03F7">
        <w:rPr>
          <w:rFonts w:ascii="Times New Roman" w:eastAsia="Times New Roman" w:hAnsi="Times New Roman" w:cs="Times New Roman"/>
          <w:sz w:val="21"/>
          <w:szCs w:val="21"/>
          <w:lang w:val="es-ES" w:eastAsia="es-ES_tradnl"/>
        </w:rPr>
        <w:t xml:space="preserve">obligación de </w:t>
      </w:r>
      <w:r w:rsidRPr="00DC03F7">
        <w:rPr>
          <w:rFonts w:ascii="Times New Roman" w:eastAsia="Times New Roman" w:hAnsi="Times New Roman" w:cs="Times New Roman"/>
          <w:sz w:val="21"/>
          <w:szCs w:val="21"/>
          <w:lang w:val="es-ES" w:eastAsia="es-ES_tradnl"/>
        </w:rPr>
        <w:t xml:space="preserve">establecer mecanismos efectivos de </w:t>
      </w:r>
      <w:r w:rsidR="00385B18" w:rsidRPr="00DC03F7">
        <w:rPr>
          <w:rFonts w:ascii="Times New Roman" w:eastAsia="Times New Roman" w:hAnsi="Times New Roman" w:cs="Times New Roman"/>
          <w:sz w:val="21"/>
          <w:szCs w:val="21"/>
          <w:lang w:val="es-ES" w:eastAsia="es-ES_tradnl"/>
        </w:rPr>
        <w:t>identifica</w:t>
      </w:r>
      <w:r w:rsidRPr="00DC03F7">
        <w:rPr>
          <w:rFonts w:ascii="Times New Roman" w:eastAsia="Times New Roman" w:hAnsi="Times New Roman" w:cs="Times New Roman"/>
          <w:sz w:val="21"/>
          <w:szCs w:val="21"/>
          <w:lang w:val="es-ES" w:eastAsia="es-ES_tradnl"/>
        </w:rPr>
        <w:t>ción</w:t>
      </w:r>
      <w:r w:rsidR="006400EE" w:rsidRPr="00DC03F7">
        <w:rPr>
          <w:rFonts w:ascii="Times New Roman" w:eastAsia="Times New Roman" w:hAnsi="Times New Roman" w:cs="Times New Roman"/>
          <w:sz w:val="21"/>
          <w:szCs w:val="21"/>
          <w:lang w:val="es-ES" w:eastAsia="es-ES_tradnl"/>
        </w:rPr>
        <w:t>, incl</w:t>
      </w:r>
      <w:r w:rsidRPr="00DC03F7">
        <w:rPr>
          <w:rFonts w:ascii="Times New Roman" w:eastAsia="Times New Roman" w:hAnsi="Times New Roman" w:cs="Times New Roman"/>
          <w:sz w:val="21"/>
          <w:szCs w:val="21"/>
          <w:lang w:val="es-ES" w:eastAsia="es-ES_tradnl"/>
        </w:rPr>
        <w:t>uyendo en</w:t>
      </w:r>
      <w:r w:rsidR="006400EE" w:rsidRPr="00DC03F7">
        <w:rPr>
          <w:rFonts w:ascii="Times New Roman" w:eastAsia="Times New Roman" w:hAnsi="Times New Roman" w:cs="Times New Roman"/>
          <w:sz w:val="21"/>
          <w:szCs w:val="21"/>
          <w:lang w:val="es-ES" w:eastAsia="es-ES_tradnl"/>
        </w:rPr>
        <w:t xml:space="preserve"> los contextos de movili</w:t>
      </w:r>
      <w:r w:rsidR="006400EE" w:rsidRPr="00DC03F7">
        <w:rPr>
          <w:rFonts w:ascii="Times New Roman" w:eastAsia="Times New Roman" w:hAnsi="Times New Roman" w:cs="Times New Roman"/>
          <w:sz w:val="21"/>
          <w:szCs w:val="21"/>
          <w:lang w:val="es-ES" w:eastAsia="es-ES_tradnl"/>
        </w:rPr>
        <w:lastRenderedPageBreak/>
        <w:t xml:space="preserve">dad humana </w:t>
      </w:r>
      <w:r w:rsidR="00E837F1" w:rsidRPr="00DC03F7">
        <w:rPr>
          <w:rFonts w:ascii="Times New Roman" w:eastAsia="Times New Roman" w:hAnsi="Times New Roman" w:cs="Times New Roman"/>
          <w:sz w:val="21"/>
          <w:szCs w:val="21"/>
          <w:lang w:val="es-ES" w:eastAsia="es-ES_tradnl"/>
        </w:rPr>
        <w:t>(</w:t>
      </w:r>
      <w:r w:rsidR="006400EE" w:rsidRPr="00DC03F7">
        <w:rPr>
          <w:rFonts w:ascii="Times New Roman" w:eastAsia="Times New Roman" w:hAnsi="Times New Roman" w:cs="Times New Roman"/>
          <w:sz w:val="21"/>
          <w:szCs w:val="21"/>
          <w:lang w:val="es-ES" w:eastAsia="es-ES_tradnl"/>
        </w:rPr>
        <w:t>migración</w:t>
      </w:r>
      <w:r w:rsidR="008C01C6" w:rsidRPr="00DC03F7">
        <w:rPr>
          <w:rFonts w:ascii="Times New Roman" w:eastAsia="Times New Roman" w:hAnsi="Times New Roman" w:cs="Times New Roman"/>
          <w:sz w:val="21"/>
          <w:szCs w:val="21"/>
          <w:lang w:val="es-ES" w:eastAsia="es-ES_tradnl"/>
        </w:rPr>
        <w:t xml:space="preserve"> interna y/o</w:t>
      </w:r>
      <w:r w:rsidR="006400EE" w:rsidRPr="00DC03F7">
        <w:rPr>
          <w:rFonts w:ascii="Times New Roman" w:eastAsia="Times New Roman" w:hAnsi="Times New Roman" w:cs="Times New Roman"/>
          <w:sz w:val="21"/>
          <w:szCs w:val="21"/>
          <w:lang w:val="es-ES" w:eastAsia="es-ES_tradnl"/>
        </w:rPr>
        <w:t xml:space="preserve"> transfronteriza</w:t>
      </w:r>
      <w:r w:rsidR="00E837F1" w:rsidRPr="00DC03F7">
        <w:rPr>
          <w:rFonts w:ascii="Times New Roman" w:eastAsia="Times New Roman" w:hAnsi="Times New Roman" w:cs="Times New Roman"/>
          <w:sz w:val="21"/>
          <w:szCs w:val="21"/>
          <w:lang w:val="es-ES" w:eastAsia="es-ES_tradnl"/>
        </w:rPr>
        <w:t>)</w:t>
      </w:r>
      <w:r w:rsidR="006400EE" w:rsidRPr="00DC03F7">
        <w:rPr>
          <w:rFonts w:ascii="Times New Roman" w:eastAsia="Times New Roman" w:hAnsi="Times New Roman" w:cs="Times New Roman"/>
          <w:sz w:val="21"/>
          <w:szCs w:val="21"/>
          <w:lang w:val="es-ES" w:eastAsia="es-ES_tradnl"/>
        </w:rPr>
        <w:t>,</w:t>
      </w:r>
      <w:r w:rsidR="00385B18" w:rsidRPr="00DC03F7">
        <w:rPr>
          <w:rFonts w:ascii="Times New Roman" w:eastAsia="Times New Roman" w:hAnsi="Times New Roman" w:cs="Times New Roman"/>
          <w:sz w:val="21"/>
          <w:szCs w:val="21"/>
          <w:lang w:val="es-ES" w:eastAsia="es-ES_tradnl"/>
        </w:rPr>
        <w:t xml:space="preserve"> </w:t>
      </w:r>
      <w:r w:rsidR="00385B18" w:rsidRPr="00034BD0">
        <w:rPr>
          <w:rFonts w:ascii="Times New Roman" w:eastAsia="Times New Roman" w:hAnsi="Times New Roman" w:cs="Times New Roman"/>
          <w:sz w:val="21"/>
          <w:szCs w:val="21"/>
          <w:lang w:val="es-ES" w:eastAsia="es-ES_tradnl"/>
        </w:rPr>
        <w:t>genera una cadena de violaciones a los derechos humanos de las víctimas</w:t>
      </w:r>
      <w:r w:rsidR="00B468ED" w:rsidRPr="00222FCA">
        <w:rPr>
          <w:rFonts w:ascii="Times New Roman" w:eastAsia="Times New Roman" w:hAnsi="Times New Roman" w:cs="Times New Roman"/>
          <w:sz w:val="21"/>
          <w:szCs w:val="21"/>
          <w:lang w:val="es-ES" w:eastAsia="es-ES_tradnl"/>
        </w:rPr>
        <w:t xml:space="preserve"> </w:t>
      </w:r>
      <w:r w:rsidR="00385B18" w:rsidRPr="00222FCA">
        <w:rPr>
          <w:rFonts w:ascii="Times New Roman" w:eastAsia="Times New Roman" w:hAnsi="Times New Roman" w:cs="Times New Roman"/>
          <w:sz w:val="21"/>
          <w:szCs w:val="21"/>
          <w:lang w:val="es-ES" w:eastAsia="es-ES_tradnl"/>
        </w:rPr>
        <w:t xml:space="preserve">y </w:t>
      </w:r>
      <w:r w:rsidR="00E837F1" w:rsidRPr="00222FCA">
        <w:rPr>
          <w:rFonts w:ascii="Times New Roman" w:eastAsia="Times New Roman" w:hAnsi="Times New Roman" w:cs="Times New Roman"/>
          <w:sz w:val="21"/>
          <w:szCs w:val="21"/>
          <w:lang w:val="es-ES" w:eastAsia="es-ES_tradnl"/>
        </w:rPr>
        <w:t>el menoscabo de</w:t>
      </w:r>
      <w:r w:rsidR="00B468ED" w:rsidRPr="00222FCA">
        <w:rPr>
          <w:rFonts w:ascii="Times New Roman" w:eastAsia="Times New Roman" w:hAnsi="Times New Roman" w:cs="Times New Roman"/>
          <w:sz w:val="21"/>
          <w:szCs w:val="21"/>
          <w:lang w:val="es-ES" w:eastAsia="es-ES_tradnl"/>
        </w:rPr>
        <w:t xml:space="preserve"> su</w:t>
      </w:r>
      <w:r w:rsidR="00E837F1" w:rsidRPr="00222FCA">
        <w:rPr>
          <w:rFonts w:ascii="Times New Roman" w:eastAsia="Times New Roman" w:hAnsi="Times New Roman" w:cs="Times New Roman"/>
          <w:sz w:val="21"/>
          <w:szCs w:val="21"/>
          <w:lang w:val="es-ES" w:eastAsia="es-ES_tradnl"/>
        </w:rPr>
        <w:t xml:space="preserve"> derecho a la </w:t>
      </w:r>
      <w:r w:rsidR="00385B18" w:rsidRPr="004C2E2C">
        <w:rPr>
          <w:rFonts w:ascii="Times New Roman" w:eastAsia="Times New Roman" w:hAnsi="Times New Roman" w:cs="Times New Roman"/>
          <w:sz w:val="21"/>
          <w:szCs w:val="21"/>
          <w:lang w:val="es-ES" w:eastAsia="es-ES_tradnl"/>
        </w:rPr>
        <w:t xml:space="preserve">protección efectiva </w:t>
      </w:r>
      <w:r w:rsidR="008C01C6" w:rsidRPr="008D6CA0">
        <w:rPr>
          <w:rFonts w:ascii="Times New Roman" w:eastAsia="Times New Roman" w:hAnsi="Times New Roman" w:cs="Times New Roman"/>
          <w:sz w:val="21"/>
          <w:szCs w:val="21"/>
          <w:lang w:val="es-ES" w:eastAsia="es-ES_tradnl"/>
        </w:rPr>
        <w:t>y</w:t>
      </w:r>
      <w:r w:rsidR="00385B18" w:rsidRPr="009240DA">
        <w:rPr>
          <w:rFonts w:ascii="Times New Roman" w:eastAsia="Times New Roman" w:hAnsi="Times New Roman" w:cs="Times New Roman"/>
          <w:sz w:val="21"/>
          <w:szCs w:val="21"/>
          <w:lang w:val="es-ES" w:eastAsia="es-ES_tradnl"/>
        </w:rPr>
        <w:t xml:space="preserve"> en condiciones de igualdad y de dignidad</w:t>
      </w:r>
      <w:r w:rsidR="00C519BA" w:rsidRPr="00126650">
        <w:rPr>
          <w:rFonts w:ascii="Times New Roman" w:eastAsia="Times New Roman" w:hAnsi="Times New Roman" w:cs="Times New Roman"/>
          <w:sz w:val="21"/>
          <w:szCs w:val="21"/>
          <w:lang w:val="es-ES" w:eastAsia="es-ES_tradnl"/>
        </w:rPr>
        <w:t>.</w:t>
      </w:r>
      <w:r w:rsidR="00C519BA" w:rsidRPr="00DC03F7">
        <w:rPr>
          <w:rFonts w:ascii="Times New Roman" w:eastAsia="Times New Roman" w:hAnsi="Times New Roman" w:cs="Times New Roman"/>
          <w:sz w:val="21"/>
          <w:szCs w:val="21"/>
          <w:lang w:val="es-ES" w:eastAsia="es-ES_tradnl"/>
        </w:rPr>
        <w:t xml:space="preserve"> En la práctica, la falta de identificación de las víctimas sigue siendo un enorme obstáculo para asegurar el acceso y goce efectivo de sus derechos (</w:t>
      </w:r>
      <w:r w:rsidR="00C519BA" w:rsidRPr="00DC03F7">
        <w:rPr>
          <w:rFonts w:ascii="Times New Roman" w:eastAsia="Times New Roman" w:hAnsi="Times New Roman" w:cs="Times New Roman"/>
          <w:b/>
          <w:sz w:val="21"/>
          <w:szCs w:val="21"/>
          <w:lang w:val="es-ES" w:eastAsia="es-ES_tradnl"/>
        </w:rPr>
        <w:t xml:space="preserve">ver </w:t>
      </w:r>
      <w:hyperlink r:id="rId10" w:history="1">
        <w:r w:rsidR="009966D2" w:rsidRPr="00A010D5">
          <w:rPr>
            <w:rStyle w:val="Hyperlink"/>
            <w:rFonts w:ascii="Times New Roman" w:eastAsia="Times New Roman" w:hAnsi="Times New Roman" w:cs="Times New Roman"/>
            <w:b/>
            <w:sz w:val="21"/>
            <w:szCs w:val="21"/>
            <w:lang w:val="es-ES" w:eastAsia="es-ES_tradnl"/>
          </w:rPr>
          <w:t xml:space="preserve">Caso 1 </w:t>
        </w:r>
        <w:r w:rsidR="00BC296E" w:rsidRPr="00A010D5">
          <w:rPr>
            <w:rStyle w:val="Hyperlink"/>
            <w:rFonts w:ascii="Times New Roman" w:eastAsia="Times New Roman" w:hAnsi="Times New Roman" w:cs="Times New Roman"/>
            <w:b/>
            <w:sz w:val="21"/>
            <w:szCs w:val="21"/>
            <w:lang w:val="es-ES" w:eastAsia="es-ES_tradnl"/>
          </w:rPr>
          <w:t>–</w:t>
        </w:r>
        <w:r w:rsidR="00C519BA" w:rsidRPr="00A010D5">
          <w:rPr>
            <w:rStyle w:val="Hyperlink"/>
            <w:rFonts w:ascii="Times New Roman" w:eastAsia="Times New Roman" w:hAnsi="Times New Roman" w:cs="Times New Roman"/>
            <w:b/>
            <w:sz w:val="21"/>
            <w:szCs w:val="21"/>
            <w:lang w:val="es-ES" w:eastAsia="es-ES_tradnl"/>
          </w:rPr>
          <w:t xml:space="preserve"> A</w:t>
        </w:r>
        <w:r w:rsidR="00BC296E" w:rsidRPr="00A010D5">
          <w:rPr>
            <w:rStyle w:val="Hyperlink"/>
            <w:rFonts w:ascii="Times New Roman" w:eastAsia="Times New Roman" w:hAnsi="Times New Roman" w:cs="Times New Roman"/>
            <w:b/>
            <w:sz w:val="21"/>
            <w:szCs w:val="21"/>
            <w:lang w:val="es-ES" w:eastAsia="es-ES_tradnl"/>
          </w:rPr>
          <w:t>.</w:t>
        </w:r>
        <w:r w:rsidR="00C519BA" w:rsidRPr="00A010D5">
          <w:rPr>
            <w:rStyle w:val="Hyperlink"/>
            <w:rFonts w:ascii="Times New Roman" w:eastAsia="Times New Roman" w:hAnsi="Times New Roman" w:cs="Times New Roman"/>
            <w:b/>
            <w:sz w:val="21"/>
            <w:szCs w:val="21"/>
            <w:lang w:val="es-ES" w:eastAsia="es-ES_tradnl"/>
          </w:rPr>
          <w:t>B</w:t>
        </w:r>
        <w:r w:rsidR="00BC296E" w:rsidRPr="00A010D5">
          <w:rPr>
            <w:rStyle w:val="Hyperlink"/>
            <w:rFonts w:ascii="Times New Roman" w:eastAsia="Times New Roman" w:hAnsi="Times New Roman" w:cs="Times New Roman"/>
            <w:b/>
            <w:sz w:val="21"/>
            <w:szCs w:val="21"/>
            <w:lang w:val="es-ES" w:eastAsia="es-ES_tradnl"/>
          </w:rPr>
          <w:t>.</w:t>
        </w:r>
        <w:r w:rsidR="00C519BA" w:rsidRPr="00A010D5">
          <w:rPr>
            <w:rStyle w:val="Hyperlink"/>
            <w:rFonts w:ascii="Times New Roman" w:eastAsia="Times New Roman" w:hAnsi="Times New Roman" w:cs="Times New Roman"/>
            <w:b/>
            <w:sz w:val="21"/>
            <w:szCs w:val="21"/>
            <w:lang w:val="es-ES" w:eastAsia="es-ES_tradnl"/>
          </w:rPr>
          <w:t>M</w:t>
        </w:r>
        <w:r w:rsidR="00BC296E" w:rsidRPr="00A010D5">
          <w:rPr>
            <w:rStyle w:val="Hyperlink"/>
            <w:rFonts w:ascii="Times New Roman" w:eastAsia="Times New Roman" w:hAnsi="Times New Roman" w:cs="Times New Roman"/>
            <w:b/>
            <w:sz w:val="21"/>
            <w:szCs w:val="21"/>
            <w:lang w:val="es-ES" w:eastAsia="es-ES_tradnl"/>
          </w:rPr>
          <w:t>.</w:t>
        </w:r>
      </w:hyperlink>
      <w:r w:rsidR="00C519BA" w:rsidRPr="00DC03F7">
        <w:rPr>
          <w:rFonts w:ascii="Times New Roman" w:eastAsia="Times New Roman" w:hAnsi="Times New Roman" w:cs="Times New Roman"/>
          <w:b/>
          <w:sz w:val="21"/>
          <w:szCs w:val="21"/>
          <w:lang w:val="es-ES" w:eastAsia="es-ES_tradnl"/>
        </w:rPr>
        <w:t xml:space="preserve"> y </w:t>
      </w:r>
      <w:hyperlink r:id="rId11" w:history="1">
        <w:r w:rsidR="009966D2" w:rsidRPr="00A010D5">
          <w:rPr>
            <w:rStyle w:val="Hyperlink"/>
            <w:rFonts w:ascii="Times New Roman" w:eastAsia="Times New Roman" w:hAnsi="Times New Roman" w:cs="Times New Roman"/>
            <w:b/>
            <w:sz w:val="21"/>
            <w:szCs w:val="21"/>
            <w:lang w:val="es-ES" w:eastAsia="es-ES_tradnl"/>
          </w:rPr>
          <w:t xml:space="preserve">Caso 2 </w:t>
        </w:r>
        <w:r w:rsidR="009A498D" w:rsidRPr="00A010D5">
          <w:rPr>
            <w:rStyle w:val="Hyperlink"/>
            <w:rFonts w:ascii="Times New Roman" w:eastAsia="Times New Roman" w:hAnsi="Times New Roman" w:cs="Times New Roman"/>
            <w:b/>
            <w:sz w:val="21"/>
            <w:szCs w:val="21"/>
            <w:lang w:val="es-ES" w:eastAsia="es-ES_tradnl"/>
          </w:rPr>
          <w:t>–</w:t>
        </w:r>
        <w:r w:rsidR="009966D2" w:rsidRPr="00A010D5">
          <w:rPr>
            <w:rStyle w:val="Hyperlink"/>
            <w:rFonts w:ascii="Times New Roman" w:eastAsia="Times New Roman" w:hAnsi="Times New Roman" w:cs="Times New Roman"/>
            <w:b/>
            <w:sz w:val="21"/>
            <w:szCs w:val="21"/>
            <w:lang w:val="es-ES" w:eastAsia="es-ES_tradnl"/>
          </w:rPr>
          <w:t xml:space="preserve"> </w:t>
        </w:r>
        <w:r w:rsidR="00C519BA" w:rsidRPr="00A010D5">
          <w:rPr>
            <w:rStyle w:val="Hyperlink"/>
            <w:rFonts w:ascii="Times New Roman" w:eastAsia="Times New Roman" w:hAnsi="Times New Roman" w:cs="Times New Roman"/>
            <w:b/>
            <w:sz w:val="21"/>
            <w:szCs w:val="21"/>
            <w:lang w:val="es-ES" w:eastAsia="es-ES_tradnl"/>
          </w:rPr>
          <w:t>G.J.</w:t>
        </w:r>
      </w:hyperlink>
      <w:r w:rsidR="00C519BA" w:rsidRPr="00DC03F7">
        <w:rPr>
          <w:rFonts w:ascii="Times New Roman" w:eastAsia="Times New Roman" w:hAnsi="Times New Roman" w:cs="Times New Roman"/>
          <w:sz w:val="21"/>
          <w:szCs w:val="21"/>
          <w:lang w:val="es-ES" w:eastAsia="es-ES_tradnl"/>
        </w:rPr>
        <w:t>).</w:t>
      </w:r>
      <w:r w:rsidR="006400EE" w:rsidRPr="00DC03F7">
        <w:rPr>
          <w:rFonts w:ascii="Times New Roman" w:eastAsia="Times New Roman" w:hAnsi="Times New Roman" w:cs="Times New Roman"/>
          <w:sz w:val="21"/>
          <w:szCs w:val="21"/>
          <w:lang w:val="es-ES" w:eastAsia="es-ES_tradnl"/>
        </w:rPr>
        <w:t xml:space="preserve"> </w:t>
      </w:r>
    </w:p>
    <w:p w14:paraId="1C717DF4" w14:textId="77777777" w:rsidR="003661D8" w:rsidRPr="00DC03F7" w:rsidRDefault="003661D8" w:rsidP="00E819C9">
      <w:pPr>
        <w:spacing w:line="276" w:lineRule="auto"/>
        <w:jc w:val="both"/>
        <w:rPr>
          <w:sz w:val="21"/>
          <w:szCs w:val="21"/>
        </w:rPr>
      </w:pPr>
    </w:p>
    <w:p w14:paraId="48F9C1CC" w14:textId="2B788577" w:rsidR="008347FC" w:rsidRPr="00DC03F7" w:rsidRDefault="00A640D9" w:rsidP="00E819C9">
      <w:pPr>
        <w:pStyle w:val="ListParagraph"/>
        <w:numPr>
          <w:ilvl w:val="0"/>
          <w:numId w:val="9"/>
        </w:numPr>
        <w:spacing w:line="276" w:lineRule="auto"/>
        <w:ind w:left="0"/>
        <w:jc w:val="both"/>
        <w:rPr>
          <w:rStyle w:val="PageNumber"/>
          <w:rFonts w:ascii="Times New Roman" w:hAnsi="Times New Roman" w:cs="Times New Roman"/>
          <w:sz w:val="21"/>
          <w:szCs w:val="21"/>
          <w:lang w:val="es-ES"/>
        </w:rPr>
      </w:pPr>
      <w:r w:rsidRPr="00DC03F7">
        <w:rPr>
          <w:rStyle w:val="PageNumber"/>
          <w:rFonts w:ascii="Times New Roman" w:hAnsi="Times New Roman" w:cs="Times New Roman"/>
          <w:color w:val="000000" w:themeColor="text1"/>
          <w:sz w:val="21"/>
          <w:szCs w:val="21"/>
        </w:rPr>
        <w:t>L</w:t>
      </w:r>
      <w:r w:rsidR="008347FC" w:rsidRPr="00DC03F7">
        <w:rPr>
          <w:rStyle w:val="PageNumber"/>
          <w:rFonts w:ascii="Times New Roman" w:hAnsi="Times New Roman" w:cs="Times New Roman"/>
          <w:color w:val="000000" w:themeColor="text1"/>
          <w:sz w:val="21"/>
          <w:szCs w:val="21"/>
        </w:rPr>
        <w:t xml:space="preserve">a identificación pronta y efectiva de víctimas de trata de personas, además de </w:t>
      </w:r>
      <w:r w:rsidR="007017ED" w:rsidRPr="00DC03F7">
        <w:rPr>
          <w:rStyle w:val="PageNumber"/>
          <w:rFonts w:ascii="Times New Roman" w:hAnsi="Times New Roman" w:cs="Times New Roman"/>
          <w:color w:val="000000" w:themeColor="text1"/>
          <w:sz w:val="21"/>
          <w:szCs w:val="21"/>
        </w:rPr>
        <w:t xml:space="preserve">formar </w:t>
      </w:r>
      <w:r w:rsidR="008347FC" w:rsidRPr="00DC03F7">
        <w:rPr>
          <w:rStyle w:val="PageNumber"/>
          <w:rFonts w:ascii="Times New Roman" w:hAnsi="Times New Roman" w:cs="Times New Roman"/>
          <w:color w:val="000000" w:themeColor="text1"/>
          <w:sz w:val="21"/>
          <w:szCs w:val="21"/>
        </w:rPr>
        <w:t>parte de la obligación de prevención del Estado, también constituye una condición previa esencial para</w:t>
      </w:r>
      <w:r w:rsidR="00B1292A" w:rsidRPr="00DC03F7">
        <w:rPr>
          <w:rStyle w:val="PageNumber"/>
          <w:rFonts w:ascii="Times New Roman" w:hAnsi="Times New Roman" w:cs="Times New Roman"/>
          <w:color w:val="000000" w:themeColor="text1"/>
          <w:sz w:val="21"/>
          <w:szCs w:val="21"/>
        </w:rPr>
        <w:t xml:space="preserve"> garantizar e</w:t>
      </w:r>
      <w:r w:rsidR="008347FC" w:rsidRPr="00DC03F7">
        <w:rPr>
          <w:rStyle w:val="PageNumber"/>
          <w:rFonts w:ascii="Times New Roman" w:hAnsi="Times New Roman" w:cs="Times New Roman"/>
          <w:color w:val="000000" w:themeColor="text1"/>
          <w:sz w:val="21"/>
          <w:szCs w:val="21"/>
        </w:rPr>
        <w:t>l derecho a</w:t>
      </w:r>
      <w:r w:rsidR="008C3BA1" w:rsidRPr="00DC03F7">
        <w:rPr>
          <w:rStyle w:val="PageNumber"/>
          <w:rFonts w:ascii="Times New Roman" w:hAnsi="Times New Roman" w:cs="Times New Roman"/>
          <w:color w:val="000000" w:themeColor="text1"/>
          <w:sz w:val="21"/>
          <w:szCs w:val="21"/>
        </w:rPr>
        <w:t xml:space="preserve">l acceso a la justica y a la </w:t>
      </w:r>
      <w:r w:rsidR="008347FC" w:rsidRPr="00DC03F7">
        <w:rPr>
          <w:rStyle w:val="PageNumber"/>
          <w:rFonts w:ascii="Times New Roman" w:hAnsi="Times New Roman" w:cs="Times New Roman"/>
          <w:color w:val="000000" w:themeColor="text1"/>
          <w:sz w:val="21"/>
          <w:szCs w:val="21"/>
        </w:rPr>
        <w:t>reparación</w:t>
      </w:r>
      <w:r w:rsidR="008347FC" w:rsidRPr="00DC03F7">
        <w:rPr>
          <w:rStyle w:val="FootnoteReference"/>
          <w:rFonts w:ascii="Times New Roman" w:hAnsi="Times New Roman" w:cs="Times New Roman"/>
          <w:color w:val="000000" w:themeColor="text1"/>
          <w:sz w:val="21"/>
          <w:szCs w:val="21"/>
        </w:rPr>
        <w:footnoteReference w:id="15"/>
      </w:r>
      <w:r w:rsidR="008347FC" w:rsidRPr="00DC03F7">
        <w:rPr>
          <w:rStyle w:val="PageNumber"/>
          <w:rFonts w:ascii="Times New Roman" w:hAnsi="Times New Roman" w:cs="Times New Roman"/>
          <w:color w:val="000000" w:themeColor="text1"/>
          <w:sz w:val="21"/>
          <w:szCs w:val="21"/>
        </w:rPr>
        <w:t>. Es por ello por lo que</w:t>
      </w:r>
      <w:r w:rsidR="004A678D" w:rsidRPr="00DC03F7">
        <w:rPr>
          <w:rStyle w:val="PageNumber"/>
          <w:rFonts w:ascii="Times New Roman" w:hAnsi="Times New Roman" w:cs="Times New Roman"/>
          <w:color w:val="000000" w:themeColor="text1"/>
          <w:sz w:val="21"/>
          <w:szCs w:val="21"/>
        </w:rPr>
        <w:t>, por ejemplo,</w:t>
      </w:r>
      <w:r w:rsidR="008347FC" w:rsidRPr="00DC03F7">
        <w:rPr>
          <w:rStyle w:val="PageNumber"/>
          <w:rFonts w:ascii="Times New Roman" w:hAnsi="Times New Roman" w:cs="Times New Roman"/>
          <w:color w:val="000000" w:themeColor="text1"/>
          <w:sz w:val="21"/>
          <w:szCs w:val="21"/>
        </w:rPr>
        <w:t xml:space="preserve"> la detención de víctimas de trata de personas</w:t>
      </w:r>
      <w:r w:rsidR="00FA392F" w:rsidRPr="00DC03F7">
        <w:rPr>
          <w:rStyle w:val="PageNumber"/>
          <w:rFonts w:ascii="Times New Roman" w:hAnsi="Times New Roman" w:cs="Times New Roman"/>
          <w:color w:val="000000" w:themeColor="text1"/>
          <w:sz w:val="21"/>
          <w:szCs w:val="21"/>
        </w:rPr>
        <w:t xml:space="preserve"> en centros de detención para personas inmigrantes en situación irregular </w:t>
      </w:r>
      <w:r w:rsidR="00577820" w:rsidRPr="00DC03F7">
        <w:rPr>
          <w:rStyle w:val="PageNumber"/>
          <w:rFonts w:ascii="Times New Roman" w:hAnsi="Times New Roman" w:cs="Times New Roman"/>
          <w:color w:val="000000" w:themeColor="text1"/>
          <w:sz w:val="21"/>
          <w:szCs w:val="21"/>
        </w:rPr>
        <w:t>–</w:t>
      </w:r>
      <w:r w:rsidR="00FA392F" w:rsidRPr="00DC03F7">
        <w:rPr>
          <w:rStyle w:val="PageNumber"/>
          <w:rFonts w:ascii="Times New Roman" w:hAnsi="Times New Roman" w:cs="Times New Roman"/>
          <w:color w:val="000000" w:themeColor="text1"/>
          <w:sz w:val="21"/>
          <w:szCs w:val="21"/>
        </w:rPr>
        <w:t>y su posterior expulsión</w:t>
      </w:r>
      <w:r w:rsidR="00577820" w:rsidRPr="00DC03F7">
        <w:rPr>
          <w:rStyle w:val="PageNumber"/>
          <w:rFonts w:ascii="Times New Roman" w:hAnsi="Times New Roman" w:cs="Times New Roman"/>
          <w:color w:val="000000" w:themeColor="text1"/>
          <w:sz w:val="21"/>
          <w:szCs w:val="21"/>
        </w:rPr>
        <w:t>—</w:t>
      </w:r>
      <w:r w:rsidR="00FA392F" w:rsidRPr="00DC03F7">
        <w:rPr>
          <w:rStyle w:val="PageNumber"/>
          <w:rFonts w:ascii="Times New Roman" w:hAnsi="Times New Roman" w:cs="Times New Roman"/>
          <w:color w:val="000000" w:themeColor="text1"/>
          <w:sz w:val="21"/>
          <w:szCs w:val="21"/>
        </w:rPr>
        <w:t xml:space="preserve">así como </w:t>
      </w:r>
      <w:r w:rsidR="00C30F35" w:rsidRPr="00DC03F7">
        <w:rPr>
          <w:rStyle w:val="PageNumber"/>
          <w:rFonts w:ascii="Times New Roman" w:hAnsi="Times New Roman" w:cs="Times New Roman"/>
          <w:color w:val="000000" w:themeColor="text1"/>
          <w:sz w:val="21"/>
          <w:szCs w:val="21"/>
        </w:rPr>
        <w:t xml:space="preserve">su </w:t>
      </w:r>
      <w:r w:rsidR="00FA392F" w:rsidRPr="00DC03F7">
        <w:rPr>
          <w:rStyle w:val="PageNumber"/>
          <w:rFonts w:ascii="Times New Roman" w:hAnsi="Times New Roman" w:cs="Times New Roman"/>
          <w:color w:val="000000" w:themeColor="text1"/>
          <w:sz w:val="21"/>
          <w:szCs w:val="21"/>
        </w:rPr>
        <w:t xml:space="preserve">tratamiento </w:t>
      </w:r>
      <w:r w:rsidR="008347FC" w:rsidRPr="00DC03F7">
        <w:rPr>
          <w:rStyle w:val="PageNumber"/>
          <w:rFonts w:ascii="Times New Roman" w:hAnsi="Times New Roman" w:cs="Times New Roman"/>
          <w:color w:val="000000" w:themeColor="text1"/>
          <w:sz w:val="21"/>
          <w:szCs w:val="21"/>
        </w:rPr>
        <w:t>como mujeres ejerciendo la prostitución,</w:t>
      </w:r>
      <w:r w:rsidR="00841F69" w:rsidRPr="00DC03F7">
        <w:rPr>
          <w:rStyle w:val="PageNumber"/>
          <w:rFonts w:ascii="Times New Roman" w:hAnsi="Times New Roman" w:cs="Times New Roman"/>
          <w:color w:val="000000" w:themeColor="text1"/>
          <w:sz w:val="21"/>
          <w:szCs w:val="21"/>
        </w:rPr>
        <w:t xml:space="preserve"> </w:t>
      </w:r>
      <w:r w:rsidR="008347FC" w:rsidRPr="00DC03F7">
        <w:rPr>
          <w:rStyle w:val="PageNumber"/>
          <w:rFonts w:ascii="Times New Roman" w:hAnsi="Times New Roman" w:cs="Times New Roman"/>
          <w:color w:val="000000" w:themeColor="text1"/>
          <w:sz w:val="21"/>
          <w:szCs w:val="21"/>
        </w:rPr>
        <w:t xml:space="preserve">constituye un incumplimiento de esa obligación de identificar a las víctimas, negándoles, con ello, el acceso </w:t>
      </w:r>
      <w:r w:rsidR="00C96ADC" w:rsidRPr="00DC03F7">
        <w:rPr>
          <w:rStyle w:val="PageNumber"/>
          <w:rFonts w:ascii="Times New Roman" w:hAnsi="Times New Roman" w:cs="Times New Roman"/>
          <w:color w:val="000000" w:themeColor="text1"/>
          <w:sz w:val="21"/>
          <w:szCs w:val="21"/>
        </w:rPr>
        <w:t>un recurso efectivo</w:t>
      </w:r>
      <w:r w:rsidR="00EC1F33" w:rsidRPr="00DC03F7">
        <w:rPr>
          <w:rStyle w:val="PageNumber"/>
          <w:rFonts w:ascii="Times New Roman" w:hAnsi="Times New Roman" w:cs="Times New Roman"/>
          <w:color w:val="000000" w:themeColor="text1"/>
          <w:sz w:val="21"/>
          <w:szCs w:val="21"/>
        </w:rPr>
        <w:t>,</w:t>
      </w:r>
      <w:r w:rsidR="002D2DE3" w:rsidRPr="00DC03F7">
        <w:rPr>
          <w:rStyle w:val="PageNumber"/>
          <w:rFonts w:ascii="Times New Roman" w:hAnsi="Times New Roman" w:cs="Times New Roman"/>
          <w:color w:val="000000" w:themeColor="text1"/>
          <w:sz w:val="21"/>
          <w:szCs w:val="21"/>
        </w:rPr>
        <w:t xml:space="preserve"> a</w:t>
      </w:r>
      <w:r w:rsidR="00EC1F33" w:rsidRPr="00DC03F7">
        <w:rPr>
          <w:rStyle w:val="PageNumber"/>
          <w:rFonts w:ascii="Times New Roman" w:hAnsi="Times New Roman" w:cs="Times New Roman"/>
          <w:color w:val="000000" w:themeColor="text1"/>
          <w:sz w:val="21"/>
          <w:szCs w:val="21"/>
        </w:rPr>
        <w:t xml:space="preserve"> </w:t>
      </w:r>
      <w:r w:rsidR="00C96ADC" w:rsidRPr="00DC03F7">
        <w:rPr>
          <w:rStyle w:val="PageNumber"/>
          <w:rFonts w:ascii="Times New Roman" w:hAnsi="Times New Roman" w:cs="Times New Roman"/>
          <w:color w:val="000000" w:themeColor="text1"/>
          <w:sz w:val="21"/>
          <w:szCs w:val="21"/>
        </w:rPr>
        <w:t xml:space="preserve">medias de </w:t>
      </w:r>
      <w:r w:rsidR="00EC1F33" w:rsidRPr="00DC03F7">
        <w:rPr>
          <w:rStyle w:val="PageNumber"/>
          <w:rFonts w:ascii="Times New Roman" w:hAnsi="Times New Roman" w:cs="Times New Roman"/>
          <w:color w:val="000000" w:themeColor="text1"/>
          <w:sz w:val="21"/>
          <w:szCs w:val="21"/>
        </w:rPr>
        <w:t xml:space="preserve">protección </w:t>
      </w:r>
      <w:r w:rsidR="00C96ADC" w:rsidRPr="00DC03F7">
        <w:rPr>
          <w:rStyle w:val="PageNumber"/>
          <w:rFonts w:ascii="Times New Roman" w:hAnsi="Times New Roman" w:cs="Times New Roman"/>
          <w:color w:val="000000" w:themeColor="text1"/>
          <w:sz w:val="21"/>
          <w:szCs w:val="21"/>
        </w:rPr>
        <w:t xml:space="preserve">mediatas e inmediatas </w:t>
      </w:r>
      <w:r w:rsidR="00EC1F33" w:rsidRPr="00DC03F7">
        <w:rPr>
          <w:rStyle w:val="PageNumber"/>
          <w:rFonts w:ascii="Times New Roman" w:hAnsi="Times New Roman" w:cs="Times New Roman"/>
          <w:color w:val="000000" w:themeColor="text1"/>
          <w:sz w:val="21"/>
          <w:szCs w:val="21"/>
        </w:rPr>
        <w:t xml:space="preserve">y a </w:t>
      </w:r>
      <w:r w:rsidR="00C96ADC" w:rsidRPr="00DC03F7">
        <w:rPr>
          <w:rStyle w:val="PageNumber"/>
          <w:rFonts w:ascii="Times New Roman" w:hAnsi="Times New Roman" w:cs="Times New Roman"/>
          <w:color w:val="000000" w:themeColor="text1"/>
          <w:sz w:val="21"/>
          <w:szCs w:val="21"/>
        </w:rPr>
        <w:t xml:space="preserve">medidas de </w:t>
      </w:r>
      <w:r w:rsidR="008347FC" w:rsidRPr="00DC03F7">
        <w:rPr>
          <w:rStyle w:val="PageNumber"/>
          <w:rFonts w:ascii="Times New Roman" w:hAnsi="Times New Roman" w:cs="Times New Roman"/>
          <w:color w:val="000000" w:themeColor="text1"/>
          <w:sz w:val="21"/>
          <w:szCs w:val="21"/>
        </w:rPr>
        <w:t xml:space="preserve">reparación </w:t>
      </w:r>
      <w:r w:rsidR="00C96ADC" w:rsidRPr="00DC03F7">
        <w:rPr>
          <w:rStyle w:val="PageNumber"/>
          <w:rFonts w:ascii="Times New Roman" w:hAnsi="Times New Roman" w:cs="Times New Roman"/>
          <w:color w:val="000000" w:themeColor="text1"/>
          <w:sz w:val="21"/>
          <w:szCs w:val="21"/>
        </w:rPr>
        <w:t>integral</w:t>
      </w:r>
      <w:r w:rsidR="008347FC" w:rsidRPr="00DC03F7">
        <w:rPr>
          <w:rStyle w:val="FootnoteReference"/>
          <w:rFonts w:ascii="Times New Roman" w:hAnsi="Times New Roman" w:cs="Times New Roman"/>
          <w:color w:val="000000" w:themeColor="text1"/>
          <w:sz w:val="21"/>
          <w:szCs w:val="21"/>
        </w:rPr>
        <w:footnoteReference w:id="16"/>
      </w:r>
      <w:r w:rsidR="008A059F" w:rsidRPr="00DC03F7">
        <w:rPr>
          <w:rStyle w:val="PageNumber"/>
          <w:rFonts w:ascii="Times New Roman" w:hAnsi="Times New Roman" w:cs="Times New Roman"/>
          <w:color w:val="000000" w:themeColor="text1"/>
          <w:sz w:val="21"/>
          <w:szCs w:val="21"/>
        </w:rPr>
        <w:t xml:space="preserve"> (</w:t>
      </w:r>
      <w:r w:rsidR="008A059F" w:rsidRPr="00DC03F7">
        <w:rPr>
          <w:rStyle w:val="PageNumber"/>
          <w:rFonts w:ascii="Times New Roman" w:hAnsi="Times New Roman" w:cs="Times New Roman"/>
          <w:b/>
          <w:color w:val="000000" w:themeColor="text1"/>
          <w:sz w:val="21"/>
          <w:szCs w:val="21"/>
        </w:rPr>
        <w:t xml:space="preserve">ver </w:t>
      </w:r>
      <w:hyperlink r:id="rId12" w:history="1">
        <w:r w:rsidR="008103C7" w:rsidRPr="00A010D5">
          <w:rPr>
            <w:rStyle w:val="Hyperlink"/>
            <w:rFonts w:ascii="Times New Roman" w:eastAsia="Times New Roman" w:hAnsi="Times New Roman" w:cs="Times New Roman"/>
            <w:b/>
            <w:sz w:val="21"/>
            <w:szCs w:val="21"/>
            <w:lang w:val="es-ES" w:eastAsia="es-ES_tradnl"/>
          </w:rPr>
          <w:t xml:space="preserve">Caso 2 </w:t>
        </w:r>
        <w:r w:rsidR="00D5242E" w:rsidRPr="00A010D5">
          <w:rPr>
            <w:rStyle w:val="Hyperlink"/>
            <w:rFonts w:ascii="Times New Roman" w:eastAsia="Times New Roman" w:hAnsi="Times New Roman" w:cs="Times New Roman"/>
            <w:b/>
            <w:sz w:val="21"/>
            <w:szCs w:val="21"/>
            <w:lang w:val="es-ES" w:eastAsia="es-ES_tradnl"/>
          </w:rPr>
          <w:t>–</w:t>
        </w:r>
        <w:r w:rsidR="008103C7" w:rsidRPr="00A010D5">
          <w:rPr>
            <w:rStyle w:val="Hyperlink"/>
            <w:rFonts w:ascii="Times New Roman" w:eastAsia="Times New Roman" w:hAnsi="Times New Roman" w:cs="Times New Roman"/>
            <w:b/>
            <w:sz w:val="21"/>
            <w:szCs w:val="21"/>
            <w:lang w:val="es-ES" w:eastAsia="es-ES_tradnl"/>
          </w:rPr>
          <w:t xml:space="preserve"> G.</w:t>
        </w:r>
        <w:r w:rsidR="00931B2D" w:rsidRPr="00A010D5">
          <w:rPr>
            <w:rStyle w:val="Hyperlink"/>
            <w:rFonts w:ascii="Times New Roman" w:eastAsia="Times New Roman" w:hAnsi="Times New Roman" w:cs="Times New Roman"/>
            <w:b/>
            <w:sz w:val="21"/>
            <w:szCs w:val="21"/>
            <w:lang w:val="es-ES" w:eastAsia="es-ES_tradnl"/>
          </w:rPr>
          <w:t>J.</w:t>
        </w:r>
      </w:hyperlink>
      <w:r w:rsidR="008A059F" w:rsidRPr="00DC03F7">
        <w:rPr>
          <w:rStyle w:val="PageNumber"/>
          <w:rFonts w:ascii="Times New Roman" w:hAnsi="Times New Roman" w:cs="Times New Roman"/>
          <w:b/>
          <w:color w:val="000000" w:themeColor="text1"/>
          <w:sz w:val="21"/>
          <w:szCs w:val="21"/>
        </w:rPr>
        <w:t>)</w:t>
      </w:r>
      <w:r w:rsidR="008347FC" w:rsidRPr="00DC03F7">
        <w:rPr>
          <w:rStyle w:val="PageNumber"/>
          <w:rFonts w:ascii="Times New Roman" w:hAnsi="Times New Roman" w:cs="Times New Roman"/>
          <w:b/>
          <w:color w:val="000000" w:themeColor="text1"/>
          <w:sz w:val="21"/>
          <w:szCs w:val="21"/>
        </w:rPr>
        <w:t>.</w:t>
      </w:r>
      <w:r w:rsidR="008347FC" w:rsidRPr="00DC03F7">
        <w:rPr>
          <w:rStyle w:val="PageNumber"/>
          <w:rFonts w:ascii="Times New Roman" w:hAnsi="Times New Roman" w:cs="Times New Roman"/>
          <w:color w:val="000000" w:themeColor="text1"/>
          <w:sz w:val="21"/>
          <w:szCs w:val="21"/>
        </w:rPr>
        <w:t xml:space="preserve"> </w:t>
      </w:r>
      <w:r w:rsidR="007E64A6" w:rsidRPr="00DC03F7">
        <w:rPr>
          <w:rStyle w:val="PageNumber"/>
          <w:rFonts w:ascii="Times New Roman" w:hAnsi="Times New Roman" w:cs="Times New Roman"/>
          <w:color w:val="000000" w:themeColor="text1"/>
          <w:sz w:val="21"/>
          <w:szCs w:val="21"/>
        </w:rPr>
        <w:t>L</w:t>
      </w:r>
      <w:r w:rsidR="008347FC" w:rsidRPr="00DC03F7">
        <w:rPr>
          <w:rStyle w:val="PageNumber"/>
          <w:rFonts w:ascii="Times New Roman" w:hAnsi="Times New Roman" w:cs="Times New Roman"/>
          <w:color w:val="000000" w:themeColor="text1"/>
          <w:sz w:val="21"/>
          <w:szCs w:val="21"/>
        </w:rPr>
        <w:t xml:space="preserve">os Estados </w:t>
      </w:r>
      <w:r w:rsidR="00176F18" w:rsidRPr="00DC03F7">
        <w:rPr>
          <w:rStyle w:val="PageNumber"/>
          <w:rFonts w:ascii="Times New Roman" w:hAnsi="Times New Roman" w:cs="Times New Roman"/>
          <w:color w:val="000000" w:themeColor="text1"/>
          <w:sz w:val="21"/>
          <w:szCs w:val="21"/>
        </w:rPr>
        <w:t>tienen la obligación de</w:t>
      </w:r>
      <w:r w:rsidR="008347FC" w:rsidRPr="00DC03F7">
        <w:rPr>
          <w:rStyle w:val="PageNumber"/>
          <w:rFonts w:ascii="Times New Roman" w:hAnsi="Times New Roman" w:cs="Times New Roman"/>
          <w:color w:val="000000" w:themeColor="text1"/>
          <w:sz w:val="21"/>
          <w:szCs w:val="21"/>
        </w:rPr>
        <w:t xml:space="preserve"> velar, asimismo, p</w:t>
      </w:r>
      <w:r w:rsidR="00E25B32" w:rsidRPr="00DC03F7">
        <w:rPr>
          <w:rStyle w:val="PageNumber"/>
          <w:rFonts w:ascii="Times New Roman" w:hAnsi="Times New Roman" w:cs="Times New Roman"/>
          <w:color w:val="000000" w:themeColor="text1"/>
          <w:sz w:val="21"/>
          <w:szCs w:val="21"/>
        </w:rPr>
        <w:t xml:space="preserve">ara </w:t>
      </w:r>
      <w:r w:rsidR="00AF40FE" w:rsidRPr="00DC03F7">
        <w:rPr>
          <w:rStyle w:val="PageNumber"/>
          <w:rFonts w:ascii="Times New Roman" w:hAnsi="Times New Roman" w:cs="Times New Roman"/>
          <w:color w:val="000000" w:themeColor="text1"/>
          <w:sz w:val="21"/>
          <w:szCs w:val="21"/>
        </w:rPr>
        <w:t>que</w:t>
      </w:r>
      <w:r w:rsidR="00E25B32" w:rsidRPr="00DC03F7">
        <w:rPr>
          <w:rStyle w:val="PageNumber"/>
          <w:rFonts w:ascii="Times New Roman" w:hAnsi="Times New Roman" w:cs="Times New Roman"/>
          <w:color w:val="000000" w:themeColor="text1"/>
          <w:sz w:val="21"/>
          <w:szCs w:val="21"/>
        </w:rPr>
        <w:t xml:space="preserve"> </w:t>
      </w:r>
      <w:r w:rsidR="00C96ADC" w:rsidRPr="00DC03F7">
        <w:rPr>
          <w:rStyle w:val="PageNumber"/>
          <w:rFonts w:ascii="Times New Roman" w:hAnsi="Times New Roman" w:cs="Times New Roman"/>
          <w:color w:val="000000" w:themeColor="text1"/>
          <w:sz w:val="21"/>
          <w:szCs w:val="21"/>
        </w:rPr>
        <w:t xml:space="preserve">el estatus </w:t>
      </w:r>
      <w:r w:rsidR="008347FC" w:rsidRPr="00DC03F7">
        <w:rPr>
          <w:rStyle w:val="PageNumber"/>
          <w:rFonts w:ascii="Times New Roman" w:hAnsi="Times New Roman" w:cs="Times New Roman"/>
          <w:color w:val="000000" w:themeColor="text1"/>
          <w:sz w:val="21"/>
          <w:szCs w:val="21"/>
        </w:rPr>
        <w:t>migratori</w:t>
      </w:r>
      <w:r w:rsidR="00C96ADC" w:rsidRPr="00DC03F7">
        <w:rPr>
          <w:rStyle w:val="PageNumber"/>
          <w:rFonts w:ascii="Times New Roman" w:hAnsi="Times New Roman" w:cs="Times New Roman"/>
          <w:color w:val="000000" w:themeColor="text1"/>
          <w:sz w:val="21"/>
          <w:szCs w:val="21"/>
        </w:rPr>
        <w:t>o</w:t>
      </w:r>
      <w:r w:rsidR="008347FC" w:rsidRPr="00DC03F7">
        <w:rPr>
          <w:rStyle w:val="PageNumber"/>
          <w:rFonts w:ascii="Times New Roman" w:hAnsi="Times New Roman" w:cs="Times New Roman"/>
          <w:color w:val="000000" w:themeColor="text1"/>
          <w:sz w:val="21"/>
          <w:szCs w:val="21"/>
        </w:rPr>
        <w:t xml:space="preserve"> de </w:t>
      </w:r>
      <w:r w:rsidR="00E25B32" w:rsidRPr="00DC03F7">
        <w:rPr>
          <w:rStyle w:val="PageNumber"/>
          <w:rFonts w:ascii="Times New Roman" w:hAnsi="Times New Roman" w:cs="Times New Roman"/>
          <w:color w:val="000000" w:themeColor="text1"/>
          <w:sz w:val="21"/>
          <w:szCs w:val="21"/>
        </w:rPr>
        <w:t xml:space="preserve">las </w:t>
      </w:r>
      <w:r w:rsidR="008347FC" w:rsidRPr="00DC03F7">
        <w:rPr>
          <w:rStyle w:val="PageNumber"/>
          <w:rFonts w:ascii="Times New Roman" w:hAnsi="Times New Roman" w:cs="Times New Roman"/>
          <w:color w:val="000000" w:themeColor="text1"/>
          <w:sz w:val="21"/>
          <w:szCs w:val="21"/>
        </w:rPr>
        <w:t>víctima</w:t>
      </w:r>
      <w:r w:rsidR="00E25B32" w:rsidRPr="00DC03F7">
        <w:rPr>
          <w:rStyle w:val="PageNumber"/>
          <w:rFonts w:ascii="Times New Roman" w:hAnsi="Times New Roman" w:cs="Times New Roman"/>
          <w:color w:val="000000" w:themeColor="text1"/>
          <w:sz w:val="21"/>
          <w:szCs w:val="21"/>
        </w:rPr>
        <w:t>s</w:t>
      </w:r>
      <w:r w:rsidR="008347FC" w:rsidRPr="00DC03F7">
        <w:rPr>
          <w:rStyle w:val="PageNumber"/>
          <w:rFonts w:ascii="Times New Roman" w:hAnsi="Times New Roman" w:cs="Times New Roman"/>
          <w:color w:val="000000" w:themeColor="text1"/>
          <w:sz w:val="21"/>
          <w:szCs w:val="21"/>
        </w:rPr>
        <w:t xml:space="preserve"> no excluya el goce del derecho a</w:t>
      </w:r>
      <w:r w:rsidR="008A059F" w:rsidRPr="00DC03F7">
        <w:rPr>
          <w:rStyle w:val="PageNumber"/>
          <w:rFonts w:ascii="Times New Roman" w:hAnsi="Times New Roman" w:cs="Times New Roman"/>
          <w:color w:val="000000" w:themeColor="text1"/>
          <w:sz w:val="21"/>
          <w:szCs w:val="21"/>
        </w:rPr>
        <w:t xml:space="preserve">l acceso a la </w:t>
      </w:r>
      <w:r w:rsidR="008A059F" w:rsidRPr="00DC03F7">
        <w:rPr>
          <w:rStyle w:val="PageNumber"/>
          <w:rFonts w:ascii="Times New Roman" w:hAnsi="Times New Roman" w:cs="Times New Roman"/>
          <w:color w:val="000000" w:themeColor="text1"/>
          <w:sz w:val="21"/>
          <w:szCs w:val="21"/>
        </w:rPr>
        <w:lastRenderedPageBreak/>
        <w:t>justicia y a</w:t>
      </w:r>
      <w:r w:rsidR="008347FC" w:rsidRPr="00DC03F7">
        <w:rPr>
          <w:rStyle w:val="PageNumber"/>
          <w:rFonts w:ascii="Times New Roman" w:hAnsi="Times New Roman" w:cs="Times New Roman"/>
          <w:color w:val="000000" w:themeColor="text1"/>
          <w:sz w:val="21"/>
          <w:szCs w:val="21"/>
        </w:rPr>
        <w:t xml:space="preserve"> una reparación </w:t>
      </w:r>
      <w:r w:rsidR="00EC1F33" w:rsidRPr="00DC03F7">
        <w:rPr>
          <w:rStyle w:val="PageNumber"/>
          <w:rFonts w:ascii="Times New Roman" w:hAnsi="Times New Roman" w:cs="Times New Roman"/>
          <w:color w:val="000000" w:themeColor="text1"/>
          <w:sz w:val="21"/>
          <w:szCs w:val="21"/>
        </w:rPr>
        <w:t xml:space="preserve">sin </w:t>
      </w:r>
      <w:r w:rsidR="007505EB" w:rsidRPr="00DC03F7">
        <w:rPr>
          <w:rStyle w:val="PageNumber"/>
          <w:rFonts w:ascii="Times New Roman" w:hAnsi="Times New Roman" w:cs="Times New Roman"/>
          <w:color w:val="000000" w:themeColor="text1"/>
          <w:sz w:val="21"/>
          <w:szCs w:val="21"/>
        </w:rPr>
        <w:t>discriminación</w:t>
      </w:r>
      <w:r w:rsidR="008347FC" w:rsidRPr="00DC03F7">
        <w:rPr>
          <w:rStyle w:val="FootnoteReference"/>
          <w:rFonts w:ascii="Times New Roman" w:hAnsi="Times New Roman" w:cs="Times New Roman"/>
          <w:color w:val="000000" w:themeColor="text1"/>
          <w:sz w:val="21"/>
          <w:szCs w:val="21"/>
        </w:rPr>
        <w:footnoteReference w:id="17"/>
      </w:r>
      <w:r w:rsidR="0006660F" w:rsidRPr="00DC03F7">
        <w:rPr>
          <w:rStyle w:val="PageNumber"/>
          <w:rFonts w:ascii="Times New Roman" w:hAnsi="Times New Roman" w:cs="Times New Roman"/>
          <w:color w:val="000000" w:themeColor="text1"/>
          <w:sz w:val="21"/>
          <w:szCs w:val="21"/>
        </w:rPr>
        <w:t xml:space="preserve"> </w:t>
      </w:r>
      <w:r w:rsidR="0006660F" w:rsidRPr="00DC03F7">
        <w:rPr>
          <w:rFonts w:ascii="Times New Roman" w:eastAsia="Times New Roman" w:hAnsi="Times New Roman" w:cs="Times New Roman"/>
          <w:sz w:val="21"/>
          <w:szCs w:val="21"/>
          <w:lang w:val="es-ES" w:eastAsia="es-ES_tradnl"/>
        </w:rPr>
        <w:t>(</w:t>
      </w:r>
      <w:hyperlink r:id="rId13" w:history="1">
        <w:r w:rsidR="008103C7" w:rsidRPr="00A010D5">
          <w:rPr>
            <w:rStyle w:val="Hyperlink"/>
            <w:rFonts w:ascii="Times New Roman" w:eastAsia="Times New Roman" w:hAnsi="Times New Roman" w:cs="Times New Roman"/>
            <w:b/>
            <w:sz w:val="21"/>
            <w:szCs w:val="21"/>
            <w:lang w:val="es-ES" w:eastAsia="es-ES_tradnl"/>
          </w:rPr>
          <w:t xml:space="preserve">Caso 1 </w:t>
        </w:r>
        <w:r w:rsidR="00BC296E" w:rsidRPr="00A010D5">
          <w:rPr>
            <w:rStyle w:val="Hyperlink"/>
            <w:rFonts w:ascii="Times New Roman" w:eastAsia="Times New Roman" w:hAnsi="Times New Roman" w:cs="Times New Roman"/>
            <w:b/>
            <w:sz w:val="21"/>
            <w:szCs w:val="21"/>
            <w:lang w:val="es-ES" w:eastAsia="es-ES_tradnl"/>
          </w:rPr>
          <w:t>–</w:t>
        </w:r>
        <w:r w:rsidR="008103C7" w:rsidRPr="00A010D5">
          <w:rPr>
            <w:rStyle w:val="Hyperlink"/>
            <w:rFonts w:ascii="Times New Roman" w:eastAsia="Times New Roman" w:hAnsi="Times New Roman" w:cs="Times New Roman"/>
            <w:b/>
            <w:sz w:val="21"/>
            <w:szCs w:val="21"/>
            <w:lang w:val="es-ES" w:eastAsia="es-ES_tradnl"/>
          </w:rPr>
          <w:t xml:space="preserve"> A</w:t>
        </w:r>
        <w:r w:rsidR="00BC296E" w:rsidRPr="00A010D5">
          <w:rPr>
            <w:rStyle w:val="Hyperlink"/>
            <w:rFonts w:ascii="Times New Roman" w:eastAsia="Times New Roman" w:hAnsi="Times New Roman" w:cs="Times New Roman"/>
            <w:b/>
            <w:sz w:val="21"/>
            <w:szCs w:val="21"/>
            <w:lang w:val="es-ES" w:eastAsia="es-ES_tradnl"/>
          </w:rPr>
          <w:t>.</w:t>
        </w:r>
        <w:r w:rsidR="008103C7" w:rsidRPr="00A010D5">
          <w:rPr>
            <w:rStyle w:val="Hyperlink"/>
            <w:rFonts w:ascii="Times New Roman" w:eastAsia="Times New Roman" w:hAnsi="Times New Roman" w:cs="Times New Roman"/>
            <w:b/>
            <w:sz w:val="21"/>
            <w:szCs w:val="21"/>
            <w:lang w:val="es-ES" w:eastAsia="es-ES_tradnl"/>
          </w:rPr>
          <w:t>B</w:t>
        </w:r>
        <w:r w:rsidR="00BC296E" w:rsidRPr="00A010D5">
          <w:rPr>
            <w:rStyle w:val="Hyperlink"/>
            <w:rFonts w:ascii="Times New Roman" w:eastAsia="Times New Roman" w:hAnsi="Times New Roman" w:cs="Times New Roman"/>
            <w:b/>
            <w:sz w:val="21"/>
            <w:szCs w:val="21"/>
            <w:lang w:val="es-ES" w:eastAsia="es-ES_tradnl"/>
          </w:rPr>
          <w:t>.</w:t>
        </w:r>
        <w:r w:rsidR="008103C7" w:rsidRPr="00A010D5">
          <w:rPr>
            <w:rStyle w:val="Hyperlink"/>
            <w:rFonts w:ascii="Times New Roman" w:eastAsia="Times New Roman" w:hAnsi="Times New Roman" w:cs="Times New Roman"/>
            <w:b/>
            <w:sz w:val="21"/>
            <w:szCs w:val="21"/>
            <w:lang w:val="es-ES" w:eastAsia="es-ES_tradnl"/>
          </w:rPr>
          <w:t>M</w:t>
        </w:r>
        <w:r w:rsidR="00BC296E" w:rsidRPr="00A010D5">
          <w:rPr>
            <w:rStyle w:val="Hyperlink"/>
            <w:rFonts w:ascii="Times New Roman" w:eastAsia="Times New Roman" w:hAnsi="Times New Roman" w:cs="Times New Roman"/>
            <w:b/>
            <w:sz w:val="21"/>
            <w:szCs w:val="21"/>
            <w:lang w:val="es-ES" w:eastAsia="es-ES_tradnl"/>
          </w:rPr>
          <w:t>.</w:t>
        </w:r>
      </w:hyperlink>
      <w:r w:rsidR="008103C7" w:rsidRPr="00DC03F7">
        <w:rPr>
          <w:rFonts w:ascii="Times New Roman" w:eastAsia="Times New Roman" w:hAnsi="Times New Roman" w:cs="Times New Roman"/>
          <w:b/>
          <w:sz w:val="21"/>
          <w:szCs w:val="21"/>
          <w:lang w:val="es-ES" w:eastAsia="es-ES_tradnl"/>
        </w:rPr>
        <w:t xml:space="preserve"> y </w:t>
      </w:r>
      <w:hyperlink r:id="rId14" w:history="1">
        <w:r w:rsidR="008103C7" w:rsidRPr="00A010D5">
          <w:rPr>
            <w:rStyle w:val="Hyperlink"/>
            <w:rFonts w:ascii="Times New Roman" w:eastAsia="Times New Roman" w:hAnsi="Times New Roman" w:cs="Times New Roman"/>
            <w:b/>
            <w:sz w:val="21"/>
            <w:szCs w:val="21"/>
            <w:lang w:val="es-ES" w:eastAsia="es-ES_tradnl"/>
          </w:rPr>
          <w:t xml:space="preserve">Caso 2 </w:t>
        </w:r>
        <w:r w:rsidR="009A498D" w:rsidRPr="00A010D5">
          <w:rPr>
            <w:rStyle w:val="Hyperlink"/>
            <w:rFonts w:ascii="Times New Roman" w:eastAsia="Times New Roman" w:hAnsi="Times New Roman" w:cs="Times New Roman"/>
            <w:b/>
            <w:sz w:val="21"/>
            <w:szCs w:val="21"/>
            <w:lang w:val="es-ES" w:eastAsia="es-ES_tradnl"/>
          </w:rPr>
          <w:t>–</w:t>
        </w:r>
        <w:r w:rsidR="008103C7" w:rsidRPr="00A010D5">
          <w:rPr>
            <w:rStyle w:val="Hyperlink"/>
            <w:rFonts w:ascii="Times New Roman" w:eastAsia="Times New Roman" w:hAnsi="Times New Roman" w:cs="Times New Roman"/>
            <w:b/>
            <w:sz w:val="21"/>
            <w:szCs w:val="21"/>
            <w:lang w:val="es-ES" w:eastAsia="es-ES_tradnl"/>
          </w:rPr>
          <w:t xml:space="preserve"> G.J</w:t>
        </w:r>
        <w:r w:rsidR="0006660F" w:rsidRPr="00A010D5">
          <w:rPr>
            <w:rStyle w:val="Hyperlink"/>
            <w:rFonts w:ascii="Times New Roman" w:eastAsia="Times New Roman" w:hAnsi="Times New Roman" w:cs="Times New Roman"/>
            <w:sz w:val="21"/>
            <w:szCs w:val="21"/>
            <w:lang w:val="es-ES" w:eastAsia="es-ES_tradnl"/>
          </w:rPr>
          <w:t>.</w:t>
        </w:r>
      </w:hyperlink>
      <w:r w:rsidR="0006660F" w:rsidRPr="00DC03F7">
        <w:rPr>
          <w:rFonts w:ascii="Times New Roman" w:eastAsia="Times New Roman" w:hAnsi="Times New Roman" w:cs="Times New Roman"/>
          <w:sz w:val="21"/>
          <w:szCs w:val="21"/>
          <w:lang w:val="es-ES" w:eastAsia="es-ES_tradnl"/>
        </w:rPr>
        <w:t>)</w:t>
      </w:r>
      <w:r w:rsidR="008347FC" w:rsidRPr="00DC03F7">
        <w:rPr>
          <w:rStyle w:val="PageNumber"/>
          <w:rFonts w:ascii="Times New Roman" w:hAnsi="Times New Roman" w:cs="Times New Roman"/>
          <w:color w:val="000000" w:themeColor="text1"/>
          <w:sz w:val="21"/>
          <w:szCs w:val="21"/>
        </w:rPr>
        <w:t>.</w:t>
      </w:r>
    </w:p>
    <w:p w14:paraId="308C85E1" w14:textId="77777777" w:rsidR="00624163" w:rsidRPr="00DC03F7" w:rsidRDefault="00624163" w:rsidP="00624163">
      <w:pPr>
        <w:spacing w:line="276" w:lineRule="auto"/>
        <w:jc w:val="both"/>
        <w:rPr>
          <w:sz w:val="21"/>
          <w:szCs w:val="21"/>
        </w:rPr>
      </w:pPr>
    </w:p>
    <w:p w14:paraId="19F8C941" w14:textId="77777777" w:rsidR="00624163" w:rsidRPr="00DC03F7" w:rsidRDefault="00624163" w:rsidP="00624163">
      <w:pPr>
        <w:spacing w:line="276" w:lineRule="auto"/>
        <w:ind w:left="708"/>
        <w:jc w:val="both"/>
        <w:rPr>
          <w:b/>
          <w:i/>
          <w:sz w:val="21"/>
          <w:szCs w:val="21"/>
        </w:rPr>
      </w:pPr>
      <w:r w:rsidRPr="00DC03F7">
        <w:rPr>
          <w:b/>
          <w:i/>
          <w:sz w:val="21"/>
          <w:szCs w:val="21"/>
        </w:rPr>
        <w:t>Sobre la</w:t>
      </w:r>
      <w:r w:rsidR="003D2CB3" w:rsidRPr="00DC03F7">
        <w:rPr>
          <w:b/>
          <w:i/>
          <w:sz w:val="21"/>
          <w:szCs w:val="21"/>
        </w:rPr>
        <w:t xml:space="preserve"> obligación de</w:t>
      </w:r>
      <w:r w:rsidRPr="00DC03F7">
        <w:rPr>
          <w:b/>
          <w:i/>
          <w:sz w:val="21"/>
          <w:szCs w:val="21"/>
        </w:rPr>
        <w:t xml:space="preserve"> identificación de niñas</w:t>
      </w:r>
      <w:r w:rsidR="003D2CB3" w:rsidRPr="00DC03F7">
        <w:rPr>
          <w:b/>
          <w:i/>
          <w:sz w:val="21"/>
          <w:szCs w:val="21"/>
        </w:rPr>
        <w:t xml:space="preserve"> víctimas de trata</w:t>
      </w:r>
      <w:r w:rsidRPr="00DC03F7">
        <w:rPr>
          <w:b/>
          <w:i/>
          <w:sz w:val="21"/>
          <w:szCs w:val="21"/>
        </w:rPr>
        <w:t>. -</w:t>
      </w:r>
    </w:p>
    <w:p w14:paraId="784D8526" w14:textId="77777777" w:rsidR="002504E0" w:rsidRPr="00DC03F7" w:rsidRDefault="002504E0" w:rsidP="00E819C9">
      <w:pPr>
        <w:spacing w:line="276" w:lineRule="auto"/>
        <w:jc w:val="both"/>
        <w:rPr>
          <w:sz w:val="21"/>
          <w:szCs w:val="21"/>
        </w:rPr>
      </w:pPr>
    </w:p>
    <w:p w14:paraId="50F9E808" w14:textId="0CDC0091" w:rsidR="00B26D00" w:rsidRPr="00DC03F7" w:rsidRDefault="003D2CB3" w:rsidP="00B26D00">
      <w:pPr>
        <w:pStyle w:val="ListParagraph"/>
        <w:numPr>
          <w:ilvl w:val="0"/>
          <w:numId w:val="9"/>
        </w:numPr>
        <w:spacing w:line="276" w:lineRule="auto"/>
        <w:ind w:left="0"/>
        <w:jc w:val="both"/>
        <w:rPr>
          <w:rFonts w:ascii="Times New Roman" w:hAnsi="Times New Roman" w:cs="Times New Roman"/>
          <w:sz w:val="21"/>
          <w:szCs w:val="21"/>
          <w:lang w:val="es-ES"/>
        </w:rPr>
      </w:pPr>
      <w:r w:rsidRPr="00DC03F7">
        <w:rPr>
          <w:rFonts w:ascii="Times New Roman" w:hAnsi="Times New Roman" w:cs="Times New Roman"/>
          <w:sz w:val="21"/>
          <w:szCs w:val="21"/>
          <w:lang w:val="es-ES"/>
        </w:rPr>
        <w:t>La ob</w:t>
      </w:r>
      <w:r w:rsidR="00B208F1" w:rsidRPr="00DC03F7">
        <w:rPr>
          <w:rFonts w:ascii="Times New Roman" w:hAnsi="Times New Roman" w:cs="Times New Roman"/>
          <w:sz w:val="21"/>
          <w:szCs w:val="21"/>
          <w:lang w:val="es-ES"/>
        </w:rPr>
        <w:t xml:space="preserve">ligación de debida diligencia de los Estados en cuanto a la </w:t>
      </w:r>
      <w:r w:rsidR="008D57A1" w:rsidRPr="00DC03F7">
        <w:rPr>
          <w:rFonts w:ascii="Times New Roman" w:hAnsi="Times New Roman" w:cs="Times New Roman"/>
          <w:sz w:val="21"/>
          <w:szCs w:val="21"/>
          <w:lang w:val="es-ES"/>
        </w:rPr>
        <w:t xml:space="preserve">identificación </w:t>
      </w:r>
      <w:r w:rsidR="00432444" w:rsidRPr="00DC03F7">
        <w:rPr>
          <w:rFonts w:ascii="Times New Roman" w:hAnsi="Times New Roman" w:cs="Times New Roman"/>
          <w:sz w:val="21"/>
          <w:szCs w:val="21"/>
          <w:lang w:val="es-ES"/>
        </w:rPr>
        <w:t>de</w:t>
      </w:r>
      <w:r w:rsidR="008D57A1" w:rsidRPr="00DC03F7">
        <w:rPr>
          <w:rFonts w:ascii="Times New Roman" w:hAnsi="Times New Roman" w:cs="Times New Roman"/>
          <w:sz w:val="21"/>
          <w:szCs w:val="21"/>
          <w:lang w:val="es-ES"/>
        </w:rPr>
        <w:t xml:space="preserve"> </w:t>
      </w:r>
      <w:r w:rsidR="00B208F1" w:rsidRPr="00DC03F7">
        <w:rPr>
          <w:rFonts w:ascii="Times New Roman" w:hAnsi="Times New Roman" w:cs="Times New Roman"/>
          <w:sz w:val="21"/>
          <w:szCs w:val="21"/>
          <w:lang w:val="es-ES"/>
        </w:rPr>
        <w:t>niñas víctimas de trata es reforzada toda vez que su situación de víctimas de trata se cruza con las circunstancias especiales de su minoría de edad.</w:t>
      </w:r>
      <w:r w:rsidR="008D57A1" w:rsidRPr="00DC03F7">
        <w:rPr>
          <w:rFonts w:ascii="Times New Roman" w:hAnsi="Times New Roman" w:cs="Times New Roman"/>
          <w:sz w:val="21"/>
          <w:szCs w:val="21"/>
          <w:lang w:val="es-ES"/>
        </w:rPr>
        <w:t xml:space="preserve"> Sin embargo, se ha demostrado que los Estados, de manera generalizada, no aplican en los procesos de identificación un enfoque de derechos humanos</w:t>
      </w:r>
      <w:r w:rsidR="00215892" w:rsidRPr="00DC03F7">
        <w:rPr>
          <w:rFonts w:ascii="Times New Roman" w:hAnsi="Times New Roman" w:cs="Times New Roman"/>
          <w:sz w:val="21"/>
          <w:szCs w:val="21"/>
          <w:lang w:val="es-ES"/>
        </w:rPr>
        <w:t xml:space="preserve"> con</w:t>
      </w:r>
      <w:r w:rsidR="008D57A1" w:rsidRPr="00DC03F7">
        <w:rPr>
          <w:rFonts w:ascii="Times New Roman" w:hAnsi="Times New Roman" w:cs="Times New Roman"/>
          <w:sz w:val="21"/>
          <w:szCs w:val="21"/>
          <w:lang w:val="es-ES"/>
        </w:rPr>
        <w:t xml:space="preserve"> perspectiva de género </w:t>
      </w:r>
      <w:r w:rsidR="003E0780" w:rsidRPr="00DC03F7">
        <w:rPr>
          <w:rFonts w:ascii="Times New Roman" w:hAnsi="Times New Roman" w:cs="Times New Roman"/>
          <w:sz w:val="21"/>
          <w:szCs w:val="21"/>
          <w:lang w:val="es-ES"/>
        </w:rPr>
        <w:t xml:space="preserve">y </w:t>
      </w:r>
      <w:r w:rsidR="008D57A1" w:rsidRPr="00DC03F7">
        <w:rPr>
          <w:rFonts w:ascii="Times New Roman" w:hAnsi="Times New Roman" w:cs="Times New Roman"/>
          <w:sz w:val="21"/>
          <w:szCs w:val="21"/>
          <w:lang w:val="es-ES"/>
        </w:rPr>
        <w:t>enfoque de infancia, lo cual genera</w:t>
      </w:r>
      <w:r w:rsidR="00394139" w:rsidRPr="00DC03F7">
        <w:rPr>
          <w:rFonts w:ascii="Times New Roman" w:hAnsi="Times New Roman" w:cs="Times New Roman"/>
          <w:sz w:val="21"/>
          <w:szCs w:val="21"/>
          <w:lang w:val="es-ES"/>
        </w:rPr>
        <w:t xml:space="preserve"> que muchas niñas no sean identificad</w:t>
      </w:r>
      <w:r w:rsidR="00215892" w:rsidRPr="00DC03F7">
        <w:rPr>
          <w:rFonts w:ascii="Times New Roman" w:hAnsi="Times New Roman" w:cs="Times New Roman"/>
          <w:sz w:val="21"/>
          <w:szCs w:val="21"/>
          <w:lang w:val="es-ES"/>
        </w:rPr>
        <w:t>a</w:t>
      </w:r>
      <w:r w:rsidR="00394139" w:rsidRPr="00DC03F7">
        <w:rPr>
          <w:rFonts w:ascii="Times New Roman" w:hAnsi="Times New Roman" w:cs="Times New Roman"/>
          <w:sz w:val="21"/>
          <w:szCs w:val="21"/>
          <w:lang w:val="es-ES"/>
        </w:rPr>
        <w:t>s como víctimas de trata y</w:t>
      </w:r>
      <w:r w:rsidR="00215892" w:rsidRPr="00DC03F7">
        <w:rPr>
          <w:rFonts w:ascii="Times New Roman" w:hAnsi="Times New Roman" w:cs="Times New Roman"/>
          <w:sz w:val="21"/>
          <w:szCs w:val="21"/>
          <w:lang w:val="es-ES"/>
        </w:rPr>
        <w:t>,</w:t>
      </w:r>
      <w:r w:rsidR="00394139" w:rsidRPr="00DC03F7">
        <w:rPr>
          <w:rFonts w:ascii="Times New Roman" w:hAnsi="Times New Roman" w:cs="Times New Roman"/>
          <w:sz w:val="21"/>
          <w:szCs w:val="21"/>
          <w:lang w:val="es-ES"/>
        </w:rPr>
        <w:t xml:space="preserve"> con ello</w:t>
      </w:r>
      <w:r w:rsidR="00215892" w:rsidRPr="00DC03F7">
        <w:rPr>
          <w:rFonts w:ascii="Times New Roman" w:hAnsi="Times New Roman" w:cs="Times New Roman"/>
          <w:sz w:val="21"/>
          <w:szCs w:val="21"/>
          <w:lang w:val="es-ES"/>
        </w:rPr>
        <w:t>,</w:t>
      </w:r>
      <w:r w:rsidR="00394139" w:rsidRPr="00DC03F7">
        <w:rPr>
          <w:rFonts w:ascii="Times New Roman" w:hAnsi="Times New Roman" w:cs="Times New Roman"/>
          <w:sz w:val="21"/>
          <w:szCs w:val="21"/>
          <w:lang w:val="es-ES"/>
        </w:rPr>
        <w:t xml:space="preserve"> se niegue</w:t>
      </w:r>
      <w:r w:rsidR="00215892" w:rsidRPr="00DC03F7">
        <w:rPr>
          <w:rFonts w:ascii="Times New Roman" w:hAnsi="Times New Roman" w:cs="Times New Roman"/>
          <w:sz w:val="21"/>
          <w:szCs w:val="21"/>
          <w:lang w:val="es-ES"/>
        </w:rPr>
        <w:t>n</w:t>
      </w:r>
      <w:r w:rsidR="00394139" w:rsidRPr="00DC03F7">
        <w:rPr>
          <w:rFonts w:ascii="Times New Roman" w:hAnsi="Times New Roman" w:cs="Times New Roman"/>
          <w:sz w:val="21"/>
          <w:szCs w:val="21"/>
          <w:lang w:val="es-ES"/>
        </w:rPr>
        <w:t xml:space="preserve"> las medidas de protección necesarias a la</w:t>
      </w:r>
      <w:r w:rsidR="008F299C" w:rsidRPr="00DC03F7">
        <w:rPr>
          <w:rFonts w:ascii="Times New Roman" w:hAnsi="Times New Roman" w:cs="Times New Roman"/>
          <w:sz w:val="21"/>
          <w:szCs w:val="21"/>
          <w:lang w:val="es-ES"/>
        </w:rPr>
        <w:t>s</w:t>
      </w:r>
      <w:r w:rsidR="00394139" w:rsidRPr="00DC03F7">
        <w:rPr>
          <w:rFonts w:ascii="Times New Roman" w:hAnsi="Times New Roman" w:cs="Times New Roman"/>
          <w:sz w:val="21"/>
          <w:szCs w:val="21"/>
          <w:lang w:val="es-ES"/>
        </w:rPr>
        <w:t xml:space="preserve"> que tienen derecho. (</w:t>
      </w:r>
      <w:r w:rsidR="00394139" w:rsidRPr="00DC03F7">
        <w:rPr>
          <w:rFonts w:ascii="Times New Roman" w:hAnsi="Times New Roman" w:cs="Times New Roman"/>
          <w:b/>
          <w:sz w:val="21"/>
          <w:szCs w:val="21"/>
          <w:lang w:val="es-ES"/>
        </w:rPr>
        <w:t xml:space="preserve">ver </w:t>
      </w:r>
      <w:hyperlink r:id="rId15" w:history="1">
        <w:r w:rsidR="00BC296E" w:rsidRPr="00A010D5">
          <w:rPr>
            <w:rStyle w:val="Hyperlink"/>
            <w:rFonts w:ascii="Times New Roman" w:hAnsi="Times New Roman" w:cs="Times New Roman"/>
            <w:b/>
            <w:sz w:val="21"/>
            <w:szCs w:val="21"/>
            <w:lang w:val="es-ES"/>
          </w:rPr>
          <w:t>C</w:t>
        </w:r>
        <w:r w:rsidR="00394139" w:rsidRPr="00A010D5">
          <w:rPr>
            <w:rStyle w:val="Hyperlink"/>
            <w:rFonts w:ascii="Times New Roman" w:hAnsi="Times New Roman" w:cs="Times New Roman"/>
            <w:b/>
            <w:sz w:val="21"/>
            <w:szCs w:val="21"/>
            <w:lang w:val="es-ES"/>
          </w:rPr>
          <w:t>aso</w:t>
        </w:r>
        <w:r w:rsidR="00BC296E" w:rsidRPr="00A010D5">
          <w:rPr>
            <w:rStyle w:val="Hyperlink"/>
            <w:rFonts w:ascii="Times New Roman" w:hAnsi="Times New Roman" w:cs="Times New Roman"/>
            <w:b/>
            <w:sz w:val="21"/>
            <w:szCs w:val="21"/>
            <w:lang w:val="es-ES"/>
          </w:rPr>
          <w:t xml:space="preserve"> 3 </w:t>
        </w:r>
        <w:r w:rsidR="009A498D" w:rsidRPr="00A010D5">
          <w:rPr>
            <w:rStyle w:val="Hyperlink"/>
            <w:rFonts w:ascii="Times New Roman" w:hAnsi="Times New Roman" w:cs="Times New Roman"/>
            <w:b/>
            <w:sz w:val="21"/>
            <w:szCs w:val="21"/>
            <w:lang w:val="es-ES"/>
          </w:rPr>
          <w:t>–</w:t>
        </w:r>
        <w:r w:rsidR="00394139" w:rsidRPr="00A010D5">
          <w:rPr>
            <w:rStyle w:val="Hyperlink"/>
            <w:rFonts w:ascii="Times New Roman" w:hAnsi="Times New Roman" w:cs="Times New Roman"/>
            <w:b/>
            <w:sz w:val="21"/>
            <w:szCs w:val="21"/>
            <w:lang w:val="es-ES"/>
          </w:rPr>
          <w:t xml:space="preserve"> R.R.</w:t>
        </w:r>
      </w:hyperlink>
      <w:r w:rsidR="00394139" w:rsidRPr="00DC03F7">
        <w:rPr>
          <w:rFonts w:ascii="Times New Roman" w:hAnsi="Times New Roman" w:cs="Times New Roman"/>
          <w:b/>
          <w:sz w:val="21"/>
          <w:szCs w:val="21"/>
          <w:lang w:val="es-ES"/>
        </w:rPr>
        <w:t>)</w:t>
      </w:r>
      <w:r w:rsidR="00DF785C" w:rsidRPr="00DC03F7">
        <w:rPr>
          <w:rFonts w:ascii="Times New Roman" w:hAnsi="Times New Roman" w:cs="Times New Roman"/>
          <w:sz w:val="21"/>
          <w:szCs w:val="21"/>
          <w:lang w:val="es-ES"/>
        </w:rPr>
        <w:t xml:space="preserve"> </w:t>
      </w:r>
    </w:p>
    <w:p w14:paraId="1E476408" w14:textId="77777777" w:rsidR="00B26D00" w:rsidRPr="00DC03F7" w:rsidRDefault="00B26D00" w:rsidP="00B26D00">
      <w:pPr>
        <w:pStyle w:val="ListParagraph"/>
        <w:spacing w:line="276" w:lineRule="auto"/>
        <w:ind w:left="0"/>
        <w:jc w:val="both"/>
        <w:rPr>
          <w:rFonts w:ascii="Times New Roman" w:hAnsi="Times New Roman" w:cs="Times New Roman"/>
          <w:sz w:val="21"/>
          <w:szCs w:val="21"/>
          <w:lang w:val="es-ES"/>
        </w:rPr>
      </w:pPr>
    </w:p>
    <w:p w14:paraId="33D55AAD" w14:textId="18036C75" w:rsidR="003D2CB3" w:rsidRPr="00DC03F7" w:rsidRDefault="00A93F57" w:rsidP="00B26D00">
      <w:pPr>
        <w:pStyle w:val="ListParagraph"/>
        <w:numPr>
          <w:ilvl w:val="0"/>
          <w:numId w:val="9"/>
        </w:numPr>
        <w:spacing w:line="276" w:lineRule="auto"/>
        <w:ind w:left="0"/>
        <w:jc w:val="both"/>
        <w:rPr>
          <w:rFonts w:ascii="Times New Roman" w:hAnsi="Times New Roman" w:cs="Times New Roman"/>
          <w:sz w:val="21"/>
          <w:szCs w:val="21"/>
          <w:lang w:val="es-ES"/>
        </w:rPr>
      </w:pPr>
      <w:r w:rsidRPr="00DC03F7">
        <w:rPr>
          <w:rFonts w:ascii="Times New Roman" w:hAnsi="Times New Roman" w:cs="Times New Roman"/>
          <w:sz w:val="21"/>
          <w:szCs w:val="21"/>
        </w:rPr>
        <w:t>E</w:t>
      </w:r>
      <w:r w:rsidR="00300791" w:rsidRPr="00DC03F7">
        <w:rPr>
          <w:rFonts w:ascii="Times New Roman" w:hAnsi="Times New Roman" w:cs="Times New Roman"/>
          <w:sz w:val="21"/>
          <w:szCs w:val="21"/>
        </w:rPr>
        <w:t xml:space="preserve">s </w:t>
      </w:r>
      <w:r w:rsidR="00D66169" w:rsidRPr="00DC03F7">
        <w:rPr>
          <w:rFonts w:ascii="Times New Roman" w:hAnsi="Times New Roman" w:cs="Times New Roman"/>
          <w:sz w:val="21"/>
          <w:szCs w:val="21"/>
        </w:rPr>
        <w:t xml:space="preserve">habitual </w:t>
      </w:r>
      <w:r w:rsidR="00300791" w:rsidRPr="00DC03F7">
        <w:rPr>
          <w:rFonts w:ascii="Times New Roman" w:hAnsi="Times New Roman" w:cs="Times New Roman"/>
          <w:sz w:val="21"/>
          <w:szCs w:val="21"/>
        </w:rPr>
        <w:t xml:space="preserve">en las prácticas estatales </w:t>
      </w:r>
      <w:r w:rsidR="007D65F7" w:rsidRPr="00DC03F7">
        <w:rPr>
          <w:rFonts w:ascii="Times New Roman" w:hAnsi="Times New Roman" w:cs="Times New Roman"/>
          <w:sz w:val="21"/>
          <w:szCs w:val="21"/>
        </w:rPr>
        <w:t>que,</w:t>
      </w:r>
      <w:r w:rsidR="00300791" w:rsidRPr="00DC03F7">
        <w:rPr>
          <w:rFonts w:ascii="Times New Roman" w:hAnsi="Times New Roman" w:cs="Times New Roman"/>
          <w:sz w:val="21"/>
          <w:szCs w:val="21"/>
        </w:rPr>
        <w:t xml:space="preserve"> </w:t>
      </w:r>
      <w:r w:rsidR="001D31AD" w:rsidRPr="00DC03F7">
        <w:rPr>
          <w:rFonts w:ascii="Times New Roman" w:hAnsi="Times New Roman" w:cs="Times New Roman"/>
          <w:sz w:val="21"/>
          <w:szCs w:val="21"/>
        </w:rPr>
        <w:t>cuando</w:t>
      </w:r>
      <w:r w:rsidR="00300791" w:rsidRPr="00DC03F7">
        <w:rPr>
          <w:rFonts w:ascii="Times New Roman" w:hAnsi="Times New Roman" w:cs="Times New Roman"/>
          <w:sz w:val="21"/>
          <w:szCs w:val="21"/>
        </w:rPr>
        <w:t xml:space="preserve"> una mujer joven sin documentos de identificación y con claros indicios de ser víctima de trata de personas afirma </w:t>
      </w:r>
      <w:r w:rsidR="00215892" w:rsidRPr="00DC03F7">
        <w:rPr>
          <w:rFonts w:ascii="Times New Roman" w:hAnsi="Times New Roman" w:cs="Times New Roman"/>
          <w:sz w:val="21"/>
          <w:szCs w:val="21"/>
        </w:rPr>
        <w:t xml:space="preserve">ser </w:t>
      </w:r>
      <w:r w:rsidR="00300791" w:rsidRPr="00DC03F7">
        <w:rPr>
          <w:rFonts w:ascii="Times New Roman" w:hAnsi="Times New Roman" w:cs="Times New Roman"/>
          <w:sz w:val="21"/>
          <w:szCs w:val="21"/>
        </w:rPr>
        <w:t>mayor de edad, las autoridades</w:t>
      </w:r>
      <w:r w:rsidR="001D31AD" w:rsidRPr="00DC03F7">
        <w:rPr>
          <w:rFonts w:ascii="Times New Roman" w:hAnsi="Times New Roman" w:cs="Times New Roman"/>
          <w:sz w:val="21"/>
          <w:szCs w:val="21"/>
        </w:rPr>
        <w:t xml:space="preserve"> reconozcan</w:t>
      </w:r>
      <w:r w:rsidR="00300791" w:rsidRPr="00DC03F7">
        <w:rPr>
          <w:rFonts w:ascii="Times New Roman" w:hAnsi="Times New Roman" w:cs="Times New Roman"/>
          <w:sz w:val="21"/>
          <w:szCs w:val="21"/>
        </w:rPr>
        <w:t xml:space="preserve"> automáticamente su mayoría de edad</w:t>
      </w:r>
      <w:r w:rsidR="001D31AD" w:rsidRPr="00DC03F7">
        <w:rPr>
          <w:rFonts w:ascii="Times New Roman" w:hAnsi="Times New Roman" w:cs="Times New Roman"/>
          <w:sz w:val="21"/>
          <w:szCs w:val="21"/>
        </w:rPr>
        <w:t xml:space="preserve"> sin </w:t>
      </w:r>
      <w:r w:rsidR="00300791" w:rsidRPr="00DC03F7">
        <w:rPr>
          <w:rFonts w:ascii="Times New Roman" w:hAnsi="Times New Roman" w:cs="Times New Roman"/>
          <w:sz w:val="21"/>
          <w:szCs w:val="21"/>
        </w:rPr>
        <w:t>cuestiona</w:t>
      </w:r>
      <w:r w:rsidR="001D31AD" w:rsidRPr="00DC03F7">
        <w:rPr>
          <w:rFonts w:ascii="Times New Roman" w:hAnsi="Times New Roman" w:cs="Times New Roman"/>
          <w:sz w:val="21"/>
          <w:szCs w:val="21"/>
        </w:rPr>
        <w:t>rla</w:t>
      </w:r>
      <w:r w:rsidRPr="00DC03F7">
        <w:rPr>
          <w:rStyle w:val="FootnoteReference"/>
          <w:rFonts w:ascii="Times New Roman" w:hAnsi="Times New Roman" w:cs="Times New Roman"/>
          <w:sz w:val="21"/>
          <w:szCs w:val="21"/>
        </w:rPr>
        <w:footnoteReference w:id="18"/>
      </w:r>
      <w:r w:rsidR="00300791" w:rsidRPr="00DC03F7">
        <w:rPr>
          <w:rFonts w:ascii="Times New Roman" w:hAnsi="Times New Roman" w:cs="Times New Roman"/>
          <w:sz w:val="21"/>
          <w:szCs w:val="21"/>
        </w:rPr>
        <w:t>.</w:t>
      </w:r>
      <w:r w:rsidR="007D65F7" w:rsidRPr="00DC03F7">
        <w:rPr>
          <w:rFonts w:ascii="Times New Roman" w:hAnsi="Times New Roman" w:cs="Times New Roman"/>
          <w:sz w:val="21"/>
          <w:szCs w:val="21"/>
        </w:rPr>
        <w:t xml:space="preserve"> </w:t>
      </w:r>
      <w:r w:rsidR="0004749A" w:rsidRPr="00DC03F7">
        <w:rPr>
          <w:rFonts w:ascii="Times New Roman" w:hAnsi="Times New Roman" w:cs="Times New Roman"/>
          <w:sz w:val="21"/>
          <w:szCs w:val="21"/>
        </w:rPr>
        <w:t>E</w:t>
      </w:r>
      <w:r w:rsidR="001D31AD" w:rsidRPr="00DC03F7">
        <w:rPr>
          <w:rFonts w:ascii="Times New Roman" w:hAnsi="Times New Roman" w:cs="Times New Roman"/>
          <w:sz w:val="21"/>
          <w:szCs w:val="21"/>
        </w:rPr>
        <w:t>sto</w:t>
      </w:r>
      <w:r w:rsidR="007D65F7" w:rsidRPr="00DC03F7">
        <w:rPr>
          <w:rFonts w:ascii="Times New Roman" w:hAnsi="Times New Roman" w:cs="Times New Roman"/>
          <w:sz w:val="21"/>
          <w:szCs w:val="21"/>
        </w:rPr>
        <w:t xml:space="preserve"> es muy </w:t>
      </w:r>
      <w:r w:rsidR="00AB7DD1" w:rsidRPr="00DC03F7">
        <w:rPr>
          <w:rFonts w:ascii="Times New Roman" w:hAnsi="Times New Roman" w:cs="Times New Roman"/>
          <w:sz w:val="21"/>
          <w:szCs w:val="21"/>
        </w:rPr>
        <w:t>preocupante</w:t>
      </w:r>
      <w:r w:rsidR="007D65F7" w:rsidRPr="00DC03F7">
        <w:rPr>
          <w:rFonts w:ascii="Times New Roman" w:hAnsi="Times New Roman" w:cs="Times New Roman"/>
          <w:sz w:val="21"/>
          <w:szCs w:val="21"/>
        </w:rPr>
        <w:t xml:space="preserve"> porque, debido a las </w:t>
      </w:r>
      <w:r w:rsidR="007D65F7" w:rsidRPr="00DC03F7">
        <w:rPr>
          <w:rFonts w:ascii="Times New Roman" w:hAnsi="Times New Roman" w:cs="Times New Roman"/>
          <w:sz w:val="21"/>
          <w:szCs w:val="21"/>
        </w:rPr>
        <w:lastRenderedPageBreak/>
        <w:t xml:space="preserve">dinámicas propias de las redes de trata de personas, las niñas y niños son obligados a afirmar su mayoría de edad por sus tratantes </w:t>
      </w:r>
      <w:r w:rsidR="000410C6" w:rsidRPr="00DC03F7">
        <w:rPr>
          <w:rFonts w:ascii="Times New Roman" w:hAnsi="Times New Roman" w:cs="Times New Roman"/>
          <w:sz w:val="21"/>
          <w:szCs w:val="21"/>
        </w:rPr>
        <w:t>con el fin de que</w:t>
      </w:r>
      <w:r w:rsidR="007D65F7" w:rsidRPr="00DC03F7">
        <w:rPr>
          <w:rFonts w:ascii="Times New Roman" w:hAnsi="Times New Roman" w:cs="Times New Roman"/>
          <w:sz w:val="21"/>
          <w:szCs w:val="21"/>
        </w:rPr>
        <w:t xml:space="preserve"> las autoridades no pongan en marcha los protocolos especializados </w:t>
      </w:r>
      <w:r w:rsidR="0004749A" w:rsidRPr="00DC03F7">
        <w:rPr>
          <w:rFonts w:ascii="Times New Roman" w:hAnsi="Times New Roman" w:cs="Times New Roman"/>
          <w:sz w:val="21"/>
          <w:szCs w:val="21"/>
        </w:rPr>
        <w:t>de protección a la infancia</w:t>
      </w:r>
      <w:r w:rsidR="007D65F7" w:rsidRPr="00DC03F7">
        <w:rPr>
          <w:rFonts w:ascii="Times New Roman" w:hAnsi="Times New Roman" w:cs="Times New Roman"/>
          <w:sz w:val="21"/>
          <w:szCs w:val="21"/>
        </w:rPr>
        <w:t>.</w:t>
      </w:r>
      <w:r w:rsidR="007C1A9B" w:rsidRPr="00DC03F7">
        <w:rPr>
          <w:rFonts w:ascii="Times New Roman" w:hAnsi="Times New Roman" w:cs="Times New Roman"/>
          <w:sz w:val="21"/>
          <w:szCs w:val="21"/>
        </w:rPr>
        <w:t xml:space="preserve"> En contraste, cuando una mujer joven afirma </w:t>
      </w:r>
      <w:r w:rsidR="009B5E2D" w:rsidRPr="00DC03F7">
        <w:rPr>
          <w:rFonts w:ascii="Times New Roman" w:hAnsi="Times New Roman" w:cs="Times New Roman"/>
          <w:sz w:val="21"/>
          <w:szCs w:val="21"/>
        </w:rPr>
        <w:t>ser</w:t>
      </w:r>
      <w:r w:rsidR="007C1A9B" w:rsidRPr="00DC03F7">
        <w:rPr>
          <w:rFonts w:ascii="Times New Roman" w:hAnsi="Times New Roman" w:cs="Times New Roman"/>
          <w:sz w:val="21"/>
          <w:szCs w:val="21"/>
        </w:rPr>
        <w:t xml:space="preserve"> menor de edad frente a las autoridades competentes </w:t>
      </w:r>
      <w:r w:rsidR="00484C4B" w:rsidRPr="00DC03F7">
        <w:rPr>
          <w:rFonts w:ascii="Times New Roman" w:hAnsi="Times New Roman" w:cs="Times New Roman"/>
          <w:sz w:val="21"/>
          <w:szCs w:val="21"/>
        </w:rPr>
        <w:t>para la</w:t>
      </w:r>
      <w:r w:rsidR="007C1A9B" w:rsidRPr="00DC03F7">
        <w:rPr>
          <w:rFonts w:ascii="Times New Roman" w:hAnsi="Times New Roman" w:cs="Times New Roman"/>
          <w:sz w:val="21"/>
          <w:szCs w:val="21"/>
        </w:rPr>
        <w:t xml:space="preserve"> identificación de víctimas de trata, la credibilidad de dicha afirmación es cuestionada con base en estereotipos de género, raciales o interseccionales y con ello, </w:t>
      </w:r>
      <w:r w:rsidR="009E3861" w:rsidRPr="00DC03F7">
        <w:rPr>
          <w:rFonts w:ascii="Times New Roman" w:hAnsi="Times New Roman" w:cs="Times New Roman"/>
          <w:sz w:val="21"/>
          <w:szCs w:val="21"/>
        </w:rPr>
        <w:t xml:space="preserve">se impide </w:t>
      </w:r>
      <w:r w:rsidR="00D93459" w:rsidRPr="00DC03F7">
        <w:rPr>
          <w:rFonts w:ascii="Times New Roman" w:hAnsi="Times New Roman" w:cs="Times New Roman"/>
          <w:sz w:val="21"/>
          <w:szCs w:val="21"/>
        </w:rPr>
        <w:t>e</w:t>
      </w:r>
      <w:r w:rsidR="007C1A9B" w:rsidRPr="00DC03F7">
        <w:rPr>
          <w:rFonts w:ascii="Times New Roman" w:hAnsi="Times New Roman" w:cs="Times New Roman"/>
          <w:sz w:val="21"/>
          <w:szCs w:val="21"/>
        </w:rPr>
        <w:t>l acceso a medidas de protección especializada</w:t>
      </w:r>
      <w:r w:rsidR="00B26D00" w:rsidRPr="00DC03F7">
        <w:rPr>
          <w:rFonts w:ascii="Times New Roman" w:hAnsi="Times New Roman" w:cs="Times New Roman"/>
          <w:sz w:val="21"/>
          <w:szCs w:val="21"/>
        </w:rPr>
        <w:t xml:space="preserve">. </w:t>
      </w:r>
      <w:r w:rsidR="00D93459" w:rsidRPr="00DC03F7">
        <w:rPr>
          <w:rFonts w:ascii="Times New Roman" w:hAnsi="Times New Roman" w:cs="Times New Roman"/>
          <w:sz w:val="21"/>
          <w:szCs w:val="21"/>
        </w:rPr>
        <w:t>D</w:t>
      </w:r>
      <w:r w:rsidR="00B26D00" w:rsidRPr="00DC03F7">
        <w:rPr>
          <w:rFonts w:ascii="Times New Roman" w:hAnsi="Times New Roman" w:cs="Times New Roman"/>
          <w:sz w:val="21"/>
          <w:szCs w:val="21"/>
        </w:rPr>
        <w:t>ebido a la falta de identificación y</w:t>
      </w:r>
      <w:r w:rsidR="00D93459" w:rsidRPr="00DC03F7">
        <w:rPr>
          <w:rFonts w:ascii="Times New Roman" w:hAnsi="Times New Roman" w:cs="Times New Roman"/>
          <w:sz w:val="21"/>
          <w:szCs w:val="21"/>
        </w:rPr>
        <w:t xml:space="preserve"> a</w:t>
      </w:r>
      <w:r w:rsidR="00B26D00" w:rsidRPr="00DC03F7">
        <w:rPr>
          <w:rFonts w:ascii="Times New Roman" w:hAnsi="Times New Roman" w:cs="Times New Roman"/>
          <w:sz w:val="21"/>
          <w:szCs w:val="21"/>
        </w:rPr>
        <w:t xml:space="preserve"> la falta de credibilidad otorgada a los niños/as, much</w:t>
      </w:r>
      <w:r w:rsidR="00D93459" w:rsidRPr="00DC03F7">
        <w:rPr>
          <w:rFonts w:ascii="Times New Roman" w:hAnsi="Times New Roman" w:cs="Times New Roman"/>
          <w:sz w:val="21"/>
          <w:szCs w:val="21"/>
        </w:rPr>
        <w:t>a</w:t>
      </w:r>
      <w:r w:rsidR="00B26D00" w:rsidRPr="00DC03F7">
        <w:rPr>
          <w:rFonts w:ascii="Times New Roman" w:hAnsi="Times New Roman" w:cs="Times New Roman"/>
          <w:sz w:val="21"/>
          <w:szCs w:val="21"/>
        </w:rPr>
        <w:t>s de ellas y ellos son enviados a centros de detención de inmigrantes</w:t>
      </w:r>
      <w:r w:rsidR="00F668F0" w:rsidRPr="00DC03F7">
        <w:rPr>
          <w:rStyle w:val="FootnoteReference"/>
          <w:rFonts w:ascii="Times New Roman" w:hAnsi="Times New Roman" w:cs="Times New Roman"/>
          <w:sz w:val="21"/>
          <w:szCs w:val="21"/>
        </w:rPr>
        <w:footnoteReference w:id="19"/>
      </w:r>
      <w:r w:rsidR="00B26D00" w:rsidRPr="00DC03F7">
        <w:rPr>
          <w:rFonts w:ascii="Times New Roman" w:hAnsi="Times New Roman" w:cs="Times New Roman"/>
          <w:sz w:val="21"/>
          <w:szCs w:val="21"/>
        </w:rPr>
        <w:t>.</w:t>
      </w:r>
    </w:p>
    <w:p w14:paraId="1B047B89" w14:textId="77777777" w:rsidR="008F299C" w:rsidRPr="00DC03F7" w:rsidRDefault="008F299C" w:rsidP="008F299C">
      <w:pPr>
        <w:pStyle w:val="ListParagraph"/>
        <w:spacing w:line="276" w:lineRule="auto"/>
        <w:ind w:left="0"/>
        <w:jc w:val="both"/>
        <w:rPr>
          <w:rFonts w:ascii="Times New Roman" w:hAnsi="Times New Roman" w:cs="Times New Roman"/>
          <w:sz w:val="21"/>
          <w:szCs w:val="21"/>
          <w:lang w:val="es-ES"/>
        </w:rPr>
      </w:pPr>
    </w:p>
    <w:p w14:paraId="160404B3" w14:textId="1D7B6B28" w:rsidR="008D57A1" w:rsidRPr="00DC03F7" w:rsidRDefault="008F299C" w:rsidP="003D2CB3">
      <w:pPr>
        <w:pStyle w:val="ListParagraph"/>
        <w:numPr>
          <w:ilvl w:val="0"/>
          <w:numId w:val="9"/>
        </w:numPr>
        <w:spacing w:line="276" w:lineRule="auto"/>
        <w:ind w:left="0"/>
        <w:jc w:val="both"/>
        <w:rPr>
          <w:rFonts w:ascii="Times New Roman" w:hAnsi="Times New Roman" w:cs="Times New Roman"/>
          <w:sz w:val="21"/>
          <w:szCs w:val="21"/>
          <w:lang w:val="es-ES"/>
        </w:rPr>
      </w:pPr>
      <w:r w:rsidRPr="00DC03F7">
        <w:rPr>
          <w:rFonts w:ascii="Times New Roman" w:hAnsi="Times New Roman" w:cs="Times New Roman"/>
          <w:sz w:val="21"/>
          <w:szCs w:val="21"/>
          <w:lang w:val="es-ES"/>
        </w:rPr>
        <w:t xml:space="preserve">Todos los </w:t>
      </w:r>
      <w:r w:rsidR="00E363D6" w:rsidRPr="00DC03F7">
        <w:rPr>
          <w:rFonts w:ascii="Times New Roman" w:hAnsi="Times New Roman" w:cs="Times New Roman"/>
          <w:sz w:val="21"/>
          <w:szCs w:val="21"/>
          <w:lang w:val="es-ES"/>
        </w:rPr>
        <w:t>instrumentos internacionales y regionales de lucha contra la trata de seres humanos han reconocido en sus definiciones que, cuando se trata de niñas y niños víctimas de trata, su consentimiento es irrelevante</w:t>
      </w:r>
      <w:r w:rsidR="00617F1C" w:rsidRPr="00DC03F7">
        <w:rPr>
          <w:rStyle w:val="FootnoteReference"/>
          <w:rFonts w:ascii="Times New Roman" w:hAnsi="Times New Roman" w:cs="Times New Roman"/>
          <w:sz w:val="21"/>
          <w:szCs w:val="21"/>
          <w:lang w:val="es-ES"/>
        </w:rPr>
        <w:footnoteReference w:id="20"/>
      </w:r>
      <w:r w:rsidR="00E363D6" w:rsidRPr="00DC03F7">
        <w:rPr>
          <w:rFonts w:ascii="Times New Roman" w:hAnsi="Times New Roman" w:cs="Times New Roman"/>
          <w:sz w:val="21"/>
          <w:szCs w:val="21"/>
          <w:lang w:val="es-ES"/>
        </w:rPr>
        <w:t xml:space="preserve">. Esto significa que el estándar de protección es reforzado, </w:t>
      </w:r>
      <w:r w:rsidR="00DF785C" w:rsidRPr="00DC03F7">
        <w:rPr>
          <w:rFonts w:ascii="Times New Roman" w:hAnsi="Times New Roman" w:cs="Times New Roman"/>
          <w:sz w:val="21"/>
          <w:szCs w:val="21"/>
          <w:lang w:val="es-ES"/>
        </w:rPr>
        <w:t>e indica que,</w:t>
      </w:r>
      <w:r w:rsidR="00E363D6" w:rsidRPr="00DC03F7">
        <w:rPr>
          <w:rFonts w:ascii="Times New Roman" w:hAnsi="Times New Roman" w:cs="Times New Roman"/>
          <w:sz w:val="21"/>
          <w:szCs w:val="21"/>
          <w:lang w:val="es-ES"/>
        </w:rPr>
        <w:t xml:space="preserve"> bajo un análisis interseccional de la discriminación</w:t>
      </w:r>
      <w:r w:rsidR="00DF785C" w:rsidRPr="00DC03F7">
        <w:rPr>
          <w:rFonts w:ascii="Times New Roman" w:hAnsi="Times New Roman" w:cs="Times New Roman"/>
          <w:sz w:val="21"/>
          <w:szCs w:val="21"/>
          <w:lang w:val="es-ES"/>
        </w:rPr>
        <w:t xml:space="preserve">, </w:t>
      </w:r>
      <w:r w:rsidR="00E363D6" w:rsidRPr="00DC03F7">
        <w:rPr>
          <w:rFonts w:ascii="Times New Roman" w:hAnsi="Times New Roman" w:cs="Times New Roman"/>
          <w:sz w:val="21"/>
          <w:szCs w:val="21"/>
          <w:lang w:val="es-ES"/>
        </w:rPr>
        <w:t>los Estados debe</w:t>
      </w:r>
      <w:r w:rsidR="00C94B45" w:rsidRPr="00DC03F7">
        <w:rPr>
          <w:rFonts w:ascii="Times New Roman" w:hAnsi="Times New Roman" w:cs="Times New Roman"/>
          <w:sz w:val="21"/>
          <w:szCs w:val="21"/>
          <w:lang w:val="es-ES"/>
        </w:rPr>
        <w:t xml:space="preserve">n presumir la minoría de edad </w:t>
      </w:r>
      <w:r w:rsidR="00F53495" w:rsidRPr="00DC03F7">
        <w:rPr>
          <w:rFonts w:ascii="Times New Roman" w:hAnsi="Times New Roman" w:cs="Times New Roman"/>
          <w:sz w:val="21"/>
          <w:szCs w:val="21"/>
          <w:lang w:val="es-ES"/>
        </w:rPr>
        <w:t xml:space="preserve">en los procesos de identificación de niñas y niños </w:t>
      </w:r>
      <w:r w:rsidR="00C94B45" w:rsidRPr="00DC03F7">
        <w:rPr>
          <w:rFonts w:ascii="Times New Roman" w:hAnsi="Times New Roman" w:cs="Times New Roman"/>
          <w:sz w:val="21"/>
          <w:szCs w:val="21"/>
          <w:lang w:val="es-ES"/>
        </w:rPr>
        <w:t xml:space="preserve">y brindarles las medidas de </w:t>
      </w:r>
      <w:r w:rsidR="00C94B45" w:rsidRPr="00DC03F7">
        <w:rPr>
          <w:rFonts w:ascii="Times New Roman" w:hAnsi="Times New Roman" w:cs="Times New Roman"/>
          <w:sz w:val="21"/>
          <w:szCs w:val="21"/>
          <w:lang w:val="es-ES"/>
        </w:rPr>
        <w:lastRenderedPageBreak/>
        <w:t>protección</w:t>
      </w:r>
      <w:r w:rsidR="00F53495" w:rsidRPr="00DC03F7">
        <w:rPr>
          <w:rFonts w:ascii="Times New Roman" w:hAnsi="Times New Roman" w:cs="Times New Roman"/>
          <w:sz w:val="21"/>
          <w:szCs w:val="21"/>
          <w:lang w:val="es-ES"/>
        </w:rPr>
        <w:t xml:space="preserve"> y</w:t>
      </w:r>
      <w:r w:rsidR="00C94B45" w:rsidRPr="00DC03F7">
        <w:rPr>
          <w:rFonts w:ascii="Times New Roman" w:hAnsi="Times New Roman" w:cs="Times New Roman"/>
          <w:sz w:val="21"/>
          <w:szCs w:val="21"/>
          <w:lang w:val="es-ES"/>
        </w:rPr>
        <w:t xml:space="preserve"> asistencia </w:t>
      </w:r>
      <w:r w:rsidR="00DF785C" w:rsidRPr="00DC03F7">
        <w:rPr>
          <w:rFonts w:ascii="Times New Roman" w:hAnsi="Times New Roman" w:cs="Times New Roman"/>
          <w:sz w:val="21"/>
          <w:szCs w:val="21"/>
          <w:lang w:val="es-ES"/>
        </w:rPr>
        <w:t>confor</w:t>
      </w:r>
      <w:r w:rsidR="00F53495" w:rsidRPr="00DC03F7">
        <w:rPr>
          <w:rFonts w:ascii="Times New Roman" w:hAnsi="Times New Roman" w:cs="Times New Roman"/>
          <w:sz w:val="21"/>
          <w:szCs w:val="21"/>
          <w:lang w:val="es-ES"/>
        </w:rPr>
        <w:t>me a</w:t>
      </w:r>
      <w:r w:rsidR="00C94B45" w:rsidRPr="00DC03F7">
        <w:rPr>
          <w:rFonts w:ascii="Times New Roman" w:hAnsi="Times New Roman" w:cs="Times New Roman"/>
          <w:sz w:val="21"/>
          <w:szCs w:val="21"/>
          <w:lang w:val="es-ES"/>
        </w:rPr>
        <w:t xml:space="preserve"> las necesidades propias de su situación</w:t>
      </w:r>
      <w:r w:rsidR="00DF785C" w:rsidRPr="00DC03F7">
        <w:rPr>
          <w:rFonts w:ascii="Times New Roman" w:hAnsi="Times New Roman" w:cs="Times New Roman"/>
          <w:sz w:val="21"/>
          <w:szCs w:val="21"/>
          <w:lang w:val="es-ES"/>
        </w:rPr>
        <w:t xml:space="preserve"> personal</w:t>
      </w:r>
      <w:r w:rsidR="00C94B45" w:rsidRPr="00DC03F7">
        <w:rPr>
          <w:rFonts w:ascii="Times New Roman" w:hAnsi="Times New Roman" w:cs="Times New Roman"/>
          <w:sz w:val="21"/>
          <w:szCs w:val="21"/>
          <w:lang w:val="es-ES"/>
        </w:rPr>
        <w:t xml:space="preserve"> y </w:t>
      </w:r>
      <w:r w:rsidR="00DF785C" w:rsidRPr="00DC03F7">
        <w:rPr>
          <w:rFonts w:ascii="Times New Roman" w:hAnsi="Times New Roman" w:cs="Times New Roman"/>
          <w:sz w:val="21"/>
          <w:szCs w:val="21"/>
          <w:lang w:val="es-ES"/>
        </w:rPr>
        <w:t xml:space="preserve">su </w:t>
      </w:r>
      <w:r w:rsidR="00C94B45" w:rsidRPr="00DC03F7">
        <w:rPr>
          <w:rFonts w:ascii="Times New Roman" w:hAnsi="Times New Roman" w:cs="Times New Roman"/>
          <w:sz w:val="21"/>
          <w:szCs w:val="21"/>
          <w:lang w:val="es-ES"/>
        </w:rPr>
        <w:t>edad</w:t>
      </w:r>
      <w:r w:rsidR="00831D44" w:rsidRPr="00DC03F7">
        <w:rPr>
          <w:rFonts w:ascii="Times New Roman" w:hAnsi="Times New Roman" w:cs="Times New Roman"/>
          <w:sz w:val="21"/>
          <w:szCs w:val="21"/>
          <w:lang w:val="es-ES"/>
        </w:rPr>
        <w:t>; i</w:t>
      </w:r>
      <w:r w:rsidR="00B26D00" w:rsidRPr="00DC03F7">
        <w:rPr>
          <w:rFonts w:ascii="Times New Roman" w:hAnsi="Times New Roman" w:cs="Times New Roman"/>
          <w:sz w:val="21"/>
          <w:szCs w:val="21"/>
          <w:lang w:val="es-ES"/>
        </w:rPr>
        <w:t>ncluyendo,</w:t>
      </w:r>
      <w:r w:rsidR="00831D44" w:rsidRPr="00DC03F7">
        <w:rPr>
          <w:rFonts w:ascii="Times New Roman" w:hAnsi="Times New Roman" w:cs="Times New Roman"/>
          <w:sz w:val="21"/>
          <w:szCs w:val="21"/>
          <w:lang w:val="es-ES"/>
        </w:rPr>
        <w:t xml:space="preserve"> la existencia de</w:t>
      </w:r>
      <w:r w:rsidR="00B26D00" w:rsidRPr="00DC03F7">
        <w:rPr>
          <w:rFonts w:ascii="Times New Roman" w:hAnsi="Times New Roman" w:cs="Times New Roman"/>
          <w:sz w:val="21"/>
          <w:szCs w:val="21"/>
          <w:lang w:val="es-ES"/>
        </w:rPr>
        <w:t xml:space="preserve"> centros de acogida especializados para niñas y niños víctimas de trata.</w:t>
      </w:r>
      <w:r w:rsidR="009D1A04" w:rsidRPr="00DC03F7">
        <w:rPr>
          <w:rStyle w:val="FootnoteReference"/>
          <w:rFonts w:ascii="Times New Roman" w:hAnsi="Times New Roman" w:cs="Times New Roman"/>
          <w:sz w:val="21"/>
          <w:szCs w:val="21"/>
          <w:lang w:val="es-ES"/>
        </w:rPr>
        <w:footnoteReference w:id="21"/>
      </w:r>
    </w:p>
    <w:p w14:paraId="3334F6E8" w14:textId="77777777" w:rsidR="00E363D6" w:rsidRPr="00DC03F7" w:rsidRDefault="00E363D6" w:rsidP="00B26D00">
      <w:pPr>
        <w:pStyle w:val="ListParagraph"/>
        <w:spacing w:line="276" w:lineRule="auto"/>
        <w:ind w:left="0"/>
        <w:jc w:val="both"/>
        <w:rPr>
          <w:rFonts w:ascii="Times New Roman" w:hAnsi="Times New Roman" w:cs="Times New Roman"/>
          <w:sz w:val="21"/>
          <w:szCs w:val="21"/>
          <w:lang w:val="es-ES"/>
        </w:rPr>
      </w:pPr>
    </w:p>
    <w:p w14:paraId="11F0FEBF" w14:textId="77777777" w:rsidR="00150295" w:rsidRPr="00DC03F7" w:rsidRDefault="00302B0E" w:rsidP="00DB4704">
      <w:pPr>
        <w:spacing w:line="276" w:lineRule="auto"/>
        <w:ind w:firstLine="708"/>
        <w:jc w:val="both"/>
        <w:rPr>
          <w:b/>
          <w:i/>
          <w:sz w:val="21"/>
          <w:szCs w:val="21"/>
        </w:rPr>
      </w:pPr>
      <w:r w:rsidRPr="00DC03F7">
        <w:rPr>
          <w:b/>
          <w:i/>
          <w:sz w:val="21"/>
          <w:szCs w:val="21"/>
        </w:rPr>
        <w:t xml:space="preserve">Sobre la obligación de </w:t>
      </w:r>
      <w:r w:rsidR="00DB4704" w:rsidRPr="00DC03F7">
        <w:rPr>
          <w:b/>
          <w:i/>
          <w:sz w:val="21"/>
          <w:szCs w:val="21"/>
        </w:rPr>
        <w:t>Investigación. -</w:t>
      </w:r>
    </w:p>
    <w:p w14:paraId="29D6574E" w14:textId="0CD7E0E8" w:rsidR="00686E3C" w:rsidRPr="00DC03F7" w:rsidRDefault="00686E3C" w:rsidP="00E819C9">
      <w:pPr>
        <w:spacing w:line="276" w:lineRule="auto"/>
        <w:jc w:val="both"/>
        <w:rPr>
          <w:sz w:val="21"/>
          <w:szCs w:val="21"/>
        </w:rPr>
      </w:pPr>
    </w:p>
    <w:p w14:paraId="3D261CAE" w14:textId="1E58295A" w:rsidR="002E4D2D" w:rsidRPr="00DC03F7" w:rsidRDefault="002C2F09" w:rsidP="00BD5E8E">
      <w:pPr>
        <w:pStyle w:val="ListParagraph"/>
        <w:numPr>
          <w:ilvl w:val="0"/>
          <w:numId w:val="9"/>
        </w:numPr>
        <w:spacing w:line="276" w:lineRule="auto"/>
        <w:ind w:left="0"/>
        <w:jc w:val="both"/>
        <w:rPr>
          <w:rFonts w:ascii="Times New Roman" w:hAnsi="Times New Roman" w:cs="Times New Roman"/>
          <w:sz w:val="21"/>
          <w:szCs w:val="21"/>
        </w:rPr>
      </w:pPr>
      <w:r w:rsidRPr="00DC03F7">
        <w:rPr>
          <w:rFonts w:ascii="Times New Roman" w:hAnsi="Times New Roman" w:cs="Times New Roman"/>
          <w:sz w:val="21"/>
          <w:szCs w:val="21"/>
        </w:rPr>
        <w:t>L</w:t>
      </w:r>
      <w:r w:rsidR="008A429B" w:rsidRPr="00DC03F7">
        <w:rPr>
          <w:rFonts w:ascii="Times New Roman" w:hAnsi="Times New Roman" w:cs="Times New Roman"/>
          <w:sz w:val="21"/>
          <w:szCs w:val="21"/>
        </w:rPr>
        <w:t xml:space="preserve">os Estados tienen </w:t>
      </w:r>
      <w:r w:rsidR="0074347B" w:rsidRPr="00DC03F7">
        <w:rPr>
          <w:rFonts w:ascii="Times New Roman" w:hAnsi="Times New Roman" w:cs="Times New Roman"/>
          <w:sz w:val="21"/>
          <w:szCs w:val="21"/>
        </w:rPr>
        <w:t>la obligación de investigar con la</w:t>
      </w:r>
      <w:r w:rsidR="008A429B" w:rsidRPr="00DC03F7">
        <w:rPr>
          <w:rFonts w:ascii="Times New Roman" w:hAnsi="Times New Roman" w:cs="Times New Roman"/>
          <w:sz w:val="21"/>
          <w:szCs w:val="21"/>
        </w:rPr>
        <w:t xml:space="preserve"> diligencia debida </w:t>
      </w:r>
      <w:r w:rsidR="00C57799" w:rsidRPr="00DC03F7">
        <w:rPr>
          <w:rFonts w:ascii="Times New Roman" w:hAnsi="Times New Roman" w:cs="Times New Roman"/>
          <w:sz w:val="21"/>
          <w:szCs w:val="21"/>
        </w:rPr>
        <w:t xml:space="preserve">toda posible situación </w:t>
      </w:r>
      <w:r w:rsidR="00321C97" w:rsidRPr="00DC03F7">
        <w:rPr>
          <w:rFonts w:ascii="Times New Roman" w:hAnsi="Times New Roman" w:cs="Times New Roman"/>
          <w:sz w:val="21"/>
          <w:szCs w:val="21"/>
        </w:rPr>
        <w:t>de trata</w:t>
      </w:r>
      <w:r w:rsidR="00C57799" w:rsidRPr="00DC03F7">
        <w:rPr>
          <w:rFonts w:ascii="Times New Roman" w:hAnsi="Times New Roman" w:cs="Times New Roman"/>
          <w:sz w:val="21"/>
          <w:szCs w:val="21"/>
        </w:rPr>
        <w:t xml:space="preserve"> de la que tenga</w:t>
      </w:r>
      <w:r w:rsidR="00A74035" w:rsidRPr="00DC03F7">
        <w:rPr>
          <w:rFonts w:ascii="Times New Roman" w:hAnsi="Times New Roman" w:cs="Times New Roman"/>
          <w:sz w:val="21"/>
          <w:szCs w:val="21"/>
        </w:rPr>
        <w:t>n</w:t>
      </w:r>
      <w:r w:rsidR="00C57799" w:rsidRPr="00DC03F7">
        <w:rPr>
          <w:rFonts w:ascii="Times New Roman" w:hAnsi="Times New Roman" w:cs="Times New Roman"/>
          <w:sz w:val="21"/>
          <w:szCs w:val="21"/>
        </w:rPr>
        <w:t xml:space="preserve"> conocimiento</w:t>
      </w:r>
      <w:r w:rsidR="00317AF6" w:rsidRPr="00DC03F7">
        <w:rPr>
          <w:rStyle w:val="FootnoteReference"/>
          <w:rFonts w:ascii="Times New Roman" w:hAnsi="Times New Roman" w:cs="Times New Roman"/>
          <w:sz w:val="21"/>
          <w:szCs w:val="21"/>
        </w:rPr>
        <w:footnoteReference w:id="22"/>
      </w:r>
      <w:r w:rsidR="008A429B" w:rsidRPr="00DC03F7">
        <w:rPr>
          <w:rFonts w:ascii="Times New Roman" w:hAnsi="Times New Roman" w:cs="Times New Roman"/>
          <w:sz w:val="21"/>
          <w:szCs w:val="21"/>
        </w:rPr>
        <w:t xml:space="preserve">. </w:t>
      </w:r>
      <w:r w:rsidR="00AE73BA" w:rsidRPr="00DC03F7">
        <w:rPr>
          <w:rFonts w:ascii="Times New Roman" w:hAnsi="Times New Roman" w:cs="Times New Roman"/>
          <w:sz w:val="21"/>
          <w:szCs w:val="21"/>
        </w:rPr>
        <w:t>Esta obligació</w:t>
      </w:r>
      <w:r w:rsidR="00BD5E8E" w:rsidRPr="00DC03F7">
        <w:rPr>
          <w:rFonts w:ascii="Times New Roman" w:hAnsi="Times New Roman" w:cs="Times New Roman"/>
          <w:sz w:val="21"/>
          <w:szCs w:val="21"/>
        </w:rPr>
        <w:t xml:space="preserve">n implica </w:t>
      </w:r>
      <w:r w:rsidR="00677B01" w:rsidRPr="00DC03F7">
        <w:rPr>
          <w:rFonts w:ascii="Times New Roman" w:hAnsi="Times New Roman" w:cs="Times New Roman"/>
          <w:sz w:val="21"/>
          <w:szCs w:val="21"/>
        </w:rPr>
        <w:t xml:space="preserve">que </w:t>
      </w:r>
      <w:r w:rsidR="00BD5E8E" w:rsidRPr="00DC03F7">
        <w:rPr>
          <w:rFonts w:ascii="Times New Roman" w:hAnsi="Times New Roman" w:cs="Times New Roman"/>
          <w:sz w:val="21"/>
          <w:szCs w:val="21"/>
        </w:rPr>
        <w:t xml:space="preserve">el </w:t>
      </w:r>
      <w:r w:rsidR="00677B01" w:rsidRPr="00DC03F7">
        <w:rPr>
          <w:rFonts w:ascii="Times New Roman" w:hAnsi="Times New Roman" w:cs="Times New Roman"/>
          <w:sz w:val="21"/>
          <w:szCs w:val="21"/>
        </w:rPr>
        <w:t xml:space="preserve">proceso </w:t>
      </w:r>
      <w:r w:rsidR="00BD5E8E" w:rsidRPr="00DC03F7">
        <w:rPr>
          <w:rFonts w:ascii="Times New Roman" w:hAnsi="Times New Roman" w:cs="Times New Roman"/>
          <w:sz w:val="21"/>
          <w:szCs w:val="21"/>
        </w:rPr>
        <w:t xml:space="preserve">de </w:t>
      </w:r>
      <w:r w:rsidR="00677B01" w:rsidRPr="00DC03F7">
        <w:rPr>
          <w:rFonts w:ascii="Times New Roman" w:hAnsi="Times New Roman" w:cs="Times New Roman"/>
          <w:sz w:val="21"/>
          <w:szCs w:val="21"/>
        </w:rPr>
        <w:t>investiga</w:t>
      </w:r>
      <w:r w:rsidR="002D0514" w:rsidRPr="00DC03F7">
        <w:rPr>
          <w:rFonts w:ascii="Times New Roman" w:hAnsi="Times New Roman" w:cs="Times New Roman"/>
          <w:sz w:val="21"/>
          <w:szCs w:val="21"/>
        </w:rPr>
        <w:t>ción</w:t>
      </w:r>
      <w:r w:rsidR="00677B01" w:rsidRPr="00DC03F7">
        <w:rPr>
          <w:rFonts w:ascii="Times New Roman" w:hAnsi="Times New Roman" w:cs="Times New Roman"/>
          <w:sz w:val="21"/>
          <w:szCs w:val="21"/>
        </w:rPr>
        <w:t xml:space="preserve"> sea </w:t>
      </w:r>
      <w:r w:rsidR="00813DA2" w:rsidRPr="00DC03F7">
        <w:rPr>
          <w:rFonts w:ascii="Times New Roman" w:hAnsi="Times New Roman" w:cs="Times New Roman"/>
          <w:sz w:val="21"/>
          <w:szCs w:val="21"/>
        </w:rPr>
        <w:t>efica</w:t>
      </w:r>
      <w:r w:rsidR="002D0514" w:rsidRPr="00DC03F7">
        <w:rPr>
          <w:rFonts w:ascii="Times New Roman" w:hAnsi="Times New Roman" w:cs="Times New Roman"/>
          <w:sz w:val="21"/>
          <w:szCs w:val="21"/>
        </w:rPr>
        <w:t>z</w:t>
      </w:r>
      <w:r w:rsidR="00813DA2" w:rsidRPr="00DC03F7">
        <w:rPr>
          <w:rFonts w:ascii="Times New Roman" w:hAnsi="Times New Roman" w:cs="Times New Roman"/>
          <w:sz w:val="21"/>
          <w:szCs w:val="21"/>
        </w:rPr>
        <w:t xml:space="preserve"> </w:t>
      </w:r>
      <w:r w:rsidR="00677B01" w:rsidRPr="00DC03F7">
        <w:rPr>
          <w:rFonts w:ascii="Times New Roman" w:hAnsi="Times New Roman" w:cs="Times New Roman"/>
          <w:sz w:val="21"/>
          <w:szCs w:val="21"/>
        </w:rPr>
        <w:t>y</w:t>
      </w:r>
      <w:r w:rsidR="00813DA2" w:rsidRPr="00DC03F7">
        <w:rPr>
          <w:rFonts w:ascii="Times New Roman" w:hAnsi="Times New Roman" w:cs="Times New Roman"/>
          <w:sz w:val="21"/>
          <w:szCs w:val="21"/>
        </w:rPr>
        <w:t xml:space="preserve"> tenga por objeto evitar la impunidad</w:t>
      </w:r>
      <w:r w:rsidR="008A6F05" w:rsidRPr="00DC03F7">
        <w:rPr>
          <w:rFonts w:ascii="Times New Roman" w:hAnsi="Times New Roman" w:cs="Times New Roman"/>
          <w:sz w:val="21"/>
          <w:szCs w:val="21"/>
        </w:rPr>
        <w:t xml:space="preserve"> y</w:t>
      </w:r>
      <w:r w:rsidR="00C34FE3" w:rsidRPr="00DC03F7">
        <w:rPr>
          <w:rFonts w:ascii="Times New Roman" w:hAnsi="Times New Roman" w:cs="Times New Roman"/>
          <w:sz w:val="21"/>
          <w:szCs w:val="21"/>
        </w:rPr>
        <w:t xml:space="preserve"> la revictimización,</w:t>
      </w:r>
      <w:r w:rsidR="00813DA2" w:rsidRPr="00DC03F7">
        <w:rPr>
          <w:rFonts w:ascii="Times New Roman" w:hAnsi="Times New Roman" w:cs="Times New Roman"/>
          <w:sz w:val="21"/>
          <w:szCs w:val="21"/>
        </w:rPr>
        <w:t xml:space="preserve"> </w:t>
      </w:r>
      <w:r w:rsidR="008A6F05" w:rsidRPr="00DC03F7">
        <w:rPr>
          <w:rFonts w:ascii="Times New Roman" w:hAnsi="Times New Roman" w:cs="Times New Roman"/>
          <w:sz w:val="21"/>
          <w:szCs w:val="21"/>
        </w:rPr>
        <w:t xml:space="preserve">que </w:t>
      </w:r>
      <w:r w:rsidR="00813DA2" w:rsidRPr="00DC03F7">
        <w:rPr>
          <w:rFonts w:ascii="Times New Roman" w:hAnsi="Times New Roman" w:cs="Times New Roman"/>
          <w:sz w:val="21"/>
          <w:szCs w:val="21"/>
        </w:rPr>
        <w:t>sea</w:t>
      </w:r>
      <w:r w:rsidR="008A6F05" w:rsidRPr="00DC03F7">
        <w:rPr>
          <w:rFonts w:ascii="Times New Roman" w:hAnsi="Times New Roman" w:cs="Times New Roman"/>
          <w:sz w:val="21"/>
          <w:szCs w:val="21"/>
        </w:rPr>
        <w:t xml:space="preserve"> un</w:t>
      </w:r>
      <w:r w:rsidR="00C34FE3" w:rsidRPr="00DC03F7">
        <w:rPr>
          <w:rFonts w:ascii="Times New Roman" w:hAnsi="Times New Roman" w:cs="Times New Roman"/>
          <w:sz w:val="21"/>
          <w:szCs w:val="21"/>
        </w:rPr>
        <w:t xml:space="preserve"> proceso</w:t>
      </w:r>
      <w:r w:rsidR="00813DA2" w:rsidRPr="00DC03F7">
        <w:rPr>
          <w:rFonts w:ascii="Times New Roman" w:hAnsi="Times New Roman" w:cs="Times New Roman"/>
          <w:sz w:val="21"/>
          <w:szCs w:val="21"/>
        </w:rPr>
        <w:t xml:space="preserve"> </w:t>
      </w:r>
      <w:r w:rsidR="00B16AB1" w:rsidRPr="00DC03F7">
        <w:rPr>
          <w:rFonts w:ascii="Times New Roman" w:hAnsi="Times New Roman" w:cs="Times New Roman"/>
          <w:sz w:val="21"/>
          <w:szCs w:val="21"/>
        </w:rPr>
        <w:t>independiente, sin</w:t>
      </w:r>
      <w:r w:rsidR="00813DA2" w:rsidRPr="00DC03F7">
        <w:rPr>
          <w:rFonts w:ascii="Times New Roman" w:hAnsi="Times New Roman" w:cs="Times New Roman"/>
          <w:sz w:val="21"/>
          <w:szCs w:val="21"/>
        </w:rPr>
        <w:t xml:space="preserve"> dilaciones y capa</w:t>
      </w:r>
      <w:r w:rsidR="008A6F05" w:rsidRPr="00DC03F7">
        <w:rPr>
          <w:rFonts w:ascii="Times New Roman" w:hAnsi="Times New Roman" w:cs="Times New Roman"/>
          <w:sz w:val="21"/>
          <w:szCs w:val="21"/>
        </w:rPr>
        <w:t>z</w:t>
      </w:r>
      <w:r w:rsidR="00813DA2" w:rsidRPr="00DC03F7">
        <w:rPr>
          <w:rFonts w:ascii="Times New Roman" w:hAnsi="Times New Roman" w:cs="Times New Roman"/>
          <w:sz w:val="21"/>
          <w:szCs w:val="21"/>
        </w:rPr>
        <w:t xml:space="preserve"> de conducir a la identificación</w:t>
      </w:r>
      <w:r w:rsidR="00A15D8D" w:rsidRPr="00DC03F7">
        <w:rPr>
          <w:rFonts w:ascii="Times New Roman" w:hAnsi="Times New Roman" w:cs="Times New Roman"/>
          <w:sz w:val="21"/>
          <w:szCs w:val="21"/>
        </w:rPr>
        <w:t xml:space="preserve"> y</w:t>
      </w:r>
      <w:r w:rsidR="00CB6EA0" w:rsidRPr="00DC03F7">
        <w:rPr>
          <w:rFonts w:ascii="Times New Roman" w:hAnsi="Times New Roman" w:cs="Times New Roman"/>
          <w:sz w:val="21"/>
          <w:szCs w:val="21"/>
        </w:rPr>
        <w:t xml:space="preserve"> </w:t>
      </w:r>
      <w:r w:rsidR="00813DA2" w:rsidRPr="00DC03F7">
        <w:rPr>
          <w:rFonts w:ascii="Times New Roman" w:hAnsi="Times New Roman" w:cs="Times New Roman"/>
          <w:sz w:val="21"/>
          <w:szCs w:val="21"/>
        </w:rPr>
        <w:t>castigo de los responsables</w:t>
      </w:r>
      <w:r w:rsidR="00CB6EA0" w:rsidRPr="00DC03F7">
        <w:rPr>
          <w:rFonts w:ascii="Times New Roman" w:hAnsi="Times New Roman" w:cs="Times New Roman"/>
          <w:sz w:val="21"/>
          <w:szCs w:val="21"/>
        </w:rPr>
        <w:t xml:space="preserve"> y </w:t>
      </w:r>
      <w:r w:rsidR="00A15D8D" w:rsidRPr="00DC03F7">
        <w:rPr>
          <w:rFonts w:ascii="Times New Roman" w:hAnsi="Times New Roman" w:cs="Times New Roman"/>
          <w:sz w:val="21"/>
          <w:szCs w:val="21"/>
        </w:rPr>
        <w:t xml:space="preserve">a </w:t>
      </w:r>
      <w:r w:rsidR="00CB6EA0" w:rsidRPr="00DC03F7">
        <w:rPr>
          <w:rFonts w:ascii="Times New Roman" w:hAnsi="Times New Roman" w:cs="Times New Roman"/>
          <w:sz w:val="21"/>
          <w:szCs w:val="21"/>
        </w:rPr>
        <w:t>la recuperación</w:t>
      </w:r>
      <w:r w:rsidR="00E432A9" w:rsidRPr="00DC03F7">
        <w:rPr>
          <w:rFonts w:ascii="Times New Roman" w:hAnsi="Times New Roman" w:cs="Times New Roman"/>
          <w:sz w:val="21"/>
          <w:szCs w:val="21"/>
        </w:rPr>
        <w:t xml:space="preserve"> y reparación integral</w:t>
      </w:r>
      <w:r w:rsidR="00CB6EA0" w:rsidRPr="00DC03F7">
        <w:rPr>
          <w:rFonts w:ascii="Times New Roman" w:hAnsi="Times New Roman" w:cs="Times New Roman"/>
          <w:sz w:val="21"/>
          <w:szCs w:val="21"/>
        </w:rPr>
        <w:t xml:space="preserve"> de las víctimas</w:t>
      </w:r>
      <w:r w:rsidR="00CC71E3" w:rsidRPr="00DC03F7">
        <w:rPr>
          <w:rStyle w:val="FootnoteReference"/>
          <w:rFonts w:ascii="Times New Roman" w:hAnsi="Times New Roman" w:cs="Times New Roman"/>
          <w:sz w:val="21"/>
          <w:szCs w:val="21"/>
        </w:rPr>
        <w:footnoteReference w:id="23"/>
      </w:r>
      <w:r w:rsidR="00677B01" w:rsidRPr="00DC03F7">
        <w:rPr>
          <w:rFonts w:ascii="Times New Roman" w:hAnsi="Times New Roman" w:cs="Times New Roman"/>
          <w:sz w:val="21"/>
          <w:szCs w:val="21"/>
        </w:rPr>
        <w:t xml:space="preserve">. Asimismo, en las investigaciones y </w:t>
      </w:r>
      <w:r w:rsidR="00CB6EA0" w:rsidRPr="00DC03F7">
        <w:rPr>
          <w:rFonts w:ascii="Times New Roman" w:hAnsi="Times New Roman" w:cs="Times New Roman"/>
          <w:sz w:val="21"/>
          <w:szCs w:val="21"/>
        </w:rPr>
        <w:t>diligencias procesales</w:t>
      </w:r>
      <w:r w:rsidR="00677B01" w:rsidRPr="00DC03F7">
        <w:rPr>
          <w:rFonts w:ascii="Times New Roman" w:hAnsi="Times New Roman" w:cs="Times New Roman"/>
          <w:sz w:val="21"/>
          <w:szCs w:val="21"/>
        </w:rPr>
        <w:t xml:space="preserve"> </w:t>
      </w:r>
      <w:r w:rsidR="00A15D8D" w:rsidRPr="00DC03F7">
        <w:rPr>
          <w:rFonts w:ascii="Times New Roman" w:hAnsi="Times New Roman" w:cs="Times New Roman"/>
          <w:sz w:val="21"/>
          <w:szCs w:val="21"/>
        </w:rPr>
        <w:t xml:space="preserve">deben </w:t>
      </w:r>
      <w:r w:rsidR="00677B01" w:rsidRPr="00DC03F7">
        <w:rPr>
          <w:rFonts w:ascii="Times New Roman" w:hAnsi="Times New Roman" w:cs="Times New Roman"/>
          <w:sz w:val="21"/>
          <w:szCs w:val="21"/>
        </w:rPr>
        <w:t>adopt</w:t>
      </w:r>
      <w:r w:rsidR="00A15D8D" w:rsidRPr="00DC03F7">
        <w:rPr>
          <w:rFonts w:ascii="Times New Roman" w:hAnsi="Times New Roman" w:cs="Times New Roman"/>
          <w:sz w:val="21"/>
          <w:szCs w:val="21"/>
        </w:rPr>
        <w:t>arse</w:t>
      </w:r>
      <w:r w:rsidR="00677B01" w:rsidRPr="00DC03F7">
        <w:rPr>
          <w:rFonts w:ascii="Times New Roman" w:hAnsi="Times New Roman" w:cs="Times New Roman"/>
          <w:sz w:val="21"/>
          <w:szCs w:val="21"/>
        </w:rPr>
        <w:t xml:space="preserve"> medidas </w:t>
      </w:r>
      <w:r w:rsidR="00B16AB1" w:rsidRPr="00DC03F7">
        <w:rPr>
          <w:rFonts w:ascii="Times New Roman" w:hAnsi="Times New Roman" w:cs="Times New Roman"/>
          <w:sz w:val="21"/>
          <w:szCs w:val="21"/>
        </w:rPr>
        <w:t>con perspectiva de género</w:t>
      </w:r>
      <w:r w:rsidR="00677B01" w:rsidRPr="00DC03F7">
        <w:rPr>
          <w:rFonts w:ascii="Times New Roman" w:hAnsi="Times New Roman" w:cs="Times New Roman"/>
          <w:sz w:val="21"/>
          <w:szCs w:val="21"/>
        </w:rPr>
        <w:t xml:space="preserve"> que tengan en cuenta las diferentes necesidades de asistencia y protección de mujeres </w:t>
      </w:r>
      <w:r w:rsidR="000C3313" w:rsidRPr="00DC03F7">
        <w:rPr>
          <w:rFonts w:ascii="Times New Roman" w:hAnsi="Times New Roman" w:cs="Times New Roman"/>
          <w:sz w:val="21"/>
          <w:szCs w:val="21"/>
        </w:rPr>
        <w:t xml:space="preserve">y </w:t>
      </w:r>
      <w:r w:rsidR="00677B01" w:rsidRPr="00DC03F7">
        <w:rPr>
          <w:rFonts w:ascii="Times New Roman" w:hAnsi="Times New Roman" w:cs="Times New Roman"/>
          <w:sz w:val="21"/>
          <w:szCs w:val="21"/>
        </w:rPr>
        <w:t xml:space="preserve">niñas y </w:t>
      </w:r>
      <w:r w:rsidR="00A15D8D" w:rsidRPr="00DC03F7">
        <w:rPr>
          <w:rFonts w:ascii="Times New Roman" w:hAnsi="Times New Roman" w:cs="Times New Roman"/>
          <w:sz w:val="21"/>
          <w:szCs w:val="21"/>
        </w:rPr>
        <w:t xml:space="preserve">que </w:t>
      </w:r>
      <w:r w:rsidR="00677B01" w:rsidRPr="00DC03F7">
        <w:rPr>
          <w:rFonts w:ascii="Times New Roman" w:hAnsi="Times New Roman" w:cs="Times New Roman"/>
          <w:sz w:val="21"/>
          <w:szCs w:val="21"/>
        </w:rPr>
        <w:t xml:space="preserve">eliminen los obstáculos que dificultan el acceso </w:t>
      </w:r>
      <w:r w:rsidR="002E4D2D" w:rsidRPr="00DC03F7">
        <w:rPr>
          <w:rFonts w:ascii="Times New Roman" w:hAnsi="Times New Roman" w:cs="Times New Roman"/>
          <w:sz w:val="21"/>
          <w:szCs w:val="21"/>
        </w:rPr>
        <w:t xml:space="preserve">a la justicia, como </w:t>
      </w:r>
      <w:r w:rsidR="002E4D2D" w:rsidRPr="00DC03F7">
        <w:rPr>
          <w:rFonts w:ascii="Times New Roman" w:hAnsi="Times New Roman" w:cs="Times New Roman"/>
          <w:sz w:val="21"/>
          <w:szCs w:val="21"/>
        </w:rPr>
        <w:lastRenderedPageBreak/>
        <w:t>la aplicación de estereotipos de género o interseccionales en las diligencias de investigación y/o en los proce</w:t>
      </w:r>
      <w:r w:rsidR="001A17AE" w:rsidRPr="00DC03F7">
        <w:rPr>
          <w:rFonts w:ascii="Times New Roman" w:hAnsi="Times New Roman" w:cs="Times New Roman"/>
          <w:sz w:val="21"/>
          <w:szCs w:val="21"/>
        </w:rPr>
        <w:t>dimientos</w:t>
      </w:r>
      <w:r w:rsidR="002E4D2D" w:rsidRPr="00DC03F7">
        <w:rPr>
          <w:rFonts w:ascii="Times New Roman" w:hAnsi="Times New Roman" w:cs="Times New Roman"/>
          <w:sz w:val="21"/>
          <w:szCs w:val="21"/>
        </w:rPr>
        <w:t xml:space="preserve"> judiciales</w:t>
      </w:r>
      <w:r w:rsidR="00126650">
        <w:rPr>
          <w:rStyle w:val="FootnoteReference"/>
          <w:rFonts w:ascii="Times New Roman" w:hAnsi="Times New Roman" w:cs="Times New Roman"/>
          <w:sz w:val="21"/>
          <w:szCs w:val="21"/>
        </w:rPr>
        <w:footnoteReference w:id="24"/>
      </w:r>
      <w:r w:rsidR="002E4D2D" w:rsidRPr="00DC03F7">
        <w:rPr>
          <w:rFonts w:ascii="Times New Roman" w:hAnsi="Times New Roman" w:cs="Times New Roman"/>
          <w:sz w:val="21"/>
          <w:szCs w:val="21"/>
        </w:rPr>
        <w:t>.</w:t>
      </w:r>
      <w:r w:rsidR="001A17AE" w:rsidRPr="00DC03F7">
        <w:rPr>
          <w:rFonts w:ascii="Times New Roman" w:hAnsi="Times New Roman" w:cs="Times New Roman"/>
          <w:sz w:val="21"/>
          <w:szCs w:val="21"/>
          <w:lang w:val="es-ES"/>
        </w:rPr>
        <w:t xml:space="preserve"> (</w:t>
      </w:r>
      <w:r w:rsidR="001A17AE" w:rsidRPr="00DC03F7">
        <w:rPr>
          <w:rFonts w:ascii="Times New Roman" w:hAnsi="Times New Roman" w:cs="Times New Roman"/>
          <w:b/>
          <w:sz w:val="21"/>
          <w:szCs w:val="21"/>
          <w:lang w:val="es-ES"/>
        </w:rPr>
        <w:t xml:space="preserve">ver </w:t>
      </w:r>
      <w:hyperlink r:id="rId16" w:history="1">
        <w:r w:rsidR="00BC296E" w:rsidRPr="00123D66">
          <w:rPr>
            <w:rStyle w:val="Hyperlink"/>
            <w:rFonts w:ascii="Times New Roman" w:hAnsi="Times New Roman" w:cs="Times New Roman"/>
            <w:b/>
            <w:sz w:val="21"/>
            <w:szCs w:val="21"/>
            <w:lang w:val="es-ES"/>
          </w:rPr>
          <w:t>C</w:t>
        </w:r>
        <w:r w:rsidR="001A17AE" w:rsidRPr="00123D66">
          <w:rPr>
            <w:rStyle w:val="Hyperlink"/>
            <w:rFonts w:ascii="Times New Roman" w:hAnsi="Times New Roman" w:cs="Times New Roman"/>
            <w:b/>
            <w:sz w:val="21"/>
            <w:szCs w:val="21"/>
            <w:lang w:val="es-ES"/>
          </w:rPr>
          <w:t>aso</w:t>
        </w:r>
        <w:r w:rsidR="00BC296E" w:rsidRPr="00123D66">
          <w:rPr>
            <w:rStyle w:val="Hyperlink"/>
            <w:rFonts w:ascii="Times New Roman" w:hAnsi="Times New Roman" w:cs="Times New Roman"/>
            <w:b/>
            <w:sz w:val="21"/>
            <w:szCs w:val="21"/>
            <w:lang w:val="es-ES"/>
          </w:rPr>
          <w:t xml:space="preserve"> 1 –</w:t>
        </w:r>
        <w:r w:rsidR="001A17AE" w:rsidRPr="00123D66">
          <w:rPr>
            <w:rStyle w:val="Hyperlink"/>
            <w:rFonts w:ascii="Times New Roman" w:hAnsi="Times New Roman" w:cs="Times New Roman"/>
            <w:b/>
            <w:sz w:val="21"/>
            <w:szCs w:val="21"/>
            <w:lang w:val="es-ES"/>
          </w:rPr>
          <w:t xml:space="preserve"> A</w:t>
        </w:r>
        <w:r w:rsidR="00BC296E" w:rsidRPr="00123D66">
          <w:rPr>
            <w:rStyle w:val="Hyperlink"/>
            <w:rFonts w:ascii="Times New Roman" w:hAnsi="Times New Roman" w:cs="Times New Roman"/>
            <w:b/>
            <w:sz w:val="21"/>
            <w:szCs w:val="21"/>
            <w:lang w:val="es-ES"/>
          </w:rPr>
          <w:t>.</w:t>
        </w:r>
        <w:r w:rsidR="001A17AE" w:rsidRPr="00123D66">
          <w:rPr>
            <w:rStyle w:val="Hyperlink"/>
            <w:rFonts w:ascii="Times New Roman" w:hAnsi="Times New Roman" w:cs="Times New Roman"/>
            <w:b/>
            <w:sz w:val="21"/>
            <w:szCs w:val="21"/>
            <w:lang w:val="es-ES"/>
          </w:rPr>
          <w:t>B</w:t>
        </w:r>
        <w:r w:rsidR="00BC296E" w:rsidRPr="00123D66">
          <w:rPr>
            <w:rStyle w:val="Hyperlink"/>
            <w:rFonts w:ascii="Times New Roman" w:hAnsi="Times New Roman" w:cs="Times New Roman"/>
            <w:b/>
            <w:sz w:val="21"/>
            <w:szCs w:val="21"/>
            <w:lang w:val="es-ES"/>
          </w:rPr>
          <w:t>.</w:t>
        </w:r>
        <w:r w:rsidR="001A17AE" w:rsidRPr="00123D66">
          <w:rPr>
            <w:rStyle w:val="Hyperlink"/>
            <w:rFonts w:ascii="Times New Roman" w:hAnsi="Times New Roman" w:cs="Times New Roman"/>
            <w:b/>
            <w:sz w:val="21"/>
            <w:szCs w:val="21"/>
            <w:lang w:val="es-ES"/>
          </w:rPr>
          <w:t>M</w:t>
        </w:r>
        <w:r w:rsidR="00BC296E" w:rsidRPr="00123D66">
          <w:rPr>
            <w:rStyle w:val="Hyperlink"/>
            <w:rFonts w:ascii="Times New Roman" w:hAnsi="Times New Roman" w:cs="Times New Roman"/>
            <w:b/>
            <w:sz w:val="21"/>
            <w:szCs w:val="21"/>
            <w:lang w:val="es-ES"/>
          </w:rPr>
          <w:t>.</w:t>
        </w:r>
      </w:hyperlink>
      <w:r w:rsidR="001A17AE" w:rsidRPr="00DC03F7">
        <w:rPr>
          <w:rFonts w:ascii="Times New Roman" w:hAnsi="Times New Roman" w:cs="Times New Roman"/>
          <w:sz w:val="21"/>
          <w:szCs w:val="21"/>
          <w:lang w:val="es-ES"/>
        </w:rPr>
        <w:t>)</w:t>
      </w:r>
    </w:p>
    <w:p w14:paraId="7A271141" w14:textId="77777777" w:rsidR="002E4D2D" w:rsidRPr="00DC03F7" w:rsidRDefault="002E4D2D" w:rsidP="00E819C9">
      <w:pPr>
        <w:spacing w:line="276" w:lineRule="auto"/>
        <w:jc w:val="both"/>
        <w:rPr>
          <w:sz w:val="21"/>
          <w:szCs w:val="21"/>
        </w:rPr>
      </w:pPr>
    </w:p>
    <w:p w14:paraId="47CDE6D8" w14:textId="0B72A534" w:rsidR="008155BE" w:rsidRPr="00DC03F7" w:rsidRDefault="00994672" w:rsidP="00E819C9">
      <w:pPr>
        <w:pStyle w:val="ListParagraph"/>
        <w:numPr>
          <w:ilvl w:val="0"/>
          <w:numId w:val="9"/>
        </w:numPr>
        <w:spacing w:line="276" w:lineRule="auto"/>
        <w:ind w:left="0"/>
        <w:jc w:val="both"/>
        <w:rPr>
          <w:rFonts w:ascii="Times New Roman" w:hAnsi="Times New Roman" w:cs="Times New Roman"/>
          <w:sz w:val="21"/>
          <w:szCs w:val="21"/>
          <w:lang w:val="es-CL"/>
        </w:rPr>
      </w:pPr>
      <w:r w:rsidRPr="00DC03F7">
        <w:rPr>
          <w:rFonts w:ascii="Times New Roman" w:hAnsi="Times New Roman" w:cs="Times New Roman"/>
          <w:sz w:val="21"/>
          <w:szCs w:val="21"/>
          <w:lang w:val="es-ES"/>
        </w:rPr>
        <w:t>L</w:t>
      </w:r>
      <w:r w:rsidR="002E4D2D" w:rsidRPr="00DC03F7">
        <w:rPr>
          <w:rFonts w:ascii="Times New Roman" w:hAnsi="Times New Roman" w:cs="Times New Roman"/>
          <w:sz w:val="21"/>
          <w:szCs w:val="21"/>
          <w:lang w:val="es-ES"/>
        </w:rPr>
        <w:t>a obligación de investigación, a la luz de una interpretación conforme de la obligación de identificación de situaciones de trata por parte del Estado</w:t>
      </w:r>
      <w:r w:rsidR="00BC1694">
        <w:rPr>
          <w:rFonts w:ascii="Times New Roman" w:hAnsi="Times New Roman" w:cs="Times New Roman"/>
          <w:sz w:val="21"/>
          <w:szCs w:val="21"/>
          <w:lang w:val="es-ES"/>
        </w:rPr>
        <w:t xml:space="preserve"> </w:t>
      </w:r>
      <w:r w:rsidR="00BC1694" w:rsidRPr="00DC03F7">
        <w:rPr>
          <w:rFonts w:ascii="Times New Roman" w:hAnsi="Times New Roman" w:cs="Times New Roman"/>
          <w:sz w:val="21"/>
          <w:szCs w:val="21"/>
          <w:lang w:val="es-ES"/>
        </w:rPr>
        <w:t>debe producirse con base en indicios</w:t>
      </w:r>
      <w:r w:rsidR="002E4D2D" w:rsidRPr="00DC03F7">
        <w:rPr>
          <w:rFonts w:ascii="Times New Roman" w:hAnsi="Times New Roman" w:cs="Times New Roman"/>
          <w:sz w:val="21"/>
          <w:szCs w:val="21"/>
          <w:lang w:val="es-ES"/>
        </w:rPr>
        <w:t>, como ampliamente ha sido reconocido</w:t>
      </w:r>
      <w:r w:rsidR="00A63195" w:rsidRPr="00DC03F7">
        <w:rPr>
          <w:rFonts w:ascii="Times New Roman" w:hAnsi="Times New Roman" w:cs="Times New Roman"/>
          <w:sz w:val="21"/>
          <w:szCs w:val="21"/>
          <w:lang w:val="es-ES"/>
        </w:rPr>
        <w:t xml:space="preserve"> por el derecho internacional de los derechos humanos</w:t>
      </w:r>
      <w:r w:rsidR="002E4D2D" w:rsidRPr="00DC03F7">
        <w:rPr>
          <w:rFonts w:ascii="Times New Roman" w:hAnsi="Times New Roman" w:cs="Times New Roman"/>
          <w:sz w:val="21"/>
          <w:szCs w:val="21"/>
          <w:vertAlign w:val="superscript"/>
          <w:lang w:val="es-ES"/>
        </w:rPr>
        <w:footnoteReference w:id="25"/>
      </w:r>
      <w:r w:rsidR="002E4D2D" w:rsidRPr="00DC03F7">
        <w:rPr>
          <w:rFonts w:ascii="Times New Roman" w:hAnsi="Times New Roman" w:cs="Times New Roman"/>
          <w:sz w:val="21"/>
          <w:szCs w:val="21"/>
          <w:lang w:val="es-ES"/>
        </w:rPr>
        <w:t>.</w:t>
      </w:r>
      <w:r w:rsidR="001A17AE" w:rsidRPr="00DC03F7">
        <w:rPr>
          <w:rFonts w:ascii="Times New Roman" w:hAnsi="Times New Roman" w:cs="Times New Roman"/>
          <w:sz w:val="21"/>
          <w:szCs w:val="21"/>
          <w:lang w:val="es-ES"/>
        </w:rPr>
        <w:t xml:space="preserve"> L</w:t>
      </w:r>
      <w:r w:rsidR="001A17AE" w:rsidRPr="00DC03F7">
        <w:rPr>
          <w:rFonts w:ascii="Times New Roman" w:hAnsi="Times New Roman" w:cs="Times New Roman"/>
          <w:sz w:val="21"/>
          <w:szCs w:val="21"/>
          <w:lang w:val="es-CL"/>
        </w:rPr>
        <w:t>as investigaciones de carácter dinámico que tratan de reunir pruebas a fin de obviar o apoyar el testimonio de la víctima constituyen otra forma en que los Estados cumplen su obligación de diligencia debida de enjuiciar a sus tratantes sin que ello resulte una carga excesiva</w:t>
      </w:r>
      <w:r w:rsidR="004634CF" w:rsidRPr="00DC03F7">
        <w:rPr>
          <w:rFonts w:ascii="Times New Roman" w:hAnsi="Times New Roman" w:cs="Times New Roman"/>
          <w:sz w:val="21"/>
          <w:szCs w:val="21"/>
          <w:lang w:val="es-CL"/>
        </w:rPr>
        <w:t xml:space="preserve"> y desproporcionada</w:t>
      </w:r>
      <w:r w:rsidR="001A17AE" w:rsidRPr="00DC03F7">
        <w:rPr>
          <w:rFonts w:ascii="Times New Roman" w:hAnsi="Times New Roman" w:cs="Times New Roman"/>
          <w:sz w:val="21"/>
          <w:szCs w:val="21"/>
          <w:lang w:val="es-CL"/>
        </w:rPr>
        <w:t xml:space="preserve"> para las víctimas</w:t>
      </w:r>
      <w:r w:rsidR="001A17AE" w:rsidRPr="00DC03F7">
        <w:rPr>
          <w:rStyle w:val="FootnoteReference"/>
          <w:rFonts w:ascii="Times New Roman" w:hAnsi="Times New Roman" w:cs="Times New Roman"/>
          <w:sz w:val="21"/>
          <w:szCs w:val="21"/>
          <w:lang w:val="es-CL"/>
        </w:rPr>
        <w:footnoteReference w:id="26"/>
      </w:r>
      <w:r w:rsidR="001A17AE" w:rsidRPr="00DC03F7">
        <w:rPr>
          <w:rFonts w:ascii="Times New Roman" w:hAnsi="Times New Roman" w:cs="Times New Roman"/>
          <w:sz w:val="21"/>
          <w:szCs w:val="21"/>
          <w:lang w:val="es-CL"/>
        </w:rPr>
        <w:t xml:space="preserve">. </w:t>
      </w:r>
    </w:p>
    <w:p w14:paraId="411DCC9A" w14:textId="77777777" w:rsidR="008155BE" w:rsidRPr="00DC03F7" w:rsidRDefault="008155BE" w:rsidP="00E819C9">
      <w:pPr>
        <w:spacing w:line="276" w:lineRule="auto"/>
        <w:jc w:val="both"/>
        <w:rPr>
          <w:sz w:val="21"/>
          <w:szCs w:val="21"/>
          <w:lang w:val="es-CL"/>
        </w:rPr>
      </w:pPr>
    </w:p>
    <w:p w14:paraId="2F3F0B82" w14:textId="46D426A3" w:rsidR="008155BE" w:rsidRPr="00DC03F7" w:rsidRDefault="00BC155E" w:rsidP="00E819C9">
      <w:pPr>
        <w:pStyle w:val="ListParagraph"/>
        <w:numPr>
          <w:ilvl w:val="0"/>
          <w:numId w:val="9"/>
        </w:numPr>
        <w:spacing w:line="276" w:lineRule="auto"/>
        <w:ind w:left="0"/>
        <w:jc w:val="both"/>
        <w:rPr>
          <w:rFonts w:ascii="Times New Roman" w:hAnsi="Times New Roman" w:cs="Times New Roman"/>
          <w:sz w:val="21"/>
          <w:szCs w:val="21"/>
          <w:lang w:val="es-ES"/>
        </w:rPr>
      </w:pPr>
      <w:r w:rsidRPr="00DC03F7">
        <w:rPr>
          <w:rFonts w:ascii="Times New Roman" w:hAnsi="Times New Roman" w:cs="Times New Roman"/>
          <w:sz w:val="21"/>
          <w:szCs w:val="21"/>
          <w:lang w:val="es-CL"/>
        </w:rPr>
        <w:t>L</w:t>
      </w:r>
      <w:r w:rsidR="001A17AE" w:rsidRPr="00DC03F7">
        <w:rPr>
          <w:rFonts w:ascii="Times New Roman" w:hAnsi="Times New Roman" w:cs="Times New Roman"/>
          <w:sz w:val="21"/>
          <w:szCs w:val="21"/>
          <w:lang w:val="es-ES"/>
        </w:rPr>
        <w:t xml:space="preserve">as víctimas o potenciales víctimas de trata no se encuentran obligadas a acreditar y/o probar su condición de tales, sino que las autoridades tienen el deber </w:t>
      </w:r>
      <w:r w:rsidR="001A17AE" w:rsidRPr="00DC03F7">
        <w:rPr>
          <w:rFonts w:ascii="Times New Roman" w:hAnsi="Times New Roman" w:cs="Times New Roman"/>
          <w:sz w:val="21"/>
          <w:szCs w:val="21"/>
          <w:lang w:val="es-ES"/>
        </w:rPr>
        <w:lastRenderedPageBreak/>
        <w:t>de realizar una identificación basada en indicios y, a partir de los mismos, disponer una investigación efectiva libre de estereotipos de género</w:t>
      </w:r>
      <w:r w:rsidR="001A17AE" w:rsidRPr="00DC03F7">
        <w:rPr>
          <w:rStyle w:val="FootnoteReference"/>
          <w:rFonts w:ascii="Times New Roman" w:hAnsi="Times New Roman" w:cs="Times New Roman"/>
          <w:sz w:val="21"/>
          <w:szCs w:val="21"/>
          <w:lang w:val="es-ES"/>
        </w:rPr>
        <w:footnoteReference w:id="27"/>
      </w:r>
      <w:r w:rsidR="001A17AE" w:rsidRPr="00DC03F7">
        <w:rPr>
          <w:rFonts w:ascii="Times New Roman" w:hAnsi="Times New Roman" w:cs="Times New Roman"/>
          <w:sz w:val="21"/>
          <w:szCs w:val="21"/>
          <w:lang w:val="es-ES"/>
        </w:rPr>
        <w:t>, raciales o de cualquier otro tipo</w:t>
      </w:r>
      <w:r w:rsidR="001A17AE" w:rsidRPr="00DC03F7">
        <w:rPr>
          <w:rStyle w:val="FootnoteReference"/>
          <w:rFonts w:ascii="Times New Roman" w:hAnsi="Times New Roman" w:cs="Times New Roman"/>
          <w:sz w:val="21"/>
          <w:szCs w:val="21"/>
          <w:lang w:val="es-CL"/>
        </w:rPr>
        <w:footnoteReference w:id="28"/>
      </w:r>
      <w:r w:rsidR="008155BE" w:rsidRPr="00DC03F7">
        <w:rPr>
          <w:rFonts w:ascii="Times New Roman" w:hAnsi="Times New Roman" w:cs="Times New Roman"/>
          <w:sz w:val="21"/>
          <w:szCs w:val="21"/>
          <w:lang w:val="es-ES"/>
        </w:rPr>
        <w:t xml:space="preserve">. </w:t>
      </w:r>
      <w:r w:rsidR="00DD033C" w:rsidRPr="00DC03F7">
        <w:rPr>
          <w:rFonts w:ascii="Times New Roman" w:hAnsi="Times New Roman" w:cs="Times New Roman"/>
          <w:sz w:val="21"/>
          <w:szCs w:val="21"/>
          <w:lang w:val="es-CL"/>
        </w:rPr>
        <w:t>E</w:t>
      </w:r>
      <w:r w:rsidR="008155BE" w:rsidRPr="00DC03F7">
        <w:rPr>
          <w:rFonts w:ascii="Times New Roman" w:hAnsi="Times New Roman" w:cs="Times New Roman"/>
          <w:sz w:val="21"/>
          <w:szCs w:val="21"/>
          <w:lang w:val="es-CL"/>
        </w:rPr>
        <w:t xml:space="preserve">stá ampliamente reconocido que los estereotipos distorsionan las percepciones y dan lugar a decisiones basadas en creencias preconcebidas y mitos, en lugar de hechos; así, la aplicación de estereotipos en las investigaciones sobre violencia por razón de género contra las mujeres, incluida la trata de mujeres, afecta a la credibilidad de sus declaraciones, los argumentos y los testimonios, pudiendo con ello ocasionar interpretaciones judiciales erradas o aplicaciones sesgadas de la ley </w:t>
      </w:r>
      <w:r w:rsidR="008849C6" w:rsidRPr="00DC03F7">
        <w:rPr>
          <w:rFonts w:ascii="Times New Roman" w:hAnsi="Times New Roman" w:cs="Times New Roman"/>
          <w:sz w:val="21"/>
          <w:szCs w:val="21"/>
          <w:lang w:val="es-CL"/>
        </w:rPr>
        <w:t>e imp</w:t>
      </w:r>
      <w:r w:rsidR="0094461C" w:rsidRPr="00DC03F7">
        <w:rPr>
          <w:rFonts w:ascii="Times New Roman" w:hAnsi="Times New Roman" w:cs="Times New Roman"/>
          <w:sz w:val="21"/>
          <w:szCs w:val="21"/>
          <w:lang w:val="es-CL"/>
        </w:rPr>
        <w:t>edir</w:t>
      </w:r>
      <w:r w:rsidR="008155BE" w:rsidRPr="00DC03F7">
        <w:rPr>
          <w:rFonts w:ascii="Times New Roman" w:hAnsi="Times New Roman" w:cs="Times New Roman"/>
          <w:sz w:val="21"/>
          <w:szCs w:val="21"/>
          <w:lang w:val="es-CL"/>
        </w:rPr>
        <w:t xml:space="preserve"> por tanto el acceso de las mujeres a la justicia sin discriminación</w:t>
      </w:r>
      <w:r w:rsidR="008155BE" w:rsidRPr="00DC03F7">
        <w:rPr>
          <w:rStyle w:val="FootnoteReference"/>
          <w:rFonts w:ascii="Times New Roman" w:hAnsi="Times New Roman" w:cs="Times New Roman"/>
          <w:sz w:val="21"/>
          <w:szCs w:val="21"/>
          <w:lang w:val="es-CL"/>
        </w:rPr>
        <w:footnoteReference w:id="29"/>
      </w:r>
      <w:r w:rsidR="008155BE" w:rsidRPr="00DC03F7">
        <w:rPr>
          <w:rFonts w:ascii="Times New Roman" w:hAnsi="Times New Roman" w:cs="Times New Roman"/>
          <w:sz w:val="21"/>
          <w:szCs w:val="21"/>
          <w:lang w:val="es-CL"/>
        </w:rPr>
        <w:t xml:space="preserve">.  </w:t>
      </w:r>
      <w:r w:rsidR="008155BE" w:rsidRPr="00DC03F7">
        <w:rPr>
          <w:rFonts w:ascii="Times New Roman" w:hAnsi="Times New Roman" w:cs="Times New Roman"/>
          <w:sz w:val="21"/>
          <w:szCs w:val="21"/>
          <w:lang w:val="es-ES"/>
        </w:rPr>
        <w:t>(</w:t>
      </w:r>
      <w:r w:rsidR="008155BE" w:rsidRPr="00DC03F7">
        <w:rPr>
          <w:rFonts w:ascii="Times New Roman" w:hAnsi="Times New Roman" w:cs="Times New Roman"/>
          <w:b/>
          <w:sz w:val="21"/>
          <w:szCs w:val="21"/>
          <w:lang w:val="es-ES"/>
        </w:rPr>
        <w:t xml:space="preserve">ver </w:t>
      </w:r>
      <w:hyperlink r:id="rId17" w:history="1">
        <w:r w:rsidR="00BC296E" w:rsidRPr="00123D66">
          <w:rPr>
            <w:rStyle w:val="Hyperlink"/>
            <w:rFonts w:ascii="Times New Roman" w:hAnsi="Times New Roman" w:cs="Times New Roman"/>
            <w:b/>
            <w:sz w:val="21"/>
            <w:szCs w:val="21"/>
            <w:lang w:val="es-ES"/>
          </w:rPr>
          <w:t>C</w:t>
        </w:r>
        <w:r w:rsidR="008155BE" w:rsidRPr="00123D66">
          <w:rPr>
            <w:rStyle w:val="Hyperlink"/>
            <w:rFonts w:ascii="Times New Roman" w:hAnsi="Times New Roman" w:cs="Times New Roman"/>
            <w:b/>
            <w:sz w:val="21"/>
            <w:szCs w:val="21"/>
            <w:lang w:val="es-ES"/>
          </w:rPr>
          <w:t xml:space="preserve">aso </w:t>
        </w:r>
        <w:r w:rsidR="00BC296E" w:rsidRPr="00123D66">
          <w:rPr>
            <w:rStyle w:val="Hyperlink"/>
            <w:rFonts w:ascii="Times New Roman" w:hAnsi="Times New Roman" w:cs="Times New Roman"/>
            <w:b/>
            <w:sz w:val="21"/>
            <w:szCs w:val="21"/>
            <w:lang w:val="es-ES"/>
          </w:rPr>
          <w:t xml:space="preserve">1 – </w:t>
        </w:r>
        <w:r w:rsidR="008155BE" w:rsidRPr="00123D66">
          <w:rPr>
            <w:rStyle w:val="Hyperlink"/>
            <w:rFonts w:ascii="Times New Roman" w:hAnsi="Times New Roman" w:cs="Times New Roman"/>
            <w:b/>
            <w:sz w:val="21"/>
            <w:szCs w:val="21"/>
            <w:lang w:val="es-ES"/>
          </w:rPr>
          <w:t>A</w:t>
        </w:r>
        <w:r w:rsidR="00BC296E" w:rsidRPr="00123D66">
          <w:rPr>
            <w:rStyle w:val="Hyperlink"/>
            <w:rFonts w:ascii="Times New Roman" w:hAnsi="Times New Roman" w:cs="Times New Roman"/>
            <w:b/>
            <w:sz w:val="21"/>
            <w:szCs w:val="21"/>
            <w:lang w:val="es-ES"/>
          </w:rPr>
          <w:t>.</w:t>
        </w:r>
        <w:r w:rsidR="008155BE" w:rsidRPr="00123D66">
          <w:rPr>
            <w:rStyle w:val="Hyperlink"/>
            <w:rFonts w:ascii="Times New Roman" w:hAnsi="Times New Roman" w:cs="Times New Roman"/>
            <w:b/>
            <w:sz w:val="21"/>
            <w:szCs w:val="21"/>
            <w:lang w:val="es-ES"/>
          </w:rPr>
          <w:t>B</w:t>
        </w:r>
        <w:r w:rsidR="00BC296E" w:rsidRPr="00123D66">
          <w:rPr>
            <w:rStyle w:val="Hyperlink"/>
            <w:rFonts w:ascii="Times New Roman" w:hAnsi="Times New Roman" w:cs="Times New Roman"/>
            <w:b/>
            <w:sz w:val="21"/>
            <w:szCs w:val="21"/>
            <w:lang w:val="es-ES"/>
          </w:rPr>
          <w:t>.</w:t>
        </w:r>
        <w:r w:rsidR="008155BE" w:rsidRPr="00123D66">
          <w:rPr>
            <w:rStyle w:val="Hyperlink"/>
            <w:rFonts w:ascii="Times New Roman" w:hAnsi="Times New Roman" w:cs="Times New Roman"/>
            <w:b/>
            <w:sz w:val="21"/>
            <w:szCs w:val="21"/>
            <w:lang w:val="es-ES"/>
          </w:rPr>
          <w:t>M</w:t>
        </w:r>
        <w:r w:rsidR="00BC296E" w:rsidRPr="00123D66">
          <w:rPr>
            <w:rStyle w:val="Hyperlink"/>
            <w:rFonts w:ascii="Times New Roman" w:hAnsi="Times New Roman" w:cs="Times New Roman"/>
            <w:b/>
            <w:sz w:val="21"/>
            <w:szCs w:val="21"/>
            <w:lang w:val="es-ES"/>
          </w:rPr>
          <w:t>.</w:t>
        </w:r>
      </w:hyperlink>
      <w:r w:rsidR="008155BE" w:rsidRPr="00DC03F7">
        <w:rPr>
          <w:rFonts w:ascii="Times New Roman" w:hAnsi="Times New Roman" w:cs="Times New Roman"/>
          <w:sz w:val="21"/>
          <w:szCs w:val="21"/>
          <w:lang w:val="es-ES"/>
        </w:rPr>
        <w:t>)</w:t>
      </w:r>
    </w:p>
    <w:p w14:paraId="20A952B8" w14:textId="77777777" w:rsidR="001C3B26" w:rsidRPr="00DC03F7" w:rsidRDefault="001C3B26" w:rsidP="00E819C9">
      <w:pPr>
        <w:spacing w:line="276" w:lineRule="auto"/>
        <w:jc w:val="both"/>
        <w:rPr>
          <w:sz w:val="21"/>
          <w:szCs w:val="21"/>
        </w:rPr>
      </w:pPr>
    </w:p>
    <w:p w14:paraId="1AD7242E" w14:textId="77777777" w:rsidR="001C3B26" w:rsidRPr="00DC03F7" w:rsidRDefault="001C3B26" w:rsidP="00DB4704">
      <w:pPr>
        <w:spacing w:line="276" w:lineRule="auto"/>
        <w:ind w:firstLine="708"/>
        <w:jc w:val="both"/>
        <w:rPr>
          <w:b/>
          <w:i/>
          <w:sz w:val="21"/>
          <w:szCs w:val="21"/>
        </w:rPr>
      </w:pPr>
      <w:r w:rsidRPr="00DC03F7">
        <w:rPr>
          <w:b/>
          <w:i/>
          <w:sz w:val="21"/>
          <w:szCs w:val="21"/>
        </w:rPr>
        <w:t xml:space="preserve">Sobre el Principio de no </w:t>
      </w:r>
      <w:r w:rsidR="00DB4704" w:rsidRPr="00DC03F7">
        <w:rPr>
          <w:b/>
          <w:i/>
          <w:sz w:val="21"/>
          <w:szCs w:val="21"/>
        </w:rPr>
        <w:t xml:space="preserve">devolución. - </w:t>
      </w:r>
    </w:p>
    <w:p w14:paraId="4A93A930" w14:textId="77777777" w:rsidR="00DB4704" w:rsidRPr="00425C1B" w:rsidRDefault="00DB4704" w:rsidP="00DB4704">
      <w:pPr>
        <w:spacing w:line="276" w:lineRule="auto"/>
        <w:jc w:val="both"/>
        <w:rPr>
          <w:sz w:val="21"/>
          <w:szCs w:val="21"/>
        </w:rPr>
      </w:pPr>
    </w:p>
    <w:p w14:paraId="1DCE8449" w14:textId="4C53385C" w:rsidR="00F3215D" w:rsidRPr="00DC03F7" w:rsidRDefault="0094461C" w:rsidP="00E819C9">
      <w:pPr>
        <w:pStyle w:val="ListParagraph"/>
        <w:numPr>
          <w:ilvl w:val="0"/>
          <w:numId w:val="9"/>
        </w:numPr>
        <w:spacing w:line="276" w:lineRule="auto"/>
        <w:ind w:left="0"/>
        <w:jc w:val="both"/>
        <w:rPr>
          <w:rStyle w:val="PageNumber"/>
          <w:rFonts w:ascii="Times New Roman" w:hAnsi="Times New Roman" w:cs="Times New Roman"/>
          <w:sz w:val="21"/>
          <w:szCs w:val="21"/>
        </w:rPr>
      </w:pPr>
      <w:r w:rsidRPr="00DC03F7">
        <w:rPr>
          <w:rStyle w:val="PageNumber"/>
          <w:rFonts w:ascii="Times New Roman" w:hAnsi="Times New Roman" w:cs="Times New Roman"/>
          <w:sz w:val="21"/>
          <w:szCs w:val="21"/>
        </w:rPr>
        <w:t>E</w:t>
      </w:r>
      <w:r w:rsidR="00F52D93" w:rsidRPr="00DC03F7">
        <w:rPr>
          <w:rStyle w:val="PageNumber"/>
          <w:rFonts w:ascii="Times New Roman" w:hAnsi="Times New Roman" w:cs="Times New Roman"/>
          <w:sz w:val="21"/>
          <w:szCs w:val="21"/>
        </w:rPr>
        <w:t xml:space="preserve">n </w:t>
      </w:r>
      <w:r w:rsidR="00F52D93" w:rsidRPr="00DC03F7">
        <w:rPr>
          <w:rFonts w:ascii="Times New Roman" w:hAnsi="Times New Roman" w:cs="Times New Roman"/>
          <w:sz w:val="21"/>
          <w:szCs w:val="21"/>
        </w:rPr>
        <w:t xml:space="preserve">una gran variedad </w:t>
      </w:r>
      <w:r w:rsidR="007F467F" w:rsidRPr="00DC03F7">
        <w:rPr>
          <w:rFonts w:ascii="Times New Roman" w:hAnsi="Times New Roman" w:cs="Times New Roman"/>
          <w:sz w:val="21"/>
          <w:szCs w:val="21"/>
        </w:rPr>
        <w:t xml:space="preserve">de </w:t>
      </w:r>
      <w:r w:rsidR="00F3215D" w:rsidRPr="00DC03F7">
        <w:rPr>
          <w:rFonts w:ascii="Times New Roman" w:hAnsi="Times New Roman" w:cs="Times New Roman"/>
          <w:sz w:val="21"/>
          <w:szCs w:val="21"/>
        </w:rPr>
        <w:t>país</w:t>
      </w:r>
      <w:r w:rsidR="00F52D93" w:rsidRPr="00DC03F7">
        <w:rPr>
          <w:rFonts w:ascii="Times New Roman" w:hAnsi="Times New Roman" w:cs="Times New Roman"/>
          <w:sz w:val="21"/>
          <w:szCs w:val="21"/>
        </w:rPr>
        <w:t>es</w:t>
      </w:r>
      <w:r w:rsidR="00F3215D" w:rsidRPr="00DC03F7">
        <w:rPr>
          <w:rFonts w:ascii="Times New Roman" w:hAnsi="Times New Roman" w:cs="Times New Roman"/>
          <w:sz w:val="21"/>
          <w:szCs w:val="21"/>
        </w:rPr>
        <w:t xml:space="preserve"> de origen, </w:t>
      </w:r>
      <w:r w:rsidR="00F52D93" w:rsidRPr="00DC03F7">
        <w:rPr>
          <w:rFonts w:ascii="Times New Roman" w:hAnsi="Times New Roman" w:cs="Times New Roman"/>
          <w:sz w:val="21"/>
          <w:szCs w:val="21"/>
        </w:rPr>
        <w:t xml:space="preserve">tránsito y </w:t>
      </w:r>
      <w:r w:rsidR="00F3215D" w:rsidRPr="00DC03F7">
        <w:rPr>
          <w:rFonts w:ascii="Times New Roman" w:hAnsi="Times New Roman" w:cs="Times New Roman"/>
          <w:sz w:val="21"/>
          <w:szCs w:val="21"/>
        </w:rPr>
        <w:t xml:space="preserve">destino </w:t>
      </w:r>
      <w:r w:rsidR="00F52D93" w:rsidRPr="00DC03F7">
        <w:rPr>
          <w:rFonts w:ascii="Times New Roman" w:hAnsi="Times New Roman" w:cs="Times New Roman"/>
          <w:sz w:val="21"/>
          <w:szCs w:val="21"/>
        </w:rPr>
        <w:t>de mujeres</w:t>
      </w:r>
      <w:r w:rsidR="00F3215D" w:rsidRPr="00DC03F7">
        <w:rPr>
          <w:rFonts w:ascii="Times New Roman" w:hAnsi="Times New Roman" w:cs="Times New Roman"/>
          <w:sz w:val="21"/>
          <w:szCs w:val="21"/>
        </w:rPr>
        <w:t xml:space="preserve"> víctimas de trata</w:t>
      </w:r>
      <w:r w:rsidR="00F52D93" w:rsidRPr="00DC03F7">
        <w:rPr>
          <w:rStyle w:val="PageNumber"/>
          <w:rFonts w:ascii="Times New Roman" w:hAnsi="Times New Roman" w:cs="Times New Roman"/>
          <w:sz w:val="21"/>
          <w:szCs w:val="21"/>
        </w:rPr>
        <w:t xml:space="preserve"> aún perviven </w:t>
      </w:r>
      <w:r w:rsidR="00F3215D" w:rsidRPr="00DC03F7">
        <w:rPr>
          <w:rStyle w:val="PageNumber"/>
          <w:rFonts w:ascii="Times New Roman" w:hAnsi="Times New Roman" w:cs="Times New Roman"/>
          <w:sz w:val="21"/>
          <w:szCs w:val="21"/>
        </w:rPr>
        <w:t xml:space="preserve">numerosos obstáculos para que las víctimas </w:t>
      </w:r>
      <w:r w:rsidR="00B2473F" w:rsidRPr="00DC03F7">
        <w:rPr>
          <w:rStyle w:val="PageNumber"/>
          <w:rFonts w:ascii="Times New Roman" w:hAnsi="Times New Roman" w:cs="Times New Roman"/>
          <w:sz w:val="21"/>
          <w:szCs w:val="21"/>
        </w:rPr>
        <w:t>satisfagan</w:t>
      </w:r>
      <w:r w:rsidR="00F3215D" w:rsidRPr="00DC03F7">
        <w:rPr>
          <w:rStyle w:val="PageNumber"/>
          <w:rFonts w:ascii="Times New Roman" w:hAnsi="Times New Roman" w:cs="Times New Roman"/>
          <w:sz w:val="21"/>
          <w:szCs w:val="21"/>
        </w:rPr>
        <w:t xml:space="preserve"> su derecho </w:t>
      </w:r>
      <w:r w:rsidR="00F52D93" w:rsidRPr="00DC03F7">
        <w:rPr>
          <w:rStyle w:val="PageNumber"/>
          <w:rFonts w:ascii="Times New Roman" w:hAnsi="Times New Roman" w:cs="Times New Roman"/>
          <w:sz w:val="21"/>
          <w:szCs w:val="21"/>
        </w:rPr>
        <w:t xml:space="preserve">a la protección integral, </w:t>
      </w:r>
      <w:r w:rsidR="00B26A5E" w:rsidRPr="00DC03F7">
        <w:rPr>
          <w:rStyle w:val="PageNumber"/>
          <w:rFonts w:ascii="Times New Roman" w:hAnsi="Times New Roman" w:cs="Times New Roman"/>
          <w:sz w:val="21"/>
          <w:szCs w:val="21"/>
        </w:rPr>
        <w:t>a</w:t>
      </w:r>
      <w:r w:rsidR="00F52D93" w:rsidRPr="00DC03F7">
        <w:rPr>
          <w:rStyle w:val="PageNumber"/>
          <w:rFonts w:ascii="Times New Roman" w:hAnsi="Times New Roman" w:cs="Times New Roman"/>
          <w:sz w:val="21"/>
          <w:szCs w:val="21"/>
        </w:rPr>
        <w:t xml:space="preserve">l acceso a la justicia y a </w:t>
      </w:r>
      <w:r w:rsidR="00F3215D" w:rsidRPr="00DC03F7">
        <w:rPr>
          <w:rStyle w:val="PageNumber"/>
          <w:rFonts w:ascii="Times New Roman" w:hAnsi="Times New Roman" w:cs="Times New Roman"/>
          <w:sz w:val="21"/>
          <w:szCs w:val="21"/>
        </w:rPr>
        <w:t xml:space="preserve">una reparación </w:t>
      </w:r>
      <w:r w:rsidR="00F3215D" w:rsidRPr="00DC03F7">
        <w:rPr>
          <w:rFonts w:ascii="Times New Roman" w:hAnsi="Times New Roman" w:cs="Times New Roman"/>
          <w:sz w:val="21"/>
          <w:szCs w:val="21"/>
        </w:rPr>
        <w:lastRenderedPageBreak/>
        <w:t xml:space="preserve">frente </w:t>
      </w:r>
      <w:r w:rsidR="00F52D93" w:rsidRPr="00DC03F7">
        <w:rPr>
          <w:rFonts w:ascii="Times New Roman" w:hAnsi="Times New Roman" w:cs="Times New Roman"/>
          <w:sz w:val="21"/>
          <w:szCs w:val="21"/>
        </w:rPr>
        <w:t>a</w:t>
      </w:r>
      <w:r w:rsidR="004A0393" w:rsidRPr="00DC03F7">
        <w:rPr>
          <w:rFonts w:ascii="Times New Roman" w:hAnsi="Times New Roman" w:cs="Times New Roman"/>
          <w:sz w:val="21"/>
          <w:szCs w:val="21"/>
        </w:rPr>
        <w:t xml:space="preserve"> las</w:t>
      </w:r>
      <w:r w:rsidR="00F52D93" w:rsidRPr="00DC03F7">
        <w:rPr>
          <w:rFonts w:ascii="Times New Roman" w:hAnsi="Times New Roman" w:cs="Times New Roman"/>
          <w:sz w:val="21"/>
          <w:szCs w:val="21"/>
        </w:rPr>
        <w:t xml:space="preserve"> formas de violencia por razón de género </w:t>
      </w:r>
      <w:r w:rsidR="006215D2" w:rsidRPr="00DC03F7">
        <w:rPr>
          <w:rFonts w:ascii="Times New Roman" w:hAnsi="Times New Roman" w:cs="Times New Roman"/>
          <w:sz w:val="21"/>
          <w:szCs w:val="21"/>
        </w:rPr>
        <w:t>que</w:t>
      </w:r>
      <w:r w:rsidR="00F3215D" w:rsidRPr="00DC03F7">
        <w:rPr>
          <w:rFonts w:ascii="Times New Roman" w:hAnsi="Times New Roman" w:cs="Times New Roman"/>
          <w:sz w:val="21"/>
          <w:szCs w:val="21"/>
        </w:rPr>
        <w:t xml:space="preserve"> se cometen</w:t>
      </w:r>
      <w:r w:rsidR="00E432A9" w:rsidRPr="00DC03F7">
        <w:rPr>
          <w:rFonts w:ascii="Times New Roman" w:hAnsi="Times New Roman" w:cs="Times New Roman"/>
          <w:sz w:val="21"/>
          <w:szCs w:val="21"/>
        </w:rPr>
        <w:t xml:space="preserve"> en</w:t>
      </w:r>
      <w:r w:rsidR="00F3215D" w:rsidRPr="00DC03F7">
        <w:rPr>
          <w:rFonts w:ascii="Times New Roman" w:hAnsi="Times New Roman" w:cs="Times New Roman"/>
          <w:sz w:val="21"/>
          <w:szCs w:val="21"/>
        </w:rPr>
        <w:t xml:space="preserve"> contra</w:t>
      </w:r>
      <w:r w:rsidR="00E432A9" w:rsidRPr="00DC03F7">
        <w:rPr>
          <w:rFonts w:ascii="Times New Roman" w:hAnsi="Times New Roman" w:cs="Times New Roman"/>
          <w:sz w:val="21"/>
          <w:szCs w:val="21"/>
        </w:rPr>
        <w:t xml:space="preserve"> de</w:t>
      </w:r>
      <w:r w:rsidR="00F3215D" w:rsidRPr="00DC03F7">
        <w:rPr>
          <w:rFonts w:ascii="Times New Roman" w:hAnsi="Times New Roman" w:cs="Times New Roman"/>
          <w:sz w:val="21"/>
          <w:szCs w:val="21"/>
        </w:rPr>
        <w:t xml:space="preserve"> ellas</w:t>
      </w:r>
      <w:r w:rsidR="006215D2" w:rsidRPr="00DC03F7">
        <w:rPr>
          <w:rStyle w:val="FootnoteReference"/>
          <w:rFonts w:ascii="Times New Roman" w:hAnsi="Times New Roman" w:cs="Times New Roman"/>
          <w:sz w:val="21"/>
          <w:szCs w:val="21"/>
        </w:rPr>
        <w:footnoteReference w:id="30"/>
      </w:r>
      <w:r w:rsidR="00F3215D" w:rsidRPr="00DC03F7">
        <w:rPr>
          <w:rFonts w:ascii="Times New Roman" w:hAnsi="Times New Roman" w:cs="Times New Roman"/>
          <w:sz w:val="21"/>
          <w:szCs w:val="21"/>
        </w:rPr>
        <w:t xml:space="preserve">. Entre estos obstáculos </w:t>
      </w:r>
      <w:r w:rsidR="004F7382" w:rsidRPr="00DC03F7">
        <w:rPr>
          <w:rFonts w:ascii="Times New Roman" w:hAnsi="Times New Roman" w:cs="Times New Roman"/>
          <w:sz w:val="21"/>
          <w:szCs w:val="21"/>
        </w:rPr>
        <w:t>destaca</w:t>
      </w:r>
      <w:r w:rsidR="00F3215D" w:rsidRPr="00DC03F7">
        <w:rPr>
          <w:rFonts w:ascii="Times New Roman" w:hAnsi="Times New Roman" w:cs="Times New Roman"/>
          <w:sz w:val="21"/>
          <w:szCs w:val="21"/>
        </w:rPr>
        <w:t xml:space="preserve"> la </w:t>
      </w:r>
      <w:r w:rsidR="00F3215D" w:rsidRPr="00DC03F7">
        <w:rPr>
          <w:rStyle w:val="PageNumber"/>
          <w:rFonts w:ascii="Times New Roman" w:hAnsi="Times New Roman" w:cs="Times New Roman"/>
          <w:sz w:val="21"/>
          <w:szCs w:val="21"/>
        </w:rPr>
        <w:t xml:space="preserve">vulneración del principio de no devolución </w:t>
      </w:r>
      <w:r w:rsidR="00B2473F" w:rsidRPr="00DC03F7">
        <w:rPr>
          <w:rStyle w:val="PageNumber"/>
          <w:rFonts w:ascii="Times New Roman" w:hAnsi="Times New Roman" w:cs="Times New Roman"/>
          <w:sz w:val="21"/>
          <w:szCs w:val="21"/>
        </w:rPr>
        <w:t>por parte de los Estados debid</w:t>
      </w:r>
      <w:r w:rsidR="00F87EF0">
        <w:rPr>
          <w:rStyle w:val="PageNumber"/>
          <w:rFonts w:ascii="Times New Roman" w:hAnsi="Times New Roman" w:cs="Times New Roman"/>
          <w:sz w:val="21"/>
          <w:szCs w:val="21"/>
        </w:rPr>
        <w:t>a</w:t>
      </w:r>
      <w:r w:rsidR="00B2473F" w:rsidRPr="00DC03F7">
        <w:rPr>
          <w:rStyle w:val="PageNumber"/>
          <w:rFonts w:ascii="Times New Roman" w:hAnsi="Times New Roman" w:cs="Times New Roman"/>
          <w:sz w:val="21"/>
          <w:szCs w:val="21"/>
        </w:rPr>
        <w:t xml:space="preserve"> a la</w:t>
      </w:r>
      <w:r w:rsidR="00B0354A" w:rsidRPr="00DC03F7">
        <w:rPr>
          <w:rStyle w:val="PageNumber"/>
          <w:rFonts w:ascii="Times New Roman" w:hAnsi="Times New Roman" w:cs="Times New Roman"/>
          <w:sz w:val="21"/>
          <w:szCs w:val="21"/>
        </w:rPr>
        <w:t xml:space="preserve"> falta de </w:t>
      </w:r>
      <w:r w:rsidR="001513D9" w:rsidRPr="00DC03F7">
        <w:rPr>
          <w:rStyle w:val="PageNumber"/>
          <w:rFonts w:ascii="Times New Roman" w:hAnsi="Times New Roman" w:cs="Times New Roman"/>
          <w:sz w:val="21"/>
          <w:szCs w:val="21"/>
        </w:rPr>
        <w:t>adecuación</w:t>
      </w:r>
      <w:r w:rsidR="006D41A7" w:rsidRPr="00DC03F7">
        <w:rPr>
          <w:rStyle w:val="PageNumber"/>
          <w:rFonts w:ascii="Times New Roman" w:hAnsi="Times New Roman" w:cs="Times New Roman"/>
          <w:sz w:val="21"/>
          <w:szCs w:val="21"/>
        </w:rPr>
        <w:t xml:space="preserve"> de los mecanismos de</w:t>
      </w:r>
      <w:r w:rsidR="000B4C9F" w:rsidRPr="00DC03F7">
        <w:rPr>
          <w:rStyle w:val="PageNumber"/>
          <w:rFonts w:ascii="Times New Roman" w:hAnsi="Times New Roman" w:cs="Times New Roman"/>
          <w:sz w:val="21"/>
          <w:szCs w:val="21"/>
        </w:rPr>
        <w:t xml:space="preserve"> </w:t>
      </w:r>
      <w:r w:rsidR="00B0354A" w:rsidRPr="00DC03F7">
        <w:rPr>
          <w:rStyle w:val="PageNumber"/>
          <w:rFonts w:ascii="Times New Roman" w:hAnsi="Times New Roman" w:cs="Times New Roman"/>
          <w:sz w:val="21"/>
          <w:szCs w:val="21"/>
        </w:rPr>
        <w:t xml:space="preserve">identificación </w:t>
      </w:r>
      <w:r w:rsidR="00E12E57" w:rsidRPr="00DC03F7">
        <w:rPr>
          <w:rStyle w:val="PageNumber"/>
          <w:rFonts w:ascii="Times New Roman" w:hAnsi="Times New Roman" w:cs="Times New Roman"/>
          <w:sz w:val="21"/>
          <w:szCs w:val="21"/>
        </w:rPr>
        <w:t>de víctimas derivada de la</w:t>
      </w:r>
      <w:r w:rsidR="00B2473F" w:rsidRPr="00DC03F7">
        <w:rPr>
          <w:rStyle w:val="PageNumber"/>
          <w:rFonts w:ascii="Times New Roman" w:hAnsi="Times New Roman" w:cs="Times New Roman"/>
          <w:sz w:val="21"/>
          <w:szCs w:val="21"/>
        </w:rPr>
        <w:t xml:space="preserve"> aplicación de un enfoque de control de la migración irregular</w:t>
      </w:r>
      <w:r w:rsidR="00BF45E3" w:rsidRPr="00DC03F7">
        <w:rPr>
          <w:rStyle w:val="PageNumber"/>
          <w:rFonts w:ascii="Times New Roman" w:hAnsi="Times New Roman" w:cs="Times New Roman"/>
          <w:sz w:val="21"/>
          <w:szCs w:val="21"/>
          <w:vertAlign w:val="superscript"/>
        </w:rPr>
        <w:footnoteReference w:id="31"/>
      </w:r>
      <w:r w:rsidR="000B4C9F" w:rsidRPr="00DC03F7">
        <w:rPr>
          <w:rStyle w:val="PageNumber"/>
          <w:rFonts w:ascii="Times New Roman" w:hAnsi="Times New Roman" w:cs="Times New Roman"/>
          <w:sz w:val="21"/>
          <w:szCs w:val="21"/>
        </w:rPr>
        <w:t xml:space="preserve">. </w:t>
      </w:r>
      <w:r w:rsidR="000C3313" w:rsidRPr="00DC03F7">
        <w:rPr>
          <w:rStyle w:val="PageNumber"/>
          <w:rFonts w:ascii="Times New Roman" w:hAnsi="Times New Roman" w:cs="Times New Roman"/>
          <w:sz w:val="21"/>
          <w:szCs w:val="21"/>
        </w:rPr>
        <w:t xml:space="preserve"> </w:t>
      </w:r>
      <w:r w:rsidR="006714C7" w:rsidRPr="00DC03F7">
        <w:rPr>
          <w:rStyle w:val="PageNumber"/>
          <w:rFonts w:ascii="Times New Roman" w:hAnsi="Times New Roman" w:cs="Times New Roman"/>
          <w:sz w:val="21"/>
          <w:szCs w:val="21"/>
        </w:rPr>
        <w:t>La priorización de un</w:t>
      </w:r>
      <w:r w:rsidR="00FB7FA8" w:rsidRPr="00DC03F7">
        <w:rPr>
          <w:rStyle w:val="PageNumber"/>
          <w:rFonts w:ascii="Times New Roman" w:hAnsi="Times New Roman" w:cs="Times New Roman"/>
          <w:sz w:val="21"/>
          <w:szCs w:val="21"/>
        </w:rPr>
        <w:t xml:space="preserve"> enfoque </w:t>
      </w:r>
      <w:r w:rsidR="00BB6645" w:rsidRPr="00DC03F7">
        <w:rPr>
          <w:rStyle w:val="PageNumber"/>
          <w:rFonts w:ascii="Times New Roman" w:hAnsi="Times New Roman" w:cs="Times New Roman"/>
          <w:sz w:val="21"/>
          <w:szCs w:val="21"/>
        </w:rPr>
        <w:t xml:space="preserve">de control migratorio </w:t>
      </w:r>
      <w:r w:rsidR="006714C7" w:rsidRPr="00DC03F7">
        <w:rPr>
          <w:rStyle w:val="PageNumber"/>
          <w:rFonts w:ascii="Times New Roman" w:hAnsi="Times New Roman" w:cs="Times New Roman"/>
          <w:sz w:val="21"/>
          <w:szCs w:val="21"/>
        </w:rPr>
        <w:t xml:space="preserve">frente </w:t>
      </w:r>
      <w:r w:rsidR="000454DD" w:rsidRPr="00DC03F7">
        <w:rPr>
          <w:rStyle w:val="PageNumber"/>
          <w:rFonts w:ascii="Times New Roman" w:hAnsi="Times New Roman" w:cs="Times New Roman"/>
          <w:sz w:val="21"/>
          <w:szCs w:val="21"/>
        </w:rPr>
        <w:t xml:space="preserve">a un enfoque de derechos humanos </w:t>
      </w:r>
      <w:r w:rsidR="00BB6645" w:rsidRPr="00DC03F7">
        <w:rPr>
          <w:rStyle w:val="PageNumber"/>
          <w:rFonts w:ascii="Times New Roman" w:hAnsi="Times New Roman" w:cs="Times New Roman"/>
          <w:sz w:val="21"/>
          <w:szCs w:val="21"/>
        </w:rPr>
        <w:t xml:space="preserve">a menudo </w:t>
      </w:r>
      <w:r w:rsidR="000454DD" w:rsidRPr="00DC03F7">
        <w:rPr>
          <w:rStyle w:val="PageNumber"/>
          <w:rFonts w:ascii="Times New Roman" w:hAnsi="Times New Roman" w:cs="Times New Roman"/>
          <w:sz w:val="21"/>
          <w:szCs w:val="21"/>
        </w:rPr>
        <w:t xml:space="preserve">deriva en </w:t>
      </w:r>
      <w:r w:rsidR="006459E9" w:rsidRPr="00DC03F7">
        <w:rPr>
          <w:rStyle w:val="PageNumber"/>
          <w:rFonts w:ascii="Times New Roman" w:hAnsi="Times New Roman" w:cs="Times New Roman"/>
          <w:sz w:val="21"/>
          <w:szCs w:val="21"/>
        </w:rPr>
        <w:t>una ceguera hacia</w:t>
      </w:r>
      <w:r w:rsidR="00EE1E12" w:rsidRPr="00DC03F7">
        <w:rPr>
          <w:rStyle w:val="PageNumber"/>
          <w:rFonts w:ascii="Times New Roman" w:hAnsi="Times New Roman" w:cs="Times New Roman"/>
          <w:sz w:val="21"/>
          <w:szCs w:val="21"/>
        </w:rPr>
        <w:t xml:space="preserve"> las</w:t>
      </w:r>
      <w:r w:rsidR="00BB6645" w:rsidRPr="00DC03F7">
        <w:rPr>
          <w:rStyle w:val="PageNumber"/>
          <w:rFonts w:ascii="Times New Roman" w:hAnsi="Times New Roman" w:cs="Times New Roman"/>
          <w:sz w:val="21"/>
          <w:szCs w:val="21"/>
        </w:rPr>
        <w:t xml:space="preserve"> situaciones de vulnerabilidad </w:t>
      </w:r>
      <w:r w:rsidR="008350F5" w:rsidRPr="00DC03F7">
        <w:rPr>
          <w:rStyle w:val="PageNumber"/>
          <w:rFonts w:ascii="Times New Roman" w:hAnsi="Times New Roman" w:cs="Times New Roman"/>
          <w:sz w:val="21"/>
          <w:szCs w:val="21"/>
        </w:rPr>
        <w:t>y l</w:t>
      </w:r>
      <w:r w:rsidR="00BA3A4B" w:rsidRPr="00DC03F7">
        <w:rPr>
          <w:rStyle w:val="PageNumber"/>
          <w:rFonts w:ascii="Times New Roman" w:hAnsi="Times New Roman" w:cs="Times New Roman"/>
          <w:sz w:val="21"/>
          <w:szCs w:val="21"/>
        </w:rPr>
        <w:t>os</w:t>
      </w:r>
      <w:r w:rsidR="008350F5" w:rsidRPr="00DC03F7">
        <w:rPr>
          <w:rStyle w:val="PageNumber"/>
          <w:rFonts w:ascii="Times New Roman" w:hAnsi="Times New Roman" w:cs="Times New Roman"/>
          <w:sz w:val="21"/>
          <w:szCs w:val="21"/>
        </w:rPr>
        <w:t xml:space="preserve"> riesgos </w:t>
      </w:r>
      <w:r w:rsidR="00BA3A4B" w:rsidRPr="00DC03F7">
        <w:rPr>
          <w:rStyle w:val="PageNumber"/>
          <w:rFonts w:ascii="Times New Roman" w:hAnsi="Times New Roman" w:cs="Times New Roman"/>
          <w:sz w:val="21"/>
          <w:szCs w:val="21"/>
        </w:rPr>
        <w:t>que las víctimas de trata enfrentan en caso de devolución</w:t>
      </w:r>
      <w:r w:rsidR="001A3FB5" w:rsidRPr="00DC03F7">
        <w:rPr>
          <w:rStyle w:val="FootnoteReference"/>
          <w:rFonts w:ascii="Times New Roman" w:hAnsi="Times New Roman" w:cs="Times New Roman"/>
          <w:sz w:val="21"/>
          <w:szCs w:val="21"/>
        </w:rPr>
        <w:footnoteReference w:id="32"/>
      </w:r>
      <w:r w:rsidR="00F3215D" w:rsidRPr="00DC03F7">
        <w:rPr>
          <w:rStyle w:val="PageNumber"/>
          <w:rFonts w:ascii="Times New Roman" w:hAnsi="Times New Roman" w:cs="Times New Roman"/>
          <w:sz w:val="21"/>
          <w:szCs w:val="21"/>
        </w:rPr>
        <w:t>.</w:t>
      </w:r>
      <w:r w:rsidR="000752FC" w:rsidRPr="00DC03F7">
        <w:rPr>
          <w:rStyle w:val="PageNumber"/>
          <w:rFonts w:ascii="Times New Roman" w:hAnsi="Times New Roman" w:cs="Times New Roman"/>
          <w:sz w:val="21"/>
          <w:szCs w:val="21"/>
        </w:rPr>
        <w:t xml:space="preserve"> (</w:t>
      </w:r>
      <w:r w:rsidR="000752FC" w:rsidRPr="00DC03F7">
        <w:rPr>
          <w:rStyle w:val="PageNumber"/>
          <w:rFonts w:ascii="Times New Roman" w:hAnsi="Times New Roman" w:cs="Times New Roman"/>
          <w:b/>
          <w:sz w:val="21"/>
          <w:szCs w:val="21"/>
        </w:rPr>
        <w:t xml:space="preserve">ver </w:t>
      </w:r>
      <w:hyperlink r:id="rId18" w:history="1">
        <w:r w:rsidR="00E2724B" w:rsidRPr="00EA43AF">
          <w:rPr>
            <w:rStyle w:val="Hyperlink"/>
            <w:rFonts w:ascii="Times New Roman" w:hAnsi="Times New Roman" w:cs="Times New Roman"/>
            <w:b/>
            <w:sz w:val="21"/>
            <w:szCs w:val="21"/>
          </w:rPr>
          <w:t>C</w:t>
        </w:r>
        <w:r w:rsidR="000752FC" w:rsidRPr="00EA43AF">
          <w:rPr>
            <w:rStyle w:val="Hyperlink"/>
            <w:rFonts w:ascii="Times New Roman" w:hAnsi="Times New Roman" w:cs="Times New Roman"/>
            <w:b/>
            <w:sz w:val="21"/>
            <w:szCs w:val="21"/>
          </w:rPr>
          <w:t>aso</w:t>
        </w:r>
        <w:r w:rsidR="00E2724B" w:rsidRPr="00EA43AF">
          <w:rPr>
            <w:rStyle w:val="Hyperlink"/>
            <w:rFonts w:ascii="Times New Roman" w:hAnsi="Times New Roman" w:cs="Times New Roman"/>
            <w:b/>
            <w:sz w:val="21"/>
            <w:szCs w:val="21"/>
          </w:rPr>
          <w:t xml:space="preserve"> 2 </w:t>
        </w:r>
        <w:r w:rsidR="00410E44" w:rsidRPr="00EA43AF">
          <w:rPr>
            <w:rStyle w:val="Hyperlink"/>
            <w:rFonts w:ascii="Times New Roman" w:hAnsi="Times New Roman" w:cs="Times New Roman"/>
            <w:b/>
            <w:sz w:val="21"/>
            <w:szCs w:val="21"/>
          </w:rPr>
          <w:t>–</w:t>
        </w:r>
        <w:r w:rsidR="002658F8" w:rsidRPr="00EA43AF">
          <w:rPr>
            <w:rStyle w:val="Hyperlink"/>
            <w:rFonts w:ascii="Times New Roman" w:hAnsi="Times New Roman" w:cs="Times New Roman"/>
            <w:b/>
            <w:sz w:val="21"/>
            <w:szCs w:val="21"/>
          </w:rPr>
          <w:t xml:space="preserve"> G.J.</w:t>
        </w:r>
      </w:hyperlink>
      <w:r w:rsidR="00505014" w:rsidRPr="00DC03F7">
        <w:rPr>
          <w:rStyle w:val="PageNumber"/>
          <w:rFonts w:ascii="Times New Roman" w:hAnsi="Times New Roman" w:cs="Times New Roman"/>
          <w:b/>
          <w:sz w:val="21"/>
          <w:szCs w:val="21"/>
        </w:rPr>
        <w:t xml:space="preserve"> </w:t>
      </w:r>
      <w:r w:rsidR="00E5408F" w:rsidRPr="00DC03F7">
        <w:rPr>
          <w:rStyle w:val="PageNumber"/>
          <w:rFonts w:ascii="Times New Roman" w:hAnsi="Times New Roman" w:cs="Times New Roman"/>
          <w:b/>
          <w:sz w:val="21"/>
          <w:szCs w:val="21"/>
        </w:rPr>
        <w:t xml:space="preserve">y </w:t>
      </w:r>
      <w:hyperlink r:id="rId19" w:history="1">
        <w:r w:rsidR="00E2724B" w:rsidRPr="00EA43AF">
          <w:rPr>
            <w:rStyle w:val="Hyperlink"/>
            <w:rFonts w:ascii="Times New Roman" w:hAnsi="Times New Roman" w:cs="Times New Roman"/>
            <w:b/>
            <w:sz w:val="21"/>
            <w:szCs w:val="21"/>
          </w:rPr>
          <w:t xml:space="preserve">Caso 3 </w:t>
        </w:r>
        <w:r w:rsidR="00410E44" w:rsidRPr="00EA43AF">
          <w:rPr>
            <w:rStyle w:val="Hyperlink"/>
            <w:rFonts w:ascii="Times New Roman" w:hAnsi="Times New Roman" w:cs="Times New Roman"/>
            <w:b/>
            <w:sz w:val="21"/>
            <w:szCs w:val="21"/>
          </w:rPr>
          <w:t>–</w:t>
        </w:r>
        <w:r w:rsidR="00E2724B" w:rsidRPr="00EA43AF">
          <w:rPr>
            <w:rStyle w:val="Hyperlink"/>
            <w:rFonts w:ascii="Times New Roman" w:hAnsi="Times New Roman" w:cs="Times New Roman"/>
            <w:b/>
            <w:sz w:val="21"/>
            <w:szCs w:val="21"/>
          </w:rPr>
          <w:t xml:space="preserve"> </w:t>
        </w:r>
        <w:r w:rsidR="00505014" w:rsidRPr="00EA43AF">
          <w:rPr>
            <w:rStyle w:val="Hyperlink"/>
            <w:rFonts w:ascii="Times New Roman" w:hAnsi="Times New Roman" w:cs="Times New Roman"/>
            <w:b/>
            <w:sz w:val="21"/>
            <w:szCs w:val="21"/>
          </w:rPr>
          <w:t>R.R.</w:t>
        </w:r>
      </w:hyperlink>
      <w:r w:rsidR="000752FC" w:rsidRPr="00DC03F7">
        <w:rPr>
          <w:rStyle w:val="PageNumber"/>
          <w:rFonts w:ascii="Times New Roman" w:hAnsi="Times New Roman" w:cs="Times New Roman"/>
          <w:sz w:val="21"/>
          <w:szCs w:val="21"/>
        </w:rPr>
        <w:t>)</w:t>
      </w:r>
    </w:p>
    <w:p w14:paraId="16B5A2F0" w14:textId="77777777" w:rsidR="00215EA9" w:rsidRPr="00DC03F7" w:rsidRDefault="00215EA9" w:rsidP="00E819C9">
      <w:pPr>
        <w:spacing w:line="276" w:lineRule="auto"/>
        <w:jc w:val="both"/>
        <w:rPr>
          <w:sz w:val="21"/>
          <w:szCs w:val="21"/>
        </w:rPr>
      </w:pPr>
    </w:p>
    <w:p w14:paraId="5138906D" w14:textId="42182069" w:rsidR="00FC1173" w:rsidRPr="00DC03F7" w:rsidRDefault="00E873D2" w:rsidP="00E819C9">
      <w:pPr>
        <w:pStyle w:val="ListParagraph"/>
        <w:numPr>
          <w:ilvl w:val="0"/>
          <w:numId w:val="9"/>
        </w:numPr>
        <w:spacing w:line="276" w:lineRule="auto"/>
        <w:ind w:left="0"/>
        <w:jc w:val="both"/>
        <w:rPr>
          <w:rFonts w:ascii="Times New Roman" w:eastAsia="Times New Roman" w:hAnsi="Times New Roman" w:cs="Times New Roman"/>
          <w:sz w:val="21"/>
          <w:szCs w:val="21"/>
          <w:lang w:val="es-ES" w:eastAsia="es-ES_tradnl"/>
        </w:rPr>
      </w:pPr>
      <w:r w:rsidRPr="00DC03F7">
        <w:rPr>
          <w:rFonts w:ascii="Times New Roman" w:eastAsia="Times New Roman" w:hAnsi="Times New Roman" w:cs="Times New Roman"/>
          <w:sz w:val="21"/>
          <w:szCs w:val="21"/>
          <w:lang w:val="es-ES" w:eastAsia="es-ES_tradnl"/>
        </w:rPr>
        <w:t xml:space="preserve">El </w:t>
      </w:r>
      <w:r w:rsidR="00B7574A" w:rsidRPr="00DC03F7">
        <w:rPr>
          <w:rFonts w:ascii="Times New Roman" w:eastAsia="Times New Roman" w:hAnsi="Times New Roman" w:cs="Times New Roman"/>
          <w:sz w:val="21"/>
          <w:szCs w:val="21"/>
          <w:lang w:val="es-ES" w:eastAsia="es-ES_tradnl"/>
        </w:rPr>
        <w:t>p</w:t>
      </w:r>
      <w:r w:rsidRPr="00DC03F7">
        <w:rPr>
          <w:rFonts w:ascii="Times New Roman" w:eastAsia="Times New Roman" w:hAnsi="Times New Roman" w:cs="Times New Roman"/>
          <w:sz w:val="21"/>
          <w:szCs w:val="21"/>
          <w:lang w:val="es-ES" w:eastAsia="es-ES_tradnl"/>
        </w:rPr>
        <w:t xml:space="preserve">rincipio de no devolución, de conformidad con el derecho internacional de los derechos humanos, establece que los Estados están obligados </w:t>
      </w:r>
      <w:r w:rsidR="00E76A81" w:rsidRPr="00DC03F7">
        <w:rPr>
          <w:rFonts w:ascii="Times New Roman" w:eastAsia="Times New Roman" w:hAnsi="Times New Roman" w:cs="Times New Roman"/>
          <w:sz w:val="21"/>
          <w:szCs w:val="21"/>
          <w:lang w:val="es-ES" w:eastAsia="es-ES_tradnl"/>
        </w:rPr>
        <w:t xml:space="preserve">a </w:t>
      </w:r>
      <w:r w:rsidR="00A0608C" w:rsidRPr="00DC03F7">
        <w:rPr>
          <w:rFonts w:ascii="Times New Roman" w:eastAsia="Times New Roman" w:hAnsi="Times New Roman" w:cs="Times New Roman"/>
          <w:sz w:val="21"/>
          <w:szCs w:val="21"/>
          <w:lang w:val="es-ES" w:eastAsia="es-ES_tradnl"/>
        </w:rPr>
        <w:t xml:space="preserve">garantizar </w:t>
      </w:r>
      <w:r w:rsidR="00A52F46" w:rsidRPr="00DC03F7">
        <w:rPr>
          <w:rFonts w:ascii="Times New Roman" w:eastAsia="Times New Roman" w:hAnsi="Times New Roman" w:cs="Times New Roman"/>
          <w:sz w:val="21"/>
          <w:szCs w:val="21"/>
          <w:lang w:val="es-ES" w:eastAsia="es-ES_tradnl"/>
        </w:rPr>
        <w:t>la no expulsión de</w:t>
      </w:r>
      <w:r w:rsidRPr="00DC03F7">
        <w:rPr>
          <w:rFonts w:ascii="Times New Roman" w:eastAsia="Times New Roman" w:hAnsi="Times New Roman" w:cs="Times New Roman"/>
          <w:sz w:val="21"/>
          <w:szCs w:val="21"/>
          <w:lang w:val="es-ES" w:eastAsia="es-ES_tradnl"/>
        </w:rPr>
        <w:t xml:space="preserve"> ninguna persona a otro país si esto causara su exposición a graves violaciones de sus derechos humanos, </w:t>
      </w:r>
      <w:r w:rsidR="0000242A" w:rsidRPr="00DC03F7">
        <w:rPr>
          <w:rFonts w:ascii="Times New Roman" w:eastAsia="Times New Roman" w:hAnsi="Times New Roman" w:cs="Times New Roman"/>
          <w:sz w:val="21"/>
          <w:szCs w:val="21"/>
          <w:lang w:val="es-ES" w:eastAsia="es-ES_tradnl"/>
        </w:rPr>
        <w:t xml:space="preserve">a </w:t>
      </w:r>
      <w:r w:rsidRPr="00DC03F7">
        <w:rPr>
          <w:rFonts w:ascii="Times New Roman" w:eastAsia="Times New Roman" w:hAnsi="Times New Roman" w:cs="Times New Roman"/>
          <w:sz w:val="21"/>
          <w:szCs w:val="21"/>
          <w:lang w:val="es-ES" w:eastAsia="es-ES_tradnl"/>
        </w:rPr>
        <w:t xml:space="preserve">formas de violencia por motivos </w:t>
      </w:r>
      <w:r w:rsidRPr="00DC03F7">
        <w:rPr>
          <w:rFonts w:ascii="Times New Roman" w:eastAsia="Times New Roman" w:hAnsi="Times New Roman" w:cs="Times New Roman"/>
          <w:sz w:val="21"/>
          <w:szCs w:val="21"/>
          <w:lang w:val="es-ES" w:eastAsia="es-ES_tradnl"/>
        </w:rPr>
        <w:lastRenderedPageBreak/>
        <w:t xml:space="preserve">de género, a tortura y </w:t>
      </w:r>
      <w:r w:rsidR="00636DFA" w:rsidRPr="00DC03F7">
        <w:rPr>
          <w:rFonts w:ascii="Times New Roman" w:eastAsia="Times New Roman" w:hAnsi="Times New Roman" w:cs="Times New Roman"/>
          <w:sz w:val="21"/>
          <w:szCs w:val="21"/>
          <w:lang w:val="es-ES" w:eastAsia="es-ES_tradnl"/>
        </w:rPr>
        <w:t xml:space="preserve">a </w:t>
      </w:r>
      <w:r w:rsidRPr="00DC03F7">
        <w:rPr>
          <w:rFonts w:ascii="Times New Roman" w:eastAsia="Times New Roman" w:hAnsi="Times New Roman" w:cs="Times New Roman"/>
          <w:sz w:val="21"/>
          <w:szCs w:val="21"/>
          <w:lang w:val="es-ES" w:eastAsia="es-ES_tradnl"/>
        </w:rPr>
        <w:t>otros tratos o penas crueles, inhumanos o degradantes</w:t>
      </w:r>
      <w:r w:rsidRPr="00DC03F7">
        <w:rPr>
          <w:rStyle w:val="FootnoteReference"/>
          <w:rFonts w:ascii="Times New Roman" w:eastAsia="Times New Roman" w:hAnsi="Times New Roman" w:cs="Times New Roman"/>
          <w:sz w:val="21"/>
          <w:szCs w:val="21"/>
          <w:lang w:val="es-ES" w:eastAsia="es-ES_tradnl"/>
        </w:rPr>
        <w:footnoteReference w:id="33"/>
      </w:r>
      <w:r w:rsidRPr="00DC03F7">
        <w:rPr>
          <w:rFonts w:ascii="Times New Roman" w:eastAsia="Times New Roman" w:hAnsi="Times New Roman" w:cs="Times New Roman"/>
          <w:sz w:val="21"/>
          <w:szCs w:val="21"/>
          <w:lang w:val="es-ES" w:eastAsia="es-ES_tradnl"/>
        </w:rPr>
        <w:t>.</w:t>
      </w:r>
      <w:r w:rsidR="00A52F46" w:rsidRPr="00DC03F7">
        <w:rPr>
          <w:rFonts w:ascii="Times New Roman" w:eastAsia="Times New Roman" w:hAnsi="Times New Roman" w:cs="Times New Roman"/>
          <w:sz w:val="21"/>
          <w:szCs w:val="21"/>
          <w:lang w:val="es-ES" w:eastAsia="es-ES_tradnl"/>
        </w:rPr>
        <w:t xml:space="preserve"> </w:t>
      </w:r>
      <w:r w:rsidR="0000242A" w:rsidRPr="00DC03F7">
        <w:rPr>
          <w:rFonts w:ascii="Times New Roman" w:eastAsia="Times New Roman" w:hAnsi="Times New Roman" w:cs="Times New Roman"/>
          <w:sz w:val="21"/>
          <w:szCs w:val="21"/>
          <w:lang w:val="es-ES" w:eastAsia="es-ES_tradnl"/>
        </w:rPr>
        <w:t>En virtud de este principio, l</w:t>
      </w:r>
      <w:r w:rsidR="00A52F46" w:rsidRPr="00DC03F7">
        <w:rPr>
          <w:rFonts w:ascii="Times New Roman" w:eastAsia="Times New Roman" w:hAnsi="Times New Roman" w:cs="Times New Roman"/>
          <w:sz w:val="21"/>
          <w:szCs w:val="21"/>
          <w:lang w:val="es-ES" w:eastAsia="es-ES_tradnl"/>
        </w:rPr>
        <w:t xml:space="preserve">as víctimas de trata de personas tienen derecho a solicitar </w:t>
      </w:r>
      <w:r w:rsidR="00FC1173" w:rsidRPr="00DC03F7">
        <w:rPr>
          <w:rFonts w:ascii="Times New Roman" w:eastAsia="Times New Roman" w:hAnsi="Times New Roman" w:cs="Times New Roman"/>
          <w:sz w:val="21"/>
          <w:szCs w:val="21"/>
          <w:lang w:val="es-ES" w:eastAsia="es-ES_tradnl"/>
        </w:rPr>
        <w:t xml:space="preserve">protección internacional </w:t>
      </w:r>
      <w:r w:rsidR="00A52F46" w:rsidRPr="00DC03F7">
        <w:rPr>
          <w:rFonts w:ascii="Times New Roman" w:eastAsia="Times New Roman" w:hAnsi="Times New Roman" w:cs="Times New Roman"/>
          <w:sz w:val="21"/>
          <w:szCs w:val="21"/>
          <w:lang w:val="es-ES" w:eastAsia="es-ES_tradnl"/>
        </w:rPr>
        <w:t>por motivos de persecución de género y a no ser deportada</w:t>
      </w:r>
      <w:r w:rsidR="00FC1173" w:rsidRPr="00DC03F7">
        <w:rPr>
          <w:rFonts w:ascii="Times New Roman" w:eastAsia="Times New Roman" w:hAnsi="Times New Roman" w:cs="Times New Roman"/>
          <w:sz w:val="21"/>
          <w:szCs w:val="21"/>
          <w:lang w:val="es-ES" w:eastAsia="es-ES_tradnl"/>
        </w:rPr>
        <w:t>s</w:t>
      </w:r>
      <w:r w:rsidR="00A52F46" w:rsidRPr="00DC03F7">
        <w:rPr>
          <w:rFonts w:ascii="Times New Roman" w:eastAsia="Times New Roman" w:hAnsi="Times New Roman" w:cs="Times New Roman"/>
          <w:sz w:val="21"/>
          <w:szCs w:val="21"/>
          <w:lang w:val="es-ES" w:eastAsia="es-ES_tradnl"/>
        </w:rPr>
        <w:t xml:space="preserve"> cuando tienen un temor fundado de persecución en caso de retorno o </w:t>
      </w:r>
      <w:r w:rsidR="00636DFA" w:rsidRPr="00DC03F7">
        <w:rPr>
          <w:rFonts w:ascii="Times New Roman" w:eastAsia="Times New Roman" w:hAnsi="Times New Roman" w:cs="Times New Roman"/>
          <w:sz w:val="21"/>
          <w:szCs w:val="21"/>
          <w:lang w:val="es-ES" w:eastAsia="es-ES_tradnl"/>
        </w:rPr>
        <w:t xml:space="preserve">cuando hay </w:t>
      </w:r>
      <w:r w:rsidR="00A52F46" w:rsidRPr="00DC03F7">
        <w:rPr>
          <w:rFonts w:ascii="Times New Roman" w:eastAsia="Times New Roman" w:hAnsi="Times New Roman" w:cs="Times New Roman"/>
          <w:sz w:val="21"/>
          <w:szCs w:val="21"/>
          <w:lang w:val="es-ES" w:eastAsia="es-ES_tradnl"/>
        </w:rPr>
        <w:t xml:space="preserve">riesgo de </w:t>
      </w:r>
      <w:r w:rsidR="00A52F46" w:rsidRPr="00DC03F7">
        <w:rPr>
          <w:rFonts w:ascii="Times New Roman" w:eastAsia="Times New Roman" w:hAnsi="Times New Roman" w:cs="Times New Roman"/>
          <w:i/>
          <w:sz w:val="21"/>
          <w:szCs w:val="21"/>
          <w:lang w:val="es-ES" w:eastAsia="es-ES_tradnl"/>
        </w:rPr>
        <w:t>re-trafficking</w:t>
      </w:r>
      <w:r w:rsidR="00FC1173" w:rsidRPr="00DC03F7">
        <w:rPr>
          <w:rStyle w:val="FootnoteReference"/>
          <w:rFonts w:ascii="Times New Roman" w:eastAsia="Times New Roman" w:hAnsi="Times New Roman" w:cs="Times New Roman"/>
          <w:i/>
          <w:sz w:val="21"/>
          <w:szCs w:val="21"/>
          <w:lang w:val="es-ES" w:eastAsia="es-ES_tradnl"/>
        </w:rPr>
        <w:footnoteReference w:id="34"/>
      </w:r>
      <w:r w:rsidR="00A52F46" w:rsidRPr="00DC03F7">
        <w:rPr>
          <w:rFonts w:ascii="Times New Roman" w:eastAsia="Times New Roman" w:hAnsi="Times New Roman" w:cs="Times New Roman"/>
          <w:sz w:val="21"/>
          <w:szCs w:val="21"/>
          <w:lang w:val="es-ES" w:eastAsia="es-ES_tradnl"/>
        </w:rPr>
        <w:t xml:space="preserve">. </w:t>
      </w:r>
    </w:p>
    <w:p w14:paraId="02098B21" w14:textId="77777777" w:rsidR="00A12F09" w:rsidRPr="00DC03F7" w:rsidRDefault="00A12F09" w:rsidP="00E819C9">
      <w:pPr>
        <w:spacing w:line="276" w:lineRule="auto"/>
        <w:jc w:val="both"/>
        <w:rPr>
          <w:sz w:val="21"/>
          <w:szCs w:val="21"/>
        </w:rPr>
      </w:pPr>
    </w:p>
    <w:p w14:paraId="69D7D2C1" w14:textId="23520B48" w:rsidR="0060372A" w:rsidRPr="00DC03F7" w:rsidRDefault="00586477" w:rsidP="00E819C9">
      <w:pPr>
        <w:pStyle w:val="ListParagraph"/>
        <w:numPr>
          <w:ilvl w:val="0"/>
          <w:numId w:val="9"/>
        </w:numPr>
        <w:spacing w:line="276" w:lineRule="auto"/>
        <w:ind w:left="0"/>
        <w:jc w:val="both"/>
        <w:rPr>
          <w:rFonts w:ascii="Times New Roman" w:hAnsi="Times New Roman" w:cs="Times New Roman"/>
          <w:sz w:val="21"/>
          <w:szCs w:val="21"/>
        </w:rPr>
      </w:pPr>
      <w:r w:rsidRPr="00DC03F7">
        <w:rPr>
          <w:rFonts w:ascii="Times New Roman" w:hAnsi="Times New Roman" w:cs="Times New Roman"/>
          <w:sz w:val="21"/>
          <w:szCs w:val="21"/>
        </w:rPr>
        <w:t>A este respecto</w:t>
      </w:r>
      <w:r w:rsidR="003D7CFC" w:rsidRPr="00DC03F7">
        <w:rPr>
          <w:rFonts w:ascii="Times New Roman" w:hAnsi="Times New Roman" w:cs="Times New Roman"/>
          <w:sz w:val="21"/>
          <w:szCs w:val="21"/>
        </w:rPr>
        <w:t xml:space="preserve">, el Comité </w:t>
      </w:r>
      <w:r w:rsidR="00C152C2" w:rsidRPr="00DC03F7">
        <w:rPr>
          <w:rFonts w:ascii="Times New Roman" w:hAnsi="Times New Roman" w:cs="Times New Roman"/>
          <w:sz w:val="21"/>
          <w:szCs w:val="21"/>
        </w:rPr>
        <w:t xml:space="preserve">contra la Tortura señala que es obligación de los Estados considerar los indicios de riesgo de tortura </w:t>
      </w:r>
      <w:r w:rsidR="004C1351" w:rsidRPr="00DC03F7">
        <w:rPr>
          <w:rFonts w:ascii="Times New Roman" w:hAnsi="Times New Roman" w:cs="Times New Roman"/>
          <w:sz w:val="21"/>
          <w:szCs w:val="21"/>
        </w:rPr>
        <w:t>o</w:t>
      </w:r>
      <w:r w:rsidR="00C152C2" w:rsidRPr="00DC03F7">
        <w:rPr>
          <w:rFonts w:ascii="Times New Roman" w:hAnsi="Times New Roman" w:cs="Times New Roman"/>
          <w:sz w:val="21"/>
          <w:szCs w:val="21"/>
        </w:rPr>
        <w:t xml:space="preserve"> malos </w:t>
      </w:r>
      <w:r w:rsidR="009D2269" w:rsidRPr="00DC03F7">
        <w:rPr>
          <w:rFonts w:ascii="Times New Roman" w:hAnsi="Times New Roman" w:cs="Times New Roman"/>
          <w:sz w:val="21"/>
          <w:szCs w:val="21"/>
        </w:rPr>
        <w:t>trat</w:t>
      </w:r>
      <w:r w:rsidR="00ED6B72" w:rsidRPr="00DC03F7">
        <w:rPr>
          <w:rFonts w:ascii="Times New Roman" w:hAnsi="Times New Roman" w:cs="Times New Roman"/>
          <w:sz w:val="21"/>
          <w:szCs w:val="21"/>
        </w:rPr>
        <w:t>os</w:t>
      </w:r>
      <w:r w:rsidR="00C152C2" w:rsidRPr="00DC03F7">
        <w:rPr>
          <w:rFonts w:ascii="Times New Roman" w:hAnsi="Times New Roman" w:cs="Times New Roman"/>
          <w:sz w:val="21"/>
          <w:szCs w:val="21"/>
        </w:rPr>
        <w:t xml:space="preserve"> para abstenerse de expuls</w:t>
      </w:r>
      <w:r w:rsidR="004B7C21" w:rsidRPr="00DC03F7">
        <w:rPr>
          <w:rFonts w:ascii="Times New Roman" w:hAnsi="Times New Roman" w:cs="Times New Roman"/>
          <w:sz w:val="21"/>
          <w:szCs w:val="21"/>
        </w:rPr>
        <w:t>ar a</w:t>
      </w:r>
      <w:r w:rsidR="009D2269" w:rsidRPr="00DC03F7">
        <w:rPr>
          <w:rFonts w:ascii="Times New Roman" w:hAnsi="Times New Roman" w:cs="Times New Roman"/>
          <w:sz w:val="21"/>
          <w:szCs w:val="21"/>
        </w:rPr>
        <w:t xml:space="preserve"> una persona de su territorio cuando se estima </w:t>
      </w:r>
      <w:r w:rsidR="00967E4C" w:rsidRPr="00DC03F7">
        <w:rPr>
          <w:rFonts w:ascii="Times New Roman" w:hAnsi="Times New Roman" w:cs="Times New Roman"/>
          <w:sz w:val="21"/>
          <w:szCs w:val="21"/>
        </w:rPr>
        <w:t xml:space="preserve">la existencia </w:t>
      </w:r>
      <w:r w:rsidR="00C152C2" w:rsidRPr="00DC03F7">
        <w:rPr>
          <w:rFonts w:ascii="Times New Roman" w:hAnsi="Times New Roman" w:cs="Times New Roman"/>
          <w:sz w:val="21"/>
          <w:szCs w:val="21"/>
        </w:rPr>
        <w:t>dicho riesgo</w:t>
      </w:r>
      <w:r w:rsidR="009C29DA" w:rsidRPr="00DC03F7">
        <w:rPr>
          <w:rStyle w:val="FootnoteReference"/>
          <w:rFonts w:ascii="Times New Roman" w:hAnsi="Times New Roman" w:cs="Times New Roman"/>
          <w:sz w:val="21"/>
          <w:szCs w:val="21"/>
        </w:rPr>
        <w:footnoteReference w:id="35"/>
      </w:r>
      <w:r w:rsidR="00C152C2" w:rsidRPr="00DC03F7">
        <w:rPr>
          <w:rFonts w:ascii="Times New Roman" w:hAnsi="Times New Roman" w:cs="Times New Roman"/>
          <w:sz w:val="21"/>
          <w:szCs w:val="21"/>
        </w:rPr>
        <w:t xml:space="preserve">. Así, </w:t>
      </w:r>
      <w:r w:rsidR="00E72400" w:rsidRPr="00DC03F7">
        <w:rPr>
          <w:rFonts w:ascii="Times New Roman" w:hAnsi="Times New Roman" w:cs="Times New Roman"/>
          <w:sz w:val="21"/>
          <w:szCs w:val="21"/>
        </w:rPr>
        <w:t xml:space="preserve">señala </w:t>
      </w:r>
      <w:r w:rsidR="009D2269" w:rsidRPr="00DC03F7">
        <w:rPr>
          <w:rFonts w:ascii="Times New Roman" w:hAnsi="Times New Roman" w:cs="Times New Roman"/>
          <w:sz w:val="21"/>
          <w:szCs w:val="21"/>
        </w:rPr>
        <w:t>que l</w:t>
      </w:r>
      <w:r w:rsidR="003D7CFC" w:rsidRPr="00DC03F7">
        <w:rPr>
          <w:rFonts w:ascii="Times New Roman" w:hAnsi="Times New Roman" w:cs="Times New Roman"/>
          <w:sz w:val="21"/>
          <w:szCs w:val="21"/>
        </w:rPr>
        <w:t>os Estados deben</w:t>
      </w:r>
      <w:r w:rsidR="00AB0580" w:rsidRPr="00DC03F7">
        <w:rPr>
          <w:rFonts w:ascii="Times New Roman" w:hAnsi="Times New Roman" w:cs="Times New Roman"/>
          <w:sz w:val="21"/>
          <w:szCs w:val="21"/>
        </w:rPr>
        <w:t xml:space="preserve"> realizar una evaluación individual del riesgo y</w:t>
      </w:r>
      <w:r w:rsidR="003D7CFC" w:rsidRPr="00DC03F7">
        <w:rPr>
          <w:rFonts w:ascii="Times New Roman" w:hAnsi="Times New Roman" w:cs="Times New Roman"/>
          <w:sz w:val="21"/>
          <w:szCs w:val="21"/>
        </w:rPr>
        <w:t xml:space="preserve"> tomar en consideración, en particular,</w:t>
      </w:r>
      <w:r w:rsidR="009D2269" w:rsidRPr="00DC03F7">
        <w:rPr>
          <w:rFonts w:ascii="Times New Roman" w:hAnsi="Times New Roman" w:cs="Times New Roman"/>
          <w:sz w:val="21"/>
          <w:szCs w:val="21"/>
        </w:rPr>
        <w:t xml:space="preserve"> si</w:t>
      </w:r>
      <w:r w:rsidR="003D7CFC" w:rsidRPr="00DC03F7">
        <w:rPr>
          <w:rFonts w:ascii="Times New Roman" w:hAnsi="Times New Roman" w:cs="Times New Roman"/>
          <w:sz w:val="21"/>
          <w:szCs w:val="21"/>
        </w:rPr>
        <w:t xml:space="preserve"> en el Estado de origen o al que se prevé expulsar</w:t>
      </w:r>
      <w:r w:rsidR="0086337B" w:rsidRPr="00DC03F7">
        <w:rPr>
          <w:rFonts w:ascii="Times New Roman" w:hAnsi="Times New Roman" w:cs="Times New Roman"/>
          <w:sz w:val="21"/>
          <w:szCs w:val="21"/>
        </w:rPr>
        <w:t xml:space="preserve"> a </w:t>
      </w:r>
      <w:r w:rsidR="003D7CFC" w:rsidRPr="00DC03F7">
        <w:rPr>
          <w:rFonts w:ascii="Times New Roman" w:hAnsi="Times New Roman" w:cs="Times New Roman"/>
          <w:sz w:val="21"/>
          <w:szCs w:val="21"/>
        </w:rPr>
        <w:t>la persona</w:t>
      </w:r>
      <w:r w:rsidR="008512AA" w:rsidRPr="00DC03F7">
        <w:rPr>
          <w:rFonts w:ascii="Times New Roman" w:hAnsi="Times New Roman" w:cs="Times New Roman"/>
          <w:sz w:val="21"/>
          <w:szCs w:val="21"/>
        </w:rPr>
        <w:t>, ésta</w:t>
      </w:r>
      <w:r w:rsidR="003D7CFC" w:rsidRPr="00DC03F7">
        <w:rPr>
          <w:rFonts w:ascii="Times New Roman" w:hAnsi="Times New Roman" w:cs="Times New Roman"/>
          <w:sz w:val="21"/>
          <w:szCs w:val="21"/>
        </w:rPr>
        <w:t xml:space="preserve"> ha sido o </w:t>
      </w:r>
      <w:r w:rsidR="008512AA" w:rsidRPr="00DC03F7">
        <w:rPr>
          <w:rFonts w:ascii="Times New Roman" w:hAnsi="Times New Roman" w:cs="Times New Roman"/>
          <w:sz w:val="21"/>
          <w:szCs w:val="21"/>
        </w:rPr>
        <w:t xml:space="preserve">corre el riesgo de ser </w:t>
      </w:r>
      <w:r w:rsidR="003D7CFC" w:rsidRPr="00DC03F7">
        <w:rPr>
          <w:rFonts w:ascii="Times New Roman" w:hAnsi="Times New Roman" w:cs="Times New Roman"/>
          <w:sz w:val="21"/>
          <w:szCs w:val="21"/>
        </w:rPr>
        <w:t>víctima de violencia, incluidas la</w:t>
      </w:r>
      <w:r w:rsidR="00D73C29" w:rsidRPr="00DC03F7">
        <w:rPr>
          <w:rFonts w:ascii="Times New Roman" w:hAnsi="Times New Roman" w:cs="Times New Roman"/>
          <w:sz w:val="21"/>
          <w:szCs w:val="21"/>
        </w:rPr>
        <w:t>s violencias por razón de género</w:t>
      </w:r>
      <w:r w:rsidR="008512AA" w:rsidRPr="00DC03F7">
        <w:rPr>
          <w:rFonts w:ascii="Times New Roman" w:hAnsi="Times New Roman" w:cs="Times New Roman"/>
          <w:sz w:val="21"/>
          <w:szCs w:val="21"/>
        </w:rPr>
        <w:t xml:space="preserve"> y</w:t>
      </w:r>
      <w:r w:rsidR="00D73C29" w:rsidRPr="00DC03F7">
        <w:rPr>
          <w:rFonts w:ascii="Times New Roman" w:hAnsi="Times New Roman" w:cs="Times New Roman"/>
          <w:sz w:val="21"/>
          <w:szCs w:val="21"/>
        </w:rPr>
        <w:t xml:space="preserve"> la violencia sexual</w:t>
      </w:r>
      <w:r w:rsidR="003D7CFC" w:rsidRPr="00DC03F7">
        <w:rPr>
          <w:rFonts w:ascii="Times New Roman" w:hAnsi="Times New Roman" w:cs="Times New Roman"/>
          <w:sz w:val="21"/>
          <w:szCs w:val="21"/>
        </w:rPr>
        <w:t xml:space="preserve">, </w:t>
      </w:r>
      <w:r w:rsidR="003D7CFC" w:rsidRPr="00DC03F7">
        <w:rPr>
          <w:rFonts w:ascii="Times New Roman" w:hAnsi="Times New Roman" w:cs="Times New Roman"/>
          <w:sz w:val="21"/>
          <w:szCs w:val="21"/>
        </w:rPr>
        <w:lastRenderedPageBreak/>
        <w:t>infligida</w:t>
      </w:r>
      <w:r w:rsidR="008512AA" w:rsidRPr="00DC03F7">
        <w:rPr>
          <w:rFonts w:ascii="Times New Roman" w:hAnsi="Times New Roman" w:cs="Times New Roman"/>
          <w:sz w:val="21"/>
          <w:szCs w:val="21"/>
        </w:rPr>
        <w:t>s</w:t>
      </w:r>
      <w:r w:rsidR="003D7CFC" w:rsidRPr="00DC03F7">
        <w:rPr>
          <w:rFonts w:ascii="Times New Roman" w:hAnsi="Times New Roman" w:cs="Times New Roman"/>
          <w:sz w:val="21"/>
          <w:szCs w:val="21"/>
        </w:rPr>
        <w:t xml:space="preserve"> en público o en privado, persecución por motivos de género o mutilación genital</w:t>
      </w:r>
      <w:r w:rsidR="00443719" w:rsidRPr="00DC03F7">
        <w:rPr>
          <w:rFonts w:ascii="Times New Roman" w:hAnsi="Times New Roman" w:cs="Times New Roman"/>
          <w:sz w:val="21"/>
          <w:szCs w:val="21"/>
        </w:rPr>
        <w:t xml:space="preserve"> femenina</w:t>
      </w:r>
      <w:r w:rsidR="003D7CFC" w:rsidRPr="00DC03F7">
        <w:rPr>
          <w:rStyle w:val="FootnoteReference"/>
          <w:rFonts w:ascii="Times New Roman" w:hAnsi="Times New Roman" w:cs="Times New Roman"/>
          <w:sz w:val="21"/>
          <w:szCs w:val="21"/>
        </w:rPr>
        <w:footnoteReference w:id="36"/>
      </w:r>
      <w:r w:rsidR="00BA3844" w:rsidRPr="00DC03F7">
        <w:rPr>
          <w:rFonts w:ascii="Times New Roman" w:hAnsi="Times New Roman" w:cs="Times New Roman"/>
          <w:sz w:val="21"/>
          <w:szCs w:val="21"/>
        </w:rPr>
        <w:t>.</w:t>
      </w:r>
      <w:r w:rsidR="00586F2C" w:rsidRPr="00DC03F7">
        <w:rPr>
          <w:rFonts w:ascii="Times New Roman" w:hAnsi="Times New Roman" w:cs="Times New Roman"/>
          <w:sz w:val="21"/>
          <w:szCs w:val="21"/>
        </w:rPr>
        <w:t xml:space="preserve"> </w:t>
      </w:r>
    </w:p>
    <w:p w14:paraId="1C88C062" w14:textId="77777777" w:rsidR="00FA2C69" w:rsidRPr="00DC03F7" w:rsidRDefault="00FA2C69" w:rsidP="00FA2C69">
      <w:pPr>
        <w:pStyle w:val="ListParagraph"/>
        <w:spacing w:line="276" w:lineRule="auto"/>
        <w:ind w:left="0"/>
        <w:jc w:val="both"/>
        <w:rPr>
          <w:rFonts w:ascii="Times New Roman" w:hAnsi="Times New Roman" w:cs="Times New Roman"/>
          <w:sz w:val="21"/>
          <w:szCs w:val="21"/>
        </w:rPr>
      </w:pPr>
    </w:p>
    <w:p w14:paraId="17BD2F6D" w14:textId="1B6E1F87" w:rsidR="00C152C2" w:rsidRPr="00DC03F7" w:rsidRDefault="00586F2C" w:rsidP="00E819C9">
      <w:pPr>
        <w:pStyle w:val="ListParagraph"/>
        <w:numPr>
          <w:ilvl w:val="0"/>
          <w:numId w:val="9"/>
        </w:numPr>
        <w:spacing w:line="276" w:lineRule="auto"/>
        <w:ind w:left="0"/>
        <w:jc w:val="both"/>
        <w:rPr>
          <w:rFonts w:ascii="Times New Roman" w:hAnsi="Times New Roman" w:cs="Times New Roman"/>
          <w:sz w:val="21"/>
          <w:szCs w:val="21"/>
        </w:rPr>
      </w:pPr>
      <w:r w:rsidRPr="00DC03F7">
        <w:rPr>
          <w:rFonts w:ascii="Times New Roman" w:hAnsi="Times New Roman" w:cs="Times New Roman"/>
          <w:sz w:val="21"/>
          <w:szCs w:val="21"/>
        </w:rPr>
        <w:t xml:space="preserve">Asimismo, </w:t>
      </w:r>
      <w:r w:rsidR="0060372A" w:rsidRPr="00DC03F7">
        <w:rPr>
          <w:rFonts w:ascii="Times New Roman" w:hAnsi="Times New Roman" w:cs="Times New Roman"/>
          <w:sz w:val="21"/>
          <w:szCs w:val="21"/>
        </w:rPr>
        <w:t xml:space="preserve">el Comité contra la Tortura </w:t>
      </w:r>
      <w:r w:rsidR="009B26F2" w:rsidRPr="00DC03F7">
        <w:rPr>
          <w:rFonts w:ascii="Times New Roman" w:hAnsi="Times New Roman" w:cs="Times New Roman"/>
          <w:sz w:val="21"/>
          <w:szCs w:val="21"/>
        </w:rPr>
        <w:t>ha afirmado</w:t>
      </w:r>
      <w:r w:rsidRPr="00DC03F7">
        <w:rPr>
          <w:rFonts w:ascii="Times New Roman" w:hAnsi="Times New Roman" w:cs="Times New Roman"/>
          <w:sz w:val="21"/>
          <w:szCs w:val="21"/>
        </w:rPr>
        <w:t xml:space="preserve"> que el Estad</w:t>
      </w:r>
      <w:r w:rsidR="00F24189" w:rsidRPr="00DC03F7">
        <w:rPr>
          <w:rFonts w:ascii="Times New Roman" w:hAnsi="Times New Roman" w:cs="Times New Roman"/>
          <w:sz w:val="21"/>
          <w:szCs w:val="21"/>
        </w:rPr>
        <w:t>o</w:t>
      </w:r>
      <w:r w:rsidRPr="00DC03F7">
        <w:rPr>
          <w:rFonts w:ascii="Times New Roman" w:hAnsi="Times New Roman" w:cs="Times New Roman"/>
          <w:sz w:val="21"/>
          <w:szCs w:val="21"/>
        </w:rPr>
        <w:t xml:space="preserve"> debe abstenerse de la expulsión si la persona </w:t>
      </w:r>
      <w:r w:rsidR="0060372A" w:rsidRPr="00DC03F7">
        <w:rPr>
          <w:rFonts w:ascii="Times New Roman" w:hAnsi="Times New Roman" w:cs="Times New Roman"/>
          <w:sz w:val="21"/>
          <w:szCs w:val="21"/>
        </w:rPr>
        <w:t>fuese</w:t>
      </w:r>
      <w:r w:rsidRPr="00DC03F7">
        <w:rPr>
          <w:rFonts w:ascii="Times New Roman" w:hAnsi="Times New Roman" w:cs="Times New Roman"/>
          <w:sz w:val="21"/>
          <w:szCs w:val="21"/>
        </w:rPr>
        <w:t xml:space="preserve"> </w:t>
      </w:r>
      <w:r w:rsidR="00F304C1" w:rsidRPr="00DC03F7">
        <w:rPr>
          <w:rFonts w:ascii="Times New Roman" w:hAnsi="Times New Roman" w:cs="Times New Roman"/>
          <w:sz w:val="21"/>
          <w:szCs w:val="21"/>
        </w:rPr>
        <w:t xml:space="preserve">a ser devuelta </w:t>
      </w:r>
      <w:r w:rsidRPr="00DC03F7">
        <w:rPr>
          <w:rFonts w:ascii="Times New Roman" w:hAnsi="Times New Roman" w:cs="Times New Roman"/>
          <w:sz w:val="21"/>
          <w:szCs w:val="21"/>
        </w:rPr>
        <w:t>a un Estado en el que fue sometida o correría el riesgo de ser sometida a esclavitud</w:t>
      </w:r>
      <w:r w:rsidR="00DD06AE" w:rsidRPr="00DC03F7">
        <w:rPr>
          <w:rFonts w:ascii="Times New Roman" w:hAnsi="Times New Roman" w:cs="Times New Roman"/>
          <w:sz w:val="21"/>
          <w:szCs w:val="21"/>
        </w:rPr>
        <w:t>,</w:t>
      </w:r>
      <w:r w:rsidRPr="00DC03F7">
        <w:rPr>
          <w:rFonts w:ascii="Times New Roman" w:hAnsi="Times New Roman" w:cs="Times New Roman"/>
          <w:sz w:val="21"/>
          <w:szCs w:val="21"/>
        </w:rPr>
        <w:t xml:space="preserve"> trabajo forzoso</w:t>
      </w:r>
      <w:r w:rsidRPr="00DC03F7">
        <w:rPr>
          <w:rFonts w:ascii="Times New Roman" w:hAnsi="Times New Roman" w:cs="Times New Roman"/>
          <w:sz w:val="21"/>
          <w:szCs w:val="21"/>
          <w:vertAlign w:val="superscript"/>
        </w:rPr>
        <w:footnoteReference w:id="37"/>
      </w:r>
      <w:r w:rsidRPr="00DC03F7">
        <w:rPr>
          <w:rFonts w:ascii="Times New Roman" w:hAnsi="Times New Roman" w:cs="Times New Roman"/>
          <w:sz w:val="21"/>
          <w:szCs w:val="21"/>
          <w:vertAlign w:val="superscript"/>
        </w:rPr>
        <w:t xml:space="preserve"> </w:t>
      </w:r>
      <w:r w:rsidRPr="00DC03F7">
        <w:rPr>
          <w:rFonts w:ascii="Times New Roman" w:hAnsi="Times New Roman" w:cs="Times New Roman"/>
          <w:sz w:val="21"/>
          <w:szCs w:val="21"/>
        </w:rPr>
        <w:t>o trata de personas</w:t>
      </w:r>
      <w:r w:rsidRPr="00425C1B">
        <w:rPr>
          <w:rFonts w:ascii="Times New Roman" w:hAnsi="Times New Roman" w:cs="Times New Roman"/>
          <w:sz w:val="21"/>
          <w:szCs w:val="21"/>
          <w:vertAlign w:val="superscript"/>
        </w:rPr>
        <w:footnoteReference w:id="38"/>
      </w:r>
      <w:r w:rsidRPr="00DC03F7">
        <w:rPr>
          <w:rFonts w:ascii="Times New Roman" w:hAnsi="Times New Roman" w:cs="Times New Roman"/>
          <w:sz w:val="21"/>
          <w:szCs w:val="21"/>
        </w:rPr>
        <w:t>.</w:t>
      </w:r>
      <w:r w:rsidR="0060372A" w:rsidRPr="00DC03F7">
        <w:rPr>
          <w:rFonts w:ascii="Times New Roman" w:hAnsi="Times New Roman" w:cs="Times New Roman"/>
          <w:sz w:val="21"/>
          <w:szCs w:val="21"/>
        </w:rPr>
        <w:t xml:space="preserve"> Este estándar, </w:t>
      </w:r>
      <w:r w:rsidRPr="00DC03F7">
        <w:rPr>
          <w:rFonts w:ascii="Times New Roman" w:eastAsia="Times New Roman" w:hAnsi="Times New Roman" w:cs="Times New Roman"/>
          <w:sz w:val="21"/>
          <w:szCs w:val="21"/>
          <w:lang w:eastAsia="es-ES_tradnl"/>
        </w:rPr>
        <w:t xml:space="preserve">respecto a la prohibición </w:t>
      </w:r>
      <w:r w:rsidR="0060372A" w:rsidRPr="00DC03F7">
        <w:rPr>
          <w:rFonts w:ascii="Times New Roman" w:eastAsia="Times New Roman" w:hAnsi="Times New Roman" w:cs="Times New Roman"/>
          <w:sz w:val="21"/>
          <w:szCs w:val="21"/>
          <w:lang w:eastAsia="es-ES_tradnl"/>
        </w:rPr>
        <w:t xml:space="preserve">de devolución </w:t>
      </w:r>
      <w:r w:rsidRPr="00DC03F7">
        <w:rPr>
          <w:rFonts w:ascii="Times New Roman" w:eastAsia="Times New Roman" w:hAnsi="Times New Roman" w:cs="Times New Roman"/>
          <w:sz w:val="21"/>
          <w:szCs w:val="21"/>
          <w:lang w:eastAsia="es-ES_tradnl"/>
        </w:rPr>
        <w:t xml:space="preserve">cuando hay riesgo de </w:t>
      </w:r>
      <w:r w:rsidRPr="00DC03F7">
        <w:rPr>
          <w:rFonts w:ascii="Times New Roman" w:eastAsia="Times New Roman" w:hAnsi="Times New Roman" w:cs="Times New Roman"/>
          <w:i/>
          <w:sz w:val="21"/>
          <w:szCs w:val="21"/>
          <w:lang w:eastAsia="es-ES_tradnl"/>
        </w:rPr>
        <w:t>re-trafficking</w:t>
      </w:r>
      <w:r w:rsidRPr="00DC03F7">
        <w:rPr>
          <w:rFonts w:ascii="Times New Roman" w:eastAsia="Times New Roman" w:hAnsi="Times New Roman" w:cs="Times New Roman"/>
          <w:sz w:val="21"/>
          <w:szCs w:val="21"/>
          <w:lang w:eastAsia="es-ES_tradnl"/>
        </w:rPr>
        <w:t xml:space="preserve">, </w:t>
      </w:r>
      <w:r w:rsidR="00C71057" w:rsidRPr="00DC03F7">
        <w:rPr>
          <w:rFonts w:ascii="Times New Roman" w:eastAsia="Times New Roman" w:hAnsi="Times New Roman" w:cs="Times New Roman"/>
          <w:sz w:val="21"/>
          <w:szCs w:val="21"/>
          <w:lang w:eastAsia="es-ES_tradnl"/>
        </w:rPr>
        <w:t xml:space="preserve">ha sido </w:t>
      </w:r>
      <w:r w:rsidRPr="00DC03F7">
        <w:rPr>
          <w:rFonts w:ascii="Times New Roman" w:eastAsia="Times New Roman" w:hAnsi="Times New Roman" w:cs="Times New Roman"/>
          <w:sz w:val="21"/>
          <w:szCs w:val="21"/>
          <w:lang w:eastAsia="es-ES_tradnl"/>
        </w:rPr>
        <w:t xml:space="preserve">reforzado por el </w:t>
      </w:r>
      <w:r w:rsidR="0060372A" w:rsidRPr="00DC03F7">
        <w:rPr>
          <w:rFonts w:ascii="Times New Roman" w:eastAsia="Times New Roman" w:hAnsi="Times New Roman" w:cs="Times New Roman"/>
          <w:sz w:val="21"/>
          <w:szCs w:val="21"/>
          <w:lang w:eastAsia="es-ES_tradnl"/>
        </w:rPr>
        <w:t>propio</w:t>
      </w:r>
      <w:r w:rsidRPr="00DC03F7">
        <w:rPr>
          <w:rFonts w:ascii="Times New Roman" w:eastAsia="Times New Roman" w:hAnsi="Times New Roman" w:cs="Times New Roman"/>
          <w:sz w:val="21"/>
          <w:szCs w:val="21"/>
          <w:lang w:eastAsia="es-ES_tradnl"/>
        </w:rPr>
        <w:t xml:space="preserve"> Comité </w:t>
      </w:r>
      <w:r w:rsidR="00444A5B" w:rsidRPr="00DC03F7">
        <w:rPr>
          <w:rFonts w:ascii="Times New Roman" w:eastAsia="Times New Roman" w:hAnsi="Times New Roman" w:cs="Times New Roman"/>
          <w:sz w:val="21"/>
          <w:szCs w:val="21"/>
          <w:lang w:eastAsia="es-ES_tradnl"/>
        </w:rPr>
        <w:t>al</w:t>
      </w:r>
      <w:r w:rsidRPr="00DC03F7">
        <w:rPr>
          <w:rFonts w:ascii="Times New Roman" w:eastAsia="Times New Roman" w:hAnsi="Times New Roman" w:cs="Times New Roman"/>
          <w:sz w:val="21"/>
          <w:szCs w:val="21"/>
          <w:lang w:eastAsia="es-ES_tradnl"/>
        </w:rPr>
        <w:t xml:space="preserve"> recalca</w:t>
      </w:r>
      <w:r w:rsidR="00444A5B" w:rsidRPr="00DC03F7">
        <w:rPr>
          <w:rFonts w:ascii="Times New Roman" w:eastAsia="Times New Roman" w:hAnsi="Times New Roman" w:cs="Times New Roman"/>
          <w:sz w:val="21"/>
          <w:szCs w:val="21"/>
          <w:lang w:eastAsia="es-ES_tradnl"/>
        </w:rPr>
        <w:t>r</w:t>
      </w:r>
      <w:r w:rsidRPr="00DC03F7">
        <w:rPr>
          <w:rFonts w:ascii="Times New Roman" w:eastAsia="Times New Roman" w:hAnsi="Times New Roman" w:cs="Times New Roman"/>
          <w:sz w:val="21"/>
          <w:szCs w:val="21"/>
          <w:lang w:eastAsia="es-ES_tradnl"/>
        </w:rPr>
        <w:t xml:space="preserve"> que </w:t>
      </w:r>
      <w:r w:rsidR="00C152C2" w:rsidRPr="00DC03F7">
        <w:rPr>
          <w:rFonts w:ascii="Times New Roman" w:hAnsi="Times New Roman" w:cs="Times New Roman"/>
          <w:sz w:val="21"/>
          <w:szCs w:val="21"/>
        </w:rPr>
        <w:t xml:space="preserve">los Estados deben abstenerse de expulsar a personas a otro Estado </w:t>
      </w:r>
      <w:r w:rsidR="006C250A" w:rsidRPr="00DC03F7">
        <w:rPr>
          <w:rFonts w:ascii="Times New Roman" w:hAnsi="Times New Roman" w:cs="Times New Roman"/>
          <w:sz w:val="21"/>
          <w:szCs w:val="21"/>
        </w:rPr>
        <w:t xml:space="preserve">también </w:t>
      </w:r>
      <w:r w:rsidR="00C152C2" w:rsidRPr="00DC03F7">
        <w:rPr>
          <w:rFonts w:ascii="Times New Roman" w:hAnsi="Times New Roman" w:cs="Times New Roman"/>
          <w:sz w:val="21"/>
          <w:szCs w:val="21"/>
        </w:rPr>
        <w:t xml:space="preserve">cuando haya razones fundadas para creer que estarían en peligro de ser sometidas a tortura y otros malos tratos a manos de entidades no estatales </w:t>
      </w:r>
      <w:r w:rsidR="00444A5B" w:rsidRPr="00DC03F7">
        <w:rPr>
          <w:rFonts w:ascii="Times New Roman" w:hAnsi="Times New Roman" w:cs="Times New Roman"/>
          <w:sz w:val="21"/>
          <w:szCs w:val="21"/>
        </w:rPr>
        <w:t xml:space="preserve">y </w:t>
      </w:r>
      <w:r w:rsidR="00C152C2" w:rsidRPr="00DC03F7">
        <w:rPr>
          <w:rFonts w:ascii="Times New Roman" w:hAnsi="Times New Roman" w:cs="Times New Roman"/>
          <w:sz w:val="21"/>
          <w:szCs w:val="21"/>
        </w:rPr>
        <w:t>grupos que, mediante acciones ilegales, infligen graves dolores o sufrimiento</w:t>
      </w:r>
      <w:r w:rsidR="00444A5B" w:rsidRPr="00DC03F7">
        <w:rPr>
          <w:rFonts w:ascii="Times New Roman" w:hAnsi="Times New Roman" w:cs="Times New Roman"/>
          <w:sz w:val="21"/>
          <w:szCs w:val="21"/>
        </w:rPr>
        <w:t>s</w:t>
      </w:r>
      <w:r w:rsidR="00C152C2" w:rsidRPr="00DC03F7">
        <w:rPr>
          <w:rFonts w:ascii="Times New Roman" w:hAnsi="Times New Roman" w:cs="Times New Roman"/>
          <w:sz w:val="21"/>
          <w:szCs w:val="21"/>
        </w:rPr>
        <w:t xml:space="preserve"> y sobre los que el Estado receptor no tiene ningún control o solo tiene un control parcial </w:t>
      </w:r>
      <w:r w:rsidR="00C152C2" w:rsidRPr="00DC03F7">
        <w:rPr>
          <w:rFonts w:ascii="Times New Roman" w:hAnsi="Times New Roman" w:cs="Times New Roman"/>
          <w:i/>
          <w:sz w:val="21"/>
          <w:szCs w:val="21"/>
        </w:rPr>
        <w:t>de</w:t>
      </w:r>
      <w:r w:rsidR="00E60CAD" w:rsidRPr="00DC03F7">
        <w:rPr>
          <w:rFonts w:ascii="Times New Roman" w:hAnsi="Times New Roman" w:cs="Times New Roman"/>
          <w:i/>
          <w:sz w:val="21"/>
          <w:szCs w:val="21"/>
        </w:rPr>
        <w:t xml:space="preserve"> </w:t>
      </w:r>
      <w:r w:rsidR="00C152C2" w:rsidRPr="00DC03F7">
        <w:rPr>
          <w:rFonts w:ascii="Times New Roman" w:hAnsi="Times New Roman" w:cs="Times New Roman"/>
          <w:i/>
          <w:sz w:val="21"/>
          <w:szCs w:val="21"/>
        </w:rPr>
        <w:t>facto</w:t>
      </w:r>
      <w:r w:rsidR="00C152C2" w:rsidRPr="00DC03F7">
        <w:rPr>
          <w:rFonts w:ascii="Times New Roman" w:hAnsi="Times New Roman" w:cs="Times New Roman"/>
          <w:sz w:val="21"/>
          <w:szCs w:val="21"/>
        </w:rPr>
        <w:t>, o cuyos actos no puede evitar o a cuya impunidad no puede hacer frente</w:t>
      </w:r>
      <w:r w:rsidR="00C152C2" w:rsidRPr="00DC03F7">
        <w:rPr>
          <w:rStyle w:val="FootnoteReference"/>
          <w:rFonts w:ascii="Times New Roman" w:hAnsi="Times New Roman" w:cs="Times New Roman"/>
          <w:sz w:val="21"/>
          <w:szCs w:val="21"/>
        </w:rPr>
        <w:footnoteReference w:id="39"/>
      </w:r>
      <w:r w:rsidR="00C152C2" w:rsidRPr="00DC03F7">
        <w:rPr>
          <w:rFonts w:ascii="Times New Roman" w:hAnsi="Times New Roman" w:cs="Times New Roman"/>
          <w:sz w:val="21"/>
          <w:szCs w:val="21"/>
        </w:rPr>
        <w:t>.</w:t>
      </w:r>
      <w:r w:rsidR="000F054A" w:rsidRPr="00DC03F7">
        <w:rPr>
          <w:rFonts w:ascii="Times New Roman" w:hAnsi="Times New Roman" w:cs="Times New Roman"/>
          <w:sz w:val="21"/>
          <w:szCs w:val="21"/>
        </w:rPr>
        <w:t xml:space="preserve"> (</w:t>
      </w:r>
      <w:r w:rsidR="000F054A" w:rsidRPr="00DC03F7">
        <w:rPr>
          <w:rFonts w:ascii="Times New Roman" w:hAnsi="Times New Roman" w:cs="Times New Roman"/>
          <w:b/>
          <w:sz w:val="21"/>
          <w:szCs w:val="21"/>
        </w:rPr>
        <w:t xml:space="preserve">ver </w:t>
      </w:r>
      <w:hyperlink r:id="rId20" w:history="1">
        <w:r w:rsidR="00843A73" w:rsidRPr="00EA43AF">
          <w:rPr>
            <w:rStyle w:val="Hyperlink"/>
            <w:rFonts w:ascii="Times New Roman" w:hAnsi="Times New Roman" w:cs="Times New Roman"/>
            <w:b/>
            <w:sz w:val="21"/>
            <w:szCs w:val="21"/>
          </w:rPr>
          <w:t>C</w:t>
        </w:r>
        <w:r w:rsidR="000F054A" w:rsidRPr="00EA43AF">
          <w:rPr>
            <w:rStyle w:val="Hyperlink"/>
            <w:rFonts w:ascii="Times New Roman" w:hAnsi="Times New Roman" w:cs="Times New Roman"/>
            <w:b/>
            <w:sz w:val="21"/>
            <w:szCs w:val="21"/>
          </w:rPr>
          <w:t xml:space="preserve">aso </w:t>
        </w:r>
        <w:r w:rsidR="00843A73" w:rsidRPr="00EA43AF">
          <w:rPr>
            <w:rStyle w:val="Hyperlink"/>
            <w:rFonts w:ascii="Times New Roman" w:hAnsi="Times New Roman" w:cs="Times New Roman"/>
            <w:b/>
            <w:sz w:val="21"/>
            <w:szCs w:val="21"/>
          </w:rPr>
          <w:t xml:space="preserve">1 </w:t>
        </w:r>
        <w:r w:rsidR="006665B8" w:rsidRPr="00EA43AF">
          <w:rPr>
            <w:rStyle w:val="Hyperlink"/>
            <w:rFonts w:ascii="Times New Roman" w:hAnsi="Times New Roman" w:cs="Times New Roman"/>
            <w:b/>
            <w:sz w:val="21"/>
            <w:szCs w:val="21"/>
          </w:rPr>
          <w:t>–</w:t>
        </w:r>
        <w:r w:rsidR="00843A73" w:rsidRPr="00EA43AF">
          <w:rPr>
            <w:rStyle w:val="Hyperlink"/>
            <w:rFonts w:ascii="Times New Roman" w:hAnsi="Times New Roman" w:cs="Times New Roman"/>
            <w:b/>
            <w:sz w:val="21"/>
            <w:szCs w:val="21"/>
          </w:rPr>
          <w:t xml:space="preserve"> </w:t>
        </w:r>
        <w:r w:rsidR="000F054A" w:rsidRPr="00EA43AF">
          <w:rPr>
            <w:rStyle w:val="Hyperlink"/>
            <w:rFonts w:ascii="Times New Roman" w:hAnsi="Times New Roman" w:cs="Times New Roman"/>
            <w:b/>
            <w:sz w:val="21"/>
            <w:szCs w:val="21"/>
          </w:rPr>
          <w:t>A.B.M.</w:t>
        </w:r>
      </w:hyperlink>
      <w:r w:rsidR="000F054A" w:rsidRPr="00DC03F7">
        <w:rPr>
          <w:rFonts w:ascii="Times New Roman" w:hAnsi="Times New Roman" w:cs="Times New Roman"/>
          <w:b/>
          <w:sz w:val="21"/>
          <w:szCs w:val="21"/>
        </w:rPr>
        <w:t>)</w:t>
      </w:r>
    </w:p>
    <w:p w14:paraId="4FD11EFF" w14:textId="77777777" w:rsidR="00C152C2" w:rsidRPr="00DC03F7" w:rsidRDefault="00C152C2" w:rsidP="00E819C9">
      <w:pPr>
        <w:spacing w:line="276" w:lineRule="auto"/>
        <w:jc w:val="both"/>
        <w:rPr>
          <w:sz w:val="21"/>
          <w:szCs w:val="21"/>
        </w:rPr>
      </w:pPr>
    </w:p>
    <w:p w14:paraId="249EF188" w14:textId="5E560CDA" w:rsidR="00E873D2" w:rsidRPr="00DC03F7" w:rsidRDefault="00B87E28" w:rsidP="00E819C9">
      <w:pPr>
        <w:pStyle w:val="ListParagraph"/>
        <w:numPr>
          <w:ilvl w:val="0"/>
          <w:numId w:val="9"/>
        </w:numPr>
        <w:spacing w:line="276" w:lineRule="auto"/>
        <w:ind w:left="0"/>
        <w:jc w:val="both"/>
        <w:rPr>
          <w:rFonts w:ascii="Times New Roman" w:eastAsia="Times New Roman" w:hAnsi="Times New Roman" w:cs="Times New Roman"/>
          <w:sz w:val="21"/>
          <w:szCs w:val="21"/>
          <w:lang w:val="es-ES" w:eastAsia="es-ES_tradnl"/>
        </w:rPr>
      </w:pPr>
      <w:r w:rsidRPr="00DC03F7">
        <w:rPr>
          <w:rFonts w:ascii="Times New Roman" w:eastAsia="Times New Roman" w:hAnsi="Times New Roman" w:cs="Times New Roman"/>
          <w:sz w:val="21"/>
          <w:szCs w:val="21"/>
          <w:lang w:val="es-ES" w:eastAsia="es-ES_tradnl"/>
        </w:rPr>
        <w:t>E</w:t>
      </w:r>
      <w:r w:rsidR="00A12F09" w:rsidRPr="00DC03F7">
        <w:rPr>
          <w:rFonts w:ascii="Times New Roman" w:eastAsia="Times New Roman" w:hAnsi="Times New Roman" w:cs="Times New Roman"/>
          <w:sz w:val="21"/>
          <w:szCs w:val="21"/>
          <w:lang w:val="es-ES" w:eastAsia="es-ES_tradnl"/>
        </w:rPr>
        <w:t xml:space="preserve">l enfoque </w:t>
      </w:r>
      <w:r w:rsidRPr="00DC03F7">
        <w:rPr>
          <w:rFonts w:ascii="Times New Roman" w:eastAsia="Times New Roman" w:hAnsi="Times New Roman" w:cs="Times New Roman"/>
          <w:sz w:val="21"/>
          <w:szCs w:val="21"/>
          <w:lang w:val="es-ES" w:eastAsia="es-ES_tradnl"/>
        </w:rPr>
        <w:t>de control migrato</w:t>
      </w:r>
      <w:r w:rsidR="00B642C1" w:rsidRPr="00DC03F7">
        <w:rPr>
          <w:rFonts w:ascii="Times New Roman" w:eastAsia="Times New Roman" w:hAnsi="Times New Roman" w:cs="Times New Roman"/>
          <w:sz w:val="21"/>
          <w:szCs w:val="21"/>
          <w:lang w:val="es-ES" w:eastAsia="es-ES_tradnl"/>
        </w:rPr>
        <w:t>r</w:t>
      </w:r>
      <w:r w:rsidRPr="00DC03F7">
        <w:rPr>
          <w:rFonts w:ascii="Times New Roman" w:eastAsia="Times New Roman" w:hAnsi="Times New Roman" w:cs="Times New Roman"/>
          <w:sz w:val="21"/>
          <w:szCs w:val="21"/>
          <w:lang w:val="es-ES" w:eastAsia="es-ES_tradnl"/>
        </w:rPr>
        <w:t xml:space="preserve">io </w:t>
      </w:r>
      <w:r w:rsidR="00A12F09" w:rsidRPr="00DC03F7">
        <w:rPr>
          <w:rFonts w:ascii="Times New Roman" w:eastAsia="Times New Roman" w:hAnsi="Times New Roman" w:cs="Times New Roman"/>
          <w:sz w:val="21"/>
          <w:szCs w:val="21"/>
          <w:lang w:val="es-ES" w:eastAsia="es-ES_tradnl"/>
        </w:rPr>
        <w:t xml:space="preserve">que usualmente </w:t>
      </w:r>
      <w:r w:rsidR="00B642C1" w:rsidRPr="00DC03F7">
        <w:rPr>
          <w:rFonts w:ascii="Times New Roman" w:eastAsia="Times New Roman" w:hAnsi="Times New Roman" w:cs="Times New Roman"/>
          <w:sz w:val="21"/>
          <w:szCs w:val="21"/>
          <w:lang w:val="es-ES" w:eastAsia="es-ES_tradnl"/>
        </w:rPr>
        <w:t xml:space="preserve">utilizan </w:t>
      </w:r>
      <w:r w:rsidR="00A12F09" w:rsidRPr="00DC03F7">
        <w:rPr>
          <w:rFonts w:ascii="Times New Roman" w:eastAsia="Times New Roman" w:hAnsi="Times New Roman" w:cs="Times New Roman"/>
          <w:sz w:val="21"/>
          <w:szCs w:val="21"/>
          <w:lang w:val="es-ES" w:eastAsia="es-ES_tradnl"/>
        </w:rPr>
        <w:t xml:space="preserve">los Estados </w:t>
      </w:r>
      <w:r w:rsidR="006E7967" w:rsidRPr="00DC03F7">
        <w:rPr>
          <w:rFonts w:ascii="Times New Roman" w:eastAsia="Times New Roman" w:hAnsi="Times New Roman" w:cs="Times New Roman"/>
          <w:sz w:val="21"/>
          <w:szCs w:val="21"/>
          <w:lang w:val="es-ES" w:eastAsia="es-ES_tradnl"/>
        </w:rPr>
        <w:t>para el diseño de sus políticas contra</w:t>
      </w:r>
      <w:r w:rsidR="00A12F09" w:rsidRPr="00DC03F7">
        <w:rPr>
          <w:rFonts w:ascii="Times New Roman" w:eastAsia="Times New Roman" w:hAnsi="Times New Roman" w:cs="Times New Roman"/>
          <w:sz w:val="21"/>
          <w:szCs w:val="21"/>
          <w:lang w:val="es-ES" w:eastAsia="es-ES_tradnl"/>
        </w:rPr>
        <w:t xml:space="preserve"> la trata de personas </w:t>
      </w:r>
      <w:r w:rsidR="00622070" w:rsidRPr="00DC03F7">
        <w:rPr>
          <w:rFonts w:ascii="Times New Roman" w:eastAsia="Times New Roman" w:hAnsi="Times New Roman" w:cs="Times New Roman"/>
          <w:sz w:val="21"/>
          <w:szCs w:val="21"/>
          <w:lang w:val="es-ES" w:eastAsia="es-ES_tradnl"/>
        </w:rPr>
        <w:t xml:space="preserve">provoca asimismo </w:t>
      </w:r>
      <w:r w:rsidR="000F79D3" w:rsidRPr="00DC03F7">
        <w:rPr>
          <w:rFonts w:ascii="Times New Roman" w:eastAsia="Times New Roman" w:hAnsi="Times New Roman" w:cs="Times New Roman"/>
          <w:sz w:val="21"/>
          <w:szCs w:val="21"/>
          <w:lang w:val="es-ES" w:eastAsia="es-ES_tradnl"/>
        </w:rPr>
        <w:t>la</w:t>
      </w:r>
      <w:r w:rsidR="00A52F46" w:rsidRPr="00DC03F7">
        <w:rPr>
          <w:rFonts w:ascii="Times New Roman" w:eastAsia="Times New Roman" w:hAnsi="Times New Roman" w:cs="Times New Roman"/>
          <w:sz w:val="21"/>
          <w:szCs w:val="21"/>
          <w:lang w:val="es-ES" w:eastAsia="es-ES_tradnl"/>
        </w:rPr>
        <w:t xml:space="preserve"> apli</w:t>
      </w:r>
      <w:r w:rsidR="000F79D3" w:rsidRPr="00DC03F7">
        <w:rPr>
          <w:rFonts w:ascii="Times New Roman" w:eastAsia="Times New Roman" w:hAnsi="Times New Roman" w:cs="Times New Roman"/>
          <w:sz w:val="21"/>
          <w:szCs w:val="21"/>
          <w:lang w:val="es-ES" w:eastAsia="es-ES_tradnl"/>
        </w:rPr>
        <w:t>cación de</w:t>
      </w:r>
      <w:r w:rsidR="00A52F46" w:rsidRPr="00DC03F7">
        <w:rPr>
          <w:rFonts w:ascii="Times New Roman" w:eastAsia="Times New Roman" w:hAnsi="Times New Roman" w:cs="Times New Roman"/>
          <w:sz w:val="21"/>
          <w:szCs w:val="21"/>
          <w:lang w:val="es-ES" w:eastAsia="es-ES_tradnl"/>
        </w:rPr>
        <w:t xml:space="preserve"> medidas tendientes a</w:t>
      </w:r>
      <w:r w:rsidR="003C43E1" w:rsidRPr="00DC03F7">
        <w:rPr>
          <w:rFonts w:ascii="Times New Roman" w:eastAsia="Times New Roman" w:hAnsi="Times New Roman" w:cs="Times New Roman"/>
          <w:sz w:val="21"/>
          <w:szCs w:val="21"/>
          <w:lang w:val="es-ES" w:eastAsia="es-ES_tradnl"/>
        </w:rPr>
        <w:t xml:space="preserve"> la</w:t>
      </w:r>
      <w:r w:rsidR="00A52F46" w:rsidRPr="00DC03F7">
        <w:rPr>
          <w:rFonts w:ascii="Times New Roman" w:eastAsia="Times New Roman" w:hAnsi="Times New Roman" w:cs="Times New Roman"/>
          <w:sz w:val="21"/>
          <w:szCs w:val="21"/>
          <w:lang w:val="es-ES" w:eastAsia="es-ES_tradnl"/>
        </w:rPr>
        <w:t xml:space="preserve"> detención</w:t>
      </w:r>
      <w:r w:rsidR="00DD06AE" w:rsidRPr="00DC03F7">
        <w:rPr>
          <w:rFonts w:ascii="Times New Roman" w:eastAsia="Times New Roman" w:hAnsi="Times New Roman" w:cs="Times New Roman"/>
          <w:sz w:val="21"/>
          <w:szCs w:val="21"/>
          <w:lang w:val="es-ES" w:eastAsia="es-ES_tradnl"/>
        </w:rPr>
        <w:t xml:space="preserve"> de víctimas de trata</w:t>
      </w:r>
      <w:r w:rsidR="00467D9F" w:rsidRPr="00DC03F7">
        <w:rPr>
          <w:rFonts w:ascii="Times New Roman" w:eastAsia="Times New Roman" w:hAnsi="Times New Roman" w:cs="Times New Roman"/>
          <w:sz w:val="21"/>
          <w:szCs w:val="21"/>
          <w:lang w:val="es-ES" w:eastAsia="es-ES_tradnl"/>
        </w:rPr>
        <w:t xml:space="preserve"> que no han sido identificadas</w:t>
      </w:r>
      <w:r w:rsidR="00221CB0" w:rsidRPr="00DC03F7">
        <w:rPr>
          <w:rFonts w:ascii="Times New Roman" w:eastAsia="Times New Roman" w:hAnsi="Times New Roman" w:cs="Times New Roman"/>
          <w:sz w:val="21"/>
          <w:szCs w:val="21"/>
          <w:lang w:val="es-ES" w:eastAsia="es-ES_tradnl"/>
        </w:rPr>
        <w:t xml:space="preserve"> en centros de inmigración</w:t>
      </w:r>
      <w:r w:rsidR="00A52F46" w:rsidRPr="00DC03F7">
        <w:rPr>
          <w:rFonts w:ascii="Times New Roman" w:eastAsia="Times New Roman" w:hAnsi="Times New Roman" w:cs="Times New Roman"/>
          <w:sz w:val="21"/>
          <w:szCs w:val="21"/>
          <w:lang w:val="es-ES" w:eastAsia="es-ES_tradnl"/>
        </w:rPr>
        <w:t xml:space="preserve"> </w:t>
      </w:r>
      <w:r w:rsidR="00DD06AE" w:rsidRPr="00DC03F7">
        <w:rPr>
          <w:rFonts w:ascii="Times New Roman" w:eastAsia="Times New Roman" w:hAnsi="Times New Roman" w:cs="Times New Roman"/>
          <w:sz w:val="21"/>
          <w:szCs w:val="21"/>
          <w:lang w:val="es-ES" w:eastAsia="es-ES_tradnl"/>
        </w:rPr>
        <w:t>para su</w:t>
      </w:r>
      <w:r w:rsidR="00E829E3" w:rsidRPr="00DC03F7">
        <w:rPr>
          <w:rFonts w:ascii="Times New Roman" w:eastAsia="Times New Roman" w:hAnsi="Times New Roman" w:cs="Times New Roman"/>
          <w:sz w:val="21"/>
          <w:szCs w:val="21"/>
          <w:lang w:val="es-ES" w:eastAsia="es-ES_tradnl"/>
        </w:rPr>
        <w:t xml:space="preserve"> posterior</w:t>
      </w:r>
      <w:r w:rsidR="00DD06AE" w:rsidRPr="00DC03F7">
        <w:rPr>
          <w:rFonts w:ascii="Times New Roman" w:eastAsia="Times New Roman" w:hAnsi="Times New Roman" w:cs="Times New Roman"/>
          <w:sz w:val="21"/>
          <w:szCs w:val="21"/>
          <w:lang w:val="es-ES" w:eastAsia="es-ES_tradnl"/>
        </w:rPr>
        <w:t xml:space="preserve"> </w:t>
      </w:r>
      <w:r w:rsidR="00A52F46" w:rsidRPr="00DC03F7">
        <w:rPr>
          <w:rFonts w:ascii="Times New Roman" w:eastAsia="Times New Roman" w:hAnsi="Times New Roman" w:cs="Times New Roman"/>
          <w:sz w:val="21"/>
          <w:szCs w:val="21"/>
          <w:lang w:val="es-ES" w:eastAsia="es-ES_tradnl"/>
        </w:rPr>
        <w:t xml:space="preserve">expulsión, </w:t>
      </w:r>
      <w:r w:rsidR="00FC1173" w:rsidRPr="00DC03F7">
        <w:rPr>
          <w:rFonts w:ascii="Times New Roman" w:eastAsia="Times New Roman" w:hAnsi="Times New Roman" w:cs="Times New Roman"/>
          <w:sz w:val="21"/>
          <w:szCs w:val="21"/>
          <w:lang w:val="es-ES" w:eastAsia="es-ES_tradnl"/>
        </w:rPr>
        <w:t>sometiéndolas a riesgos de violaciones de derechos humanos y</w:t>
      </w:r>
      <w:r w:rsidR="00F008A1" w:rsidRPr="00DC03F7">
        <w:rPr>
          <w:rFonts w:ascii="Times New Roman" w:eastAsia="Times New Roman" w:hAnsi="Times New Roman" w:cs="Times New Roman"/>
          <w:sz w:val="21"/>
          <w:szCs w:val="21"/>
          <w:lang w:val="es-ES" w:eastAsia="es-ES_tradnl"/>
        </w:rPr>
        <w:t xml:space="preserve"> a</w:t>
      </w:r>
      <w:r w:rsidR="00FC1173" w:rsidRPr="00DC03F7">
        <w:rPr>
          <w:rFonts w:ascii="Times New Roman" w:eastAsia="Times New Roman" w:hAnsi="Times New Roman" w:cs="Times New Roman"/>
          <w:sz w:val="21"/>
          <w:szCs w:val="21"/>
          <w:lang w:val="es-ES" w:eastAsia="es-ES_tradnl"/>
        </w:rPr>
        <w:t xml:space="preserve"> formas de violencia cuando la deportación se hace efectiva</w:t>
      </w:r>
      <w:r w:rsidR="00087FCA" w:rsidRPr="00DC03F7">
        <w:rPr>
          <w:rFonts w:ascii="Times New Roman" w:eastAsia="Times New Roman" w:hAnsi="Times New Roman" w:cs="Times New Roman"/>
          <w:sz w:val="21"/>
          <w:szCs w:val="21"/>
          <w:lang w:val="es-ES" w:eastAsia="es-ES_tradnl"/>
        </w:rPr>
        <w:t>, en violación del principio de no devolución</w:t>
      </w:r>
      <w:r w:rsidR="00813113" w:rsidRPr="00DC03F7">
        <w:rPr>
          <w:rStyle w:val="FootnoteReference"/>
          <w:rFonts w:ascii="Times New Roman" w:eastAsia="Times New Roman" w:hAnsi="Times New Roman" w:cs="Times New Roman"/>
          <w:sz w:val="21"/>
          <w:szCs w:val="21"/>
          <w:lang w:val="es-ES" w:eastAsia="es-ES_tradnl"/>
        </w:rPr>
        <w:footnoteReference w:id="40"/>
      </w:r>
      <w:r w:rsidR="00EB1599" w:rsidRPr="00DC03F7">
        <w:rPr>
          <w:rStyle w:val="PageNumber"/>
          <w:rFonts w:ascii="Times New Roman" w:hAnsi="Times New Roman" w:cs="Times New Roman"/>
          <w:sz w:val="21"/>
          <w:szCs w:val="21"/>
        </w:rPr>
        <w:t xml:space="preserve"> </w:t>
      </w:r>
      <w:r w:rsidR="0055620D" w:rsidRPr="00DC03F7">
        <w:rPr>
          <w:rStyle w:val="PageNumber"/>
          <w:rFonts w:ascii="Times New Roman" w:hAnsi="Times New Roman" w:cs="Times New Roman"/>
          <w:sz w:val="21"/>
          <w:szCs w:val="21"/>
        </w:rPr>
        <w:t>(</w:t>
      </w:r>
      <w:r w:rsidR="0055620D" w:rsidRPr="00DC03F7">
        <w:rPr>
          <w:rStyle w:val="PageNumber"/>
          <w:rFonts w:ascii="Times New Roman" w:hAnsi="Times New Roman" w:cs="Times New Roman"/>
          <w:b/>
          <w:sz w:val="21"/>
          <w:szCs w:val="21"/>
        </w:rPr>
        <w:t xml:space="preserve">ver </w:t>
      </w:r>
      <w:hyperlink r:id="rId21" w:history="1">
        <w:r w:rsidR="00843A73" w:rsidRPr="00FA2322">
          <w:rPr>
            <w:rStyle w:val="Hyperlink"/>
            <w:rFonts w:ascii="Times New Roman" w:hAnsi="Times New Roman" w:cs="Times New Roman"/>
            <w:b/>
            <w:sz w:val="21"/>
            <w:szCs w:val="21"/>
          </w:rPr>
          <w:t>Ca</w:t>
        </w:r>
        <w:r w:rsidR="0055620D" w:rsidRPr="00FA2322">
          <w:rPr>
            <w:rStyle w:val="Hyperlink"/>
            <w:rFonts w:ascii="Times New Roman" w:hAnsi="Times New Roman" w:cs="Times New Roman"/>
            <w:b/>
            <w:sz w:val="21"/>
            <w:szCs w:val="21"/>
          </w:rPr>
          <w:t>so</w:t>
        </w:r>
        <w:r w:rsidR="00843A73" w:rsidRPr="00FA2322">
          <w:rPr>
            <w:rStyle w:val="Hyperlink"/>
            <w:rFonts w:ascii="Times New Roman" w:hAnsi="Times New Roman" w:cs="Times New Roman"/>
            <w:b/>
            <w:sz w:val="21"/>
            <w:szCs w:val="21"/>
          </w:rPr>
          <w:t xml:space="preserve"> 2 </w:t>
        </w:r>
        <w:r w:rsidR="006665B8" w:rsidRPr="00FA2322">
          <w:rPr>
            <w:rStyle w:val="Hyperlink"/>
            <w:rFonts w:ascii="Times New Roman" w:hAnsi="Times New Roman" w:cs="Times New Roman"/>
            <w:b/>
            <w:sz w:val="21"/>
            <w:szCs w:val="21"/>
          </w:rPr>
          <w:t>–</w:t>
        </w:r>
        <w:r w:rsidR="0055620D" w:rsidRPr="00FA2322">
          <w:rPr>
            <w:rStyle w:val="Hyperlink"/>
            <w:rFonts w:ascii="Times New Roman" w:hAnsi="Times New Roman" w:cs="Times New Roman"/>
            <w:b/>
            <w:sz w:val="21"/>
            <w:szCs w:val="21"/>
          </w:rPr>
          <w:t xml:space="preserve"> G.J</w:t>
        </w:r>
        <w:r w:rsidR="00843A73" w:rsidRPr="00FA2322">
          <w:rPr>
            <w:rStyle w:val="Hyperlink"/>
            <w:rFonts w:ascii="Times New Roman" w:hAnsi="Times New Roman" w:cs="Times New Roman"/>
            <w:b/>
            <w:sz w:val="21"/>
            <w:szCs w:val="21"/>
          </w:rPr>
          <w:t>.</w:t>
        </w:r>
      </w:hyperlink>
      <w:r w:rsidR="0055620D" w:rsidRPr="00DC03F7">
        <w:rPr>
          <w:rStyle w:val="PageNumber"/>
          <w:rFonts w:ascii="Times New Roman" w:hAnsi="Times New Roman" w:cs="Times New Roman"/>
          <w:sz w:val="21"/>
          <w:szCs w:val="21"/>
        </w:rPr>
        <w:t xml:space="preserve">). </w:t>
      </w:r>
      <w:r w:rsidR="00FC1173" w:rsidRPr="00DC03F7">
        <w:rPr>
          <w:rFonts w:ascii="Times New Roman" w:eastAsia="Times New Roman" w:hAnsi="Times New Roman" w:cs="Times New Roman"/>
          <w:sz w:val="21"/>
          <w:szCs w:val="21"/>
          <w:lang w:val="es-ES" w:eastAsia="es-ES_tradnl"/>
        </w:rPr>
        <w:t xml:space="preserve">Todo </w:t>
      </w:r>
      <w:r w:rsidR="00087FCA" w:rsidRPr="00DC03F7">
        <w:rPr>
          <w:rFonts w:ascii="Times New Roman" w:eastAsia="Times New Roman" w:hAnsi="Times New Roman" w:cs="Times New Roman"/>
          <w:sz w:val="21"/>
          <w:szCs w:val="21"/>
          <w:lang w:val="es-ES" w:eastAsia="es-ES_tradnl"/>
        </w:rPr>
        <w:t>ello</w:t>
      </w:r>
      <w:r w:rsidR="00FC1173" w:rsidRPr="00DC03F7">
        <w:rPr>
          <w:rFonts w:ascii="Times New Roman" w:eastAsia="Times New Roman" w:hAnsi="Times New Roman" w:cs="Times New Roman"/>
          <w:sz w:val="21"/>
          <w:szCs w:val="21"/>
          <w:lang w:val="es-ES" w:eastAsia="es-ES_tradnl"/>
        </w:rPr>
        <w:t xml:space="preserve"> supone</w:t>
      </w:r>
      <w:r w:rsidR="00F6134A" w:rsidRPr="00DC03F7">
        <w:rPr>
          <w:rFonts w:ascii="Times New Roman" w:eastAsia="Times New Roman" w:hAnsi="Times New Roman" w:cs="Times New Roman"/>
          <w:sz w:val="21"/>
          <w:szCs w:val="21"/>
          <w:lang w:val="es-ES" w:eastAsia="es-ES_tradnl"/>
        </w:rPr>
        <w:t>, además,</w:t>
      </w:r>
      <w:r w:rsidR="00FC1173" w:rsidRPr="00DC03F7">
        <w:rPr>
          <w:rFonts w:ascii="Times New Roman" w:eastAsia="Times New Roman" w:hAnsi="Times New Roman" w:cs="Times New Roman"/>
          <w:sz w:val="21"/>
          <w:szCs w:val="21"/>
          <w:lang w:val="es-ES" w:eastAsia="es-ES_tradnl"/>
        </w:rPr>
        <w:t xml:space="preserve"> un incumplimiento de las obligaciones de los Estados de protección y garantía de los derechos humanos de las víctimas</w:t>
      </w:r>
      <w:r w:rsidR="00813113" w:rsidRPr="00DC03F7">
        <w:rPr>
          <w:rFonts w:ascii="Times New Roman" w:eastAsia="Times New Roman" w:hAnsi="Times New Roman" w:cs="Times New Roman"/>
          <w:sz w:val="21"/>
          <w:szCs w:val="21"/>
          <w:lang w:val="es-ES" w:eastAsia="es-ES_tradnl"/>
        </w:rPr>
        <w:t xml:space="preserve"> al acceso a la justicia y a</w:t>
      </w:r>
      <w:r w:rsidR="00F6134A" w:rsidRPr="00DC03F7">
        <w:rPr>
          <w:rFonts w:ascii="Times New Roman" w:eastAsia="Times New Roman" w:hAnsi="Times New Roman" w:cs="Times New Roman"/>
          <w:sz w:val="21"/>
          <w:szCs w:val="21"/>
          <w:lang w:val="es-ES" w:eastAsia="es-ES_tradnl"/>
        </w:rPr>
        <w:t xml:space="preserve"> una</w:t>
      </w:r>
      <w:r w:rsidR="00813113" w:rsidRPr="00DC03F7">
        <w:rPr>
          <w:rFonts w:ascii="Times New Roman" w:eastAsia="Times New Roman" w:hAnsi="Times New Roman" w:cs="Times New Roman"/>
          <w:sz w:val="21"/>
          <w:szCs w:val="21"/>
          <w:lang w:val="es-ES" w:eastAsia="es-ES_tradnl"/>
        </w:rPr>
        <w:t xml:space="preserve"> reparación</w:t>
      </w:r>
      <w:r w:rsidR="00F6134A" w:rsidRPr="00DC03F7">
        <w:rPr>
          <w:rFonts w:ascii="Times New Roman" w:eastAsia="Times New Roman" w:hAnsi="Times New Roman" w:cs="Times New Roman"/>
          <w:sz w:val="21"/>
          <w:szCs w:val="21"/>
          <w:lang w:val="es-ES" w:eastAsia="es-ES_tradnl"/>
        </w:rPr>
        <w:t xml:space="preserve"> efectiva y</w:t>
      </w:r>
      <w:r w:rsidR="00EB1599" w:rsidRPr="00DC03F7">
        <w:rPr>
          <w:rFonts w:ascii="Times New Roman" w:eastAsia="Times New Roman" w:hAnsi="Times New Roman" w:cs="Times New Roman"/>
          <w:sz w:val="21"/>
          <w:szCs w:val="21"/>
          <w:lang w:val="es-ES" w:eastAsia="es-ES_tradnl"/>
        </w:rPr>
        <w:t xml:space="preserve"> sin discriminación</w:t>
      </w:r>
      <w:r w:rsidR="00EB1599" w:rsidRPr="00DC03F7">
        <w:rPr>
          <w:rStyle w:val="FootnoteReference"/>
          <w:rFonts w:ascii="Times New Roman" w:eastAsia="Times New Roman" w:hAnsi="Times New Roman" w:cs="Times New Roman"/>
          <w:sz w:val="21"/>
          <w:szCs w:val="21"/>
          <w:lang w:val="es-ES" w:eastAsia="es-ES_tradnl"/>
        </w:rPr>
        <w:footnoteReference w:id="41"/>
      </w:r>
      <w:r w:rsidR="00813113" w:rsidRPr="00DC03F7">
        <w:rPr>
          <w:rFonts w:ascii="Times New Roman" w:eastAsia="Times New Roman" w:hAnsi="Times New Roman" w:cs="Times New Roman"/>
          <w:sz w:val="21"/>
          <w:szCs w:val="21"/>
          <w:lang w:val="es-ES" w:eastAsia="es-ES_tradnl"/>
        </w:rPr>
        <w:t>.</w:t>
      </w:r>
      <w:r w:rsidR="00C24C3A" w:rsidRPr="00DC03F7">
        <w:rPr>
          <w:rFonts w:ascii="Times New Roman" w:eastAsia="Times New Roman" w:hAnsi="Times New Roman" w:cs="Times New Roman"/>
          <w:sz w:val="21"/>
          <w:szCs w:val="21"/>
          <w:lang w:val="es-ES" w:eastAsia="es-ES_tradnl"/>
        </w:rPr>
        <w:t xml:space="preserve"> </w:t>
      </w:r>
    </w:p>
    <w:p w14:paraId="00A4C088" w14:textId="77777777" w:rsidR="004E6B5B" w:rsidRPr="00DC03F7" w:rsidRDefault="004E6B5B" w:rsidP="004E6B5B">
      <w:pPr>
        <w:pStyle w:val="ListParagraph"/>
        <w:rPr>
          <w:rFonts w:ascii="Times New Roman" w:eastAsia="Times New Roman" w:hAnsi="Times New Roman" w:cs="Times New Roman"/>
          <w:sz w:val="21"/>
          <w:szCs w:val="21"/>
          <w:lang w:val="es-ES" w:eastAsia="es-ES_tradnl"/>
        </w:rPr>
      </w:pPr>
    </w:p>
    <w:p w14:paraId="4B7AD7E1" w14:textId="77777777" w:rsidR="004E6B5B" w:rsidRPr="00DC03F7" w:rsidRDefault="004E6B5B" w:rsidP="004E6B5B">
      <w:pPr>
        <w:spacing w:line="276" w:lineRule="auto"/>
        <w:ind w:firstLine="708"/>
        <w:jc w:val="both"/>
        <w:rPr>
          <w:b/>
          <w:i/>
          <w:sz w:val="21"/>
          <w:szCs w:val="21"/>
        </w:rPr>
      </w:pPr>
      <w:r w:rsidRPr="00DC03F7">
        <w:rPr>
          <w:b/>
          <w:i/>
          <w:sz w:val="21"/>
          <w:szCs w:val="21"/>
        </w:rPr>
        <w:t xml:space="preserve">Sobre el principio de non-punishment. </w:t>
      </w:r>
      <w:r w:rsidR="00710551" w:rsidRPr="00DC03F7">
        <w:rPr>
          <w:b/>
          <w:i/>
          <w:sz w:val="21"/>
          <w:szCs w:val="21"/>
        </w:rPr>
        <w:t>–</w:t>
      </w:r>
      <w:r w:rsidRPr="00DC03F7">
        <w:rPr>
          <w:b/>
          <w:i/>
          <w:sz w:val="21"/>
          <w:szCs w:val="21"/>
        </w:rPr>
        <w:t xml:space="preserve"> </w:t>
      </w:r>
    </w:p>
    <w:p w14:paraId="42B8AE9A" w14:textId="77777777" w:rsidR="00710551" w:rsidRPr="00DC03F7" w:rsidRDefault="00710551" w:rsidP="004E6B5B">
      <w:pPr>
        <w:spacing w:line="276" w:lineRule="auto"/>
        <w:ind w:firstLine="708"/>
        <w:jc w:val="both"/>
        <w:rPr>
          <w:b/>
          <w:i/>
          <w:sz w:val="21"/>
          <w:szCs w:val="21"/>
        </w:rPr>
      </w:pPr>
    </w:p>
    <w:p w14:paraId="420F2369" w14:textId="3713C642" w:rsidR="001A3A22" w:rsidRPr="00DC03F7" w:rsidRDefault="009368F6" w:rsidP="001A3A22">
      <w:pPr>
        <w:pStyle w:val="ListParagraph"/>
        <w:numPr>
          <w:ilvl w:val="0"/>
          <w:numId w:val="9"/>
        </w:numPr>
        <w:spacing w:line="276" w:lineRule="auto"/>
        <w:ind w:left="0"/>
        <w:jc w:val="both"/>
        <w:rPr>
          <w:rFonts w:ascii="Times New Roman" w:eastAsia="Times New Roman" w:hAnsi="Times New Roman" w:cs="Times New Roman"/>
          <w:sz w:val="21"/>
          <w:szCs w:val="21"/>
          <w:lang w:val="es-ES" w:eastAsia="es-ES_tradnl"/>
        </w:rPr>
      </w:pPr>
      <w:r w:rsidRPr="00DC03F7">
        <w:rPr>
          <w:rFonts w:ascii="Times New Roman" w:eastAsia="Times New Roman" w:hAnsi="Times New Roman" w:cs="Times New Roman"/>
          <w:sz w:val="21"/>
          <w:szCs w:val="21"/>
          <w:lang w:val="es-ES" w:eastAsia="es-ES_tradnl"/>
        </w:rPr>
        <w:t xml:space="preserve">Es frecuente que las </w:t>
      </w:r>
      <w:r w:rsidR="004A4AD7" w:rsidRPr="00DC03F7">
        <w:rPr>
          <w:rFonts w:ascii="Times New Roman" w:eastAsia="Times New Roman" w:hAnsi="Times New Roman" w:cs="Times New Roman"/>
          <w:sz w:val="21"/>
          <w:szCs w:val="21"/>
          <w:lang w:val="es-ES" w:eastAsia="es-ES_tradnl"/>
        </w:rPr>
        <w:t xml:space="preserve">personas sometidas a trata se vean forzadas </w:t>
      </w:r>
      <w:r w:rsidR="00712A9F" w:rsidRPr="00DC03F7">
        <w:rPr>
          <w:rFonts w:ascii="Times New Roman" w:eastAsia="Times New Roman" w:hAnsi="Times New Roman" w:cs="Times New Roman"/>
          <w:sz w:val="21"/>
          <w:szCs w:val="21"/>
          <w:lang w:val="es-ES" w:eastAsia="es-ES_tradnl"/>
        </w:rPr>
        <w:t xml:space="preserve">por parte de sus tratantes </w:t>
      </w:r>
      <w:r w:rsidR="004A4AD7" w:rsidRPr="00DC03F7">
        <w:rPr>
          <w:rFonts w:ascii="Times New Roman" w:eastAsia="Times New Roman" w:hAnsi="Times New Roman" w:cs="Times New Roman"/>
          <w:sz w:val="21"/>
          <w:szCs w:val="21"/>
          <w:lang w:val="es-ES" w:eastAsia="es-ES_tradnl"/>
        </w:rPr>
        <w:t xml:space="preserve">a </w:t>
      </w:r>
      <w:r w:rsidR="008F0D5B" w:rsidRPr="00DC03F7">
        <w:rPr>
          <w:rFonts w:ascii="Times New Roman" w:eastAsia="Times New Roman" w:hAnsi="Times New Roman" w:cs="Times New Roman"/>
          <w:sz w:val="21"/>
          <w:szCs w:val="21"/>
          <w:lang w:val="es-ES" w:eastAsia="es-ES_tradnl"/>
        </w:rPr>
        <w:t xml:space="preserve">incurrir en actividades delictivas o </w:t>
      </w:r>
      <w:r w:rsidR="00712A9F" w:rsidRPr="00DC03F7">
        <w:rPr>
          <w:rFonts w:ascii="Times New Roman" w:eastAsia="Times New Roman" w:hAnsi="Times New Roman" w:cs="Times New Roman"/>
          <w:sz w:val="21"/>
          <w:szCs w:val="21"/>
          <w:lang w:val="es-ES" w:eastAsia="es-ES_tradnl"/>
        </w:rPr>
        <w:t xml:space="preserve">que </w:t>
      </w:r>
      <w:r w:rsidR="008F0D5B" w:rsidRPr="00DC03F7">
        <w:rPr>
          <w:rFonts w:ascii="Times New Roman" w:eastAsia="Times New Roman" w:hAnsi="Times New Roman" w:cs="Times New Roman"/>
          <w:sz w:val="21"/>
          <w:szCs w:val="21"/>
          <w:lang w:val="es-ES" w:eastAsia="es-ES_tradnl"/>
        </w:rPr>
        <w:t xml:space="preserve">se vean envueltas en actividades que implican infracciones legales y/o administrativas. </w:t>
      </w:r>
      <w:r w:rsidR="00712A9F" w:rsidRPr="00DC03F7">
        <w:rPr>
          <w:rFonts w:ascii="Times New Roman" w:eastAsia="Times New Roman" w:hAnsi="Times New Roman" w:cs="Times New Roman"/>
          <w:sz w:val="21"/>
          <w:szCs w:val="21"/>
          <w:lang w:val="es-ES" w:eastAsia="es-ES_tradnl"/>
        </w:rPr>
        <w:t>P</w:t>
      </w:r>
      <w:r w:rsidR="00700D79" w:rsidRPr="00DC03F7">
        <w:rPr>
          <w:rFonts w:ascii="Times New Roman" w:eastAsia="Times New Roman" w:hAnsi="Times New Roman" w:cs="Times New Roman"/>
          <w:sz w:val="21"/>
          <w:szCs w:val="21"/>
          <w:lang w:val="es-ES" w:eastAsia="es-ES_tradnl"/>
        </w:rPr>
        <w:t xml:space="preserve">ara evitar que se enfrenten a procedimientos </w:t>
      </w:r>
      <w:r w:rsidR="001579D7" w:rsidRPr="00DC03F7">
        <w:rPr>
          <w:rFonts w:ascii="Times New Roman" w:eastAsia="Times New Roman" w:hAnsi="Times New Roman" w:cs="Times New Roman"/>
          <w:sz w:val="21"/>
          <w:szCs w:val="21"/>
          <w:lang w:val="es-ES" w:eastAsia="es-ES_tradnl"/>
        </w:rPr>
        <w:t xml:space="preserve">judiciales y/o administrativos que pueden eventualmente </w:t>
      </w:r>
      <w:r w:rsidR="00314020" w:rsidRPr="00DC03F7">
        <w:rPr>
          <w:rFonts w:ascii="Times New Roman" w:eastAsia="Times New Roman" w:hAnsi="Times New Roman" w:cs="Times New Roman"/>
          <w:sz w:val="21"/>
          <w:szCs w:val="21"/>
          <w:lang w:val="es-ES" w:eastAsia="es-ES_tradnl"/>
        </w:rPr>
        <w:t>desembocar en sanciones administrativas o penales por hechos en los que se han visto forzadas a participar</w:t>
      </w:r>
      <w:r w:rsidR="00A154C9" w:rsidRPr="00DC03F7">
        <w:rPr>
          <w:rFonts w:ascii="Times New Roman" w:eastAsia="Times New Roman" w:hAnsi="Times New Roman" w:cs="Times New Roman"/>
          <w:sz w:val="21"/>
          <w:szCs w:val="21"/>
          <w:lang w:val="es-ES" w:eastAsia="es-ES_tradnl"/>
        </w:rPr>
        <w:t>,</w:t>
      </w:r>
      <w:r w:rsidR="00314020" w:rsidRPr="00DC03F7">
        <w:rPr>
          <w:rFonts w:ascii="Times New Roman" w:eastAsia="Times New Roman" w:hAnsi="Times New Roman" w:cs="Times New Roman"/>
          <w:sz w:val="21"/>
          <w:szCs w:val="21"/>
          <w:lang w:val="es-ES" w:eastAsia="es-ES_tradnl"/>
        </w:rPr>
        <w:t xml:space="preserve"> </w:t>
      </w:r>
      <w:r w:rsidR="00710551" w:rsidRPr="00DC03F7">
        <w:rPr>
          <w:rFonts w:ascii="Times New Roman" w:eastAsia="Times New Roman" w:hAnsi="Times New Roman" w:cs="Times New Roman"/>
          <w:sz w:val="21"/>
          <w:szCs w:val="21"/>
          <w:lang w:val="es-ES" w:eastAsia="es-ES_tradnl"/>
        </w:rPr>
        <w:t>algunos instrumentos regionales de lucha contra la trata</w:t>
      </w:r>
      <w:r w:rsidR="0042451B" w:rsidRPr="00DC03F7">
        <w:rPr>
          <w:rFonts w:ascii="Times New Roman" w:eastAsia="Times New Roman" w:hAnsi="Times New Roman" w:cs="Times New Roman"/>
          <w:sz w:val="21"/>
          <w:szCs w:val="21"/>
          <w:lang w:val="es-ES" w:eastAsia="es-ES_tradnl"/>
        </w:rPr>
        <w:t xml:space="preserve"> de personas</w:t>
      </w:r>
      <w:r w:rsidR="00A154C9" w:rsidRPr="00DC03F7">
        <w:rPr>
          <w:rFonts w:ascii="Times New Roman" w:eastAsia="Times New Roman" w:hAnsi="Times New Roman" w:cs="Times New Roman"/>
          <w:sz w:val="21"/>
          <w:szCs w:val="21"/>
          <w:lang w:val="es-ES" w:eastAsia="es-ES_tradnl"/>
        </w:rPr>
        <w:t xml:space="preserve"> han recogido </w:t>
      </w:r>
      <w:r w:rsidR="00C73BF6" w:rsidRPr="00DC03F7">
        <w:rPr>
          <w:rFonts w:ascii="Times New Roman" w:eastAsia="Times New Roman" w:hAnsi="Times New Roman" w:cs="Times New Roman"/>
          <w:sz w:val="21"/>
          <w:szCs w:val="21"/>
          <w:lang w:val="es-ES" w:eastAsia="es-ES_tradnl"/>
        </w:rPr>
        <w:t>el principio de no enjuiciamiento a víctimas de trata</w:t>
      </w:r>
      <w:r w:rsidR="0042451B" w:rsidRPr="00DC03F7">
        <w:rPr>
          <w:rFonts w:ascii="Times New Roman" w:eastAsia="Times New Roman" w:hAnsi="Times New Roman" w:cs="Times New Roman"/>
          <w:sz w:val="21"/>
          <w:szCs w:val="21"/>
          <w:lang w:val="es-ES" w:eastAsia="es-ES_tradnl"/>
        </w:rPr>
        <w:t>. Tanto</w:t>
      </w:r>
      <w:r w:rsidR="00710551" w:rsidRPr="00DC03F7">
        <w:rPr>
          <w:rFonts w:ascii="Times New Roman" w:eastAsia="Times New Roman" w:hAnsi="Times New Roman" w:cs="Times New Roman"/>
          <w:sz w:val="21"/>
          <w:szCs w:val="21"/>
          <w:lang w:val="es-ES" w:eastAsia="es-ES_tradnl"/>
        </w:rPr>
        <w:t xml:space="preserve"> el Convenio</w:t>
      </w:r>
      <w:r w:rsidR="004C5EBC" w:rsidRPr="00DC03F7">
        <w:rPr>
          <w:rFonts w:ascii="Times New Roman" w:eastAsia="Times New Roman" w:hAnsi="Times New Roman" w:cs="Times New Roman"/>
          <w:sz w:val="21"/>
          <w:szCs w:val="21"/>
          <w:lang w:val="es-ES" w:eastAsia="es-ES_tradnl"/>
        </w:rPr>
        <w:t xml:space="preserve"> del Consejo de Europa sobre la lucha contra la trata de seres humanos</w:t>
      </w:r>
      <w:r w:rsidR="00294F87" w:rsidRPr="00DC03F7">
        <w:rPr>
          <w:rFonts w:ascii="Times New Roman" w:eastAsia="Times New Roman" w:hAnsi="Times New Roman" w:cs="Times New Roman"/>
          <w:sz w:val="21"/>
          <w:szCs w:val="21"/>
          <w:lang w:val="es-ES" w:eastAsia="es-ES_tradnl"/>
        </w:rPr>
        <w:t xml:space="preserve"> (artículo 26)</w:t>
      </w:r>
      <w:r w:rsidR="00710551" w:rsidRPr="00DC03F7">
        <w:rPr>
          <w:rFonts w:ascii="Times New Roman" w:eastAsia="Times New Roman" w:hAnsi="Times New Roman" w:cs="Times New Roman"/>
          <w:sz w:val="21"/>
          <w:szCs w:val="21"/>
          <w:lang w:val="es-ES" w:eastAsia="es-ES_tradnl"/>
        </w:rPr>
        <w:t xml:space="preserve"> </w:t>
      </w:r>
      <w:r w:rsidR="00693692" w:rsidRPr="00DC03F7">
        <w:rPr>
          <w:rFonts w:ascii="Times New Roman" w:eastAsia="Times New Roman" w:hAnsi="Times New Roman" w:cs="Times New Roman"/>
          <w:sz w:val="21"/>
          <w:szCs w:val="21"/>
          <w:lang w:val="es-ES" w:eastAsia="es-ES_tradnl"/>
        </w:rPr>
        <w:t>como</w:t>
      </w:r>
      <w:r w:rsidR="00710551" w:rsidRPr="00DC03F7">
        <w:rPr>
          <w:rFonts w:ascii="Times New Roman" w:eastAsia="Times New Roman" w:hAnsi="Times New Roman" w:cs="Times New Roman"/>
          <w:sz w:val="21"/>
          <w:szCs w:val="21"/>
          <w:lang w:val="es-ES" w:eastAsia="es-ES_tradnl"/>
        </w:rPr>
        <w:t xml:space="preserve"> la Directiva Europea 2011/36/UE</w:t>
      </w:r>
      <w:r w:rsidR="00693692" w:rsidRPr="00DC03F7">
        <w:rPr>
          <w:rFonts w:ascii="Times New Roman" w:eastAsia="Times New Roman" w:hAnsi="Times New Roman" w:cs="Times New Roman"/>
          <w:sz w:val="21"/>
          <w:szCs w:val="21"/>
          <w:lang w:val="es-ES" w:eastAsia="es-ES_tradnl"/>
        </w:rPr>
        <w:t xml:space="preserve"> del Parlamento Europeo y del Consejo relativa a la prevención y lucha contra la trata de seres humanos y a la protección de las víctimas </w:t>
      </w:r>
      <w:r w:rsidR="00294F87" w:rsidRPr="00DC03F7">
        <w:rPr>
          <w:rFonts w:ascii="Times New Roman" w:eastAsia="Times New Roman" w:hAnsi="Times New Roman" w:cs="Times New Roman"/>
          <w:sz w:val="21"/>
          <w:szCs w:val="21"/>
          <w:lang w:val="es-ES" w:eastAsia="es-ES_tradnl"/>
        </w:rPr>
        <w:t>(artículo 8)</w:t>
      </w:r>
      <w:r w:rsidR="00693692" w:rsidRPr="00DC03F7">
        <w:rPr>
          <w:rFonts w:ascii="Times New Roman" w:eastAsia="Times New Roman" w:hAnsi="Times New Roman" w:cs="Times New Roman"/>
          <w:sz w:val="21"/>
          <w:szCs w:val="21"/>
          <w:lang w:val="es-ES" w:eastAsia="es-ES_tradnl"/>
        </w:rPr>
        <w:t>,</w:t>
      </w:r>
      <w:r w:rsidR="00B71E13" w:rsidRPr="00DC03F7">
        <w:rPr>
          <w:rFonts w:ascii="Times New Roman" w:eastAsia="Times New Roman" w:hAnsi="Times New Roman" w:cs="Times New Roman"/>
          <w:sz w:val="21"/>
          <w:szCs w:val="21"/>
          <w:lang w:val="es-ES" w:eastAsia="es-ES_tradnl"/>
        </w:rPr>
        <w:t xml:space="preserve"> hace</w:t>
      </w:r>
      <w:r w:rsidR="0042451B" w:rsidRPr="00DC03F7">
        <w:rPr>
          <w:rFonts w:ascii="Times New Roman" w:eastAsia="Times New Roman" w:hAnsi="Times New Roman" w:cs="Times New Roman"/>
          <w:sz w:val="21"/>
          <w:szCs w:val="21"/>
          <w:lang w:val="es-ES" w:eastAsia="es-ES_tradnl"/>
        </w:rPr>
        <w:t>n</w:t>
      </w:r>
      <w:r w:rsidR="00B71E13" w:rsidRPr="00DC03F7">
        <w:rPr>
          <w:rFonts w:ascii="Times New Roman" w:eastAsia="Times New Roman" w:hAnsi="Times New Roman" w:cs="Times New Roman"/>
          <w:sz w:val="21"/>
          <w:szCs w:val="21"/>
          <w:lang w:val="es-ES" w:eastAsia="es-ES_tradnl"/>
        </w:rPr>
        <w:t xml:space="preserve"> referencia </w:t>
      </w:r>
      <w:r w:rsidR="00D5736E" w:rsidRPr="00DC03F7">
        <w:rPr>
          <w:rFonts w:ascii="Times New Roman" w:eastAsia="Times New Roman" w:hAnsi="Times New Roman" w:cs="Times New Roman"/>
          <w:sz w:val="21"/>
          <w:szCs w:val="21"/>
          <w:lang w:val="es-ES" w:eastAsia="es-ES_tradnl"/>
        </w:rPr>
        <w:t>al deber de los Estados de no imponer penas, sanciones o enjuiciar a las víctimas de trata de seres humanos por su participación en actividades ilícitas cuando hayan sido obligadas a cometerlas como consecuencia directa</w:t>
      </w:r>
      <w:r w:rsidR="00430E8F" w:rsidRPr="00DC03F7">
        <w:rPr>
          <w:rFonts w:ascii="Times New Roman" w:eastAsia="Times New Roman" w:hAnsi="Times New Roman" w:cs="Times New Roman"/>
          <w:sz w:val="21"/>
          <w:szCs w:val="21"/>
          <w:lang w:val="es-ES" w:eastAsia="es-ES_tradnl"/>
        </w:rPr>
        <w:t xml:space="preserve"> de</w:t>
      </w:r>
      <w:r w:rsidR="005A5A74" w:rsidRPr="00DC03F7">
        <w:rPr>
          <w:rFonts w:ascii="Times New Roman" w:eastAsia="Times New Roman" w:hAnsi="Times New Roman" w:cs="Times New Roman"/>
          <w:sz w:val="21"/>
          <w:szCs w:val="21"/>
          <w:lang w:val="es-ES" w:eastAsia="es-ES_tradnl"/>
        </w:rPr>
        <w:t xml:space="preserve"> su</w:t>
      </w:r>
      <w:r w:rsidR="00430E8F" w:rsidRPr="00DC03F7">
        <w:rPr>
          <w:rFonts w:ascii="Times New Roman" w:eastAsia="Times New Roman" w:hAnsi="Times New Roman" w:cs="Times New Roman"/>
          <w:sz w:val="21"/>
          <w:szCs w:val="21"/>
          <w:lang w:val="es-ES" w:eastAsia="es-ES_tradnl"/>
        </w:rPr>
        <w:t xml:space="preserve"> explotación.</w:t>
      </w:r>
      <w:r w:rsidR="005928F5" w:rsidRPr="00DC03F7">
        <w:rPr>
          <w:rFonts w:ascii="Times New Roman" w:eastAsia="Times New Roman" w:hAnsi="Times New Roman" w:cs="Times New Roman"/>
          <w:sz w:val="21"/>
          <w:szCs w:val="21"/>
          <w:lang w:val="es-ES" w:eastAsia="es-ES_tradnl"/>
        </w:rPr>
        <w:t xml:space="preserve"> Es importante que </w:t>
      </w:r>
      <w:r w:rsidR="00863B37" w:rsidRPr="00DC03F7">
        <w:rPr>
          <w:rFonts w:ascii="Times New Roman" w:eastAsia="Times New Roman" w:hAnsi="Times New Roman" w:cs="Times New Roman"/>
          <w:sz w:val="21"/>
          <w:szCs w:val="21"/>
          <w:lang w:val="es-ES" w:eastAsia="es-ES_tradnl"/>
        </w:rPr>
        <w:t xml:space="preserve">la </w:t>
      </w:r>
      <w:r w:rsidR="00DB4762" w:rsidRPr="00DC03F7">
        <w:rPr>
          <w:rFonts w:ascii="Times New Roman" w:eastAsia="Times New Roman" w:hAnsi="Times New Roman" w:cs="Times New Roman"/>
          <w:sz w:val="21"/>
          <w:szCs w:val="21"/>
          <w:lang w:val="es-ES" w:eastAsia="es-ES_tradnl"/>
        </w:rPr>
        <w:t xml:space="preserve">aplicación </w:t>
      </w:r>
      <w:r w:rsidR="00863B37" w:rsidRPr="00DC03F7">
        <w:rPr>
          <w:rFonts w:ascii="Times New Roman" w:eastAsia="Times New Roman" w:hAnsi="Times New Roman" w:cs="Times New Roman"/>
          <w:sz w:val="21"/>
          <w:szCs w:val="21"/>
          <w:lang w:val="es-ES" w:eastAsia="es-ES_tradnl"/>
        </w:rPr>
        <w:t>de est</w:t>
      </w:r>
      <w:r w:rsidR="00DB4762" w:rsidRPr="00DC03F7">
        <w:rPr>
          <w:rFonts w:ascii="Times New Roman" w:eastAsia="Times New Roman" w:hAnsi="Times New Roman" w:cs="Times New Roman"/>
          <w:sz w:val="21"/>
          <w:szCs w:val="21"/>
          <w:lang w:val="es-ES" w:eastAsia="es-ES_tradnl"/>
        </w:rPr>
        <w:t>e</w:t>
      </w:r>
      <w:r w:rsidR="00863B37" w:rsidRPr="00DC03F7">
        <w:rPr>
          <w:rFonts w:ascii="Times New Roman" w:eastAsia="Times New Roman" w:hAnsi="Times New Roman" w:cs="Times New Roman"/>
          <w:sz w:val="21"/>
          <w:szCs w:val="21"/>
          <w:lang w:val="es-ES" w:eastAsia="es-ES_tradnl"/>
        </w:rPr>
        <w:t xml:space="preserve"> </w:t>
      </w:r>
      <w:r w:rsidR="00DB4762" w:rsidRPr="00DC03F7">
        <w:rPr>
          <w:rFonts w:ascii="Times New Roman" w:eastAsia="Times New Roman" w:hAnsi="Times New Roman" w:cs="Times New Roman"/>
          <w:sz w:val="21"/>
          <w:szCs w:val="21"/>
          <w:lang w:val="es-ES" w:eastAsia="es-ES_tradnl"/>
        </w:rPr>
        <w:t xml:space="preserve">principio se </w:t>
      </w:r>
      <w:r w:rsidR="00863B37" w:rsidRPr="00DC03F7">
        <w:rPr>
          <w:rFonts w:ascii="Times New Roman" w:eastAsia="Times New Roman" w:hAnsi="Times New Roman" w:cs="Times New Roman"/>
          <w:sz w:val="21"/>
          <w:szCs w:val="21"/>
          <w:lang w:val="es-ES" w:eastAsia="es-ES_tradnl"/>
        </w:rPr>
        <w:t>reali</w:t>
      </w:r>
      <w:r w:rsidR="00DB4762" w:rsidRPr="00DC03F7">
        <w:rPr>
          <w:rFonts w:ascii="Times New Roman" w:eastAsia="Times New Roman" w:hAnsi="Times New Roman" w:cs="Times New Roman"/>
          <w:sz w:val="21"/>
          <w:szCs w:val="21"/>
          <w:lang w:val="es-ES" w:eastAsia="es-ES_tradnl"/>
        </w:rPr>
        <w:t>c</w:t>
      </w:r>
      <w:r w:rsidR="00863B37" w:rsidRPr="00DC03F7">
        <w:rPr>
          <w:rFonts w:ascii="Times New Roman" w:eastAsia="Times New Roman" w:hAnsi="Times New Roman" w:cs="Times New Roman"/>
          <w:sz w:val="21"/>
          <w:szCs w:val="21"/>
          <w:lang w:val="es-ES" w:eastAsia="es-ES_tradnl"/>
        </w:rPr>
        <w:t xml:space="preserve">e desde una perspectiva de género </w:t>
      </w:r>
      <w:r w:rsidR="00FE1904" w:rsidRPr="00DC03F7">
        <w:rPr>
          <w:rFonts w:ascii="Times New Roman" w:eastAsia="Times New Roman" w:hAnsi="Times New Roman" w:cs="Times New Roman"/>
          <w:sz w:val="21"/>
          <w:szCs w:val="21"/>
          <w:lang w:val="es-ES" w:eastAsia="es-ES_tradnl"/>
        </w:rPr>
        <w:t xml:space="preserve">e </w:t>
      </w:r>
      <w:r w:rsidR="00863B37" w:rsidRPr="00DC03F7">
        <w:rPr>
          <w:rFonts w:ascii="Times New Roman" w:eastAsia="Times New Roman" w:hAnsi="Times New Roman" w:cs="Times New Roman"/>
          <w:sz w:val="21"/>
          <w:szCs w:val="21"/>
          <w:lang w:val="es-ES" w:eastAsia="es-ES_tradnl"/>
        </w:rPr>
        <w:t xml:space="preserve">interseccional para </w:t>
      </w:r>
      <w:r w:rsidR="009A57C4" w:rsidRPr="00DC03F7">
        <w:rPr>
          <w:rFonts w:ascii="Times New Roman" w:eastAsia="Times New Roman" w:hAnsi="Times New Roman" w:cs="Times New Roman"/>
          <w:sz w:val="21"/>
          <w:szCs w:val="21"/>
          <w:lang w:val="es-ES" w:eastAsia="es-ES_tradnl"/>
        </w:rPr>
        <w:t xml:space="preserve">que sea </w:t>
      </w:r>
      <w:r w:rsidR="00863B37" w:rsidRPr="00DC03F7">
        <w:rPr>
          <w:rFonts w:ascii="Times New Roman" w:eastAsia="Times New Roman" w:hAnsi="Times New Roman" w:cs="Times New Roman"/>
          <w:sz w:val="21"/>
          <w:szCs w:val="21"/>
          <w:lang w:val="es-ES" w:eastAsia="es-ES_tradnl"/>
        </w:rPr>
        <w:t>efectivo.</w:t>
      </w:r>
    </w:p>
    <w:p w14:paraId="59CE4856" w14:textId="77777777" w:rsidR="001A3A22" w:rsidRPr="00DC03F7" w:rsidRDefault="001A3A22" w:rsidP="001A3A22">
      <w:pPr>
        <w:pStyle w:val="ListParagraph"/>
        <w:spacing w:line="276" w:lineRule="auto"/>
        <w:ind w:left="0"/>
        <w:jc w:val="both"/>
        <w:rPr>
          <w:rFonts w:ascii="Times New Roman" w:eastAsia="Times New Roman" w:hAnsi="Times New Roman" w:cs="Times New Roman"/>
          <w:sz w:val="21"/>
          <w:szCs w:val="21"/>
          <w:lang w:val="es-ES" w:eastAsia="es-ES_tradnl"/>
        </w:rPr>
      </w:pPr>
    </w:p>
    <w:p w14:paraId="59B9F93C" w14:textId="4D997B54" w:rsidR="005A03AB" w:rsidRPr="00DC03F7" w:rsidRDefault="001A3A22" w:rsidP="005A03AB">
      <w:pPr>
        <w:pStyle w:val="ListParagraph"/>
        <w:numPr>
          <w:ilvl w:val="0"/>
          <w:numId w:val="9"/>
        </w:numPr>
        <w:spacing w:line="276" w:lineRule="auto"/>
        <w:ind w:left="0"/>
        <w:jc w:val="both"/>
        <w:rPr>
          <w:rFonts w:ascii="Times New Roman" w:eastAsia="Times New Roman" w:hAnsi="Times New Roman" w:cs="Times New Roman"/>
          <w:sz w:val="21"/>
          <w:szCs w:val="21"/>
          <w:lang w:val="es-ES" w:eastAsia="es-ES_tradnl"/>
        </w:rPr>
      </w:pPr>
      <w:r w:rsidRPr="00DC03F7">
        <w:rPr>
          <w:rFonts w:ascii="Times New Roman" w:hAnsi="Times New Roman" w:cs="Times New Roman"/>
          <w:sz w:val="21"/>
          <w:szCs w:val="21"/>
          <w:lang w:val="es-CL"/>
        </w:rPr>
        <w:t>Los órganos internacionales, incluido el Grupo de Trabajo sobre la trata de personas</w:t>
      </w:r>
      <w:r w:rsidR="00447340" w:rsidRPr="00DC03F7">
        <w:rPr>
          <w:rFonts w:ascii="Times New Roman" w:hAnsi="Times New Roman" w:cs="Times New Roman"/>
          <w:sz w:val="21"/>
          <w:szCs w:val="21"/>
          <w:lang w:val="es-CL"/>
        </w:rPr>
        <w:t xml:space="preserve"> establecido por </w:t>
      </w:r>
      <w:r w:rsidR="00B32CDE" w:rsidRPr="00DC03F7">
        <w:rPr>
          <w:rFonts w:ascii="Times New Roman" w:hAnsi="Times New Roman" w:cs="Times New Roman"/>
          <w:sz w:val="21"/>
          <w:szCs w:val="21"/>
          <w:lang w:val="es-CL"/>
        </w:rPr>
        <w:t>la Conferencia de Estados Partes en la Convención de las Naciones Unidas contra la Delincuencia Organizada Transnacional</w:t>
      </w:r>
      <w:r w:rsidRPr="00DC03F7">
        <w:rPr>
          <w:rFonts w:ascii="Times New Roman" w:hAnsi="Times New Roman" w:cs="Times New Roman"/>
          <w:sz w:val="21"/>
          <w:szCs w:val="21"/>
          <w:lang w:val="es-CL"/>
        </w:rPr>
        <w:t>, han confirmado que este principio de no sancionar</w:t>
      </w:r>
      <w:r w:rsidR="0068513B" w:rsidRPr="00DC03F7">
        <w:rPr>
          <w:rFonts w:ascii="Times New Roman" w:hAnsi="Times New Roman" w:cs="Times New Roman"/>
          <w:sz w:val="21"/>
          <w:szCs w:val="21"/>
          <w:lang w:val="es-CL"/>
        </w:rPr>
        <w:t xml:space="preserve"> penal o administrativamente</w:t>
      </w:r>
      <w:r w:rsidRPr="00DC03F7">
        <w:rPr>
          <w:rFonts w:ascii="Times New Roman" w:hAnsi="Times New Roman" w:cs="Times New Roman"/>
          <w:sz w:val="21"/>
          <w:szCs w:val="21"/>
          <w:lang w:val="es-CL"/>
        </w:rPr>
        <w:t xml:space="preserve"> ni enjuiciar a las víctimas de trata de personas es la norma jurídica internacional pertinente</w:t>
      </w:r>
      <w:r w:rsidR="00871694" w:rsidRPr="00DC03F7">
        <w:rPr>
          <w:rFonts w:ascii="Times New Roman" w:hAnsi="Times New Roman" w:cs="Times New Roman"/>
          <w:sz w:val="21"/>
          <w:szCs w:val="21"/>
          <w:lang w:val="es-CL"/>
        </w:rPr>
        <w:t xml:space="preserve"> y aplicable</w:t>
      </w:r>
      <w:r w:rsidRPr="00DC03F7">
        <w:rPr>
          <w:rStyle w:val="FootnoteReference"/>
          <w:rFonts w:ascii="Times New Roman" w:hAnsi="Times New Roman" w:cs="Times New Roman"/>
          <w:sz w:val="21"/>
          <w:szCs w:val="21"/>
          <w:lang w:val="es-CL"/>
        </w:rPr>
        <w:footnoteReference w:id="42"/>
      </w:r>
      <w:r w:rsidRPr="00DC03F7">
        <w:rPr>
          <w:rFonts w:ascii="Times New Roman" w:hAnsi="Times New Roman" w:cs="Times New Roman"/>
          <w:sz w:val="21"/>
          <w:szCs w:val="21"/>
          <w:lang w:val="es-CL"/>
        </w:rPr>
        <w:t xml:space="preserve">. Los Principios y Directrices recomendados sobre los derechos humanos y la trata de personas también prevén que las víctimas de trata de personas </w:t>
      </w:r>
      <w:r w:rsidR="00D65DFD">
        <w:rPr>
          <w:rFonts w:ascii="Times New Roman" w:hAnsi="Times New Roman" w:cs="Times New Roman"/>
          <w:sz w:val="21"/>
          <w:szCs w:val="21"/>
          <w:lang w:val="es-CL"/>
        </w:rPr>
        <w:t>“</w:t>
      </w:r>
      <w:r w:rsidRPr="00DC03F7">
        <w:rPr>
          <w:rFonts w:ascii="Times New Roman" w:hAnsi="Times New Roman" w:cs="Times New Roman"/>
          <w:sz w:val="21"/>
          <w:szCs w:val="21"/>
          <w:lang w:val="es-CL"/>
        </w:rPr>
        <w:t xml:space="preserve">no </w:t>
      </w:r>
      <w:r w:rsidR="00871694" w:rsidRPr="00DC03F7">
        <w:rPr>
          <w:rFonts w:ascii="Times New Roman" w:hAnsi="Times New Roman" w:cs="Times New Roman"/>
          <w:sz w:val="21"/>
          <w:szCs w:val="21"/>
          <w:lang w:val="es-CL"/>
        </w:rPr>
        <w:t xml:space="preserve">deben ser </w:t>
      </w:r>
      <w:r w:rsidRPr="00DC03F7">
        <w:rPr>
          <w:rFonts w:ascii="Times New Roman" w:hAnsi="Times New Roman" w:cs="Times New Roman"/>
          <w:sz w:val="21"/>
          <w:szCs w:val="21"/>
          <w:lang w:val="es-CL"/>
        </w:rPr>
        <w:t xml:space="preserve">detenidas, acusadas y procesadas por haber entrado o residir </w:t>
      </w:r>
      <w:r w:rsidR="007E3095" w:rsidRPr="00DC03F7">
        <w:rPr>
          <w:rFonts w:ascii="Times New Roman" w:hAnsi="Times New Roman" w:cs="Times New Roman"/>
          <w:sz w:val="21"/>
          <w:szCs w:val="21"/>
          <w:lang w:val="es-CL"/>
        </w:rPr>
        <w:t>de forma irregular</w:t>
      </w:r>
      <w:r w:rsidRPr="00DC03F7">
        <w:rPr>
          <w:rFonts w:ascii="Times New Roman" w:hAnsi="Times New Roman" w:cs="Times New Roman"/>
          <w:sz w:val="21"/>
          <w:szCs w:val="21"/>
          <w:lang w:val="es-CL"/>
        </w:rPr>
        <w:t xml:space="preserve"> en los países de tránsito y destino</w:t>
      </w:r>
      <w:r w:rsidR="00871694" w:rsidRPr="00DC03F7">
        <w:rPr>
          <w:rFonts w:ascii="Times New Roman" w:hAnsi="Times New Roman" w:cs="Times New Roman"/>
          <w:sz w:val="21"/>
          <w:szCs w:val="21"/>
          <w:lang w:val="es-CL"/>
        </w:rPr>
        <w:t>,</w:t>
      </w:r>
      <w:r w:rsidRPr="00DC03F7">
        <w:rPr>
          <w:rFonts w:ascii="Times New Roman" w:hAnsi="Times New Roman" w:cs="Times New Roman"/>
          <w:sz w:val="21"/>
          <w:szCs w:val="21"/>
          <w:lang w:val="es-CL"/>
        </w:rPr>
        <w:t xml:space="preserve"> ni por haber participado en actividades ilícitas en la medida en que esa participación sea consecuencia directa de su situación de tales</w:t>
      </w:r>
      <w:r w:rsidR="00D65DFD">
        <w:rPr>
          <w:rFonts w:ascii="Times New Roman" w:hAnsi="Times New Roman" w:cs="Times New Roman"/>
          <w:sz w:val="21"/>
          <w:szCs w:val="21"/>
          <w:lang w:val="es-CL"/>
        </w:rPr>
        <w:t>”</w:t>
      </w:r>
      <w:r w:rsidRPr="00DC03F7">
        <w:rPr>
          <w:rStyle w:val="FootnoteReference"/>
          <w:rFonts w:ascii="Times New Roman" w:hAnsi="Times New Roman" w:cs="Times New Roman"/>
          <w:sz w:val="21"/>
          <w:szCs w:val="21"/>
          <w:lang w:val="es-CL"/>
        </w:rPr>
        <w:footnoteReference w:id="43"/>
      </w:r>
      <w:r w:rsidRPr="00DC03F7">
        <w:rPr>
          <w:rFonts w:ascii="Times New Roman" w:hAnsi="Times New Roman" w:cs="Times New Roman"/>
          <w:sz w:val="21"/>
          <w:szCs w:val="21"/>
          <w:lang w:val="es-CL"/>
        </w:rPr>
        <w:t>. Tanto el Consejo de Derechos Humanos</w:t>
      </w:r>
      <w:r w:rsidRPr="00DC03F7">
        <w:rPr>
          <w:rStyle w:val="FootnoteReference"/>
          <w:rFonts w:ascii="Times New Roman" w:hAnsi="Times New Roman" w:cs="Times New Roman"/>
          <w:sz w:val="21"/>
          <w:szCs w:val="21"/>
          <w:lang w:val="es-CL"/>
        </w:rPr>
        <w:footnoteReference w:id="44"/>
      </w:r>
      <w:r w:rsidRPr="00DC03F7">
        <w:rPr>
          <w:rFonts w:ascii="Times New Roman" w:hAnsi="Times New Roman" w:cs="Times New Roman"/>
          <w:sz w:val="21"/>
          <w:szCs w:val="21"/>
          <w:lang w:val="es-CL"/>
        </w:rPr>
        <w:t xml:space="preserve"> como la Asamblea General</w:t>
      </w:r>
      <w:r w:rsidR="007E3095" w:rsidRPr="00DC03F7">
        <w:rPr>
          <w:rFonts w:ascii="Times New Roman" w:hAnsi="Times New Roman" w:cs="Times New Roman"/>
          <w:sz w:val="21"/>
          <w:szCs w:val="21"/>
          <w:lang w:val="es-CL"/>
        </w:rPr>
        <w:t xml:space="preserve"> de las Naciones Unidas</w:t>
      </w:r>
      <w:r w:rsidRPr="00DC03F7">
        <w:rPr>
          <w:rStyle w:val="FootnoteReference"/>
          <w:rFonts w:ascii="Times New Roman" w:hAnsi="Times New Roman" w:cs="Times New Roman"/>
          <w:sz w:val="21"/>
          <w:szCs w:val="21"/>
          <w:lang w:val="es-CL"/>
        </w:rPr>
        <w:footnoteReference w:id="45"/>
      </w:r>
      <w:r w:rsidRPr="00DC03F7">
        <w:rPr>
          <w:rFonts w:ascii="Times New Roman" w:hAnsi="Times New Roman" w:cs="Times New Roman"/>
          <w:sz w:val="21"/>
          <w:szCs w:val="21"/>
          <w:lang w:val="es-CL"/>
        </w:rPr>
        <w:t xml:space="preserve"> han formulado recomendaciones análogas, al igual que los órganos e instrumentos regionales</w:t>
      </w:r>
      <w:r w:rsidR="001C18FE">
        <w:rPr>
          <w:rFonts w:ascii="Times New Roman" w:hAnsi="Times New Roman" w:cs="Times New Roman"/>
          <w:sz w:val="21"/>
          <w:szCs w:val="21"/>
          <w:lang w:val="es-CL"/>
        </w:rPr>
        <w:t xml:space="preserve"> ya</w:t>
      </w:r>
      <w:r w:rsidRPr="00DC03F7">
        <w:rPr>
          <w:rFonts w:ascii="Times New Roman" w:hAnsi="Times New Roman" w:cs="Times New Roman"/>
          <w:sz w:val="21"/>
          <w:szCs w:val="21"/>
          <w:lang w:val="es-CL"/>
        </w:rPr>
        <w:t xml:space="preserve"> reseñado</w:t>
      </w:r>
      <w:r w:rsidR="001C18FE">
        <w:rPr>
          <w:rFonts w:ascii="Times New Roman" w:hAnsi="Times New Roman" w:cs="Times New Roman"/>
          <w:sz w:val="21"/>
          <w:szCs w:val="21"/>
          <w:lang w:val="es-CL"/>
        </w:rPr>
        <w:t>s</w:t>
      </w:r>
      <w:r w:rsidRPr="00DC03F7">
        <w:rPr>
          <w:rFonts w:ascii="Times New Roman" w:hAnsi="Times New Roman" w:cs="Times New Roman"/>
          <w:sz w:val="21"/>
          <w:szCs w:val="21"/>
          <w:lang w:val="es-CL"/>
        </w:rPr>
        <w:t xml:space="preserve"> </w:t>
      </w:r>
      <w:r w:rsidRPr="00DC03F7">
        <w:rPr>
          <w:rStyle w:val="FootnoteReference"/>
          <w:rFonts w:ascii="Times New Roman" w:hAnsi="Times New Roman" w:cs="Times New Roman"/>
          <w:sz w:val="21"/>
          <w:szCs w:val="21"/>
          <w:lang w:val="es-CL"/>
        </w:rPr>
        <w:footnoteReference w:id="46"/>
      </w:r>
      <w:r w:rsidRPr="00DC03F7">
        <w:rPr>
          <w:rFonts w:ascii="Times New Roman" w:hAnsi="Times New Roman" w:cs="Times New Roman"/>
          <w:sz w:val="21"/>
          <w:szCs w:val="21"/>
          <w:lang w:val="es-CL"/>
        </w:rPr>
        <w:t xml:space="preserve">. </w:t>
      </w:r>
    </w:p>
    <w:p w14:paraId="4E9B6583" w14:textId="77777777" w:rsidR="005A03AB" w:rsidRPr="00DC03F7" w:rsidRDefault="005A03AB" w:rsidP="005A03AB">
      <w:pPr>
        <w:pStyle w:val="ListParagraph"/>
        <w:rPr>
          <w:rFonts w:ascii="Times New Roman" w:hAnsi="Times New Roman" w:cs="Times New Roman"/>
          <w:sz w:val="21"/>
          <w:szCs w:val="21"/>
          <w:lang w:val="es-CL"/>
        </w:rPr>
      </w:pPr>
    </w:p>
    <w:p w14:paraId="3A922FF3" w14:textId="4371DFD5" w:rsidR="00597617" w:rsidRPr="00DC03F7" w:rsidRDefault="005A03AB" w:rsidP="00741DDF">
      <w:pPr>
        <w:pStyle w:val="ListParagraph"/>
        <w:numPr>
          <w:ilvl w:val="0"/>
          <w:numId w:val="9"/>
        </w:numPr>
        <w:spacing w:line="276" w:lineRule="auto"/>
        <w:ind w:left="0"/>
        <w:jc w:val="both"/>
        <w:rPr>
          <w:rFonts w:ascii="Times New Roman" w:eastAsia="Times New Roman" w:hAnsi="Times New Roman" w:cs="Times New Roman"/>
          <w:sz w:val="21"/>
          <w:szCs w:val="21"/>
          <w:lang w:val="es-ES" w:eastAsia="es-ES_tradnl"/>
        </w:rPr>
      </w:pPr>
      <w:r w:rsidRPr="00DC03F7">
        <w:rPr>
          <w:rFonts w:ascii="Times New Roman" w:hAnsi="Times New Roman" w:cs="Times New Roman"/>
          <w:sz w:val="21"/>
          <w:szCs w:val="21"/>
          <w:lang w:val="es-CL"/>
        </w:rPr>
        <w:t xml:space="preserve">La Oficina del Alto Comisionado de las Naciones Unidas para los </w:t>
      </w:r>
      <w:r w:rsidR="00064A35">
        <w:rPr>
          <w:rFonts w:ascii="Times New Roman" w:hAnsi="Times New Roman" w:cs="Times New Roman"/>
          <w:sz w:val="21"/>
          <w:szCs w:val="21"/>
          <w:lang w:val="es-CL"/>
        </w:rPr>
        <w:t>D</w:t>
      </w:r>
      <w:r w:rsidRPr="00DC03F7">
        <w:rPr>
          <w:rFonts w:ascii="Times New Roman" w:hAnsi="Times New Roman" w:cs="Times New Roman"/>
          <w:sz w:val="21"/>
          <w:szCs w:val="21"/>
          <w:lang w:val="es-CL"/>
        </w:rPr>
        <w:t xml:space="preserve">erechos </w:t>
      </w:r>
      <w:r w:rsidR="00064A35">
        <w:rPr>
          <w:rFonts w:ascii="Times New Roman" w:hAnsi="Times New Roman" w:cs="Times New Roman"/>
          <w:sz w:val="21"/>
          <w:szCs w:val="21"/>
          <w:lang w:val="es-CL"/>
        </w:rPr>
        <w:t>H</w:t>
      </w:r>
      <w:r w:rsidRPr="00DC03F7">
        <w:rPr>
          <w:rFonts w:ascii="Times New Roman" w:hAnsi="Times New Roman" w:cs="Times New Roman"/>
          <w:sz w:val="21"/>
          <w:szCs w:val="21"/>
          <w:lang w:val="es-CL"/>
        </w:rPr>
        <w:t>umanos ha reconocido que</w:t>
      </w:r>
      <w:r w:rsidR="002A72F5" w:rsidRPr="00DC03F7">
        <w:rPr>
          <w:rFonts w:ascii="Times New Roman" w:hAnsi="Times New Roman" w:cs="Times New Roman"/>
          <w:sz w:val="21"/>
          <w:szCs w:val="21"/>
          <w:lang w:val="es-CL"/>
        </w:rPr>
        <w:t xml:space="preserve"> la</w:t>
      </w:r>
      <w:r w:rsidRPr="00DC03F7">
        <w:rPr>
          <w:rFonts w:ascii="Times New Roman" w:hAnsi="Times New Roman" w:cs="Times New Roman"/>
          <w:sz w:val="21"/>
          <w:szCs w:val="21"/>
          <w:lang w:val="es-CL"/>
        </w:rPr>
        <w:t xml:space="preserve"> </w:t>
      </w:r>
      <w:r w:rsidR="007353D1" w:rsidRPr="00DC03F7">
        <w:rPr>
          <w:rFonts w:ascii="Times New Roman" w:hAnsi="Times New Roman" w:cs="Times New Roman"/>
          <w:sz w:val="21"/>
          <w:szCs w:val="21"/>
          <w:lang w:val="es-CL"/>
        </w:rPr>
        <w:t xml:space="preserve">penalización de las víctimas de trata </w:t>
      </w:r>
      <w:r w:rsidR="00E44743" w:rsidRPr="00DC03F7">
        <w:rPr>
          <w:rFonts w:ascii="Times New Roman" w:hAnsi="Times New Roman" w:cs="Times New Roman"/>
          <w:sz w:val="21"/>
          <w:szCs w:val="21"/>
          <w:lang w:val="es-CL"/>
        </w:rPr>
        <w:t xml:space="preserve">es </w:t>
      </w:r>
      <w:r w:rsidR="007353D1" w:rsidRPr="00DC03F7">
        <w:rPr>
          <w:rFonts w:ascii="Times New Roman" w:hAnsi="Times New Roman" w:cs="Times New Roman"/>
          <w:sz w:val="21"/>
          <w:szCs w:val="21"/>
          <w:lang w:val="es-CL"/>
        </w:rPr>
        <w:t>muy generalizada</w:t>
      </w:r>
      <w:r w:rsidR="00E44743" w:rsidRPr="00DC03F7">
        <w:rPr>
          <w:rFonts w:ascii="Times New Roman" w:hAnsi="Times New Roman" w:cs="Times New Roman"/>
          <w:sz w:val="21"/>
          <w:szCs w:val="21"/>
          <w:lang w:val="es-CL"/>
        </w:rPr>
        <w:t xml:space="preserve"> y</w:t>
      </w:r>
      <w:r w:rsidR="007353D1" w:rsidRPr="00DC03F7">
        <w:rPr>
          <w:rFonts w:ascii="Times New Roman" w:hAnsi="Times New Roman" w:cs="Times New Roman"/>
          <w:b/>
          <w:sz w:val="21"/>
          <w:szCs w:val="21"/>
          <w:lang w:val="es-CL"/>
        </w:rPr>
        <w:t xml:space="preserve"> </w:t>
      </w:r>
      <w:r w:rsidR="007353D1" w:rsidRPr="00DC03F7">
        <w:rPr>
          <w:rFonts w:ascii="Times New Roman" w:hAnsi="Times New Roman" w:cs="Times New Roman"/>
          <w:sz w:val="21"/>
          <w:szCs w:val="21"/>
          <w:lang w:val="es-CL"/>
        </w:rPr>
        <w:t>va ligada</w:t>
      </w:r>
      <w:r w:rsidRPr="00DC03F7">
        <w:rPr>
          <w:rFonts w:ascii="Times New Roman" w:hAnsi="Times New Roman" w:cs="Times New Roman"/>
          <w:sz w:val="21"/>
          <w:szCs w:val="21"/>
          <w:lang w:val="es-CL"/>
        </w:rPr>
        <w:t xml:space="preserve"> o es consecuenica de </w:t>
      </w:r>
      <w:r w:rsidR="008A71B9" w:rsidRPr="00DC03F7">
        <w:rPr>
          <w:rFonts w:ascii="Times New Roman" w:hAnsi="Times New Roman" w:cs="Times New Roman"/>
          <w:sz w:val="21"/>
          <w:szCs w:val="21"/>
          <w:lang w:val="es-CL"/>
        </w:rPr>
        <w:t>la</w:t>
      </w:r>
      <w:r w:rsidR="008428B7" w:rsidRPr="00DC03F7">
        <w:rPr>
          <w:rFonts w:ascii="Times New Roman" w:hAnsi="Times New Roman" w:cs="Times New Roman"/>
          <w:sz w:val="21"/>
          <w:szCs w:val="21"/>
          <w:lang w:val="es-CL"/>
        </w:rPr>
        <w:t xml:space="preserve"> nula</w:t>
      </w:r>
      <w:r w:rsidR="00871694" w:rsidRPr="00DC03F7">
        <w:rPr>
          <w:rFonts w:ascii="Times New Roman" w:hAnsi="Times New Roman" w:cs="Times New Roman"/>
          <w:sz w:val="21"/>
          <w:szCs w:val="21"/>
          <w:lang w:val="es-CL"/>
        </w:rPr>
        <w:t xml:space="preserve"> o</w:t>
      </w:r>
      <w:r w:rsidR="007353D1" w:rsidRPr="00DC03F7">
        <w:rPr>
          <w:rFonts w:ascii="Times New Roman" w:hAnsi="Times New Roman" w:cs="Times New Roman"/>
          <w:sz w:val="21"/>
          <w:szCs w:val="21"/>
          <w:lang w:val="es-CL"/>
        </w:rPr>
        <w:t xml:space="preserve"> indebida</w:t>
      </w:r>
      <w:r w:rsidR="008428B7" w:rsidRPr="00DC03F7">
        <w:rPr>
          <w:rFonts w:ascii="Times New Roman" w:hAnsi="Times New Roman" w:cs="Times New Roman"/>
          <w:sz w:val="21"/>
          <w:szCs w:val="21"/>
          <w:lang w:val="es-CL"/>
        </w:rPr>
        <w:t xml:space="preserve"> </w:t>
      </w:r>
      <w:r w:rsidR="007353D1" w:rsidRPr="00DC03F7">
        <w:rPr>
          <w:rFonts w:ascii="Times New Roman" w:hAnsi="Times New Roman" w:cs="Times New Roman"/>
          <w:sz w:val="21"/>
          <w:szCs w:val="21"/>
          <w:lang w:val="es-CL"/>
        </w:rPr>
        <w:t>identificación de la</w:t>
      </w:r>
      <w:r w:rsidR="00107582" w:rsidRPr="00DC03F7">
        <w:rPr>
          <w:rFonts w:ascii="Times New Roman" w:hAnsi="Times New Roman" w:cs="Times New Roman"/>
          <w:sz w:val="21"/>
          <w:szCs w:val="21"/>
          <w:lang w:val="es-CL"/>
        </w:rPr>
        <w:t>s</w:t>
      </w:r>
      <w:r w:rsidR="007353D1" w:rsidRPr="00DC03F7">
        <w:rPr>
          <w:rFonts w:ascii="Times New Roman" w:hAnsi="Times New Roman" w:cs="Times New Roman"/>
          <w:sz w:val="21"/>
          <w:szCs w:val="21"/>
          <w:lang w:val="es-CL"/>
        </w:rPr>
        <w:t xml:space="preserve"> víctima</w:t>
      </w:r>
      <w:r w:rsidR="00107582" w:rsidRPr="00DC03F7">
        <w:rPr>
          <w:rFonts w:ascii="Times New Roman" w:hAnsi="Times New Roman" w:cs="Times New Roman"/>
          <w:sz w:val="21"/>
          <w:szCs w:val="21"/>
          <w:lang w:val="es-CL"/>
        </w:rPr>
        <w:t>s</w:t>
      </w:r>
      <w:r w:rsidR="00871694" w:rsidRPr="00DC03F7">
        <w:rPr>
          <w:rFonts w:ascii="Times New Roman" w:hAnsi="Times New Roman" w:cs="Times New Roman"/>
          <w:sz w:val="21"/>
          <w:szCs w:val="21"/>
          <w:lang w:val="es-CL"/>
        </w:rPr>
        <w:t xml:space="preserve"> por parte del Estado</w:t>
      </w:r>
      <w:r w:rsidR="00BF123A" w:rsidRPr="00DC03F7">
        <w:rPr>
          <w:rFonts w:ascii="Times New Roman" w:hAnsi="Times New Roman" w:cs="Times New Roman"/>
          <w:sz w:val="21"/>
          <w:szCs w:val="21"/>
          <w:lang w:val="es-CL"/>
        </w:rPr>
        <w:t xml:space="preserve"> (</w:t>
      </w:r>
      <w:r w:rsidR="00BF123A" w:rsidRPr="00DC03F7">
        <w:rPr>
          <w:rFonts w:ascii="Times New Roman" w:eastAsia="Times New Roman" w:hAnsi="Times New Roman" w:cs="Times New Roman"/>
          <w:b/>
          <w:sz w:val="21"/>
          <w:szCs w:val="21"/>
          <w:lang w:val="es-ES" w:eastAsia="es-ES_tradnl"/>
        </w:rPr>
        <w:t xml:space="preserve">ver </w:t>
      </w:r>
      <w:hyperlink r:id="rId22" w:history="1">
        <w:r w:rsidR="005A5718" w:rsidRPr="00FA2322">
          <w:rPr>
            <w:rStyle w:val="Hyperlink"/>
            <w:rFonts w:ascii="Times New Roman" w:eastAsia="Times New Roman" w:hAnsi="Times New Roman" w:cs="Times New Roman"/>
            <w:b/>
            <w:sz w:val="21"/>
            <w:szCs w:val="21"/>
            <w:lang w:val="es-ES" w:eastAsia="es-ES_tradnl"/>
          </w:rPr>
          <w:t>C</w:t>
        </w:r>
        <w:r w:rsidR="00BF123A" w:rsidRPr="00FA2322">
          <w:rPr>
            <w:rStyle w:val="Hyperlink"/>
            <w:rFonts w:ascii="Times New Roman" w:eastAsia="Times New Roman" w:hAnsi="Times New Roman" w:cs="Times New Roman"/>
            <w:b/>
            <w:sz w:val="21"/>
            <w:szCs w:val="21"/>
            <w:lang w:val="es-ES" w:eastAsia="es-ES_tradnl"/>
          </w:rPr>
          <w:t xml:space="preserve">aso </w:t>
        </w:r>
        <w:r w:rsidR="005A5718" w:rsidRPr="00FA2322">
          <w:rPr>
            <w:rStyle w:val="Hyperlink"/>
            <w:rFonts w:ascii="Times New Roman" w:eastAsia="Times New Roman" w:hAnsi="Times New Roman" w:cs="Times New Roman"/>
            <w:b/>
            <w:sz w:val="21"/>
            <w:szCs w:val="21"/>
            <w:lang w:val="es-ES" w:eastAsia="es-ES_tradnl"/>
          </w:rPr>
          <w:t xml:space="preserve">4 </w:t>
        </w:r>
        <w:r w:rsidR="00064A35" w:rsidRPr="00FA2322">
          <w:rPr>
            <w:rStyle w:val="Hyperlink"/>
            <w:rFonts w:ascii="Times New Roman" w:eastAsia="Times New Roman" w:hAnsi="Times New Roman" w:cs="Times New Roman"/>
            <w:b/>
            <w:sz w:val="21"/>
            <w:szCs w:val="21"/>
            <w:lang w:val="es-ES" w:eastAsia="es-ES_tradnl"/>
          </w:rPr>
          <w:t>–</w:t>
        </w:r>
        <w:r w:rsidR="005A5718" w:rsidRPr="00FA2322">
          <w:rPr>
            <w:rStyle w:val="Hyperlink"/>
            <w:rFonts w:ascii="Times New Roman" w:eastAsia="Times New Roman" w:hAnsi="Times New Roman" w:cs="Times New Roman"/>
            <w:b/>
            <w:sz w:val="21"/>
            <w:szCs w:val="21"/>
            <w:lang w:val="es-ES" w:eastAsia="es-ES_tradnl"/>
          </w:rPr>
          <w:t xml:space="preserve"> </w:t>
        </w:r>
        <w:r w:rsidR="00BF123A" w:rsidRPr="00FA2322">
          <w:rPr>
            <w:rStyle w:val="Hyperlink"/>
            <w:rFonts w:ascii="Times New Roman" w:eastAsia="Times New Roman" w:hAnsi="Times New Roman" w:cs="Times New Roman"/>
            <w:b/>
            <w:sz w:val="21"/>
            <w:szCs w:val="21"/>
            <w:lang w:val="es-ES" w:eastAsia="es-ES_tradnl"/>
          </w:rPr>
          <w:t>M.O.</w:t>
        </w:r>
      </w:hyperlink>
      <w:r w:rsidR="00BF123A" w:rsidRPr="00DC03F7">
        <w:rPr>
          <w:rFonts w:ascii="Times New Roman" w:eastAsia="Times New Roman" w:hAnsi="Times New Roman" w:cs="Times New Roman"/>
          <w:sz w:val="21"/>
          <w:szCs w:val="21"/>
          <w:lang w:val="es-ES" w:eastAsia="es-ES_tradnl"/>
        </w:rPr>
        <w:t>)</w:t>
      </w:r>
      <w:r w:rsidR="007353D1" w:rsidRPr="00DC03F7">
        <w:rPr>
          <w:rFonts w:ascii="Times New Roman" w:hAnsi="Times New Roman" w:cs="Times New Roman"/>
          <w:sz w:val="21"/>
          <w:szCs w:val="21"/>
          <w:lang w:val="es-CL"/>
        </w:rPr>
        <w:t xml:space="preserve">. En otras palabras, las personas </w:t>
      </w:r>
      <w:r w:rsidR="00871694" w:rsidRPr="00DC03F7">
        <w:rPr>
          <w:rFonts w:ascii="Times New Roman" w:hAnsi="Times New Roman" w:cs="Times New Roman"/>
          <w:sz w:val="21"/>
          <w:szCs w:val="21"/>
          <w:lang w:val="es-CL"/>
        </w:rPr>
        <w:t>víctimas de t</w:t>
      </w:r>
      <w:r w:rsidR="007353D1" w:rsidRPr="00DC03F7">
        <w:rPr>
          <w:rFonts w:ascii="Times New Roman" w:hAnsi="Times New Roman" w:cs="Times New Roman"/>
          <w:sz w:val="21"/>
          <w:szCs w:val="21"/>
          <w:lang w:val="es-CL"/>
        </w:rPr>
        <w:t xml:space="preserve">rata </w:t>
      </w:r>
      <w:r w:rsidR="009A4780" w:rsidRPr="00DC03F7">
        <w:rPr>
          <w:rFonts w:ascii="Times New Roman" w:hAnsi="Times New Roman" w:cs="Times New Roman"/>
          <w:sz w:val="21"/>
          <w:szCs w:val="21"/>
          <w:lang w:val="es-CL"/>
        </w:rPr>
        <w:t>no son identificadas como tal</w:t>
      </w:r>
      <w:r w:rsidR="00F33D2C" w:rsidRPr="00DC03F7">
        <w:rPr>
          <w:rFonts w:ascii="Times New Roman" w:hAnsi="Times New Roman" w:cs="Times New Roman"/>
          <w:sz w:val="21"/>
          <w:szCs w:val="21"/>
          <w:lang w:val="es-CL"/>
        </w:rPr>
        <w:t>es</w:t>
      </w:r>
      <w:r w:rsidR="009A4780" w:rsidRPr="00DC03F7">
        <w:rPr>
          <w:rFonts w:ascii="Times New Roman" w:hAnsi="Times New Roman" w:cs="Times New Roman"/>
          <w:sz w:val="21"/>
          <w:szCs w:val="21"/>
          <w:lang w:val="es-CL"/>
        </w:rPr>
        <w:t xml:space="preserve">, </w:t>
      </w:r>
      <w:r w:rsidR="007353D1" w:rsidRPr="00DC03F7">
        <w:rPr>
          <w:rFonts w:ascii="Times New Roman" w:hAnsi="Times New Roman" w:cs="Times New Roman"/>
          <w:sz w:val="21"/>
          <w:szCs w:val="21"/>
          <w:lang w:val="es-CL"/>
        </w:rPr>
        <w:t>son detenidas y después acusadas como migrantes</w:t>
      </w:r>
      <w:r w:rsidR="008428B7" w:rsidRPr="00DC03F7">
        <w:rPr>
          <w:rFonts w:ascii="Times New Roman" w:hAnsi="Times New Roman" w:cs="Times New Roman"/>
          <w:sz w:val="21"/>
          <w:szCs w:val="21"/>
          <w:lang w:val="es-CL"/>
        </w:rPr>
        <w:t xml:space="preserve"> en situación administrativa irregular</w:t>
      </w:r>
      <w:r w:rsidR="006A5BF2">
        <w:rPr>
          <w:rFonts w:ascii="Times New Roman" w:hAnsi="Times New Roman" w:cs="Times New Roman"/>
          <w:sz w:val="21"/>
          <w:szCs w:val="21"/>
          <w:lang w:val="es-CL"/>
        </w:rPr>
        <w:t xml:space="preserve"> o como partícipes en el delito </w:t>
      </w:r>
      <w:r w:rsidR="007353D1" w:rsidRPr="00DC03F7">
        <w:rPr>
          <w:rFonts w:ascii="Times New Roman" w:hAnsi="Times New Roman" w:cs="Times New Roman"/>
          <w:sz w:val="21"/>
          <w:szCs w:val="21"/>
          <w:lang w:val="es-CL"/>
        </w:rPr>
        <w:t>de tráfico ilícito</w:t>
      </w:r>
      <w:r w:rsidR="008428B7" w:rsidRPr="00DC03F7">
        <w:rPr>
          <w:rFonts w:ascii="Times New Roman" w:hAnsi="Times New Roman" w:cs="Times New Roman"/>
          <w:sz w:val="21"/>
          <w:szCs w:val="21"/>
          <w:lang w:val="es-CL"/>
        </w:rPr>
        <w:t xml:space="preserve"> de migrantes</w:t>
      </w:r>
      <w:r w:rsidR="00E44743" w:rsidRPr="00DC03F7">
        <w:rPr>
          <w:rFonts w:ascii="Times New Roman" w:hAnsi="Times New Roman" w:cs="Times New Roman"/>
          <w:sz w:val="21"/>
          <w:szCs w:val="21"/>
          <w:lang w:val="es-CL"/>
        </w:rPr>
        <w:t>, entre otros delitos relacionados</w:t>
      </w:r>
      <w:r w:rsidR="009A4780" w:rsidRPr="00DC03F7">
        <w:rPr>
          <w:rStyle w:val="FootnoteReference"/>
          <w:rFonts w:ascii="Times New Roman" w:hAnsi="Times New Roman" w:cs="Times New Roman"/>
          <w:sz w:val="21"/>
          <w:szCs w:val="21"/>
          <w:lang w:val="es-CL"/>
        </w:rPr>
        <w:footnoteReference w:id="47"/>
      </w:r>
      <w:r w:rsidR="009A4780" w:rsidRPr="00DC03F7">
        <w:rPr>
          <w:rFonts w:ascii="Times New Roman" w:hAnsi="Times New Roman" w:cs="Times New Roman"/>
          <w:sz w:val="21"/>
          <w:szCs w:val="21"/>
          <w:lang w:val="es-CL"/>
        </w:rPr>
        <w:t xml:space="preserve">. </w:t>
      </w:r>
    </w:p>
    <w:p w14:paraId="1546638F" w14:textId="77777777" w:rsidR="00741DDF" w:rsidRPr="00DC03F7" w:rsidRDefault="00741DDF" w:rsidP="00741DDF">
      <w:pPr>
        <w:pStyle w:val="ListParagraph"/>
        <w:spacing w:line="276" w:lineRule="auto"/>
        <w:ind w:left="0"/>
        <w:jc w:val="both"/>
        <w:rPr>
          <w:rFonts w:ascii="Times New Roman" w:eastAsia="Times New Roman" w:hAnsi="Times New Roman" w:cs="Times New Roman"/>
          <w:sz w:val="21"/>
          <w:szCs w:val="21"/>
          <w:lang w:val="es-ES" w:eastAsia="es-ES_tradnl"/>
        </w:rPr>
      </w:pPr>
    </w:p>
    <w:p w14:paraId="4866161A" w14:textId="5F501B30" w:rsidR="00597617" w:rsidRPr="00DC03F7" w:rsidRDefault="001B374B" w:rsidP="00ED54E2">
      <w:pPr>
        <w:pStyle w:val="ListParagraph"/>
        <w:numPr>
          <w:ilvl w:val="0"/>
          <w:numId w:val="9"/>
        </w:numPr>
        <w:spacing w:line="276" w:lineRule="auto"/>
        <w:ind w:left="0"/>
        <w:jc w:val="both"/>
        <w:rPr>
          <w:rFonts w:ascii="Times New Roman" w:eastAsia="Times New Roman" w:hAnsi="Times New Roman" w:cs="Times New Roman"/>
          <w:sz w:val="21"/>
          <w:szCs w:val="21"/>
          <w:lang w:val="es-ES" w:eastAsia="es-ES_tradnl"/>
        </w:rPr>
      </w:pPr>
      <w:r>
        <w:rPr>
          <w:rFonts w:ascii="Times New Roman" w:eastAsia="Times New Roman" w:hAnsi="Times New Roman" w:cs="Times New Roman"/>
          <w:sz w:val="21"/>
          <w:szCs w:val="21"/>
          <w:lang w:val="es-ES" w:eastAsia="es-ES_tradnl"/>
        </w:rPr>
        <w:t>L</w:t>
      </w:r>
      <w:r w:rsidR="00597617" w:rsidRPr="00DC03F7">
        <w:rPr>
          <w:rFonts w:ascii="Times New Roman" w:eastAsia="Times New Roman" w:hAnsi="Times New Roman" w:cs="Times New Roman"/>
          <w:sz w:val="21"/>
          <w:szCs w:val="21"/>
          <w:lang w:val="es-ES" w:eastAsia="es-ES_tradnl"/>
        </w:rPr>
        <w:t xml:space="preserve">a </w:t>
      </w:r>
      <w:r w:rsidR="00D945B1" w:rsidRPr="00DC03F7">
        <w:rPr>
          <w:rFonts w:ascii="Times New Roman" w:eastAsia="Times New Roman" w:hAnsi="Times New Roman" w:cs="Times New Roman"/>
          <w:sz w:val="21"/>
          <w:szCs w:val="21"/>
          <w:lang w:val="es-ES" w:eastAsia="es-ES_tradnl"/>
        </w:rPr>
        <w:t>penalización</w:t>
      </w:r>
      <w:r w:rsidR="00334A1A" w:rsidRPr="00DC03F7">
        <w:rPr>
          <w:rFonts w:ascii="Times New Roman" w:eastAsia="Times New Roman" w:hAnsi="Times New Roman" w:cs="Times New Roman"/>
          <w:sz w:val="21"/>
          <w:szCs w:val="21"/>
          <w:lang w:val="es-ES" w:eastAsia="es-ES_tradnl"/>
        </w:rPr>
        <w:t>, enjuiciamiento</w:t>
      </w:r>
      <w:r w:rsidR="00597617" w:rsidRPr="00DC03F7">
        <w:rPr>
          <w:rFonts w:ascii="Times New Roman" w:eastAsia="Times New Roman" w:hAnsi="Times New Roman" w:cs="Times New Roman"/>
          <w:sz w:val="21"/>
          <w:szCs w:val="21"/>
          <w:lang w:val="es-ES" w:eastAsia="es-ES_tradnl"/>
        </w:rPr>
        <w:t xml:space="preserve"> y/o </w:t>
      </w:r>
      <w:r w:rsidR="00D945B1" w:rsidRPr="00DC03F7">
        <w:rPr>
          <w:rFonts w:ascii="Times New Roman" w:eastAsia="Times New Roman" w:hAnsi="Times New Roman" w:cs="Times New Roman"/>
          <w:sz w:val="21"/>
          <w:szCs w:val="21"/>
          <w:lang w:val="es-ES" w:eastAsia="es-ES_tradnl"/>
        </w:rPr>
        <w:t>detención</w:t>
      </w:r>
      <w:r w:rsidR="00597617" w:rsidRPr="00DC03F7">
        <w:rPr>
          <w:rFonts w:ascii="Times New Roman" w:eastAsia="Times New Roman" w:hAnsi="Times New Roman" w:cs="Times New Roman"/>
          <w:sz w:val="21"/>
          <w:szCs w:val="21"/>
          <w:lang w:val="es-ES" w:eastAsia="es-ES_tradnl"/>
        </w:rPr>
        <w:t xml:space="preserve"> de </w:t>
      </w:r>
      <w:r w:rsidR="00D945B1" w:rsidRPr="00DC03F7">
        <w:rPr>
          <w:rFonts w:ascii="Times New Roman" w:eastAsia="Times New Roman" w:hAnsi="Times New Roman" w:cs="Times New Roman"/>
          <w:sz w:val="21"/>
          <w:szCs w:val="21"/>
          <w:lang w:val="es-ES" w:eastAsia="es-ES_tradnl"/>
        </w:rPr>
        <w:t>víctimas</w:t>
      </w:r>
      <w:r w:rsidR="00597617" w:rsidRPr="00DC03F7">
        <w:rPr>
          <w:rFonts w:ascii="Times New Roman" w:eastAsia="Times New Roman" w:hAnsi="Times New Roman" w:cs="Times New Roman"/>
          <w:sz w:val="21"/>
          <w:szCs w:val="21"/>
          <w:lang w:val="es-ES" w:eastAsia="es-ES_tradnl"/>
        </w:rPr>
        <w:t xml:space="preserve"> de trata</w:t>
      </w:r>
      <w:r w:rsidR="00334A1A" w:rsidRPr="00DC03F7">
        <w:rPr>
          <w:rFonts w:ascii="Times New Roman" w:eastAsia="Times New Roman" w:hAnsi="Times New Roman" w:cs="Times New Roman"/>
          <w:sz w:val="21"/>
          <w:szCs w:val="21"/>
          <w:lang w:val="es-ES" w:eastAsia="es-ES_tradnl"/>
        </w:rPr>
        <w:t xml:space="preserve"> de seres humanos es</w:t>
      </w:r>
      <w:r w:rsidR="00597617" w:rsidRPr="00DC03F7">
        <w:rPr>
          <w:rFonts w:ascii="Times New Roman" w:eastAsia="Times New Roman" w:hAnsi="Times New Roman" w:cs="Times New Roman"/>
          <w:sz w:val="21"/>
          <w:szCs w:val="21"/>
          <w:lang w:val="es-ES" w:eastAsia="es-ES_tradnl"/>
        </w:rPr>
        <w:t xml:space="preserve"> incompatible con un enfoque basado en los derechos humanos</w:t>
      </w:r>
      <w:r w:rsidR="004A588B" w:rsidRPr="00DC03F7">
        <w:rPr>
          <w:rFonts w:ascii="Times New Roman" w:eastAsia="Times New Roman" w:hAnsi="Times New Roman" w:cs="Times New Roman"/>
          <w:sz w:val="21"/>
          <w:szCs w:val="21"/>
          <w:lang w:val="es-ES" w:eastAsia="es-ES_tradnl"/>
        </w:rPr>
        <w:t xml:space="preserve"> y la perspectiva de género, toda vez que </w:t>
      </w:r>
      <w:r w:rsidR="00334A1A" w:rsidRPr="00DC03F7">
        <w:rPr>
          <w:rFonts w:ascii="Times New Roman" w:eastAsia="Times New Roman" w:hAnsi="Times New Roman" w:cs="Times New Roman"/>
          <w:sz w:val="21"/>
          <w:szCs w:val="21"/>
          <w:lang w:val="es-ES" w:eastAsia="es-ES_tradnl"/>
        </w:rPr>
        <w:t>constituyen</w:t>
      </w:r>
      <w:r w:rsidR="004A588B" w:rsidRPr="00DC03F7">
        <w:rPr>
          <w:rFonts w:ascii="Times New Roman" w:eastAsia="Times New Roman" w:hAnsi="Times New Roman" w:cs="Times New Roman"/>
          <w:sz w:val="21"/>
          <w:szCs w:val="21"/>
          <w:lang w:val="es-ES" w:eastAsia="es-ES_tradnl"/>
        </w:rPr>
        <w:t xml:space="preserve"> medida</w:t>
      </w:r>
      <w:r w:rsidR="00334A1A" w:rsidRPr="00DC03F7">
        <w:rPr>
          <w:rFonts w:ascii="Times New Roman" w:eastAsia="Times New Roman" w:hAnsi="Times New Roman" w:cs="Times New Roman"/>
          <w:sz w:val="21"/>
          <w:szCs w:val="21"/>
          <w:lang w:val="es-ES" w:eastAsia="es-ES_tradnl"/>
        </w:rPr>
        <w:t>s</w:t>
      </w:r>
      <w:r w:rsidR="004A588B" w:rsidRPr="00DC03F7">
        <w:rPr>
          <w:rFonts w:ascii="Times New Roman" w:eastAsia="Times New Roman" w:hAnsi="Times New Roman" w:cs="Times New Roman"/>
          <w:sz w:val="21"/>
          <w:szCs w:val="21"/>
          <w:lang w:val="es-ES" w:eastAsia="es-ES_tradnl"/>
        </w:rPr>
        <w:t xml:space="preserve"> que revictimiza</w:t>
      </w:r>
      <w:r w:rsidR="00334A1A" w:rsidRPr="00DC03F7">
        <w:rPr>
          <w:rFonts w:ascii="Times New Roman" w:eastAsia="Times New Roman" w:hAnsi="Times New Roman" w:cs="Times New Roman"/>
          <w:sz w:val="21"/>
          <w:szCs w:val="21"/>
          <w:lang w:val="es-ES" w:eastAsia="es-ES_tradnl"/>
        </w:rPr>
        <w:t>n</w:t>
      </w:r>
      <w:r w:rsidR="004A588B" w:rsidRPr="00DC03F7">
        <w:rPr>
          <w:rFonts w:ascii="Times New Roman" w:eastAsia="Times New Roman" w:hAnsi="Times New Roman" w:cs="Times New Roman"/>
          <w:sz w:val="21"/>
          <w:szCs w:val="21"/>
          <w:lang w:val="es-ES" w:eastAsia="es-ES_tradnl"/>
        </w:rPr>
        <w:t xml:space="preserve"> y </w:t>
      </w:r>
      <w:r w:rsidR="005F2AC6" w:rsidRPr="00DC03F7">
        <w:rPr>
          <w:rFonts w:ascii="Times New Roman" w:eastAsia="Times New Roman" w:hAnsi="Times New Roman" w:cs="Times New Roman"/>
          <w:sz w:val="21"/>
          <w:szCs w:val="21"/>
          <w:lang w:val="es-ES" w:eastAsia="es-ES_tradnl"/>
        </w:rPr>
        <w:t>consienten</w:t>
      </w:r>
      <w:r w:rsidR="004A588B" w:rsidRPr="00DC03F7">
        <w:rPr>
          <w:rFonts w:ascii="Times New Roman" w:eastAsia="Times New Roman" w:hAnsi="Times New Roman" w:cs="Times New Roman"/>
          <w:sz w:val="21"/>
          <w:szCs w:val="21"/>
          <w:lang w:val="es-ES" w:eastAsia="es-ES_tradnl"/>
        </w:rPr>
        <w:t xml:space="preserve"> la</w:t>
      </w:r>
      <w:r w:rsidR="00597617" w:rsidRPr="00DC03F7">
        <w:rPr>
          <w:rFonts w:ascii="Times New Roman" w:eastAsia="Times New Roman" w:hAnsi="Times New Roman" w:cs="Times New Roman"/>
          <w:sz w:val="21"/>
          <w:szCs w:val="21"/>
          <w:lang w:val="es-ES" w:eastAsia="es-ES_tradnl"/>
        </w:rPr>
        <w:t xml:space="preserve"> </w:t>
      </w:r>
      <w:r w:rsidR="004A588B" w:rsidRPr="00DC03F7">
        <w:rPr>
          <w:rFonts w:ascii="Times New Roman" w:eastAsia="Times New Roman" w:hAnsi="Times New Roman" w:cs="Times New Roman"/>
          <w:sz w:val="21"/>
          <w:szCs w:val="21"/>
          <w:lang w:val="es-ES" w:eastAsia="es-ES_tradnl"/>
        </w:rPr>
        <w:t>denegación</w:t>
      </w:r>
      <w:r w:rsidR="00597617" w:rsidRPr="00DC03F7">
        <w:rPr>
          <w:rFonts w:ascii="Times New Roman" w:eastAsia="Times New Roman" w:hAnsi="Times New Roman" w:cs="Times New Roman"/>
          <w:sz w:val="21"/>
          <w:szCs w:val="21"/>
          <w:lang w:val="es-ES" w:eastAsia="es-ES_tradnl"/>
        </w:rPr>
        <w:t xml:space="preserve"> </w:t>
      </w:r>
      <w:r w:rsidR="004A588B" w:rsidRPr="00DC03F7">
        <w:rPr>
          <w:rFonts w:ascii="Times New Roman" w:eastAsia="Times New Roman" w:hAnsi="Times New Roman" w:cs="Times New Roman"/>
          <w:sz w:val="21"/>
          <w:szCs w:val="21"/>
          <w:lang w:val="es-ES" w:eastAsia="es-ES_tradnl"/>
        </w:rPr>
        <w:t xml:space="preserve">y conculcación de </w:t>
      </w:r>
      <w:r w:rsidR="007E3095" w:rsidRPr="00DC03F7">
        <w:rPr>
          <w:rFonts w:ascii="Times New Roman" w:eastAsia="Times New Roman" w:hAnsi="Times New Roman" w:cs="Times New Roman"/>
          <w:sz w:val="21"/>
          <w:szCs w:val="21"/>
          <w:lang w:val="es-ES" w:eastAsia="es-ES_tradnl"/>
        </w:rPr>
        <w:t>los</w:t>
      </w:r>
      <w:r w:rsidR="00597617" w:rsidRPr="00DC03F7">
        <w:rPr>
          <w:rFonts w:ascii="Times New Roman" w:eastAsia="Times New Roman" w:hAnsi="Times New Roman" w:cs="Times New Roman"/>
          <w:sz w:val="21"/>
          <w:szCs w:val="21"/>
          <w:lang w:val="es-ES" w:eastAsia="es-ES_tradnl"/>
        </w:rPr>
        <w:t xml:space="preserve"> derechos </w:t>
      </w:r>
      <w:r w:rsidR="004A588B" w:rsidRPr="00DC03F7">
        <w:rPr>
          <w:rFonts w:ascii="Times New Roman" w:eastAsia="Times New Roman" w:hAnsi="Times New Roman" w:cs="Times New Roman"/>
          <w:sz w:val="21"/>
          <w:szCs w:val="21"/>
          <w:lang w:val="es-ES" w:eastAsia="es-ES_tradnl"/>
        </w:rPr>
        <w:t>fundamentales</w:t>
      </w:r>
      <w:r w:rsidR="007E3095" w:rsidRPr="00DC03F7">
        <w:rPr>
          <w:rFonts w:ascii="Times New Roman" w:eastAsia="Times New Roman" w:hAnsi="Times New Roman" w:cs="Times New Roman"/>
          <w:sz w:val="21"/>
          <w:szCs w:val="21"/>
          <w:lang w:val="es-ES" w:eastAsia="es-ES_tradnl"/>
        </w:rPr>
        <w:t xml:space="preserve"> de las víctimas</w:t>
      </w:r>
      <w:r w:rsidR="004A588B" w:rsidRPr="00DC03F7">
        <w:rPr>
          <w:rStyle w:val="FootnoteReference"/>
          <w:rFonts w:ascii="Times New Roman" w:eastAsia="Times New Roman" w:hAnsi="Times New Roman" w:cs="Times New Roman"/>
          <w:sz w:val="21"/>
          <w:szCs w:val="21"/>
          <w:lang w:val="es-ES" w:eastAsia="es-ES_tradnl"/>
        </w:rPr>
        <w:footnoteReference w:id="48"/>
      </w:r>
      <w:r w:rsidR="00597617" w:rsidRPr="00DC03F7">
        <w:rPr>
          <w:rFonts w:ascii="Times New Roman" w:eastAsia="Times New Roman" w:hAnsi="Times New Roman" w:cs="Times New Roman"/>
          <w:sz w:val="21"/>
          <w:szCs w:val="21"/>
          <w:lang w:val="es-ES" w:eastAsia="es-ES_tradnl"/>
        </w:rPr>
        <w:t xml:space="preserve">. </w:t>
      </w:r>
      <w:r w:rsidR="007E3095" w:rsidRPr="00DC03F7">
        <w:rPr>
          <w:rFonts w:ascii="Times New Roman" w:eastAsia="Times New Roman" w:hAnsi="Times New Roman" w:cs="Times New Roman"/>
          <w:sz w:val="21"/>
          <w:szCs w:val="21"/>
          <w:lang w:val="es-ES" w:eastAsia="es-ES_tradnl"/>
        </w:rPr>
        <w:t>A</w:t>
      </w:r>
      <w:r w:rsidR="00ED54E2" w:rsidRPr="00DC03F7">
        <w:rPr>
          <w:rFonts w:ascii="Times New Roman" w:eastAsia="Times New Roman" w:hAnsi="Times New Roman" w:cs="Times New Roman"/>
          <w:sz w:val="21"/>
          <w:szCs w:val="21"/>
          <w:lang w:val="es-ES" w:eastAsia="es-ES_tradnl"/>
        </w:rPr>
        <w:t>demás, la penalización o el enjuiciamiento de víctimas de trata tiene im</w:t>
      </w:r>
      <w:r w:rsidR="00DD7BE9" w:rsidRPr="00DC03F7">
        <w:rPr>
          <w:rFonts w:ascii="Times New Roman" w:eastAsia="Times New Roman" w:hAnsi="Times New Roman" w:cs="Times New Roman"/>
          <w:sz w:val="21"/>
          <w:szCs w:val="21"/>
          <w:lang w:val="es-ES" w:eastAsia="es-ES_tradnl"/>
        </w:rPr>
        <w:t>pactos diferenciados y consecuencias muy graves en sus derechos y sus vidas</w:t>
      </w:r>
      <w:r w:rsidR="003F50FB">
        <w:rPr>
          <w:rFonts w:ascii="Times New Roman" w:eastAsia="Times New Roman" w:hAnsi="Times New Roman" w:cs="Times New Roman"/>
          <w:sz w:val="21"/>
          <w:szCs w:val="21"/>
          <w:lang w:val="es-ES" w:eastAsia="es-ES_tradnl"/>
        </w:rPr>
        <w:t xml:space="preserve">. </w:t>
      </w:r>
      <w:r w:rsidR="00642E81" w:rsidRPr="00642E81">
        <w:rPr>
          <w:rFonts w:ascii="Times New Roman" w:eastAsia="Times New Roman" w:hAnsi="Times New Roman" w:cs="Times New Roman"/>
          <w:sz w:val="21"/>
          <w:szCs w:val="21"/>
          <w:lang w:val="es-ES" w:eastAsia="es-ES_tradnl"/>
        </w:rPr>
        <w:t xml:space="preserve">Las víctimas que tienen un expediente penal pueden experimentar dificultades en lo que respecta a su recuperación y reintegración. Además, la penalización de las víctimas es contraproducente para los procesos judiciales dado que destruye la confianza, inflige un nuevo trauma a las víctimas y refuerza lo que los </w:t>
      </w:r>
      <w:r w:rsidR="00F4483C">
        <w:rPr>
          <w:rFonts w:ascii="Times New Roman" w:eastAsia="Times New Roman" w:hAnsi="Times New Roman" w:cs="Times New Roman"/>
          <w:sz w:val="21"/>
          <w:szCs w:val="21"/>
          <w:lang w:val="es-ES" w:eastAsia="es-ES_tradnl"/>
        </w:rPr>
        <w:t>tratantes</w:t>
      </w:r>
      <w:r w:rsidR="00642E81" w:rsidRPr="00642E81">
        <w:rPr>
          <w:rFonts w:ascii="Times New Roman" w:eastAsia="Times New Roman" w:hAnsi="Times New Roman" w:cs="Times New Roman"/>
          <w:sz w:val="21"/>
          <w:szCs w:val="21"/>
          <w:lang w:val="es-ES" w:eastAsia="es-ES_tradnl"/>
        </w:rPr>
        <w:t xml:space="preserve"> pueden haber dicho a éstas respecto de las autoridades encargadas de hacer cumplir la ley</w:t>
      </w:r>
      <w:r w:rsidR="007E57E0" w:rsidRPr="00DC03F7">
        <w:rPr>
          <w:rStyle w:val="FootnoteReference"/>
          <w:rFonts w:ascii="Times New Roman" w:eastAsia="Times New Roman" w:hAnsi="Times New Roman" w:cs="Times New Roman"/>
          <w:sz w:val="21"/>
          <w:szCs w:val="21"/>
          <w:lang w:val="es-ES" w:eastAsia="es-ES_tradnl"/>
        </w:rPr>
        <w:footnoteReference w:id="49"/>
      </w:r>
      <w:r w:rsidR="00597617" w:rsidRPr="00DC03F7">
        <w:rPr>
          <w:rFonts w:ascii="Times New Roman" w:eastAsia="Times New Roman" w:hAnsi="Times New Roman" w:cs="Times New Roman"/>
          <w:sz w:val="21"/>
          <w:szCs w:val="21"/>
          <w:lang w:val="es-ES" w:eastAsia="es-ES_tradnl"/>
        </w:rPr>
        <w:t xml:space="preserve">. </w:t>
      </w:r>
      <w:r w:rsidR="00130E76">
        <w:rPr>
          <w:rFonts w:ascii="Times New Roman" w:eastAsia="Times New Roman" w:hAnsi="Times New Roman" w:cs="Times New Roman"/>
          <w:sz w:val="21"/>
          <w:szCs w:val="21"/>
          <w:lang w:val="es-ES" w:eastAsia="es-ES_tradnl"/>
        </w:rPr>
        <w:t xml:space="preserve">Así, </w:t>
      </w:r>
      <w:r w:rsidR="004343B9" w:rsidRPr="00DC03F7">
        <w:rPr>
          <w:rFonts w:ascii="Times New Roman" w:eastAsia="Times New Roman" w:hAnsi="Times New Roman" w:cs="Times New Roman"/>
          <w:sz w:val="21"/>
          <w:szCs w:val="21"/>
          <w:lang w:val="es-ES" w:eastAsia="es-ES_tradnl"/>
        </w:rPr>
        <w:t xml:space="preserve">la falta de aplicación y desconocimiento del principio de </w:t>
      </w:r>
      <w:r w:rsidR="004343B9" w:rsidRPr="00DC03F7">
        <w:rPr>
          <w:rFonts w:ascii="Times New Roman" w:eastAsia="Times New Roman" w:hAnsi="Times New Roman" w:cs="Times New Roman"/>
          <w:i/>
          <w:sz w:val="21"/>
          <w:szCs w:val="21"/>
          <w:lang w:val="es-ES" w:eastAsia="es-ES_tradnl"/>
        </w:rPr>
        <w:t>non-punishment</w:t>
      </w:r>
      <w:r w:rsidR="00597617" w:rsidRPr="00DC03F7">
        <w:rPr>
          <w:rFonts w:ascii="Times New Roman" w:eastAsia="Times New Roman" w:hAnsi="Times New Roman" w:cs="Times New Roman"/>
          <w:sz w:val="21"/>
          <w:szCs w:val="21"/>
          <w:lang w:val="es-ES" w:eastAsia="es-ES_tradnl"/>
        </w:rPr>
        <w:t xml:space="preserve"> </w:t>
      </w:r>
      <w:r w:rsidR="00E765E8">
        <w:rPr>
          <w:rFonts w:ascii="Times New Roman" w:eastAsia="Times New Roman" w:hAnsi="Times New Roman" w:cs="Times New Roman"/>
          <w:sz w:val="21"/>
          <w:szCs w:val="21"/>
          <w:lang w:val="es-ES" w:eastAsia="es-ES_tradnl"/>
        </w:rPr>
        <w:t>tiene un</w:t>
      </w:r>
      <w:r w:rsidR="004343B9" w:rsidRPr="00DC03F7">
        <w:rPr>
          <w:rFonts w:ascii="Times New Roman" w:eastAsia="Times New Roman" w:hAnsi="Times New Roman" w:cs="Times New Roman"/>
          <w:sz w:val="21"/>
          <w:szCs w:val="21"/>
          <w:lang w:val="es-ES" w:eastAsia="es-ES_tradnl"/>
        </w:rPr>
        <w:t xml:space="preserve"> impacto negativo </w:t>
      </w:r>
      <w:r w:rsidR="00E765E8">
        <w:rPr>
          <w:rFonts w:ascii="Times New Roman" w:eastAsia="Times New Roman" w:hAnsi="Times New Roman" w:cs="Times New Roman"/>
          <w:sz w:val="21"/>
          <w:szCs w:val="21"/>
          <w:lang w:val="es-ES" w:eastAsia="es-ES_tradnl"/>
        </w:rPr>
        <w:t xml:space="preserve">en el </w:t>
      </w:r>
      <w:r w:rsidR="004343B9" w:rsidRPr="00DC03F7">
        <w:rPr>
          <w:rFonts w:ascii="Times New Roman" w:eastAsia="Times New Roman" w:hAnsi="Times New Roman" w:cs="Times New Roman"/>
          <w:sz w:val="21"/>
          <w:szCs w:val="21"/>
          <w:lang w:val="es-ES" w:eastAsia="es-ES_tradnl"/>
        </w:rPr>
        <w:t xml:space="preserve">acceso efectivo </w:t>
      </w:r>
      <w:r w:rsidR="00CB2170">
        <w:rPr>
          <w:rFonts w:ascii="Times New Roman" w:eastAsia="Times New Roman" w:hAnsi="Times New Roman" w:cs="Times New Roman"/>
          <w:sz w:val="21"/>
          <w:szCs w:val="21"/>
          <w:lang w:val="es-ES" w:eastAsia="es-ES_tradnl"/>
        </w:rPr>
        <w:t xml:space="preserve">de las víctimas </w:t>
      </w:r>
      <w:r w:rsidR="004343B9" w:rsidRPr="00DC03F7">
        <w:rPr>
          <w:rFonts w:ascii="Times New Roman" w:eastAsia="Times New Roman" w:hAnsi="Times New Roman" w:cs="Times New Roman"/>
          <w:sz w:val="21"/>
          <w:szCs w:val="21"/>
          <w:lang w:val="es-ES" w:eastAsia="es-ES_tradnl"/>
        </w:rPr>
        <w:t>a la justicia y a medidas de reparación</w:t>
      </w:r>
      <w:r w:rsidR="00FF4E2B" w:rsidRPr="00DC03F7">
        <w:rPr>
          <w:rFonts w:ascii="Times New Roman" w:eastAsia="Times New Roman" w:hAnsi="Times New Roman" w:cs="Times New Roman"/>
          <w:sz w:val="21"/>
          <w:szCs w:val="21"/>
          <w:lang w:val="es-ES" w:eastAsia="es-ES_tradnl"/>
        </w:rPr>
        <w:t xml:space="preserve"> integral</w:t>
      </w:r>
      <w:r w:rsidR="004343B9" w:rsidRPr="00DC03F7">
        <w:rPr>
          <w:rStyle w:val="FootnoteReference"/>
          <w:rFonts w:ascii="Times New Roman" w:eastAsia="Times New Roman" w:hAnsi="Times New Roman" w:cs="Times New Roman"/>
          <w:sz w:val="21"/>
          <w:szCs w:val="21"/>
          <w:lang w:val="es-ES" w:eastAsia="es-ES_tradnl"/>
        </w:rPr>
        <w:footnoteReference w:id="50"/>
      </w:r>
      <w:r w:rsidR="004343B9" w:rsidRPr="00DC03F7">
        <w:rPr>
          <w:rFonts w:ascii="Times New Roman" w:eastAsia="Times New Roman" w:hAnsi="Times New Roman" w:cs="Times New Roman"/>
          <w:sz w:val="21"/>
          <w:szCs w:val="21"/>
          <w:lang w:val="es-ES" w:eastAsia="es-ES_tradnl"/>
        </w:rPr>
        <w:t>.</w:t>
      </w:r>
      <w:r w:rsidR="00E326B0" w:rsidRPr="00DC03F7">
        <w:rPr>
          <w:rFonts w:ascii="Times New Roman" w:eastAsia="Times New Roman" w:hAnsi="Times New Roman" w:cs="Times New Roman"/>
          <w:sz w:val="21"/>
          <w:szCs w:val="21"/>
          <w:lang w:val="es-ES" w:eastAsia="es-ES_tradnl"/>
        </w:rPr>
        <w:t xml:space="preserve"> (</w:t>
      </w:r>
      <w:r w:rsidR="00E326B0" w:rsidRPr="00DC03F7">
        <w:rPr>
          <w:rFonts w:ascii="Times New Roman" w:eastAsia="Times New Roman" w:hAnsi="Times New Roman" w:cs="Times New Roman"/>
          <w:b/>
          <w:sz w:val="21"/>
          <w:szCs w:val="21"/>
          <w:lang w:val="es-ES" w:eastAsia="es-ES_tradnl"/>
        </w:rPr>
        <w:t xml:space="preserve">ver </w:t>
      </w:r>
      <w:hyperlink r:id="rId23" w:history="1">
        <w:r w:rsidR="00B95048" w:rsidRPr="002D0388">
          <w:rPr>
            <w:rStyle w:val="Hyperlink"/>
            <w:rFonts w:ascii="Times New Roman" w:eastAsia="Times New Roman" w:hAnsi="Times New Roman" w:cs="Times New Roman"/>
            <w:b/>
            <w:sz w:val="21"/>
            <w:szCs w:val="21"/>
            <w:lang w:val="es-ES" w:eastAsia="es-ES_tradnl"/>
          </w:rPr>
          <w:t>C</w:t>
        </w:r>
        <w:r w:rsidR="00E326B0" w:rsidRPr="002D0388">
          <w:rPr>
            <w:rStyle w:val="Hyperlink"/>
            <w:rFonts w:ascii="Times New Roman" w:eastAsia="Times New Roman" w:hAnsi="Times New Roman" w:cs="Times New Roman"/>
            <w:b/>
            <w:sz w:val="21"/>
            <w:szCs w:val="21"/>
            <w:lang w:val="es-ES" w:eastAsia="es-ES_tradnl"/>
          </w:rPr>
          <w:t xml:space="preserve">aso </w:t>
        </w:r>
        <w:r w:rsidR="00B95048" w:rsidRPr="002D0388">
          <w:rPr>
            <w:rStyle w:val="Hyperlink"/>
            <w:rFonts w:ascii="Times New Roman" w:eastAsia="Times New Roman" w:hAnsi="Times New Roman" w:cs="Times New Roman"/>
            <w:b/>
            <w:sz w:val="21"/>
            <w:szCs w:val="21"/>
            <w:lang w:val="es-ES" w:eastAsia="es-ES_tradnl"/>
          </w:rPr>
          <w:t xml:space="preserve">4 </w:t>
        </w:r>
        <w:r w:rsidR="006665B8" w:rsidRPr="002D0388">
          <w:rPr>
            <w:rStyle w:val="Hyperlink"/>
            <w:rFonts w:ascii="Times New Roman" w:eastAsia="Times New Roman" w:hAnsi="Times New Roman" w:cs="Times New Roman"/>
            <w:b/>
            <w:sz w:val="21"/>
            <w:szCs w:val="21"/>
            <w:lang w:val="es-ES" w:eastAsia="es-ES_tradnl"/>
          </w:rPr>
          <w:t>–</w:t>
        </w:r>
        <w:r w:rsidR="00B95048" w:rsidRPr="002D0388">
          <w:rPr>
            <w:rStyle w:val="Hyperlink"/>
            <w:rFonts w:ascii="Times New Roman" w:eastAsia="Times New Roman" w:hAnsi="Times New Roman" w:cs="Times New Roman"/>
            <w:b/>
            <w:sz w:val="21"/>
            <w:szCs w:val="21"/>
            <w:lang w:val="es-ES" w:eastAsia="es-ES_tradnl"/>
          </w:rPr>
          <w:t xml:space="preserve"> </w:t>
        </w:r>
        <w:r w:rsidR="00E326B0" w:rsidRPr="002D0388">
          <w:rPr>
            <w:rStyle w:val="Hyperlink"/>
            <w:rFonts w:ascii="Times New Roman" w:eastAsia="Times New Roman" w:hAnsi="Times New Roman" w:cs="Times New Roman"/>
            <w:b/>
            <w:sz w:val="21"/>
            <w:szCs w:val="21"/>
            <w:lang w:val="es-ES" w:eastAsia="es-ES_tradnl"/>
          </w:rPr>
          <w:t>M.O.</w:t>
        </w:r>
      </w:hyperlink>
      <w:r w:rsidR="00E326B0" w:rsidRPr="00DC03F7">
        <w:rPr>
          <w:rFonts w:ascii="Times New Roman" w:eastAsia="Times New Roman" w:hAnsi="Times New Roman" w:cs="Times New Roman"/>
          <w:sz w:val="21"/>
          <w:szCs w:val="21"/>
          <w:lang w:val="es-ES" w:eastAsia="es-ES_tradnl"/>
        </w:rPr>
        <w:t>)</w:t>
      </w:r>
    </w:p>
    <w:p w14:paraId="0F6AC348" w14:textId="77777777" w:rsidR="00026187" w:rsidRPr="00DC03F7" w:rsidRDefault="00026187" w:rsidP="00026187">
      <w:pPr>
        <w:pStyle w:val="ListParagraph"/>
        <w:rPr>
          <w:rFonts w:ascii="Times New Roman" w:eastAsia="Times New Roman" w:hAnsi="Times New Roman" w:cs="Times New Roman"/>
          <w:sz w:val="21"/>
          <w:szCs w:val="21"/>
          <w:lang w:val="es-ES" w:eastAsia="es-ES_tradnl"/>
        </w:rPr>
      </w:pPr>
    </w:p>
    <w:p w14:paraId="0DD260D9" w14:textId="4B2003E2" w:rsidR="00F93417" w:rsidRPr="00425C1B" w:rsidRDefault="00026187" w:rsidP="00F21AB0">
      <w:pPr>
        <w:pStyle w:val="ListParagraph"/>
        <w:numPr>
          <w:ilvl w:val="0"/>
          <w:numId w:val="9"/>
        </w:numPr>
        <w:spacing w:line="276" w:lineRule="auto"/>
        <w:ind w:left="0"/>
        <w:jc w:val="both"/>
        <w:rPr>
          <w:rFonts w:ascii="Times New Roman" w:hAnsi="Times New Roman" w:cs="Times New Roman"/>
          <w:sz w:val="21"/>
          <w:szCs w:val="21"/>
        </w:rPr>
      </w:pPr>
      <w:r w:rsidRPr="00DC03F7">
        <w:rPr>
          <w:rFonts w:ascii="Times New Roman" w:eastAsia="Times New Roman" w:hAnsi="Times New Roman" w:cs="Times New Roman"/>
          <w:sz w:val="21"/>
          <w:szCs w:val="21"/>
          <w:lang w:val="es-ES" w:eastAsia="es-ES_tradnl"/>
        </w:rPr>
        <w:t xml:space="preserve">De </w:t>
      </w:r>
      <w:r w:rsidR="007353D1" w:rsidRPr="00DC03F7">
        <w:rPr>
          <w:rFonts w:ascii="Times New Roman" w:eastAsia="Times New Roman" w:hAnsi="Times New Roman" w:cs="Times New Roman"/>
          <w:sz w:val="21"/>
          <w:szCs w:val="21"/>
          <w:lang w:val="es-ES" w:eastAsia="es-ES_tradnl"/>
        </w:rPr>
        <w:t>hecho, el</w:t>
      </w:r>
      <w:r w:rsidR="00B62AD6" w:rsidRPr="00DC03F7">
        <w:rPr>
          <w:rFonts w:ascii="Times New Roman" w:eastAsia="Times New Roman" w:hAnsi="Times New Roman" w:cs="Times New Roman"/>
          <w:sz w:val="21"/>
          <w:szCs w:val="21"/>
          <w:lang w:val="es-ES" w:eastAsia="es-ES_tradnl"/>
        </w:rPr>
        <w:t xml:space="preserve"> Relator especial sobre la tortura y otros tratos o penas crueles, inhumanos o degradantes indica que</w:t>
      </w:r>
      <w:r w:rsidR="00B62AD6" w:rsidRPr="00DC03F7">
        <w:rPr>
          <w:rFonts w:ascii="Times New Roman" w:hAnsi="Times New Roman" w:cs="Times New Roman"/>
          <w:b/>
          <w:sz w:val="21"/>
          <w:szCs w:val="21"/>
          <w:lang w:val="es-CL"/>
        </w:rPr>
        <w:t xml:space="preserve"> </w:t>
      </w:r>
      <w:r w:rsidR="00B62AD6" w:rsidRPr="00DC03F7">
        <w:rPr>
          <w:rFonts w:ascii="Times New Roman" w:eastAsia="Times New Roman" w:hAnsi="Times New Roman" w:cs="Times New Roman"/>
          <w:sz w:val="21"/>
          <w:szCs w:val="21"/>
          <w:lang w:val="es-ES" w:eastAsia="es-ES_tradnl"/>
        </w:rPr>
        <w:t>la criminalización y la detención de víctimas de la trata de personas por delitos relacionados con su situación también pueden constituir malos tratos</w:t>
      </w:r>
      <w:r w:rsidR="00B62AD6" w:rsidRPr="00DC03F7">
        <w:rPr>
          <w:rStyle w:val="FootnoteReference"/>
          <w:rFonts w:ascii="Times New Roman" w:eastAsia="Times New Roman" w:hAnsi="Times New Roman" w:cs="Times New Roman"/>
          <w:sz w:val="21"/>
          <w:szCs w:val="21"/>
          <w:lang w:val="es-ES" w:eastAsia="es-ES_tradnl"/>
        </w:rPr>
        <w:footnoteReference w:id="51"/>
      </w:r>
      <w:r w:rsidR="00B62AD6" w:rsidRPr="00DC03F7">
        <w:rPr>
          <w:rFonts w:ascii="Times New Roman" w:eastAsia="Times New Roman" w:hAnsi="Times New Roman" w:cs="Times New Roman"/>
          <w:sz w:val="21"/>
          <w:szCs w:val="21"/>
          <w:lang w:val="es-ES" w:eastAsia="es-ES_tradnl"/>
        </w:rPr>
        <w:t xml:space="preserve">. </w:t>
      </w:r>
      <w:r w:rsidR="0068513B" w:rsidRPr="00DC03F7">
        <w:rPr>
          <w:rFonts w:ascii="Times New Roman" w:eastAsia="Times New Roman" w:hAnsi="Times New Roman" w:cs="Times New Roman"/>
          <w:sz w:val="21"/>
          <w:szCs w:val="21"/>
          <w:lang w:val="es-ES" w:eastAsia="es-ES_tradnl"/>
        </w:rPr>
        <w:t>L</w:t>
      </w:r>
      <w:r w:rsidRPr="00DC03F7">
        <w:rPr>
          <w:rFonts w:ascii="Times New Roman" w:eastAsia="Times New Roman" w:hAnsi="Times New Roman" w:cs="Times New Roman"/>
          <w:sz w:val="21"/>
          <w:szCs w:val="21"/>
          <w:lang w:val="es-ES" w:eastAsia="es-ES_tradnl"/>
        </w:rPr>
        <w:t>a Relatora de trata</w:t>
      </w:r>
      <w:r w:rsidR="00CD4CB5" w:rsidRPr="00DC03F7">
        <w:rPr>
          <w:rFonts w:ascii="Times New Roman" w:eastAsia="Times New Roman" w:hAnsi="Times New Roman" w:cs="Times New Roman"/>
          <w:sz w:val="21"/>
          <w:szCs w:val="21"/>
          <w:lang w:val="es-ES" w:eastAsia="es-ES_tradnl"/>
        </w:rPr>
        <w:t xml:space="preserve"> </w:t>
      </w:r>
      <w:r w:rsidR="0088407C">
        <w:rPr>
          <w:rFonts w:ascii="Times New Roman" w:eastAsia="Times New Roman" w:hAnsi="Times New Roman" w:cs="Times New Roman"/>
          <w:sz w:val="21"/>
          <w:szCs w:val="21"/>
          <w:lang w:val="es-ES" w:eastAsia="es-ES_tradnl"/>
        </w:rPr>
        <w:t xml:space="preserve">ha recomendado a los Estados que, </w:t>
      </w:r>
      <w:r w:rsidR="00CD4CB5" w:rsidRPr="00DC03F7">
        <w:rPr>
          <w:rFonts w:ascii="Times New Roman" w:eastAsia="Times New Roman" w:hAnsi="Times New Roman" w:cs="Times New Roman"/>
          <w:sz w:val="21"/>
          <w:szCs w:val="21"/>
          <w:lang w:val="es-ES" w:eastAsia="es-ES_tradnl"/>
        </w:rPr>
        <w:t xml:space="preserve">en aplicación de este </w:t>
      </w:r>
      <w:r w:rsidR="00CD4CB5" w:rsidRPr="00D57454">
        <w:rPr>
          <w:rFonts w:ascii="Times New Roman" w:eastAsia="Times New Roman" w:hAnsi="Times New Roman" w:cs="Times New Roman"/>
          <w:sz w:val="21"/>
          <w:szCs w:val="21"/>
          <w:lang w:val="es-ES" w:eastAsia="es-ES_tradnl"/>
        </w:rPr>
        <w:t xml:space="preserve">principio, </w:t>
      </w:r>
      <w:r w:rsidR="00D57454" w:rsidRPr="00D57454">
        <w:rPr>
          <w:rFonts w:ascii="Times New Roman" w:eastAsia="Times New Roman" w:hAnsi="Times New Roman" w:cs="Times New Roman"/>
          <w:sz w:val="21"/>
          <w:szCs w:val="21"/>
          <w:lang w:val="es-ES" w:eastAsia="es-ES_tradnl"/>
        </w:rPr>
        <w:t xml:space="preserve">revisen </w:t>
      </w:r>
      <w:r w:rsidR="00D57454" w:rsidRPr="00425C1B">
        <w:rPr>
          <w:rFonts w:ascii="Times New Roman" w:hAnsi="Times New Roman" w:cs="Times New Roman"/>
          <w:sz w:val="21"/>
          <w:szCs w:val="21"/>
        </w:rPr>
        <w:t>las leyes y políticas que no contengan salvaguardias apropiadas para prevenir el enjuiciamiento de las víctimas de la trata por delitos relacionados con su condición de víctima y adopt</w:t>
      </w:r>
      <w:r w:rsidR="00F21AB0">
        <w:rPr>
          <w:rFonts w:ascii="Times New Roman" w:hAnsi="Times New Roman" w:cs="Times New Roman"/>
          <w:sz w:val="21"/>
          <w:szCs w:val="21"/>
        </w:rPr>
        <w:t>en</w:t>
      </w:r>
      <w:r w:rsidR="00D57454" w:rsidRPr="00425C1B">
        <w:rPr>
          <w:rFonts w:ascii="Times New Roman" w:hAnsi="Times New Roman" w:cs="Times New Roman"/>
          <w:sz w:val="21"/>
          <w:szCs w:val="21"/>
        </w:rPr>
        <w:t xml:space="preserve"> medidas para garantizar su no penalización por tales delitos, incluidos los delitos sexuales, la mendicidad y las infracciones de la legislación laboral o de inmigración. </w:t>
      </w:r>
      <w:r w:rsidR="00F21AB0">
        <w:rPr>
          <w:rFonts w:ascii="Times New Roman" w:hAnsi="Times New Roman" w:cs="Times New Roman"/>
          <w:sz w:val="21"/>
          <w:szCs w:val="21"/>
        </w:rPr>
        <w:t xml:space="preserve">Además, </w:t>
      </w:r>
      <w:r w:rsidR="00CD4CB5" w:rsidRPr="00F21AB0">
        <w:rPr>
          <w:rFonts w:ascii="Times New Roman" w:eastAsia="Times New Roman" w:hAnsi="Times New Roman" w:cs="Times New Roman"/>
          <w:sz w:val="21"/>
          <w:szCs w:val="21"/>
          <w:lang w:val="es-ES" w:eastAsia="es-ES_tradnl"/>
        </w:rPr>
        <w:t>es importante que los Estados adopten todas las medidas de reparación, como la posibilidad de anular el fallo que la condena en el caso de delitos relacionados con su condición de trata y cometidos como consecuencia de su explotación</w:t>
      </w:r>
      <w:r w:rsidR="00CD4CB5" w:rsidRPr="00DC03F7">
        <w:rPr>
          <w:rStyle w:val="FootnoteReference"/>
          <w:rFonts w:ascii="Times New Roman" w:eastAsia="Times New Roman" w:hAnsi="Times New Roman" w:cs="Times New Roman"/>
          <w:sz w:val="21"/>
          <w:szCs w:val="21"/>
          <w:lang w:val="es-ES" w:eastAsia="es-ES_tradnl"/>
        </w:rPr>
        <w:footnoteReference w:id="52"/>
      </w:r>
      <w:r w:rsidR="00CD4CB5" w:rsidRPr="00F21AB0">
        <w:rPr>
          <w:rFonts w:ascii="Times New Roman" w:eastAsia="Times New Roman" w:hAnsi="Times New Roman" w:cs="Times New Roman"/>
          <w:sz w:val="21"/>
          <w:szCs w:val="21"/>
          <w:lang w:val="es-ES" w:eastAsia="es-ES_tradnl"/>
        </w:rPr>
        <w:t>.</w:t>
      </w:r>
    </w:p>
    <w:p w14:paraId="5ADA2771" w14:textId="77777777" w:rsidR="00F93417" w:rsidRPr="00DC03F7" w:rsidRDefault="00F93417" w:rsidP="00F93417">
      <w:pPr>
        <w:pStyle w:val="ListParagraph"/>
        <w:rPr>
          <w:rFonts w:ascii="Times New Roman" w:eastAsia="Times New Roman" w:hAnsi="Times New Roman" w:cs="Times New Roman"/>
          <w:color w:val="212121"/>
          <w:sz w:val="21"/>
          <w:szCs w:val="21"/>
          <w:lang w:val="es-ES" w:eastAsia="es-ES_tradnl"/>
        </w:rPr>
      </w:pPr>
    </w:p>
    <w:p w14:paraId="7E28063E" w14:textId="454D3DBB" w:rsidR="00F93417" w:rsidRPr="00DC03F7" w:rsidRDefault="00A771AE" w:rsidP="00F93417">
      <w:pPr>
        <w:pStyle w:val="ListParagraph"/>
        <w:numPr>
          <w:ilvl w:val="0"/>
          <w:numId w:val="9"/>
        </w:numPr>
        <w:spacing w:line="276" w:lineRule="auto"/>
        <w:ind w:left="0"/>
        <w:jc w:val="both"/>
        <w:rPr>
          <w:rFonts w:ascii="Times New Roman" w:eastAsia="Times New Roman" w:hAnsi="Times New Roman" w:cs="Times New Roman"/>
          <w:sz w:val="21"/>
          <w:szCs w:val="21"/>
          <w:lang w:val="es-ES" w:eastAsia="es-ES_tradnl"/>
        </w:rPr>
      </w:pPr>
      <w:r>
        <w:rPr>
          <w:rFonts w:ascii="Times New Roman" w:eastAsia="Times New Roman" w:hAnsi="Times New Roman" w:cs="Times New Roman"/>
          <w:color w:val="212121"/>
          <w:sz w:val="21"/>
          <w:szCs w:val="21"/>
          <w:lang w:val="es-ES" w:eastAsia="es-ES_tradnl"/>
        </w:rPr>
        <w:t>L</w:t>
      </w:r>
      <w:r w:rsidR="00FF4E2B" w:rsidRPr="00DC03F7">
        <w:rPr>
          <w:rFonts w:ascii="Times New Roman" w:eastAsia="Times New Roman" w:hAnsi="Times New Roman" w:cs="Times New Roman"/>
          <w:color w:val="212121"/>
          <w:sz w:val="21"/>
          <w:szCs w:val="21"/>
          <w:lang w:val="es-ES" w:eastAsia="es-ES_tradnl"/>
        </w:rPr>
        <w:t>a</w:t>
      </w:r>
      <w:r w:rsidR="00F93417" w:rsidRPr="00DC03F7">
        <w:rPr>
          <w:rFonts w:ascii="Times New Roman" w:eastAsia="Times New Roman" w:hAnsi="Times New Roman" w:cs="Times New Roman"/>
          <w:color w:val="212121"/>
          <w:sz w:val="21"/>
          <w:szCs w:val="21"/>
          <w:lang w:val="es-ES" w:eastAsia="es-ES_tradnl"/>
        </w:rPr>
        <w:t xml:space="preserve"> interpretación de este principio desde una perspectiva de género</w:t>
      </w:r>
      <w:r w:rsidR="00C47DB4">
        <w:rPr>
          <w:rFonts w:ascii="Times New Roman" w:eastAsia="Times New Roman" w:hAnsi="Times New Roman" w:cs="Times New Roman"/>
          <w:color w:val="212121"/>
          <w:sz w:val="21"/>
          <w:szCs w:val="21"/>
          <w:lang w:val="es-ES" w:eastAsia="es-ES_tradnl"/>
        </w:rPr>
        <w:t xml:space="preserve"> indica que</w:t>
      </w:r>
      <w:r w:rsidR="00CF5118" w:rsidRPr="00DC03F7">
        <w:rPr>
          <w:rFonts w:ascii="Times New Roman" w:eastAsia="Times New Roman" w:hAnsi="Times New Roman" w:cs="Times New Roman"/>
          <w:color w:val="212121"/>
          <w:sz w:val="21"/>
          <w:szCs w:val="21"/>
          <w:lang w:val="es-ES" w:eastAsia="es-ES_tradnl"/>
        </w:rPr>
        <w:t xml:space="preserve"> éste </w:t>
      </w:r>
      <w:r w:rsidR="00F93417" w:rsidRPr="00DC03F7">
        <w:rPr>
          <w:rFonts w:ascii="Times New Roman" w:eastAsia="Times New Roman" w:hAnsi="Times New Roman" w:cs="Times New Roman"/>
          <w:color w:val="212121"/>
          <w:sz w:val="21"/>
          <w:szCs w:val="21"/>
          <w:lang w:val="es-ES" w:eastAsia="es-ES_tradnl"/>
        </w:rPr>
        <w:t>deb</w:t>
      </w:r>
      <w:r w:rsidR="00C47DB4">
        <w:rPr>
          <w:rFonts w:ascii="Times New Roman" w:eastAsia="Times New Roman" w:hAnsi="Times New Roman" w:cs="Times New Roman"/>
          <w:color w:val="212121"/>
          <w:sz w:val="21"/>
          <w:szCs w:val="21"/>
          <w:lang w:val="es-ES" w:eastAsia="es-ES_tradnl"/>
        </w:rPr>
        <w:t>a</w:t>
      </w:r>
      <w:r w:rsidR="00F93417" w:rsidRPr="00DC03F7">
        <w:rPr>
          <w:rFonts w:ascii="Times New Roman" w:eastAsia="Times New Roman" w:hAnsi="Times New Roman" w:cs="Times New Roman"/>
          <w:color w:val="212121"/>
          <w:sz w:val="21"/>
          <w:szCs w:val="21"/>
          <w:lang w:val="es-ES" w:eastAsia="es-ES_tradnl"/>
        </w:rPr>
        <w:t xml:space="preserve"> extenderse a las sanciones administrativas. Las mujeres víctimas de trata con fines de explotación sexual se enfrentan a un constante acoso policial cuando</w:t>
      </w:r>
      <w:r w:rsidR="00CF5118" w:rsidRPr="00DC03F7">
        <w:rPr>
          <w:rFonts w:ascii="Times New Roman" w:eastAsia="Times New Roman" w:hAnsi="Times New Roman" w:cs="Times New Roman"/>
          <w:color w:val="212121"/>
          <w:sz w:val="21"/>
          <w:szCs w:val="21"/>
          <w:lang w:val="es-ES" w:eastAsia="es-ES_tradnl"/>
        </w:rPr>
        <w:t xml:space="preserve"> las redes de trata les obligan</w:t>
      </w:r>
      <w:r w:rsidR="00F93417" w:rsidRPr="00DC03F7">
        <w:rPr>
          <w:rFonts w:ascii="Times New Roman" w:eastAsia="Times New Roman" w:hAnsi="Times New Roman" w:cs="Times New Roman"/>
          <w:color w:val="212121"/>
          <w:sz w:val="21"/>
          <w:szCs w:val="21"/>
          <w:lang w:val="es-ES" w:eastAsia="es-ES_tradnl"/>
        </w:rPr>
        <w:t xml:space="preserve"> a ejercer la prostitución en las calles. Esto se debe a que muchos países han aprobado leyes que regulan</w:t>
      </w:r>
      <w:r w:rsidR="00C47DB4">
        <w:rPr>
          <w:rFonts w:ascii="Times New Roman" w:eastAsia="Times New Roman" w:hAnsi="Times New Roman" w:cs="Times New Roman"/>
          <w:color w:val="212121"/>
          <w:sz w:val="21"/>
          <w:szCs w:val="21"/>
          <w:lang w:val="es-ES" w:eastAsia="es-ES_tradnl"/>
        </w:rPr>
        <w:t xml:space="preserve"> y sancionan</w:t>
      </w:r>
      <w:r w:rsidR="007C5F0F">
        <w:rPr>
          <w:rFonts w:ascii="Times New Roman" w:eastAsia="Times New Roman" w:hAnsi="Times New Roman" w:cs="Times New Roman"/>
          <w:color w:val="212121"/>
          <w:sz w:val="21"/>
          <w:szCs w:val="21"/>
          <w:lang w:val="es-ES" w:eastAsia="es-ES_tradnl"/>
        </w:rPr>
        <w:t xml:space="preserve"> el ejercicio de</w:t>
      </w:r>
      <w:r w:rsidR="00F93417" w:rsidRPr="00DC03F7">
        <w:rPr>
          <w:rFonts w:ascii="Times New Roman" w:eastAsia="Times New Roman" w:hAnsi="Times New Roman" w:cs="Times New Roman"/>
          <w:color w:val="212121"/>
          <w:sz w:val="21"/>
          <w:szCs w:val="21"/>
          <w:lang w:val="es-ES" w:eastAsia="es-ES_tradnl"/>
        </w:rPr>
        <w:t xml:space="preserve"> la prostitución en lugares públicos</w:t>
      </w:r>
      <w:r w:rsidR="007C5F0F">
        <w:rPr>
          <w:rFonts w:ascii="Times New Roman" w:eastAsia="Times New Roman" w:hAnsi="Times New Roman" w:cs="Times New Roman"/>
          <w:color w:val="212121"/>
          <w:sz w:val="21"/>
          <w:szCs w:val="21"/>
          <w:lang w:val="es-ES" w:eastAsia="es-ES_tradnl"/>
        </w:rPr>
        <w:t>,</w:t>
      </w:r>
      <w:r w:rsidR="00F93417" w:rsidRPr="00DC03F7">
        <w:rPr>
          <w:rFonts w:ascii="Times New Roman" w:eastAsia="Times New Roman" w:hAnsi="Times New Roman" w:cs="Times New Roman"/>
          <w:color w:val="212121"/>
          <w:sz w:val="21"/>
          <w:szCs w:val="21"/>
          <w:lang w:val="es-ES" w:eastAsia="es-ES_tradnl"/>
        </w:rPr>
        <w:t xml:space="preserve"> sin tener en cuenta </w:t>
      </w:r>
      <w:r w:rsidR="007C5F0F">
        <w:rPr>
          <w:rFonts w:ascii="Times New Roman" w:eastAsia="Times New Roman" w:hAnsi="Times New Roman" w:cs="Times New Roman"/>
          <w:color w:val="212121"/>
          <w:sz w:val="21"/>
          <w:szCs w:val="21"/>
          <w:lang w:val="es-ES" w:eastAsia="es-ES_tradnl"/>
        </w:rPr>
        <w:t xml:space="preserve">la presencia de </w:t>
      </w:r>
      <w:r w:rsidR="00F93417" w:rsidRPr="00DC03F7">
        <w:rPr>
          <w:rFonts w:ascii="Times New Roman" w:eastAsia="Times New Roman" w:hAnsi="Times New Roman" w:cs="Times New Roman"/>
          <w:color w:val="212121"/>
          <w:sz w:val="21"/>
          <w:szCs w:val="21"/>
          <w:lang w:val="es-ES" w:eastAsia="es-ES_tradnl"/>
        </w:rPr>
        <w:t>víctimas de la trata. Estas regulaciones</w:t>
      </w:r>
      <w:r w:rsidR="00A65637">
        <w:rPr>
          <w:rFonts w:ascii="Times New Roman" w:eastAsia="Times New Roman" w:hAnsi="Times New Roman" w:cs="Times New Roman"/>
          <w:color w:val="212121"/>
          <w:sz w:val="21"/>
          <w:szCs w:val="21"/>
          <w:lang w:val="es-ES" w:eastAsia="es-ES_tradnl"/>
        </w:rPr>
        <w:t>, ciegas a</w:t>
      </w:r>
      <w:r w:rsidR="009A7082">
        <w:rPr>
          <w:rFonts w:ascii="Times New Roman" w:eastAsia="Times New Roman" w:hAnsi="Times New Roman" w:cs="Times New Roman"/>
          <w:color w:val="212121"/>
          <w:sz w:val="21"/>
          <w:szCs w:val="21"/>
          <w:lang w:val="es-ES" w:eastAsia="es-ES_tradnl"/>
        </w:rPr>
        <w:t xml:space="preserve">l género y a la situación migratoria </w:t>
      </w:r>
      <w:r w:rsidR="002362DD">
        <w:rPr>
          <w:rFonts w:ascii="Times New Roman" w:eastAsia="Times New Roman" w:hAnsi="Times New Roman" w:cs="Times New Roman"/>
          <w:color w:val="212121"/>
          <w:sz w:val="21"/>
          <w:szCs w:val="21"/>
          <w:lang w:val="es-ES" w:eastAsia="es-ES_tradnl"/>
        </w:rPr>
        <w:t xml:space="preserve">irregular </w:t>
      </w:r>
      <w:r w:rsidR="009A7082">
        <w:rPr>
          <w:rFonts w:ascii="Times New Roman" w:eastAsia="Times New Roman" w:hAnsi="Times New Roman" w:cs="Times New Roman"/>
          <w:color w:val="212121"/>
          <w:sz w:val="21"/>
          <w:szCs w:val="21"/>
          <w:lang w:val="es-ES" w:eastAsia="es-ES_tradnl"/>
        </w:rPr>
        <w:t xml:space="preserve">de </w:t>
      </w:r>
      <w:r w:rsidR="002362DD">
        <w:rPr>
          <w:rFonts w:ascii="Times New Roman" w:eastAsia="Times New Roman" w:hAnsi="Times New Roman" w:cs="Times New Roman"/>
          <w:color w:val="212121"/>
          <w:sz w:val="21"/>
          <w:szCs w:val="21"/>
          <w:lang w:val="es-ES" w:eastAsia="es-ES_tradnl"/>
        </w:rPr>
        <w:t>muchas víctimas de trata,</w:t>
      </w:r>
      <w:r w:rsidR="00F93417" w:rsidRPr="00DC03F7">
        <w:rPr>
          <w:rFonts w:ascii="Times New Roman" w:eastAsia="Times New Roman" w:hAnsi="Times New Roman" w:cs="Times New Roman"/>
          <w:color w:val="212121"/>
          <w:sz w:val="21"/>
          <w:szCs w:val="21"/>
          <w:lang w:val="es-ES" w:eastAsia="es-ES_tradnl"/>
        </w:rPr>
        <w:t xml:space="preserve"> </w:t>
      </w:r>
      <w:r w:rsidR="00F66E08">
        <w:rPr>
          <w:rFonts w:ascii="Times New Roman" w:eastAsia="Times New Roman" w:hAnsi="Times New Roman" w:cs="Times New Roman"/>
          <w:color w:val="212121"/>
          <w:sz w:val="21"/>
          <w:szCs w:val="21"/>
          <w:lang w:val="es-ES" w:eastAsia="es-ES_tradnl"/>
        </w:rPr>
        <w:t xml:space="preserve">impactan de manera desproporcionada </w:t>
      </w:r>
      <w:r w:rsidR="002362DD">
        <w:rPr>
          <w:rFonts w:ascii="Times New Roman" w:eastAsia="Times New Roman" w:hAnsi="Times New Roman" w:cs="Times New Roman"/>
          <w:color w:val="212121"/>
          <w:sz w:val="21"/>
          <w:szCs w:val="21"/>
          <w:lang w:val="es-ES" w:eastAsia="es-ES_tradnl"/>
        </w:rPr>
        <w:t xml:space="preserve">sobre ellas. </w:t>
      </w:r>
      <w:r w:rsidR="00F93417" w:rsidRPr="00DC03F7">
        <w:rPr>
          <w:rFonts w:ascii="Times New Roman" w:eastAsia="Times New Roman" w:hAnsi="Times New Roman" w:cs="Times New Roman"/>
          <w:color w:val="212121"/>
          <w:sz w:val="21"/>
          <w:szCs w:val="21"/>
          <w:lang w:val="es-ES" w:eastAsia="es-ES_tradnl"/>
        </w:rPr>
        <w:t xml:space="preserve">Como consecuencia de dichas regulaciones, son multadas con sanciones administrativas que ponen en riesgo la </w:t>
      </w:r>
      <w:r w:rsidR="00DF2345">
        <w:rPr>
          <w:rFonts w:ascii="Times New Roman" w:eastAsia="Times New Roman" w:hAnsi="Times New Roman" w:cs="Times New Roman"/>
          <w:color w:val="212121"/>
          <w:sz w:val="21"/>
          <w:szCs w:val="21"/>
          <w:lang w:val="es-ES" w:eastAsia="es-ES_tradnl"/>
        </w:rPr>
        <w:t xml:space="preserve">obtención o la </w:t>
      </w:r>
      <w:r w:rsidR="00F93417" w:rsidRPr="00DC03F7">
        <w:rPr>
          <w:rFonts w:ascii="Times New Roman" w:eastAsia="Times New Roman" w:hAnsi="Times New Roman" w:cs="Times New Roman"/>
          <w:color w:val="212121"/>
          <w:sz w:val="21"/>
          <w:szCs w:val="21"/>
          <w:lang w:val="es-ES" w:eastAsia="es-ES_tradnl"/>
        </w:rPr>
        <w:t>renovación de sus permisos de residencia y las ubican en una situación potenciada de vulnerabilidad.</w:t>
      </w:r>
    </w:p>
    <w:p w14:paraId="608483D0" w14:textId="77777777" w:rsidR="00F93417" w:rsidRPr="00DC03F7" w:rsidRDefault="00F93417" w:rsidP="00F93417">
      <w:pPr>
        <w:pStyle w:val="ListParagraph"/>
        <w:rPr>
          <w:rFonts w:ascii="Times New Roman" w:eastAsia="Times New Roman" w:hAnsi="Times New Roman" w:cs="Times New Roman"/>
          <w:color w:val="212121"/>
          <w:sz w:val="21"/>
          <w:szCs w:val="21"/>
          <w:lang w:val="es-ES" w:eastAsia="es-ES_tradnl"/>
        </w:rPr>
      </w:pPr>
    </w:p>
    <w:p w14:paraId="56C1B62D" w14:textId="1D677F29" w:rsidR="00054B4F" w:rsidRPr="00DC03F7" w:rsidRDefault="00F93417" w:rsidP="00054B4F">
      <w:pPr>
        <w:pStyle w:val="ListParagraph"/>
        <w:numPr>
          <w:ilvl w:val="0"/>
          <w:numId w:val="9"/>
        </w:numPr>
        <w:spacing w:line="276" w:lineRule="auto"/>
        <w:ind w:left="0"/>
        <w:jc w:val="both"/>
        <w:rPr>
          <w:rFonts w:ascii="Times New Roman" w:eastAsia="Times New Roman" w:hAnsi="Times New Roman" w:cs="Times New Roman"/>
          <w:sz w:val="21"/>
          <w:szCs w:val="21"/>
          <w:lang w:val="es-ES" w:eastAsia="es-ES_tradnl"/>
        </w:rPr>
      </w:pPr>
      <w:r w:rsidRPr="00DC03F7">
        <w:rPr>
          <w:rFonts w:ascii="Times New Roman" w:eastAsia="Times New Roman" w:hAnsi="Times New Roman" w:cs="Times New Roman"/>
          <w:color w:val="212121"/>
          <w:sz w:val="21"/>
          <w:szCs w:val="21"/>
          <w:lang w:val="es-ES" w:eastAsia="es-ES_tradnl"/>
        </w:rPr>
        <w:t xml:space="preserve">Al mismo tiempo, la implementación del principio de </w:t>
      </w:r>
      <w:r w:rsidRPr="00DC03F7">
        <w:rPr>
          <w:rFonts w:ascii="Times New Roman" w:eastAsia="Times New Roman" w:hAnsi="Times New Roman" w:cs="Times New Roman"/>
          <w:i/>
          <w:color w:val="212121"/>
          <w:sz w:val="21"/>
          <w:szCs w:val="21"/>
          <w:lang w:val="es-ES" w:eastAsia="es-ES_tradnl"/>
        </w:rPr>
        <w:t>non-punishment</w:t>
      </w:r>
      <w:r w:rsidRPr="00DC03F7">
        <w:rPr>
          <w:rFonts w:ascii="Times New Roman" w:eastAsia="Times New Roman" w:hAnsi="Times New Roman" w:cs="Times New Roman"/>
          <w:color w:val="212121"/>
          <w:sz w:val="21"/>
          <w:szCs w:val="21"/>
          <w:lang w:val="es-ES" w:eastAsia="es-ES_tradnl"/>
        </w:rPr>
        <w:t xml:space="preserve"> con perspectiva de género requiere una comprensión de cómo las redes de trata utilizan a las mujeres y sus cuerpos. Las estrategias empleadas por las redes incluyen el control de su capacidad reproductiva y </w:t>
      </w:r>
      <w:r w:rsidR="00803F99">
        <w:rPr>
          <w:rFonts w:ascii="Times New Roman" w:eastAsia="Times New Roman" w:hAnsi="Times New Roman" w:cs="Times New Roman"/>
          <w:color w:val="212121"/>
          <w:sz w:val="21"/>
          <w:szCs w:val="21"/>
          <w:lang w:val="es-ES" w:eastAsia="es-ES_tradnl"/>
        </w:rPr>
        <w:t xml:space="preserve">la toma de decisiones sobre </w:t>
      </w:r>
      <w:r w:rsidRPr="00DC03F7">
        <w:rPr>
          <w:rFonts w:ascii="Times New Roman" w:eastAsia="Times New Roman" w:hAnsi="Times New Roman" w:cs="Times New Roman"/>
          <w:color w:val="212121"/>
          <w:sz w:val="21"/>
          <w:szCs w:val="21"/>
          <w:lang w:val="es-ES" w:eastAsia="es-ES_tradnl"/>
        </w:rPr>
        <w:t xml:space="preserve">sus hijos e hijas. Las redes de trata de personas deciden cuándo las mujeres pueden quedar embarazadas y cuándo no, lo que </w:t>
      </w:r>
      <w:r w:rsidR="004F7628">
        <w:rPr>
          <w:rFonts w:ascii="Times New Roman" w:eastAsia="Times New Roman" w:hAnsi="Times New Roman" w:cs="Times New Roman"/>
          <w:color w:val="212121"/>
          <w:sz w:val="21"/>
          <w:szCs w:val="21"/>
          <w:lang w:val="es-ES" w:eastAsia="es-ES_tradnl"/>
        </w:rPr>
        <w:t xml:space="preserve">con frecuencia </w:t>
      </w:r>
      <w:r w:rsidRPr="00DC03F7">
        <w:rPr>
          <w:rFonts w:ascii="Times New Roman" w:eastAsia="Times New Roman" w:hAnsi="Times New Roman" w:cs="Times New Roman"/>
          <w:color w:val="212121"/>
          <w:sz w:val="21"/>
          <w:szCs w:val="21"/>
          <w:lang w:val="es-ES" w:eastAsia="es-ES_tradnl"/>
        </w:rPr>
        <w:t xml:space="preserve">las obliga a </w:t>
      </w:r>
      <w:r w:rsidR="004F7628">
        <w:rPr>
          <w:rFonts w:ascii="Times New Roman" w:eastAsia="Times New Roman" w:hAnsi="Times New Roman" w:cs="Times New Roman"/>
          <w:color w:val="212121"/>
          <w:sz w:val="21"/>
          <w:szCs w:val="21"/>
          <w:lang w:val="es-ES" w:eastAsia="es-ES_tradnl"/>
        </w:rPr>
        <w:t>enfrentar</w:t>
      </w:r>
      <w:r w:rsidR="004F7628" w:rsidRPr="00DC03F7">
        <w:rPr>
          <w:rFonts w:ascii="Times New Roman" w:eastAsia="Times New Roman" w:hAnsi="Times New Roman" w:cs="Times New Roman"/>
          <w:color w:val="212121"/>
          <w:sz w:val="21"/>
          <w:szCs w:val="21"/>
          <w:lang w:val="es-ES" w:eastAsia="es-ES_tradnl"/>
        </w:rPr>
        <w:t xml:space="preserve"> </w:t>
      </w:r>
      <w:r w:rsidRPr="00DC03F7">
        <w:rPr>
          <w:rFonts w:ascii="Times New Roman" w:eastAsia="Times New Roman" w:hAnsi="Times New Roman" w:cs="Times New Roman"/>
          <w:color w:val="212121"/>
          <w:sz w:val="21"/>
          <w:szCs w:val="21"/>
          <w:lang w:val="es-ES" w:eastAsia="es-ES_tradnl"/>
        </w:rPr>
        <w:t>abortos inseguros</w:t>
      </w:r>
      <w:r w:rsidR="0061608D">
        <w:rPr>
          <w:rFonts w:ascii="Times New Roman" w:eastAsia="Times New Roman" w:hAnsi="Times New Roman" w:cs="Times New Roman"/>
          <w:color w:val="212121"/>
          <w:sz w:val="21"/>
          <w:szCs w:val="21"/>
          <w:lang w:val="es-ES" w:eastAsia="es-ES_tradnl"/>
        </w:rPr>
        <w:t xml:space="preserve"> o forzados</w:t>
      </w:r>
      <w:r w:rsidRPr="00DC03F7">
        <w:rPr>
          <w:rFonts w:ascii="Times New Roman" w:eastAsia="Times New Roman" w:hAnsi="Times New Roman" w:cs="Times New Roman"/>
          <w:color w:val="212121"/>
          <w:sz w:val="21"/>
          <w:szCs w:val="21"/>
          <w:lang w:val="es-ES" w:eastAsia="es-ES_tradnl"/>
        </w:rPr>
        <w:t>. Las mafias también determinan el destino de sus hijos/as</w:t>
      </w:r>
      <w:r w:rsidR="00CC06A7" w:rsidRPr="00DC03F7">
        <w:rPr>
          <w:rFonts w:ascii="Times New Roman" w:eastAsia="Times New Roman" w:hAnsi="Times New Roman" w:cs="Times New Roman"/>
          <w:color w:val="212121"/>
          <w:sz w:val="21"/>
          <w:szCs w:val="21"/>
          <w:lang w:val="es-ES" w:eastAsia="es-ES_tradnl"/>
        </w:rPr>
        <w:t xml:space="preserve"> y los </w:t>
      </w:r>
      <w:r w:rsidRPr="00DC03F7">
        <w:rPr>
          <w:rFonts w:ascii="Times New Roman" w:eastAsia="Times New Roman" w:hAnsi="Times New Roman" w:cs="Times New Roman"/>
          <w:color w:val="212121"/>
          <w:sz w:val="21"/>
          <w:szCs w:val="21"/>
          <w:lang w:val="es-ES" w:eastAsia="es-ES_tradnl"/>
        </w:rPr>
        <w:t xml:space="preserve">utilizan como una estrategia </w:t>
      </w:r>
      <w:r w:rsidR="0061608D">
        <w:rPr>
          <w:rFonts w:ascii="Times New Roman" w:eastAsia="Times New Roman" w:hAnsi="Times New Roman" w:cs="Times New Roman"/>
          <w:color w:val="212121"/>
          <w:sz w:val="21"/>
          <w:szCs w:val="21"/>
          <w:lang w:val="es-ES" w:eastAsia="es-ES_tradnl"/>
        </w:rPr>
        <w:t>en el</w:t>
      </w:r>
      <w:r w:rsidRPr="00DC03F7">
        <w:rPr>
          <w:rFonts w:ascii="Times New Roman" w:eastAsia="Times New Roman" w:hAnsi="Times New Roman" w:cs="Times New Roman"/>
          <w:color w:val="212121"/>
          <w:sz w:val="21"/>
          <w:szCs w:val="21"/>
          <w:lang w:val="es-ES" w:eastAsia="es-ES_tradnl"/>
        </w:rPr>
        <w:t xml:space="preserve"> cruce</w:t>
      </w:r>
      <w:r w:rsidR="0061608D">
        <w:rPr>
          <w:rFonts w:ascii="Times New Roman" w:eastAsia="Times New Roman" w:hAnsi="Times New Roman" w:cs="Times New Roman"/>
          <w:color w:val="212121"/>
          <w:sz w:val="21"/>
          <w:szCs w:val="21"/>
          <w:lang w:val="es-ES" w:eastAsia="es-ES_tradnl"/>
        </w:rPr>
        <w:t xml:space="preserve"> de </w:t>
      </w:r>
      <w:r w:rsidRPr="00DC03F7">
        <w:rPr>
          <w:rFonts w:ascii="Times New Roman" w:eastAsia="Times New Roman" w:hAnsi="Times New Roman" w:cs="Times New Roman"/>
          <w:color w:val="212121"/>
          <w:sz w:val="21"/>
          <w:szCs w:val="21"/>
          <w:lang w:val="es-ES" w:eastAsia="es-ES_tradnl"/>
        </w:rPr>
        <w:t>fronteras</w:t>
      </w:r>
      <w:r w:rsidR="0061608D">
        <w:rPr>
          <w:rFonts w:ascii="Times New Roman" w:eastAsia="Times New Roman" w:hAnsi="Times New Roman" w:cs="Times New Roman"/>
          <w:color w:val="212121"/>
          <w:sz w:val="21"/>
          <w:szCs w:val="21"/>
          <w:lang w:val="es-ES" w:eastAsia="es-ES_tradnl"/>
        </w:rPr>
        <w:t xml:space="preserve"> que favorece sus intereses</w:t>
      </w:r>
      <w:r w:rsidR="00711FCF" w:rsidRPr="00DC03F7">
        <w:rPr>
          <w:rStyle w:val="FootnoteReference"/>
          <w:rFonts w:ascii="Times New Roman" w:eastAsia="Times New Roman" w:hAnsi="Times New Roman" w:cs="Times New Roman"/>
          <w:color w:val="212121"/>
          <w:sz w:val="21"/>
          <w:szCs w:val="21"/>
          <w:lang w:val="es-ES" w:eastAsia="es-ES_tradnl"/>
        </w:rPr>
        <w:footnoteReference w:id="53"/>
      </w:r>
      <w:r w:rsidR="00711FCF" w:rsidRPr="00DC03F7">
        <w:rPr>
          <w:rFonts w:ascii="Times New Roman" w:eastAsia="Times New Roman" w:hAnsi="Times New Roman" w:cs="Times New Roman"/>
          <w:color w:val="212121"/>
          <w:sz w:val="21"/>
          <w:szCs w:val="21"/>
          <w:lang w:val="es-ES" w:eastAsia="es-ES_tradnl"/>
        </w:rPr>
        <w:t>.</w:t>
      </w:r>
      <w:r w:rsidRPr="00DC03F7">
        <w:rPr>
          <w:rFonts w:ascii="Times New Roman" w:eastAsia="Times New Roman" w:hAnsi="Times New Roman" w:cs="Times New Roman"/>
          <w:color w:val="212121"/>
          <w:sz w:val="21"/>
          <w:szCs w:val="21"/>
          <w:lang w:val="es-ES" w:eastAsia="es-ES_tradnl"/>
        </w:rPr>
        <w:t xml:space="preserve"> </w:t>
      </w:r>
    </w:p>
    <w:p w14:paraId="6076C09A" w14:textId="77777777" w:rsidR="005928F5" w:rsidRPr="00DC03F7" w:rsidRDefault="005928F5" w:rsidP="005928F5">
      <w:pPr>
        <w:spacing w:line="276" w:lineRule="auto"/>
        <w:jc w:val="both"/>
        <w:rPr>
          <w:sz w:val="21"/>
          <w:szCs w:val="21"/>
        </w:rPr>
      </w:pPr>
    </w:p>
    <w:p w14:paraId="46C7AF22" w14:textId="77777777" w:rsidR="001F5194" w:rsidRPr="00DC03F7" w:rsidRDefault="00F6327E" w:rsidP="00DB4704">
      <w:pPr>
        <w:pStyle w:val="ListParagraph"/>
        <w:numPr>
          <w:ilvl w:val="0"/>
          <w:numId w:val="1"/>
        </w:numPr>
        <w:spacing w:line="276" w:lineRule="auto"/>
        <w:ind w:left="0"/>
        <w:jc w:val="both"/>
        <w:rPr>
          <w:rFonts w:ascii="Times New Roman" w:hAnsi="Times New Roman" w:cs="Times New Roman"/>
          <w:b/>
          <w:sz w:val="21"/>
          <w:szCs w:val="21"/>
          <w:lang w:val="es-ES"/>
        </w:rPr>
      </w:pPr>
      <w:r w:rsidRPr="00DC03F7">
        <w:rPr>
          <w:rFonts w:ascii="Times New Roman" w:hAnsi="Times New Roman" w:cs="Times New Roman"/>
          <w:b/>
          <w:sz w:val="21"/>
          <w:szCs w:val="21"/>
          <w:lang w:val="es-ES"/>
        </w:rPr>
        <w:t>REPARACIONES</w:t>
      </w:r>
    </w:p>
    <w:p w14:paraId="7596875C" w14:textId="77777777" w:rsidR="00C24C3A" w:rsidRPr="00DC03F7" w:rsidRDefault="00C24C3A" w:rsidP="00E819C9">
      <w:pPr>
        <w:spacing w:line="276" w:lineRule="auto"/>
        <w:jc w:val="both"/>
        <w:rPr>
          <w:sz w:val="21"/>
          <w:szCs w:val="21"/>
        </w:rPr>
      </w:pPr>
    </w:p>
    <w:p w14:paraId="2AD3D6B9" w14:textId="58B737A4" w:rsidR="00223777" w:rsidRPr="00DC03F7" w:rsidRDefault="00C24C3A" w:rsidP="00E819C9">
      <w:pPr>
        <w:pStyle w:val="ListParagraph"/>
        <w:numPr>
          <w:ilvl w:val="0"/>
          <w:numId w:val="9"/>
        </w:numPr>
        <w:spacing w:line="276" w:lineRule="auto"/>
        <w:ind w:left="0"/>
        <w:jc w:val="both"/>
        <w:rPr>
          <w:rStyle w:val="PageNumber"/>
          <w:rFonts w:ascii="Times New Roman" w:hAnsi="Times New Roman" w:cs="Times New Roman"/>
          <w:sz w:val="21"/>
          <w:szCs w:val="21"/>
        </w:rPr>
      </w:pPr>
      <w:r w:rsidRPr="00DC03F7">
        <w:rPr>
          <w:rStyle w:val="PageNumber"/>
          <w:rFonts w:ascii="Times New Roman" w:hAnsi="Times New Roman" w:cs="Times New Roman"/>
          <w:sz w:val="21"/>
          <w:szCs w:val="21"/>
        </w:rPr>
        <w:t xml:space="preserve">Las mujeres víctimas de trata, en </w:t>
      </w:r>
      <w:r w:rsidR="001A08EF">
        <w:rPr>
          <w:rStyle w:val="PageNumber"/>
          <w:rFonts w:ascii="Times New Roman" w:hAnsi="Times New Roman" w:cs="Times New Roman"/>
          <w:sz w:val="21"/>
          <w:szCs w:val="21"/>
        </w:rPr>
        <w:t xml:space="preserve">la medida en que han experimentado </w:t>
      </w:r>
      <w:r w:rsidRPr="00DC03F7">
        <w:rPr>
          <w:rStyle w:val="PageNumber"/>
          <w:rFonts w:ascii="Times New Roman" w:hAnsi="Times New Roman" w:cs="Times New Roman"/>
          <w:sz w:val="21"/>
          <w:szCs w:val="21"/>
        </w:rPr>
        <w:t xml:space="preserve">violaciones </w:t>
      </w:r>
      <w:r w:rsidR="001A08EF">
        <w:rPr>
          <w:rStyle w:val="PageNumber"/>
          <w:rFonts w:ascii="Times New Roman" w:hAnsi="Times New Roman" w:cs="Times New Roman"/>
          <w:sz w:val="21"/>
          <w:szCs w:val="21"/>
        </w:rPr>
        <w:t>a sus</w:t>
      </w:r>
      <w:r w:rsidRPr="00DC03F7">
        <w:rPr>
          <w:rStyle w:val="PageNumber"/>
          <w:rFonts w:ascii="Times New Roman" w:hAnsi="Times New Roman" w:cs="Times New Roman"/>
          <w:sz w:val="21"/>
          <w:szCs w:val="21"/>
        </w:rPr>
        <w:t xml:space="preserve"> derechos humanos y </w:t>
      </w:r>
      <w:r w:rsidR="001A08EF">
        <w:rPr>
          <w:rStyle w:val="PageNumber"/>
          <w:rFonts w:ascii="Times New Roman" w:hAnsi="Times New Roman" w:cs="Times New Roman"/>
          <w:sz w:val="21"/>
          <w:szCs w:val="21"/>
        </w:rPr>
        <w:t>formas</w:t>
      </w:r>
      <w:r w:rsidRPr="00DC03F7">
        <w:rPr>
          <w:rStyle w:val="PageNumber"/>
          <w:rFonts w:ascii="Times New Roman" w:hAnsi="Times New Roman" w:cs="Times New Roman"/>
          <w:sz w:val="21"/>
          <w:szCs w:val="21"/>
        </w:rPr>
        <w:t xml:space="preserve"> de violencia por razón de género, tienen derecho a un recurso efectivo por </w:t>
      </w:r>
      <w:r w:rsidR="00045813">
        <w:rPr>
          <w:rStyle w:val="PageNumber"/>
          <w:rFonts w:ascii="Times New Roman" w:hAnsi="Times New Roman" w:cs="Times New Roman"/>
          <w:sz w:val="21"/>
          <w:szCs w:val="21"/>
        </w:rPr>
        <w:t>los</w:t>
      </w:r>
      <w:r w:rsidR="00045813" w:rsidRPr="00DC03F7">
        <w:rPr>
          <w:rStyle w:val="PageNumber"/>
          <w:rFonts w:ascii="Times New Roman" w:hAnsi="Times New Roman" w:cs="Times New Roman"/>
          <w:sz w:val="21"/>
          <w:szCs w:val="21"/>
        </w:rPr>
        <w:t xml:space="preserve"> </w:t>
      </w:r>
      <w:r w:rsidRPr="00DC03F7">
        <w:rPr>
          <w:rStyle w:val="PageNumber"/>
          <w:rFonts w:ascii="Times New Roman" w:hAnsi="Times New Roman" w:cs="Times New Roman"/>
          <w:sz w:val="21"/>
          <w:szCs w:val="21"/>
        </w:rPr>
        <w:t>daño</w:t>
      </w:r>
      <w:r w:rsidR="00045813">
        <w:rPr>
          <w:rStyle w:val="PageNumber"/>
          <w:rFonts w:ascii="Times New Roman" w:hAnsi="Times New Roman" w:cs="Times New Roman"/>
          <w:sz w:val="21"/>
          <w:szCs w:val="21"/>
        </w:rPr>
        <w:t>s</w:t>
      </w:r>
      <w:r w:rsidRPr="00DC03F7">
        <w:rPr>
          <w:rStyle w:val="PageNumber"/>
          <w:rFonts w:ascii="Times New Roman" w:hAnsi="Times New Roman" w:cs="Times New Roman"/>
          <w:sz w:val="21"/>
          <w:szCs w:val="21"/>
        </w:rPr>
        <w:t xml:space="preserve"> que se le haya</w:t>
      </w:r>
      <w:r w:rsidR="00045813">
        <w:rPr>
          <w:rStyle w:val="PageNumber"/>
          <w:rFonts w:ascii="Times New Roman" w:hAnsi="Times New Roman" w:cs="Times New Roman"/>
          <w:sz w:val="21"/>
          <w:szCs w:val="21"/>
        </w:rPr>
        <w:t>n</w:t>
      </w:r>
      <w:r w:rsidRPr="00DC03F7">
        <w:rPr>
          <w:rStyle w:val="PageNumber"/>
          <w:rFonts w:ascii="Times New Roman" w:hAnsi="Times New Roman" w:cs="Times New Roman"/>
          <w:sz w:val="21"/>
          <w:szCs w:val="21"/>
        </w:rPr>
        <w:t xml:space="preserve"> causado</w:t>
      </w:r>
      <w:r w:rsidRPr="00DC03F7">
        <w:rPr>
          <w:rStyle w:val="PageNumber"/>
          <w:rFonts w:ascii="Times New Roman" w:hAnsi="Times New Roman" w:cs="Times New Roman"/>
          <w:sz w:val="21"/>
          <w:szCs w:val="21"/>
          <w:vertAlign w:val="superscript"/>
        </w:rPr>
        <w:footnoteReference w:id="54"/>
      </w:r>
      <w:r w:rsidRPr="00DC03F7">
        <w:rPr>
          <w:rStyle w:val="PageNumber"/>
          <w:rFonts w:ascii="Times New Roman" w:hAnsi="Times New Roman" w:cs="Times New Roman"/>
          <w:sz w:val="21"/>
          <w:szCs w:val="21"/>
        </w:rPr>
        <w:t xml:space="preserve">. </w:t>
      </w:r>
      <w:r w:rsidR="006C3674">
        <w:rPr>
          <w:rFonts w:ascii="Times New Roman" w:hAnsi="Times New Roman" w:cs="Times New Roman"/>
          <w:sz w:val="21"/>
          <w:szCs w:val="21"/>
        </w:rPr>
        <w:t>L</w:t>
      </w:r>
      <w:r w:rsidRPr="00DC03F7">
        <w:rPr>
          <w:rStyle w:val="PageNumber"/>
          <w:rFonts w:ascii="Times New Roman" w:hAnsi="Times New Roman" w:cs="Times New Roman"/>
          <w:sz w:val="21"/>
          <w:szCs w:val="21"/>
        </w:rPr>
        <w:t xml:space="preserve">os Estados, incluidos los países de origen, tránsito y destino de la trata de personas, tienen la obligación de proporcionar medidas de reparación adecuadas, eficaces y </w:t>
      </w:r>
      <w:r w:rsidR="00CA4059">
        <w:rPr>
          <w:rStyle w:val="PageNumber"/>
          <w:rFonts w:ascii="Times New Roman" w:hAnsi="Times New Roman" w:cs="Times New Roman"/>
          <w:sz w:val="21"/>
          <w:szCs w:val="21"/>
        </w:rPr>
        <w:t>efectivas</w:t>
      </w:r>
      <w:r w:rsidR="00CA4059" w:rsidRPr="00DC03F7">
        <w:rPr>
          <w:rStyle w:val="PageNumber"/>
          <w:rFonts w:ascii="Times New Roman" w:hAnsi="Times New Roman" w:cs="Times New Roman"/>
          <w:sz w:val="21"/>
          <w:szCs w:val="21"/>
        </w:rPr>
        <w:t xml:space="preserve"> </w:t>
      </w:r>
      <w:r w:rsidRPr="00DC03F7">
        <w:rPr>
          <w:rStyle w:val="PageNumber"/>
          <w:rFonts w:ascii="Times New Roman" w:hAnsi="Times New Roman" w:cs="Times New Roman"/>
          <w:sz w:val="21"/>
          <w:szCs w:val="21"/>
        </w:rPr>
        <w:t>a las víctimas de trata, incluidas las mujeres y las niñas. Este deber incluye los casos en los que el Estado no haya ejercido la debida diligencia para prevenir la trata, investigar y procesar a los tratantes, y prestar asistencia y protección a las víctimas</w:t>
      </w:r>
      <w:r w:rsidRPr="00DC03F7">
        <w:rPr>
          <w:rStyle w:val="FootnoteReference"/>
          <w:rFonts w:ascii="Times New Roman" w:hAnsi="Times New Roman" w:cs="Times New Roman"/>
          <w:sz w:val="21"/>
          <w:szCs w:val="21"/>
        </w:rPr>
        <w:footnoteReference w:id="55"/>
      </w:r>
      <w:r w:rsidRPr="00DC03F7">
        <w:rPr>
          <w:rStyle w:val="PageNumber"/>
          <w:rFonts w:ascii="Times New Roman" w:hAnsi="Times New Roman" w:cs="Times New Roman"/>
          <w:sz w:val="21"/>
          <w:szCs w:val="21"/>
        </w:rPr>
        <w:t xml:space="preserve">. </w:t>
      </w:r>
    </w:p>
    <w:p w14:paraId="1BE14C41" w14:textId="77777777" w:rsidR="002C3730" w:rsidRPr="00DC03F7" w:rsidRDefault="002C3730" w:rsidP="00E819C9">
      <w:pPr>
        <w:spacing w:line="276" w:lineRule="auto"/>
        <w:jc w:val="both"/>
        <w:rPr>
          <w:rStyle w:val="PageNumber"/>
          <w:sz w:val="21"/>
          <w:szCs w:val="21"/>
        </w:rPr>
      </w:pPr>
    </w:p>
    <w:p w14:paraId="2D37134F" w14:textId="7EFCE6C4" w:rsidR="002C3730" w:rsidRPr="00DC03F7" w:rsidRDefault="005913A3" w:rsidP="00E819C9">
      <w:pPr>
        <w:pStyle w:val="ListParagraph"/>
        <w:numPr>
          <w:ilvl w:val="0"/>
          <w:numId w:val="9"/>
        </w:numPr>
        <w:spacing w:line="276" w:lineRule="auto"/>
        <w:ind w:left="0"/>
        <w:jc w:val="both"/>
        <w:rPr>
          <w:rStyle w:val="PageNumber"/>
          <w:rFonts w:ascii="Times New Roman" w:hAnsi="Times New Roman" w:cs="Times New Roman"/>
          <w:sz w:val="21"/>
          <w:szCs w:val="21"/>
        </w:rPr>
      </w:pPr>
      <w:r>
        <w:rPr>
          <w:rFonts w:ascii="Times New Roman" w:hAnsi="Times New Roman" w:cs="Times New Roman"/>
          <w:color w:val="000000" w:themeColor="text1"/>
          <w:sz w:val="21"/>
          <w:szCs w:val="21"/>
          <w:lang w:val="es-ES"/>
        </w:rPr>
        <w:t>L</w:t>
      </w:r>
      <w:r w:rsidR="002C3730" w:rsidRPr="00DC03F7">
        <w:rPr>
          <w:rFonts w:ascii="Times New Roman" w:hAnsi="Times New Roman" w:cs="Times New Roman"/>
          <w:color w:val="000000" w:themeColor="text1"/>
          <w:sz w:val="21"/>
          <w:szCs w:val="21"/>
          <w:lang w:val="es-ES"/>
        </w:rPr>
        <w:t xml:space="preserve">os Estados tienen una obligación reforzada de actuar con </w:t>
      </w:r>
      <w:r>
        <w:rPr>
          <w:rFonts w:ascii="Times New Roman" w:hAnsi="Times New Roman" w:cs="Times New Roman"/>
          <w:color w:val="000000" w:themeColor="text1"/>
          <w:sz w:val="21"/>
          <w:szCs w:val="21"/>
          <w:lang w:val="es-ES"/>
        </w:rPr>
        <w:t xml:space="preserve">la </w:t>
      </w:r>
      <w:r w:rsidR="002C3730" w:rsidRPr="00DC03F7">
        <w:rPr>
          <w:rFonts w:ascii="Times New Roman" w:hAnsi="Times New Roman" w:cs="Times New Roman"/>
          <w:color w:val="000000" w:themeColor="text1"/>
          <w:sz w:val="21"/>
          <w:szCs w:val="21"/>
          <w:lang w:val="es-ES"/>
        </w:rPr>
        <w:t>debida diligencia para prevenir, sancionar y erradicar la violencia contra la</w:t>
      </w:r>
      <w:r>
        <w:rPr>
          <w:rFonts w:ascii="Times New Roman" w:hAnsi="Times New Roman" w:cs="Times New Roman"/>
          <w:color w:val="000000" w:themeColor="text1"/>
          <w:sz w:val="21"/>
          <w:szCs w:val="21"/>
          <w:lang w:val="es-ES"/>
        </w:rPr>
        <w:t>s</w:t>
      </w:r>
      <w:r w:rsidR="002C3730" w:rsidRPr="00DC03F7">
        <w:rPr>
          <w:rFonts w:ascii="Times New Roman" w:hAnsi="Times New Roman" w:cs="Times New Roman"/>
          <w:color w:val="000000" w:themeColor="text1"/>
          <w:sz w:val="21"/>
          <w:szCs w:val="21"/>
          <w:lang w:val="es-ES"/>
        </w:rPr>
        <w:t xml:space="preserve"> mujer</w:t>
      </w:r>
      <w:r>
        <w:rPr>
          <w:rFonts w:ascii="Times New Roman" w:hAnsi="Times New Roman" w:cs="Times New Roman"/>
          <w:color w:val="000000" w:themeColor="text1"/>
          <w:sz w:val="21"/>
          <w:szCs w:val="21"/>
          <w:lang w:val="es-ES"/>
        </w:rPr>
        <w:t>es</w:t>
      </w:r>
      <w:r w:rsidR="00B95AE8">
        <w:rPr>
          <w:rFonts w:ascii="Times New Roman" w:hAnsi="Times New Roman" w:cs="Times New Roman"/>
          <w:color w:val="000000" w:themeColor="text1"/>
          <w:sz w:val="21"/>
          <w:szCs w:val="21"/>
          <w:lang w:val="es-ES"/>
        </w:rPr>
        <w:t xml:space="preserve"> y, </w:t>
      </w:r>
      <w:r w:rsidR="002C3730" w:rsidRPr="00DC03F7">
        <w:rPr>
          <w:rFonts w:ascii="Times New Roman" w:hAnsi="Times New Roman" w:cs="Times New Roman"/>
          <w:color w:val="000000" w:themeColor="text1"/>
          <w:sz w:val="21"/>
          <w:szCs w:val="21"/>
          <w:lang w:val="es-ES"/>
        </w:rPr>
        <w:t>en contexto</w:t>
      </w:r>
      <w:r w:rsidR="00B95AE8">
        <w:rPr>
          <w:rFonts w:ascii="Times New Roman" w:hAnsi="Times New Roman" w:cs="Times New Roman"/>
          <w:color w:val="000000" w:themeColor="text1"/>
          <w:sz w:val="21"/>
          <w:szCs w:val="21"/>
          <w:lang w:val="es-ES"/>
        </w:rPr>
        <w:t>s</w:t>
      </w:r>
      <w:r w:rsidR="002C3730" w:rsidRPr="00DC03F7">
        <w:rPr>
          <w:rFonts w:ascii="Times New Roman" w:hAnsi="Times New Roman" w:cs="Times New Roman"/>
          <w:color w:val="000000" w:themeColor="text1"/>
          <w:sz w:val="21"/>
          <w:szCs w:val="21"/>
          <w:lang w:val="es-ES"/>
        </w:rPr>
        <w:t xml:space="preserve"> de migración y movilidad humana, debe</w:t>
      </w:r>
      <w:r w:rsidR="00B95AE8">
        <w:rPr>
          <w:rFonts w:ascii="Times New Roman" w:hAnsi="Times New Roman" w:cs="Times New Roman"/>
          <w:color w:val="000000" w:themeColor="text1"/>
          <w:sz w:val="21"/>
          <w:szCs w:val="21"/>
          <w:lang w:val="es-ES"/>
        </w:rPr>
        <w:t>n</w:t>
      </w:r>
      <w:r w:rsidR="002C3730" w:rsidRPr="00DC03F7">
        <w:rPr>
          <w:rFonts w:ascii="Times New Roman" w:hAnsi="Times New Roman" w:cs="Times New Roman"/>
          <w:color w:val="000000" w:themeColor="text1"/>
          <w:sz w:val="21"/>
          <w:szCs w:val="21"/>
          <w:lang w:val="es-ES"/>
        </w:rPr>
        <w:t xml:space="preserve"> tener en cuenta la situación de vulnerabilidad a la que se ven expuestas las mujeres y niñas tanto por la condición de exclusión y discriminación en sus países de origen,</w:t>
      </w:r>
      <w:r w:rsidR="00756C96">
        <w:rPr>
          <w:rFonts w:ascii="Times New Roman" w:hAnsi="Times New Roman" w:cs="Times New Roman"/>
          <w:color w:val="000000" w:themeColor="text1"/>
          <w:sz w:val="21"/>
          <w:szCs w:val="21"/>
          <w:lang w:val="es-ES"/>
        </w:rPr>
        <w:t xml:space="preserve"> que a menudo </w:t>
      </w:r>
      <w:r w:rsidR="00915841">
        <w:rPr>
          <w:rFonts w:ascii="Times New Roman" w:hAnsi="Times New Roman" w:cs="Times New Roman"/>
          <w:color w:val="000000" w:themeColor="text1"/>
          <w:sz w:val="21"/>
          <w:szCs w:val="21"/>
          <w:lang w:val="es-ES"/>
        </w:rPr>
        <w:t>provoca su huida</w:t>
      </w:r>
      <w:r w:rsidR="00756C96">
        <w:rPr>
          <w:rFonts w:ascii="Times New Roman" w:hAnsi="Times New Roman" w:cs="Times New Roman"/>
          <w:color w:val="000000" w:themeColor="text1"/>
          <w:sz w:val="21"/>
          <w:szCs w:val="21"/>
          <w:lang w:val="es-ES"/>
        </w:rPr>
        <w:t>,</w:t>
      </w:r>
      <w:r w:rsidR="002C3730" w:rsidRPr="00DC03F7">
        <w:rPr>
          <w:rFonts w:ascii="Times New Roman" w:hAnsi="Times New Roman" w:cs="Times New Roman"/>
          <w:color w:val="000000" w:themeColor="text1"/>
          <w:sz w:val="21"/>
          <w:szCs w:val="21"/>
          <w:lang w:val="es-ES"/>
        </w:rPr>
        <w:t xml:space="preserve"> como por la</w:t>
      </w:r>
      <w:r w:rsidR="00714CC7" w:rsidRPr="00DC03F7">
        <w:rPr>
          <w:rFonts w:ascii="Times New Roman" w:hAnsi="Times New Roman" w:cs="Times New Roman"/>
          <w:color w:val="000000" w:themeColor="text1"/>
          <w:sz w:val="21"/>
          <w:szCs w:val="21"/>
          <w:lang w:val="es-ES"/>
        </w:rPr>
        <w:t>s</w:t>
      </w:r>
      <w:r w:rsidR="002C3730" w:rsidRPr="00DC03F7">
        <w:rPr>
          <w:rFonts w:ascii="Times New Roman" w:hAnsi="Times New Roman" w:cs="Times New Roman"/>
          <w:color w:val="000000" w:themeColor="text1"/>
          <w:sz w:val="21"/>
          <w:szCs w:val="21"/>
          <w:lang w:val="es-ES"/>
        </w:rPr>
        <w:t xml:space="preserve"> violencia</w:t>
      </w:r>
      <w:r w:rsidR="00714CC7" w:rsidRPr="00DC03F7">
        <w:rPr>
          <w:rFonts w:ascii="Times New Roman" w:hAnsi="Times New Roman" w:cs="Times New Roman"/>
          <w:color w:val="000000" w:themeColor="text1"/>
          <w:sz w:val="21"/>
          <w:szCs w:val="21"/>
          <w:lang w:val="es-ES"/>
        </w:rPr>
        <w:t>s</w:t>
      </w:r>
      <w:r w:rsidR="002C3730" w:rsidRPr="00DC03F7">
        <w:rPr>
          <w:rFonts w:ascii="Times New Roman" w:hAnsi="Times New Roman" w:cs="Times New Roman"/>
          <w:color w:val="000000" w:themeColor="text1"/>
          <w:sz w:val="21"/>
          <w:szCs w:val="21"/>
          <w:lang w:val="es-ES"/>
        </w:rPr>
        <w:t xml:space="preserve"> específica</w:t>
      </w:r>
      <w:r w:rsidR="00AB054C">
        <w:rPr>
          <w:rFonts w:ascii="Times New Roman" w:hAnsi="Times New Roman" w:cs="Times New Roman"/>
          <w:color w:val="000000" w:themeColor="text1"/>
          <w:sz w:val="21"/>
          <w:szCs w:val="21"/>
          <w:lang w:val="es-ES"/>
        </w:rPr>
        <w:t>s</w:t>
      </w:r>
      <w:r w:rsidR="002C3730" w:rsidRPr="00DC03F7">
        <w:rPr>
          <w:rFonts w:ascii="Times New Roman" w:hAnsi="Times New Roman" w:cs="Times New Roman"/>
          <w:color w:val="000000" w:themeColor="text1"/>
          <w:sz w:val="21"/>
          <w:szCs w:val="21"/>
          <w:lang w:val="es-ES"/>
        </w:rPr>
        <w:t xml:space="preserve"> que </w:t>
      </w:r>
      <w:r w:rsidR="001E0E1E">
        <w:rPr>
          <w:rFonts w:ascii="Times New Roman" w:hAnsi="Times New Roman" w:cs="Times New Roman"/>
          <w:color w:val="000000" w:themeColor="text1"/>
          <w:sz w:val="21"/>
          <w:szCs w:val="21"/>
          <w:lang w:val="es-ES"/>
        </w:rPr>
        <w:t xml:space="preserve">enfrentan en los tránsitos migratorios </w:t>
      </w:r>
      <w:r w:rsidR="002C3730" w:rsidRPr="00DC03F7">
        <w:rPr>
          <w:rFonts w:ascii="Times New Roman" w:hAnsi="Times New Roman" w:cs="Times New Roman"/>
          <w:color w:val="000000" w:themeColor="text1"/>
          <w:sz w:val="21"/>
          <w:szCs w:val="21"/>
          <w:lang w:val="es-ES"/>
        </w:rPr>
        <w:t xml:space="preserve">o </w:t>
      </w:r>
      <w:r w:rsidR="001E0E1E">
        <w:rPr>
          <w:rFonts w:ascii="Times New Roman" w:hAnsi="Times New Roman" w:cs="Times New Roman"/>
          <w:color w:val="000000" w:themeColor="text1"/>
          <w:sz w:val="21"/>
          <w:szCs w:val="21"/>
          <w:lang w:val="es-ES"/>
        </w:rPr>
        <w:t xml:space="preserve">en los </w:t>
      </w:r>
      <w:r w:rsidR="002C3730" w:rsidRPr="00DC03F7">
        <w:rPr>
          <w:rFonts w:ascii="Times New Roman" w:hAnsi="Times New Roman" w:cs="Times New Roman"/>
          <w:color w:val="000000" w:themeColor="text1"/>
          <w:sz w:val="21"/>
          <w:szCs w:val="21"/>
          <w:lang w:val="es-ES"/>
        </w:rPr>
        <w:t>desplaza</w:t>
      </w:r>
      <w:r w:rsidR="001E0E1E">
        <w:rPr>
          <w:rFonts w:ascii="Times New Roman" w:hAnsi="Times New Roman" w:cs="Times New Roman"/>
          <w:color w:val="000000" w:themeColor="text1"/>
          <w:sz w:val="21"/>
          <w:szCs w:val="21"/>
          <w:lang w:val="es-ES"/>
        </w:rPr>
        <w:t>mientos</w:t>
      </w:r>
      <w:r w:rsidR="00EB1354">
        <w:rPr>
          <w:rFonts w:ascii="Times New Roman" w:hAnsi="Times New Roman" w:cs="Times New Roman"/>
          <w:color w:val="000000" w:themeColor="text1"/>
          <w:sz w:val="21"/>
          <w:szCs w:val="21"/>
          <w:lang w:val="es-ES"/>
        </w:rPr>
        <w:t xml:space="preserve"> internos o forzados</w:t>
      </w:r>
      <w:r w:rsidR="002C3730" w:rsidRPr="00DC03F7">
        <w:rPr>
          <w:rStyle w:val="FootnoteReference"/>
          <w:rFonts w:ascii="Times New Roman" w:hAnsi="Times New Roman" w:cs="Times New Roman"/>
          <w:color w:val="000000" w:themeColor="text1"/>
          <w:sz w:val="21"/>
          <w:szCs w:val="21"/>
          <w:lang w:val="es-ES"/>
        </w:rPr>
        <w:footnoteReference w:id="56"/>
      </w:r>
      <w:r w:rsidR="002C3730" w:rsidRPr="00DC03F7">
        <w:rPr>
          <w:rFonts w:ascii="Times New Roman" w:hAnsi="Times New Roman" w:cs="Times New Roman"/>
          <w:color w:val="000000" w:themeColor="text1"/>
          <w:sz w:val="21"/>
          <w:szCs w:val="21"/>
          <w:lang w:val="es-ES"/>
        </w:rPr>
        <w:t xml:space="preserve">.   </w:t>
      </w:r>
    </w:p>
    <w:p w14:paraId="34EC924B" w14:textId="77777777" w:rsidR="00CA682F" w:rsidRPr="00DC03F7" w:rsidRDefault="00CA682F" w:rsidP="00E819C9">
      <w:pPr>
        <w:pBdr>
          <w:top w:val="nil"/>
          <w:left w:val="nil"/>
          <w:bottom w:val="nil"/>
          <w:right w:val="nil"/>
          <w:between w:val="nil"/>
          <w:bar w:val="nil"/>
        </w:pBdr>
        <w:spacing w:line="276" w:lineRule="auto"/>
        <w:jc w:val="both"/>
        <w:rPr>
          <w:rStyle w:val="PageNumber"/>
          <w:sz w:val="21"/>
          <w:szCs w:val="21"/>
        </w:rPr>
      </w:pPr>
    </w:p>
    <w:p w14:paraId="72B523DB" w14:textId="5EE8E816" w:rsidR="00170318" w:rsidRPr="00DC03F7" w:rsidRDefault="00CA682F" w:rsidP="00E819C9">
      <w:pPr>
        <w:pStyle w:val="ListParagraph"/>
        <w:numPr>
          <w:ilvl w:val="0"/>
          <w:numId w:val="9"/>
        </w:numPr>
        <w:pBdr>
          <w:top w:val="nil"/>
          <w:left w:val="nil"/>
          <w:bottom w:val="nil"/>
          <w:right w:val="nil"/>
          <w:between w:val="nil"/>
          <w:bar w:val="nil"/>
        </w:pBdr>
        <w:spacing w:line="276" w:lineRule="auto"/>
        <w:ind w:left="0"/>
        <w:jc w:val="both"/>
        <w:rPr>
          <w:rStyle w:val="PageNumber"/>
          <w:rFonts w:ascii="Times New Roman" w:hAnsi="Times New Roman" w:cs="Times New Roman"/>
          <w:sz w:val="21"/>
          <w:szCs w:val="21"/>
        </w:rPr>
      </w:pPr>
      <w:r w:rsidRPr="00DC03F7">
        <w:rPr>
          <w:rStyle w:val="PageNumber"/>
          <w:rFonts w:ascii="Times New Roman" w:hAnsi="Times New Roman" w:cs="Times New Roman"/>
          <w:sz w:val="21"/>
          <w:szCs w:val="21"/>
        </w:rPr>
        <w:t>La ex Relatora Especial sobre la violencia contra las mujeres, sus causas y consecuencias, Rashida Manjoo, ha insistido que muchas veces las mujeres quedan fuera de su derecho a la reparación en condiciones de igualdad</w:t>
      </w:r>
      <w:r w:rsidR="005C362E">
        <w:rPr>
          <w:rStyle w:val="FootnoteReference"/>
          <w:rFonts w:ascii="Times New Roman" w:hAnsi="Times New Roman" w:cs="Times New Roman"/>
          <w:sz w:val="21"/>
          <w:szCs w:val="21"/>
        </w:rPr>
        <w:footnoteReference w:id="57"/>
      </w:r>
      <w:r w:rsidRPr="00DC03F7">
        <w:rPr>
          <w:rStyle w:val="PageNumber"/>
          <w:rFonts w:ascii="Times New Roman" w:hAnsi="Times New Roman" w:cs="Times New Roman"/>
          <w:sz w:val="21"/>
          <w:szCs w:val="21"/>
        </w:rPr>
        <w:t xml:space="preserve">. </w:t>
      </w:r>
      <w:r w:rsidR="007C0326">
        <w:rPr>
          <w:rStyle w:val="PageNumber"/>
          <w:rFonts w:ascii="Times New Roman" w:hAnsi="Times New Roman" w:cs="Times New Roman"/>
          <w:sz w:val="21"/>
          <w:szCs w:val="21"/>
        </w:rPr>
        <w:t xml:space="preserve">Incluso </w:t>
      </w:r>
      <w:r w:rsidR="00170318" w:rsidRPr="00DC03F7">
        <w:rPr>
          <w:rStyle w:val="PageNumber"/>
          <w:rFonts w:ascii="Times New Roman" w:hAnsi="Times New Roman" w:cs="Times New Roman"/>
          <w:sz w:val="21"/>
          <w:szCs w:val="21"/>
        </w:rPr>
        <w:t>en casos donde se ha logrado la persecución penal y condena del responsable de la trata o explotación, queda en evidencia que cuando la respuesta del Estado se centra exclusivamente en el ámbito del derecho penal, las víctimas transcurren el proceso judicial sin acceder a ningún tipo de atención o reparación, lo que les sigue dejando en una situación de desprotección (</w:t>
      </w:r>
      <w:r w:rsidR="00170318" w:rsidRPr="00DC03F7">
        <w:rPr>
          <w:rStyle w:val="PageNumber"/>
          <w:rFonts w:ascii="Times New Roman" w:hAnsi="Times New Roman" w:cs="Times New Roman"/>
          <w:b/>
          <w:sz w:val="21"/>
          <w:szCs w:val="21"/>
        </w:rPr>
        <w:t xml:space="preserve">ver </w:t>
      </w:r>
      <w:hyperlink r:id="rId24" w:history="1">
        <w:r w:rsidR="00B95048" w:rsidRPr="002D0388">
          <w:rPr>
            <w:rStyle w:val="Hyperlink"/>
            <w:rFonts w:ascii="Times New Roman" w:hAnsi="Times New Roman" w:cs="Times New Roman"/>
            <w:b/>
            <w:sz w:val="21"/>
            <w:szCs w:val="21"/>
          </w:rPr>
          <w:t>C</w:t>
        </w:r>
        <w:r w:rsidR="00170318" w:rsidRPr="002D0388">
          <w:rPr>
            <w:rStyle w:val="Hyperlink"/>
            <w:rFonts w:ascii="Times New Roman" w:hAnsi="Times New Roman" w:cs="Times New Roman"/>
            <w:b/>
            <w:sz w:val="21"/>
            <w:szCs w:val="21"/>
          </w:rPr>
          <w:t>aso</w:t>
        </w:r>
        <w:r w:rsidR="00B95048" w:rsidRPr="002D0388">
          <w:rPr>
            <w:rStyle w:val="Hyperlink"/>
            <w:rFonts w:ascii="Times New Roman" w:hAnsi="Times New Roman" w:cs="Times New Roman"/>
            <w:b/>
            <w:sz w:val="21"/>
            <w:szCs w:val="21"/>
          </w:rPr>
          <w:t xml:space="preserve"> 5 </w:t>
        </w:r>
        <w:r w:rsidR="006665B8" w:rsidRPr="002D0388">
          <w:rPr>
            <w:rStyle w:val="Hyperlink"/>
            <w:rFonts w:ascii="Times New Roman" w:hAnsi="Times New Roman" w:cs="Times New Roman"/>
            <w:b/>
            <w:sz w:val="21"/>
            <w:szCs w:val="21"/>
          </w:rPr>
          <w:t>–</w:t>
        </w:r>
        <w:r w:rsidR="00170318" w:rsidRPr="002D0388">
          <w:rPr>
            <w:rStyle w:val="Hyperlink"/>
            <w:rFonts w:ascii="Times New Roman" w:hAnsi="Times New Roman" w:cs="Times New Roman"/>
            <w:b/>
            <w:sz w:val="21"/>
            <w:szCs w:val="21"/>
          </w:rPr>
          <w:t xml:space="preserve"> E</w:t>
        </w:r>
        <w:r w:rsidR="003440DD" w:rsidRPr="002D0388">
          <w:rPr>
            <w:rStyle w:val="Hyperlink"/>
            <w:rFonts w:ascii="Times New Roman" w:hAnsi="Times New Roman" w:cs="Times New Roman"/>
            <w:b/>
            <w:sz w:val="21"/>
            <w:szCs w:val="21"/>
          </w:rPr>
          <w:t>.</w:t>
        </w:r>
        <w:r w:rsidR="00170318" w:rsidRPr="002D0388">
          <w:rPr>
            <w:rStyle w:val="Hyperlink"/>
            <w:rFonts w:ascii="Times New Roman" w:hAnsi="Times New Roman" w:cs="Times New Roman"/>
            <w:b/>
            <w:sz w:val="21"/>
            <w:szCs w:val="21"/>
          </w:rPr>
          <w:t>E</w:t>
        </w:r>
        <w:r w:rsidR="00B95048" w:rsidRPr="002D0388">
          <w:rPr>
            <w:rStyle w:val="Hyperlink"/>
            <w:rFonts w:ascii="Times New Roman" w:hAnsi="Times New Roman" w:cs="Times New Roman"/>
            <w:b/>
            <w:sz w:val="21"/>
            <w:szCs w:val="21"/>
          </w:rPr>
          <w:t>.</w:t>
        </w:r>
      </w:hyperlink>
      <w:r w:rsidR="00170318" w:rsidRPr="00DC03F7">
        <w:rPr>
          <w:rStyle w:val="PageNumber"/>
          <w:rFonts w:ascii="Times New Roman" w:hAnsi="Times New Roman" w:cs="Times New Roman"/>
          <w:b/>
          <w:sz w:val="21"/>
          <w:szCs w:val="21"/>
        </w:rPr>
        <w:t>).</w:t>
      </w:r>
    </w:p>
    <w:p w14:paraId="2A2D75E1" w14:textId="77777777" w:rsidR="00170318" w:rsidRPr="00DC03F7" w:rsidRDefault="00170318" w:rsidP="00E819C9">
      <w:pPr>
        <w:pBdr>
          <w:top w:val="nil"/>
          <w:left w:val="nil"/>
          <w:bottom w:val="nil"/>
          <w:right w:val="nil"/>
          <w:between w:val="nil"/>
          <w:bar w:val="nil"/>
        </w:pBdr>
        <w:spacing w:line="276" w:lineRule="auto"/>
        <w:jc w:val="both"/>
        <w:rPr>
          <w:rStyle w:val="PageNumber"/>
          <w:sz w:val="21"/>
          <w:szCs w:val="21"/>
        </w:rPr>
      </w:pPr>
    </w:p>
    <w:p w14:paraId="2D10132E" w14:textId="5190ADDD" w:rsidR="00876D0F" w:rsidRPr="00425C1B" w:rsidRDefault="00CA682F" w:rsidP="003B38C5">
      <w:pPr>
        <w:pStyle w:val="ListParagraph"/>
        <w:numPr>
          <w:ilvl w:val="0"/>
          <w:numId w:val="9"/>
        </w:numPr>
        <w:pBdr>
          <w:top w:val="nil"/>
          <w:left w:val="nil"/>
          <w:bottom w:val="nil"/>
          <w:right w:val="nil"/>
          <w:between w:val="nil"/>
          <w:bar w:val="nil"/>
        </w:pBdr>
        <w:spacing w:line="276" w:lineRule="auto"/>
        <w:ind w:left="0"/>
        <w:jc w:val="both"/>
        <w:rPr>
          <w:rStyle w:val="PageNumber"/>
          <w:rFonts w:ascii="Times New Roman" w:hAnsi="Times New Roman" w:cs="Times New Roman"/>
          <w:sz w:val="21"/>
          <w:szCs w:val="21"/>
          <w:lang w:val="es-ES"/>
        </w:rPr>
      </w:pPr>
      <w:r w:rsidRPr="00DC03F7">
        <w:rPr>
          <w:rStyle w:val="PageNumber"/>
          <w:rFonts w:ascii="Times New Roman" w:hAnsi="Times New Roman" w:cs="Times New Roman"/>
          <w:sz w:val="21"/>
          <w:szCs w:val="21"/>
        </w:rPr>
        <w:t>Para la ex relatora</w:t>
      </w:r>
      <w:r w:rsidRPr="008623E4">
        <w:rPr>
          <w:rStyle w:val="PageNumber"/>
          <w:rFonts w:ascii="Times New Roman" w:hAnsi="Times New Roman" w:cs="Times New Roman"/>
          <w:sz w:val="21"/>
          <w:szCs w:val="21"/>
        </w:rPr>
        <w:t xml:space="preserve">, </w:t>
      </w:r>
      <w:r w:rsidR="008623E4">
        <w:rPr>
          <w:rFonts w:ascii="Times New Roman" w:hAnsi="Times New Roman" w:cs="Times New Roman"/>
          <w:sz w:val="21"/>
          <w:szCs w:val="21"/>
          <w:lang w:val="es-ES"/>
        </w:rPr>
        <w:t>l</w:t>
      </w:r>
      <w:r w:rsidR="008623E4" w:rsidRPr="00425C1B">
        <w:rPr>
          <w:rFonts w:ascii="Times New Roman" w:hAnsi="Times New Roman" w:cs="Times New Roman"/>
          <w:sz w:val="21"/>
          <w:szCs w:val="21"/>
          <w:lang w:val="es-ES"/>
        </w:rPr>
        <w:t xml:space="preserve">a escasa atención a las reparaciones, </w:t>
      </w:r>
      <w:r w:rsidR="008623E4">
        <w:rPr>
          <w:rFonts w:ascii="Times New Roman" w:hAnsi="Times New Roman" w:cs="Times New Roman"/>
          <w:sz w:val="21"/>
          <w:szCs w:val="21"/>
          <w:lang w:val="es-ES"/>
        </w:rPr>
        <w:t xml:space="preserve">tanto </w:t>
      </w:r>
      <w:r w:rsidR="008623E4" w:rsidRPr="00425C1B">
        <w:rPr>
          <w:rFonts w:ascii="Times New Roman" w:hAnsi="Times New Roman" w:cs="Times New Roman"/>
          <w:sz w:val="21"/>
          <w:szCs w:val="21"/>
          <w:lang w:val="es-ES"/>
        </w:rPr>
        <w:t xml:space="preserve">en </w:t>
      </w:r>
      <w:r w:rsidR="008623E4">
        <w:rPr>
          <w:rFonts w:ascii="Times New Roman" w:hAnsi="Times New Roman" w:cs="Times New Roman"/>
          <w:sz w:val="21"/>
          <w:szCs w:val="21"/>
          <w:lang w:val="es-ES"/>
        </w:rPr>
        <w:t>el</w:t>
      </w:r>
      <w:r w:rsidR="008623E4" w:rsidRPr="00425C1B">
        <w:rPr>
          <w:rFonts w:ascii="Times New Roman" w:hAnsi="Times New Roman" w:cs="Times New Roman"/>
          <w:sz w:val="21"/>
          <w:szCs w:val="21"/>
          <w:lang w:val="es-ES"/>
        </w:rPr>
        <w:t xml:space="preserve"> plano sustantivo como de procedimiento, a las mujeres víctimas de la violencia está reñida con el hecho de que estas son frecuente objeto de violencia tanto sexual como de otro tipo no solo durante los conflictos, sino en tiempos </w:t>
      </w:r>
      <w:r w:rsidR="00284172">
        <w:rPr>
          <w:rFonts w:ascii="Times New Roman" w:hAnsi="Times New Roman" w:cs="Times New Roman"/>
          <w:sz w:val="21"/>
          <w:szCs w:val="21"/>
          <w:lang w:val="es-ES"/>
        </w:rPr>
        <w:t>de</w:t>
      </w:r>
      <w:r w:rsidR="003B38C5">
        <w:rPr>
          <w:rFonts w:ascii="Times New Roman" w:hAnsi="Times New Roman" w:cs="Times New Roman"/>
          <w:sz w:val="21"/>
          <w:szCs w:val="21"/>
          <w:lang w:val="es-ES"/>
        </w:rPr>
        <w:t xml:space="preserve"> paz</w:t>
      </w:r>
      <w:r w:rsidR="008623E4" w:rsidRPr="00425C1B">
        <w:rPr>
          <w:rFonts w:ascii="Times New Roman" w:hAnsi="Times New Roman" w:cs="Times New Roman"/>
          <w:sz w:val="21"/>
          <w:szCs w:val="21"/>
          <w:lang w:val="es-ES"/>
        </w:rPr>
        <w:t xml:space="preserve">. </w:t>
      </w:r>
      <w:r w:rsidR="00B861CD">
        <w:rPr>
          <w:rFonts w:ascii="Times New Roman" w:hAnsi="Times New Roman" w:cs="Times New Roman"/>
          <w:sz w:val="21"/>
          <w:szCs w:val="21"/>
          <w:lang w:val="es-ES"/>
        </w:rPr>
        <w:t xml:space="preserve"> Debido a que </w:t>
      </w:r>
      <w:r w:rsidRPr="003B38C5">
        <w:rPr>
          <w:rStyle w:val="PageNumber"/>
          <w:rFonts w:ascii="Times New Roman" w:hAnsi="Times New Roman" w:cs="Times New Roman"/>
          <w:sz w:val="21"/>
          <w:szCs w:val="21"/>
        </w:rPr>
        <w:t xml:space="preserve">las mujeres suelen afrontar efectos desproporcionados de la violencia </w:t>
      </w:r>
      <w:r w:rsidR="004A390D" w:rsidRPr="003B38C5">
        <w:rPr>
          <w:rStyle w:val="PageNumber"/>
          <w:rFonts w:ascii="Times New Roman" w:hAnsi="Times New Roman" w:cs="Times New Roman"/>
          <w:sz w:val="21"/>
          <w:szCs w:val="21"/>
        </w:rPr>
        <w:t>ejercida</w:t>
      </w:r>
      <w:r w:rsidRPr="003B38C5">
        <w:rPr>
          <w:rStyle w:val="PageNumber"/>
          <w:rFonts w:ascii="Times New Roman" w:hAnsi="Times New Roman" w:cs="Times New Roman"/>
          <w:sz w:val="21"/>
          <w:szCs w:val="21"/>
        </w:rPr>
        <w:t xml:space="preserve"> contra ellas, sus parejas</w:t>
      </w:r>
      <w:r w:rsidR="0080344B">
        <w:rPr>
          <w:rStyle w:val="PageNumber"/>
          <w:rFonts w:ascii="Times New Roman" w:hAnsi="Times New Roman" w:cs="Times New Roman"/>
          <w:sz w:val="21"/>
          <w:szCs w:val="21"/>
        </w:rPr>
        <w:t xml:space="preserve"> y</w:t>
      </w:r>
      <w:r w:rsidRPr="003B38C5">
        <w:rPr>
          <w:rStyle w:val="PageNumber"/>
          <w:rFonts w:ascii="Times New Roman" w:hAnsi="Times New Roman" w:cs="Times New Roman"/>
          <w:sz w:val="21"/>
          <w:szCs w:val="21"/>
        </w:rPr>
        <w:t xml:space="preserve"> sus familiares a cargo y </w:t>
      </w:r>
      <w:r w:rsidR="0080344B">
        <w:rPr>
          <w:rStyle w:val="PageNumber"/>
          <w:rFonts w:ascii="Times New Roman" w:hAnsi="Times New Roman" w:cs="Times New Roman"/>
          <w:sz w:val="21"/>
          <w:szCs w:val="21"/>
        </w:rPr>
        <w:t xml:space="preserve">a </w:t>
      </w:r>
      <w:r w:rsidRPr="003B38C5">
        <w:rPr>
          <w:rStyle w:val="PageNumber"/>
          <w:rFonts w:ascii="Times New Roman" w:hAnsi="Times New Roman" w:cs="Times New Roman"/>
          <w:sz w:val="21"/>
          <w:szCs w:val="21"/>
        </w:rPr>
        <w:t xml:space="preserve">la forma desigual y diferenciada </w:t>
      </w:r>
      <w:r w:rsidR="00DA5FC2">
        <w:rPr>
          <w:rStyle w:val="PageNumber"/>
          <w:rFonts w:ascii="Times New Roman" w:hAnsi="Times New Roman" w:cs="Times New Roman"/>
          <w:sz w:val="21"/>
          <w:szCs w:val="21"/>
        </w:rPr>
        <w:t>en que</w:t>
      </w:r>
      <w:r w:rsidRPr="003B38C5">
        <w:rPr>
          <w:rStyle w:val="PageNumber"/>
          <w:rFonts w:ascii="Times New Roman" w:hAnsi="Times New Roman" w:cs="Times New Roman"/>
          <w:sz w:val="21"/>
          <w:szCs w:val="21"/>
        </w:rPr>
        <w:t xml:space="preserve"> la violencia afecta a las mujeres, resulta indispensable establecer medidas concretas de resarcimiento y reparación integral a fin de satisfacer sus necesidades y prioridades específicas de un modo transformador</w:t>
      </w:r>
      <w:r w:rsidRPr="00DC03F7">
        <w:rPr>
          <w:rStyle w:val="FootnoteReference"/>
          <w:rFonts w:ascii="Times New Roman" w:hAnsi="Times New Roman" w:cs="Times New Roman"/>
          <w:sz w:val="21"/>
          <w:szCs w:val="21"/>
        </w:rPr>
        <w:footnoteReference w:id="58"/>
      </w:r>
      <w:r w:rsidRPr="003B38C5">
        <w:rPr>
          <w:rStyle w:val="PageNumber"/>
          <w:rFonts w:ascii="Times New Roman" w:hAnsi="Times New Roman" w:cs="Times New Roman"/>
          <w:sz w:val="21"/>
          <w:szCs w:val="21"/>
        </w:rPr>
        <w:t xml:space="preserve">. </w:t>
      </w:r>
      <w:r w:rsidR="00D63E8A">
        <w:rPr>
          <w:rStyle w:val="PageNumber"/>
          <w:rFonts w:ascii="Times New Roman" w:hAnsi="Times New Roman" w:cs="Times New Roman"/>
          <w:sz w:val="21"/>
          <w:szCs w:val="21"/>
        </w:rPr>
        <w:t>Ello</w:t>
      </w:r>
      <w:r w:rsidRPr="003B38C5">
        <w:rPr>
          <w:rStyle w:val="PageNumber"/>
          <w:rFonts w:ascii="Times New Roman" w:hAnsi="Times New Roman" w:cs="Times New Roman"/>
          <w:sz w:val="21"/>
          <w:szCs w:val="21"/>
        </w:rPr>
        <w:t xml:space="preserve"> supone, según la Declaración de Nairobi sobre el Derecho de las mujeres y las niñas a interponer recursos y obtener reparaciones, reflejar e incorporar las perspectivas de las víctimas y sus defensoras, </w:t>
      </w:r>
      <w:r w:rsidR="00D63E8A">
        <w:rPr>
          <w:rStyle w:val="PageNumber"/>
          <w:rFonts w:ascii="Times New Roman" w:hAnsi="Times New Roman" w:cs="Times New Roman"/>
          <w:sz w:val="21"/>
          <w:szCs w:val="21"/>
        </w:rPr>
        <w:t>y de</w:t>
      </w:r>
      <w:r w:rsidR="00A0124E">
        <w:rPr>
          <w:rStyle w:val="PageNumber"/>
          <w:rFonts w:ascii="Times New Roman" w:hAnsi="Times New Roman" w:cs="Times New Roman"/>
          <w:sz w:val="21"/>
          <w:szCs w:val="21"/>
        </w:rPr>
        <w:t xml:space="preserve">finir </w:t>
      </w:r>
      <w:r w:rsidRPr="003B38C5">
        <w:rPr>
          <w:rStyle w:val="PageNumber"/>
          <w:rFonts w:ascii="Times New Roman" w:hAnsi="Times New Roman" w:cs="Times New Roman"/>
          <w:sz w:val="21"/>
          <w:szCs w:val="21"/>
        </w:rPr>
        <w:t>la noción de “víctima” en el contexto de las experiencias de las mujeres y las niñas y su derecho intangible e irrenunciable a obtener reparaciones</w:t>
      </w:r>
      <w:r w:rsidRPr="00DC03F7">
        <w:rPr>
          <w:rStyle w:val="FootnoteReference"/>
          <w:rFonts w:ascii="Times New Roman" w:hAnsi="Times New Roman" w:cs="Times New Roman"/>
          <w:sz w:val="21"/>
          <w:szCs w:val="21"/>
        </w:rPr>
        <w:footnoteReference w:id="59"/>
      </w:r>
      <w:r w:rsidRPr="003B38C5">
        <w:rPr>
          <w:rStyle w:val="PageNumber"/>
          <w:rFonts w:ascii="Times New Roman" w:hAnsi="Times New Roman" w:cs="Times New Roman"/>
          <w:sz w:val="21"/>
          <w:szCs w:val="21"/>
        </w:rPr>
        <w:t>.</w:t>
      </w:r>
    </w:p>
    <w:p w14:paraId="5CBC8867" w14:textId="77777777" w:rsidR="00876D0F" w:rsidRPr="00DC03F7" w:rsidRDefault="00876D0F" w:rsidP="00E819C9">
      <w:pPr>
        <w:pBdr>
          <w:top w:val="nil"/>
          <w:left w:val="nil"/>
          <w:bottom w:val="nil"/>
          <w:right w:val="nil"/>
          <w:between w:val="nil"/>
          <w:bar w:val="nil"/>
        </w:pBdr>
        <w:spacing w:line="276" w:lineRule="auto"/>
        <w:jc w:val="both"/>
        <w:rPr>
          <w:rStyle w:val="PageNumber"/>
          <w:sz w:val="21"/>
          <w:szCs w:val="21"/>
        </w:rPr>
      </w:pPr>
    </w:p>
    <w:p w14:paraId="47C9B634" w14:textId="5BC0C2B3" w:rsidR="00876D0F" w:rsidRPr="00DC03F7" w:rsidRDefault="00876D0F" w:rsidP="00E819C9">
      <w:pPr>
        <w:pStyle w:val="ListParagraph"/>
        <w:numPr>
          <w:ilvl w:val="0"/>
          <w:numId w:val="9"/>
        </w:numPr>
        <w:pBdr>
          <w:top w:val="nil"/>
          <w:left w:val="nil"/>
          <w:bottom w:val="nil"/>
          <w:right w:val="nil"/>
          <w:between w:val="nil"/>
          <w:bar w:val="nil"/>
        </w:pBdr>
        <w:spacing w:line="276" w:lineRule="auto"/>
        <w:ind w:left="0"/>
        <w:jc w:val="both"/>
        <w:rPr>
          <w:rStyle w:val="PageNumber"/>
          <w:rFonts w:ascii="Times New Roman" w:hAnsi="Times New Roman" w:cs="Times New Roman"/>
          <w:sz w:val="21"/>
          <w:szCs w:val="21"/>
        </w:rPr>
      </w:pPr>
      <w:r w:rsidRPr="00DC03F7">
        <w:rPr>
          <w:rStyle w:val="PageNumber"/>
          <w:rFonts w:ascii="Times New Roman" w:hAnsi="Times New Roman" w:cs="Times New Roman"/>
          <w:sz w:val="21"/>
          <w:szCs w:val="21"/>
        </w:rPr>
        <w:t xml:space="preserve">En este mismo sentido, la ex Relatora Especial sobre violencia contra la mujer hace énfasis en que “como cada caso de violencia contra las mujeres [incluida la trata de mujeres] suele enmarcarse en </w:t>
      </w:r>
      <w:r w:rsidRPr="00DC03F7">
        <w:rPr>
          <w:rStyle w:val="PageNumber"/>
          <w:rFonts w:ascii="Times New Roman" w:hAnsi="Times New Roman" w:cs="Times New Roman"/>
          <w:color w:val="000000" w:themeColor="text1"/>
          <w:sz w:val="21"/>
          <w:szCs w:val="21"/>
        </w:rPr>
        <w:t>pautas de subordinación y marginación preexistentes y a menudo interrelacionadas, dichas medidas [de reparación] deben vincular las reparaciones individuales y la transformación estructural”</w:t>
      </w:r>
      <w:r w:rsidRPr="00DC03F7">
        <w:rPr>
          <w:rStyle w:val="PageNumber"/>
          <w:rFonts w:ascii="Times New Roman" w:hAnsi="Times New Roman" w:cs="Times New Roman"/>
          <w:color w:val="000000" w:themeColor="text1"/>
          <w:sz w:val="21"/>
          <w:szCs w:val="21"/>
          <w:vertAlign w:val="superscript"/>
        </w:rPr>
        <w:footnoteReference w:id="60"/>
      </w:r>
      <w:r w:rsidRPr="00DC03F7">
        <w:rPr>
          <w:rStyle w:val="PageNumber"/>
          <w:rFonts w:ascii="Times New Roman" w:hAnsi="Times New Roman" w:cs="Times New Roman"/>
          <w:color w:val="000000" w:themeColor="text1"/>
          <w:sz w:val="21"/>
          <w:szCs w:val="21"/>
        </w:rPr>
        <w:t xml:space="preserve">. </w:t>
      </w:r>
      <w:r w:rsidRPr="00DC03F7">
        <w:rPr>
          <w:rStyle w:val="PageNumber"/>
          <w:rFonts w:ascii="Times New Roman" w:hAnsi="Times New Roman" w:cs="Times New Roman"/>
          <w:sz w:val="21"/>
          <w:szCs w:val="21"/>
        </w:rPr>
        <w:t>De esta forma, las reparaciones deben impulsar la transformación de las desigualdades socioculturales, políticas y estructurales que inciden en la vida de las mujeres y las niñas</w:t>
      </w:r>
      <w:r w:rsidR="00B047D6">
        <w:rPr>
          <w:rStyle w:val="PageNumber"/>
          <w:rFonts w:ascii="Times New Roman" w:hAnsi="Times New Roman" w:cs="Times New Roman"/>
          <w:sz w:val="21"/>
          <w:szCs w:val="21"/>
        </w:rPr>
        <w:t xml:space="preserve"> y las </w:t>
      </w:r>
      <w:r w:rsidR="00B907B8">
        <w:rPr>
          <w:rStyle w:val="PageNumber"/>
          <w:rFonts w:ascii="Times New Roman" w:hAnsi="Times New Roman" w:cs="Times New Roman"/>
          <w:sz w:val="21"/>
          <w:szCs w:val="21"/>
        </w:rPr>
        <w:t>hacen vulnerables a la violencia y a la explotación. Por ello, la</w:t>
      </w:r>
      <w:r w:rsidR="005E762F">
        <w:rPr>
          <w:rStyle w:val="PageNumber"/>
          <w:rFonts w:ascii="Times New Roman" w:hAnsi="Times New Roman" w:cs="Times New Roman"/>
          <w:sz w:val="21"/>
          <w:szCs w:val="21"/>
        </w:rPr>
        <w:t>s medidas de reparación deben ir más allá de la mera</w:t>
      </w:r>
      <w:r w:rsidR="00B907B8">
        <w:rPr>
          <w:rStyle w:val="PageNumber"/>
          <w:rFonts w:ascii="Times New Roman" w:hAnsi="Times New Roman" w:cs="Times New Roman"/>
          <w:sz w:val="21"/>
          <w:szCs w:val="21"/>
        </w:rPr>
        <w:t xml:space="preserve"> </w:t>
      </w:r>
      <w:r w:rsidRPr="00DC03F7">
        <w:rPr>
          <w:rStyle w:val="PageNumber"/>
          <w:rFonts w:ascii="Times New Roman" w:hAnsi="Times New Roman" w:cs="Times New Roman"/>
          <w:sz w:val="21"/>
          <w:szCs w:val="21"/>
        </w:rPr>
        <w:t>reintegración y restitución</w:t>
      </w:r>
      <w:r w:rsidR="005E762F">
        <w:rPr>
          <w:rStyle w:val="PageNumber"/>
          <w:rFonts w:ascii="Times New Roman" w:hAnsi="Times New Roman" w:cs="Times New Roman"/>
          <w:sz w:val="21"/>
          <w:szCs w:val="21"/>
        </w:rPr>
        <w:t xml:space="preserve"> y deben tener</w:t>
      </w:r>
      <w:r w:rsidR="00A36A43">
        <w:rPr>
          <w:rStyle w:val="PageNumber"/>
          <w:rFonts w:ascii="Times New Roman" w:hAnsi="Times New Roman" w:cs="Times New Roman"/>
          <w:sz w:val="21"/>
          <w:szCs w:val="21"/>
        </w:rPr>
        <w:t xml:space="preserve"> un potencial transformador </w:t>
      </w:r>
      <w:r w:rsidR="005F52C9">
        <w:rPr>
          <w:rStyle w:val="PageNumber"/>
          <w:rFonts w:ascii="Times New Roman" w:hAnsi="Times New Roman" w:cs="Times New Roman"/>
          <w:sz w:val="21"/>
          <w:szCs w:val="21"/>
        </w:rPr>
        <w:t>que empodere a mujeres y niñas</w:t>
      </w:r>
      <w:r w:rsidR="0051182E">
        <w:rPr>
          <w:rStyle w:val="PageNumber"/>
          <w:rFonts w:ascii="Times New Roman" w:hAnsi="Times New Roman" w:cs="Times New Roman"/>
          <w:sz w:val="21"/>
          <w:szCs w:val="21"/>
        </w:rPr>
        <w:t xml:space="preserve"> y garantice su acceso a sus derechos económicos, sociales y culturales</w:t>
      </w:r>
      <w:r w:rsidRPr="00DC03F7">
        <w:rPr>
          <w:rStyle w:val="PageNumber"/>
          <w:rFonts w:ascii="Times New Roman" w:hAnsi="Times New Roman" w:cs="Times New Roman"/>
          <w:sz w:val="21"/>
          <w:szCs w:val="21"/>
          <w:vertAlign w:val="superscript"/>
        </w:rPr>
        <w:footnoteReference w:id="61"/>
      </w:r>
      <w:r w:rsidRPr="00DC03F7">
        <w:rPr>
          <w:rStyle w:val="PageNumber"/>
          <w:rFonts w:ascii="Times New Roman" w:hAnsi="Times New Roman" w:cs="Times New Roman"/>
          <w:sz w:val="21"/>
          <w:szCs w:val="21"/>
        </w:rPr>
        <w:t xml:space="preserve">. </w:t>
      </w:r>
    </w:p>
    <w:p w14:paraId="205FBA1D" w14:textId="77777777" w:rsidR="00876D0F" w:rsidRPr="00DC03F7" w:rsidRDefault="00876D0F" w:rsidP="00E819C9">
      <w:pPr>
        <w:pStyle w:val="Cuerpo"/>
        <w:spacing w:line="276" w:lineRule="auto"/>
        <w:jc w:val="both"/>
        <w:rPr>
          <w:rFonts w:cs="Times New Roman"/>
          <w:sz w:val="21"/>
          <w:szCs w:val="21"/>
        </w:rPr>
      </w:pPr>
    </w:p>
    <w:p w14:paraId="1373C07B" w14:textId="7FB97D1E" w:rsidR="005059A5" w:rsidRPr="00DC03F7" w:rsidRDefault="005F52C9" w:rsidP="00E819C9">
      <w:pPr>
        <w:pStyle w:val="ListParagraph"/>
        <w:numPr>
          <w:ilvl w:val="0"/>
          <w:numId w:val="9"/>
        </w:numPr>
        <w:pBdr>
          <w:top w:val="nil"/>
          <w:left w:val="nil"/>
          <w:bottom w:val="nil"/>
          <w:right w:val="nil"/>
          <w:between w:val="nil"/>
          <w:bar w:val="nil"/>
        </w:pBdr>
        <w:spacing w:line="276" w:lineRule="auto"/>
        <w:ind w:left="0"/>
        <w:jc w:val="both"/>
        <w:rPr>
          <w:rStyle w:val="PageNumber"/>
          <w:rFonts w:ascii="Times New Roman" w:hAnsi="Times New Roman" w:cs="Times New Roman"/>
          <w:sz w:val="21"/>
          <w:szCs w:val="21"/>
        </w:rPr>
      </w:pPr>
      <w:r>
        <w:rPr>
          <w:rStyle w:val="PageNumber"/>
          <w:rFonts w:ascii="Times New Roman" w:hAnsi="Times New Roman" w:cs="Times New Roman"/>
          <w:sz w:val="21"/>
          <w:szCs w:val="21"/>
        </w:rPr>
        <w:t>E</w:t>
      </w:r>
      <w:r w:rsidR="00876D0F" w:rsidRPr="00DC03F7">
        <w:rPr>
          <w:rStyle w:val="PageNumber"/>
          <w:rFonts w:ascii="Times New Roman" w:hAnsi="Times New Roman" w:cs="Times New Roman"/>
          <w:sz w:val="21"/>
          <w:szCs w:val="21"/>
        </w:rPr>
        <w:t>n caso</w:t>
      </w:r>
      <w:r>
        <w:rPr>
          <w:rStyle w:val="PageNumber"/>
          <w:rFonts w:ascii="Times New Roman" w:hAnsi="Times New Roman" w:cs="Times New Roman"/>
          <w:sz w:val="21"/>
          <w:szCs w:val="21"/>
        </w:rPr>
        <w:t>s</w:t>
      </w:r>
      <w:r w:rsidR="00876D0F" w:rsidRPr="00DC03F7">
        <w:rPr>
          <w:rStyle w:val="PageNumber"/>
          <w:rFonts w:ascii="Times New Roman" w:hAnsi="Times New Roman" w:cs="Times New Roman"/>
          <w:sz w:val="21"/>
          <w:szCs w:val="21"/>
        </w:rPr>
        <w:t xml:space="preserve"> de violencia sexual y otr</w:t>
      </w:r>
      <w:r>
        <w:rPr>
          <w:rStyle w:val="PageNumber"/>
          <w:rFonts w:ascii="Times New Roman" w:hAnsi="Times New Roman" w:cs="Times New Roman"/>
          <w:sz w:val="21"/>
          <w:szCs w:val="21"/>
        </w:rPr>
        <w:t>a</w:t>
      </w:r>
      <w:r w:rsidR="00876D0F" w:rsidRPr="00DC03F7">
        <w:rPr>
          <w:rStyle w:val="PageNumber"/>
          <w:rFonts w:ascii="Times New Roman" w:hAnsi="Times New Roman" w:cs="Times New Roman"/>
          <w:sz w:val="21"/>
          <w:szCs w:val="21"/>
        </w:rPr>
        <w:t xml:space="preserve">s </w:t>
      </w:r>
      <w:r>
        <w:rPr>
          <w:rStyle w:val="PageNumber"/>
          <w:rFonts w:ascii="Times New Roman" w:hAnsi="Times New Roman" w:cs="Times New Roman"/>
          <w:sz w:val="21"/>
          <w:szCs w:val="21"/>
        </w:rPr>
        <w:t>formas de violencia</w:t>
      </w:r>
      <w:r w:rsidRPr="00DC03F7">
        <w:rPr>
          <w:rStyle w:val="PageNumber"/>
          <w:rFonts w:ascii="Times New Roman" w:hAnsi="Times New Roman" w:cs="Times New Roman"/>
          <w:sz w:val="21"/>
          <w:szCs w:val="21"/>
        </w:rPr>
        <w:t xml:space="preserve"> </w:t>
      </w:r>
      <w:r w:rsidR="00876D0F" w:rsidRPr="00DC03F7">
        <w:rPr>
          <w:rStyle w:val="PageNumber"/>
          <w:rFonts w:ascii="Times New Roman" w:hAnsi="Times New Roman" w:cs="Times New Roman"/>
          <w:sz w:val="21"/>
          <w:szCs w:val="21"/>
        </w:rPr>
        <w:t xml:space="preserve">por motivos de género como la trata de mujeres, los </w:t>
      </w:r>
      <w:r w:rsidR="00876D0F" w:rsidRPr="00DC03F7">
        <w:rPr>
          <w:rStyle w:val="PageNumber"/>
          <w:rFonts w:ascii="Times New Roman" w:hAnsi="Times New Roman" w:cs="Times New Roman"/>
          <w:color w:val="000000" w:themeColor="text1"/>
          <w:sz w:val="21"/>
          <w:szCs w:val="21"/>
        </w:rPr>
        <w:t>Estados deben tomar en cuenta las consecuencias multidimensionales y a largo plazo de estos crímenes para las mujeres y las niñas, sus familias y comunidades, requiriéndose enfoques especializados, integrados y multidisciplinarios</w:t>
      </w:r>
      <w:r w:rsidR="00514555" w:rsidRPr="00DC03F7">
        <w:rPr>
          <w:rStyle w:val="FootnoteReference"/>
          <w:rFonts w:ascii="Times New Roman" w:hAnsi="Times New Roman" w:cs="Times New Roman"/>
          <w:color w:val="000000" w:themeColor="text1"/>
          <w:sz w:val="21"/>
          <w:szCs w:val="21"/>
        </w:rPr>
        <w:footnoteReference w:id="62"/>
      </w:r>
      <w:r w:rsidR="006C0F08">
        <w:rPr>
          <w:rStyle w:val="PageNumber"/>
          <w:rFonts w:ascii="Times New Roman" w:hAnsi="Times New Roman" w:cs="Times New Roman"/>
          <w:sz w:val="21"/>
          <w:szCs w:val="21"/>
        </w:rPr>
        <w:t>.</w:t>
      </w:r>
      <w:r w:rsidR="00876D0F" w:rsidRPr="00DC03F7">
        <w:rPr>
          <w:rStyle w:val="PageNumber"/>
          <w:rFonts w:ascii="Times New Roman" w:hAnsi="Times New Roman" w:cs="Times New Roman"/>
          <w:sz w:val="21"/>
          <w:szCs w:val="21"/>
        </w:rPr>
        <w:t xml:space="preserve"> </w:t>
      </w:r>
      <w:r w:rsidR="006C0F08">
        <w:rPr>
          <w:rStyle w:val="PageNumber"/>
          <w:rFonts w:ascii="Times New Roman" w:hAnsi="Times New Roman" w:cs="Times New Roman"/>
          <w:sz w:val="21"/>
          <w:szCs w:val="21"/>
        </w:rPr>
        <w:t>L</w:t>
      </w:r>
      <w:r w:rsidR="00876D0F" w:rsidRPr="00DC03F7">
        <w:rPr>
          <w:rStyle w:val="PageNumber"/>
          <w:rFonts w:ascii="Times New Roman" w:hAnsi="Times New Roman" w:cs="Times New Roman"/>
          <w:sz w:val="21"/>
          <w:szCs w:val="21"/>
        </w:rPr>
        <w:t xml:space="preserve">as reparaciones deben ir más allá de las razones y consecuencias inmediatas de los crímenes y las violaciones, </w:t>
      </w:r>
      <w:r w:rsidR="0051182E">
        <w:rPr>
          <w:rStyle w:val="PageNumber"/>
          <w:rFonts w:ascii="Times New Roman" w:hAnsi="Times New Roman" w:cs="Times New Roman"/>
          <w:sz w:val="21"/>
          <w:szCs w:val="21"/>
        </w:rPr>
        <w:t>y</w:t>
      </w:r>
      <w:r w:rsidR="0051182E" w:rsidRPr="00DC03F7">
        <w:rPr>
          <w:rStyle w:val="PageNumber"/>
          <w:rFonts w:ascii="Times New Roman" w:hAnsi="Times New Roman" w:cs="Times New Roman"/>
          <w:sz w:val="21"/>
          <w:szCs w:val="21"/>
        </w:rPr>
        <w:t xml:space="preserve"> </w:t>
      </w:r>
      <w:r w:rsidR="00876D0F" w:rsidRPr="00DC03F7">
        <w:rPr>
          <w:rStyle w:val="PageNumber"/>
          <w:rFonts w:ascii="Times New Roman" w:hAnsi="Times New Roman" w:cs="Times New Roman"/>
          <w:sz w:val="21"/>
          <w:szCs w:val="21"/>
        </w:rPr>
        <w:t>deben apuntar a la transformación de las desigualdades políticas y estructurales</w:t>
      </w:r>
      <w:r w:rsidR="003E5BBA" w:rsidRPr="00DC03F7">
        <w:rPr>
          <w:rStyle w:val="FootnoteReference"/>
          <w:rFonts w:ascii="Times New Roman" w:hAnsi="Times New Roman" w:cs="Times New Roman"/>
          <w:sz w:val="21"/>
          <w:szCs w:val="21"/>
        </w:rPr>
        <w:footnoteReference w:id="63"/>
      </w:r>
      <w:r w:rsidR="00876D0F" w:rsidRPr="00DC03F7">
        <w:rPr>
          <w:rStyle w:val="PageNumber"/>
          <w:rFonts w:ascii="Times New Roman" w:hAnsi="Times New Roman" w:cs="Times New Roman"/>
          <w:sz w:val="21"/>
          <w:szCs w:val="21"/>
        </w:rPr>
        <w:t xml:space="preserve"> que influyen negativamente en la vida de las mujeres y las niñas</w:t>
      </w:r>
      <w:r w:rsidR="003E5BBA" w:rsidRPr="00DC03F7">
        <w:rPr>
          <w:rStyle w:val="FootnoteReference"/>
          <w:rFonts w:ascii="Times New Roman" w:hAnsi="Times New Roman" w:cs="Times New Roman"/>
          <w:sz w:val="21"/>
          <w:szCs w:val="21"/>
        </w:rPr>
        <w:footnoteReference w:id="64"/>
      </w:r>
      <w:r w:rsidR="00876D0F" w:rsidRPr="00DC03F7">
        <w:rPr>
          <w:rStyle w:val="PageNumber"/>
          <w:rFonts w:ascii="Times New Roman" w:hAnsi="Times New Roman" w:cs="Times New Roman"/>
          <w:sz w:val="21"/>
          <w:szCs w:val="21"/>
        </w:rPr>
        <w:t xml:space="preserve">. </w:t>
      </w:r>
    </w:p>
    <w:p w14:paraId="5AABEF45" w14:textId="77777777" w:rsidR="005059A5" w:rsidRPr="00DC03F7" w:rsidRDefault="005059A5" w:rsidP="00E819C9">
      <w:pPr>
        <w:pBdr>
          <w:top w:val="nil"/>
          <w:left w:val="nil"/>
          <w:bottom w:val="nil"/>
          <w:right w:val="nil"/>
          <w:between w:val="nil"/>
          <w:bar w:val="nil"/>
        </w:pBdr>
        <w:spacing w:line="276" w:lineRule="auto"/>
        <w:jc w:val="both"/>
        <w:rPr>
          <w:rStyle w:val="PageNumber"/>
          <w:sz w:val="21"/>
          <w:szCs w:val="21"/>
        </w:rPr>
      </w:pPr>
    </w:p>
    <w:p w14:paraId="110719F0" w14:textId="37F178AD" w:rsidR="00F3107D" w:rsidRPr="00DC03F7" w:rsidRDefault="005E077A" w:rsidP="00E819C9">
      <w:pPr>
        <w:pStyle w:val="ListParagraph"/>
        <w:numPr>
          <w:ilvl w:val="0"/>
          <w:numId w:val="9"/>
        </w:numPr>
        <w:pBdr>
          <w:top w:val="nil"/>
          <w:left w:val="nil"/>
          <w:bottom w:val="nil"/>
          <w:right w:val="nil"/>
          <w:between w:val="nil"/>
          <w:bar w:val="nil"/>
        </w:pBdr>
        <w:spacing w:line="276" w:lineRule="auto"/>
        <w:ind w:left="0"/>
        <w:jc w:val="both"/>
        <w:rPr>
          <w:rFonts w:ascii="Times New Roman" w:hAnsi="Times New Roman" w:cs="Times New Roman"/>
          <w:sz w:val="21"/>
          <w:szCs w:val="21"/>
        </w:rPr>
      </w:pPr>
      <w:r>
        <w:rPr>
          <w:rStyle w:val="PageNumber"/>
          <w:rFonts w:ascii="Times New Roman" w:hAnsi="Times New Roman" w:cs="Times New Roman"/>
          <w:sz w:val="21"/>
          <w:szCs w:val="21"/>
        </w:rPr>
        <w:t>L</w:t>
      </w:r>
      <w:r w:rsidR="005059A5" w:rsidRPr="00DC03F7">
        <w:rPr>
          <w:rStyle w:val="PageNumber"/>
          <w:rFonts w:ascii="Times New Roman" w:hAnsi="Times New Roman" w:cs="Times New Roman"/>
          <w:sz w:val="21"/>
          <w:szCs w:val="21"/>
        </w:rPr>
        <w:t xml:space="preserve">as mujeres y niñas enfrentan </w:t>
      </w:r>
      <w:r w:rsidR="00A4100A">
        <w:rPr>
          <w:rStyle w:val="PageNumber"/>
          <w:rFonts w:ascii="Times New Roman" w:hAnsi="Times New Roman" w:cs="Times New Roman"/>
          <w:sz w:val="21"/>
          <w:szCs w:val="21"/>
        </w:rPr>
        <w:t>consecuencias y sufren daños</w:t>
      </w:r>
      <w:r w:rsidR="005059A5" w:rsidRPr="00DC03F7">
        <w:rPr>
          <w:rStyle w:val="PageNumber"/>
          <w:rFonts w:ascii="Times New Roman" w:hAnsi="Times New Roman" w:cs="Times New Roman"/>
          <w:sz w:val="21"/>
          <w:szCs w:val="21"/>
        </w:rPr>
        <w:t xml:space="preserve"> específicos de género como resultado de la trata. En particular, están expuestas a formas de violencia de género como la violencia sexual, la violación de sus derechos reproductivos, los embarazos no deseados o los abortos forz</w:t>
      </w:r>
      <w:r w:rsidR="00F3107D" w:rsidRPr="00DC03F7">
        <w:rPr>
          <w:rStyle w:val="PageNumber"/>
          <w:rFonts w:ascii="Times New Roman" w:hAnsi="Times New Roman" w:cs="Times New Roman"/>
          <w:sz w:val="21"/>
          <w:szCs w:val="21"/>
        </w:rPr>
        <w:t>ados</w:t>
      </w:r>
      <w:r w:rsidR="00B7252A" w:rsidRPr="00DC03F7">
        <w:rPr>
          <w:rStyle w:val="FootnoteReference"/>
          <w:rFonts w:ascii="Times New Roman" w:hAnsi="Times New Roman" w:cs="Times New Roman"/>
          <w:sz w:val="21"/>
          <w:szCs w:val="21"/>
        </w:rPr>
        <w:footnoteReference w:id="65"/>
      </w:r>
      <w:r w:rsidR="00F3107D" w:rsidRPr="00DC03F7">
        <w:rPr>
          <w:rStyle w:val="PageNumber"/>
          <w:rFonts w:ascii="Times New Roman" w:hAnsi="Times New Roman" w:cs="Times New Roman"/>
          <w:sz w:val="21"/>
          <w:szCs w:val="21"/>
        </w:rPr>
        <w:t xml:space="preserve">. </w:t>
      </w:r>
      <w:r w:rsidR="005059A5" w:rsidRPr="00DC03F7">
        <w:rPr>
          <w:rStyle w:val="PageNumber"/>
          <w:rFonts w:ascii="Times New Roman" w:hAnsi="Times New Roman" w:cs="Times New Roman"/>
          <w:sz w:val="21"/>
          <w:szCs w:val="21"/>
        </w:rPr>
        <w:t xml:space="preserve">En </w:t>
      </w:r>
      <w:r w:rsidR="00732E88" w:rsidRPr="00DC03F7">
        <w:rPr>
          <w:rStyle w:val="PageNumber"/>
          <w:rFonts w:ascii="Times New Roman" w:hAnsi="Times New Roman" w:cs="Times New Roman"/>
          <w:sz w:val="21"/>
          <w:szCs w:val="21"/>
        </w:rPr>
        <w:t>este</w:t>
      </w:r>
      <w:r w:rsidR="005059A5" w:rsidRPr="00DC03F7">
        <w:rPr>
          <w:rStyle w:val="PageNumber"/>
          <w:rFonts w:ascii="Times New Roman" w:hAnsi="Times New Roman" w:cs="Times New Roman"/>
          <w:sz w:val="21"/>
          <w:szCs w:val="21"/>
        </w:rPr>
        <w:t xml:space="preserve"> sentido, el </w:t>
      </w:r>
      <w:r w:rsidR="006E00A3">
        <w:rPr>
          <w:rStyle w:val="PageNumber"/>
          <w:rFonts w:ascii="Times New Roman" w:hAnsi="Times New Roman" w:cs="Times New Roman"/>
          <w:sz w:val="21"/>
          <w:szCs w:val="21"/>
        </w:rPr>
        <w:t>principio</w:t>
      </w:r>
      <w:r w:rsidR="006E00A3" w:rsidRPr="00DC03F7">
        <w:rPr>
          <w:rStyle w:val="PageNumber"/>
          <w:rFonts w:ascii="Times New Roman" w:hAnsi="Times New Roman" w:cs="Times New Roman"/>
          <w:sz w:val="21"/>
          <w:szCs w:val="21"/>
        </w:rPr>
        <w:t xml:space="preserve"> </w:t>
      </w:r>
      <w:r w:rsidR="005059A5" w:rsidRPr="00DC03F7">
        <w:rPr>
          <w:rStyle w:val="PageNumber"/>
          <w:rFonts w:ascii="Times New Roman" w:hAnsi="Times New Roman" w:cs="Times New Roman"/>
          <w:sz w:val="21"/>
          <w:szCs w:val="21"/>
        </w:rPr>
        <w:t xml:space="preserve">de debida diligencia requiere que </w:t>
      </w:r>
      <w:r w:rsidR="006E00A3">
        <w:rPr>
          <w:rStyle w:val="PageNumber"/>
          <w:rFonts w:ascii="Times New Roman" w:hAnsi="Times New Roman" w:cs="Times New Roman"/>
          <w:sz w:val="21"/>
          <w:szCs w:val="21"/>
        </w:rPr>
        <w:t>los Estados</w:t>
      </w:r>
      <w:r w:rsidR="006E00A3" w:rsidRPr="00DC03F7">
        <w:rPr>
          <w:rStyle w:val="PageNumber"/>
          <w:rFonts w:ascii="Times New Roman" w:hAnsi="Times New Roman" w:cs="Times New Roman"/>
          <w:sz w:val="21"/>
          <w:szCs w:val="21"/>
        </w:rPr>
        <w:t xml:space="preserve"> </w:t>
      </w:r>
      <w:r w:rsidR="005059A5" w:rsidRPr="00DC03F7">
        <w:rPr>
          <w:rStyle w:val="PageNumber"/>
          <w:rFonts w:ascii="Times New Roman" w:hAnsi="Times New Roman" w:cs="Times New Roman"/>
          <w:sz w:val="21"/>
          <w:szCs w:val="21"/>
        </w:rPr>
        <w:t xml:space="preserve">adopten medidas legislativas, reglamentarias y todas las demás necesarias para proteger a las víctimas de </w:t>
      </w:r>
      <w:r w:rsidR="00380D4C">
        <w:rPr>
          <w:rStyle w:val="PageNumber"/>
          <w:rFonts w:ascii="Times New Roman" w:hAnsi="Times New Roman" w:cs="Times New Roman"/>
          <w:sz w:val="21"/>
          <w:szCs w:val="21"/>
        </w:rPr>
        <w:t xml:space="preserve">trata de las consecuencias de la </w:t>
      </w:r>
      <w:r w:rsidR="005059A5" w:rsidRPr="00DC03F7">
        <w:rPr>
          <w:rStyle w:val="PageNumber"/>
          <w:rFonts w:ascii="Times New Roman" w:hAnsi="Times New Roman" w:cs="Times New Roman"/>
          <w:sz w:val="21"/>
          <w:szCs w:val="21"/>
        </w:rPr>
        <w:t xml:space="preserve">violencia </w:t>
      </w:r>
      <w:r w:rsidR="00F3107D" w:rsidRPr="00DC03F7">
        <w:rPr>
          <w:rStyle w:val="PageNumber"/>
          <w:rFonts w:ascii="Times New Roman" w:hAnsi="Times New Roman" w:cs="Times New Roman"/>
          <w:sz w:val="21"/>
          <w:szCs w:val="21"/>
        </w:rPr>
        <w:t>sexual,</w:t>
      </w:r>
      <w:r w:rsidR="005059A5" w:rsidRPr="00DC03F7">
        <w:rPr>
          <w:rStyle w:val="PageNumber"/>
          <w:rFonts w:ascii="Times New Roman" w:hAnsi="Times New Roman" w:cs="Times New Roman"/>
          <w:sz w:val="21"/>
          <w:szCs w:val="21"/>
        </w:rPr>
        <w:t xml:space="preserve"> así como la protección a sus derecho</w:t>
      </w:r>
      <w:r w:rsidR="00AD26EF">
        <w:rPr>
          <w:rStyle w:val="PageNumber"/>
          <w:rFonts w:ascii="Times New Roman" w:hAnsi="Times New Roman" w:cs="Times New Roman"/>
          <w:sz w:val="21"/>
          <w:szCs w:val="21"/>
        </w:rPr>
        <w:t>s</w:t>
      </w:r>
      <w:r w:rsidR="005059A5" w:rsidRPr="00DC03F7">
        <w:rPr>
          <w:rStyle w:val="PageNumber"/>
          <w:rFonts w:ascii="Times New Roman" w:hAnsi="Times New Roman" w:cs="Times New Roman"/>
          <w:sz w:val="21"/>
          <w:szCs w:val="21"/>
        </w:rPr>
        <w:t xml:space="preserve"> sexuales y reproductivos, lo que implica proporcionar servicios </w:t>
      </w:r>
      <w:r w:rsidR="00AD26EF">
        <w:rPr>
          <w:rStyle w:val="PageNumber"/>
          <w:rFonts w:ascii="Times New Roman" w:hAnsi="Times New Roman" w:cs="Times New Roman"/>
          <w:sz w:val="21"/>
          <w:szCs w:val="21"/>
        </w:rPr>
        <w:t xml:space="preserve">de salud </w:t>
      </w:r>
      <w:r w:rsidR="005059A5" w:rsidRPr="00DC03F7">
        <w:rPr>
          <w:rStyle w:val="PageNumber"/>
          <w:rFonts w:ascii="Times New Roman" w:hAnsi="Times New Roman" w:cs="Times New Roman"/>
          <w:sz w:val="21"/>
          <w:szCs w:val="21"/>
        </w:rPr>
        <w:t>gratuitos, eficientes, completos</w:t>
      </w:r>
      <w:r w:rsidR="00F3107D" w:rsidRPr="00DC03F7">
        <w:rPr>
          <w:rStyle w:val="PageNumber"/>
          <w:rFonts w:ascii="Times New Roman" w:hAnsi="Times New Roman" w:cs="Times New Roman"/>
          <w:sz w:val="21"/>
          <w:szCs w:val="21"/>
        </w:rPr>
        <w:t xml:space="preserve">, </w:t>
      </w:r>
      <w:r w:rsidR="005059A5" w:rsidRPr="00DC03F7">
        <w:rPr>
          <w:rStyle w:val="PageNumber"/>
          <w:rFonts w:ascii="Times New Roman" w:hAnsi="Times New Roman" w:cs="Times New Roman"/>
          <w:sz w:val="21"/>
          <w:szCs w:val="21"/>
        </w:rPr>
        <w:t>accesible</w:t>
      </w:r>
      <w:r w:rsidR="00F3107D" w:rsidRPr="00DC03F7">
        <w:rPr>
          <w:rStyle w:val="PageNumber"/>
          <w:rFonts w:ascii="Times New Roman" w:hAnsi="Times New Roman" w:cs="Times New Roman"/>
          <w:sz w:val="21"/>
          <w:szCs w:val="21"/>
        </w:rPr>
        <w:t>s y sin demora</w:t>
      </w:r>
      <w:r w:rsidR="005059A5" w:rsidRPr="00DC03F7">
        <w:rPr>
          <w:rStyle w:val="FootnoteReference"/>
          <w:rFonts w:ascii="Times New Roman" w:hAnsi="Times New Roman" w:cs="Times New Roman"/>
          <w:sz w:val="21"/>
          <w:szCs w:val="21"/>
        </w:rPr>
        <w:footnoteReference w:id="66"/>
      </w:r>
      <w:r w:rsidR="005059A5" w:rsidRPr="00DC03F7">
        <w:rPr>
          <w:rFonts w:ascii="Times New Roman" w:hAnsi="Times New Roman" w:cs="Times New Roman"/>
          <w:sz w:val="21"/>
          <w:szCs w:val="21"/>
        </w:rPr>
        <w:t>.</w:t>
      </w:r>
      <w:r w:rsidR="00F3107D" w:rsidRPr="00DC03F7">
        <w:rPr>
          <w:rFonts w:ascii="Times New Roman" w:hAnsi="Times New Roman" w:cs="Times New Roman"/>
          <w:sz w:val="21"/>
          <w:szCs w:val="21"/>
        </w:rPr>
        <w:t xml:space="preserve"> </w:t>
      </w:r>
      <w:r w:rsidR="00EA4095" w:rsidRPr="00DC03F7">
        <w:rPr>
          <w:rFonts w:ascii="Times New Roman" w:hAnsi="Times New Roman" w:cs="Times New Roman"/>
          <w:sz w:val="21"/>
          <w:szCs w:val="21"/>
        </w:rPr>
        <w:t xml:space="preserve"> (</w:t>
      </w:r>
      <w:r w:rsidR="00EA4095" w:rsidRPr="00DC03F7">
        <w:rPr>
          <w:rFonts w:ascii="Times New Roman" w:hAnsi="Times New Roman" w:cs="Times New Roman"/>
          <w:b/>
          <w:sz w:val="21"/>
          <w:szCs w:val="21"/>
        </w:rPr>
        <w:t xml:space="preserve">ver </w:t>
      </w:r>
      <w:hyperlink r:id="rId25" w:history="1">
        <w:r w:rsidR="00907F2D" w:rsidRPr="00CE3AD8">
          <w:rPr>
            <w:rStyle w:val="Hyperlink"/>
            <w:rFonts w:ascii="Times New Roman" w:hAnsi="Times New Roman" w:cs="Times New Roman"/>
            <w:b/>
            <w:sz w:val="21"/>
            <w:szCs w:val="21"/>
          </w:rPr>
          <w:t>C</w:t>
        </w:r>
        <w:r w:rsidR="00EA4095" w:rsidRPr="00CE3AD8">
          <w:rPr>
            <w:rStyle w:val="Hyperlink"/>
            <w:rFonts w:ascii="Times New Roman" w:hAnsi="Times New Roman" w:cs="Times New Roman"/>
            <w:b/>
            <w:sz w:val="21"/>
            <w:szCs w:val="21"/>
          </w:rPr>
          <w:t>aso</w:t>
        </w:r>
        <w:r w:rsidR="00907F2D" w:rsidRPr="00CE3AD8">
          <w:rPr>
            <w:rStyle w:val="Hyperlink"/>
            <w:rFonts w:ascii="Times New Roman" w:hAnsi="Times New Roman" w:cs="Times New Roman"/>
            <w:b/>
            <w:sz w:val="21"/>
            <w:szCs w:val="21"/>
          </w:rPr>
          <w:t xml:space="preserve"> 6 </w:t>
        </w:r>
        <w:r w:rsidR="006665B8" w:rsidRPr="00CE3AD8">
          <w:rPr>
            <w:rStyle w:val="Hyperlink"/>
            <w:rFonts w:ascii="Times New Roman" w:hAnsi="Times New Roman" w:cs="Times New Roman"/>
            <w:b/>
            <w:sz w:val="21"/>
            <w:szCs w:val="21"/>
          </w:rPr>
          <w:t>–</w:t>
        </w:r>
        <w:r w:rsidR="00EA4095" w:rsidRPr="00CE3AD8">
          <w:rPr>
            <w:rStyle w:val="Hyperlink"/>
            <w:rFonts w:ascii="Times New Roman" w:hAnsi="Times New Roman" w:cs="Times New Roman"/>
            <w:b/>
            <w:sz w:val="21"/>
            <w:szCs w:val="21"/>
          </w:rPr>
          <w:t xml:space="preserve"> IVE</w:t>
        </w:r>
      </w:hyperlink>
      <w:r w:rsidR="00952CB8" w:rsidRPr="00DC03F7">
        <w:rPr>
          <w:rFonts w:ascii="Times New Roman" w:hAnsi="Times New Roman" w:cs="Times New Roman"/>
          <w:sz w:val="21"/>
          <w:szCs w:val="21"/>
        </w:rPr>
        <w:t xml:space="preserve"> y </w:t>
      </w:r>
      <w:hyperlink r:id="rId26" w:history="1">
        <w:r w:rsidR="00952CB8" w:rsidRPr="00CE3AD8">
          <w:rPr>
            <w:rStyle w:val="Hyperlink"/>
            <w:rFonts w:ascii="Times New Roman" w:hAnsi="Times New Roman" w:cs="Times New Roman"/>
            <w:b/>
            <w:sz w:val="21"/>
            <w:szCs w:val="21"/>
          </w:rPr>
          <w:t>Caso</w:t>
        </w:r>
        <w:r w:rsidR="00907F2D" w:rsidRPr="00CE3AD8">
          <w:rPr>
            <w:rStyle w:val="Hyperlink"/>
            <w:rFonts w:ascii="Times New Roman" w:hAnsi="Times New Roman" w:cs="Times New Roman"/>
            <w:b/>
            <w:sz w:val="21"/>
            <w:szCs w:val="21"/>
          </w:rPr>
          <w:t xml:space="preserve"> 7 </w:t>
        </w:r>
        <w:r w:rsidR="00A50D13" w:rsidRPr="00CE3AD8">
          <w:rPr>
            <w:rStyle w:val="Hyperlink"/>
            <w:rFonts w:ascii="Times New Roman" w:hAnsi="Times New Roman" w:cs="Times New Roman"/>
            <w:b/>
            <w:sz w:val="21"/>
            <w:szCs w:val="21"/>
          </w:rPr>
          <w:t>–</w:t>
        </w:r>
        <w:r w:rsidR="00952CB8" w:rsidRPr="00CE3AD8">
          <w:rPr>
            <w:rStyle w:val="Hyperlink"/>
            <w:rFonts w:ascii="Times New Roman" w:hAnsi="Times New Roman" w:cs="Times New Roman"/>
            <w:b/>
            <w:sz w:val="21"/>
            <w:szCs w:val="21"/>
          </w:rPr>
          <w:t xml:space="preserve"> </w:t>
        </w:r>
        <w:r w:rsidR="00A50D13" w:rsidRPr="00CE3AD8">
          <w:rPr>
            <w:rStyle w:val="Hyperlink"/>
            <w:rFonts w:ascii="Times New Roman" w:hAnsi="Times New Roman" w:cs="Times New Roman"/>
            <w:b/>
            <w:sz w:val="21"/>
            <w:szCs w:val="21"/>
          </w:rPr>
          <w:t>T</w:t>
        </w:r>
        <w:r w:rsidR="00F84D54" w:rsidRPr="00CE3AD8">
          <w:rPr>
            <w:rStyle w:val="Hyperlink"/>
            <w:rFonts w:ascii="Times New Roman" w:hAnsi="Times New Roman" w:cs="Times New Roman"/>
            <w:b/>
            <w:sz w:val="21"/>
            <w:szCs w:val="21"/>
          </w:rPr>
          <w:t xml:space="preserve">rata </w:t>
        </w:r>
        <w:r w:rsidR="006C3983" w:rsidRPr="00CE3AD8">
          <w:rPr>
            <w:rStyle w:val="Hyperlink"/>
            <w:rFonts w:ascii="Times New Roman" w:hAnsi="Times New Roman" w:cs="Times New Roman"/>
            <w:b/>
            <w:sz w:val="21"/>
            <w:szCs w:val="21"/>
          </w:rPr>
          <w:t xml:space="preserve">en </w:t>
        </w:r>
        <w:r w:rsidR="00F84D54" w:rsidRPr="00CE3AD8">
          <w:rPr>
            <w:rStyle w:val="Hyperlink"/>
            <w:rFonts w:ascii="Times New Roman" w:hAnsi="Times New Roman" w:cs="Times New Roman"/>
            <w:b/>
            <w:sz w:val="21"/>
            <w:szCs w:val="21"/>
          </w:rPr>
          <w:t>Ruanda</w:t>
        </w:r>
      </w:hyperlink>
      <w:r w:rsidR="00EA4095" w:rsidRPr="00DC03F7">
        <w:rPr>
          <w:rFonts w:ascii="Times New Roman" w:hAnsi="Times New Roman" w:cs="Times New Roman"/>
          <w:sz w:val="21"/>
          <w:szCs w:val="21"/>
        </w:rPr>
        <w:t>)</w:t>
      </w:r>
    </w:p>
    <w:p w14:paraId="587AC6EE" w14:textId="77777777" w:rsidR="00F3107D" w:rsidRPr="00DC03F7" w:rsidRDefault="00F3107D" w:rsidP="00E819C9">
      <w:pPr>
        <w:pBdr>
          <w:top w:val="nil"/>
          <w:left w:val="nil"/>
          <w:bottom w:val="nil"/>
          <w:right w:val="nil"/>
          <w:between w:val="nil"/>
          <w:bar w:val="nil"/>
        </w:pBdr>
        <w:spacing w:line="276" w:lineRule="auto"/>
        <w:jc w:val="both"/>
        <w:rPr>
          <w:sz w:val="21"/>
          <w:szCs w:val="21"/>
        </w:rPr>
      </w:pPr>
    </w:p>
    <w:p w14:paraId="792E81E2" w14:textId="404A3613" w:rsidR="00CA682F" w:rsidRPr="00DC03F7" w:rsidRDefault="0082418E" w:rsidP="00E819C9">
      <w:pPr>
        <w:pStyle w:val="ListParagraph"/>
        <w:numPr>
          <w:ilvl w:val="0"/>
          <w:numId w:val="9"/>
        </w:numPr>
        <w:pBdr>
          <w:top w:val="nil"/>
          <w:left w:val="nil"/>
          <w:bottom w:val="nil"/>
          <w:right w:val="nil"/>
          <w:between w:val="nil"/>
          <w:bar w:val="nil"/>
        </w:pBdr>
        <w:spacing w:line="276" w:lineRule="auto"/>
        <w:ind w:left="0"/>
        <w:jc w:val="both"/>
        <w:rPr>
          <w:rFonts w:ascii="Times New Roman" w:hAnsi="Times New Roman" w:cs="Times New Roman"/>
          <w:sz w:val="21"/>
          <w:szCs w:val="21"/>
        </w:rPr>
      </w:pPr>
      <w:r>
        <w:rPr>
          <w:rStyle w:val="PageNumber"/>
          <w:rFonts w:ascii="Times New Roman" w:hAnsi="Times New Roman" w:cs="Times New Roman"/>
          <w:sz w:val="21"/>
          <w:szCs w:val="21"/>
        </w:rPr>
        <w:t>S</w:t>
      </w:r>
      <w:r w:rsidR="00876D0F" w:rsidRPr="00DC03F7">
        <w:rPr>
          <w:rStyle w:val="PageNumber"/>
          <w:rFonts w:ascii="Times New Roman" w:hAnsi="Times New Roman" w:cs="Times New Roman"/>
          <w:sz w:val="21"/>
          <w:szCs w:val="21"/>
        </w:rPr>
        <w:t xml:space="preserve">i las medidas de reparación integral no van acompañadas de un esfuerzo por incluir y desarrollar una noción más amplia del daño causado por las formas de violencia por razón de género </w:t>
      </w:r>
      <w:r w:rsidR="00630B97">
        <w:rPr>
          <w:rStyle w:val="PageNumber"/>
          <w:rFonts w:ascii="Times New Roman" w:hAnsi="Times New Roman" w:cs="Times New Roman"/>
          <w:sz w:val="21"/>
          <w:szCs w:val="21"/>
        </w:rPr>
        <w:t>que experimentan</w:t>
      </w:r>
      <w:r w:rsidR="00630B97" w:rsidRPr="00DC03F7">
        <w:rPr>
          <w:rStyle w:val="PageNumber"/>
          <w:rFonts w:ascii="Times New Roman" w:hAnsi="Times New Roman" w:cs="Times New Roman"/>
          <w:sz w:val="21"/>
          <w:szCs w:val="21"/>
        </w:rPr>
        <w:t xml:space="preserve"> </w:t>
      </w:r>
      <w:r w:rsidR="00876D0F" w:rsidRPr="00DC03F7">
        <w:rPr>
          <w:rStyle w:val="PageNumber"/>
          <w:rFonts w:ascii="Times New Roman" w:hAnsi="Times New Roman" w:cs="Times New Roman"/>
          <w:sz w:val="21"/>
          <w:szCs w:val="21"/>
        </w:rPr>
        <w:t>las mujeres y las niñas</w:t>
      </w:r>
      <w:r w:rsidR="00A364DF">
        <w:rPr>
          <w:rStyle w:val="PageNumber"/>
          <w:rFonts w:ascii="Times New Roman" w:hAnsi="Times New Roman" w:cs="Times New Roman"/>
          <w:sz w:val="21"/>
          <w:szCs w:val="21"/>
        </w:rPr>
        <w:t xml:space="preserve"> y las medidas y programas </w:t>
      </w:r>
      <w:r w:rsidR="009E2C55">
        <w:rPr>
          <w:rStyle w:val="PageNumber"/>
          <w:rFonts w:ascii="Times New Roman" w:hAnsi="Times New Roman" w:cs="Times New Roman"/>
          <w:sz w:val="21"/>
          <w:szCs w:val="21"/>
        </w:rPr>
        <w:t>de</w:t>
      </w:r>
      <w:r w:rsidR="00A364DF">
        <w:rPr>
          <w:rStyle w:val="PageNumber"/>
          <w:rFonts w:ascii="Times New Roman" w:hAnsi="Times New Roman" w:cs="Times New Roman"/>
          <w:sz w:val="21"/>
          <w:szCs w:val="21"/>
        </w:rPr>
        <w:t xml:space="preserve"> repara</w:t>
      </w:r>
      <w:r w:rsidR="009E2C55">
        <w:rPr>
          <w:rStyle w:val="PageNumber"/>
          <w:rFonts w:ascii="Times New Roman" w:hAnsi="Times New Roman" w:cs="Times New Roman"/>
          <w:sz w:val="21"/>
          <w:szCs w:val="21"/>
        </w:rPr>
        <w:t>ción</w:t>
      </w:r>
      <w:r w:rsidR="00A364DF">
        <w:rPr>
          <w:rStyle w:val="PageNumber"/>
          <w:rFonts w:ascii="Times New Roman" w:hAnsi="Times New Roman" w:cs="Times New Roman"/>
          <w:sz w:val="21"/>
          <w:szCs w:val="21"/>
        </w:rPr>
        <w:t xml:space="preserve"> </w:t>
      </w:r>
      <w:r w:rsidR="009E2C55">
        <w:rPr>
          <w:rStyle w:val="PageNumber"/>
          <w:rFonts w:ascii="Times New Roman" w:hAnsi="Times New Roman" w:cs="Times New Roman"/>
          <w:sz w:val="21"/>
          <w:szCs w:val="21"/>
        </w:rPr>
        <w:t>i</w:t>
      </w:r>
      <w:r w:rsidR="00A364DF">
        <w:rPr>
          <w:rStyle w:val="PageNumber"/>
          <w:rFonts w:ascii="Times New Roman" w:hAnsi="Times New Roman" w:cs="Times New Roman"/>
          <w:sz w:val="21"/>
          <w:szCs w:val="21"/>
        </w:rPr>
        <w:t>n</w:t>
      </w:r>
      <w:r w:rsidR="009E2C55">
        <w:rPr>
          <w:rStyle w:val="PageNumber"/>
          <w:rFonts w:ascii="Times New Roman" w:hAnsi="Times New Roman" w:cs="Times New Roman"/>
          <w:sz w:val="21"/>
          <w:szCs w:val="21"/>
        </w:rPr>
        <w:t>corporan</w:t>
      </w:r>
      <w:r w:rsidR="00876D0F" w:rsidRPr="00DC03F7">
        <w:rPr>
          <w:rStyle w:val="PageNumber"/>
          <w:rFonts w:ascii="Times New Roman" w:hAnsi="Times New Roman" w:cs="Times New Roman"/>
          <w:sz w:val="21"/>
          <w:szCs w:val="21"/>
        </w:rPr>
        <w:t xml:space="preserve"> una </w:t>
      </w:r>
      <w:r w:rsidR="001A0D86">
        <w:rPr>
          <w:rStyle w:val="PageNumber"/>
          <w:rFonts w:ascii="Times New Roman" w:hAnsi="Times New Roman" w:cs="Times New Roman"/>
          <w:sz w:val="21"/>
          <w:szCs w:val="21"/>
        </w:rPr>
        <w:t>visión</w:t>
      </w:r>
      <w:r w:rsidR="001A0D86" w:rsidRPr="00DC03F7">
        <w:rPr>
          <w:rStyle w:val="PageNumber"/>
          <w:rFonts w:ascii="Times New Roman" w:hAnsi="Times New Roman" w:cs="Times New Roman"/>
          <w:sz w:val="21"/>
          <w:szCs w:val="21"/>
        </w:rPr>
        <w:t xml:space="preserve"> </w:t>
      </w:r>
      <w:r w:rsidR="00876D0F" w:rsidRPr="00DC03F7">
        <w:rPr>
          <w:rStyle w:val="PageNumber"/>
          <w:rFonts w:ascii="Times New Roman" w:hAnsi="Times New Roman" w:cs="Times New Roman"/>
          <w:sz w:val="21"/>
          <w:szCs w:val="21"/>
        </w:rPr>
        <w:t xml:space="preserve">estrecha de </w:t>
      </w:r>
      <w:r w:rsidR="001A0D86">
        <w:rPr>
          <w:rStyle w:val="PageNumber"/>
          <w:rFonts w:ascii="Times New Roman" w:hAnsi="Times New Roman" w:cs="Times New Roman"/>
          <w:sz w:val="21"/>
          <w:szCs w:val="21"/>
        </w:rPr>
        <w:t xml:space="preserve">las </w:t>
      </w:r>
      <w:r w:rsidR="00876D0F" w:rsidRPr="00DC03F7">
        <w:rPr>
          <w:rStyle w:val="PageNumber"/>
          <w:rFonts w:ascii="Times New Roman" w:hAnsi="Times New Roman" w:cs="Times New Roman"/>
          <w:sz w:val="21"/>
          <w:szCs w:val="21"/>
        </w:rPr>
        <w:t xml:space="preserve">formas de violencia sexual, </w:t>
      </w:r>
      <w:r w:rsidR="00583F01">
        <w:rPr>
          <w:rStyle w:val="PageNumber"/>
          <w:rFonts w:ascii="Times New Roman" w:hAnsi="Times New Roman" w:cs="Times New Roman"/>
          <w:sz w:val="21"/>
          <w:szCs w:val="21"/>
        </w:rPr>
        <w:t xml:space="preserve">se </w:t>
      </w:r>
      <w:r w:rsidR="00876D0F" w:rsidRPr="00DC03F7">
        <w:rPr>
          <w:rStyle w:val="PageNumber"/>
          <w:rFonts w:ascii="Times New Roman" w:hAnsi="Times New Roman" w:cs="Times New Roman"/>
          <w:sz w:val="21"/>
          <w:szCs w:val="21"/>
        </w:rPr>
        <w:t xml:space="preserve">genera un riesgo de repetición de situaciones similares </w:t>
      </w:r>
      <w:r w:rsidR="00E50637" w:rsidRPr="00DC03F7">
        <w:rPr>
          <w:rStyle w:val="PageNumber"/>
          <w:rFonts w:ascii="Times New Roman" w:hAnsi="Times New Roman" w:cs="Times New Roman"/>
          <w:sz w:val="21"/>
          <w:szCs w:val="21"/>
        </w:rPr>
        <w:t xml:space="preserve">y </w:t>
      </w:r>
      <w:r w:rsidR="00583F01">
        <w:rPr>
          <w:rStyle w:val="PageNumber"/>
          <w:rFonts w:ascii="Times New Roman" w:hAnsi="Times New Roman" w:cs="Times New Roman"/>
          <w:sz w:val="21"/>
          <w:szCs w:val="21"/>
        </w:rPr>
        <w:t>se</w:t>
      </w:r>
      <w:r w:rsidR="00583F01" w:rsidRPr="00DC03F7">
        <w:rPr>
          <w:rStyle w:val="PageNumber"/>
          <w:rFonts w:ascii="Times New Roman" w:hAnsi="Times New Roman" w:cs="Times New Roman"/>
          <w:sz w:val="21"/>
          <w:szCs w:val="21"/>
        </w:rPr>
        <w:t xml:space="preserve"> </w:t>
      </w:r>
      <w:r w:rsidR="001A0D86">
        <w:rPr>
          <w:rStyle w:val="PageNumber"/>
          <w:rFonts w:ascii="Times New Roman" w:hAnsi="Times New Roman" w:cs="Times New Roman"/>
          <w:sz w:val="21"/>
          <w:szCs w:val="21"/>
        </w:rPr>
        <w:t>obstaculiza</w:t>
      </w:r>
      <w:r w:rsidR="00876D0F" w:rsidRPr="00DC03F7">
        <w:rPr>
          <w:rStyle w:val="PageNumber"/>
          <w:rFonts w:ascii="Times New Roman" w:hAnsi="Times New Roman" w:cs="Times New Roman"/>
          <w:sz w:val="21"/>
          <w:szCs w:val="21"/>
        </w:rPr>
        <w:t xml:space="preserve"> la garantía de</w:t>
      </w:r>
      <w:r w:rsidR="00583F01">
        <w:rPr>
          <w:rStyle w:val="PageNumber"/>
          <w:rFonts w:ascii="Times New Roman" w:hAnsi="Times New Roman" w:cs="Times New Roman"/>
          <w:sz w:val="21"/>
          <w:szCs w:val="21"/>
        </w:rPr>
        <w:t>l</w:t>
      </w:r>
      <w:r w:rsidR="00876D0F" w:rsidRPr="00DC03F7">
        <w:rPr>
          <w:rStyle w:val="PageNumber"/>
          <w:rFonts w:ascii="Times New Roman" w:hAnsi="Times New Roman" w:cs="Times New Roman"/>
          <w:sz w:val="21"/>
          <w:szCs w:val="21"/>
        </w:rPr>
        <w:t xml:space="preserve"> derecho a la reparación de forma igualitaria y sin discriminación</w:t>
      </w:r>
      <w:r w:rsidR="00876D0F" w:rsidRPr="00DC03F7">
        <w:rPr>
          <w:rStyle w:val="FootnoteReference"/>
          <w:rFonts w:ascii="Times New Roman" w:hAnsi="Times New Roman" w:cs="Times New Roman"/>
          <w:sz w:val="21"/>
          <w:szCs w:val="21"/>
        </w:rPr>
        <w:footnoteReference w:id="67"/>
      </w:r>
      <w:r w:rsidR="00876D0F" w:rsidRPr="00DC03F7">
        <w:rPr>
          <w:rStyle w:val="PageNumber"/>
          <w:rFonts w:ascii="Times New Roman" w:hAnsi="Times New Roman" w:cs="Times New Roman"/>
          <w:sz w:val="21"/>
          <w:szCs w:val="21"/>
        </w:rPr>
        <w:t xml:space="preserve">. </w:t>
      </w:r>
    </w:p>
    <w:p w14:paraId="0839AAC0" w14:textId="77777777" w:rsidR="006D6293" w:rsidRPr="00DC03F7" w:rsidRDefault="006D6293" w:rsidP="00E819C9">
      <w:pPr>
        <w:spacing w:line="276" w:lineRule="auto"/>
        <w:jc w:val="both"/>
        <w:rPr>
          <w:i/>
          <w:sz w:val="21"/>
          <w:szCs w:val="21"/>
        </w:rPr>
      </w:pPr>
    </w:p>
    <w:p w14:paraId="27582DBE" w14:textId="7A094400" w:rsidR="00D30871" w:rsidRPr="00DC03F7" w:rsidRDefault="00CE7F6B" w:rsidP="00DB4704">
      <w:pPr>
        <w:spacing w:line="276" w:lineRule="auto"/>
        <w:ind w:left="708"/>
        <w:rPr>
          <w:b/>
          <w:i/>
          <w:sz w:val="21"/>
          <w:szCs w:val="21"/>
        </w:rPr>
      </w:pPr>
      <w:r w:rsidRPr="00DC03F7">
        <w:rPr>
          <w:b/>
          <w:i/>
          <w:sz w:val="21"/>
          <w:szCs w:val="21"/>
        </w:rPr>
        <w:t xml:space="preserve">Obligación de </w:t>
      </w:r>
      <w:r w:rsidR="00FC40D7" w:rsidRPr="00DC03F7">
        <w:rPr>
          <w:b/>
          <w:i/>
          <w:sz w:val="21"/>
          <w:szCs w:val="21"/>
        </w:rPr>
        <w:t xml:space="preserve">protección </w:t>
      </w:r>
      <w:r w:rsidR="007D21D3" w:rsidRPr="00DC03F7">
        <w:rPr>
          <w:b/>
          <w:i/>
          <w:sz w:val="21"/>
          <w:szCs w:val="21"/>
        </w:rPr>
        <w:t>–</w:t>
      </w:r>
      <w:r w:rsidR="00FC40D7" w:rsidRPr="00DC03F7">
        <w:rPr>
          <w:b/>
          <w:i/>
          <w:sz w:val="21"/>
          <w:szCs w:val="21"/>
        </w:rPr>
        <w:t xml:space="preserve"> </w:t>
      </w:r>
      <w:r w:rsidR="00D30871" w:rsidRPr="00DC03F7">
        <w:rPr>
          <w:b/>
          <w:i/>
          <w:sz w:val="21"/>
          <w:szCs w:val="21"/>
        </w:rPr>
        <w:t>Acceso a derechos y salud reproductiva,</w:t>
      </w:r>
      <w:r w:rsidR="006D6293" w:rsidRPr="00DC03F7">
        <w:rPr>
          <w:b/>
          <w:i/>
          <w:sz w:val="21"/>
          <w:szCs w:val="21"/>
        </w:rPr>
        <w:t xml:space="preserve"> incluida la interrupción voluntaria del embarazo</w:t>
      </w:r>
      <w:r w:rsidR="00C51ADB" w:rsidRPr="00DC03F7">
        <w:rPr>
          <w:b/>
          <w:i/>
          <w:sz w:val="21"/>
          <w:szCs w:val="21"/>
        </w:rPr>
        <w:t xml:space="preserve"> </w:t>
      </w:r>
      <w:r w:rsidR="006D6293" w:rsidRPr="00DC03F7">
        <w:rPr>
          <w:b/>
          <w:i/>
          <w:sz w:val="21"/>
          <w:szCs w:val="21"/>
        </w:rPr>
        <w:t>(</w:t>
      </w:r>
      <w:r w:rsidR="00D30871" w:rsidRPr="00DC03F7">
        <w:rPr>
          <w:b/>
          <w:i/>
          <w:sz w:val="21"/>
          <w:szCs w:val="21"/>
        </w:rPr>
        <w:t>IVE</w:t>
      </w:r>
      <w:r w:rsidR="006D6293" w:rsidRPr="00DC03F7">
        <w:rPr>
          <w:b/>
          <w:i/>
          <w:sz w:val="21"/>
          <w:szCs w:val="21"/>
        </w:rPr>
        <w:t>)</w:t>
      </w:r>
      <w:r w:rsidR="00DB4704" w:rsidRPr="00DC03F7">
        <w:rPr>
          <w:b/>
          <w:i/>
          <w:sz w:val="21"/>
          <w:szCs w:val="21"/>
        </w:rPr>
        <w:t>. -</w:t>
      </w:r>
    </w:p>
    <w:p w14:paraId="7CDF8904" w14:textId="77777777" w:rsidR="00C51ADB" w:rsidRPr="00DC03F7" w:rsidRDefault="00C51ADB" w:rsidP="00E819C9">
      <w:pPr>
        <w:spacing w:line="276" w:lineRule="auto"/>
        <w:rPr>
          <w:b/>
          <w:sz w:val="21"/>
          <w:szCs w:val="21"/>
        </w:rPr>
      </w:pPr>
    </w:p>
    <w:p w14:paraId="26986B18" w14:textId="615CA716" w:rsidR="00B46225" w:rsidRPr="00DC03F7" w:rsidRDefault="00CA0C28" w:rsidP="00E819C9">
      <w:pPr>
        <w:pStyle w:val="ListParagraph"/>
        <w:numPr>
          <w:ilvl w:val="0"/>
          <w:numId w:val="9"/>
        </w:numPr>
        <w:autoSpaceDE w:val="0"/>
        <w:autoSpaceDN w:val="0"/>
        <w:adjustRightInd w:val="0"/>
        <w:spacing w:line="276" w:lineRule="auto"/>
        <w:ind w:left="0" w:hanging="349"/>
        <w:jc w:val="both"/>
        <w:rPr>
          <w:rFonts w:ascii="Times New Roman" w:hAnsi="Times New Roman" w:cs="Times New Roman"/>
          <w:sz w:val="21"/>
          <w:szCs w:val="21"/>
          <w:lang w:val="es-ES"/>
        </w:rPr>
      </w:pPr>
      <w:r w:rsidRPr="00DC03F7">
        <w:rPr>
          <w:rFonts w:ascii="Times New Roman" w:hAnsi="Times New Roman" w:cs="Times New Roman"/>
          <w:sz w:val="21"/>
          <w:szCs w:val="21"/>
          <w:lang w:val="es-ES"/>
        </w:rPr>
        <w:t>La obligación de protección de víctimas de trata</w:t>
      </w:r>
      <w:r w:rsidR="00935C88" w:rsidRPr="00DC03F7">
        <w:rPr>
          <w:rFonts w:ascii="Times New Roman" w:hAnsi="Times New Roman" w:cs="Times New Roman"/>
          <w:sz w:val="21"/>
          <w:szCs w:val="21"/>
          <w:lang w:val="es-ES"/>
        </w:rPr>
        <w:t xml:space="preserve"> bajo el estándar de debida diligencia establece el deber de los Estados de garantizar que las mujeres y las niñas que son víctimas de trata o en riesgo de violencia tengan acceso a la justicia, así como a los servicios de salud y apoyo que respondan a sus necesidades inmediatas y mediatas.</w:t>
      </w:r>
      <w:r w:rsidR="00D33775" w:rsidRPr="00DC03F7">
        <w:rPr>
          <w:rFonts w:ascii="Times New Roman" w:hAnsi="Times New Roman" w:cs="Times New Roman"/>
          <w:sz w:val="21"/>
          <w:szCs w:val="21"/>
          <w:lang w:val="es-ES"/>
        </w:rPr>
        <w:t xml:space="preserve"> </w:t>
      </w:r>
      <w:r w:rsidR="00C51ADB" w:rsidRPr="00DC03F7">
        <w:rPr>
          <w:rFonts w:ascii="Times New Roman" w:eastAsia="Times New Roman" w:hAnsi="Times New Roman" w:cs="Times New Roman"/>
          <w:sz w:val="21"/>
          <w:szCs w:val="21"/>
          <w:lang w:val="es-ES" w:eastAsia="es-ES_tradnl"/>
        </w:rPr>
        <w:t>Las víctimas de trata</w:t>
      </w:r>
      <w:r w:rsidR="00D707E7" w:rsidRPr="00DC03F7">
        <w:rPr>
          <w:rFonts w:ascii="Times New Roman" w:eastAsia="Times New Roman" w:hAnsi="Times New Roman" w:cs="Times New Roman"/>
          <w:sz w:val="21"/>
          <w:szCs w:val="21"/>
          <w:lang w:val="es-ES" w:eastAsia="es-ES_tradnl"/>
        </w:rPr>
        <w:t xml:space="preserve"> </w:t>
      </w:r>
      <w:r w:rsidR="00872A14">
        <w:rPr>
          <w:rFonts w:ascii="Times New Roman" w:eastAsia="Times New Roman" w:hAnsi="Times New Roman" w:cs="Times New Roman"/>
          <w:sz w:val="21"/>
          <w:szCs w:val="21"/>
          <w:lang w:val="es-ES" w:eastAsia="es-ES_tradnl"/>
        </w:rPr>
        <w:t>con fines de explotación sexual</w:t>
      </w:r>
      <w:r w:rsidR="00C51ADB" w:rsidRPr="00DC03F7">
        <w:rPr>
          <w:rFonts w:ascii="Times New Roman" w:eastAsia="Times New Roman" w:hAnsi="Times New Roman" w:cs="Times New Roman"/>
          <w:sz w:val="21"/>
          <w:szCs w:val="21"/>
          <w:lang w:val="es-ES" w:eastAsia="es-ES_tradnl"/>
        </w:rPr>
        <w:t xml:space="preserve"> están expuestas a una serie de riesgos relacionados con la salud, entre ellos, </w:t>
      </w:r>
      <w:r w:rsidR="00F10D03" w:rsidRPr="00DC03F7">
        <w:rPr>
          <w:rFonts w:ascii="Times New Roman" w:eastAsia="Times New Roman" w:hAnsi="Times New Roman" w:cs="Times New Roman"/>
          <w:sz w:val="21"/>
          <w:szCs w:val="21"/>
          <w:lang w:val="es-ES" w:eastAsia="es-ES_tradnl"/>
        </w:rPr>
        <w:t xml:space="preserve">el contagio </w:t>
      </w:r>
      <w:r w:rsidR="00C51ADB" w:rsidRPr="00DC03F7">
        <w:rPr>
          <w:rFonts w:ascii="Times New Roman" w:eastAsia="Times New Roman" w:hAnsi="Times New Roman" w:cs="Times New Roman"/>
          <w:sz w:val="21"/>
          <w:szCs w:val="21"/>
          <w:lang w:val="es-ES" w:eastAsia="es-ES_tradnl"/>
        </w:rPr>
        <w:t xml:space="preserve">de enfermedades de transmisión sexual, embarazos no deseados y complicaciones relacionadas </w:t>
      </w:r>
      <w:r w:rsidR="00D707E7" w:rsidRPr="00DC03F7">
        <w:rPr>
          <w:rFonts w:ascii="Times New Roman" w:eastAsia="Times New Roman" w:hAnsi="Times New Roman" w:cs="Times New Roman"/>
          <w:sz w:val="21"/>
          <w:szCs w:val="21"/>
          <w:lang w:val="es-ES" w:eastAsia="es-ES_tradnl"/>
        </w:rPr>
        <w:t>con la interrupción del embarazo</w:t>
      </w:r>
      <w:r w:rsidR="00C51ADB" w:rsidRPr="00DC03F7">
        <w:rPr>
          <w:rFonts w:ascii="Times New Roman" w:eastAsia="Times New Roman" w:hAnsi="Times New Roman" w:cs="Times New Roman"/>
          <w:sz w:val="21"/>
          <w:szCs w:val="21"/>
          <w:lang w:val="es-ES" w:eastAsia="es-ES_tradnl"/>
        </w:rPr>
        <w:t>, así como a otros problemas de salud</w:t>
      </w:r>
      <w:r w:rsidR="00B46225" w:rsidRPr="00DC03F7">
        <w:rPr>
          <w:rFonts w:ascii="Times New Roman" w:eastAsia="Times New Roman" w:hAnsi="Times New Roman" w:cs="Times New Roman"/>
          <w:sz w:val="21"/>
          <w:szCs w:val="21"/>
          <w:lang w:val="es-ES" w:eastAsia="es-ES_tradnl"/>
        </w:rPr>
        <w:t xml:space="preserve"> relacionad</w:t>
      </w:r>
      <w:r w:rsidR="001C11A6" w:rsidRPr="00DC03F7">
        <w:rPr>
          <w:rFonts w:ascii="Times New Roman" w:eastAsia="Times New Roman" w:hAnsi="Times New Roman" w:cs="Times New Roman"/>
          <w:sz w:val="21"/>
          <w:szCs w:val="21"/>
          <w:lang w:val="es-ES" w:eastAsia="es-ES_tradnl"/>
        </w:rPr>
        <w:t>o</w:t>
      </w:r>
      <w:r w:rsidR="00B46225" w:rsidRPr="00DC03F7">
        <w:rPr>
          <w:rFonts w:ascii="Times New Roman" w:eastAsia="Times New Roman" w:hAnsi="Times New Roman" w:cs="Times New Roman"/>
          <w:sz w:val="21"/>
          <w:szCs w:val="21"/>
          <w:lang w:val="es-ES" w:eastAsia="es-ES_tradnl"/>
        </w:rPr>
        <w:t xml:space="preserve">s con </w:t>
      </w:r>
      <w:r w:rsidR="001C11A6" w:rsidRPr="00DC03F7">
        <w:rPr>
          <w:rFonts w:ascii="Times New Roman" w:eastAsia="Times New Roman" w:hAnsi="Times New Roman" w:cs="Times New Roman"/>
          <w:sz w:val="21"/>
          <w:szCs w:val="21"/>
          <w:lang w:val="es-ES" w:eastAsia="es-ES_tradnl"/>
        </w:rPr>
        <w:t>su</w:t>
      </w:r>
      <w:r w:rsidR="00B46225" w:rsidRPr="00DC03F7">
        <w:rPr>
          <w:rFonts w:ascii="Times New Roman" w:eastAsia="Times New Roman" w:hAnsi="Times New Roman" w:cs="Times New Roman"/>
          <w:sz w:val="21"/>
          <w:szCs w:val="21"/>
          <w:lang w:val="es-ES" w:eastAsia="es-ES_tradnl"/>
        </w:rPr>
        <w:t xml:space="preserve"> salud psicológica y mental</w:t>
      </w:r>
      <w:r w:rsidR="00B46225" w:rsidRPr="00DC03F7">
        <w:rPr>
          <w:rStyle w:val="FootnoteReference"/>
          <w:rFonts w:ascii="Times New Roman" w:eastAsia="Times New Roman" w:hAnsi="Times New Roman" w:cs="Times New Roman"/>
          <w:sz w:val="21"/>
          <w:szCs w:val="21"/>
          <w:lang w:val="es-ES" w:eastAsia="es-ES_tradnl"/>
        </w:rPr>
        <w:footnoteReference w:id="68"/>
      </w:r>
      <w:r w:rsidR="00C51ADB" w:rsidRPr="00DC03F7">
        <w:rPr>
          <w:rFonts w:ascii="Times New Roman" w:eastAsia="Times New Roman" w:hAnsi="Times New Roman" w:cs="Times New Roman"/>
          <w:sz w:val="21"/>
          <w:szCs w:val="21"/>
          <w:lang w:val="es-ES" w:eastAsia="es-ES_tradnl"/>
        </w:rPr>
        <w:t xml:space="preserve">. </w:t>
      </w:r>
    </w:p>
    <w:p w14:paraId="40514F4F" w14:textId="77777777" w:rsidR="00AD1153" w:rsidRPr="00DC03F7" w:rsidRDefault="00AD1153" w:rsidP="00E819C9">
      <w:pPr>
        <w:spacing w:line="276" w:lineRule="auto"/>
        <w:jc w:val="both"/>
        <w:rPr>
          <w:sz w:val="21"/>
          <w:szCs w:val="21"/>
        </w:rPr>
      </w:pPr>
    </w:p>
    <w:p w14:paraId="0A5C7081" w14:textId="30B4C051" w:rsidR="00996423" w:rsidRPr="00DC03F7" w:rsidRDefault="00C51ADB" w:rsidP="00996423">
      <w:pPr>
        <w:pStyle w:val="ListParagraph"/>
        <w:numPr>
          <w:ilvl w:val="0"/>
          <w:numId w:val="9"/>
        </w:numPr>
        <w:spacing w:line="276" w:lineRule="auto"/>
        <w:ind w:left="0"/>
        <w:jc w:val="both"/>
        <w:rPr>
          <w:rFonts w:ascii="Times New Roman" w:eastAsia="Times New Roman" w:hAnsi="Times New Roman" w:cs="Times New Roman"/>
          <w:sz w:val="21"/>
          <w:szCs w:val="21"/>
          <w:lang w:val="es-ES" w:eastAsia="es-ES_tradnl"/>
        </w:rPr>
      </w:pPr>
      <w:r w:rsidRPr="00DC03F7">
        <w:rPr>
          <w:rFonts w:ascii="Times New Roman" w:eastAsia="Times New Roman" w:hAnsi="Times New Roman" w:cs="Times New Roman"/>
          <w:sz w:val="21"/>
          <w:szCs w:val="21"/>
          <w:lang w:val="es-ES" w:eastAsia="es-ES_tradnl"/>
        </w:rPr>
        <w:t xml:space="preserve">El derecho a la atención </w:t>
      </w:r>
      <w:r w:rsidR="003A5132">
        <w:rPr>
          <w:rFonts w:ascii="Times New Roman" w:eastAsia="Times New Roman" w:hAnsi="Times New Roman" w:cs="Times New Roman"/>
          <w:sz w:val="21"/>
          <w:szCs w:val="21"/>
          <w:lang w:val="es-ES" w:eastAsia="es-ES_tradnl"/>
        </w:rPr>
        <w:t xml:space="preserve">y al acceso a servicios de </w:t>
      </w:r>
      <w:r w:rsidR="001C11A6" w:rsidRPr="00DC03F7">
        <w:rPr>
          <w:rFonts w:ascii="Times New Roman" w:eastAsia="Times New Roman" w:hAnsi="Times New Roman" w:cs="Times New Roman"/>
          <w:sz w:val="21"/>
          <w:szCs w:val="21"/>
          <w:lang w:val="es-ES" w:eastAsia="es-ES_tradnl"/>
        </w:rPr>
        <w:t>salud</w:t>
      </w:r>
      <w:r w:rsidRPr="00DC03F7">
        <w:rPr>
          <w:rFonts w:ascii="Times New Roman" w:eastAsia="Times New Roman" w:hAnsi="Times New Roman" w:cs="Times New Roman"/>
          <w:sz w:val="21"/>
          <w:szCs w:val="21"/>
          <w:lang w:val="es-ES" w:eastAsia="es-ES_tradnl"/>
        </w:rPr>
        <w:t xml:space="preserve"> están protegidos en numerosos instrumentos regionales e internacionales de derechos humanos</w:t>
      </w:r>
      <w:r w:rsidR="001C11A6" w:rsidRPr="00DC03F7">
        <w:rPr>
          <w:rFonts w:ascii="Times New Roman" w:eastAsia="Times New Roman" w:hAnsi="Times New Roman" w:cs="Times New Roman"/>
          <w:sz w:val="21"/>
          <w:szCs w:val="21"/>
          <w:lang w:val="es-ES" w:eastAsia="es-ES_tradnl"/>
        </w:rPr>
        <w:t xml:space="preserve"> que</w:t>
      </w:r>
      <w:r w:rsidRPr="00DC03F7">
        <w:rPr>
          <w:rFonts w:ascii="Times New Roman" w:eastAsia="Times New Roman" w:hAnsi="Times New Roman" w:cs="Times New Roman"/>
          <w:sz w:val="21"/>
          <w:szCs w:val="21"/>
          <w:lang w:val="es-ES" w:eastAsia="es-ES_tradnl"/>
        </w:rPr>
        <w:t xml:space="preserve"> reconocen el derecho de todas las personas a gozar del más alto nivel posible de salud física y mental</w:t>
      </w:r>
      <w:r w:rsidR="00AD1153" w:rsidRPr="00DC03F7">
        <w:rPr>
          <w:rFonts w:ascii="Times New Roman" w:eastAsia="Times New Roman" w:hAnsi="Times New Roman" w:cs="Times New Roman"/>
          <w:sz w:val="21"/>
          <w:szCs w:val="21"/>
          <w:lang w:val="es-ES" w:eastAsia="es-ES_tradnl"/>
        </w:rPr>
        <w:t>, incluida la salud sexual y reproductiva</w:t>
      </w:r>
      <w:r w:rsidR="003A5132">
        <w:rPr>
          <w:rFonts w:ascii="Times New Roman" w:eastAsia="Times New Roman" w:hAnsi="Times New Roman" w:cs="Times New Roman"/>
          <w:sz w:val="21"/>
          <w:szCs w:val="21"/>
          <w:lang w:val="es-ES" w:eastAsia="es-ES_tradnl"/>
        </w:rPr>
        <w:t xml:space="preserve">. Los Estados </w:t>
      </w:r>
      <w:r w:rsidR="00F35585" w:rsidRPr="00DC03F7">
        <w:rPr>
          <w:rFonts w:ascii="Times New Roman" w:eastAsia="Times New Roman" w:hAnsi="Times New Roman" w:cs="Times New Roman"/>
          <w:sz w:val="21"/>
          <w:szCs w:val="21"/>
          <w:lang w:val="es-ES" w:eastAsia="es-ES_tradnl"/>
        </w:rPr>
        <w:t>tiene</w:t>
      </w:r>
      <w:r w:rsidR="003A5132">
        <w:rPr>
          <w:rFonts w:ascii="Times New Roman" w:eastAsia="Times New Roman" w:hAnsi="Times New Roman" w:cs="Times New Roman"/>
          <w:sz w:val="21"/>
          <w:szCs w:val="21"/>
          <w:lang w:val="es-ES" w:eastAsia="es-ES_tradnl"/>
        </w:rPr>
        <w:t>n</w:t>
      </w:r>
      <w:r w:rsidR="00F35585" w:rsidRPr="00DC03F7">
        <w:rPr>
          <w:rFonts w:ascii="Times New Roman" w:eastAsia="Times New Roman" w:hAnsi="Times New Roman" w:cs="Times New Roman"/>
          <w:sz w:val="21"/>
          <w:szCs w:val="21"/>
          <w:lang w:val="es-ES" w:eastAsia="es-ES_tradnl"/>
        </w:rPr>
        <w:t xml:space="preserve"> la obligación de garantizar que </w:t>
      </w:r>
      <w:r w:rsidR="003A5132">
        <w:rPr>
          <w:rFonts w:ascii="Times New Roman" w:eastAsia="Times New Roman" w:hAnsi="Times New Roman" w:cs="Times New Roman"/>
          <w:sz w:val="21"/>
          <w:szCs w:val="21"/>
          <w:lang w:val="es-ES" w:eastAsia="es-ES_tradnl"/>
        </w:rPr>
        <w:t>sus</w:t>
      </w:r>
      <w:r w:rsidR="003A5132" w:rsidRPr="00DC03F7">
        <w:rPr>
          <w:rFonts w:ascii="Times New Roman" w:eastAsia="Times New Roman" w:hAnsi="Times New Roman" w:cs="Times New Roman"/>
          <w:sz w:val="21"/>
          <w:szCs w:val="21"/>
          <w:lang w:val="es-ES" w:eastAsia="es-ES_tradnl"/>
        </w:rPr>
        <w:t xml:space="preserve"> </w:t>
      </w:r>
      <w:r w:rsidRPr="00DC03F7">
        <w:rPr>
          <w:rFonts w:ascii="Times New Roman" w:eastAsia="Times New Roman" w:hAnsi="Times New Roman" w:cs="Times New Roman"/>
          <w:sz w:val="21"/>
          <w:szCs w:val="21"/>
          <w:lang w:val="es-ES" w:eastAsia="es-ES_tradnl"/>
        </w:rPr>
        <w:t xml:space="preserve">servicios de salud </w:t>
      </w:r>
      <w:r w:rsidR="00F35585" w:rsidRPr="00DC03F7">
        <w:rPr>
          <w:rFonts w:ascii="Times New Roman" w:eastAsia="Times New Roman" w:hAnsi="Times New Roman" w:cs="Times New Roman"/>
          <w:sz w:val="21"/>
          <w:szCs w:val="21"/>
          <w:lang w:val="es-ES" w:eastAsia="es-ES_tradnl"/>
        </w:rPr>
        <w:t xml:space="preserve">atiendan </w:t>
      </w:r>
      <w:r w:rsidRPr="00DC03F7">
        <w:rPr>
          <w:rFonts w:ascii="Times New Roman" w:eastAsia="Times New Roman" w:hAnsi="Times New Roman" w:cs="Times New Roman"/>
          <w:sz w:val="21"/>
          <w:szCs w:val="21"/>
          <w:lang w:val="es-ES" w:eastAsia="es-ES_tradnl"/>
        </w:rPr>
        <w:t xml:space="preserve">las necesidades físicas y mentales de las víctimas y </w:t>
      </w:r>
      <w:r w:rsidR="00F35585" w:rsidRPr="00DC03F7">
        <w:rPr>
          <w:rFonts w:ascii="Times New Roman" w:eastAsia="Times New Roman" w:hAnsi="Times New Roman" w:cs="Times New Roman"/>
          <w:sz w:val="21"/>
          <w:szCs w:val="21"/>
          <w:lang w:val="es-ES" w:eastAsia="es-ES_tradnl"/>
        </w:rPr>
        <w:t xml:space="preserve">se </w:t>
      </w:r>
      <w:r w:rsidR="001C11A6" w:rsidRPr="00DC03F7">
        <w:rPr>
          <w:rFonts w:ascii="Times New Roman" w:eastAsia="Times New Roman" w:hAnsi="Times New Roman" w:cs="Times New Roman"/>
          <w:sz w:val="21"/>
          <w:szCs w:val="21"/>
          <w:lang w:val="es-ES" w:eastAsia="es-ES_tradnl"/>
        </w:rPr>
        <w:t>desarroll</w:t>
      </w:r>
      <w:r w:rsidR="00F35585" w:rsidRPr="00DC03F7">
        <w:rPr>
          <w:rFonts w:ascii="Times New Roman" w:eastAsia="Times New Roman" w:hAnsi="Times New Roman" w:cs="Times New Roman"/>
          <w:sz w:val="21"/>
          <w:szCs w:val="21"/>
          <w:lang w:val="es-ES" w:eastAsia="es-ES_tradnl"/>
        </w:rPr>
        <w:t>en</w:t>
      </w:r>
      <w:r w:rsidR="001C11A6" w:rsidRPr="00DC03F7">
        <w:rPr>
          <w:rFonts w:ascii="Times New Roman" w:eastAsia="Times New Roman" w:hAnsi="Times New Roman" w:cs="Times New Roman"/>
          <w:sz w:val="21"/>
          <w:szCs w:val="21"/>
          <w:lang w:val="es-ES" w:eastAsia="es-ES_tradnl"/>
        </w:rPr>
        <w:t xml:space="preserve"> </w:t>
      </w:r>
      <w:r w:rsidRPr="00DC03F7">
        <w:rPr>
          <w:rFonts w:ascii="Times New Roman" w:eastAsia="Times New Roman" w:hAnsi="Times New Roman" w:cs="Times New Roman"/>
          <w:sz w:val="21"/>
          <w:szCs w:val="21"/>
          <w:lang w:val="es-ES" w:eastAsia="es-ES_tradnl"/>
        </w:rPr>
        <w:t>en un clima de respeto,</w:t>
      </w:r>
      <w:r w:rsidR="00D33775" w:rsidRPr="00DC03F7">
        <w:rPr>
          <w:rFonts w:ascii="Times New Roman" w:eastAsia="Times New Roman" w:hAnsi="Times New Roman" w:cs="Times New Roman"/>
          <w:sz w:val="21"/>
          <w:szCs w:val="21"/>
          <w:lang w:val="es-ES" w:eastAsia="es-ES_tradnl"/>
        </w:rPr>
        <w:t xml:space="preserve"> en condiciones de igualdad y sin</w:t>
      </w:r>
      <w:r w:rsidRPr="00DC03F7">
        <w:rPr>
          <w:rFonts w:ascii="Times New Roman" w:eastAsia="Times New Roman" w:hAnsi="Times New Roman" w:cs="Times New Roman"/>
          <w:sz w:val="21"/>
          <w:szCs w:val="21"/>
          <w:lang w:val="es-ES" w:eastAsia="es-ES_tradnl"/>
        </w:rPr>
        <w:t xml:space="preserve"> discriminación</w:t>
      </w:r>
      <w:r w:rsidR="001C11A6" w:rsidRPr="00DC03F7">
        <w:rPr>
          <w:rStyle w:val="FootnoteReference"/>
          <w:rFonts w:ascii="Times New Roman" w:eastAsia="Times New Roman" w:hAnsi="Times New Roman" w:cs="Times New Roman"/>
          <w:sz w:val="21"/>
          <w:szCs w:val="21"/>
          <w:lang w:val="es-ES" w:eastAsia="es-ES_tradnl"/>
        </w:rPr>
        <w:footnoteReference w:id="69"/>
      </w:r>
      <w:r w:rsidRPr="00DC03F7">
        <w:rPr>
          <w:rFonts w:ascii="Times New Roman" w:eastAsia="Times New Roman" w:hAnsi="Times New Roman" w:cs="Times New Roman"/>
          <w:sz w:val="21"/>
          <w:szCs w:val="21"/>
          <w:lang w:val="es-ES" w:eastAsia="es-ES_tradnl"/>
        </w:rPr>
        <w:t xml:space="preserve">. </w:t>
      </w:r>
      <w:r w:rsidR="00941DE6" w:rsidRPr="00DC03F7">
        <w:rPr>
          <w:rFonts w:ascii="Times New Roman" w:eastAsia="Times New Roman" w:hAnsi="Times New Roman" w:cs="Times New Roman"/>
          <w:sz w:val="21"/>
          <w:szCs w:val="21"/>
          <w:lang w:val="es-ES" w:eastAsia="es-ES_tradnl"/>
        </w:rPr>
        <w:t xml:space="preserve"> </w:t>
      </w:r>
      <w:r w:rsidR="008F1222" w:rsidRPr="00DC03F7">
        <w:rPr>
          <w:rFonts w:ascii="Times New Roman" w:eastAsia="Times New Roman" w:hAnsi="Times New Roman" w:cs="Times New Roman"/>
          <w:sz w:val="21"/>
          <w:szCs w:val="21"/>
          <w:lang w:eastAsia="es-ES_tradnl"/>
        </w:rPr>
        <w:t xml:space="preserve">Las violaciones del derecho a la salud y </w:t>
      </w:r>
      <w:r w:rsidR="005710B0">
        <w:rPr>
          <w:rFonts w:ascii="Times New Roman" w:eastAsia="Times New Roman" w:hAnsi="Times New Roman" w:cs="Times New Roman"/>
          <w:sz w:val="21"/>
          <w:szCs w:val="21"/>
          <w:lang w:eastAsia="es-ES_tradnl"/>
        </w:rPr>
        <w:t xml:space="preserve">de </w:t>
      </w:r>
      <w:r w:rsidR="008F1222" w:rsidRPr="00DC03F7">
        <w:rPr>
          <w:rFonts w:ascii="Times New Roman" w:eastAsia="Times New Roman" w:hAnsi="Times New Roman" w:cs="Times New Roman"/>
          <w:sz w:val="21"/>
          <w:szCs w:val="21"/>
          <w:lang w:eastAsia="es-ES_tradnl"/>
        </w:rPr>
        <w:t>los derechos sexuales y reproductivos de las mujeres, incluidas aquellas mujeres en situación de especial vulnerabilidad</w:t>
      </w:r>
      <w:r w:rsidR="004B0D92" w:rsidRPr="00DC03F7">
        <w:rPr>
          <w:rFonts w:ascii="Times New Roman" w:eastAsia="Times New Roman" w:hAnsi="Times New Roman" w:cs="Times New Roman"/>
          <w:sz w:val="21"/>
          <w:szCs w:val="21"/>
          <w:lang w:eastAsia="es-ES_tradnl"/>
        </w:rPr>
        <w:t xml:space="preserve"> como víctimas de trata</w:t>
      </w:r>
      <w:r w:rsidR="008F1222" w:rsidRPr="00DC03F7">
        <w:rPr>
          <w:rFonts w:ascii="Times New Roman" w:eastAsia="Times New Roman" w:hAnsi="Times New Roman" w:cs="Times New Roman"/>
          <w:sz w:val="21"/>
          <w:szCs w:val="21"/>
          <w:lang w:eastAsia="es-ES_tradnl"/>
        </w:rPr>
        <w:t xml:space="preserve">, </w:t>
      </w:r>
      <w:r w:rsidR="004B0D92" w:rsidRPr="00DC03F7">
        <w:rPr>
          <w:rFonts w:ascii="Times New Roman" w:eastAsia="Times New Roman" w:hAnsi="Times New Roman" w:cs="Times New Roman"/>
          <w:sz w:val="21"/>
          <w:szCs w:val="21"/>
          <w:lang w:eastAsia="es-ES_tradnl"/>
        </w:rPr>
        <w:t>tales como</w:t>
      </w:r>
      <w:r w:rsidR="008F1222" w:rsidRPr="00DC03F7">
        <w:rPr>
          <w:rFonts w:ascii="Times New Roman" w:eastAsia="Times New Roman" w:hAnsi="Times New Roman" w:cs="Times New Roman"/>
          <w:sz w:val="21"/>
          <w:szCs w:val="21"/>
          <w:lang w:eastAsia="es-ES_tradnl"/>
        </w:rPr>
        <w:t xml:space="preserve"> la denegación o la postergación del </w:t>
      </w:r>
      <w:r w:rsidR="00CB74B0">
        <w:rPr>
          <w:rFonts w:ascii="Times New Roman" w:eastAsia="Times New Roman" w:hAnsi="Times New Roman" w:cs="Times New Roman"/>
          <w:sz w:val="21"/>
          <w:szCs w:val="21"/>
          <w:lang w:eastAsia="es-ES_tradnl"/>
        </w:rPr>
        <w:t xml:space="preserve">acceso a un </w:t>
      </w:r>
      <w:r w:rsidR="008F1222" w:rsidRPr="00DC03F7">
        <w:rPr>
          <w:rFonts w:ascii="Times New Roman" w:eastAsia="Times New Roman" w:hAnsi="Times New Roman" w:cs="Times New Roman"/>
          <w:sz w:val="21"/>
          <w:szCs w:val="21"/>
          <w:lang w:eastAsia="es-ES_tradnl"/>
        </w:rPr>
        <w:t xml:space="preserve">aborto sin riesgo y la atención posterior al aborto, la continuación forzada del embarazo, el abuso y el maltrato de las mujeres y las niñas que buscan información sobre servicios </w:t>
      </w:r>
      <w:r w:rsidR="005E54DB">
        <w:rPr>
          <w:rFonts w:ascii="Times New Roman" w:eastAsia="Times New Roman" w:hAnsi="Times New Roman" w:cs="Times New Roman"/>
          <w:sz w:val="21"/>
          <w:szCs w:val="21"/>
          <w:lang w:eastAsia="es-ES_tradnl"/>
        </w:rPr>
        <w:t xml:space="preserve">de salud </w:t>
      </w:r>
      <w:r w:rsidR="008F1222" w:rsidRPr="00DC03F7">
        <w:rPr>
          <w:rFonts w:ascii="Times New Roman" w:eastAsia="Times New Roman" w:hAnsi="Times New Roman" w:cs="Times New Roman"/>
          <w:sz w:val="21"/>
          <w:szCs w:val="21"/>
          <w:lang w:eastAsia="es-ES_tradnl"/>
        </w:rPr>
        <w:t>sexual y reproductiv</w:t>
      </w:r>
      <w:r w:rsidR="005E54DB">
        <w:rPr>
          <w:rFonts w:ascii="Times New Roman" w:eastAsia="Times New Roman" w:hAnsi="Times New Roman" w:cs="Times New Roman"/>
          <w:sz w:val="21"/>
          <w:szCs w:val="21"/>
          <w:lang w:eastAsia="es-ES_tradnl"/>
        </w:rPr>
        <w:t>a</w:t>
      </w:r>
      <w:r w:rsidR="00923D2B" w:rsidRPr="00DC03F7">
        <w:rPr>
          <w:rFonts w:ascii="Times New Roman" w:eastAsia="Times New Roman" w:hAnsi="Times New Roman" w:cs="Times New Roman"/>
          <w:sz w:val="21"/>
          <w:szCs w:val="21"/>
          <w:lang w:eastAsia="es-ES_tradnl"/>
        </w:rPr>
        <w:t>,</w:t>
      </w:r>
      <w:r w:rsidR="008F1222" w:rsidRPr="00DC03F7">
        <w:rPr>
          <w:rFonts w:ascii="Times New Roman" w:eastAsia="Times New Roman" w:hAnsi="Times New Roman" w:cs="Times New Roman"/>
          <w:sz w:val="21"/>
          <w:szCs w:val="21"/>
          <w:lang w:eastAsia="es-ES_tradnl"/>
        </w:rPr>
        <w:t xml:space="preserve"> son formas de violencia por razón de género que pueden constituir tortura o trato cruel, inhumano o degradante</w:t>
      </w:r>
      <w:r w:rsidR="008F1222" w:rsidRPr="00DC03F7">
        <w:rPr>
          <w:rStyle w:val="FootnoteReference"/>
          <w:rFonts w:ascii="Times New Roman" w:eastAsia="Times New Roman" w:hAnsi="Times New Roman" w:cs="Times New Roman"/>
          <w:sz w:val="21"/>
          <w:szCs w:val="21"/>
          <w:lang w:eastAsia="es-ES_tradnl"/>
        </w:rPr>
        <w:footnoteReference w:id="70"/>
      </w:r>
      <w:r w:rsidR="008F1222" w:rsidRPr="00DC03F7">
        <w:rPr>
          <w:rFonts w:ascii="Times New Roman" w:eastAsia="Times New Roman" w:hAnsi="Times New Roman" w:cs="Times New Roman"/>
          <w:sz w:val="21"/>
          <w:szCs w:val="21"/>
          <w:lang w:eastAsia="es-ES_tradnl"/>
        </w:rPr>
        <w:t>. Además</w:t>
      </w:r>
      <w:r w:rsidR="00F614D0">
        <w:rPr>
          <w:rFonts w:ascii="Times New Roman" w:eastAsia="Times New Roman" w:hAnsi="Times New Roman" w:cs="Times New Roman"/>
          <w:sz w:val="21"/>
          <w:szCs w:val="21"/>
          <w:lang w:eastAsia="es-ES_tradnl"/>
        </w:rPr>
        <w:t>,</w:t>
      </w:r>
      <w:r w:rsidR="008F1222" w:rsidRPr="00DC03F7">
        <w:rPr>
          <w:rFonts w:ascii="Times New Roman" w:eastAsia="Times New Roman" w:hAnsi="Times New Roman" w:cs="Times New Roman"/>
          <w:sz w:val="21"/>
          <w:szCs w:val="21"/>
          <w:lang w:eastAsia="es-ES_tradnl"/>
        </w:rPr>
        <w:t xml:space="preserve"> </w:t>
      </w:r>
      <w:r w:rsidR="008F1222" w:rsidRPr="00DC03F7">
        <w:rPr>
          <w:rFonts w:ascii="Times New Roman" w:hAnsi="Times New Roman" w:cs="Times New Roman"/>
          <w:color w:val="000000" w:themeColor="text1"/>
          <w:sz w:val="21"/>
          <w:szCs w:val="21"/>
        </w:rPr>
        <w:t>“la denegación de proporcionar un acceso adecuado a servicios para la interrupción de un embarazo son formas de discriminación”</w:t>
      </w:r>
      <w:r w:rsidR="008F1222" w:rsidRPr="00DC03F7">
        <w:rPr>
          <w:rStyle w:val="FootnoteReference"/>
          <w:rFonts w:ascii="Times New Roman" w:hAnsi="Times New Roman" w:cs="Times New Roman"/>
          <w:color w:val="000000" w:themeColor="text1"/>
          <w:sz w:val="21"/>
          <w:szCs w:val="21"/>
        </w:rPr>
        <w:footnoteReference w:id="71"/>
      </w:r>
      <w:r w:rsidR="008F1222" w:rsidRPr="00DC03F7">
        <w:rPr>
          <w:rFonts w:ascii="Times New Roman" w:hAnsi="Times New Roman" w:cs="Times New Roman"/>
          <w:color w:val="000000" w:themeColor="text1"/>
          <w:sz w:val="21"/>
          <w:szCs w:val="21"/>
        </w:rPr>
        <w:t>.</w:t>
      </w:r>
    </w:p>
    <w:p w14:paraId="1754C06F" w14:textId="77777777" w:rsidR="00996423" w:rsidRPr="00DC03F7" w:rsidRDefault="00996423" w:rsidP="00996423">
      <w:pPr>
        <w:pStyle w:val="ListParagraph"/>
        <w:spacing w:line="276" w:lineRule="auto"/>
        <w:ind w:left="0"/>
        <w:jc w:val="both"/>
        <w:rPr>
          <w:rFonts w:ascii="Times New Roman" w:eastAsia="Times New Roman" w:hAnsi="Times New Roman" w:cs="Times New Roman"/>
          <w:sz w:val="21"/>
          <w:szCs w:val="21"/>
          <w:lang w:val="es-ES" w:eastAsia="es-ES_tradnl"/>
        </w:rPr>
      </w:pPr>
    </w:p>
    <w:p w14:paraId="29672550" w14:textId="512E3A73" w:rsidR="006D2567" w:rsidRPr="00DC03F7" w:rsidRDefault="000C78AC" w:rsidP="00996423">
      <w:pPr>
        <w:pStyle w:val="ListParagraph"/>
        <w:numPr>
          <w:ilvl w:val="0"/>
          <w:numId w:val="9"/>
        </w:numPr>
        <w:spacing w:line="276" w:lineRule="auto"/>
        <w:ind w:left="0"/>
        <w:jc w:val="both"/>
        <w:rPr>
          <w:rFonts w:ascii="Times New Roman" w:eastAsia="Times New Roman" w:hAnsi="Times New Roman" w:cs="Times New Roman"/>
          <w:sz w:val="21"/>
          <w:szCs w:val="21"/>
          <w:lang w:val="es-ES" w:eastAsia="es-ES_tradnl"/>
        </w:rPr>
      </w:pPr>
      <w:r>
        <w:rPr>
          <w:rFonts w:ascii="Times New Roman" w:eastAsia="Times New Roman" w:hAnsi="Times New Roman" w:cs="Times New Roman"/>
          <w:sz w:val="21"/>
          <w:szCs w:val="21"/>
          <w:lang w:val="es-ES" w:eastAsia="es-ES_tradnl"/>
        </w:rPr>
        <w:t>Esta</w:t>
      </w:r>
      <w:r w:rsidRPr="00DC03F7">
        <w:rPr>
          <w:rFonts w:ascii="Times New Roman" w:eastAsia="Times New Roman" w:hAnsi="Times New Roman" w:cs="Times New Roman"/>
          <w:sz w:val="21"/>
          <w:szCs w:val="21"/>
          <w:lang w:val="es-ES" w:eastAsia="es-ES_tradnl"/>
        </w:rPr>
        <w:t xml:space="preserve"> </w:t>
      </w:r>
      <w:r w:rsidR="006D2567" w:rsidRPr="00DC03F7">
        <w:rPr>
          <w:rFonts w:ascii="Times New Roman" w:eastAsia="Times New Roman" w:hAnsi="Times New Roman" w:cs="Times New Roman"/>
          <w:sz w:val="21"/>
          <w:szCs w:val="21"/>
          <w:lang w:val="es-ES" w:eastAsia="es-ES_tradnl"/>
        </w:rPr>
        <w:t>situación resulta exacerbada cuando mujeres víctimas de trata, debido a las dinámicas propias de la trata y de la explotación sexual a las que son sometidas, tienen embarazos no deseados que han decidido interrumpir.</w:t>
      </w:r>
      <w:r w:rsidR="00923D2B" w:rsidRPr="00DC03F7">
        <w:rPr>
          <w:rFonts w:ascii="Times New Roman" w:eastAsia="Times New Roman" w:hAnsi="Times New Roman" w:cs="Times New Roman"/>
          <w:sz w:val="21"/>
          <w:szCs w:val="21"/>
          <w:lang w:val="es-ES" w:eastAsia="es-ES_tradnl"/>
        </w:rPr>
        <w:t xml:space="preserve"> Uno de los</w:t>
      </w:r>
      <w:r w:rsidR="006D2567" w:rsidRPr="00DC03F7">
        <w:rPr>
          <w:rFonts w:ascii="Times New Roman" w:eastAsia="Times New Roman" w:hAnsi="Times New Roman" w:cs="Times New Roman"/>
          <w:sz w:val="21"/>
          <w:szCs w:val="21"/>
          <w:lang w:val="es-ES" w:eastAsia="es-ES_tradnl"/>
        </w:rPr>
        <w:t xml:space="preserve"> obstáculo</w:t>
      </w:r>
      <w:r w:rsidR="00923D2B" w:rsidRPr="00DC03F7">
        <w:rPr>
          <w:rFonts w:ascii="Times New Roman" w:eastAsia="Times New Roman" w:hAnsi="Times New Roman" w:cs="Times New Roman"/>
          <w:sz w:val="21"/>
          <w:szCs w:val="21"/>
          <w:lang w:val="es-ES" w:eastAsia="es-ES_tradnl"/>
        </w:rPr>
        <w:t>s recurrentes</w:t>
      </w:r>
      <w:r w:rsidR="006D2567" w:rsidRPr="00DC03F7">
        <w:rPr>
          <w:rFonts w:ascii="Times New Roman" w:eastAsia="Times New Roman" w:hAnsi="Times New Roman" w:cs="Times New Roman"/>
          <w:sz w:val="21"/>
          <w:szCs w:val="21"/>
          <w:lang w:val="es-ES" w:eastAsia="es-ES_tradnl"/>
        </w:rPr>
        <w:t xml:space="preserve"> con el que se encuentran es que las políticas sanitarias de gran variedad de Estados de </w:t>
      </w:r>
      <w:r w:rsidR="00DB0E97" w:rsidRPr="00DC03F7">
        <w:rPr>
          <w:rFonts w:ascii="Times New Roman" w:eastAsia="Times New Roman" w:hAnsi="Times New Roman" w:cs="Times New Roman"/>
          <w:sz w:val="21"/>
          <w:szCs w:val="21"/>
          <w:lang w:val="es-ES" w:eastAsia="es-ES_tradnl"/>
        </w:rPr>
        <w:t>origen, tránsito o destino</w:t>
      </w:r>
      <w:r w:rsidR="006D2567" w:rsidRPr="00DC03F7">
        <w:rPr>
          <w:rFonts w:ascii="Times New Roman" w:eastAsia="Times New Roman" w:hAnsi="Times New Roman" w:cs="Times New Roman"/>
          <w:sz w:val="21"/>
          <w:szCs w:val="21"/>
          <w:lang w:val="es-ES" w:eastAsia="es-ES_tradnl"/>
        </w:rPr>
        <w:t xml:space="preserve"> las excluyen de los servicios de salud, incluso cuando la interrupción del embarazo es legal en el país</w:t>
      </w:r>
      <w:r>
        <w:rPr>
          <w:rStyle w:val="FootnoteReference"/>
          <w:rFonts w:ascii="Times New Roman" w:eastAsia="Times New Roman" w:hAnsi="Times New Roman" w:cs="Times New Roman"/>
          <w:sz w:val="21"/>
          <w:szCs w:val="21"/>
          <w:lang w:val="es-ES" w:eastAsia="es-ES_tradnl"/>
        </w:rPr>
        <w:footnoteReference w:id="72"/>
      </w:r>
      <w:r w:rsidR="006D2567" w:rsidRPr="00DC03F7">
        <w:rPr>
          <w:rFonts w:ascii="Times New Roman" w:eastAsia="Times New Roman" w:hAnsi="Times New Roman" w:cs="Times New Roman"/>
          <w:sz w:val="21"/>
          <w:szCs w:val="21"/>
          <w:lang w:val="es-ES" w:eastAsia="es-ES_tradnl"/>
        </w:rPr>
        <w:t>. (</w:t>
      </w:r>
      <w:r w:rsidR="006D2567" w:rsidRPr="00DC03F7">
        <w:rPr>
          <w:rFonts w:ascii="Times New Roman" w:eastAsia="Times New Roman" w:hAnsi="Times New Roman" w:cs="Times New Roman"/>
          <w:b/>
          <w:sz w:val="21"/>
          <w:szCs w:val="21"/>
          <w:lang w:val="es-ES" w:eastAsia="es-ES_tradnl"/>
        </w:rPr>
        <w:t xml:space="preserve">ver </w:t>
      </w:r>
      <w:hyperlink r:id="rId27" w:history="1">
        <w:r w:rsidR="00907F2D" w:rsidRPr="00B27130">
          <w:rPr>
            <w:rStyle w:val="Hyperlink"/>
            <w:rFonts w:ascii="Times New Roman" w:eastAsia="Times New Roman" w:hAnsi="Times New Roman" w:cs="Times New Roman"/>
            <w:b/>
            <w:sz w:val="21"/>
            <w:szCs w:val="21"/>
            <w:lang w:val="es-ES" w:eastAsia="es-ES_tradnl"/>
          </w:rPr>
          <w:t>C</w:t>
        </w:r>
        <w:r w:rsidR="006D2567" w:rsidRPr="00B27130">
          <w:rPr>
            <w:rStyle w:val="Hyperlink"/>
            <w:rFonts w:ascii="Times New Roman" w:eastAsia="Times New Roman" w:hAnsi="Times New Roman" w:cs="Times New Roman"/>
            <w:b/>
            <w:sz w:val="21"/>
            <w:szCs w:val="21"/>
            <w:lang w:val="es-ES" w:eastAsia="es-ES_tradnl"/>
          </w:rPr>
          <w:t xml:space="preserve">aso </w:t>
        </w:r>
        <w:r w:rsidR="00907F2D" w:rsidRPr="00B27130">
          <w:rPr>
            <w:rStyle w:val="Hyperlink"/>
            <w:rFonts w:ascii="Times New Roman" w:eastAsia="Times New Roman" w:hAnsi="Times New Roman" w:cs="Times New Roman"/>
            <w:b/>
            <w:sz w:val="21"/>
            <w:szCs w:val="21"/>
            <w:lang w:val="es-ES" w:eastAsia="es-ES_tradnl"/>
          </w:rPr>
          <w:t xml:space="preserve">6 </w:t>
        </w:r>
        <w:r w:rsidR="00820170" w:rsidRPr="00B27130">
          <w:rPr>
            <w:rStyle w:val="Hyperlink"/>
            <w:rFonts w:ascii="Times New Roman" w:eastAsia="Times New Roman" w:hAnsi="Times New Roman" w:cs="Times New Roman"/>
            <w:b/>
            <w:sz w:val="21"/>
            <w:szCs w:val="21"/>
            <w:lang w:val="es-ES" w:eastAsia="es-ES_tradnl"/>
          </w:rPr>
          <w:t>–</w:t>
        </w:r>
        <w:r w:rsidR="00907F2D" w:rsidRPr="00B27130">
          <w:rPr>
            <w:rStyle w:val="Hyperlink"/>
            <w:rFonts w:ascii="Times New Roman" w:eastAsia="Times New Roman" w:hAnsi="Times New Roman" w:cs="Times New Roman"/>
            <w:b/>
            <w:sz w:val="21"/>
            <w:szCs w:val="21"/>
            <w:lang w:val="es-ES" w:eastAsia="es-ES_tradnl"/>
          </w:rPr>
          <w:t xml:space="preserve"> </w:t>
        </w:r>
        <w:r w:rsidR="006D2567" w:rsidRPr="00B27130">
          <w:rPr>
            <w:rStyle w:val="Hyperlink"/>
            <w:rFonts w:ascii="Times New Roman" w:eastAsia="Times New Roman" w:hAnsi="Times New Roman" w:cs="Times New Roman"/>
            <w:b/>
            <w:sz w:val="21"/>
            <w:szCs w:val="21"/>
            <w:lang w:val="es-ES" w:eastAsia="es-ES_tradnl"/>
          </w:rPr>
          <w:t>IVE</w:t>
        </w:r>
      </w:hyperlink>
      <w:r w:rsidR="006D2567" w:rsidRPr="00DC03F7">
        <w:rPr>
          <w:rFonts w:ascii="Times New Roman" w:eastAsia="Times New Roman" w:hAnsi="Times New Roman" w:cs="Times New Roman"/>
          <w:sz w:val="21"/>
          <w:szCs w:val="21"/>
          <w:lang w:val="es-ES" w:eastAsia="es-ES_tradnl"/>
        </w:rPr>
        <w:t>).</w:t>
      </w:r>
    </w:p>
    <w:p w14:paraId="750F305F" w14:textId="77777777" w:rsidR="00C07BDC" w:rsidRPr="00DC03F7" w:rsidRDefault="00C07BDC" w:rsidP="00E819C9">
      <w:pPr>
        <w:spacing w:line="276" w:lineRule="auto"/>
        <w:jc w:val="both"/>
        <w:rPr>
          <w:sz w:val="21"/>
          <w:szCs w:val="21"/>
        </w:rPr>
      </w:pPr>
    </w:p>
    <w:p w14:paraId="62BFA332" w14:textId="116822A2" w:rsidR="005B74E6" w:rsidRPr="00425C1B" w:rsidRDefault="00941DE6" w:rsidP="00E819C9">
      <w:pPr>
        <w:pStyle w:val="ListParagraph"/>
        <w:numPr>
          <w:ilvl w:val="0"/>
          <w:numId w:val="9"/>
        </w:numPr>
        <w:spacing w:line="276" w:lineRule="auto"/>
        <w:ind w:left="0"/>
        <w:jc w:val="both"/>
        <w:rPr>
          <w:rFonts w:ascii="Times New Roman" w:eastAsia="Times New Roman" w:hAnsi="Times New Roman" w:cs="Times New Roman"/>
          <w:sz w:val="21"/>
          <w:szCs w:val="21"/>
          <w:lang w:val="es-ES" w:eastAsia="es-ES_tradnl"/>
        </w:rPr>
      </w:pPr>
      <w:r w:rsidRPr="00DC03F7">
        <w:rPr>
          <w:rFonts w:ascii="Times New Roman" w:eastAsia="Times New Roman" w:hAnsi="Times New Roman" w:cs="Times New Roman"/>
          <w:sz w:val="21"/>
          <w:szCs w:val="21"/>
          <w:lang w:val="es-ES" w:eastAsia="es-ES_tradnl"/>
        </w:rPr>
        <w:t>Este</w:t>
      </w:r>
      <w:r w:rsidR="008B0079" w:rsidRPr="00DC03F7">
        <w:rPr>
          <w:rFonts w:ascii="Times New Roman" w:eastAsia="Times New Roman" w:hAnsi="Times New Roman" w:cs="Times New Roman"/>
          <w:sz w:val="21"/>
          <w:szCs w:val="21"/>
          <w:lang w:val="es-ES" w:eastAsia="es-ES_tradnl"/>
        </w:rPr>
        <w:t xml:space="preserve"> distinguido</w:t>
      </w:r>
      <w:r w:rsidRPr="00DC03F7">
        <w:rPr>
          <w:rFonts w:ascii="Times New Roman" w:eastAsia="Times New Roman" w:hAnsi="Times New Roman" w:cs="Times New Roman"/>
          <w:sz w:val="21"/>
          <w:szCs w:val="21"/>
          <w:lang w:val="es-ES" w:eastAsia="es-ES_tradnl"/>
        </w:rPr>
        <w:t xml:space="preserve"> Comité ha </w:t>
      </w:r>
      <w:r w:rsidR="00786CC0">
        <w:rPr>
          <w:rFonts w:ascii="Times New Roman" w:eastAsia="Times New Roman" w:hAnsi="Times New Roman" w:cs="Times New Roman"/>
          <w:sz w:val="21"/>
          <w:szCs w:val="21"/>
          <w:lang w:val="es-ES" w:eastAsia="es-ES_tradnl"/>
        </w:rPr>
        <w:t>afirmado</w:t>
      </w:r>
      <w:r w:rsidR="00F86A2C" w:rsidRPr="00DC03F7">
        <w:rPr>
          <w:rFonts w:ascii="Times New Roman" w:eastAsia="Times New Roman" w:hAnsi="Times New Roman" w:cs="Times New Roman"/>
          <w:sz w:val="21"/>
          <w:szCs w:val="21"/>
          <w:lang w:val="es-ES" w:eastAsia="es-ES_tradnl"/>
        </w:rPr>
        <w:t xml:space="preserve"> que</w:t>
      </w:r>
      <w:r w:rsidRPr="00DC03F7">
        <w:rPr>
          <w:rFonts w:ascii="Times New Roman" w:eastAsia="Times New Roman" w:hAnsi="Times New Roman" w:cs="Times New Roman"/>
          <w:sz w:val="21"/>
          <w:szCs w:val="21"/>
          <w:lang w:val="es-ES" w:eastAsia="es-ES_tradnl"/>
        </w:rPr>
        <w:t xml:space="preserve"> los Estado</w:t>
      </w:r>
      <w:r w:rsidR="00D33775" w:rsidRPr="00DC03F7">
        <w:rPr>
          <w:rFonts w:ascii="Times New Roman" w:eastAsia="Times New Roman" w:hAnsi="Times New Roman" w:cs="Times New Roman"/>
          <w:sz w:val="21"/>
          <w:szCs w:val="21"/>
          <w:lang w:val="es-ES" w:eastAsia="es-ES_tradnl"/>
        </w:rPr>
        <w:t>s</w:t>
      </w:r>
      <w:r w:rsidRPr="00DC03F7">
        <w:rPr>
          <w:rFonts w:ascii="Times New Roman" w:eastAsia="Times New Roman" w:hAnsi="Times New Roman" w:cs="Times New Roman"/>
          <w:sz w:val="21"/>
          <w:szCs w:val="21"/>
          <w:lang w:val="es-ES" w:eastAsia="es-ES_tradnl"/>
        </w:rPr>
        <w:t xml:space="preserve"> tienen la obligación de velar </w:t>
      </w:r>
      <w:r w:rsidR="00282448">
        <w:rPr>
          <w:rFonts w:ascii="Times New Roman" w:eastAsia="Times New Roman" w:hAnsi="Times New Roman" w:cs="Times New Roman"/>
          <w:sz w:val="21"/>
          <w:szCs w:val="21"/>
          <w:lang w:val="es-ES" w:eastAsia="es-ES_tradnl"/>
        </w:rPr>
        <w:t>por</w:t>
      </w:r>
      <w:r w:rsidR="00786CC0">
        <w:rPr>
          <w:rFonts w:ascii="Times New Roman" w:eastAsia="Times New Roman" w:hAnsi="Times New Roman" w:cs="Times New Roman"/>
          <w:sz w:val="21"/>
          <w:szCs w:val="21"/>
          <w:lang w:val="es-ES" w:eastAsia="es-ES_tradnl"/>
        </w:rPr>
        <w:t xml:space="preserve"> </w:t>
      </w:r>
      <w:r w:rsidRPr="00DC03F7">
        <w:rPr>
          <w:rFonts w:ascii="Times New Roman" w:eastAsia="Times New Roman" w:hAnsi="Times New Roman" w:cs="Times New Roman"/>
          <w:sz w:val="21"/>
          <w:szCs w:val="21"/>
          <w:lang w:val="es-ES" w:eastAsia="es-ES_tradnl"/>
        </w:rPr>
        <w:t>que las mujeres en circunstancias especial</w:t>
      </w:r>
      <w:r w:rsidR="00251D1D">
        <w:rPr>
          <w:rFonts w:ascii="Times New Roman" w:eastAsia="Times New Roman" w:hAnsi="Times New Roman" w:cs="Times New Roman"/>
          <w:sz w:val="21"/>
          <w:szCs w:val="21"/>
          <w:lang w:val="es-ES" w:eastAsia="es-ES_tradnl"/>
        </w:rPr>
        <w:t xml:space="preserve">mente </w:t>
      </w:r>
      <w:r w:rsidR="00786CC0">
        <w:rPr>
          <w:rFonts w:ascii="Times New Roman" w:eastAsia="Times New Roman" w:hAnsi="Times New Roman" w:cs="Times New Roman"/>
          <w:sz w:val="21"/>
          <w:szCs w:val="21"/>
          <w:lang w:val="es-ES" w:eastAsia="es-ES_tradnl"/>
        </w:rPr>
        <w:t>vulnerables</w:t>
      </w:r>
      <w:r w:rsidR="00AE25F2" w:rsidRPr="00DC03F7">
        <w:rPr>
          <w:rFonts w:ascii="Times New Roman" w:eastAsia="Times New Roman" w:hAnsi="Times New Roman" w:cs="Times New Roman"/>
          <w:sz w:val="21"/>
          <w:szCs w:val="21"/>
          <w:lang w:val="es-ES" w:eastAsia="es-ES_tradnl"/>
        </w:rPr>
        <w:t xml:space="preserve">, como </w:t>
      </w:r>
      <w:r w:rsidR="00282448">
        <w:rPr>
          <w:rFonts w:ascii="Times New Roman" w:eastAsia="Times New Roman" w:hAnsi="Times New Roman" w:cs="Times New Roman"/>
          <w:sz w:val="21"/>
          <w:szCs w:val="21"/>
          <w:lang w:val="es-ES" w:eastAsia="es-ES_tradnl"/>
        </w:rPr>
        <w:t xml:space="preserve">las </w:t>
      </w:r>
      <w:r w:rsidR="00AE25F2" w:rsidRPr="00DC03F7">
        <w:rPr>
          <w:rFonts w:ascii="Times New Roman" w:eastAsia="Times New Roman" w:hAnsi="Times New Roman" w:cs="Times New Roman"/>
          <w:sz w:val="21"/>
          <w:szCs w:val="21"/>
          <w:lang w:val="es-ES" w:eastAsia="es-ES_tradnl"/>
        </w:rPr>
        <w:t xml:space="preserve">víctimas de </w:t>
      </w:r>
      <w:r w:rsidR="006D4AC3">
        <w:rPr>
          <w:rFonts w:ascii="Times New Roman" w:eastAsia="Times New Roman" w:hAnsi="Times New Roman" w:cs="Times New Roman"/>
          <w:sz w:val="21"/>
          <w:szCs w:val="21"/>
          <w:lang w:val="es-ES" w:eastAsia="es-ES_tradnl"/>
        </w:rPr>
        <w:t>diferentes formas de violencia de género</w:t>
      </w:r>
      <w:r w:rsidR="00AE25F2" w:rsidRPr="00DC03F7">
        <w:rPr>
          <w:rFonts w:ascii="Times New Roman" w:eastAsia="Times New Roman" w:hAnsi="Times New Roman" w:cs="Times New Roman"/>
          <w:sz w:val="21"/>
          <w:szCs w:val="21"/>
          <w:lang w:val="es-ES" w:eastAsia="es-ES_tradnl"/>
        </w:rPr>
        <w:t>,</w:t>
      </w:r>
      <w:r w:rsidR="000D0E48" w:rsidRPr="00DC03F7">
        <w:rPr>
          <w:rFonts w:ascii="Times New Roman" w:eastAsia="Times New Roman" w:hAnsi="Times New Roman" w:cs="Times New Roman"/>
          <w:sz w:val="21"/>
          <w:szCs w:val="21"/>
          <w:lang w:val="es-ES" w:eastAsia="es-ES_tradnl"/>
        </w:rPr>
        <w:t xml:space="preserve"> reciban protección y servicios de salud</w:t>
      </w:r>
      <w:r w:rsidR="00DE2FA3" w:rsidRPr="00DC03F7">
        <w:rPr>
          <w:rFonts w:ascii="Times New Roman" w:eastAsia="Times New Roman" w:hAnsi="Times New Roman" w:cs="Times New Roman"/>
          <w:sz w:val="21"/>
          <w:szCs w:val="21"/>
          <w:lang w:val="es-ES" w:eastAsia="es-ES_tradnl"/>
        </w:rPr>
        <w:t xml:space="preserve"> sin </w:t>
      </w:r>
      <w:r w:rsidR="005B74E6" w:rsidRPr="00DC03F7">
        <w:rPr>
          <w:rFonts w:ascii="Times New Roman" w:eastAsia="Times New Roman" w:hAnsi="Times New Roman" w:cs="Times New Roman"/>
          <w:sz w:val="21"/>
          <w:szCs w:val="21"/>
          <w:lang w:val="es-ES" w:eastAsia="es-ES_tradnl"/>
        </w:rPr>
        <w:t>obstáculos</w:t>
      </w:r>
      <w:r w:rsidR="007A24A1" w:rsidRPr="00DC03F7">
        <w:rPr>
          <w:rFonts w:ascii="Times New Roman" w:eastAsia="Times New Roman" w:hAnsi="Times New Roman" w:cs="Times New Roman"/>
          <w:sz w:val="21"/>
          <w:szCs w:val="21"/>
          <w:lang w:val="es-ES" w:eastAsia="es-ES_tradnl"/>
        </w:rPr>
        <w:t>, incluido el acceso a los servicios de interrupción del embarazo</w:t>
      </w:r>
      <w:r w:rsidR="000D0E48" w:rsidRPr="00DC03F7">
        <w:rPr>
          <w:rStyle w:val="FootnoteReference"/>
          <w:rFonts w:ascii="Times New Roman" w:eastAsia="Times New Roman" w:hAnsi="Times New Roman" w:cs="Times New Roman"/>
          <w:sz w:val="21"/>
          <w:szCs w:val="21"/>
          <w:lang w:val="es-ES" w:eastAsia="es-ES_tradnl"/>
        </w:rPr>
        <w:footnoteReference w:id="73"/>
      </w:r>
      <w:r w:rsidR="00AC181E" w:rsidRPr="00DC03F7">
        <w:rPr>
          <w:rFonts w:ascii="Times New Roman" w:eastAsia="Times New Roman" w:hAnsi="Times New Roman" w:cs="Times New Roman"/>
          <w:sz w:val="21"/>
          <w:szCs w:val="21"/>
          <w:lang w:val="es-ES" w:eastAsia="es-ES_tradnl"/>
        </w:rPr>
        <w:t>.</w:t>
      </w:r>
      <w:r w:rsidR="000D0E48" w:rsidRPr="00DC03F7">
        <w:rPr>
          <w:rFonts w:ascii="Times New Roman" w:eastAsia="Times New Roman" w:hAnsi="Times New Roman" w:cs="Times New Roman"/>
          <w:sz w:val="21"/>
          <w:szCs w:val="21"/>
          <w:lang w:val="es-ES" w:eastAsia="es-ES_tradnl"/>
        </w:rPr>
        <w:t xml:space="preserve"> </w:t>
      </w:r>
      <w:r w:rsidR="005B74E6" w:rsidRPr="00DC03F7">
        <w:rPr>
          <w:rFonts w:ascii="Times New Roman" w:eastAsia="Times New Roman" w:hAnsi="Times New Roman" w:cs="Times New Roman"/>
          <w:sz w:val="21"/>
          <w:szCs w:val="21"/>
          <w:lang w:val="es-ES" w:eastAsia="es-ES_tradnl"/>
        </w:rPr>
        <w:t xml:space="preserve">Sin embargo, en muchas ocasiones, los Estados excluyen del acceso a servicios de salud a personas en situación de movilidad humana o </w:t>
      </w:r>
      <w:r w:rsidR="00CF60FD">
        <w:rPr>
          <w:rFonts w:ascii="Times New Roman" w:eastAsia="Times New Roman" w:hAnsi="Times New Roman" w:cs="Times New Roman"/>
          <w:sz w:val="21"/>
          <w:szCs w:val="21"/>
          <w:lang w:val="es-ES" w:eastAsia="es-ES_tradnl"/>
        </w:rPr>
        <w:t xml:space="preserve">a migrantes </w:t>
      </w:r>
      <w:r w:rsidR="005B74E6" w:rsidRPr="00DC03F7">
        <w:rPr>
          <w:rFonts w:ascii="Times New Roman" w:eastAsia="Times New Roman" w:hAnsi="Times New Roman" w:cs="Times New Roman"/>
          <w:sz w:val="21"/>
          <w:szCs w:val="21"/>
          <w:lang w:val="es-ES" w:eastAsia="es-ES_tradnl"/>
        </w:rPr>
        <w:t xml:space="preserve">en situación administrativa irregular, lo </w:t>
      </w:r>
      <w:r w:rsidR="005A302F">
        <w:rPr>
          <w:rFonts w:ascii="Times New Roman" w:eastAsia="Times New Roman" w:hAnsi="Times New Roman" w:cs="Times New Roman"/>
          <w:sz w:val="21"/>
          <w:szCs w:val="21"/>
          <w:lang w:val="es-ES" w:eastAsia="es-ES_tradnl"/>
        </w:rPr>
        <w:t>que provoca</w:t>
      </w:r>
      <w:r w:rsidR="005B74E6" w:rsidRPr="00DC03F7">
        <w:rPr>
          <w:rFonts w:ascii="Times New Roman" w:eastAsia="Times New Roman" w:hAnsi="Times New Roman" w:cs="Times New Roman"/>
          <w:sz w:val="21"/>
          <w:szCs w:val="21"/>
          <w:lang w:val="es-ES" w:eastAsia="es-ES_tradnl"/>
        </w:rPr>
        <w:t xml:space="preserve"> que las víctimas </w:t>
      </w:r>
      <w:r w:rsidR="005A302F">
        <w:rPr>
          <w:rFonts w:ascii="Times New Roman" w:eastAsia="Times New Roman" w:hAnsi="Times New Roman" w:cs="Times New Roman"/>
          <w:sz w:val="21"/>
          <w:szCs w:val="21"/>
          <w:lang w:val="es-ES" w:eastAsia="es-ES_tradnl"/>
        </w:rPr>
        <w:t xml:space="preserve">de trata </w:t>
      </w:r>
      <w:r w:rsidR="005B74E6" w:rsidRPr="00DC03F7">
        <w:rPr>
          <w:rFonts w:ascii="Times New Roman" w:eastAsia="Times New Roman" w:hAnsi="Times New Roman" w:cs="Times New Roman"/>
          <w:sz w:val="21"/>
          <w:szCs w:val="21"/>
          <w:lang w:val="es-ES" w:eastAsia="es-ES_tradnl"/>
        </w:rPr>
        <w:t xml:space="preserve">queden fuera del ámbito de la protección </w:t>
      </w:r>
      <w:r w:rsidR="00B461FF" w:rsidRPr="00DC03F7">
        <w:rPr>
          <w:rFonts w:ascii="Times New Roman" w:eastAsia="Times New Roman" w:hAnsi="Times New Roman" w:cs="Times New Roman"/>
          <w:sz w:val="21"/>
          <w:szCs w:val="21"/>
          <w:lang w:val="es-ES" w:eastAsia="es-ES_tradnl"/>
        </w:rPr>
        <w:t>del derecho a la</w:t>
      </w:r>
      <w:r w:rsidR="005B74E6" w:rsidRPr="00DC03F7">
        <w:rPr>
          <w:rFonts w:ascii="Times New Roman" w:eastAsia="Times New Roman" w:hAnsi="Times New Roman" w:cs="Times New Roman"/>
          <w:sz w:val="21"/>
          <w:szCs w:val="21"/>
          <w:lang w:val="es-ES" w:eastAsia="es-ES_tradnl"/>
        </w:rPr>
        <w:t xml:space="preserve"> salud</w:t>
      </w:r>
      <w:r w:rsidR="00F86A2C" w:rsidRPr="00DC03F7">
        <w:rPr>
          <w:rFonts w:ascii="Times New Roman" w:eastAsia="Times New Roman" w:hAnsi="Times New Roman" w:cs="Times New Roman"/>
          <w:sz w:val="21"/>
          <w:szCs w:val="21"/>
          <w:lang w:val="es-ES" w:eastAsia="es-ES_tradnl"/>
        </w:rPr>
        <w:t xml:space="preserve"> o se les </w:t>
      </w:r>
      <w:r w:rsidR="004B0D92" w:rsidRPr="00DC03F7">
        <w:rPr>
          <w:rFonts w:ascii="Times New Roman" w:eastAsia="Times New Roman" w:hAnsi="Times New Roman" w:cs="Times New Roman"/>
          <w:sz w:val="21"/>
          <w:szCs w:val="21"/>
          <w:lang w:val="es-ES" w:eastAsia="es-ES_tradnl"/>
        </w:rPr>
        <w:t>exi</w:t>
      </w:r>
      <w:r w:rsidR="00E50637" w:rsidRPr="00DC03F7">
        <w:rPr>
          <w:rFonts w:ascii="Times New Roman" w:eastAsia="Times New Roman" w:hAnsi="Times New Roman" w:cs="Times New Roman"/>
          <w:sz w:val="21"/>
          <w:szCs w:val="21"/>
          <w:lang w:val="es-ES" w:eastAsia="es-ES_tradnl"/>
        </w:rPr>
        <w:t>ja</w:t>
      </w:r>
      <w:r w:rsidR="004B0D92" w:rsidRPr="00DC03F7">
        <w:rPr>
          <w:rFonts w:ascii="Times New Roman" w:eastAsia="Times New Roman" w:hAnsi="Times New Roman" w:cs="Times New Roman"/>
          <w:sz w:val="21"/>
          <w:szCs w:val="21"/>
          <w:lang w:val="es-ES" w:eastAsia="es-ES_tradnl"/>
        </w:rPr>
        <w:t xml:space="preserve"> el cumplimiento de</w:t>
      </w:r>
      <w:r w:rsidR="00F86A2C" w:rsidRPr="00DC03F7">
        <w:rPr>
          <w:rFonts w:ascii="Times New Roman" w:eastAsia="Times New Roman" w:hAnsi="Times New Roman" w:cs="Times New Roman"/>
          <w:sz w:val="21"/>
          <w:szCs w:val="21"/>
          <w:lang w:val="es-ES" w:eastAsia="es-ES_tradnl"/>
        </w:rPr>
        <w:t xml:space="preserve"> requisitos</w:t>
      </w:r>
      <w:r w:rsidR="00C07BDC" w:rsidRPr="00DC03F7">
        <w:rPr>
          <w:rFonts w:ascii="Times New Roman" w:eastAsia="Times New Roman" w:hAnsi="Times New Roman" w:cs="Times New Roman"/>
          <w:sz w:val="21"/>
          <w:szCs w:val="21"/>
          <w:lang w:val="es-ES" w:eastAsia="es-ES_tradnl"/>
        </w:rPr>
        <w:t xml:space="preserve"> </w:t>
      </w:r>
      <w:r w:rsidR="001E0B2F" w:rsidRPr="00DC03F7">
        <w:rPr>
          <w:rFonts w:ascii="Times New Roman" w:eastAsia="Times New Roman" w:hAnsi="Times New Roman" w:cs="Times New Roman"/>
          <w:sz w:val="21"/>
          <w:szCs w:val="21"/>
          <w:lang w:val="es-ES" w:eastAsia="es-ES_tradnl"/>
        </w:rPr>
        <w:t>relacionados con su situación migratoria</w:t>
      </w:r>
      <w:r w:rsidR="007567C1" w:rsidRPr="00DC03F7">
        <w:rPr>
          <w:rFonts w:ascii="Times New Roman" w:eastAsia="Times New Roman" w:hAnsi="Times New Roman" w:cs="Times New Roman"/>
          <w:sz w:val="21"/>
          <w:szCs w:val="21"/>
          <w:lang w:val="es-ES" w:eastAsia="es-ES_tradnl"/>
        </w:rPr>
        <w:t xml:space="preserve"> para acceder a ella</w:t>
      </w:r>
      <w:r w:rsidR="001E0B2F" w:rsidRPr="00DC03F7">
        <w:rPr>
          <w:rFonts w:ascii="Times New Roman" w:eastAsia="Times New Roman" w:hAnsi="Times New Roman" w:cs="Times New Roman"/>
          <w:sz w:val="21"/>
          <w:szCs w:val="21"/>
          <w:lang w:val="es-ES" w:eastAsia="es-ES_tradnl"/>
        </w:rPr>
        <w:t xml:space="preserve">, algunos de ellos </w:t>
      </w:r>
      <w:r w:rsidR="00F95B9D">
        <w:rPr>
          <w:rFonts w:ascii="Times New Roman" w:eastAsia="Times New Roman" w:hAnsi="Times New Roman" w:cs="Times New Roman"/>
          <w:sz w:val="21"/>
          <w:szCs w:val="21"/>
          <w:lang w:val="es-ES" w:eastAsia="es-ES_tradnl"/>
        </w:rPr>
        <w:t>desproporcionados o no contemplados en la ley</w:t>
      </w:r>
      <w:r w:rsidR="005B74E6" w:rsidRPr="00DC03F7">
        <w:rPr>
          <w:rFonts w:ascii="Times New Roman" w:eastAsia="Times New Roman" w:hAnsi="Times New Roman" w:cs="Times New Roman"/>
          <w:sz w:val="21"/>
          <w:szCs w:val="21"/>
          <w:lang w:val="es-ES" w:eastAsia="es-ES_tradnl"/>
        </w:rPr>
        <w:t>.</w:t>
      </w:r>
      <w:r w:rsidR="002F3C3E" w:rsidRPr="00DC03F7">
        <w:rPr>
          <w:rFonts w:ascii="Times New Roman" w:eastAsia="Times New Roman" w:hAnsi="Times New Roman" w:cs="Times New Roman"/>
          <w:sz w:val="21"/>
          <w:szCs w:val="21"/>
          <w:lang w:val="es-ES" w:eastAsia="es-ES_tradnl"/>
        </w:rPr>
        <w:t xml:space="preserve"> (</w:t>
      </w:r>
      <w:r w:rsidR="004E6674" w:rsidRPr="00DC03F7">
        <w:rPr>
          <w:rFonts w:ascii="Times New Roman" w:eastAsia="Times New Roman" w:hAnsi="Times New Roman" w:cs="Times New Roman"/>
          <w:b/>
          <w:sz w:val="21"/>
          <w:szCs w:val="21"/>
          <w:lang w:val="es-ES" w:eastAsia="es-ES_tradnl"/>
        </w:rPr>
        <w:t xml:space="preserve">ver </w:t>
      </w:r>
      <w:hyperlink r:id="rId28" w:history="1">
        <w:r w:rsidR="004E6674" w:rsidRPr="00B27130">
          <w:rPr>
            <w:rStyle w:val="Hyperlink"/>
            <w:rFonts w:ascii="Times New Roman" w:eastAsia="Times New Roman" w:hAnsi="Times New Roman" w:cs="Times New Roman"/>
            <w:b/>
            <w:sz w:val="21"/>
            <w:szCs w:val="21"/>
            <w:lang w:val="es-ES" w:eastAsia="es-ES_tradnl"/>
          </w:rPr>
          <w:t xml:space="preserve">Caso 6 </w:t>
        </w:r>
        <w:r w:rsidR="00EF3D72" w:rsidRPr="00B27130">
          <w:rPr>
            <w:rStyle w:val="Hyperlink"/>
            <w:rFonts w:ascii="Times New Roman" w:eastAsia="Times New Roman" w:hAnsi="Times New Roman" w:cs="Times New Roman"/>
            <w:b/>
            <w:sz w:val="21"/>
            <w:szCs w:val="21"/>
            <w:lang w:val="es-ES" w:eastAsia="es-ES_tradnl"/>
          </w:rPr>
          <w:t>–</w:t>
        </w:r>
        <w:r w:rsidR="004E6674" w:rsidRPr="00B27130">
          <w:rPr>
            <w:rStyle w:val="Hyperlink"/>
            <w:rFonts w:ascii="Times New Roman" w:eastAsia="Times New Roman" w:hAnsi="Times New Roman" w:cs="Times New Roman"/>
            <w:b/>
            <w:sz w:val="21"/>
            <w:szCs w:val="21"/>
            <w:lang w:val="es-ES" w:eastAsia="es-ES_tradnl"/>
          </w:rPr>
          <w:t xml:space="preserve"> IVE</w:t>
        </w:r>
      </w:hyperlink>
      <w:r w:rsidR="00F86A2C" w:rsidRPr="00DC03F7">
        <w:rPr>
          <w:rFonts w:ascii="Times New Roman" w:eastAsia="Times New Roman" w:hAnsi="Times New Roman" w:cs="Times New Roman"/>
          <w:sz w:val="21"/>
          <w:szCs w:val="21"/>
          <w:lang w:val="es-ES" w:eastAsia="es-ES_tradnl"/>
        </w:rPr>
        <w:t>)</w:t>
      </w:r>
      <w:r w:rsidR="00711FCF" w:rsidRPr="00DC03F7">
        <w:rPr>
          <w:rFonts w:ascii="Times New Roman" w:eastAsia="Times New Roman" w:hAnsi="Times New Roman" w:cs="Times New Roman"/>
          <w:sz w:val="21"/>
          <w:szCs w:val="21"/>
          <w:lang w:val="es-ES" w:eastAsia="es-ES_tradnl"/>
        </w:rPr>
        <w:t>.</w:t>
      </w:r>
      <w:r w:rsidR="00DB0E97" w:rsidRPr="00DC03F7">
        <w:rPr>
          <w:rFonts w:ascii="Times New Roman" w:eastAsia="Times New Roman" w:hAnsi="Times New Roman" w:cs="Times New Roman"/>
          <w:sz w:val="21"/>
          <w:szCs w:val="21"/>
          <w:lang w:val="es-ES" w:eastAsia="es-ES_tradnl"/>
        </w:rPr>
        <w:t xml:space="preserve"> Con ello, el deber de protección de los Estados es incumplido</w:t>
      </w:r>
      <w:r w:rsidR="00780DE7">
        <w:rPr>
          <w:rFonts w:ascii="Times New Roman" w:eastAsia="Times New Roman" w:hAnsi="Times New Roman" w:cs="Times New Roman"/>
          <w:sz w:val="21"/>
          <w:szCs w:val="21"/>
          <w:lang w:val="es-ES" w:eastAsia="es-ES_tradnl"/>
        </w:rPr>
        <w:t xml:space="preserve">, quedando </w:t>
      </w:r>
      <w:r w:rsidR="00DB0E97" w:rsidRPr="00DC03F7">
        <w:rPr>
          <w:rFonts w:ascii="Times New Roman" w:eastAsia="Times New Roman" w:hAnsi="Times New Roman" w:cs="Times New Roman"/>
          <w:sz w:val="21"/>
          <w:szCs w:val="21"/>
          <w:lang w:val="es-ES" w:eastAsia="es-ES_tradnl"/>
        </w:rPr>
        <w:t>las víctimas</w:t>
      </w:r>
      <w:r w:rsidR="00DE296E" w:rsidRPr="00DC03F7">
        <w:rPr>
          <w:rFonts w:ascii="Times New Roman" w:eastAsia="Times New Roman" w:hAnsi="Times New Roman" w:cs="Times New Roman"/>
          <w:sz w:val="21"/>
          <w:szCs w:val="21"/>
          <w:lang w:val="es-ES" w:eastAsia="es-ES_tradnl"/>
        </w:rPr>
        <w:t xml:space="preserve"> de trata de seres humanos</w:t>
      </w:r>
      <w:r w:rsidR="00DB0E97" w:rsidRPr="00DC03F7">
        <w:rPr>
          <w:rFonts w:ascii="Times New Roman" w:eastAsia="Times New Roman" w:hAnsi="Times New Roman" w:cs="Times New Roman"/>
          <w:sz w:val="21"/>
          <w:szCs w:val="21"/>
          <w:lang w:val="es-ES" w:eastAsia="es-ES_tradnl"/>
        </w:rPr>
        <w:t xml:space="preserve"> desprotegidas </w:t>
      </w:r>
      <w:r w:rsidR="00DE296E" w:rsidRPr="00DC03F7">
        <w:rPr>
          <w:rFonts w:ascii="Times New Roman" w:eastAsia="Times New Roman" w:hAnsi="Times New Roman" w:cs="Times New Roman"/>
          <w:sz w:val="21"/>
          <w:szCs w:val="21"/>
          <w:lang w:val="es-ES" w:eastAsia="es-ES_tradnl"/>
        </w:rPr>
        <w:t>y negadas del acceso a</w:t>
      </w:r>
      <w:r w:rsidR="00DB0E97" w:rsidRPr="00DC03F7">
        <w:rPr>
          <w:rFonts w:ascii="Times New Roman" w:eastAsia="Times New Roman" w:hAnsi="Times New Roman" w:cs="Times New Roman"/>
          <w:sz w:val="21"/>
          <w:szCs w:val="21"/>
          <w:lang w:val="es-ES" w:eastAsia="es-ES_tradnl"/>
        </w:rPr>
        <w:t xml:space="preserve"> servicios básicos de salud</w:t>
      </w:r>
      <w:r w:rsidR="00971AD4" w:rsidRPr="00DC03F7">
        <w:rPr>
          <w:rFonts w:ascii="Times New Roman" w:eastAsia="Times New Roman" w:hAnsi="Times New Roman" w:cs="Times New Roman"/>
          <w:sz w:val="21"/>
          <w:szCs w:val="21"/>
          <w:lang w:val="es-ES" w:eastAsia="es-ES_tradnl"/>
        </w:rPr>
        <w:t xml:space="preserve"> como </w:t>
      </w:r>
      <w:r w:rsidR="00383A1A">
        <w:rPr>
          <w:rFonts w:ascii="Times New Roman" w:eastAsia="Times New Roman" w:hAnsi="Times New Roman" w:cs="Times New Roman"/>
          <w:sz w:val="21"/>
          <w:szCs w:val="21"/>
          <w:lang w:val="es-ES" w:eastAsia="es-ES_tradnl"/>
        </w:rPr>
        <w:t xml:space="preserve">es </w:t>
      </w:r>
      <w:r w:rsidR="00971AD4" w:rsidRPr="00DC03F7">
        <w:rPr>
          <w:rFonts w:ascii="Times New Roman" w:eastAsia="Times New Roman" w:hAnsi="Times New Roman" w:cs="Times New Roman"/>
          <w:sz w:val="21"/>
          <w:szCs w:val="21"/>
          <w:lang w:val="es-ES" w:eastAsia="es-ES_tradnl"/>
        </w:rPr>
        <w:t>la interrupción del embarazo</w:t>
      </w:r>
      <w:r w:rsidR="00DB0E97" w:rsidRPr="00DC03F7">
        <w:rPr>
          <w:rFonts w:ascii="Times New Roman" w:eastAsia="Times New Roman" w:hAnsi="Times New Roman" w:cs="Times New Roman"/>
          <w:sz w:val="21"/>
          <w:szCs w:val="21"/>
          <w:lang w:val="es-ES" w:eastAsia="es-ES_tradnl"/>
        </w:rPr>
        <w:t>.</w:t>
      </w:r>
      <w:r w:rsidR="002658F8" w:rsidRPr="00DC03F7">
        <w:rPr>
          <w:rFonts w:ascii="Times New Roman" w:eastAsia="Times New Roman" w:hAnsi="Times New Roman" w:cs="Times New Roman"/>
          <w:i/>
          <w:iCs/>
          <w:color w:val="000000"/>
          <w:shd w:val="clear" w:color="auto" w:fill="FFFFFF"/>
          <w:lang w:val="es-CL" w:eastAsia="es-ES_tradnl"/>
        </w:rPr>
        <w:t xml:space="preserve"> </w:t>
      </w:r>
    </w:p>
    <w:p w14:paraId="1C9DBC37" w14:textId="047925D3" w:rsidR="00A52F15" w:rsidRDefault="00A52F15" w:rsidP="00034CAD">
      <w:pPr>
        <w:spacing w:line="276" w:lineRule="auto"/>
        <w:jc w:val="both"/>
        <w:rPr>
          <w:sz w:val="21"/>
          <w:szCs w:val="21"/>
        </w:rPr>
      </w:pPr>
    </w:p>
    <w:p w14:paraId="206D3BA3" w14:textId="5D2A83C4" w:rsidR="008D2D3B" w:rsidRPr="00DC03F7" w:rsidRDefault="008D2D3B" w:rsidP="008D2D3B">
      <w:pPr>
        <w:pStyle w:val="ListParagraph"/>
        <w:numPr>
          <w:ilvl w:val="0"/>
          <w:numId w:val="1"/>
        </w:numPr>
        <w:spacing w:line="276" w:lineRule="auto"/>
        <w:rPr>
          <w:rFonts w:ascii="Times New Roman" w:hAnsi="Times New Roman" w:cs="Times New Roman"/>
          <w:b/>
          <w:sz w:val="21"/>
          <w:szCs w:val="21"/>
          <w:lang w:val="es-ES"/>
        </w:rPr>
      </w:pPr>
      <w:r w:rsidRPr="00DC03F7">
        <w:rPr>
          <w:rFonts w:ascii="Times New Roman" w:hAnsi="Times New Roman" w:cs="Times New Roman"/>
          <w:b/>
          <w:sz w:val="21"/>
          <w:szCs w:val="21"/>
          <w:lang w:val="es-ES"/>
        </w:rPr>
        <w:t>CONCLUSI</w:t>
      </w:r>
      <w:r>
        <w:rPr>
          <w:rFonts w:ascii="Times New Roman" w:hAnsi="Times New Roman" w:cs="Times New Roman"/>
          <w:b/>
          <w:sz w:val="21"/>
          <w:szCs w:val="21"/>
          <w:lang w:val="es-ES"/>
        </w:rPr>
        <w:t>ONES</w:t>
      </w:r>
    </w:p>
    <w:p w14:paraId="626AB602" w14:textId="77777777" w:rsidR="00034CAD" w:rsidRPr="00425C1B" w:rsidRDefault="00034CAD" w:rsidP="00425C1B">
      <w:pPr>
        <w:spacing w:line="276" w:lineRule="auto"/>
        <w:jc w:val="both"/>
        <w:rPr>
          <w:sz w:val="21"/>
          <w:szCs w:val="21"/>
        </w:rPr>
      </w:pPr>
    </w:p>
    <w:p w14:paraId="4547691F" w14:textId="450847A1" w:rsidR="002144FE" w:rsidRDefault="00034CAD" w:rsidP="00E819C9">
      <w:pPr>
        <w:pStyle w:val="ListParagraph"/>
        <w:numPr>
          <w:ilvl w:val="0"/>
          <w:numId w:val="9"/>
        </w:numPr>
        <w:spacing w:line="276" w:lineRule="auto"/>
        <w:ind w:left="0"/>
        <w:jc w:val="both"/>
        <w:rPr>
          <w:rFonts w:ascii="Times New Roman" w:eastAsia="Times New Roman" w:hAnsi="Times New Roman" w:cs="Times New Roman"/>
          <w:sz w:val="21"/>
          <w:szCs w:val="21"/>
          <w:lang w:val="es-ES" w:eastAsia="es-ES_tradnl"/>
        </w:rPr>
      </w:pPr>
      <w:r>
        <w:rPr>
          <w:rFonts w:ascii="Times New Roman" w:eastAsia="Times New Roman" w:hAnsi="Times New Roman" w:cs="Times New Roman"/>
          <w:sz w:val="21"/>
          <w:szCs w:val="21"/>
          <w:lang w:val="es-ES" w:eastAsia="es-ES_tradnl"/>
        </w:rPr>
        <w:t>La trata</w:t>
      </w:r>
      <w:r w:rsidR="0012272D">
        <w:rPr>
          <w:rFonts w:ascii="Times New Roman" w:eastAsia="Times New Roman" w:hAnsi="Times New Roman" w:cs="Times New Roman"/>
          <w:sz w:val="21"/>
          <w:szCs w:val="21"/>
          <w:lang w:val="es-ES" w:eastAsia="es-ES_tradnl"/>
        </w:rPr>
        <w:t xml:space="preserve"> </w:t>
      </w:r>
      <w:r w:rsidR="00AC7E02">
        <w:rPr>
          <w:rFonts w:ascii="Times New Roman" w:eastAsia="Times New Roman" w:hAnsi="Times New Roman" w:cs="Times New Roman"/>
          <w:sz w:val="21"/>
          <w:szCs w:val="21"/>
          <w:lang w:val="es-ES" w:eastAsia="es-ES_tradnl"/>
        </w:rPr>
        <w:t xml:space="preserve">de </w:t>
      </w:r>
      <w:r w:rsidR="00411595">
        <w:rPr>
          <w:rFonts w:ascii="Times New Roman" w:eastAsia="Times New Roman" w:hAnsi="Times New Roman" w:cs="Times New Roman"/>
          <w:sz w:val="21"/>
          <w:szCs w:val="21"/>
          <w:lang w:val="es-ES" w:eastAsia="es-ES_tradnl"/>
        </w:rPr>
        <w:t>personas</w:t>
      </w:r>
      <w:r w:rsidR="00AC7E02">
        <w:rPr>
          <w:rFonts w:ascii="Times New Roman" w:eastAsia="Times New Roman" w:hAnsi="Times New Roman" w:cs="Times New Roman"/>
          <w:sz w:val="21"/>
          <w:szCs w:val="21"/>
          <w:lang w:val="es-ES" w:eastAsia="es-ES_tradnl"/>
        </w:rPr>
        <w:t xml:space="preserve"> </w:t>
      </w:r>
      <w:r w:rsidR="004E76E8">
        <w:rPr>
          <w:rFonts w:ascii="Times New Roman" w:eastAsia="Times New Roman" w:hAnsi="Times New Roman" w:cs="Times New Roman"/>
          <w:sz w:val="21"/>
          <w:szCs w:val="21"/>
          <w:lang w:val="es-ES" w:eastAsia="es-ES_tradnl"/>
        </w:rPr>
        <w:t xml:space="preserve">es </w:t>
      </w:r>
      <w:r w:rsidR="00AC7E02">
        <w:rPr>
          <w:rFonts w:ascii="Times New Roman" w:eastAsia="Times New Roman" w:hAnsi="Times New Roman" w:cs="Times New Roman"/>
          <w:sz w:val="21"/>
          <w:szCs w:val="21"/>
          <w:lang w:val="es-ES" w:eastAsia="es-ES_tradnl"/>
        </w:rPr>
        <w:t>una grave vulneración de derechos</w:t>
      </w:r>
      <w:r w:rsidR="00411595">
        <w:rPr>
          <w:rFonts w:ascii="Times New Roman" w:eastAsia="Times New Roman" w:hAnsi="Times New Roman" w:cs="Times New Roman"/>
          <w:sz w:val="21"/>
          <w:szCs w:val="21"/>
          <w:lang w:val="es-ES" w:eastAsia="es-ES_tradnl"/>
        </w:rPr>
        <w:t xml:space="preserve"> humanos</w:t>
      </w:r>
      <w:r w:rsidR="00AC7E02">
        <w:rPr>
          <w:rFonts w:ascii="Times New Roman" w:eastAsia="Times New Roman" w:hAnsi="Times New Roman" w:cs="Times New Roman"/>
          <w:sz w:val="21"/>
          <w:szCs w:val="21"/>
          <w:lang w:val="es-ES" w:eastAsia="es-ES_tradnl"/>
        </w:rPr>
        <w:t xml:space="preserve"> y</w:t>
      </w:r>
      <w:r w:rsidR="00644237">
        <w:rPr>
          <w:rFonts w:ascii="Times New Roman" w:eastAsia="Times New Roman" w:hAnsi="Times New Roman" w:cs="Times New Roman"/>
          <w:sz w:val="21"/>
          <w:szCs w:val="21"/>
          <w:lang w:val="es-ES" w:eastAsia="es-ES_tradnl"/>
        </w:rPr>
        <w:t xml:space="preserve"> una forma de violencia y de discriminación contra las mujeres</w:t>
      </w:r>
      <w:r w:rsidR="00D76D0B">
        <w:rPr>
          <w:rFonts w:ascii="Times New Roman" w:eastAsia="Times New Roman" w:hAnsi="Times New Roman" w:cs="Times New Roman"/>
          <w:sz w:val="21"/>
          <w:szCs w:val="21"/>
          <w:lang w:val="es-ES" w:eastAsia="es-ES_tradnl"/>
        </w:rPr>
        <w:t xml:space="preserve"> y, por ello</w:t>
      </w:r>
      <w:r w:rsidR="00411595">
        <w:rPr>
          <w:rFonts w:ascii="Times New Roman" w:eastAsia="Times New Roman" w:hAnsi="Times New Roman" w:cs="Times New Roman"/>
          <w:sz w:val="21"/>
          <w:szCs w:val="21"/>
          <w:lang w:val="es-ES" w:eastAsia="es-ES_tradnl"/>
        </w:rPr>
        <w:t xml:space="preserve">, </w:t>
      </w:r>
      <w:r w:rsidR="003249A4">
        <w:rPr>
          <w:rFonts w:ascii="Times New Roman" w:eastAsia="Times New Roman" w:hAnsi="Times New Roman" w:cs="Times New Roman"/>
          <w:sz w:val="21"/>
          <w:szCs w:val="21"/>
          <w:lang w:val="es-ES" w:eastAsia="es-ES_tradnl"/>
        </w:rPr>
        <w:t>la estructura legal articulada por el derecho internacional de los derechos humanos debe aplicar</w:t>
      </w:r>
      <w:r w:rsidR="00BD19E5">
        <w:rPr>
          <w:rFonts w:ascii="Times New Roman" w:eastAsia="Times New Roman" w:hAnsi="Times New Roman" w:cs="Times New Roman"/>
          <w:sz w:val="21"/>
          <w:szCs w:val="21"/>
          <w:lang w:val="es-ES" w:eastAsia="es-ES_tradnl"/>
        </w:rPr>
        <w:t xml:space="preserve"> </w:t>
      </w:r>
      <w:r w:rsidR="00134B92">
        <w:rPr>
          <w:rFonts w:ascii="Times New Roman" w:eastAsia="Times New Roman" w:hAnsi="Times New Roman" w:cs="Times New Roman"/>
          <w:sz w:val="21"/>
          <w:szCs w:val="21"/>
          <w:lang w:val="es-ES" w:eastAsia="es-ES_tradnl"/>
        </w:rPr>
        <w:t>a su abordaje por parte de los Estados. Esto significa que</w:t>
      </w:r>
      <w:r w:rsidR="00522531">
        <w:rPr>
          <w:rFonts w:ascii="Times New Roman" w:eastAsia="Times New Roman" w:hAnsi="Times New Roman" w:cs="Times New Roman"/>
          <w:sz w:val="21"/>
          <w:szCs w:val="21"/>
          <w:lang w:val="es-ES" w:eastAsia="es-ES_tradnl"/>
        </w:rPr>
        <w:t>, con independencia de los tratados e instrumentos internaci</w:t>
      </w:r>
      <w:r w:rsidR="002144FE">
        <w:rPr>
          <w:rFonts w:ascii="Times New Roman" w:eastAsia="Times New Roman" w:hAnsi="Times New Roman" w:cs="Times New Roman"/>
          <w:sz w:val="21"/>
          <w:szCs w:val="21"/>
          <w:lang w:val="es-ES" w:eastAsia="es-ES_tradnl"/>
        </w:rPr>
        <w:t>on</w:t>
      </w:r>
      <w:r w:rsidR="00522531">
        <w:rPr>
          <w:rFonts w:ascii="Times New Roman" w:eastAsia="Times New Roman" w:hAnsi="Times New Roman" w:cs="Times New Roman"/>
          <w:sz w:val="21"/>
          <w:szCs w:val="21"/>
          <w:lang w:val="es-ES" w:eastAsia="es-ES_tradnl"/>
        </w:rPr>
        <w:t xml:space="preserve">ales o regionales que hayan ratificado, los Estados tienen obligaciones de </w:t>
      </w:r>
      <w:r w:rsidR="002144FE">
        <w:rPr>
          <w:rFonts w:ascii="Times New Roman" w:eastAsia="Times New Roman" w:hAnsi="Times New Roman" w:cs="Times New Roman"/>
          <w:sz w:val="21"/>
          <w:szCs w:val="21"/>
          <w:lang w:val="es-ES" w:eastAsia="es-ES_tradnl"/>
        </w:rPr>
        <w:t xml:space="preserve">prevenir la trata, proteger a las víctimas, perseguir a los tratantes y reparar las vulneraciones de derechos </w:t>
      </w:r>
      <w:r w:rsidR="00B95516">
        <w:rPr>
          <w:rFonts w:ascii="Times New Roman" w:eastAsia="Times New Roman" w:hAnsi="Times New Roman" w:cs="Times New Roman"/>
          <w:sz w:val="21"/>
          <w:szCs w:val="21"/>
          <w:lang w:val="es-ES" w:eastAsia="es-ES_tradnl"/>
        </w:rPr>
        <w:t>generadas cuando tienen conocimiento de la situación. Estas obligaciones</w:t>
      </w:r>
      <w:r w:rsidR="007F46B4">
        <w:rPr>
          <w:rFonts w:ascii="Times New Roman" w:eastAsia="Times New Roman" w:hAnsi="Times New Roman" w:cs="Times New Roman"/>
          <w:sz w:val="21"/>
          <w:szCs w:val="21"/>
          <w:lang w:val="es-ES" w:eastAsia="es-ES_tradnl"/>
        </w:rPr>
        <w:t xml:space="preserve"> se refieren a actos u omisiones </w:t>
      </w:r>
      <w:r w:rsidR="00786628">
        <w:rPr>
          <w:rFonts w:ascii="Times New Roman" w:eastAsia="Times New Roman" w:hAnsi="Times New Roman" w:cs="Times New Roman"/>
          <w:sz w:val="21"/>
          <w:szCs w:val="21"/>
          <w:lang w:val="es-ES" w:eastAsia="es-ES_tradnl"/>
        </w:rPr>
        <w:t>por parte de agentes estatales y no estatales,</w:t>
      </w:r>
      <w:r w:rsidR="00524245">
        <w:rPr>
          <w:rFonts w:ascii="Times New Roman" w:eastAsia="Times New Roman" w:hAnsi="Times New Roman" w:cs="Times New Roman"/>
          <w:sz w:val="21"/>
          <w:szCs w:val="21"/>
          <w:lang w:val="es-ES" w:eastAsia="es-ES_tradnl"/>
        </w:rPr>
        <w:t xml:space="preserve"> permanecen vigentes en tiempos de conflicto armado </w:t>
      </w:r>
      <w:r w:rsidR="009F756D">
        <w:rPr>
          <w:rFonts w:ascii="Times New Roman" w:eastAsia="Times New Roman" w:hAnsi="Times New Roman" w:cs="Times New Roman"/>
          <w:sz w:val="21"/>
          <w:szCs w:val="21"/>
          <w:lang w:val="es-ES" w:eastAsia="es-ES_tradnl"/>
        </w:rPr>
        <w:t>y tienen carácter extraterritorial</w:t>
      </w:r>
      <w:r w:rsidR="009F756D">
        <w:rPr>
          <w:rStyle w:val="FootnoteReference"/>
          <w:rFonts w:ascii="Times New Roman" w:eastAsia="Times New Roman" w:hAnsi="Times New Roman" w:cs="Times New Roman"/>
          <w:sz w:val="21"/>
          <w:szCs w:val="21"/>
          <w:lang w:val="es-ES" w:eastAsia="es-ES_tradnl"/>
        </w:rPr>
        <w:footnoteReference w:id="74"/>
      </w:r>
      <w:r w:rsidR="009F756D">
        <w:rPr>
          <w:rFonts w:ascii="Times New Roman" w:eastAsia="Times New Roman" w:hAnsi="Times New Roman" w:cs="Times New Roman"/>
          <w:sz w:val="21"/>
          <w:szCs w:val="21"/>
          <w:lang w:val="es-ES" w:eastAsia="es-ES_tradnl"/>
        </w:rPr>
        <w:t xml:space="preserve">. </w:t>
      </w:r>
    </w:p>
    <w:p w14:paraId="1289D0BC" w14:textId="77777777" w:rsidR="002144FE" w:rsidRDefault="002144FE" w:rsidP="00425C1B">
      <w:pPr>
        <w:pStyle w:val="ListParagraph"/>
        <w:spacing w:line="276" w:lineRule="auto"/>
        <w:ind w:left="0"/>
        <w:jc w:val="both"/>
        <w:rPr>
          <w:rFonts w:ascii="Times New Roman" w:eastAsia="Times New Roman" w:hAnsi="Times New Roman" w:cs="Times New Roman"/>
          <w:sz w:val="21"/>
          <w:szCs w:val="21"/>
          <w:lang w:val="es-ES" w:eastAsia="es-ES_tradnl"/>
        </w:rPr>
      </w:pPr>
    </w:p>
    <w:p w14:paraId="4AC1F28B" w14:textId="00ED0130" w:rsidR="00A52F15" w:rsidRDefault="00D11492" w:rsidP="00E819C9">
      <w:pPr>
        <w:pStyle w:val="ListParagraph"/>
        <w:numPr>
          <w:ilvl w:val="0"/>
          <w:numId w:val="9"/>
        </w:numPr>
        <w:spacing w:line="276" w:lineRule="auto"/>
        <w:ind w:left="0"/>
        <w:jc w:val="both"/>
        <w:rPr>
          <w:rFonts w:ascii="Times New Roman" w:eastAsia="Times New Roman" w:hAnsi="Times New Roman" w:cs="Times New Roman"/>
          <w:sz w:val="21"/>
          <w:szCs w:val="21"/>
          <w:lang w:val="es-ES" w:eastAsia="es-ES_tradnl"/>
        </w:rPr>
      </w:pPr>
      <w:r>
        <w:rPr>
          <w:rFonts w:ascii="Times New Roman" w:eastAsia="Times New Roman" w:hAnsi="Times New Roman" w:cs="Times New Roman"/>
          <w:sz w:val="21"/>
          <w:szCs w:val="21"/>
          <w:lang w:val="es-ES" w:eastAsia="es-ES_tradnl"/>
        </w:rPr>
        <w:t xml:space="preserve">Si bien las redes de trata suelen estar formadas por </w:t>
      </w:r>
      <w:r w:rsidR="00374C53">
        <w:rPr>
          <w:rFonts w:ascii="Times New Roman" w:eastAsia="Times New Roman" w:hAnsi="Times New Roman" w:cs="Times New Roman"/>
          <w:sz w:val="21"/>
          <w:szCs w:val="21"/>
          <w:lang w:val="es-ES" w:eastAsia="es-ES_tradnl"/>
        </w:rPr>
        <w:t xml:space="preserve">actores no estatales, hay diversas maneras en que los Estados participan </w:t>
      </w:r>
      <w:r w:rsidR="005A1B6F">
        <w:rPr>
          <w:rFonts w:ascii="Times New Roman" w:eastAsia="Times New Roman" w:hAnsi="Times New Roman" w:cs="Times New Roman"/>
          <w:sz w:val="21"/>
          <w:szCs w:val="21"/>
          <w:lang w:val="es-ES" w:eastAsia="es-ES_tradnl"/>
        </w:rPr>
        <w:t xml:space="preserve">y contribuyen a </w:t>
      </w:r>
      <w:r w:rsidR="00F11DA5">
        <w:rPr>
          <w:rFonts w:ascii="Times New Roman" w:eastAsia="Times New Roman" w:hAnsi="Times New Roman" w:cs="Times New Roman"/>
          <w:sz w:val="21"/>
          <w:szCs w:val="21"/>
          <w:lang w:val="es-ES" w:eastAsia="es-ES_tradnl"/>
        </w:rPr>
        <w:t>la trata de personas, permitiendo que sea uno de los negocios más lucrativos para las r</w:t>
      </w:r>
      <w:r w:rsidR="00B15D1C">
        <w:rPr>
          <w:rFonts w:ascii="Times New Roman" w:eastAsia="Times New Roman" w:hAnsi="Times New Roman" w:cs="Times New Roman"/>
          <w:sz w:val="21"/>
          <w:szCs w:val="21"/>
          <w:lang w:val="es-ES" w:eastAsia="es-ES_tradnl"/>
        </w:rPr>
        <w:t>edes</w:t>
      </w:r>
      <w:r w:rsidR="00721D63">
        <w:rPr>
          <w:rFonts w:ascii="Times New Roman" w:eastAsia="Times New Roman" w:hAnsi="Times New Roman" w:cs="Times New Roman"/>
          <w:sz w:val="21"/>
          <w:szCs w:val="21"/>
          <w:lang w:val="es-ES" w:eastAsia="es-ES_tradnl"/>
        </w:rPr>
        <w:t xml:space="preserve"> y abordando de manera deficiente los vínculos entre la trata y la corrupción</w:t>
      </w:r>
      <w:r w:rsidR="00B15D1C">
        <w:rPr>
          <w:rFonts w:ascii="Times New Roman" w:eastAsia="Times New Roman" w:hAnsi="Times New Roman" w:cs="Times New Roman"/>
          <w:sz w:val="21"/>
          <w:szCs w:val="21"/>
          <w:lang w:val="es-ES" w:eastAsia="es-ES_tradnl"/>
        </w:rPr>
        <w:t xml:space="preserve">. </w:t>
      </w:r>
      <w:r w:rsidR="00833637">
        <w:rPr>
          <w:rFonts w:ascii="Times New Roman" w:eastAsia="Times New Roman" w:hAnsi="Times New Roman" w:cs="Times New Roman"/>
          <w:sz w:val="21"/>
          <w:szCs w:val="21"/>
          <w:lang w:val="es-ES" w:eastAsia="es-ES_tradnl"/>
        </w:rPr>
        <w:t xml:space="preserve">La forma en que algunos Estados diseñan sus sistemas de visados o legislan en materia de migración y extranjería </w:t>
      </w:r>
      <w:r w:rsidR="00441694">
        <w:rPr>
          <w:rFonts w:ascii="Times New Roman" w:eastAsia="Times New Roman" w:hAnsi="Times New Roman" w:cs="Times New Roman"/>
          <w:sz w:val="21"/>
          <w:szCs w:val="21"/>
          <w:lang w:val="es-ES" w:eastAsia="es-ES_tradnl"/>
        </w:rPr>
        <w:t xml:space="preserve">puede contribuir a generar vulnerabilidades de </w:t>
      </w:r>
      <w:r w:rsidR="005357BA">
        <w:rPr>
          <w:rFonts w:ascii="Times New Roman" w:eastAsia="Times New Roman" w:hAnsi="Times New Roman" w:cs="Times New Roman"/>
          <w:sz w:val="21"/>
          <w:szCs w:val="21"/>
          <w:lang w:val="es-ES" w:eastAsia="es-ES_tradnl"/>
        </w:rPr>
        <w:t>determinados</w:t>
      </w:r>
      <w:r w:rsidR="00441694">
        <w:rPr>
          <w:rFonts w:ascii="Times New Roman" w:eastAsia="Times New Roman" w:hAnsi="Times New Roman" w:cs="Times New Roman"/>
          <w:sz w:val="21"/>
          <w:szCs w:val="21"/>
          <w:lang w:val="es-ES" w:eastAsia="es-ES_tradnl"/>
        </w:rPr>
        <w:t xml:space="preserve"> grupos de mujeres a la trata</w:t>
      </w:r>
      <w:r w:rsidR="00441694">
        <w:rPr>
          <w:rStyle w:val="FootnoteReference"/>
          <w:rFonts w:ascii="Times New Roman" w:eastAsia="Times New Roman" w:hAnsi="Times New Roman" w:cs="Times New Roman"/>
          <w:sz w:val="21"/>
          <w:szCs w:val="21"/>
          <w:lang w:val="es-ES" w:eastAsia="es-ES_tradnl"/>
        </w:rPr>
        <w:footnoteReference w:id="75"/>
      </w:r>
      <w:r w:rsidR="00441694">
        <w:rPr>
          <w:rFonts w:ascii="Times New Roman" w:eastAsia="Times New Roman" w:hAnsi="Times New Roman" w:cs="Times New Roman"/>
          <w:sz w:val="21"/>
          <w:szCs w:val="21"/>
          <w:lang w:val="es-ES" w:eastAsia="es-ES_tradnl"/>
        </w:rPr>
        <w:t xml:space="preserve">. Asimismo, </w:t>
      </w:r>
      <w:r w:rsidR="00FA70B1">
        <w:rPr>
          <w:rFonts w:ascii="Times New Roman" w:eastAsia="Times New Roman" w:hAnsi="Times New Roman" w:cs="Times New Roman"/>
          <w:sz w:val="21"/>
          <w:szCs w:val="21"/>
          <w:lang w:val="es-ES" w:eastAsia="es-ES_tradnl"/>
        </w:rPr>
        <w:t xml:space="preserve">el cierre de las rutas migratorias seguras y legales </w:t>
      </w:r>
      <w:r w:rsidR="0015449F">
        <w:rPr>
          <w:rFonts w:ascii="Times New Roman" w:eastAsia="Times New Roman" w:hAnsi="Times New Roman" w:cs="Times New Roman"/>
          <w:sz w:val="21"/>
          <w:szCs w:val="21"/>
          <w:lang w:val="es-ES" w:eastAsia="es-ES_tradnl"/>
        </w:rPr>
        <w:t xml:space="preserve">por parte de ciertos Estados impacta de manera evidente en la creación de rutas migratorias alternativas que son inseguras y </w:t>
      </w:r>
      <w:r w:rsidR="00F23ED5">
        <w:rPr>
          <w:rFonts w:ascii="Times New Roman" w:eastAsia="Times New Roman" w:hAnsi="Times New Roman" w:cs="Times New Roman"/>
          <w:sz w:val="21"/>
          <w:szCs w:val="21"/>
          <w:lang w:val="es-ES" w:eastAsia="es-ES_tradnl"/>
        </w:rPr>
        <w:t>que quedan a merced del abuso y de la violencia de tratantes y traficantes de personas</w:t>
      </w:r>
      <w:r w:rsidR="00F23ED5">
        <w:rPr>
          <w:rStyle w:val="FootnoteReference"/>
          <w:rFonts w:ascii="Times New Roman" w:eastAsia="Times New Roman" w:hAnsi="Times New Roman" w:cs="Times New Roman"/>
          <w:sz w:val="21"/>
          <w:szCs w:val="21"/>
          <w:lang w:val="es-ES" w:eastAsia="es-ES_tradnl"/>
        </w:rPr>
        <w:footnoteReference w:id="76"/>
      </w:r>
      <w:r w:rsidR="00F23ED5">
        <w:rPr>
          <w:rFonts w:ascii="Times New Roman" w:eastAsia="Times New Roman" w:hAnsi="Times New Roman" w:cs="Times New Roman"/>
          <w:sz w:val="21"/>
          <w:szCs w:val="21"/>
          <w:lang w:val="es-ES" w:eastAsia="es-ES_tradnl"/>
        </w:rPr>
        <w:t xml:space="preserve">. </w:t>
      </w:r>
    </w:p>
    <w:p w14:paraId="77BF6519" w14:textId="77777777" w:rsidR="00AB4B6F" w:rsidRPr="00425C1B" w:rsidRDefault="00AB4B6F" w:rsidP="00425C1B">
      <w:pPr>
        <w:pStyle w:val="ListParagraph"/>
        <w:rPr>
          <w:rFonts w:ascii="Times New Roman" w:eastAsia="Times New Roman" w:hAnsi="Times New Roman" w:cs="Times New Roman"/>
          <w:sz w:val="21"/>
          <w:szCs w:val="21"/>
          <w:lang w:val="es-ES" w:eastAsia="es-ES_tradnl"/>
        </w:rPr>
      </w:pPr>
    </w:p>
    <w:p w14:paraId="60354C5D" w14:textId="15F01BF0" w:rsidR="00AB4B6F" w:rsidRDefault="005D3EF0" w:rsidP="00E819C9">
      <w:pPr>
        <w:pStyle w:val="ListParagraph"/>
        <w:numPr>
          <w:ilvl w:val="0"/>
          <w:numId w:val="9"/>
        </w:numPr>
        <w:spacing w:line="276" w:lineRule="auto"/>
        <w:ind w:left="0"/>
        <w:jc w:val="both"/>
        <w:rPr>
          <w:rFonts w:ascii="Times New Roman" w:eastAsia="Times New Roman" w:hAnsi="Times New Roman" w:cs="Times New Roman"/>
          <w:sz w:val="21"/>
          <w:szCs w:val="21"/>
          <w:lang w:val="es-ES" w:eastAsia="es-ES_tradnl"/>
        </w:rPr>
      </w:pPr>
      <w:r>
        <w:rPr>
          <w:rFonts w:ascii="Times New Roman" w:eastAsia="Times New Roman" w:hAnsi="Times New Roman" w:cs="Times New Roman"/>
          <w:sz w:val="21"/>
          <w:szCs w:val="21"/>
          <w:lang w:val="es-ES" w:eastAsia="es-ES_tradnl"/>
        </w:rPr>
        <w:t xml:space="preserve">La acción de los Estados en materia de trata de personas debe </w:t>
      </w:r>
      <w:r w:rsidR="00D670B7">
        <w:rPr>
          <w:rFonts w:ascii="Times New Roman" w:eastAsia="Times New Roman" w:hAnsi="Times New Roman" w:cs="Times New Roman"/>
          <w:sz w:val="21"/>
          <w:szCs w:val="21"/>
          <w:lang w:val="es-ES" w:eastAsia="es-ES_tradnl"/>
        </w:rPr>
        <w:t xml:space="preserve">además </w:t>
      </w:r>
      <w:r>
        <w:rPr>
          <w:rFonts w:ascii="Times New Roman" w:eastAsia="Times New Roman" w:hAnsi="Times New Roman" w:cs="Times New Roman"/>
          <w:sz w:val="21"/>
          <w:szCs w:val="21"/>
          <w:lang w:val="es-ES" w:eastAsia="es-ES_tradnl"/>
        </w:rPr>
        <w:t xml:space="preserve">guiarse por el principio de </w:t>
      </w:r>
      <w:r w:rsidR="00AB4B6F">
        <w:rPr>
          <w:rFonts w:ascii="Times New Roman" w:eastAsia="Times New Roman" w:hAnsi="Times New Roman" w:cs="Times New Roman"/>
          <w:sz w:val="21"/>
          <w:szCs w:val="21"/>
          <w:lang w:val="es-ES" w:eastAsia="es-ES_tradnl"/>
        </w:rPr>
        <w:t>coherencia</w:t>
      </w:r>
      <w:r w:rsidR="00E92E3F">
        <w:rPr>
          <w:rFonts w:ascii="Times New Roman" w:eastAsia="Times New Roman" w:hAnsi="Times New Roman" w:cs="Times New Roman"/>
          <w:sz w:val="21"/>
          <w:szCs w:val="21"/>
          <w:lang w:val="es-ES" w:eastAsia="es-ES_tradnl"/>
        </w:rPr>
        <w:t xml:space="preserve">, de forma que las políticas y leyes relativas a seguridad, protección de fronteras, </w:t>
      </w:r>
      <w:r w:rsidR="00D670B7">
        <w:rPr>
          <w:rFonts w:ascii="Times New Roman" w:eastAsia="Times New Roman" w:hAnsi="Times New Roman" w:cs="Times New Roman"/>
          <w:sz w:val="21"/>
          <w:szCs w:val="21"/>
          <w:lang w:val="es-ES" w:eastAsia="es-ES_tradnl"/>
        </w:rPr>
        <w:t xml:space="preserve">migración, extranjería y regulación del espacio público </w:t>
      </w:r>
      <w:r w:rsidR="00812484">
        <w:rPr>
          <w:rFonts w:ascii="Times New Roman" w:eastAsia="Times New Roman" w:hAnsi="Times New Roman" w:cs="Times New Roman"/>
          <w:sz w:val="21"/>
          <w:szCs w:val="21"/>
          <w:lang w:val="es-ES" w:eastAsia="es-ES_tradnl"/>
        </w:rPr>
        <w:t>no menoscaben l</w:t>
      </w:r>
      <w:r w:rsidR="009F6CCB">
        <w:rPr>
          <w:rFonts w:ascii="Times New Roman" w:eastAsia="Times New Roman" w:hAnsi="Times New Roman" w:cs="Times New Roman"/>
          <w:sz w:val="21"/>
          <w:szCs w:val="21"/>
          <w:lang w:val="es-ES" w:eastAsia="es-ES_tradnl"/>
        </w:rPr>
        <w:t>a protección que los Estados tienen la obligación de brindar a las víctimas</w:t>
      </w:r>
      <w:r w:rsidR="00422864">
        <w:rPr>
          <w:rFonts w:ascii="Times New Roman" w:eastAsia="Times New Roman" w:hAnsi="Times New Roman" w:cs="Times New Roman"/>
          <w:sz w:val="21"/>
          <w:szCs w:val="21"/>
          <w:lang w:val="es-ES" w:eastAsia="es-ES_tradnl"/>
        </w:rPr>
        <w:t xml:space="preserve">, </w:t>
      </w:r>
      <w:r w:rsidR="005106C5">
        <w:rPr>
          <w:rFonts w:ascii="Times New Roman" w:eastAsia="Times New Roman" w:hAnsi="Times New Roman" w:cs="Times New Roman"/>
          <w:sz w:val="21"/>
          <w:szCs w:val="21"/>
          <w:lang w:val="es-ES" w:eastAsia="es-ES_tradnl"/>
        </w:rPr>
        <w:t>ni su</w:t>
      </w:r>
      <w:r w:rsidR="00422864">
        <w:rPr>
          <w:rFonts w:ascii="Times New Roman" w:eastAsia="Times New Roman" w:hAnsi="Times New Roman" w:cs="Times New Roman"/>
          <w:sz w:val="21"/>
          <w:szCs w:val="21"/>
          <w:lang w:val="es-ES" w:eastAsia="es-ES_tradnl"/>
        </w:rPr>
        <w:t xml:space="preserve"> derecho de acceso a la justicia y a reparaciones. </w:t>
      </w:r>
      <w:r w:rsidR="00C45438">
        <w:rPr>
          <w:rFonts w:ascii="Times New Roman" w:eastAsia="Times New Roman" w:hAnsi="Times New Roman" w:cs="Times New Roman"/>
          <w:sz w:val="21"/>
          <w:szCs w:val="21"/>
          <w:lang w:val="es-ES" w:eastAsia="es-ES_tradnl"/>
        </w:rPr>
        <w:t xml:space="preserve"> </w:t>
      </w:r>
    </w:p>
    <w:p w14:paraId="56B8299C" w14:textId="77777777" w:rsidR="00C45438" w:rsidRPr="00425C1B" w:rsidRDefault="00C45438" w:rsidP="00425C1B">
      <w:pPr>
        <w:pStyle w:val="ListParagraph"/>
        <w:rPr>
          <w:rFonts w:ascii="Times New Roman" w:eastAsia="Times New Roman" w:hAnsi="Times New Roman" w:cs="Times New Roman"/>
          <w:sz w:val="21"/>
          <w:szCs w:val="21"/>
          <w:lang w:val="es-ES" w:eastAsia="es-ES_tradnl"/>
        </w:rPr>
      </w:pPr>
    </w:p>
    <w:p w14:paraId="216B299B" w14:textId="4A7CEC0A" w:rsidR="005B49AB" w:rsidRPr="00425C1B" w:rsidRDefault="005F4F00" w:rsidP="00425C1B">
      <w:pPr>
        <w:pStyle w:val="ListParagraph"/>
        <w:numPr>
          <w:ilvl w:val="0"/>
          <w:numId w:val="9"/>
        </w:numPr>
        <w:spacing w:line="276" w:lineRule="auto"/>
        <w:ind w:left="0"/>
        <w:jc w:val="both"/>
        <w:rPr>
          <w:rFonts w:ascii="Times New Roman" w:hAnsi="Times New Roman" w:cs="Times New Roman"/>
          <w:lang w:val="es-ES" w:eastAsia="es-ES_tradnl"/>
        </w:rPr>
      </w:pPr>
      <w:r w:rsidRPr="00425C1B">
        <w:rPr>
          <w:rFonts w:ascii="Times New Roman" w:eastAsia="Times New Roman" w:hAnsi="Times New Roman" w:cs="Times New Roman"/>
          <w:sz w:val="21"/>
          <w:szCs w:val="21"/>
          <w:lang w:val="es-ES" w:eastAsia="es-ES_tradnl"/>
        </w:rPr>
        <w:t>La identificación de las víctimas sigue siendo un reto en un gran número de Estados</w:t>
      </w:r>
      <w:r w:rsidR="009C3A68" w:rsidRPr="00425C1B">
        <w:rPr>
          <w:rStyle w:val="FootnoteReference"/>
          <w:rFonts w:ascii="Times New Roman" w:eastAsia="Times New Roman" w:hAnsi="Times New Roman" w:cs="Times New Roman"/>
          <w:sz w:val="21"/>
          <w:szCs w:val="21"/>
          <w:lang w:val="es-ES" w:eastAsia="es-ES_tradnl"/>
        </w:rPr>
        <w:footnoteReference w:id="77"/>
      </w:r>
      <w:r w:rsidRPr="00425C1B">
        <w:rPr>
          <w:rFonts w:ascii="Times New Roman" w:eastAsia="Times New Roman" w:hAnsi="Times New Roman" w:cs="Times New Roman"/>
          <w:sz w:val="21"/>
          <w:szCs w:val="21"/>
          <w:lang w:val="es-ES" w:eastAsia="es-ES_tradnl"/>
        </w:rPr>
        <w:t xml:space="preserve">. </w:t>
      </w:r>
      <w:r w:rsidR="0055311D" w:rsidRPr="00425C1B">
        <w:rPr>
          <w:rFonts w:ascii="Times New Roman" w:eastAsia="Times New Roman" w:hAnsi="Times New Roman" w:cs="Times New Roman"/>
          <w:sz w:val="21"/>
          <w:szCs w:val="21"/>
          <w:lang w:val="es-ES" w:eastAsia="es-ES_tradnl"/>
        </w:rPr>
        <w:t>La identificación es el paso esencial para que cualquier víctima de trata tenga acceso al sistema de protección reconocido para las víctimas y a los derechos que se derivan del mismo.</w:t>
      </w:r>
      <w:r w:rsidR="00C17006" w:rsidRPr="00425C1B">
        <w:rPr>
          <w:rFonts w:ascii="Times New Roman" w:eastAsia="Times New Roman" w:hAnsi="Times New Roman" w:cs="Times New Roman"/>
          <w:sz w:val="21"/>
          <w:szCs w:val="21"/>
          <w:lang w:val="es-ES" w:eastAsia="es-ES_tradnl"/>
        </w:rPr>
        <w:t xml:space="preserve"> </w:t>
      </w:r>
      <w:r w:rsidR="0027223F" w:rsidRPr="00425C1B">
        <w:rPr>
          <w:rFonts w:ascii="Times New Roman" w:eastAsia="Times New Roman" w:hAnsi="Times New Roman" w:cs="Times New Roman"/>
          <w:sz w:val="21"/>
          <w:szCs w:val="21"/>
          <w:lang w:val="es-ES" w:eastAsia="es-ES_tradnl"/>
        </w:rPr>
        <w:t>Una legislación sobre trata que no tenga un enfoque de derechos humanos ni incorpore una perspectiva de género deriva en procesos de identificación ineficientes y sin las debidas garantías</w:t>
      </w:r>
      <w:r w:rsidR="00F40670" w:rsidRPr="00425C1B">
        <w:rPr>
          <w:rFonts w:ascii="Times New Roman" w:eastAsia="Times New Roman" w:hAnsi="Times New Roman" w:cs="Times New Roman"/>
          <w:sz w:val="21"/>
          <w:szCs w:val="21"/>
          <w:lang w:val="es-ES" w:eastAsia="es-ES_tradnl"/>
        </w:rPr>
        <w:t xml:space="preserve"> para las víctimas</w:t>
      </w:r>
      <w:r w:rsidR="00E1456D" w:rsidRPr="00425C1B">
        <w:rPr>
          <w:rFonts w:ascii="Times New Roman" w:eastAsia="Times New Roman" w:hAnsi="Times New Roman" w:cs="Times New Roman"/>
          <w:sz w:val="21"/>
          <w:szCs w:val="21"/>
          <w:lang w:val="es-ES" w:eastAsia="es-ES_tradnl"/>
        </w:rPr>
        <w:t>.</w:t>
      </w:r>
      <w:r w:rsidR="00C17006" w:rsidRPr="00425C1B">
        <w:rPr>
          <w:rFonts w:ascii="Times New Roman" w:eastAsia="Times New Roman" w:hAnsi="Times New Roman" w:cs="Times New Roman"/>
          <w:sz w:val="21"/>
          <w:szCs w:val="21"/>
          <w:lang w:val="es-ES" w:eastAsia="es-ES_tradnl"/>
        </w:rPr>
        <w:t xml:space="preserve"> Los efectos perjudiciales de</w:t>
      </w:r>
      <w:r w:rsidR="002543C4" w:rsidRPr="00425C1B">
        <w:rPr>
          <w:rFonts w:ascii="Times New Roman" w:eastAsia="Times New Roman" w:hAnsi="Times New Roman" w:cs="Times New Roman"/>
          <w:sz w:val="21"/>
          <w:szCs w:val="21"/>
          <w:lang w:val="es-ES" w:eastAsia="es-ES_tradnl"/>
        </w:rPr>
        <w:t>l establecimiento de mecanismos de</w:t>
      </w:r>
      <w:r w:rsidR="00C17006" w:rsidRPr="00425C1B">
        <w:rPr>
          <w:rFonts w:ascii="Times New Roman" w:eastAsia="Times New Roman" w:hAnsi="Times New Roman" w:cs="Times New Roman"/>
          <w:sz w:val="21"/>
          <w:szCs w:val="21"/>
          <w:lang w:val="es-ES" w:eastAsia="es-ES_tradnl"/>
        </w:rPr>
        <w:t xml:space="preserve"> identificación </w:t>
      </w:r>
      <w:r w:rsidR="00FC2956" w:rsidRPr="00425C1B">
        <w:rPr>
          <w:rFonts w:ascii="Times New Roman" w:eastAsia="Times New Roman" w:hAnsi="Times New Roman" w:cs="Times New Roman"/>
          <w:sz w:val="21"/>
          <w:szCs w:val="21"/>
          <w:lang w:val="es-ES" w:eastAsia="es-ES_tradnl"/>
        </w:rPr>
        <w:t>deficientes</w:t>
      </w:r>
      <w:r w:rsidR="00C17006" w:rsidRPr="00425C1B">
        <w:rPr>
          <w:rFonts w:ascii="Times New Roman" w:eastAsia="Times New Roman" w:hAnsi="Times New Roman" w:cs="Times New Roman"/>
          <w:sz w:val="21"/>
          <w:szCs w:val="21"/>
          <w:lang w:val="es-ES" w:eastAsia="es-ES_tradnl"/>
        </w:rPr>
        <w:t xml:space="preserve"> afectan de manera desproporcionada a mujeres y niñas, por cuanto ellas constituyen el principal grupo afectado por la trata con fines de explotación sexual en el mundo</w:t>
      </w:r>
      <w:r w:rsidR="00C17006" w:rsidRPr="00425C1B">
        <w:rPr>
          <w:rStyle w:val="FootnoteReference"/>
          <w:rFonts w:ascii="Times New Roman" w:eastAsia="Times New Roman" w:hAnsi="Times New Roman" w:cs="Times New Roman"/>
          <w:sz w:val="21"/>
          <w:szCs w:val="21"/>
          <w:lang w:val="es-ES" w:eastAsia="es-ES_tradnl"/>
        </w:rPr>
        <w:footnoteReference w:id="78"/>
      </w:r>
      <w:r w:rsidR="00C17006" w:rsidRPr="00425C1B">
        <w:rPr>
          <w:rFonts w:ascii="Times New Roman" w:eastAsia="Times New Roman" w:hAnsi="Times New Roman" w:cs="Times New Roman"/>
          <w:sz w:val="21"/>
          <w:szCs w:val="21"/>
          <w:lang w:val="es-ES" w:eastAsia="es-ES_tradnl"/>
        </w:rPr>
        <w:t>.</w:t>
      </w:r>
      <w:r w:rsidR="00FC2956">
        <w:rPr>
          <w:rFonts w:ascii="Times New Roman" w:eastAsia="Times New Roman" w:hAnsi="Times New Roman" w:cs="Times New Roman"/>
          <w:sz w:val="21"/>
          <w:szCs w:val="21"/>
          <w:lang w:val="es-ES" w:eastAsia="es-ES_tradnl"/>
        </w:rPr>
        <w:t xml:space="preserve"> </w:t>
      </w:r>
      <w:r w:rsidR="008343AB" w:rsidRPr="00425C1B">
        <w:rPr>
          <w:rFonts w:ascii="Times New Roman" w:hAnsi="Times New Roman" w:cs="Times New Roman"/>
          <w:sz w:val="21"/>
          <w:szCs w:val="21"/>
        </w:rPr>
        <w:t xml:space="preserve">La identificación debe producirse en base a indicios. </w:t>
      </w:r>
      <w:r w:rsidR="00B82E7B">
        <w:rPr>
          <w:rFonts w:ascii="Times New Roman" w:hAnsi="Times New Roman" w:cs="Times New Roman"/>
          <w:sz w:val="21"/>
          <w:szCs w:val="21"/>
        </w:rPr>
        <w:t>L</w:t>
      </w:r>
      <w:r w:rsidR="008343AB" w:rsidRPr="00425C1B">
        <w:rPr>
          <w:rFonts w:ascii="Times New Roman" w:hAnsi="Times New Roman" w:cs="Times New Roman"/>
          <w:sz w:val="21"/>
          <w:szCs w:val="21"/>
        </w:rPr>
        <w:t>a Organización Internacional del Trabajo (OIT) y la Oficina de Naciones Unidas contra la Droga y el Delito (UNODC) han elaborado listados de indicios para identificar a potenciales víctimas</w:t>
      </w:r>
      <w:r w:rsidR="008343AB" w:rsidRPr="00425C1B">
        <w:rPr>
          <w:rFonts w:ascii="Times New Roman" w:hAnsi="Times New Roman" w:cs="Times New Roman"/>
          <w:vertAlign w:val="superscript"/>
        </w:rPr>
        <w:footnoteReference w:id="79"/>
      </w:r>
      <w:r w:rsidR="008343AB" w:rsidRPr="00425C1B">
        <w:rPr>
          <w:rFonts w:ascii="Times New Roman" w:hAnsi="Times New Roman" w:cs="Times New Roman"/>
          <w:sz w:val="21"/>
          <w:szCs w:val="21"/>
        </w:rPr>
        <w:t xml:space="preserve">. Las víctimas no están obligadas a “acreditar” su condición de víctima, sino que las autoridades deben realizar una identificación basada en indicios y, a partir de los mismos, </w:t>
      </w:r>
      <w:r w:rsidR="00B82E7B">
        <w:rPr>
          <w:rFonts w:ascii="Times New Roman" w:hAnsi="Times New Roman" w:cs="Times New Roman"/>
          <w:sz w:val="21"/>
          <w:szCs w:val="21"/>
        </w:rPr>
        <w:t xml:space="preserve">iniciar una </w:t>
      </w:r>
      <w:r w:rsidR="008343AB" w:rsidRPr="00425C1B">
        <w:rPr>
          <w:rFonts w:ascii="Times New Roman" w:hAnsi="Times New Roman" w:cs="Times New Roman"/>
          <w:sz w:val="21"/>
          <w:szCs w:val="21"/>
        </w:rPr>
        <w:t>investiga</w:t>
      </w:r>
      <w:r w:rsidR="00B82E7B">
        <w:rPr>
          <w:rFonts w:ascii="Times New Roman" w:hAnsi="Times New Roman" w:cs="Times New Roman"/>
          <w:sz w:val="21"/>
          <w:szCs w:val="21"/>
        </w:rPr>
        <w:t>ción desprovista de estereotipos de género</w:t>
      </w:r>
      <w:r w:rsidR="00DB5CB4">
        <w:rPr>
          <w:rFonts w:ascii="Times New Roman" w:hAnsi="Times New Roman" w:cs="Times New Roman"/>
          <w:sz w:val="21"/>
          <w:szCs w:val="21"/>
        </w:rPr>
        <w:t>, de raza o de cualquier otro tipo</w:t>
      </w:r>
      <w:r w:rsidR="008343AB" w:rsidRPr="00425C1B">
        <w:rPr>
          <w:rFonts w:ascii="Times New Roman" w:hAnsi="Times New Roman" w:cs="Times New Roman"/>
          <w:sz w:val="21"/>
          <w:szCs w:val="21"/>
        </w:rPr>
        <w:t>.</w:t>
      </w:r>
    </w:p>
    <w:sectPr w:rsidR="005B49AB" w:rsidRPr="00425C1B" w:rsidSect="00A10993">
      <w:headerReference w:type="default" r:id="rId29"/>
      <w:footerReference w:type="even" r:id="rId30"/>
      <w:footerReference w:type="default" r:id="rId31"/>
      <w:pgSz w:w="11900" w:h="16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FDB0E" w14:textId="77777777" w:rsidR="002608FB" w:rsidRDefault="002608FB" w:rsidP="006A5207">
      <w:r>
        <w:separator/>
      </w:r>
    </w:p>
  </w:endnote>
  <w:endnote w:type="continuationSeparator" w:id="0">
    <w:p w14:paraId="5F09CB06" w14:textId="77777777" w:rsidR="002608FB" w:rsidRDefault="002608FB" w:rsidP="006A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77147289"/>
      <w:docPartObj>
        <w:docPartGallery w:val="Page Numbers (Bottom of Page)"/>
        <w:docPartUnique/>
      </w:docPartObj>
    </w:sdtPr>
    <w:sdtEndPr>
      <w:rPr>
        <w:rStyle w:val="PageNumber"/>
      </w:rPr>
    </w:sdtEndPr>
    <w:sdtContent>
      <w:p w14:paraId="58EFE9AB" w14:textId="77777777" w:rsidR="0006449E" w:rsidRDefault="0006449E" w:rsidP="000644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42C73" w14:textId="77777777" w:rsidR="0006449E" w:rsidRDefault="0006449E" w:rsidP="007227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imes New Roman" w:hAnsi="Times New Roman" w:cs="Times New Roman"/>
        <w:sz w:val="22"/>
      </w:rPr>
      <w:id w:val="2103991377"/>
      <w:docPartObj>
        <w:docPartGallery w:val="Page Numbers (Bottom of Page)"/>
        <w:docPartUnique/>
      </w:docPartObj>
    </w:sdtPr>
    <w:sdtEndPr>
      <w:rPr>
        <w:rStyle w:val="PageNumber"/>
        <w:sz w:val="16"/>
        <w:szCs w:val="18"/>
      </w:rPr>
    </w:sdtEndPr>
    <w:sdtContent>
      <w:p w14:paraId="1AD8EE58" w14:textId="77777777" w:rsidR="0006449E" w:rsidRPr="00DE2F22" w:rsidRDefault="0006449E" w:rsidP="0006449E">
        <w:pPr>
          <w:pStyle w:val="Footer"/>
          <w:framePr w:wrap="none" w:vAnchor="text" w:hAnchor="margin" w:xAlign="right" w:y="1"/>
          <w:rPr>
            <w:rStyle w:val="PageNumber"/>
            <w:rFonts w:ascii="Times New Roman" w:hAnsi="Times New Roman" w:cs="Times New Roman"/>
            <w:sz w:val="22"/>
          </w:rPr>
        </w:pPr>
        <w:r w:rsidRPr="00DE2F22">
          <w:rPr>
            <w:rStyle w:val="PageNumber"/>
            <w:rFonts w:ascii="Times New Roman" w:hAnsi="Times New Roman" w:cs="Times New Roman"/>
            <w:sz w:val="16"/>
            <w:szCs w:val="18"/>
          </w:rPr>
          <w:fldChar w:fldCharType="begin"/>
        </w:r>
        <w:r w:rsidRPr="00DE2F22">
          <w:rPr>
            <w:rStyle w:val="PageNumber"/>
            <w:rFonts w:ascii="Times New Roman" w:hAnsi="Times New Roman" w:cs="Times New Roman"/>
            <w:sz w:val="16"/>
            <w:szCs w:val="18"/>
          </w:rPr>
          <w:instrText xml:space="preserve"> PAGE </w:instrText>
        </w:r>
        <w:r w:rsidRPr="00DE2F22">
          <w:rPr>
            <w:rStyle w:val="PageNumber"/>
            <w:rFonts w:ascii="Times New Roman" w:hAnsi="Times New Roman" w:cs="Times New Roman"/>
            <w:sz w:val="16"/>
            <w:szCs w:val="18"/>
          </w:rPr>
          <w:fldChar w:fldCharType="separate"/>
        </w:r>
        <w:r w:rsidR="004E1C3B">
          <w:rPr>
            <w:rStyle w:val="PageNumber"/>
            <w:rFonts w:ascii="Times New Roman" w:hAnsi="Times New Roman" w:cs="Times New Roman"/>
            <w:noProof/>
            <w:sz w:val="16"/>
            <w:szCs w:val="18"/>
          </w:rPr>
          <w:t>11</w:t>
        </w:r>
        <w:r w:rsidRPr="00DE2F22">
          <w:rPr>
            <w:rStyle w:val="PageNumber"/>
            <w:rFonts w:ascii="Times New Roman" w:hAnsi="Times New Roman" w:cs="Times New Roman"/>
            <w:sz w:val="16"/>
            <w:szCs w:val="18"/>
          </w:rPr>
          <w:fldChar w:fldCharType="end"/>
        </w:r>
      </w:p>
    </w:sdtContent>
  </w:sdt>
  <w:p w14:paraId="0F3C6AFB" w14:textId="77777777" w:rsidR="0006449E" w:rsidRDefault="0006449E" w:rsidP="007227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109C6" w14:textId="77777777" w:rsidR="002608FB" w:rsidRDefault="002608FB" w:rsidP="006A5207">
      <w:r>
        <w:separator/>
      </w:r>
    </w:p>
  </w:footnote>
  <w:footnote w:type="continuationSeparator" w:id="0">
    <w:p w14:paraId="2A23A26C" w14:textId="77777777" w:rsidR="002608FB" w:rsidRDefault="002608FB" w:rsidP="006A5207">
      <w:r>
        <w:continuationSeparator/>
      </w:r>
    </w:p>
  </w:footnote>
  <w:footnote w:id="1">
    <w:p w14:paraId="34DFA3A7" w14:textId="24152BFE" w:rsidR="0006449E" w:rsidRPr="00374C53" w:rsidRDefault="0006449E" w:rsidP="00374C53">
      <w:pPr>
        <w:jc w:val="both"/>
        <w:rPr>
          <w:sz w:val="13"/>
          <w:szCs w:val="13"/>
        </w:rPr>
      </w:pPr>
      <w:r w:rsidRPr="00374C53">
        <w:rPr>
          <w:rStyle w:val="FootnoteReference"/>
          <w:sz w:val="13"/>
          <w:szCs w:val="13"/>
        </w:rPr>
        <w:footnoteRef/>
      </w:r>
      <w:r w:rsidRPr="00374C53">
        <w:rPr>
          <w:sz w:val="13"/>
          <w:szCs w:val="13"/>
        </w:rPr>
        <w:t xml:space="preserve"> ONU. Asamblea General, 2009. </w:t>
      </w:r>
      <w:r w:rsidRPr="00374C53">
        <w:rPr>
          <w:i/>
          <w:sz w:val="13"/>
          <w:szCs w:val="13"/>
        </w:rPr>
        <w:t>Promoción y protección de todos los derechos humanos, civiles, políticos, económicos, sociales y culturales, incluido el derecho al desarrollo,</w:t>
      </w:r>
      <w:r w:rsidRPr="00374C53">
        <w:rPr>
          <w:sz w:val="13"/>
          <w:szCs w:val="13"/>
        </w:rPr>
        <w:t xml:space="preserve"> Informe de la Relatora Especial sobre la trata de personas, especialmente mujeres y niños, la Sra. Joy Ngozi Ezeilo, A/HRC/10/16, 20 de febrero.</w:t>
      </w:r>
    </w:p>
  </w:footnote>
  <w:footnote w:id="2">
    <w:p w14:paraId="02960887" w14:textId="4D720D01" w:rsidR="0006449E" w:rsidRPr="00374C53" w:rsidRDefault="0006449E" w:rsidP="00374C53">
      <w:pPr>
        <w:pStyle w:val="NormalWeb"/>
        <w:spacing w:before="0" w:beforeAutospacing="0" w:after="0" w:afterAutospacing="0"/>
        <w:jc w:val="both"/>
        <w:rPr>
          <w:sz w:val="13"/>
          <w:szCs w:val="13"/>
          <w:lang w:val="en-US"/>
        </w:rPr>
      </w:pPr>
      <w:r w:rsidRPr="00374C53">
        <w:rPr>
          <w:rStyle w:val="FootnoteReference"/>
          <w:sz w:val="13"/>
          <w:szCs w:val="13"/>
        </w:rPr>
        <w:footnoteRef/>
      </w:r>
      <w:r w:rsidRPr="00374C53">
        <w:rPr>
          <w:sz w:val="13"/>
          <w:szCs w:val="13"/>
          <w:lang w:val="es-ES"/>
        </w:rPr>
        <w:t xml:space="preserve"> </w:t>
      </w:r>
      <w:r w:rsidR="004A43EF" w:rsidRPr="00374C53">
        <w:rPr>
          <w:sz w:val="13"/>
          <w:szCs w:val="13"/>
          <w:lang w:val="es-ES"/>
        </w:rPr>
        <w:t xml:space="preserve">Declaración sobre la eliminación de la violencia contra la mujer, </w:t>
      </w:r>
      <w:r w:rsidR="00E62C60" w:rsidRPr="00374C53">
        <w:rPr>
          <w:sz w:val="13"/>
          <w:szCs w:val="13"/>
          <w:lang w:val="es-ES"/>
        </w:rPr>
        <w:t>art. 2(b)</w:t>
      </w:r>
      <w:r w:rsidR="00BF1F07" w:rsidRPr="00374C53">
        <w:rPr>
          <w:sz w:val="13"/>
          <w:szCs w:val="13"/>
          <w:lang w:val="es-ES"/>
        </w:rPr>
        <w:t>. CEDAW, Recomendación General núm. 19</w:t>
      </w:r>
      <w:r w:rsidR="002A206C" w:rsidRPr="00374C53">
        <w:rPr>
          <w:sz w:val="13"/>
          <w:szCs w:val="13"/>
          <w:lang w:val="es-ES"/>
        </w:rPr>
        <w:t xml:space="preserve">. </w:t>
      </w:r>
      <w:r w:rsidRPr="00374C53">
        <w:rPr>
          <w:sz w:val="13"/>
          <w:szCs w:val="13"/>
          <w:lang w:val="es-ES"/>
        </w:rPr>
        <w:t xml:space="preserve">Women’s Link Worldwide, 2017. </w:t>
      </w:r>
      <w:r w:rsidRPr="00374C53">
        <w:rPr>
          <w:i/>
          <w:sz w:val="13"/>
          <w:szCs w:val="13"/>
        </w:rPr>
        <w:t>Víctimas de trata en América Latina: Entre la desprotección y la indiferencia</w:t>
      </w:r>
      <w:r w:rsidRPr="00374C53">
        <w:rPr>
          <w:sz w:val="13"/>
          <w:szCs w:val="13"/>
          <w:lang w:val="es-ES"/>
        </w:rPr>
        <w:t xml:space="preserve">. </w:t>
      </w:r>
      <w:r w:rsidRPr="00374C53">
        <w:rPr>
          <w:sz w:val="13"/>
          <w:szCs w:val="13"/>
          <w:lang w:val="en-US"/>
        </w:rPr>
        <w:t xml:space="preserve">Disponible [en línea] en: </w:t>
      </w:r>
      <w:hyperlink r:id="rId1" w:history="1">
        <w:r w:rsidRPr="00374C53">
          <w:rPr>
            <w:rStyle w:val="Hyperlink"/>
            <w:sz w:val="13"/>
            <w:szCs w:val="13"/>
            <w:lang w:val="en-US"/>
          </w:rPr>
          <w:t>//bit.ly/2xv3B0P</w:t>
        </w:r>
      </w:hyperlink>
      <w:r w:rsidRPr="00374C53">
        <w:rPr>
          <w:sz w:val="13"/>
          <w:szCs w:val="13"/>
          <w:lang w:val="en-US"/>
        </w:rPr>
        <w:t xml:space="preserve">. Véase, también: The Inter-Agency Coordination Group against Trafficking in Persons, 2017. </w:t>
      </w:r>
      <w:r w:rsidRPr="00374C53">
        <w:rPr>
          <w:i/>
          <w:sz w:val="13"/>
          <w:szCs w:val="13"/>
          <w:lang w:val="en-US"/>
        </w:rPr>
        <w:t>The gender dimensions of human trafficking</w:t>
      </w:r>
      <w:r w:rsidRPr="00374C53">
        <w:rPr>
          <w:sz w:val="13"/>
          <w:szCs w:val="13"/>
          <w:lang w:val="en-US"/>
        </w:rPr>
        <w:t xml:space="preserve">, Issue Brief #4, 2017. </w:t>
      </w:r>
      <w:r w:rsidRPr="00374C53">
        <w:rPr>
          <w:color w:val="000000" w:themeColor="text1"/>
          <w:sz w:val="13"/>
          <w:szCs w:val="13"/>
          <w:lang w:val="en-US"/>
        </w:rPr>
        <w:t xml:space="preserve">[En línea] Disponible en: </w:t>
      </w:r>
      <w:hyperlink r:id="rId2" w:history="1">
        <w:r w:rsidRPr="00374C53">
          <w:rPr>
            <w:rStyle w:val="Hyperlink"/>
            <w:sz w:val="13"/>
            <w:szCs w:val="13"/>
            <w:lang w:val="en-US"/>
          </w:rPr>
          <w:t>icat.network/sites/default/files/publications/documents/ICAT-IB-04-V.1.pdf</w:t>
        </w:r>
      </w:hyperlink>
      <w:r w:rsidRPr="00374C53">
        <w:rPr>
          <w:color w:val="000000" w:themeColor="text1"/>
          <w:sz w:val="13"/>
          <w:szCs w:val="13"/>
          <w:lang w:val="en-US"/>
        </w:rPr>
        <w:t xml:space="preserve">; </w:t>
      </w:r>
      <w:r w:rsidRPr="00374C53">
        <w:rPr>
          <w:sz w:val="13"/>
          <w:szCs w:val="13"/>
          <w:lang w:val="en-US"/>
        </w:rPr>
        <w:t xml:space="preserve">ONU. UNODC, 2018. </w:t>
      </w:r>
      <w:r w:rsidRPr="00374C53">
        <w:rPr>
          <w:i/>
          <w:sz w:val="13"/>
          <w:szCs w:val="13"/>
          <w:lang w:val="en-US"/>
        </w:rPr>
        <w:t xml:space="preserve">Global Report on Trafficking in </w:t>
      </w:r>
      <w:r w:rsidRPr="00374C53">
        <w:rPr>
          <w:sz w:val="13"/>
          <w:szCs w:val="13"/>
          <w:lang w:val="en-US"/>
        </w:rPr>
        <w:t xml:space="preserve">Persons 2018. </w:t>
      </w:r>
      <w:r w:rsidRPr="00374C53">
        <w:rPr>
          <w:color w:val="000000" w:themeColor="text1"/>
          <w:sz w:val="13"/>
          <w:szCs w:val="13"/>
          <w:lang w:val="en-US"/>
        </w:rPr>
        <w:t xml:space="preserve">[En línea] Disponible en: </w:t>
      </w:r>
      <w:hyperlink r:id="rId3" w:history="1">
        <w:r w:rsidRPr="00374C53">
          <w:rPr>
            <w:rStyle w:val="Hyperlink"/>
            <w:sz w:val="13"/>
            <w:szCs w:val="13"/>
            <w:lang w:val="en-US"/>
          </w:rPr>
          <w:t>www.unodc.org/documents/data-and-analysis/glotip/2018/GLOTiP_2018_BOOK_web_small.pdf</w:t>
        </w:r>
      </w:hyperlink>
      <w:r w:rsidRPr="00374C53">
        <w:rPr>
          <w:color w:val="0260BF"/>
          <w:sz w:val="13"/>
          <w:szCs w:val="13"/>
          <w:lang w:val="en-US"/>
        </w:rPr>
        <w:t xml:space="preserve"> </w:t>
      </w:r>
    </w:p>
  </w:footnote>
  <w:footnote w:id="3">
    <w:p w14:paraId="50D1C1C3" w14:textId="7EE74CCD" w:rsidR="0006449E" w:rsidRPr="00374C53" w:rsidRDefault="0006449E" w:rsidP="00374C53">
      <w:pPr>
        <w:pStyle w:val="NormalWeb"/>
        <w:spacing w:before="0" w:beforeAutospacing="0" w:after="0" w:afterAutospacing="0"/>
        <w:jc w:val="both"/>
        <w:rPr>
          <w:sz w:val="13"/>
          <w:szCs w:val="13"/>
          <w:lang w:val="es-ES"/>
        </w:rPr>
      </w:pPr>
      <w:r w:rsidRPr="00374C53">
        <w:rPr>
          <w:rStyle w:val="FootnoteReference"/>
          <w:sz w:val="13"/>
          <w:szCs w:val="13"/>
        </w:rPr>
        <w:footnoteRef/>
      </w:r>
      <w:r w:rsidRPr="00374C53">
        <w:rPr>
          <w:sz w:val="13"/>
          <w:szCs w:val="13"/>
          <w:lang w:val="es-ES"/>
        </w:rPr>
        <w:t xml:space="preserve"> ONU. Relatora Especial sobre violencia contra la mujer, sus causas y consecuencias, 2009. </w:t>
      </w:r>
      <w:r w:rsidRPr="00374C53">
        <w:rPr>
          <w:i/>
          <w:sz w:val="13"/>
          <w:szCs w:val="13"/>
          <w:lang w:val="en-US"/>
        </w:rPr>
        <w:t>15 years of The United Nations Special Rapporteur on Violence against Women (1994-2009)</w:t>
      </w:r>
      <w:r w:rsidRPr="00374C53">
        <w:rPr>
          <w:sz w:val="13"/>
          <w:szCs w:val="13"/>
          <w:lang w:val="en-US"/>
        </w:rPr>
        <w:t xml:space="preserve">. </w:t>
      </w:r>
      <w:r w:rsidRPr="00374C53">
        <w:rPr>
          <w:color w:val="000000" w:themeColor="text1"/>
          <w:sz w:val="13"/>
          <w:szCs w:val="13"/>
        </w:rPr>
        <w:t>[En línea] Disponible en:</w:t>
      </w:r>
      <w:r w:rsidRPr="00374C53">
        <w:rPr>
          <w:sz w:val="13"/>
          <w:szCs w:val="13"/>
          <w:lang w:val="es-ES"/>
        </w:rPr>
        <w:t xml:space="preserve"> </w:t>
      </w:r>
      <w:hyperlink r:id="rId4" w:history="1">
        <w:r w:rsidR="00795F89" w:rsidRPr="00571A23">
          <w:rPr>
            <w:rStyle w:val="Hyperlink"/>
            <w:sz w:val="13"/>
            <w:szCs w:val="13"/>
          </w:rPr>
          <w:t>www.ohchr.org/Documents/Issues/Women/15YearReviewofVAWMandate.pdf</w:t>
        </w:r>
      </w:hyperlink>
      <w:r w:rsidR="00795F89">
        <w:rPr>
          <w:color w:val="0260BF"/>
          <w:sz w:val="13"/>
          <w:szCs w:val="13"/>
          <w:lang w:val="es-ES"/>
        </w:rPr>
        <w:t xml:space="preserve"> </w:t>
      </w:r>
    </w:p>
  </w:footnote>
  <w:footnote w:id="4">
    <w:p w14:paraId="1A0341D1" w14:textId="0755DE88" w:rsidR="0006449E" w:rsidRPr="00374C53" w:rsidRDefault="0006449E" w:rsidP="00374C53">
      <w:pPr>
        <w:pStyle w:val="NormalWeb"/>
        <w:spacing w:before="0" w:beforeAutospacing="0" w:after="0" w:afterAutospacing="0"/>
        <w:jc w:val="both"/>
        <w:rPr>
          <w:sz w:val="13"/>
          <w:szCs w:val="13"/>
          <w:lang w:val="en-US"/>
        </w:rPr>
      </w:pPr>
      <w:r w:rsidRPr="00374C53">
        <w:rPr>
          <w:rStyle w:val="FootnoteReference"/>
          <w:sz w:val="13"/>
          <w:szCs w:val="13"/>
        </w:rPr>
        <w:footnoteRef/>
      </w:r>
      <w:r w:rsidRPr="00374C53">
        <w:rPr>
          <w:sz w:val="13"/>
          <w:szCs w:val="13"/>
          <w:lang w:val="en-US"/>
        </w:rPr>
        <w:t xml:space="preserve"> J. Chuang, 2012. ‘Article 6’ in Freeman, Chinkin and Rudolf, </w:t>
      </w:r>
      <w:r w:rsidRPr="00374C53">
        <w:rPr>
          <w:i/>
          <w:iCs/>
          <w:sz w:val="13"/>
          <w:szCs w:val="13"/>
          <w:lang w:val="en-US"/>
        </w:rPr>
        <w:t>The UN Convention on the Elimination of All Forms of Discrimination Against Women: A Commentary</w:t>
      </w:r>
      <w:r w:rsidRPr="00374C53">
        <w:rPr>
          <w:sz w:val="13"/>
          <w:szCs w:val="13"/>
          <w:lang w:val="en-US"/>
        </w:rPr>
        <w:t xml:space="preserve">, pp.180-182 </w:t>
      </w:r>
    </w:p>
  </w:footnote>
  <w:footnote w:id="5">
    <w:p w14:paraId="0A00AF98" w14:textId="53A290C0" w:rsidR="0006449E" w:rsidRPr="00374C53" w:rsidRDefault="0006449E" w:rsidP="00374C53">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lang w:val="es-ES"/>
        </w:rPr>
        <w:t xml:space="preserve"> Women’s Link Worldwide, 2017. </w:t>
      </w:r>
      <w:r w:rsidRPr="00374C53">
        <w:rPr>
          <w:i/>
          <w:sz w:val="13"/>
          <w:szCs w:val="13"/>
        </w:rPr>
        <w:t xml:space="preserve">Víctimas de trata en América Latina: Entre la desprotección y la indiferencia. </w:t>
      </w:r>
      <w:r w:rsidRPr="00374C53">
        <w:rPr>
          <w:sz w:val="13"/>
          <w:szCs w:val="13"/>
        </w:rPr>
        <w:t xml:space="preserve">2017. </w:t>
      </w:r>
      <w:r w:rsidRPr="00374C53">
        <w:rPr>
          <w:color w:val="000000" w:themeColor="text1"/>
          <w:sz w:val="13"/>
          <w:szCs w:val="13"/>
        </w:rPr>
        <w:t xml:space="preserve">[En línea] Disponible en: </w:t>
      </w:r>
      <w:hyperlink r:id="rId5" w:history="1">
        <w:r w:rsidRPr="00374C53">
          <w:rPr>
            <w:rStyle w:val="Hyperlink"/>
            <w:sz w:val="13"/>
            <w:szCs w:val="13"/>
          </w:rPr>
          <w:t>https://bit.ly/2xv3B0P</w:t>
        </w:r>
      </w:hyperlink>
      <w:r w:rsidRPr="00374C53">
        <w:rPr>
          <w:sz w:val="13"/>
          <w:szCs w:val="13"/>
        </w:rPr>
        <w:t xml:space="preserve"> </w:t>
      </w:r>
    </w:p>
  </w:footnote>
  <w:footnote w:id="6">
    <w:p w14:paraId="575D0454" w14:textId="5EBC49CB" w:rsidR="0006449E" w:rsidRPr="00374C53" w:rsidRDefault="0006449E" w:rsidP="00374C53">
      <w:pPr>
        <w:jc w:val="both"/>
        <w:rPr>
          <w:sz w:val="13"/>
          <w:szCs w:val="13"/>
        </w:rPr>
      </w:pPr>
      <w:r w:rsidRPr="00374C53">
        <w:rPr>
          <w:rStyle w:val="FootnoteReference"/>
          <w:sz w:val="13"/>
          <w:szCs w:val="13"/>
        </w:rPr>
        <w:footnoteRef/>
      </w:r>
      <w:r w:rsidRPr="00374C53">
        <w:rPr>
          <w:sz w:val="13"/>
          <w:szCs w:val="13"/>
        </w:rPr>
        <w:t xml:space="preserve"> OEA. Consejo Permanente de la Organización de los Estados Americanos, 2009. </w:t>
      </w:r>
      <w:r w:rsidRPr="00374C53">
        <w:rPr>
          <w:i/>
          <w:sz w:val="13"/>
          <w:szCs w:val="13"/>
        </w:rPr>
        <w:t>Esfuerzos hemisféricos para combatir la trata de personas: conclusiones y recomendaciones de la segunda reunión de autoridades nacionales en materia de trata de personas</w:t>
      </w:r>
      <w:r w:rsidRPr="00374C53">
        <w:rPr>
          <w:sz w:val="13"/>
          <w:szCs w:val="13"/>
        </w:rPr>
        <w:t xml:space="preserve">, AG/RES. 2456 (XXXIX-O/09), Núm. 18, de 4 de junio. Véase, también: ONU. Oficina del Alto Comisionado de las Naciones Unidas para los Derechos Humanos, 2002. </w:t>
      </w:r>
      <w:r w:rsidRPr="00374C53">
        <w:rPr>
          <w:i/>
          <w:sz w:val="13"/>
          <w:szCs w:val="13"/>
        </w:rPr>
        <w:t>Principios y Directrices recomendados sobre los derechos humanos y la trata de personas</w:t>
      </w:r>
      <w:r w:rsidRPr="00374C53">
        <w:rPr>
          <w:sz w:val="13"/>
          <w:szCs w:val="13"/>
        </w:rPr>
        <w:t>, E/2002/68/Add.1., de 20 de mayo, p.1.</w:t>
      </w:r>
    </w:p>
  </w:footnote>
  <w:footnote w:id="7">
    <w:p w14:paraId="6136BA83" w14:textId="29A47669" w:rsidR="002E5C36" w:rsidRPr="00425C1B" w:rsidRDefault="002E5C36" w:rsidP="00425C1B">
      <w:pPr>
        <w:jc w:val="both"/>
        <w:rPr>
          <w:sz w:val="13"/>
          <w:szCs w:val="13"/>
        </w:rPr>
      </w:pPr>
      <w:r w:rsidRPr="00425C1B">
        <w:rPr>
          <w:rStyle w:val="FootnoteReference"/>
          <w:sz w:val="13"/>
          <w:szCs w:val="13"/>
        </w:rPr>
        <w:footnoteRef/>
      </w:r>
      <w:r w:rsidRPr="00425C1B">
        <w:rPr>
          <w:sz w:val="13"/>
          <w:szCs w:val="13"/>
        </w:rPr>
        <w:t xml:space="preserve"> </w:t>
      </w:r>
      <w:r w:rsidR="00524ABC" w:rsidRPr="00425C1B">
        <w:rPr>
          <w:sz w:val="13"/>
          <w:szCs w:val="13"/>
        </w:rPr>
        <w:t xml:space="preserve">Principios y Directrices recomendados sobre los derechos humanos y la trata de personas. Informe del Alto Comisionado de las Naciones Unidas para los Derechos Humanos al Consejo Económico y Social, 2002. E/2002/68/Add.1. </w:t>
      </w:r>
      <w:r w:rsidR="006146C3" w:rsidRPr="00425C1B">
        <w:rPr>
          <w:sz w:val="13"/>
          <w:szCs w:val="13"/>
        </w:rPr>
        <w:t>Plan de Acción Mundial de las Naciones Unidas para combatir la trata de personas. Resolución aprobada por la Asamblea General</w:t>
      </w:r>
      <w:r w:rsidR="00482D2A" w:rsidRPr="00425C1B">
        <w:rPr>
          <w:sz w:val="13"/>
          <w:szCs w:val="13"/>
        </w:rPr>
        <w:t>, 2010. A/RES/64/293.</w:t>
      </w:r>
    </w:p>
  </w:footnote>
  <w:footnote w:id="8">
    <w:p w14:paraId="4808EB9E" w14:textId="77777777" w:rsidR="00CF6B27" w:rsidRPr="00374C53" w:rsidRDefault="00CF6B27" w:rsidP="00374C53">
      <w:pPr>
        <w:jc w:val="both"/>
        <w:rPr>
          <w:color w:val="000000" w:themeColor="text1"/>
          <w:sz w:val="13"/>
          <w:szCs w:val="13"/>
        </w:rPr>
      </w:pPr>
      <w:r w:rsidRPr="00374C53">
        <w:rPr>
          <w:color w:val="000000" w:themeColor="text1"/>
          <w:sz w:val="13"/>
          <w:szCs w:val="13"/>
          <w:vertAlign w:val="superscript"/>
        </w:rPr>
        <w:footnoteRef/>
      </w:r>
      <w:r w:rsidRPr="00374C53">
        <w:rPr>
          <w:color w:val="000000" w:themeColor="text1"/>
          <w:sz w:val="13"/>
          <w:szCs w:val="13"/>
          <w:vertAlign w:val="superscript"/>
        </w:rPr>
        <w:t xml:space="preserve"> </w:t>
      </w:r>
      <w:r w:rsidRPr="00374C53">
        <w:rPr>
          <w:color w:val="000000" w:themeColor="text1"/>
          <w:sz w:val="13"/>
          <w:szCs w:val="13"/>
        </w:rPr>
        <w:t xml:space="preserve">ONU. Comité CEDAW, 2017. </w:t>
      </w:r>
      <w:r w:rsidRPr="00374C53">
        <w:rPr>
          <w:i/>
          <w:color w:val="000000" w:themeColor="text1"/>
          <w:sz w:val="13"/>
          <w:szCs w:val="13"/>
        </w:rPr>
        <w:t>Recomendación General núm. 35 sobre la violencia de género contra la mujer, por la que se actualiza la recomendación general Nº 19</w:t>
      </w:r>
      <w:r w:rsidRPr="00374C53">
        <w:rPr>
          <w:color w:val="000000" w:themeColor="text1"/>
          <w:sz w:val="13"/>
          <w:szCs w:val="13"/>
        </w:rPr>
        <w:t>, CEDAW/C/GC/35, de 26 de julio, párr. 24.</w:t>
      </w:r>
    </w:p>
  </w:footnote>
  <w:footnote w:id="9">
    <w:p w14:paraId="7A6D034C" w14:textId="39F3BC72" w:rsidR="0006449E" w:rsidRPr="00374C53" w:rsidRDefault="0006449E" w:rsidP="00374C53">
      <w:pPr>
        <w:jc w:val="both"/>
        <w:rPr>
          <w:color w:val="000000" w:themeColor="text1"/>
          <w:sz w:val="13"/>
          <w:szCs w:val="13"/>
        </w:rPr>
      </w:pPr>
      <w:r w:rsidRPr="00374C53">
        <w:rPr>
          <w:color w:val="000000" w:themeColor="text1"/>
          <w:sz w:val="13"/>
          <w:szCs w:val="13"/>
          <w:vertAlign w:val="superscript"/>
        </w:rPr>
        <w:footnoteRef/>
      </w:r>
      <w:r w:rsidRPr="00374C53">
        <w:rPr>
          <w:color w:val="000000" w:themeColor="text1"/>
          <w:sz w:val="13"/>
          <w:szCs w:val="13"/>
          <w:vertAlign w:val="superscript"/>
        </w:rPr>
        <w:t xml:space="preserve"> </w:t>
      </w:r>
      <w:r w:rsidRPr="00374C53">
        <w:rPr>
          <w:color w:val="000000" w:themeColor="text1"/>
          <w:sz w:val="13"/>
          <w:szCs w:val="13"/>
        </w:rPr>
        <w:t xml:space="preserve">ONU. Comité CEDAW. Caso </w:t>
      </w:r>
      <w:r w:rsidRPr="00374C53">
        <w:rPr>
          <w:i/>
          <w:color w:val="000000" w:themeColor="text1"/>
          <w:sz w:val="13"/>
          <w:szCs w:val="13"/>
        </w:rPr>
        <w:t>Goekce (fallecida) c. Austria</w:t>
      </w:r>
      <w:r w:rsidRPr="00374C53">
        <w:rPr>
          <w:color w:val="000000" w:themeColor="text1"/>
          <w:sz w:val="13"/>
          <w:szCs w:val="13"/>
        </w:rPr>
        <w:t>, Comunicación No. 5/2005, 23 de julio de 2007, párr. 12.1.2, y Caso</w:t>
      </w:r>
      <w:r w:rsidRPr="00374C53">
        <w:rPr>
          <w:i/>
          <w:color w:val="000000" w:themeColor="text1"/>
          <w:sz w:val="13"/>
          <w:szCs w:val="13"/>
        </w:rPr>
        <w:t xml:space="preserve"> V. K. c. Bulgaria</w:t>
      </w:r>
      <w:r w:rsidRPr="00374C53">
        <w:rPr>
          <w:color w:val="000000" w:themeColor="text1"/>
          <w:sz w:val="13"/>
          <w:szCs w:val="13"/>
        </w:rPr>
        <w:t>, Comunicación No. 20/2008, 27 de septiembre de 2011, párr. 9.4.</w:t>
      </w:r>
    </w:p>
  </w:footnote>
  <w:footnote w:id="10">
    <w:p w14:paraId="432466BB" w14:textId="47054E9C" w:rsidR="0006449E" w:rsidRPr="00374C53" w:rsidRDefault="0006449E" w:rsidP="00374C53">
      <w:pPr>
        <w:jc w:val="both"/>
        <w:rPr>
          <w:color w:val="000000" w:themeColor="text1"/>
          <w:sz w:val="13"/>
          <w:szCs w:val="13"/>
        </w:rPr>
      </w:pPr>
      <w:r w:rsidRPr="00374C53">
        <w:rPr>
          <w:color w:val="000000" w:themeColor="text1"/>
          <w:sz w:val="13"/>
          <w:szCs w:val="13"/>
          <w:vertAlign w:val="superscript"/>
        </w:rPr>
        <w:footnoteRef/>
      </w:r>
      <w:r w:rsidRPr="00374C53">
        <w:rPr>
          <w:color w:val="000000" w:themeColor="text1"/>
          <w:sz w:val="13"/>
          <w:szCs w:val="13"/>
          <w:vertAlign w:val="superscript"/>
        </w:rPr>
        <w:t xml:space="preserve"> </w:t>
      </w:r>
      <w:r w:rsidRPr="00374C53">
        <w:rPr>
          <w:color w:val="000000" w:themeColor="text1"/>
          <w:sz w:val="13"/>
          <w:szCs w:val="13"/>
        </w:rPr>
        <w:t>ONU. Comité CEDAW, 1992. Recomendación general núm. 19 sobre la violencia contra la mujer, HRI/GEN/1/Rev.9(Vol.II), de 29 de enero de 1992, párr. 9.</w:t>
      </w:r>
    </w:p>
  </w:footnote>
  <w:footnote w:id="11">
    <w:p w14:paraId="6685F1F7" w14:textId="22682BFB" w:rsidR="0006449E" w:rsidRPr="00374C53" w:rsidRDefault="0006449E" w:rsidP="00374C53">
      <w:pPr>
        <w:pStyle w:val="FootnoteText"/>
        <w:spacing w:after="0" w:line="240" w:lineRule="auto"/>
        <w:jc w:val="both"/>
        <w:rPr>
          <w:color w:val="000000" w:themeColor="text1"/>
          <w:sz w:val="13"/>
          <w:szCs w:val="13"/>
        </w:rPr>
      </w:pPr>
      <w:r w:rsidRPr="00374C53">
        <w:rPr>
          <w:rStyle w:val="FootnoteReference"/>
          <w:color w:val="000000" w:themeColor="text1"/>
          <w:sz w:val="13"/>
          <w:szCs w:val="13"/>
        </w:rPr>
        <w:footnoteRef/>
      </w:r>
      <w:r w:rsidRPr="00374C53">
        <w:rPr>
          <w:color w:val="000000" w:themeColor="text1"/>
          <w:sz w:val="13"/>
          <w:szCs w:val="13"/>
        </w:rPr>
        <w:t xml:space="preserve"> </w:t>
      </w:r>
      <w:r w:rsidRPr="00374C53">
        <w:rPr>
          <w:color w:val="000000" w:themeColor="text1"/>
          <w:sz w:val="13"/>
          <w:szCs w:val="13"/>
          <w:lang w:val="es-ES"/>
        </w:rPr>
        <w:t xml:space="preserve">ONU. </w:t>
      </w:r>
      <w:r w:rsidRPr="00374C53">
        <w:rPr>
          <w:color w:val="000000" w:themeColor="text1"/>
          <w:sz w:val="13"/>
          <w:szCs w:val="13"/>
        </w:rPr>
        <w:t xml:space="preserve">Comité CEDAW, 2017. </w:t>
      </w:r>
      <w:r w:rsidRPr="00374C53">
        <w:rPr>
          <w:i/>
          <w:color w:val="000000" w:themeColor="text1"/>
          <w:sz w:val="13"/>
          <w:szCs w:val="13"/>
        </w:rPr>
        <w:t>Recomendación General núm. 35 sobre la violencia de género contra la mujer, por la que se actualiza la recomendación general Nº 19</w:t>
      </w:r>
      <w:r w:rsidRPr="00374C53">
        <w:rPr>
          <w:color w:val="000000" w:themeColor="text1"/>
          <w:sz w:val="13"/>
          <w:szCs w:val="13"/>
        </w:rPr>
        <w:t xml:space="preserve">, </w:t>
      </w:r>
      <w:r w:rsidRPr="00374C53">
        <w:rPr>
          <w:rFonts w:eastAsia="Times New Roman"/>
          <w:color w:val="000000" w:themeColor="text1"/>
          <w:sz w:val="13"/>
          <w:szCs w:val="13"/>
          <w:lang w:val="es-ES" w:eastAsia="es-ES_tradnl"/>
        </w:rPr>
        <w:t xml:space="preserve">CEDAW/C/GC/35, </w:t>
      </w:r>
      <w:r w:rsidRPr="00374C53">
        <w:rPr>
          <w:color w:val="000000" w:themeColor="text1"/>
          <w:sz w:val="13"/>
          <w:szCs w:val="13"/>
        </w:rPr>
        <w:t xml:space="preserve">de </w:t>
      </w:r>
      <w:r w:rsidRPr="00374C53">
        <w:rPr>
          <w:rFonts w:eastAsia="Times New Roman"/>
          <w:color w:val="000000" w:themeColor="text1"/>
          <w:sz w:val="13"/>
          <w:szCs w:val="13"/>
          <w:lang w:val="es-ES" w:eastAsia="es-ES_tradnl"/>
        </w:rPr>
        <w:t xml:space="preserve">26 de julio, </w:t>
      </w:r>
      <w:r w:rsidRPr="00374C53">
        <w:rPr>
          <w:color w:val="000000" w:themeColor="text1"/>
          <w:sz w:val="13"/>
          <w:szCs w:val="13"/>
        </w:rPr>
        <w:t xml:space="preserve">párr. 24. Véase, también: </w:t>
      </w:r>
      <w:r w:rsidRPr="00374C53">
        <w:rPr>
          <w:color w:val="000000" w:themeColor="text1"/>
          <w:sz w:val="13"/>
          <w:szCs w:val="13"/>
          <w:lang w:val="es-ES"/>
        </w:rPr>
        <w:t xml:space="preserve">ONU. </w:t>
      </w:r>
      <w:r w:rsidRPr="00374C53">
        <w:rPr>
          <w:color w:val="000000" w:themeColor="text1"/>
          <w:sz w:val="13"/>
          <w:szCs w:val="13"/>
          <w:lang w:val="es-ES_tradnl"/>
        </w:rPr>
        <w:t xml:space="preserve">Asamblea General de las Naciones Unidas, 2017. </w:t>
      </w:r>
      <w:r w:rsidRPr="00374C53">
        <w:rPr>
          <w:i/>
          <w:color w:val="000000" w:themeColor="text1"/>
          <w:sz w:val="13"/>
          <w:szCs w:val="13"/>
          <w:lang w:val="es-ES_tradnl"/>
        </w:rPr>
        <w:t xml:space="preserve">Informe de la Relatora Especial sobre la trata de personas, especialmente mujeres y niños, acerca de su misión a los Estados Unidos de América, </w:t>
      </w:r>
      <w:r w:rsidRPr="00374C53">
        <w:rPr>
          <w:color w:val="000000" w:themeColor="text1"/>
          <w:sz w:val="13"/>
          <w:szCs w:val="13"/>
          <w:lang w:val="es-ES_tradnl"/>
        </w:rPr>
        <w:t>A/HRC/35/37/Add.2.</w:t>
      </w:r>
    </w:p>
  </w:footnote>
  <w:footnote w:id="12">
    <w:p w14:paraId="3BA08F5C" w14:textId="1375B348" w:rsidR="0006449E" w:rsidRPr="00374C53" w:rsidRDefault="0006449E" w:rsidP="00374C53">
      <w:pPr>
        <w:pStyle w:val="FootnoteText"/>
        <w:spacing w:after="0" w:line="240" w:lineRule="auto"/>
        <w:jc w:val="both"/>
        <w:rPr>
          <w:color w:val="000000" w:themeColor="text1"/>
          <w:sz w:val="13"/>
          <w:szCs w:val="13"/>
        </w:rPr>
      </w:pPr>
      <w:r w:rsidRPr="00374C53">
        <w:rPr>
          <w:rStyle w:val="FootnoteReference"/>
          <w:color w:val="000000" w:themeColor="text1"/>
          <w:sz w:val="13"/>
          <w:szCs w:val="13"/>
        </w:rPr>
        <w:footnoteRef/>
      </w:r>
      <w:r w:rsidRPr="00374C53">
        <w:rPr>
          <w:color w:val="000000" w:themeColor="text1"/>
          <w:sz w:val="13"/>
          <w:szCs w:val="13"/>
        </w:rPr>
        <w:t xml:space="preserve"> </w:t>
      </w:r>
      <w:r w:rsidRPr="00374C53">
        <w:rPr>
          <w:color w:val="000000" w:themeColor="text1"/>
          <w:sz w:val="13"/>
          <w:szCs w:val="13"/>
          <w:lang w:val="es-ES"/>
        </w:rPr>
        <w:t xml:space="preserve">ONU. </w:t>
      </w:r>
      <w:r w:rsidRPr="00374C53">
        <w:rPr>
          <w:color w:val="000000" w:themeColor="text1"/>
          <w:sz w:val="13"/>
          <w:szCs w:val="13"/>
        </w:rPr>
        <w:t>Asamblea General de las Naciones Unidas</w:t>
      </w:r>
      <w:r w:rsidRPr="00374C53">
        <w:rPr>
          <w:color w:val="000000" w:themeColor="text1"/>
          <w:sz w:val="13"/>
          <w:szCs w:val="13"/>
          <w:lang w:val="es-ES"/>
        </w:rPr>
        <w:t>, 2015</w:t>
      </w:r>
      <w:r w:rsidRPr="00374C53">
        <w:rPr>
          <w:color w:val="000000" w:themeColor="text1"/>
          <w:sz w:val="13"/>
          <w:szCs w:val="13"/>
        </w:rPr>
        <w:t xml:space="preserve">. </w:t>
      </w:r>
      <w:r w:rsidRPr="00374C53">
        <w:rPr>
          <w:i/>
          <w:color w:val="000000" w:themeColor="text1"/>
          <w:sz w:val="13"/>
          <w:szCs w:val="13"/>
        </w:rPr>
        <w:t>Informe de la Relatora Especial sobre la trata de personas, especialmente mujeres y niños</w:t>
      </w:r>
      <w:r w:rsidRPr="00374C53">
        <w:rPr>
          <w:color w:val="000000" w:themeColor="text1"/>
          <w:sz w:val="13"/>
          <w:szCs w:val="13"/>
        </w:rPr>
        <w:t xml:space="preserve">, A/70/260, </w:t>
      </w:r>
      <w:r w:rsidRPr="00374C53">
        <w:rPr>
          <w:color w:val="000000" w:themeColor="text1"/>
          <w:sz w:val="13"/>
          <w:szCs w:val="13"/>
          <w:lang w:val="es-ES"/>
        </w:rPr>
        <w:t xml:space="preserve">de </w:t>
      </w:r>
      <w:r w:rsidRPr="00374C53">
        <w:rPr>
          <w:color w:val="000000" w:themeColor="text1"/>
          <w:sz w:val="13"/>
          <w:szCs w:val="13"/>
        </w:rPr>
        <w:t xml:space="preserve">03 de agosto, párr. 24. </w:t>
      </w:r>
    </w:p>
  </w:footnote>
  <w:footnote w:id="13">
    <w:p w14:paraId="19A89537" w14:textId="05D48A70" w:rsidR="0006449E" w:rsidRPr="00374C53" w:rsidRDefault="0006449E" w:rsidP="00374C53">
      <w:pPr>
        <w:jc w:val="both"/>
        <w:rPr>
          <w:sz w:val="13"/>
          <w:szCs w:val="13"/>
        </w:rPr>
      </w:pPr>
      <w:r w:rsidRPr="00374C53">
        <w:rPr>
          <w:color w:val="000000" w:themeColor="text1"/>
          <w:sz w:val="13"/>
          <w:szCs w:val="13"/>
          <w:vertAlign w:val="superscript"/>
        </w:rPr>
        <w:footnoteRef/>
      </w:r>
      <w:r w:rsidRPr="00374C53">
        <w:rPr>
          <w:color w:val="000000" w:themeColor="text1"/>
          <w:sz w:val="13"/>
          <w:szCs w:val="13"/>
          <w:vertAlign w:val="superscript"/>
        </w:rPr>
        <w:t xml:space="preserve"> </w:t>
      </w:r>
      <w:r w:rsidRPr="00374C53">
        <w:rPr>
          <w:color w:val="000000" w:themeColor="text1"/>
          <w:sz w:val="13"/>
          <w:szCs w:val="13"/>
        </w:rPr>
        <w:t xml:space="preserve">ONU. Asamblea General de las Naciones Unidas, 2018. </w:t>
      </w:r>
      <w:r w:rsidRPr="00374C53">
        <w:rPr>
          <w:i/>
          <w:color w:val="000000" w:themeColor="text1"/>
          <w:sz w:val="13"/>
          <w:szCs w:val="13"/>
        </w:rPr>
        <w:t xml:space="preserve">Informe de la Relatora Especial sobre la trata de personas, especialmente mujeres y niños, sobre su misión a Cuba, </w:t>
      </w:r>
      <w:r w:rsidRPr="00374C53">
        <w:rPr>
          <w:color w:val="000000" w:themeColor="text1"/>
          <w:sz w:val="13"/>
          <w:szCs w:val="13"/>
        </w:rPr>
        <w:t>A/HRC/38/45/Add.1</w:t>
      </w:r>
      <w:r w:rsidRPr="00374C53">
        <w:rPr>
          <w:color w:val="000000" w:themeColor="text1"/>
          <w:sz w:val="13"/>
          <w:szCs w:val="13"/>
          <w:lang w:val="nl-NL"/>
        </w:rPr>
        <w:t>.</w:t>
      </w:r>
      <w:r w:rsidRPr="00374C53">
        <w:rPr>
          <w:rFonts w:eastAsia="Calibri"/>
          <w:color w:val="000000" w:themeColor="text1"/>
          <w:sz w:val="13"/>
          <w:szCs w:val="13"/>
          <w:lang w:val="x-none"/>
        </w:rPr>
        <w:t>, párr. 91. Véase</w:t>
      </w:r>
      <w:r w:rsidRPr="00374C53">
        <w:rPr>
          <w:rFonts w:eastAsia="Calibri"/>
          <w:color w:val="000000" w:themeColor="text1"/>
          <w:sz w:val="13"/>
          <w:szCs w:val="13"/>
        </w:rPr>
        <w:t xml:space="preserve">, también: TEDH, 2010. </w:t>
      </w:r>
      <w:r w:rsidRPr="00374C53">
        <w:rPr>
          <w:rFonts w:eastAsia="Calibri"/>
          <w:i/>
          <w:color w:val="000000" w:themeColor="text1"/>
          <w:sz w:val="13"/>
          <w:szCs w:val="13"/>
        </w:rPr>
        <w:t>Caso</w:t>
      </w:r>
      <w:r w:rsidRPr="00374C53">
        <w:rPr>
          <w:rFonts w:eastAsia="Calibri"/>
          <w:i/>
          <w:color w:val="000000" w:themeColor="text1"/>
          <w:sz w:val="13"/>
          <w:szCs w:val="13"/>
          <w:lang w:val="x-none"/>
        </w:rPr>
        <w:t xml:space="preserve"> Rantsev c. Chipre y Rusia</w:t>
      </w:r>
      <w:r w:rsidRPr="00374C53">
        <w:rPr>
          <w:rFonts w:eastAsia="Calibri"/>
          <w:color w:val="000000" w:themeColor="text1"/>
          <w:sz w:val="13"/>
          <w:szCs w:val="13"/>
          <w:lang w:val="x-none"/>
        </w:rPr>
        <w:t>,</w:t>
      </w:r>
      <w:r w:rsidRPr="00374C53">
        <w:rPr>
          <w:rFonts w:eastAsia="Calibri"/>
          <w:color w:val="000000" w:themeColor="text1"/>
          <w:sz w:val="13"/>
          <w:szCs w:val="13"/>
        </w:rPr>
        <w:t xml:space="preserve"> Comunicación núm.</w:t>
      </w:r>
      <w:r w:rsidRPr="00374C53">
        <w:rPr>
          <w:rFonts w:eastAsia="Calibri"/>
          <w:color w:val="000000" w:themeColor="text1"/>
          <w:sz w:val="13"/>
          <w:szCs w:val="13"/>
          <w:lang w:val="x-none"/>
        </w:rPr>
        <w:t xml:space="preserve"> </w:t>
      </w:r>
      <w:r w:rsidRPr="00374C53">
        <w:rPr>
          <w:rFonts w:eastAsia="Calibri"/>
          <w:color w:val="000000" w:themeColor="text1"/>
          <w:sz w:val="13"/>
          <w:szCs w:val="13"/>
        </w:rPr>
        <w:t>25965/04, de 7 de enero</w:t>
      </w:r>
      <w:r w:rsidRPr="00374C53">
        <w:rPr>
          <w:rFonts w:eastAsia="Calibri"/>
          <w:color w:val="000000" w:themeColor="text1"/>
          <w:sz w:val="13"/>
          <w:szCs w:val="13"/>
          <w:lang w:val="x-none"/>
        </w:rPr>
        <w:t>.</w:t>
      </w:r>
    </w:p>
  </w:footnote>
  <w:footnote w:id="14">
    <w:p w14:paraId="73711BD2" w14:textId="6231271B" w:rsidR="0006449E" w:rsidRPr="00374C53" w:rsidRDefault="0006449E" w:rsidP="00374C53">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Pr="00374C53">
        <w:rPr>
          <w:sz w:val="13"/>
          <w:szCs w:val="13"/>
          <w:lang w:val="es-ES"/>
        </w:rPr>
        <w:t xml:space="preserve">ONU. </w:t>
      </w:r>
      <w:r w:rsidRPr="00374C53">
        <w:rPr>
          <w:color w:val="000000" w:themeColor="text1"/>
          <w:sz w:val="13"/>
          <w:szCs w:val="13"/>
        </w:rPr>
        <w:t>Asamblea General</w:t>
      </w:r>
      <w:r w:rsidRPr="00374C53">
        <w:rPr>
          <w:color w:val="000000" w:themeColor="text1"/>
          <w:sz w:val="13"/>
          <w:szCs w:val="13"/>
          <w:lang w:val="es-ES"/>
        </w:rPr>
        <w:t>, 2015</w:t>
      </w:r>
      <w:r w:rsidRPr="00374C53">
        <w:rPr>
          <w:color w:val="000000" w:themeColor="text1"/>
          <w:sz w:val="13"/>
          <w:szCs w:val="13"/>
        </w:rPr>
        <w:t xml:space="preserve">. </w:t>
      </w:r>
      <w:r w:rsidRPr="00374C53">
        <w:rPr>
          <w:i/>
          <w:color w:val="000000" w:themeColor="text1"/>
          <w:sz w:val="13"/>
          <w:szCs w:val="13"/>
        </w:rPr>
        <w:t>Informe de la Relatora Especial sobre la trata de personas, especialmente mujeres y niños</w:t>
      </w:r>
      <w:r w:rsidRPr="00374C53">
        <w:rPr>
          <w:color w:val="000000" w:themeColor="text1"/>
          <w:sz w:val="13"/>
          <w:szCs w:val="13"/>
        </w:rPr>
        <w:t xml:space="preserve">, A/70/260, </w:t>
      </w:r>
      <w:r w:rsidRPr="00374C53">
        <w:rPr>
          <w:color w:val="000000" w:themeColor="text1"/>
          <w:sz w:val="13"/>
          <w:szCs w:val="13"/>
          <w:lang w:val="es-ES"/>
        </w:rPr>
        <w:t xml:space="preserve">de </w:t>
      </w:r>
      <w:r w:rsidRPr="00374C53">
        <w:rPr>
          <w:color w:val="000000" w:themeColor="text1"/>
          <w:sz w:val="13"/>
          <w:szCs w:val="13"/>
        </w:rPr>
        <w:t>03 de agosto</w:t>
      </w:r>
      <w:r w:rsidRPr="00374C53">
        <w:rPr>
          <w:color w:val="000000" w:themeColor="text1"/>
          <w:sz w:val="13"/>
          <w:szCs w:val="13"/>
          <w:lang w:val="es-ES"/>
        </w:rPr>
        <w:t xml:space="preserve">, </w:t>
      </w:r>
      <w:r w:rsidRPr="00374C53">
        <w:rPr>
          <w:color w:val="000000" w:themeColor="text1"/>
          <w:sz w:val="13"/>
          <w:szCs w:val="13"/>
        </w:rPr>
        <w:t>párr. 2</w:t>
      </w:r>
      <w:r w:rsidRPr="00374C53">
        <w:rPr>
          <w:color w:val="000000" w:themeColor="text1"/>
          <w:sz w:val="13"/>
          <w:szCs w:val="13"/>
          <w:lang w:val="es-ES"/>
        </w:rPr>
        <w:t>5</w:t>
      </w:r>
      <w:r w:rsidRPr="00374C53">
        <w:rPr>
          <w:color w:val="000000" w:themeColor="text1"/>
          <w:sz w:val="13"/>
          <w:szCs w:val="13"/>
        </w:rPr>
        <w:t>.</w:t>
      </w:r>
    </w:p>
  </w:footnote>
  <w:footnote w:id="15">
    <w:p w14:paraId="55453402" w14:textId="6203088E" w:rsidR="0006449E" w:rsidRPr="00374C53" w:rsidRDefault="0006449E" w:rsidP="00374C53">
      <w:pPr>
        <w:pStyle w:val="FootnoteText"/>
        <w:spacing w:after="0" w:line="240" w:lineRule="auto"/>
        <w:jc w:val="both"/>
        <w:rPr>
          <w:sz w:val="13"/>
          <w:szCs w:val="13"/>
        </w:rPr>
      </w:pPr>
      <w:r w:rsidRPr="00374C53">
        <w:rPr>
          <w:rStyle w:val="PageNumber"/>
          <w:sz w:val="13"/>
          <w:szCs w:val="13"/>
          <w:vertAlign w:val="superscript"/>
        </w:rPr>
        <w:footnoteRef/>
      </w:r>
      <w:r w:rsidRPr="00374C53">
        <w:rPr>
          <w:rStyle w:val="PageNumber"/>
          <w:sz w:val="13"/>
          <w:szCs w:val="13"/>
        </w:rPr>
        <w:t xml:space="preserve"> ONU. Asamblea General, 2015. </w:t>
      </w:r>
      <w:r w:rsidRPr="00374C53">
        <w:rPr>
          <w:rStyle w:val="PageNumber"/>
          <w:i/>
          <w:iCs/>
          <w:sz w:val="13"/>
          <w:szCs w:val="13"/>
        </w:rPr>
        <w:t>Informe de la Relatora Especial sobre la trata de personas, especialmente mujeres y niños</w:t>
      </w:r>
      <w:r w:rsidRPr="00374C53">
        <w:rPr>
          <w:rStyle w:val="PageNumber"/>
          <w:sz w:val="13"/>
          <w:szCs w:val="13"/>
        </w:rPr>
        <w:t>, A/70/260,</w:t>
      </w:r>
      <w:r w:rsidRPr="00374C53">
        <w:rPr>
          <w:color w:val="000000" w:themeColor="text1"/>
          <w:sz w:val="13"/>
          <w:szCs w:val="13"/>
          <w:lang w:val="es-ES"/>
        </w:rPr>
        <w:t xml:space="preserve"> de </w:t>
      </w:r>
      <w:r w:rsidRPr="00374C53">
        <w:rPr>
          <w:color w:val="000000" w:themeColor="text1"/>
          <w:sz w:val="13"/>
          <w:szCs w:val="13"/>
        </w:rPr>
        <w:t>03 de agosto</w:t>
      </w:r>
      <w:r w:rsidRPr="00374C53">
        <w:rPr>
          <w:color w:val="000000" w:themeColor="text1"/>
          <w:sz w:val="13"/>
          <w:szCs w:val="13"/>
          <w:lang w:val="es-ES"/>
        </w:rPr>
        <w:t>,</w:t>
      </w:r>
      <w:r w:rsidRPr="00374C53">
        <w:rPr>
          <w:rStyle w:val="PageNumber"/>
          <w:sz w:val="13"/>
          <w:szCs w:val="13"/>
        </w:rPr>
        <w:t xml:space="preserve"> párr</w:t>
      </w:r>
      <w:r w:rsidRPr="00374C53">
        <w:rPr>
          <w:rStyle w:val="PageNumber"/>
          <w:sz w:val="13"/>
          <w:szCs w:val="13"/>
          <w:lang w:val="es-ES"/>
        </w:rPr>
        <w:t>.</w:t>
      </w:r>
      <w:r w:rsidRPr="00374C53">
        <w:rPr>
          <w:rStyle w:val="PageNumber"/>
          <w:sz w:val="13"/>
          <w:szCs w:val="13"/>
        </w:rPr>
        <w:t xml:space="preserve"> 36.</w:t>
      </w:r>
    </w:p>
  </w:footnote>
  <w:footnote w:id="16">
    <w:p w14:paraId="5AE92025" w14:textId="4741EAA1" w:rsidR="0006449E" w:rsidRPr="00374C53" w:rsidRDefault="0006449E" w:rsidP="00374C53">
      <w:pPr>
        <w:pStyle w:val="FootnoteText"/>
        <w:spacing w:after="0" w:line="240" w:lineRule="auto"/>
        <w:jc w:val="both"/>
        <w:rPr>
          <w:sz w:val="13"/>
          <w:szCs w:val="13"/>
          <w:lang w:val="es-ES"/>
        </w:rPr>
      </w:pPr>
      <w:r w:rsidRPr="00374C53">
        <w:rPr>
          <w:rStyle w:val="PageNumber"/>
          <w:sz w:val="13"/>
          <w:szCs w:val="13"/>
          <w:vertAlign w:val="superscript"/>
        </w:rPr>
        <w:footnoteRef/>
      </w:r>
      <w:r w:rsidRPr="00374C53">
        <w:rPr>
          <w:rStyle w:val="PageNumber"/>
          <w:sz w:val="13"/>
          <w:szCs w:val="13"/>
        </w:rPr>
        <w:t xml:space="preserve"> ONU. Asamblea General, 2015. </w:t>
      </w:r>
      <w:r w:rsidRPr="00374C53">
        <w:rPr>
          <w:rStyle w:val="PageNumber"/>
          <w:i/>
          <w:iCs/>
          <w:sz w:val="13"/>
          <w:szCs w:val="13"/>
        </w:rPr>
        <w:t>Informe de la Relatora Especial sobre la trata de personas, especialmente mujeres y niños</w:t>
      </w:r>
      <w:r w:rsidRPr="00374C53">
        <w:rPr>
          <w:rStyle w:val="PageNumber"/>
          <w:sz w:val="13"/>
          <w:szCs w:val="13"/>
        </w:rPr>
        <w:t xml:space="preserve">, A/70/260, </w:t>
      </w:r>
      <w:r w:rsidRPr="00374C53">
        <w:rPr>
          <w:color w:val="000000" w:themeColor="text1"/>
          <w:sz w:val="13"/>
          <w:szCs w:val="13"/>
          <w:lang w:val="es-ES"/>
        </w:rPr>
        <w:t xml:space="preserve">de </w:t>
      </w:r>
      <w:r w:rsidRPr="00374C53">
        <w:rPr>
          <w:color w:val="000000" w:themeColor="text1"/>
          <w:sz w:val="13"/>
          <w:szCs w:val="13"/>
        </w:rPr>
        <w:t>03 de agosto</w:t>
      </w:r>
      <w:r w:rsidRPr="00374C53">
        <w:rPr>
          <w:color w:val="000000" w:themeColor="text1"/>
          <w:sz w:val="13"/>
          <w:szCs w:val="13"/>
          <w:lang w:val="es-ES"/>
        </w:rPr>
        <w:t>,</w:t>
      </w:r>
      <w:r w:rsidRPr="00374C53">
        <w:rPr>
          <w:rStyle w:val="PageNumber"/>
          <w:sz w:val="13"/>
          <w:szCs w:val="13"/>
        </w:rPr>
        <w:t xml:space="preserve"> párr</w:t>
      </w:r>
      <w:r w:rsidRPr="00374C53">
        <w:rPr>
          <w:rStyle w:val="PageNumber"/>
          <w:sz w:val="13"/>
          <w:szCs w:val="13"/>
          <w:lang w:val="es-ES"/>
        </w:rPr>
        <w:t>.</w:t>
      </w:r>
      <w:r w:rsidRPr="00374C53">
        <w:rPr>
          <w:rStyle w:val="PageNumber"/>
          <w:sz w:val="13"/>
          <w:szCs w:val="13"/>
        </w:rPr>
        <w:t xml:space="preserve"> 36</w:t>
      </w:r>
      <w:r w:rsidRPr="00374C53">
        <w:rPr>
          <w:rStyle w:val="PageNumber"/>
          <w:sz w:val="13"/>
          <w:szCs w:val="13"/>
          <w:lang w:val="es-ES"/>
        </w:rPr>
        <w:t>.</w:t>
      </w:r>
    </w:p>
  </w:footnote>
  <w:footnote w:id="17">
    <w:p w14:paraId="3C83091A" w14:textId="5402C9A5" w:rsidR="0006449E" w:rsidRPr="00374C53" w:rsidRDefault="0006449E" w:rsidP="00374C53">
      <w:pPr>
        <w:pStyle w:val="FootnoteText"/>
        <w:spacing w:after="0" w:line="240" w:lineRule="auto"/>
        <w:jc w:val="both"/>
        <w:rPr>
          <w:sz w:val="13"/>
          <w:szCs w:val="13"/>
          <w:lang w:val="en-US"/>
        </w:rPr>
      </w:pPr>
      <w:r w:rsidRPr="00374C53">
        <w:rPr>
          <w:rStyle w:val="PageNumber"/>
          <w:sz w:val="13"/>
          <w:szCs w:val="13"/>
          <w:vertAlign w:val="superscript"/>
        </w:rPr>
        <w:footnoteRef/>
      </w:r>
      <w:r w:rsidRPr="00374C53">
        <w:rPr>
          <w:rStyle w:val="PageNumber"/>
          <w:sz w:val="13"/>
          <w:szCs w:val="13"/>
        </w:rPr>
        <w:t xml:space="preserve"> ONU. Asamblea General, 2015. </w:t>
      </w:r>
      <w:r w:rsidRPr="00374C53">
        <w:rPr>
          <w:rStyle w:val="PageNumber"/>
          <w:i/>
          <w:iCs/>
          <w:sz w:val="13"/>
          <w:szCs w:val="13"/>
        </w:rPr>
        <w:t>Informe de la Relatora Especial sobre la trata de personas, especialmente mujeres y niños</w:t>
      </w:r>
      <w:r w:rsidRPr="00374C53">
        <w:rPr>
          <w:rStyle w:val="PageNumber"/>
          <w:sz w:val="13"/>
          <w:szCs w:val="13"/>
        </w:rPr>
        <w:t xml:space="preserve">, A/70/260, </w:t>
      </w:r>
      <w:r w:rsidRPr="00374C53">
        <w:rPr>
          <w:color w:val="000000" w:themeColor="text1"/>
          <w:sz w:val="13"/>
          <w:szCs w:val="13"/>
          <w:lang w:val="es-ES"/>
        </w:rPr>
        <w:t xml:space="preserve">de </w:t>
      </w:r>
      <w:r w:rsidRPr="00374C53">
        <w:rPr>
          <w:color w:val="000000" w:themeColor="text1"/>
          <w:sz w:val="13"/>
          <w:szCs w:val="13"/>
        </w:rPr>
        <w:t>03 de agosto</w:t>
      </w:r>
      <w:r w:rsidRPr="00374C53">
        <w:rPr>
          <w:color w:val="000000" w:themeColor="text1"/>
          <w:sz w:val="13"/>
          <w:szCs w:val="13"/>
          <w:lang w:val="es-ES"/>
        </w:rPr>
        <w:t>,</w:t>
      </w:r>
      <w:r w:rsidRPr="00374C53">
        <w:rPr>
          <w:rStyle w:val="PageNumber"/>
          <w:sz w:val="13"/>
          <w:szCs w:val="13"/>
        </w:rPr>
        <w:t xml:space="preserve"> párr</w:t>
      </w:r>
      <w:r w:rsidRPr="00374C53">
        <w:rPr>
          <w:rStyle w:val="PageNumber"/>
          <w:sz w:val="13"/>
          <w:szCs w:val="13"/>
          <w:lang w:val="es-ES"/>
        </w:rPr>
        <w:t>.</w:t>
      </w:r>
      <w:r w:rsidRPr="00374C53">
        <w:rPr>
          <w:rStyle w:val="PageNumber"/>
          <w:sz w:val="13"/>
          <w:szCs w:val="13"/>
        </w:rPr>
        <w:t xml:space="preserve"> 36</w:t>
      </w:r>
      <w:r w:rsidRPr="00374C53">
        <w:rPr>
          <w:rStyle w:val="PageNumber"/>
          <w:sz w:val="13"/>
          <w:szCs w:val="13"/>
          <w:lang w:val="en-US"/>
        </w:rPr>
        <w:t>.</w:t>
      </w:r>
    </w:p>
  </w:footnote>
  <w:footnote w:id="18">
    <w:p w14:paraId="6458F2D4" w14:textId="2D520C90" w:rsidR="0006449E" w:rsidRPr="00374C53" w:rsidRDefault="0006449E" w:rsidP="00425C1B">
      <w:pPr>
        <w:jc w:val="both"/>
        <w:rPr>
          <w:sz w:val="13"/>
          <w:szCs w:val="13"/>
        </w:rPr>
      </w:pPr>
      <w:r w:rsidRPr="00374C53">
        <w:rPr>
          <w:rStyle w:val="FootnoteReference"/>
          <w:sz w:val="13"/>
          <w:szCs w:val="13"/>
        </w:rPr>
        <w:footnoteRef/>
      </w:r>
      <w:r w:rsidR="00903C22" w:rsidRPr="00374C53">
        <w:rPr>
          <w:sz w:val="13"/>
          <w:szCs w:val="13"/>
          <w:lang w:val="en-US"/>
        </w:rPr>
        <w:t xml:space="preserve"> </w:t>
      </w:r>
      <w:r w:rsidRPr="00374C53">
        <w:rPr>
          <w:rStyle w:val="PageNumber"/>
          <w:rFonts w:eastAsia="Calibri"/>
          <w:sz w:val="13"/>
          <w:szCs w:val="13"/>
          <w:lang w:val="x-none" w:eastAsia="en-US"/>
        </w:rPr>
        <w:t>P</w:t>
      </w:r>
      <w:r w:rsidRPr="00374C53">
        <w:rPr>
          <w:rStyle w:val="PageNumber"/>
          <w:sz w:val="13"/>
          <w:szCs w:val="13"/>
          <w:lang w:val="en-US"/>
        </w:rPr>
        <w:t xml:space="preserve">arlamento Europeo, 2016. “Anex 6. Implementation of Directive 2011/36/EU from a gender perspective in Spain” en </w:t>
      </w:r>
      <w:r w:rsidRPr="00374C53">
        <w:rPr>
          <w:rStyle w:val="PageNumber"/>
          <w:rFonts w:eastAsia="Calibri"/>
          <w:i/>
          <w:iCs/>
          <w:sz w:val="13"/>
          <w:szCs w:val="13"/>
          <w:lang w:val="x-none" w:eastAsia="en-US"/>
        </w:rPr>
        <w:t>Trafficking in Human Beings from a Gender Perspective Directive 2011/36/EU</w:t>
      </w:r>
      <w:r w:rsidRPr="00374C53">
        <w:rPr>
          <w:rStyle w:val="PageNumber"/>
          <w:rFonts w:eastAsia="Calibri"/>
          <w:i/>
          <w:iCs/>
          <w:sz w:val="13"/>
          <w:szCs w:val="13"/>
          <w:lang w:val="en-US" w:eastAsia="en-US"/>
        </w:rPr>
        <w:t xml:space="preserve">. </w:t>
      </w:r>
      <w:r w:rsidRPr="00374C53">
        <w:rPr>
          <w:rStyle w:val="PageNumber"/>
          <w:rFonts w:eastAsia="Calibri"/>
          <w:i/>
          <w:iCs/>
          <w:sz w:val="13"/>
          <w:szCs w:val="13"/>
          <w:lang w:eastAsia="en-US"/>
        </w:rPr>
        <w:t xml:space="preserve">European Implementation Assesment, </w:t>
      </w:r>
      <w:r w:rsidRPr="00374C53">
        <w:rPr>
          <w:rStyle w:val="PageNumber"/>
          <w:rFonts w:eastAsia="Calibri"/>
          <w:iCs/>
          <w:sz w:val="13"/>
          <w:szCs w:val="13"/>
          <w:lang w:eastAsia="en-US"/>
        </w:rPr>
        <w:t xml:space="preserve">p. 227. </w:t>
      </w:r>
      <w:r w:rsidRPr="00374C53">
        <w:rPr>
          <w:color w:val="000000" w:themeColor="text1"/>
          <w:sz w:val="13"/>
          <w:szCs w:val="13"/>
        </w:rPr>
        <w:t xml:space="preserve">[En línea] Disponible en: </w:t>
      </w:r>
      <w:hyperlink r:id="rId6" w:history="1">
        <w:r w:rsidRPr="00374C53">
          <w:rPr>
            <w:rStyle w:val="Hyperlink"/>
            <w:rFonts w:eastAsia="Calibri"/>
            <w:iCs/>
            <w:sz w:val="13"/>
            <w:szCs w:val="13"/>
            <w:lang w:eastAsia="en-US"/>
          </w:rPr>
          <w:t>www.europarl.europa.eu/RegData/etudes/STUD/2016/581412/EPRS_STU(2016)581412_EN.pdf</w:t>
        </w:r>
      </w:hyperlink>
    </w:p>
  </w:footnote>
  <w:footnote w:id="19">
    <w:p w14:paraId="43689059" w14:textId="3FB8BC84" w:rsidR="0006449E" w:rsidRPr="00374C53" w:rsidRDefault="0006449E" w:rsidP="00374C53">
      <w:pPr>
        <w:jc w:val="both"/>
        <w:rPr>
          <w:sz w:val="13"/>
          <w:szCs w:val="13"/>
        </w:rPr>
      </w:pPr>
      <w:r w:rsidRPr="00374C53">
        <w:rPr>
          <w:rStyle w:val="FootnoteReference"/>
          <w:sz w:val="13"/>
          <w:szCs w:val="13"/>
        </w:rPr>
        <w:footnoteRef/>
      </w:r>
      <w:r w:rsidRPr="00374C53">
        <w:rPr>
          <w:sz w:val="13"/>
          <w:szCs w:val="13"/>
          <w:lang w:val="en-US"/>
        </w:rPr>
        <w:t xml:space="preserve"> </w:t>
      </w:r>
      <w:r w:rsidRPr="00374C53">
        <w:rPr>
          <w:rStyle w:val="PageNumber"/>
          <w:sz w:val="13"/>
          <w:szCs w:val="13"/>
          <w:lang w:val="en-US"/>
        </w:rPr>
        <w:t xml:space="preserve">Parlamento Europeo, 2016. “Anex 6. Implementation of Directive 2011/36/EU from a gender perspective in Spain” en </w:t>
      </w:r>
      <w:r w:rsidRPr="00374C53">
        <w:rPr>
          <w:rStyle w:val="PageNumber"/>
          <w:rFonts w:eastAsia="Calibri"/>
          <w:i/>
          <w:iCs/>
          <w:sz w:val="13"/>
          <w:szCs w:val="13"/>
          <w:lang w:val="x-none" w:eastAsia="en-US"/>
        </w:rPr>
        <w:t>Trafficking in Human Beings from a Gender Perspective Directive 2011/36/EU</w:t>
      </w:r>
      <w:r w:rsidRPr="00374C53">
        <w:rPr>
          <w:rStyle w:val="PageNumber"/>
          <w:rFonts w:eastAsia="Calibri"/>
          <w:i/>
          <w:iCs/>
          <w:sz w:val="13"/>
          <w:szCs w:val="13"/>
          <w:lang w:val="en-US" w:eastAsia="en-US"/>
        </w:rPr>
        <w:t xml:space="preserve">. </w:t>
      </w:r>
      <w:r w:rsidRPr="00374C53">
        <w:rPr>
          <w:rStyle w:val="PageNumber"/>
          <w:rFonts w:eastAsia="Calibri"/>
          <w:i/>
          <w:iCs/>
          <w:sz w:val="13"/>
          <w:szCs w:val="13"/>
          <w:lang w:eastAsia="en-US"/>
        </w:rPr>
        <w:t xml:space="preserve">European Implementation Assesment, </w:t>
      </w:r>
      <w:r w:rsidRPr="00374C53">
        <w:rPr>
          <w:rStyle w:val="PageNumber"/>
          <w:rFonts w:eastAsia="Calibri"/>
          <w:iCs/>
          <w:sz w:val="13"/>
          <w:szCs w:val="13"/>
          <w:lang w:eastAsia="en-US"/>
        </w:rPr>
        <w:t>p. 227. [En línea] Disponible en:</w:t>
      </w:r>
      <w:r w:rsidR="00215892" w:rsidRPr="00374C53">
        <w:rPr>
          <w:rStyle w:val="PageNumber"/>
          <w:rFonts w:eastAsia="Calibri"/>
          <w:iCs/>
          <w:sz w:val="13"/>
          <w:szCs w:val="13"/>
          <w:lang w:eastAsia="en-US"/>
        </w:rPr>
        <w:t xml:space="preserve"> </w:t>
      </w:r>
      <w:hyperlink r:id="rId7" w:history="1">
        <w:r w:rsidR="00D66169" w:rsidRPr="00374C53">
          <w:rPr>
            <w:rStyle w:val="Hyperlink"/>
            <w:rFonts w:eastAsia="Calibri"/>
            <w:iCs/>
            <w:sz w:val="13"/>
            <w:szCs w:val="13"/>
            <w:lang w:eastAsia="en-US"/>
          </w:rPr>
          <w:t>www.europarl.europa.eu/RegData/etudes/STUD/2016/581412/EPRS_STU(2016)581412_EN.pdf</w:t>
        </w:r>
      </w:hyperlink>
      <w:r w:rsidRPr="00374C53">
        <w:rPr>
          <w:rStyle w:val="PageNumber"/>
          <w:rFonts w:eastAsia="Calibri"/>
          <w:iCs/>
          <w:sz w:val="13"/>
          <w:szCs w:val="13"/>
          <w:lang w:eastAsia="en-US"/>
        </w:rPr>
        <w:t xml:space="preserve"> </w:t>
      </w:r>
    </w:p>
  </w:footnote>
  <w:footnote w:id="20">
    <w:p w14:paraId="1D767E4D" w14:textId="3564C05F" w:rsidR="0006449E" w:rsidRPr="00374C53" w:rsidRDefault="0006449E" w:rsidP="00374C53">
      <w:pPr>
        <w:jc w:val="both"/>
        <w:rPr>
          <w:sz w:val="13"/>
          <w:szCs w:val="13"/>
        </w:rPr>
      </w:pPr>
      <w:r w:rsidRPr="00374C53">
        <w:rPr>
          <w:rStyle w:val="FootnoteReference"/>
          <w:sz w:val="13"/>
          <w:szCs w:val="13"/>
        </w:rPr>
        <w:footnoteRef/>
      </w:r>
      <w:r w:rsidRPr="00374C53">
        <w:rPr>
          <w:sz w:val="13"/>
          <w:szCs w:val="13"/>
        </w:rPr>
        <w:t xml:space="preserve"> Véase al respecto: </w:t>
      </w:r>
      <w:r w:rsidRPr="00374C53">
        <w:rPr>
          <w:rStyle w:val="PageNumber"/>
          <w:sz w:val="13"/>
          <w:szCs w:val="13"/>
        </w:rPr>
        <w:t>Protocolo para prevenir, reprimir y sancionar la trata de personas, especialmente mujeres y niños, que complementa la Convención de las Naciones Unidas contra la Delincuencia Organizada Transnacional (artículo 3); Convenio del Consejo de Europa sobre la Lucha contra la Trata de Seres Humanos, Convenio núm. 197 del Consejo de Europa (artículo 4); y, Directiva 2011/36/UE del Parlamento Europeo y del Consejo relativa la prevención y lucha contra la trata de seres humanos y a la protección de las víctimas y por la que se sustituye la Decisión marco 2002/629/JAI del Consejo (artículo 2).</w:t>
      </w:r>
    </w:p>
  </w:footnote>
  <w:footnote w:id="21">
    <w:p w14:paraId="0C9DF299" w14:textId="18F066EA" w:rsidR="009D1A04" w:rsidRPr="00425C1B" w:rsidRDefault="009D1A04" w:rsidP="00425C1B">
      <w:pPr>
        <w:jc w:val="both"/>
        <w:rPr>
          <w:sz w:val="13"/>
          <w:szCs w:val="13"/>
        </w:rPr>
      </w:pPr>
      <w:r w:rsidRPr="00425C1B">
        <w:rPr>
          <w:rStyle w:val="FootnoteReference"/>
          <w:sz w:val="13"/>
          <w:szCs w:val="13"/>
        </w:rPr>
        <w:footnoteRef/>
      </w:r>
      <w:r w:rsidRPr="00425C1B">
        <w:rPr>
          <w:sz w:val="13"/>
          <w:szCs w:val="13"/>
        </w:rPr>
        <w:t xml:space="preserve"> </w:t>
      </w:r>
      <w:r w:rsidR="00C97837" w:rsidRPr="00425C1B">
        <w:rPr>
          <w:sz w:val="13"/>
          <w:szCs w:val="13"/>
        </w:rPr>
        <w:t xml:space="preserve">“En caso de que la edad de la víctima sea incierta y haya razones para creer que tiene menos de dieciocho años, debe presumirse que se trata de un </w:t>
      </w:r>
      <w:r w:rsidR="00C97837" w:rsidRPr="00425C1B">
        <w:rPr>
          <w:rStyle w:val="highlight"/>
          <w:sz w:val="13"/>
          <w:szCs w:val="13"/>
        </w:rPr>
        <w:t>menor</w:t>
      </w:r>
      <w:r w:rsidR="00C97837" w:rsidRPr="00425C1B">
        <w:rPr>
          <w:sz w:val="13"/>
          <w:szCs w:val="13"/>
        </w:rPr>
        <w:t xml:space="preserve"> y debe prestársele inmediatamente asistencia, apoyo y protección.”</w:t>
      </w:r>
      <w:r w:rsidR="00C97837" w:rsidRPr="00374C53">
        <w:rPr>
          <w:sz w:val="13"/>
          <w:szCs w:val="13"/>
        </w:rPr>
        <w:t xml:space="preserve"> </w:t>
      </w:r>
      <w:r w:rsidR="00383A1A" w:rsidRPr="00374C53">
        <w:rPr>
          <w:rStyle w:val="PageNumber"/>
          <w:sz w:val="13"/>
          <w:szCs w:val="13"/>
        </w:rPr>
        <w:t>Directiva 2011/36/UE del Parlamento Europeo y del Consejo</w:t>
      </w:r>
      <w:r w:rsidR="00C97837" w:rsidRPr="00374C53">
        <w:rPr>
          <w:rStyle w:val="PageNumber"/>
          <w:sz w:val="13"/>
          <w:szCs w:val="13"/>
        </w:rPr>
        <w:t>, Considerando 22</w:t>
      </w:r>
      <w:r w:rsidRPr="00425C1B">
        <w:rPr>
          <w:sz w:val="13"/>
          <w:szCs w:val="13"/>
        </w:rPr>
        <w:t xml:space="preserve">. </w:t>
      </w:r>
    </w:p>
  </w:footnote>
  <w:footnote w:id="22">
    <w:p w14:paraId="2C735428" w14:textId="7EC5870C" w:rsidR="0006449E" w:rsidRPr="00374C53" w:rsidRDefault="0006449E" w:rsidP="00374C53">
      <w:pPr>
        <w:pStyle w:val="FootnoteText"/>
        <w:spacing w:after="0" w:line="240" w:lineRule="auto"/>
        <w:jc w:val="both"/>
        <w:rPr>
          <w:sz w:val="13"/>
          <w:szCs w:val="13"/>
          <w:lang w:val="es-ES"/>
        </w:rPr>
      </w:pPr>
      <w:r w:rsidRPr="00374C53">
        <w:rPr>
          <w:rStyle w:val="PageNumber"/>
          <w:sz w:val="13"/>
          <w:szCs w:val="13"/>
          <w:vertAlign w:val="superscript"/>
        </w:rPr>
        <w:footnoteRef/>
      </w:r>
      <w:r w:rsidRPr="00374C53">
        <w:rPr>
          <w:rStyle w:val="PageNumber"/>
          <w:sz w:val="13"/>
          <w:szCs w:val="13"/>
          <w:vertAlign w:val="superscript"/>
        </w:rPr>
        <w:t xml:space="preserve"> </w:t>
      </w:r>
      <w:bookmarkStart w:id="1" w:name="_Toc534386732"/>
      <w:r w:rsidRPr="00374C53">
        <w:rPr>
          <w:rStyle w:val="PageNumber"/>
          <w:sz w:val="13"/>
          <w:szCs w:val="13"/>
          <w:lang w:val="es-ES"/>
        </w:rPr>
        <w:t xml:space="preserve">ONU. Asamblea General, 2012. </w:t>
      </w:r>
      <w:r w:rsidRPr="00374C53">
        <w:rPr>
          <w:rStyle w:val="PageNumber"/>
          <w:i/>
          <w:iCs/>
          <w:sz w:val="13"/>
          <w:szCs w:val="13"/>
        </w:rPr>
        <w:t>Informe</w:t>
      </w:r>
      <w:r w:rsidRPr="00374C53">
        <w:rPr>
          <w:rStyle w:val="PageNumber"/>
          <w:i/>
          <w:sz w:val="13"/>
          <w:szCs w:val="13"/>
        </w:rPr>
        <w:t xml:space="preserve"> anual</w:t>
      </w:r>
      <w:r w:rsidRPr="00374C53">
        <w:rPr>
          <w:rStyle w:val="PageNumber"/>
          <w:i/>
          <w:sz w:val="13"/>
          <w:szCs w:val="13"/>
          <w:lang w:val="es-ES"/>
        </w:rPr>
        <w:t xml:space="preserve"> de la Relatora Especial sobre la trata de personas, especialmente mujeres y niños</w:t>
      </w:r>
      <w:r w:rsidRPr="00374C53">
        <w:rPr>
          <w:rStyle w:val="PageNumber"/>
          <w:i/>
          <w:sz w:val="13"/>
          <w:szCs w:val="13"/>
        </w:rPr>
        <w:t xml:space="preserve"> al Consejo de Derechos Humanos sobre la aplicación de un enfoque de derechos humanos en la administración de justicia en casos de trata de personas</w:t>
      </w:r>
      <w:r w:rsidRPr="00374C53">
        <w:rPr>
          <w:rStyle w:val="PageNumber"/>
          <w:sz w:val="13"/>
          <w:szCs w:val="13"/>
        </w:rPr>
        <w:t>, A/HRC/20/18 (2012)</w:t>
      </w:r>
      <w:bookmarkEnd w:id="1"/>
      <w:r w:rsidRPr="00374C53">
        <w:rPr>
          <w:rStyle w:val="PageNumber"/>
          <w:sz w:val="13"/>
          <w:szCs w:val="13"/>
          <w:lang w:val="es-ES"/>
        </w:rPr>
        <w:t>, párr. 12.</w:t>
      </w:r>
    </w:p>
  </w:footnote>
  <w:footnote w:id="23">
    <w:p w14:paraId="716F9E64" w14:textId="7AB9823A" w:rsidR="0006449E" w:rsidRPr="00BC1694" w:rsidRDefault="0006449E" w:rsidP="00374C53">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Pr="00374C53">
        <w:rPr>
          <w:rStyle w:val="PageNumber"/>
          <w:sz w:val="13"/>
          <w:szCs w:val="13"/>
        </w:rPr>
        <w:t xml:space="preserve">ONU. Asamblea General, 2015. </w:t>
      </w:r>
      <w:r w:rsidRPr="00374C53">
        <w:rPr>
          <w:rStyle w:val="PageNumber"/>
          <w:i/>
          <w:iCs/>
          <w:sz w:val="13"/>
          <w:szCs w:val="13"/>
        </w:rPr>
        <w:t>Informe de la Relatora Especial sobre la trata de personas, especialmente mujeres y niños</w:t>
      </w:r>
      <w:r w:rsidRPr="00374C53">
        <w:rPr>
          <w:rStyle w:val="PageNumber"/>
          <w:sz w:val="13"/>
          <w:szCs w:val="13"/>
        </w:rPr>
        <w:t xml:space="preserve">, A/70/260, </w:t>
      </w:r>
      <w:r w:rsidRPr="00374C53">
        <w:rPr>
          <w:color w:val="000000" w:themeColor="text1"/>
          <w:sz w:val="13"/>
          <w:szCs w:val="13"/>
          <w:lang w:val="es-ES"/>
        </w:rPr>
        <w:t xml:space="preserve">de </w:t>
      </w:r>
      <w:r w:rsidRPr="00374C53">
        <w:rPr>
          <w:color w:val="000000" w:themeColor="text1"/>
          <w:sz w:val="13"/>
          <w:szCs w:val="13"/>
        </w:rPr>
        <w:t>03 de agosto</w:t>
      </w:r>
      <w:r w:rsidRPr="00374C53">
        <w:rPr>
          <w:color w:val="000000" w:themeColor="text1"/>
          <w:sz w:val="13"/>
          <w:szCs w:val="13"/>
          <w:lang w:val="es-ES"/>
        </w:rPr>
        <w:t xml:space="preserve">, </w:t>
      </w:r>
      <w:r w:rsidRPr="00374C53">
        <w:rPr>
          <w:rStyle w:val="PageNumber"/>
          <w:sz w:val="13"/>
          <w:szCs w:val="13"/>
        </w:rPr>
        <w:t>párr</w:t>
      </w:r>
      <w:r w:rsidRPr="00374C53">
        <w:rPr>
          <w:rStyle w:val="PageNumber"/>
          <w:sz w:val="13"/>
          <w:szCs w:val="13"/>
          <w:lang w:val="es-ES"/>
        </w:rPr>
        <w:t>.</w:t>
      </w:r>
      <w:r w:rsidRPr="00374C53">
        <w:rPr>
          <w:rStyle w:val="PageNumber"/>
          <w:sz w:val="13"/>
          <w:szCs w:val="13"/>
        </w:rPr>
        <w:t xml:space="preserve"> </w:t>
      </w:r>
      <w:r w:rsidRPr="00BC1694">
        <w:rPr>
          <w:rStyle w:val="PageNumber"/>
          <w:sz w:val="13"/>
          <w:szCs w:val="13"/>
          <w:lang w:val="es-ES"/>
        </w:rPr>
        <w:t>29.</w:t>
      </w:r>
    </w:p>
  </w:footnote>
  <w:footnote w:id="24">
    <w:p w14:paraId="00184F0F" w14:textId="31A45E2C" w:rsidR="00126650" w:rsidRPr="00BC1694" w:rsidRDefault="00126650" w:rsidP="00425C1B">
      <w:pPr>
        <w:pStyle w:val="FootnoteText"/>
        <w:spacing w:after="0" w:line="240" w:lineRule="auto"/>
        <w:jc w:val="both"/>
        <w:rPr>
          <w:sz w:val="13"/>
          <w:szCs w:val="13"/>
          <w:lang w:val="en-US"/>
        </w:rPr>
      </w:pPr>
      <w:r w:rsidRPr="00425C1B">
        <w:rPr>
          <w:rStyle w:val="FootnoteReference"/>
          <w:sz w:val="13"/>
          <w:szCs w:val="13"/>
        </w:rPr>
        <w:footnoteRef/>
      </w:r>
      <w:r w:rsidRPr="00425C1B">
        <w:rPr>
          <w:sz w:val="13"/>
          <w:szCs w:val="13"/>
        </w:rPr>
        <w:t xml:space="preserve"> </w:t>
      </w:r>
      <w:r w:rsidR="00EF6C03" w:rsidRPr="00374C53">
        <w:rPr>
          <w:sz w:val="13"/>
          <w:szCs w:val="13"/>
          <w:lang w:val="es-ES"/>
        </w:rPr>
        <w:t xml:space="preserve">ONU. </w:t>
      </w:r>
      <w:r w:rsidR="00005D18" w:rsidRPr="00425C1B">
        <w:rPr>
          <w:sz w:val="13"/>
          <w:szCs w:val="13"/>
          <w:lang w:val="es-ES"/>
        </w:rPr>
        <w:t xml:space="preserve">Comité CEDAW. </w:t>
      </w:r>
      <w:r w:rsidR="00005D18" w:rsidRPr="00425C1B">
        <w:rPr>
          <w:i/>
          <w:sz w:val="13"/>
          <w:szCs w:val="13"/>
          <w:lang w:val="es-ES"/>
        </w:rPr>
        <w:t>Recomendación general núm. 33 sobre el acceso de las mujeres a la justicia</w:t>
      </w:r>
      <w:r w:rsidR="00005D18" w:rsidRPr="00425C1B">
        <w:rPr>
          <w:sz w:val="13"/>
          <w:szCs w:val="13"/>
          <w:lang w:val="es-ES"/>
        </w:rPr>
        <w:t xml:space="preserve">, 2015. </w:t>
      </w:r>
      <w:r w:rsidR="00005D18" w:rsidRPr="00BC1694">
        <w:rPr>
          <w:sz w:val="13"/>
          <w:szCs w:val="13"/>
          <w:lang w:val="en-US"/>
        </w:rPr>
        <w:t>CEDAW/C/GC/33.</w:t>
      </w:r>
    </w:p>
  </w:footnote>
  <w:footnote w:id="25">
    <w:p w14:paraId="621C6514" w14:textId="45E4F9CE" w:rsidR="0006449E" w:rsidRPr="00795F89" w:rsidRDefault="0006449E" w:rsidP="00374C53">
      <w:pPr>
        <w:pStyle w:val="FootnoteText"/>
        <w:spacing w:after="0" w:line="240" w:lineRule="auto"/>
        <w:jc w:val="both"/>
        <w:rPr>
          <w:color w:val="000000" w:themeColor="text1"/>
          <w:sz w:val="13"/>
          <w:szCs w:val="13"/>
          <w:lang w:val="es-ES"/>
        </w:rPr>
      </w:pPr>
      <w:r w:rsidRPr="00374C53">
        <w:rPr>
          <w:rFonts w:eastAsia="Book Antiqua"/>
          <w:color w:val="000000" w:themeColor="text1"/>
          <w:sz w:val="13"/>
          <w:szCs w:val="13"/>
          <w:vertAlign w:val="superscript"/>
        </w:rPr>
        <w:footnoteRef/>
      </w:r>
      <w:r w:rsidRPr="00374C53">
        <w:rPr>
          <w:color w:val="000000" w:themeColor="text1"/>
          <w:sz w:val="13"/>
          <w:szCs w:val="13"/>
          <w:lang w:val="en-US"/>
        </w:rPr>
        <w:t xml:space="preserve"> ONU. Organización Internacional del Trabajo, 2009. </w:t>
      </w:r>
      <w:r w:rsidRPr="00374C53">
        <w:rPr>
          <w:i/>
          <w:iCs/>
          <w:color w:val="000000" w:themeColor="text1"/>
          <w:sz w:val="13"/>
          <w:szCs w:val="13"/>
          <w:lang w:val="en-US"/>
        </w:rPr>
        <w:t>Operational indicators of trafficking in human beings.</w:t>
      </w:r>
      <w:r w:rsidRPr="00374C53">
        <w:rPr>
          <w:color w:val="000000" w:themeColor="text1"/>
          <w:sz w:val="13"/>
          <w:szCs w:val="13"/>
          <w:lang w:val="en-US"/>
        </w:rPr>
        <w:t xml:space="preserve"> </w:t>
      </w:r>
      <w:r w:rsidRPr="00374C53">
        <w:rPr>
          <w:color w:val="000000" w:themeColor="text1"/>
          <w:sz w:val="13"/>
          <w:szCs w:val="13"/>
        </w:rPr>
        <w:t xml:space="preserve">[En línea] Disponible en: </w:t>
      </w:r>
      <w:hyperlink r:id="rId8" w:history="1">
        <w:r w:rsidRPr="00374C53">
          <w:rPr>
            <w:rStyle w:val="Hyperlink"/>
            <w:iCs/>
            <w:sz w:val="13"/>
            <w:szCs w:val="13"/>
            <w:lang w:val="es-ES"/>
          </w:rPr>
          <w:t>www.ilo.org/wcmsp5/groups/public/@ed_norm/@declaration/documents/publication/wcms_105023.pdf</w:t>
        </w:r>
      </w:hyperlink>
      <w:r w:rsidRPr="00374C53">
        <w:rPr>
          <w:color w:val="000000" w:themeColor="text1"/>
          <w:sz w:val="13"/>
          <w:szCs w:val="13"/>
          <w:lang w:val="es-ES"/>
        </w:rPr>
        <w:t>. Véase, también: UNODC</w:t>
      </w:r>
      <w:r w:rsidRPr="00374C53">
        <w:rPr>
          <w:color w:val="000000" w:themeColor="text1"/>
          <w:sz w:val="13"/>
          <w:szCs w:val="13"/>
        </w:rPr>
        <w:t xml:space="preserve">. </w:t>
      </w:r>
      <w:r w:rsidRPr="00374C53">
        <w:rPr>
          <w:i/>
          <w:iCs/>
          <w:color w:val="000000" w:themeColor="text1"/>
          <w:sz w:val="13"/>
          <w:szCs w:val="13"/>
        </w:rPr>
        <w:t xml:space="preserve">Indicadores de Trata de Personas. </w:t>
      </w:r>
      <w:r w:rsidRPr="00374C53">
        <w:rPr>
          <w:color w:val="000000" w:themeColor="text1"/>
          <w:sz w:val="13"/>
          <w:szCs w:val="13"/>
        </w:rPr>
        <w:t xml:space="preserve">[En línea] Disponible en: </w:t>
      </w:r>
      <w:hyperlink r:id="rId9" w:history="1">
        <w:r w:rsidRPr="00374C53">
          <w:rPr>
            <w:rStyle w:val="Hyperlink"/>
            <w:rFonts w:eastAsia="Book Antiqua"/>
            <w:color w:val="000000" w:themeColor="text1"/>
            <w:sz w:val="13"/>
            <w:szCs w:val="13"/>
          </w:rPr>
          <w:t>www.unodc.org/documents/human-trafficking/HT_indicators_S_LOWRES.pdf</w:t>
        </w:r>
      </w:hyperlink>
    </w:p>
  </w:footnote>
  <w:footnote w:id="26">
    <w:p w14:paraId="765E88C1" w14:textId="77777777" w:rsidR="0006449E" w:rsidRPr="00374C53" w:rsidRDefault="0006449E" w:rsidP="00374C53">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Pr="00374C53">
        <w:rPr>
          <w:sz w:val="13"/>
          <w:szCs w:val="13"/>
          <w:lang w:val="es-CL"/>
        </w:rPr>
        <w:t>Es por ello por lo que resulta trascendental e imperativo reconocer que la sustitución del testimonio de la víctima por pruebas de otra índole le otorga un valor añadido a la investigación, sobre todo porque la diligencia de pruebas complementarias o corroborantes mitigan la presión desproporcionada a la que están sometidas las víctimas durante el juicio y muchas veces las condenas de tratantes condicionadas únicamente al testimonio de las víctimas.</w:t>
      </w:r>
    </w:p>
  </w:footnote>
  <w:footnote w:id="27">
    <w:p w14:paraId="23B141CF" w14:textId="3E1B405D" w:rsidR="0006449E" w:rsidRPr="00374C53" w:rsidRDefault="0006449E" w:rsidP="00374C53">
      <w:pPr>
        <w:pStyle w:val="FootnoteText"/>
        <w:spacing w:after="0" w:line="240" w:lineRule="auto"/>
        <w:jc w:val="both"/>
        <w:rPr>
          <w:bCs/>
          <w:color w:val="000000" w:themeColor="text1"/>
          <w:sz w:val="13"/>
          <w:szCs w:val="13"/>
        </w:rPr>
      </w:pPr>
      <w:r w:rsidRPr="00374C53">
        <w:rPr>
          <w:rStyle w:val="FootnoteReference"/>
          <w:color w:val="000000" w:themeColor="text1"/>
          <w:sz w:val="13"/>
          <w:szCs w:val="13"/>
        </w:rPr>
        <w:footnoteRef/>
      </w:r>
      <w:r w:rsidRPr="00374C53">
        <w:rPr>
          <w:color w:val="000000" w:themeColor="text1"/>
          <w:sz w:val="13"/>
          <w:szCs w:val="13"/>
        </w:rPr>
        <w:t xml:space="preserve"> </w:t>
      </w:r>
      <w:r w:rsidRPr="00374C53">
        <w:rPr>
          <w:color w:val="000000" w:themeColor="text1"/>
          <w:sz w:val="13"/>
          <w:szCs w:val="13"/>
          <w:lang w:val="es-ES"/>
        </w:rPr>
        <w:t xml:space="preserve">ONU. </w:t>
      </w:r>
      <w:r w:rsidRPr="00374C53">
        <w:rPr>
          <w:color w:val="000000" w:themeColor="text1"/>
          <w:sz w:val="13"/>
          <w:szCs w:val="13"/>
        </w:rPr>
        <w:t xml:space="preserve">Comité CEDAW. </w:t>
      </w:r>
      <w:r w:rsidRPr="00374C53">
        <w:rPr>
          <w:i/>
          <w:color w:val="000000" w:themeColor="text1"/>
          <w:sz w:val="13"/>
          <w:szCs w:val="13"/>
        </w:rPr>
        <w:t>Recomendación General núm. 35 sobre la violencia de género contra la mujer, por la que se actualiza la recomendación general Nº 19</w:t>
      </w:r>
      <w:r w:rsidRPr="00374C53">
        <w:rPr>
          <w:color w:val="000000" w:themeColor="text1"/>
          <w:sz w:val="13"/>
          <w:szCs w:val="13"/>
        </w:rPr>
        <w:t xml:space="preserve">, </w:t>
      </w:r>
      <w:r w:rsidRPr="00374C53">
        <w:rPr>
          <w:rFonts w:eastAsia="Times New Roman"/>
          <w:color w:val="000000" w:themeColor="text1"/>
          <w:sz w:val="13"/>
          <w:szCs w:val="13"/>
          <w:lang w:eastAsia="es-ES_tradnl"/>
        </w:rPr>
        <w:t xml:space="preserve">CEDAW/C/GC/35, </w:t>
      </w:r>
      <w:r w:rsidRPr="00374C53">
        <w:rPr>
          <w:rFonts w:eastAsia="Times New Roman"/>
          <w:color w:val="000000" w:themeColor="text1"/>
          <w:sz w:val="13"/>
          <w:szCs w:val="13"/>
          <w:lang w:val="es-ES" w:eastAsia="es-ES_tradnl"/>
        </w:rPr>
        <w:t xml:space="preserve">de </w:t>
      </w:r>
      <w:r w:rsidRPr="00374C53">
        <w:rPr>
          <w:rFonts w:eastAsia="Times New Roman"/>
          <w:color w:val="000000" w:themeColor="text1"/>
          <w:sz w:val="13"/>
          <w:szCs w:val="13"/>
          <w:lang w:eastAsia="es-ES_tradnl"/>
        </w:rPr>
        <w:t>26 de julio</w:t>
      </w:r>
      <w:r w:rsidRPr="00374C53">
        <w:rPr>
          <w:color w:val="000000" w:themeColor="text1"/>
          <w:sz w:val="13"/>
          <w:szCs w:val="13"/>
        </w:rPr>
        <w:t xml:space="preserve">, párrs. 23 y 24. </w:t>
      </w:r>
      <w:r w:rsidRPr="00374C53">
        <w:rPr>
          <w:i/>
          <w:color w:val="000000" w:themeColor="text1"/>
          <w:sz w:val="13"/>
          <w:szCs w:val="13"/>
        </w:rPr>
        <w:t>Recomendación General núm. 33 sobre el acceso de las mujeres a la justicia</w:t>
      </w:r>
      <w:r w:rsidRPr="00374C53">
        <w:rPr>
          <w:color w:val="000000" w:themeColor="text1"/>
          <w:sz w:val="13"/>
          <w:szCs w:val="13"/>
        </w:rPr>
        <w:t>, CEDAW/C/GC/33, 03 de agosto, párrs. 18 e), 23,</w:t>
      </w:r>
      <w:r w:rsidRPr="00374C53">
        <w:rPr>
          <w:color w:val="000000" w:themeColor="text1"/>
          <w:sz w:val="13"/>
          <w:szCs w:val="13"/>
          <w:lang w:val="es-ES"/>
        </w:rPr>
        <w:t xml:space="preserve"> 26,</w:t>
      </w:r>
      <w:r w:rsidRPr="00374C53">
        <w:rPr>
          <w:color w:val="000000" w:themeColor="text1"/>
          <w:sz w:val="13"/>
          <w:szCs w:val="13"/>
        </w:rPr>
        <w:t xml:space="preserve"> 27, 51 a); </w:t>
      </w:r>
      <w:r w:rsidRPr="00374C53">
        <w:rPr>
          <w:bCs/>
          <w:i/>
          <w:color w:val="000000" w:themeColor="text1"/>
          <w:sz w:val="13"/>
          <w:szCs w:val="13"/>
        </w:rPr>
        <w:t>Recomendación General núm. 32 sobre las dimensiones de género del estatuto de refugiada, el asilo, la nacionalidad y la apatridia de las mujeres</w:t>
      </w:r>
      <w:r w:rsidRPr="00374C53">
        <w:rPr>
          <w:bCs/>
          <w:color w:val="000000" w:themeColor="text1"/>
          <w:sz w:val="13"/>
          <w:szCs w:val="13"/>
        </w:rPr>
        <w:t xml:space="preserve">, CEDAW/C/GC/32, </w:t>
      </w:r>
      <w:r w:rsidRPr="00374C53">
        <w:rPr>
          <w:bCs/>
          <w:color w:val="000000" w:themeColor="text1"/>
          <w:sz w:val="13"/>
          <w:szCs w:val="13"/>
          <w:lang w:val="es-ES"/>
        </w:rPr>
        <w:t xml:space="preserve">de </w:t>
      </w:r>
      <w:r w:rsidRPr="00374C53">
        <w:rPr>
          <w:bCs/>
          <w:color w:val="000000" w:themeColor="text1"/>
          <w:sz w:val="13"/>
          <w:szCs w:val="13"/>
        </w:rPr>
        <w:t>14 de noviembre, párr. 44.</w:t>
      </w:r>
    </w:p>
  </w:footnote>
  <w:footnote w:id="28">
    <w:p w14:paraId="6236790A" w14:textId="7C50347D" w:rsidR="0006449E" w:rsidRPr="00374C53" w:rsidRDefault="0006449E" w:rsidP="00374C53">
      <w:pPr>
        <w:jc w:val="both"/>
        <w:rPr>
          <w:sz w:val="13"/>
          <w:szCs w:val="13"/>
        </w:rPr>
      </w:pPr>
      <w:r w:rsidRPr="00374C53">
        <w:rPr>
          <w:rStyle w:val="FootnoteReference"/>
          <w:sz w:val="13"/>
          <w:szCs w:val="13"/>
        </w:rPr>
        <w:footnoteRef/>
      </w:r>
      <w:r w:rsidRPr="00374C53">
        <w:rPr>
          <w:sz w:val="13"/>
          <w:szCs w:val="13"/>
        </w:rPr>
        <w:t xml:space="preserve"> </w:t>
      </w:r>
      <w:r w:rsidRPr="00374C53">
        <w:rPr>
          <w:rStyle w:val="PageNumber"/>
          <w:sz w:val="13"/>
          <w:szCs w:val="13"/>
        </w:rPr>
        <w:t xml:space="preserve">ONU. Asamblea General. </w:t>
      </w:r>
      <w:r w:rsidRPr="00374C53">
        <w:rPr>
          <w:rStyle w:val="PageNumber"/>
          <w:i/>
          <w:sz w:val="13"/>
          <w:szCs w:val="13"/>
        </w:rPr>
        <w:t>Informe anual de la Relatora Especial sobre la trata de personas, especialmente mujeres y niños al Consejo de Derechos Humanos sobre la aplicación de un enfoque de derechos humanos en la administración de justicia en casos de trata de personas</w:t>
      </w:r>
      <w:r w:rsidRPr="00374C53">
        <w:rPr>
          <w:rStyle w:val="PageNumber"/>
          <w:sz w:val="13"/>
          <w:szCs w:val="13"/>
        </w:rPr>
        <w:t xml:space="preserve">, A/HRC/20/18 (2012), párr. 57. </w:t>
      </w:r>
    </w:p>
  </w:footnote>
  <w:footnote w:id="29">
    <w:p w14:paraId="5ECE627A" w14:textId="58F258B4" w:rsidR="0006449E" w:rsidRPr="00374C53" w:rsidRDefault="0006449E" w:rsidP="00374C53">
      <w:pPr>
        <w:pStyle w:val="FootnoteText"/>
        <w:spacing w:after="0" w:line="240" w:lineRule="auto"/>
        <w:jc w:val="both"/>
        <w:rPr>
          <w:sz w:val="13"/>
          <w:szCs w:val="13"/>
        </w:rPr>
      </w:pPr>
      <w:r w:rsidRPr="00374C53">
        <w:rPr>
          <w:rStyle w:val="FootnoteReference"/>
          <w:sz w:val="13"/>
          <w:szCs w:val="13"/>
        </w:rPr>
        <w:footnoteRef/>
      </w:r>
      <w:r w:rsidRPr="00374C53">
        <w:rPr>
          <w:sz w:val="13"/>
          <w:szCs w:val="13"/>
        </w:rPr>
        <w:t xml:space="preserve"> </w:t>
      </w:r>
      <w:r w:rsidRPr="00374C53">
        <w:rPr>
          <w:color w:val="000000" w:themeColor="text1"/>
          <w:sz w:val="13"/>
          <w:szCs w:val="13"/>
          <w:lang w:val="es-ES"/>
        </w:rPr>
        <w:t xml:space="preserve">ONU. </w:t>
      </w:r>
      <w:r w:rsidRPr="00374C53">
        <w:rPr>
          <w:color w:val="000000" w:themeColor="text1"/>
          <w:sz w:val="13"/>
          <w:szCs w:val="13"/>
        </w:rPr>
        <w:t>Comité CEDAW</w:t>
      </w:r>
      <w:r w:rsidRPr="00374C53">
        <w:rPr>
          <w:color w:val="000000" w:themeColor="text1"/>
          <w:sz w:val="13"/>
          <w:szCs w:val="13"/>
          <w:lang w:val="es-ES"/>
        </w:rPr>
        <w:t>, 2015</w:t>
      </w:r>
      <w:r w:rsidRPr="00374C53">
        <w:rPr>
          <w:color w:val="000000" w:themeColor="text1"/>
          <w:sz w:val="13"/>
          <w:szCs w:val="13"/>
        </w:rPr>
        <w:t>.</w:t>
      </w:r>
      <w:r w:rsidRPr="00374C53">
        <w:rPr>
          <w:color w:val="000000" w:themeColor="text1"/>
          <w:sz w:val="13"/>
          <w:szCs w:val="13"/>
          <w:lang w:val="es-ES"/>
        </w:rPr>
        <w:t xml:space="preserve"> </w:t>
      </w:r>
      <w:r w:rsidRPr="00374C53">
        <w:rPr>
          <w:i/>
          <w:color w:val="000000" w:themeColor="text1"/>
          <w:sz w:val="13"/>
          <w:szCs w:val="13"/>
        </w:rPr>
        <w:t>Recomendación General núm. 33 sobre el acceso de las mujeres a la justicia</w:t>
      </w:r>
      <w:r w:rsidRPr="00374C53">
        <w:rPr>
          <w:color w:val="000000" w:themeColor="text1"/>
          <w:sz w:val="13"/>
          <w:szCs w:val="13"/>
        </w:rPr>
        <w:t xml:space="preserve">, CEDAW/C/GC/33, </w:t>
      </w:r>
      <w:r w:rsidRPr="00374C53">
        <w:rPr>
          <w:color w:val="000000" w:themeColor="text1"/>
          <w:sz w:val="13"/>
          <w:szCs w:val="13"/>
          <w:lang w:val="es-ES"/>
        </w:rPr>
        <w:t xml:space="preserve">de </w:t>
      </w:r>
      <w:r w:rsidRPr="00374C53">
        <w:rPr>
          <w:color w:val="000000" w:themeColor="text1"/>
          <w:sz w:val="13"/>
          <w:szCs w:val="13"/>
        </w:rPr>
        <w:t>03 de agosto, párr</w:t>
      </w:r>
      <w:r w:rsidRPr="00374C53">
        <w:rPr>
          <w:color w:val="000000" w:themeColor="text1"/>
          <w:sz w:val="13"/>
          <w:szCs w:val="13"/>
          <w:lang w:val="es-ES"/>
        </w:rPr>
        <w:t>. 26.</w:t>
      </w:r>
    </w:p>
  </w:footnote>
  <w:footnote w:id="30">
    <w:p w14:paraId="0276EFB0" w14:textId="7B33C864" w:rsidR="0006449E" w:rsidRPr="00425C1B" w:rsidRDefault="0006449E" w:rsidP="00425C1B">
      <w:pPr>
        <w:pStyle w:val="Cuerpo"/>
        <w:jc w:val="both"/>
        <w:rPr>
          <w:rFonts w:cs="Times New Roman"/>
          <w:sz w:val="13"/>
          <w:szCs w:val="13"/>
        </w:rPr>
      </w:pPr>
      <w:r w:rsidRPr="00374C53">
        <w:rPr>
          <w:rStyle w:val="FootnoteReference"/>
          <w:rFonts w:cs="Times New Roman"/>
          <w:sz w:val="13"/>
          <w:szCs w:val="13"/>
        </w:rPr>
        <w:footnoteRef/>
      </w:r>
      <w:r w:rsidRPr="00374C53">
        <w:rPr>
          <w:rStyle w:val="PageNumber"/>
          <w:rFonts w:cs="Times New Roman"/>
          <w:sz w:val="13"/>
          <w:szCs w:val="13"/>
        </w:rPr>
        <w:t xml:space="preserve"> ONU. Comité contra la Tortura, 2015. </w:t>
      </w:r>
      <w:r w:rsidRPr="00425C1B">
        <w:rPr>
          <w:rFonts w:eastAsia="Calibri" w:cs="Times New Roman"/>
          <w:i/>
          <w:color w:val="000000" w:themeColor="text1"/>
          <w:sz w:val="13"/>
          <w:szCs w:val="13"/>
          <w:lang w:eastAsia="en-US"/>
        </w:rPr>
        <w:t>Observaciones finales sobre el sexto informe periódico de España</w:t>
      </w:r>
      <w:r w:rsidRPr="00374C53">
        <w:rPr>
          <w:rStyle w:val="PageNumber"/>
          <w:rFonts w:cs="Times New Roman"/>
          <w:sz w:val="13"/>
          <w:szCs w:val="13"/>
        </w:rPr>
        <w:t xml:space="preserve">, CAT/C/ESP/CO/6, párrs. </w:t>
      </w:r>
      <w:r w:rsidRPr="00425C1B">
        <w:rPr>
          <w:rStyle w:val="PageNumber"/>
          <w:rFonts w:cs="Times New Roman"/>
          <w:sz w:val="13"/>
          <w:szCs w:val="13"/>
        </w:rPr>
        <w:t>20, 21 y 22</w:t>
      </w:r>
      <w:r w:rsidRPr="00425C1B">
        <w:rPr>
          <w:rStyle w:val="PageNumber"/>
          <w:rFonts w:cs="Times New Roman"/>
          <w:i/>
          <w:iCs/>
          <w:sz w:val="13"/>
          <w:szCs w:val="13"/>
        </w:rPr>
        <w:t xml:space="preserve">. </w:t>
      </w:r>
      <w:r w:rsidRPr="00425C1B">
        <w:rPr>
          <w:rStyle w:val="PageNumber"/>
          <w:rFonts w:cs="Times New Roman"/>
          <w:sz w:val="13"/>
          <w:szCs w:val="13"/>
        </w:rPr>
        <w:t xml:space="preserve">[En línea] Disponible en: </w:t>
      </w:r>
      <w:r w:rsidRPr="00425C1B">
        <w:rPr>
          <w:rStyle w:val="Hyperlink0"/>
          <w:rFonts w:cs="Times New Roman"/>
          <w:sz w:val="13"/>
          <w:szCs w:val="13"/>
        </w:rPr>
        <w:t>tbinternet.ohchr.org/_layouts/treatybodyexternal/Download.aspx?symbolno=CAT/C/ESP/CO/6&amp;Lang=En</w:t>
      </w:r>
      <w:r w:rsidR="000B42F8" w:rsidRPr="00425C1B">
        <w:rPr>
          <w:rStyle w:val="Hyperlink0"/>
          <w:rFonts w:cs="Times New Roman"/>
          <w:sz w:val="13"/>
          <w:szCs w:val="13"/>
        </w:rPr>
        <w:t xml:space="preserve">. </w:t>
      </w:r>
      <w:r w:rsidR="0016611E" w:rsidRPr="00374C53">
        <w:rPr>
          <w:rStyle w:val="Hyperlink0"/>
          <w:rFonts w:cs="Times New Roman"/>
          <w:sz w:val="13"/>
          <w:szCs w:val="13"/>
        </w:rPr>
        <w:t>Véase</w:t>
      </w:r>
      <w:r w:rsidR="000B42F8" w:rsidRPr="00425C1B">
        <w:rPr>
          <w:rStyle w:val="Hyperlink0"/>
          <w:rFonts w:cs="Times New Roman"/>
          <w:sz w:val="13"/>
          <w:szCs w:val="13"/>
        </w:rPr>
        <w:t xml:space="preserve"> </w:t>
      </w:r>
      <w:r w:rsidR="00630598" w:rsidRPr="00374C53">
        <w:rPr>
          <w:rStyle w:val="Hyperlink0"/>
          <w:rFonts w:cs="Times New Roman"/>
          <w:sz w:val="13"/>
          <w:szCs w:val="13"/>
        </w:rPr>
        <w:t xml:space="preserve">también </w:t>
      </w:r>
      <w:r w:rsidR="00630598" w:rsidRPr="00374C53">
        <w:rPr>
          <w:rStyle w:val="PageNumber"/>
          <w:rFonts w:cs="Times New Roman"/>
          <w:sz w:val="13"/>
          <w:szCs w:val="13"/>
        </w:rPr>
        <w:t xml:space="preserve">La Vanguardia, 2018. </w:t>
      </w:r>
      <w:r w:rsidR="00630598" w:rsidRPr="00374C53">
        <w:rPr>
          <w:rStyle w:val="PageNumber"/>
          <w:rFonts w:cs="Times New Roman"/>
          <w:i/>
          <w:iCs/>
          <w:sz w:val="13"/>
          <w:szCs w:val="13"/>
        </w:rPr>
        <w:t xml:space="preserve">Pocos casos de trata llegan a los tribunales, pese a su magnitud en España. </w:t>
      </w:r>
      <w:r w:rsidR="00630598" w:rsidRPr="00374C53">
        <w:rPr>
          <w:rStyle w:val="PageNumber"/>
          <w:rFonts w:cs="Times New Roman"/>
          <w:sz w:val="13"/>
          <w:szCs w:val="13"/>
        </w:rPr>
        <w:t xml:space="preserve">[En línea] Disponible en: </w:t>
      </w:r>
      <w:hyperlink r:id="rId10" w:history="1">
        <w:r w:rsidR="0016611E" w:rsidRPr="00374C53">
          <w:rPr>
            <w:rStyle w:val="Hyperlink"/>
            <w:rFonts w:cs="Times New Roman"/>
            <w:sz w:val="13"/>
            <w:szCs w:val="13"/>
            <w:lang w:val="es-ES"/>
          </w:rPr>
          <w:t>www.lavanguardia.com/vida/20181121/453082338721/pocos-casos-de-trata-llegan-a-los-tribunales-pese-a-su-magnitud-en-espana.html</w:t>
        </w:r>
      </w:hyperlink>
    </w:p>
  </w:footnote>
  <w:footnote w:id="31">
    <w:p w14:paraId="20AEE39A" w14:textId="4A9BC6D5" w:rsidR="0006449E" w:rsidRPr="00374C53" w:rsidRDefault="0006449E" w:rsidP="00374C53">
      <w:pPr>
        <w:pStyle w:val="Cuerpo"/>
        <w:jc w:val="both"/>
        <w:rPr>
          <w:rFonts w:cs="Times New Roman"/>
          <w:sz w:val="13"/>
          <w:szCs w:val="13"/>
        </w:rPr>
      </w:pPr>
      <w:r w:rsidRPr="00374C53">
        <w:rPr>
          <w:rStyle w:val="FootnoteReference"/>
          <w:rFonts w:cs="Times New Roman"/>
          <w:sz w:val="13"/>
          <w:szCs w:val="13"/>
        </w:rPr>
        <w:footnoteRef/>
      </w:r>
      <w:r w:rsidRPr="00BC1694">
        <w:rPr>
          <w:rFonts w:cs="Times New Roman"/>
          <w:sz w:val="13"/>
          <w:szCs w:val="13"/>
          <w:lang w:val="es-ES"/>
        </w:rPr>
        <w:t xml:space="preserve"> </w:t>
      </w:r>
      <w:r w:rsidRPr="00BC1694">
        <w:rPr>
          <w:rStyle w:val="PageNumber"/>
          <w:rFonts w:cs="Times New Roman"/>
          <w:sz w:val="13"/>
          <w:szCs w:val="13"/>
          <w:lang w:val="es-ES"/>
        </w:rPr>
        <w:t xml:space="preserve">Rights International Spain, 2017. </w:t>
      </w:r>
      <w:r w:rsidRPr="00374C53">
        <w:rPr>
          <w:rStyle w:val="PageNumber"/>
          <w:rFonts w:cs="Times New Roman"/>
          <w:i/>
          <w:iCs/>
          <w:sz w:val="13"/>
          <w:szCs w:val="13"/>
        </w:rPr>
        <w:t xml:space="preserve">Aportaciones para el listado de cuestiones relativas al VII Informe periódico de España ante el Comité contra la Tortura. </w:t>
      </w:r>
      <w:r w:rsidRPr="00374C53">
        <w:rPr>
          <w:rStyle w:val="PageNumber"/>
          <w:rFonts w:cs="Times New Roman"/>
          <w:sz w:val="13"/>
          <w:szCs w:val="13"/>
        </w:rPr>
        <w:t xml:space="preserve">Sobre la trata de seres </w:t>
      </w:r>
      <w:r w:rsidRPr="00374C53">
        <w:rPr>
          <w:rStyle w:val="PageNumber"/>
          <w:rFonts w:cs="Times New Roman"/>
          <w:sz w:val="13"/>
          <w:szCs w:val="13"/>
          <w:lang w:val="pt-PT"/>
        </w:rPr>
        <w:t xml:space="preserve">humanos, de </w:t>
      </w:r>
      <w:r w:rsidRPr="00374C53">
        <w:rPr>
          <w:rStyle w:val="PageNumber"/>
          <w:rFonts w:cs="Times New Roman"/>
          <w:sz w:val="13"/>
          <w:szCs w:val="13"/>
        </w:rPr>
        <w:t xml:space="preserve">26 de junio Disponible [En línea] en: </w:t>
      </w:r>
      <w:hyperlink r:id="rId11" w:history="1">
        <w:r w:rsidRPr="00BC1694">
          <w:rPr>
            <w:rStyle w:val="Hyperlink0"/>
            <w:rFonts w:cs="Times New Roman"/>
            <w:sz w:val="13"/>
            <w:szCs w:val="13"/>
            <w:lang w:val="es-ES"/>
          </w:rPr>
          <w:t>tbinternet.ohchr.org/Treaties/CAT/Shared%20Documents/ESP/INT_CAT_ICS_ESP_27995_S.pdf</w:t>
        </w:r>
      </w:hyperlink>
      <w:r w:rsidRPr="00BC1694">
        <w:rPr>
          <w:rFonts w:cs="Times New Roman"/>
          <w:sz w:val="13"/>
          <w:szCs w:val="13"/>
          <w:lang w:val="es-ES"/>
        </w:rPr>
        <w:t xml:space="preserve">. </w:t>
      </w:r>
      <w:r w:rsidRPr="00374C53">
        <w:rPr>
          <w:rFonts w:cs="Times New Roman"/>
          <w:sz w:val="13"/>
          <w:szCs w:val="13"/>
          <w:lang w:val="en-US"/>
        </w:rPr>
        <w:t xml:space="preserve">Véase, también: Consejo de Europa, 2018. </w:t>
      </w:r>
      <w:r w:rsidRPr="00374C53">
        <w:rPr>
          <w:rFonts w:cs="Times New Roman"/>
          <w:i/>
          <w:sz w:val="13"/>
          <w:szCs w:val="13"/>
          <w:lang w:val="en-US"/>
        </w:rPr>
        <w:t xml:space="preserve">Report concerning the implementation of the Council of Europe Convention on Action against Trafficking in Human Beings by Spain, </w:t>
      </w:r>
      <w:r w:rsidRPr="00374C53">
        <w:rPr>
          <w:rFonts w:cs="Times New Roman"/>
          <w:sz w:val="13"/>
          <w:szCs w:val="13"/>
          <w:lang w:val="en-US"/>
        </w:rPr>
        <w:t xml:space="preserve">Segundo examen, de 20 de junio, párr. </w:t>
      </w:r>
      <w:r w:rsidRPr="00374C53">
        <w:rPr>
          <w:rFonts w:cs="Times New Roman"/>
          <w:sz w:val="13"/>
          <w:szCs w:val="13"/>
        </w:rPr>
        <w:t>17.</w:t>
      </w:r>
      <w:r w:rsidRPr="00374C53">
        <w:rPr>
          <w:rStyle w:val="PageNumber"/>
          <w:rFonts w:cs="Times New Roman"/>
          <w:i/>
          <w:iCs/>
          <w:sz w:val="13"/>
          <w:szCs w:val="13"/>
        </w:rPr>
        <w:t xml:space="preserve"> </w:t>
      </w:r>
      <w:r w:rsidRPr="00374C53">
        <w:rPr>
          <w:rStyle w:val="PageNumber"/>
          <w:rFonts w:cs="Times New Roman"/>
          <w:sz w:val="13"/>
          <w:szCs w:val="13"/>
        </w:rPr>
        <w:t>[En línea] Disponible en:</w:t>
      </w:r>
      <w:r w:rsidR="00795F89">
        <w:rPr>
          <w:rStyle w:val="PageNumber"/>
          <w:rFonts w:cs="Times New Roman"/>
          <w:sz w:val="13"/>
          <w:szCs w:val="13"/>
        </w:rPr>
        <w:t xml:space="preserve"> </w:t>
      </w:r>
      <w:hyperlink r:id="rId12" w:history="1">
        <w:r w:rsidR="006665B8" w:rsidRPr="00374C53">
          <w:rPr>
            <w:rStyle w:val="Hyperlink"/>
            <w:rFonts w:cs="Times New Roman"/>
            <w:sz w:val="13"/>
            <w:szCs w:val="13"/>
            <w:lang w:val="es-ES"/>
          </w:rPr>
          <w:t>www.coe.int/en/web/anti-human-trafficking/news/-/asset_publisher/fX6ZWufj34JY/content/greta-publishes-second-report-on-spain?_101_INSTANCE_fX6ZWufj34JY_viewMode=view/</w:t>
        </w:r>
      </w:hyperlink>
      <w:r w:rsidRPr="00374C53">
        <w:rPr>
          <w:rFonts w:cs="Times New Roman"/>
          <w:sz w:val="13"/>
          <w:szCs w:val="13"/>
        </w:rPr>
        <w:t xml:space="preserve"> </w:t>
      </w:r>
    </w:p>
  </w:footnote>
  <w:footnote w:id="32">
    <w:p w14:paraId="705E4B3B" w14:textId="15ED638F" w:rsidR="0006449E" w:rsidRPr="00374C53" w:rsidRDefault="0006449E" w:rsidP="00374C53">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Pr="00374C53">
        <w:rPr>
          <w:color w:val="000000" w:themeColor="text1"/>
          <w:sz w:val="13"/>
          <w:szCs w:val="13"/>
          <w:lang w:val="es-ES"/>
        </w:rPr>
        <w:t xml:space="preserve">ONU. </w:t>
      </w:r>
      <w:r w:rsidRPr="00374C53">
        <w:rPr>
          <w:color w:val="000000" w:themeColor="text1"/>
          <w:sz w:val="13"/>
          <w:szCs w:val="13"/>
        </w:rPr>
        <w:t>Comité CEDAW</w:t>
      </w:r>
      <w:r w:rsidRPr="00374C53">
        <w:rPr>
          <w:color w:val="000000" w:themeColor="text1"/>
          <w:sz w:val="13"/>
          <w:szCs w:val="13"/>
          <w:lang w:val="es-ES"/>
        </w:rPr>
        <w:t>, 2015</w:t>
      </w:r>
      <w:r w:rsidRPr="00374C53">
        <w:rPr>
          <w:color w:val="000000" w:themeColor="text1"/>
          <w:sz w:val="13"/>
          <w:szCs w:val="13"/>
        </w:rPr>
        <w:t>.</w:t>
      </w:r>
      <w:r w:rsidRPr="00374C53">
        <w:rPr>
          <w:color w:val="000000" w:themeColor="text1"/>
          <w:sz w:val="13"/>
          <w:szCs w:val="13"/>
          <w:lang w:val="es-ES"/>
        </w:rPr>
        <w:t xml:space="preserve"> </w:t>
      </w:r>
      <w:r w:rsidRPr="00374C53">
        <w:rPr>
          <w:i/>
          <w:color w:val="000000" w:themeColor="text1"/>
          <w:sz w:val="13"/>
          <w:szCs w:val="13"/>
        </w:rPr>
        <w:t>Recomendación General núm. 33 sobre el acceso de las mujeres a la justicia</w:t>
      </w:r>
      <w:r w:rsidRPr="00374C53">
        <w:rPr>
          <w:color w:val="000000" w:themeColor="text1"/>
          <w:sz w:val="13"/>
          <w:szCs w:val="13"/>
        </w:rPr>
        <w:t xml:space="preserve">, CEDAW/C/GC/33, </w:t>
      </w:r>
      <w:r w:rsidRPr="00374C53">
        <w:rPr>
          <w:color w:val="000000" w:themeColor="text1"/>
          <w:sz w:val="13"/>
          <w:szCs w:val="13"/>
          <w:lang w:val="es-ES"/>
        </w:rPr>
        <w:t xml:space="preserve">de </w:t>
      </w:r>
      <w:r w:rsidRPr="00374C53">
        <w:rPr>
          <w:color w:val="000000" w:themeColor="text1"/>
          <w:sz w:val="13"/>
          <w:szCs w:val="13"/>
        </w:rPr>
        <w:t>03 de agosto, párrs</w:t>
      </w:r>
      <w:r w:rsidRPr="00374C53">
        <w:rPr>
          <w:color w:val="000000" w:themeColor="text1"/>
          <w:sz w:val="13"/>
          <w:szCs w:val="13"/>
          <w:lang w:val="es-ES"/>
        </w:rPr>
        <w:t>. 8 y 10.</w:t>
      </w:r>
    </w:p>
  </w:footnote>
  <w:footnote w:id="33">
    <w:p w14:paraId="6C7910CA" w14:textId="61F73CC4" w:rsidR="0006449E" w:rsidRPr="00374C53" w:rsidRDefault="0006449E" w:rsidP="00374C53">
      <w:pPr>
        <w:jc w:val="both"/>
        <w:rPr>
          <w:sz w:val="13"/>
          <w:szCs w:val="13"/>
        </w:rPr>
      </w:pPr>
      <w:r w:rsidRPr="00374C53">
        <w:rPr>
          <w:rStyle w:val="FootnoteReference"/>
          <w:sz w:val="13"/>
          <w:szCs w:val="13"/>
        </w:rPr>
        <w:footnoteRef/>
      </w:r>
      <w:r w:rsidRPr="00374C53">
        <w:rPr>
          <w:sz w:val="13"/>
          <w:szCs w:val="13"/>
        </w:rPr>
        <w:t xml:space="preserve"> El derecho a vivir libre de tortura está garantizado en el artículo 1 de la Convención contra la Tortura y Otros Tratos o Penas Crueles, Inhumanos o Degradantes de 1984 y el artículo 2 de la Convención Interamericana para Prevenir y Sancionar la Tortura de 1985. El artículo 16 de la Convención contra la Tortura prohíbe otros tratos o penas crueles, inhumanos o degradantes. El artículo 7 del Pacto Internacional de Derechos Civiles y Políticos garantiza la prohibición de la tortura y otros tratos o penas crueles, inhumanos o degradantes y la Observación General núm. 2 del Comité contra la Tortura en relación con la aplicación del artículo 2 de la Convención. </w:t>
      </w:r>
      <w:r w:rsidR="00903C22" w:rsidRPr="00374C53">
        <w:rPr>
          <w:sz w:val="13"/>
          <w:szCs w:val="13"/>
        </w:rPr>
        <w:t>Asimismo, se</w:t>
      </w:r>
      <w:r w:rsidRPr="00374C53">
        <w:rPr>
          <w:sz w:val="13"/>
          <w:szCs w:val="13"/>
        </w:rPr>
        <w:t xml:space="preserve"> encuentran disposiciones en tratados regionales de derechos humanos, tales como, por ejemplo, el artículo 3 del Convenio Europeo de Derechos Humanos; el artículo 5(2) de la Convenció Americana sobre Derechos Humanos o el artículo 5 de la Carta Africana de Derechos Humanos y de los Pueblos.</w:t>
      </w:r>
    </w:p>
  </w:footnote>
  <w:footnote w:id="34">
    <w:p w14:paraId="7B86070C" w14:textId="1967688E" w:rsidR="0006449E" w:rsidRPr="00374C53" w:rsidRDefault="0006449E" w:rsidP="00374C53">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Pr="00374C53">
        <w:rPr>
          <w:rStyle w:val="PageNumber"/>
          <w:sz w:val="13"/>
          <w:szCs w:val="13"/>
          <w:lang w:val="en-US"/>
        </w:rPr>
        <w:t xml:space="preserve">Parlamento Europeo, 2016. “Anex 6. Implementation of Directive 2011/36/EU from a gender perspective in Spain” en </w:t>
      </w:r>
      <w:r w:rsidRPr="00374C53">
        <w:rPr>
          <w:rStyle w:val="PageNumber"/>
          <w:i/>
          <w:iCs/>
          <w:sz w:val="13"/>
          <w:szCs w:val="13"/>
        </w:rPr>
        <w:t>Trafficking in Human Beings from a Gender Perspective Directive 2011/36/EU</w:t>
      </w:r>
      <w:r w:rsidRPr="00374C53">
        <w:rPr>
          <w:rStyle w:val="PageNumber"/>
          <w:i/>
          <w:iCs/>
          <w:sz w:val="13"/>
          <w:szCs w:val="13"/>
          <w:lang w:val="en-US"/>
        </w:rPr>
        <w:t xml:space="preserve">. </w:t>
      </w:r>
      <w:r w:rsidRPr="00374C53">
        <w:rPr>
          <w:rStyle w:val="PageNumber"/>
          <w:i/>
          <w:iCs/>
          <w:sz w:val="13"/>
          <w:szCs w:val="13"/>
          <w:lang w:val="es-ES"/>
        </w:rPr>
        <w:t xml:space="preserve">European Implementation Assesment, </w:t>
      </w:r>
      <w:r w:rsidRPr="00374C53">
        <w:rPr>
          <w:rStyle w:val="PageNumber"/>
          <w:iCs/>
          <w:sz w:val="13"/>
          <w:szCs w:val="13"/>
          <w:lang w:val="es-ES"/>
        </w:rPr>
        <w:t>pp. 212ss</w:t>
      </w:r>
      <w:r w:rsidRPr="00374C53">
        <w:rPr>
          <w:rStyle w:val="PageNumber"/>
          <w:iCs/>
          <w:sz w:val="13"/>
          <w:szCs w:val="13"/>
        </w:rPr>
        <w:t xml:space="preserve"> </w:t>
      </w:r>
      <w:r w:rsidRPr="00374C53">
        <w:rPr>
          <w:rStyle w:val="PageNumber"/>
          <w:iCs/>
          <w:sz w:val="13"/>
          <w:szCs w:val="13"/>
          <w:lang w:val="es-ES"/>
        </w:rPr>
        <w:t xml:space="preserve">[En línea] Disponible en: </w:t>
      </w:r>
      <w:hyperlink r:id="rId13" w:history="1">
        <w:r w:rsidRPr="00374C53">
          <w:rPr>
            <w:rStyle w:val="Hyperlink"/>
            <w:iCs/>
            <w:sz w:val="13"/>
            <w:szCs w:val="13"/>
            <w:lang w:val="es-ES"/>
          </w:rPr>
          <w:t>www.europarl.europa.eu/RegData/etudes/STUD/2016/581412/EPRS_STU(2016)581412_EN.pdf</w:t>
        </w:r>
      </w:hyperlink>
    </w:p>
  </w:footnote>
  <w:footnote w:id="35">
    <w:p w14:paraId="5FC94654" w14:textId="3EBA023C" w:rsidR="0006449E" w:rsidRPr="00374C53" w:rsidRDefault="0006449E" w:rsidP="00374C53">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lang w:val="es-ES"/>
        </w:rPr>
        <w:t xml:space="preserve"> ONU.</w:t>
      </w:r>
      <w:r w:rsidRPr="00374C53">
        <w:rPr>
          <w:sz w:val="13"/>
          <w:szCs w:val="13"/>
        </w:rPr>
        <w:t xml:space="preserve"> </w:t>
      </w:r>
      <w:r w:rsidRPr="00374C53">
        <w:rPr>
          <w:sz w:val="13"/>
          <w:szCs w:val="13"/>
          <w:lang w:val="es-ES"/>
        </w:rPr>
        <w:t xml:space="preserve">Comité contra la Tortura, 2017. </w:t>
      </w:r>
      <w:r w:rsidRPr="00374C53">
        <w:rPr>
          <w:i/>
          <w:sz w:val="13"/>
          <w:szCs w:val="13"/>
          <w:lang w:val="es-ES"/>
        </w:rPr>
        <w:t>Observación General núm. 4(2017), relativa a la aplicación del artículo 3 de la Convención en el contexto del artículo 22</w:t>
      </w:r>
      <w:r w:rsidRPr="00374C53">
        <w:rPr>
          <w:sz w:val="13"/>
          <w:szCs w:val="13"/>
          <w:lang w:val="es-ES"/>
        </w:rPr>
        <w:t>, CAT/C/GC/4, párr. 29. C)</w:t>
      </w:r>
    </w:p>
  </w:footnote>
  <w:footnote w:id="36">
    <w:p w14:paraId="479BDECE" w14:textId="249DE99B" w:rsidR="0006449E" w:rsidRPr="00374C53" w:rsidRDefault="0006449E" w:rsidP="00374C53">
      <w:pPr>
        <w:pStyle w:val="FootnoteText"/>
        <w:spacing w:after="0" w:line="240" w:lineRule="auto"/>
        <w:jc w:val="both"/>
        <w:rPr>
          <w:sz w:val="13"/>
          <w:szCs w:val="13"/>
          <w:lang w:val="es-ES"/>
        </w:rPr>
      </w:pPr>
      <w:r w:rsidRPr="00374C53">
        <w:rPr>
          <w:sz w:val="13"/>
          <w:szCs w:val="13"/>
          <w:vertAlign w:val="superscript"/>
          <w:lang w:val="es-ES"/>
        </w:rPr>
        <w:footnoteRef/>
      </w:r>
      <w:r w:rsidRPr="00374C53">
        <w:rPr>
          <w:sz w:val="13"/>
          <w:szCs w:val="13"/>
          <w:vertAlign w:val="superscript"/>
          <w:lang w:val="es-ES"/>
        </w:rPr>
        <w:t xml:space="preserve"> </w:t>
      </w:r>
      <w:r w:rsidR="002D67AC" w:rsidRPr="00374C53">
        <w:rPr>
          <w:sz w:val="13"/>
          <w:szCs w:val="13"/>
          <w:vertAlign w:val="superscript"/>
          <w:lang w:val="es-ES"/>
        </w:rPr>
        <w:t xml:space="preserve"> </w:t>
      </w:r>
      <w:r w:rsidR="002D67AC" w:rsidRPr="00374C53">
        <w:rPr>
          <w:rFonts w:eastAsia="Times New Roman"/>
          <w:sz w:val="13"/>
          <w:szCs w:val="13"/>
          <w:lang w:val="es-ES" w:eastAsia="es-ES_tradnl"/>
        </w:rPr>
        <w:t>O</w:t>
      </w:r>
      <w:r w:rsidRPr="00374C53">
        <w:rPr>
          <w:sz w:val="13"/>
          <w:szCs w:val="13"/>
          <w:lang w:val="es-ES"/>
        </w:rPr>
        <w:t>NU.</w:t>
      </w:r>
      <w:r w:rsidRPr="00374C53">
        <w:rPr>
          <w:sz w:val="13"/>
          <w:szCs w:val="13"/>
        </w:rPr>
        <w:t xml:space="preserve"> </w:t>
      </w:r>
      <w:r w:rsidRPr="00374C53">
        <w:rPr>
          <w:sz w:val="13"/>
          <w:szCs w:val="13"/>
          <w:lang w:val="es-ES"/>
        </w:rPr>
        <w:t>Comité contra la Tortura, 2011</w:t>
      </w:r>
      <w:r w:rsidR="0043227A" w:rsidRPr="00374C53">
        <w:rPr>
          <w:sz w:val="13"/>
          <w:szCs w:val="13"/>
          <w:lang w:val="es-ES"/>
        </w:rPr>
        <w:t xml:space="preserve">. Caso </w:t>
      </w:r>
      <w:r w:rsidRPr="00374C53">
        <w:rPr>
          <w:i/>
          <w:sz w:val="13"/>
          <w:szCs w:val="13"/>
          <w:lang w:val="es-ES"/>
        </w:rPr>
        <w:t>Sylvie Bakatu-Bia c. Suecia</w:t>
      </w:r>
      <w:r w:rsidRPr="00374C53">
        <w:rPr>
          <w:sz w:val="13"/>
          <w:szCs w:val="13"/>
          <w:lang w:val="es-ES"/>
        </w:rPr>
        <w:t>,</w:t>
      </w:r>
      <w:r w:rsidR="0043227A" w:rsidRPr="00374C53">
        <w:rPr>
          <w:sz w:val="13"/>
          <w:szCs w:val="13"/>
          <w:lang w:val="es-ES"/>
        </w:rPr>
        <w:t xml:space="preserve"> CAT/C/46/D/379/2009,</w:t>
      </w:r>
      <w:r w:rsidRPr="00374C53">
        <w:rPr>
          <w:sz w:val="13"/>
          <w:szCs w:val="13"/>
          <w:lang w:val="es-ES"/>
        </w:rPr>
        <w:t xml:space="preserve"> párrs. 10.5 </w:t>
      </w:r>
      <w:r w:rsidR="0043227A" w:rsidRPr="00374C53">
        <w:rPr>
          <w:sz w:val="13"/>
          <w:szCs w:val="13"/>
          <w:lang w:val="es-ES"/>
        </w:rPr>
        <w:t xml:space="preserve">- </w:t>
      </w:r>
      <w:r w:rsidRPr="00374C53">
        <w:rPr>
          <w:sz w:val="13"/>
          <w:szCs w:val="13"/>
          <w:lang w:val="es-ES"/>
        </w:rPr>
        <w:t>10.7.</w:t>
      </w:r>
    </w:p>
  </w:footnote>
  <w:footnote w:id="37">
    <w:p w14:paraId="41BF59F4" w14:textId="13318651" w:rsidR="0006449E" w:rsidRPr="00374C53" w:rsidRDefault="0006449E" w:rsidP="00374C53">
      <w:pPr>
        <w:jc w:val="both"/>
        <w:rPr>
          <w:sz w:val="13"/>
          <w:szCs w:val="13"/>
        </w:rPr>
      </w:pPr>
      <w:r w:rsidRPr="00374C53">
        <w:rPr>
          <w:sz w:val="13"/>
          <w:szCs w:val="13"/>
          <w:vertAlign w:val="superscript"/>
        </w:rPr>
        <w:footnoteRef/>
      </w:r>
      <w:r w:rsidRPr="00374C53">
        <w:rPr>
          <w:sz w:val="13"/>
          <w:szCs w:val="13"/>
        </w:rPr>
        <w:t xml:space="preserve"> </w:t>
      </w:r>
      <w:r w:rsidR="0043227A" w:rsidRPr="00374C53">
        <w:rPr>
          <w:sz w:val="13"/>
          <w:szCs w:val="13"/>
        </w:rPr>
        <w:t>ONU. Comité contra la Tortura, 2011. Caso</w:t>
      </w:r>
      <w:r w:rsidRPr="00374C53">
        <w:rPr>
          <w:sz w:val="13"/>
          <w:szCs w:val="13"/>
        </w:rPr>
        <w:t xml:space="preserve"> </w:t>
      </w:r>
      <w:r w:rsidRPr="00374C53">
        <w:rPr>
          <w:i/>
          <w:sz w:val="13"/>
          <w:szCs w:val="13"/>
        </w:rPr>
        <w:t>Tony Chahin c. Suecia</w:t>
      </w:r>
      <w:r w:rsidRPr="00374C53">
        <w:rPr>
          <w:sz w:val="13"/>
          <w:szCs w:val="13"/>
        </w:rPr>
        <w:t>,</w:t>
      </w:r>
      <w:r w:rsidR="0043227A" w:rsidRPr="00374C53">
        <w:rPr>
          <w:sz w:val="13"/>
          <w:szCs w:val="13"/>
        </w:rPr>
        <w:t xml:space="preserve"> </w:t>
      </w:r>
      <w:r w:rsidR="0043227A" w:rsidRPr="00374C53">
        <w:rPr>
          <w:rFonts w:eastAsia="Calibri"/>
          <w:sz w:val="13"/>
          <w:szCs w:val="13"/>
          <w:lang w:eastAsia="en-US"/>
        </w:rPr>
        <w:t>CAT/C/46/D/310/2007,</w:t>
      </w:r>
      <w:r w:rsidRPr="00374C53">
        <w:rPr>
          <w:sz w:val="13"/>
          <w:szCs w:val="13"/>
        </w:rPr>
        <w:t xml:space="preserve"> párr. 9.5</w:t>
      </w:r>
      <w:r w:rsidR="0043227A" w:rsidRPr="00374C53">
        <w:rPr>
          <w:sz w:val="13"/>
          <w:szCs w:val="13"/>
        </w:rPr>
        <w:t>)</w:t>
      </w:r>
      <w:r w:rsidRPr="00374C53">
        <w:rPr>
          <w:sz w:val="13"/>
          <w:szCs w:val="13"/>
        </w:rPr>
        <w:t>.</w:t>
      </w:r>
    </w:p>
  </w:footnote>
  <w:footnote w:id="38">
    <w:p w14:paraId="64EACCAA" w14:textId="0100B420" w:rsidR="0006449E" w:rsidRPr="00374C53" w:rsidRDefault="0006449E" w:rsidP="00374C53">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00414406" w:rsidRPr="00374C53">
        <w:rPr>
          <w:sz w:val="13"/>
          <w:szCs w:val="13"/>
          <w:lang w:val="es-ES"/>
        </w:rPr>
        <w:t>ONU.</w:t>
      </w:r>
      <w:r w:rsidR="00414406" w:rsidRPr="00374C53">
        <w:rPr>
          <w:sz w:val="13"/>
          <w:szCs w:val="13"/>
        </w:rPr>
        <w:t xml:space="preserve"> </w:t>
      </w:r>
      <w:r w:rsidR="00414406" w:rsidRPr="00374C53">
        <w:rPr>
          <w:sz w:val="13"/>
          <w:szCs w:val="13"/>
          <w:lang w:val="es-ES"/>
        </w:rPr>
        <w:t xml:space="preserve">Comité contra la Tortura, 2017. </w:t>
      </w:r>
      <w:r w:rsidR="00414406" w:rsidRPr="00374C53">
        <w:rPr>
          <w:i/>
          <w:sz w:val="13"/>
          <w:szCs w:val="13"/>
          <w:lang w:val="es-ES"/>
        </w:rPr>
        <w:t>Observación General núm. 4(2017), relativa a la aplicación del artículo 3 de la Convención en el contexto del artículo 22</w:t>
      </w:r>
      <w:r w:rsidR="00414406" w:rsidRPr="00374C53">
        <w:rPr>
          <w:sz w:val="13"/>
          <w:szCs w:val="13"/>
          <w:lang w:val="es-ES"/>
        </w:rPr>
        <w:t xml:space="preserve">, CAT/C/GC/4, </w:t>
      </w:r>
      <w:r w:rsidRPr="00374C53">
        <w:rPr>
          <w:sz w:val="13"/>
          <w:szCs w:val="13"/>
          <w:lang w:val="es-ES"/>
        </w:rPr>
        <w:t>párr. 29. N)</w:t>
      </w:r>
    </w:p>
  </w:footnote>
  <w:footnote w:id="39">
    <w:p w14:paraId="1EBA8C99" w14:textId="26DA3AEE" w:rsidR="0006449E" w:rsidRPr="00374C53" w:rsidRDefault="0006449E" w:rsidP="00374C53">
      <w:pPr>
        <w:pStyle w:val="FootnoteText"/>
        <w:spacing w:after="0" w:line="240" w:lineRule="auto"/>
        <w:jc w:val="both"/>
        <w:rPr>
          <w:sz w:val="13"/>
          <w:szCs w:val="13"/>
          <w:lang w:val="es-ES"/>
        </w:rPr>
      </w:pPr>
      <w:r w:rsidRPr="00374C53">
        <w:rPr>
          <w:sz w:val="13"/>
          <w:szCs w:val="13"/>
          <w:vertAlign w:val="superscript"/>
          <w:lang w:val="es-ES"/>
        </w:rPr>
        <w:footnoteRef/>
      </w:r>
      <w:r w:rsidRPr="00374C53">
        <w:rPr>
          <w:sz w:val="13"/>
          <w:szCs w:val="13"/>
          <w:lang w:val="es-ES"/>
        </w:rPr>
        <w:t xml:space="preserve"> </w:t>
      </w:r>
      <w:r w:rsidR="00EF656F" w:rsidRPr="00374C53">
        <w:rPr>
          <w:rFonts w:eastAsia="Times New Roman"/>
          <w:sz w:val="13"/>
          <w:szCs w:val="13"/>
          <w:lang w:val="es-ES" w:eastAsia="es-ES_tradnl"/>
        </w:rPr>
        <w:t>O</w:t>
      </w:r>
      <w:r w:rsidR="00EF656F" w:rsidRPr="00374C53">
        <w:rPr>
          <w:sz w:val="13"/>
          <w:szCs w:val="13"/>
          <w:lang w:val="es-ES"/>
        </w:rPr>
        <w:t>NU.</w:t>
      </w:r>
      <w:r w:rsidR="00EF656F" w:rsidRPr="00374C53">
        <w:rPr>
          <w:sz w:val="13"/>
          <w:szCs w:val="13"/>
        </w:rPr>
        <w:t xml:space="preserve"> </w:t>
      </w:r>
      <w:r w:rsidR="00EF656F" w:rsidRPr="00374C53">
        <w:rPr>
          <w:sz w:val="13"/>
          <w:szCs w:val="13"/>
          <w:lang w:val="es-ES"/>
        </w:rPr>
        <w:t xml:space="preserve">Comité contra la Tortura. Caso </w:t>
      </w:r>
      <w:r w:rsidRPr="00374C53">
        <w:rPr>
          <w:i/>
          <w:sz w:val="13"/>
          <w:szCs w:val="13"/>
          <w:lang w:val="es-ES"/>
        </w:rPr>
        <w:t>S. S. Elmi c. Australia</w:t>
      </w:r>
      <w:r w:rsidR="00EF656F" w:rsidRPr="00374C53">
        <w:rPr>
          <w:sz w:val="13"/>
          <w:szCs w:val="13"/>
          <w:lang w:val="es-ES"/>
        </w:rPr>
        <w:t xml:space="preserve">, </w:t>
      </w:r>
      <w:r w:rsidRPr="00374C53">
        <w:rPr>
          <w:sz w:val="13"/>
          <w:szCs w:val="13"/>
          <w:lang w:val="es-ES"/>
        </w:rPr>
        <w:t>CAT/C/22/D/120/1998</w:t>
      </w:r>
      <w:r w:rsidR="00EF656F" w:rsidRPr="00374C53">
        <w:rPr>
          <w:sz w:val="13"/>
          <w:szCs w:val="13"/>
          <w:lang w:val="es-ES"/>
        </w:rPr>
        <w:t xml:space="preserve">, </w:t>
      </w:r>
      <w:r w:rsidRPr="00374C53">
        <w:rPr>
          <w:sz w:val="13"/>
          <w:szCs w:val="13"/>
          <w:lang w:val="es-ES"/>
        </w:rPr>
        <w:t>párrs. 6.8</w:t>
      </w:r>
      <w:r w:rsidR="00EF656F" w:rsidRPr="00374C53">
        <w:rPr>
          <w:sz w:val="13"/>
          <w:szCs w:val="13"/>
          <w:lang w:val="es-ES"/>
        </w:rPr>
        <w:t>)</w:t>
      </w:r>
      <w:r w:rsidRPr="00374C53">
        <w:rPr>
          <w:sz w:val="13"/>
          <w:szCs w:val="13"/>
          <w:lang w:val="es-ES"/>
        </w:rPr>
        <w:t xml:space="preserve"> y 6.9</w:t>
      </w:r>
      <w:r w:rsidR="00EF656F" w:rsidRPr="00374C53">
        <w:rPr>
          <w:sz w:val="13"/>
          <w:szCs w:val="13"/>
          <w:lang w:val="es-ES"/>
        </w:rPr>
        <w:t>)</w:t>
      </w:r>
      <w:r w:rsidRPr="00374C53">
        <w:rPr>
          <w:sz w:val="13"/>
          <w:szCs w:val="13"/>
          <w:lang w:val="es-ES"/>
        </w:rPr>
        <w:t xml:space="preserve">; y </w:t>
      </w:r>
      <w:r w:rsidR="00EF656F" w:rsidRPr="00374C53">
        <w:rPr>
          <w:sz w:val="13"/>
          <w:szCs w:val="13"/>
          <w:lang w:val="es-ES"/>
        </w:rPr>
        <w:t xml:space="preserve">Caso </w:t>
      </w:r>
      <w:r w:rsidRPr="00374C53">
        <w:rPr>
          <w:i/>
          <w:sz w:val="13"/>
          <w:szCs w:val="13"/>
          <w:lang w:val="es-ES"/>
        </w:rPr>
        <w:t>M. K. M. c. Australia</w:t>
      </w:r>
      <w:r w:rsidR="00EF656F" w:rsidRPr="00374C53">
        <w:rPr>
          <w:sz w:val="13"/>
          <w:szCs w:val="13"/>
          <w:lang w:val="es-ES"/>
        </w:rPr>
        <w:t xml:space="preserve">, </w:t>
      </w:r>
      <w:r w:rsidRPr="00374C53">
        <w:rPr>
          <w:sz w:val="13"/>
          <w:szCs w:val="13"/>
          <w:lang w:val="es-ES"/>
        </w:rPr>
        <w:t>CAT/C/60/D/681/2015, párr. 8.9</w:t>
      </w:r>
      <w:r w:rsidR="00EF656F" w:rsidRPr="00374C53">
        <w:rPr>
          <w:sz w:val="13"/>
          <w:szCs w:val="13"/>
          <w:lang w:val="es-ES"/>
        </w:rPr>
        <w:t>)</w:t>
      </w:r>
      <w:r w:rsidRPr="00374C53">
        <w:rPr>
          <w:sz w:val="13"/>
          <w:szCs w:val="13"/>
          <w:lang w:val="es-ES"/>
        </w:rPr>
        <w:t>.</w:t>
      </w:r>
    </w:p>
  </w:footnote>
  <w:footnote w:id="40">
    <w:p w14:paraId="75B08034" w14:textId="322C2042" w:rsidR="0006449E" w:rsidRPr="00374C53" w:rsidRDefault="0006449E" w:rsidP="00374C53">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00746D37" w:rsidRPr="00374C53">
        <w:rPr>
          <w:sz w:val="13"/>
          <w:szCs w:val="13"/>
          <w:lang w:val="es-ES"/>
        </w:rPr>
        <w:t>ONU. Oficina del Alto Comisionado para los Derechos Humanos,</w:t>
      </w:r>
      <w:r w:rsidRPr="00374C53">
        <w:rPr>
          <w:sz w:val="13"/>
          <w:szCs w:val="13"/>
          <w:lang w:val="es-ES"/>
        </w:rPr>
        <w:t xml:space="preserve"> 2014. </w:t>
      </w:r>
      <w:r w:rsidRPr="00374C53">
        <w:rPr>
          <w:i/>
          <w:sz w:val="13"/>
          <w:szCs w:val="13"/>
          <w:lang w:val="es-ES"/>
        </w:rPr>
        <w:t>Los derechos humanos y la trata de personas</w:t>
      </w:r>
      <w:r w:rsidRPr="00374C53">
        <w:rPr>
          <w:sz w:val="13"/>
          <w:szCs w:val="13"/>
          <w:lang w:val="es-ES"/>
        </w:rPr>
        <w:t>, Folleto Informativo No. 36, p.19.</w:t>
      </w:r>
    </w:p>
  </w:footnote>
  <w:footnote w:id="41">
    <w:p w14:paraId="0F3334B1" w14:textId="4C635CAE" w:rsidR="0006449E" w:rsidRPr="00374C53" w:rsidRDefault="0006449E" w:rsidP="00374C53">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00746D37" w:rsidRPr="00374C53">
        <w:rPr>
          <w:sz w:val="13"/>
          <w:szCs w:val="13"/>
          <w:lang w:val="es-ES"/>
        </w:rPr>
        <w:t xml:space="preserve">ONU. Oficina del Alto Comisionado para los Derechos Humanos, 2014. </w:t>
      </w:r>
      <w:r w:rsidR="00746D37" w:rsidRPr="00374C53">
        <w:rPr>
          <w:i/>
          <w:sz w:val="13"/>
          <w:szCs w:val="13"/>
          <w:lang w:val="es-ES"/>
        </w:rPr>
        <w:t>Los derechos humanos y la trata de personas</w:t>
      </w:r>
      <w:r w:rsidR="00746D37" w:rsidRPr="00374C53">
        <w:rPr>
          <w:sz w:val="13"/>
          <w:szCs w:val="13"/>
          <w:lang w:val="es-ES"/>
        </w:rPr>
        <w:t>, Folleto Informativo No. 36, p.19.</w:t>
      </w:r>
    </w:p>
  </w:footnote>
  <w:footnote w:id="42">
    <w:p w14:paraId="3A79300F" w14:textId="3702A3FC" w:rsidR="0006449E" w:rsidRPr="00374C53" w:rsidRDefault="0006449E" w:rsidP="00374C53">
      <w:pPr>
        <w:jc w:val="both"/>
        <w:rPr>
          <w:sz w:val="13"/>
          <w:szCs w:val="13"/>
        </w:rPr>
      </w:pPr>
      <w:r w:rsidRPr="00374C53">
        <w:rPr>
          <w:rStyle w:val="FootnoteReference"/>
          <w:sz w:val="13"/>
          <w:szCs w:val="13"/>
        </w:rPr>
        <w:footnoteRef/>
      </w:r>
      <w:r w:rsidRPr="00374C53">
        <w:rPr>
          <w:sz w:val="13"/>
          <w:szCs w:val="13"/>
        </w:rPr>
        <w:t xml:space="preserve"> </w:t>
      </w:r>
      <w:r w:rsidR="00746D37" w:rsidRPr="00374C53">
        <w:rPr>
          <w:sz w:val="13"/>
          <w:szCs w:val="13"/>
        </w:rPr>
        <w:t xml:space="preserve">ONU. </w:t>
      </w:r>
      <w:r w:rsidR="00746D37" w:rsidRPr="00374C53">
        <w:rPr>
          <w:rFonts w:eastAsia="Calibri"/>
          <w:sz w:val="13"/>
          <w:szCs w:val="13"/>
          <w:lang w:eastAsia="en-US"/>
        </w:rPr>
        <w:t>Conferencia de las Partes en la</w:t>
      </w:r>
      <w:r w:rsidR="00A748F4" w:rsidRPr="00374C53">
        <w:rPr>
          <w:rFonts w:eastAsia="Calibri"/>
          <w:sz w:val="13"/>
          <w:szCs w:val="13"/>
          <w:lang w:eastAsia="en-US"/>
        </w:rPr>
        <w:t xml:space="preserve"> </w:t>
      </w:r>
      <w:r w:rsidR="00746D37" w:rsidRPr="00374C53">
        <w:rPr>
          <w:rFonts w:eastAsia="Calibri"/>
          <w:sz w:val="13"/>
          <w:szCs w:val="13"/>
          <w:lang w:eastAsia="en-US"/>
        </w:rPr>
        <w:t>Convención</w:t>
      </w:r>
      <w:r w:rsidR="00A748F4" w:rsidRPr="00374C53">
        <w:rPr>
          <w:rFonts w:eastAsia="Calibri"/>
          <w:sz w:val="13"/>
          <w:szCs w:val="13"/>
          <w:lang w:eastAsia="en-US"/>
        </w:rPr>
        <w:t xml:space="preserve"> </w:t>
      </w:r>
      <w:r w:rsidR="00746D37" w:rsidRPr="00374C53">
        <w:rPr>
          <w:rFonts w:eastAsia="Calibri"/>
          <w:sz w:val="13"/>
          <w:szCs w:val="13"/>
          <w:lang w:eastAsia="en-US"/>
        </w:rPr>
        <w:t>de las</w:t>
      </w:r>
      <w:r w:rsidR="00A748F4" w:rsidRPr="00374C53">
        <w:rPr>
          <w:rFonts w:eastAsia="Calibri"/>
          <w:sz w:val="13"/>
          <w:szCs w:val="13"/>
          <w:lang w:eastAsia="en-US"/>
        </w:rPr>
        <w:t xml:space="preserve"> </w:t>
      </w:r>
      <w:r w:rsidR="00746D37" w:rsidRPr="00374C53">
        <w:rPr>
          <w:rFonts w:eastAsia="Calibri"/>
          <w:sz w:val="13"/>
          <w:szCs w:val="13"/>
          <w:lang w:eastAsia="en-US"/>
        </w:rPr>
        <w:t>Naciones</w:t>
      </w:r>
      <w:r w:rsidR="00A748F4" w:rsidRPr="00374C53">
        <w:rPr>
          <w:rFonts w:eastAsia="Calibri"/>
          <w:sz w:val="13"/>
          <w:szCs w:val="13"/>
          <w:lang w:eastAsia="en-US"/>
        </w:rPr>
        <w:t xml:space="preserve"> </w:t>
      </w:r>
      <w:r w:rsidR="00746D37" w:rsidRPr="00374C53">
        <w:rPr>
          <w:rFonts w:eastAsia="Calibri"/>
          <w:sz w:val="13"/>
          <w:szCs w:val="13"/>
          <w:lang w:eastAsia="en-US"/>
        </w:rPr>
        <w:t>Unidas contra</w:t>
      </w:r>
      <w:r w:rsidR="00A748F4" w:rsidRPr="00374C53">
        <w:rPr>
          <w:rFonts w:eastAsia="Calibri"/>
          <w:sz w:val="13"/>
          <w:szCs w:val="13"/>
          <w:lang w:eastAsia="en-US"/>
        </w:rPr>
        <w:t xml:space="preserve"> </w:t>
      </w:r>
      <w:r w:rsidR="00746D37" w:rsidRPr="00374C53">
        <w:rPr>
          <w:rFonts w:eastAsia="Calibri"/>
          <w:sz w:val="13"/>
          <w:szCs w:val="13"/>
          <w:lang w:eastAsia="en-US"/>
        </w:rPr>
        <w:t>la Delincuencia</w:t>
      </w:r>
      <w:r w:rsidR="00A748F4" w:rsidRPr="00374C53">
        <w:rPr>
          <w:rFonts w:eastAsia="Calibri"/>
          <w:sz w:val="13"/>
          <w:szCs w:val="13"/>
          <w:lang w:eastAsia="en-US"/>
        </w:rPr>
        <w:t xml:space="preserve"> </w:t>
      </w:r>
      <w:r w:rsidR="00746D37" w:rsidRPr="00374C53">
        <w:rPr>
          <w:rFonts w:eastAsia="Calibri"/>
          <w:sz w:val="13"/>
          <w:szCs w:val="13"/>
          <w:lang w:eastAsia="en-US"/>
        </w:rPr>
        <w:t xml:space="preserve">Organizada Transnacional, 2009. Grupo de Trabajo sobre Trata de Personas. </w:t>
      </w:r>
      <w:r w:rsidR="00746D37" w:rsidRPr="00374C53">
        <w:rPr>
          <w:rFonts w:eastAsia="Calibri"/>
          <w:i/>
          <w:sz w:val="13"/>
          <w:szCs w:val="13"/>
          <w:lang w:eastAsia="en-US"/>
        </w:rPr>
        <w:t xml:space="preserve">Informe de la reunión del Grupo de Trabajo sobre Trata de Personas celebrada en Viena los días 14 y 15 de abril de 2009, </w:t>
      </w:r>
      <w:r w:rsidR="00746D37" w:rsidRPr="00374C53">
        <w:rPr>
          <w:rFonts w:eastAsia="Calibri"/>
          <w:sz w:val="13"/>
          <w:szCs w:val="13"/>
          <w:lang w:eastAsia="en-US"/>
        </w:rPr>
        <w:t>CTOC/COP/WG.4/2009/2</w:t>
      </w:r>
      <w:r w:rsidRPr="00374C53">
        <w:rPr>
          <w:sz w:val="13"/>
          <w:szCs w:val="13"/>
        </w:rPr>
        <w:t xml:space="preserve">, </w:t>
      </w:r>
      <w:r w:rsidR="00746D37" w:rsidRPr="00374C53">
        <w:rPr>
          <w:sz w:val="13"/>
          <w:szCs w:val="13"/>
        </w:rPr>
        <w:t>párr.</w:t>
      </w:r>
      <w:r w:rsidRPr="00374C53">
        <w:rPr>
          <w:sz w:val="13"/>
          <w:szCs w:val="13"/>
        </w:rPr>
        <w:t xml:space="preserve"> 12.</w:t>
      </w:r>
    </w:p>
  </w:footnote>
  <w:footnote w:id="43">
    <w:p w14:paraId="56358D69" w14:textId="5B9B6AF8" w:rsidR="0006449E" w:rsidRPr="00374C53" w:rsidRDefault="0006449E" w:rsidP="00374C53">
      <w:pPr>
        <w:pStyle w:val="FootnoteText"/>
        <w:spacing w:after="0" w:line="240" w:lineRule="auto"/>
        <w:jc w:val="both"/>
        <w:rPr>
          <w:sz w:val="13"/>
          <w:szCs w:val="13"/>
          <w:lang w:val="es-CL"/>
        </w:rPr>
      </w:pPr>
      <w:r w:rsidRPr="00374C53">
        <w:rPr>
          <w:rStyle w:val="FootnoteReference"/>
          <w:sz w:val="13"/>
          <w:szCs w:val="13"/>
        </w:rPr>
        <w:footnoteRef/>
      </w:r>
      <w:r w:rsidRPr="00374C53">
        <w:rPr>
          <w:sz w:val="13"/>
          <w:szCs w:val="13"/>
        </w:rPr>
        <w:t xml:space="preserve"> </w:t>
      </w:r>
      <w:r w:rsidR="00A8257A" w:rsidRPr="00374C53">
        <w:rPr>
          <w:sz w:val="13"/>
          <w:szCs w:val="13"/>
          <w:lang w:val="es-ES"/>
        </w:rPr>
        <w:t>ONU</w:t>
      </w:r>
      <w:r w:rsidR="00F15D57" w:rsidRPr="00374C53">
        <w:rPr>
          <w:sz w:val="13"/>
          <w:szCs w:val="13"/>
          <w:lang w:val="es-ES"/>
        </w:rPr>
        <w:t>. Oficina del Alto Comisionado para los Derechos Humanos</w:t>
      </w:r>
      <w:r w:rsidR="00F15D57" w:rsidRPr="00374C53">
        <w:rPr>
          <w:sz w:val="13"/>
          <w:szCs w:val="13"/>
          <w:lang w:val="es-CL"/>
        </w:rPr>
        <w:t xml:space="preserve">, 2010. </w:t>
      </w:r>
      <w:r w:rsidR="00F15D57" w:rsidRPr="00374C53">
        <w:rPr>
          <w:i/>
          <w:sz w:val="13"/>
          <w:szCs w:val="13"/>
          <w:lang w:val="es-CL"/>
        </w:rPr>
        <w:t xml:space="preserve">Principios y directrices recomendados sobre derechos humanos y trata de personas, </w:t>
      </w:r>
      <w:r w:rsidR="00F15D57" w:rsidRPr="00374C53">
        <w:rPr>
          <w:sz w:val="13"/>
          <w:szCs w:val="13"/>
          <w:lang w:val="es-CL"/>
        </w:rPr>
        <w:t>di</w:t>
      </w:r>
      <w:r w:rsidRPr="00374C53">
        <w:rPr>
          <w:sz w:val="13"/>
          <w:szCs w:val="13"/>
          <w:lang w:val="es-CL"/>
        </w:rPr>
        <w:t>rectriz 5</w:t>
      </w:r>
      <w:r w:rsidR="00F15D57" w:rsidRPr="00374C53">
        <w:rPr>
          <w:sz w:val="13"/>
          <w:szCs w:val="13"/>
          <w:lang w:val="es-CL"/>
        </w:rPr>
        <w:t xml:space="preserve"> y </w:t>
      </w:r>
      <w:r w:rsidRPr="00374C53">
        <w:rPr>
          <w:sz w:val="13"/>
          <w:szCs w:val="13"/>
          <w:lang w:val="es-CL"/>
        </w:rPr>
        <w:t>principio 7.</w:t>
      </w:r>
      <w:r w:rsidR="00296A82" w:rsidRPr="00374C53">
        <w:rPr>
          <w:rStyle w:val="PageNumber"/>
          <w:iCs/>
          <w:sz w:val="13"/>
          <w:szCs w:val="13"/>
          <w:lang w:val="es-ES"/>
        </w:rPr>
        <w:t xml:space="preserve"> [En línea] Disponible en: </w:t>
      </w:r>
      <w:hyperlink r:id="rId14" w:history="1">
        <w:r w:rsidR="00296A82" w:rsidRPr="00374C53">
          <w:rPr>
            <w:rStyle w:val="Hyperlink"/>
            <w:iCs/>
            <w:sz w:val="13"/>
            <w:szCs w:val="13"/>
            <w:lang w:val="es-ES"/>
          </w:rPr>
          <w:t>www.ohchr.org/Documents/Publications/Commentary_Human_Trafficking_sp.pdf</w:t>
        </w:r>
      </w:hyperlink>
      <w:r w:rsidR="00296A82" w:rsidRPr="00374C53">
        <w:rPr>
          <w:rStyle w:val="PageNumber"/>
          <w:iCs/>
          <w:sz w:val="13"/>
          <w:szCs w:val="13"/>
          <w:lang w:val="es-ES"/>
        </w:rPr>
        <w:t xml:space="preserve"> </w:t>
      </w:r>
    </w:p>
  </w:footnote>
  <w:footnote w:id="44">
    <w:p w14:paraId="5F7EC671" w14:textId="1574EDB8" w:rsidR="0006449E" w:rsidRPr="00374C53" w:rsidRDefault="0006449E" w:rsidP="00374C53">
      <w:pPr>
        <w:pStyle w:val="FootnoteText"/>
        <w:spacing w:after="0" w:line="240" w:lineRule="auto"/>
        <w:jc w:val="both"/>
        <w:rPr>
          <w:sz w:val="13"/>
          <w:szCs w:val="13"/>
          <w:lang w:val="es-CL"/>
        </w:rPr>
      </w:pPr>
      <w:r w:rsidRPr="00374C53">
        <w:rPr>
          <w:rStyle w:val="FootnoteReference"/>
          <w:sz w:val="13"/>
          <w:szCs w:val="13"/>
        </w:rPr>
        <w:footnoteRef/>
      </w:r>
      <w:r w:rsidRPr="00374C53">
        <w:rPr>
          <w:sz w:val="13"/>
          <w:szCs w:val="13"/>
        </w:rPr>
        <w:t xml:space="preserve"> </w:t>
      </w:r>
      <w:r w:rsidR="00296A82" w:rsidRPr="00374C53">
        <w:rPr>
          <w:sz w:val="13"/>
          <w:szCs w:val="13"/>
          <w:lang w:val="es-ES"/>
        </w:rPr>
        <w:t xml:space="preserve">ONU. Consejo de Derechos Humanos, 2009. </w:t>
      </w:r>
      <w:r w:rsidRPr="00374C53">
        <w:rPr>
          <w:i/>
          <w:sz w:val="13"/>
          <w:szCs w:val="13"/>
          <w:lang w:val="es-CL"/>
        </w:rPr>
        <w:t>Resolución 11/</w:t>
      </w:r>
      <w:r w:rsidR="00296A82" w:rsidRPr="00374C53">
        <w:rPr>
          <w:i/>
          <w:sz w:val="13"/>
          <w:szCs w:val="13"/>
          <w:lang w:val="es-CL"/>
        </w:rPr>
        <w:t>3</w:t>
      </w:r>
      <w:r w:rsidRPr="00374C53">
        <w:rPr>
          <w:sz w:val="13"/>
          <w:szCs w:val="13"/>
          <w:lang w:val="es-CL"/>
        </w:rPr>
        <w:t>,</w:t>
      </w:r>
      <w:r w:rsidR="00296A82" w:rsidRPr="00374C53">
        <w:rPr>
          <w:sz w:val="13"/>
          <w:szCs w:val="13"/>
          <w:lang w:val="es-CL"/>
        </w:rPr>
        <w:t xml:space="preserve"> de 17 de junio,</w:t>
      </w:r>
      <w:r w:rsidRPr="00374C53">
        <w:rPr>
          <w:sz w:val="13"/>
          <w:szCs w:val="13"/>
          <w:lang w:val="es-CL"/>
        </w:rPr>
        <w:t xml:space="preserve"> párr. 3.</w:t>
      </w:r>
    </w:p>
  </w:footnote>
  <w:footnote w:id="45">
    <w:p w14:paraId="1D8FB9F7" w14:textId="348EE191" w:rsidR="0006449E" w:rsidRPr="00374C53" w:rsidRDefault="0006449E" w:rsidP="00374C53">
      <w:pPr>
        <w:pStyle w:val="FootnoteText"/>
        <w:spacing w:after="0" w:line="240" w:lineRule="auto"/>
        <w:jc w:val="both"/>
        <w:rPr>
          <w:sz w:val="13"/>
          <w:szCs w:val="13"/>
          <w:lang w:val="es-CL"/>
        </w:rPr>
      </w:pPr>
      <w:r w:rsidRPr="00374C53">
        <w:rPr>
          <w:rStyle w:val="FootnoteReference"/>
          <w:sz w:val="13"/>
          <w:szCs w:val="13"/>
        </w:rPr>
        <w:footnoteRef/>
      </w:r>
      <w:r w:rsidRPr="00374C53">
        <w:rPr>
          <w:sz w:val="13"/>
          <w:szCs w:val="13"/>
        </w:rPr>
        <w:t xml:space="preserve"> </w:t>
      </w:r>
      <w:r w:rsidR="00296A82" w:rsidRPr="00374C53">
        <w:rPr>
          <w:sz w:val="13"/>
          <w:szCs w:val="13"/>
          <w:lang w:val="es-ES"/>
        </w:rPr>
        <w:t xml:space="preserve">ONU. Asamblea General, 2008. </w:t>
      </w:r>
      <w:r w:rsidR="00F55148" w:rsidRPr="00374C53">
        <w:rPr>
          <w:i/>
          <w:sz w:val="13"/>
          <w:szCs w:val="13"/>
        </w:rPr>
        <w:t>Resolución</w:t>
      </w:r>
      <w:r w:rsidRPr="00374C53">
        <w:rPr>
          <w:i/>
          <w:sz w:val="13"/>
          <w:szCs w:val="13"/>
        </w:rPr>
        <w:t xml:space="preserve"> 63/156</w:t>
      </w:r>
      <w:r w:rsidR="00296A82" w:rsidRPr="00374C53">
        <w:rPr>
          <w:i/>
          <w:sz w:val="13"/>
          <w:szCs w:val="13"/>
          <w:lang w:val="es-ES"/>
        </w:rPr>
        <w:t>,</w:t>
      </w:r>
      <w:r w:rsidRPr="00374C53">
        <w:rPr>
          <w:sz w:val="13"/>
          <w:szCs w:val="13"/>
        </w:rPr>
        <w:t xml:space="preserve"> de</w:t>
      </w:r>
      <w:r w:rsidR="00296A82" w:rsidRPr="00374C53">
        <w:rPr>
          <w:sz w:val="13"/>
          <w:szCs w:val="13"/>
          <w:lang w:val="es-ES"/>
        </w:rPr>
        <w:t xml:space="preserve"> 18 de diciembre,</w:t>
      </w:r>
      <w:r w:rsidRPr="00374C53">
        <w:rPr>
          <w:sz w:val="13"/>
          <w:szCs w:val="13"/>
        </w:rPr>
        <w:t xml:space="preserve"> </w:t>
      </w:r>
      <w:r w:rsidR="00296A82" w:rsidRPr="00374C53">
        <w:rPr>
          <w:sz w:val="13"/>
          <w:szCs w:val="13"/>
        </w:rPr>
        <w:t>párr.</w:t>
      </w:r>
      <w:r w:rsidRPr="00374C53">
        <w:rPr>
          <w:sz w:val="13"/>
          <w:szCs w:val="13"/>
        </w:rPr>
        <w:t xml:space="preserve"> 12.</w:t>
      </w:r>
    </w:p>
  </w:footnote>
  <w:footnote w:id="46">
    <w:p w14:paraId="2DDDF533" w14:textId="6C5EBD17" w:rsidR="0006449E" w:rsidRPr="00374C53" w:rsidRDefault="0006449E" w:rsidP="00374C53">
      <w:pPr>
        <w:jc w:val="both"/>
        <w:rPr>
          <w:sz w:val="13"/>
          <w:szCs w:val="13"/>
        </w:rPr>
      </w:pPr>
      <w:r w:rsidRPr="00374C53">
        <w:rPr>
          <w:rStyle w:val="FootnoteReference"/>
          <w:sz w:val="13"/>
          <w:szCs w:val="13"/>
        </w:rPr>
        <w:footnoteRef/>
      </w:r>
      <w:r w:rsidRPr="00374C53">
        <w:rPr>
          <w:sz w:val="13"/>
          <w:szCs w:val="13"/>
        </w:rPr>
        <w:t xml:space="preserve"> </w:t>
      </w:r>
      <w:r w:rsidRPr="00374C53">
        <w:rPr>
          <w:sz w:val="13"/>
          <w:szCs w:val="13"/>
          <w:lang w:val="es-CL"/>
        </w:rPr>
        <w:t>Convenio del Consejo de Europa sobre la lucha contra la trata de seres humanos, art</w:t>
      </w:r>
      <w:r w:rsidR="00DB38F1" w:rsidRPr="00374C53">
        <w:rPr>
          <w:sz w:val="13"/>
          <w:szCs w:val="13"/>
          <w:lang w:val="es-CL"/>
        </w:rPr>
        <w:t>ículo</w:t>
      </w:r>
      <w:r w:rsidRPr="00374C53">
        <w:rPr>
          <w:sz w:val="13"/>
          <w:szCs w:val="13"/>
          <w:lang w:val="es-CL"/>
        </w:rPr>
        <w:t>. 26. Véase</w:t>
      </w:r>
      <w:r w:rsidR="00DB38F1" w:rsidRPr="00374C53">
        <w:rPr>
          <w:sz w:val="13"/>
          <w:szCs w:val="13"/>
          <w:lang w:val="es-CL"/>
        </w:rPr>
        <w:t>, también: Consejo de Europa, 2011.</w:t>
      </w:r>
      <w:r w:rsidRPr="00374C53">
        <w:rPr>
          <w:sz w:val="13"/>
          <w:szCs w:val="13"/>
          <w:lang w:val="es-CL"/>
        </w:rPr>
        <w:t xml:space="preserve"> </w:t>
      </w:r>
      <w:r w:rsidR="00DB38F1" w:rsidRPr="00374C53">
        <w:rPr>
          <w:i/>
          <w:sz w:val="13"/>
          <w:szCs w:val="13"/>
          <w:lang w:val="es-CL"/>
        </w:rPr>
        <w:t>Informe Explicativo del Convenio sobre la Trata</w:t>
      </w:r>
      <w:r w:rsidRPr="00374C53">
        <w:rPr>
          <w:sz w:val="13"/>
          <w:szCs w:val="13"/>
          <w:lang w:val="es-CL"/>
        </w:rPr>
        <w:t xml:space="preserve">, párrs. 272 </w:t>
      </w:r>
      <w:r w:rsidR="00DB38F1" w:rsidRPr="00374C53">
        <w:rPr>
          <w:sz w:val="13"/>
          <w:szCs w:val="13"/>
          <w:lang w:val="es-CL"/>
        </w:rPr>
        <w:t>–</w:t>
      </w:r>
      <w:r w:rsidRPr="00374C53">
        <w:rPr>
          <w:sz w:val="13"/>
          <w:szCs w:val="13"/>
          <w:lang w:val="es-CL"/>
        </w:rPr>
        <w:t xml:space="preserve"> 274</w:t>
      </w:r>
      <w:r w:rsidR="00DB38F1" w:rsidRPr="00374C53">
        <w:rPr>
          <w:sz w:val="13"/>
          <w:szCs w:val="13"/>
          <w:lang w:val="es-CL"/>
        </w:rPr>
        <w:t xml:space="preserve"> y </w:t>
      </w:r>
      <w:r w:rsidRPr="00374C53">
        <w:rPr>
          <w:sz w:val="13"/>
          <w:szCs w:val="13"/>
          <w:lang w:val="es-CL"/>
        </w:rPr>
        <w:t>Directriz I 2011/36/EU, art. 8.</w:t>
      </w:r>
    </w:p>
  </w:footnote>
  <w:footnote w:id="47">
    <w:p w14:paraId="37146F68" w14:textId="2D9AE382" w:rsidR="0006449E" w:rsidRPr="00374C53" w:rsidRDefault="0006449E" w:rsidP="00374C53">
      <w:pPr>
        <w:pStyle w:val="FootnoteText"/>
        <w:spacing w:after="0" w:line="240" w:lineRule="auto"/>
        <w:jc w:val="both"/>
        <w:rPr>
          <w:sz w:val="13"/>
          <w:szCs w:val="13"/>
          <w:lang w:val="es-ES"/>
        </w:rPr>
      </w:pPr>
      <w:r w:rsidRPr="00374C53">
        <w:rPr>
          <w:sz w:val="13"/>
          <w:szCs w:val="13"/>
          <w:vertAlign w:val="superscript"/>
          <w:lang w:val="en-US"/>
        </w:rPr>
        <w:footnoteRef/>
      </w:r>
      <w:r w:rsidRPr="00374C53">
        <w:rPr>
          <w:sz w:val="13"/>
          <w:szCs w:val="13"/>
          <w:vertAlign w:val="superscript"/>
          <w:lang w:val="es-ES"/>
        </w:rPr>
        <w:t xml:space="preserve"> </w:t>
      </w:r>
      <w:r w:rsidRPr="00374C53">
        <w:rPr>
          <w:sz w:val="13"/>
          <w:szCs w:val="13"/>
          <w:lang w:val="es-ES"/>
        </w:rPr>
        <w:t>ONU. Oficina del Alto Comisionado para los Derechos Humanos</w:t>
      </w:r>
      <w:r w:rsidR="007A65E7" w:rsidRPr="00374C53">
        <w:rPr>
          <w:sz w:val="13"/>
          <w:szCs w:val="13"/>
          <w:lang w:val="es-ES"/>
        </w:rPr>
        <w:t xml:space="preserve">, </w:t>
      </w:r>
      <w:r w:rsidRPr="00374C53">
        <w:rPr>
          <w:sz w:val="13"/>
          <w:szCs w:val="13"/>
          <w:lang w:val="es-ES"/>
        </w:rPr>
        <w:t xml:space="preserve">2014. </w:t>
      </w:r>
      <w:r w:rsidRPr="00374C53">
        <w:rPr>
          <w:i/>
          <w:sz w:val="13"/>
          <w:szCs w:val="13"/>
          <w:lang w:val="es-ES"/>
        </w:rPr>
        <w:t>Los derechos humanos y la trata de personas</w:t>
      </w:r>
      <w:r w:rsidRPr="00374C53">
        <w:rPr>
          <w:sz w:val="13"/>
          <w:szCs w:val="13"/>
          <w:lang w:val="es-ES"/>
        </w:rPr>
        <w:t>, Folleto Informativo Nº 36, pp. 12ss.</w:t>
      </w:r>
    </w:p>
  </w:footnote>
  <w:footnote w:id="48">
    <w:p w14:paraId="2602C65E" w14:textId="461CC951" w:rsidR="0006449E" w:rsidRPr="00374C53" w:rsidRDefault="0006449E" w:rsidP="00374C53">
      <w:pPr>
        <w:pStyle w:val="FootnoteText"/>
        <w:spacing w:after="0" w:line="240" w:lineRule="auto"/>
        <w:jc w:val="both"/>
        <w:rPr>
          <w:sz w:val="13"/>
          <w:szCs w:val="13"/>
          <w:lang w:val="es-ES"/>
        </w:rPr>
      </w:pPr>
      <w:r w:rsidRPr="00374C53">
        <w:rPr>
          <w:sz w:val="13"/>
          <w:szCs w:val="13"/>
          <w:vertAlign w:val="superscript"/>
          <w:lang w:val="es-ES"/>
        </w:rPr>
        <w:footnoteRef/>
      </w:r>
      <w:r w:rsidR="00BB0D2A" w:rsidRPr="00374C53">
        <w:rPr>
          <w:sz w:val="13"/>
          <w:szCs w:val="13"/>
          <w:lang w:val="es-ES"/>
        </w:rPr>
        <w:t xml:space="preserve"> ONU. Asamblea General</w:t>
      </w:r>
      <w:r w:rsidR="00356EF8" w:rsidRPr="00374C53">
        <w:rPr>
          <w:sz w:val="13"/>
          <w:szCs w:val="13"/>
          <w:lang w:val="es-ES"/>
        </w:rPr>
        <w:t xml:space="preserve">, 2012. </w:t>
      </w:r>
      <w:r w:rsidR="00BB0D2A" w:rsidRPr="00374C53">
        <w:rPr>
          <w:sz w:val="13"/>
          <w:szCs w:val="13"/>
          <w:lang w:val="es-ES"/>
        </w:rPr>
        <w:t xml:space="preserve"> R</w:t>
      </w:r>
      <w:r w:rsidRPr="00374C53">
        <w:rPr>
          <w:sz w:val="13"/>
          <w:szCs w:val="13"/>
          <w:lang w:val="es-ES"/>
        </w:rPr>
        <w:t xml:space="preserve">elatora Especial sobre la trata de personas, especialmente mujeres y niños. </w:t>
      </w:r>
      <w:r w:rsidRPr="00374C53">
        <w:rPr>
          <w:i/>
          <w:sz w:val="13"/>
          <w:szCs w:val="13"/>
          <w:lang w:val="es-ES"/>
        </w:rPr>
        <w:t>Informe anual al Consejo de Derechos Humanos sobre la aplicación de un enfoque de derechos humanos en la administración de justicia en casos de trata de personas</w:t>
      </w:r>
      <w:r w:rsidRPr="00374C53">
        <w:rPr>
          <w:sz w:val="13"/>
          <w:szCs w:val="13"/>
          <w:lang w:val="es-ES"/>
        </w:rPr>
        <w:t>, A/HRC/20/18, párr. 25.</w:t>
      </w:r>
    </w:p>
  </w:footnote>
  <w:footnote w:id="49">
    <w:p w14:paraId="5380D8F7" w14:textId="59640B2E" w:rsidR="0006449E" w:rsidRPr="00374C53" w:rsidRDefault="0006449E" w:rsidP="00374C53">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001C2416" w:rsidRPr="00374C53">
        <w:rPr>
          <w:sz w:val="13"/>
          <w:szCs w:val="13"/>
          <w:lang w:val="es-ES"/>
        </w:rPr>
        <w:t xml:space="preserve">ONU. Asamblea General, 2012. </w:t>
      </w:r>
      <w:r w:rsidRPr="00374C53">
        <w:rPr>
          <w:sz w:val="13"/>
          <w:szCs w:val="13"/>
          <w:lang w:val="es-ES"/>
        </w:rPr>
        <w:t xml:space="preserve">Relatora Especial sobre la trata de personas, especialmente mujeres y niños. </w:t>
      </w:r>
      <w:r w:rsidRPr="00374C53">
        <w:rPr>
          <w:i/>
          <w:sz w:val="13"/>
          <w:szCs w:val="13"/>
          <w:lang w:val="es-ES"/>
        </w:rPr>
        <w:t>Informe anual al Consejo de Derechos Humanos sobre la aplicación de un enfoque de derechos humanos en la administración de justicia en casos de trata de personas</w:t>
      </w:r>
      <w:r w:rsidRPr="00374C53">
        <w:rPr>
          <w:sz w:val="13"/>
          <w:szCs w:val="13"/>
          <w:lang w:val="es-ES"/>
        </w:rPr>
        <w:t>, A/HRC/20/18, párr. 26.</w:t>
      </w:r>
    </w:p>
  </w:footnote>
  <w:footnote w:id="50">
    <w:p w14:paraId="11106D40" w14:textId="3727A120" w:rsidR="0006449E" w:rsidRPr="00374C53" w:rsidRDefault="0006449E" w:rsidP="00374C53">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001C2416" w:rsidRPr="00374C53">
        <w:rPr>
          <w:sz w:val="13"/>
          <w:szCs w:val="13"/>
          <w:lang w:val="es-ES"/>
        </w:rPr>
        <w:t xml:space="preserve">ONU. Asamblea General, 2012. Relatora Especial sobre la trata de personas, especialmente mujeres y niños. </w:t>
      </w:r>
      <w:r w:rsidR="001C2416" w:rsidRPr="00374C53">
        <w:rPr>
          <w:i/>
          <w:sz w:val="13"/>
          <w:szCs w:val="13"/>
          <w:lang w:val="es-ES"/>
        </w:rPr>
        <w:t>Informe anual al Consejo de Derechos Humanos sobre la aplicación de un enfoque de derechos humanos en la administración de justicia en casos de trata de personas</w:t>
      </w:r>
      <w:r w:rsidR="001C2416" w:rsidRPr="00374C53">
        <w:rPr>
          <w:sz w:val="13"/>
          <w:szCs w:val="13"/>
          <w:lang w:val="es-ES"/>
        </w:rPr>
        <w:t>, A/HRC/20/18, párr. 26.</w:t>
      </w:r>
    </w:p>
  </w:footnote>
  <w:footnote w:id="51">
    <w:p w14:paraId="3E3BEAD8" w14:textId="07FE8632" w:rsidR="0006449E" w:rsidRPr="00BC1694" w:rsidRDefault="0006449E" w:rsidP="00BC1694">
      <w:pPr>
        <w:jc w:val="both"/>
      </w:pPr>
      <w:r w:rsidRPr="00374C53">
        <w:rPr>
          <w:rStyle w:val="FootnoteReference"/>
          <w:sz w:val="13"/>
          <w:szCs w:val="13"/>
        </w:rPr>
        <w:footnoteRef/>
      </w:r>
      <w:r w:rsidRPr="00374C53">
        <w:rPr>
          <w:sz w:val="13"/>
          <w:szCs w:val="13"/>
        </w:rPr>
        <w:t xml:space="preserve"> </w:t>
      </w:r>
      <w:r w:rsidR="001C2416" w:rsidRPr="00374C53">
        <w:rPr>
          <w:sz w:val="13"/>
          <w:szCs w:val="13"/>
        </w:rPr>
        <w:t>ONU. Asamblea General, 201</w:t>
      </w:r>
      <w:r w:rsidR="00BC1694">
        <w:rPr>
          <w:sz w:val="13"/>
          <w:szCs w:val="13"/>
        </w:rPr>
        <w:t>6</w:t>
      </w:r>
      <w:r w:rsidR="001C2416" w:rsidRPr="00374C53">
        <w:rPr>
          <w:sz w:val="13"/>
          <w:szCs w:val="13"/>
        </w:rPr>
        <w:t xml:space="preserve">. </w:t>
      </w:r>
      <w:r w:rsidR="00BC1694">
        <w:rPr>
          <w:sz w:val="13"/>
          <w:szCs w:val="13"/>
        </w:rPr>
        <w:t xml:space="preserve">Relator Especial sobre la tortura. </w:t>
      </w:r>
      <w:r w:rsidR="00BC1694" w:rsidRPr="00BC1694">
        <w:rPr>
          <w:rFonts w:eastAsia="Calibri"/>
          <w:i/>
          <w:sz w:val="13"/>
          <w:szCs w:val="13"/>
          <w:lang w:eastAsia="en-US"/>
        </w:rPr>
        <w:t>Informe del Relator Especial sobre la tortura y otros tratos o penas crueles, inhumanos o degradantes</w:t>
      </w:r>
      <w:r w:rsidR="001C2416" w:rsidRPr="00374C53">
        <w:rPr>
          <w:sz w:val="13"/>
          <w:szCs w:val="13"/>
        </w:rPr>
        <w:t>,</w:t>
      </w:r>
      <w:r w:rsidR="00BC1694">
        <w:rPr>
          <w:sz w:val="13"/>
          <w:szCs w:val="13"/>
        </w:rPr>
        <w:t xml:space="preserve"> </w:t>
      </w:r>
      <w:r w:rsidR="00BC1694" w:rsidRPr="00BC1694">
        <w:rPr>
          <w:rStyle w:val="PageNumber"/>
          <w:rFonts w:eastAsia="Calibri"/>
          <w:sz w:val="13"/>
          <w:szCs w:val="13"/>
          <w:lang w:val="x-none" w:eastAsia="en-US"/>
        </w:rPr>
        <w:t>A/HRC/31/57</w:t>
      </w:r>
      <w:r w:rsidR="001C2416" w:rsidRPr="00374C53">
        <w:rPr>
          <w:sz w:val="13"/>
          <w:szCs w:val="13"/>
        </w:rPr>
        <w:t xml:space="preserve">, </w:t>
      </w:r>
      <w:r w:rsidRPr="00374C53">
        <w:rPr>
          <w:sz w:val="13"/>
          <w:szCs w:val="13"/>
        </w:rPr>
        <w:t>párr. 41</w:t>
      </w:r>
      <w:r w:rsidR="008C40A4" w:rsidRPr="00374C53">
        <w:rPr>
          <w:sz w:val="13"/>
          <w:szCs w:val="13"/>
        </w:rPr>
        <w:t>.</w:t>
      </w:r>
    </w:p>
  </w:footnote>
  <w:footnote w:id="52">
    <w:p w14:paraId="1BAD3BF5" w14:textId="3F0B0F2F" w:rsidR="0006449E" w:rsidRPr="00374C53" w:rsidRDefault="0006449E" w:rsidP="00374C53">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00D26B40" w:rsidRPr="00374C53">
        <w:rPr>
          <w:sz w:val="13"/>
          <w:szCs w:val="13"/>
          <w:lang w:val="es-ES"/>
        </w:rPr>
        <w:t xml:space="preserve">ONU. Asamblea General, 2012. Relatora Especial sobre la trata de personas, especialmente mujeres y niños. </w:t>
      </w:r>
      <w:r w:rsidR="00D26B40" w:rsidRPr="00374C53">
        <w:rPr>
          <w:i/>
          <w:sz w:val="13"/>
          <w:szCs w:val="13"/>
          <w:lang w:val="es-ES"/>
        </w:rPr>
        <w:t>Informe anual al Consejo de Derechos Humanos sobre la aplicación de un enfoque de derechos humanos en la administración de justicia en casos de trata de personas</w:t>
      </w:r>
      <w:r w:rsidR="00D26B40" w:rsidRPr="00374C53">
        <w:rPr>
          <w:sz w:val="13"/>
          <w:szCs w:val="13"/>
          <w:lang w:val="es-ES"/>
        </w:rPr>
        <w:t xml:space="preserve">, A/HRC/20/18, </w:t>
      </w:r>
      <w:r w:rsidRPr="00374C53">
        <w:rPr>
          <w:sz w:val="13"/>
          <w:szCs w:val="13"/>
          <w:lang w:val="es-ES"/>
        </w:rPr>
        <w:t>párr. 89.</w:t>
      </w:r>
    </w:p>
  </w:footnote>
  <w:footnote w:id="53">
    <w:p w14:paraId="5FE1F786" w14:textId="1A964465" w:rsidR="0006449E" w:rsidRPr="00374C53" w:rsidRDefault="0006449E" w:rsidP="00374C53">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Pr="00374C53">
        <w:rPr>
          <w:sz w:val="13"/>
          <w:szCs w:val="13"/>
          <w:lang w:val="es-ES"/>
        </w:rPr>
        <w:t xml:space="preserve">Women’s Link Worldwide, 2018. </w:t>
      </w:r>
      <w:r w:rsidR="008C40A4" w:rsidRPr="00374C53">
        <w:rPr>
          <w:i/>
          <w:sz w:val="13"/>
          <w:szCs w:val="13"/>
          <w:lang w:val="es-ES"/>
        </w:rPr>
        <w:t>Madres en las redes de trata: derechos robados</w:t>
      </w:r>
      <w:r w:rsidR="008C40A4" w:rsidRPr="00374C53">
        <w:rPr>
          <w:sz w:val="13"/>
          <w:szCs w:val="13"/>
          <w:lang w:val="es-ES"/>
        </w:rPr>
        <w:t>.</w:t>
      </w:r>
      <w:r w:rsidRPr="00374C53">
        <w:rPr>
          <w:sz w:val="13"/>
          <w:szCs w:val="13"/>
          <w:lang w:val="es-ES"/>
        </w:rPr>
        <w:t xml:space="preserve"> [</w:t>
      </w:r>
      <w:r w:rsidR="008C40A4" w:rsidRPr="00374C53">
        <w:rPr>
          <w:sz w:val="13"/>
          <w:szCs w:val="13"/>
          <w:lang w:val="es-ES"/>
        </w:rPr>
        <w:t>E</w:t>
      </w:r>
      <w:r w:rsidRPr="00374C53">
        <w:rPr>
          <w:sz w:val="13"/>
          <w:szCs w:val="13"/>
          <w:lang w:val="es-ES"/>
        </w:rPr>
        <w:t xml:space="preserve">n línea] </w:t>
      </w:r>
      <w:r w:rsidR="008C40A4" w:rsidRPr="00374C53">
        <w:rPr>
          <w:sz w:val="13"/>
          <w:szCs w:val="13"/>
          <w:lang w:val="es-ES"/>
        </w:rPr>
        <w:t xml:space="preserve">Disponible </w:t>
      </w:r>
      <w:r w:rsidRPr="00374C53">
        <w:rPr>
          <w:sz w:val="13"/>
          <w:szCs w:val="13"/>
          <w:lang w:val="es-ES"/>
        </w:rPr>
        <w:t xml:space="preserve">en: </w:t>
      </w:r>
      <w:hyperlink r:id="rId15" w:history="1">
        <w:r w:rsidRPr="00374C53">
          <w:rPr>
            <w:rStyle w:val="Hyperlink"/>
            <w:sz w:val="13"/>
            <w:szCs w:val="13"/>
            <w:lang w:val="es-ES"/>
          </w:rPr>
          <w:t>www.womenslinkworldwide.org/en/files/3028/mothers-in-the-trafficking-networks.pdf</w:t>
        </w:r>
      </w:hyperlink>
      <w:r w:rsidRPr="00374C53">
        <w:rPr>
          <w:sz w:val="13"/>
          <w:szCs w:val="13"/>
          <w:lang w:val="es-ES"/>
        </w:rPr>
        <w:t xml:space="preserve"> </w:t>
      </w:r>
    </w:p>
  </w:footnote>
  <w:footnote w:id="54">
    <w:p w14:paraId="7AE1C17E" w14:textId="060633CC" w:rsidR="0006449E" w:rsidRPr="00374C53" w:rsidRDefault="0006449E" w:rsidP="00374C53">
      <w:pPr>
        <w:pStyle w:val="FootnoteText"/>
        <w:spacing w:after="0" w:line="240" w:lineRule="auto"/>
        <w:jc w:val="both"/>
        <w:rPr>
          <w:sz w:val="13"/>
          <w:szCs w:val="13"/>
        </w:rPr>
      </w:pPr>
      <w:r w:rsidRPr="00374C53">
        <w:rPr>
          <w:rStyle w:val="FootnoteReference"/>
          <w:sz w:val="13"/>
          <w:szCs w:val="13"/>
        </w:rPr>
        <w:footnoteRef/>
      </w:r>
      <w:r w:rsidRPr="00374C53">
        <w:rPr>
          <w:rStyle w:val="PageNumber"/>
          <w:sz w:val="13"/>
          <w:szCs w:val="13"/>
        </w:rPr>
        <w:t xml:space="preserve"> ONU. Asamblea General, 2014</w:t>
      </w:r>
      <w:r w:rsidRPr="00374C53">
        <w:rPr>
          <w:rStyle w:val="PageNumber"/>
          <w:i/>
          <w:iCs/>
          <w:sz w:val="13"/>
          <w:szCs w:val="13"/>
        </w:rPr>
        <w:t>. Resumen de las consultas celebradas acerca del proyecto de principios básicos sobre el derecho de las víctimas de la trata de personas a una reparación efectiva</w:t>
      </w:r>
      <w:r w:rsidRPr="00374C53">
        <w:rPr>
          <w:rStyle w:val="PageNumber"/>
          <w:sz w:val="13"/>
          <w:szCs w:val="13"/>
        </w:rPr>
        <w:t>, Anexo, A/HRC/26/18, párr</w:t>
      </w:r>
      <w:r w:rsidR="00994644" w:rsidRPr="00374C53">
        <w:rPr>
          <w:rStyle w:val="PageNumber"/>
          <w:sz w:val="13"/>
          <w:szCs w:val="13"/>
          <w:lang w:val="es-ES"/>
        </w:rPr>
        <w:t>.</w:t>
      </w:r>
      <w:r w:rsidRPr="00374C53">
        <w:rPr>
          <w:rStyle w:val="PageNumber"/>
          <w:sz w:val="13"/>
          <w:szCs w:val="13"/>
        </w:rPr>
        <w:t>1.</w:t>
      </w:r>
    </w:p>
  </w:footnote>
  <w:footnote w:id="55">
    <w:p w14:paraId="41C8FB9B" w14:textId="5E394A35" w:rsidR="0006449E" w:rsidRPr="00374C53" w:rsidRDefault="0006449E" w:rsidP="00374C53">
      <w:pPr>
        <w:pStyle w:val="FootnoteText"/>
        <w:spacing w:after="0" w:line="240" w:lineRule="auto"/>
        <w:jc w:val="both"/>
        <w:rPr>
          <w:sz w:val="13"/>
          <w:szCs w:val="13"/>
        </w:rPr>
      </w:pPr>
      <w:r w:rsidRPr="00374C53">
        <w:rPr>
          <w:rStyle w:val="PageNumber"/>
          <w:sz w:val="13"/>
          <w:szCs w:val="13"/>
          <w:vertAlign w:val="superscript"/>
        </w:rPr>
        <w:footnoteRef/>
      </w:r>
      <w:r w:rsidRPr="00374C53">
        <w:rPr>
          <w:rStyle w:val="PageNumber"/>
          <w:sz w:val="13"/>
          <w:szCs w:val="13"/>
        </w:rPr>
        <w:t xml:space="preserve"> ONU. Asamblea General, 2014. </w:t>
      </w:r>
      <w:r w:rsidRPr="00374C53">
        <w:rPr>
          <w:rStyle w:val="PageNumber"/>
          <w:i/>
          <w:iCs/>
          <w:sz w:val="13"/>
          <w:szCs w:val="13"/>
        </w:rPr>
        <w:t>Resumen de las consultas celebradas acerca del proyecto de principios básicos sobre el derecho de las víctimas de la trata de personas a una reparación efectiva</w:t>
      </w:r>
      <w:r w:rsidRPr="00374C53">
        <w:rPr>
          <w:rStyle w:val="PageNumber"/>
          <w:sz w:val="13"/>
          <w:szCs w:val="13"/>
        </w:rPr>
        <w:t>, Anexo, A/HRC/26/18 párr</w:t>
      </w:r>
      <w:r w:rsidR="00994644" w:rsidRPr="00374C53">
        <w:rPr>
          <w:rStyle w:val="PageNumber"/>
          <w:sz w:val="13"/>
          <w:szCs w:val="13"/>
          <w:lang w:val="es-ES"/>
        </w:rPr>
        <w:t>.</w:t>
      </w:r>
      <w:r w:rsidRPr="00374C53">
        <w:rPr>
          <w:rStyle w:val="PageNumber"/>
          <w:sz w:val="13"/>
          <w:szCs w:val="13"/>
        </w:rPr>
        <w:t xml:space="preserve"> 2.</w:t>
      </w:r>
    </w:p>
  </w:footnote>
  <w:footnote w:id="56">
    <w:p w14:paraId="1D0E73D4" w14:textId="613DE108" w:rsidR="0006449E" w:rsidRPr="00374C53" w:rsidRDefault="0006449E" w:rsidP="00374C53">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00864580" w:rsidRPr="00374C53">
        <w:rPr>
          <w:sz w:val="13"/>
          <w:szCs w:val="13"/>
          <w:lang w:val="es-ES"/>
        </w:rPr>
        <w:t>OEA. Comisión Interamericana de Derechos Humanos</w:t>
      </w:r>
      <w:r w:rsidRPr="00374C53">
        <w:rPr>
          <w:sz w:val="13"/>
          <w:szCs w:val="13"/>
        </w:rPr>
        <w:t xml:space="preserve">. </w:t>
      </w:r>
      <w:r w:rsidRPr="00374C53">
        <w:rPr>
          <w:i/>
          <w:sz w:val="13"/>
          <w:szCs w:val="13"/>
        </w:rPr>
        <w:t>Derechos humanos de los migrantes y otras personas en el contexto de la movilidad humana en méxico</w:t>
      </w:r>
      <w:r w:rsidRPr="00374C53">
        <w:rPr>
          <w:sz w:val="13"/>
          <w:szCs w:val="13"/>
        </w:rPr>
        <w:t xml:space="preserve">. OEA/Ser.L/V/II. Doc. 48/13 30 de diciembre 2013, párrs. 352-353. </w:t>
      </w:r>
    </w:p>
  </w:footnote>
  <w:footnote w:id="57">
    <w:p w14:paraId="629F9960" w14:textId="3FD6D971" w:rsidR="005C362E" w:rsidRPr="005C362E" w:rsidRDefault="005C362E" w:rsidP="005C362E">
      <w:pPr>
        <w:pStyle w:val="FootnoteText"/>
        <w:spacing w:after="0" w:line="240" w:lineRule="auto"/>
        <w:rPr>
          <w:lang w:val="es-ES"/>
        </w:rPr>
      </w:pPr>
      <w:r w:rsidRPr="005C362E">
        <w:rPr>
          <w:rStyle w:val="FootnoteReference"/>
          <w:sz w:val="13"/>
          <w:szCs w:val="13"/>
        </w:rPr>
        <w:footnoteRef/>
      </w:r>
      <w:r>
        <w:t xml:space="preserve"> </w:t>
      </w:r>
      <w:r w:rsidRPr="00374C53">
        <w:rPr>
          <w:rStyle w:val="PageNumber"/>
          <w:sz w:val="13"/>
          <w:szCs w:val="13"/>
        </w:rPr>
        <w:t xml:space="preserve">ONU. Asamblea General, 2010. </w:t>
      </w:r>
      <w:r w:rsidRPr="00374C53">
        <w:rPr>
          <w:rStyle w:val="PageNumber"/>
          <w:i/>
          <w:iCs/>
          <w:sz w:val="13"/>
          <w:szCs w:val="13"/>
        </w:rPr>
        <w:t>Informe de la Relatora Especial sobre la violencia contra la mujer, sus causas y consecuencias, Rashida Manjoo</w:t>
      </w:r>
      <w:r w:rsidRPr="00374C53">
        <w:rPr>
          <w:rStyle w:val="PageNumber"/>
          <w:sz w:val="13"/>
          <w:szCs w:val="13"/>
        </w:rPr>
        <w:t>*, A/HRC/14/22, párr</w:t>
      </w:r>
      <w:r w:rsidR="009C22A5">
        <w:rPr>
          <w:rStyle w:val="PageNumber"/>
          <w:sz w:val="13"/>
          <w:szCs w:val="13"/>
          <w:lang w:val="es-ES"/>
        </w:rPr>
        <w:t>s</w:t>
      </w:r>
      <w:r w:rsidRPr="00374C53">
        <w:rPr>
          <w:rStyle w:val="PageNumber"/>
          <w:sz w:val="13"/>
          <w:szCs w:val="13"/>
          <w:lang w:val="es-ES"/>
        </w:rPr>
        <w:t>.</w:t>
      </w:r>
      <w:r w:rsidRPr="00374C53">
        <w:rPr>
          <w:rStyle w:val="PageNumber"/>
          <w:sz w:val="13"/>
          <w:szCs w:val="13"/>
        </w:rPr>
        <w:t xml:space="preserve"> 24</w:t>
      </w:r>
      <w:r w:rsidR="0084265D">
        <w:rPr>
          <w:rStyle w:val="PageNumber"/>
          <w:sz w:val="13"/>
          <w:szCs w:val="13"/>
          <w:lang w:val="es-ES"/>
        </w:rPr>
        <w:t xml:space="preserve"> y 25</w:t>
      </w:r>
      <w:r w:rsidRPr="00374C53">
        <w:rPr>
          <w:rStyle w:val="PageNumber"/>
          <w:sz w:val="13"/>
          <w:szCs w:val="13"/>
        </w:rPr>
        <w:t>.</w:t>
      </w:r>
    </w:p>
  </w:footnote>
  <w:footnote w:id="58">
    <w:p w14:paraId="4E7E4124" w14:textId="2AA9AF94" w:rsidR="0006449E" w:rsidRPr="00374C53" w:rsidRDefault="0006449E" w:rsidP="005C362E">
      <w:pPr>
        <w:pStyle w:val="FootnoteText"/>
        <w:spacing w:after="0" w:line="240" w:lineRule="auto"/>
        <w:jc w:val="both"/>
        <w:rPr>
          <w:sz w:val="13"/>
          <w:szCs w:val="13"/>
        </w:rPr>
      </w:pPr>
      <w:r w:rsidRPr="00374C53">
        <w:rPr>
          <w:rStyle w:val="PageNumber"/>
          <w:sz w:val="13"/>
          <w:szCs w:val="13"/>
          <w:vertAlign w:val="superscript"/>
        </w:rPr>
        <w:footnoteRef/>
      </w:r>
      <w:r w:rsidRPr="00374C53">
        <w:rPr>
          <w:rStyle w:val="PageNumber"/>
          <w:sz w:val="13"/>
          <w:szCs w:val="13"/>
        </w:rPr>
        <w:t xml:space="preserve"> ONU. Asamblea General, 2010. </w:t>
      </w:r>
      <w:r w:rsidRPr="00374C53">
        <w:rPr>
          <w:rStyle w:val="PageNumber"/>
          <w:i/>
          <w:iCs/>
          <w:sz w:val="13"/>
          <w:szCs w:val="13"/>
        </w:rPr>
        <w:t>Informe de la Relatora Especial sobre la violencia contra la mujer, sus causas y consecuencias</w:t>
      </w:r>
      <w:r w:rsidRPr="00374C53">
        <w:rPr>
          <w:rStyle w:val="PageNumber"/>
          <w:sz w:val="13"/>
          <w:szCs w:val="13"/>
        </w:rPr>
        <w:t>, Rashida Manjoo*, A/HRC/14/22, párr</w:t>
      </w:r>
      <w:r w:rsidR="00864580" w:rsidRPr="00374C53">
        <w:rPr>
          <w:rStyle w:val="PageNumber"/>
          <w:sz w:val="13"/>
          <w:szCs w:val="13"/>
          <w:lang w:val="es-ES"/>
        </w:rPr>
        <w:t>.</w:t>
      </w:r>
      <w:r w:rsidRPr="00374C53">
        <w:rPr>
          <w:rStyle w:val="PageNumber"/>
          <w:sz w:val="13"/>
          <w:szCs w:val="13"/>
        </w:rPr>
        <w:t xml:space="preserve"> 24.</w:t>
      </w:r>
    </w:p>
  </w:footnote>
  <w:footnote w:id="59">
    <w:p w14:paraId="5C95D399" w14:textId="0F76F9C5" w:rsidR="0006449E" w:rsidRPr="00374C53" w:rsidRDefault="0006449E" w:rsidP="00374C53">
      <w:pPr>
        <w:pStyle w:val="FootnoteText"/>
        <w:spacing w:after="0" w:line="240" w:lineRule="auto"/>
        <w:jc w:val="both"/>
        <w:rPr>
          <w:sz w:val="13"/>
          <w:szCs w:val="13"/>
        </w:rPr>
      </w:pPr>
      <w:r w:rsidRPr="00374C53">
        <w:rPr>
          <w:rStyle w:val="PageNumber"/>
          <w:sz w:val="13"/>
          <w:szCs w:val="13"/>
          <w:vertAlign w:val="superscript"/>
        </w:rPr>
        <w:footnoteRef/>
      </w:r>
      <w:r w:rsidRPr="00374C53">
        <w:rPr>
          <w:rStyle w:val="PageNumber"/>
          <w:sz w:val="13"/>
          <w:szCs w:val="13"/>
        </w:rPr>
        <w:t xml:space="preserve"> Declaración de Nairobi sobre el Derecho de las mujeres y las niñas a interponer recursos y obtener reparaciones, 2007</w:t>
      </w:r>
      <w:r w:rsidR="00864580" w:rsidRPr="00374C53">
        <w:rPr>
          <w:rStyle w:val="PageNumber"/>
          <w:sz w:val="13"/>
          <w:szCs w:val="13"/>
          <w:lang w:val="es-ES"/>
        </w:rPr>
        <w:t>. P</w:t>
      </w:r>
      <w:r w:rsidRPr="00374C53">
        <w:rPr>
          <w:rStyle w:val="PageNumber"/>
          <w:sz w:val="13"/>
          <w:szCs w:val="13"/>
        </w:rPr>
        <w:t xml:space="preserve">unto resolutivo 4. Disponible [En línea] en: </w:t>
      </w:r>
      <w:hyperlink r:id="rId16" w:history="1">
        <w:r w:rsidRPr="00374C53">
          <w:rPr>
            <w:rStyle w:val="Hyperlink1"/>
            <w:sz w:val="13"/>
            <w:szCs w:val="13"/>
          </w:rPr>
          <w:t>www.fidh.org/IMG/pdf/DeclaraciondeNairobi-es.pdf</w:t>
        </w:r>
      </w:hyperlink>
    </w:p>
  </w:footnote>
  <w:footnote w:id="60">
    <w:p w14:paraId="7AE38665" w14:textId="003920BD" w:rsidR="0006449E" w:rsidRPr="00374C53" w:rsidRDefault="0006449E" w:rsidP="00374C53">
      <w:pPr>
        <w:pStyle w:val="FootnoteText"/>
        <w:spacing w:after="0" w:line="240" w:lineRule="auto"/>
        <w:jc w:val="both"/>
        <w:rPr>
          <w:sz w:val="13"/>
          <w:szCs w:val="13"/>
        </w:rPr>
      </w:pPr>
      <w:r w:rsidRPr="00374C53">
        <w:rPr>
          <w:rStyle w:val="FootnoteReference"/>
          <w:sz w:val="13"/>
          <w:szCs w:val="13"/>
        </w:rPr>
        <w:footnoteRef/>
      </w:r>
      <w:r w:rsidRPr="00374C53">
        <w:rPr>
          <w:rStyle w:val="PageNumber"/>
          <w:sz w:val="13"/>
          <w:szCs w:val="13"/>
        </w:rPr>
        <w:t xml:space="preserve"> ONU. Asamblea General, 2010. </w:t>
      </w:r>
      <w:r w:rsidRPr="00374C53">
        <w:rPr>
          <w:rStyle w:val="PageNumber"/>
          <w:i/>
          <w:iCs/>
          <w:sz w:val="13"/>
          <w:szCs w:val="13"/>
        </w:rPr>
        <w:t>Informe de la Relatora Especial sobre la violencia contra la mujer, sus causas y consecuencias, Rashida Manjoo</w:t>
      </w:r>
      <w:r w:rsidRPr="00374C53">
        <w:rPr>
          <w:rStyle w:val="PageNumber"/>
          <w:sz w:val="13"/>
          <w:szCs w:val="13"/>
        </w:rPr>
        <w:t>*, A/HRC/14/22, párr</w:t>
      </w:r>
      <w:r w:rsidR="00864580" w:rsidRPr="00374C53">
        <w:rPr>
          <w:rStyle w:val="PageNumber"/>
          <w:sz w:val="13"/>
          <w:szCs w:val="13"/>
          <w:lang w:val="es-ES"/>
        </w:rPr>
        <w:t>.</w:t>
      </w:r>
      <w:r w:rsidRPr="00374C53">
        <w:rPr>
          <w:rStyle w:val="PageNumber"/>
          <w:sz w:val="13"/>
          <w:szCs w:val="13"/>
        </w:rPr>
        <w:t xml:space="preserve"> 24.</w:t>
      </w:r>
    </w:p>
  </w:footnote>
  <w:footnote w:id="61">
    <w:p w14:paraId="05A7CD87" w14:textId="6793DEE8" w:rsidR="0006449E" w:rsidRPr="00374C53" w:rsidRDefault="0006449E" w:rsidP="00374C53">
      <w:pPr>
        <w:pStyle w:val="FootnoteText"/>
        <w:spacing w:after="0" w:line="240" w:lineRule="auto"/>
        <w:jc w:val="both"/>
        <w:rPr>
          <w:sz w:val="13"/>
          <w:szCs w:val="13"/>
        </w:rPr>
      </w:pPr>
      <w:r w:rsidRPr="00374C53">
        <w:rPr>
          <w:rStyle w:val="FootnoteReference"/>
          <w:sz w:val="13"/>
          <w:szCs w:val="13"/>
        </w:rPr>
        <w:footnoteRef/>
      </w:r>
      <w:r w:rsidRPr="00374C53">
        <w:rPr>
          <w:rStyle w:val="PageNumber"/>
          <w:sz w:val="13"/>
          <w:szCs w:val="13"/>
        </w:rPr>
        <w:t xml:space="preserve"> Declaración de Nairobi sobre el Derecho de las mujeres y las niñas a interponer recursos y obtener reparaciones, 2007</w:t>
      </w:r>
      <w:r w:rsidR="00505337" w:rsidRPr="00374C53">
        <w:rPr>
          <w:rStyle w:val="PageNumber"/>
          <w:sz w:val="13"/>
          <w:szCs w:val="13"/>
          <w:lang w:val="es-ES"/>
        </w:rPr>
        <w:t>. P</w:t>
      </w:r>
      <w:r w:rsidRPr="00374C53">
        <w:rPr>
          <w:rStyle w:val="PageNumber"/>
          <w:sz w:val="13"/>
          <w:szCs w:val="13"/>
        </w:rPr>
        <w:t xml:space="preserve">unto resolutivo 3. [En línea] </w:t>
      </w:r>
      <w:r w:rsidR="00505337" w:rsidRPr="00374C53">
        <w:rPr>
          <w:rStyle w:val="PageNumber"/>
          <w:sz w:val="13"/>
          <w:szCs w:val="13"/>
        </w:rPr>
        <w:t xml:space="preserve">Disponible </w:t>
      </w:r>
      <w:r w:rsidRPr="00374C53">
        <w:rPr>
          <w:rStyle w:val="PageNumber"/>
          <w:sz w:val="13"/>
          <w:szCs w:val="13"/>
        </w:rPr>
        <w:t xml:space="preserve">en: </w:t>
      </w:r>
      <w:hyperlink r:id="rId17" w:history="1">
        <w:r w:rsidRPr="00374C53">
          <w:rPr>
            <w:rStyle w:val="Hyperlink1"/>
            <w:sz w:val="13"/>
            <w:szCs w:val="13"/>
          </w:rPr>
          <w:t>www.fidh.org/IMG/pdf/DeclaraciondeNairobi-es.pdf</w:t>
        </w:r>
      </w:hyperlink>
      <w:r w:rsidRPr="00374C53">
        <w:rPr>
          <w:rStyle w:val="PageNumber"/>
          <w:sz w:val="13"/>
          <w:szCs w:val="13"/>
        </w:rPr>
        <w:t xml:space="preserve"> </w:t>
      </w:r>
    </w:p>
  </w:footnote>
  <w:footnote w:id="62">
    <w:p w14:paraId="118458D6" w14:textId="3D50B0EF" w:rsidR="0006449E" w:rsidRPr="00374C53" w:rsidRDefault="0006449E" w:rsidP="00374C53">
      <w:pPr>
        <w:pStyle w:val="FootnoteText"/>
        <w:spacing w:after="0" w:line="240" w:lineRule="auto"/>
        <w:jc w:val="both"/>
        <w:rPr>
          <w:sz w:val="13"/>
          <w:szCs w:val="13"/>
        </w:rPr>
      </w:pPr>
      <w:r w:rsidRPr="00374C53">
        <w:rPr>
          <w:rStyle w:val="FootnoteReference"/>
          <w:sz w:val="13"/>
          <w:szCs w:val="13"/>
        </w:rPr>
        <w:footnoteRef/>
      </w:r>
      <w:r w:rsidRPr="00374C53">
        <w:rPr>
          <w:sz w:val="13"/>
          <w:szCs w:val="13"/>
        </w:rPr>
        <w:t xml:space="preserve"> </w:t>
      </w:r>
      <w:r w:rsidR="005428CD" w:rsidRPr="00374C53">
        <w:rPr>
          <w:sz w:val="13"/>
          <w:szCs w:val="13"/>
          <w:lang w:val="es-ES"/>
        </w:rPr>
        <w:t xml:space="preserve">OEA. </w:t>
      </w:r>
      <w:r w:rsidRPr="00374C53">
        <w:rPr>
          <w:sz w:val="13"/>
          <w:szCs w:val="13"/>
          <w:lang w:val="es-ES"/>
        </w:rPr>
        <w:t xml:space="preserve">Corte </w:t>
      </w:r>
      <w:r w:rsidR="005428CD" w:rsidRPr="00374C53">
        <w:rPr>
          <w:sz w:val="13"/>
          <w:szCs w:val="13"/>
          <w:lang w:val="es-ES"/>
        </w:rPr>
        <w:t>Interamericana de Derechos Humanos</w:t>
      </w:r>
      <w:r w:rsidR="00E9161B" w:rsidRPr="00374C53">
        <w:rPr>
          <w:sz w:val="13"/>
          <w:szCs w:val="13"/>
          <w:lang w:val="es-ES"/>
        </w:rPr>
        <w:t>, 2018</w:t>
      </w:r>
      <w:r w:rsidRPr="00374C53">
        <w:rPr>
          <w:sz w:val="13"/>
          <w:szCs w:val="13"/>
          <w:lang w:val="es-ES"/>
        </w:rPr>
        <w:t xml:space="preserve">. </w:t>
      </w:r>
      <w:r w:rsidRPr="00374C53">
        <w:rPr>
          <w:i/>
          <w:sz w:val="13"/>
          <w:szCs w:val="13"/>
          <w:lang w:val="es-ES"/>
        </w:rPr>
        <w:t>Caso López Soto y otros vs. Venezuela</w:t>
      </w:r>
      <w:r w:rsidRPr="00374C53">
        <w:rPr>
          <w:sz w:val="13"/>
          <w:szCs w:val="13"/>
          <w:lang w:val="es-ES"/>
        </w:rPr>
        <w:t>. Fondo, Reparaciones y Costas. Sentencia de 26 de septiembre de 2018. Serie C No. 362. Capítulo IX sobre reparaciones.</w:t>
      </w:r>
    </w:p>
  </w:footnote>
  <w:footnote w:id="63">
    <w:p w14:paraId="437F94EB" w14:textId="4DDA3B36" w:rsidR="003E5BBA" w:rsidRPr="00374C53" w:rsidRDefault="003E5BBA" w:rsidP="00374C53">
      <w:pPr>
        <w:pStyle w:val="FootnoteText"/>
        <w:spacing w:after="0" w:line="240" w:lineRule="auto"/>
        <w:jc w:val="both"/>
        <w:rPr>
          <w:sz w:val="13"/>
          <w:szCs w:val="13"/>
          <w:lang w:val="es-ES"/>
        </w:rPr>
      </w:pPr>
      <w:r w:rsidRPr="00374C53">
        <w:rPr>
          <w:rStyle w:val="FootnoteReference"/>
          <w:sz w:val="13"/>
          <w:szCs w:val="13"/>
        </w:rPr>
        <w:footnoteRef/>
      </w:r>
      <w:r w:rsidR="00E9161B" w:rsidRPr="00374C53">
        <w:rPr>
          <w:sz w:val="13"/>
          <w:szCs w:val="13"/>
          <w:lang w:val="es-ES"/>
        </w:rPr>
        <w:t xml:space="preserve"> OEA. Corte Interamericana de Derechos Humanos</w:t>
      </w:r>
      <w:r w:rsidR="00A35E7F" w:rsidRPr="00374C53">
        <w:rPr>
          <w:sz w:val="13"/>
          <w:szCs w:val="13"/>
          <w:lang w:val="es-ES"/>
        </w:rPr>
        <w:t xml:space="preserve">, 2009. </w:t>
      </w:r>
      <w:r w:rsidR="00A35E7F" w:rsidRPr="00374C53">
        <w:rPr>
          <w:i/>
          <w:sz w:val="13"/>
          <w:szCs w:val="13"/>
          <w:lang w:val="es-ES"/>
        </w:rPr>
        <w:t xml:space="preserve">Caso González y otras (“Campo Algodonero”) vs. México.  </w:t>
      </w:r>
      <w:r w:rsidR="00A35E7F" w:rsidRPr="00374C53">
        <w:rPr>
          <w:sz w:val="13"/>
          <w:szCs w:val="13"/>
          <w:lang w:val="es-ES"/>
        </w:rPr>
        <w:t>Excepción Preliminar, Fondo, Reparaciones y Costas. Sentencia de 16 de noviembre de 2009. Serie C No. 205, párr.</w:t>
      </w:r>
      <w:r w:rsidR="00C0641C" w:rsidRPr="00374C53">
        <w:rPr>
          <w:sz w:val="13"/>
          <w:szCs w:val="13"/>
          <w:lang w:val="es-ES"/>
        </w:rPr>
        <w:t xml:space="preserve"> 450.</w:t>
      </w:r>
    </w:p>
  </w:footnote>
  <w:footnote w:id="64">
    <w:p w14:paraId="18338934" w14:textId="5B2EE95A" w:rsidR="003E5BBA" w:rsidRPr="00374C53" w:rsidRDefault="003E5BBA" w:rsidP="00374C53">
      <w:pPr>
        <w:pStyle w:val="FootnoteText"/>
        <w:spacing w:after="0" w:line="240" w:lineRule="auto"/>
        <w:jc w:val="both"/>
        <w:rPr>
          <w:sz w:val="13"/>
          <w:szCs w:val="13"/>
        </w:rPr>
      </w:pPr>
      <w:r w:rsidRPr="00374C53">
        <w:rPr>
          <w:rStyle w:val="PageNumber"/>
          <w:sz w:val="13"/>
          <w:szCs w:val="13"/>
          <w:vertAlign w:val="superscript"/>
        </w:rPr>
        <w:footnoteRef/>
      </w:r>
      <w:r w:rsidRPr="00374C53">
        <w:rPr>
          <w:rStyle w:val="PageNumber"/>
          <w:sz w:val="13"/>
          <w:szCs w:val="13"/>
          <w:lang w:val="es-ES"/>
        </w:rPr>
        <w:t xml:space="preserve"> </w:t>
      </w:r>
      <w:r w:rsidRPr="00374C53">
        <w:rPr>
          <w:rStyle w:val="PageNumber"/>
          <w:sz w:val="13"/>
          <w:szCs w:val="13"/>
        </w:rPr>
        <w:t xml:space="preserve">Declaración de Nairobi sobre el Derecho de las mujeres y las niñas a interponer recursos y obtener reparaciones, 2007. [En línea] </w:t>
      </w:r>
      <w:r w:rsidR="00DB5B59" w:rsidRPr="00374C53">
        <w:rPr>
          <w:rStyle w:val="PageNumber"/>
          <w:sz w:val="13"/>
          <w:szCs w:val="13"/>
          <w:lang w:val="es-ES"/>
        </w:rPr>
        <w:t xml:space="preserve">Disponible </w:t>
      </w:r>
      <w:r w:rsidRPr="00374C53">
        <w:rPr>
          <w:rStyle w:val="PageNumber"/>
          <w:sz w:val="13"/>
          <w:szCs w:val="13"/>
        </w:rPr>
        <w:t xml:space="preserve">en: </w:t>
      </w:r>
      <w:hyperlink r:id="rId18" w:history="1">
        <w:r w:rsidRPr="00374C53">
          <w:rPr>
            <w:rStyle w:val="Hyperlink1"/>
            <w:sz w:val="13"/>
            <w:szCs w:val="13"/>
          </w:rPr>
          <w:t>www.fidh.org/IMG/pdf/DeclaraciondeNairobi-es.pdf</w:t>
        </w:r>
      </w:hyperlink>
    </w:p>
  </w:footnote>
  <w:footnote w:id="65">
    <w:p w14:paraId="3E88F2BB" w14:textId="62A87155" w:rsidR="0006449E" w:rsidRPr="00374C53" w:rsidRDefault="0006449E" w:rsidP="00374C53">
      <w:pPr>
        <w:pStyle w:val="FootnoteText"/>
        <w:spacing w:after="0" w:line="240" w:lineRule="auto"/>
        <w:jc w:val="both"/>
        <w:rPr>
          <w:sz w:val="13"/>
          <w:szCs w:val="13"/>
        </w:rPr>
      </w:pPr>
      <w:r w:rsidRPr="00374C53">
        <w:rPr>
          <w:rStyle w:val="FootnoteReference"/>
          <w:sz w:val="13"/>
          <w:szCs w:val="13"/>
        </w:rPr>
        <w:footnoteRef/>
      </w:r>
      <w:r w:rsidRPr="00374C53">
        <w:rPr>
          <w:sz w:val="13"/>
          <w:szCs w:val="13"/>
        </w:rPr>
        <w:t xml:space="preserve"> </w:t>
      </w:r>
      <w:r w:rsidRPr="00374C53">
        <w:rPr>
          <w:sz w:val="13"/>
          <w:szCs w:val="13"/>
          <w:lang w:val="es-ES"/>
        </w:rPr>
        <w:t>ONU. Asamblea Genera</w:t>
      </w:r>
      <w:r w:rsidR="00954DF1" w:rsidRPr="00374C53">
        <w:rPr>
          <w:sz w:val="13"/>
          <w:szCs w:val="13"/>
          <w:lang w:val="es-ES"/>
        </w:rPr>
        <w:t>l</w:t>
      </w:r>
      <w:r w:rsidRPr="00374C53">
        <w:rPr>
          <w:sz w:val="13"/>
          <w:szCs w:val="13"/>
          <w:lang w:val="es-ES"/>
        </w:rPr>
        <w:t xml:space="preserve">, 2009. </w:t>
      </w:r>
      <w:r w:rsidRPr="00374C53">
        <w:rPr>
          <w:i/>
          <w:sz w:val="13"/>
          <w:szCs w:val="13"/>
          <w:lang w:val="es-ES"/>
        </w:rPr>
        <w:t>Informe de la Relatora Especial sobre la trata de personas, especialmente mujeres y niños</w:t>
      </w:r>
      <w:r w:rsidRPr="00374C53">
        <w:rPr>
          <w:sz w:val="13"/>
          <w:szCs w:val="13"/>
          <w:lang w:val="es-ES"/>
        </w:rPr>
        <w:t xml:space="preserve">, A/64/290, párr. </w:t>
      </w:r>
      <w:r w:rsidRPr="00BC1694">
        <w:rPr>
          <w:sz w:val="13"/>
          <w:szCs w:val="13"/>
          <w:lang w:val="es-ES"/>
        </w:rPr>
        <w:t>57.</w:t>
      </w:r>
    </w:p>
  </w:footnote>
  <w:footnote w:id="66">
    <w:p w14:paraId="26D4C175" w14:textId="3EABDD5B" w:rsidR="0006449E" w:rsidRPr="00374C53" w:rsidRDefault="0006449E" w:rsidP="00374C53">
      <w:pPr>
        <w:jc w:val="both"/>
        <w:rPr>
          <w:sz w:val="13"/>
          <w:szCs w:val="13"/>
        </w:rPr>
      </w:pPr>
      <w:r w:rsidRPr="00374C53">
        <w:rPr>
          <w:rStyle w:val="FootnoteReference"/>
          <w:sz w:val="13"/>
          <w:szCs w:val="13"/>
        </w:rPr>
        <w:footnoteRef/>
      </w:r>
      <w:r w:rsidRPr="00374C53">
        <w:rPr>
          <w:sz w:val="13"/>
          <w:szCs w:val="13"/>
        </w:rPr>
        <w:t xml:space="preserve"> </w:t>
      </w:r>
      <w:r w:rsidR="00AF05DB" w:rsidRPr="00374C53">
        <w:rPr>
          <w:sz w:val="13"/>
          <w:szCs w:val="13"/>
        </w:rPr>
        <w:t>ONU. Consejo Económico Social, 2006.</w:t>
      </w:r>
      <w:r w:rsidRPr="00374C53">
        <w:rPr>
          <w:sz w:val="13"/>
          <w:szCs w:val="13"/>
        </w:rPr>
        <w:t xml:space="preserve"> </w:t>
      </w:r>
      <w:r w:rsidR="00AF05DB" w:rsidRPr="00374C53">
        <w:rPr>
          <w:i/>
          <w:sz w:val="13"/>
          <w:szCs w:val="13"/>
        </w:rPr>
        <w:t>Informe de la Relatora Especial sobre la violencia contra la mujer, sus causas y consecuencias</w:t>
      </w:r>
      <w:r w:rsidRPr="00374C53">
        <w:rPr>
          <w:sz w:val="13"/>
          <w:szCs w:val="13"/>
        </w:rPr>
        <w:t>, Yakin Ertürk, E/CN.4/2006/61</w:t>
      </w:r>
      <w:r w:rsidRPr="00374C53">
        <w:rPr>
          <w:i/>
          <w:iCs/>
          <w:sz w:val="13"/>
          <w:szCs w:val="13"/>
        </w:rPr>
        <w:t xml:space="preserve">, </w:t>
      </w:r>
      <w:r w:rsidRPr="00374C53">
        <w:rPr>
          <w:sz w:val="13"/>
          <w:szCs w:val="13"/>
        </w:rPr>
        <w:t>p</w:t>
      </w:r>
      <w:r w:rsidR="00AF05DB" w:rsidRPr="00374C53">
        <w:rPr>
          <w:sz w:val="13"/>
          <w:szCs w:val="13"/>
        </w:rPr>
        <w:t>árr.</w:t>
      </w:r>
      <w:r w:rsidRPr="00374C53">
        <w:rPr>
          <w:sz w:val="13"/>
          <w:szCs w:val="13"/>
        </w:rPr>
        <w:t xml:space="preserve"> 82.</w:t>
      </w:r>
      <w:r w:rsidR="00AF05DB" w:rsidRPr="00374C53">
        <w:rPr>
          <w:sz w:val="13"/>
          <w:szCs w:val="13"/>
        </w:rPr>
        <w:t xml:space="preserve"> Véase, también: </w:t>
      </w:r>
      <w:r w:rsidR="00944664" w:rsidRPr="00374C53">
        <w:rPr>
          <w:sz w:val="13"/>
          <w:szCs w:val="13"/>
        </w:rPr>
        <w:t xml:space="preserve">Comisión Africana de Derechos Humanos y de los Pueblos, 2017. Guía para </w:t>
      </w:r>
      <w:r w:rsidR="00CB224D" w:rsidRPr="00374C53">
        <w:rPr>
          <w:sz w:val="13"/>
          <w:szCs w:val="13"/>
        </w:rPr>
        <w:t>combatir</w:t>
      </w:r>
      <w:r w:rsidR="00944664" w:rsidRPr="00374C53">
        <w:rPr>
          <w:sz w:val="13"/>
          <w:szCs w:val="13"/>
        </w:rPr>
        <w:t xml:space="preserve"> </w:t>
      </w:r>
      <w:r w:rsidR="00DB5B59" w:rsidRPr="00374C53">
        <w:rPr>
          <w:sz w:val="13"/>
          <w:szCs w:val="13"/>
        </w:rPr>
        <w:t xml:space="preserve">la violencia sexual y sus consecuencias en África, </w:t>
      </w:r>
      <w:r w:rsidRPr="00374C53">
        <w:rPr>
          <w:sz w:val="13"/>
          <w:szCs w:val="13"/>
        </w:rPr>
        <w:t>Part</w:t>
      </w:r>
      <w:r w:rsidR="00DB5B59" w:rsidRPr="00374C53">
        <w:rPr>
          <w:sz w:val="13"/>
          <w:szCs w:val="13"/>
        </w:rPr>
        <w:t>e</w:t>
      </w:r>
      <w:r w:rsidRPr="00374C53">
        <w:rPr>
          <w:sz w:val="13"/>
          <w:szCs w:val="13"/>
        </w:rPr>
        <w:t xml:space="preserve"> 3, p</w:t>
      </w:r>
      <w:r w:rsidR="00DB5B59" w:rsidRPr="00374C53">
        <w:rPr>
          <w:sz w:val="13"/>
          <w:szCs w:val="13"/>
        </w:rPr>
        <w:t>árr.</w:t>
      </w:r>
      <w:r w:rsidRPr="00374C53">
        <w:rPr>
          <w:sz w:val="13"/>
          <w:szCs w:val="13"/>
        </w:rPr>
        <w:t xml:space="preserve"> 24</w:t>
      </w:r>
      <w:r w:rsidR="00DB5B59" w:rsidRPr="00374C53">
        <w:rPr>
          <w:sz w:val="13"/>
          <w:szCs w:val="13"/>
        </w:rPr>
        <w:t xml:space="preserve">. </w:t>
      </w:r>
      <w:r w:rsidR="00DB5B59" w:rsidRPr="00374C53">
        <w:rPr>
          <w:rStyle w:val="PageNumber"/>
          <w:sz w:val="13"/>
          <w:szCs w:val="13"/>
        </w:rPr>
        <w:t xml:space="preserve">[En línea] Disponible en: </w:t>
      </w:r>
      <w:hyperlink r:id="rId19" w:history="1">
        <w:r w:rsidR="00DB5B59" w:rsidRPr="00374C53">
          <w:rPr>
            <w:rStyle w:val="Hyperlink"/>
            <w:sz w:val="13"/>
            <w:szCs w:val="13"/>
          </w:rPr>
          <w:t>www.achpr.org/files/instruments/combating-sexual-violence/achpr_eng_guidelines_on_combating_sexual_violence_and_its_consequences.pdf</w:t>
        </w:r>
      </w:hyperlink>
      <w:r w:rsidRPr="00374C53">
        <w:rPr>
          <w:sz w:val="13"/>
          <w:szCs w:val="13"/>
        </w:rPr>
        <w:t xml:space="preserve">; </w:t>
      </w:r>
      <w:r w:rsidR="00DB5B59" w:rsidRPr="00374C53">
        <w:rPr>
          <w:sz w:val="13"/>
          <w:szCs w:val="13"/>
        </w:rPr>
        <w:t xml:space="preserve">Protocolo a la Carta Africana de Derechos Humanos y de los Pueblos, artículo </w:t>
      </w:r>
      <w:r w:rsidRPr="00374C53">
        <w:rPr>
          <w:sz w:val="13"/>
          <w:szCs w:val="13"/>
        </w:rPr>
        <w:t>4</w:t>
      </w:r>
      <w:r w:rsidR="00DB5B59" w:rsidRPr="00374C53">
        <w:rPr>
          <w:sz w:val="13"/>
          <w:szCs w:val="13"/>
        </w:rPr>
        <w:t xml:space="preserve">. </w:t>
      </w:r>
      <w:r w:rsidRPr="00374C53">
        <w:rPr>
          <w:sz w:val="13"/>
          <w:szCs w:val="13"/>
        </w:rPr>
        <w:t xml:space="preserve">e). </w:t>
      </w:r>
    </w:p>
  </w:footnote>
  <w:footnote w:id="67">
    <w:p w14:paraId="4B0E70F5" w14:textId="42165D7B" w:rsidR="0006449E" w:rsidRPr="00374C53" w:rsidRDefault="0006449E" w:rsidP="00374C53">
      <w:pPr>
        <w:pStyle w:val="Cuerpo"/>
        <w:jc w:val="both"/>
        <w:rPr>
          <w:rFonts w:cs="Times New Roman"/>
          <w:sz w:val="13"/>
          <w:szCs w:val="13"/>
        </w:rPr>
      </w:pPr>
      <w:r w:rsidRPr="00374C53">
        <w:rPr>
          <w:rStyle w:val="PageNumber"/>
          <w:rFonts w:cs="Times New Roman"/>
          <w:sz w:val="13"/>
          <w:szCs w:val="13"/>
          <w:vertAlign w:val="superscript"/>
        </w:rPr>
        <w:footnoteRef/>
      </w:r>
      <w:r w:rsidRPr="00374C53">
        <w:rPr>
          <w:rStyle w:val="PageNumber"/>
          <w:rFonts w:cs="Times New Roman"/>
          <w:sz w:val="13"/>
          <w:szCs w:val="13"/>
        </w:rPr>
        <w:t xml:space="preserve"> Según la ex relatora: “bajo muchos regímenes autoritarios, y más todavía en los casos de conflictos civiles de grandes proporciones, la violencia suele cometerse con la complicidad de agentes no estatales, como otros Estados, guerrilleros, grupos de autodefensa, empresas y ciudadanos comunes. Si bien algunos programas de reparación abarcan estas formas de violencia, sus resultados en general son irregulares”. ONU. Asamblea General, 2010. </w:t>
      </w:r>
      <w:r w:rsidRPr="00374C53">
        <w:rPr>
          <w:rStyle w:val="PageNumber"/>
          <w:rFonts w:cs="Times New Roman"/>
          <w:i/>
          <w:iCs/>
          <w:sz w:val="13"/>
          <w:szCs w:val="13"/>
        </w:rPr>
        <w:t>Informe de la Relatora Especial sobre la violencia contra la mujer, sus causas y consecuencias, Rashida Manjoo</w:t>
      </w:r>
      <w:r w:rsidRPr="00374C53">
        <w:rPr>
          <w:rStyle w:val="PageNumber"/>
          <w:rFonts w:cs="Times New Roman"/>
          <w:sz w:val="13"/>
          <w:szCs w:val="13"/>
        </w:rPr>
        <w:t>*, A/HRC/14/22, pá</w:t>
      </w:r>
      <w:r w:rsidRPr="00374C53">
        <w:rPr>
          <w:rStyle w:val="PageNumber"/>
          <w:rFonts w:cs="Times New Roman"/>
          <w:sz w:val="13"/>
          <w:szCs w:val="13"/>
          <w:lang w:val="it-IT"/>
        </w:rPr>
        <w:t>r</w:t>
      </w:r>
      <w:r w:rsidR="00CB224D" w:rsidRPr="00374C53">
        <w:rPr>
          <w:rStyle w:val="PageNumber"/>
          <w:rFonts w:cs="Times New Roman"/>
          <w:sz w:val="13"/>
          <w:szCs w:val="13"/>
          <w:lang w:val="it-IT"/>
        </w:rPr>
        <w:t>r.</w:t>
      </w:r>
      <w:r w:rsidRPr="00374C53">
        <w:rPr>
          <w:rStyle w:val="PageNumber"/>
          <w:rFonts w:cs="Times New Roman"/>
          <w:sz w:val="13"/>
          <w:szCs w:val="13"/>
          <w:lang w:val="it-IT"/>
        </w:rPr>
        <w:t xml:space="preserve"> 46. V</w:t>
      </w:r>
      <w:r w:rsidRPr="00374C53">
        <w:rPr>
          <w:rStyle w:val="PageNumber"/>
          <w:rFonts w:cs="Times New Roman"/>
          <w:sz w:val="13"/>
          <w:szCs w:val="13"/>
        </w:rPr>
        <w:t xml:space="preserve">éase, también: </w:t>
      </w:r>
      <w:r w:rsidR="00CB224D" w:rsidRPr="00374C53">
        <w:rPr>
          <w:rStyle w:val="PageNumber"/>
          <w:rFonts w:cs="Times New Roman"/>
          <w:sz w:val="13"/>
          <w:szCs w:val="13"/>
        </w:rPr>
        <w:t>TEDH</w:t>
      </w:r>
      <w:r w:rsidRPr="00374C53">
        <w:rPr>
          <w:rStyle w:val="PageNumber"/>
          <w:rFonts w:cs="Times New Roman"/>
          <w:sz w:val="13"/>
          <w:szCs w:val="13"/>
        </w:rPr>
        <w:t xml:space="preserve">, 2010. </w:t>
      </w:r>
      <w:r w:rsidRPr="00374C53">
        <w:rPr>
          <w:rStyle w:val="PageNumber"/>
          <w:rFonts w:cs="Times New Roman"/>
          <w:i/>
          <w:iCs/>
          <w:sz w:val="13"/>
          <w:szCs w:val="13"/>
        </w:rPr>
        <w:t>Caso Rantsev v. Chipre y Rusia</w:t>
      </w:r>
      <w:r w:rsidRPr="00374C53">
        <w:rPr>
          <w:rStyle w:val="PageNumber"/>
          <w:rFonts w:cs="Times New Roman"/>
          <w:sz w:val="13"/>
          <w:szCs w:val="13"/>
        </w:rPr>
        <w:t>, comunicación núm. 25965/04.</w:t>
      </w:r>
    </w:p>
  </w:footnote>
  <w:footnote w:id="68">
    <w:p w14:paraId="04103D7A" w14:textId="545FABBC" w:rsidR="0006449E" w:rsidRPr="00374C53" w:rsidRDefault="0006449E" w:rsidP="00374C53">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Pr="00374C53">
        <w:rPr>
          <w:sz w:val="13"/>
          <w:szCs w:val="13"/>
          <w:lang w:val="es-ES"/>
        </w:rPr>
        <w:t>ONU. Asamblea Genera</w:t>
      </w:r>
      <w:r w:rsidR="00CB224D" w:rsidRPr="00374C53">
        <w:rPr>
          <w:sz w:val="13"/>
          <w:szCs w:val="13"/>
          <w:lang w:val="es-ES"/>
        </w:rPr>
        <w:t>l</w:t>
      </w:r>
      <w:r w:rsidRPr="00374C53">
        <w:rPr>
          <w:sz w:val="13"/>
          <w:szCs w:val="13"/>
          <w:lang w:val="es-ES"/>
        </w:rPr>
        <w:t xml:space="preserve">, 2009. </w:t>
      </w:r>
      <w:r w:rsidRPr="00374C53">
        <w:rPr>
          <w:i/>
          <w:sz w:val="13"/>
          <w:szCs w:val="13"/>
          <w:lang w:val="es-ES"/>
        </w:rPr>
        <w:t>Informe de la Relatora Especial sobre la trata de personas, especialmente mujeres y niños</w:t>
      </w:r>
      <w:r w:rsidRPr="00374C53">
        <w:rPr>
          <w:sz w:val="13"/>
          <w:szCs w:val="13"/>
          <w:lang w:val="es-ES"/>
        </w:rPr>
        <w:t>, A/64/290, párr. 57.</w:t>
      </w:r>
    </w:p>
  </w:footnote>
  <w:footnote w:id="69">
    <w:p w14:paraId="7E1315F5" w14:textId="414603CF" w:rsidR="0006449E" w:rsidRPr="00374C53" w:rsidRDefault="0006449E" w:rsidP="00374C53">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Pr="00374C53">
        <w:rPr>
          <w:sz w:val="13"/>
          <w:szCs w:val="13"/>
          <w:lang w:val="es-ES"/>
        </w:rPr>
        <w:t>ONU. Asamblea Genera</w:t>
      </w:r>
      <w:r w:rsidR="00CB224D" w:rsidRPr="00374C53">
        <w:rPr>
          <w:sz w:val="13"/>
          <w:szCs w:val="13"/>
          <w:lang w:val="es-ES"/>
        </w:rPr>
        <w:t>l</w:t>
      </w:r>
      <w:r w:rsidRPr="00374C53">
        <w:rPr>
          <w:sz w:val="13"/>
          <w:szCs w:val="13"/>
          <w:lang w:val="es-ES"/>
        </w:rPr>
        <w:t xml:space="preserve">, 2009. </w:t>
      </w:r>
      <w:r w:rsidRPr="00374C53">
        <w:rPr>
          <w:i/>
          <w:sz w:val="13"/>
          <w:szCs w:val="13"/>
          <w:lang w:val="es-ES"/>
        </w:rPr>
        <w:t>Informe de la Relatora Especial sobre la trata de personas, especialmente mujeres y niños</w:t>
      </w:r>
      <w:r w:rsidRPr="00374C53">
        <w:rPr>
          <w:sz w:val="13"/>
          <w:szCs w:val="13"/>
          <w:lang w:val="es-ES"/>
        </w:rPr>
        <w:t>, A/64/290, párr</w:t>
      </w:r>
      <w:r w:rsidR="00CB224D" w:rsidRPr="00374C53">
        <w:rPr>
          <w:sz w:val="13"/>
          <w:szCs w:val="13"/>
          <w:lang w:val="es-ES"/>
        </w:rPr>
        <w:t>.</w:t>
      </w:r>
      <w:r w:rsidRPr="00374C53">
        <w:rPr>
          <w:sz w:val="13"/>
          <w:szCs w:val="13"/>
          <w:lang w:val="es-ES"/>
        </w:rPr>
        <w:t xml:space="preserve"> 58.</w:t>
      </w:r>
    </w:p>
  </w:footnote>
  <w:footnote w:id="70">
    <w:p w14:paraId="3D3E5163" w14:textId="6CC12E4B" w:rsidR="0006449E" w:rsidRPr="00374C53" w:rsidRDefault="0006449E" w:rsidP="00374C53">
      <w:pPr>
        <w:jc w:val="both"/>
        <w:rPr>
          <w:sz w:val="13"/>
          <w:szCs w:val="13"/>
        </w:rPr>
      </w:pPr>
      <w:r w:rsidRPr="00374C53">
        <w:rPr>
          <w:rStyle w:val="FootnoteReference"/>
          <w:sz w:val="13"/>
          <w:szCs w:val="13"/>
        </w:rPr>
        <w:footnoteRef/>
      </w:r>
      <w:r w:rsidRPr="00374C53">
        <w:rPr>
          <w:sz w:val="13"/>
          <w:szCs w:val="13"/>
        </w:rPr>
        <w:t xml:space="preserve"> </w:t>
      </w:r>
      <w:r w:rsidR="0028721A" w:rsidRPr="00374C53">
        <w:rPr>
          <w:color w:val="000000" w:themeColor="text1"/>
          <w:sz w:val="13"/>
          <w:szCs w:val="13"/>
        </w:rPr>
        <w:t xml:space="preserve">ONU. Comité CEDAW, 2017. </w:t>
      </w:r>
      <w:r w:rsidR="0028721A" w:rsidRPr="00374C53">
        <w:rPr>
          <w:i/>
          <w:color w:val="000000" w:themeColor="text1"/>
          <w:sz w:val="13"/>
          <w:szCs w:val="13"/>
        </w:rPr>
        <w:t>Recomendación General núm. 35 sobre la violencia de género contra la mujer, por la que se actualiza la recomendación general Nº 19</w:t>
      </w:r>
      <w:r w:rsidR="0028721A" w:rsidRPr="00374C53">
        <w:rPr>
          <w:color w:val="000000" w:themeColor="text1"/>
          <w:sz w:val="13"/>
          <w:szCs w:val="13"/>
        </w:rPr>
        <w:t xml:space="preserve">, CEDAW/C/GC/35, de 26 de julio, </w:t>
      </w:r>
      <w:r w:rsidRPr="00374C53">
        <w:rPr>
          <w:sz w:val="13"/>
          <w:szCs w:val="13"/>
        </w:rPr>
        <w:t>párr. 18.</w:t>
      </w:r>
      <w:r w:rsidR="0028721A" w:rsidRPr="00374C53">
        <w:rPr>
          <w:sz w:val="13"/>
          <w:szCs w:val="13"/>
        </w:rPr>
        <w:t xml:space="preserve"> Véase, también: ONU. Asamblea General, 2016. </w:t>
      </w:r>
      <w:r w:rsidRPr="00374C53">
        <w:rPr>
          <w:i/>
          <w:sz w:val="13"/>
          <w:szCs w:val="13"/>
        </w:rPr>
        <w:t>Informe del Relator Especial sobre la tortura y otros tratos o penas crueles, inhumanos o degradantes</w:t>
      </w:r>
      <w:r w:rsidR="0028721A" w:rsidRPr="00374C53">
        <w:rPr>
          <w:sz w:val="13"/>
          <w:szCs w:val="13"/>
        </w:rPr>
        <w:t xml:space="preserve">, </w:t>
      </w:r>
      <w:r w:rsidRPr="00374C53">
        <w:rPr>
          <w:sz w:val="13"/>
          <w:szCs w:val="13"/>
        </w:rPr>
        <w:t xml:space="preserve">A/HRC/31/57; </w:t>
      </w:r>
      <w:r w:rsidR="0028721A" w:rsidRPr="00374C53">
        <w:rPr>
          <w:color w:val="000000" w:themeColor="text1"/>
          <w:sz w:val="13"/>
          <w:szCs w:val="13"/>
        </w:rPr>
        <w:t>Comité CEDAW, 2011. Caso</w:t>
      </w:r>
      <w:r w:rsidR="0028721A" w:rsidRPr="00374C53">
        <w:rPr>
          <w:sz w:val="13"/>
          <w:szCs w:val="13"/>
        </w:rPr>
        <w:t xml:space="preserve"> </w:t>
      </w:r>
      <w:r w:rsidR="0028721A" w:rsidRPr="00374C53">
        <w:rPr>
          <w:i/>
          <w:sz w:val="13"/>
          <w:szCs w:val="13"/>
        </w:rPr>
        <w:t>L.C. c. Perú</w:t>
      </w:r>
      <w:r w:rsidRPr="00374C53">
        <w:rPr>
          <w:sz w:val="13"/>
          <w:szCs w:val="13"/>
        </w:rPr>
        <w:t xml:space="preserve">, comunicación núm. 22/2009, </w:t>
      </w:r>
      <w:r w:rsidR="0028721A" w:rsidRPr="00374C53">
        <w:rPr>
          <w:sz w:val="13"/>
          <w:szCs w:val="13"/>
        </w:rPr>
        <w:t>de</w:t>
      </w:r>
      <w:r w:rsidRPr="00374C53">
        <w:rPr>
          <w:sz w:val="13"/>
          <w:szCs w:val="13"/>
        </w:rPr>
        <w:t xml:space="preserve"> 17 de octubre de 2011, párr. 8.18</w:t>
      </w:r>
      <w:r w:rsidR="0028721A" w:rsidRPr="00374C53">
        <w:rPr>
          <w:sz w:val="13"/>
          <w:szCs w:val="13"/>
        </w:rPr>
        <w:t>)</w:t>
      </w:r>
      <w:r w:rsidRPr="00374C53">
        <w:rPr>
          <w:sz w:val="13"/>
          <w:szCs w:val="13"/>
        </w:rPr>
        <w:t>; Comité de Derechos Humanos,</w:t>
      </w:r>
      <w:r w:rsidR="00BC573D" w:rsidRPr="00374C53">
        <w:rPr>
          <w:sz w:val="13"/>
          <w:szCs w:val="13"/>
        </w:rPr>
        <w:t xml:space="preserve"> 2016.</w:t>
      </w:r>
      <w:r w:rsidRPr="00374C53">
        <w:rPr>
          <w:sz w:val="13"/>
          <w:szCs w:val="13"/>
        </w:rPr>
        <w:t xml:space="preserve"> </w:t>
      </w:r>
      <w:r w:rsidR="00BC573D" w:rsidRPr="00374C53">
        <w:rPr>
          <w:i/>
          <w:sz w:val="13"/>
          <w:szCs w:val="13"/>
        </w:rPr>
        <w:t>Caso Mellet c. Irlanda</w:t>
      </w:r>
      <w:r w:rsidR="00BC573D" w:rsidRPr="00374C53">
        <w:rPr>
          <w:sz w:val="13"/>
          <w:szCs w:val="13"/>
        </w:rPr>
        <w:t xml:space="preserve"> </w:t>
      </w:r>
      <w:r w:rsidRPr="00374C53">
        <w:rPr>
          <w:sz w:val="13"/>
          <w:szCs w:val="13"/>
        </w:rPr>
        <w:t>comunicaci</w:t>
      </w:r>
      <w:r w:rsidR="00BC573D" w:rsidRPr="00374C53">
        <w:rPr>
          <w:sz w:val="13"/>
          <w:szCs w:val="13"/>
        </w:rPr>
        <w:t>ón</w:t>
      </w:r>
      <w:r w:rsidRPr="00374C53">
        <w:rPr>
          <w:sz w:val="13"/>
          <w:szCs w:val="13"/>
        </w:rPr>
        <w:t xml:space="preserve"> núm. 2324/2013, </w:t>
      </w:r>
      <w:r w:rsidR="00BC573D" w:rsidRPr="00374C53">
        <w:rPr>
          <w:sz w:val="13"/>
          <w:szCs w:val="13"/>
        </w:rPr>
        <w:t xml:space="preserve">de </w:t>
      </w:r>
      <w:r w:rsidRPr="00374C53">
        <w:rPr>
          <w:sz w:val="13"/>
          <w:szCs w:val="13"/>
        </w:rPr>
        <w:t>31 de marzo de 2016, párr. 7.4</w:t>
      </w:r>
      <w:r w:rsidR="00BC573D" w:rsidRPr="00374C53">
        <w:rPr>
          <w:sz w:val="13"/>
          <w:szCs w:val="13"/>
        </w:rPr>
        <w:t>)</w:t>
      </w:r>
      <w:r w:rsidRPr="00374C53">
        <w:rPr>
          <w:sz w:val="13"/>
          <w:szCs w:val="13"/>
        </w:rPr>
        <w:t xml:space="preserve">, y </w:t>
      </w:r>
      <w:r w:rsidR="00BC573D" w:rsidRPr="00374C53">
        <w:rPr>
          <w:sz w:val="13"/>
          <w:szCs w:val="13"/>
        </w:rPr>
        <w:t xml:space="preserve">Comité de Derechos Humanos, 2016. Caso </w:t>
      </w:r>
      <w:r w:rsidR="00BC573D" w:rsidRPr="00374C53">
        <w:rPr>
          <w:i/>
          <w:sz w:val="13"/>
          <w:szCs w:val="13"/>
        </w:rPr>
        <w:t>Whelan c. Irlanda</w:t>
      </w:r>
      <w:r w:rsidR="00BC573D" w:rsidRPr="00374C53">
        <w:rPr>
          <w:sz w:val="13"/>
          <w:szCs w:val="13"/>
        </w:rPr>
        <w:t xml:space="preserve">, comunicación </w:t>
      </w:r>
      <w:r w:rsidRPr="00374C53">
        <w:rPr>
          <w:sz w:val="13"/>
          <w:szCs w:val="13"/>
        </w:rPr>
        <w:t>núm. 2425/2014,</w:t>
      </w:r>
      <w:r w:rsidR="00BC573D" w:rsidRPr="00374C53">
        <w:rPr>
          <w:sz w:val="13"/>
          <w:szCs w:val="13"/>
        </w:rPr>
        <w:t xml:space="preserve"> de</w:t>
      </w:r>
      <w:r w:rsidRPr="00374C53">
        <w:rPr>
          <w:sz w:val="13"/>
          <w:szCs w:val="13"/>
        </w:rPr>
        <w:t xml:space="preserve"> 17 de marzo</w:t>
      </w:r>
      <w:r w:rsidR="00BC573D" w:rsidRPr="00374C53">
        <w:rPr>
          <w:sz w:val="13"/>
          <w:szCs w:val="13"/>
        </w:rPr>
        <w:t>.</w:t>
      </w:r>
    </w:p>
  </w:footnote>
  <w:footnote w:id="71">
    <w:p w14:paraId="1AC526B2" w14:textId="77777777" w:rsidR="0006449E" w:rsidRPr="00374C53" w:rsidRDefault="0006449E" w:rsidP="00374C53">
      <w:pPr>
        <w:pStyle w:val="FootnoteText"/>
        <w:spacing w:after="0" w:line="240" w:lineRule="auto"/>
        <w:jc w:val="both"/>
        <w:rPr>
          <w:sz w:val="13"/>
          <w:szCs w:val="13"/>
        </w:rPr>
      </w:pPr>
      <w:r w:rsidRPr="00374C53">
        <w:rPr>
          <w:rStyle w:val="FootnoteReference"/>
          <w:sz w:val="13"/>
          <w:szCs w:val="13"/>
        </w:rPr>
        <w:footnoteRef/>
      </w:r>
      <w:r w:rsidRPr="00374C53">
        <w:rPr>
          <w:sz w:val="13"/>
          <w:szCs w:val="13"/>
        </w:rPr>
        <w:t xml:space="preserve"> Información disponible en: </w:t>
      </w:r>
      <w:hyperlink r:id="rId20" w:history="1">
        <w:r w:rsidRPr="00374C53">
          <w:rPr>
            <w:rStyle w:val="Hyperlink"/>
            <w:sz w:val="13"/>
            <w:szCs w:val="13"/>
          </w:rPr>
          <w:t>www.ohchr.org/sp/NewsEvents/Pages/DisplayNews.aspx?NewsID=20600&amp;LangID=S</w:t>
        </w:r>
      </w:hyperlink>
    </w:p>
  </w:footnote>
  <w:footnote w:id="72">
    <w:p w14:paraId="46CDB6A8" w14:textId="2F7D7201" w:rsidR="000C78AC" w:rsidRPr="00425C1B" w:rsidRDefault="000C78AC" w:rsidP="00425C1B">
      <w:pPr>
        <w:jc w:val="both"/>
        <w:rPr>
          <w:sz w:val="13"/>
          <w:szCs w:val="13"/>
        </w:rPr>
      </w:pPr>
      <w:r w:rsidRPr="00425C1B">
        <w:rPr>
          <w:rStyle w:val="FootnoteReference"/>
          <w:sz w:val="13"/>
          <w:szCs w:val="13"/>
        </w:rPr>
        <w:footnoteRef/>
      </w:r>
      <w:r w:rsidRPr="00425C1B">
        <w:rPr>
          <w:sz w:val="13"/>
          <w:szCs w:val="13"/>
        </w:rPr>
        <w:t xml:space="preserve"> </w:t>
      </w:r>
      <w:r w:rsidR="005F3BB5" w:rsidRPr="00374C53">
        <w:rPr>
          <w:sz w:val="13"/>
          <w:szCs w:val="13"/>
        </w:rPr>
        <w:t xml:space="preserve">Women’s Link Worldwide, 2011. </w:t>
      </w:r>
      <w:r w:rsidR="006A5826" w:rsidRPr="00425C1B">
        <w:rPr>
          <w:i/>
          <w:sz w:val="13"/>
          <w:szCs w:val="13"/>
        </w:rPr>
        <w:t>Mujeres migrantes en la clandestinidad: el aborto en Marruecos</w:t>
      </w:r>
      <w:r w:rsidR="002D5639" w:rsidRPr="00425C1B">
        <w:rPr>
          <w:sz w:val="13"/>
          <w:szCs w:val="13"/>
        </w:rPr>
        <w:t xml:space="preserve">. </w:t>
      </w:r>
      <w:r w:rsidR="00B7106C" w:rsidRPr="00374C53">
        <w:rPr>
          <w:rStyle w:val="PageNumber"/>
          <w:sz w:val="13"/>
          <w:szCs w:val="13"/>
        </w:rPr>
        <w:t xml:space="preserve">[En línea] Disponible en: </w:t>
      </w:r>
      <w:hyperlink r:id="rId21" w:history="1">
        <w:r w:rsidR="008D342C" w:rsidRPr="00374C53">
          <w:rPr>
            <w:rStyle w:val="Hyperlink"/>
            <w:sz w:val="13"/>
            <w:szCs w:val="13"/>
          </w:rPr>
          <w:t>www.womenslinkworldwide.org/files/1358/mujeres-migrantes-en-la-clandestinidad-aborto-en-marruecos.pdf</w:t>
        </w:r>
      </w:hyperlink>
      <w:r w:rsidR="008D342C" w:rsidRPr="00374C53">
        <w:rPr>
          <w:rStyle w:val="PageNumber"/>
          <w:sz w:val="13"/>
          <w:szCs w:val="13"/>
        </w:rPr>
        <w:t xml:space="preserve">. </w:t>
      </w:r>
    </w:p>
  </w:footnote>
  <w:footnote w:id="73">
    <w:p w14:paraId="40DCDA2F" w14:textId="6131B0DC" w:rsidR="0006449E" w:rsidRPr="00374C53" w:rsidRDefault="0006449E" w:rsidP="00425C1B">
      <w:pPr>
        <w:jc w:val="both"/>
        <w:rPr>
          <w:sz w:val="13"/>
          <w:szCs w:val="13"/>
        </w:rPr>
      </w:pPr>
      <w:r w:rsidRPr="00374C53">
        <w:rPr>
          <w:rStyle w:val="FootnoteReference"/>
          <w:sz w:val="13"/>
          <w:szCs w:val="13"/>
        </w:rPr>
        <w:footnoteRef/>
      </w:r>
      <w:r w:rsidRPr="00374C53">
        <w:rPr>
          <w:sz w:val="13"/>
          <w:szCs w:val="13"/>
        </w:rPr>
        <w:t xml:space="preserve"> </w:t>
      </w:r>
      <w:r w:rsidR="00F36298" w:rsidRPr="00374C53">
        <w:rPr>
          <w:sz w:val="13"/>
          <w:szCs w:val="13"/>
        </w:rPr>
        <w:t xml:space="preserve">ONU. </w:t>
      </w:r>
      <w:r w:rsidRPr="00374C53">
        <w:rPr>
          <w:sz w:val="13"/>
          <w:szCs w:val="13"/>
        </w:rPr>
        <w:t>Comité CEDAW</w:t>
      </w:r>
      <w:r w:rsidR="00F36298" w:rsidRPr="00374C53">
        <w:rPr>
          <w:sz w:val="13"/>
          <w:szCs w:val="13"/>
        </w:rPr>
        <w:t>, 1999</w:t>
      </w:r>
      <w:r w:rsidRPr="00374C53">
        <w:rPr>
          <w:sz w:val="13"/>
          <w:szCs w:val="13"/>
        </w:rPr>
        <w:t xml:space="preserve">. </w:t>
      </w:r>
      <w:r w:rsidRPr="00374C53">
        <w:rPr>
          <w:i/>
          <w:sz w:val="13"/>
          <w:szCs w:val="13"/>
        </w:rPr>
        <w:t>Recomendación General No. 24. Artículo 12 de la Convención sobre la eliminación de todas las formas de discriminación contra la mujer - La mujer y la salud</w:t>
      </w:r>
      <w:r w:rsidRPr="00374C53">
        <w:rPr>
          <w:sz w:val="13"/>
          <w:szCs w:val="13"/>
        </w:rPr>
        <w:t xml:space="preserve">, A/54/38/Rev.1, </w:t>
      </w:r>
      <w:r w:rsidR="00F36298" w:rsidRPr="00374C53">
        <w:rPr>
          <w:sz w:val="13"/>
          <w:szCs w:val="13"/>
        </w:rPr>
        <w:t>C</w:t>
      </w:r>
      <w:r w:rsidRPr="00374C53">
        <w:rPr>
          <w:sz w:val="13"/>
          <w:szCs w:val="13"/>
        </w:rPr>
        <w:t>ap. 1, párrs. 11, 12, 16.</w:t>
      </w:r>
    </w:p>
  </w:footnote>
  <w:footnote w:id="74">
    <w:p w14:paraId="10A8FE19" w14:textId="56ABF90E" w:rsidR="009F756D" w:rsidRPr="00425C1B" w:rsidRDefault="009F756D" w:rsidP="0071666C">
      <w:pPr>
        <w:pStyle w:val="FootnoteText"/>
        <w:spacing w:after="0" w:line="240" w:lineRule="auto"/>
        <w:jc w:val="both"/>
        <w:rPr>
          <w:sz w:val="13"/>
          <w:szCs w:val="13"/>
          <w:lang w:val="es-ES"/>
        </w:rPr>
      </w:pPr>
      <w:r w:rsidRPr="00374C53">
        <w:rPr>
          <w:rStyle w:val="FootnoteReference"/>
          <w:sz w:val="13"/>
          <w:szCs w:val="13"/>
        </w:rPr>
        <w:footnoteRef/>
      </w:r>
      <w:r w:rsidRPr="00374C53">
        <w:rPr>
          <w:sz w:val="13"/>
          <w:szCs w:val="13"/>
        </w:rPr>
        <w:t xml:space="preserve"> </w:t>
      </w:r>
      <w:r w:rsidR="00E302B4" w:rsidRPr="00374C53">
        <w:rPr>
          <w:sz w:val="13"/>
          <w:szCs w:val="13"/>
          <w:lang w:val="es-ES"/>
        </w:rPr>
        <w:t xml:space="preserve">“La violencia por razón de género contra la mujer puede derivarse de los actos u omisiones de agentes estatales o no estatales, que actúan territorialmente o extraterritorialmente, incluidas las acciones militares extraterritoriales de los Estados, a título individual o como miembros de organizaciones o coaliciones internacionales o intergubernamentales, o las operaciones extraterritoriales de las empresas privadas”, </w:t>
      </w:r>
      <w:r w:rsidR="00B258B1" w:rsidRPr="00374C53">
        <w:rPr>
          <w:color w:val="000000" w:themeColor="text1"/>
          <w:sz w:val="13"/>
          <w:szCs w:val="13"/>
          <w:lang w:val="es-ES"/>
        </w:rPr>
        <w:t xml:space="preserve">ONU. </w:t>
      </w:r>
      <w:r w:rsidR="00B258B1" w:rsidRPr="00374C53">
        <w:rPr>
          <w:color w:val="000000" w:themeColor="text1"/>
          <w:sz w:val="13"/>
          <w:szCs w:val="13"/>
        </w:rPr>
        <w:t xml:space="preserve">Comité CEDAW. </w:t>
      </w:r>
      <w:r w:rsidR="00B258B1" w:rsidRPr="00374C53">
        <w:rPr>
          <w:i/>
          <w:color w:val="000000" w:themeColor="text1"/>
          <w:sz w:val="13"/>
          <w:szCs w:val="13"/>
        </w:rPr>
        <w:t xml:space="preserve">Recomendación General núm. 35 sobre la violencia de género contra la mujer, por la que se actualiza </w:t>
      </w:r>
      <w:r w:rsidR="00B258B1" w:rsidRPr="0071666C">
        <w:rPr>
          <w:i/>
          <w:color w:val="000000" w:themeColor="text1"/>
          <w:sz w:val="13"/>
          <w:szCs w:val="13"/>
        </w:rPr>
        <w:t>la recomendación general Nº 19</w:t>
      </w:r>
      <w:r w:rsidR="00B258B1" w:rsidRPr="0071666C">
        <w:rPr>
          <w:color w:val="000000" w:themeColor="text1"/>
          <w:sz w:val="13"/>
          <w:szCs w:val="13"/>
        </w:rPr>
        <w:t xml:space="preserve">, </w:t>
      </w:r>
      <w:r w:rsidR="00B258B1" w:rsidRPr="0071666C">
        <w:rPr>
          <w:rFonts w:eastAsia="Times New Roman"/>
          <w:color w:val="000000" w:themeColor="text1"/>
          <w:sz w:val="13"/>
          <w:szCs w:val="13"/>
          <w:lang w:eastAsia="es-ES_tradnl"/>
        </w:rPr>
        <w:t xml:space="preserve">CEDAW/C/GC/35, </w:t>
      </w:r>
      <w:r w:rsidR="00B258B1" w:rsidRPr="0071666C">
        <w:rPr>
          <w:rFonts w:eastAsia="Times New Roman"/>
          <w:color w:val="000000" w:themeColor="text1"/>
          <w:sz w:val="13"/>
          <w:szCs w:val="13"/>
          <w:lang w:val="es-ES" w:eastAsia="es-ES_tradnl"/>
        </w:rPr>
        <w:t xml:space="preserve">de </w:t>
      </w:r>
      <w:r w:rsidR="00B258B1" w:rsidRPr="0071666C">
        <w:rPr>
          <w:rFonts w:eastAsia="Times New Roman"/>
          <w:color w:val="000000" w:themeColor="text1"/>
          <w:sz w:val="13"/>
          <w:szCs w:val="13"/>
          <w:lang w:eastAsia="es-ES_tradnl"/>
        </w:rPr>
        <w:t>26 de julio</w:t>
      </w:r>
      <w:r w:rsidR="00B258B1" w:rsidRPr="0071666C">
        <w:rPr>
          <w:rFonts w:eastAsia="Times New Roman"/>
          <w:color w:val="000000" w:themeColor="text1"/>
          <w:sz w:val="13"/>
          <w:szCs w:val="13"/>
          <w:lang w:val="es-ES" w:eastAsia="es-ES_tradnl"/>
        </w:rPr>
        <w:t xml:space="preserve">, párr. 20. </w:t>
      </w:r>
    </w:p>
  </w:footnote>
  <w:footnote w:id="75">
    <w:p w14:paraId="60E79746" w14:textId="394A257A" w:rsidR="00441694" w:rsidRPr="00425C1B" w:rsidRDefault="00441694" w:rsidP="00425C1B">
      <w:pPr>
        <w:jc w:val="both"/>
        <w:rPr>
          <w:rFonts w:eastAsia="Calibri"/>
          <w:sz w:val="13"/>
          <w:szCs w:val="13"/>
          <w:lang w:eastAsia="en-US"/>
        </w:rPr>
      </w:pPr>
      <w:r w:rsidRPr="0071666C">
        <w:rPr>
          <w:rStyle w:val="FootnoteReference"/>
          <w:sz w:val="13"/>
          <w:szCs w:val="13"/>
        </w:rPr>
        <w:footnoteRef/>
      </w:r>
      <w:r w:rsidRPr="0071666C">
        <w:rPr>
          <w:sz w:val="13"/>
          <w:szCs w:val="13"/>
        </w:rPr>
        <w:t xml:space="preserve"> </w:t>
      </w:r>
      <w:r w:rsidR="006300EF" w:rsidRPr="0071666C">
        <w:rPr>
          <w:sz w:val="13"/>
          <w:szCs w:val="13"/>
        </w:rPr>
        <w:t>Tribunal Europeo de Derechos Humanos</w:t>
      </w:r>
      <w:r w:rsidR="00493EB3">
        <w:rPr>
          <w:sz w:val="13"/>
          <w:szCs w:val="13"/>
        </w:rPr>
        <w:t>, 2010</w:t>
      </w:r>
      <w:r w:rsidRPr="0071666C">
        <w:rPr>
          <w:sz w:val="13"/>
          <w:szCs w:val="13"/>
        </w:rPr>
        <w:t xml:space="preserve">. </w:t>
      </w:r>
      <w:r w:rsidR="007A5CE8">
        <w:rPr>
          <w:sz w:val="13"/>
          <w:szCs w:val="13"/>
        </w:rPr>
        <w:t xml:space="preserve">Caso </w:t>
      </w:r>
      <w:r w:rsidR="006300EF" w:rsidRPr="0071666C">
        <w:rPr>
          <w:rFonts w:eastAsia="Calibri"/>
          <w:i/>
          <w:sz w:val="13"/>
          <w:szCs w:val="13"/>
          <w:lang w:eastAsia="en-US"/>
        </w:rPr>
        <w:t xml:space="preserve">Rantsev </w:t>
      </w:r>
      <w:r w:rsidR="009703D5" w:rsidRPr="0071666C">
        <w:rPr>
          <w:rFonts w:eastAsia="Calibri"/>
          <w:i/>
          <w:sz w:val="13"/>
          <w:szCs w:val="13"/>
          <w:lang w:eastAsia="en-US"/>
        </w:rPr>
        <w:t>c</w:t>
      </w:r>
      <w:r w:rsidR="006300EF" w:rsidRPr="0071666C">
        <w:rPr>
          <w:rFonts w:eastAsia="Calibri"/>
          <w:i/>
          <w:sz w:val="13"/>
          <w:szCs w:val="13"/>
          <w:lang w:eastAsia="en-US"/>
        </w:rPr>
        <w:t xml:space="preserve">. </w:t>
      </w:r>
      <w:r w:rsidR="009703D5" w:rsidRPr="0071666C">
        <w:rPr>
          <w:rFonts w:eastAsia="Calibri"/>
          <w:i/>
          <w:sz w:val="13"/>
          <w:szCs w:val="13"/>
          <w:lang w:eastAsia="en-US"/>
        </w:rPr>
        <w:t>Chipre y Rusia</w:t>
      </w:r>
      <w:r w:rsidR="009703D5" w:rsidRPr="0071666C">
        <w:rPr>
          <w:rFonts w:eastAsia="Calibri"/>
          <w:sz w:val="13"/>
          <w:szCs w:val="13"/>
          <w:lang w:eastAsia="en-US"/>
        </w:rPr>
        <w:t xml:space="preserve">, </w:t>
      </w:r>
      <w:r w:rsidR="007A5CE8">
        <w:rPr>
          <w:rFonts w:eastAsia="Calibri"/>
          <w:sz w:val="13"/>
          <w:szCs w:val="13"/>
          <w:lang w:eastAsia="en-US"/>
        </w:rPr>
        <w:t>comunicación</w:t>
      </w:r>
      <w:r w:rsidR="009703D5" w:rsidRPr="0071666C">
        <w:rPr>
          <w:rFonts w:eastAsia="Calibri"/>
          <w:sz w:val="13"/>
          <w:szCs w:val="13"/>
          <w:lang w:eastAsia="en-US"/>
        </w:rPr>
        <w:t xml:space="preserve"> </w:t>
      </w:r>
      <w:r w:rsidR="006300EF" w:rsidRPr="0071666C">
        <w:rPr>
          <w:rFonts w:eastAsia="Calibri"/>
          <w:sz w:val="13"/>
          <w:szCs w:val="13"/>
          <w:lang w:eastAsia="en-US"/>
        </w:rPr>
        <w:t>no. 25965/04</w:t>
      </w:r>
      <w:r w:rsidR="009703D5" w:rsidRPr="0071666C">
        <w:rPr>
          <w:rFonts w:eastAsia="Calibri"/>
          <w:sz w:val="13"/>
          <w:szCs w:val="13"/>
          <w:lang w:eastAsia="en-US"/>
        </w:rPr>
        <w:t xml:space="preserve">. Sentencia de </w:t>
      </w:r>
      <w:r w:rsidR="00F94BE2" w:rsidRPr="0071666C">
        <w:rPr>
          <w:rFonts w:eastAsia="Calibri"/>
          <w:sz w:val="13"/>
          <w:szCs w:val="13"/>
          <w:lang w:eastAsia="en-US"/>
        </w:rPr>
        <w:t xml:space="preserve">7 de enero. </w:t>
      </w:r>
      <w:r w:rsidR="00F94BE2" w:rsidRPr="0071666C">
        <w:rPr>
          <w:rStyle w:val="PageNumber"/>
          <w:sz w:val="13"/>
          <w:szCs w:val="13"/>
        </w:rPr>
        <w:t>[En línea] Disponible en: hudoc.echr.coe.int/eng?i=001-96549</w:t>
      </w:r>
      <w:r w:rsidR="00493EB3">
        <w:rPr>
          <w:rStyle w:val="PageNumber"/>
          <w:sz w:val="13"/>
          <w:szCs w:val="13"/>
        </w:rPr>
        <w:t xml:space="preserve"> </w:t>
      </w:r>
    </w:p>
  </w:footnote>
  <w:footnote w:id="76">
    <w:p w14:paraId="187C90A9" w14:textId="48824C3E" w:rsidR="00F23ED5" w:rsidRPr="00425C1B" w:rsidRDefault="00F23ED5" w:rsidP="0071666C">
      <w:pPr>
        <w:pStyle w:val="FootnoteText"/>
        <w:spacing w:after="0" w:line="240" w:lineRule="auto"/>
        <w:jc w:val="both"/>
        <w:rPr>
          <w:sz w:val="13"/>
          <w:szCs w:val="13"/>
          <w:lang w:val="es-ES"/>
        </w:rPr>
      </w:pPr>
      <w:r w:rsidRPr="0071666C">
        <w:rPr>
          <w:rStyle w:val="FootnoteReference"/>
          <w:sz w:val="13"/>
          <w:szCs w:val="13"/>
        </w:rPr>
        <w:footnoteRef/>
      </w:r>
      <w:r w:rsidRPr="0071666C">
        <w:rPr>
          <w:sz w:val="13"/>
          <w:szCs w:val="13"/>
        </w:rPr>
        <w:t xml:space="preserve"> </w:t>
      </w:r>
      <w:r w:rsidR="004366B8" w:rsidRPr="0071666C">
        <w:rPr>
          <w:sz w:val="13"/>
          <w:szCs w:val="13"/>
          <w:lang w:val="es-ES"/>
        </w:rPr>
        <w:t>ONU Mujeres, 2017.</w:t>
      </w:r>
      <w:r w:rsidR="004366B8">
        <w:rPr>
          <w:sz w:val="13"/>
          <w:szCs w:val="13"/>
          <w:lang w:val="es-ES"/>
        </w:rPr>
        <w:t xml:space="preserve"> </w:t>
      </w:r>
      <w:r w:rsidR="006E41A9" w:rsidRPr="004366B8">
        <w:rPr>
          <w:i/>
          <w:sz w:val="13"/>
          <w:szCs w:val="13"/>
          <w:lang w:val="es-ES"/>
        </w:rPr>
        <w:t>Recomendaciones para abordar los derechos humanos de las mujeres en el pacto mundial para una migración segura, ordenada y regular</w:t>
      </w:r>
      <w:r w:rsidR="006E41A9" w:rsidRPr="0071666C">
        <w:rPr>
          <w:sz w:val="13"/>
          <w:szCs w:val="13"/>
          <w:lang w:val="es-ES"/>
        </w:rPr>
        <w:t>. Resultado de la reunión de personas expert</w:t>
      </w:r>
      <w:r w:rsidR="005C437A" w:rsidRPr="0071666C">
        <w:rPr>
          <w:sz w:val="13"/>
          <w:szCs w:val="13"/>
          <w:lang w:val="es-ES"/>
        </w:rPr>
        <w:t>a</w:t>
      </w:r>
      <w:r w:rsidR="006E41A9" w:rsidRPr="0071666C">
        <w:rPr>
          <w:sz w:val="13"/>
          <w:szCs w:val="13"/>
          <w:lang w:val="es-ES"/>
        </w:rPr>
        <w:t>s celebrada en Ginebra</w:t>
      </w:r>
      <w:r w:rsidR="005C437A" w:rsidRPr="0071666C">
        <w:rPr>
          <w:sz w:val="13"/>
          <w:szCs w:val="13"/>
          <w:lang w:val="es-ES"/>
        </w:rPr>
        <w:t xml:space="preserve"> en</w:t>
      </w:r>
      <w:r w:rsidR="006E41A9" w:rsidRPr="0071666C">
        <w:rPr>
          <w:sz w:val="13"/>
          <w:szCs w:val="13"/>
          <w:lang w:val="es-ES"/>
        </w:rPr>
        <w:t xml:space="preserve"> </w:t>
      </w:r>
      <w:r w:rsidR="005C437A" w:rsidRPr="0071666C">
        <w:rPr>
          <w:sz w:val="13"/>
          <w:szCs w:val="13"/>
          <w:lang w:val="es-ES"/>
        </w:rPr>
        <w:t xml:space="preserve">noviembre </w:t>
      </w:r>
      <w:r w:rsidR="006E41A9" w:rsidRPr="0071666C">
        <w:rPr>
          <w:sz w:val="13"/>
          <w:szCs w:val="13"/>
          <w:lang w:val="es-ES"/>
        </w:rPr>
        <w:t>de</w:t>
      </w:r>
      <w:r w:rsidR="005C437A" w:rsidRPr="0071666C">
        <w:rPr>
          <w:sz w:val="13"/>
          <w:szCs w:val="13"/>
          <w:lang w:val="es-ES"/>
        </w:rPr>
        <w:t xml:space="preserve"> </w:t>
      </w:r>
      <w:r w:rsidR="006E41A9" w:rsidRPr="0071666C">
        <w:rPr>
          <w:sz w:val="13"/>
          <w:szCs w:val="13"/>
          <w:lang w:val="es-ES"/>
        </w:rPr>
        <w:t>2016</w:t>
      </w:r>
      <w:r w:rsidR="005C437A" w:rsidRPr="0071666C">
        <w:rPr>
          <w:sz w:val="13"/>
          <w:szCs w:val="13"/>
          <w:lang w:val="es-ES"/>
        </w:rPr>
        <w:t xml:space="preserve">. </w:t>
      </w:r>
      <w:r w:rsidR="005C437A" w:rsidRPr="0071666C">
        <w:rPr>
          <w:rStyle w:val="PageNumber"/>
          <w:sz w:val="13"/>
          <w:szCs w:val="13"/>
        </w:rPr>
        <w:t xml:space="preserve">[En línea] Disponible en: </w:t>
      </w:r>
      <w:hyperlink r:id="rId22" w:history="1">
        <w:r w:rsidR="004366B8" w:rsidRPr="00C361AE">
          <w:rPr>
            <w:rStyle w:val="Hyperlink"/>
            <w:sz w:val="13"/>
            <w:szCs w:val="13"/>
          </w:rPr>
          <w:t>www.unwomen.org/-/media/headquarters/attachments/sections/library/publications/2017/addressing-womens-human-rights-migration-es.pdf?la=en&amp;vs=4110</w:t>
        </w:r>
      </w:hyperlink>
      <w:r w:rsidR="004366B8">
        <w:rPr>
          <w:sz w:val="13"/>
          <w:szCs w:val="13"/>
          <w:lang w:val="es-ES"/>
        </w:rPr>
        <w:t xml:space="preserve"> </w:t>
      </w:r>
    </w:p>
  </w:footnote>
  <w:footnote w:id="77">
    <w:p w14:paraId="110B7A73" w14:textId="19EED549" w:rsidR="009C3A68" w:rsidRPr="000A2325" w:rsidRDefault="009C3A68" w:rsidP="00425C1B">
      <w:pPr>
        <w:pStyle w:val="FootnoteText"/>
        <w:spacing w:after="0" w:line="240" w:lineRule="auto"/>
        <w:jc w:val="both"/>
        <w:rPr>
          <w:sz w:val="13"/>
          <w:szCs w:val="13"/>
          <w:lang w:val="en-US"/>
        </w:rPr>
      </w:pPr>
      <w:r w:rsidRPr="00425C1B">
        <w:rPr>
          <w:rStyle w:val="FootnoteReference"/>
          <w:sz w:val="13"/>
          <w:szCs w:val="13"/>
        </w:rPr>
        <w:footnoteRef/>
      </w:r>
      <w:r w:rsidRPr="00425C1B">
        <w:rPr>
          <w:sz w:val="13"/>
          <w:szCs w:val="13"/>
        </w:rPr>
        <w:t xml:space="preserve"> </w:t>
      </w:r>
      <w:r w:rsidR="004F1B47" w:rsidRPr="00BC1694">
        <w:rPr>
          <w:sz w:val="13"/>
          <w:szCs w:val="13"/>
          <w:lang w:val="en-US"/>
        </w:rPr>
        <w:t>Trafficking in Hum</w:t>
      </w:r>
      <w:r w:rsidR="00055FCF" w:rsidRPr="00BC1694">
        <w:rPr>
          <w:sz w:val="13"/>
          <w:szCs w:val="13"/>
          <w:lang w:val="en-US"/>
        </w:rPr>
        <w:t xml:space="preserve">an Beings. Working Paper 2015. </w:t>
      </w:r>
      <w:r w:rsidR="00055FCF" w:rsidRPr="00DD6594">
        <w:rPr>
          <w:sz w:val="13"/>
          <w:szCs w:val="13"/>
          <w:lang w:val="en-US"/>
        </w:rPr>
        <w:t>Eurostat. Unión Europea, 2015</w:t>
      </w:r>
      <w:r w:rsidR="008F089F" w:rsidRPr="00DD6594">
        <w:rPr>
          <w:sz w:val="13"/>
          <w:szCs w:val="13"/>
          <w:lang w:val="en-US"/>
        </w:rPr>
        <w:t>, pág. 21</w:t>
      </w:r>
      <w:r w:rsidR="00055FCF" w:rsidRPr="00DD6594">
        <w:rPr>
          <w:sz w:val="13"/>
          <w:szCs w:val="13"/>
          <w:lang w:val="en-US"/>
        </w:rPr>
        <w:t xml:space="preserve">. </w:t>
      </w:r>
      <w:r w:rsidR="00055FCF" w:rsidRPr="00055FCF">
        <w:rPr>
          <w:rStyle w:val="PageNumber"/>
          <w:sz w:val="13"/>
          <w:szCs w:val="13"/>
        </w:rPr>
        <w:t xml:space="preserve">[En línea] Disponible en: </w:t>
      </w:r>
      <w:hyperlink r:id="rId23" w:history="1">
        <w:r w:rsidR="004366B8" w:rsidRPr="00C361AE">
          <w:rPr>
            <w:rStyle w:val="Hyperlink"/>
            <w:sz w:val="13"/>
            <w:szCs w:val="13"/>
          </w:rPr>
          <w:t>ec.europa.eu/anti-trafficking/sites/antitrafficking/files/eurostat_report_on_trafficking_in_human_beings_-_2015_edition.pdf</w:t>
        </w:r>
      </w:hyperlink>
      <w:r w:rsidR="004366B8" w:rsidRPr="000A2325">
        <w:rPr>
          <w:sz w:val="13"/>
          <w:szCs w:val="13"/>
          <w:lang w:val="en-US"/>
        </w:rPr>
        <w:t xml:space="preserve"> </w:t>
      </w:r>
    </w:p>
  </w:footnote>
  <w:footnote w:id="78">
    <w:p w14:paraId="4DC8F3F8" w14:textId="16F150A0" w:rsidR="00C17006" w:rsidRPr="00425C1B" w:rsidRDefault="00C17006" w:rsidP="00425C1B">
      <w:pPr>
        <w:pStyle w:val="FootnoteText"/>
        <w:spacing w:after="0" w:line="240" w:lineRule="auto"/>
        <w:jc w:val="both"/>
        <w:rPr>
          <w:sz w:val="13"/>
          <w:szCs w:val="13"/>
          <w:lang w:val="es-ES"/>
        </w:rPr>
      </w:pPr>
      <w:r w:rsidRPr="00126035">
        <w:rPr>
          <w:rStyle w:val="FootnoteReference"/>
          <w:sz w:val="13"/>
          <w:szCs w:val="13"/>
        </w:rPr>
        <w:footnoteRef/>
      </w:r>
      <w:r w:rsidRPr="00126035">
        <w:rPr>
          <w:sz w:val="13"/>
          <w:szCs w:val="13"/>
        </w:rPr>
        <w:t xml:space="preserve"> </w:t>
      </w:r>
      <w:r w:rsidR="0052279D" w:rsidRPr="00126035">
        <w:rPr>
          <w:sz w:val="13"/>
          <w:szCs w:val="13"/>
          <w:lang w:val="es-ES"/>
        </w:rPr>
        <w:t>Según las últimas estimaciones de la Organización Internacional del Trabajo, las mujeres y las niñas representan el 99% de las víctimas en la industria del sexo y el 58% de las víctimas del trabajo forzoso en otros sectores</w:t>
      </w:r>
      <w:r w:rsidR="00824E38" w:rsidRPr="00126035">
        <w:rPr>
          <w:sz w:val="13"/>
          <w:szCs w:val="13"/>
          <w:lang w:val="es-ES"/>
        </w:rPr>
        <w:t xml:space="preserve">. </w:t>
      </w:r>
      <w:r w:rsidR="00824E38" w:rsidRPr="00126035">
        <w:rPr>
          <w:sz w:val="13"/>
          <w:szCs w:val="13"/>
        </w:rPr>
        <w:t>Organización Internacional del Trabajo y Walk Free Foundation, Global Estimates of Modern Slavery: Forced Labour and Forced Marriage, Ginebra, Oficina Internacional del Trabajo, 2017</w:t>
      </w:r>
      <w:r w:rsidR="00824E38" w:rsidRPr="00126035">
        <w:rPr>
          <w:sz w:val="13"/>
          <w:szCs w:val="13"/>
          <w:lang w:val="es-ES"/>
        </w:rPr>
        <w:t xml:space="preserve">. </w:t>
      </w:r>
    </w:p>
  </w:footnote>
  <w:footnote w:id="79">
    <w:p w14:paraId="5ED8AA5D" w14:textId="23F1D327" w:rsidR="008343AB" w:rsidRPr="00126035" w:rsidRDefault="008343AB" w:rsidP="00126035">
      <w:pPr>
        <w:pStyle w:val="FootnoteText"/>
        <w:spacing w:after="0" w:line="240" w:lineRule="auto"/>
        <w:jc w:val="both"/>
        <w:rPr>
          <w:sz w:val="13"/>
          <w:szCs w:val="13"/>
          <w:lang w:val="es-ES"/>
        </w:rPr>
      </w:pPr>
      <w:r w:rsidRPr="00126035">
        <w:rPr>
          <w:rFonts w:eastAsia="Book Antiqua"/>
          <w:sz w:val="13"/>
          <w:szCs w:val="13"/>
          <w:vertAlign w:val="superscript"/>
          <w:lang w:val="es-ES"/>
        </w:rPr>
        <w:footnoteRef/>
      </w:r>
      <w:r w:rsidRPr="00126035">
        <w:rPr>
          <w:sz w:val="13"/>
          <w:szCs w:val="13"/>
          <w:lang w:val="en-US"/>
        </w:rPr>
        <w:t xml:space="preserve"> </w:t>
      </w:r>
      <w:r w:rsidR="000A2325">
        <w:rPr>
          <w:sz w:val="13"/>
          <w:szCs w:val="13"/>
          <w:lang w:val="en-US"/>
        </w:rPr>
        <w:t xml:space="preserve">ONU. </w:t>
      </w:r>
      <w:r w:rsidRPr="00126035">
        <w:rPr>
          <w:sz w:val="13"/>
          <w:szCs w:val="13"/>
          <w:lang w:val="en-US"/>
        </w:rPr>
        <w:t>International Labor Office</w:t>
      </w:r>
      <w:r w:rsidR="000A2325">
        <w:rPr>
          <w:sz w:val="13"/>
          <w:szCs w:val="13"/>
          <w:lang w:val="en-US"/>
        </w:rPr>
        <w:t>, 2009</w:t>
      </w:r>
      <w:r w:rsidRPr="00126035">
        <w:rPr>
          <w:sz w:val="13"/>
          <w:szCs w:val="13"/>
          <w:lang w:val="en-US"/>
        </w:rPr>
        <w:t xml:space="preserve">. </w:t>
      </w:r>
      <w:r w:rsidRPr="00126035">
        <w:rPr>
          <w:i/>
          <w:iCs/>
          <w:sz w:val="13"/>
          <w:szCs w:val="13"/>
          <w:lang w:val="en-US"/>
        </w:rPr>
        <w:t>Operational indicators of trafficking in human beings.</w:t>
      </w:r>
      <w:r w:rsidRPr="00126035">
        <w:rPr>
          <w:sz w:val="13"/>
          <w:szCs w:val="13"/>
          <w:lang w:val="en-US"/>
        </w:rPr>
        <w:t xml:space="preserve"> </w:t>
      </w:r>
      <w:r w:rsidRPr="00126035">
        <w:rPr>
          <w:sz w:val="13"/>
          <w:szCs w:val="13"/>
          <w:lang w:val="es-ES_tradnl"/>
        </w:rPr>
        <w:t xml:space="preserve">[En línea] Disponible: (en inglés) </w:t>
      </w:r>
      <w:hyperlink r:id="rId24" w:history="1">
        <w:r w:rsidRPr="00126035">
          <w:rPr>
            <w:rStyle w:val="Hyperlink"/>
            <w:rFonts w:eastAsia="Book Antiqua"/>
            <w:sz w:val="13"/>
            <w:szCs w:val="13"/>
            <w:lang w:val="es-ES"/>
          </w:rPr>
          <w:t>www.ilo.org/wcmsp5/groups/public/@ed_norm/@declaration/documents/publication/wcms_105023.pdf</w:t>
        </w:r>
      </w:hyperlink>
      <w:r w:rsidRPr="00126035">
        <w:rPr>
          <w:sz w:val="13"/>
          <w:szCs w:val="13"/>
          <w:lang w:val="es-ES"/>
        </w:rPr>
        <w:t xml:space="preserve">; Oficina de las Naciones Unidas contra la Droga y el Delito (UNODC). </w:t>
      </w:r>
      <w:r w:rsidRPr="00126035">
        <w:rPr>
          <w:i/>
          <w:iCs/>
          <w:sz w:val="13"/>
          <w:szCs w:val="13"/>
          <w:lang w:val="es-ES"/>
        </w:rPr>
        <w:t xml:space="preserve">Indicadores de Trata de Personas.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C8C2E" w14:textId="77777777" w:rsidR="0006449E" w:rsidRDefault="0006449E" w:rsidP="001C3B26">
    <w:pPr>
      <w:pStyle w:val="Header"/>
      <w:jc w:val="center"/>
    </w:pPr>
    <w:r w:rsidRPr="001E41B2">
      <w:rPr>
        <w:noProof/>
        <w:lang w:val="en-GB" w:eastAsia="en-GB"/>
      </w:rPr>
      <w:drawing>
        <wp:inline distT="0" distB="0" distL="0" distR="0" wp14:anchorId="564B2707" wp14:editId="07034D45">
          <wp:extent cx="2908453" cy="3706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006" cy="382608"/>
                  </a:xfrm>
                  <a:prstGeom prst="rect">
                    <a:avLst/>
                  </a:prstGeom>
                  <a:noFill/>
                  <a:ln>
                    <a:noFill/>
                  </a:ln>
                </pic:spPr>
              </pic:pic>
            </a:graphicData>
          </a:graphic>
        </wp:inline>
      </w:drawing>
    </w:r>
  </w:p>
  <w:p w14:paraId="3CFA9036" w14:textId="77777777" w:rsidR="0006449E" w:rsidRDefault="0006449E" w:rsidP="001C3B2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2682"/>
    <w:multiLevelType w:val="hybridMultilevel"/>
    <w:tmpl w:val="A1A8440C"/>
    <w:lvl w:ilvl="0" w:tplc="F5764AF6">
      <w:start w:val="1"/>
      <w:numFmt w:val="decimal"/>
      <w:lvlText w:val="%1."/>
      <w:lvlJc w:val="left"/>
      <w:pPr>
        <w:ind w:left="360" w:hanging="360"/>
      </w:pPr>
      <w:rPr>
        <w:b w:val="0"/>
        <w:lang w:val="en-US"/>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036A3898"/>
    <w:multiLevelType w:val="hybridMultilevel"/>
    <w:tmpl w:val="DAB85B68"/>
    <w:styleLink w:val="Estiloimportado2"/>
    <w:lvl w:ilvl="0" w:tplc="29867AF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28EC0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D02068">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6E2C12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1C440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9EF9D8">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92E9BE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76580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6E67B4">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7417A31"/>
    <w:multiLevelType w:val="hybridMultilevel"/>
    <w:tmpl w:val="1B5E30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6712CE9"/>
    <w:multiLevelType w:val="hybridMultilevel"/>
    <w:tmpl w:val="5FB65732"/>
    <w:lvl w:ilvl="0" w:tplc="6972C42E">
      <w:start w:val="1"/>
      <w:numFmt w:val="upp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84007B7"/>
    <w:multiLevelType w:val="hybridMultilevel"/>
    <w:tmpl w:val="51A833BC"/>
    <w:lvl w:ilvl="0" w:tplc="6972C42E">
      <w:start w:val="1"/>
      <w:numFmt w:val="upp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2344F9A"/>
    <w:multiLevelType w:val="hybridMultilevel"/>
    <w:tmpl w:val="4558C7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2C402EE"/>
    <w:multiLevelType w:val="hybridMultilevel"/>
    <w:tmpl w:val="40C085F8"/>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50B4F2D"/>
    <w:multiLevelType w:val="hybridMultilevel"/>
    <w:tmpl w:val="7172AE8E"/>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68618FB"/>
    <w:multiLevelType w:val="hybridMultilevel"/>
    <w:tmpl w:val="B00667EC"/>
    <w:lvl w:ilvl="0" w:tplc="040A0017">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9">
    <w:nsid w:val="2CFE595B"/>
    <w:multiLevelType w:val="hybridMultilevel"/>
    <w:tmpl w:val="DAB85B68"/>
    <w:numStyleLink w:val="Estiloimportado2"/>
  </w:abstractNum>
  <w:abstractNum w:abstractNumId="10">
    <w:nsid w:val="2E16340B"/>
    <w:multiLevelType w:val="hybridMultilevel"/>
    <w:tmpl w:val="4F1AF3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ADF44D3"/>
    <w:multiLevelType w:val="hybridMultilevel"/>
    <w:tmpl w:val="360CB50E"/>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582F4A67"/>
    <w:multiLevelType w:val="hybridMultilevel"/>
    <w:tmpl w:val="A68AA23C"/>
    <w:lvl w:ilvl="0" w:tplc="4876540C">
      <w:start w:val="1"/>
      <w:numFmt w:val="decimal"/>
      <w:lvlText w:val="%1."/>
      <w:lvlJc w:val="left"/>
      <w:pPr>
        <w:ind w:left="360" w:hanging="360"/>
      </w:pPr>
      <w:rPr>
        <w:rFonts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6E772BF9"/>
    <w:multiLevelType w:val="hybridMultilevel"/>
    <w:tmpl w:val="638447AA"/>
    <w:lvl w:ilvl="0" w:tplc="DA044858">
      <w:start w:val="1"/>
      <w:numFmt w:val="decimal"/>
      <w:lvlText w:val="%1."/>
      <w:lvlJc w:val="left"/>
      <w:pPr>
        <w:ind w:left="1212" w:hanging="852"/>
      </w:pPr>
      <w:rPr>
        <w:rFonts w:ascii="Times New Roman" w:hAnsi="Times New Roman"/>
        <w:b w:val="0"/>
        <w:i w:val="0"/>
        <w:caps w:val="0"/>
        <w:strike w:val="0"/>
        <w:dstrike w:val="0"/>
        <w:outline w:val="0"/>
        <w:shadow w:val="0"/>
        <w:emboss w:val="0"/>
        <w:imprint w:val="0"/>
        <w:vanish w:val="0"/>
        <w:color w:val="auto"/>
        <w:sz w:val="24"/>
        <w:szCs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8"/>
  </w:num>
  <w:num w:numId="5">
    <w:abstractNumId w:val="1"/>
  </w:num>
  <w:num w:numId="6">
    <w:abstractNumId w:val="9"/>
  </w:num>
  <w:num w:numId="7">
    <w:abstractNumId w:val="2"/>
  </w:num>
  <w:num w:numId="8">
    <w:abstractNumId w:val="5"/>
  </w:num>
  <w:num w:numId="9">
    <w:abstractNumId w:val="0"/>
  </w:num>
  <w:num w:numId="10">
    <w:abstractNumId w:val="6"/>
  </w:num>
  <w:num w:numId="11">
    <w:abstractNumId w:val="7"/>
  </w:num>
  <w:num w:numId="12">
    <w:abstractNumId w:val="1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07"/>
    <w:rsid w:val="0000242A"/>
    <w:rsid w:val="00004B14"/>
    <w:rsid w:val="000056AF"/>
    <w:rsid w:val="00005928"/>
    <w:rsid w:val="00005D18"/>
    <w:rsid w:val="000160D2"/>
    <w:rsid w:val="0002048F"/>
    <w:rsid w:val="00021A92"/>
    <w:rsid w:val="00026187"/>
    <w:rsid w:val="000271A9"/>
    <w:rsid w:val="00034BD0"/>
    <w:rsid w:val="00034C9E"/>
    <w:rsid w:val="00034CAD"/>
    <w:rsid w:val="0004032D"/>
    <w:rsid w:val="000410C6"/>
    <w:rsid w:val="00044E26"/>
    <w:rsid w:val="000454DD"/>
    <w:rsid w:val="00045813"/>
    <w:rsid w:val="00046F31"/>
    <w:rsid w:val="0004749A"/>
    <w:rsid w:val="000517EC"/>
    <w:rsid w:val="00051C8E"/>
    <w:rsid w:val="00054B4F"/>
    <w:rsid w:val="00055FCF"/>
    <w:rsid w:val="0006008A"/>
    <w:rsid w:val="0006449E"/>
    <w:rsid w:val="00064A35"/>
    <w:rsid w:val="0006660F"/>
    <w:rsid w:val="00071E32"/>
    <w:rsid w:val="00073271"/>
    <w:rsid w:val="000752FC"/>
    <w:rsid w:val="00075626"/>
    <w:rsid w:val="00076D8A"/>
    <w:rsid w:val="000778F8"/>
    <w:rsid w:val="000864B1"/>
    <w:rsid w:val="00087FCA"/>
    <w:rsid w:val="00091233"/>
    <w:rsid w:val="000972F4"/>
    <w:rsid w:val="000A2325"/>
    <w:rsid w:val="000B2858"/>
    <w:rsid w:val="000B42F8"/>
    <w:rsid w:val="000B4C9F"/>
    <w:rsid w:val="000C3313"/>
    <w:rsid w:val="000C78AC"/>
    <w:rsid w:val="000C7E08"/>
    <w:rsid w:val="000D0E48"/>
    <w:rsid w:val="000D2CDA"/>
    <w:rsid w:val="000D40DB"/>
    <w:rsid w:val="000D6710"/>
    <w:rsid w:val="000F054A"/>
    <w:rsid w:val="000F79D3"/>
    <w:rsid w:val="00101A19"/>
    <w:rsid w:val="00107582"/>
    <w:rsid w:val="00112068"/>
    <w:rsid w:val="00114092"/>
    <w:rsid w:val="001147A8"/>
    <w:rsid w:val="0012272D"/>
    <w:rsid w:val="00123D66"/>
    <w:rsid w:val="001243FA"/>
    <w:rsid w:val="00125885"/>
    <w:rsid w:val="00126035"/>
    <w:rsid w:val="00126650"/>
    <w:rsid w:val="001305FA"/>
    <w:rsid w:val="00130E76"/>
    <w:rsid w:val="00132FDF"/>
    <w:rsid w:val="00134B92"/>
    <w:rsid w:val="001359F3"/>
    <w:rsid w:val="00150295"/>
    <w:rsid w:val="001513D9"/>
    <w:rsid w:val="00151E20"/>
    <w:rsid w:val="001531EE"/>
    <w:rsid w:val="0015449F"/>
    <w:rsid w:val="0015508A"/>
    <w:rsid w:val="001579D7"/>
    <w:rsid w:val="0016611E"/>
    <w:rsid w:val="00170318"/>
    <w:rsid w:val="00174533"/>
    <w:rsid w:val="00176F18"/>
    <w:rsid w:val="00176FA0"/>
    <w:rsid w:val="001814B4"/>
    <w:rsid w:val="00191904"/>
    <w:rsid w:val="001A08EF"/>
    <w:rsid w:val="001A0D86"/>
    <w:rsid w:val="001A17AE"/>
    <w:rsid w:val="001A38A5"/>
    <w:rsid w:val="001A3A22"/>
    <w:rsid w:val="001A3FB5"/>
    <w:rsid w:val="001B02C7"/>
    <w:rsid w:val="001B0F5D"/>
    <w:rsid w:val="001B27B8"/>
    <w:rsid w:val="001B2AF4"/>
    <w:rsid w:val="001B310E"/>
    <w:rsid w:val="001B374B"/>
    <w:rsid w:val="001C11A6"/>
    <w:rsid w:val="001C18FE"/>
    <w:rsid w:val="001C2416"/>
    <w:rsid w:val="001C3B26"/>
    <w:rsid w:val="001C49D5"/>
    <w:rsid w:val="001C6664"/>
    <w:rsid w:val="001D31AD"/>
    <w:rsid w:val="001E0B2F"/>
    <w:rsid w:val="001E0E1E"/>
    <w:rsid w:val="001E2795"/>
    <w:rsid w:val="001E6999"/>
    <w:rsid w:val="001F4F6B"/>
    <w:rsid w:val="001F5194"/>
    <w:rsid w:val="001F52BC"/>
    <w:rsid w:val="0021041C"/>
    <w:rsid w:val="002144FE"/>
    <w:rsid w:val="00215892"/>
    <w:rsid w:val="00215EA9"/>
    <w:rsid w:val="00221CB0"/>
    <w:rsid w:val="00222FCA"/>
    <w:rsid w:val="00223777"/>
    <w:rsid w:val="00227312"/>
    <w:rsid w:val="00227A5C"/>
    <w:rsid w:val="002320D2"/>
    <w:rsid w:val="002327B9"/>
    <w:rsid w:val="0023411A"/>
    <w:rsid w:val="002362DD"/>
    <w:rsid w:val="0023725C"/>
    <w:rsid w:val="002504E0"/>
    <w:rsid w:val="00251D1D"/>
    <w:rsid w:val="00252CE8"/>
    <w:rsid w:val="002543C4"/>
    <w:rsid w:val="002608FB"/>
    <w:rsid w:val="00262E13"/>
    <w:rsid w:val="002658F8"/>
    <w:rsid w:val="00267626"/>
    <w:rsid w:val="002676BD"/>
    <w:rsid w:val="00270930"/>
    <w:rsid w:val="0027223F"/>
    <w:rsid w:val="00276307"/>
    <w:rsid w:val="00282448"/>
    <w:rsid w:val="00284172"/>
    <w:rsid w:val="00286721"/>
    <w:rsid w:val="0028721A"/>
    <w:rsid w:val="0029320A"/>
    <w:rsid w:val="002937B0"/>
    <w:rsid w:val="00294F87"/>
    <w:rsid w:val="00296A82"/>
    <w:rsid w:val="002A206C"/>
    <w:rsid w:val="002A35A9"/>
    <w:rsid w:val="002A72F5"/>
    <w:rsid w:val="002B0CBB"/>
    <w:rsid w:val="002C2F09"/>
    <w:rsid w:val="002C3730"/>
    <w:rsid w:val="002D0388"/>
    <w:rsid w:val="002D0514"/>
    <w:rsid w:val="002D2DE3"/>
    <w:rsid w:val="002D5250"/>
    <w:rsid w:val="002D5639"/>
    <w:rsid w:val="002D67AC"/>
    <w:rsid w:val="002E4D2D"/>
    <w:rsid w:val="002E5C36"/>
    <w:rsid w:val="002E66A8"/>
    <w:rsid w:val="002F00A6"/>
    <w:rsid w:val="002F3C3E"/>
    <w:rsid w:val="002F5205"/>
    <w:rsid w:val="002F7484"/>
    <w:rsid w:val="00300791"/>
    <w:rsid w:val="00301C50"/>
    <w:rsid w:val="00302B0E"/>
    <w:rsid w:val="00311AFF"/>
    <w:rsid w:val="00314020"/>
    <w:rsid w:val="00317901"/>
    <w:rsid w:val="00317AF6"/>
    <w:rsid w:val="00321C97"/>
    <w:rsid w:val="003249A4"/>
    <w:rsid w:val="00331B84"/>
    <w:rsid w:val="00334A1A"/>
    <w:rsid w:val="00341E58"/>
    <w:rsid w:val="003440DD"/>
    <w:rsid w:val="00355C9D"/>
    <w:rsid w:val="00356EF8"/>
    <w:rsid w:val="00357D33"/>
    <w:rsid w:val="003661D8"/>
    <w:rsid w:val="00371081"/>
    <w:rsid w:val="00374C53"/>
    <w:rsid w:val="00380D4C"/>
    <w:rsid w:val="00383A1A"/>
    <w:rsid w:val="00385B18"/>
    <w:rsid w:val="0038664D"/>
    <w:rsid w:val="00390613"/>
    <w:rsid w:val="00390AEF"/>
    <w:rsid w:val="00392EB9"/>
    <w:rsid w:val="00394139"/>
    <w:rsid w:val="003A5132"/>
    <w:rsid w:val="003B0F7B"/>
    <w:rsid w:val="003B38C5"/>
    <w:rsid w:val="003B4FAF"/>
    <w:rsid w:val="003C43E1"/>
    <w:rsid w:val="003C63B6"/>
    <w:rsid w:val="003C760D"/>
    <w:rsid w:val="003D2CB3"/>
    <w:rsid w:val="003D57E2"/>
    <w:rsid w:val="003D7CFC"/>
    <w:rsid w:val="003E0780"/>
    <w:rsid w:val="003E5BBA"/>
    <w:rsid w:val="003F125E"/>
    <w:rsid w:val="003F1ECA"/>
    <w:rsid w:val="003F50FB"/>
    <w:rsid w:val="003F5272"/>
    <w:rsid w:val="003F5897"/>
    <w:rsid w:val="00400AF1"/>
    <w:rsid w:val="00400EE7"/>
    <w:rsid w:val="00401FD0"/>
    <w:rsid w:val="0040750E"/>
    <w:rsid w:val="00410E44"/>
    <w:rsid w:val="00411595"/>
    <w:rsid w:val="00414406"/>
    <w:rsid w:val="00415D3C"/>
    <w:rsid w:val="00421DA2"/>
    <w:rsid w:val="00422864"/>
    <w:rsid w:val="0042451B"/>
    <w:rsid w:val="00425C1B"/>
    <w:rsid w:val="00430E8F"/>
    <w:rsid w:val="0043227A"/>
    <w:rsid w:val="00432444"/>
    <w:rsid w:val="00434363"/>
    <w:rsid w:val="004343B9"/>
    <w:rsid w:val="004366B8"/>
    <w:rsid w:val="00441694"/>
    <w:rsid w:val="00442665"/>
    <w:rsid w:val="00442AE4"/>
    <w:rsid w:val="00443719"/>
    <w:rsid w:val="004448AF"/>
    <w:rsid w:val="00444A5B"/>
    <w:rsid w:val="00447340"/>
    <w:rsid w:val="004634CF"/>
    <w:rsid w:val="0046593B"/>
    <w:rsid w:val="00467D9F"/>
    <w:rsid w:val="004716A8"/>
    <w:rsid w:val="00480752"/>
    <w:rsid w:val="00482D2A"/>
    <w:rsid w:val="00484C4B"/>
    <w:rsid w:val="00485096"/>
    <w:rsid w:val="00485285"/>
    <w:rsid w:val="00493EB3"/>
    <w:rsid w:val="0049673A"/>
    <w:rsid w:val="004A0393"/>
    <w:rsid w:val="004A390D"/>
    <w:rsid w:val="004A43EF"/>
    <w:rsid w:val="004A4AD7"/>
    <w:rsid w:val="004A588B"/>
    <w:rsid w:val="004A678D"/>
    <w:rsid w:val="004A740A"/>
    <w:rsid w:val="004B0D92"/>
    <w:rsid w:val="004B628B"/>
    <w:rsid w:val="004B7C21"/>
    <w:rsid w:val="004C1351"/>
    <w:rsid w:val="004C2E2C"/>
    <w:rsid w:val="004C4B82"/>
    <w:rsid w:val="004C518E"/>
    <w:rsid w:val="004C5EBC"/>
    <w:rsid w:val="004C68B6"/>
    <w:rsid w:val="004D2535"/>
    <w:rsid w:val="004D472F"/>
    <w:rsid w:val="004D60C3"/>
    <w:rsid w:val="004D6EBB"/>
    <w:rsid w:val="004E1C3B"/>
    <w:rsid w:val="004E6674"/>
    <w:rsid w:val="004E6B5B"/>
    <w:rsid w:val="004E76E8"/>
    <w:rsid w:val="004F1B47"/>
    <w:rsid w:val="004F3A7E"/>
    <w:rsid w:val="004F470E"/>
    <w:rsid w:val="004F7382"/>
    <w:rsid w:val="004F7628"/>
    <w:rsid w:val="00505014"/>
    <w:rsid w:val="00505337"/>
    <w:rsid w:val="005059A5"/>
    <w:rsid w:val="00510217"/>
    <w:rsid w:val="005106C5"/>
    <w:rsid w:val="0051093E"/>
    <w:rsid w:val="0051182E"/>
    <w:rsid w:val="00512D7B"/>
    <w:rsid w:val="00514555"/>
    <w:rsid w:val="00514AD3"/>
    <w:rsid w:val="00522531"/>
    <w:rsid w:val="0052279D"/>
    <w:rsid w:val="00524245"/>
    <w:rsid w:val="00524ABC"/>
    <w:rsid w:val="005263D2"/>
    <w:rsid w:val="005357BA"/>
    <w:rsid w:val="0053637F"/>
    <w:rsid w:val="005428CD"/>
    <w:rsid w:val="005439C1"/>
    <w:rsid w:val="0055311D"/>
    <w:rsid w:val="005534D1"/>
    <w:rsid w:val="0055620D"/>
    <w:rsid w:val="00556C69"/>
    <w:rsid w:val="005710B0"/>
    <w:rsid w:val="00571690"/>
    <w:rsid w:val="00577820"/>
    <w:rsid w:val="00580DEC"/>
    <w:rsid w:val="0058304C"/>
    <w:rsid w:val="00583F01"/>
    <w:rsid w:val="00584FC4"/>
    <w:rsid w:val="00586477"/>
    <w:rsid w:val="00586F2C"/>
    <w:rsid w:val="005913A3"/>
    <w:rsid w:val="005920CB"/>
    <w:rsid w:val="005928F5"/>
    <w:rsid w:val="00597617"/>
    <w:rsid w:val="005A0193"/>
    <w:rsid w:val="005A03AB"/>
    <w:rsid w:val="005A1B6F"/>
    <w:rsid w:val="005A20B7"/>
    <w:rsid w:val="005A2D4A"/>
    <w:rsid w:val="005A302F"/>
    <w:rsid w:val="005A5718"/>
    <w:rsid w:val="005A5A74"/>
    <w:rsid w:val="005A75B2"/>
    <w:rsid w:val="005B49AB"/>
    <w:rsid w:val="005B74E6"/>
    <w:rsid w:val="005C362E"/>
    <w:rsid w:val="005C437A"/>
    <w:rsid w:val="005C46E3"/>
    <w:rsid w:val="005D3EF0"/>
    <w:rsid w:val="005E00BE"/>
    <w:rsid w:val="005E077A"/>
    <w:rsid w:val="005E54DB"/>
    <w:rsid w:val="005E611D"/>
    <w:rsid w:val="005E762F"/>
    <w:rsid w:val="005F2AC6"/>
    <w:rsid w:val="005F3BB5"/>
    <w:rsid w:val="005F478B"/>
    <w:rsid w:val="005F4F00"/>
    <w:rsid w:val="005F52C9"/>
    <w:rsid w:val="005F69A2"/>
    <w:rsid w:val="005F7314"/>
    <w:rsid w:val="0060372A"/>
    <w:rsid w:val="00605D0C"/>
    <w:rsid w:val="006146C3"/>
    <w:rsid w:val="0061608D"/>
    <w:rsid w:val="00617F1C"/>
    <w:rsid w:val="006215D2"/>
    <w:rsid w:val="00622070"/>
    <w:rsid w:val="00622E01"/>
    <w:rsid w:val="00624163"/>
    <w:rsid w:val="00624AB9"/>
    <w:rsid w:val="00625818"/>
    <w:rsid w:val="006259C2"/>
    <w:rsid w:val="006300EF"/>
    <w:rsid w:val="00630598"/>
    <w:rsid w:val="00630B97"/>
    <w:rsid w:val="00633D26"/>
    <w:rsid w:val="00636AE7"/>
    <w:rsid w:val="00636DFA"/>
    <w:rsid w:val="006400EE"/>
    <w:rsid w:val="00642E81"/>
    <w:rsid w:val="00644237"/>
    <w:rsid w:val="006459E9"/>
    <w:rsid w:val="00650CC2"/>
    <w:rsid w:val="00651569"/>
    <w:rsid w:val="0065214A"/>
    <w:rsid w:val="006609F8"/>
    <w:rsid w:val="006665B8"/>
    <w:rsid w:val="00667020"/>
    <w:rsid w:val="006714C7"/>
    <w:rsid w:val="00672090"/>
    <w:rsid w:val="00672563"/>
    <w:rsid w:val="00673943"/>
    <w:rsid w:val="00676FDB"/>
    <w:rsid w:val="00677B01"/>
    <w:rsid w:val="00682F02"/>
    <w:rsid w:val="0068513B"/>
    <w:rsid w:val="00686E3C"/>
    <w:rsid w:val="00693692"/>
    <w:rsid w:val="006943EC"/>
    <w:rsid w:val="006952EC"/>
    <w:rsid w:val="0069545C"/>
    <w:rsid w:val="0069751C"/>
    <w:rsid w:val="006A0E9F"/>
    <w:rsid w:val="006A5207"/>
    <w:rsid w:val="006A5826"/>
    <w:rsid w:val="006A5BF2"/>
    <w:rsid w:val="006A680F"/>
    <w:rsid w:val="006A6A90"/>
    <w:rsid w:val="006B2463"/>
    <w:rsid w:val="006B76F4"/>
    <w:rsid w:val="006C0F08"/>
    <w:rsid w:val="006C250A"/>
    <w:rsid w:val="006C3674"/>
    <w:rsid w:val="006C3983"/>
    <w:rsid w:val="006C4F87"/>
    <w:rsid w:val="006C5D71"/>
    <w:rsid w:val="006D2567"/>
    <w:rsid w:val="006D41A7"/>
    <w:rsid w:val="006D4563"/>
    <w:rsid w:val="006D4AC3"/>
    <w:rsid w:val="006D6293"/>
    <w:rsid w:val="006E00A3"/>
    <w:rsid w:val="006E3BD9"/>
    <w:rsid w:val="006E41A9"/>
    <w:rsid w:val="006E6054"/>
    <w:rsid w:val="006E7967"/>
    <w:rsid w:val="006F547D"/>
    <w:rsid w:val="006F6262"/>
    <w:rsid w:val="00700155"/>
    <w:rsid w:val="00700D79"/>
    <w:rsid w:val="007017ED"/>
    <w:rsid w:val="00710551"/>
    <w:rsid w:val="00711483"/>
    <w:rsid w:val="00711FCF"/>
    <w:rsid w:val="00712A9F"/>
    <w:rsid w:val="00714A9B"/>
    <w:rsid w:val="00714CC7"/>
    <w:rsid w:val="0071666C"/>
    <w:rsid w:val="00721D63"/>
    <w:rsid w:val="00722792"/>
    <w:rsid w:val="00732E88"/>
    <w:rsid w:val="007353D1"/>
    <w:rsid w:val="00741DDF"/>
    <w:rsid w:val="00742619"/>
    <w:rsid w:val="0074347B"/>
    <w:rsid w:val="00746D37"/>
    <w:rsid w:val="007505EB"/>
    <w:rsid w:val="00750A8D"/>
    <w:rsid w:val="007567C1"/>
    <w:rsid w:val="00756C96"/>
    <w:rsid w:val="00767D34"/>
    <w:rsid w:val="00776A0E"/>
    <w:rsid w:val="00780DE7"/>
    <w:rsid w:val="00786628"/>
    <w:rsid w:val="00786CC0"/>
    <w:rsid w:val="00795F89"/>
    <w:rsid w:val="007A24A1"/>
    <w:rsid w:val="007A5CE8"/>
    <w:rsid w:val="007A65E7"/>
    <w:rsid w:val="007C0326"/>
    <w:rsid w:val="007C0FB9"/>
    <w:rsid w:val="007C1475"/>
    <w:rsid w:val="007C1A9B"/>
    <w:rsid w:val="007C5F0F"/>
    <w:rsid w:val="007D21D3"/>
    <w:rsid w:val="007D31EA"/>
    <w:rsid w:val="007D65F7"/>
    <w:rsid w:val="007E3095"/>
    <w:rsid w:val="007E385D"/>
    <w:rsid w:val="007E57E0"/>
    <w:rsid w:val="007E64A6"/>
    <w:rsid w:val="007E6F45"/>
    <w:rsid w:val="007F467F"/>
    <w:rsid w:val="007F46B4"/>
    <w:rsid w:val="0080344B"/>
    <w:rsid w:val="00803F99"/>
    <w:rsid w:val="008103C7"/>
    <w:rsid w:val="00810A8C"/>
    <w:rsid w:val="00812484"/>
    <w:rsid w:val="00813113"/>
    <w:rsid w:val="00813DA2"/>
    <w:rsid w:val="008155BE"/>
    <w:rsid w:val="00820170"/>
    <w:rsid w:val="008203D1"/>
    <w:rsid w:val="00821028"/>
    <w:rsid w:val="0082418E"/>
    <w:rsid w:val="00824E38"/>
    <w:rsid w:val="00831D44"/>
    <w:rsid w:val="008334FE"/>
    <w:rsid w:val="00833637"/>
    <w:rsid w:val="008343AB"/>
    <w:rsid w:val="008347FC"/>
    <w:rsid w:val="008350F5"/>
    <w:rsid w:val="008417F1"/>
    <w:rsid w:val="00841F69"/>
    <w:rsid w:val="0084265D"/>
    <w:rsid w:val="008428B7"/>
    <w:rsid w:val="008435E4"/>
    <w:rsid w:val="00843A73"/>
    <w:rsid w:val="0084518D"/>
    <w:rsid w:val="00846692"/>
    <w:rsid w:val="00850CB1"/>
    <w:rsid w:val="008512AA"/>
    <w:rsid w:val="00852F2C"/>
    <w:rsid w:val="0085438C"/>
    <w:rsid w:val="008572D0"/>
    <w:rsid w:val="008578D2"/>
    <w:rsid w:val="00860937"/>
    <w:rsid w:val="008623E4"/>
    <w:rsid w:val="00862821"/>
    <w:rsid w:val="0086337B"/>
    <w:rsid w:val="00863B37"/>
    <w:rsid w:val="008640BF"/>
    <w:rsid w:val="00864580"/>
    <w:rsid w:val="00871694"/>
    <w:rsid w:val="00872A14"/>
    <w:rsid w:val="00876D0F"/>
    <w:rsid w:val="0088407C"/>
    <w:rsid w:val="008849C6"/>
    <w:rsid w:val="00886C78"/>
    <w:rsid w:val="008A059F"/>
    <w:rsid w:val="008A429B"/>
    <w:rsid w:val="008A6F05"/>
    <w:rsid w:val="008A71B9"/>
    <w:rsid w:val="008A72D9"/>
    <w:rsid w:val="008A7EDD"/>
    <w:rsid w:val="008B0079"/>
    <w:rsid w:val="008B4EF8"/>
    <w:rsid w:val="008C01C6"/>
    <w:rsid w:val="008C0488"/>
    <w:rsid w:val="008C3BA1"/>
    <w:rsid w:val="008C40A4"/>
    <w:rsid w:val="008C5D51"/>
    <w:rsid w:val="008D2D3B"/>
    <w:rsid w:val="008D342C"/>
    <w:rsid w:val="008D3682"/>
    <w:rsid w:val="008D57A1"/>
    <w:rsid w:val="008D6CA0"/>
    <w:rsid w:val="008E269F"/>
    <w:rsid w:val="008F089F"/>
    <w:rsid w:val="008F0D5B"/>
    <w:rsid w:val="008F1222"/>
    <w:rsid w:val="008F142D"/>
    <w:rsid w:val="008F18AA"/>
    <w:rsid w:val="008F299C"/>
    <w:rsid w:val="008F79D6"/>
    <w:rsid w:val="00902104"/>
    <w:rsid w:val="0090388F"/>
    <w:rsid w:val="00903C22"/>
    <w:rsid w:val="00904D3B"/>
    <w:rsid w:val="00905482"/>
    <w:rsid w:val="00907F2D"/>
    <w:rsid w:val="00910D7A"/>
    <w:rsid w:val="009131B9"/>
    <w:rsid w:val="00915841"/>
    <w:rsid w:val="00923D2B"/>
    <w:rsid w:val="00923F06"/>
    <w:rsid w:val="009240DA"/>
    <w:rsid w:val="00931B2D"/>
    <w:rsid w:val="00935C88"/>
    <w:rsid w:val="009368F6"/>
    <w:rsid w:val="00936F4B"/>
    <w:rsid w:val="00941DE6"/>
    <w:rsid w:val="009425E8"/>
    <w:rsid w:val="00944374"/>
    <w:rsid w:val="0094461C"/>
    <w:rsid w:val="00944664"/>
    <w:rsid w:val="00950220"/>
    <w:rsid w:val="00952CB8"/>
    <w:rsid w:val="00954DF1"/>
    <w:rsid w:val="00960721"/>
    <w:rsid w:val="0096083B"/>
    <w:rsid w:val="00967E4C"/>
    <w:rsid w:val="009703D5"/>
    <w:rsid w:val="00971AD4"/>
    <w:rsid w:val="00972F35"/>
    <w:rsid w:val="00975412"/>
    <w:rsid w:val="00976919"/>
    <w:rsid w:val="00977316"/>
    <w:rsid w:val="00985A26"/>
    <w:rsid w:val="00985B55"/>
    <w:rsid w:val="0098721A"/>
    <w:rsid w:val="00990435"/>
    <w:rsid w:val="00994644"/>
    <w:rsid w:val="00994672"/>
    <w:rsid w:val="00996423"/>
    <w:rsid w:val="009966D2"/>
    <w:rsid w:val="009A1CB9"/>
    <w:rsid w:val="009A4780"/>
    <w:rsid w:val="009A498D"/>
    <w:rsid w:val="009A49D5"/>
    <w:rsid w:val="009A57C4"/>
    <w:rsid w:val="009A67C7"/>
    <w:rsid w:val="009A7082"/>
    <w:rsid w:val="009B2305"/>
    <w:rsid w:val="009B26F2"/>
    <w:rsid w:val="009B5E2D"/>
    <w:rsid w:val="009B6FD6"/>
    <w:rsid w:val="009C22A5"/>
    <w:rsid w:val="009C29DA"/>
    <w:rsid w:val="009C2D18"/>
    <w:rsid w:val="009C3A68"/>
    <w:rsid w:val="009D1A04"/>
    <w:rsid w:val="009D2269"/>
    <w:rsid w:val="009E2C55"/>
    <w:rsid w:val="009E3861"/>
    <w:rsid w:val="009F2F04"/>
    <w:rsid w:val="009F6CCB"/>
    <w:rsid w:val="009F756D"/>
    <w:rsid w:val="00A010D5"/>
    <w:rsid w:val="00A0124E"/>
    <w:rsid w:val="00A031A1"/>
    <w:rsid w:val="00A0608C"/>
    <w:rsid w:val="00A10993"/>
    <w:rsid w:val="00A12F09"/>
    <w:rsid w:val="00A154C9"/>
    <w:rsid w:val="00A15D8D"/>
    <w:rsid w:val="00A26584"/>
    <w:rsid w:val="00A332DD"/>
    <w:rsid w:val="00A35E7F"/>
    <w:rsid w:val="00A364DF"/>
    <w:rsid w:val="00A36A43"/>
    <w:rsid w:val="00A4100A"/>
    <w:rsid w:val="00A50D13"/>
    <w:rsid w:val="00A52F15"/>
    <w:rsid w:val="00A52F46"/>
    <w:rsid w:val="00A63195"/>
    <w:rsid w:val="00A640D9"/>
    <w:rsid w:val="00A64264"/>
    <w:rsid w:val="00A65637"/>
    <w:rsid w:val="00A7084D"/>
    <w:rsid w:val="00A74035"/>
    <w:rsid w:val="00A748F4"/>
    <w:rsid w:val="00A753B9"/>
    <w:rsid w:val="00A75535"/>
    <w:rsid w:val="00A76765"/>
    <w:rsid w:val="00A771AE"/>
    <w:rsid w:val="00A8257A"/>
    <w:rsid w:val="00A93F57"/>
    <w:rsid w:val="00A95BA7"/>
    <w:rsid w:val="00AA1BFA"/>
    <w:rsid w:val="00AA3A05"/>
    <w:rsid w:val="00AA7B6B"/>
    <w:rsid w:val="00AB054C"/>
    <w:rsid w:val="00AB0580"/>
    <w:rsid w:val="00AB3E56"/>
    <w:rsid w:val="00AB4B6F"/>
    <w:rsid w:val="00AB7DD1"/>
    <w:rsid w:val="00AC14CE"/>
    <w:rsid w:val="00AC181E"/>
    <w:rsid w:val="00AC2DEE"/>
    <w:rsid w:val="00AC77C1"/>
    <w:rsid w:val="00AC7E02"/>
    <w:rsid w:val="00AD1153"/>
    <w:rsid w:val="00AD26EF"/>
    <w:rsid w:val="00AE25F2"/>
    <w:rsid w:val="00AE2776"/>
    <w:rsid w:val="00AE73BA"/>
    <w:rsid w:val="00AF00F6"/>
    <w:rsid w:val="00AF05DB"/>
    <w:rsid w:val="00AF40FE"/>
    <w:rsid w:val="00B01ACF"/>
    <w:rsid w:val="00B0354A"/>
    <w:rsid w:val="00B047D6"/>
    <w:rsid w:val="00B073B0"/>
    <w:rsid w:val="00B1292A"/>
    <w:rsid w:val="00B150FE"/>
    <w:rsid w:val="00B15D1C"/>
    <w:rsid w:val="00B16AB1"/>
    <w:rsid w:val="00B208F1"/>
    <w:rsid w:val="00B2265B"/>
    <w:rsid w:val="00B22C01"/>
    <w:rsid w:val="00B231F9"/>
    <w:rsid w:val="00B2473F"/>
    <w:rsid w:val="00B24C37"/>
    <w:rsid w:val="00B258B1"/>
    <w:rsid w:val="00B26A5E"/>
    <w:rsid w:val="00B26D00"/>
    <w:rsid w:val="00B26F57"/>
    <w:rsid w:val="00B27130"/>
    <w:rsid w:val="00B3203E"/>
    <w:rsid w:val="00B32CDE"/>
    <w:rsid w:val="00B36BA8"/>
    <w:rsid w:val="00B43E3A"/>
    <w:rsid w:val="00B461FF"/>
    <w:rsid w:val="00B46225"/>
    <w:rsid w:val="00B468ED"/>
    <w:rsid w:val="00B50E07"/>
    <w:rsid w:val="00B55A6E"/>
    <w:rsid w:val="00B57068"/>
    <w:rsid w:val="00B62AD6"/>
    <w:rsid w:val="00B642C1"/>
    <w:rsid w:val="00B659BD"/>
    <w:rsid w:val="00B7106C"/>
    <w:rsid w:val="00B714B7"/>
    <w:rsid w:val="00B71E13"/>
    <w:rsid w:val="00B7252A"/>
    <w:rsid w:val="00B7574A"/>
    <w:rsid w:val="00B7653E"/>
    <w:rsid w:val="00B80377"/>
    <w:rsid w:val="00B82BDF"/>
    <w:rsid w:val="00B82E7B"/>
    <w:rsid w:val="00B861CD"/>
    <w:rsid w:val="00B86BE7"/>
    <w:rsid w:val="00B87E28"/>
    <w:rsid w:val="00B907B8"/>
    <w:rsid w:val="00B917B3"/>
    <w:rsid w:val="00B9335F"/>
    <w:rsid w:val="00B95048"/>
    <w:rsid w:val="00B95516"/>
    <w:rsid w:val="00B95AE8"/>
    <w:rsid w:val="00BA3844"/>
    <w:rsid w:val="00BA3A4B"/>
    <w:rsid w:val="00BB0D2A"/>
    <w:rsid w:val="00BB0DB9"/>
    <w:rsid w:val="00BB6645"/>
    <w:rsid w:val="00BC155E"/>
    <w:rsid w:val="00BC1694"/>
    <w:rsid w:val="00BC296E"/>
    <w:rsid w:val="00BC4A2D"/>
    <w:rsid w:val="00BC573D"/>
    <w:rsid w:val="00BD19E5"/>
    <w:rsid w:val="00BD5E8E"/>
    <w:rsid w:val="00BD6795"/>
    <w:rsid w:val="00BD789A"/>
    <w:rsid w:val="00BD7E67"/>
    <w:rsid w:val="00BE44EA"/>
    <w:rsid w:val="00BE61BF"/>
    <w:rsid w:val="00BF123A"/>
    <w:rsid w:val="00BF1F07"/>
    <w:rsid w:val="00BF45E3"/>
    <w:rsid w:val="00C062B5"/>
    <w:rsid w:val="00C0641C"/>
    <w:rsid w:val="00C07BDC"/>
    <w:rsid w:val="00C13885"/>
    <w:rsid w:val="00C152C2"/>
    <w:rsid w:val="00C17006"/>
    <w:rsid w:val="00C20DD2"/>
    <w:rsid w:val="00C22E8A"/>
    <w:rsid w:val="00C24C3A"/>
    <w:rsid w:val="00C30F35"/>
    <w:rsid w:val="00C323FD"/>
    <w:rsid w:val="00C34FE3"/>
    <w:rsid w:val="00C410AC"/>
    <w:rsid w:val="00C41F17"/>
    <w:rsid w:val="00C42C1E"/>
    <w:rsid w:val="00C44FEB"/>
    <w:rsid w:val="00C45438"/>
    <w:rsid w:val="00C47428"/>
    <w:rsid w:val="00C47DB4"/>
    <w:rsid w:val="00C5089C"/>
    <w:rsid w:val="00C519BA"/>
    <w:rsid w:val="00C51ADB"/>
    <w:rsid w:val="00C54EBB"/>
    <w:rsid w:val="00C57799"/>
    <w:rsid w:val="00C57AB4"/>
    <w:rsid w:val="00C64DC7"/>
    <w:rsid w:val="00C66764"/>
    <w:rsid w:val="00C71057"/>
    <w:rsid w:val="00C710D8"/>
    <w:rsid w:val="00C73BF6"/>
    <w:rsid w:val="00C77C4B"/>
    <w:rsid w:val="00C80461"/>
    <w:rsid w:val="00C806B5"/>
    <w:rsid w:val="00C80916"/>
    <w:rsid w:val="00C82D64"/>
    <w:rsid w:val="00C922CB"/>
    <w:rsid w:val="00C944C8"/>
    <w:rsid w:val="00C94B45"/>
    <w:rsid w:val="00C96ADC"/>
    <w:rsid w:val="00C97837"/>
    <w:rsid w:val="00CA0902"/>
    <w:rsid w:val="00CA0C28"/>
    <w:rsid w:val="00CA4059"/>
    <w:rsid w:val="00CA682F"/>
    <w:rsid w:val="00CB2170"/>
    <w:rsid w:val="00CB224D"/>
    <w:rsid w:val="00CB33E8"/>
    <w:rsid w:val="00CB6EA0"/>
    <w:rsid w:val="00CB74B0"/>
    <w:rsid w:val="00CB7940"/>
    <w:rsid w:val="00CC069B"/>
    <w:rsid w:val="00CC06A7"/>
    <w:rsid w:val="00CC0CAC"/>
    <w:rsid w:val="00CC17E1"/>
    <w:rsid w:val="00CC71E3"/>
    <w:rsid w:val="00CD4CB5"/>
    <w:rsid w:val="00CE0201"/>
    <w:rsid w:val="00CE05C6"/>
    <w:rsid w:val="00CE3AD8"/>
    <w:rsid w:val="00CE4EEA"/>
    <w:rsid w:val="00CE7F6B"/>
    <w:rsid w:val="00CF0B8C"/>
    <w:rsid w:val="00CF5118"/>
    <w:rsid w:val="00CF60FD"/>
    <w:rsid w:val="00CF6B27"/>
    <w:rsid w:val="00D03F4C"/>
    <w:rsid w:val="00D11492"/>
    <w:rsid w:val="00D26B40"/>
    <w:rsid w:val="00D26FE6"/>
    <w:rsid w:val="00D3019E"/>
    <w:rsid w:val="00D30226"/>
    <w:rsid w:val="00D30871"/>
    <w:rsid w:val="00D33775"/>
    <w:rsid w:val="00D4337A"/>
    <w:rsid w:val="00D5242E"/>
    <w:rsid w:val="00D54A66"/>
    <w:rsid w:val="00D5736E"/>
    <w:rsid w:val="00D57454"/>
    <w:rsid w:val="00D57E00"/>
    <w:rsid w:val="00D63E8A"/>
    <w:rsid w:val="00D65DFD"/>
    <w:rsid w:val="00D66169"/>
    <w:rsid w:val="00D670B7"/>
    <w:rsid w:val="00D707E7"/>
    <w:rsid w:val="00D73C29"/>
    <w:rsid w:val="00D76D0B"/>
    <w:rsid w:val="00D82C2F"/>
    <w:rsid w:val="00D83E2C"/>
    <w:rsid w:val="00D8406D"/>
    <w:rsid w:val="00D85804"/>
    <w:rsid w:val="00D877CC"/>
    <w:rsid w:val="00D879D1"/>
    <w:rsid w:val="00D93459"/>
    <w:rsid w:val="00D945B1"/>
    <w:rsid w:val="00D966E4"/>
    <w:rsid w:val="00D97CDC"/>
    <w:rsid w:val="00DA19F9"/>
    <w:rsid w:val="00DA5FC2"/>
    <w:rsid w:val="00DA6A80"/>
    <w:rsid w:val="00DB0E97"/>
    <w:rsid w:val="00DB38F1"/>
    <w:rsid w:val="00DB4704"/>
    <w:rsid w:val="00DB4762"/>
    <w:rsid w:val="00DB5B59"/>
    <w:rsid w:val="00DB5CB4"/>
    <w:rsid w:val="00DC03F7"/>
    <w:rsid w:val="00DC21DC"/>
    <w:rsid w:val="00DC2709"/>
    <w:rsid w:val="00DC3600"/>
    <w:rsid w:val="00DC4DB7"/>
    <w:rsid w:val="00DC6658"/>
    <w:rsid w:val="00DD033C"/>
    <w:rsid w:val="00DD06AE"/>
    <w:rsid w:val="00DD5F16"/>
    <w:rsid w:val="00DD6594"/>
    <w:rsid w:val="00DD7BE9"/>
    <w:rsid w:val="00DE0E78"/>
    <w:rsid w:val="00DE296E"/>
    <w:rsid w:val="00DE2F22"/>
    <w:rsid w:val="00DE2FA3"/>
    <w:rsid w:val="00DF05BD"/>
    <w:rsid w:val="00DF2345"/>
    <w:rsid w:val="00DF785C"/>
    <w:rsid w:val="00E04F25"/>
    <w:rsid w:val="00E06A79"/>
    <w:rsid w:val="00E07926"/>
    <w:rsid w:val="00E113D7"/>
    <w:rsid w:val="00E12E57"/>
    <w:rsid w:val="00E1366F"/>
    <w:rsid w:val="00E1408B"/>
    <w:rsid w:val="00E1456D"/>
    <w:rsid w:val="00E145AE"/>
    <w:rsid w:val="00E15446"/>
    <w:rsid w:val="00E1643C"/>
    <w:rsid w:val="00E16462"/>
    <w:rsid w:val="00E20471"/>
    <w:rsid w:val="00E23EA3"/>
    <w:rsid w:val="00E25B32"/>
    <w:rsid w:val="00E2724B"/>
    <w:rsid w:val="00E302B4"/>
    <w:rsid w:val="00E326B0"/>
    <w:rsid w:val="00E363D6"/>
    <w:rsid w:val="00E432A9"/>
    <w:rsid w:val="00E44743"/>
    <w:rsid w:val="00E45797"/>
    <w:rsid w:val="00E45812"/>
    <w:rsid w:val="00E502EA"/>
    <w:rsid w:val="00E50637"/>
    <w:rsid w:val="00E52342"/>
    <w:rsid w:val="00E53B7D"/>
    <w:rsid w:val="00E5408F"/>
    <w:rsid w:val="00E60CAD"/>
    <w:rsid w:val="00E6109C"/>
    <w:rsid w:val="00E618EC"/>
    <w:rsid w:val="00E625AB"/>
    <w:rsid w:val="00E62C60"/>
    <w:rsid w:val="00E72400"/>
    <w:rsid w:val="00E765E8"/>
    <w:rsid w:val="00E76A81"/>
    <w:rsid w:val="00E8126E"/>
    <w:rsid w:val="00E819C9"/>
    <w:rsid w:val="00E829E3"/>
    <w:rsid w:val="00E837F1"/>
    <w:rsid w:val="00E873D2"/>
    <w:rsid w:val="00E9161B"/>
    <w:rsid w:val="00E91E9C"/>
    <w:rsid w:val="00E92CE2"/>
    <w:rsid w:val="00E92E3F"/>
    <w:rsid w:val="00EA4095"/>
    <w:rsid w:val="00EA43AF"/>
    <w:rsid w:val="00EA56EA"/>
    <w:rsid w:val="00EA597C"/>
    <w:rsid w:val="00EB1354"/>
    <w:rsid w:val="00EB1599"/>
    <w:rsid w:val="00EB7817"/>
    <w:rsid w:val="00EC1F33"/>
    <w:rsid w:val="00EC753A"/>
    <w:rsid w:val="00ED4D95"/>
    <w:rsid w:val="00ED54E2"/>
    <w:rsid w:val="00ED5DBF"/>
    <w:rsid w:val="00ED6B72"/>
    <w:rsid w:val="00EE1E12"/>
    <w:rsid w:val="00EE3DD9"/>
    <w:rsid w:val="00EF3B3F"/>
    <w:rsid w:val="00EF3D72"/>
    <w:rsid w:val="00EF409A"/>
    <w:rsid w:val="00EF42C9"/>
    <w:rsid w:val="00EF656F"/>
    <w:rsid w:val="00EF6A48"/>
    <w:rsid w:val="00EF6C03"/>
    <w:rsid w:val="00EF7B57"/>
    <w:rsid w:val="00F008A1"/>
    <w:rsid w:val="00F00CAD"/>
    <w:rsid w:val="00F00F21"/>
    <w:rsid w:val="00F04C97"/>
    <w:rsid w:val="00F10D03"/>
    <w:rsid w:val="00F11DA5"/>
    <w:rsid w:val="00F1244F"/>
    <w:rsid w:val="00F13D75"/>
    <w:rsid w:val="00F14254"/>
    <w:rsid w:val="00F15D57"/>
    <w:rsid w:val="00F219B0"/>
    <w:rsid w:val="00F21AB0"/>
    <w:rsid w:val="00F23C68"/>
    <w:rsid w:val="00F23ED5"/>
    <w:rsid w:val="00F24006"/>
    <w:rsid w:val="00F24189"/>
    <w:rsid w:val="00F304C1"/>
    <w:rsid w:val="00F3107D"/>
    <w:rsid w:val="00F3215D"/>
    <w:rsid w:val="00F3230C"/>
    <w:rsid w:val="00F33D2C"/>
    <w:rsid w:val="00F3456F"/>
    <w:rsid w:val="00F35585"/>
    <w:rsid w:val="00F36298"/>
    <w:rsid w:val="00F40670"/>
    <w:rsid w:val="00F42C70"/>
    <w:rsid w:val="00F4483C"/>
    <w:rsid w:val="00F4654B"/>
    <w:rsid w:val="00F479AB"/>
    <w:rsid w:val="00F50DCC"/>
    <w:rsid w:val="00F50E68"/>
    <w:rsid w:val="00F52D93"/>
    <w:rsid w:val="00F53495"/>
    <w:rsid w:val="00F55148"/>
    <w:rsid w:val="00F600DF"/>
    <w:rsid w:val="00F6134A"/>
    <w:rsid w:val="00F614D0"/>
    <w:rsid w:val="00F6327E"/>
    <w:rsid w:val="00F668F0"/>
    <w:rsid w:val="00F66E08"/>
    <w:rsid w:val="00F72D07"/>
    <w:rsid w:val="00F7355B"/>
    <w:rsid w:val="00F84D54"/>
    <w:rsid w:val="00F85CA0"/>
    <w:rsid w:val="00F86A2C"/>
    <w:rsid w:val="00F87186"/>
    <w:rsid w:val="00F879F3"/>
    <w:rsid w:val="00F87EF0"/>
    <w:rsid w:val="00F93417"/>
    <w:rsid w:val="00F94BE2"/>
    <w:rsid w:val="00F95B9D"/>
    <w:rsid w:val="00F97498"/>
    <w:rsid w:val="00FA0CC1"/>
    <w:rsid w:val="00FA1452"/>
    <w:rsid w:val="00FA1A5F"/>
    <w:rsid w:val="00FA2322"/>
    <w:rsid w:val="00FA2C69"/>
    <w:rsid w:val="00FA3242"/>
    <w:rsid w:val="00FA392F"/>
    <w:rsid w:val="00FA70B1"/>
    <w:rsid w:val="00FB04A0"/>
    <w:rsid w:val="00FB6423"/>
    <w:rsid w:val="00FB7FA8"/>
    <w:rsid w:val="00FC1173"/>
    <w:rsid w:val="00FC2956"/>
    <w:rsid w:val="00FC3D5E"/>
    <w:rsid w:val="00FC40D7"/>
    <w:rsid w:val="00FD4C33"/>
    <w:rsid w:val="00FE08E8"/>
    <w:rsid w:val="00FE1904"/>
    <w:rsid w:val="00FE23E1"/>
    <w:rsid w:val="00FE3AD7"/>
    <w:rsid w:val="00FE4425"/>
    <w:rsid w:val="00FF4A06"/>
    <w:rsid w:val="00FF4E2B"/>
    <w:rsid w:val="00FF5625"/>
    <w:rsid w:val="00FF7C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63FB"/>
  <w14:defaultImageDpi w14:val="32767"/>
  <w15:chartTrackingRefBased/>
  <w15:docId w15:val="{F12A10EC-9536-6B42-9E62-AC72DF63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837"/>
    <w:rPr>
      <w:rFonts w:ascii="Times New Roman" w:eastAsia="Times New Roman" w:hAnsi="Times New Roman" w:cs="Times New Roman"/>
      <w:lang w:val="es-E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207"/>
    <w:pPr>
      <w:tabs>
        <w:tab w:val="center" w:pos="4252"/>
        <w:tab w:val="right" w:pos="8504"/>
      </w:tabs>
    </w:pPr>
    <w:rPr>
      <w:rFonts w:asciiTheme="minorHAnsi" w:eastAsiaTheme="minorHAnsi" w:hAnsiTheme="minorHAnsi" w:cstheme="minorBidi"/>
      <w:lang w:val="es-ES_tradnl" w:eastAsia="en-US"/>
    </w:rPr>
  </w:style>
  <w:style w:type="character" w:customStyle="1" w:styleId="HeaderChar">
    <w:name w:val="Header Char"/>
    <w:basedOn w:val="DefaultParagraphFont"/>
    <w:link w:val="Header"/>
    <w:uiPriority w:val="99"/>
    <w:rsid w:val="006A5207"/>
  </w:style>
  <w:style w:type="paragraph" w:styleId="Footer">
    <w:name w:val="footer"/>
    <w:basedOn w:val="Normal"/>
    <w:link w:val="FooterChar"/>
    <w:uiPriority w:val="99"/>
    <w:unhideWhenUsed/>
    <w:rsid w:val="006A5207"/>
    <w:pPr>
      <w:tabs>
        <w:tab w:val="center" w:pos="4252"/>
        <w:tab w:val="right" w:pos="8504"/>
      </w:tabs>
    </w:pPr>
    <w:rPr>
      <w:rFonts w:asciiTheme="minorHAnsi" w:eastAsiaTheme="minorHAnsi" w:hAnsiTheme="minorHAnsi" w:cstheme="minorBidi"/>
      <w:lang w:val="es-ES_tradnl" w:eastAsia="en-US"/>
    </w:rPr>
  </w:style>
  <w:style w:type="character" w:customStyle="1" w:styleId="FooterChar">
    <w:name w:val="Footer Char"/>
    <w:basedOn w:val="DefaultParagraphFont"/>
    <w:link w:val="Footer"/>
    <w:uiPriority w:val="99"/>
    <w:rsid w:val="006A5207"/>
  </w:style>
  <w:style w:type="character" w:styleId="Strong">
    <w:name w:val="Strong"/>
    <w:basedOn w:val="DefaultParagraphFont"/>
    <w:uiPriority w:val="22"/>
    <w:qFormat/>
    <w:rsid w:val="006A0E9F"/>
    <w:rPr>
      <w:b/>
      <w:bCs/>
    </w:rPr>
  </w:style>
  <w:style w:type="paragraph" w:styleId="ListParagraph">
    <w:name w:val="List Paragraph"/>
    <w:basedOn w:val="Normal"/>
    <w:uiPriority w:val="34"/>
    <w:qFormat/>
    <w:rsid w:val="00D30871"/>
    <w:pPr>
      <w:ind w:left="720"/>
      <w:contextualSpacing/>
    </w:pPr>
    <w:rPr>
      <w:rFonts w:asciiTheme="minorHAnsi" w:eastAsiaTheme="minorHAnsi" w:hAnsiTheme="minorHAnsi" w:cstheme="minorBidi"/>
      <w:lang w:val="es-ES_tradnl" w:eastAsia="en-US"/>
    </w:rPr>
  </w:style>
  <w:style w:type="paragraph" w:styleId="FootnoteText">
    <w:name w:val="footnote text"/>
    <w:aliases w:val="Footnote Text Char2,Footnote Text Char Char Char Char Char1,Footnote Text Char Char2,FA Char1,FA Fußnotentext Char1,Footnote Text Char Char Char2,Footnote Text Char Char Char Char Char Char Char1,Footnote Text Char Char Char Char2,FA Fu,C"/>
    <w:basedOn w:val="Normal"/>
    <w:link w:val="FootnoteTextChar"/>
    <w:uiPriority w:val="99"/>
    <w:unhideWhenUsed/>
    <w:qFormat/>
    <w:rsid w:val="00AA1BFA"/>
    <w:pPr>
      <w:spacing w:after="200" w:line="276" w:lineRule="auto"/>
    </w:pPr>
    <w:rPr>
      <w:rFonts w:eastAsia="Calibri"/>
      <w:sz w:val="20"/>
      <w:szCs w:val="20"/>
      <w:lang w:val="x-none" w:eastAsia="en-US"/>
    </w:rPr>
  </w:style>
  <w:style w:type="character" w:customStyle="1" w:styleId="FootnoteTextChar">
    <w:name w:val="Footnote Text Char"/>
    <w:aliases w:val="Footnote Text Char2 Char,Footnote Text Char Char Char Char Char1 Char,Footnote Text Char Char2 Char,FA Char1 Char,FA Fußnotentext Char1 Char,Footnote Text Char Char Char2 Char,Footnote Text Char Char Char Char Char Char Char1 Char"/>
    <w:basedOn w:val="DefaultParagraphFont"/>
    <w:link w:val="FootnoteText"/>
    <w:uiPriority w:val="99"/>
    <w:qFormat/>
    <w:rsid w:val="00AA1BFA"/>
    <w:rPr>
      <w:rFonts w:ascii="Times New Roman" w:eastAsia="Calibri" w:hAnsi="Times New Roman" w:cs="Times New Roman"/>
      <w:sz w:val="20"/>
      <w:szCs w:val="20"/>
      <w:lang w:val="x-none"/>
    </w:rPr>
  </w:style>
  <w:style w:type="character" w:styleId="FootnoteReference">
    <w:name w:val="footnote reference"/>
    <w:aliases w:val="Appel note de bas de page,Footnotes refss,Texto de nota al pie,f,4_G,Footnote number,referencia nota al pie,BVI fnr,16 Point,Superscript 6 Point,Footnote Reference Char3,Footnote Reference Char1 Char,Footnote Reference Char Char Char"/>
    <w:uiPriority w:val="99"/>
    <w:unhideWhenUsed/>
    <w:qFormat/>
    <w:rsid w:val="00AA1BFA"/>
    <w:rPr>
      <w:vertAlign w:val="superscript"/>
    </w:rPr>
  </w:style>
  <w:style w:type="character" w:styleId="Hyperlink">
    <w:name w:val="Hyperlink"/>
    <w:uiPriority w:val="99"/>
    <w:unhideWhenUsed/>
    <w:rsid w:val="00AA1BFA"/>
    <w:rPr>
      <w:color w:val="0563C1"/>
      <w:u w:val="single"/>
    </w:rPr>
  </w:style>
  <w:style w:type="character" w:styleId="PageNumber">
    <w:name w:val="page number"/>
    <w:rsid w:val="008347FC"/>
  </w:style>
  <w:style w:type="character" w:customStyle="1" w:styleId="UnresolvedMention">
    <w:name w:val="Unresolved Mention"/>
    <w:basedOn w:val="DefaultParagraphFont"/>
    <w:uiPriority w:val="99"/>
    <w:rsid w:val="0002048F"/>
    <w:rPr>
      <w:color w:val="605E5C"/>
      <w:shd w:val="clear" w:color="auto" w:fill="E1DFDD"/>
    </w:rPr>
  </w:style>
  <w:style w:type="character" w:styleId="FollowedHyperlink">
    <w:name w:val="FollowedHyperlink"/>
    <w:basedOn w:val="DefaultParagraphFont"/>
    <w:uiPriority w:val="99"/>
    <w:semiHidden/>
    <w:unhideWhenUsed/>
    <w:rsid w:val="001F5194"/>
    <w:rPr>
      <w:color w:val="954F72" w:themeColor="followedHyperlink"/>
      <w:u w:val="single"/>
    </w:rPr>
  </w:style>
  <w:style w:type="paragraph" w:customStyle="1" w:styleId="Cuerpo">
    <w:name w:val="Cuerpo"/>
    <w:rsid w:val="00F3215D"/>
    <w:pPr>
      <w:pBdr>
        <w:top w:val="nil"/>
        <w:left w:val="nil"/>
        <w:bottom w:val="nil"/>
        <w:right w:val="nil"/>
        <w:between w:val="nil"/>
        <w:bar w:val="nil"/>
      </w:pBdr>
    </w:pPr>
    <w:rPr>
      <w:rFonts w:ascii="Times New Roman" w:eastAsia="Arial Unicode MS" w:hAnsi="Times New Roman" w:cs="Arial Unicode MS"/>
      <w:color w:val="000000"/>
      <w:u w:color="000000"/>
      <w:bdr w:val="nil"/>
      <w:lang w:eastAsia="es-ES_tradnl"/>
    </w:rPr>
  </w:style>
  <w:style w:type="character" w:customStyle="1" w:styleId="Hyperlink0">
    <w:name w:val="Hyperlink.0"/>
    <w:basedOn w:val="DefaultParagraphFont"/>
    <w:rsid w:val="00F3215D"/>
    <w:rPr>
      <w:color w:val="0563C1"/>
      <w:sz w:val="17"/>
      <w:szCs w:val="17"/>
      <w:u w:val="single" w:color="0563C1"/>
    </w:rPr>
  </w:style>
  <w:style w:type="numbering" w:customStyle="1" w:styleId="Estiloimportado2">
    <w:name w:val="Estilo importado 2"/>
    <w:rsid w:val="00CA682F"/>
    <w:pPr>
      <w:numPr>
        <w:numId w:val="5"/>
      </w:numPr>
    </w:pPr>
  </w:style>
  <w:style w:type="character" w:customStyle="1" w:styleId="Hyperlink1">
    <w:name w:val="Hyperlink.1"/>
    <w:basedOn w:val="DefaultParagraphFont"/>
    <w:rsid w:val="00CA682F"/>
    <w:rPr>
      <w:color w:val="0563C1"/>
      <w:sz w:val="17"/>
      <w:szCs w:val="17"/>
      <w:u w:val="single" w:color="0563C1"/>
    </w:rPr>
  </w:style>
  <w:style w:type="paragraph" w:customStyle="1" w:styleId="SingleTxtG">
    <w:name w:val="_ Single Txt_G"/>
    <w:basedOn w:val="Normal"/>
    <w:link w:val="SingleTxtGChar"/>
    <w:qFormat/>
    <w:rsid w:val="00C152C2"/>
    <w:pPr>
      <w:spacing w:after="120" w:line="240" w:lineRule="atLeast"/>
      <w:ind w:left="1134" w:right="1134"/>
      <w:jc w:val="both"/>
    </w:pPr>
    <w:rPr>
      <w:sz w:val="20"/>
      <w:szCs w:val="20"/>
      <w:lang w:eastAsia="es-ES"/>
    </w:rPr>
  </w:style>
  <w:style w:type="character" w:customStyle="1" w:styleId="SingleTxtGChar">
    <w:name w:val="_ Single Txt_G Char"/>
    <w:link w:val="SingleTxtG"/>
    <w:rsid w:val="00C152C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400AF1"/>
    <w:pPr>
      <w:spacing w:before="100" w:beforeAutospacing="1" w:after="100" w:afterAutospacing="1"/>
    </w:pPr>
    <w:rPr>
      <w:lang w:val="es-CO"/>
    </w:rPr>
  </w:style>
  <w:style w:type="paragraph" w:styleId="HTMLPreformatted">
    <w:name w:val="HTML Preformatted"/>
    <w:basedOn w:val="Normal"/>
    <w:link w:val="HTMLPreformattedChar"/>
    <w:uiPriority w:val="99"/>
    <w:semiHidden/>
    <w:unhideWhenUsed/>
    <w:rsid w:val="00935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35C88"/>
    <w:rPr>
      <w:rFonts w:ascii="Courier New" w:eastAsia="Times New Roman" w:hAnsi="Courier New" w:cs="Courier New"/>
      <w:sz w:val="20"/>
      <w:szCs w:val="20"/>
      <w:lang w:val="es-ES" w:eastAsia="es-ES_tradnl"/>
    </w:rPr>
  </w:style>
  <w:style w:type="character" w:styleId="CommentReference">
    <w:name w:val="annotation reference"/>
    <w:basedOn w:val="DefaultParagraphFont"/>
    <w:uiPriority w:val="99"/>
    <w:semiHidden/>
    <w:unhideWhenUsed/>
    <w:rsid w:val="00584FC4"/>
    <w:rPr>
      <w:sz w:val="16"/>
      <w:szCs w:val="16"/>
    </w:rPr>
  </w:style>
  <w:style w:type="paragraph" w:styleId="CommentText">
    <w:name w:val="annotation text"/>
    <w:basedOn w:val="Normal"/>
    <w:link w:val="CommentTextChar"/>
    <w:uiPriority w:val="99"/>
    <w:semiHidden/>
    <w:unhideWhenUsed/>
    <w:rsid w:val="00584FC4"/>
    <w:rPr>
      <w:rFonts w:asciiTheme="minorHAnsi" w:eastAsiaTheme="minorHAnsi" w:hAnsiTheme="minorHAnsi" w:cstheme="minorBidi"/>
      <w:sz w:val="20"/>
      <w:szCs w:val="20"/>
      <w:lang w:val="es-ES_tradnl" w:eastAsia="en-US"/>
    </w:rPr>
  </w:style>
  <w:style w:type="character" w:customStyle="1" w:styleId="CommentTextChar">
    <w:name w:val="Comment Text Char"/>
    <w:basedOn w:val="DefaultParagraphFont"/>
    <w:link w:val="CommentText"/>
    <w:uiPriority w:val="99"/>
    <w:semiHidden/>
    <w:rsid w:val="00584FC4"/>
    <w:rPr>
      <w:sz w:val="20"/>
      <w:szCs w:val="20"/>
    </w:rPr>
  </w:style>
  <w:style w:type="paragraph" w:styleId="CommentSubject">
    <w:name w:val="annotation subject"/>
    <w:basedOn w:val="CommentText"/>
    <w:next w:val="CommentText"/>
    <w:link w:val="CommentSubjectChar"/>
    <w:uiPriority w:val="99"/>
    <w:semiHidden/>
    <w:unhideWhenUsed/>
    <w:rsid w:val="00584FC4"/>
    <w:rPr>
      <w:b/>
      <w:bCs/>
    </w:rPr>
  </w:style>
  <w:style w:type="character" w:customStyle="1" w:styleId="CommentSubjectChar">
    <w:name w:val="Comment Subject Char"/>
    <w:basedOn w:val="CommentTextChar"/>
    <w:link w:val="CommentSubject"/>
    <w:uiPriority w:val="99"/>
    <w:semiHidden/>
    <w:rsid w:val="00584FC4"/>
    <w:rPr>
      <w:b/>
      <w:bCs/>
      <w:sz w:val="20"/>
      <w:szCs w:val="20"/>
    </w:rPr>
  </w:style>
  <w:style w:type="paragraph" w:styleId="BalloonText">
    <w:name w:val="Balloon Text"/>
    <w:basedOn w:val="Normal"/>
    <w:link w:val="BalloonTextChar"/>
    <w:uiPriority w:val="99"/>
    <w:semiHidden/>
    <w:unhideWhenUsed/>
    <w:rsid w:val="00584FC4"/>
    <w:rPr>
      <w:rFonts w:eastAsiaTheme="minorHAnsi"/>
      <w:sz w:val="18"/>
      <w:szCs w:val="18"/>
      <w:lang w:val="es-ES_tradnl" w:eastAsia="en-US"/>
    </w:rPr>
  </w:style>
  <w:style w:type="character" w:customStyle="1" w:styleId="BalloonTextChar">
    <w:name w:val="Balloon Text Char"/>
    <w:basedOn w:val="DefaultParagraphFont"/>
    <w:link w:val="BalloonText"/>
    <w:uiPriority w:val="99"/>
    <w:semiHidden/>
    <w:rsid w:val="00584FC4"/>
    <w:rPr>
      <w:rFonts w:ascii="Times New Roman" w:hAnsi="Times New Roman" w:cs="Times New Roman"/>
      <w:sz w:val="18"/>
      <w:szCs w:val="18"/>
    </w:rPr>
  </w:style>
  <w:style w:type="character" w:customStyle="1" w:styleId="normaltextrun">
    <w:name w:val="normaltextrun"/>
    <w:basedOn w:val="DefaultParagraphFont"/>
    <w:rsid w:val="002658F8"/>
  </w:style>
  <w:style w:type="character" w:customStyle="1" w:styleId="scxw213693002">
    <w:name w:val="scxw213693002"/>
    <w:basedOn w:val="DefaultParagraphFont"/>
    <w:rsid w:val="002658F8"/>
  </w:style>
  <w:style w:type="paragraph" w:styleId="Revision">
    <w:name w:val="Revision"/>
    <w:hidden/>
    <w:uiPriority w:val="99"/>
    <w:semiHidden/>
    <w:rsid w:val="006F6262"/>
    <w:rPr>
      <w:rFonts w:ascii="Times New Roman" w:eastAsia="Times New Roman" w:hAnsi="Times New Roman" w:cs="Times New Roman"/>
      <w:lang w:val="es-ES" w:eastAsia="es-ES_tradnl"/>
    </w:rPr>
  </w:style>
  <w:style w:type="character" w:customStyle="1" w:styleId="highlight">
    <w:name w:val="highlight"/>
    <w:basedOn w:val="DefaultParagraphFont"/>
    <w:rsid w:val="00C97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6817">
      <w:bodyDiv w:val="1"/>
      <w:marLeft w:val="0"/>
      <w:marRight w:val="0"/>
      <w:marTop w:val="0"/>
      <w:marBottom w:val="0"/>
      <w:divBdr>
        <w:top w:val="none" w:sz="0" w:space="0" w:color="auto"/>
        <w:left w:val="none" w:sz="0" w:space="0" w:color="auto"/>
        <w:bottom w:val="none" w:sz="0" w:space="0" w:color="auto"/>
        <w:right w:val="none" w:sz="0" w:space="0" w:color="auto"/>
      </w:divBdr>
    </w:div>
    <w:div w:id="92091987">
      <w:bodyDiv w:val="1"/>
      <w:marLeft w:val="0"/>
      <w:marRight w:val="0"/>
      <w:marTop w:val="0"/>
      <w:marBottom w:val="0"/>
      <w:divBdr>
        <w:top w:val="none" w:sz="0" w:space="0" w:color="auto"/>
        <w:left w:val="none" w:sz="0" w:space="0" w:color="auto"/>
        <w:bottom w:val="none" w:sz="0" w:space="0" w:color="auto"/>
        <w:right w:val="none" w:sz="0" w:space="0" w:color="auto"/>
      </w:divBdr>
    </w:div>
    <w:div w:id="122622455">
      <w:bodyDiv w:val="1"/>
      <w:marLeft w:val="0"/>
      <w:marRight w:val="0"/>
      <w:marTop w:val="0"/>
      <w:marBottom w:val="0"/>
      <w:divBdr>
        <w:top w:val="none" w:sz="0" w:space="0" w:color="auto"/>
        <w:left w:val="none" w:sz="0" w:space="0" w:color="auto"/>
        <w:bottom w:val="none" w:sz="0" w:space="0" w:color="auto"/>
        <w:right w:val="none" w:sz="0" w:space="0" w:color="auto"/>
      </w:divBdr>
    </w:div>
    <w:div w:id="156653826">
      <w:bodyDiv w:val="1"/>
      <w:marLeft w:val="0"/>
      <w:marRight w:val="0"/>
      <w:marTop w:val="0"/>
      <w:marBottom w:val="0"/>
      <w:divBdr>
        <w:top w:val="none" w:sz="0" w:space="0" w:color="auto"/>
        <w:left w:val="none" w:sz="0" w:space="0" w:color="auto"/>
        <w:bottom w:val="none" w:sz="0" w:space="0" w:color="auto"/>
        <w:right w:val="none" w:sz="0" w:space="0" w:color="auto"/>
      </w:divBdr>
    </w:div>
    <w:div w:id="172427568">
      <w:bodyDiv w:val="1"/>
      <w:marLeft w:val="0"/>
      <w:marRight w:val="0"/>
      <w:marTop w:val="0"/>
      <w:marBottom w:val="0"/>
      <w:divBdr>
        <w:top w:val="none" w:sz="0" w:space="0" w:color="auto"/>
        <w:left w:val="none" w:sz="0" w:space="0" w:color="auto"/>
        <w:bottom w:val="none" w:sz="0" w:space="0" w:color="auto"/>
        <w:right w:val="none" w:sz="0" w:space="0" w:color="auto"/>
      </w:divBdr>
    </w:div>
    <w:div w:id="192766617">
      <w:bodyDiv w:val="1"/>
      <w:marLeft w:val="0"/>
      <w:marRight w:val="0"/>
      <w:marTop w:val="0"/>
      <w:marBottom w:val="0"/>
      <w:divBdr>
        <w:top w:val="none" w:sz="0" w:space="0" w:color="auto"/>
        <w:left w:val="none" w:sz="0" w:space="0" w:color="auto"/>
        <w:bottom w:val="none" w:sz="0" w:space="0" w:color="auto"/>
        <w:right w:val="none" w:sz="0" w:space="0" w:color="auto"/>
      </w:divBdr>
    </w:div>
    <w:div w:id="208155165">
      <w:bodyDiv w:val="1"/>
      <w:marLeft w:val="0"/>
      <w:marRight w:val="0"/>
      <w:marTop w:val="0"/>
      <w:marBottom w:val="0"/>
      <w:divBdr>
        <w:top w:val="none" w:sz="0" w:space="0" w:color="auto"/>
        <w:left w:val="none" w:sz="0" w:space="0" w:color="auto"/>
        <w:bottom w:val="none" w:sz="0" w:space="0" w:color="auto"/>
        <w:right w:val="none" w:sz="0" w:space="0" w:color="auto"/>
      </w:divBdr>
    </w:div>
    <w:div w:id="219368636">
      <w:bodyDiv w:val="1"/>
      <w:marLeft w:val="0"/>
      <w:marRight w:val="0"/>
      <w:marTop w:val="0"/>
      <w:marBottom w:val="0"/>
      <w:divBdr>
        <w:top w:val="none" w:sz="0" w:space="0" w:color="auto"/>
        <w:left w:val="none" w:sz="0" w:space="0" w:color="auto"/>
        <w:bottom w:val="none" w:sz="0" w:space="0" w:color="auto"/>
        <w:right w:val="none" w:sz="0" w:space="0" w:color="auto"/>
      </w:divBdr>
    </w:div>
    <w:div w:id="242107570">
      <w:bodyDiv w:val="1"/>
      <w:marLeft w:val="0"/>
      <w:marRight w:val="0"/>
      <w:marTop w:val="0"/>
      <w:marBottom w:val="0"/>
      <w:divBdr>
        <w:top w:val="none" w:sz="0" w:space="0" w:color="auto"/>
        <w:left w:val="none" w:sz="0" w:space="0" w:color="auto"/>
        <w:bottom w:val="none" w:sz="0" w:space="0" w:color="auto"/>
        <w:right w:val="none" w:sz="0" w:space="0" w:color="auto"/>
      </w:divBdr>
    </w:div>
    <w:div w:id="253100886">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5">
          <w:marLeft w:val="0"/>
          <w:marRight w:val="0"/>
          <w:marTop w:val="0"/>
          <w:marBottom w:val="0"/>
          <w:divBdr>
            <w:top w:val="none" w:sz="0" w:space="0" w:color="auto"/>
            <w:left w:val="none" w:sz="0" w:space="0" w:color="auto"/>
            <w:bottom w:val="none" w:sz="0" w:space="0" w:color="auto"/>
            <w:right w:val="none" w:sz="0" w:space="0" w:color="auto"/>
          </w:divBdr>
        </w:div>
      </w:divsChild>
    </w:div>
    <w:div w:id="262540435">
      <w:bodyDiv w:val="1"/>
      <w:marLeft w:val="0"/>
      <w:marRight w:val="0"/>
      <w:marTop w:val="0"/>
      <w:marBottom w:val="0"/>
      <w:divBdr>
        <w:top w:val="none" w:sz="0" w:space="0" w:color="auto"/>
        <w:left w:val="none" w:sz="0" w:space="0" w:color="auto"/>
        <w:bottom w:val="none" w:sz="0" w:space="0" w:color="auto"/>
        <w:right w:val="none" w:sz="0" w:space="0" w:color="auto"/>
      </w:divBdr>
    </w:div>
    <w:div w:id="271983971">
      <w:bodyDiv w:val="1"/>
      <w:marLeft w:val="0"/>
      <w:marRight w:val="0"/>
      <w:marTop w:val="0"/>
      <w:marBottom w:val="0"/>
      <w:divBdr>
        <w:top w:val="none" w:sz="0" w:space="0" w:color="auto"/>
        <w:left w:val="none" w:sz="0" w:space="0" w:color="auto"/>
        <w:bottom w:val="none" w:sz="0" w:space="0" w:color="auto"/>
        <w:right w:val="none" w:sz="0" w:space="0" w:color="auto"/>
      </w:divBdr>
    </w:div>
    <w:div w:id="298417673">
      <w:bodyDiv w:val="1"/>
      <w:marLeft w:val="0"/>
      <w:marRight w:val="0"/>
      <w:marTop w:val="0"/>
      <w:marBottom w:val="0"/>
      <w:divBdr>
        <w:top w:val="none" w:sz="0" w:space="0" w:color="auto"/>
        <w:left w:val="none" w:sz="0" w:space="0" w:color="auto"/>
        <w:bottom w:val="none" w:sz="0" w:space="0" w:color="auto"/>
        <w:right w:val="none" w:sz="0" w:space="0" w:color="auto"/>
      </w:divBdr>
    </w:div>
    <w:div w:id="301811252">
      <w:bodyDiv w:val="1"/>
      <w:marLeft w:val="0"/>
      <w:marRight w:val="0"/>
      <w:marTop w:val="0"/>
      <w:marBottom w:val="0"/>
      <w:divBdr>
        <w:top w:val="none" w:sz="0" w:space="0" w:color="auto"/>
        <w:left w:val="none" w:sz="0" w:space="0" w:color="auto"/>
        <w:bottom w:val="none" w:sz="0" w:space="0" w:color="auto"/>
        <w:right w:val="none" w:sz="0" w:space="0" w:color="auto"/>
      </w:divBdr>
    </w:div>
    <w:div w:id="326980145">
      <w:bodyDiv w:val="1"/>
      <w:marLeft w:val="0"/>
      <w:marRight w:val="0"/>
      <w:marTop w:val="0"/>
      <w:marBottom w:val="0"/>
      <w:divBdr>
        <w:top w:val="none" w:sz="0" w:space="0" w:color="auto"/>
        <w:left w:val="none" w:sz="0" w:space="0" w:color="auto"/>
        <w:bottom w:val="none" w:sz="0" w:space="0" w:color="auto"/>
        <w:right w:val="none" w:sz="0" w:space="0" w:color="auto"/>
      </w:divBdr>
    </w:div>
    <w:div w:id="392000518">
      <w:bodyDiv w:val="1"/>
      <w:marLeft w:val="0"/>
      <w:marRight w:val="0"/>
      <w:marTop w:val="0"/>
      <w:marBottom w:val="0"/>
      <w:divBdr>
        <w:top w:val="none" w:sz="0" w:space="0" w:color="auto"/>
        <w:left w:val="none" w:sz="0" w:space="0" w:color="auto"/>
        <w:bottom w:val="none" w:sz="0" w:space="0" w:color="auto"/>
        <w:right w:val="none" w:sz="0" w:space="0" w:color="auto"/>
      </w:divBdr>
    </w:div>
    <w:div w:id="437526924">
      <w:bodyDiv w:val="1"/>
      <w:marLeft w:val="0"/>
      <w:marRight w:val="0"/>
      <w:marTop w:val="0"/>
      <w:marBottom w:val="0"/>
      <w:divBdr>
        <w:top w:val="none" w:sz="0" w:space="0" w:color="auto"/>
        <w:left w:val="none" w:sz="0" w:space="0" w:color="auto"/>
        <w:bottom w:val="none" w:sz="0" w:space="0" w:color="auto"/>
        <w:right w:val="none" w:sz="0" w:space="0" w:color="auto"/>
      </w:divBdr>
    </w:div>
    <w:div w:id="451559720">
      <w:bodyDiv w:val="1"/>
      <w:marLeft w:val="0"/>
      <w:marRight w:val="0"/>
      <w:marTop w:val="0"/>
      <w:marBottom w:val="0"/>
      <w:divBdr>
        <w:top w:val="none" w:sz="0" w:space="0" w:color="auto"/>
        <w:left w:val="none" w:sz="0" w:space="0" w:color="auto"/>
        <w:bottom w:val="none" w:sz="0" w:space="0" w:color="auto"/>
        <w:right w:val="none" w:sz="0" w:space="0" w:color="auto"/>
      </w:divBdr>
    </w:div>
    <w:div w:id="519392770">
      <w:bodyDiv w:val="1"/>
      <w:marLeft w:val="0"/>
      <w:marRight w:val="0"/>
      <w:marTop w:val="0"/>
      <w:marBottom w:val="0"/>
      <w:divBdr>
        <w:top w:val="none" w:sz="0" w:space="0" w:color="auto"/>
        <w:left w:val="none" w:sz="0" w:space="0" w:color="auto"/>
        <w:bottom w:val="none" w:sz="0" w:space="0" w:color="auto"/>
        <w:right w:val="none" w:sz="0" w:space="0" w:color="auto"/>
      </w:divBdr>
    </w:div>
    <w:div w:id="540673721">
      <w:bodyDiv w:val="1"/>
      <w:marLeft w:val="0"/>
      <w:marRight w:val="0"/>
      <w:marTop w:val="0"/>
      <w:marBottom w:val="0"/>
      <w:divBdr>
        <w:top w:val="none" w:sz="0" w:space="0" w:color="auto"/>
        <w:left w:val="none" w:sz="0" w:space="0" w:color="auto"/>
        <w:bottom w:val="none" w:sz="0" w:space="0" w:color="auto"/>
        <w:right w:val="none" w:sz="0" w:space="0" w:color="auto"/>
      </w:divBdr>
    </w:div>
    <w:div w:id="545607156">
      <w:bodyDiv w:val="1"/>
      <w:marLeft w:val="0"/>
      <w:marRight w:val="0"/>
      <w:marTop w:val="0"/>
      <w:marBottom w:val="0"/>
      <w:divBdr>
        <w:top w:val="none" w:sz="0" w:space="0" w:color="auto"/>
        <w:left w:val="none" w:sz="0" w:space="0" w:color="auto"/>
        <w:bottom w:val="none" w:sz="0" w:space="0" w:color="auto"/>
        <w:right w:val="none" w:sz="0" w:space="0" w:color="auto"/>
      </w:divBdr>
    </w:div>
    <w:div w:id="664283184">
      <w:bodyDiv w:val="1"/>
      <w:marLeft w:val="0"/>
      <w:marRight w:val="0"/>
      <w:marTop w:val="0"/>
      <w:marBottom w:val="0"/>
      <w:divBdr>
        <w:top w:val="none" w:sz="0" w:space="0" w:color="auto"/>
        <w:left w:val="none" w:sz="0" w:space="0" w:color="auto"/>
        <w:bottom w:val="none" w:sz="0" w:space="0" w:color="auto"/>
        <w:right w:val="none" w:sz="0" w:space="0" w:color="auto"/>
      </w:divBdr>
    </w:div>
    <w:div w:id="707149132">
      <w:bodyDiv w:val="1"/>
      <w:marLeft w:val="0"/>
      <w:marRight w:val="0"/>
      <w:marTop w:val="0"/>
      <w:marBottom w:val="0"/>
      <w:divBdr>
        <w:top w:val="none" w:sz="0" w:space="0" w:color="auto"/>
        <w:left w:val="none" w:sz="0" w:space="0" w:color="auto"/>
        <w:bottom w:val="none" w:sz="0" w:space="0" w:color="auto"/>
        <w:right w:val="none" w:sz="0" w:space="0" w:color="auto"/>
      </w:divBdr>
    </w:div>
    <w:div w:id="716660829">
      <w:bodyDiv w:val="1"/>
      <w:marLeft w:val="0"/>
      <w:marRight w:val="0"/>
      <w:marTop w:val="0"/>
      <w:marBottom w:val="0"/>
      <w:divBdr>
        <w:top w:val="none" w:sz="0" w:space="0" w:color="auto"/>
        <w:left w:val="none" w:sz="0" w:space="0" w:color="auto"/>
        <w:bottom w:val="none" w:sz="0" w:space="0" w:color="auto"/>
        <w:right w:val="none" w:sz="0" w:space="0" w:color="auto"/>
      </w:divBdr>
    </w:div>
    <w:div w:id="734162417">
      <w:bodyDiv w:val="1"/>
      <w:marLeft w:val="0"/>
      <w:marRight w:val="0"/>
      <w:marTop w:val="0"/>
      <w:marBottom w:val="0"/>
      <w:divBdr>
        <w:top w:val="none" w:sz="0" w:space="0" w:color="auto"/>
        <w:left w:val="none" w:sz="0" w:space="0" w:color="auto"/>
        <w:bottom w:val="none" w:sz="0" w:space="0" w:color="auto"/>
        <w:right w:val="none" w:sz="0" w:space="0" w:color="auto"/>
      </w:divBdr>
    </w:div>
    <w:div w:id="778263286">
      <w:bodyDiv w:val="1"/>
      <w:marLeft w:val="0"/>
      <w:marRight w:val="0"/>
      <w:marTop w:val="0"/>
      <w:marBottom w:val="0"/>
      <w:divBdr>
        <w:top w:val="none" w:sz="0" w:space="0" w:color="auto"/>
        <w:left w:val="none" w:sz="0" w:space="0" w:color="auto"/>
        <w:bottom w:val="none" w:sz="0" w:space="0" w:color="auto"/>
        <w:right w:val="none" w:sz="0" w:space="0" w:color="auto"/>
      </w:divBdr>
    </w:div>
    <w:div w:id="794181582">
      <w:bodyDiv w:val="1"/>
      <w:marLeft w:val="0"/>
      <w:marRight w:val="0"/>
      <w:marTop w:val="0"/>
      <w:marBottom w:val="0"/>
      <w:divBdr>
        <w:top w:val="none" w:sz="0" w:space="0" w:color="auto"/>
        <w:left w:val="none" w:sz="0" w:space="0" w:color="auto"/>
        <w:bottom w:val="none" w:sz="0" w:space="0" w:color="auto"/>
        <w:right w:val="none" w:sz="0" w:space="0" w:color="auto"/>
      </w:divBdr>
    </w:div>
    <w:div w:id="796071836">
      <w:bodyDiv w:val="1"/>
      <w:marLeft w:val="0"/>
      <w:marRight w:val="0"/>
      <w:marTop w:val="0"/>
      <w:marBottom w:val="0"/>
      <w:divBdr>
        <w:top w:val="none" w:sz="0" w:space="0" w:color="auto"/>
        <w:left w:val="none" w:sz="0" w:space="0" w:color="auto"/>
        <w:bottom w:val="none" w:sz="0" w:space="0" w:color="auto"/>
        <w:right w:val="none" w:sz="0" w:space="0" w:color="auto"/>
      </w:divBdr>
    </w:div>
    <w:div w:id="822046488">
      <w:bodyDiv w:val="1"/>
      <w:marLeft w:val="0"/>
      <w:marRight w:val="0"/>
      <w:marTop w:val="0"/>
      <w:marBottom w:val="0"/>
      <w:divBdr>
        <w:top w:val="none" w:sz="0" w:space="0" w:color="auto"/>
        <w:left w:val="none" w:sz="0" w:space="0" w:color="auto"/>
        <w:bottom w:val="none" w:sz="0" w:space="0" w:color="auto"/>
        <w:right w:val="none" w:sz="0" w:space="0" w:color="auto"/>
      </w:divBdr>
    </w:div>
    <w:div w:id="863442837">
      <w:bodyDiv w:val="1"/>
      <w:marLeft w:val="0"/>
      <w:marRight w:val="0"/>
      <w:marTop w:val="0"/>
      <w:marBottom w:val="0"/>
      <w:divBdr>
        <w:top w:val="none" w:sz="0" w:space="0" w:color="auto"/>
        <w:left w:val="none" w:sz="0" w:space="0" w:color="auto"/>
        <w:bottom w:val="none" w:sz="0" w:space="0" w:color="auto"/>
        <w:right w:val="none" w:sz="0" w:space="0" w:color="auto"/>
      </w:divBdr>
    </w:div>
    <w:div w:id="897781429">
      <w:bodyDiv w:val="1"/>
      <w:marLeft w:val="0"/>
      <w:marRight w:val="0"/>
      <w:marTop w:val="0"/>
      <w:marBottom w:val="0"/>
      <w:divBdr>
        <w:top w:val="none" w:sz="0" w:space="0" w:color="auto"/>
        <w:left w:val="none" w:sz="0" w:space="0" w:color="auto"/>
        <w:bottom w:val="none" w:sz="0" w:space="0" w:color="auto"/>
        <w:right w:val="none" w:sz="0" w:space="0" w:color="auto"/>
      </w:divBdr>
    </w:div>
    <w:div w:id="926497576">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30236729">
      <w:bodyDiv w:val="1"/>
      <w:marLeft w:val="0"/>
      <w:marRight w:val="0"/>
      <w:marTop w:val="0"/>
      <w:marBottom w:val="0"/>
      <w:divBdr>
        <w:top w:val="none" w:sz="0" w:space="0" w:color="auto"/>
        <w:left w:val="none" w:sz="0" w:space="0" w:color="auto"/>
        <w:bottom w:val="none" w:sz="0" w:space="0" w:color="auto"/>
        <w:right w:val="none" w:sz="0" w:space="0" w:color="auto"/>
      </w:divBdr>
    </w:div>
    <w:div w:id="943340268">
      <w:bodyDiv w:val="1"/>
      <w:marLeft w:val="0"/>
      <w:marRight w:val="0"/>
      <w:marTop w:val="0"/>
      <w:marBottom w:val="0"/>
      <w:divBdr>
        <w:top w:val="none" w:sz="0" w:space="0" w:color="auto"/>
        <w:left w:val="none" w:sz="0" w:space="0" w:color="auto"/>
        <w:bottom w:val="none" w:sz="0" w:space="0" w:color="auto"/>
        <w:right w:val="none" w:sz="0" w:space="0" w:color="auto"/>
      </w:divBdr>
    </w:div>
    <w:div w:id="963732570">
      <w:bodyDiv w:val="1"/>
      <w:marLeft w:val="0"/>
      <w:marRight w:val="0"/>
      <w:marTop w:val="0"/>
      <w:marBottom w:val="0"/>
      <w:divBdr>
        <w:top w:val="none" w:sz="0" w:space="0" w:color="auto"/>
        <w:left w:val="none" w:sz="0" w:space="0" w:color="auto"/>
        <w:bottom w:val="none" w:sz="0" w:space="0" w:color="auto"/>
        <w:right w:val="none" w:sz="0" w:space="0" w:color="auto"/>
      </w:divBdr>
    </w:div>
    <w:div w:id="967391465">
      <w:bodyDiv w:val="1"/>
      <w:marLeft w:val="0"/>
      <w:marRight w:val="0"/>
      <w:marTop w:val="0"/>
      <w:marBottom w:val="0"/>
      <w:divBdr>
        <w:top w:val="none" w:sz="0" w:space="0" w:color="auto"/>
        <w:left w:val="none" w:sz="0" w:space="0" w:color="auto"/>
        <w:bottom w:val="none" w:sz="0" w:space="0" w:color="auto"/>
        <w:right w:val="none" w:sz="0" w:space="0" w:color="auto"/>
      </w:divBdr>
    </w:div>
    <w:div w:id="983974904">
      <w:bodyDiv w:val="1"/>
      <w:marLeft w:val="0"/>
      <w:marRight w:val="0"/>
      <w:marTop w:val="0"/>
      <w:marBottom w:val="0"/>
      <w:divBdr>
        <w:top w:val="none" w:sz="0" w:space="0" w:color="auto"/>
        <w:left w:val="none" w:sz="0" w:space="0" w:color="auto"/>
        <w:bottom w:val="none" w:sz="0" w:space="0" w:color="auto"/>
        <w:right w:val="none" w:sz="0" w:space="0" w:color="auto"/>
      </w:divBdr>
    </w:div>
    <w:div w:id="989872508">
      <w:bodyDiv w:val="1"/>
      <w:marLeft w:val="0"/>
      <w:marRight w:val="0"/>
      <w:marTop w:val="0"/>
      <w:marBottom w:val="0"/>
      <w:divBdr>
        <w:top w:val="none" w:sz="0" w:space="0" w:color="auto"/>
        <w:left w:val="none" w:sz="0" w:space="0" w:color="auto"/>
        <w:bottom w:val="none" w:sz="0" w:space="0" w:color="auto"/>
        <w:right w:val="none" w:sz="0" w:space="0" w:color="auto"/>
      </w:divBdr>
    </w:div>
    <w:div w:id="1037394069">
      <w:bodyDiv w:val="1"/>
      <w:marLeft w:val="0"/>
      <w:marRight w:val="0"/>
      <w:marTop w:val="0"/>
      <w:marBottom w:val="0"/>
      <w:divBdr>
        <w:top w:val="none" w:sz="0" w:space="0" w:color="auto"/>
        <w:left w:val="none" w:sz="0" w:space="0" w:color="auto"/>
        <w:bottom w:val="none" w:sz="0" w:space="0" w:color="auto"/>
        <w:right w:val="none" w:sz="0" w:space="0" w:color="auto"/>
      </w:divBdr>
    </w:div>
    <w:div w:id="1113786980">
      <w:bodyDiv w:val="1"/>
      <w:marLeft w:val="0"/>
      <w:marRight w:val="0"/>
      <w:marTop w:val="0"/>
      <w:marBottom w:val="0"/>
      <w:divBdr>
        <w:top w:val="none" w:sz="0" w:space="0" w:color="auto"/>
        <w:left w:val="none" w:sz="0" w:space="0" w:color="auto"/>
        <w:bottom w:val="none" w:sz="0" w:space="0" w:color="auto"/>
        <w:right w:val="none" w:sz="0" w:space="0" w:color="auto"/>
      </w:divBdr>
    </w:div>
    <w:div w:id="1132477651">
      <w:bodyDiv w:val="1"/>
      <w:marLeft w:val="0"/>
      <w:marRight w:val="0"/>
      <w:marTop w:val="0"/>
      <w:marBottom w:val="0"/>
      <w:divBdr>
        <w:top w:val="none" w:sz="0" w:space="0" w:color="auto"/>
        <w:left w:val="none" w:sz="0" w:space="0" w:color="auto"/>
        <w:bottom w:val="none" w:sz="0" w:space="0" w:color="auto"/>
        <w:right w:val="none" w:sz="0" w:space="0" w:color="auto"/>
      </w:divBdr>
    </w:div>
    <w:div w:id="1140148080">
      <w:bodyDiv w:val="1"/>
      <w:marLeft w:val="0"/>
      <w:marRight w:val="0"/>
      <w:marTop w:val="0"/>
      <w:marBottom w:val="0"/>
      <w:divBdr>
        <w:top w:val="none" w:sz="0" w:space="0" w:color="auto"/>
        <w:left w:val="none" w:sz="0" w:space="0" w:color="auto"/>
        <w:bottom w:val="none" w:sz="0" w:space="0" w:color="auto"/>
        <w:right w:val="none" w:sz="0" w:space="0" w:color="auto"/>
      </w:divBdr>
    </w:div>
    <w:div w:id="1177035765">
      <w:bodyDiv w:val="1"/>
      <w:marLeft w:val="0"/>
      <w:marRight w:val="0"/>
      <w:marTop w:val="0"/>
      <w:marBottom w:val="0"/>
      <w:divBdr>
        <w:top w:val="none" w:sz="0" w:space="0" w:color="auto"/>
        <w:left w:val="none" w:sz="0" w:space="0" w:color="auto"/>
        <w:bottom w:val="none" w:sz="0" w:space="0" w:color="auto"/>
        <w:right w:val="none" w:sz="0" w:space="0" w:color="auto"/>
      </w:divBdr>
    </w:div>
    <w:div w:id="1201435655">
      <w:bodyDiv w:val="1"/>
      <w:marLeft w:val="0"/>
      <w:marRight w:val="0"/>
      <w:marTop w:val="0"/>
      <w:marBottom w:val="0"/>
      <w:divBdr>
        <w:top w:val="none" w:sz="0" w:space="0" w:color="auto"/>
        <w:left w:val="none" w:sz="0" w:space="0" w:color="auto"/>
        <w:bottom w:val="none" w:sz="0" w:space="0" w:color="auto"/>
        <w:right w:val="none" w:sz="0" w:space="0" w:color="auto"/>
      </w:divBdr>
    </w:div>
    <w:div w:id="1218666093">
      <w:bodyDiv w:val="1"/>
      <w:marLeft w:val="0"/>
      <w:marRight w:val="0"/>
      <w:marTop w:val="0"/>
      <w:marBottom w:val="0"/>
      <w:divBdr>
        <w:top w:val="none" w:sz="0" w:space="0" w:color="auto"/>
        <w:left w:val="none" w:sz="0" w:space="0" w:color="auto"/>
        <w:bottom w:val="none" w:sz="0" w:space="0" w:color="auto"/>
        <w:right w:val="none" w:sz="0" w:space="0" w:color="auto"/>
      </w:divBdr>
    </w:div>
    <w:div w:id="1225875910">
      <w:bodyDiv w:val="1"/>
      <w:marLeft w:val="0"/>
      <w:marRight w:val="0"/>
      <w:marTop w:val="0"/>
      <w:marBottom w:val="0"/>
      <w:divBdr>
        <w:top w:val="none" w:sz="0" w:space="0" w:color="auto"/>
        <w:left w:val="none" w:sz="0" w:space="0" w:color="auto"/>
        <w:bottom w:val="none" w:sz="0" w:space="0" w:color="auto"/>
        <w:right w:val="none" w:sz="0" w:space="0" w:color="auto"/>
      </w:divBdr>
    </w:div>
    <w:div w:id="1283414360">
      <w:bodyDiv w:val="1"/>
      <w:marLeft w:val="0"/>
      <w:marRight w:val="0"/>
      <w:marTop w:val="0"/>
      <w:marBottom w:val="0"/>
      <w:divBdr>
        <w:top w:val="none" w:sz="0" w:space="0" w:color="auto"/>
        <w:left w:val="none" w:sz="0" w:space="0" w:color="auto"/>
        <w:bottom w:val="none" w:sz="0" w:space="0" w:color="auto"/>
        <w:right w:val="none" w:sz="0" w:space="0" w:color="auto"/>
      </w:divBdr>
    </w:div>
    <w:div w:id="1285385328">
      <w:bodyDiv w:val="1"/>
      <w:marLeft w:val="0"/>
      <w:marRight w:val="0"/>
      <w:marTop w:val="0"/>
      <w:marBottom w:val="0"/>
      <w:divBdr>
        <w:top w:val="none" w:sz="0" w:space="0" w:color="auto"/>
        <w:left w:val="none" w:sz="0" w:space="0" w:color="auto"/>
        <w:bottom w:val="none" w:sz="0" w:space="0" w:color="auto"/>
        <w:right w:val="none" w:sz="0" w:space="0" w:color="auto"/>
      </w:divBdr>
    </w:div>
    <w:div w:id="1286346469">
      <w:bodyDiv w:val="1"/>
      <w:marLeft w:val="0"/>
      <w:marRight w:val="0"/>
      <w:marTop w:val="0"/>
      <w:marBottom w:val="0"/>
      <w:divBdr>
        <w:top w:val="none" w:sz="0" w:space="0" w:color="auto"/>
        <w:left w:val="none" w:sz="0" w:space="0" w:color="auto"/>
        <w:bottom w:val="none" w:sz="0" w:space="0" w:color="auto"/>
        <w:right w:val="none" w:sz="0" w:space="0" w:color="auto"/>
      </w:divBdr>
    </w:div>
    <w:div w:id="1329209656">
      <w:bodyDiv w:val="1"/>
      <w:marLeft w:val="0"/>
      <w:marRight w:val="0"/>
      <w:marTop w:val="0"/>
      <w:marBottom w:val="0"/>
      <w:divBdr>
        <w:top w:val="none" w:sz="0" w:space="0" w:color="auto"/>
        <w:left w:val="none" w:sz="0" w:space="0" w:color="auto"/>
        <w:bottom w:val="none" w:sz="0" w:space="0" w:color="auto"/>
        <w:right w:val="none" w:sz="0" w:space="0" w:color="auto"/>
      </w:divBdr>
    </w:div>
    <w:div w:id="1384986882">
      <w:bodyDiv w:val="1"/>
      <w:marLeft w:val="0"/>
      <w:marRight w:val="0"/>
      <w:marTop w:val="0"/>
      <w:marBottom w:val="0"/>
      <w:divBdr>
        <w:top w:val="none" w:sz="0" w:space="0" w:color="auto"/>
        <w:left w:val="none" w:sz="0" w:space="0" w:color="auto"/>
        <w:bottom w:val="none" w:sz="0" w:space="0" w:color="auto"/>
        <w:right w:val="none" w:sz="0" w:space="0" w:color="auto"/>
      </w:divBdr>
    </w:div>
    <w:div w:id="1386828650">
      <w:bodyDiv w:val="1"/>
      <w:marLeft w:val="0"/>
      <w:marRight w:val="0"/>
      <w:marTop w:val="0"/>
      <w:marBottom w:val="0"/>
      <w:divBdr>
        <w:top w:val="none" w:sz="0" w:space="0" w:color="auto"/>
        <w:left w:val="none" w:sz="0" w:space="0" w:color="auto"/>
        <w:bottom w:val="none" w:sz="0" w:space="0" w:color="auto"/>
        <w:right w:val="none" w:sz="0" w:space="0" w:color="auto"/>
      </w:divBdr>
    </w:div>
    <w:div w:id="1402631732">
      <w:bodyDiv w:val="1"/>
      <w:marLeft w:val="0"/>
      <w:marRight w:val="0"/>
      <w:marTop w:val="0"/>
      <w:marBottom w:val="0"/>
      <w:divBdr>
        <w:top w:val="none" w:sz="0" w:space="0" w:color="auto"/>
        <w:left w:val="none" w:sz="0" w:space="0" w:color="auto"/>
        <w:bottom w:val="none" w:sz="0" w:space="0" w:color="auto"/>
        <w:right w:val="none" w:sz="0" w:space="0" w:color="auto"/>
      </w:divBdr>
    </w:div>
    <w:div w:id="1403408205">
      <w:bodyDiv w:val="1"/>
      <w:marLeft w:val="0"/>
      <w:marRight w:val="0"/>
      <w:marTop w:val="0"/>
      <w:marBottom w:val="0"/>
      <w:divBdr>
        <w:top w:val="none" w:sz="0" w:space="0" w:color="auto"/>
        <w:left w:val="none" w:sz="0" w:space="0" w:color="auto"/>
        <w:bottom w:val="none" w:sz="0" w:space="0" w:color="auto"/>
        <w:right w:val="none" w:sz="0" w:space="0" w:color="auto"/>
      </w:divBdr>
    </w:div>
    <w:div w:id="1436706020">
      <w:bodyDiv w:val="1"/>
      <w:marLeft w:val="0"/>
      <w:marRight w:val="0"/>
      <w:marTop w:val="0"/>
      <w:marBottom w:val="0"/>
      <w:divBdr>
        <w:top w:val="none" w:sz="0" w:space="0" w:color="auto"/>
        <w:left w:val="none" w:sz="0" w:space="0" w:color="auto"/>
        <w:bottom w:val="none" w:sz="0" w:space="0" w:color="auto"/>
        <w:right w:val="none" w:sz="0" w:space="0" w:color="auto"/>
      </w:divBdr>
    </w:div>
    <w:div w:id="1452360553">
      <w:bodyDiv w:val="1"/>
      <w:marLeft w:val="0"/>
      <w:marRight w:val="0"/>
      <w:marTop w:val="0"/>
      <w:marBottom w:val="0"/>
      <w:divBdr>
        <w:top w:val="none" w:sz="0" w:space="0" w:color="auto"/>
        <w:left w:val="none" w:sz="0" w:space="0" w:color="auto"/>
        <w:bottom w:val="none" w:sz="0" w:space="0" w:color="auto"/>
        <w:right w:val="none" w:sz="0" w:space="0" w:color="auto"/>
      </w:divBdr>
    </w:div>
    <w:div w:id="1479952963">
      <w:bodyDiv w:val="1"/>
      <w:marLeft w:val="0"/>
      <w:marRight w:val="0"/>
      <w:marTop w:val="0"/>
      <w:marBottom w:val="0"/>
      <w:divBdr>
        <w:top w:val="none" w:sz="0" w:space="0" w:color="auto"/>
        <w:left w:val="none" w:sz="0" w:space="0" w:color="auto"/>
        <w:bottom w:val="none" w:sz="0" w:space="0" w:color="auto"/>
        <w:right w:val="none" w:sz="0" w:space="0" w:color="auto"/>
      </w:divBdr>
    </w:div>
    <w:div w:id="1488790030">
      <w:bodyDiv w:val="1"/>
      <w:marLeft w:val="0"/>
      <w:marRight w:val="0"/>
      <w:marTop w:val="0"/>
      <w:marBottom w:val="0"/>
      <w:divBdr>
        <w:top w:val="none" w:sz="0" w:space="0" w:color="auto"/>
        <w:left w:val="none" w:sz="0" w:space="0" w:color="auto"/>
        <w:bottom w:val="none" w:sz="0" w:space="0" w:color="auto"/>
        <w:right w:val="none" w:sz="0" w:space="0" w:color="auto"/>
      </w:divBdr>
    </w:div>
    <w:div w:id="1502505552">
      <w:bodyDiv w:val="1"/>
      <w:marLeft w:val="0"/>
      <w:marRight w:val="0"/>
      <w:marTop w:val="0"/>
      <w:marBottom w:val="0"/>
      <w:divBdr>
        <w:top w:val="none" w:sz="0" w:space="0" w:color="auto"/>
        <w:left w:val="none" w:sz="0" w:space="0" w:color="auto"/>
        <w:bottom w:val="none" w:sz="0" w:space="0" w:color="auto"/>
        <w:right w:val="none" w:sz="0" w:space="0" w:color="auto"/>
      </w:divBdr>
    </w:div>
    <w:div w:id="1504972402">
      <w:bodyDiv w:val="1"/>
      <w:marLeft w:val="0"/>
      <w:marRight w:val="0"/>
      <w:marTop w:val="0"/>
      <w:marBottom w:val="0"/>
      <w:divBdr>
        <w:top w:val="none" w:sz="0" w:space="0" w:color="auto"/>
        <w:left w:val="none" w:sz="0" w:space="0" w:color="auto"/>
        <w:bottom w:val="none" w:sz="0" w:space="0" w:color="auto"/>
        <w:right w:val="none" w:sz="0" w:space="0" w:color="auto"/>
      </w:divBdr>
    </w:div>
    <w:div w:id="1586065993">
      <w:bodyDiv w:val="1"/>
      <w:marLeft w:val="0"/>
      <w:marRight w:val="0"/>
      <w:marTop w:val="0"/>
      <w:marBottom w:val="0"/>
      <w:divBdr>
        <w:top w:val="none" w:sz="0" w:space="0" w:color="auto"/>
        <w:left w:val="none" w:sz="0" w:space="0" w:color="auto"/>
        <w:bottom w:val="none" w:sz="0" w:space="0" w:color="auto"/>
        <w:right w:val="none" w:sz="0" w:space="0" w:color="auto"/>
      </w:divBdr>
    </w:div>
    <w:div w:id="1612781203">
      <w:bodyDiv w:val="1"/>
      <w:marLeft w:val="0"/>
      <w:marRight w:val="0"/>
      <w:marTop w:val="0"/>
      <w:marBottom w:val="0"/>
      <w:divBdr>
        <w:top w:val="none" w:sz="0" w:space="0" w:color="auto"/>
        <w:left w:val="none" w:sz="0" w:space="0" w:color="auto"/>
        <w:bottom w:val="none" w:sz="0" w:space="0" w:color="auto"/>
        <w:right w:val="none" w:sz="0" w:space="0" w:color="auto"/>
      </w:divBdr>
    </w:div>
    <w:div w:id="1651329505">
      <w:bodyDiv w:val="1"/>
      <w:marLeft w:val="0"/>
      <w:marRight w:val="0"/>
      <w:marTop w:val="0"/>
      <w:marBottom w:val="0"/>
      <w:divBdr>
        <w:top w:val="none" w:sz="0" w:space="0" w:color="auto"/>
        <w:left w:val="none" w:sz="0" w:space="0" w:color="auto"/>
        <w:bottom w:val="none" w:sz="0" w:space="0" w:color="auto"/>
        <w:right w:val="none" w:sz="0" w:space="0" w:color="auto"/>
      </w:divBdr>
    </w:div>
    <w:div w:id="1703676115">
      <w:bodyDiv w:val="1"/>
      <w:marLeft w:val="0"/>
      <w:marRight w:val="0"/>
      <w:marTop w:val="0"/>
      <w:marBottom w:val="0"/>
      <w:divBdr>
        <w:top w:val="none" w:sz="0" w:space="0" w:color="auto"/>
        <w:left w:val="none" w:sz="0" w:space="0" w:color="auto"/>
        <w:bottom w:val="none" w:sz="0" w:space="0" w:color="auto"/>
        <w:right w:val="none" w:sz="0" w:space="0" w:color="auto"/>
      </w:divBdr>
    </w:div>
    <w:div w:id="1794253237">
      <w:bodyDiv w:val="1"/>
      <w:marLeft w:val="0"/>
      <w:marRight w:val="0"/>
      <w:marTop w:val="0"/>
      <w:marBottom w:val="0"/>
      <w:divBdr>
        <w:top w:val="none" w:sz="0" w:space="0" w:color="auto"/>
        <w:left w:val="none" w:sz="0" w:space="0" w:color="auto"/>
        <w:bottom w:val="none" w:sz="0" w:space="0" w:color="auto"/>
        <w:right w:val="none" w:sz="0" w:space="0" w:color="auto"/>
      </w:divBdr>
    </w:div>
    <w:div w:id="1818918524">
      <w:bodyDiv w:val="1"/>
      <w:marLeft w:val="0"/>
      <w:marRight w:val="0"/>
      <w:marTop w:val="0"/>
      <w:marBottom w:val="0"/>
      <w:divBdr>
        <w:top w:val="none" w:sz="0" w:space="0" w:color="auto"/>
        <w:left w:val="none" w:sz="0" w:space="0" w:color="auto"/>
        <w:bottom w:val="none" w:sz="0" w:space="0" w:color="auto"/>
        <w:right w:val="none" w:sz="0" w:space="0" w:color="auto"/>
      </w:divBdr>
    </w:div>
    <w:div w:id="1870726568">
      <w:bodyDiv w:val="1"/>
      <w:marLeft w:val="0"/>
      <w:marRight w:val="0"/>
      <w:marTop w:val="0"/>
      <w:marBottom w:val="0"/>
      <w:divBdr>
        <w:top w:val="none" w:sz="0" w:space="0" w:color="auto"/>
        <w:left w:val="none" w:sz="0" w:space="0" w:color="auto"/>
        <w:bottom w:val="none" w:sz="0" w:space="0" w:color="auto"/>
        <w:right w:val="none" w:sz="0" w:space="0" w:color="auto"/>
      </w:divBdr>
    </w:div>
    <w:div w:id="1899323546">
      <w:bodyDiv w:val="1"/>
      <w:marLeft w:val="0"/>
      <w:marRight w:val="0"/>
      <w:marTop w:val="0"/>
      <w:marBottom w:val="0"/>
      <w:divBdr>
        <w:top w:val="none" w:sz="0" w:space="0" w:color="auto"/>
        <w:left w:val="none" w:sz="0" w:space="0" w:color="auto"/>
        <w:bottom w:val="none" w:sz="0" w:space="0" w:color="auto"/>
        <w:right w:val="none" w:sz="0" w:space="0" w:color="auto"/>
      </w:divBdr>
    </w:div>
    <w:div w:id="2058117983">
      <w:bodyDiv w:val="1"/>
      <w:marLeft w:val="0"/>
      <w:marRight w:val="0"/>
      <w:marTop w:val="0"/>
      <w:marBottom w:val="0"/>
      <w:divBdr>
        <w:top w:val="none" w:sz="0" w:space="0" w:color="auto"/>
        <w:left w:val="none" w:sz="0" w:space="0" w:color="auto"/>
        <w:bottom w:val="none" w:sz="0" w:space="0" w:color="auto"/>
        <w:right w:val="none" w:sz="0" w:space="0" w:color="auto"/>
      </w:divBdr>
    </w:div>
    <w:div w:id="2121992982">
      <w:bodyDiv w:val="1"/>
      <w:marLeft w:val="0"/>
      <w:marRight w:val="0"/>
      <w:marTop w:val="0"/>
      <w:marBottom w:val="0"/>
      <w:divBdr>
        <w:top w:val="none" w:sz="0" w:space="0" w:color="auto"/>
        <w:left w:val="none" w:sz="0" w:space="0" w:color="auto"/>
        <w:bottom w:val="none" w:sz="0" w:space="0" w:color="auto"/>
        <w:right w:val="none" w:sz="0" w:space="0" w:color="auto"/>
      </w:divBdr>
    </w:div>
    <w:div w:id="2129928479">
      <w:bodyDiv w:val="1"/>
      <w:marLeft w:val="0"/>
      <w:marRight w:val="0"/>
      <w:marTop w:val="0"/>
      <w:marBottom w:val="0"/>
      <w:divBdr>
        <w:top w:val="none" w:sz="0" w:space="0" w:color="auto"/>
        <w:left w:val="none" w:sz="0" w:space="0" w:color="auto"/>
        <w:bottom w:val="none" w:sz="0" w:space="0" w:color="auto"/>
        <w:right w:val="none" w:sz="0" w:space="0" w:color="auto"/>
      </w:divBdr>
    </w:div>
    <w:div w:id="214704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4003318e-my.sharepoint.com/:w:/r/personal/patricia_hernandez_w4003318e_onmicrosoft_com/_layouts/15/Doc.aspx?sourcedoc=%7B29cf876f-409f-4c2d-8db5-23320dd80f13%7D&amp;action=default&amp;gad=448" TargetMode="External"/><Relationship Id="rId18" Type="http://schemas.openxmlformats.org/officeDocument/2006/relationships/hyperlink" Target="https://w4003318e-my.sharepoint.com/:w:/r/personal/patricia_hernandez_w4003318e_onmicrosoft_com/_layouts/15/Doc.aspx?sourcedoc=%7B29cf876f-409f-4c2d-8db5-23320dd80f13%7D&amp;action=default&amp;gad=448" TargetMode="External"/><Relationship Id="rId26" Type="http://schemas.openxmlformats.org/officeDocument/2006/relationships/hyperlink" Target="https://w4003318e-my.sharepoint.com/:w:/r/personal/patricia_hernandez_w4003318e_onmicrosoft_com/_layouts/15/Doc.aspx?sourcedoc=%7B29cf876f-409f-4c2d-8db5-23320dd80f13%7D&amp;action=default&amp;gad=448" TargetMode="External"/><Relationship Id="rId3" Type="http://schemas.openxmlformats.org/officeDocument/2006/relationships/styles" Target="styles.xml"/><Relationship Id="rId21" Type="http://schemas.openxmlformats.org/officeDocument/2006/relationships/hyperlink" Target="https://w4003318e-my.sharepoint.com/:w:/r/personal/patricia_hernandez_w4003318e_onmicrosoft_com/_layouts/15/Doc.aspx?sourcedoc=%7B29cf876f-409f-4c2d-8db5-23320dd80f13%7D&amp;action=default&amp;gad=448"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4003318e-my.sharepoint.com/:w:/r/personal/patricia_hernandez_w4003318e_onmicrosoft_com/_layouts/15/Doc.aspx?sourcedoc=%7B29cf876f-409f-4c2d-8db5-23320dd80f13%7D&amp;action=default&amp;gad=448" TargetMode="External"/><Relationship Id="rId17" Type="http://schemas.openxmlformats.org/officeDocument/2006/relationships/hyperlink" Target="https://w4003318e-my.sharepoint.com/:w:/r/personal/patricia_hernandez_w4003318e_onmicrosoft_com/_layouts/15/Doc.aspx?sourcedoc=%7B29cf876f-409f-4c2d-8db5-23320dd80f13%7D&amp;action=default&amp;gad=448" TargetMode="External"/><Relationship Id="rId25" Type="http://schemas.openxmlformats.org/officeDocument/2006/relationships/hyperlink" Target="https://w4003318e-my.sharepoint.com/:w:/r/personal/patricia_hernandez_w4003318e_onmicrosoft_com/_layouts/15/Doc.aspx?sourcedoc=%7B29cf876f-409f-4c2d-8db5-23320dd80f13%7D&amp;action=default&amp;gad=44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4003318e-my.sharepoint.com/:w:/r/personal/patricia_hernandez_w4003318e_onmicrosoft_com/_layouts/15/Doc.aspx?sourcedoc=%7B29cf876f-409f-4c2d-8db5-23320dd80f13%7D&amp;action=default&amp;gad=448" TargetMode="External"/><Relationship Id="rId20" Type="http://schemas.openxmlformats.org/officeDocument/2006/relationships/hyperlink" Target="https://w4003318e-my.sharepoint.com/:w:/r/personal/patricia_hernandez_w4003318e_onmicrosoft_com/_layouts/15/Doc.aspx?sourcedoc=%7B29cf876f-409f-4c2d-8db5-23320dd80f13%7D&amp;action=default&amp;gad=44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4003318e-my.sharepoint.com/:w:/r/personal/patricia_hernandez_w4003318e_onmicrosoft_com/_layouts/15/Doc.aspx?sourcedoc=%7B29cf876f-409f-4c2d-8db5-23320dd80f13%7D&amp;action=default&amp;gad=448" TargetMode="External"/><Relationship Id="rId24" Type="http://schemas.openxmlformats.org/officeDocument/2006/relationships/hyperlink" Target="https://w4003318e-my.sharepoint.com/:w:/r/personal/patricia_hernandez_w4003318e_onmicrosoft_com/_layouts/15/Doc.aspx?sourcedoc=%7B29cf876f-409f-4c2d-8db5-23320dd80f13%7D&amp;action=default&amp;gad=44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4003318e-my.sharepoint.com/:w:/r/personal/patricia_hernandez_w4003318e_onmicrosoft_com/_layouts/15/Doc.aspx?sourcedoc=%7B29cf876f-409f-4c2d-8db5-23320dd80f13%7D&amp;action=default&amp;gad=448" TargetMode="External"/><Relationship Id="rId23" Type="http://schemas.openxmlformats.org/officeDocument/2006/relationships/hyperlink" Target="https://w4003318e-my.sharepoint.com/:w:/r/personal/patricia_hernandez_w4003318e_onmicrosoft_com/_layouts/15/Doc.aspx?sourcedoc=%7B29cf876f-409f-4c2d-8db5-23320dd80f13%7D&amp;action=default&amp;gad=448" TargetMode="External"/><Relationship Id="rId28" Type="http://schemas.openxmlformats.org/officeDocument/2006/relationships/hyperlink" Target="https://w4003318e-my.sharepoint.com/:w:/r/personal/patricia_hernandez_w4003318e_onmicrosoft_com/_layouts/15/Doc.aspx?sourcedoc=%7B29cf876f-409f-4c2d-8db5-23320dd80f13%7D&amp;action=default&amp;gad=448" TargetMode="External"/><Relationship Id="rId36" Type="http://schemas.openxmlformats.org/officeDocument/2006/relationships/customXml" Target="../customXml/item4.xml"/><Relationship Id="rId10" Type="http://schemas.openxmlformats.org/officeDocument/2006/relationships/hyperlink" Target="https://w4003318e-my.sharepoint.com/:w:/r/personal/patricia_hernandez_w4003318e_onmicrosoft_com/_layouts/15/Doc.aspx?sourcedoc=%7B29cf876f-409f-4c2d-8db5-23320dd80f13%7D&amp;action=default&amp;gad=448" TargetMode="External"/><Relationship Id="rId19" Type="http://schemas.openxmlformats.org/officeDocument/2006/relationships/hyperlink" Target="https://w4003318e-my.sharepoint.com/:w:/r/personal/patricia_hernandez_w4003318e_onmicrosoft_com/_layouts/15/Doc.aspx?sourcedoc=%7B29cf876f-409f-4c2d-8db5-23320dd80f13%7D&amp;action=default&amp;gad=448"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4003318e-my.sharepoint.com/:w:/r/personal/patricia_hernandez_w4003318e_onmicrosoft_com/_layouts/15/Doc.aspx?sourcedoc=%7B29cf876f-409f-4c2d-8db5-23320dd80f13%7D&amp;action=default&amp;gad=448" TargetMode="External"/><Relationship Id="rId14" Type="http://schemas.openxmlformats.org/officeDocument/2006/relationships/hyperlink" Target="https://w4003318e-my.sharepoint.com/:w:/r/personal/patricia_hernandez_w4003318e_onmicrosoft_com/_layouts/15/Doc.aspx?sourcedoc=%7B29cf876f-409f-4c2d-8db5-23320dd80f13%7D&amp;action=default&amp;gad=448" TargetMode="External"/><Relationship Id="rId22" Type="http://schemas.openxmlformats.org/officeDocument/2006/relationships/hyperlink" Target="https://w4003318e-my.sharepoint.com/:w:/r/personal/patricia_hernandez_w4003318e_onmicrosoft_com/_layouts/15/Doc.aspx?sourcedoc=%7B29cf876f-409f-4c2d-8db5-23320dd80f13%7D&amp;action=default&amp;gad=448" TargetMode="External"/><Relationship Id="rId27" Type="http://schemas.openxmlformats.org/officeDocument/2006/relationships/hyperlink" Target="https://w4003318e-my.sharepoint.com/:w:/r/personal/patricia_hernandez_w4003318e_onmicrosoft_com/_layouts/15/Doc.aspx?sourcedoc=%7B29cf876f-409f-4c2d-8db5-23320dd80f13%7D&amp;action=default&amp;gad=448"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hyperlink" Target="http://www.womenslinkworldwide.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lo.org/wcmsp5/groups/public/@ed_norm/@declaration/documents/publication/wcms_105023.pdf" TargetMode="External"/><Relationship Id="rId13" Type="http://schemas.openxmlformats.org/officeDocument/2006/relationships/hyperlink" Target="http://www.europarl.europa.eu/RegData/etudes/STUD/2016/581412/EPRS_STU(2016)581412_EN.pdf" TargetMode="External"/><Relationship Id="rId18" Type="http://schemas.openxmlformats.org/officeDocument/2006/relationships/hyperlink" Target="http://www.fidh.org/IMG/pdf/DeclaraciondeNairobi-es.pdf" TargetMode="External"/><Relationship Id="rId3" Type="http://schemas.openxmlformats.org/officeDocument/2006/relationships/hyperlink" Target="http://www.unodc.org/documents/data-and-analysis/glotip/2018/GLOTiP_2018_BOOK_web_small.pdf" TargetMode="External"/><Relationship Id="rId21" Type="http://schemas.openxmlformats.org/officeDocument/2006/relationships/hyperlink" Target="http://www.womenslinkworldwide.org/files/1358/mujeres-migrantes-en-la-clandestinidad-aborto-en-marruecos.pdf" TargetMode="External"/><Relationship Id="rId7" Type="http://schemas.openxmlformats.org/officeDocument/2006/relationships/hyperlink" Target="http://www.europarl.europa.eu/RegData/etudes/STUD/2016/581412/EPRS_STU(2016)581412_EN.pdf" TargetMode="External"/><Relationship Id="rId12" Type="http://schemas.openxmlformats.org/officeDocument/2006/relationships/hyperlink" Target="http://www.coe.int/en/web/anti-human-trafficking/news/-/asset_publisher/fX6ZWufj34JY/content/greta-publishes-second-report-on-spain?_101_INSTANCE_fX6ZWufj34JY_viewMode=view/" TargetMode="External"/><Relationship Id="rId17" Type="http://schemas.openxmlformats.org/officeDocument/2006/relationships/hyperlink" Target="http://www.fidh.org/IMG/pdf/DeclaraciondeNairobi-es.pdf" TargetMode="External"/><Relationship Id="rId2" Type="http://schemas.openxmlformats.org/officeDocument/2006/relationships/hyperlink" Target="http://icat.network/sites/default/files/publications/documents/ICAT-IB-04-V.1.pdf" TargetMode="External"/><Relationship Id="rId16" Type="http://schemas.openxmlformats.org/officeDocument/2006/relationships/hyperlink" Target="http://www.fidh.org/IMG/pdf/DeclaraciondeNairobi-es.pdf" TargetMode="External"/><Relationship Id="rId20" Type="http://schemas.openxmlformats.org/officeDocument/2006/relationships/hyperlink" Target="http://www.ohchr.org/sp/NewsEvents/Pages/DisplayNews.aspx?NewsID=20600&amp;LangID=S" TargetMode="External"/><Relationship Id="rId1" Type="http://schemas.openxmlformats.org/officeDocument/2006/relationships/hyperlink" Target="https://bit.ly/2xv3B0P" TargetMode="External"/><Relationship Id="rId6" Type="http://schemas.openxmlformats.org/officeDocument/2006/relationships/hyperlink" Target="http://www.europarl.europa.eu/RegData/etudes/STUD/2016/581412/EPRS_STU(2016)581412_EN.pdf" TargetMode="External"/><Relationship Id="rId11" Type="http://schemas.openxmlformats.org/officeDocument/2006/relationships/hyperlink" Target="https://tbinternet.ohchr.org/Treaties/CAT/Shared%20Documents/ESP/INT_CAT_ICS_ESP_27995_S.pdf" TargetMode="External"/><Relationship Id="rId24" Type="http://schemas.openxmlformats.org/officeDocument/2006/relationships/hyperlink" Target="http://www.ilo.org/wcmsp5/groups/public/@ed_norm/@declaration/documents/publication/wcms_105023.pdf" TargetMode="External"/><Relationship Id="rId5" Type="http://schemas.openxmlformats.org/officeDocument/2006/relationships/hyperlink" Target="https://bit.ly/2xv3B0P" TargetMode="External"/><Relationship Id="rId15" Type="http://schemas.openxmlformats.org/officeDocument/2006/relationships/hyperlink" Target="http://www.womenslinkworldwide.org/en/files/3028/mothers-in-the-trafficking-networks.pdf" TargetMode="External"/><Relationship Id="rId23" Type="http://schemas.openxmlformats.org/officeDocument/2006/relationships/hyperlink" Target="https://ec.europa.eu/anti-trafficking/sites/antitrafficking/files/eurostat_report_on_trafficking_in_human_beings_-_2015_edition.pdf" TargetMode="External"/><Relationship Id="rId10" Type="http://schemas.openxmlformats.org/officeDocument/2006/relationships/hyperlink" Target="http://www.lavanguardia.com/vida/20181121/453082338721/pocos-casos-de-trata-llegan-a-los-tribunales-pese-a-su-magnitud-en-espana.html" TargetMode="External"/><Relationship Id="rId19" Type="http://schemas.openxmlformats.org/officeDocument/2006/relationships/hyperlink" Target="http://www.achpr.org/files/instruments/combating-sexual-violence/achpr_eng_guidelines_on_combating_sexual_violence_and_its_consequences.pdf" TargetMode="External"/><Relationship Id="rId4" Type="http://schemas.openxmlformats.org/officeDocument/2006/relationships/hyperlink" Target="http://www.ohchr.org/Documents/Issues/Women/15YearReviewofVAWMandate.pdf" TargetMode="External"/><Relationship Id="rId9" Type="http://schemas.openxmlformats.org/officeDocument/2006/relationships/hyperlink" Target="http://www.unodc.org/documents/human-trafficking/HT_indicators_S_LOWRES.pdf" TargetMode="External"/><Relationship Id="rId14" Type="http://schemas.openxmlformats.org/officeDocument/2006/relationships/hyperlink" Target="http://www.ohchr.org/Documents/Publications/Commentary_Human_Trafficking_sp.pdf" TargetMode="External"/><Relationship Id="rId22" Type="http://schemas.openxmlformats.org/officeDocument/2006/relationships/hyperlink" Target="http://www.unwomen.org/-/media/headquarters/attachments/sections/library/publications/2017/addressing-womens-human-rights-migration-es.pdf?la=en&amp;vs=41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184C3D-6299-46AC-AC5E-E97318A2E2B1}">
  <ds:schemaRefs>
    <ds:schemaRef ds:uri="http://schemas.openxmlformats.org/officeDocument/2006/bibliography"/>
  </ds:schemaRefs>
</ds:datastoreItem>
</file>

<file path=customXml/itemProps2.xml><?xml version="1.0" encoding="utf-8"?>
<ds:datastoreItem xmlns:ds="http://schemas.openxmlformats.org/officeDocument/2006/customXml" ds:itemID="{1D234F38-4BD3-49E7-8370-4A09939E3E13}"/>
</file>

<file path=customXml/itemProps3.xml><?xml version="1.0" encoding="utf-8"?>
<ds:datastoreItem xmlns:ds="http://schemas.openxmlformats.org/officeDocument/2006/customXml" ds:itemID="{7A3DC282-EE36-4DB2-AC96-831D1FC40B32}"/>
</file>

<file path=customXml/itemProps4.xml><?xml version="1.0" encoding="utf-8"?>
<ds:datastoreItem xmlns:ds="http://schemas.openxmlformats.org/officeDocument/2006/customXml" ds:itemID="{91389CEF-3B9C-4197-9199-089C49F2DB63}"/>
</file>

<file path=docProps/app.xml><?xml version="1.0" encoding="utf-8"?>
<Properties xmlns="http://schemas.openxmlformats.org/officeDocument/2006/extended-properties" xmlns:vt="http://schemas.openxmlformats.org/officeDocument/2006/docPropsVTypes">
  <Template>Normal.dotm</Template>
  <TotalTime>1</TotalTime>
  <Pages>11</Pages>
  <Words>6408</Words>
  <Characters>36531</Characters>
  <Application>Microsoft Office Word</Application>
  <DocSecurity>4</DocSecurity>
  <Lines>304</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e.molina@womenslinkworldwide.org</dc:creator>
  <cp:keywords/>
  <dc:description/>
  <cp:lastModifiedBy>Daniela Buchmann</cp:lastModifiedBy>
  <cp:revision>2</cp:revision>
  <dcterms:created xsi:type="dcterms:W3CDTF">2019-02-20T10:42:00Z</dcterms:created>
  <dcterms:modified xsi:type="dcterms:W3CDTF">2019-02-20T10:42:00Z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