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72D5A" w14:textId="77777777" w:rsidR="00CA1A80" w:rsidRPr="00527749" w:rsidRDefault="00CA1A80">
      <w:bookmarkStart w:id="0" w:name="_GoBack"/>
      <w:bookmarkEnd w:id="0"/>
    </w:p>
    <w:p w14:paraId="4DBD48A9" w14:textId="27EE6317" w:rsidR="00917DE6" w:rsidRDefault="00527749" w:rsidP="00CA3499">
      <w:pPr>
        <w:jc w:val="center"/>
        <w:rPr>
          <w:rFonts w:asciiTheme="minorHAnsi" w:hAnsiTheme="minorHAnsi"/>
          <w:b/>
          <w:sz w:val="28"/>
        </w:rPr>
      </w:pPr>
      <w:r w:rsidRPr="00917DE6">
        <w:rPr>
          <w:rFonts w:asciiTheme="minorHAnsi" w:hAnsiTheme="minorHAnsi"/>
          <w:b/>
          <w:sz w:val="28"/>
        </w:rPr>
        <w:t xml:space="preserve">Written </w:t>
      </w:r>
      <w:r w:rsidR="00912B70" w:rsidRPr="00917DE6">
        <w:rPr>
          <w:rFonts w:asciiTheme="minorHAnsi" w:hAnsiTheme="minorHAnsi"/>
          <w:b/>
          <w:sz w:val="28"/>
        </w:rPr>
        <w:t>c</w:t>
      </w:r>
      <w:r w:rsidRPr="00917DE6">
        <w:rPr>
          <w:rFonts w:asciiTheme="minorHAnsi" w:hAnsiTheme="minorHAnsi"/>
          <w:b/>
          <w:sz w:val="28"/>
        </w:rPr>
        <w:t xml:space="preserve">ontribution to the UN Committee on the Elimination of Discrimination Against Women for its half-day general discussion on trafficking in women and girls in the context of global migration </w:t>
      </w:r>
    </w:p>
    <w:p w14:paraId="4A739216" w14:textId="19F03E10" w:rsidR="00A039B6" w:rsidRPr="00917DE6" w:rsidRDefault="00080022" w:rsidP="00CA3499">
      <w:pPr>
        <w:jc w:val="center"/>
        <w:rPr>
          <w:rFonts w:asciiTheme="minorHAnsi" w:hAnsiTheme="minorHAnsi"/>
          <w:b/>
          <w:sz w:val="28"/>
        </w:rPr>
      </w:pPr>
      <w:r w:rsidRPr="00917DE6">
        <w:rPr>
          <w:rFonts w:asciiTheme="minorHAnsi" w:hAnsiTheme="minorHAnsi"/>
          <w:b/>
          <w:sz w:val="28"/>
        </w:rPr>
        <w:t xml:space="preserve"> </w:t>
      </w:r>
      <w:r w:rsidR="00527749" w:rsidRPr="00917DE6">
        <w:rPr>
          <w:rFonts w:asciiTheme="minorHAnsi" w:hAnsiTheme="minorHAnsi"/>
          <w:b/>
          <w:sz w:val="28"/>
        </w:rPr>
        <w:t>22 February 2019</w:t>
      </w:r>
    </w:p>
    <w:p w14:paraId="4EB83F44" w14:textId="77777777" w:rsidR="00CA3499" w:rsidRDefault="00CA3499" w:rsidP="00CA3499">
      <w:pPr>
        <w:rPr>
          <w:rFonts w:asciiTheme="minorHAnsi" w:hAnsiTheme="minorHAnsi"/>
        </w:rPr>
      </w:pPr>
    </w:p>
    <w:p w14:paraId="67ACBBBF" w14:textId="77777777" w:rsidR="00E02212" w:rsidRDefault="00100B5C" w:rsidP="00E02212">
      <w:pPr>
        <w:pStyle w:val="NormalWeb"/>
        <w:spacing w:line="276" w:lineRule="auto"/>
        <w:jc w:val="both"/>
        <w:rPr>
          <w:rFonts w:ascii="Calibri" w:hAnsi="Calibri"/>
          <w:iCs/>
          <w:color w:val="000000"/>
        </w:rPr>
      </w:pPr>
      <w:r w:rsidRPr="00100B5C">
        <w:rPr>
          <w:rFonts w:ascii="Calibri" w:hAnsi="Calibri"/>
          <w:iCs/>
          <w:color w:val="000000"/>
        </w:rPr>
        <w:t xml:space="preserve">We </w:t>
      </w:r>
      <w:r w:rsidR="007E2A97" w:rsidRPr="00100B5C">
        <w:rPr>
          <w:rFonts w:ascii="Calibri" w:hAnsi="Calibri"/>
          <w:iCs/>
          <w:color w:val="000000"/>
        </w:rPr>
        <w:t>commend the CEDAW Committee for making trafficking in women and girls in the context of global migration the subject of its forthcoming General Recommendation and respectfully submit the following contribution.</w:t>
      </w:r>
      <w:r w:rsidR="00E02212">
        <w:rPr>
          <w:rFonts w:ascii="Calibri" w:hAnsi="Calibri"/>
          <w:iCs/>
          <w:color w:val="000000"/>
        </w:rPr>
        <w:t xml:space="preserve"> </w:t>
      </w:r>
    </w:p>
    <w:p w14:paraId="35569197" w14:textId="076FD0DF" w:rsidR="00DB4798" w:rsidRPr="00E02212" w:rsidRDefault="00DB4798" w:rsidP="00E02212">
      <w:pPr>
        <w:pStyle w:val="NormalWeb"/>
        <w:spacing w:line="276" w:lineRule="auto"/>
        <w:jc w:val="both"/>
        <w:rPr>
          <w:rFonts w:ascii="Calibri" w:hAnsi="Calibri"/>
          <w:color w:val="000000"/>
        </w:rPr>
      </w:pPr>
      <w:r w:rsidRPr="00100B5C">
        <w:rPr>
          <w:rFonts w:asciiTheme="minorHAnsi" w:hAnsiTheme="minorHAnsi"/>
        </w:rPr>
        <w:t xml:space="preserve">This </w:t>
      </w:r>
      <w:r w:rsidR="0044173B" w:rsidRPr="00100B5C">
        <w:rPr>
          <w:rFonts w:asciiTheme="minorHAnsi" w:hAnsiTheme="minorHAnsi"/>
        </w:rPr>
        <w:t>contribution</w:t>
      </w:r>
      <w:r w:rsidRPr="00100B5C">
        <w:rPr>
          <w:rFonts w:asciiTheme="minorHAnsi" w:hAnsiTheme="minorHAnsi"/>
        </w:rPr>
        <w:t xml:space="preserve"> </w:t>
      </w:r>
      <w:r w:rsidR="00A72602" w:rsidRPr="00100B5C">
        <w:rPr>
          <w:rFonts w:asciiTheme="minorHAnsi" w:hAnsiTheme="minorHAnsi"/>
        </w:rPr>
        <w:t>focuses on the</w:t>
      </w:r>
      <w:r w:rsidR="00A039B6" w:rsidRPr="00100B5C">
        <w:rPr>
          <w:rFonts w:asciiTheme="minorHAnsi" w:hAnsiTheme="minorHAnsi"/>
        </w:rPr>
        <w:t xml:space="preserve"> </w:t>
      </w:r>
      <w:r w:rsidRPr="00100B5C">
        <w:rPr>
          <w:rFonts w:asciiTheme="minorHAnsi" w:hAnsiTheme="minorHAnsi"/>
        </w:rPr>
        <w:t>following key concerns of the Committee</w:t>
      </w:r>
      <w:r w:rsidR="00BE6347" w:rsidRPr="00100B5C">
        <w:rPr>
          <w:rFonts w:asciiTheme="minorHAnsi" w:hAnsiTheme="minorHAnsi"/>
        </w:rPr>
        <w:t>, as stated in the associated Concept Note</w:t>
      </w:r>
      <w:r w:rsidRPr="00100B5C">
        <w:rPr>
          <w:rFonts w:asciiTheme="minorHAnsi" w:hAnsiTheme="minorHAnsi"/>
        </w:rPr>
        <w:t>:</w:t>
      </w:r>
      <w:r w:rsidR="00856A39" w:rsidRPr="00100B5C">
        <w:rPr>
          <w:rStyle w:val="FootnoteReference"/>
          <w:rFonts w:asciiTheme="minorHAnsi" w:hAnsiTheme="minorHAnsi"/>
        </w:rPr>
        <w:footnoteReference w:id="1"/>
      </w:r>
    </w:p>
    <w:p w14:paraId="551C1C87" w14:textId="77777777" w:rsidR="00915EA7" w:rsidRPr="00962098" w:rsidRDefault="00915EA7" w:rsidP="001953BB">
      <w:pPr>
        <w:pStyle w:val="ListParagraph"/>
        <w:numPr>
          <w:ilvl w:val="0"/>
          <w:numId w:val="1"/>
        </w:numPr>
        <w:jc w:val="both"/>
        <w:rPr>
          <w:rFonts w:asciiTheme="minorHAnsi" w:hAnsiTheme="minorHAnsi"/>
        </w:rPr>
      </w:pPr>
      <w:r w:rsidRPr="00962098">
        <w:rPr>
          <w:rFonts w:asciiTheme="minorHAnsi" w:hAnsiTheme="minorHAnsi"/>
        </w:rPr>
        <w:t xml:space="preserve">Trafficking in women and girls is rooted in </w:t>
      </w:r>
      <w:r w:rsidR="004B17B5" w:rsidRPr="00962098">
        <w:rPr>
          <w:rFonts w:asciiTheme="minorHAnsi" w:hAnsiTheme="minorHAnsi"/>
        </w:rPr>
        <w:t xml:space="preserve">gender-based </w:t>
      </w:r>
      <w:r w:rsidRPr="00962098">
        <w:rPr>
          <w:rFonts w:asciiTheme="minorHAnsi" w:hAnsiTheme="minorHAnsi"/>
        </w:rPr>
        <w:t>discrimination, gender-based struc</w:t>
      </w:r>
      <w:r w:rsidR="00DC3746" w:rsidRPr="00962098">
        <w:rPr>
          <w:rFonts w:asciiTheme="minorHAnsi" w:hAnsiTheme="minorHAnsi"/>
        </w:rPr>
        <w:t>tural inequality and the feminis</w:t>
      </w:r>
      <w:r w:rsidRPr="00962098">
        <w:rPr>
          <w:rFonts w:asciiTheme="minorHAnsi" w:hAnsiTheme="minorHAnsi"/>
        </w:rPr>
        <w:t>ation of poverty</w:t>
      </w:r>
    </w:p>
    <w:p w14:paraId="327F5C9B" w14:textId="685EFEA8" w:rsidR="00DB4798" w:rsidRPr="00962098" w:rsidRDefault="00DB4798" w:rsidP="001953BB">
      <w:pPr>
        <w:pStyle w:val="ListParagraph"/>
        <w:numPr>
          <w:ilvl w:val="0"/>
          <w:numId w:val="1"/>
        </w:numPr>
        <w:jc w:val="both"/>
        <w:rPr>
          <w:rFonts w:asciiTheme="minorHAnsi" w:hAnsiTheme="minorHAnsi"/>
        </w:rPr>
      </w:pPr>
      <w:r w:rsidRPr="00962098">
        <w:rPr>
          <w:rFonts w:asciiTheme="minorHAnsi" w:hAnsiTheme="minorHAnsi"/>
        </w:rPr>
        <w:lastRenderedPageBreak/>
        <w:t>Irregular and u</w:t>
      </w:r>
      <w:r w:rsidR="00A72602" w:rsidRPr="00962098">
        <w:rPr>
          <w:rFonts w:asciiTheme="minorHAnsi" w:hAnsiTheme="minorHAnsi"/>
        </w:rPr>
        <w:t>nsafe migration c</w:t>
      </w:r>
      <w:r w:rsidRPr="00962098">
        <w:rPr>
          <w:rFonts w:asciiTheme="minorHAnsi" w:hAnsiTheme="minorHAnsi"/>
        </w:rPr>
        <w:t>hannels</w:t>
      </w:r>
      <w:r w:rsidR="00241F86" w:rsidRPr="00962098">
        <w:rPr>
          <w:rFonts w:asciiTheme="minorHAnsi" w:hAnsiTheme="minorHAnsi"/>
        </w:rPr>
        <w:t xml:space="preserve"> increase risks of</w:t>
      </w:r>
      <w:r w:rsidR="00A72602" w:rsidRPr="00962098">
        <w:rPr>
          <w:rFonts w:asciiTheme="minorHAnsi" w:hAnsiTheme="minorHAnsi"/>
        </w:rPr>
        <w:t xml:space="preserve"> trafficking</w:t>
      </w:r>
      <w:r w:rsidR="00241F86" w:rsidRPr="00962098">
        <w:rPr>
          <w:rFonts w:asciiTheme="minorHAnsi" w:hAnsiTheme="minorHAnsi"/>
        </w:rPr>
        <w:t xml:space="preserve"> in women and girls</w:t>
      </w:r>
      <w:r w:rsidR="00783253" w:rsidRPr="00962098">
        <w:rPr>
          <w:rFonts w:asciiTheme="minorHAnsi" w:hAnsiTheme="minorHAnsi"/>
        </w:rPr>
        <w:t>; and</w:t>
      </w:r>
      <w:r w:rsidR="00A72602" w:rsidRPr="00962098">
        <w:rPr>
          <w:rFonts w:asciiTheme="minorHAnsi" w:hAnsiTheme="minorHAnsi"/>
        </w:rPr>
        <w:t xml:space="preserve"> </w:t>
      </w:r>
    </w:p>
    <w:p w14:paraId="5B107FEC" w14:textId="77777777" w:rsidR="00DB4798" w:rsidRPr="00962098" w:rsidRDefault="00DB4798" w:rsidP="001953BB">
      <w:pPr>
        <w:pStyle w:val="ListParagraph"/>
        <w:numPr>
          <w:ilvl w:val="0"/>
          <w:numId w:val="1"/>
        </w:numPr>
        <w:jc w:val="both"/>
        <w:rPr>
          <w:rFonts w:asciiTheme="minorHAnsi" w:hAnsiTheme="minorHAnsi"/>
        </w:rPr>
      </w:pPr>
      <w:r w:rsidRPr="00962098">
        <w:rPr>
          <w:rFonts w:asciiTheme="minorHAnsi" w:hAnsiTheme="minorHAnsi"/>
        </w:rPr>
        <w:t>Sector-specific migration</w:t>
      </w:r>
      <w:r w:rsidR="00241F86" w:rsidRPr="00962098">
        <w:rPr>
          <w:rFonts w:asciiTheme="minorHAnsi" w:hAnsiTheme="minorHAnsi"/>
        </w:rPr>
        <w:t xml:space="preserve"> rules and</w:t>
      </w:r>
      <w:r w:rsidRPr="00962098">
        <w:rPr>
          <w:rFonts w:asciiTheme="minorHAnsi" w:hAnsiTheme="minorHAnsi"/>
        </w:rPr>
        <w:t xml:space="preserve"> </w:t>
      </w:r>
      <w:r w:rsidR="00783253" w:rsidRPr="00962098">
        <w:rPr>
          <w:rFonts w:asciiTheme="minorHAnsi" w:hAnsiTheme="minorHAnsi"/>
        </w:rPr>
        <w:t>polic</w:t>
      </w:r>
      <w:r w:rsidR="00337D8D" w:rsidRPr="00962098">
        <w:rPr>
          <w:rFonts w:asciiTheme="minorHAnsi" w:hAnsiTheme="minorHAnsi"/>
        </w:rPr>
        <w:t>ies</w:t>
      </w:r>
      <w:r w:rsidR="00783253" w:rsidRPr="00962098">
        <w:rPr>
          <w:rFonts w:asciiTheme="minorHAnsi" w:hAnsiTheme="minorHAnsi"/>
        </w:rPr>
        <w:t xml:space="preserve"> </w:t>
      </w:r>
      <w:r w:rsidR="00241F86" w:rsidRPr="00962098">
        <w:rPr>
          <w:rFonts w:asciiTheme="minorHAnsi" w:hAnsiTheme="minorHAnsi"/>
        </w:rPr>
        <w:t xml:space="preserve">can </w:t>
      </w:r>
      <w:r w:rsidRPr="00962098">
        <w:rPr>
          <w:rFonts w:asciiTheme="minorHAnsi" w:hAnsiTheme="minorHAnsi"/>
        </w:rPr>
        <w:t>perpetuate victimisation</w:t>
      </w:r>
      <w:r w:rsidR="00241F86" w:rsidRPr="00962098">
        <w:rPr>
          <w:rFonts w:asciiTheme="minorHAnsi" w:hAnsiTheme="minorHAnsi"/>
        </w:rPr>
        <w:t xml:space="preserve"> </w:t>
      </w:r>
      <w:r w:rsidR="00A72602" w:rsidRPr="00962098">
        <w:rPr>
          <w:rFonts w:asciiTheme="minorHAnsi" w:hAnsiTheme="minorHAnsi"/>
        </w:rPr>
        <w:t>o</w:t>
      </w:r>
      <w:r w:rsidR="00241F86" w:rsidRPr="00962098">
        <w:rPr>
          <w:rFonts w:asciiTheme="minorHAnsi" w:hAnsiTheme="minorHAnsi"/>
        </w:rPr>
        <w:t>f</w:t>
      </w:r>
      <w:r w:rsidR="00A72602" w:rsidRPr="00962098">
        <w:rPr>
          <w:rFonts w:asciiTheme="minorHAnsi" w:hAnsiTheme="minorHAnsi"/>
        </w:rPr>
        <w:t xml:space="preserve"> women and girls</w:t>
      </w:r>
    </w:p>
    <w:p w14:paraId="230863DE" w14:textId="77777777" w:rsidR="00915EA7" w:rsidRDefault="00825048" w:rsidP="00FC3DA2">
      <w:pPr>
        <w:jc w:val="both"/>
        <w:rPr>
          <w:rFonts w:asciiTheme="minorHAnsi" w:hAnsiTheme="minorHAnsi"/>
          <w:b/>
        </w:rPr>
      </w:pPr>
      <w:r w:rsidRPr="00962098">
        <w:rPr>
          <w:rFonts w:asciiTheme="minorHAnsi" w:hAnsiTheme="minorHAnsi"/>
          <w:b/>
        </w:rPr>
        <w:t xml:space="preserve">1. </w:t>
      </w:r>
      <w:r w:rsidR="00A33843" w:rsidRPr="00962098">
        <w:rPr>
          <w:rFonts w:asciiTheme="minorHAnsi" w:hAnsiTheme="minorHAnsi"/>
          <w:b/>
        </w:rPr>
        <w:t xml:space="preserve">Trafficking in women and girls is rooted in </w:t>
      </w:r>
      <w:r w:rsidR="004B17B5" w:rsidRPr="00962098">
        <w:rPr>
          <w:rFonts w:asciiTheme="minorHAnsi" w:hAnsiTheme="minorHAnsi"/>
          <w:b/>
        </w:rPr>
        <w:t xml:space="preserve">gender-based </w:t>
      </w:r>
      <w:r w:rsidR="00A33843" w:rsidRPr="00962098">
        <w:rPr>
          <w:rFonts w:asciiTheme="minorHAnsi" w:hAnsiTheme="minorHAnsi"/>
          <w:b/>
        </w:rPr>
        <w:t>discrimination, gender-based structural inequality and the femini</w:t>
      </w:r>
      <w:r w:rsidR="005B4B4B" w:rsidRPr="00962098">
        <w:rPr>
          <w:rFonts w:asciiTheme="minorHAnsi" w:hAnsiTheme="minorHAnsi"/>
          <w:b/>
        </w:rPr>
        <w:t>s</w:t>
      </w:r>
      <w:r w:rsidR="00A33843" w:rsidRPr="00962098">
        <w:rPr>
          <w:rFonts w:asciiTheme="minorHAnsi" w:hAnsiTheme="minorHAnsi"/>
          <w:b/>
        </w:rPr>
        <w:t>ation of poverty</w:t>
      </w:r>
      <w:r w:rsidR="00DC3746" w:rsidRPr="00962098">
        <w:rPr>
          <w:rStyle w:val="FootnoteReference"/>
          <w:rFonts w:asciiTheme="minorHAnsi" w:hAnsiTheme="minorHAnsi"/>
          <w:b/>
        </w:rPr>
        <w:footnoteReference w:id="2"/>
      </w:r>
    </w:p>
    <w:p w14:paraId="1B6A6AFE" w14:textId="77777777" w:rsidR="00DA48E1" w:rsidRDefault="00E70F61" w:rsidP="00FC3DA2">
      <w:pPr>
        <w:jc w:val="both"/>
        <w:rPr>
          <w:rFonts w:asciiTheme="minorHAnsi" w:hAnsiTheme="minorHAnsi"/>
        </w:rPr>
      </w:pPr>
      <w:r w:rsidRPr="00FC3DA2">
        <w:rPr>
          <w:rFonts w:asciiTheme="minorHAnsi" w:hAnsiTheme="minorHAnsi"/>
        </w:rPr>
        <w:t>According to article 6 of CEDAW, States parties have an obligation to take measures to suppress all forms of trafficking in women.</w:t>
      </w:r>
      <w:r w:rsidRPr="00FC3DA2">
        <w:rPr>
          <w:rStyle w:val="FootnoteReference"/>
          <w:rFonts w:asciiTheme="minorHAnsi" w:hAnsiTheme="minorHAnsi"/>
        </w:rPr>
        <w:footnoteReference w:id="3"/>
      </w:r>
      <w:r w:rsidRPr="00FC3DA2">
        <w:rPr>
          <w:rFonts w:asciiTheme="minorHAnsi" w:hAnsiTheme="minorHAnsi"/>
        </w:rPr>
        <w:t xml:space="preserve"> This means</w:t>
      </w:r>
      <w:r w:rsidR="004B17B5">
        <w:rPr>
          <w:rFonts w:asciiTheme="minorHAnsi" w:hAnsiTheme="minorHAnsi"/>
        </w:rPr>
        <w:t>,</w:t>
      </w:r>
      <w:r w:rsidRPr="00FC3DA2">
        <w:rPr>
          <w:rFonts w:asciiTheme="minorHAnsi" w:hAnsiTheme="minorHAnsi"/>
        </w:rPr>
        <w:t xml:space="preserve"> in the first place, </w:t>
      </w:r>
      <w:r w:rsidR="00412576">
        <w:rPr>
          <w:rFonts w:asciiTheme="minorHAnsi" w:hAnsiTheme="minorHAnsi"/>
        </w:rPr>
        <w:t xml:space="preserve">that </w:t>
      </w:r>
      <w:r w:rsidRPr="00FC3DA2">
        <w:rPr>
          <w:rFonts w:asciiTheme="minorHAnsi" w:hAnsiTheme="minorHAnsi"/>
        </w:rPr>
        <w:t xml:space="preserve">States parties have the responsibility to take measures to </w:t>
      </w:r>
      <w:r w:rsidRPr="00FC3DA2">
        <w:rPr>
          <w:rFonts w:asciiTheme="minorHAnsi" w:hAnsiTheme="minorHAnsi"/>
          <w:i/>
        </w:rPr>
        <w:t xml:space="preserve">prevent </w:t>
      </w:r>
      <w:r w:rsidRPr="00FC3DA2">
        <w:rPr>
          <w:rFonts w:asciiTheme="minorHAnsi" w:hAnsiTheme="minorHAnsi"/>
        </w:rPr>
        <w:t xml:space="preserve">trafficking in women and girls. As part of the prevention framework, States parties should take measures to address </w:t>
      </w:r>
      <w:r w:rsidR="004B17B5">
        <w:rPr>
          <w:rFonts w:asciiTheme="minorHAnsi" w:hAnsiTheme="minorHAnsi"/>
        </w:rPr>
        <w:t xml:space="preserve">the </w:t>
      </w:r>
      <w:r w:rsidRPr="00FC3DA2">
        <w:rPr>
          <w:rFonts w:asciiTheme="minorHAnsi" w:hAnsiTheme="minorHAnsi"/>
          <w:i/>
        </w:rPr>
        <w:t>root causes</w:t>
      </w:r>
      <w:r w:rsidRPr="00FC3DA2">
        <w:rPr>
          <w:rFonts w:asciiTheme="minorHAnsi" w:hAnsiTheme="minorHAnsi"/>
        </w:rPr>
        <w:t xml:space="preserve"> of trafficking in women and girls. </w:t>
      </w:r>
    </w:p>
    <w:p w14:paraId="3039B19E" w14:textId="5C9754CF" w:rsidR="00E70F61" w:rsidRPr="00FC3DA2" w:rsidRDefault="00856A39" w:rsidP="00FC3DA2">
      <w:pPr>
        <w:jc w:val="both"/>
        <w:rPr>
          <w:rFonts w:asciiTheme="minorHAnsi" w:hAnsiTheme="minorHAnsi"/>
        </w:rPr>
      </w:pPr>
      <w:r w:rsidRPr="00FC3DA2">
        <w:rPr>
          <w:rFonts w:asciiTheme="minorHAnsi" w:hAnsiTheme="minorHAnsi"/>
        </w:rPr>
        <w:lastRenderedPageBreak/>
        <w:t>Gender-based inequality and discrimination that creates situations of p</w:t>
      </w:r>
      <w:r w:rsidR="00E70F61" w:rsidRPr="00FC3DA2">
        <w:rPr>
          <w:rFonts w:asciiTheme="minorHAnsi" w:hAnsiTheme="minorHAnsi"/>
        </w:rPr>
        <w:t xml:space="preserve">overty </w:t>
      </w:r>
      <w:r w:rsidRPr="00FC3DA2">
        <w:rPr>
          <w:rFonts w:asciiTheme="minorHAnsi" w:hAnsiTheme="minorHAnsi"/>
        </w:rPr>
        <w:t xml:space="preserve">for women and girls </w:t>
      </w:r>
      <w:r w:rsidR="00E70F61" w:rsidRPr="00FC3DA2">
        <w:rPr>
          <w:rFonts w:asciiTheme="minorHAnsi" w:hAnsiTheme="minorHAnsi"/>
        </w:rPr>
        <w:t>is known to be a root cause</w:t>
      </w:r>
      <w:r w:rsidRPr="00FC3DA2">
        <w:rPr>
          <w:rFonts w:asciiTheme="minorHAnsi" w:hAnsiTheme="minorHAnsi"/>
        </w:rPr>
        <w:t xml:space="preserve"> of trafficking</w:t>
      </w:r>
      <w:r w:rsidR="00E70F61" w:rsidRPr="00FC3DA2">
        <w:rPr>
          <w:rFonts w:asciiTheme="minorHAnsi" w:hAnsiTheme="minorHAnsi"/>
        </w:rPr>
        <w:t>,</w:t>
      </w:r>
      <w:r w:rsidR="00E70F61" w:rsidRPr="00FC3DA2">
        <w:rPr>
          <w:rStyle w:val="FootnoteReference"/>
          <w:rFonts w:asciiTheme="minorHAnsi" w:hAnsiTheme="minorHAnsi"/>
        </w:rPr>
        <w:footnoteReference w:id="4"/>
      </w:r>
      <w:r w:rsidR="00E70F61" w:rsidRPr="00FC3DA2">
        <w:rPr>
          <w:rFonts w:asciiTheme="minorHAnsi" w:hAnsiTheme="minorHAnsi"/>
        </w:rPr>
        <w:t xml:space="preserve"> which States parties have a responsibility to address in line with Sustainable Development Goal No. 1 to end poverty in all its forms everywhere.</w:t>
      </w:r>
      <w:r w:rsidR="00E70F61" w:rsidRPr="00FC3DA2">
        <w:rPr>
          <w:rStyle w:val="FootnoteReference"/>
          <w:rFonts w:asciiTheme="minorHAnsi" w:hAnsiTheme="minorHAnsi"/>
        </w:rPr>
        <w:footnoteReference w:id="5"/>
      </w:r>
      <w:r w:rsidR="00E70F61" w:rsidRPr="00FC3DA2">
        <w:rPr>
          <w:rFonts w:asciiTheme="minorHAnsi" w:hAnsiTheme="minorHAnsi"/>
        </w:rPr>
        <w:t xml:space="preserve"> Poverty is multi-dimensional and reflects the cumulative disadvantage and deprivations people face due to the violations of their socio-economic human rights. This is especially true for women and girls as they are "more likely to be impoverished, uneducated and disempowered by societal and family structures."</w:t>
      </w:r>
      <w:r w:rsidR="00E70F61" w:rsidRPr="00FC3DA2">
        <w:rPr>
          <w:rStyle w:val="FootnoteReference"/>
          <w:rFonts w:asciiTheme="minorHAnsi" w:hAnsiTheme="minorHAnsi"/>
        </w:rPr>
        <w:footnoteReference w:id="6"/>
      </w:r>
    </w:p>
    <w:p w14:paraId="305FB777" w14:textId="77777777" w:rsidR="00E70F61" w:rsidRPr="00FC3DA2" w:rsidRDefault="00E70F61" w:rsidP="00FC3DA2">
      <w:pPr>
        <w:jc w:val="both"/>
        <w:rPr>
          <w:rFonts w:asciiTheme="minorHAnsi" w:eastAsia="Times New Roman" w:hAnsiTheme="minorHAnsi"/>
          <w:bCs/>
        </w:rPr>
      </w:pPr>
      <w:r w:rsidRPr="00FC3DA2">
        <w:rPr>
          <w:rFonts w:asciiTheme="minorHAnsi" w:hAnsiTheme="minorHAnsi"/>
        </w:rPr>
        <w:lastRenderedPageBreak/>
        <w:t xml:space="preserve">As Guideline 1 </w:t>
      </w:r>
      <w:r w:rsidR="00856A39" w:rsidRPr="00FC3DA2">
        <w:rPr>
          <w:rFonts w:asciiTheme="minorHAnsi" w:hAnsiTheme="minorHAnsi"/>
        </w:rPr>
        <w:t xml:space="preserve">of the UN Recommended Principles and Guidelines </w:t>
      </w:r>
      <w:r w:rsidRPr="00FC3DA2">
        <w:rPr>
          <w:rFonts w:asciiTheme="minorHAnsi" w:hAnsiTheme="minorHAnsi"/>
        </w:rPr>
        <w:t xml:space="preserve">on </w:t>
      </w:r>
      <w:r w:rsidRPr="00FC3DA2">
        <w:rPr>
          <w:rFonts w:asciiTheme="minorHAnsi" w:eastAsia="Times New Roman" w:hAnsiTheme="minorHAnsi"/>
          <w:bCs/>
        </w:rPr>
        <w:t>Human Rights and Human Trafficking reads</w:t>
      </w:r>
      <w:r w:rsidRPr="00FC3DA2">
        <w:rPr>
          <w:rFonts w:asciiTheme="minorHAnsi" w:hAnsiTheme="minorHAnsi"/>
        </w:rPr>
        <w:t xml:space="preserve">: </w:t>
      </w:r>
      <w:r w:rsidRPr="00FC3DA2">
        <w:rPr>
          <w:rFonts w:asciiTheme="minorHAnsi" w:eastAsia="Times New Roman" w:hAnsiTheme="minorHAnsi"/>
          <w:bCs/>
        </w:rPr>
        <w:t>"Violations of human rights are both a cause and a consequence of trafficking in persons. Accordingly, it is essential to place the protection of all human rights at the centre of any measures taken to prevent and end trafficking."</w:t>
      </w:r>
      <w:r w:rsidRPr="00FC3DA2">
        <w:rPr>
          <w:rStyle w:val="FootnoteReference"/>
          <w:rFonts w:asciiTheme="minorHAnsi" w:eastAsia="Times New Roman" w:hAnsiTheme="minorHAnsi"/>
          <w:bCs/>
        </w:rPr>
        <w:footnoteReference w:id="7"/>
      </w:r>
      <w:r w:rsidRPr="00FC3DA2">
        <w:rPr>
          <w:rFonts w:asciiTheme="minorHAnsi" w:eastAsia="Times New Roman" w:hAnsiTheme="minorHAnsi"/>
          <w:bCs/>
        </w:rPr>
        <w:t xml:space="preserve"> Consequently, as regards poverty, a particular focus needs to be on socio-economic rights.</w:t>
      </w:r>
    </w:p>
    <w:p w14:paraId="630E2B7E" w14:textId="349D6E6E" w:rsidR="00E70F61" w:rsidRPr="00FC3DA2" w:rsidRDefault="00E70F61" w:rsidP="00FC3DA2">
      <w:pPr>
        <w:jc w:val="both"/>
        <w:rPr>
          <w:rFonts w:asciiTheme="minorHAnsi" w:hAnsiTheme="minorHAnsi"/>
        </w:rPr>
      </w:pPr>
      <w:r w:rsidRPr="00FC3DA2">
        <w:rPr>
          <w:rFonts w:asciiTheme="minorHAnsi" w:hAnsiTheme="minorHAnsi"/>
        </w:rPr>
        <w:t xml:space="preserve">According to General Comment No. 3 </w:t>
      </w:r>
      <w:r w:rsidR="00DC182F" w:rsidRPr="00DA48E1">
        <w:rPr>
          <w:rFonts w:asciiTheme="minorHAnsi" w:hAnsiTheme="minorHAnsi"/>
        </w:rPr>
        <w:t xml:space="preserve">on State obligations under </w:t>
      </w:r>
      <w:r w:rsidRPr="00DA48E1">
        <w:rPr>
          <w:rFonts w:asciiTheme="minorHAnsi" w:hAnsiTheme="minorHAnsi"/>
        </w:rPr>
        <w:t>the ICESCR,</w:t>
      </w:r>
      <w:r w:rsidRPr="00FC3DA2">
        <w:rPr>
          <w:rFonts w:asciiTheme="minorHAnsi" w:hAnsiTheme="minorHAnsi"/>
        </w:rPr>
        <w:t xml:space="preserve"> States parties have an immediate obligation to address minimum core-obligations of the socio-economic rights enshrined in the ICESCR, such as the right to education (article 13 of the ICESCR) or the right to health (article 12 of the ICESCR).</w:t>
      </w:r>
      <w:r w:rsidRPr="00FC3DA2">
        <w:rPr>
          <w:rStyle w:val="FootnoteReference"/>
          <w:rFonts w:asciiTheme="minorHAnsi" w:hAnsiTheme="minorHAnsi"/>
        </w:rPr>
        <w:footnoteReference w:id="8"/>
      </w:r>
      <w:r w:rsidRPr="00FC3DA2">
        <w:rPr>
          <w:rFonts w:asciiTheme="minorHAnsi" w:hAnsiTheme="minorHAnsi"/>
        </w:rPr>
        <w:t xml:space="preserve"> </w:t>
      </w:r>
    </w:p>
    <w:p w14:paraId="31A763C1" w14:textId="77777777" w:rsidR="003C5A80" w:rsidRDefault="003C5A80" w:rsidP="00FC3DA2">
      <w:pPr>
        <w:jc w:val="both"/>
        <w:rPr>
          <w:rFonts w:asciiTheme="minorHAnsi" w:hAnsiTheme="minorHAnsi"/>
        </w:rPr>
      </w:pPr>
    </w:p>
    <w:p w14:paraId="19D211CF" w14:textId="35B8EF1F" w:rsidR="00E70F61" w:rsidRPr="00FC3DA2" w:rsidRDefault="00E70F61" w:rsidP="00FC3DA2">
      <w:pPr>
        <w:jc w:val="both"/>
        <w:rPr>
          <w:rFonts w:asciiTheme="minorHAnsi" w:hAnsiTheme="minorHAnsi"/>
        </w:rPr>
      </w:pPr>
      <w:r w:rsidRPr="00FC3DA2">
        <w:rPr>
          <w:rFonts w:asciiTheme="minorHAnsi" w:hAnsiTheme="minorHAnsi"/>
        </w:rPr>
        <w:t>Article 4 of CEDAW allows for temporary measures to achieve substantive equality</w:t>
      </w:r>
      <w:r w:rsidRPr="00FC3DA2">
        <w:rPr>
          <w:rStyle w:val="FootnoteReference"/>
          <w:rFonts w:asciiTheme="minorHAnsi" w:hAnsiTheme="minorHAnsi"/>
        </w:rPr>
        <w:footnoteReference w:id="9"/>
      </w:r>
      <w:r w:rsidRPr="00FC3DA2">
        <w:rPr>
          <w:rFonts w:asciiTheme="minorHAnsi" w:hAnsiTheme="minorHAnsi"/>
        </w:rPr>
        <w:t xml:space="preserve">. </w:t>
      </w:r>
      <w:r w:rsidR="00FC3DA2" w:rsidRPr="00FC3DA2">
        <w:rPr>
          <w:rFonts w:asciiTheme="minorHAnsi" w:hAnsiTheme="minorHAnsi"/>
        </w:rPr>
        <w:t>In light of a</w:t>
      </w:r>
      <w:r w:rsidRPr="00FC3DA2">
        <w:rPr>
          <w:rFonts w:asciiTheme="minorHAnsi" w:hAnsiTheme="minorHAnsi"/>
        </w:rPr>
        <w:t xml:space="preserve">rticle 4 and </w:t>
      </w:r>
      <w:r w:rsidR="004B17B5">
        <w:rPr>
          <w:rFonts w:asciiTheme="minorHAnsi" w:hAnsiTheme="minorHAnsi"/>
        </w:rPr>
        <w:t xml:space="preserve">the CEDAW Committee’s </w:t>
      </w:r>
      <w:r w:rsidRPr="00FC3DA2">
        <w:rPr>
          <w:rFonts w:asciiTheme="minorHAnsi" w:hAnsiTheme="minorHAnsi"/>
        </w:rPr>
        <w:t xml:space="preserve">General Recommendation No. 25 (2004), </w:t>
      </w:r>
      <w:r w:rsidR="00FC3DA2" w:rsidRPr="00FC3DA2">
        <w:rPr>
          <w:rFonts w:asciiTheme="minorHAnsi" w:hAnsiTheme="minorHAnsi"/>
        </w:rPr>
        <w:t>a</w:t>
      </w:r>
      <w:r w:rsidRPr="00FC3DA2">
        <w:rPr>
          <w:rFonts w:asciiTheme="minorHAnsi" w:hAnsiTheme="minorHAnsi"/>
        </w:rPr>
        <w:t>rticle 6 of CEDAW should be read as requiring "immediate, as opposed to progressive, implementation"</w:t>
      </w:r>
      <w:r w:rsidRPr="00FC3DA2">
        <w:rPr>
          <w:rStyle w:val="FootnoteReference"/>
          <w:rFonts w:asciiTheme="minorHAnsi" w:hAnsiTheme="minorHAnsi"/>
        </w:rPr>
        <w:footnoteReference w:id="10"/>
      </w:r>
      <w:r w:rsidRPr="00FC3DA2">
        <w:rPr>
          <w:rFonts w:asciiTheme="minorHAnsi" w:hAnsiTheme="minorHAnsi"/>
        </w:rPr>
        <w:t xml:space="preserve"> and therefore necessitating States parties to adopt urgent </w:t>
      </w:r>
      <w:r w:rsidRPr="00FC3DA2">
        <w:rPr>
          <w:rFonts w:asciiTheme="minorHAnsi" w:hAnsiTheme="minorHAnsi"/>
        </w:rPr>
        <w:lastRenderedPageBreak/>
        <w:t xml:space="preserve">measures to provide redress in areas in which women and girls are experiencing </w:t>
      </w:r>
      <w:r w:rsidRPr="00FC3DA2">
        <w:rPr>
          <w:rFonts w:asciiTheme="minorHAnsi" w:hAnsiTheme="minorHAnsi"/>
          <w:i/>
        </w:rPr>
        <w:t>extreme poverty</w:t>
      </w:r>
      <w:r w:rsidRPr="00FC3DA2">
        <w:rPr>
          <w:rStyle w:val="FootnoteReference"/>
          <w:rFonts w:asciiTheme="minorHAnsi" w:hAnsiTheme="minorHAnsi"/>
        </w:rPr>
        <w:footnoteReference w:id="11"/>
      </w:r>
      <w:r w:rsidRPr="00FC3DA2">
        <w:rPr>
          <w:rFonts w:asciiTheme="minorHAnsi" w:hAnsiTheme="minorHAnsi"/>
        </w:rPr>
        <w:t xml:space="preserve"> and </w:t>
      </w:r>
      <w:r w:rsidRPr="00FC3DA2">
        <w:rPr>
          <w:rFonts w:asciiTheme="minorHAnsi" w:hAnsiTheme="minorHAnsi"/>
          <w:i/>
        </w:rPr>
        <w:t>severe inequalities,</w:t>
      </w:r>
      <w:r w:rsidRPr="00FC3DA2">
        <w:rPr>
          <w:rFonts w:asciiTheme="minorHAnsi" w:hAnsiTheme="minorHAnsi"/>
        </w:rPr>
        <w:t xml:space="preserve"> both resulting in heightened exposure to trafficking.</w:t>
      </w:r>
      <w:r w:rsidRPr="00FC3DA2">
        <w:rPr>
          <w:rStyle w:val="FootnoteReference"/>
          <w:rFonts w:asciiTheme="minorHAnsi" w:hAnsiTheme="minorHAnsi"/>
        </w:rPr>
        <w:footnoteReference w:id="12"/>
      </w:r>
    </w:p>
    <w:p w14:paraId="2B01E17B" w14:textId="77777777" w:rsidR="00E70F61" w:rsidRPr="00FC3DA2" w:rsidRDefault="00E70F61" w:rsidP="00FC3DA2">
      <w:pPr>
        <w:jc w:val="both"/>
        <w:rPr>
          <w:rFonts w:asciiTheme="minorHAnsi" w:hAnsiTheme="minorHAnsi"/>
        </w:rPr>
      </w:pPr>
      <w:r w:rsidRPr="00FC3DA2">
        <w:rPr>
          <w:rFonts w:asciiTheme="minorHAnsi" w:hAnsiTheme="minorHAnsi"/>
        </w:rPr>
        <w:t>In the first instance, States parties need to follow through with their commitments and meet their obligations to realise socio-economic human rights as stipulated in CEDAW and other human rights treaties, including IESCR, CRC, and CRPD. Where States parties have not ratified any of these treaties, they are encouraged to do so as a matter of urgency.</w:t>
      </w:r>
    </w:p>
    <w:p w14:paraId="0233F6C4" w14:textId="77777777" w:rsidR="00E70F61" w:rsidRPr="00FC3DA2" w:rsidRDefault="00E70F61" w:rsidP="00FC3DA2">
      <w:pPr>
        <w:jc w:val="both"/>
        <w:rPr>
          <w:rFonts w:asciiTheme="minorHAnsi" w:hAnsiTheme="minorHAnsi"/>
        </w:rPr>
      </w:pPr>
      <w:r w:rsidRPr="00FC3DA2">
        <w:rPr>
          <w:rFonts w:asciiTheme="minorHAnsi" w:hAnsiTheme="minorHAnsi"/>
        </w:rPr>
        <w:lastRenderedPageBreak/>
        <w:t>Secondly, States parties are invited to apply the Multidimensional Poverty Index (MPI) used by the United Nations Development Programme and adapt it to their national plans and priorities:</w:t>
      </w:r>
    </w:p>
    <w:p w14:paraId="1E8E70D5" w14:textId="77777777" w:rsidR="00E70F61" w:rsidRPr="00FC3DA2" w:rsidRDefault="00E70F61" w:rsidP="00FC3DA2">
      <w:pPr>
        <w:jc w:val="both"/>
        <w:rPr>
          <w:rFonts w:asciiTheme="minorHAnsi" w:hAnsiTheme="minorHAnsi"/>
        </w:rPr>
      </w:pPr>
      <w:r w:rsidRPr="00FC3DA2">
        <w:rPr>
          <w:rFonts w:asciiTheme="minorHAnsi" w:hAnsiTheme="minorHAnsi"/>
        </w:rPr>
        <w:t xml:space="preserve">"The MPI looks beyond income to understand how people experience poverty in multiple and simultaneous ways. It identifies how people are being left behind across three key dimensions: </w:t>
      </w:r>
      <w:r w:rsidRPr="00FC3DA2">
        <w:rPr>
          <w:rFonts w:asciiTheme="minorHAnsi" w:hAnsiTheme="minorHAnsi"/>
          <w:i/>
        </w:rPr>
        <w:t>health, education and standard of living</w:t>
      </w:r>
      <w:r w:rsidRPr="00FC3DA2">
        <w:rPr>
          <w:rFonts w:asciiTheme="minorHAnsi" w:hAnsiTheme="minorHAnsi"/>
        </w:rPr>
        <w:t>, comprising 10 indicators. People who experience deprivation in at least one third of these weighted indicators fall into the category of multidimensionally poor."</w:t>
      </w:r>
      <w:r w:rsidRPr="00FC3DA2">
        <w:rPr>
          <w:rStyle w:val="FootnoteReference"/>
          <w:rFonts w:asciiTheme="minorHAnsi" w:hAnsiTheme="minorHAnsi"/>
        </w:rPr>
        <w:footnoteReference w:id="13"/>
      </w:r>
    </w:p>
    <w:p w14:paraId="487277B3" w14:textId="2C9D0762" w:rsidR="00E70F61" w:rsidRPr="00FC3DA2" w:rsidRDefault="00E70F61" w:rsidP="00FC3DA2">
      <w:pPr>
        <w:jc w:val="both"/>
        <w:rPr>
          <w:rFonts w:asciiTheme="minorHAnsi" w:hAnsiTheme="minorHAnsi"/>
        </w:rPr>
      </w:pPr>
      <w:r w:rsidRPr="00FC3DA2">
        <w:rPr>
          <w:rFonts w:asciiTheme="minorHAnsi" w:hAnsiTheme="minorHAnsi"/>
        </w:rPr>
        <w:t>Such an approach will contribute significantly to identifying and targeting the dimensions in which women and girls are experiencing extreme poverty and severe inequalities, both</w:t>
      </w:r>
      <w:r w:rsidR="00D367CF">
        <w:rPr>
          <w:rFonts w:asciiTheme="minorHAnsi" w:hAnsiTheme="minorHAnsi"/>
        </w:rPr>
        <w:t xml:space="preserve"> </w:t>
      </w:r>
      <w:r w:rsidRPr="00FC3DA2">
        <w:rPr>
          <w:rFonts w:asciiTheme="minorHAnsi" w:hAnsiTheme="minorHAnsi"/>
        </w:rPr>
        <w:t>leading to heightened vulnerability and exposure to trafficking. Moreover, familiarity with the MPI will help monitor the progress with the preventative approach to human trafficking.</w:t>
      </w:r>
    </w:p>
    <w:p w14:paraId="6A66F9EC" w14:textId="6C3EC592" w:rsidR="00E70F61" w:rsidRPr="00FC3DA2" w:rsidRDefault="00E70F61" w:rsidP="00FC3DA2">
      <w:pPr>
        <w:jc w:val="both"/>
        <w:rPr>
          <w:rFonts w:asciiTheme="minorHAnsi" w:hAnsiTheme="minorHAnsi"/>
        </w:rPr>
      </w:pPr>
      <w:r w:rsidRPr="00FC3DA2">
        <w:rPr>
          <w:rFonts w:asciiTheme="minorHAnsi" w:hAnsiTheme="minorHAnsi"/>
        </w:rPr>
        <w:lastRenderedPageBreak/>
        <w:t xml:space="preserve">Such a preventative approach is further warranted by, and in line with, article 4 of CEDAW and </w:t>
      </w:r>
      <w:r w:rsidR="00412576">
        <w:rPr>
          <w:rFonts w:asciiTheme="minorHAnsi" w:hAnsiTheme="minorHAnsi"/>
        </w:rPr>
        <w:t xml:space="preserve">the CEDAW Committee’s </w:t>
      </w:r>
      <w:r w:rsidRPr="00FC3DA2">
        <w:rPr>
          <w:rFonts w:asciiTheme="minorHAnsi" w:hAnsiTheme="minorHAnsi"/>
        </w:rPr>
        <w:t>General Recommendation No. 25 (2004) on temporary special measures to achieve substantive equality.</w:t>
      </w:r>
      <w:r w:rsidRPr="00FC3DA2">
        <w:rPr>
          <w:rStyle w:val="FootnoteReference"/>
          <w:rFonts w:asciiTheme="minorHAnsi" w:hAnsiTheme="minorHAnsi"/>
        </w:rPr>
        <w:footnoteReference w:id="14"/>
      </w:r>
    </w:p>
    <w:p w14:paraId="7EBB2FD3" w14:textId="1F3105D5" w:rsidR="0055013C" w:rsidRPr="00FC3DA2" w:rsidRDefault="00E70F61" w:rsidP="00FC3DA2">
      <w:pPr>
        <w:jc w:val="both"/>
        <w:rPr>
          <w:rFonts w:asciiTheme="minorHAnsi" w:hAnsiTheme="minorHAnsi"/>
        </w:rPr>
      </w:pPr>
      <w:r w:rsidRPr="00FC3DA2">
        <w:rPr>
          <w:rFonts w:asciiTheme="minorHAnsi" w:hAnsiTheme="minorHAnsi"/>
        </w:rPr>
        <w:t>As a result, the adoption of the MPI, adapted to national policies, will be an important tool to develop and adopt such urgent measures where needed to address the related socio-economic rights of women</w:t>
      </w:r>
      <w:r w:rsidRPr="00FC3DA2">
        <w:rPr>
          <w:rStyle w:val="FootnoteReference"/>
          <w:rFonts w:asciiTheme="minorHAnsi" w:hAnsiTheme="minorHAnsi"/>
        </w:rPr>
        <w:footnoteReference w:id="15"/>
      </w:r>
      <w:r w:rsidRPr="00FC3DA2">
        <w:rPr>
          <w:rFonts w:asciiTheme="minorHAnsi" w:hAnsiTheme="minorHAnsi"/>
        </w:rPr>
        <w:t xml:space="preserve"> and girls, especially in the areas of education (article 10 of CEDAW)</w:t>
      </w:r>
      <w:r w:rsidRPr="00FC3DA2">
        <w:rPr>
          <w:rStyle w:val="FootnoteReference"/>
          <w:rFonts w:asciiTheme="minorHAnsi" w:hAnsiTheme="minorHAnsi"/>
        </w:rPr>
        <w:footnoteReference w:id="16"/>
      </w:r>
      <w:r w:rsidRPr="00FC3DA2">
        <w:rPr>
          <w:rFonts w:asciiTheme="minorHAnsi" w:hAnsiTheme="minorHAnsi"/>
        </w:rPr>
        <w:t xml:space="preserve"> and  health (article 12 of CEDAW)</w:t>
      </w:r>
      <w:r w:rsidRPr="00FC3DA2">
        <w:rPr>
          <w:rStyle w:val="FootnoteReference"/>
          <w:rFonts w:asciiTheme="minorHAnsi" w:hAnsiTheme="minorHAnsi"/>
        </w:rPr>
        <w:footnoteReference w:id="17"/>
      </w:r>
      <w:r w:rsidRPr="00FC3DA2">
        <w:rPr>
          <w:rFonts w:asciiTheme="minorHAnsi" w:hAnsiTheme="minorHAnsi"/>
        </w:rPr>
        <w:t xml:space="preserve">. </w:t>
      </w:r>
    </w:p>
    <w:p w14:paraId="6E26B3CD" w14:textId="77777777" w:rsidR="00E70F61" w:rsidRPr="00FC3DA2" w:rsidRDefault="00E70F61" w:rsidP="00FC3DA2">
      <w:pPr>
        <w:jc w:val="both"/>
        <w:rPr>
          <w:rFonts w:asciiTheme="minorHAnsi" w:hAnsiTheme="minorHAnsi"/>
        </w:rPr>
      </w:pPr>
      <w:r w:rsidRPr="00FC3DA2">
        <w:rPr>
          <w:rFonts w:asciiTheme="minorHAnsi" w:hAnsiTheme="minorHAnsi"/>
          <w:i/>
        </w:rPr>
        <w:t xml:space="preserve">We respectfully close this part with the following recommendations: </w:t>
      </w:r>
    </w:p>
    <w:p w14:paraId="5DCCACF1" w14:textId="77777777" w:rsidR="00E70F61" w:rsidRPr="00D367CF" w:rsidRDefault="00E70F61" w:rsidP="00FC3DA2">
      <w:pPr>
        <w:pStyle w:val="ListParagraph"/>
        <w:numPr>
          <w:ilvl w:val="0"/>
          <w:numId w:val="10"/>
        </w:numPr>
        <w:jc w:val="both"/>
        <w:rPr>
          <w:rFonts w:asciiTheme="minorHAnsi" w:hAnsiTheme="minorHAnsi"/>
          <w:i/>
        </w:rPr>
      </w:pPr>
      <w:r w:rsidRPr="00D367CF">
        <w:rPr>
          <w:rFonts w:asciiTheme="minorHAnsi" w:hAnsiTheme="minorHAnsi"/>
          <w:i/>
        </w:rPr>
        <w:t>Article 6 of CEDAW requires States parties to meet the minimum core-obligations of the socio-economic rights stipulated in CEDAW in order to address the root causes o</w:t>
      </w:r>
      <w:r w:rsidR="00E724D3" w:rsidRPr="00D367CF">
        <w:rPr>
          <w:rFonts w:asciiTheme="minorHAnsi" w:hAnsiTheme="minorHAnsi"/>
          <w:i/>
        </w:rPr>
        <w:t>f trafficking in wome</w:t>
      </w:r>
      <w:r w:rsidR="00D82237" w:rsidRPr="00FB4362">
        <w:rPr>
          <w:rFonts w:asciiTheme="minorHAnsi" w:hAnsiTheme="minorHAnsi"/>
          <w:i/>
        </w:rPr>
        <w:t>n and girls,</w:t>
      </w:r>
      <w:r w:rsidR="00E724D3" w:rsidRPr="00FB4362">
        <w:rPr>
          <w:rFonts w:asciiTheme="minorHAnsi" w:hAnsiTheme="minorHAnsi"/>
          <w:i/>
        </w:rPr>
        <w:t xml:space="preserve"> </w:t>
      </w:r>
      <w:r w:rsidR="00E724D3" w:rsidRPr="00D367CF">
        <w:rPr>
          <w:rFonts w:asciiTheme="minorHAnsi" w:hAnsiTheme="minorHAnsi"/>
          <w:i/>
        </w:rPr>
        <w:t>namely gender-based discrimination and inequality leading to poverty</w:t>
      </w:r>
      <w:r w:rsidRPr="00D367CF">
        <w:rPr>
          <w:rFonts w:asciiTheme="minorHAnsi" w:hAnsiTheme="minorHAnsi"/>
          <w:i/>
        </w:rPr>
        <w:t>.</w:t>
      </w:r>
    </w:p>
    <w:p w14:paraId="101381EE" w14:textId="77777777" w:rsidR="00E70F61" w:rsidRPr="00FC3DA2" w:rsidRDefault="00E70F61" w:rsidP="00FC3DA2">
      <w:pPr>
        <w:pStyle w:val="ListParagraph"/>
        <w:numPr>
          <w:ilvl w:val="0"/>
          <w:numId w:val="10"/>
        </w:numPr>
        <w:jc w:val="both"/>
        <w:rPr>
          <w:rFonts w:asciiTheme="minorHAnsi" w:hAnsiTheme="minorHAnsi"/>
          <w:i/>
        </w:rPr>
      </w:pPr>
      <w:r w:rsidRPr="00FC3DA2">
        <w:rPr>
          <w:rFonts w:asciiTheme="minorHAnsi" w:hAnsiTheme="minorHAnsi"/>
          <w:i/>
        </w:rPr>
        <w:lastRenderedPageBreak/>
        <w:t>Article 6 of CEDAW further requires States parties to adopt urgent temporary measures in accordance with article 4 of CEDAW to provide redress in areas in which women and girls are experiencing extreme poverty and severe inequalities, both resulting in heightened exposure to trafficking.</w:t>
      </w:r>
    </w:p>
    <w:p w14:paraId="576C3BE9" w14:textId="72C0D9EF" w:rsidR="00E70F61" w:rsidRPr="00FC3DA2" w:rsidRDefault="00E70F61" w:rsidP="00FC3DA2">
      <w:pPr>
        <w:pStyle w:val="ListParagraph"/>
        <w:numPr>
          <w:ilvl w:val="0"/>
          <w:numId w:val="10"/>
        </w:numPr>
        <w:jc w:val="both"/>
        <w:rPr>
          <w:rFonts w:asciiTheme="minorHAnsi" w:hAnsiTheme="minorHAnsi"/>
          <w:i/>
        </w:rPr>
      </w:pPr>
      <w:r w:rsidRPr="00FC3DA2">
        <w:rPr>
          <w:rFonts w:asciiTheme="minorHAnsi" w:hAnsiTheme="minorHAnsi"/>
          <w:i/>
        </w:rPr>
        <w:t xml:space="preserve">The Committee </w:t>
      </w:r>
      <w:r w:rsidR="004B17B5">
        <w:rPr>
          <w:rFonts w:asciiTheme="minorHAnsi" w:hAnsiTheme="minorHAnsi"/>
          <w:i/>
        </w:rPr>
        <w:t xml:space="preserve">may </w:t>
      </w:r>
      <w:r w:rsidR="00DF4771">
        <w:rPr>
          <w:rFonts w:asciiTheme="minorHAnsi" w:hAnsiTheme="minorHAnsi"/>
          <w:i/>
        </w:rPr>
        <w:t>recommend</w:t>
      </w:r>
      <w:r w:rsidRPr="00FC3DA2">
        <w:rPr>
          <w:rFonts w:asciiTheme="minorHAnsi" w:hAnsiTheme="minorHAnsi"/>
          <w:i/>
        </w:rPr>
        <w:t xml:space="preserve"> that States parties use the UNDP's Multi-dimensional Poverty Index (MPI) and adapt it to their national policies in order to comply with the socio-economic human rights obligations, to develop special temporary measures and to meet their SDGs, in particular SDG 1 (no poverty) and SDG 5 (gender equality).</w:t>
      </w:r>
    </w:p>
    <w:p w14:paraId="1805F514" w14:textId="77777777" w:rsidR="007F5859" w:rsidRPr="00856A39" w:rsidRDefault="00825048" w:rsidP="005D238E">
      <w:pPr>
        <w:rPr>
          <w:rFonts w:asciiTheme="minorHAnsi" w:hAnsiTheme="minorHAnsi"/>
          <w:b/>
        </w:rPr>
      </w:pPr>
      <w:r>
        <w:rPr>
          <w:rFonts w:asciiTheme="minorHAnsi" w:hAnsiTheme="minorHAnsi"/>
          <w:b/>
        </w:rPr>
        <w:t xml:space="preserve">2. </w:t>
      </w:r>
      <w:r w:rsidR="007F5859" w:rsidRPr="00856A39">
        <w:rPr>
          <w:rFonts w:asciiTheme="minorHAnsi" w:hAnsiTheme="minorHAnsi"/>
          <w:b/>
        </w:rPr>
        <w:t xml:space="preserve">Irregular and unsafe migration channels greatly increase the risks of </w:t>
      </w:r>
      <w:r w:rsidR="007F5859" w:rsidRPr="00D367CF">
        <w:rPr>
          <w:rFonts w:asciiTheme="minorHAnsi" w:hAnsiTheme="minorHAnsi"/>
          <w:b/>
        </w:rPr>
        <w:t>trafficking in women and girls</w:t>
      </w:r>
    </w:p>
    <w:p w14:paraId="3797AC2D" w14:textId="76668188" w:rsidR="00A72602" w:rsidRPr="00856A39" w:rsidRDefault="00FC3DA2" w:rsidP="001953BB">
      <w:pPr>
        <w:jc w:val="both"/>
        <w:rPr>
          <w:rFonts w:asciiTheme="minorHAnsi" w:hAnsiTheme="minorHAnsi"/>
        </w:rPr>
      </w:pPr>
      <w:r>
        <w:rPr>
          <w:rFonts w:asciiTheme="minorHAnsi" w:hAnsiTheme="minorHAnsi"/>
        </w:rPr>
        <w:t>Further, i</w:t>
      </w:r>
      <w:r w:rsidR="00A11307" w:rsidRPr="00856A39">
        <w:rPr>
          <w:rFonts w:asciiTheme="minorHAnsi" w:hAnsiTheme="minorHAnsi"/>
        </w:rPr>
        <w:t>t is our subm</w:t>
      </w:r>
      <w:r w:rsidR="0079592F" w:rsidRPr="00856A39">
        <w:rPr>
          <w:rFonts w:asciiTheme="minorHAnsi" w:hAnsiTheme="minorHAnsi"/>
        </w:rPr>
        <w:t>ission that</w:t>
      </w:r>
      <w:r w:rsidR="00A11307" w:rsidRPr="00856A39">
        <w:rPr>
          <w:rFonts w:asciiTheme="minorHAnsi" w:hAnsiTheme="minorHAnsi"/>
        </w:rPr>
        <w:t xml:space="preserve"> </w:t>
      </w:r>
      <w:r w:rsidR="0079592F" w:rsidRPr="00856A39">
        <w:rPr>
          <w:rFonts w:asciiTheme="minorHAnsi" w:hAnsiTheme="minorHAnsi"/>
        </w:rPr>
        <w:t xml:space="preserve">an </w:t>
      </w:r>
      <w:r w:rsidR="00E02212">
        <w:rPr>
          <w:rFonts w:asciiTheme="minorHAnsi" w:hAnsiTheme="minorHAnsi"/>
        </w:rPr>
        <w:t xml:space="preserve">inhospitable </w:t>
      </w:r>
      <w:r w:rsidR="00E13AB5" w:rsidRPr="00856A39">
        <w:rPr>
          <w:rFonts w:asciiTheme="minorHAnsi" w:hAnsiTheme="minorHAnsi"/>
        </w:rPr>
        <w:t xml:space="preserve">State </w:t>
      </w:r>
      <w:r w:rsidR="00992207" w:rsidRPr="00856A39">
        <w:rPr>
          <w:rFonts w:asciiTheme="minorHAnsi" w:hAnsiTheme="minorHAnsi"/>
        </w:rPr>
        <w:t xml:space="preserve">response to </w:t>
      </w:r>
      <w:r w:rsidR="00573D44" w:rsidRPr="00856A39">
        <w:rPr>
          <w:rFonts w:asciiTheme="minorHAnsi" w:hAnsiTheme="minorHAnsi"/>
        </w:rPr>
        <w:t>those w</w:t>
      </w:r>
      <w:r w:rsidR="00ED03ED" w:rsidRPr="00856A39">
        <w:rPr>
          <w:rFonts w:asciiTheme="minorHAnsi" w:hAnsiTheme="minorHAnsi"/>
        </w:rPr>
        <w:t>ithout regular migration status</w:t>
      </w:r>
      <w:r w:rsidR="00992207" w:rsidRPr="00856A39">
        <w:rPr>
          <w:rFonts w:asciiTheme="minorHAnsi" w:hAnsiTheme="minorHAnsi"/>
        </w:rPr>
        <w:t xml:space="preserve"> creates conditions in which </w:t>
      </w:r>
      <w:r w:rsidR="0079592F" w:rsidRPr="00856A39">
        <w:rPr>
          <w:rFonts w:asciiTheme="minorHAnsi" w:hAnsiTheme="minorHAnsi"/>
        </w:rPr>
        <w:t xml:space="preserve">women are forced </w:t>
      </w:r>
      <w:r w:rsidR="00E13AB5" w:rsidRPr="00856A39">
        <w:rPr>
          <w:rFonts w:asciiTheme="minorHAnsi" w:hAnsiTheme="minorHAnsi"/>
        </w:rPr>
        <w:t xml:space="preserve">into </w:t>
      </w:r>
      <w:r w:rsidR="00573D44" w:rsidRPr="00856A39">
        <w:rPr>
          <w:rFonts w:asciiTheme="minorHAnsi" w:hAnsiTheme="minorHAnsi"/>
        </w:rPr>
        <w:t xml:space="preserve">exploitative relationships with third parties (including </w:t>
      </w:r>
      <w:r w:rsidR="0079592F" w:rsidRPr="00856A39">
        <w:rPr>
          <w:rFonts w:asciiTheme="minorHAnsi" w:hAnsiTheme="minorHAnsi"/>
        </w:rPr>
        <w:t xml:space="preserve">smugglers and </w:t>
      </w:r>
      <w:r w:rsidR="00573D44" w:rsidRPr="00856A39">
        <w:rPr>
          <w:rFonts w:asciiTheme="minorHAnsi" w:hAnsiTheme="minorHAnsi"/>
        </w:rPr>
        <w:t xml:space="preserve">employers) </w:t>
      </w:r>
      <w:r w:rsidR="00173745" w:rsidRPr="00856A39">
        <w:rPr>
          <w:rFonts w:asciiTheme="minorHAnsi" w:hAnsiTheme="minorHAnsi"/>
        </w:rPr>
        <w:t xml:space="preserve">that </w:t>
      </w:r>
      <w:r>
        <w:rPr>
          <w:rFonts w:asciiTheme="minorHAnsi" w:hAnsiTheme="minorHAnsi"/>
        </w:rPr>
        <w:t>benefit from</w:t>
      </w:r>
      <w:r w:rsidR="00573D44" w:rsidRPr="00856A39">
        <w:rPr>
          <w:rFonts w:asciiTheme="minorHAnsi" w:hAnsiTheme="minorHAnsi"/>
        </w:rPr>
        <w:t xml:space="preserve"> </w:t>
      </w:r>
      <w:r w:rsidR="00E13AB5" w:rsidRPr="00856A39">
        <w:rPr>
          <w:rFonts w:asciiTheme="minorHAnsi" w:hAnsiTheme="minorHAnsi"/>
        </w:rPr>
        <w:t xml:space="preserve">unsafe </w:t>
      </w:r>
      <w:r w:rsidR="00DF4771">
        <w:rPr>
          <w:rFonts w:asciiTheme="minorHAnsi" w:hAnsiTheme="minorHAnsi"/>
        </w:rPr>
        <w:t>and irregular</w:t>
      </w:r>
      <w:r>
        <w:rPr>
          <w:rFonts w:asciiTheme="minorHAnsi" w:hAnsiTheme="minorHAnsi"/>
        </w:rPr>
        <w:t xml:space="preserve"> </w:t>
      </w:r>
      <w:r w:rsidR="00E13AB5" w:rsidRPr="00856A39">
        <w:rPr>
          <w:rFonts w:asciiTheme="minorHAnsi" w:hAnsiTheme="minorHAnsi"/>
        </w:rPr>
        <w:t xml:space="preserve">migration routes in which the </w:t>
      </w:r>
      <w:r w:rsidR="00992207" w:rsidRPr="00856A39">
        <w:rPr>
          <w:rFonts w:asciiTheme="minorHAnsi" w:hAnsiTheme="minorHAnsi"/>
        </w:rPr>
        <w:t>trafficking of women and girls prospers.</w:t>
      </w:r>
      <w:r w:rsidR="0079592F" w:rsidRPr="00856A39">
        <w:rPr>
          <w:rStyle w:val="FootnoteReference"/>
          <w:rFonts w:asciiTheme="minorHAnsi" w:hAnsiTheme="minorHAnsi"/>
        </w:rPr>
        <w:footnoteReference w:id="18"/>
      </w:r>
    </w:p>
    <w:p w14:paraId="50B4FEC2" w14:textId="77777777" w:rsidR="0056215C" w:rsidRPr="00856A39" w:rsidRDefault="0056215C" w:rsidP="001953BB">
      <w:pPr>
        <w:jc w:val="both"/>
        <w:rPr>
          <w:rFonts w:asciiTheme="minorHAnsi" w:hAnsiTheme="minorHAnsi"/>
        </w:rPr>
      </w:pPr>
      <w:r w:rsidRPr="00856A39">
        <w:rPr>
          <w:rFonts w:asciiTheme="minorHAnsi" w:hAnsiTheme="minorHAnsi"/>
        </w:rPr>
        <w:lastRenderedPageBreak/>
        <w:t xml:space="preserve">Agricultural, domestic work and </w:t>
      </w:r>
      <w:r w:rsidR="00DB6E32" w:rsidRPr="00856A39">
        <w:rPr>
          <w:rFonts w:asciiTheme="minorHAnsi" w:hAnsiTheme="minorHAnsi"/>
        </w:rPr>
        <w:t xml:space="preserve">the </w:t>
      </w:r>
      <w:r w:rsidRPr="00856A39">
        <w:rPr>
          <w:rFonts w:asciiTheme="minorHAnsi" w:hAnsiTheme="minorHAnsi"/>
        </w:rPr>
        <w:t>garment industry all demonstrate a high percentage of irregular women migrants in circumstances that are characterised by a lack of oversight, poor implementation of labour laws, and regular human rights abuses.</w:t>
      </w:r>
      <w:r w:rsidRPr="00856A39">
        <w:rPr>
          <w:rStyle w:val="FootnoteReference"/>
          <w:rFonts w:asciiTheme="minorHAnsi" w:hAnsiTheme="minorHAnsi"/>
        </w:rPr>
        <w:footnoteReference w:id="19"/>
      </w:r>
      <w:r w:rsidRPr="00856A39">
        <w:rPr>
          <w:rFonts w:asciiTheme="minorHAnsi" w:hAnsiTheme="minorHAnsi"/>
        </w:rPr>
        <w:t xml:space="preserve"> In such sectors, women and girls are deprived of protection of labour laws and inspection mechanisms, and are unable to seek access to basic services or justice owing to fears of their irregular migration status being discovered by authorities.</w:t>
      </w:r>
      <w:r w:rsidRPr="00856A39">
        <w:rPr>
          <w:rStyle w:val="FootnoteReference"/>
          <w:rFonts w:asciiTheme="minorHAnsi" w:hAnsiTheme="minorHAnsi"/>
        </w:rPr>
        <w:footnoteReference w:id="20"/>
      </w:r>
      <w:r w:rsidRPr="00856A39">
        <w:rPr>
          <w:rFonts w:asciiTheme="minorHAnsi" w:hAnsiTheme="minorHAnsi"/>
        </w:rPr>
        <w:t xml:space="preserve"> </w:t>
      </w:r>
    </w:p>
    <w:p w14:paraId="4A9E2C19" w14:textId="77777777" w:rsidR="00ED03ED" w:rsidRPr="00856A39" w:rsidRDefault="00CB61C7" w:rsidP="00ED03ED">
      <w:pPr>
        <w:jc w:val="both"/>
        <w:rPr>
          <w:rFonts w:asciiTheme="minorHAnsi" w:hAnsiTheme="minorHAnsi"/>
        </w:rPr>
      </w:pPr>
      <w:r w:rsidRPr="00856A39">
        <w:rPr>
          <w:rFonts w:asciiTheme="minorHAnsi" w:hAnsiTheme="minorHAnsi"/>
        </w:rPr>
        <w:t>It is well understood that women and girl mig</w:t>
      </w:r>
      <w:r w:rsidR="0079592F" w:rsidRPr="00856A39">
        <w:rPr>
          <w:rFonts w:asciiTheme="minorHAnsi" w:hAnsiTheme="minorHAnsi"/>
        </w:rPr>
        <w:t>r</w:t>
      </w:r>
      <w:r w:rsidRPr="00856A39">
        <w:rPr>
          <w:rFonts w:asciiTheme="minorHAnsi" w:hAnsiTheme="minorHAnsi"/>
        </w:rPr>
        <w:t xml:space="preserve">ants are at particular risk of trafficking. </w:t>
      </w:r>
      <w:r w:rsidR="00A72602" w:rsidRPr="00856A39">
        <w:rPr>
          <w:rFonts w:asciiTheme="minorHAnsi" w:hAnsiTheme="minorHAnsi"/>
        </w:rPr>
        <w:t xml:space="preserve">The UN Declaration for Refugees and Migrants, adopted by the UN GA on 19 September 2016 (A/RES/71/1) draws attention to the special situation and vulnerability of women and girls to trafficking. </w:t>
      </w:r>
      <w:r w:rsidR="00130D57" w:rsidRPr="00856A39">
        <w:rPr>
          <w:rFonts w:asciiTheme="minorHAnsi" w:hAnsiTheme="minorHAnsi"/>
        </w:rPr>
        <w:t xml:space="preserve">The </w:t>
      </w:r>
      <w:r w:rsidR="004B1A4F" w:rsidRPr="00856A39">
        <w:rPr>
          <w:rFonts w:asciiTheme="minorHAnsi" w:hAnsiTheme="minorHAnsi"/>
        </w:rPr>
        <w:t xml:space="preserve">final draft of the </w:t>
      </w:r>
      <w:r w:rsidR="00A72602" w:rsidRPr="00856A39">
        <w:rPr>
          <w:rFonts w:asciiTheme="minorHAnsi" w:hAnsiTheme="minorHAnsi"/>
        </w:rPr>
        <w:t xml:space="preserve">Global Compact for safe, orderly and regular migration </w:t>
      </w:r>
      <w:r w:rsidR="00130D57" w:rsidRPr="00856A39">
        <w:rPr>
          <w:rFonts w:asciiTheme="minorHAnsi" w:hAnsiTheme="minorHAnsi"/>
        </w:rPr>
        <w:t>also</w:t>
      </w:r>
      <w:r w:rsidR="00A72602" w:rsidRPr="00856A39">
        <w:rPr>
          <w:rFonts w:asciiTheme="minorHAnsi" w:hAnsiTheme="minorHAnsi"/>
        </w:rPr>
        <w:t xml:space="preserve"> requires States to pay particular attention to women and children who have become victims of trafficking, ensuring identification, protection and assistance.</w:t>
      </w:r>
      <w:r w:rsidR="004B1A4F" w:rsidRPr="00856A39">
        <w:rPr>
          <w:rStyle w:val="FootnoteReference"/>
          <w:rFonts w:asciiTheme="minorHAnsi" w:hAnsiTheme="minorHAnsi"/>
        </w:rPr>
        <w:footnoteReference w:id="21"/>
      </w:r>
      <w:r w:rsidR="00A72602" w:rsidRPr="00856A39">
        <w:rPr>
          <w:rFonts w:asciiTheme="minorHAnsi" w:hAnsiTheme="minorHAnsi"/>
        </w:rPr>
        <w:t xml:space="preserve"> </w:t>
      </w:r>
    </w:p>
    <w:p w14:paraId="310E89D5" w14:textId="6D833ADB" w:rsidR="00ED03ED" w:rsidRPr="00856A39" w:rsidRDefault="00783253" w:rsidP="00ED03ED">
      <w:pPr>
        <w:jc w:val="both"/>
        <w:rPr>
          <w:rFonts w:asciiTheme="minorHAnsi" w:hAnsiTheme="minorHAnsi"/>
        </w:rPr>
      </w:pPr>
      <w:r w:rsidRPr="00856A39">
        <w:rPr>
          <w:rFonts w:asciiTheme="minorHAnsi" w:hAnsiTheme="minorHAnsi"/>
        </w:rPr>
        <w:t>I</w:t>
      </w:r>
      <w:r w:rsidR="00ED03ED" w:rsidRPr="00856A39">
        <w:rPr>
          <w:rFonts w:asciiTheme="minorHAnsi" w:hAnsiTheme="minorHAnsi"/>
        </w:rPr>
        <w:t>n response to the increased numbers of irregular migrants arriving</w:t>
      </w:r>
      <w:r w:rsidR="00FE05F6">
        <w:rPr>
          <w:rFonts w:asciiTheme="minorHAnsi" w:hAnsiTheme="minorHAnsi"/>
        </w:rPr>
        <w:t xml:space="preserve"> at their shores</w:t>
      </w:r>
      <w:r w:rsidR="00ED03ED" w:rsidRPr="00856A39">
        <w:rPr>
          <w:rFonts w:asciiTheme="minorHAnsi" w:hAnsiTheme="minorHAnsi"/>
        </w:rPr>
        <w:t xml:space="preserve">, States have escalated their attempts to deter and reject new arrivals. Measures have typically included the criminalisation of immigration offences (such as irregular border </w:t>
      </w:r>
      <w:r w:rsidR="00ED03ED" w:rsidRPr="00856A39">
        <w:rPr>
          <w:rFonts w:asciiTheme="minorHAnsi" w:hAnsiTheme="minorHAnsi"/>
        </w:rPr>
        <w:lastRenderedPageBreak/>
        <w:t xml:space="preserve">crossing or overstaying) and detention. Various reports demonstrate </w:t>
      </w:r>
      <w:r w:rsidR="004B17B5">
        <w:rPr>
          <w:rFonts w:asciiTheme="minorHAnsi" w:hAnsiTheme="minorHAnsi"/>
        </w:rPr>
        <w:t xml:space="preserve">that </w:t>
      </w:r>
      <w:r w:rsidR="00ED03ED" w:rsidRPr="00856A39">
        <w:rPr>
          <w:rFonts w:asciiTheme="minorHAnsi" w:hAnsiTheme="minorHAnsi"/>
        </w:rPr>
        <w:t>the lack of adequate reception and detention facilities, and the manda</w:t>
      </w:r>
      <w:r w:rsidR="00DB6E32" w:rsidRPr="00856A39">
        <w:rPr>
          <w:rFonts w:asciiTheme="minorHAnsi" w:hAnsiTheme="minorHAnsi"/>
        </w:rPr>
        <w:t>tory or indefinite detention of</w:t>
      </w:r>
      <w:r w:rsidR="00ED03ED" w:rsidRPr="00856A39">
        <w:rPr>
          <w:rFonts w:asciiTheme="minorHAnsi" w:hAnsiTheme="minorHAnsi"/>
        </w:rPr>
        <w:t xml:space="preserve"> migrants for administrative purposes ha</w:t>
      </w:r>
      <w:r w:rsidR="004B17B5">
        <w:rPr>
          <w:rFonts w:asciiTheme="minorHAnsi" w:hAnsiTheme="minorHAnsi"/>
        </w:rPr>
        <w:t>ve</w:t>
      </w:r>
      <w:r w:rsidR="00ED03ED" w:rsidRPr="00856A39">
        <w:rPr>
          <w:rFonts w:asciiTheme="minorHAnsi" w:hAnsiTheme="minorHAnsi"/>
        </w:rPr>
        <w:t xml:space="preserve"> led to a numbe</w:t>
      </w:r>
      <w:r w:rsidR="00DB6E32" w:rsidRPr="00856A39">
        <w:rPr>
          <w:rFonts w:asciiTheme="minorHAnsi" w:hAnsiTheme="minorHAnsi"/>
        </w:rPr>
        <w:t>r of human rights violations and</w:t>
      </w:r>
      <w:r w:rsidR="00ED03ED" w:rsidRPr="00856A39">
        <w:rPr>
          <w:rFonts w:asciiTheme="minorHAnsi" w:hAnsiTheme="minorHAnsi"/>
        </w:rPr>
        <w:t xml:space="preserve"> does not respect international human rights.</w:t>
      </w:r>
      <w:r w:rsidR="00ED03ED" w:rsidRPr="00856A39">
        <w:rPr>
          <w:rStyle w:val="FootnoteReference"/>
          <w:rFonts w:asciiTheme="minorHAnsi" w:hAnsiTheme="minorHAnsi"/>
        </w:rPr>
        <w:footnoteReference w:id="22"/>
      </w:r>
    </w:p>
    <w:p w14:paraId="16342634" w14:textId="30ADECEB" w:rsidR="003A0BF5" w:rsidRPr="00856A39" w:rsidRDefault="003A0BF5" w:rsidP="00BA4F53">
      <w:pPr>
        <w:jc w:val="both"/>
        <w:rPr>
          <w:rFonts w:asciiTheme="minorHAnsi" w:hAnsiTheme="minorHAnsi"/>
        </w:rPr>
      </w:pPr>
      <w:r w:rsidRPr="00856A39">
        <w:rPr>
          <w:rFonts w:asciiTheme="minorHAnsi" w:hAnsiTheme="minorHAnsi"/>
        </w:rPr>
        <w:t xml:space="preserve">Migration-related detention in </w:t>
      </w:r>
      <w:r w:rsidR="00783253" w:rsidRPr="00856A39">
        <w:rPr>
          <w:rFonts w:asciiTheme="minorHAnsi" w:hAnsiTheme="minorHAnsi"/>
        </w:rPr>
        <w:t xml:space="preserve">unsuitable </w:t>
      </w:r>
      <w:r w:rsidRPr="00856A39">
        <w:rPr>
          <w:rFonts w:asciiTheme="minorHAnsi" w:hAnsiTheme="minorHAnsi"/>
        </w:rPr>
        <w:t>facilities</w:t>
      </w:r>
      <w:r w:rsidR="005B530C" w:rsidRPr="00856A39">
        <w:rPr>
          <w:rFonts w:asciiTheme="minorHAnsi" w:hAnsiTheme="minorHAnsi"/>
        </w:rPr>
        <w:t>, particularly those</w:t>
      </w:r>
      <w:r w:rsidRPr="00856A39">
        <w:rPr>
          <w:rFonts w:asciiTheme="minorHAnsi" w:hAnsiTheme="minorHAnsi"/>
        </w:rPr>
        <w:t xml:space="preserve"> </w:t>
      </w:r>
      <w:r w:rsidR="00783253" w:rsidRPr="00856A39">
        <w:rPr>
          <w:rFonts w:asciiTheme="minorHAnsi" w:hAnsiTheme="minorHAnsi"/>
        </w:rPr>
        <w:t>designed for criminal punishment</w:t>
      </w:r>
      <w:r w:rsidR="005B530C" w:rsidRPr="00856A39">
        <w:rPr>
          <w:rFonts w:asciiTheme="minorHAnsi" w:hAnsiTheme="minorHAnsi"/>
        </w:rPr>
        <w:t>,</w:t>
      </w:r>
      <w:r w:rsidR="00783253" w:rsidRPr="00856A39">
        <w:rPr>
          <w:rFonts w:asciiTheme="minorHAnsi" w:hAnsiTheme="minorHAnsi"/>
        </w:rPr>
        <w:t xml:space="preserve"> </w:t>
      </w:r>
      <w:r w:rsidRPr="00856A39">
        <w:rPr>
          <w:rFonts w:asciiTheme="minorHAnsi" w:hAnsiTheme="minorHAnsi"/>
        </w:rPr>
        <w:t xml:space="preserve">is </w:t>
      </w:r>
      <w:r w:rsidR="00783253" w:rsidRPr="00856A39">
        <w:rPr>
          <w:rFonts w:asciiTheme="minorHAnsi" w:hAnsiTheme="minorHAnsi"/>
          <w:i/>
        </w:rPr>
        <w:t>per se</w:t>
      </w:r>
      <w:r w:rsidR="00783253" w:rsidRPr="00856A39">
        <w:rPr>
          <w:rFonts w:asciiTheme="minorHAnsi" w:hAnsiTheme="minorHAnsi"/>
        </w:rPr>
        <w:t xml:space="preserve"> punitive, and </w:t>
      </w:r>
      <w:r w:rsidRPr="00856A39">
        <w:rPr>
          <w:rFonts w:asciiTheme="minorHAnsi" w:hAnsiTheme="minorHAnsi"/>
        </w:rPr>
        <w:t>as such, unlawful. Prolonged or indefinite detention of migrants based solely on their immigration status does not have due regard to the requirements of necessity and proportionality and is therefore also unlawful. Where such</w:t>
      </w:r>
      <w:r w:rsidR="008226B2">
        <w:rPr>
          <w:rFonts w:asciiTheme="minorHAnsi" w:hAnsiTheme="minorHAnsi"/>
        </w:rPr>
        <w:t xml:space="preserve"> </w:t>
      </w:r>
      <w:r w:rsidRPr="00856A39">
        <w:rPr>
          <w:rFonts w:asciiTheme="minorHAnsi" w:hAnsiTheme="minorHAnsi"/>
        </w:rPr>
        <w:t xml:space="preserve">migration detention is used for reasons of deterrence or punishment, </w:t>
      </w:r>
      <w:r w:rsidR="00783253" w:rsidRPr="00856A39">
        <w:rPr>
          <w:rFonts w:asciiTheme="minorHAnsi" w:hAnsiTheme="minorHAnsi"/>
        </w:rPr>
        <w:t xml:space="preserve">the UN Special Rapporteur on torture has argued that </w:t>
      </w:r>
      <w:r w:rsidRPr="00856A39">
        <w:rPr>
          <w:rFonts w:asciiTheme="minorHAnsi" w:hAnsiTheme="minorHAnsi"/>
        </w:rPr>
        <w:t>it may amount to torture.</w:t>
      </w:r>
      <w:r w:rsidR="00783253" w:rsidRPr="00856A39">
        <w:rPr>
          <w:rStyle w:val="FootnoteReference"/>
          <w:rFonts w:asciiTheme="minorHAnsi" w:hAnsiTheme="minorHAnsi"/>
        </w:rPr>
        <w:footnoteReference w:id="23"/>
      </w:r>
    </w:p>
    <w:p w14:paraId="69AA54C2" w14:textId="77777777" w:rsidR="00F16C4D" w:rsidRPr="00856A39" w:rsidRDefault="00BA4F53" w:rsidP="001953BB">
      <w:pPr>
        <w:jc w:val="both"/>
        <w:rPr>
          <w:rFonts w:asciiTheme="minorHAnsi" w:hAnsiTheme="minorHAnsi"/>
        </w:rPr>
      </w:pPr>
      <w:r w:rsidRPr="00856A39">
        <w:rPr>
          <w:rFonts w:asciiTheme="minorHAnsi" w:hAnsiTheme="minorHAnsi"/>
        </w:rPr>
        <w:t xml:space="preserve">The Global Compact </w:t>
      </w:r>
      <w:r w:rsidR="00384971" w:rsidRPr="00856A39">
        <w:rPr>
          <w:rFonts w:asciiTheme="minorHAnsi" w:hAnsiTheme="minorHAnsi"/>
        </w:rPr>
        <w:t xml:space="preserve">on Migration </w:t>
      </w:r>
      <w:r w:rsidRPr="00856A39">
        <w:rPr>
          <w:rFonts w:asciiTheme="minorHAnsi" w:hAnsiTheme="minorHAnsi"/>
        </w:rPr>
        <w:t>adopted in December 2018 addresses concerns to ensure international cooperation towards the establishment of regular pathways for regular migration (objective 5) and prohibit human trafficking (objective 10).</w:t>
      </w:r>
    </w:p>
    <w:p w14:paraId="46827556" w14:textId="77777777" w:rsidR="00ED03ED" w:rsidRPr="00856A39" w:rsidRDefault="00384971" w:rsidP="001953BB">
      <w:pPr>
        <w:jc w:val="both"/>
        <w:rPr>
          <w:rFonts w:asciiTheme="minorHAnsi" w:hAnsiTheme="minorHAnsi"/>
        </w:rPr>
      </w:pPr>
      <w:r w:rsidRPr="00856A39">
        <w:rPr>
          <w:rFonts w:asciiTheme="minorHAnsi" w:hAnsiTheme="minorHAnsi"/>
        </w:rPr>
        <w:lastRenderedPageBreak/>
        <w:t xml:space="preserve">The Concept Note </w:t>
      </w:r>
      <w:r w:rsidR="00F87EDA" w:rsidRPr="00856A39">
        <w:rPr>
          <w:rFonts w:asciiTheme="minorHAnsi" w:hAnsiTheme="minorHAnsi"/>
        </w:rPr>
        <w:t xml:space="preserve">further </w:t>
      </w:r>
      <w:r w:rsidRPr="00856A39">
        <w:rPr>
          <w:rFonts w:asciiTheme="minorHAnsi" w:hAnsiTheme="minorHAnsi"/>
        </w:rPr>
        <w:t xml:space="preserve">recognises the wider international legal framework that </w:t>
      </w:r>
      <w:r w:rsidR="00514269" w:rsidRPr="00856A39">
        <w:rPr>
          <w:rFonts w:asciiTheme="minorHAnsi" w:hAnsiTheme="minorHAnsi"/>
        </w:rPr>
        <w:t xml:space="preserve">supports and strengthens the scope of </w:t>
      </w:r>
      <w:r w:rsidR="00657D1F" w:rsidRPr="00856A39">
        <w:rPr>
          <w:rFonts w:asciiTheme="minorHAnsi" w:hAnsiTheme="minorHAnsi"/>
        </w:rPr>
        <w:t xml:space="preserve">CEDAW </w:t>
      </w:r>
      <w:r w:rsidR="0055013C">
        <w:rPr>
          <w:rFonts w:asciiTheme="minorHAnsi" w:hAnsiTheme="minorHAnsi"/>
        </w:rPr>
        <w:t>a</w:t>
      </w:r>
      <w:r w:rsidR="002B1E86" w:rsidRPr="00856A39">
        <w:rPr>
          <w:rFonts w:asciiTheme="minorHAnsi" w:hAnsiTheme="minorHAnsi"/>
        </w:rPr>
        <w:t xml:space="preserve">rticle </w:t>
      </w:r>
      <w:r w:rsidR="00657D1F" w:rsidRPr="00856A39">
        <w:rPr>
          <w:rFonts w:asciiTheme="minorHAnsi" w:hAnsiTheme="minorHAnsi"/>
        </w:rPr>
        <w:t>6 to combat trafficking</w:t>
      </w:r>
      <w:r w:rsidR="002B1E86" w:rsidRPr="00856A39">
        <w:rPr>
          <w:rFonts w:asciiTheme="minorHAnsi" w:hAnsiTheme="minorHAnsi"/>
        </w:rPr>
        <w:t xml:space="preserve">, </w:t>
      </w:r>
      <w:r w:rsidRPr="00856A39">
        <w:rPr>
          <w:rFonts w:asciiTheme="minorHAnsi" w:hAnsiTheme="minorHAnsi"/>
        </w:rPr>
        <w:t xml:space="preserve">and it is our submission that </w:t>
      </w:r>
      <w:r w:rsidR="002B1E86" w:rsidRPr="00856A39">
        <w:rPr>
          <w:rFonts w:asciiTheme="minorHAnsi" w:hAnsiTheme="minorHAnsi"/>
        </w:rPr>
        <w:t xml:space="preserve">due regard must be given to </w:t>
      </w:r>
      <w:r w:rsidR="00B04AF2" w:rsidRPr="00856A39">
        <w:rPr>
          <w:rFonts w:asciiTheme="minorHAnsi" w:hAnsiTheme="minorHAnsi"/>
        </w:rPr>
        <w:t xml:space="preserve">recognising the link between </w:t>
      </w:r>
      <w:r w:rsidRPr="00856A39">
        <w:rPr>
          <w:rFonts w:asciiTheme="minorHAnsi" w:hAnsiTheme="minorHAnsi"/>
        </w:rPr>
        <w:t>duties of States to prevent torture and traffi</w:t>
      </w:r>
      <w:r w:rsidR="00B04AF2" w:rsidRPr="00856A39">
        <w:rPr>
          <w:rFonts w:asciiTheme="minorHAnsi" w:hAnsiTheme="minorHAnsi"/>
        </w:rPr>
        <w:t>cking,</w:t>
      </w:r>
      <w:r w:rsidRPr="00856A39">
        <w:rPr>
          <w:rFonts w:asciiTheme="minorHAnsi" w:hAnsiTheme="minorHAnsi"/>
        </w:rPr>
        <w:t xml:space="preserve"> </w:t>
      </w:r>
      <w:r w:rsidR="00B04AF2" w:rsidRPr="00856A39">
        <w:rPr>
          <w:rFonts w:asciiTheme="minorHAnsi" w:hAnsiTheme="minorHAnsi"/>
        </w:rPr>
        <w:t xml:space="preserve">to </w:t>
      </w:r>
      <w:r w:rsidRPr="00856A39">
        <w:rPr>
          <w:rFonts w:asciiTheme="minorHAnsi" w:hAnsiTheme="minorHAnsi"/>
        </w:rPr>
        <w:t xml:space="preserve">better </w:t>
      </w:r>
      <w:r w:rsidR="00B04AF2" w:rsidRPr="00856A39">
        <w:rPr>
          <w:rFonts w:asciiTheme="minorHAnsi" w:hAnsiTheme="minorHAnsi"/>
        </w:rPr>
        <w:t>protect women and girls from violence, including non-State violence.</w:t>
      </w:r>
      <w:r w:rsidR="00657D1F" w:rsidRPr="00856A39">
        <w:rPr>
          <w:rFonts w:asciiTheme="minorHAnsi" w:hAnsiTheme="minorHAnsi"/>
        </w:rPr>
        <w:t xml:space="preserve"> </w:t>
      </w:r>
    </w:p>
    <w:p w14:paraId="15DC3C70" w14:textId="77777777" w:rsidR="00285741" w:rsidRPr="00856A39" w:rsidRDefault="00B04AF2" w:rsidP="00157D67">
      <w:pPr>
        <w:jc w:val="both"/>
        <w:rPr>
          <w:rFonts w:asciiTheme="minorHAnsi" w:hAnsiTheme="minorHAnsi"/>
        </w:rPr>
      </w:pPr>
      <w:r w:rsidRPr="00856A39">
        <w:rPr>
          <w:rFonts w:asciiTheme="minorHAnsi" w:hAnsiTheme="minorHAnsi"/>
        </w:rPr>
        <w:t xml:space="preserve">Women and girl victims </w:t>
      </w:r>
      <w:r w:rsidR="00157D67" w:rsidRPr="00856A39">
        <w:rPr>
          <w:rFonts w:asciiTheme="minorHAnsi" w:hAnsiTheme="minorHAnsi"/>
        </w:rPr>
        <w:t>of trafficking</w:t>
      </w:r>
      <w:r w:rsidRPr="00856A39">
        <w:rPr>
          <w:rFonts w:asciiTheme="minorHAnsi" w:hAnsiTheme="minorHAnsi"/>
        </w:rPr>
        <w:t xml:space="preserve"> experience </w:t>
      </w:r>
      <w:r w:rsidR="00384971" w:rsidRPr="00856A39">
        <w:rPr>
          <w:rFonts w:asciiTheme="minorHAnsi" w:hAnsiTheme="minorHAnsi"/>
        </w:rPr>
        <w:t xml:space="preserve">multiple severe </w:t>
      </w:r>
      <w:r w:rsidRPr="00856A39">
        <w:rPr>
          <w:rFonts w:asciiTheme="minorHAnsi" w:hAnsiTheme="minorHAnsi"/>
        </w:rPr>
        <w:t xml:space="preserve">forms of </w:t>
      </w:r>
      <w:r w:rsidR="003C65C3" w:rsidRPr="00856A39">
        <w:rPr>
          <w:rFonts w:asciiTheme="minorHAnsi" w:hAnsiTheme="minorHAnsi"/>
        </w:rPr>
        <w:t xml:space="preserve">intentional gendered </w:t>
      </w:r>
      <w:r w:rsidRPr="00856A39">
        <w:rPr>
          <w:rFonts w:asciiTheme="minorHAnsi" w:hAnsiTheme="minorHAnsi"/>
        </w:rPr>
        <w:t>abuse</w:t>
      </w:r>
      <w:r w:rsidR="00384971" w:rsidRPr="00856A39">
        <w:rPr>
          <w:rFonts w:asciiTheme="minorHAnsi" w:hAnsiTheme="minorHAnsi"/>
        </w:rPr>
        <w:t>.</w:t>
      </w:r>
      <w:r w:rsidR="003C65C3" w:rsidRPr="00856A39">
        <w:rPr>
          <w:rStyle w:val="FootnoteReference"/>
          <w:rFonts w:asciiTheme="minorHAnsi" w:hAnsiTheme="minorHAnsi"/>
        </w:rPr>
        <w:footnoteReference w:id="24"/>
      </w:r>
      <w:r w:rsidR="00384971" w:rsidRPr="00856A39">
        <w:rPr>
          <w:rFonts w:asciiTheme="minorHAnsi" w:hAnsiTheme="minorHAnsi"/>
        </w:rPr>
        <w:t xml:space="preserve"> The t</w:t>
      </w:r>
      <w:r w:rsidR="00285741" w:rsidRPr="00856A39">
        <w:rPr>
          <w:rFonts w:asciiTheme="minorHAnsi" w:hAnsiTheme="minorHAnsi"/>
        </w:rPr>
        <w:t xml:space="preserve">rafficking of women and girls, and particularly trans-national trafficking, often involves not only smugglers and traffickers, but also cooperation or consent from border officials, law enforcement and other State officials. As such, the trafficking of women and girls will </w:t>
      </w:r>
      <w:r w:rsidR="00384971" w:rsidRPr="00856A39">
        <w:rPr>
          <w:rFonts w:asciiTheme="minorHAnsi" w:hAnsiTheme="minorHAnsi"/>
        </w:rPr>
        <w:t xml:space="preserve">often </w:t>
      </w:r>
      <w:r w:rsidR="00285741" w:rsidRPr="00856A39">
        <w:rPr>
          <w:rFonts w:asciiTheme="minorHAnsi" w:hAnsiTheme="minorHAnsi"/>
        </w:rPr>
        <w:t>likely violate the absolute prohibition against torture and other forms of ill-treatment.</w:t>
      </w:r>
      <w:r w:rsidR="00285741" w:rsidRPr="00856A39">
        <w:rPr>
          <w:rStyle w:val="FootnoteReference"/>
          <w:rFonts w:asciiTheme="minorHAnsi" w:hAnsiTheme="minorHAnsi"/>
        </w:rPr>
        <w:footnoteReference w:id="25"/>
      </w:r>
      <w:r w:rsidR="00285741" w:rsidRPr="00856A39">
        <w:rPr>
          <w:rFonts w:asciiTheme="minorHAnsi" w:hAnsiTheme="minorHAnsi"/>
        </w:rPr>
        <w:t xml:space="preserve"> </w:t>
      </w:r>
    </w:p>
    <w:p w14:paraId="3D074025" w14:textId="45026EBB" w:rsidR="00157D67" w:rsidRPr="00856A39" w:rsidRDefault="00285741" w:rsidP="00157D67">
      <w:pPr>
        <w:jc w:val="both"/>
        <w:rPr>
          <w:rFonts w:asciiTheme="minorHAnsi" w:hAnsiTheme="minorHAnsi"/>
        </w:rPr>
      </w:pPr>
      <w:r w:rsidRPr="00856A39">
        <w:rPr>
          <w:rFonts w:asciiTheme="minorHAnsi" w:hAnsiTheme="minorHAnsi"/>
        </w:rPr>
        <w:t xml:space="preserve">The </w:t>
      </w:r>
      <w:r w:rsidR="00C740AA">
        <w:rPr>
          <w:rFonts w:asciiTheme="minorHAnsi" w:hAnsiTheme="minorHAnsi"/>
        </w:rPr>
        <w:t xml:space="preserve">CEDAW </w:t>
      </w:r>
      <w:r w:rsidRPr="00856A39">
        <w:rPr>
          <w:rFonts w:asciiTheme="minorHAnsi" w:hAnsiTheme="minorHAnsi"/>
        </w:rPr>
        <w:t xml:space="preserve">Committee </w:t>
      </w:r>
      <w:r w:rsidR="004B17B5">
        <w:rPr>
          <w:rFonts w:asciiTheme="minorHAnsi" w:hAnsiTheme="minorHAnsi"/>
        </w:rPr>
        <w:t>may</w:t>
      </w:r>
      <w:r w:rsidR="004B17B5" w:rsidRPr="00856A39">
        <w:rPr>
          <w:rFonts w:asciiTheme="minorHAnsi" w:hAnsiTheme="minorHAnsi"/>
        </w:rPr>
        <w:t xml:space="preserve"> </w:t>
      </w:r>
      <w:r w:rsidR="00384971" w:rsidRPr="00856A39">
        <w:rPr>
          <w:rFonts w:asciiTheme="minorHAnsi" w:hAnsiTheme="minorHAnsi"/>
        </w:rPr>
        <w:t xml:space="preserve">also </w:t>
      </w:r>
      <w:r w:rsidRPr="00856A39">
        <w:rPr>
          <w:rFonts w:asciiTheme="minorHAnsi" w:hAnsiTheme="minorHAnsi"/>
        </w:rPr>
        <w:t xml:space="preserve">recognise that </w:t>
      </w:r>
      <w:r w:rsidR="003A743F" w:rsidRPr="00856A39">
        <w:rPr>
          <w:rFonts w:asciiTheme="minorHAnsi" w:hAnsiTheme="minorHAnsi"/>
        </w:rPr>
        <w:t xml:space="preserve">trafficking is a form of gender-related persecution and should serve as a strong basis for an </w:t>
      </w:r>
      <w:r w:rsidR="00DB6E32" w:rsidRPr="00856A39">
        <w:rPr>
          <w:rFonts w:asciiTheme="minorHAnsi" w:hAnsiTheme="minorHAnsi"/>
        </w:rPr>
        <w:t xml:space="preserve">international protection </w:t>
      </w:r>
      <w:r w:rsidR="003A743F" w:rsidRPr="00856A39">
        <w:rPr>
          <w:rFonts w:asciiTheme="minorHAnsi" w:hAnsiTheme="minorHAnsi"/>
        </w:rPr>
        <w:t>claim</w:t>
      </w:r>
      <w:r w:rsidR="00DB6E32" w:rsidRPr="00856A39">
        <w:rPr>
          <w:rFonts w:asciiTheme="minorHAnsi" w:hAnsiTheme="minorHAnsi"/>
        </w:rPr>
        <w:t xml:space="preserve"> of asylum</w:t>
      </w:r>
      <w:r w:rsidR="003A743F" w:rsidRPr="00856A39">
        <w:rPr>
          <w:rFonts w:asciiTheme="minorHAnsi" w:hAnsiTheme="minorHAnsi"/>
        </w:rPr>
        <w:t>. Even in circumstances where an asylum claim is unsuccessful, the use of re</w:t>
      </w:r>
      <w:r w:rsidR="003A743F" w:rsidRPr="00856A39">
        <w:rPr>
          <w:rFonts w:asciiTheme="minorHAnsi" w:hAnsiTheme="minorHAnsi"/>
        </w:rPr>
        <w:lastRenderedPageBreak/>
        <w:t xml:space="preserve">moval procedures without adequate screening and identification of victims of trafficking </w:t>
      </w:r>
      <w:r w:rsidR="00157D67" w:rsidRPr="00856A39">
        <w:rPr>
          <w:rFonts w:asciiTheme="minorHAnsi" w:hAnsiTheme="minorHAnsi"/>
        </w:rPr>
        <w:t>to a country where they face a risk of exploitation, re-trafficking or reprisals from traffickers</w:t>
      </w:r>
      <w:r w:rsidRPr="00856A39">
        <w:rPr>
          <w:rFonts w:asciiTheme="minorHAnsi" w:hAnsiTheme="minorHAnsi"/>
        </w:rPr>
        <w:t xml:space="preserve"> engages </w:t>
      </w:r>
      <w:r w:rsidRPr="00856A39">
        <w:rPr>
          <w:rFonts w:asciiTheme="minorHAnsi" w:hAnsiTheme="minorHAnsi"/>
          <w:i/>
        </w:rPr>
        <w:t>non-refoulement</w:t>
      </w:r>
      <w:r w:rsidRPr="00856A39">
        <w:rPr>
          <w:rFonts w:asciiTheme="minorHAnsi" w:hAnsiTheme="minorHAnsi"/>
        </w:rPr>
        <w:t xml:space="preserve"> obligations under the Convention against Torture </w:t>
      </w:r>
      <w:r w:rsidR="00765566" w:rsidRPr="00856A39">
        <w:rPr>
          <w:rFonts w:asciiTheme="minorHAnsi" w:hAnsiTheme="minorHAnsi"/>
        </w:rPr>
        <w:t>and the Convention Relating to the Status of Refugees</w:t>
      </w:r>
      <w:r w:rsidRPr="00856A39">
        <w:rPr>
          <w:rFonts w:asciiTheme="minorHAnsi" w:hAnsiTheme="minorHAnsi"/>
        </w:rPr>
        <w:t xml:space="preserve">, </w:t>
      </w:r>
      <w:r w:rsidR="00157D67" w:rsidRPr="00856A39">
        <w:rPr>
          <w:rFonts w:asciiTheme="minorHAnsi" w:hAnsiTheme="minorHAnsi"/>
        </w:rPr>
        <w:t xml:space="preserve">notwithstanding </w:t>
      </w:r>
      <w:r w:rsidRPr="00856A39">
        <w:rPr>
          <w:rFonts w:asciiTheme="minorHAnsi" w:hAnsiTheme="minorHAnsi"/>
        </w:rPr>
        <w:t xml:space="preserve">the fact that </w:t>
      </w:r>
      <w:r w:rsidR="00157D67" w:rsidRPr="00856A39">
        <w:rPr>
          <w:rFonts w:asciiTheme="minorHAnsi" w:hAnsiTheme="minorHAnsi"/>
        </w:rPr>
        <w:t xml:space="preserve">the </w:t>
      </w:r>
      <w:r w:rsidRPr="00856A39">
        <w:rPr>
          <w:rFonts w:asciiTheme="minorHAnsi" w:hAnsiTheme="minorHAnsi"/>
        </w:rPr>
        <w:t xml:space="preserve">risk of </w:t>
      </w:r>
      <w:r w:rsidR="00157D67" w:rsidRPr="00856A39">
        <w:rPr>
          <w:rFonts w:asciiTheme="minorHAnsi" w:hAnsiTheme="minorHAnsi"/>
        </w:rPr>
        <w:t xml:space="preserve">abuse </w:t>
      </w:r>
      <w:r w:rsidRPr="00856A39">
        <w:rPr>
          <w:rFonts w:asciiTheme="minorHAnsi" w:hAnsiTheme="minorHAnsi"/>
        </w:rPr>
        <w:t>is from a non-State actor</w:t>
      </w:r>
      <w:r w:rsidR="00157D67" w:rsidRPr="00856A39">
        <w:rPr>
          <w:rFonts w:asciiTheme="minorHAnsi" w:hAnsiTheme="minorHAnsi"/>
        </w:rPr>
        <w:t>.</w:t>
      </w:r>
      <w:r w:rsidR="003A743F" w:rsidRPr="00856A39">
        <w:rPr>
          <w:rFonts w:asciiTheme="minorHAnsi" w:hAnsiTheme="minorHAnsi"/>
        </w:rPr>
        <w:t xml:space="preserve"> </w:t>
      </w:r>
    </w:p>
    <w:p w14:paraId="32BAF58D" w14:textId="1B66BE27" w:rsidR="00DD7427" w:rsidRDefault="00DB6E32" w:rsidP="00FC3DA2">
      <w:pPr>
        <w:jc w:val="both"/>
        <w:rPr>
          <w:rFonts w:asciiTheme="minorHAnsi" w:hAnsiTheme="minorHAnsi"/>
          <w:i/>
        </w:rPr>
      </w:pPr>
      <w:r w:rsidRPr="00856A39">
        <w:rPr>
          <w:rFonts w:asciiTheme="minorHAnsi" w:hAnsiTheme="minorHAnsi"/>
        </w:rPr>
        <w:t>Cognisance of t</w:t>
      </w:r>
      <w:r w:rsidR="00514269" w:rsidRPr="00856A39">
        <w:rPr>
          <w:rFonts w:asciiTheme="minorHAnsi" w:hAnsiTheme="minorHAnsi"/>
        </w:rPr>
        <w:t xml:space="preserve">he wider international legal framework enables </w:t>
      </w:r>
      <w:r w:rsidRPr="00856A39">
        <w:rPr>
          <w:rFonts w:asciiTheme="minorHAnsi" w:hAnsiTheme="minorHAnsi"/>
        </w:rPr>
        <w:t>States parties</w:t>
      </w:r>
      <w:r w:rsidR="00514269" w:rsidRPr="00856A39">
        <w:rPr>
          <w:rFonts w:asciiTheme="minorHAnsi" w:hAnsiTheme="minorHAnsi"/>
        </w:rPr>
        <w:t xml:space="preserve"> to take account of multiple positive duties of </w:t>
      </w:r>
      <w:r w:rsidR="00DF4771">
        <w:rPr>
          <w:rFonts w:asciiTheme="minorHAnsi" w:hAnsiTheme="minorHAnsi"/>
        </w:rPr>
        <w:t xml:space="preserve">CEDAW </w:t>
      </w:r>
      <w:r w:rsidR="00514269" w:rsidRPr="00856A39">
        <w:rPr>
          <w:rFonts w:asciiTheme="minorHAnsi" w:hAnsiTheme="minorHAnsi"/>
        </w:rPr>
        <w:t xml:space="preserve">States </w:t>
      </w:r>
      <w:r w:rsidR="00DF4771">
        <w:rPr>
          <w:rFonts w:asciiTheme="minorHAnsi" w:hAnsiTheme="minorHAnsi"/>
        </w:rPr>
        <w:t xml:space="preserve">parties </w:t>
      </w:r>
      <w:r w:rsidR="001D4157" w:rsidRPr="00856A39">
        <w:rPr>
          <w:rFonts w:asciiTheme="minorHAnsi" w:hAnsiTheme="minorHAnsi"/>
        </w:rPr>
        <w:t>to provide protection</w:t>
      </w:r>
      <w:r w:rsidR="00157D67" w:rsidRPr="00856A39">
        <w:rPr>
          <w:rFonts w:asciiTheme="minorHAnsi" w:hAnsiTheme="minorHAnsi"/>
        </w:rPr>
        <w:t xml:space="preserve"> for women and girl</w:t>
      </w:r>
      <w:r w:rsidR="00765566" w:rsidRPr="00856A39">
        <w:rPr>
          <w:rFonts w:asciiTheme="minorHAnsi" w:hAnsiTheme="minorHAnsi"/>
        </w:rPr>
        <w:t xml:space="preserve">s against trafficking </w:t>
      </w:r>
      <w:r w:rsidR="00514269" w:rsidRPr="00856A39">
        <w:rPr>
          <w:rFonts w:asciiTheme="minorHAnsi" w:hAnsiTheme="minorHAnsi"/>
        </w:rPr>
        <w:t xml:space="preserve">and gender-based violence </w:t>
      </w:r>
      <w:r w:rsidR="00765566" w:rsidRPr="00856A39">
        <w:rPr>
          <w:rFonts w:asciiTheme="minorHAnsi" w:hAnsiTheme="minorHAnsi"/>
        </w:rPr>
        <w:t>from private individuals,</w:t>
      </w:r>
      <w:r w:rsidR="00157D67" w:rsidRPr="00856A39">
        <w:rPr>
          <w:rStyle w:val="FootnoteReference"/>
          <w:rFonts w:asciiTheme="minorHAnsi" w:hAnsiTheme="minorHAnsi"/>
        </w:rPr>
        <w:footnoteReference w:id="26"/>
      </w:r>
      <w:r w:rsidR="00157D67" w:rsidRPr="00856A39">
        <w:rPr>
          <w:rFonts w:asciiTheme="minorHAnsi" w:hAnsiTheme="minorHAnsi"/>
        </w:rPr>
        <w:t xml:space="preserve"> </w:t>
      </w:r>
      <w:r w:rsidR="00765566" w:rsidRPr="00856A39">
        <w:rPr>
          <w:rFonts w:asciiTheme="minorHAnsi" w:hAnsiTheme="minorHAnsi"/>
        </w:rPr>
        <w:t xml:space="preserve">and </w:t>
      </w:r>
      <w:r w:rsidR="001D4157" w:rsidRPr="00856A39">
        <w:rPr>
          <w:rFonts w:asciiTheme="minorHAnsi" w:hAnsiTheme="minorHAnsi"/>
        </w:rPr>
        <w:t xml:space="preserve">to effectively recognise women and girls as victims of trafficking when given an opportunity to do so. </w:t>
      </w:r>
    </w:p>
    <w:p w14:paraId="1118BF5B" w14:textId="77777777" w:rsidR="00917DE6" w:rsidRDefault="00917DE6">
      <w:pPr>
        <w:rPr>
          <w:rFonts w:asciiTheme="minorHAnsi" w:hAnsiTheme="minorHAnsi"/>
          <w:i/>
        </w:rPr>
      </w:pPr>
      <w:r>
        <w:rPr>
          <w:rFonts w:asciiTheme="minorHAnsi" w:hAnsiTheme="minorHAnsi"/>
          <w:i/>
        </w:rPr>
        <w:br w:type="page"/>
      </w:r>
    </w:p>
    <w:p w14:paraId="496AEEB9" w14:textId="01BB7F8C" w:rsidR="0056215C" w:rsidRPr="00856A39" w:rsidRDefault="0056215C" w:rsidP="00FC3DA2">
      <w:pPr>
        <w:jc w:val="both"/>
        <w:rPr>
          <w:rFonts w:asciiTheme="minorHAnsi" w:hAnsiTheme="minorHAnsi"/>
          <w:i/>
        </w:rPr>
      </w:pPr>
      <w:r w:rsidRPr="00856A39">
        <w:rPr>
          <w:rFonts w:asciiTheme="minorHAnsi" w:hAnsiTheme="minorHAnsi"/>
          <w:i/>
        </w:rPr>
        <w:lastRenderedPageBreak/>
        <w:t xml:space="preserve">We respectfully close this part with the following recommendations: </w:t>
      </w:r>
    </w:p>
    <w:p w14:paraId="26551A82" w14:textId="69B91DED" w:rsidR="00F87EDA" w:rsidRPr="00856A39" w:rsidRDefault="0056215C" w:rsidP="00E10D79">
      <w:pPr>
        <w:pStyle w:val="ListParagraph"/>
        <w:numPr>
          <w:ilvl w:val="0"/>
          <w:numId w:val="7"/>
        </w:numPr>
        <w:jc w:val="both"/>
        <w:rPr>
          <w:rFonts w:asciiTheme="minorHAnsi" w:hAnsiTheme="minorHAnsi"/>
          <w:i/>
        </w:rPr>
      </w:pPr>
      <w:r w:rsidRPr="00856A39">
        <w:rPr>
          <w:rFonts w:asciiTheme="minorHAnsi" w:hAnsiTheme="minorHAnsi"/>
          <w:i/>
        </w:rPr>
        <w:t>D</w:t>
      </w:r>
      <w:r w:rsidR="00F87EDA" w:rsidRPr="00856A39">
        <w:rPr>
          <w:rFonts w:asciiTheme="minorHAnsi" w:hAnsiTheme="minorHAnsi"/>
          <w:i/>
        </w:rPr>
        <w:t xml:space="preserve">ue regard </w:t>
      </w:r>
      <w:r w:rsidR="004B17B5">
        <w:rPr>
          <w:rFonts w:asciiTheme="minorHAnsi" w:hAnsiTheme="minorHAnsi"/>
          <w:i/>
        </w:rPr>
        <w:t>may</w:t>
      </w:r>
      <w:r w:rsidR="004B17B5" w:rsidRPr="00856A39">
        <w:rPr>
          <w:rFonts w:asciiTheme="minorHAnsi" w:hAnsiTheme="minorHAnsi"/>
          <w:i/>
        </w:rPr>
        <w:t xml:space="preserve"> </w:t>
      </w:r>
      <w:r w:rsidRPr="00856A39">
        <w:rPr>
          <w:rFonts w:asciiTheme="minorHAnsi" w:hAnsiTheme="minorHAnsi"/>
          <w:i/>
        </w:rPr>
        <w:t xml:space="preserve">be given </w:t>
      </w:r>
      <w:r w:rsidR="00F87EDA" w:rsidRPr="00856A39">
        <w:rPr>
          <w:rFonts w:asciiTheme="minorHAnsi" w:hAnsiTheme="minorHAnsi"/>
          <w:i/>
        </w:rPr>
        <w:t>to the Global Compact on Migration and the commitment that States have made to ensure that pathways for regular migration are opened to reduce the need for women and girls to take unsafe irregular routes that makes them vulnerable to trafficking.</w:t>
      </w:r>
    </w:p>
    <w:p w14:paraId="29E6A4E6" w14:textId="1AE1523E" w:rsidR="00F87EDA" w:rsidRPr="00856A39" w:rsidRDefault="003C0C11" w:rsidP="0056215C">
      <w:pPr>
        <w:pStyle w:val="ListParagraph"/>
        <w:numPr>
          <w:ilvl w:val="0"/>
          <w:numId w:val="7"/>
        </w:numPr>
        <w:jc w:val="both"/>
        <w:rPr>
          <w:rFonts w:asciiTheme="minorHAnsi" w:hAnsiTheme="minorHAnsi"/>
          <w:i/>
        </w:rPr>
      </w:pPr>
      <w:r>
        <w:rPr>
          <w:rFonts w:asciiTheme="minorHAnsi" w:hAnsiTheme="minorHAnsi"/>
          <w:i/>
        </w:rPr>
        <w:t>Inhospitable</w:t>
      </w:r>
      <w:r w:rsidR="004B17B5" w:rsidRPr="00856A39">
        <w:rPr>
          <w:rFonts w:asciiTheme="minorHAnsi" w:hAnsiTheme="minorHAnsi"/>
          <w:i/>
        </w:rPr>
        <w:t xml:space="preserve"> </w:t>
      </w:r>
      <w:r w:rsidR="00F87EDA" w:rsidRPr="00856A39">
        <w:rPr>
          <w:rFonts w:asciiTheme="minorHAnsi" w:hAnsiTheme="minorHAnsi"/>
          <w:i/>
        </w:rPr>
        <w:t xml:space="preserve">State policies and practices which make the situation of undocumented and irregular migrants increasingly </w:t>
      </w:r>
      <w:r w:rsidR="004B17B5">
        <w:rPr>
          <w:rFonts w:asciiTheme="minorHAnsi" w:hAnsiTheme="minorHAnsi"/>
          <w:i/>
        </w:rPr>
        <w:t>vulnerable</w:t>
      </w:r>
      <w:r w:rsidR="004B17B5" w:rsidRPr="00856A39">
        <w:rPr>
          <w:rFonts w:asciiTheme="minorHAnsi" w:hAnsiTheme="minorHAnsi"/>
          <w:i/>
        </w:rPr>
        <w:t xml:space="preserve"> </w:t>
      </w:r>
      <w:r w:rsidR="00F87EDA" w:rsidRPr="00856A39">
        <w:rPr>
          <w:rFonts w:asciiTheme="minorHAnsi" w:hAnsiTheme="minorHAnsi"/>
          <w:i/>
        </w:rPr>
        <w:t>serve to encourage trafficking of women and girls, as migrants must rely on dangerous and exploitative relationships in order to survive.</w:t>
      </w:r>
    </w:p>
    <w:p w14:paraId="0A40C815" w14:textId="12B395DA" w:rsidR="00B11909" w:rsidRPr="00C740AA" w:rsidRDefault="00E10D79" w:rsidP="001953BB">
      <w:pPr>
        <w:pStyle w:val="ListParagraph"/>
        <w:numPr>
          <w:ilvl w:val="0"/>
          <w:numId w:val="7"/>
        </w:numPr>
        <w:jc w:val="both"/>
        <w:rPr>
          <w:rFonts w:asciiTheme="minorHAnsi" w:hAnsiTheme="minorHAnsi"/>
          <w:i/>
        </w:rPr>
      </w:pPr>
      <w:r w:rsidRPr="00856A39">
        <w:rPr>
          <w:rFonts w:asciiTheme="minorHAnsi" w:hAnsiTheme="minorHAnsi"/>
          <w:i/>
        </w:rPr>
        <w:t xml:space="preserve">States parties should </w:t>
      </w:r>
      <w:r w:rsidR="00514269" w:rsidRPr="00856A39">
        <w:rPr>
          <w:rFonts w:asciiTheme="minorHAnsi" w:hAnsiTheme="minorHAnsi"/>
          <w:i/>
        </w:rPr>
        <w:t>recognise the close relationship between trafficking and torture</w:t>
      </w:r>
      <w:r w:rsidR="004B17B5">
        <w:rPr>
          <w:rFonts w:asciiTheme="minorHAnsi" w:hAnsiTheme="minorHAnsi"/>
          <w:i/>
        </w:rPr>
        <w:t>,</w:t>
      </w:r>
      <w:r w:rsidR="00514269" w:rsidRPr="00856A39">
        <w:rPr>
          <w:rFonts w:asciiTheme="minorHAnsi" w:hAnsiTheme="minorHAnsi"/>
          <w:i/>
        </w:rPr>
        <w:t xml:space="preserve"> </w:t>
      </w:r>
      <w:r w:rsidR="004B17B5">
        <w:rPr>
          <w:rFonts w:asciiTheme="minorHAnsi" w:hAnsiTheme="minorHAnsi"/>
          <w:i/>
        </w:rPr>
        <w:t>whic</w:t>
      </w:r>
      <w:r w:rsidR="004B17B5" w:rsidRPr="00174A28">
        <w:rPr>
          <w:rFonts w:asciiTheme="minorHAnsi" w:hAnsiTheme="minorHAnsi"/>
          <w:i/>
        </w:rPr>
        <w:t xml:space="preserve">h </w:t>
      </w:r>
      <w:r w:rsidR="000C5516" w:rsidRPr="00174A28">
        <w:rPr>
          <w:rFonts w:asciiTheme="minorHAnsi" w:hAnsiTheme="minorHAnsi"/>
          <w:i/>
        </w:rPr>
        <w:t>requires</w:t>
      </w:r>
      <w:r w:rsidR="00514269" w:rsidRPr="00174A28">
        <w:rPr>
          <w:rFonts w:asciiTheme="minorHAnsi" w:hAnsiTheme="minorHAnsi"/>
          <w:i/>
        </w:rPr>
        <w:t xml:space="preserve"> </w:t>
      </w:r>
      <w:r w:rsidRPr="00174A28">
        <w:rPr>
          <w:rFonts w:asciiTheme="minorHAnsi" w:hAnsiTheme="minorHAnsi"/>
          <w:i/>
        </w:rPr>
        <w:t xml:space="preserve">a </w:t>
      </w:r>
      <w:r w:rsidR="00C740AA">
        <w:rPr>
          <w:rFonts w:asciiTheme="minorHAnsi" w:hAnsiTheme="minorHAnsi"/>
          <w:i/>
        </w:rPr>
        <w:t>responsibility in appreciating a wider</w:t>
      </w:r>
      <w:r w:rsidR="00FB4362" w:rsidRPr="00174A28">
        <w:rPr>
          <w:rFonts w:asciiTheme="minorHAnsi" w:hAnsiTheme="minorHAnsi"/>
          <w:i/>
        </w:rPr>
        <w:t xml:space="preserve"> </w:t>
      </w:r>
      <w:r w:rsidR="00514269" w:rsidRPr="00174A28">
        <w:rPr>
          <w:rFonts w:asciiTheme="minorHAnsi" w:hAnsiTheme="minorHAnsi"/>
          <w:i/>
        </w:rPr>
        <w:t xml:space="preserve">range of </w:t>
      </w:r>
      <w:r w:rsidR="0065155D" w:rsidRPr="00174A28">
        <w:rPr>
          <w:rFonts w:asciiTheme="minorHAnsi" w:hAnsiTheme="minorHAnsi"/>
          <w:i/>
        </w:rPr>
        <w:t xml:space="preserve">international </w:t>
      </w:r>
      <w:r w:rsidR="00514269" w:rsidRPr="00174A28">
        <w:rPr>
          <w:rFonts w:asciiTheme="minorHAnsi" w:hAnsiTheme="minorHAnsi"/>
          <w:i/>
        </w:rPr>
        <w:t xml:space="preserve">duties to prevent trafficking and gender-based violence. </w:t>
      </w:r>
    </w:p>
    <w:p w14:paraId="72488A78" w14:textId="77777777" w:rsidR="00A72602" w:rsidRPr="00E10D79" w:rsidRDefault="00825048" w:rsidP="001953BB">
      <w:pPr>
        <w:jc w:val="both"/>
        <w:rPr>
          <w:rFonts w:asciiTheme="minorHAnsi" w:hAnsiTheme="minorHAnsi"/>
          <w:b/>
        </w:rPr>
      </w:pPr>
      <w:r w:rsidRPr="00174A28">
        <w:rPr>
          <w:rFonts w:asciiTheme="minorHAnsi" w:hAnsiTheme="minorHAnsi"/>
          <w:b/>
        </w:rPr>
        <w:t xml:space="preserve">3. </w:t>
      </w:r>
      <w:r w:rsidR="001953BB" w:rsidRPr="00174A28">
        <w:rPr>
          <w:rFonts w:asciiTheme="minorHAnsi" w:hAnsiTheme="minorHAnsi"/>
          <w:b/>
        </w:rPr>
        <w:t xml:space="preserve">Sector-specific migration </w:t>
      </w:r>
      <w:r w:rsidR="00B7294D" w:rsidRPr="00174A28">
        <w:rPr>
          <w:rFonts w:asciiTheme="minorHAnsi" w:hAnsiTheme="minorHAnsi"/>
          <w:b/>
        </w:rPr>
        <w:t xml:space="preserve">rules </w:t>
      </w:r>
      <w:r w:rsidR="00F502F2" w:rsidRPr="00174A28">
        <w:rPr>
          <w:rFonts w:asciiTheme="minorHAnsi" w:hAnsiTheme="minorHAnsi"/>
          <w:b/>
        </w:rPr>
        <w:t>and polic</w:t>
      </w:r>
      <w:r w:rsidR="00E528C9" w:rsidRPr="00174A28">
        <w:rPr>
          <w:rFonts w:asciiTheme="minorHAnsi" w:hAnsiTheme="minorHAnsi"/>
          <w:b/>
        </w:rPr>
        <w:t>ies</w:t>
      </w:r>
      <w:r w:rsidR="00F502F2" w:rsidRPr="00174A28">
        <w:rPr>
          <w:rFonts w:asciiTheme="minorHAnsi" w:hAnsiTheme="minorHAnsi"/>
          <w:b/>
        </w:rPr>
        <w:t xml:space="preserve"> </w:t>
      </w:r>
      <w:r w:rsidR="00B7294D" w:rsidRPr="00174A28">
        <w:rPr>
          <w:rFonts w:asciiTheme="minorHAnsi" w:hAnsiTheme="minorHAnsi"/>
          <w:b/>
        </w:rPr>
        <w:t>can</w:t>
      </w:r>
      <w:r w:rsidR="00B7294D">
        <w:rPr>
          <w:rFonts w:asciiTheme="minorHAnsi" w:hAnsiTheme="minorHAnsi"/>
          <w:b/>
        </w:rPr>
        <w:t xml:space="preserve"> </w:t>
      </w:r>
      <w:r w:rsidR="001953BB" w:rsidRPr="00E10D79">
        <w:rPr>
          <w:rFonts w:asciiTheme="minorHAnsi" w:hAnsiTheme="minorHAnsi"/>
          <w:b/>
        </w:rPr>
        <w:t>perpetuate victimisati</w:t>
      </w:r>
      <w:r w:rsidR="001953BB" w:rsidRPr="00174A28">
        <w:rPr>
          <w:rFonts w:asciiTheme="minorHAnsi" w:hAnsiTheme="minorHAnsi"/>
          <w:b/>
        </w:rPr>
        <w:t>on</w:t>
      </w:r>
      <w:r w:rsidR="00B7294D" w:rsidRPr="00174A28">
        <w:rPr>
          <w:rFonts w:asciiTheme="minorHAnsi" w:hAnsiTheme="minorHAnsi"/>
          <w:b/>
        </w:rPr>
        <w:t xml:space="preserve"> of</w:t>
      </w:r>
      <w:r w:rsidR="001953BB" w:rsidRPr="00174A28">
        <w:rPr>
          <w:rFonts w:asciiTheme="minorHAnsi" w:hAnsiTheme="minorHAnsi"/>
          <w:b/>
        </w:rPr>
        <w:t xml:space="preserve"> w</w:t>
      </w:r>
      <w:r w:rsidR="001953BB" w:rsidRPr="00E10D79">
        <w:rPr>
          <w:rFonts w:asciiTheme="minorHAnsi" w:hAnsiTheme="minorHAnsi"/>
          <w:b/>
        </w:rPr>
        <w:t>omen and girls</w:t>
      </w:r>
    </w:p>
    <w:p w14:paraId="63F50A50" w14:textId="77777777" w:rsidR="00A72602" w:rsidRPr="00E10D79" w:rsidRDefault="00DF4771" w:rsidP="001953BB">
      <w:pPr>
        <w:jc w:val="both"/>
        <w:rPr>
          <w:rFonts w:asciiTheme="minorHAnsi" w:hAnsiTheme="minorHAnsi"/>
        </w:rPr>
      </w:pPr>
      <w:r>
        <w:rPr>
          <w:rFonts w:asciiTheme="minorHAnsi" w:hAnsiTheme="minorHAnsi"/>
        </w:rPr>
        <w:lastRenderedPageBreak/>
        <w:t>Finally, w</w:t>
      </w:r>
      <w:r w:rsidR="00A72602" w:rsidRPr="00E10D79">
        <w:rPr>
          <w:rFonts w:asciiTheme="minorHAnsi" w:hAnsiTheme="minorHAnsi"/>
        </w:rPr>
        <w:t xml:space="preserve">e draw attention to the role of </w:t>
      </w:r>
      <w:r w:rsidR="00F84E94" w:rsidRPr="00E10D79">
        <w:rPr>
          <w:rFonts w:asciiTheme="minorHAnsi" w:hAnsiTheme="minorHAnsi"/>
        </w:rPr>
        <w:t xml:space="preserve">domestic </w:t>
      </w:r>
      <w:r w:rsidR="00A72602" w:rsidRPr="00E10D79">
        <w:rPr>
          <w:rFonts w:asciiTheme="minorHAnsi" w:hAnsiTheme="minorHAnsi"/>
        </w:rPr>
        <w:t>immigration rules in enabling trafficking in gendered sectors (e.g. domestic work, entertainment) by creating precarious employment/migration status.</w:t>
      </w:r>
      <w:r w:rsidR="00A72602" w:rsidRPr="00E10D79">
        <w:rPr>
          <w:rStyle w:val="FootnoteReference"/>
          <w:rFonts w:asciiTheme="minorHAnsi" w:hAnsiTheme="minorHAnsi"/>
        </w:rPr>
        <w:footnoteReference w:id="27"/>
      </w:r>
      <w:r w:rsidR="00A72602" w:rsidRPr="00E10D79">
        <w:rPr>
          <w:rFonts w:asciiTheme="minorHAnsi" w:hAnsiTheme="minorHAnsi"/>
        </w:rPr>
        <w:t xml:space="preserve"> </w:t>
      </w:r>
    </w:p>
    <w:p w14:paraId="4A998E7B" w14:textId="77777777" w:rsidR="001953BB" w:rsidRPr="00E10D79" w:rsidRDefault="00A72602" w:rsidP="001953BB">
      <w:pPr>
        <w:jc w:val="both"/>
        <w:rPr>
          <w:rFonts w:asciiTheme="minorHAnsi" w:hAnsiTheme="minorHAnsi"/>
        </w:rPr>
      </w:pPr>
      <w:r w:rsidRPr="00E10D79">
        <w:rPr>
          <w:rFonts w:asciiTheme="minorHAnsi" w:hAnsiTheme="minorHAnsi"/>
        </w:rPr>
        <w:t xml:space="preserve">In </w:t>
      </w:r>
      <w:r w:rsidRPr="00E10D79">
        <w:rPr>
          <w:rFonts w:asciiTheme="minorHAnsi" w:hAnsiTheme="minorHAnsi"/>
          <w:i/>
        </w:rPr>
        <w:t>Rantsev v. Cyprus and Russia</w:t>
      </w:r>
      <w:r w:rsidR="00B8483F" w:rsidRPr="00E10D79">
        <w:rPr>
          <w:rFonts w:asciiTheme="minorHAnsi" w:hAnsiTheme="minorHAnsi"/>
          <w:i/>
        </w:rPr>
        <w:t>,</w:t>
      </w:r>
      <w:r w:rsidR="00B8483F" w:rsidRPr="00E10D79">
        <w:rPr>
          <w:rStyle w:val="FootnoteReference"/>
          <w:rFonts w:asciiTheme="minorHAnsi" w:hAnsiTheme="minorHAnsi"/>
        </w:rPr>
        <w:footnoteReference w:id="28"/>
      </w:r>
      <w:r w:rsidRPr="00E10D79">
        <w:rPr>
          <w:rFonts w:asciiTheme="minorHAnsi" w:hAnsiTheme="minorHAnsi"/>
        </w:rPr>
        <w:t xml:space="preserve"> the European Court of Human Rights acknowledged the role that the Cypriot artiste visa scheme had played in encouraging the trafficking of women for exploitation in the entertainment sector in Cyprus. After highlighting the weaknesses of Cypriot immigration policy,</w:t>
      </w:r>
      <w:r w:rsidRPr="00E10D79">
        <w:rPr>
          <w:rStyle w:val="FootnoteReference"/>
          <w:rFonts w:asciiTheme="minorHAnsi" w:hAnsiTheme="minorHAnsi"/>
        </w:rPr>
        <w:footnoteReference w:id="29"/>
      </w:r>
      <w:r w:rsidRPr="00E10D79">
        <w:rPr>
          <w:rFonts w:asciiTheme="minorHAnsi" w:hAnsiTheme="minorHAnsi"/>
        </w:rPr>
        <w:t xml:space="preserve"> the Court concluded that the artiste visa regime in Cyprus had not afforded to the victim “practical and effective protection against trafficking and exploitation.”</w:t>
      </w:r>
      <w:r w:rsidRPr="00E10D79">
        <w:rPr>
          <w:rStyle w:val="FootnoteReference"/>
          <w:rFonts w:asciiTheme="minorHAnsi" w:hAnsiTheme="minorHAnsi"/>
        </w:rPr>
        <w:footnoteReference w:id="30"/>
      </w:r>
      <w:r w:rsidRPr="00E10D79">
        <w:rPr>
          <w:rFonts w:asciiTheme="minorHAnsi" w:hAnsiTheme="minorHAnsi"/>
        </w:rPr>
        <w:t xml:space="preserve"> </w:t>
      </w:r>
    </w:p>
    <w:p w14:paraId="7FFBE257" w14:textId="77777777" w:rsidR="00DD7427" w:rsidRDefault="00DD7427" w:rsidP="001953BB">
      <w:pPr>
        <w:jc w:val="both"/>
        <w:rPr>
          <w:rFonts w:asciiTheme="minorHAnsi" w:hAnsiTheme="minorHAnsi"/>
        </w:rPr>
      </w:pPr>
    </w:p>
    <w:p w14:paraId="7D2725C1" w14:textId="77777777" w:rsidR="00DD7427" w:rsidRDefault="00DD7427" w:rsidP="001953BB">
      <w:pPr>
        <w:jc w:val="both"/>
        <w:rPr>
          <w:rFonts w:asciiTheme="minorHAnsi" w:hAnsiTheme="minorHAnsi"/>
        </w:rPr>
      </w:pPr>
    </w:p>
    <w:p w14:paraId="61E04A95" w14:textId="77777777" w:rsidR="00F84E94" w:rsidRPr="00E10D79" w:rsidRDefault="00A72602" w:rsidP="001953BB">
      <w:pPr>
        <w:jc w:val="both"/>
        <w:rPr>
          <w:rFonts w:asciiTheme="minorHAnsi" w:hAnsiTheme="minorHAnsi"/>
        </w:rPr>
      </w:pPr>
      <w:r w:rsidRPr="00E10D79">
        <w:rPr>
          <w:rFonts w:asciiTheme="minorHAnsi" w:hAnsiTheme="minorHAnsi"/>
        </w:rPr>
        <w:t xml:space="preserve">The Court’s scrutiny of Cypriot immigration rules revealed one of the mechanisms encouraging/facilitating trafficking of women in Cyprus: strong </w:t>
      </w:r>
      <w:r w:rsidRPr="00E10D79">
        <w:rPr>
          <w:rFonts w:asciiTheme="minorHAnsi" w:hAnsiTheme="minorHAnsi"/>
          <w:i/>
        </w:rPr>
        <w:t>dependency</w:t>
      </w:r>
      <w:r w:rsidRPr="00E10D79">
        <w:rPr>
          <w:rFonts w:asciiTheme="minorHAnsi" w:hAnsiTheme="minorHAnsi"/>
        </w:rPr>
        <w:t xml:space="preserve"> of female artistes on their employers and excessive </w:t>
      </w:r>
      <w:r w:rsidRPr="00E10D79">
        <w:rPr>
          <w:rFonts w:asciiTheme="minorHAnsi" w:hAnsiTheme="minorHAnsi"/>
          <w:i/>
        </w:rPr>
        <w:t>controlling</w:t>
      </w:r>
      <w:r w:rsidRPr="00E10D79">
        <w:rPr>
          <w:rFonts w:asciiTheme="minorHAnsi" w:hAnsiTheme="minorHAnsi"/>
        </w:rPr>
        <w:t xml:space="preserve"> powers of the latter over the former. The Court said: “Measures which encourage cabaret owners and managers to track down missing artistes or in some other way to take personal responsibility for the conduct of artistes are unacceptable in the broader context of trafficking concerns regarding artistes in Cyprus.”</w:t>
      </w:r>
      <w:r w:rsidRPr="00E10D79">
        <w:rPr>
          <w:rStyle w:val="FootnoteReference"/>
          <w:rFonts w:asciiTheme="minorHAnsi" w:hAnsiTheme="minorHAnsi"/>
        </w:rPr>
        <w:footnoteReference w:id="31"/>
      </w:r>
      <w:r w:rsidRPr="00E10D79">
        <w:rPr>
          <w:rFonts w:asciiTheme="minorHAnsi" w:hAnsiTheme="minorHAnsi"/>
        </w:rPr>
        <w:t xml:space="preserve"> </w:t>
      </w:r>
    </w:p>
    <w:p w14:paraId="749A1E80" w14:textId="6D679A20" w:rsidR="00A72602" w:rsidRPr="00E10D79" w:rsidRDefault="004B17B5" w:rsidP="00B8483F">
      <w:pPr>
        <w:jc w:val="both"/>
        <w:rPr>
          <w:rFonts w:asciiTheme="minorHAnsi" w:hAnsiTheme="minorHAnsi"/>
        </w:rPr>
      </w:pPr>
      <w:r>
        <w:rPr>
          <w:rFonts w:asciiTheme="minorHAnsi" w:hAnsiTheme="minorHAnsi"/>
        </w:rPr>
        <w:t>In</w:t>
      </w:r>
      <w:r w:rsidRPr="00E10D79">
        <w:rPr>
          <w:rFonts w:asciiTheme="minorHAnsi" w:hAnsiTheme="minorHAnsi"/>
        </w:rPr>
        <w:t xml:space="preserve"> </w:t>
      </w:r>
      <w:r w:rsidR="00A72602" w:rsidRPr="00E10D79">
        <w:rPr>
          <w:rFonts w:asciiTheme="minorHAnsi" w:hAnsiTheme="minorHAnsi"/>
        </w:rPr>
        <w:t xml:space="preserve">the </w:t>
      </w:r>
      <w:r w:rsidR="00A72602" w:rsidRPr="00E10D79">
        <w:rPr>
          <w:rFonts w:asciiTheme="minorHAnsi" w:hAnsiTheme="minorHAnsi"/>
          <w:i/>
        </w:rPr>
        <w:t>Rantsev</w:t>
      </w:r>
      <w:r w:rsidR="00A72602" w:rsidRPr="00E10D79">
        <w:rPr>
          <w:rFonts w:asciiTheme="minorHAnsi" w:hAnsiTheme="minorHAnsi"/>
        </w:rPr>
        <w:t xml:space="preserve"> reasoning, </w:t>
      </w:r>
      <w:r w:rsidR="00B8483F" w:rsidRPr="00E10D79">
        <w:rPr>
          <w:rFonts w:asciiTheme="minorHAnsi" w:hAnsiTheme="minorHAnsi"/>
        </w:rPr>
        <w:t xml:space="preserve">the </w:t>
      </w:r>
      <w:r>
        <w:rPr>
          <w:rFonts w:asciiTheme="minorHAnsi" w:hAnsiTheme="minorHAnsi"/>
        </w:rPr>
        <w:t>Court</w:t>
      </w:r>
      <w:r w:rsidRPr="00E10D79">
        <w:rPr>
          <w:rFonts w:asciiTheme="minorHAnsi" w:hAnsiTheme="minorHAnsi"/>
        </w:rPr>
        <w:t xml:space="preserve"> </w:t>
      </w:r>
      <w:r w:rsidR="00B8483F" w:rsidRPr="00E10D79">
        <w:rPr>
          <w:rFonts w:asciiTheme="minorHAnsi" w:hAnsiTheme="minorHAnsi"/>
        </w:rPr>
        <w:t xml:space="preserve">recognises that </w:t>
      </w:r>
      <w:r w:rsidR="00A72602" w:rsidRPr="00E10D79">
        <w:rPr>
          <w:rFonts w:asciiTheme="minorHAnsi" w:hAnsiTheme="minorHAnsi"/>
        </w:rPr>
        <w:t>immigration law and policy may contribute to creating conditions for trafficking of migrant women and girls, including into gendered sectors</w:t>
      </w:r>
      <w:r w:rsidR="00B8483F" w:rsidRPr="00E10D79">
        <w:rPr>
          <w:rFonts w:asciiTheme="minorHAnsi" w:hAnsiTheme="minorHAnsi"/>
        </w:rPr>
        <w:t xml:space="preserve">. Consequently, </w:t>
      </w:r>
      <w:r w:rsidR="00A72602" w:rsidRPr="00E10D79">
        <w:rPr>
          <w:rFonts w:asciiTheme="minorHAnsi" w:hAnsiTheme="minorHAnsi"/>
        </w:rPr>
        <w:t>“</w:t>
      </w:r>
      <w:r w:rsidR="00B8483F" w:rsidRPr="00E10D79">
        <w:rPr>
          <w:rFonts w:asciiTheme="minorHAnsi" w:hAnsiTheme="minorHAnsi"/>
        </w:rPr>
        <w:t>t</w:t>
      </w:r>
      <w:r w:rsidR="00A72602" w:rsidRPr="00E10D79">
        <w:rPr>
          <w:rFonts w:asciiTheme="minorHAnsi" w:hAnsiTheme="minorHAnsi"/>
        </w:rPr>
        <w:t xml:space="preserve">he spectrum of safeguards set out in national legislation must be </w:t>
      </w:r>
      <w:r w:rsidR="00A72602" w:rsidRPr="00E10D79">
        <w:rPr>
          <w:rFonts w:asciiTheme="minorHAnsi" w:hAnsiTheme="minorHAnsi"/>
          <w:i/>
        </w:rPr>
        <w:t>adequate</w:t>
      </w:r>
      <w:r w:rsidR="00A72602" w:rsidRPr="00E10D79">
        <w:rPr>
          <w:rFonts w:asciiTheme="minorHAnsi" w:hAnsiTheme="minorHAnsi"/>
        </w:rPr>
        <w:t xml:space="preserve"> to ensure the </w:t>
      </w:r>
      <w:r w:rsidR="00A72602" w:rsidRPr="00E10D79">
        <w:rPr>
          <w:rFonts w:asciiTheme="minorHAnsi" w:hAnsiTheme="minorHAnsi"/>
          <w:i/>
        </w:rPr>
        <w:t xml:space="preserve">practical </w:t>
      </w:r>
      <w:r w:rsidR="00A72602" w:rsidRPr="00E10D79">
        <w:rPr>
          <w:rFonts w:asciiTheme="minorHAnsi" w:hAnsiTheme="minorHAnsi"/>
        </w:rPr>
        <w:t>and</w:t>
      </w:r>
      <w:r w:rsidR="00A72602" w:rsidRPr="00E10D79">
        <w:rPr>
          <w:rFonts w:asciiTheme="minorHAnsi" w:hAnsiTheme="minorHAnsi"/>
          <w:i/>
        </w:rPr>
        <w:t xml:space="preserve"> effective protection</w:t>
      </w:r>
      <w:r w:rsidR="00A72602" w:rsidRPr="00E10D79">
        <w:rPr>
          <w:rFonts w:asciiTheme="minorHAnsi" w:hAnsiTheme="minorHAnsi"/>
        </w:rPr>
        <w:t xml:space="preserve"> of the rights of victims or p</w:t>
      </w:r>
      <w:r w:rsidR="00B11909">
        <w:rPr>
          <w:rFonts w:asciiTheme="minorHAnsi" w:hAnsiTheme="minorHAnsi"/>
        </w:rPr>
        <w:t>otential victims of trafficking</w:t>
      </w:r>
      <w:r w:rsidR="00A72602" w:rsidRPr="00E10D79">
        <w:rPr>
          <w:rFonts w:asciiTheme="minorHAnsi" w:hAnsiTheme="minorHAnsi"/>
        </w:rPr>
        <w:t>”</w:t>
      </w:r>
      <w:r w:rsidR="00B8483F" w:rsidRPr="00E10D79">
        <w:rPr>
          <w:rFonts w:asciiTheme="minorHAnsi" w:hAnsiTheme="minorHAnsi"/>
        </w:rPr>
        <w:t>.</w:t>
      </w:r>
      <w:r w:rsidR="00A72602" w:rsidRPr="00E10D79">
        <w:rPr>
          <w:rStyle w:val="FootnoteReference"/>
          <w:rFonts w:asciiTheme="minorHAnsi" w:hAnsiTheme="minorHAnsi"/>
        </w:rPr>
        <w:footnoteReference w:id="32"/>
      </w:r>
      <w:r w:rsidR="00B8483F" w:rsidRPr="00E10D79">
        <w:rPr>
          <w:rFonts w:asciiTheme="minorHAnsi" w:hAnsiTheme="minorHAnsi"/>
        </w:rPr>
        <w:t xml:space="preserve"> </w:t>
      </w:r>
      <w:r w:rsidR="00A72602" w:rsidRPr="00E10D79">
        <w:rPr>
          <w:rFonts w:asciiTheme="minorHAnsi" w:hAnsiTheme="minorHAnsi"/>
        </w:rPr>
        <w:t xml:space="preserve">Adequate national frameworks </w:t>
      </w:r>
      <w:r w:rsidR="00A72602" w:rsidRPr="00E10D79">
        <w:rPr>
          <w:rFonts w:asciiTheme="minorHAnsi" w:hAnsiTheme="minorHAnsi"/>
        </w:rPr>
        <w:lastRenderedPageBreak/>
        <w:t>entail going beyond criminal laws to punish traffickers and ensuring that “a State’s immigration rules […] address[es] relevant concerns relating to encouragement, facilitation or tolerance of trafficking.”</w:t>
      </w:r>
      <w:r w:rsidR="00A72602" w:rsidRPr="00E10D79">
        <w:rPr>
          <w:rStyle w:val="FootnoteReference"/>
          <w:rFonts w:asciiTheme="minorHAnsi" w:hAnsiTheme="minorHAnsi"/>
        </w:rPr>
        <w:footnoteReference w:id="33"/>
      </w:r>
      <w:r w:rsidR="00A72602" w:rsidRPr="00E10D79">
        <w:rPr>
          <w:rFonts w:asciiTheme="minorHAnsi" w:hAnsiTheme="minorHAnsi"/>
        </w:rPr>
        <w:t xml:space="preserve">   </w:t>
      </w:r>
    </w:p>
    <w:p w14:paraId="579115AD" w14:textId="77777777" w:rsidR="00F84E94" w:rsidRPr="00E10D79" w:rsidRDefault="00A72602" w:rsidP="001953BB">
      <w:pPr>
        <w:jc w:val="both"/>
        <w:rPr>
          <w:rFonts w:asciiTheme="minorHAnsi" w:hAnsiTheme="minorHAnsi"/>
        </w:rPr>
      </w:pPr>
      <w:r w:rsidRPr="00E10D79">
        <w:rPr>
          <w:rFonts w:asciiTheme="minorHAnsi" w:hAnsiTheme="minorHAnsi"/>
        </w:rPr>
        <w:t xml:space="preserve">Feminist legal scholars have </w:t>
      </w:r>
      <w:r w:rsidR="00B8483F" w:rsidRPr="00E10D79">
        <w:rPr>
          <w:rFonts w:asciiTheme="minorHAnsi" w:hAnsiTheme="minorHAnsi"/>
        </w:rPr>
        <w:t xml:space="preserve">since </w:t>
      </w:r>
      <w:r w:rsidRPr="00E10D79">
        <w:rPr>
          <w:rFonts w:asciiTheme="minorHAnsi" w:hAnsiTheme="minorHAnsi"/>
        </w:rPr>
        <w:t>uncovered the gender stereotype implicit in the Cypriot artiste visa regime: female artistes as “the (sexual) property of their employers.”</w:t>
      </w:r>
      <w:r w:rsidRPr="00E10D79">
        <w:rPr>
          <w:rStyle w:val="FootnoteReference"/>
          <w:rFonts w:asciiTheme="minorHAnsi" w:hAnsiTheme="minorHAnsi"/>
        </w:rPr>
        <w:footnoteReference w:id="34"/>
      </w:r>
      <w:r w:rsidRPr="00E10D79">
        <w:rPr>
          <w:rFonts w:asciiTheme="minorHAnsi" w:hAnsiTheme="minorHAnsi"/>
        </w:rPr>
        <w:t xml:space="preserve"> The immigration requirement that the agent obtained the visa for the artiste – coupled with the Cypriot police action to call the cabaret manager to collect the artiste because he was “responsible for her” – suggests that “the agents in this system are the (male) cabaret owners and not the women themselves.”</w:t>
      </w:r>
      <w:r w:rsidRPr="00E10D79">
        <w:rPr>
          <w:rStyle w:val="FootnoteReference"/>
          <w:rFonts w:asciiTheme="minorHAnsi" w:hAnsiTheme="minorHAnsi"/>
        </w:rPr>
        <w:footnoteReference w:id="35"/>
      </w:r>
      <w:r w:rsidRPr="00E10D79">
        <w:rPr>
          <w:rFonts w:asciiTheme="minorHAnsi" w:hAnsiTheme="minorHAnsi"/>
        </w:rPr>
        <w:t xml:space="preserve"> The effect is that “women are made dependant on their exploiters.”</w:t>
      </w:r>
      <w:r w:rsidRPr="00E10D79">
        <w:rPr>
          <w:rStyle w:val="FootnoteReference"/>
          <w:rFonts w:asciiTheme="minorHAnsi" w:hAnsiTheme="minorHAnsi"/>
        </w:rPr>
        <w:footnoteReference w:id="36"/>
      </w:r>
      <w:r w:rsidRPr="00E10D79">
        <w:rPr>
          <w:rFonts w:asciiTheme="minorHAnsi" w:hAnsiTheme="minorHAnsi"/>
        </w:rPr>
        <w:t xml:space="preserve"> </w:t>
      </w:r>
    </w:p>
    <w:p w14:paraId="73F96D61" w14:textId="77777777" w:rsidR="00A72602" w:rsidRPr="00E10D79" w:rsidRDefault="00A72602" w:rsidP="001953BB">
      <w:pPr>
        <w:jc w:val="both"/>
        <w:rPr>
          <w:rFonts w:asciiTheme="minorHAnsi" w:hAnsiTheme="minorHAnsi"/>
        </w:rPr>
      </w:pPr>
      <w:r w:rsidRPr="00E10D79">
        <w:rPr>
          <w:rFonts w:asciiTheme="minorHAnsi" w:hAnsiTheme="minorHAnsi"/>
        </w:rPr>
        <w:t xml:space="preserve">From the feminist analysis of </w:t>
      </w:r>
      <w:r w:rsidRPr="00E10D79">
        <w:rPr>
          <w:rFonts w:asciiTheme="minorHAnsi" w:hAnsiTheme="minorHAnsi"/>
          <w:i/>
        </w:rPr>
        <w:t>Rantsev</w:t>
      </w:r>
      <w:r w:rsidRPr="00E10D79">
        <w:rPr>
          <w:rFonts w:asciiTheme="minorHAnsi" w:hAnsiTheme="minorHAnsi"/>
        </w:rPr>
        <w:t>, the following points are key for present purposes:  State immigration law and policy may be informed by harmful gender stereo</w:t>
      </w:r>
      <w:r w:rsidRPr="00E10D79">
        <w:rPr>
          <w:rFonts w:asciiTheme="minorHAnsi" w:hAnsiTheme="minorHAnsi"/>
        </w:rPr>
        <w:lastRenderedPageBreak/>
        <w:t>types</w:t>
      </w:r>
      <w:r w:rsidR="00B8483F" w:rsidRPr="00E10D79">
        <w:rPr>
          <w:rFonts w:asciiTheme="minorHAnsi" w:hAnsiTheme="minorHAnsi"/>
        </w:rPr>
        <w:t>; and a</w:t>
      </w:r>
      <w:r w:rsidRPr="00E10D79">
        <w:rPr>
          <w:rFonts w:asciiTheme="minorHAnsi" w:hAnsiTheme="minorHAnsi"/>
        </w:rPr>
        <w:t>ppropriate measures to combat trafficking of women and girls should require non-gender-discriminatory immigration rules, including immigration rules free from harmful gender stereotypes</w:t>
      </w:r>
      <w:r w:rsidR="00B8483F" w:rsidRPr="00E10D79">
        <w:rPr>
          <w:rFonts w:asciiTheme="minorHAnsi" w:hAnsiTheme="minorHAnsi"/>
        </w:rPr>
        <w:t>.</w:t>
      </w:r>
      <w:r w:rsidRPr="00E10D79">
        <w:rPr>
          <w:rFonts w:asciiTheme="minorHAnsi" w:hAnsiTheme="minorHAnsi"/>
        </w:rPr>
        <w:t xml:space="preserve"> </w:t>
      </w:r>
    </w:p>
    <w:p w14:paraId="42E612C8" w14:textId="77777777" w:rsidR="00DD7427" w:rsidRDefault="00DD7427" w:rsidP="001953BB">
      <w:pPr>
        <w:jc w:val="both"/>
        <w:rPr>
          <w:rFonts w:asciiTheme="minorHAnsi" w:hAnsiTheme="minorHAnsi"/>
        </w:rPr>
      </w:pPr>
    </w:p>
    <w:p w14:paraId="0F6B55E8" w14:textId="77777777" w:rsidR="00DD7427" w:rsidRDefault="00DD7427" w:rsidP="001953BB">
      <w:pPr>
        <w:jc w:val="both"/>
        <w:rPr>
          <w:rFonts w:asciiTheme="minorHAnsi" w:hAnsiTheme="minorHAnsi"/>
        </w:rPr>
      </w:pPr>
    </w:p>
    <w:p w14:paraId="23CB5131" w14:textId="77777777" w:rsidR="00A00EC8" w:rsidRPr="00E10D79" w:rsidRDefault="00A72602" w:rsidP="001953BB">
      <w:pPr>
        <w:jc w:val="both"/>
        <w:rPr>
          <w:rFonts w:asciiTheme="minorHAnsi" w:hAnsiTheme="minorHAnsi"/>
        </w:rPr>
      </w:pPr>
      <w:r w:rsidRPr="00E10D79">
        <w:rPr>
          <w:rFonts w:asciiTheme="minorHAnsi" w:hAnsiTheme="minorHAnsi"/>
        </w:rPr>
        <w:t xml:space="preserve">We respectfully suggest that Article 6 obligation to “take all appropriate measures, including legislation, to suppress all forms of traffic in women” should go beyond putting in place criminal law measures to punish individual traffickers. </w:t>
      </w:r>
    </w:p>
    <w:p w14:paraId="49F68936" w14:textId="1CB08340" w:rsidR="00A00EC8" w:rsidRPr="00E10D79" w:rsidRDefault="00A72602" w:rsidP="001953BB">
      <w:pPr>
        <w:jc w:val="both"/>
        <w:rPr>
          <w:rFonts w:asciiTheme="minorHAnsi" w:hAnsiTheme="minorHAnsi"/>
        </w:rPr>
      </w:pPr>
      <w:r w:rsidRPr="00E10D79">
        <w:rPr>
          <w:rFonts w:asciiTheme="minorHAnsi" w:hAnsiTheme="minorHAnsi"/>
        </w:rPr>
        <w:t xml:space="preserve">In interpreting state obligations under Article 6, the CEDAW Committee may draw inspiration from the Strasbourg Court’s principle in </w:t>
      </w:r>
      <w:r w:rsidRPr="00E10D79">
        <w:rPr>
          <w:rFonts w:asciiTheme="minorHAnsi" w:hAnsiTheme="minorHAnsi"/>
          <w:i/>
        </w:rPr>
        <w:t>Rantsev</w:t>
      </w:r>
      <w:r w:rsidRPr="00E10D79">
        <w:rPr>
          <w:rFonts w:asciiTheme="minorHAnsi" w:hAnsiTheme="minorHAnsi"/>
        </w:rPr>
        <w:t>: “a State’s immigration rules must address relevant concerns relating to encouragement, facilitation or tolerance of trafficking.”</w:t>
      </w:r>
      <w:r w:rsidR="00A00EC8" w:rsidRPr="00E10D79">
        <w:rPr>
          <w:rStyle w:val="FootnoteReference"/>
          <w:rFonts w:asciiTheme="minorHAnsi" w:hAnsiTheme="minorHAnsi"/>
        </w:rPr>
        <w:t xml:space="preserve"> </w:t>
      </w:r>
      <w:r w:rsidR="00A00EC8" w:rsidRPr="00E10D79">
        <w:rPr>
          <w:rStyle w:val="FootnoteReference"/>
          <w:rFonts w:asciiTheme="minorHAnsi" w:hAnsiTheme="minorHAnsi"/>
        </w:rPr>
        <w:footnoteReference w:id="37"/>
      </w:r>
      <w:r w:rsidRPr="00E10D79">
        <w:rPr>
          <w:rFonts w:asciiTheme="minorHAnsi" w:hAnsiTheme="minorHAnsi"/>
        </w:rPr>
        <w:t xml:space="preserve"> This obligation may </w:t>
      </w:r>
      <w:r w:rsidR="00A00EC8" w:rsidRPr="00E10D79">
        <w:rPr>
          <w:rFonts w:asciiTheme="minorHAnsi" w:hAnsiTheme="minorHAnsi"/>
        </w:rPr>
        <w:t>be particularly relevant where S</w:t>
      </w:r>
      <w:r w:rsidRPr="00E10D79">
        <w:rPr>
          <w:rFonts w:asciiTheme="minorHAnsi" w:hAnsiTheme="minorHAnsi"/>
        </w:rPr>
        <w:t>tates are aware of the effects of their immigration rules (i.e. that these rules are enabling trafficking)</w:t>
      </w:r>
      <w:r w:rsidR="00A00EC8" w:rsidRPr="00E10D79">
        <w:rPr>
          <w:rFonts w:asciiTheme="minorHAnsi" w:hAnsiTheme="minorHAnsi"/>
        </w:rPr>
        <w:t>. However, as S</w:t>
      </w:r>
      <w:r w:rsidRPr="00E10D79">
        <w:rPr>
          <w:rFonts w:asciiTheme="minorHAnsi" w:hAnsiTheme="minorHAnsi"/>
        </w:rPr>
        <w:t xml:space="preserve">tates may not always be aware of the effects of their immigration norms (or may deny the </w:t>
      </w:r>
      <w:r w:rsidR="00A00EC8" w:rsidRPr="00E10D79">
        <w:rPr>
          <w:rFonts w:asciiTheme="minorHAnsi" w:hAnsiTheme="minorHAnsi"/>
        </w:rPr>
        <w:t>effects they have in reality), S</w:t>
      </w:r>
      <w:r w:rsidRPr="00E10D79">
        <w:rPr>
          <w:rFonts w:asciiTheme="minorHAnsi" w:hAnsiTheme="minorHAnsi"/>
        </w:rPr>
        <w:t xml:space="preserve">tates may provide for a self-monitoring </w:t>
      </w:r>
      <w:r w:rsidRPr="00E10D79">
        <w:rPr>
          <w:rFonts w:asciiTheme="minorHAnsi" w:hAnsiTheme="minorHAnsi"/>
        </w:rPr>
        <w:lastRenderedPageBreak/>
        <w:t xml:space="preserve">mechanism so as to ensure that these norms are not in practice (sometimes unintendedly) contributing to creating trafficking conditions in gendered sectors. </w:t>
      </w:r>
    </w:p>
    <w:p w14:paraId="5947E2E9" w14:textId="77777777" w:rsidR="00A72602" w:rsidRDefault="00A72602" w:rsidP="00E35B1E">
      <w:pPr>
        <w:spacing w:after="120"/>
        <w:jc w:val="both"/>
        <w:rPr>
          <w:rFonts w:asciiTheme="minorHAnsi" w:hAnsiTheme="minorHAnsi"/>
        </w:rPr>
      </w:pPr>
      <w:r w:rsidRPr="00E10D79">
        <w:rPr>
          <w:rFonts w:asciiTheme="minorHAnsi" w:hAnsiTheme="minorHAnsi"/>
        </w:rPr>
        <w:t xml:space="preserve">In line with </w:t>
      </w:r>
      <w:r w:rsidR="0056215C" w:rsidRPr="00E10D79">
        <w:rPr>
          <w:rFonts w:asciiTheme="minorHAnsi" w:hAnsiTheme="minorHAnsi"/>
        </w:rPr>
        <w:t xml:space="preserve">CEDAW </w:t>
      </w:r>
      <w:r w:rsidRPr="00E10D79">
        <w:rPr>
          <w:rFonts w:asciiTheme="minorHAnsi" w:hAnsiTheme="minorHAnsi"/>
        </w:rPr>
        <w:t>Article 5, t</w:t>
      </w:r>
      <w:r w:rsidR="0056215C" w:rsidRPr="00E10D79">
        <w:rPr>
          <w:rFonts w:asciiTheme="minorHAnsi" w:hAnsiTheme="minorHAnsi"/>
        </w:rPr>
        <w:t xml:space="preserve">he Committee may </w:t>
      </w:r>
      <w:r w:rsidR="004B17B5">
        <w:rPr>
          <w:rFonts w:asciiTheme="minorHAnsi" w:hAnsiTheme="minorHAnsi"/>
        </w:rPr>
        <w:t xml:space="preserve">further </w:t>
      </w:r>
      <w:r w:rsidR="0056215C" w:rsidRPr="00E10D79">
        <w:rPr>
          <w:rFonts w:asciiTheme="minorHAnsi" w:hAnsiTheme="minorHAnsi"/>
        </w:rPr>
        <w:t>outline a S</w:t>
      </w:r>
      <w:r w:rsidRPr="00E10D79">
        <w:rPr>
          <w:rFonts w:asciiTheme="minorHAnsi" w:hAnsiTheme="minorHAnsi"/>
        </w:rPr>
        <w:t>tate obligation to ensure that immigration rules do not reinforce gender stereotypes conducive to trafficking of women and girls, including the stereotypes of male sexual entitlement, control, and ownership.</w:t>
      </w:r>
      <w:r w:rsidRPr="00E10D79">
        <w:rPr>
          <w:rStyle w:val="FootnoteReference"/>
          <w:rFonts w:asciiTheme="minorHAnsi" w:hAnsiTheme="minorHAnsi"/>
        </w:rPr>
        <w:footnoteReference w:id="38"/>
      </w:r>
      <w:r w:rsidRPr="00E10D79">
        <w:rPr>
          <w:rFonts w:asciiTheme="minorHAnsi" w:hAnsiTheme="minorHAnsi"/>
        </w:rPr>
        <w:t xml:space="preserve"> </w:t>
      </w:r>
    </w:p>
    <w:p w14:paraId="35D8DAD0" w14:textId="77777777" w:rsidR="00E35B1E" w:rsidRDefault="00E35B1E" w:rsidP="00E35B1E">
      <w:pPr>
        <w:spacing w:after="120"/>
        <w:jc w:val="both"/>
        <w:rPr>
          <w:rFonts w:asciiTheme="minorHAnsi" w:hAnsiTheme="minorHAnsi"/>
          <w:i/>
        </w:rPr>
      </w:pPr>
    </w:p>
    <w:p w14:paraId="5B4F330E" w14:textId="77777777" w:rsidR="00A72602" w:rsidRPr="00B11909" w:rsidRDefault="0056215C" w:rsidP="00E35B1E">
      <w:pPr>
        <w:spacing w:after="120"/>
        <w:jc w:val="both"/>
        <w:rPr>
          <w:rFonts w:asciiTheme="minorHAnsi" w:hAnsiTheme="minorHAnsi"/>
          <w:i/>
        </w:rPr>
      </w:pPr>
      <w:r w:rsidRPr="00B11909">
        <w:rPr>
          <w:rFonts w:asciiTheme="minorHAnsi" w:hAnsiTheme="minorHAnsi"/>
          <w:i/>
        </w:rPr>
        <w:t>W</w:t>
      </w:r>
      <w:r w:rsidR="00A72602" w:rsidRPr="00B11909">
        <w:rPr>
          <w:rFonts w:asciiTheme="minorHAnsi" w:hAnsiTheme="minorHAnsi"/>
          <w:i/>
        </w:rPr>
        <w:t xml:space="preserve">e respectfully close this part with the following </w:t>
      </w:r>
      <w:r w:rsidR="00BE6347" w:rsidRPr="00B11909">
        <w:rPr>
          <w:rFonts w:asciiTheme="minorHAnsi" w:hAnsiTheme="minorHAnsi"/>
          <w:i/>
        </w:rPr>
        <w:t>recommendation</w:t>
      </w:r>
      <w:r w:rsidR="00A72602" w:rsidRPr="00B11909">
        <w:rPr>
          <w:rFonts w:asciiTheme="minorHAnsi" w:hAnsiTheme="minorHAnsi"/>
          <w:i/>
        </w:rPr>
        <w:t xml:space="preserve">s: </w:t>
      </w:r>
    </w:p>
    <w:p w14:paraId="08668398" w14:textId="77777777" w:rsidR="00A72602" w:rsidRPr="00B11909" w:rsidRDefault="00A72602" w:rsidP="001953BB">
      <w:pPr>
        <w:pStyle w:val="ListParagraph"/>
        <w:numPr>
          <w:ilvl w:val="0"/>
          <w:numId w:val="5"/>
        </w:numPr>
        <w:spacing w:after="0"/>
        <w:jc w:val="both"/>
        <w:rPr>
          <w:rFonts w:asciiTheme="minorHAnsi" w:hAnsiTheme="minorHAnsi"/>
          <w:i/>
        </w:rPr>
      </w:pPr>
      <w:r w:rsidRPr="00B11909">
        <w:rPr>
          <w:rFonts w:asciiTheme="minorHAnsi" w:hAnsiTheme="minorHAnsi"/>
          <w:i/>
        </w:rPr>
        <w:t>In combating trafficking of women and girls it is fundamental to illuminate the role the state may play in enabling exploitation by private actors or state agents through its immigration law and policy.</w:t>
      </w:r>
      <w:r w:rsidRPr="00B11909">
        <w:rPr>
          <w:rStyle w:val="FootnoteReference"/>
          <w:rFonts w:asciiTheme="minorHAnsi" w:hAnsiTheme="minorHAnsi"/>
          <w:i/>
        </w:rPr>
        <w:footnoteReference w:id="39"/>
      </w:r>
      <w:r w:rsidRPr="00B11909">
        <w:rPr>
          <w:rFonts w:asciiTheme="minorHAnsi" w:hAnsiTheme="minorHAnsi"/>
          <w:i/>
        </w:rPr>
        <w:t xml:space="preserve"> </w:t>
      </w:r>
    </w:p>
    <w:p w14:paraId="5FD31A16" w14:textId="77777777" w:rsidR="00A72602" w:rsidRPr="00B11909" w:rsidRDefault="00A72602" w:rsidP="001953BB">
      <w:pPr>
        <w:pStyle w:val="ListParagraph"/>
        <w:numPr>
          <w:ilvl w:val="0"/>
          <w:numId w:val="5"/>
        </w:numPr>
        <w:spacing w:after="0"/>
        <w:jc w:val="both"/>
        <w:rPr>
          <w:rFonts w:asciiTheme="minorHAnsi" w:hAnsiTheme="minorHAnsi"/>
        </w:rPr>
      </w:pPr>
      <w:r w:rsidRPr="00B11909">
        <w:rPr>
          <w:rFonts w:asciiTheme="minorHAnsi" w:hAnsiTheme="minorHAnsi"/>
          <w:i/>
        </w:rPr>
        <w:t xml:space="preserve">The obligation to take “appropriate measures, including legislation” should apply in the immigration sphere and include an obligation to ensure that immigration rules do </w:t>
      </w:r>
      <w:r w:rsidRPr="00B11909">
        <w:rPr>
          <w:rFonts w:asciiTheme="minorHAnsi" w:hAnsiTheme="minorHAnsi"/>
          <w:i/>
        </w:rPr>
        <w:lastRenderedPageBreak/>
        <w:t>not encourage/facilitate trafficking and are not based on discriminatory gender stereotypes</w:t>
      </w:r>
      <w:r w:rsidR="0056215C" w:rsidRPr="00B11909">
        <w:rPr>
          <w:rFonts w:asciiTheme="minorHAnsi" w:hAnsiTheme="minorHAnsi"/>
          <w:i/>
        </w:rPr>
        <w:t>.</w:t>
      </w:r>
    </w:p>
    <w:p w14:paraId="409C9CDA" w14:textId="7D71C0F3" w:rsidR="00917DE6" w:rsidRDefault="00917DE6">
      <w:pPr>
        <w:rPr>
          <w:rFonts w:asciiTheme="minorHAnsi" w:hAnsiTheme="minorHAnsi"/>
        </w:rPr>
      </w:pPr>
      <w:r>
        <w:rPr>
          <w:rFonts w:asciiTheme="minorHAnsi" w:hAnsiTheme="minorHAnsi"/>
        </w:rPr>
        <w:br w:type="page"/>
      </w:r>
    </w:p>
    <w:p w14:paraId="100438A5" w14:textId="77777777" w:rsidR="0055013C" w:rsidRDefault="0055013C" w:rsidP="001953BB">
      <w:pPr>
        <w:jc w:val="both"/>
        <w:rPr>
          <w:rFonts w:asciiTheme="minorHAnsi" w:hAnsiTheme="minorHAnsi"/>
        </w:rPr>
      </w:pPr>
    </w:p>
    <w:p w14:paraId="533A2F63" w14:textId="0A257A45" w:rsidR="00C22D58" w:rsidRPr="00E10D79" w:rsidRDefault="00C009D4" w:rsidP="001953BB">
      <w:pPr>
        <w:jc w:val="both"/>
        <w:rPr>
          <w:rFonts w:asciiTheme="minorHAnsi" w:hAnsiTheme="minorHAnsi"/>
        </w:rPr>
      </w:pPr>
      <w:r>
        <w:rPr>
          <w:rFonts w:asciiTheme="minorHAnsi" w:hAnsiTheme="minorHAnsi"/>
        </w:rPr>
        <w:t xml:space="preserve">We </w:t>
      </w:r>
      <w:r w:rsidR="00C22D58">
        <w:rPr>
          <w:rFonts w:asciiTheme="minorHAnsi" w:hAnsiTheme="minorHAnsi"/>
        </w:rPr>
        <w:t xml:space="preserve">wish to express our thanks to the CEDAW Committee for the </w:t>
      </w:r>
      <w:r w:rsidR="00CA22E4">
        <w:rPr>
          <w:rFonts w:asciiTheme="minorHAnsi" w:hAnsiTheme="minorHAnsi"/>
        </w:rPr>
        <w:t>opportunity</w:t>
      </w:r>
      <w:r w:rsidR="00C22D58">
        <w:rPr>
          <w:rFonts w:asciiTheme="minorHAnsi" w:hAnsiTheme="minorHAnsi"/>
        </w:rPr>
        <w:t xml:space="preserve"> to make a submission and look forward to further discussions in the elaboration of the General Recommendation</w:t>
      </w:r>
      <w:r w:rsidR="00B7294D">
        <w:rPr>
          <w:rFonts w:asciiTheme="minorHAnsi" w:hAnsiTheme="minorHAnsi"/>
        </w:rPr>
        <w:t xml:space="preserve"> </w:t>
      </w:r>
      <w:r w:rsidR="00300AE0" w:rsidRPr="00FB4362">
        <w:rPr>
          <w:rFonts w:asciiTheme="minorHAnsi" w:hAnsiTheme="minorHAnsi"/>
        </w:rPr>
        <w:t xml:space="preserve">on trafficking in women and girls in the </w:t>
      </w:r>
      <w:r w:rsidR="00154E99" w:rsidRPr="00FB4362">
        <w:rPr>
          <w:rFonts w:asciiTheme="minorHAnsi" w:hAnsiTheme="minorHAnsi"/>
        </w:rPr>
        <w:t>context of global migration</w:t>
      </w:r>
      <w:r w:rsidR="00C22D58" w:rsidRPr="00FB4362">
        <w:rPr>
          <w:rFonts w:asciiTheme="minorHAnsi" w:hAnsiTheme="minorHAnsi"/>
        </w:rPr>
        <w:t>.</w:t>
      </w:r>
      <w:r>
        <w:rPr>
          <w:rFonts w:asciiTheme="minorHAnsi" w:hAnsiTheme="minorHAnsi"/>
        </w:rPr>
        <w:t xml:space="preserve"> </w:t>
      </w:r>
    </w:p>
    <w:p w14:paraId="7A38BAC9" w14:textId="77777777" w:rsidR="009C3E11" w:rsidRDefault="009C3E11" w:rsidP="001953BB">
      <w:pPr>
        <w:jc w:val="both"/>
        <w:rPr>
          <w:rFonts w:asciiTheme="minorHAnsi" w:hAnsiTheme="minorHAnsi"/>
        </w:rPr>
      </w:pPr>
    </w:p>
    <w:p w14:paraId="6D629858" w14:textId="77777777" w:rsidR="00CA1A80" w:rsidRPr="00E10D79" w:rsidRDefault="00A039B6" w:rsidP="001953BB">
      <w:pPr>
        <w:jc w:val="both"/>
        <w:rPr>
          <w:rFonts w:asciiTheme="minorHAnsi" w:hAnsiTheme="minorHAnsi"/>
        </w:rPr>
      </w:pPr>
      <w:r w:rsidRPr="00E10D79">
        <w:rPr>
          <w:rFonts w:asciiTheme="minorHAnsi" w:hAnsiTheme="minorHAnsi"/>
        </w:rPr>
        <w:t>Submitted by:</w:t>
      </w:r>
    </w:p>
    <w:p w14:paraId="64639BCE" w14:textId="77777777" w:rsidR="00F11204" w:rsidRDefault="00A039B6" w:rsidP="00B97DF7">
      <w:pPr>
        <w:spacing w:after="0"/>
        <w:rPr>
          <w:rFonts w:asciiTheme="minorHAnsi" w:hAnsiTheme="minorHAnsi"/>
        </w:rPr>
      </w:pPr>
      <w:r w:rsidRPr="00E10D79">
        <w:rPr>
          <w:rFonts w:asciiTheme="minorHAnsi" w:hAnsiTheme="minorHAnsi"/>
        </w:rPr>
        <w:t>Dr Thomas Bundschuh</w:t>
      </w:r>
      <w:r w:rsidR="00F11204">
        <w:rPr>
          <w:rFonts w:asciiTheme="minorHAnsi" w:hAnsiTheme="minorHAnsi"/>
        </w:rPr>
        <w:t xml:space="preserve">, </w:t>
      </w:r>
    </w:p>
    <w:p w14:paraId="7D259BED" w14:textId="68C94584" w:rsidR="00B97DF7" w:rsidRPr="00B97DF7" w:rsidRDefault="00F11204" w:rsidP="00B97DF7">
      <w:pPr>
        <w:spacing w:after="0"/>
        <w:rPr>
          <w:rFonts w:asciiTheme="minorHAnsi" w:hAnsiTheme="minorHAnsi"/>
          <w:i/>
        </w:rPr>
      </w:pPr>
      <w:r w:rsidRPr="00B97DF7">
        <w:rPr>
          <w:rFonts w:asciiTheme="minorHAnsi" w:hAnsiTheme="minorHAnsi"/>
          <w:i/>
        </w:rPr>
        <w:t>Senior Lecturer in Human Rights, Co-Chair HKC W</w:t>
      </w:r>
      <w:r w:rsidR="003A5645">
        <w:rPr>
          <w:rFonts w:asciiTheme="minorHAnsi" w:hAnsiTheme="minorHAnsi"/>
          <w:i/>
        </w:rPr>
        <w:t xml:space="preserve">orking </w:t>
      </w:r>
      <w:r w:rsidRPr="00B97DF7">
        <w:rPr>
          <w:rFonts w:asciiTheme="minorHAnsi" w:hAnsiTheme="minorHAnsi"/>
          <w:i/>
        </w:rPr>
        <w:t>G</w:t>
      </w:r>
      <w:r w:rsidR="003A5645">
        <w:rPr>
          <w:rFonts w:asciiTheme="minorHAnsi" w:hAnsiTheme="minorHAnsi"/>
          <w:i/>
        </w:rPr>
        <w:t>roup</w:t>
      </w:r>
      <w:r w:rsidRPr="00B97DF7">
        <w:rPr>
          <w:rFonts w:asciiTheme="minorHAnsi" w:hAnsiTheme="minorHAnsi"/>
          <w:i/>
        </w:rPr>
        <w:t xml:space="preserve"> </w:t>
      </w:r>
      <w:r w:rsidR="00641069">
        <w:rPr>
          <w:rFonts w:asciiTheme="minorHAnsi" w:hAnsiTheme="minorHAnsi"/>
          <w:i/>
        </w:rPr>
        <w:t xml:space="preserve">on </w:t>
      </w:r>
      <w:r w:rsidRPr="00B97DF7">
        <w:rPr>
          <w:rFonts w:asciiTheme="minorHAnsi" w:hAnsiTheme="minorHAnsi"/>
          <w:i/>
        </w:rPr>
        <w:t>Human Trafficking</w:t>
      </w:r>
      <w:r w:rsidR="00B97DF7" w:rsidRPr="00B97DF7">
        <w:rPr>
          <w:rFonts w:asciiTheme="minorHAnsi" w:hAnsiTheme="minorHAnsi"/>
          <w:i/>
        </w:rPr>
        <w:t>,</w:t>
      </w:r>
    </w:p>
    <w:p w14:paraId="22EBF5B2" w14:textId="77777777" w:rsidR="00B97DF7" w:rsidRDefault="00B97DF7" w:rsidP="00B97DF7">
      <w:pPr>
        <w:spacing w:after="0"/>
        <w:rPr>
          <w:rFonts w:asciiTheme="minorHAnsi" w:hAnsiTheme="minorHAnsi"/>
        </w:rPr>
      </w:pPr>
      <w:r w:rsidRPr="00B97DF7">
        <w:rPr>
          <w:rFonts w:asciiTheme="minorHAnsi" w:hAnsiTheme="minorHAnsi"/>
          <w:i/>
        </w:rPr>
        <w:t>Sheffield Hallam University</w:t>
      </w:r>
      <w:r w:rsidR="00A039B6" w:rsidRPr="00B97DF7">
        <w:rPr>
          <w:rFonts w:asciiTheme="minorHAnsi" w:hAnsiTheme="minorHAnsi"/>
          <w:i/>
        </w:rPr>
        <w:br/>
      </w:r>
    </w:p>
    <w:p w14:paraId="786814B4" w14:textId="513D7BBD" w:rsidR="00F11204" w:rsidRDefault="00A039B6" w:rsidP="00B97DF7">
      <w:pPr>
        <w:spacing w:after="0"/>
        <w:rPr>
          <w:rFonts w:asciiTheme="minorHAnsi" w:hAnsiTheme="minorHAnsi"/>
        </w:rPr>
      </w:pPr>
      <w:r w:rsidRPr="00E10D79">
        <w:rPr>
          <w:rFonts w:asciiTheme="minorHAnsi" w:hAnsiTheme="minorHAnsi"/>
        </w:rPr>
        <w:t>Dr Lourdes Peroni</w:t>
      </w:r>
      <w:r w:rsidR="004B17B5">
        <w:rPr>
          <w:rFonts w:asciiTheme="minorHAnsi" w:hAnsiTheme="minorHAnsi"/>
        </w:rPr>
        <w:t xml:space="preserve">, </w:t>
      </w:r>
    </w:p>
    <w:p w14:paraId="56C96557" w14:textId="3B019CBE" w:rsidR="00635FC8" w:rsidRDefault="004B17B5" w:rsidP="00B97DF7">
      <w:pPr>
        <w:spacing w:after="0"/>
        <w:rPr>
          <w:rFonts w:asciiTheme="minorHAnsi" w:hAnsiTheme="minorHAnsi"/>
          <w:i/>
        </w:rPr>
      </w:pPr>
      <w:r w:rsidRPr="00B97DF7">
        <w:rPr>
          <w:rFonts w:asciiTheme="minorHAnsi" w:hAnsiTheme="minorHAnsi"/>
          <w:i/>
        </w:rPr>
        <w:t>Lecturer in Human Rights</w:t>
      </w:r>
      <w:r w:rsidR="008226B2" w:rsidRPr="00B97DF7">
        <w:rPr>
          <w:rFonts w:asciiTheme="minorHAnsi" w:hAnsiTheme="minorHAnsi"/>
          <w:i/>
        </w:rPr>
        <w:t xml:space="preserve">, </w:t>
      </w:r>
      <w:r w:rsidR="00F5344D">
        <w:rPr>
          <w:rFonts w:asciiTheme="minorHAnsi" w:hAnsiTheme="minorHAnsi"/>
          <w:i/>
        </w:rPr>
        <w:t>Helena Kennedy Centre for International Justice</w:t>
      </w:r>
      <w:r w:rsidR="00656681">
        <w:rPr>
          <w:rFonts w:asciiTheme="minorHAnsi" w:hAnsiTheme="minorHAnsi"/>
          <w:i/>
        </w:rPr>
        <w:t xml:space="preserve"> (HKC)</w:t>
      </w:r>
      <w:r w:rsidR="00F5344D">
        <w:rPr>
          <w:rFonts w:asciiTheme="minorHAnsi" w:hAnsiTheme="minorHAnsi"/>
          <w:i/>
        </w:rPr>
        <w:t xml:space="preserve">, </w:t>
      </w:r>
    </w:p>
    <w:p w14:paraId="3EC0E5D7" w14:textId="074197D2" w:rsidR="00B97DF7" w:rsidRDefault="008226B2" w:rsidP="00B97DF7">
      <w:pPr>
        <w:spacing w:after="0"/>
        <w:rPr>
          <w:rFonts w:asciiTheme="minorHAnsi" w:hAnsiTheme="minorHAnsi"/>
        </w:rPr>
      </w:pPr>
      <w:r w:rsidRPr="00B97DF7">
        <w:rPr>
          <w:rFonts w:asciiTheme="minorHAnsi" w:hAnsiTheme="minorHAnsi"/>
          <w:i/>
        </w:rPr>
        <w:t xml:space="preserve">Sheffield Hallam University </w:t>
      </w:r>
      <w:r w:rsidR="004B17B5" w:rsidRPr="00B97DF7">
        <w:rPr>
          <w:rFonts w:asciiTheme="minorHAnsi" w:hAnsiTheme="minorHAnsi"/>
          <w:i/>
        </w:rPr>
        <w:t xml:space="preserve"> </w:t>
      </w:r>
      <w:r w:rsidR="00A039B6" w:rsidRPr="00B97DF7">
        <w:rPr>
          <w:rFonts w:asciiTheme="minorHAnsi" w:hAnsiTheme="minorHAnsi"/>
          <w:i/>
        </w:rPr>
        <w:br/>
      </w:r>
    </w:p>
    <w:p w14:paraId="34657E9B" w14:textId="093E3D54" w:rsidR="00F11204" w:rsidRDefault="00A039B6" w:rsidP="00B97DF7">
      <w:pPr>
        <w:spacing w:after="0"/>
        <w:rPr>
          <w:rFonts w:asciiTheme="minorHAnsi" w:hAnsiTheme="minorHAnsi"/>
        </w:rPr>
      </w:pPr>
      <w:r w:rsidRPr="00E10D79">
        <w:rPr>
          <w:rFonts w:asciiTheme="minorHAnsi" w:hAnsiTheme="minorHAnsi"/>
        </w:rPr>
        <w:t>Mr Matthew Sands</w:t>
      </w:r>
      <w:r w:rsidR="00F11204">
        <w:rPr>
          <w:rFonts w:asciiTheme="minorHAnsi" w:hAnsiTheme="minorHAnsi"/>
        </w:rPr>
        <w:t xml:space="preserve">, </w:t>
      </w:r>
    </w:p>
    <w:p w14:paraId="7A7B5463" w14:textId="19F27BCC" w:rsidR="00A039B6" w:rsidRPr="00B97DF7" w:rsidRDefault="00F11204" w:rsidP="00B97DF7">
      <w:pPr>
        <w:spacing w:after="0"/>
        <w:rPr>
          <w:rFonts w:asciiTheme="minorHAnsi" w:hAnsiTheme="minorHAnsi"/>
          <w:i/>
        </w:rPr>
      </w:pPr>
      <w:r w:rsidRPr="00B97DF7">
        <w:rPr>
          <w:rFonts w:asciiTheme="minorHAnsi" w:hAnsiTheme="minorHAnsi"/>
          <w:i/>
        </w:rPr>
        <w:t>Senior Lecture</w:t>
      </w:r>
      <w:r w:rsidR="00BF2FC9" w:rsidRPr="00B97DF7">
        <w:rPr>
          <w:rFonts w:asciiTheme="minorHAnsi" w:hAnsiTheme="minorHAnsi"/>
          <w:i/>
        </w:rPr>
        <w:t>r</w:t>
      </w:r>
      <w:r w:rsidRPr="00B97DF7">
        <w:rPr>
          <w:rFonts w:asciiTheme="minorHAnsi" w:hAnsiTheme="minorHAnsi"/>
          <w:i/>
        </w:rPr>
        <w:t xml:space="preserve"> in Human Rights Law, Co-Chair HKC W</w:t>
      </w:r>
      <w:r w:rsidR="003A5645">
        <w:rPr>
          <w:rFonts w:asciiTheme="minorHAnsi" w:hAnsiTheme="minorHAnsi"/>
          <w:i/>
        </w:rPr>
        <w:t xml:space="preserve">orking </w:t>
      </w:r>
      <w:r w:rsidRPr="00B97DF7">
        <w:rPr>
          <w:rFonts w:asciiTheme="minorHAnsi" w:hAnsiTheme="minorHAnsi"/>
          <w:i/>
        </w:rPr>
        <w:t>G</w:t>
      </w:r>
      <w:r w:rsidR="003A5645">
        <w:rPr>
          <w:rFonts w:asciiTheme="minorHAnsi" w:hAnsiTheme="minorHAnsi"/>
          <w:i/>
        </w:rPr>
        <w:t>roup</w:t>
      </w:r>
      <w:r w:rsidRPr="00B97DF7">
        <w:rPr>
          <w:rFonts w:asciiTheme="minorHAnsi" w:hAnsiTheme="minorHAnsi"/>
          <w:i/>
        </w:rPr>
        <w:t xml:space="preserve"> </w:t>
      </w:r>
      <w:r w:rsidR="00641069">
        <w:rPr>
          <w:rFonts w:asciiTheme="minorHAnsi" w:hAnsiTheme="minorHAnsi"/>
          <w:i/>
        </w:rPr>
        <w:t xml:space="preserve">on </w:t>
      </w:r>
      <w:r w:rsidRPr="00B97DF7">
        <w:rPr>
          <w:rFonts w:asciiTheme="minorHAnsi" w:hAnsiTheme="minorHAnsi"/>
          <w:i/>
        </w:rPr>
        <w:t>Human Trafficking</w:t>
      </w:r>
      <w:r w:rsidR="00B97DF7" w:rsidRPr="00B97DF7">
        <w:rPr>
          <w:rFonts w:asciiTheme="minorHAnsi" w:hAnsiTheme="minorHAnsi"/>
          <w:i/>
        </w:rPr>
        <w:t>,</w:t>
      </w:r>
    </w:p>
    <w:p w14:paraId="4F2D69C2" w14:textId="391DF265" w:rsidR="00B97DF7" w:rsidRPr="00B97DF7" w:rsidRDefault="00B97DF7" w:rsidP="00B97DF7">
      <w:pPr>
        <w:spacing w:after="0"/>
        <w:rPr>
          <w:rFonts w:asciiTheme="minorHAnsi" w:hAnsiTheme="minorHAnsi"/>
          <w:i/>
        </w:rPr>
      </w:pPr>
      <w:r w:rsidRPr="00B97DF7">
        <w:rPr>
          <w:rFonts w:asciiTheme="minorHAnsi" w:hAnsiTheme="minorHAnsi"/>
          <w:i/>
        </w:rPr>
        <w:lastRenderedPageBreak/>
        <w:t>Sheffield Hallam University</w:t>
      </w:r>
    </w:p>
    <w:p w14:paraId="273E7308" w14:textId="77777777" w:rsidR="00F11204" w:rsidRDefault="00F11204" w:rsidP="00B11595">
      <w:pPr>
        <w:ind w:left="720"/>
        <w:jc w:val="both"/>
        <w:rPr>
          <w:rFonts w:asciiTheme="minorHAnsi" w:hAnsiTheme="minorHAnsi"/>
        </w:rPr>
      </w:pPr>
    </w:p>
    <w:p w14:paraId="686153DF" w14:textId="77777777" w:rsidR="00A039B6" w:rsidRPr="00E10D79" w:rsidRDefault="00A039B6" w:rsidP="00B97DF7">
      <w:pPr>
        <w:jc w:val="both"/>
        <w:rPr>
          <w:rFonts w:asciiTheme="minorHAnsi" w:hAnsiTheme="minorHAnsi"/>
        </w:rPr>
      </w:pPr>
      <w:r w:rsidRPr="00E10D79">
        <w:rPr>
          <w:rFonts w:asciiTheme="minorHAnsi" w:hAnsiTheme="minorHAnsi"/>
        </w:rPr>
        <w:t>18 February 2019.</w:t>
      </w:r>
    </w:p>
    <w:p w14:paraId="78DB803A" w14:textId="77777777" w:rsidR="00B11595" w:rsidRPr="00E10D79" w:rsidRDefault="00B11595" w:rsidP="001953BB">
      <w:pPr>
        <w:jc w:val="both"/>
        <w:rPr>
          <w:rFonts w:asciiTheme="minorHAnsi" w:eastAsia="Times New Roman" w:hAnsiTheme="minorHAnsi"/>
          <w:bCs/>
          <w:color w:val="000000"/>
        </w:rPr>
      </w:pPr>
    </w:p>
    <w:p w14:paraId="17D338B1" w14:textId="77777777" w:rsidR="000C7820" w:rsidRPr="00E10D79" w:rsidRDefault="00CA1A80" w:rsidP="001953BB">
      <w:pPr>
        <w:jc w:val="both"/>
        <w:rPr>
          <w:rFonts w:asciiTheme="minorHAnsi" w:hAnsiTheme="minorHAnsi"/>
        </w:rPr>
      </w:pPr>
      <w:r w:rsidRPr="00E10D79">
        <w:rPr>
          <w:rFonts w:asciiTheme="minorHAnsi" w:eastAsia="Times New Roman" w:hAnsiTheme="minorHAnsi"/>
          <w:bCs/>
          <w:color w:val="000000"/>
        </w:rPr>
        <w:t>For further information, please contact Matthew Sands (</w:t>
      </w:r>
      <w:hyperlink r:id="rId11" w:history="1">
        <w:r w:rsidRPr="00E10D79">
          <w:rPr>
            <w:rStyle w:val="Hyperlink"/>
            <w:rFonts w:asciiTheme="minorHAnsi" w:eastAsia="Times New Roman" w:hAnsiTheme="minorHAnsi"/>
            <w:bCs/>
          </w:rPr>
          <w:t>m.sands@shu.ac.uk</w:t>
        </w:r>
      </w:hyperlink>
      <w:r w:rsidRPr="00E10D79">
        <w:rPr>
          <w:rFonts w:asciiTheme="minorHAnsi" w:eastAsia="Times New Roman" w:hAnsiTheme="minorHAnsi"/>
          <w:bCs/>
          <w:color w:val="000000"/>
        </w:rPr>
        <w:t>)</w:t>
      </w:r>
      <w:r w:rsidR="001953BB" w:rsidRPr="00E10D79">
        <w:rPr>
          <w:rFonts w:asciiTheme="minorHAnsi" w:eastAsia="Times New Roman" w:hAnsiTheme="minorHAnsi"/>
          <w:bCs/>
          <w:color w:val="000000"/>
        </w:rPr>
        <w:t>.</w:t>
      </w:r>
      <w:r w:rsidRPr="00E10D79">
        <w:rPr>
          <w:rFonts w:asciiTheme="minorHAnsi" w:eastAsia="Times New Roman" w:hAnsiTheme="minorHAnsi"/>
          <w:bCs/>
          <w:color w:val="000000"/>
        </w:rPr>
        <w:t xml:space="preserve"> </w:t>
      </w:r>
    </w:p>
    <w:p w14:paraId="082F8AC9" w14:textId="77777777" w:rsidR="00B97DF7" w:rsidRDefault="00B97DF7" w:rsidP="001953BB">
      <w:pPr>
        <w:jc w:val="both"/>
        <w:rPr>
          <w:rFonts w:asciiTheme="minorHAnsi" w:eastAsia="Times New Roman" w:hAnsiTheme="minorHAnsi"/>
          <w:bCs/>
          <w:i/>
          <w:color w:val="000000"/>
        </w:rPr>
      </w:pPr>
    </w:p>
    <w:p w14:paraId="1D32AF73" w14:textId="489D275D" w:rsidR="000C7820" w:rsidRDefault="00A039B6" w:rsidP="001953BB">
      <w:pPr>
        <w:jc w:val="both"/>
        <w:rPr>
          <w:rFonts w:asciiTheme="minorHAnsi" w:eastAsia="Times New Roman" w:hAnsiTheme="minorHAnsi"/>
          <w:bCs/>
          <w:i/>
          <w:color w:val="000000"/>
        </w:rPr>
      </w:pPr>
      <w:r w:rsidRPr="00C22D58">
        <w:rPr>
          <w:rFonts w:asciiTheme="minorHAnsi" w:eastAsia="Times New Roman" w:hAnsiTheme="minorHAnsi"/>
          <w:bCs/>
          <w:i/>
          <w:color w:val="000000"/>
        </w:rPr>
        <w:t>T</w:t>
      </w:r>
      <w:r w:rsidR="00CA1A80" w:rsidRPr="00C22D58">
        <w:rPr>
          <w:rFonts w:asciiTheme="minorHAnsi" w:eastAsia="Times New Roman" w:hAnsiTheme="minorHAnsi"/>
          <w:bCs/>
          <w:i/>
          <w:color w:val="000000"/>
        </w:rPr>
        <w:t>he Helena Kennedy Centre for International Justice (HKC)</w:t>
      </w:r>
      <w:r w:rsidRPr="00C22D58">
        <w:rPr>
          <w:rFonts w:asciiTheme="minorHAnsi" w:eastAsia="Times New Roman" w:hAnsiTheme="minorHAnsi"/>
          <w:bCs/>
          <w:i/>
          <w:color w:val="000000"/>
        </w:rPr>
        <w:t xml:space="preserve"> </w:t>
      </w:r>
      <w:r w:rsidR="00CA1A80" w:rsidRPr="00C22D58">
        <w:rPr>
          <w:rFonts w:asciiTheme="minorHAnsi" w:eastAsia="Times New Roman" w:hAnsiTheme="minorHAnsi"/>
          <w:bCs/>
          <w:i/>
          <w:color w:val="000000"/>
        </w:rPr>
        <w:t xml:space="preserve">Working Group on </w:t>
      </w:r>
      <w:r w:rsidR="00CA3499" w:rsidRPr="00C22D58">
        <w:rPr>
          <w:rFonts w:asciiTheme="minorHAnsi" w:eastAsia="Times New Roman" w:hAnsiTheme="minorHAnsi"/>
          <w:bCs/>
          <w:i/>
          <w:color w:val="000000"/>
        </w:rPr>
        <w:t xml:space="preserve">Human </w:t>
      </w:r>
      <w:r w:rsidR="00CA1A80" w:rsidRPr="00C22D58">
        <w:rPr>
          <w:rFonts w:asciiTheme="minorHAnsi" w:eastAsia="Times New Roman" w:hAnsiTheme="minorHAnsi"/>
          <w:bCs/>
          <w:i/>
          <w:color w:val="000000"/>
        </w:rPr>
        <w:t xml:space="preserve">Trafficking </w:t>
      </w:r>
      <w:r w:rsidR="00B97DF7">
        <w:rPr>
          <w:rFonts w:asciiTheme="minorHAnsi" w:eastAsia="Times New Roman" w:hAnsiTheme="minorHAnsi"/>
          <w:bCs/>
          <w:i/>
          <w:color w:val="000000"/>
        </w:rPr>
        <w:t xml:space="preserve">at Sheffield Hallam University </w:t>
      </w:r>
      <w:r w:rsidR="00CA1A80" w:rsidRPr="00C22D58">
        <w:rPr>
          <w:rFonts w:asciiTheme="minorHAnsi" w:eastAsia="Times New Roman" w:hAnsiTheme="minorHAnsi"/>
          <w:bCs/>
          <w:i/>
          <w:color w:val="000000"/>
        </w:rPr>
        <w:t xml:space="preserve">brings together academics with expertise in gender, human trafficking and international human rights </w:t>
      </w:r>
      <w:r w:rsidR="00CA3499" w:rsidRPr="00C22D58">
        <w:rPr>
          <w:rFonts w:asciiTheme="minorHAnsi" w:eastAsia="Times New Roman" w:hAnsiTheme="minorHAnsi"/>
          <w:bCs/>
          <w:i/>
          <w:color w:val="000000"/>
        </w:rPr>
        <w:t>to promote research and develop practice</w:t>
      </w:r>
      <w:r w:rsidRPr="00C22D58">
        <w:rPr>
          <w:rFonts w:asciiTheme="minorHAnsi" w:eastAsia="Times New Roman" w:hAnsiTheme="minorHAnsi"/>
          <w:bCs/>
          <w:i/>
          <w:color w:val="000000"/>
        </w:rPr>
        <w:t xml:space="preserve"> towards </w:t>
      </w:r>
      <w:r w:rsidR="00F5344D">
        <w:rPr>
          <w:rFonts w:asciiTheme="minorHAnsi" w:eastAsia="Times New Roman" w:hAnsiTheme="minorHAnsi"/>
          <w:bCs/>
          <w:i/>
          <w:color w:val="000000"/>
        </w:rPr>
        <w:t>effectively combating</w:t>
      </w:r>
      <w:r w:rsidRPr="00C22D58">
        <w:rPr>
          <w:rFonts w:asciiTheme="minorHAnsi" w:eastAsia="Times New Roman" w:hAnsiTheme="minorHAnsi"/>
          <w:bCs/>
          <w:i/>
          <w:color w:val="000000"/>
        </w:rPr>
        <w:t xml:space="preserve"> human trafficking</w:t>
      </w:r>
      <w:r w:rsidR="00CA1A80" w:rsidRPr="00C22D58">
        <w:rPr>
          <w:rFonts w:asciiTheme="minorHAnsi" w:eastAsia="Times New Roman" w:hAnsiTheme="minorHAnsi"/>
          <w:bCs/>
          <w:i/>
          <w:color w:val="000000"/>
        </w:rPr>
        <w:t>.</w:t>
      </w:r>
    </w:p>
    <w:p w14:paraId="3C819DC1" w14:textId="77777777" w:rsidR="00E468F0" w:rsidRPr="00E468F0" w:rsidRDefault="00E468F0" w:rsidP="001953BB">
      <w:pPr>
        <w:jc w:val="both"/>
        <w:rPr>
          <w:rFonts w:asciiTheme="minorHAnsi" w:eastAsia="Times New Roman" w:hAnsiTheme="minorHAnsi"/>
          <w:bCs/>
          <w:color w:val="000000"/>
        </w:rPr>
      </w:pPr>
    </w:p>
    <w:sectPr w:rsidR="00E468F0" w:rsidRPr="00E468F0" w:rsidSect="000C7820">
      <w:headerReference w:type="default" r:id="rId12"/>
      <w:footerReference w:type="default" r:id="rId13"/>
      <w:pgSz w:w="11906" w:h="16838"/>
      <w:pgMar w:top="2237" w:right="1440" w:bottom="1440" w:left="1440"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F3A44" w14:textId="77777777" w:rsidR="00DE4AE3" w:rsidRDefault="00DE4AE3" w:rsidP="000C7820">
      <w:pPr>
        <w:spacing w:after="0" w:line="240" w:lineRule="auto"/>
      </w:pPr>
      <w:r>
        <w:separator/>
      </w:r>
    </w:p>
  </w:endnote>
  <w:endnote w:type="continuationSeparator" w:id="0">
    <w:p w14:paraId="29AA9E62" w14:textId="77777777" w:rsidR="00DE4AE3" w:rsidRDefault="00DE4AE3" w:rsidP="000C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UnicodeMS">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339040139"/>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0D26F9A6" w14:textId="77777777" w:rsidR="00573D44" w:rsidRPr="003A2602" w:rsidRDefault="00573D44">
            <w:pPr>
              <w:pStyle w:val="Footer"/>
              <w:jc w:val="right"/>
              <w:rPr>
                <w:rFonts w:asciiTheme="minorHAnsi" w:hAnsiTheme="minorHAnsi"/>
              </w:rPr>
            </w:pPr>
            <w:r w:rsidRPr="003A2602">
              <w:rPr>
                <w:rFonts w:asciiTheme="minorHAnsi" w:hAnsiTheme="minorHAnsi"/>
              </w:rPr>
              <w:t xml:space="preserve">Page </w:t>
            </w:r>
            <w:r w:rsidRPr="003A2602">
              <w:rPr>
                <w:rFonts w:asciiTheme="minorHAnsi" w:hAnsiTheme="minorHAnsi"/>
                <w:b/>
                <w:bCs/>
              </w:rPr>
              <w:fldChar w:fldCharType="begin"/>
            </w:r>
            <w:r w:rsidRPr="003A2602">
              <w:rPr>
                <w:rFonts w:asciiTheme="minorHAnsi" w:hAnsiTheme="minorHAnsi"/>
                <w:b/>
                <w:bCs/>
              </w:rPr>
              <w:instrText xml:space="preserve"> PAGE </w:instrText>
            </w:r>
            <w:r w:rsidRPr="003A2602">
              <w:rPr>
                <w:rFonts w:asciiTheme="minorHAnsi" w:hAnsiTheme="minorHAnsi"/>
                <w:b/>
                <w:bCs/>
              </w:rPr>
              <w:fldChar w:fldCharType="separate"/>
            </w:r>
            <w:r w:rsidR="00EF69CA">
              <w:rPr>
                <w:rFonts w:asciiTheme="minorHAnsi" w:hAnsiTheme="minorHAnsi"/>
                <w:b/>
                <w:bCs/>
                <w:noProof/>
              </w:rPr>
              <w:t>3</w:t>
            </w:r>
            <w:r w:rsidRPr="003A2602">
              <w:rPr>
                <w:rFonts w:asciiTheme="minorHAnsi" w:hAnsiTheme="minorHAnsi"/>
                <w:b/>
                <w:bCs/>
              </w:rPr>
              <w:fldChar w:fldCharType="end"/>
            </w:r>
            <w:r w:rsidRPr="003A2602">
              <w:rPr>
                <w:rFonts w:asciiTheme="minorHAnsi" w:hAnsiTheme="minorHAnsi"/>
              </w:rPr>
              <w:t xml:space="preserve"> of </w:t>
            </w:r>
            <w:r w:rsidRPr="003A2602">
              <w:rPr>
                <w:rFonts w:asciiTheme="minorHAnsi" w:hAnsiTheme="minorHAnsi"/>
                <w:b/>
                <w:bCs/>
              </w:rPr>
              <w:fldChar w:fldCharType="begin"/>
            </w:r>
            <w:r w:rsidRPr="003A2602">
              <w:rPr>
                <w:rFonts w:asciiTheme="minorHAnsi" w:hAnsiTheme="minorHAnsi"/>
                <w:b/>
                <w:bCs/>
              </w:rPr>
              <w:instrText xml:space="preserve"> NUMPAGES  </w:instrText>
            </w:r>
            <w:r w:rsidRPr="003A2602">
              <w:rPr>
                <w:rFonts w:asciiTheme="minorHAnsi" w:hAnsiTheme="minorHAnsi"/>
                <w:b/>
                <w:bCs/>
              </w:rPr>
              <w:fldChar w:fldCharType="separate"/>
            </w:r>
            <w:r w:rsidR="00EF69CA">
              <w:rPr>
                <w:rFonts w:asciiTheme="minorHAnsi" w:hAnsiTheme="minorHAnsi"/>
                <w:b/>
                <w:bCs/>
                <w:noProof/>
              </w:rPr>
              <w:t>10</w:t>
            </w:r>
            <w:r w:rsidRPr="003A2602">
              <w:rPr>
                <w:rFonts w:asciiTheme="minorHAnsi" w:hAnsiTheme="minorHAnsi"/>
                <w:b/>
                <w:bCs/>
              </w:rPr>
              <w:fldChar w:fldCharType="end"/>
            </w:r>
          </w:p>
        </w:sdtContent>
      </w:sdt>
    </w:sdtContent>
  </w:sdt>
  <w:p w14:paraId="2B441452" w14:textId="77777777" w:rsidR="00573D44" w:rsidRPr="003A2602" w:rsidRDefault="00573D44">
    <w:pPr>
      <w:pStyle w:val="Footer"/>
      <w:rPr>
        <w:rFonts w:asciiTheme="minorHAnsi" w:hAnsiTheme="minorHAnsi"/>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E285B" w14:textId="77777777" w:rsidR="00DE4AE3" w:rsidRDefault="00DE4AE3" w:rsidP="000C7820">
      <w:pPr>
        <w:spacing w:after="0" w:line="240" w:lineRule="auto"/>
      </w:pPr>
      <w:r>
        <w:separator/>
      </w:r>
    </w:p>
  </w:footnote>
  <w:footnote w:type="continuationSeparator" w:id="0">
    <w:p w14:paraId="10B25685" w14:textId="77777777" w:rsidR="00DE4AE3" w:rsidRDefault="00DE4AE3" w:rsidP="000C7820">
      <w:pPr>
        <w:spacing w:after="0" w:line="240" w:lineRule="auto"/>
      </w:pPr>
      <w:r>
        <w:continuationSeparator/>
      </w:r>
    </w:p>
  </w:footnote>
  <w:footnote w:id="1">
    <w:p w14:paraId="5BD64F1E" w14:textId="77777777" w:rsidR="00856A39" w:rsidRPr="00856A39" w:rsidRDefault="00856A39">
      <w:pPr>
        <w:pStyle w:val="FootnoteText"/>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Concept Note, prepared for the Committee on the Elimination of Discrimination Against Women on its elaboration of a General Recommendation on Trafficking in Women and Girls in the Context of Global Migration [Concept Note],</w:t>
      </w:r>
    </w:p>
  </w:footnote>
  <w:footnote w:id="2">
    <w:p w14:paraId="47A62A62" w14:textId="77777777" w:rsidR="00DC3746" w:rsidRDefault="00DC3746">
      <w:pPr>
        <w:pStyle w:val="FootnoteText"/>
      </w:pPr>
      <w:r w:rsidRPr="00962098">
        <w:rPr>
          <w:rStyle w:val="FootnoteReference"/>
        </w:rPr>
        <w:footnoteRef/>
      </w:r>
      <w:r w:rsidRPr="00962098">
        <w:t xml:space="preserve"> </w:t>
      </w:r>
      <w:r w:rsidR="0046403A" w:rsidRPr="00962098">
        <w:rPr>
          <w:rFonts w:asciiTheme="minorHAnsi" w:hAnsiTheme="minorHAnsi"/>
        </w:rPr>
        <w:t xml:space="preserve">For a discussion of "feminisation of poverty", see Amy M. Russell (2014), “Victims of Trafficking”: The Feminisation of Poverty and Migration in the Gendered Narratives of Human Trafficking, </w:t>
      </w:r>
      <w:r w:rsidR="0046403A" w:rsidRPr="00962098">
        <w:rPr>
          <w:rFonts w:asciiTheme="minorHAnsi" w:hAnsiTheme="minorHAnsi"/>
          <w:i/>
        </w:rPr>
        <w:t>Societies</w:t>
      </w:r>
      <w:r w:rsidR="0046403A" w:rsidRPr="00962098">
        <w:rPr>
          <w:rFonts w:asciiTheme="minorHAnsi" w:hAnsiTheme="minorHAnsi"/>
        </w:rPr>
        <w:t xml:space="preserve">, 4, 532–548; </w:t>
      </w:r>
      <w:hyperlink r:id="rId1" w:history="1">
        <w:r w:rsidR="0046403A" w:rsidRPr="00962098">
          <w:rPr>
            <w:rStyle w:val="Hyperlink"/>
            <w:rFonts w:asciiTheme="minorHAnsi" w:hAnsiTheme="minorHAnsi"/>
          </w:rPr>
          <w:t>http://dx.doi.org/10.3390/soc404053</w:t>
        </w:r>
      </w:hyperlink>
      <w:r w:rsidR="0046403A" w:rsidRPr="00962098">
        <w:rPr>
          <w:rFonts w:asciiTheme="minorHAnsi" w:hAnsiTheme="minorHAnsi"/>
        </w:rPr>
        <w:t xml:space="preserve">; see also Saskia Sassen (2002), Women's Burden: Counter-Geographies of Globalization and the Feminization of Survival, </w:t>
      </w:r>
      <w:r w:rsidR="0046403A" w:rsidRPr="00962098">
        <w:rPr>
          <w:rStyle w:val="Emphasis"/>
          <w:rFonts w:asciiTheme="minorHAnsi" w:hAnsiTheme="minorHAnsi"/>
          <w:bCs/>
          <w:shd w:val="clear" w:color="auto" w:fill="FFFFFF"/>
        </w:rPr>
        <w:t>Nordic Journal of International Law</w:t>
      </w:r>
      <w:r w:rsidR="0046403A" w:rsidRPr="00962098">
        <w:rPr>
          <w:rFonts w:asciiTheme="minorHAnsi" w:hAnsiTheme="minorHAnsi"/>
          <w:bCs/>
          <w:shd w:val="clear" w:color="auto" w:fill="FFFFFF"/>
        </w:rPr>
        <w:t>,</w:t>
      </w:r>
      <w:r w:rsidR="0046403A" w:rsidRPr="00962098">
        <w:rPr>
          <w:rFonts w:asciiTheme="minorHAnsi" w:hAnsiTheme="minorHAnsi"/>
        </w:rPr>
        <w:t xml:space="preserve"> 71 (2):255, </w:t>
      </w:r>
      <w:hyperlink r:id="rId2" w:history="1">
        <w:r w:rsidR="0046403A" w:rsidRPr="00962098">
          <w:rPr>
            <w:rStyle w:val="Hyperlink"/>
            <w:rFonts w:ascii="Segoe UI" w:hAnsi="Segoe UI" w:cs="Segoe UI"/>
            <w:sz w:val="18"/>
            <w:szCs w:val="18"/>
          </w:rPr>
          <w:t>https://doi.org/10.1163/157181002761931378</w:t>
        </w:r>
      </w:hyperlink>
      <w:r w:rsidR="0046403A" w:rsidRPr="00962098">
        <w:rPr>
          <w:rFonts w:asciiTheme="minorHAnsi" w:hAnsiTheme="minorHAnsi"/>
          <w:u w:val="single"/>
        </w:rPr>
        <w:t>.</w:t>
      </w:r>
      <w:r w:rsidR="0046403A" w:rsidRPr="00C03571">
        <w:rPr>
          <w:rFonts w:asciiTheme="minorHAnsi" w:hAnsiTheme="minorHAnsi"/>
          <w:u w:val="single"/>
        </w:rPr>
        <w:t xml:space="preserve">  </w:t>
      </w:r>
    </w:p>
  </w:footnote>
  <w:footnote w:id="3">
    <w:p w14:paraId="4CB4CE70" w14:textId="77777777" w:rsidR="00E70F61" w:rsidRPr="00856A39" w:rsidRDefault="00E70F61" w:rsidP="00E70F61">
      <w:pPr>
        <w:pStyle w:val="FootnoteText"/>
        <w:spacing w:after="70" w:line="240" w:lineRule="exact"/>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Convention on the Elimination of All Forms of Discrimination against Women New York, 18 December 1979 (CEDAW), </w:t>
      </w:r>
      <w:hyperlink r:id="rId3" w:history="1">
        <w:r w:rsidRPr="00856A39">
          <w:rPr>
            <w:rStyle w:val="Hyperlink"/>
            <w:rFonts w:asciiTheme="minorHAnsi" w:hAnsiTheme="minorHAnsi"/>
          </w:rPr>
          <w:t>https://www.ohchr.org/EN/ProfessionalInterest/Pages/CEDAW.aspx</w:t>
        </w:r>
      </w:hyperlink>
      <w:r w:rsidRPr="00856A39">
        <w:rPr>
          <w:rFonts w:asciiTheme="minorHAnsi" w:hAnsiTheme="minorHAnsi"/>
        </w:rPr>
        <w:t xml:space="preserve"> </w:t>
      </w:r>
    </w:p>
  </w:footnote>
  <w:footnote w:id="4">
    <w:p w14:paraId="4F607A8D" w14:textId="77777777" w:rsidR="00E70F61" w:rsidRPr="00413CFC" w:rsidRDefault="00E70F61" w:rsidP="00E70F61">
      <w:pPr>
        <w:autoSpaceDE w:val="0"/>
        <w:autoSpaceDN w:val="0"/>
        <w:adjustRightInd w:val="0"/>
        <w:spacing w:after="70" w:line="240" w:lineRule="exact"/>
        <w:rPr>
          <w:rFonts w:asciiTheme="minorHAnsi" w:hAnsiTheme="minorHAnsi"/>
          <w:sz w:val="20"/>
          <w:szCs w:val="20"/>
        </w:rPr>
      </w:pPr>
      <w:r w:rsidRPr="00DA48E1">
        <w:rPr>
          <w:rStyle w:val="FootnoteReference"/>
          <w:rFonts w:asciiTheme="minorHAnsi" w:hAnsiTheme="minorHAnsi"/>
          <w:sz w:val="20"/>
          <w:szCs w:val="20"/>
        </w:rPr>
        <w:footnoteRef/>
      </w:r>
      <w:r w:rsidR="004A7117" w:rsidRPr="00DA48E1">
        <w:rPr>
          <w:rFonts w:asciiTheme="minorHAnsi" w:hAnsiTheme="minorHAnsi" w:cs="ArialUnicodeMS"/>
          <w:sz w:val="20"/>
          <w:szCs w:val="20"/>
        </w:rPr>
        <w:t xml:space="preserve"> John R. Barner et al. (2014), </w:t>
      </w:r>
      <w:r w:rsidR="00A33843" w:rsidRPr="00DA48E1">
        <w:rPr>
          <w:rFonts w:asciiTheme="minorHAnsi" w:hAnsiTheme="minorHAnsi" w:cs="ArialUnicodeMS"/>
          <w:sz w:val="20"/>
          <w:szCs w:val="20"/>
        </w:rPr>
        <w:t xml:space="preserve">Socio-Economic Inequality, Human Trafficking, and the Global Slave Trade, </w:t>
      </w:r>
      <w:r w:rsidR="004A7117" w:rsidRPr="00DA48E1">
        <w:rPr>
          <w:rFonts w:asciiTheme="minorHAnsi" w:hAnsiTheme="minorHAnsi" w:cs="ArialUnicodeMS"/>
          <w:i/>
          <w:sz w:val="20"/>
          <w:szCs w:val="20"/>
        </w:rPr>
        <w:t xml:space="preserve">Societies, </w:t>
      </w:r>
      <w:r w:rsidR="004A7117" w:rsidRPr="00DA48E1">
        <w:rPr>
          <w:rFonts w:asciiTheme="minorHAnsi" w:hAnsiTheme="minorHAnsi" w:cs="ArialUnicodeMS"/>
          <w:sz w:val="20"/>
          <w:szCs w:val="20"/>
        </w:rPr>
        <w:t xml:space="preserve">4, 148–160, </w:t>
      </w:r>
      <w:hyperlink r:id="rId4" w:history="1">
        <w:r w:rsidR="004A7117" w:rsidRPr="00DA48E1">
          <w:rPr>
            <w:rStyle w:val="Hyperlink"/>
            <w:rFonts w:asciiTheme="minorHAnsi" w:hAnsiTheme="minorHAnsi" w:cs="ArialUnicodeMS"/>
            <w:sz w:val="20"/>
            <w:szCs w:val="20"/>
          </w:rPr>
          <w:t>http://dx.doi.org/10.3390/soc4020148</w:t>
        </w:r>
      </w:hyperlink>
      <w:r w:rsidR="004A7117" w:rsidRPr="00DA48E1">
        <w:rPr>
          <w:rFonts w:asciiTheme="minorHAnsi" w:hAnsiTheme="minorHAnsi" w:cs="ArialUnicodeMS"/>
          <w:sz w:val="20"/>
          <w:szCs w:val="20"/>
        </w:rPr>
        <w:t>;</w:t>
      </w:r>
      <w:r w:rsidR="004A7117" w:rsidRPr="00413CFC">
        <w:rPr>
          <w:rFonts w:asciiTheme="minorHAnsi" w:hAnsiTheme="minorHAnsi" w:cs="ArialUnicodeMS"/>
          <w:sz w:val="20"/>
          <w:szCs w:val="20"/>
        </w:rPr>
        <w:t xml:space="preserve"> Kevin Bales (2007), What Predicts Human Trafficking?, </w:t>
      </w:r>
      <w:r w:rsidR="004A7117" w:rsidRPr="00413CFC">
        <w:rPr>
          <w:rFonts w:asciiTheme="minorHAnsi" w:hAnsiTheme="minorHAnsi" w:cs="ArialUnicodeMS"/>
          <w:i/>
          <w:sz w:val="20"/>
          <w:szCs w:val="20"/>
        </w:rPr>
        <w:t>International Journal of Comparative and Applied Criminal Justice</w:t>
      </w:r>
      <w:r w:rsidR="004A7117" w:rsidRPr="00413CFC">
        <w:rPr>
          <w:rFonts w:asciiTheme="minorHAnsi" w:hAnsiTheme="minorHAnsi" w:cs="ArialUnicodeMS"/>
          <w:sz w:val="20"/>
          <w:szCs w:val="20"/>
        </w:rPr>
        <w:t xml:space="preserve">, 31:2, 269-279, </w:t>
      </w:r>
      <w:hyperlink r:id="rId5" w:history="1">
        <w:r w:rsidR="004A7117" w:rsidRPr="00413CFC">
          <w:rPr>
            <w:rStyle w:val="Hyperlink"/>
            <w:rFonts w:asciiTheme="minorHAnsi" w:hAnsiTheme="minorHAnsi" w:cs="ArialUnicodeMS"/>
            <w:sz w:val="20"/>
            <w:szCs w:val="20"/>
          </w:rPr>
          <w:t>http://dx.doi.org/10.1080/01924036.2007.9678771</w:t>
        </w:r>
      </w:hyperlink>
      <w:r w:rsidR="004A7117" w:rsidRPr="00413CFC">
        <w:rPr>
          <w:rStyle w:val="Hyperlink"/>
          <w:rFonts w:asciiTheme="minorHAnsi" w:hAnsiTheme="minorHAnsi" w:cs="ArialUnicodeMS"/>
          <w:sz w:val="20"/>
          <w:szCs w:val="20"/>
        </w:rPr>
        <w:t xml:space="preserve"> .</w:t>
      </w:r>
    </w:p>
  </w:footnote>
  <w:footnote w:id="5">
    <w:p w14:paraId="434A4139" w14:textId="77777777" w:rsidR="00E70F61" w:rsidRPr="00413CFC" w:rsidRDefault="00E70F61" w:rsidP="00E70F61">
      <w:pPr>
        <w:pStyle w:val="FootnoteText"/>
        <w:spacing w:after="70" w:line="240" w:lineRule="exact"/>
        <w:rPr>
          <w:rFonts w:asciiTheme="minorHAnsi" w:hAnsiTheme="minorHAnsi"/>
        </w:rPr>
      </w:pPr>
      <w:r w:rsidRPr="00413CFC">
        <w:rPr>
          <w:rStyle w:val="FootnoteReference"/>
          <w:rFonts w:asciiTheme="minorHAnsi" w:hAnsiTheme="minorHAnsi"/>
        </w:rPr>
        <w:footnoteRef/>
      </w:r>
      <w:r w:rsidRPr="00413CFC">
        <w:rPr>
          <w:rFonts w:asciiTheme="minorHAnsi" w:hAnsiTheme="minorHAnsi"/>
        </w:rPr>
        <w:t xml:space="preserve"> A/RES/70/1 (21 October 2015) - Transforming our world: the 2030 Agenda for Sustainable Development  </w:t>
      </w:r>
      <w:hyperlink r:id="rId6" w:history="1">
        <w:r w:rsidR="007E6DD7" w:rsidRPr="00413CFC">
          <w:rPr>
            <w:rStyle w:val="Hyperlink"/>
            <w:rFonts w:asciiTheme="minorHAnsi" w:hAnsiTheme="minorHAnsi"/>
          </w:rPr>
          <w:t>http://www.un.org/ga/search/view_doc.asp?symbol=A/RES/70/1&amp;Lang=E</w:t>
        </w:r>
      </w:hyperlink>
      <w:r w:rsidR="007E6DD7" w:rsidRPr="00413CFC">
        <w:rPr>
          <w:rFonts w:asciiTheme="minorHAnsi" w:hAnsiTheme="minorHAnsi"/>
        </w:rPr>
        <w:t xml:space="preserve"> </w:t>
      </w:r>
    </w:p>
  </w:footnote>
  <w:footnote w:id="6">
    <w:p w14:paraId="12B504EC" w14:textId="16A234A6" w:rsidR="00E70F61" w:rsidRPr="00413CFC" w:rsidRDefault="00E70F61" w:rsidP="0062539B">
      <w:pPr>
        <w:autoSpaceDE w:val="0"/>
        <w:autoSpaceDN w:val="0"/>
        <w:adjustRightInd w:val="0"/>
        <w:spacing w:after="70" w:line="240" w:lineRule="auto"/>
        <w:rPr>
          <w:rFonts w:asciiTheme="minorHAnsi" w:hAnsiTheme="minorHAnsi"/>
          <w:sz w:val="20"/>
          <w:szCs w:val="20"/>
        </w:rPr>
      </w:pPr>
      <w:r w:rsidRPr="00413CFC">
        <w:rPr>
          <w:rStyle w:val="FootnoteReference"/>
          <w:rFonts w:asciiTheme="minorHAnsi" w:hAnsiTheme="minorHAnsi"/>
          <w:sz w:val="20"/>
          <w:szCs w:val="20"/>
        </w:rPr>
        <w:footnoteRef/>
      </w:r>
      <w:r w:rsidRPr="00413CFC">
        <w:rPr>
          <w:rFonts w:asciiTheme="minorHAnsi" w:hAnsiTheme="minorHAnsi"/>
          <w:sz w:val="20"/>
          <w:szCs w:val="20"/>
        </w:rPr>
        <w:t xml:space="preserve"> </w:t>
      </w:r>
      <w:r w:rsidR="00856A39" w:rsidRPr="00413CFC">
        <w:rPr>
          <w:rFonts w:asciiTheme="minorHAnsi" w:hAnsiTheme="minorHAnsi" w:cs="TimesNewRomanPS-BoldMT"/>
          <w:bCs/>
          <w:sz w:val="20"/>
          <w:szCs w:val="20"/>
        </w:rPr>
        <w:t>Concept Note</w:t>
      </w:r>
      <w:r w:rsidRPr="00413CFC">
        <w:rPr>
          <w:rFonts w:asciiTheme="minorHAnsi" w:hAnsiTheme="minorHAnsi"/>
          <w:sz w:val="20"/>
          <w:szCs w:val="20"/>
        </w:rPr>
        <w:t xml:space="preserve">, para. 25. </w:t>
      </w:r>
      <w:r w:rsidRPr="00413CFC">
        <w:rPr>
          <w:rFonts w:asciiTheme="minorHAnsi" w:eastAsia="Arial Unicode MS" w:hAnsiTheme="minorHAnsi" w:cs="Arial Unicode MS"/>
          <w:sz w:val="20"/>
          <w:szCs w:val="20"/>
        </w:rPr>
        <w:t xml:space="preserve">"In addition to differential treatment in the law, women and girls may be adversely impacted by economic and public policies that result in a lack of sustainable livelihood options and basic living standards. Social structures limit women’s autonomy and access to key resources, including economic, land, information and knowledge. These effects are compounded by gender-based violence against women, gender-based discrimination and marginalization." Ibid. See also Selim Jahan, </w:t>
      </w:r>
      <w:r w:rsidRPr="00413CFC">
        <w:rPr>
          <w:rFonts w:asciiTheme="minorHAnsi" w:eastAsia="Arial Unicode MS" w:hAnsiTheme="minorHAnsi" w:cs="Arial Unicode MS"/>
          <w:i/>
          <w:sz w:val="20"/>
          <w:szCs w:val="20"/>
        </w:rPr>
        <w:t>Violence against women, a cause and consequence of inequality</w:t>
      </w:r>
      <w:r w:rsidRPr="00413CFC">
        <w:rPr>
          <w:rFonts w:asciiTheme="minorHAnsi" w:eastAsia="Arial Unicode MS" w:hAnsiTheme="minorHAnsi" w:cs="Arial Unicode MS"/>
          <w:sz w:val="20"/>
          <w:szCs w:val="20"/>
        </w:rPr>
        <w:t xml:space="preserve">, 19 November 2018, </w:t>
      </w:r>
      <w:hyperlink r:id="rId7" w:history="1">
        <w:r w:rsidRPr="00413CFC">
          <w:rPr>
            <w:rStyle w:val="Hyperlink"/>
            <w:rFonts w:asciiTheme="minorHAnsi" w:eastAsia="Arial Unicode MS" w:hAnsiTheme="minorHAnsi" w:cs="Arial Unicode MS"/>
            <w:sz w:val="20"/>
            <w:szCs w:val="20"/>
          </w:rPr>
          <w:t>http://hdr.undp.org/en/content/violence-against-women-cause-and-consequence-inequality</w:t>
        </w:r>
      </w:hyperlink>
      <w:r w:rsidR="00DC3746" w:rsidRPr="00413CFC">
        <w:rPr>
          <w:rFonts w:asciiTheme="minorHAnsi" w:eastAsia="Arial Unicode MS" w:hAnsiTheme="minorHAnsi" w:cs="Arial Unicode MS"/>
          <w:sz w:val="20"/>
          <w:szCs w:val="20"/>
        </w:rPr>
        <w:t xml:space="preserve">; </w:t>
      </w:r>
      <w:r w:rsidR="00DC3746" w:rsidRPr="00DA48E1">
        <w:rPr>
          <w:rFonts w:asciiTheme="minorHAnsi" w:hAnsiTheme="minorHAnsi" w:cs="ArialUnicodeMS"/>
          <w:sz w:val="20"/>
          <w:szCs w:val="20"/>
        </w:rPr>
        <w:t xml:space="preserve">Naila Kabeer (2015) Gender, poverty, and inequality: a brief history of feminist contributions in the field of international development, </w:t>
      </w:r>
      <w:r w:rsidR="00DC3746" w:rsidRPr="00DA48E1">
        <w:rPr>
          <w:rFonts w:asciiTheme="minorHAnsi" w:hAnsiTheme="minorHAnsi" w:cs="ArialUnicodeMS"/>
          <w:i/>
          <w:sz w:val="20"/>
          <w:szCs w:val="20"/>
        </w:rPr>
        <w:t>Gender &amp; Development</w:t>
      </w:r>
      <w:r w:rsidR="00DC3746" w:rsidRPr="00DA48E1">
        <w:rPr>
          <w:rFonts w:asciiTheme="minorHAnsi" w:hAnsiTheme="minorHAnsi" w:cs="ArialUnicodeMS"/>
          <w:sz w:val="20"/>
          <w:szCs w:val="20"/>
        </w:rPr>
        <w:t xml:space="preserve">, 23:2, 189-205, </w:t>
      </w:r>
      <w:hyperlink r:id="rId8" w:history="1">
        <w:r w:rsidR="00DC3746" w:rsidRPr="00DA48E1">
          <w:rPr>
            <w:rStyle w:val="Hyperlink"/>
            <w:rFonts w:asciiTheme="minorHAnsi" w:hAnsiTheme="minorHAnsi" w:cs="ArialUnicodeMS"/>
            <w:sz w:val="20"/>
            <w:szCs w:val="20"/>
          </w:rPr>
          <w:t>https://doi.org/10.1080/13552074.2015.1062300</w:t>
        </w:r>
      </w:hyperlink>
      <w:r w:rsidR="00DC3746" w:rsidRPr="00413CFC">
        <w:rPr>
          <w:rFonts w:asciiTheme="minorHAnsi" w:hAnsiTheme="minorHAnsi" w:cs="ArialUnicodeMS"/>
          <w:sz w:val="20"/>
          <w:szCs w:val="20"/>
        </w:rPr>
        <w:t xml:space="preserve"> </w:t>
      </w:r>
    </w:p>
  </w:footnote>
  <w:footnote w:id="7">
    <w:p w14:paraId="458A83B6" w14:textId="77777777" w:rsidR="00E70F61" w:rsidRPr="00856A39" w:rsidRDefault="00E70F61" w:rsidP="008B3C97">
      <w:pPr>
        <w:autoSpaceDE w:val="0"/>
        <w:autoSpaceDN w:val="0"/>
        <w:adjustRightInd w:val="0"/>
        <w:spacing w:after="70" w:line="240" w:lineRule="exact"/>
        <w:ind w:right="-57"/>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United Nations, </w:t>
      </w:r>
      <w:r w:rsidRPr="00856A39">
        <w:rPr>
          <w:rFonts w:asciiTheme="minorHAnsi" w:eastAsia="Times New Roman" w:hAnsiTheme="minorHAnsi"/>
          <w:bCs/>
          <w:sz w:val="20"/>
          <w:szCs w:val="20"/>
        </w:rPr>
        <w:t>Recommended Principles and Guidelines on Human Rights and Human Trafficking, E/2002/68/Add.1.</w:t>
      </w:r>
    </w:p>
  </w:footnote>
  <w:footnote w:id="8">
    <w:p w14:paraId="6DEBBCE0" w14:textId="77777777" w:rsidR="00E70F61" w:rsidRPr="00856A39" w:rsidRDefault="00E70F61" w:rsidP="00E70F61">
      <w:pPr>
        <w:pStyle w:val="FootnoteText"/>
        <w:spacing w:after="70" w:line="240" w:lineRule="exact"/>
        <w:ind w:right="-57"/>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"[T]he Committee is of the view that a </w:t>
      </w:r>
      <w:r w:rsidRPr="00856A39">
        <w:rPr>
          <w:rFonts w:asciiTheme="minorHAnsi" w:hAnsiTheme="minorHAnsi"/>
          <w:i/>
        </w:rPr>
        <w:t>minimum core obligation</w:t>
      </w:r>
      <w:r w:rsidRPr="00856A39">
        <w:rPr>
          <w:rFonts w:asciiTheme="minorHAnsi" w:hAnsiTheme="minorHAnsi"/>
        </w:rPr>
        <w:t xml:space="preserve"> to ensure the satisfaction of, at the very least, minimum essential levels of each of the rights is incumbent upon every State party. Thus, for example, a State party in which any significant number of individuals is deprived of essential foodstuffs, of essential primary health care, of basic shelter and housing, or of the most basic forms of education is, prima facie, failing to discharge its obligations under the Covenant" [emphasis added]. ICESCR General Comment No. 3, The nature of States parties’ obligations (art. 2, para. 1, of the ICESCR) (1990), para. 10.</w:t>
      </w:r>
    </w:p>
  </w:footnote>
  <w:footnote w:id="9">
    <w:p w14:paraId="07B9BC76" w14:textId="77777777" w:rsidR="00E70F61" w:rsidRPr="00856A39" w:rsidRDefault="00E70F61" w:rsidP="00E70F61">
      <w:pPr>
        <w:pStyle w:val="FootnoteText"/>
        <w:spacing w:after="70" w:line="240" w:lineRule="exact"/>
        <w:ind w:right="-57"/>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See also CEDAW General Recommendation No. 25 (2004), on article 4, paragraph 1, </w:t>
      </w:r>
      <w:hyperlink r:id="rId9" w:history="1">
        <w:r w:rsidRPr="00856A39">
          <w:rPr>
            <w:rStyle w:val="Hyperlink"/>
            <w:rFonts w:asciiTheme="minorHAnsi" w:hAnsiTheme="minorHAnsi"/>
          </w:rPr>
          <w:t>https://www.ohchr.org/en/hrbodies/cedaw/pages/recommendations.aspx</w:t>
        </w:r>
      </w:hyperlink>
      <w:r w:rsidRPr="00856A39">
        <w:rPr>
          <w:rFonts w:asciiTheme="minorHAnsi" w:hAnsiTheme="minorHAnsi"/>
        </w:rPr>
        <w:t xml:space="preserve">.  </w:t>
      </w:r>
    </w:p>
  </w:footnote>
  <w:footnote w:id="10">
    <w:p w14:paraId="7B7FC1AC" w14:textId="77777777" w:rsidR="00E70F61" w:rsidRPr="00856A39" w:rsidRDefault="00E70F61" w:rsidP="00E70F61">
      <w:pPr>
        <w:pStyle w:val="FootnoteText"/>
        <w:spacing w:after="70" w:line="240" w:lineRule="exact"/>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Concept Note, para. 39. </w:t>
      </w:r>
    </w:p>
  </w:footnote>
  <w:footnote w:id="11">
    <w:p w14:paraId="6F35D646" w14:textId="5730BF57" w:rsidR="00E70F61" w:rsidRPr="00856A39" w:rsidRDefault="00E70F61" w:rsidP="00E70F61">
      <w:pPr>
        <w:pStyle w:val="FootnoteText"/>
        <w:spacing w:after="70" w:line="240" w:lineRule="exact"/>
        <w:ind w:right="-57"/>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w:t>
      </w:r>
      <w:r w:rsidRPr="00856A39">
        <w:rPr>
          <w:rFonts w:asciiTheme="minorHAnsi" w:hAnsiTheme="minorHAnsi"/>
          <w:color w:val="000000"/>
          <w:shd w:val="clear" w:color="auto" w:fill="FFFFFF"/>
        </w:rPr>
        <w:t>"</w:t>
      </w:r>
      <w:r w:rsidRPr="00856A39">
        <w:rPr>
          <w:rFonts w:asciiTheme="minorHAnsi" w:hAnsiTheme="minorHAnsi"/>
          <w:i/>
          <w:color w:val="000000"/>
          <w:shd w:val="clear" w:color="auto" w:fill="FFFFFF"/>
        </w:rPr>
        <w:t>Extreme poverty</w:t>
      </w:r>
      <w:r w:rsidRPr="00856A39">
        <w:rPr>
          <w:rFonts w:asciiTheme="minorHAnsi" w:hAnsiTheme="minorHAnsi"/>
          <w:color w:val="000000"/>
          <w:shd w:val="clear" w:color="auto" w:fill="FFFFFF"/>
        </w:rPr>
        <w:t xml:space="preserve"> involves a lack of income, a lack of access to basic services and social exclusion (A/HRC/7/15, para. 13</w:t>
      </w:r>
      <w:r w:rsidR="003475D8">
        <w:rPr>
          <w:rFonts w:asciiTheme="minorHAnsi" w:hAnsiTheme="minorHAnsi"/>
          <w:color w:val="000000"/>
          <w:shd w:val="clear" w:color="auto" w:fill="FFFFFF"/>
        </w:rPr>
        <w:t>, emphasis added</w:t>
      </w:r>
      <w:r w:rsidRPr="00856A39">
        <w:rPr>
          <w:rFonts w:asciiTheme="minorHAnsi" w:hAnsiTheme="minorHAnsi"/>
          <w:color w:val="000000"/>
          <w:shd w:val="clear" w:color="auto" w:fill="FFFFFF"/>
        </w:rPr>
        <w:t>).  This accords closely with the United Nations Development Programme’s (UNDP) ‘Multidimensional Poverty Index’, which seeks to reflect multiple deprivations at the household level, including in health, schooling and living conditions. Using a multidimensional approach to poverty, the incidence of extreme poverty around the world is staggering. According to UNDP’s </w:t>
      </w:r>
      <w:r w:rsidRPr="00856A39">
        <w:rPr>
          <w:rStyle w:val="Emphasis"/>
          <w:rFonts w:asciiTheme="minorHAnsi" w:hAnsiTheme="minorHAnsi"/>
          <w:color w:val="000000"/>
          <w:shd w:val="clear" w:color="auto" w:fill="FFFFFF"/>
        </w:rPr>
        <w:t>Human Development Report 2014</w:t>
      </w:r>
      <w:r w:rsidRPr="00856A39">
        <w:rPr>
          <w:rFonts w:asciiTheme="minorHAnsi" w:hAnsiTheme="minorHAnsi"/>
          <w:color w:val="000000"/>
          <w:shd w:val="clear" w:color="auto" w:fill="FFFFFF"/>
        </w:rPr>
        <w:t xml:space="preserve">, over 2.2 billion people, more than 15 per cent of the world’s population, “are either near or living in multidimensional poverty”. </w:t>
      </w:r>
      <w:r w:rsidRPr="00856A39">
        <w:rPr>
          <w:rFonts w:asciiTheme="minorHAnsi" w:hAnsiTheme="minorHAnsi"/>
        </w:rPr>
        <w:t xml:space="preserve">UN Special Rapporteur on extreme poverty and human rights, </w:t>
      </w:r>
      <w:hyperlink r:id="rId10" w:history="1">
        <w:r w:rsidR="00E277CB" w:rsidRPr="007202F9">
          <w:rPr>
            <w:rStyle w:val="Hyperlink"/>
            <w:rFonts w:asciiTheme="minorHAnsi" w:hAnsiTheme="minorHAnsi"/>
          </w:rPr>
          <w:t>https://www.ohchr.org/en/issues/poverty/pages/srextremepovertyindex.aspx</w:t>
        </w:r>
      </w:hyperlink>
      <w:r w:rsidR="00E277CB">
        <w:rPr>
          <w:rFonts w:asciiTheme="minorHAnsi" w:hAnsiTheme="minorHAnsi"/>
        </w:rPr>
        <w:t xml:space="preserve">. </w:t>
      </w:r>
      <w:r w:rsidRPr="00856A39">
        <w:rPr>
          <w:rFonts w:asciiTheme="minorHAnsi" w:hAnsiTheme="minorHAnsi"/>
        </w:rPr>
        <w:t xml:space="preserve">See also </w:t>
      </w:r>
      <w:r w:rsidRPr="00856A39">
        <w:rPr>
          <w:rFonts w:asciiTheme="minorHAnsi" w:hAnsiTheme="minorHAnsi"/>
          <w:color w:val="000000"/>
          <w:lang w:val="en"/>
        </w:rPr>
        <w:t xml:space="preserve">UNDP (2014), </w:t>
      </w:r>
      <w:r w:rsidRPr="00856A39">
        <w:rPr>
          <w:rFonts w:asciiTheme="minorHAnsi" w:hAnsiTheme="minorHAnsi"/>
          <w:i/>
          <w:color w:val="000000"/>
          <w:lang w:val="en"/>
        </w:rPr>
        <w:t>Human Development Report 2014: Sustaining Human Progress: Reducing Vulnerabilities and Building Resilience</w:t>
      </w:r>
      <w:r w:rsidRPr="00856A39">
        <w:rPr>
          <w:rFonts w:asciiTheme="minorHAnsi" w:hAnsiTheme="minorHAnsi"/>
          <w:color w:val="000000"/>
          <w:lang w:val="en"/>
        </w:rPr>
        <w:t xml:space="preserve">,  </w:t>
      </w:r>
      <w:hyperlink r:id="rId11" w:history="1">
        <w:r w:rsidRPr="00856A39">
          <w:rPr>
            <w:rStyle w:val="Hyperlink"/>
            <w:rFonts w:asciiTheme="minorHAnsi" w:hAnsiTheme="minorHAnsi"/>
            <w:lang w:val="en"/>
          </w:rPr>
          <w:t>http://hdr.undp.org/en/content/human-development-report-2014</w:t>
        </w:r>
      </w:hyperlink>
      <w:r w:rsidRPr="00856A39">
        <w:rPr>
          <w:rFonts w:asciiTheme="minorHAnsi" w:hAnsiTheme="minorHAnsi"/>
          <w:color w:val="000000"/>
          <w:lang w:val="en"/>
        </w:rPr>
        <w:t xml:space="preserve"> </w:t>
      </w:r>
    </w:p>
  </w:footnote>
  <w:footnote w:id="12">
    <w:p w14:paraId="7F6A1FC1" w14:textId="77777777" w:rsidR="00E70F61" w:rsidRPr="00856A39" w:rsidRDefault="00E70F61" w:rsidP="00E70F61">
      <w:pPr>
        <w:pStyle w:val="FootnoteText"/>
        <w:spacing w:after="70" w:line="240" w:lineRule="exact"/>
        <w:ind w:right="-57"/>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Compare Concept Note, para. 39.</w:t>
      </w:r>
    </w:p>
  </w:footnote>
  <w:footnote w:id="13">
    <w:p w14:paraId="255137B6" w14:textId="7F5C316F" w:rsidR="00E70F61" w:rsidRPr="00856A39" w:rsidRDefault="00E70F61" w:rsidP="00E70F61">
      <w:pPr>
        <w:pStyle w:val="FootnoteText"/>
        <w:spacing w:after="70" w:line="240" w:lineRule="exact"/>
        <w:ind w:right="-57"/>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w:t>
      </w:r>
      <w:hyperlink r:id="rId12" w:history="1">
        <w:r w:rsidRPr="00856A39">
          <w:rPr>
            <w:rStyle w:val="Hyperlink"/>
            <w:rFonts w:asciiTheme="minorHAnsi" w:hAnsiTheme="minorHAnsi"/>
          </w:rPr>
          <w:t>http://hdr.undp.org/en/2018-MPI</w:t>
        </w:r>
      </w:hyperlink>
      <w:r w:rsidRPr="00856A39">
        <w:rPr>
          <w:rFonts w:asciiTheme="minorHAnsi" w:hAnsiTheme="minorHAnsi"/>
        </w:rPr>
        <w:t xml:space="preserve">; see also </w:t>
      </w:r>
      <w:r w:rsidRPr="00856A39">
        <w:rPr>
          <w:rFonts w:asciiTheme="minorHAnsi" w:hAnsiTheme="minorHAnsi"/>
          <w:color w:val="000000"/>
          <w:lang w:val="en"/>
        </w:rPr>
        <w:t xml:space="preserve">Sabina Alkire and Selim Jahan (2018), </w:t>
      </w:r>
      <w:r w:rsidRPr="00856A39">
        <w:rPr>
          <w:rFonts w:asciiTheme="minorHAnsi" w:hAnsiTheme="minorHAnsi"/>
          <w:i/>
          <w:iCs/>
          <w:color w:val="000000"/>
          <w:lang w:val="en"/>
        </w:rPr>
        <w:t>‘The New Global MPI 2018: Aligning with the Sustainable Development Goals’</w:t>
      </w:r>
      <w:r w:rsidRPr="00856A39">
        <w:rPr>
          <w:rFonts w:asciiTheme="minorHAnsi" w:hAnsiTheme="minorHAnsi"/>
          <w:color w:val="000000"/>
          <w:lang w:val="en"/>
        </w:rPr>
        <w:t xml:space="preserve">, </w:t>
      </w:r>
      <w:hyperlink r:id="rId13" w:history="1">
        <w:r w:rsidRPr="00856A39">
          <w:rPr>
            <w:rStyle w:val="Hyperlink"/>
            <w:rFonts w:asciiTheme="minorHAnsi" w:hAnsiTheme="minorHAnsi"/>
            <w:lang w:val="en"/>
          </w:rPr>
          <w:t>http://hdr.undp.org/en/content/new-global-mpi-2018-aligning-sustainable-development-goals</w:t>
        </w:r>
      </w:hyperlink>
      <w:r w:rsidR="005D238E">
        <w:rPr>
          <w:rFonts w:asciiTheme="minorHAnsi" w:hAnsiTheme="minorHAnsi"/>
          <w:color w:val="000000"/>
          <w:lang w:val="en"/>
        </w:rPr>
        <w:t>, e</w:t>
      </w:r>
      <w:r w:rsidR="00412576">
        <w:rPr>
          <w:rFonts w:asciiTheme="minorHAnsi" w:hAnsiTheme="minorHAnsi"/>
          <w:color w:val="000000"/>
          <w:lang w:val="en"/>
        </w:rPr>
        <w:t xml:space="preserve">mphasis added. </w:t>
      </w:r>
    </w:p>
  </w:footnote>
  <w:footnote w:id="14">
    <w:p w14:paraId="37D2F9B0" w14:textId="77777777" w:rsidR="00E70F61" w:rsidRPr="00856A39" w:rsidRDefault="00E70F61" w:rsidP="00E70F61">
      <w:pPr>
        <w:pStyle w:val="FootnoteText"/>
        <w:spacing w:after="70" w:line="240" w:lineRule="exact"/>
        <w:ind w:right="-57"/>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CEDAW General Recommendation No. 25 (2004), on article 4, paragraph 1, </w:t>
      </w:r>
      <w:hyperlink r:id="rId14" w:history="1">
        <w:r w:rsidRPr="00856A39">
          <w:rPr>
            <w:rStyle w:val="Hyperlink"/>
            <w:rFonts w:asciiTheme="minorHAnsi" w:hAnsiTheme="minorHAnsi"/>
          </w:rPr>
          <w:t>https://www.ohchr.org/en/hrbodies/cedaw/pages/recommendations.aspx</w:t>
        </w:r>
      </w:hyperlink>
      <w:r w:rsidRPr="00856A39">
        <w:rPr>
          <w:rFonts w:asciiTheme="minorHAnsi" w:hAnsiTheme="minorHAnsi"/>
        </w:rPr>
        <w:t xml:space="preserve"> </w:t>
      </w:r>
    </w:p>
  </w:footnote>
  <w:footnote w:id="15">
    <w:p w14:paraId="33C1B419" w14:textId="77777777" w:rsidR="00E70F61" w:rsidRPr="00856A39" w:rsidRDefault="00E70F61" w:rsidP="00E70F61">
      <w:pPr>
        <w:pStyle w:val="FootnoteText"/>
        <w:spacing w:after="70" w:line="240" w:lineRule="exact"/>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Including </w:t>
      </w:r>
      <w:r w:rsidRPr="00856A39">
        <w:rPr>
          <w:rFonts w:asciiTheme="minorHAnsi" w:hAnsiTheme="minorHAnsi"/>
          <w:color w:val="000000"/>
          <w:shd w:val="clear" w:color="auto" w:fill="FFFFFF"/>
        </w:rPr>
        <w:t>the particular concerns of rural women and the roles they play in the economic survival of their families, see article 14 of CEDAW. See also General Recommendation No. 34 (2006).</w:t>
      </w:r>
    </w:p>
  </w:footnote>
  <w:footnote w:id="16">
    <w:p w14:paraId="2926F0C9" w14:textId="77777777" w:rsidR="00E70F61" w:rsidRPr="00856A39" w:rsidRDefault="00E70F61" w:rsidP="00E70F61">
      <w:pPr>
        <w:pStyle w:val="FootnoteText"/>
        <w:spacing w:after="70" w:line="240" w:lineRule="exact"/>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See also ICESCR article 13; CRC article 28; and CRPD Article 24.</w:t>
      </w:r>
    </w:p>
  </w:footnote>
  <w:footnote w:id="17">
    <w:p w14:paraId="55F0105B" w14:textId="77777777" w:rsidR="00E70F61" w:rsidRPr="00856A39" w:rsidRDefault="00E70F61" w:rsidP="00E70F61">
      <w:pPr>
        <w:pStyle w:val="FootnoteText"/>
        <w:spacing w:after="70" w:line="240" w:lineRule="exact"/>
        <w:rPr>
          <w:rFonts w:asciiTheme="minorHAnsi" w:hAnsiTheme="minorHAnsi"/>
          <w:highlight w:val="yellow"/>
        </w:rPr>
      </w:pPr>
      <w:r w:rsidRPr="00856A39">
        <w:rPr>
          <w:rStyle w:val="FootnoteReference"/>
          <w:rFonts w:asciiTheme="minorHAnsi" w:hAnsiTheme="minorHAnsi"/>
        </w:rPr>
        <w:footnoteRef/>
      </w:r>
      <w:r w:rsidRPr="00856A39">
        <w:rPr>
          <w:rFonts w:asciiTheme="minorHAnsi" w:hAnsiTheme="minorHAnsi"/>
        </w:rPr>
        <w:t xml:space="preserve"> See also ICESCR article 12; CRC article 24; and CRPD Article 25.</w:t>
      </w:r>
    </w:p>
  </w:footnote>
  <w:footnote w:id="18">
    <w:p w14:paraId="75B05BE1" w14:textId="77777777" w:rsidR="0079592F" w:rsidRPr="00856A39" w:rsidRDefault="0079592F"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Global Alliance against Traffic in women, The Gender Dimension of Human Trafficking.</w:t>
      </w:r>
    </w:p>
  </w:footnote>
  <w:footnote w:id="19">
    <w:p w14:paraId="09C1CB5D" w14:textId="77777777" w:rsidR="0056215C" w:rsidRPr="00856A39" w:rsidRDefault="0056215C"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Report of the Special rapporteur on contemporary forms of slavery, A/73/139, 10 July 2018.</w:t>
      </w:r>
    </w:p>
  </w:footnote>
  <w:footnote w:id="20">
    <w:p w14:paraId="6AA375BD" w14:textId="77777777" w:rsidR="0056215C" w:rsidRPr="00856A39" w:rsidRDefault="0056215C"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Global Alliance against Traffic in women, The Gender Dimension of Human Trafficking.</w:t>
      </w:r>
    </w:p>
  </w:footnote>
  <w:footnote w:id="21">
    <w:p w14:paraId="1BE8D464" w14:textId="77777777" w:rsidR="004B1A4F" w:rsidRPr="00856A39" w:rsidRDefault="004B1A4F"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Global Compact for safe, orderly and regular migration, per final draft, 11 July 2018, Objective 10.</w:t>
      </w:r>
    </w:p>
  </w:footnote>
  <w:footnote w:id="22">
    <w:p w14:paraId="4E28B60D" w14:textId="77777777" w:rsidR="00ED03ED" w:rsidRPr="00856A39" w:rsidRDefault="00ED03ED"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See, for instance, Report of the Special Rapporteur on torture, 26 February 2018, A/HRC/37/50, at 19.</w:t>
      </w:r>
    </w:p>
  </w:footnote>
  <w:footnote w:id="23">
    <w:p w14:paraId="0ADCF3A2" w14:textId="77777777" w:rsidR="00783253" w:rsidRPr="00856A39" w:rsidRDefault="00783253"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w:t>
      </w:r>
      <w:r w:rsidRPr="00FC3DA2">
        <w:rPr>
          <w:rFonts w:asciiTheme="minorHAnsi" w:hAnsiTheme="minorHAnsi"/>
          <w:i/>
          <w:sz w:val="20"/>
          <w:szCs w:val="20"/>
        </w:rPr>
        <w:t>Ibid</w:t>
      </w:r>
      <w:r w:rsidRPr="00856A39">
        <w:rPr>
          <w:rFonts w:asciiTheme="minorHAnsi" w:hAnsiTheme="minorHAnsi"/>
          <w:sz w:val="20"/>
          <w:szCs w:val="20"/>
        </w:rPr>
        <w:t>.</w:t>
      </w:r>
    </w:p>
  </w:footnote>
  <w:footnote w:id="24">
    <w:p w14:paraId="597B3856" w14:textId="77777777" w:rsidR="003C65C3" w:rsidRPr="00856A39" w:rsidRDefault="003C65C3"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Report of the UN Special Rapporteur on torture, A/HRC/7/3, 15 January 2008, paras. 56-58.</w:t>
      </w:r>
    </w:p>
  </w:footnote>
  <w:footnote w:id="25">
    <w:p w14:paraId="672D14B4" w14:textId="77777777" w:rsidR="00285741" w:rsidRPr="00856A39" w:rsidRDefault="00285741"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Report of the Special Rapporteur on torture, 26 February 2018, A/HRC/37/50, at 34. See also, OSCE, Trafficking in Human Beings Amounting to Torture and other Forms of Ill-treatment (2013), pp.20-27, </w:t>
      </w:r>
    </w:p>
  </w:footnote>
  <w:footnote w:id="26">
    <w:p w14:paraId="478038F2" w14:textId="77777777" w:rsidR="00157D67" w:rsidRPr="00856A39" w:rsidRDefault="00157D67"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ECHR, </w:t>
      </w:r>
      <w:r w:rsidRPr="00856A39">
        <w:rPr>
          <w:rFonts w:asciiTheme="minorHAnsi" w:hAnsiTheme="minorHAnsi"/>
          <w:i/>
          <w:sz w:val="20"/>
          <w:szCs w:val="20"/>
        </w:rPr>
        <w:t>Siliadin v. France</w:t>
      </w:r>
      <w:r w:rsidR="007F46A7" w:rsidRPr="00856A39">
        <w:rPr>
          <w:rFonts w:asciiTheme="minorHAnsi" w:hAnsiTheme="minorHAnsi"/>
          <w:sz w:val="20"/>
          <w:szCs w:val="20"/>
        </w:rPr>
        <w:t>, Application no. 73316/01, 26 October 2005.</w:t>
      </w:r>
    </w:p>
  </w:footnote>
  <w:footnote w:id="27">
    <w:p w14:paraId="1D1589E9" w14:textId="77777777" w:rsidR="00573D44" w:rsidRPr="00856A39" w:rsidRDefault="00573D44"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See generally </w:t>
      </w:r>
      <w:r w:rsidRPr="00856A39">
        <w:rPr>
          <w:rFonts w:asciiTheme="minorHAnsi" w:hAnsiTheme="minorHAnsi"/>
          <w:sz w:val="20"/>
          <w:szCs w:val="20"/>
          <w:lang w:val="en-US"/>
        </w:rPr>
        <w:t xml:space="preserve">Vladislava Stoyanova, </w:t>
      </w:r>
      <w:r w:rsidRPr="00856A39">
        <w:rPr>
          <w:rFonts w:asciiTheme="minorHAnsi" w:hAnsiTheme="minorHAnsi"/>
          <w:smallCaps/>
          <w:sz w:val="20"/>
          <w:szCs w:val="20"/>
          <w:lang w:val="en-US"/>
        </w:rPr>
        <w:t>Human Trafficking and Slavery Reconsidered: Conceptual Limits and States’ Positive Obligations in European Law</w:t>
      </w:r>
      <w:r w:rsidRPr="00856A39">
        <w:rPr>
          <w:rFonts w:asciiTheme="minorHAnsi" w:hAnsiTheme="minorHAnsi"/>
          <w:sz w:val="20"/>
          <w:szCs w:val="20"/>
          <w:lang w:val="en-US"/>
        </w:rPr>
        <w:t xml:space="preserve"> (CUP 2017) and Siobhan Mullally, “Migration, Gender, and the Limits of Rights” in Ruth Rubio-Marin (ed), </w:t>
      </w:r>
      <w:r w:rsidRPr="00856A39">
        <w:rPr>
          <w:rFonts w:asciiTheme="minorHAnsi" w:hAnsiTheme="minorHAnsi"/>
          <w:smallCaps/>
          <w:sz w:val="20"/>
          <w:szCs w:val="20"/>
          <w:lang w:val="en-US"/>
        </w:rPr>
        <w:t>Human Rights and Immigration</w:t>
      </w:r>
      <w:r w:rsidRPr="00856A39">
        <w:rPr>
          <w:rFonts w:asciiTheme="minorHAnsi" w:hAnsiTheme="minorHAnsi"/>
          <w:sz w:val="20"/>
          <w:szCs w:val="20"/>
          <w:lang w:val="en-US"/>
        </w:rPr>
        <w:t xml:space="preserve"> (OUP 2014). See also Lourdes Peroni, “The Borders that Disadvantage Migrant Women in Enjoying Human Rights,” 36 (2) </w:t>
      </w:r>
      <w:r w:rsidRPr="00241F86">
        <w:rPr>
          <w:rFonts w:asciiTheme="minorHAnsi" w:hAnsiTheme="minorHAnsi"/>
          <w:i/>
          <w:sz w:val="20"/>
          <w:szCs w:val="20"/>
          <w:lang w:val="en-US"/>
        </w:rPr>
        <w:t xml:space="preserve">Netherlands Quarterly of Human Rights </w:t>
      </w:r>
      <w:r w:rsidRPr="00856A39">
        <w:rPr>
          <w:rFonts w:asciiTheme="minorHAnsi" w:hAnsiTheme="minorHAnsi"/>
          <w:sz w:val="20"/>
          <w:szCs w:val="20"/>
          <w:lang w:val="en-US"/>
        </w:rPr>
        <w:t>(2018) 1-18.</w:t>
      </w:r>
    </w:p>
  </w:footnote>
  <w:footnote w:id="28">
    <w:p w14:paraId="5E587BFF" w14:textId="77777777" w:rsidR="00B8483F" w:rsidRPr="00856A39" w:rsidRDefault="00B8483F"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w:t>
      </w:r>
      <w:r w:rsidRPr="00856A39">
        <w:rPr>
          <w:rFonts w:asciiTheme="minorHAnsi" w:hAnsiTheme="minorHAnsi"/>
          <w:sz w:val="20"/>
          <w:szCs w:val="20"/>
          <w:lang w:val="en-US"/>
        </w:rPr>
        <w:t xml:space="preserve">ECtHR, </w:t>
      </w:r>
      <w:r w:rsidRPr="00CD5A60">
        <w:rPr>
          <w:rFonts w:asciiTheme="minorHAnsi" w:hAnsiTheme="minorHAnsi"/>
          <w:i/>
          <w:sz w:val="20"/>
          <w:szCs w:val="20"/>
        </w:rPr>
        <w:t>Rantsev v. Cyprus and Russia</w:t>
      </w:r>
      <w:r w:rsidRPr="00856A39">
        <w:rPr>
          <w:rFonts w:asciiTheme="minorHAnsi" w:hAnsiTheme="minorHAnsi"/>
          <w:sz w:val="20"/>
          <w:szCs w:val="20"/>
        </w:rPr>
        <w:t xml:space="preserve">, </w:t>
      </w:r>
      <w:r w:rsidRPr="00856A39">
        <w:rPr>
          <w:rFonts w:asciiTheme="minorHAnsi" w:hAnsiTheme="minorHAnsi"/>
          <w:sz w:val="20"/>
          <w:szCs w:val="20"/>
          <w:lang w:val="en-US"/>
        </w:rPr>
        <w:t xml:space="preserve">7 January 2010, Application No. 25965/04. </w:t>
      </w:r>
    </w:p>
  </w:footnote>
  <w:footnote w:id="29">
    <w:p w14:paraId="0399C300" w14:textId="77777777" w:rsidR="00573D44" w:rsidRPr="00856A39" w:rsidRDefault="00573D44"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The Court critiqued the artiste visa regime for requiring cabaret managers to apply for entry permits on behalf of artistes and for requiring cabaret owners/managers to deposit a bank guarantee to cover potential repatriation costs. Ibid. paras 291-2. </w:t>
      </w:r>
    </w:p>
  </w:footnote>
  <w:footnote w:id="30">
    <w:p w14:paraId="3CDA96EA" w14:textId="77777777" w:rsidR="00573D44" w:rsidRPr="00856A39" w:rsidRDefault="00573D44"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w:t>
      </w:r>
      <w:r w:rsidRPr="00856A39">
        <w:rPr>
          <w:rFonts w:asciiTheme="minorHAnsi" w:hAnsiTheme="minorHAnsi"/>
          <w:sz w:val="20"/>
          <w:szCs w:val="20"/>
          <w:lang w:val="en-US"/>
        </w:rPr>
        <w:t xml:space="preserve">Ibid. para 293. </w:t>
      </w:r>
      <w:r w:rsidRPr="00856A39">
        <w:rPr>
          <w:rFonts w:asciiTheme="minorHAnsi" w:hAnsiTheme="minorHAnsi"/>
          <w:sz w:val="20"/>
          <w:szCs w:val="20"/>
        </w:rPr>
        <w:t xml:space="preserve">The Court accordingly found a violation of Article 4 ECHR. </w:t>
      </w:r>
    </w:p>
  </w:footnote>
  <w:footnote w:id="31">
    <w:p w14:paraId="28DC6687" w14:textId="77777777" w:rsidR="00573D44" w:rsidRPr="00856A39" w:rsidRDefault="00573D44"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w:t>
      </w:r>
      <w:r w:rsidRPr="00856A39">
        <w:rPr>
          <w:rFonts w:asciiTheme="minorHAnsi" w:hAnsiTheme="minorHAnsi"/>
          <w:sz w:val="20"/>
          <w:szCs w:val="20"/>
          <w:lang w:val="en-US"/>
        </w:rPr>
        <w:t xml:space="preserve">Ibid. para 292. </w:t>
      </w:r>
    </w:p>
  </w:footnote>
  <w:footnote w:id="32">
    <w:p w14:paraId="2A560284" w14:textId="77777777" w:rsidR="00573D44" w:rsidRPr="00856A39" w:rsidRDefault="00573D44"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Ibid. </w:t>
      </w:r>
      <w:r w:rsidRPr="00856A39">
        <w:rPr>
          <w:rFonts w:asciiTheme="minorHAnsi" w:hAnsiTheme="minorHAnsi"/>
          <w:sz w:val="20"/>
          <w:szCs w:val="20"/>
          <w:lang w:val="en-US"/>
        </w:rPr>
        <w:t xml:space="preserve">para 284. Emphasis added. </w:t>
      </w:r>
    </w:p>
  </w:footnote>
  <w:footnote w:id="33">
    <w:p w14:paraId="40AB41A4" w14:textId="77777777" w:rsidR="00573D44" w:rsidRPr="00856A39" w:rsidRDefault="00573D44"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Ibid. </w:t>
      </w:r>
    </w:p>
  </w:footnote>
  <w:footnote w:id="34">
    <w:p w14:paraId="0502198E" w14:textId="77777777" w:rsidR="00573D44" w:rsidRPr="00856A39" w:rsidRDefault="00573D44"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Alexandra Timmer, “Toward an Anti-Stereotyping Approach for the European Court of Human Rights” (2011) 11 </w:t>
      </w:r>
      <w:r w:rsidRPr="003A3550">
        <w:rPr>
          <w:rFonts w:asciiTheme="minorHAnsi" w:hAnsiTheme="minorHAnsi"/>
          <w:i/>
          <w:sz w:val="20"/>
          <w:szCs w:val="20"/>
        </w:rPr>
        <w:t xml:space="preserve">Human Rights Law Review </w:t>
      </w:r>
      <w:r w:rsidRPr="00856A39">
        <w:rPr>
          <w:rFonts w:asciiTheme="minorHAnsi" w:hAnsiTheme="minorHAnsi"/>
          <w:sz w:val="20"/>
          <w:szCs w:val="20"/>
        </w:rPr>
        <w:t xml:space="preserve">732. </w:t>
      </w:r>
    </w:p>
  </w:footnote>
  <w:footnote w:id="35">
    <w:p w14:paraId="3C9B226B" w14:textId="77777777" w:rsidR="00573D44" w:rsidRPr="00856A39" w:rsidRDefault="00573D44"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w:t>
      </w:r>
      <w:r w:rsidRPr="00856A39">
        <w:rPr>
          <w:rFonts w:asciiTheme="minorHAnsi" w:hAnsiTheme="minorHAnsi"/>
          <w:sz w:val="20"/>
          <w:szCs w:val="20"/>
          <w:lang w:val="en-US"/>
        </w:rPr>
        <w:t xml:space="preserve">Ibid. </w:t>
      </w:r>
    </w:p>
  </w:footnote>
  <w:footnote w:id="36">
    <w:p w14:paraId="268447CD" w14:textId="77777777" w:rsidR="00573D44" w:rsidRPr="00856A39" w:rsidRDefault="00573D44" w:rsidP="00DD593F">
      <w:pPr>
        <w:pStyle w:val="NoSpacing"/>
        <w:spacing w:after="70"/>
        <w:rPr>
          <w:rFonts w:asciiTheme="minorHAnsi" w:hAnsiTheme="minorHAnsi"/>
          <w:sz w:val="20"/>
          <w:szCs w:val="20"/>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w:t>
      </w:r>
      <w:r w:rsidRPr="00856A39">
        <w:rPr>
          <w:rFonts w:asciiTheme="minorHAnsi" w:hAnsiTheme="minorHAnsi"/>
          <w:sz w:val="20"/>
          <w:szCs w:val="20"/>
          <w:lang w:val="en-US"/>
        </w:rPr>
        <w:t xml:space="preserve">Ibid. </w:t>
      </w:r>
    </w:p>
  </w:footnote>
  <w:footnote w:id="37">
    <w:p w14:paraId="3BC350A6" w14:textId="77777777" w:rsidR="00A00EC8" w:rsidRPr="00856A39" w:rsidRDefault="00A00EC8"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w:t>
      </w:r>
      <w:r w:rsidRPr="00CD5A60">
        <w:rPr>
          <w:rFonts w:asciiTheme="minorHAnsi" w:hAnsiTheme="minorHAnsi"/>
          <w:i/>
          <w:sz w:val="20"/>
          <w:szCs w:val="20"/>
        </w:rPr>
        <w:t>Rantsev</w:t>
      </w:r>
      <w:r w:rsidRPr="00856A39">
        <w:rPr>
          <w:rFonts w:asciiTheme="minorHAnsi" w:hAnsiTheme="minorHAnsi"/>
          <w:sz w:val="20"/>
          <w:szCs w:val="20"/>
        </w:rPr>
        <w:t xml:space="preserve"> para 284.  </w:t>
      </w:r>
    </w:p>
  </w:footnote>
  <w:footnote w:id="38">
    <w:p w14:paraId="4EF9CD97" w14:textId="77777777" w:rsidR="00573D44" w:rsidRPr="00856A39" w:rsidRDefault="00573D44"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In line with </w:t>
      </w:r>
      <w:r w:rsidRPr="00856A39">
        <w:rPr>
          <w:rFonts w:asciiTheme="minorHAnsi" w:hAnsiTheme="minorHAnsi"/>
          <w:sz w:val="20"/>
          <w:szCs w:val="20"/>
          <w:lang w:val="en-US"/>
        </w:rPr>
        <w:t>Concept Note</w:t>
      </w:r>
      <w:r w:rsidR="00A006CB">
        <w:rPr>
          <w:rFonts w:asciiTheme="minorHAnsi" w:hAnsiTheme="minorHAnsi"/>
          <w:sz w:val="20"/>
          <w:szCs w:val="20"/>
          <w:lang w:val="en-US"/>
        </w:rPr>
        <w:t>,</w:t>
      </w:r>
      <w:r w:rsidRPr="00856A39">
        <w:rPr>
          <w:rFonts w:asciiTheme="minorHAnsi" w:hAnsiTheme="minorHAnsi"/>
          <w:sz w:val="20"/>
          <w:szCs w:val="20"/>
          <w:lang w:val="en-US"/>
        </w:rPr>
        <w:t xml:space="preserve"> para 40. </w:t>
      </w:r>
    </w:p>
  </w:footnote>
  <w:footnote w:id="39">
    <w:p w14:paraId="6050F92A" w14:textId="77777777" w:rsidR="00573D44" w:rsidRPr="00856A39" w:rsidRDefault="00573D44" w:rsidP="00DD593F">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w:t>
      </w:r>
      <w:r w:rsidRPr="00856A39">
        <w:rPr>
          <w:rFonts w:asciiTheme="minorHAnsi" w:hAnsiTheme="minorHAnsi"/>
          <w:sz w:val="20"/>
          <w:szCs w:val="20"/>
          <w:lang w:val="en-US"/>
        </w:rPr>
        <w:t xml:space="preserve">For a fuller analysis of how the state may create “structural conditions of vulnerability to exploitation through law,” in particular through its labor law, see Virginia Mantouvalou, “Legal Construction of Structures of Exploitation,” in Hugh Collins, Gillian Lester and Virginia Mantouvalou (eds) </w:t>
      </w:r>
      <w:r w:rsidRPr="00856A39">
        <w:rPr>
          <w:rFonts w:asciiTheme="minorHAnsi" w:hAnsiTheme="minorHAnsi"/>
          <w:smallCaps/>
          <w:sz w:val="20"/>
          <w:szCs w:val="20"/>
          <w:lang w:val="en-US"/>
        </w:rPr>
        <w:t>Philosophical Foundations of Labour Law</w:t>
      </w:r>
      <w:r w:rsidRPr="00856A39">
        <w:rPr>
          <w:rFonts w:asciiTheme="minorHAnsi" w:hAnsiTheme="minorHAnsi"/>
          <w:sz w:val="20"/>
          <w:szCs w:val="20"/>
          <w:lang w:val="en-US"/>
        </w:rPr>
        <w:t xml:space="preserve"> (OUP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375E" w14:textId="77777777" w:rsidR="00573D44" w:rsidRDefault="00573D44">
    <w:pPr>
      <w:pStyle w:val="Header"/>
    </w:pPr>
    <w:r>
      <w:rPr>
        <w:noProof/>
        <w:lang w:eastAsia="en-GB"/>
      </w:rPr>
      <w:drawing>
        <wp:anchor distT="0" distB="0" distL="114300" distR="114300" simplePos="0" relativeHeight="251658240" behindDoc="0" locked="0" layoutInCell="1" allowOverlap="1" wp14:anchorId="6E1DE6CE" wp14:editId="0C2C60AE">
          <wp:simplePos x="0" y="0"/>
          <wp:positionH relativeFrom="column">
            <wp:posOffset>-510540</wp:posOffset>
          </wp:positionH>
          <wp:positionV relativeFrom="paragraph">
            <wp:posOffset>1270</wp:posOffset>
          </wp:positionV>
          <wp:extent cx="3395980"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 HKCJ.jpg"/>
                  <pic:cNvPicPr/>
                </pic:nvPicPr>
                <pic:blipFill>
                  <a:blip r:embed="rId1">
                    <a:extLst>
                      <a:ext uri="{28A0092B-C50C-407E-A947-70E740481C1C}">
                        <a14:useLocalDpi xmlns:a14="http://schemas.microsoft.com/office/drawing/2010/main" val="0"/>
                      </a:ext>
                    </a:extLst>
                  </a:blip>
                  <a:stretch>
                    <a:fillRect/>
                  </a:stretch>
                </pic:blipFill>
                <pic:spPr>
                  <a:xfrm>
                    <a:off x="0" y="0"/>
                    <a:ext cx="3395980"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D859FCC" wp14:editId="2A500B82">
              <wp:simplePos x="0" y="0"/>
              <wp:positionH relativeFrom="column">
                <wp:posOffset>5444619</wp:posOffset>
              </wp:positionH>
              <wp:positionV relativeFrom="paragraph">
                <wp:posOffset>-541412</wp:posOffset>
              </wp:positionV>
              <wp:extent cx="1143016" cy="1296958"/>
              <wp:effectExtent l="0" t="635" r="18415" b="18415"/>
              <wp:wrapNone/>
              <wp:docPr id="2" name="Isosceles Triangle 2"/>
              <wp:cNvGraphicFramePr/>
              <a:graphic xmlns:a="http://schemas.openxmlformats.org/drawingml/2006/main">
                <a:graphicData uri="http://schemas.microsoft.com/office/word/2010/wordprocessingShape">
                  <wps:wsp>
                    <wps:cNvSpPr/>
                    <wps:spPr>
                      <a:xfrm rot="16200000">
                        <a:off x="0" y="0"/>
                        <a:ext cx="1143016" cy="1296958"/>
                      </a:xfrm>
                      <a:prstGeom prst="triangle">
                        <a:avLst>
                          <a:gd name="adj" fmla="val 100000"/>
                        </a:avLst>
                      </a:prstGeom>
                      <a:solidFill>
                        <a:srgbClr val="B70D50"/>
                      </a:solidFill>
                      <a:ln>
                        <a:solidFill>
                          <a:srgbClr val="B70D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DC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428.7pt;margin-top:-42.65pt;width:90pt;height:102.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" adj="21600" fillcolor="#b70d50" strokecolor="#b70d5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B29"/>
    <w:multiLevelType w:val="hybridMultilevel"/>
    <w:tmpl w:val="F3FCB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A6F12"/>
    <w:multiLevelType w:val="hybridMultilevel"/>
    <w:tmpl w:val="A8566C68"/>
    <w:lvl w:ilvl="0" w:tplc="463856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87A7A"/>
    <w:multiLevelType w:val="hybridMultilevel"/>
    <w:tmpl w:val="FEA82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4B45F1"/>
    <w:multiLevelType w:val="hybridMultilevel"/>
    <w:tmpl w:val="FB44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A2C25"/>
    <w:multiLevelType w:val="hybridMultilevel"/>
    <w:tmpl w:val="E36EB64E"/>
    <w:lvl w:ilvl="0" w:tplc="463856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912ED"/>
    <w:multiLevelType w:val="hybridMultilevel"/>
    <w:tmpl w:val="79CE4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EE79C8"/>
    <w:multiLevelType w:val="hybridMultilevel"/>
    <w:tmpl w:val="5BDC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654987"/>
    <w:multiLevelType w:val="hybridMultilevel"/>
    <w:tmpl w:val="E27E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17636E"/>
    <w:multiLevelType w:val="hybridMultilevel"/>
    <w:tmpl w:val="69009ED0"/>
    <w:lvl w:ilvl="0" w:tplc="463856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578B6"/>
    <w:multiLevelType w:val="hybridMultilevel"/>
    <w:tmpl w:val="81F40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6"/>
  </w:num>
  <w:num w:numId="6">
    <w:abstractNumId w:val="9"/>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20"/>
    <w:rsid w:val="0004707F"/>
    <w:rsid w:val="0007136D"/>
    <w:rsid w:val="00080022"/>
    <w:rsid w:val="000B27E6"/>
    <w:rsid w:val="000C5516"/>
    <w:rsid w:val="000C7820"/>
    <w:rsid w:val="000E34CD"/>
    <w:rsid w:val="00100B5C"/>
    <w:rsid w:val="00101C01"/>
    <w:rsid w:val="00130D57"/>
    <w:rsid w:val="00133EF2"/>
    <w:rsid w:val="00154E99"/>
    <w:rsid w:val="00156F95"/>
    <w:rsid w:val="00157D67"/>
    <w:rsid w:val="00173745"/>
    <w:rsid w:val="00174A28"/>
    <w:rsid w:val="001953BB"/>
    <w:rsid w:val="001A66C3"/>
    <w:rsid w:val="001A7500"/>
    <w:rsid w:val="001B5144"/>
    <w:rsid w:val="001D4157"/>
    <w:rsid w:val="001D50DD"/>
    <w:rsid w:val="001F0D5A"/>
    <w:rsid w:val="00210CC4"/>
    <w:rsid w:val="002204D8"/>
    <w:rsid w:val="00241F86"/>
    <w:rsid w:val="00244A6C"/>
    <w:rsid w:val="00254BBA"/>
    <w:rsid w:val="00265952"/>
    <w:rsid w:val="00267E7E"/>
    <w:rsid w:val="00285741"/>
    <w:rsid w:val="002B1E86"/>
    <w:rsid w:val="002C1011"/>
    <w:rsid w:val="002C4F4E"/>
    <w:rsid w:val="002D358A"/>
    <w:rsid w:val="002D5E91"/>
    <w:rsid w:val="00300AE0"/>
    <w:rsid w:val="0031227B"/>
    <w:rsid w:val="00337D8D"/>
    <w:rsid w:val="00343B85"/>
    <w:rsid w:val="003475D8"/>
    <w:rsid w:val="003566A6"/>
    <w:rsid w:val="00384971"/>
    <w:rsid w:val="003A0BF5"/>
    <w:rsid w:val="003A2602"/>
    <w:rsid w:val="003A2AB0"/>
    <w:rsid w:val="003A3550"/>
    <w:rsid w:val="003A5645"/>
    <w:rsid w:val="003A743F"/>
    <w:rsid w:val="003C0C11"/>
    <w:rsid w:val="003C5A80"/>
    <w:rsid w:val="003C65C3"/>
    <w:rsid w:val="00412576"/>
    <w:rsid w:val="00413CFC"/>
    <w:rsid w:val="004204E0"/>
    <w:rsid w:val="00434800"/>
    <w:rsid w:val="0044173B"/>
    <w:rsid w:val="00445235"/>
    <w:rsid w:val="00450765"/>
    <w:rsid w:val="0046403A"/>
    <w:rsid w:val="004666D0"/>
    <w:rsid w:val="004802EC"/>
    <w:rsid w:val="0048063A"/>
    <w:rsid w:val="00486E9A"/>
    <w:rsid w:val="00496D46"/>
    <w:rsid w:val="004A399E"/>
    <w:rsid w:val="004A7117"/>
    <w:rsid w:val="004B17B5"/>
    <w:rsid w:val="004B1A4F"/>
    <w:rsid w:val="004C73D8"/>
    <w:rsid w:val="004D2FE1"/>
    <w:rsid w:val="004F1A64"/>
    <w:rsid w:val="00514269"/>
    <w:rsid w:val="005251F5"/>
    <w:rsid w:val="00527749"/>
    <w:rsid w:val="005341D8"/>
    <w:rsid w:val="00536CD5"/>
    <w:rsid w:val="0055013C"/>
    <w:rsid w:val="00554C38"/>
    <w:rsid w:val="0056215C"/>
    <w:rsid w:val="005651DC"/>
    <w:rsid w:val="00565DCA"/>
    <w:rsid w:val="00573D44"/>
    <w:rsid w:val="00576346"/>
    <w:rsid w:val="0057720E"/>
    <w:rsid w:val="00581AC4"/>
    <w:rsid w:val="005864DF"/>
    <w:rsid w:val="005B4B4B"/>
    <w:rsid w:val="005B530C"/>
    <w:rsid w:val="005D07CB"/>
    <w:rsid w:val="005D238E"/>
    <w:rsid w:val="005D6D39"/>
    <w:rsid w:val="005F19BB"/>
    <w:rsid w:val="005F58E4"/>
    <w:rsid w:val="0062539B"/>
    <w:rsid w:val="00630E34"/>
    <w:rsid w:val="0063285A"/>
    <w:rsid w:val="00635FC8"/>
    <w:rsid w:val="00641069"/>
    <w:rsid w:val="00641D95"/>
    <w:rsid w:val="0065155D"/>
    <w:rsid w:val="00654A8B"/>
    <w:rsid w:val="00656681"/>
    <w:rsid w:val="00657D1F"/>
    <w:rsid w:val="00692B3F"/>
    <w:rsid w:val="006932E2"/>
    <w:rsid w:val="006A50F1"/>
    <w:rsid w:val="006D79FA"/>
    <w:rsid w:val="006E05D2"/>
    <w:rsid w:val="006E4474"/>
    <w:rsid w:val="00705E18"/>
    <w:rsid w:val="00723DBA"/>
    <w:rsid w:val="0073073D"/>
    <w:rsid w:val="00750CDA"/>
    <w:rsid w:val="00765566"/>
    <w:rsid w:val="00765C1E"/>
    <w:rsid w:val="00767A73"/>
    <w:rsid w:val="00777DB4"/>
    <w:rsid w:val="00783253"/>
    <w:rsid w:val="0079592F"/>
    <w:rsid w:val="007B61B0"/>
    <w:rsid w:val="007B7968"/>
    <w:rsid w:val="007C47A8"/>
    <w:rsid w:val="007D28E4"/>
    <w:rsid w:val="007D42D0"/>
    <w:rsid w:val="007D72F5"/>
    <w:rsid w:val="007D7B2A"/>
    <w:rsid w:val="007E2A97"/>
    <w:rsid w:val="007E6DD7"/>
    <w:rsid w:val="007F46A7"/>
    <w:rsid w:val="007F5859"/>
    <w:rsid w:val="00810089"/>
    <w:rsid w:val="00815D70"/>
    <w:rsid w:val="008226B2"/>
    <w:rsid w:val="00825048"/>
    <w:rsid w:val="008432BF"/>
    <w:rsid w:val="00856A39"/>
    <w:rsid w:val="00884700"/>
    <w:rsid w:val="008B3C97"/>
    <w:rsid w:val="008D11FE"/>
    <w:rsid w:val="008F3105"/>
    <w:rsid w:val="00912B70"/>
    <w:rsid w:val="00913A12"/>
    <w:rsid w:val="00915EA7"/>
    <w:rsid w:val="00917DE6"/>
    <w:rsid w:val="0093271E"/>
    <w:rsid w:val="009378BF"/>
    <w:rsid w:val="00955D84"/>
    <w:rsid w:val="00962098"/>
    <w:rsid w:val="00992207"/>
    <w:rsid w:val="009A271B"/>
    <w:rsid w:val="009A2B3F"/>
    <w:rsid w:val="009A3155"/>
    <w:rsid w:val="009B496A"/>
    <w:rsid w:val="009C3E11"/>
    <w:rsid w:val="009C55FE"/>
    <w:rsid w:val="009C6D3A"/>
    <w:rsid w:val="009D2151"/>
    <w:rsid w:val="009D4A54"/>
    <w:rsid w:val="009E1D11"/>
    <w:rsid w:val="009E3F4E"/>
    <w:rsid w:val="009F3EAB"/>
    <w:rsid w:val="00A006CB"/>
    <w:rsid w:val="00A00EC8"/>
    <w:rsid w:val="00A039B6"/>
    <w:rsid w:val="00A073FF"/>
    <w:rsid w:val="00A11307"/>
    <w:rsid w:val="00A16500"/>
    <w:rsid w:val="00A32FF8"/>
    <w:rsid w:val="00A33843"/>
    <w:rsid w:val="00A44DC3"/>
    <w:rsid w:val="00A62DCA"/>
    <w:rsid w:val="00A72602"/>
    <w:rsid w:val="00A82A45"/>
    <w:rsid w:val="00A842D9"/>
    <w:rsid w:val="00A91256"/>
    <w:rsid w:val="00A94E4A"/>
    <w:rsid w:val="00AC5165"/>
    <w:rsid w:val="00AE7DAB"/>
    <w:rsid w:val="00B04184"/>
    <w:rsid w:val="00B04AF2"/>
    <w:rsid w:val="00B11595"/>
    <w:rsid w:val="00B11909"/>
    <w:rsid w:val="00B245E5"/>
    <w:rsid w:val="00B308C3"/>
    <w:rsid w:val="00B504D7"/>
    <w:rsid w:val="00B7294D"/>
    <w:rsid w:val="00B8483F"/>
    <w:rsid w:val="00B8577F"/>
    <w:rsid w:val="00B97DF7"/>
    <w:rsid w:val="00BA4D53"/>
    <w:rsid w:val="00BA4F53"/>
    <w:rsid w:val="00BA53AD"/>
    <w:rsid w:val="00BA67D2"/>
    <w:rsid w:val="00BE6347"/>
    <w:rsid w:val="00BF2FC9"/>
    <w:rsid w:val="00BF4947"/>
    <w:rsid w:val="00C009D4"/>
    <w:rsid w:val="00C06223"/>
    <w:rsid w:val="00C22D58"/>
    <w:rsid w:val="00C37A0D"/>
    <w:rsid w:val="00C65A9F"/>
    <w:rsid w:val="00C66EEB"/>
    <w:rsid w:val="00C707AF"/>
    <w:rsid w:val="00C73586"/>
    <w:rsid w:val="00C740AA"/>
    <w:rsid w:val="00C80148"/>
    <w:rsid w:val="00C84DCA"/>
    <w:rsid w:val="00CA1A80"/>
    <w:rsid w:val="00CA22E4"/>
    <w:rsid w:val="00CA3499"/>
    <w:rsid w:val="00CB61C7"/>
    <w:rsid w:val="00CD5A60"/>
    <w:rsid w:val="00D111E4"/>
    <w:rsid w:val="00D14D80"/>
    <w:rsid w:val="00D25226"/>
    <w:rsid w:val="00D262CA"/>
    <w:rsid w:val="00D367CF"/>
    <w:rsid w:val="00D406BB"/>
    <w:rsid w:val="00D57CCC"/>
    <w:rsid w:val="00D57E8F"/>
    <w:rsid w:val="00D6727A"/>
    <w:rsid w:val="00D8060B"/>
    <w:rsid w:val="00D82237"/>
    <w:rsid w:val="00DA48E1"/>
    <w:rsid w:val="00DB4798"/>
    <w:rsid w:val="00DB6E32"/>
    <w:rsid w:val="00DC10E5"/>
    <w:rsid w:val="00DC182F"/>
    <w:rsid w:val="00DC3746"/>
    <w:rsid w:val="00DC791E"/>
    <w:rsid w:val="00DD593F"/>
    <w:rsid w:val="00DD6328"/>
    <w:rsid w:val="00DD7427"/>
    <w:rsid w:val="00DE4AE3"/>
    <w:rsid w:val="00DE7DBE"/>
    <w:rsid w:val="00DF4771"/>
    <w:rsid w:val="00E002BC"/>
    <w:rsid w:val="00E02212"/>
    <w:rsid w:val="00E065D5"/>
    <w:rsid w:val="00E10D79"/>
    <w:rsid w:val="00E13AB5"/>
    <w:rsid w:val="00E14A05"/>
    <w:rsid w:val="00E277CB"/>
    <w:rsid w:val="00E35B1E"/>
    <w:rsid w:val="00E468F0"/>
    <w:rsid w:val="00E528C9"/>
    <w:rsid w:val="00E70F61"/>
    <w:rsid w:val="00E724D3"/>
    <w:rsid w:val="00E9294A"/>
    <w:rsid w:val="00EB4A85"/>
    <w:rsid w:val="00EB4C97"/>
    <w:rsid w:val="00EC10C1"/>
    <w:rsid w:val="00ED03ED"/>
    <w:rsid w:val="00EF1D71"/>
    <w:rsid w:val="00EF69CA"/>
    <w:rsid w:val="00F023D1"/>
    <w:rsid w:val="00F11204"/>
    <w:rsid w:val="00F16C4D"/>
    <w:rsid w:val="00F21B88"/>
    <w:rsid w:val="00F21E24"/>
    <w:rsid w:val="00F235F3"/>
    <w:rsid w:val="00F31671"/>
    <w:rsid w:val="00F33DAA"/>
    <w:rsid w:val="00F40BF5"/>
    <w:rsid w:val="00F4453A"/>
    <w:rsid w:val="00F502F2"/>
    <w:rsid w:val="00F5344D"/>
    <w:rsid w:val="00F62D89"/>
    <w:rsid w:val="00F6749B"/>
    <w:rsid w:val="00F710F3"/>
    <w:rsid w:val="00F84E94"/>
    <w:rsid w:val="00F87EDA"/>
    <w:rsid w:val="00F92054"/>
    <w:rsid w:val="00FA5935"/>
    <w:rsid w:val="00FB4362"/>
    <w:rsid w:val="00FC3761"/>
    <w:rsid w:val="00FC3DA2"/>
    <w:rsid w:val="00FD2570"/>
    <w:rsid w:val="00FE05F6"/>
    <w:rsid w:val="00FE0F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C3CD5"/>
  <w15:docId w15:val="{D88F1B1B-2876-4F4B-B203-47E42C67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820"/>
  </w:style>
  <w:style w:type="paragraph" w:styleId="Footer">
    <w:name w:val="footer"/>
    <w:basedOn w:val="Normal"/>
    <w:link w:val="FooterChar"/>
    <w:uiPriority w:val="99"/>
    <w:unhideWhenUsed/>
    <w:rsid w:val="000C7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820"/>
  </w:style>
  <w:style w:type="paragraph" w:styleId="BalloonText">
    <w:name w:val="Balloon Text"/>
    <w:basedOn w:val="Normal"/>
    <w:link w:val="BalloonTextChar"/>
    <w:uiPriority w:val="99"/>
    <w:semiHidden/>
    <w:unhideWhenUsed/>
    <w:rsid w:val="000C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820"/>
    <w:rPr>
      <w:rFonts w:ascii="Tahoma" w:hAnsi="Tahoma" w:cs="Tahoma"/>
      <w:sz w:val="16"/>
      <w:szCs w:val="16"/>
    </w:rPr>
  </w:style>
  <w:style w:type="character" w:styleId="Hyperlink">
    <w:name w:val="Hyperlink"/>
    <w:basedOn w:val="DefaultParagraphFont"/>
    <w:uiPriority w:val="99"/>
    <w:unhideWhenUsed/>
    <w:rsid w:val="000C7820"/>
    <w:rPr>
      <w:color w:val="0000FF" w:themeColor="hyperlink"/>
      <w:u w:val="single"/>
    </w:rPr>
  </w:style>
  <w:style w:type="paragraph" w:styleId="ListParagraph">
    <w:name w:val="List Paragraph"/>
    <w:basedOn w:val="Normal"/>
    <w:uiPriority w:val="34"/>
    <w:qFormat/>
    <w:rsid w:val="00A72602"/>
    <w:pPr>
      <w:ind w:left="720"/>
      <w:contextualSpacing/>
    </w:pPr>
  </w:style>
  <w:style w:type="paragraph" w:styleId="FootnoteText">
    <w:name w:val="footnote text"/>
    <w:basedOn w:val="Normal"/>
    <w:link w:val="FootnoteTextChar"/>
    <w:uiPriority w:val="99"/>
    <w:semiHidden/>
    <w:unhideWhenUsed/>
    <w:rsid w:val="00A7260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A72602"/>
    <w:rPr>
      <w:rFonts w:eastAsiaTheme="minorHAnsi"/>
      <w:sz w:val="20"/>
      <w:szCs w:val="20"/>
      <w:lang w:eastAsia="en-US"/>
    </w:rPr>
  </w:style>
  <w:style w:type="character" w:styleId="FootnoteReference">
    <w:name w:val="footnote reference"/>
    <w:basedOn w:val="DefaultParagraphFont"/>
    <w:uiPriority w:val="99"/>
    <w:semiHidden/>
    <w:unhideWhenUsed/>
    <w:rsid w:val="00A72602"/>
    <w:rPr>
      <w:vertAlign w:val="superscript"/>
    </w:rPr>
  </w:style>
  <w:style w:type="character" w:styleId="CommentReference">
    <w:name w:val="annotation reference"/>
    <w:basedOn w:val="DefaultParagraphFont"/>
    <w:uiPriority w:val="99"/>
    <w:semiHidden/>
    <w:unhideWhenUsed/>
    <w:rsid w:val="00992207"/>
    <w:rPr>
      <w:sz w:val="16"/>
      <w:szCs w:val="16"/>
    </w:rPr>
  </w:style>
  <w:style w:type="paragraph" w:styleId="CommentText">
    <w:name w:val="annotation text"/>
    <w:basedOn w:val="Normal"/>
    <w:link w:val="CommentTextChar"/>
    <w:uiPriority w:val="99"/>
    <w:semiHidden/>
    <w:unhideWhenUsed/>
    <w:rsid w:val="00992207"/>
    <w:pPr>
      <w:spacing w:line="240" w:lineRule="auto"/>
    </w:pPr>
    <w:rPr>
      <w:sz w:val="20"/>
      <w:szCs w:val="20"/>
    </w:rPr>
  </w:style>
  <w:style w:type="character" w:customStyle="1" w:styleId="CommentTextChar">
    <w:name w:val="Comment Text Char"/>
    <w:basedOn w:val="DefaultParagraphFont"/>
    <w:link w:val="CommentText"/>
    <w:uiPriority w:val="99"/>
    <w:semiHidden/>
    <w:rsid w:val="00992207"/>
    <w:rPr>
      <w:sz w:val="20"/>
      <w:szCs w:val="20"/>
    </w:rPr>
  </w:style>
  <w:style w:type="paragraph" w:styleId="CommentSubject">
    <w:name w:val="annotation subject"/>
    <w:basedOn w:val="CommentText"/>
    <w:next w:val="CommentText"/>
    <w:link w:val="CommentSubjectChar"/>
    <w:uiPriority w:val="99"/>
    <w:semiHidden/>
    <w:unhideWhenUsed/>
    <w:rsid w:val="00992207"/>
    <w:rPr>
      <w:b/>
      <w:bCs/>
    </w:rPr>
  </w:style>
  <w:style w:type="character" w:customStyle="1" w:styleId="CommentSubjectChar">
    <w:name w:val="Comment Subject Char"/>
    <w:basedOn w:val="CommentTextChar"/>
    <w:link w:val="CommentSubject"/>
    <w:uiPriority w:val="99"/>
    <w:semiHidden/>
    <w:rsid w:val="00992207"/>
    <w:rPr>
      <w:b/>
      <w:bCs/>
      <w:sz w:val="20"/>
      <w:szCs w:val="20"/>
    </w:rPr>
  </w:style>
  <w:style w:type="paragraph" w:styleId="NoSpacing">
    <w:name w:val="No Spacing"/>
    <w:uiPriority w:val="1"/>
    <w:qFormat/>
    <w:rsid w:val="00173745"/>
    <w:pPr>
      <w:spacing w:after="0" w:line="240" w:lineRule="auto"/>
    </w:pPr>
  </w:style>
  <w:style w:type="paragraph" w:styleId="NormalWeb">
    <w:name w:val="Normal (Web)"/>
    <w:basedOn w:val="Normal"/>
    <w:uiPriority w:val="99"/>
    <w:unhideWhenUsed/>
    <w:rsid w:val="00E70F61"/>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E70F61"/>
    <w:rPr>
      <w:i/>
      <w:iCs/>
    </w:rPr>
  </w:style>
  <w:style w:type="character" w:styleId="FollowedHyperlink">
    <w:name w:val="FollowedHyperlink"/>
    <w:basedOn w:val="DefaultParagraphFont"/>
    <w:uiPriority w:val="99"/>
    <w:semiHidden/>
    <w:unhideWhenUsed/>
    <w:rsid w:val="00915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ands@shu.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80/13552074.2015.1062300" TargetMode="External"/><Relationship Id="rId13" Type="http://schemas.openxmlformats.org/officeDocument/2006/relationships/hyperlink" Target="http://hdr.undp.org/en/content/new-global-mpi-2018-aligning-sustainable-development-goals" TargetMode="External"/><Relationship Id="rId3" Type="http://schemas.openxmlformats.org/officeDocument/2006/relationships/hyperlink" Target="https://www.ohchr.org/EN/ProfessionalInterest/Pages/CEDAW.aspx" TargetMode="External"/><Relationship Id="rId7" Type="http://schemas.openxmlformats.org/officeDocument/2006/relationships/hyperlink" Target="http://hdr.undp.org/en/content/violence-against-women-cause-and-consequence-inequality" TargetMode="External"/><Relationship Id="rId12" Type="http://schemas.openxmlformats.org/officeDocument/2006/relationships/hyperlink" Target="http://hdr.undp.org/en/2018-MPI" TargetMode="External"/><Relationship Id="rId2" Type="http://schemas.openxmlformats.org/officeDocument/2006/relationships/hyperlink" Target="https://doi.org/10.1163/157181002761931378" TargetMode="External"/><Relationship Id="rId1" Type="http://schemas.openxmlformats.org/officeDocument/2006/relationships/hyperlink" Target="http://dx.doi.org/10.3390/soc404053" TargetMode="External"/><Relationship Id="rId6" Type="http://schemas.openxmlformats.org/officeDocument/2006/relationships/hyperlink" Target="http://www.un.org/ga/search/view_doc.asp?symbol=A/RES/70/1&amp;Lang=E" TargetMode="External"/><Relationship Id="rId11" Type="http://schemas.openxmlformats.org/officeDocument/2006/relationships/hyperlink" Target="http://hdr.undp.org/en/content/human-development-report-2014" TargetMode="External"/><Relationship Id="rId5" Type="http://schemas.openxmlformats.org/officeDocument/2006/relationships/hyperlink" Target="http://dx.doi.org/10.1080/01924036.2007.9678771" TargetMode="External"/><Relationship Id="rId10" Type="http://schemas.openxmlformats.org/officeDocument/2006/relationships/hyperlink" Target="https://www.ohchr.org/en/issues/poverty/pages/srextremepovertyindex.aspx" TargetMode="External"/><Relationship Id="rId4" Type="http://schemas.openxmlformats.org/officeDocument/2006/relationships/hyperlink" Target="http://dx.doi.org/10.3390/soc4020148" TargetMode="External"/><Relationship Id="rId9" Type="http://schemas.openxmlformats.org/officeDocument/2006/relationships/hyperlink" Target="https://www.ohchr.org/en/hrbodies/cedaw/pages/recommendations.aspx" TargetMode="External"/><Relationship Id="rId14" Type="http://schemas.openxmlformats.org/officeDocument/2006/relationships/hyperlink" Target="https://www.ohchr.org/en/hrbodies/cedaw/pages/recommend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393E-1D76-4C40-A317-D5CBD1F7EE82}"/>
</file>

<file path=customXml/itemProps2.xml><?xml version="1.0" encoding="utf-8"?>
<ds:datastoreItem xmlns:ds="http://schemas.openxmlformats.org/officeDocument/2006/customXml" ds:itemID="{C00C26EF-4101-4C55-8155-6FFD59E10404}">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B872188B-D78A-4B67-BE96-42F9F4596729}">
  <ds:schemaRefs>
    <ds:schemaRef ds:uri="http://schemas.microsoft.com/sharepoint/v3/contenttype/forms"/>
  </ds:schemaRefs>
</ds:datastoreItem>
</file>

<file path=customXml/itemProps4.xml><?xml version="1.0" encoding="utf-8"?>
<ds:datastoreItem xmlns:ds="http://schemas.openxmlformats.org/officeDocument/2006/customXml" ds:itemID="{8DEBC836-4DBE-47E6-9E20-FD8D8CD0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2595</Words>
  <Characters>14796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Chagger</dc:creator>
  <cp:lastModifiedBy>Daniela Buchmann</cp:lastModifiedBy>
  <cp:revision>2</cp:revision>
  <dcterms:created xsi:type="dcterms:W3CDTF">2019-02-19T10:33:00Z</dcterms:created>
  <dcterms:modified xsi:type="dcterms:W3CDTF">2019-02-19T10:33:00Z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