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4A049" w14:textId="77777777" w:rsidR="00EA412E" w:rsidRPr="00920229" w:rsidRDefault="00EA412E" w:rsidP="00901CD8">
      <w:pPr>
        <w:spacing w:line="360" w:lineRule="auto"/>
        <w:jc w:val="center"/>
        <w:rPr>
          <w:rFonts w:ascii="Times New Roman" w:hAnsi="Times New Roman" w:cs="Times New Roman"/>
          <w:b/>
          <w:lang w:val="en-US"/>
        </w:rPr>
      </w:pPr>
      <w:r w:rsidRPr="00920229">
        <w:rPr>
          <w:rFonts w:ascii="Times New Roman" w:hAnsi="Times New Roman" w:cs="Times New Roman"/>
          <w:b/>
          <w:lang w:val="en-US"/>
        </w:rPr>
        <w:t>Beijing +25: Women as leading forces of change</w:t>
      </w:r>
    </w:p>
    <w:p w14:paraId="3CB5AEE4" w14:textId="2CB93FC6" w:rsidR="007F2807" w:rsidRDefault="00123707" w:rsidP="00123707">
      <w:pPr>
        <w:spacing w:line="360" w:lineRule="auto"/>
        <w:jc w:val="center"/>
        <w:rPr>
          <w:rFonts w:ascii="Times New Roman" w:hAnsi="Times New Roman" w:cs="Times New Roman"/>
          <w:b/>
          <w:lang w:val="en-US"/>
        </w:rPr>
      </w:pPr>
      <w:r>
        <w:rPr>
          <w:rFonts w:ascii="Times New Roman" w:hAnsi="Times New Roman" w:cs="Times New Roman"/>
          <w:b/>
          <w:lang w:val="en-US"/>
        </w:rPr>
        <w:t>P</w:t>
      </w:r>
      <w:r w:rsidR="00EA412E" w:rsidRPr="00920229">
        <w:rPr>
          <w:rFonts w:ascii="Times New Roman" w:hAnsi="Times New Roman" w:cs="Times New Roman"/>
          <w:b/>
          <w:lang w:val="en-US"/>
        </w:rPr>
        <w:t xml:space="preserve">aper prepared by the Committee on the Elimination of Discrimination against Women (CEDAW) </w:t>
      </w:r>
      <w:bookmarkStart w:id="0" w:name="_GoBack"/>
      <w:bookmarkEnd w:id="0"/>
    </w:p>
    <w:p w14:paraId="7A3A543E" w14:textId="77777777" w:rsidR="00A72AED" w:rsidRDefault="00A72AED" w:rsidP="007F2807">
      <w:pPr>
        <w:spacing w:line="360" w:lineRule="auto"/>
        <w:jc w:val="both"/>
        <w:rPr>
          <w:rFonts w:ascii="Times New Roman" w:hAnsi="Times New Roman" w:cs="Times New Roman"/>
          <w:b/>
          <w:lang w:val="en-US"/>
        </w:rPr>
      </w:pPr>
    </w:p>
    <w:p w14:paraId="2A10820E" w14:textId="5931E647" w:rsidR="00EA412E" w:rsidRPr="00920229" w:rsidRDefault="00123707" w:rsidP="00672075">
      <w:pPr>
        <w:spacing w:line="360" w:lineRule="auto"/>
        <w:jc w:val="both"/>
        <w:rPr>
          <w:rFonts w:ascii="Times New Roman" w:hAnsi="Times New Roman" w:cs="Times New Roman"/>
          <w:b/>
          <w:lang w:val="en-US"/>
        </w:rPr>
      </w:pPr>
      <w:r>
        <w:rPr>
          <w:rFonts w:ascii="Times New Roman" w:hAnsi="Times New Roman" w:cs="Times New Roman"/>
          <w:b/>
          <w:lang w:val="en-US"/>
        </w:rPr>
        <w:t>A</w:t>
      </w:r>
      <w:r w:rsidR="00EA412E" w:rsidRPr="00920229">
        <w:rPr>
          <w:rFonts w:ascii="Times New Roman" w:hAnsi="Times New Roman" w:cs="Times New Roman"/>
          <w:b/>
          <w:lang w:val="en-US"/>
        </w:rPr>
        <w:t>.</w:t>
      </w:r>
      <w:r w:rsidR="00EA412E" w:rsidRPr="00920229">
        <w:rPr>
          <w:rFonts w:ascii="Times New Roman" w:hAnsi="Times New Roman" w:cs="Times New Roman"/>
          <w:b/>
          <w:lang w:val="en-US"/>
        </w:rPr>
        <w:tab/>
      </w:r>
      <w:r w:rsidR="008142CA" w:rsidRPr="00920229">
        <w:rPr>
          <w:rFonts w:ascii="Times New Roman" w:hAnsi="Times New Roman" w:cs="Times New Roman"/>
          <w:b/>
          <w:lang w:val="en-US"/>
        </w:rPr>
        <w:t xml:space="preserve">The </w:t>
      </w:r>
      <w:r w:rsidR="008F542C" w:rsidRPr="00920229">
        <w:rPr>
          <w:rFonts w:ascii="Times New Roman" w:hAnsi="Times New Roman" w:cs="Times New Roman"/>
          <w:b/>
          <w:lang w:val="en-US"/>
        </w:rPr>
        <w:t>C</w:t>
      </w:r>
      <w:r w:rsidR="005018E9">
        <w:rPr>
          <w:rFonts w:ascii="Times New Roman" w:hAnsi="Times New Roman" w:cs="Times New Roman"/>
          <w:b/>
          <w:lang w:val="en-US"/>
        </w:rPr>
        <w:t>EDAW</w:t>
      </w:r>
      <w:r w:rsidR="008F542C" w:rsidRPr="00920229">
        <w:rPr>
          <w:rFonts w:ascii="Times New Roman" w:hAnsi="Times New Roman" w:cs="Times New Roman"/>
          <w:b/>
          <w:lang w:val="en-US"/>
        </w:rPr>
        <w:t xml:space="preserve"> Convention and </w:t>
      </w:r>
      <w:r w:rsidR="00FC5B49">
        <w:rPr>
          <w:rFonts w:ascii="Times New Roman" w:hAnsi="Times New Roman" w:cs="Times New Roman"/>
          <w:b/>
          <w:lang w:val="en-US"/>
        </w:rPr>
        <w:t xml:space="preserve">the </w:t>
      </w:r>
      <w:r w:rsidR="00887839" w:rsidRPr="00887839">
        <w:rPr>
          <w:rFonts w:ascii="Times New Roman" w:hAnsi="Times New Roman" w:cs="Times New Roman"/>
          <w:b/>
          <w:lang w:val="en-US"/>
        </w:rPr>
        <w:t>Beijing Platform for Action</w:t>
      </w:r>
      <w:r w:rsidR="008F542C" w:rsidRPr="00920229">
        <w:rPr>
          <w:rFonts w:ascii="Times New Roman" w:hAnsi="Times New Roman" w:cs="Times New Roman"/>
          <w:b/>
          <w:lang w:val="en-US"/>
        </w:rPr>
        <w:t xml:space="preserve">: </w:t>
      </w:r>
      <w:r w:rsidR="006F08DE">
        <w:rPr>
          <w:rFonts w:ascii="Times New Roman" w:hAnsi="Times New Roman" w:cs="Times New Roman"/>
          <w:b/>
          <w:lang w:val="en-US"/>
        </w:rPr>
        <w:t>strengthening synergies</w:t>
      </w:r>
    </w:p>
    <w:p w14:paraId="3CAA039B" w14:textId="77777777" w:rsidR="007F2807" w:rsidRDefault="007F2807" w:rsidP="00672075">
      <w:pPr>
        <w:spacing w:line="360" w:lineRule="auto"/>
        <w:jc w:val="both"/>
        <w:rPr>
          <w:rFonts w:ascii="Times New Roman" w:hAnsi="Times New Roman" w:cs="Times New Roman"/>
          <w:lang w:val="en-US"/>
        </w:rPr>
      </w:pPr>
    </w:p>
    <w:p w14:paraId="74BC56E2" w14:textId="0C46FA51" w:rsidR="009D1E13" w:rsidRPr="00BF5FCA" w:rsidRDefault="009D1E13" w:rsidP="00BF5FCA">
      <w:pPr>
        <w:spacing w:line="360" w:lineRule="auto"/>
        <w:jc w:val="both"/>
        <w:rPr>
          <w:rFonts w:ascii="Times New Roman" w:hAnsi="Times New Roman" w:cs="Times New Roman"/>
          <w:lang w:val="en-US"/>
        </w:rPr>
      </w:pPr>
      <w:r w:rsidRPr="00BF5FCA">
        <w:rPr>
          <w:rFonts w:ascii="Times New Roman" w:hAnsi="Times New Roman" w:cs="Times New Roman"/>
          <w:lang w:val="en-US"/>
        </w:rPr>
        <w:t>The CEDAW Convention, through its 189 State</w:t>
      </w:r>
      <w:r w:rsidR="00A0277F" w:rsidRPr="00BF5FCA">
        <w:rPr>
          <w:rFonts w:ascii="Times New Roman" w:hAnsi="Times New Roman" w:cs="Times New Roman"/>
          <w:lang w:val="en-US"/>
        </w:rPr>
        <w:t>s</w:t>
      </w:r>
      <w:r w:rsidRPr="00BF5FCA">
        <w:rPr>
          <w:rFonts w:ascii="Times New Roman" w:hAnsi="Times New Roman" w:cs="Times New Roman"/>
          <w:lang w:val="en-US"/>
        </w:rPr>
        <w:t xml:space="preserve"> parties and the </w:t>
      </w:r>
      <w:r w:rsidR="00E87BD5" w:rsidRPr="00BF5FCA">
        <w:rPr>
          <w:rFonts w:ascii="Times New Roman" w:hAnsi="Times New Roman" w:cs="Times New Roman"/>
          <w:lang w:val="en-US"/>
        </w:rPr>
        <w:t>countless</w:t>
      </w:r>
      <w:r w:rsidRPr="00BF5FCA">
        <w:rPr>
          <w:rFonts w:ascii="Times New Roman" w:hAnsi="Times New Roman" w:cs="Times New Roman"/>
          <w:lang w:val="en-US"/>
        </w:rPr>
        <w:t xml:space="preserve"> activists, civil society organizations and regional organizations</w:t>
      </w:r>
      <w:r w:rsidR="00B83FF7" w:rsidRPr="00BF5FCA">
        <w:rPr>
          <w:rFonts w:ascii="Times New Roman" w:hAnsi="Times New Roman" w:cs="Times New Roman"/>
          <w:lang w:val="en-US"/>
        </w:rPr>
        <w:t xml:space="preserve">, </w:t>
      </w:r>
      <w:r w:rsidR="00ED24BC" w:rsidRPr="00BF5FCA">
        <w:rPr>
          <w:rFonts w:ascii="Times New Roman" w:hAnsi="Times New Roman" w:cs="Times New Roman"/>
          <w:lang w:val="en-US"/>
        </w:rPr>
        <w:t>supporting</w:t>
      </w:r>
      <w:r w:rsidRPr="00BF5FCA">
        <w:rPr>
          <w:rFonts w:ascii="Times New Roman" w:hAnsi="Times New Roman" w:cs="Times New Roman"/>
          <w:lang w:val="en-US"/>
        </w:rPr>
        <w:t xml:space="preserve"> its implementation, has become a leading force in ensuring the promotion, protection, and fulfillment of </w:t>
      </w:r>
      <w:r w:rsidR="006831E5" w:rsidRPr="00BF5FCA">
        <w:rPr>
          <w:rFonts w:ascii="Times New Roman" w:hAnsi="Times New Roman" w:cs="Times New Roman"/>
          <w:lang w:val="en-US"/>
        </w:rPr>
        <w:t xml:space="preserve">the powerful message </w:t>
      </w:r>
      <w:r w:rsidR="00ED24BC" w:rsidRPr="00BF5FCA">
        <w:rPr>
          <w:rFonts w:ascii="Times New Roman" w:hAnsi="Times New Roman" w:cs="Times New Roman"/>
          <w:lang w:val="en-US"/>
        </w:rPr>
        <w:t xml:space="preserve">of the Beijing Conference, </w:t>
      </w:r>
      <w:r w:rsidR="00D257D7" w:rsidRPr="00BF5FCA">
        <w:rPr>
          <w:rFonts w:ascii="Times New Roman" w:hAnsi="Times New Roman" w:cs="Times New Roman"/>
          <w:lang w:val="en-US"/>
        </w:rPr>
        <w:t>"</w:t>
      </w:r>
      <w:r w:rsidR="006831E5" w:rsidRPr="00BF5FCA">
        <w:rPr>
          <w:rFonts w:ascii="Times New Roman" w:hAnsi="Times New Roman" w:cs="Times New Roman"/>
          <w:lang w:val="en-US"/>
        </w:rPr>
        <w:t>W</w:t>
      </w:r>
      <w:r w:rsidRPr="00BF5FCA">
        <w:rPr>
          <w:rFonts w:ascii="Times New Roman" w:hAnsi="Times New Roman" w:cs="Times New Roman"/>
          <w:lang w:val="en-US"/>
        </w:rPr>
        <w:t xml:space="preserve">omen's </w:t>
      </w:r>
      <w:r w:rsidR="006831E5" w:rsidRPr="00BF5FCA">
        <w:rPr>
          <w:rFonts w:ascii="Times New Roman" w:hAnsi="Times New Roman" w:cs="Times New Roman"/>
          <w:lang w:val="en-US"/>
        </w:rPr>
        <w:t xml:space="preserve">rights are </w:t>
      </w:r>
      <w:r w:rsidRPr="00BF5FCA">
        <w:rPr>
          <w:rFonts w:ascii="Times New Roman" w:hAnsi="Times New Roman" w:cs="Times New Roman"/>
          <w:lang w:val="en-US"/>
        </w:rPr>
        <w:t>human rights</w:t>
      </w:r>
      <w:r w:rsidR="00D257D7" w:rsidRPr="00BF5FCA">
        <w:rPr>
          <w:rFonts w:ascii="Times New Roman" w:hAnsi="Times New Roman" w:cs="Times New Roman"/>
          <w:lang w:val="en-US"/>
        </w:rPr>
        <w:t>"</w:t>
      </w:r>
      <w:r w:rsidRPr="00BF5FCA">
        <w:rPr>
          <w:rFonts w:ascii="Times New Roman" w:hAnsi="Times New Roman" w:cs="Times New Roman"/>
          <w:lang w:val="en-US"/>
        </w:rPr>
        <w:t xml:space="preserve">. </w:t>
      </w:r>
      <w:r w:rsidR="00D257D7" w:rsidRPr="00BF5FCA">
        <w:rPr>
          <w:rFonts w:ascii="Times New Roman" w:hAnsi="Times New Roman" w:cs="Times New Roman"/>
          <w:lang w:val="en-US"/>
        </w:rPr>
        <w:t>T</w:t>
      </w:r>
      <w:r w:rsidRPr="00BF5FCA">
        <w:rPr>
          <w:rFonts w:ascii="Times New Roman" w:hAnsi="Times New Roman" w:cs="Times New Roman"/>
          <w:lang w:val="en-US"/>
        </w:rPr>
        <w:t xml:space="preserve">he Convention offers a unique </w:t>
      </w:r>
      <w:r w:rsidR="00E87BD5" w:rsidRPr="00BF5FCA">
        <w:rPr>
          <w:rFonts w:ascii="Times New Roman" w:hAnsi="Times New Roman" w:cs="Times New Roman"/>
          <w:lang w:val="en-US"/>
        </w:rPr>
        <w:t xml:space="preserve">legally </w:t>
      </w:r>
      <w:r w:rsidRPr="00BF5FCA">
        <w:rPr>
          <w:rFonts w:ascii="Times New Roman" w:hAnsi="Times New Roman" w:cs="Times New Roman"/>
          <w:lang w:val="en-US"/>
        </w:rPr>
        <w:t>binding and human rights-based foundation for furthering the full implementation of the B</w:t>
      </w:r>
      <w:r w:rsidR="00ED24BC" w:rsidRPr="00BF5FCA">
        <w:rPr>
          <w:rFonts w:ascii="Times New Roman" w:hAnsi="Times New Roman" w:cs="Times New Roman"/>
          <w:lang w:val="en-US"/>
        </w:rPr>
        <w:t xml:space="preserve">eijing </w:t>
      </w:r>
      <w:r w:rsidRPr="00BF5FCA">
        <w:rPr>
          <w:rFonts w:ascii="Times New Roman" w:hAnsi="Times New Roman" w:cs="Times New Roman"/>
          <w:lang w:val="en-US"/>
        </w:rPr>
        <w:t>P</w:t>
      </w:r>
      <w:r w:rsidR="00ED24BC" w:rsidRPr="00BF5FCA">
        <w:rPr>
          <w:rFonts w:ascii="Times New Roman" w:hAnsi="Times New Roman" w:cs="Times New Roman"/>
          <w:lang w:val="en-US"/>
        </w:rPr>
        <w:t xml:space="preserve">latform </w:t>
      </w:r>
      <w:r w:rsidRPr="00BF5FCA">
        <w:rPr>
          <w:rFonts w:ascii="Times New Roman" w:hAnsi="Times New Roman" w:cs="Times New Roman"/>
          <w:lang w:val="en-US"/>
        </w:rPr>
        <w:t>F</w:t>
      </w:r>
      <w:r w:rsidR="00ED24BC" w:rsidRPr="00BF5FCA">
        <w:rPr>
          <w:rFonts w:ascii="Times New Roman" w:hAnsi="Times New Roman" w:cs="Times New Roman"/>
          <w:lang w:val="en-US"/>
        </w:rPr>
        <w:t xml:space="preserve">or </w:t>
      </w:r>
      <w:r w:rsidRPr="00BF5FCA">
        <w:rPr>
          <w:rFonts w:ascii="Times New Roman" w:hAnsi="Times New Roman" w:cs="Times New Roman"/>
          <w:lang w:val="en-US"/>
        </w:rPr>
        <w:t>A</w:t>
      </w:r>
      <w:r w:rsidR="00ED24BC" w:rsidRPr="00BF5FCA">
        <w:rPr>
          <w:rFonts w:ascii="Times New Roman" w:hAnsi="Times New Roman" w:cs="Times New Roman"/>
          <w:lang w:val="en-US"/>
        </w:rPr>
        <w:t>ction</w:t>
      </w:r>
      <w:r w:rsidRPr="00BF5FCA">
        <w:rPr>
          <w:rFonts w:ascii="Times New Roman" w:hAnsi="Times New Roman" w:cs="Times New Roman"/>
          <w:lang w:val="en-US"/>
        </w:rPr>
        <w:t xml:space="preserve">, the Sustainable </w:t>
      </w:r>
      <w:r w:rsidR="00B83FF7" w:rsidRPr="00BF5FCA">
        <w:rPr>
          <w:rFonts w:ascii="Times New Roman" w:hAnsi="Times New Roman" w:cs="Times New Roman"/>
          <w:lang w:val="en-US"/>
        </w:rPr>
        <w:t>Development Goals and the Women Peace and S</w:t>
      </w:r>
      <w:r w:rsidRPr="00BF5FCA">
        <w:rPr>
          <w:rFonts w:ascii="Times New Roman" w:hAnsi="Times New Roman" w:cs="Times New Roman"/>
          <w:lang w:val="en-US"/>
        </w:rPr>
        <w:t>ecurity agenda mandated by United Nations Security Council Resolution 1325 (</w:t>
      </w:r>
      <w:r w:rsidR="00E87BD5" w:rsidRPr="00BF5FCA">
        <w:rPr>
          <w:rFonts w:ascii="Times New Roman" w:hAnsi="Times New Roman" w:cs="Times New Roman"/>
          <w:lang w:val="en-US"/>
        </w:rPr>
        <w:t xml:space="preserve">2000; </w:t>
      </w:r>
      <w:r w:rsidRPr="00BF5FCA">
        <w:rPr>
          <w:rFonts w:ascii="Times New Roman" w:hAnsi="Times New Roman" w:cs="Times New Roman"/>
          <w:lang w:val="en-US"/>
        </w:rPr>
        <w:t xml:space="preserve">UNSCR 1325). Furthermore, the work of the CEDAW Committee has been crucial in </w:t>
      </w:r>
      <w:r w:rsidR="006831E5" w:rsidRPr="00BF5FCA">
        <w:rPr>
          <w:rFonts w:ascii="Times New Roman" w:hAnsi="Times New Roman" w:cs="Times New Roman"/>
          <w:lang w:val="en-US"/>
        </w:rPr>
        <w:t>strengthening</w:t>
      </w:r>
      <w:r w:rsidR="00FE114B" w:rsidRPr="00BF5FCA">
        <w:rPr>
          <w:rFonts w:ascii="Times New Roman" w:hAnsi="Times New Roman" w:cs="Times New Roman"/>
          <w:lang w:val="en-US"/>
        </w:rPr>
        <w:t xml:space="preserve"> the</w:t>
      </w:r>
      <w:r w:rsidR="006831E5" w:rsidRPr="00BF5FCA">
        <w:rPr>
          <w:rFonts w:ascii="Times New Roman" w:hAnsi="Times New Roman" w:cs="Times New Roman"/>
          <w:lang w:val="en-US"/>
        </w:rPr>
        <w:t xml:space="preserve"> accountability of States parties </w:t>
      </w:r>
      <w:r w:rsidR="00FE114B" w:rsidRPr="00BF5FCA">
        <w:rPr>
          <w:rFonts w:ascii="Times New Roman" w:hAnsi="Times New Roman" w:cs="Times New Roman"/>
          <w:lang w:val="en-US"/>
        </w:rPr>
        <w:t>in accelerating</w:t>
      </w:r>
      <w:r w:rsidR="006831E5" w:rsidRPr="00BF5FCA">
        <w:rPr>
          <w:rFonts w:ascii="Times New Roman" w:hAnsi="Times New Roman" w:cs="Times New Roman"/>
          <w:lang w:val="en-US"/>
        </w:rPr>
        <w:t xml:space="preserve"> </w:t>
      </w:r>
      <w:r w:rsidRPr="00BF5FCA">
        <w:rPr>
          <w:rFonts w:ascii="Times New Roman" w:hAnsi="Times New Roman" w:cs="Times New Roman"/>
          <w:lang w:val="en-US"/>
        </w:rPr>
        <w:t>the implementation of th</w:t>
      </w:r>
      <w:r w:rsidR="00FE114B" w:rsidRPr="00BF5FCA">
        <w:rPr>
          <w:rFonts w:ascii="Times New Roman" w:hAnsi="Times New Roman" w:cs="Times New Roman"/>
          <w:lang w:val="en-US"/>
        </w:rPr>
        <w:t>ese political commitments and</w:t>
      </w:r>
      <w:r w:rsidRPr="00BF5FCA">
        <w:rPr>
          <w:rFonts w:ascii="Times New Roman" w:hAnsi="Times New Roman" w:cs="Times New Roman"/>
          <w:lang w:val="en-US"/>
        </w:rPr>
        <w:t xml:space="preserve"> laid a solid </w:t>
      </w:r>
      <w:r w:rsidR="00E87BD5" w:rsidRPr="00BF5FCA">
        <w:rPr>
          <w:rFonts w:ascii="Times New Roman" w:hAnsi="Times New Roman" w:cs="Times New Roman"/>
          <w:lang w:val="en-US"/>
        </w:rPr>
        <w:t xml:space="preserve">legal </w:t>
      </w:r>
      <w:r w:rsidRPr="00BF5FCA">
        <w:rPr>
          <w:rFonts w:ascii="Times New Roman" w:hAnsi="Times New Roman" w:cs="Times New Roman"/>
          <w:lang w:val="en-US"/>
        </w:rPr>
        <w:t>foundation to ensure their mutual reinforcement.</w:t>
      </w:r>
      <w:r w:rsidR="00FE114B" w:rsidRPr="00BF5FCA">
        <w:rPr>
          <w:rFonts w:ascii="Times New Roman" w:hAnsi="Times New Roman" w:cs="Times New Roman"/>
          <w:lang w:val="en-US"/>
        </w:rPr>
        <w:t xml:space="preserve"> In this regard,</w:t>
      </w:r>
      <w:r w:rsidR="00B83FF7" w:rsidRPr="00BF5FCA">
        <w:rPr>
          <w:rFonts w:ascii="Times New Roman" w:hAnsi="Times New Roman" w:cs="Times New Roman"/>
          <w:lang w:val="en-US"/>
        </w:rPr>
        <w:t xml:space="preserve"> in 2019, the Committee adopted</w:t>
      </w:r>
      <w:r w:rsidR="00FE114B" w:rsidRPr="00BF5FCA">
        <w:rPr>
          <w:rFonts w:ascii="Times New Roman" w:hAnsi="Times New Roman" w:cs="Times New Roman"/>
          <w:lang w:val="en-US"/>
        </w:rPr>
        <w:t xml:space="preserve"> a Guidance note for States parties for the preparation of periodic reports in the context of the Sustainable Development Goals, which will ensure that throughout the whole </w:t>
      </w:r>
      <w:r w:rsidR="00B83FF7" w:rsidRPr="00BF5FCA">
        <w:rPr>
          <w:rFonts w:ascii="Times New Roman" w:hAnsi="Times New Roman" w:cs="Times New Roman"/>
          <w:lang w:val="en-US"/>
        </w:rPr>
        <w:t>s</w:t>
      </w:r>
      <w:r w:rsidR="00E87BD5" w:rsidRPr="00BF5FCA">
        <w:rPr>
          <w:rFonts w:ascii="Times New Roman" w:hAnsi="Times New Roman" w:cs="Times New Roman"/>
          <w:lang w:val="en-US"/>
        </w:rPr>
        <w:t xml:space="preserve">tate </w:t>
      </w:r>
      <w:r w:rsidR="00FE114B" w:rsidRPr="00BF5FCA">
        <w:rPr>
          <w:rFonts w:ascii="Times New Roman" w:hAnsi="Times New Roman" w:cs="Times New Roman"/>
          <w:lang w:val="en-US"/>
        </w:rPr>
        <w:t>reporting process</w:t>
      </w:r>
      <w:r w:rsidR="00E87BD5" w:rsidRPr="00BF5FCA">
        <w:rPr>
          <w:rFonts w:ascii="Times New Roman" w:hAnsi="Times New Roman" w:cs="Times New Roman"/>
          <w:lang w:val="en-US"/>
        </w:rPr>
        <w:t xml:space="preserve"> under the Convention</w:t>
      </w:r>
      <w:r w:rsidR="00FE114B" w:rsidRPr="00BF5FCA">
        <w:rPr>
          <w:rFonts w:ascii="Times New Roman" w:hAnsi="Times New Roman" w:cs="Times New Roman"/>
          <w:lang w:val="en-US"/>
        </w:rPr>
        <w:t xml:space="preserve">, States parties will be able to provide </w:t>
      </w:r>
      <w:r w:rsidR="00E87BD5" w:rsidRPr="00BF5FCA">
        <w:rPr>
          <w:rFonts w:ascii="Times New Roman" w:hAnsi="Times New Roman" w:cs="Times New Roman"/>
          <w:lang w:val="en-US"/>
        </w:rPr>
        <w:t>concrete</w:t>
      </w:r>
      <w:r w:rsidR="00FE114B" w:rsidRPr="00BF5FCA">
        <w:rPr>
          <w:rFonts w:ascii="Times New Roman" w:hAnsi="Times New Roman" w:cs="Times New Roman"/>
          <w:lang w:val="en-US"/>
        </w:rPr>
        <w:t xml:space="preserve"> information on the impl</w:t>
      </w:r>
      <w:r w:rsidR="00B83FF7" w:rsidRPr="00BF5FCA">
        <w:rPr>
          <w:rFonts w:ascii="Times New Roman" w:hAnsi="Times New Roman" w:cs="Times New Roman"/>
          <w:lang w:val="en-US"/>
        </w:rPr>
        <w:t>emen</w:t>
      </w:r>
      <w:r w:rsidR="00FE114B" w:rsidRPr="00BF5FCA">
        <w:rPr>
          <w:rFonts w:ascii="Times New Roman" w:hAnsi="Times New Roman" w:cs="Times New Roman"/>
          <w:lang w:val="en-US"/>
        </w:rPr>
        <w:t>tation of the 2030 Sustainable Agenda for Development.</w:t>
      </w:r>
    </w:p>
    <w:p w14:paraId="0E93292F" w14:textId="77777777" w:rsidR="00BF5FCA" w:rsidRDefault="00BF5FCA" w:rsidP="00BF5FCA">
      <w:pPr>
        <w:spacing w:line="360" w:lineRule="auto"/>
        <w:jc w:val="both"/>
        <w:rPr>
          <w:rFonts w:ascii="Times New Roman" w:hAnsi="Times New Roman" w:cs="Times New Roman"/>
          <w:lang w:val="en-US"/>
        </w:rPr>
      </w:pPr>
    </w:p>
    <w:p w14:paraId="4EA61D3B" w14:textId="762F7C84" w:rsidR="00ED24BC" w:rsidRPr="00BF5FCA" w:rsidRDefault="00CF57A1" w:rsidP="00BF5FCA">
      <w:pPr>
        <w:spacing w:line="360" w:lineRule="auto"/>
        <w:jc w:val="both"/>
        <w:rPr>
          <w:rFonts w:ascii="Times New Roman" w:hAnsi="Times New Roman" w:cs="Times New Roman"/>
          <w:lang w:val="en-US"/>
        </w:rPr>
      </w:pPr>
      <w:r w:rsidRPr="00BF5FCA">
        <w:rPr>
          <w:rFonts w:ascii="Times New Roman" w:hAnsi="Times New Roman" w:cs="Times New Roman"/>
          <w:lang w:val="en-US"/>
        </w:rPr>
        <w:t xml:space="preserve">The Beijing +25 review, 20th anniversary of the adoption of UNSCR 1325, the five-year milestone towards the achievement of the SDGs by 2030, as well as the 75th anniversary of the United Nations Charter this year, offers a unique opportunity to celebrate the achievements made over the past decades. It is also an occasion to reflect on the work ahead to ensure the full promotion and protection of women's rights and substantive equality of women and men, sustainable development and lasting peace. </w:t>
      </w:r>
      <w:proofErr w:type="gramStart"/>
      <w:r w:rsidRPr="00BF5FCA">
        <w:rPr>
          <w:rFonts w:ascii="Times New Roman" w:hAnsi="Times New Roman" w:cs="Times New Roman"/>
          <w:lang w:val="en-US"/>
        </w:rPr>
        <w:t>It is in this context that d</w:t>
      </w:r>
      <w:r w:rsidR="006831E5" w:rsidRPr="00BF5FCA">
        <w:rPr>
          <w:rFonts w:ascii="Times New Roman" w:hAnsi="Times New Roman" w:cs="Times New Roman"/>
          <w:lang w:val="en-US"/>
        </w:rPr>
        <w:t>uring t</w:t>
      </w:r>
      <w:r w:rsidR="009D1E13" w:rsidRPr="00BF5FCA">
        <w:rPr>
          <w:rFonts w:ascii="Times New Roman" w:hAnsi="Times New Roman" w:cs="Times New Roman"/>
          <w:lang w:val="en-US"/>
        </w:rPr>
        <w:t xml:space="preserve">he 40th anniversary of the </w:t>
      </w:r>
      <w:r w:rsidR="009D1E13" w:rsidRPr="00BF5FCA">
        <w:rPr>
          <w:rFonts w:ascii="Times New Roman" w:hAnsi="Times New Roman" w:cs="Times New Roman"/>
          <w:lang w:val="en-US"/>
        </w:rPr>
        <w:lastRenderedPageBreak/>
        <w:t xml:space="preserve">Convention on the Elimination of All Forms of </w:t>
      </w:r>
      <w:r w:rsidR="006831E5" w:rsidRPr="00BF5FCA">
        <w:rPr>
          <w:rFonts w:ascii="Times New Roman" w:hAnsi="Times New Roman" w:cs="Times New Roman"/>
          <w:lang w:val="en-US"/>
        </w:rPr>
        <w:t>Discrimination against Women, the proposal for a CEDAW Beyond 40 G</w:t>
      </w:r>
      <w:r w:rsidR="00FE114B" w:rsidRPr="00BF5FCA">
        <w:rPr>
          <w:rFonts w:ascii="Times New Roman" w:hAnsi="Times New Roman" w:cs="Times New Roman"/>
          <w:lang w:val="en-US"/>
        </w:rPr>
        <w:t>eneral Assembly</w:t>
      </w:r>
      <w:r w:rsidR="006831E5" w:rsidRPr="00BF5FCA">
        <w:rPr>
          <w:rFonts w:ascii="Times New Roman" w:hAnsi="Times New Roman" w:cs="Times New Roman"/>
          <w:lang w:val="en-US"/>
        </w:rPr>
        <w:t xml:space="preserve"> Resolution on a CEDAW Beyond 40 </w:t>
      </w:r>
      <w:r w:rsidRPr="00BF5FCA">
        <w:rPr>
          <w:rFonts w:ascii="Times New Roman" w:hAnsi="Times New Roman" w:cs="Times New Roman"/>
          <w:lang w:val="en-US"/>
        </w:rPr>
        <w:t>Coalition</w:t>
      </w:r>
      <w:r w:rsidRPr="00BF5FCA" w:rsidDel="00CF57A1">
        <w:rPr>
          <w:rFonts w:ascii="Times New Roman" w:hAnsi="Times New Roman" w:cs="Times New Roman"/>
          <w:lang w:val="en-US"/>
        </w:rPr>
        <w:t xml:space="preserve"> </w:t>
      </w:r>
      <w:r w:rsidR="006831E5" w:rsidRPr="00BF5FCA">
        <w:rPr>
          <w:rFonts w:ascii="Times New Roman" w:hAnsi="Times New Roman" w:cs="Times New Roman"/>
          <w:lang w:val="en-US"/>
        </w:rPr>
        <w:t xml:space="preserve">was </w:t>
      </w:r>
      <w:r w:rsidR="00E87BD5" w:rsidRPr="00BF5FCA">
        <w:rPr>
          <w:rFonts w:ascii="Times New Roman" w:hAnsi="Times New Roman" w:cs="Times New Roman"/>
          <w:lang w:val="en-US"/>
        </w:rPr>
        <w:t>proposed</w:t>
      </w:r>
      <w:r w:rsidR="00AB16C2" w:rsidRPr="00BF5FCA">
        <w:rPr>
          <w:rFonts w:ascii="Times New Roman" w:hAnsi="Times New Roman" w:cs="Times New Roman"/>
          <w:lang w:val="en-US"/>
        </w:rPr>
        <w:t xml:space="preserve"> which </w:t>
      </w:r>
      <w:r w:rsidR="00A63DDB" w:rsidRPr="00BF5FCA">
        <w:rPr>
          <w:rFonts w:ascii="Times New Roman" w:hAnsi="Times New Roman" w:cs="Times New Roman"/>
          <w:lang w:val="en-US"/>
        </w:rPr>
        <w:t xml:space="preserve">predominantly </w:t>
      </w:r>
      <w:r w:rsidR="00AB16C2" w:rsidRPr="00BF5FCA">
        <w:rPr>
          <w:rFonts w:ascii="Times New Roman" w:hAnsi="Times New Roman" w:cs="Times New Roman"/>
          <w:lang w:val="en-US"/>
        </w:rPr>
        <w:t>will engage with the youth</w:t>
      </w:r>
      <w:r w:rsidR="00A63DDB" w:rsidRPr="00BF5FCA">
        <w:rPr>
          <w:rFonts w:ascii="Times New Roman" w:hAnsi="Times New Roman" w:cs="Times New Roman"/>
          <w:lang w:val="en-US"/>
        </w:rPr>
        <w:t xml:space="preserve"> on six</w:t>
      </w:r>
      <w:r w:rsidR="00AB16C2" w:rsidRPr="00BF5FCA">
        <w:rPr>
          <w:rFonts w:ascii="Times New Roman" w:hAnsi="Times New Roman" w:cs="Times New Roman"/>
          <w:lang w:val="en-US"/>
        </w:rPr>
        <w:t xml:space="preserve"> priority areas for young women: faith actors, </w:t>
      </w:r>
      <w:r w:rsidR="00A63DDB" w:rsidRPr="00BF5FCA">
        <w:rPr>
          <w:rFonts w:ascii="Times New Roman" w:hAnsi="Times New Roman" w:cs="Times New Roman"/>
          <w:lang w:val="en-US"/>
        </w:rPr>
        <w:t>education, digital economy and empowerment</w:t>
      </w:r>
      <w:r w:rsidR="00AB16C2" w:rsidRPr="00BF5FCA">
        <w:rPr>
          <w:rFonts w:ascii="Times New Roman" w:hAnsi="Times New Roman" w:cs="Times New Roman"/>
          <w:lang w:val="en-US"/>
        </w:rPr>
        <w:t>, media, peace and security and leadership.-</w:t>
      </w:r>
      <w:proofErr w:type="gramEnd"/>
    </w:p>
    <w:p w14:paraId="33A3C39E" w14:textId="77777777" w:rsidR="00ED24BC" w:rsidRPr="00BF5FCA" w:rsidRDefault="00ED24BC" w:rsidP="00BF5FCA">
      <w:pPr>
        <w:pStyle w:val="ListParagraph"/>
        <w:rPr>
          <w:rFonts w:ascii="Times New Roman" w:hAnsi="Times New Roman" w:cs="Times New Roman"/>
          <w:lang w:val="en-US"/>
        </w:rPr>
      </w:pPr>
    </w:p>
    <w:p w14:paraId="2025393E" w14:textId="626F4137" w:rsidR="00074B96" w:rsidRPr="00BF5FCA" w:rsidRDefault="007043D6" w:rsidP="00BF5FCA">
      <w:pPr>
        <w:spacing w:line="360" w:lineRule="auto"/>
        <w:jc w:val="both"/>
        <w:rPr>
          <w:rFonts w:ascii="Times New Roman" w:hAnsi="Times New Roman" w:cs="Times New Roman"/>
          <w:lang w:val="en-US"/>
        </w:rPr>
      </w:pPr>
      <w:r w:rsidRPr="00BF5FCA">
        <w:rPr>
          <w:rFonts w:ascii="Times New Roman" w:hAnsi="Times New Roman" w:cs="Times New Roman"/>
          <w:lang w:val="en-US"/>
        </w:rPr>
        <w:t xml:space="preserve">It is widely recognized that the </w:t>
      </w:r>
      <w:r w:rsidR="00FE114B" w:rsidRPr="00BF5FCA">
        <w:rPr>
          <w:rFonts w:ascii="Times New Roman" w:hAnsi="Times New Roman" w:cs="Times New Roman"/>
          <w:lang w:val="en-US"/>
        </w:rPr>
        <w:t>realization</w:t>
      </w:r>
      <w:r w:rsidRPr="00BF5FCA">
        <w:rPr>
          <w:rFonts w:ascii="Times New Roman" w:hAnsi="Times New Roman" w:cs="Times New Roman"/>
          <w:lang w:val="en-US"/>
        </w:rPr>
        <w:t xml:space="preserve"> of these agenda</w:t>
      </w:r>
      <w:r w:rsidR="00C23973" w:rsidRPr="00BF5FCA">
        <w:rPr>
          <w:rFonts w:ascii="Times New Roman" w:hAnsi="Times New Roman" w:cs="Times New Roman"/>
          <w:lang w:val="en-US"/>
        </w:rPr>
        <w:t>s</w:t>
      </w:r>
      <w:r w:rsidRPr="00BF5FCA">
        <w:rPr>
          <w:rFonts w:ascii="Times New Roman" w:hAnsi="Times New Roman" w:cs="Times New Roman"/>
          <w:lang w:val="en-US"/>
        </w:rPr>
        <w:t xml:space="preserve"> requires transformative shifts, integrated approaches and new solutions, particularly when it comes to advancing gender equality and women</w:t>
      </w:r>
      <w:r w:rsidR="00D257D7" w:rsidRPr="00BF5FCA">
        <w:rPr>
          <w:rFonts w:ascii="Times New Roman" w:hAnsi="Times New Roman" w:cs="Times New Roman"/>
          <w:lang w:val="en-US"/>
        </w:rPr>
        <w:t>'</w:t>
      </w:r>
      <w:r w:rsidRPr="00BF5FCA">
        <w:rPr>
          <w:rFonts w:ascii="Times New Roman" w:hAnsi="Times New Roman" w:cs="Times New Roman"/>
          <w:lang w:val="en-US"/>
        </w:rPr>
        <w:t xml:space="preserve">s </w:t>
      </w:r>
      <w:r w:rsidR="00FE114B" w:rsidRPr="00BF5FCA">
        <w:rPr>
          <w:rFonts w:ascii="Times New Roman" w:hAnsi="Times New Roman" w:cs="Times New Roman"/>
          <w:lang w:val="en-US"/>
        </w:rPr>
        <w:t xml:space="preserve">empowerment. The Convention is </w:t>
      </w:r>
      <w:r w:rsidRPr="00BF5FCA">
        <w:rPr>
          <w:rFonts w:ascii="Times New Roman" w:hAnsi="Times New Roman" w:cs="Times New Roman"/>
          <w:lang w:val="en-US"/>
        </w:rPr>
        <w:t xml:space="preserve">therefore a critical </w:t>
      </w:r>
      <w:r w:rsidR="00CF57A1" w:rsidRPr="00BF5FCA">
        <w:rPr>
          <w:rFonts w:ascii="Times New Roman" w:hAnsi="Times New Roman" w:cs="Times New Roman"/>
          <w:lang w:val="en-US"/>
        </w:rPr>
        <w:t xml:space="preserve">binding </w:t>
      </w:r>
      <w:r w:rsidRPr="00BF5FCA">
        <w:rPr>
          <w:rFonts w:ascii="Times New Roman" w:hAnsi="Times New Roman" w:cs="Times New Roman"/>
          <w:lang w:val="en-US"/>
        </w:rPr>
        <w:t>instrument for accelerating these achievements and responding to related challenges.</w:t>
      </w:r>
      <w:r w:rsidR="006831E5" w:rsidRPr="006831E5">
        <w:t xml:space="preserve"> </w:t>
      </w:r>
    </w:p>
    <w:p w14:paraId="6B47E6B3" w14:textId="77777777" w:rsidR="009D1E13" w:rsidRPr="00920229" w:rsidRDefault="009D1E13" w:rsidP="009D1E13">
      <w:pPr>
        <w:spacing w:line="360" w:lineRule="auto"/>
        <w:rPr>
          <w:rFonts w:ascii="Times New Roman" w:hAnsi="Times New Roman" w:cs="Times New Roman"/>
          <w:b/>
          <w:lang w:val="en-US"/>
        </w:rPr>
      </w:pPr>
    </w:p>
    <w:p w14:paraId="0048538D" w14:textId="00EC0501" w:rsidR="00EA412E" w:rsidRPr="00920229" w:rsidRDefault="00123707" w:rsidP="00901CD8">
      <w:pPr>
        <w:spacing w:line="360" w:lineRule="auto"/>
        <w:rPr>
          <w:rFonts w:ascii="Times New Roman" w:hAnsi="Times New Roman" w:cs="Times New Roman"/>
          <w:b/>
          <w:lang w:val="en-US"/>
        </w:rPr>
      </w:pPr>
      <w:r>
        <w:rPr>
          <w:rFonts w:ascii="Times New Roman" w:hAnsi="Times New Roman" w:cs="Times New Roman"/>
          <w:b/>
          <w:lang w:val="en-US"/>
        </w:rPr>
        <w:t>B</w:t>
      </w:r>
      <w:r w:rsidR="00EA412E" w:rsidRPr="00920229">
        <w:rPr>
          <w:rFonts w:ascii="Times New Roman" w:hAnsi="Times New Roman" w:cs="Times New Roman"/>
          <w:b/>
          <w:lang w:val="en-US"/>
        </w:rPr>
        <w:t>.</w:t>
      </w:r>
      <w:r w:rsidR="00EA412E" w:rsidRPr="00920229">
        <w:rPr>
          <w:rFonts w:ascii="Times New Roman" w:hAnsi="Times New Roman" w:cs="Times New Roman"/>
          <w:b/>
          <w:lang w:val="en-US"/>
        </w:rPr>
        <w:tab/>
        <w:t xml:space="preserve">Actions taken and innovative approach </w:t>
      </w:r>
    </w:p>
    <w:p w14:paraId="61592620" w14:textId="77777777" w:rsidR="007F2807" w:rsidRDefault="007F2807" w:rsidP="00074B96">
      <w:pPr>
        <w:spacing w:line="360" w:lineRule="auto"/>
        <w:jc w:val="both"/>
        <w:rPr>
          <w:rFonts w:ascii="Times New Roman" w:hAnsi="Times New Roman" w:cs="Times New Roman"/>
          <w:lang w:val="en-US"/>
        </w:rPr>
      </w:pPr>
    </w:p>
    <w:p w14:paraId="1160907A" w14:textId="77777777" w:rsidR="00BF5FCA" w:rsidRDefault="00074B96" w:rsidP="00BF5FCA">
      <w:pPr>
        <w:spacing w:line="360" w:lineRule="auto"/>
        <w:jc w:val="both"/>
        <w:rPr>
          <w:rFonts w:ascii="Times New Roman" w:hAnsi="Times New Roman" w:cs="Times New Roman"/>
          <w:lang w:val="en-US"/>
        </w:rPr>
      </w:pPr>
      <w:r w:rsidRPr="00BF5FCA">
        <w:rPr>
          <w:rFonts w:ascii="Times New Roman" w:hAnsi="Times New Roman" w:cs="Times New Roman"/>
          <w:lang w:val="en-US"/>
        </w:rPr>
        <w:t xml:space="preserve">The Committee has taken significant steps </w:t>
      </w:r>
      <w:r w:rsidR="00D257D7" w:rsidRPr="00BF5FCA">
        <w:rPr>
          <w:rFonts w:ascii="Times New Roman" w:hAnsi="Times New Roman" w:cs="Times New Roman"/>
          <w:lang w:val="en-US"/>
        </w:rPr>
        <w:t>concerning</w:t>
      </w:r>
      <w:r w:rsidRPr="00BF5FCA">
        <w:rPr>
          <w:rFonts w:ascii="Times New Roman" w:hAnsi="Times New Roman" w:cs="Times New Roman"/>
          <w:lang w:val="en-US"/>
        </w:rPr>
        <w:t xml:space="preserve"> the twelve critical areas of concern highlighted </w:t>
      </w:r>
      <w:r w:rsidR="00E819F1" w:rsidRPr="00BF5FCA">
        <w:rPr>
          <w:rFonts w:ascii="Times New Roman" w:hAnsi="Times New Roman" w:cs="Times New Roman"/>
          <w:lang w:val="en-US"/>
        </w:rPr>
        <w:t>in</w:t>
      </w:r>
      <w:r w:rsidRPr="00BF5FCA">
        <w:rPr>
          <w:rFonts w:ascii="Times New Roman" w:hAnsi="Times New Roman" w:cs="Times New Roman"/>
          <w:lang w:val="en-US"/>
        </w:rPr>
        <w:t xml:space="preserve"> the BPFA. </w:t>
      </w:r>
    </w:p>
    <w:p w14:paraId="6D8AA5E2" w14:textId="77777777" w:rsidR="00BF5FCA" w:rsidRDefault="00BF5FCA" w:rsidP="00BF5FCA">
      <w:pPr>
        <w:spacing w:line="360" w:lineRule="auto"/>
        <w:jc w:val="both"/>
        <w:rPr>
          <w:rFonts w:ascii="Times New Roman" w:hAnsi="Times New Roman" w:cs="Times New Roman"/>
          <w:lang w:val="en-US"/>
        </w:rPr>
      </w:pPr>
    </w:p>
    <w:p w14:paraId="7C82F355" w14:textId="77777777" w:rsidR="00BF5FCA" w:rsidRDefault="00F50E4F" w:rsidP="00BF5FCA">
      <w:pPr>
        <w:spacing w:line="360" w:lineRule="auto"/>
        <w:jc w:val="both"/>
        <w:rPr>
          <w:rFonts w:ascii="Times New Roman" w:hAnsi="Times New Roman" w:cs="Times New Roman"/>
          <w:lang w:val="en-US"/>
        </w:rPr>
      </w:pPr>
      <w:r w:rsidRPr="00BF5FCA">
        <w:rPr>
          <w:rFonts w:ascii="Times New Roman" w:hAnsi="Times New Roman" w:cs="Times New Roman"/>
          <w:lang w:val="en-US"/>
        </w:rPr>
        <w:t xml:space="preserve">Regarding </w:t>
      </w:r>
      <w:r w:rsidRPr="00BF5FCA">
        <w:rPr>
          <w:rFonts w:ascii="Times New Roman" w:hAnsi="Times New Roman" w:cs="Times New Roman"/>
          <w:b/>
          <w:i/>
          <w:lang w:val="en-US"/>
        </w:rPr>
        <w:t>women, poverty and the economy</w:t>
      </w:r>
      <w:r w:rsidRPr="00BF5FCA">
        <w:rPr>
          <w:rFonts w:ascii="Times New Roman" w:hAnsi="Times New Roman" w:cs="Times New Roman"/>
          <w:lang w:val="en-US"/>
        </w:rPr>
        <w:t>, and i</w:t>
      </w:r>
      <w:r w:rsidR="0026670A" w:rsidRPr="00BF5FCA">
        <w:rPr>
          <w:rFonts w:ascii="Times New Roman" w:hAnsi="Times New Roman" w:cs="Times New Roman"/>
          <w:lang w:val="en-US"/>
        </w:rPr>
        <w:t xml:space="preserve">n </w:t>
      </w:r>
      <w:r w:rsidR="00074B96" w:rsidRPr="00BF5FCA">
        <w:rPr>
          <w:rFonts w:ascii="Times New Roman" w:hAnsi="Times New Roman" w:cs="Times New Roman"/>
          <w:lang w:val="en-US"/>
        </w:rPr>
        <w:t>line with the BPFA</w:t>
      </w:r>
      <w:r w:rsidR="00D257D7" w:rsidRPr="00BF5FCA">
        <w:rPr>
          <w:rFonts w:ascii="Times New Roman" w:hAnsi="Times New Roman" w:cs="Times New Roman"/>
          <w:lang w:val="en-US"/>
        </w:rPr>
        <w:t>'</w:t>
      </w:r>
      <w:r w:rsidR="00C67649" w:rsidRPr="00BF5FCA">
        <w:rPr>
          <w:rFonts w:ascii="Times New Roman" w:hAnsi="Times New Roman" w:cs="Times New Roman"/>
          <w:lang w:val="en-US"/>
        </w:rPr>
        <w:t>s</w:t>
      </w:r>
      <w:r w:rsidR="00074B96" w:rsidRPr="00BF5FCA">
        <w:rPr>
          <w:rFonts w:ascii="Times New Roman" w:hAnsi="Times New Roman" w:cs="Times New Roman"/>
          <w:lang w:val="en-US"/>
        </w:rPr>
        <w:t xml:space="preserve"> call to "give women equal rights with men to economic resources", the Committee has recognized that women's access to resources</w:t>
      </w:r>
      <w:r w:rsidRPr="00BF5FCA">
        <w:rPr>
          <w:rFonts w:ascii="Times New Roman" w:hAnsi="Times New Roman" w:cs="Times New Roman"/>
          <w:lang w:val="en-US"/>
        </w:rPr>
        <w:t xml:space="preserve"> and productive assets</w:t>
      </w:r>
      <w:r w:rsidR="00074B96" w:rsidRPr="00BF5FCA">
        <w:rPr>
          <w:rFonts w:ascii="Times New Roman" w:hAnsi="Times New Roman" w:cs="Times New Roman"/>
          <w:lang w:val="en-US"/>
        </w:rPr>
        <w:t>, including their right to land, housing</w:t>
      </w:r>
      <w:r w:rsidRPr="00BF5FCA">
        <w:rPr>
          <w:rFonts w:ascii="Times New Roman" w:hAnsi="Times New Roman" w:cs="Times New Roman"/>
          <w:lang w:val="en-US"/>
        </w:rPr>
        <w:t>,</w:t>
      </w:r>
      <w:r w:rsidR="00074B96" w:rsidRPr="00BF5FCA">
        <w:rPr>
          <w:rFonts w:ascii="Times New Roman" w:hAnsi="Times New Roman" w:cs="Times New Roman"/>
          <w:lang w:val="en-US"/>
        </w:rPr>
        <w:t xml:space="preserve"> property,</w:t>
      </w:r>
      <w:r w:rsidRPr="00BF5FCA">
        <w:rPr>
          <w:rFonts w:ascii="Times New Roman" w:hAnsi="Times New Roman" w:cs="Times New Roman"/>
          <w:lang w:val="en-US"/>
        </w:rPr>
        <w:t xml:space="preserve"> markets, trading and procurement opportunities, economic value chains and so</w:t>
      </w:r>
      <w:r w:rsidR="009812D2" w:rsidRPr="00BF5FCA">
        <w:rPr>
          <w:rFonts w:ascii="Times New Roman" w:hAnsi="Times New Roman" w:cs="Times New Roman"/>
          <w:lang w:val="en-US"/>
        </w:rPr>
        <w:t>cial protection</w:t>
      </w:r>
      <w:r w:rsidRPr="00BF5FCA">
        <w:rPr>
          <w:rFonts w:ascii="Times New Roman" w:hAnsi="Times New Roman" w:cs="Times New Roman"/>
          <w:lang w:val="en-US"/>
        </w:rPr>
        <w:t xml:space="preserve">, </w:t>
      </w:r>
      <w:r w:rsidR="00074B96" w:rsidRPr="00BF5FCA">
        <w:rPr>
          <w:rFonts w:ascii="Times New Roman" w:hAnsi="Times New Roman" w:cs="Times New Roman"/>
          <w:lang w:val="en-US"/>
        </w:rPr>
        <w:t xml:space="preserve">determines their </w:t>
      </w:r>
      <w:r w:rsidR="00D257D7" w:rsidRPr="00BF5FCA">
        <w:rPr>
          <w:rFonts w:ascii="Times New Roman" w:hAnsi="Times New Roman" w:cs="Times New Roman"/>
          <w:lang w:val="en-US"/>
        </w:rPr>
        <w:t>financial</w:t>
      </w:r>
      <w:r w:rsidR="00074B96" w:rsidRPr="00BF5FCA">
        <w:rPr>
          <w:rFonts w:ascii="Times New Roman" w:hAnsi="Times New Roman" w:cs="Times New Roman"/>
          <w:lang w:val="en-US"/>
        </w:rPr>
        <w:t xml:space="preserve"> position. </w:t>
      </w:r>
      <w:proofErr w:type="gramStart"/>
      <w:r w:rsidR="00074B96" w:rsidRPr="00BF5FCA">
        <w:rPr>
          <w:rFonts w:ascii="Times New Roman" w:hAnsi="Times New Roman" w:cs="Times New Roman"/>
          <w:lang w:val="en-US"/>
        </w:rPr>
        <w:t>Under article 16.1 of the Convention</w:t>
      </w:r>
      <w:r w:rsidR="00EF24A7" w:rsidRPr="00BF5FCA">
        <w:rPr>
          <w:rFonts w:ascii="Times New Roman" w:hAnsi="Times New Roman" w:cs="Times New Roman"/>
          <w:lang w:val="en-US"/>
        </w:rPr>
        <w:t xml:space="preserve"> and </w:t>
      </w:r>
      <w:r w:rsidR="00E819F1" w:rsidRPr="00BF5FCA">
        <w:rPr>
          <w:rFonts w:ascii="Times New Roman" w:hAnsi="Times New Roman" w:cs="Times New Roman"/>
          <w:lang w:val="en-US"/>
        </w:rPr>
        <w:t>in line with</w:t>
      </w:r>
      <w:r w:rsidR="00EF24A7" w:rsidRPr="00BF5FCA">
        <w:rPr>
          <w:rFonts w:ascii="Times New Roman" w:hAnsi="Times New Roman" w:cs="Times New Roman"/>
          <w:lang w:val="en-US"/>
        </w:rPr>
        <w:t xml:space="preserve"> the Committee</w:t>
      </w:r>
      <w:r w:rsidR="00D257D7" w:rsidRPr="00BF5FCA">
        <w:rPr>
          <w:rFonts w:ascii="Times New Roman" w:hAnsi="Times New Roman" w:cs="Times New Roman"/>
          <w:lang w:val="en-US"/>
        </w:rPr>
        <w:t>'</w:t>
      </w:r>
      <w:r w:rsidR="00EF24A7" w:rsidRPr="00BF5FCA">
        <w:rPr>
          <w:rFonts w:ascii="Times New Roman" w:hAnsi="Times New Roman" w:cs="Times New Roman"/>
          <w:lang w:val="en-US"/>
        </w:rPr>
        <w:t xml:space="preserve">s General Recommendation </w:t>
      </w:r>
      <w:r w:rsidR="007C7F15" w:rsidRPr="00BF5FCA">
        <w:rPr>
          <w:rFonts w:ascii="Times New Roman" w:hAnsi="Times New Roman" w:cs="Times New Roman"/>
          <w:lang w:val="en-US"/>
        </w:rPr>
        <w:t>N</w:t>
      </w:r>
      <w:r w:rsidR="007043D6" w:rsidRPr="00BF5FCA">
        <w:rPr>
          <w:rFonts w:ascii="Times New Roman" w:hAnsi="Times New Roman" w:cs="Times New Roman"/>
          <w:lang w:val="en-US"/>
        </w:rPr>
        <w:t xml:space="preserve">o. </w:t>
      </w:r>
      <w:r w:rsidR="00EF24A7" w:rsidRPr="00BF5FCA">
        <w:rPr>
          <w:rFonts w:ascii="Times New Roman" w:hAnsi="Times New Roman" w:cs="Times New Roman"/>
          <w:lang w:val="en-US"/>
        </w:rPr>
        <w:t xml:space="preserve">21 </w:t>
      </w:r>
      <w:r w:rsidR="00E819F1" w:rsidRPr="00BF5FCA">
        <w:rPr>
          <w:rFonts w:ascii="Times New Roman" w:hAnsi="Times New Roman" w:cs="Times New Roman"/>
          <w:lang w:val="en-US"/>
        </w:rPr>
        <w:t>(</w:t>
      </w:r>
      <w:r w:rsidR="00010C9E" w:rsidRPr="00BF5FCA">
        <w:rPr>
          <w:rFonts w:ascii="Times New Roman" w:hAnsi="Times New Roman" w:cs="Times New Roman"/>
          <w:lang w:val="en-US"/>
        </w:rPr>
        <w:t>1994</w:t>
      </w:r>
      <w:r w:rsidR="00E819F1" w:rsidRPr="00BF5FCA">
        <w:rPr>
          <w:rFonts w:ascii="Times New Roman" w:hAnsi="Times New Roman" w:cs="Times New Roman"/>
          <w:lang w:val="en-US"/>
        </w:rPr>
        <w:t xml:space="preserve">) </w:t>
      </w:r>
      <w:r w:rsidR="00EF24A7" w:rsidRPr="00BF5FCA">
        <w:rPr>
          <w:rFonts w:ascii="Times New Roman" w:hAnsi="Times New Roman" w:cs="Times New Roman"/>
          <w:lang w:val="en-US"/>
        </w:rPr>
        <w:t xml:space="preserve">on Equality in marriage and family relations and General Recommendation </w:t>
      </w:r>
      <w:r w:rsidR="007C7F15" w:rsidRPr="00BF5FCA">
        <w:rPr>
          <w:rFonts w:ascii="Times New Roman" w:hAnsi="Times New Roman" w:cs="Times New Roman"/>
          <w:lang w:val="en-US"/>
        </w:rPr>
        <w:t>N</w:t>
      </w:r>
      <w:r w:rsidR="007043D6" w:rsidRPr="00BF5FCA">
        <w:rPr>
          <w:rFonts w:ascii="Times New Roman" w:hAnsi="Times New Roman" w:cs="Times New Roman"/>
          <w:lang w:val="en-US"/>
        </w:rPr>
        <w:t xml:space="preserve">o. </w:t>
      </w:r>
      <w:r w:rsidR="00EF24A7" w:rsidRPr="00BF5FCA">
        <w:rPr>
          <w:rFonts w:ascii="Times New Roman" w:hAnsi="Times New Roman" w:cs="Times New Roman"/>
          <w:lang w:val="en-US"/>
        </w:rPr>
        <w:t xml:space="preserve">29 </w:t>
      </w:r>
      <w:r w:rsidR="00E819F1" w:rsidRPr="00BF5FCA">
        <w:rPr>
          <w:rFonts w:ascii="Times New Roman" w:hAnsi="Times New Roman" w:cs="Times New Roman"/>
          <w:lang w:val="en-US"/>
        </w:rPr>
        <w:t>(</w:t>
      </w:r>
      <w:r w:rsidR="00010C9E" w:rsidRPr="00BF5FCA">
        <w:rPr>
          <w:rFonts w:ascii="Times New Roman" w:hAnsi="Times New Roman" w:cs="Times New Roman"/>
          <w:lang w:val="en-US"/>
        </w:rPr>
        <w:t>2013</w:t>
      </w:r>
      <w:r w:rsidR="00E819F1" w:rsidRPr="00BF5FCA">
        <w:rPr>
          <w:rFonts w:ascii="Times New Roman" w:hAnsi="Times New Roman" w:cs="Times New Roman"/>
          <w:lang w:val="en-US"/>
        </w:rPr>
        <w:t xml:space="preserve">) </w:t>
      </w:r>
      <w:r w:rsidR="00EF24A7" w:rsidRPr="00BF5FCA">
        <w:rPr>
          <w:rFonts w:ascii="Times New Roman" w:hAnsi="Times New Roman" w:cs="Times New Roman"/>
          <w:lang w:val="en-US"/>
        </w:rPr>
        <w:t>on the Economic consequences of marriage, family relations and their dissolution</w:t>
      </w:r>
      <w:r w:rsidR="00074B96" w:rsidRPr="00BF5FCA">
        <w:rPr>
          <w:rFonts w:ascii="Times New Roman" w:hAnsi="Times New Roman" w:cs="Times New Roman"/>
          <w:lang w:val="en-US"/>
        </w:rPr>
        <w:t>, State</w:t>
      </w:r>
      <w:r w:rsidR="00A0277F" w:rsidRPr="00BF5FCA">
        <w:rPr>
          <w:rFonts w:ascii="Times New Roman" w:hAnsi="Times New Roman" w:cs="Times New Roman"/>
          <w:lang w:val="en-US"/>
        </w:rPr>
        <w:t>s</w:t>
      </w:r>
      <w:r w:rsidR="00ED2D9D" w:rsidRPr="00BF5FCA">
        <w:rPr>
          <w:rFonts w:ascii="Times New Roman" w:hAnsi="Times New Roman" w:cs="Times New Roman"/>
          <w:lang w:val="en-US"/>
        </w:rPr>
        <w:t xml:space="preserve"> parties</w:t>
      </w:r>
      <w:r w:rsidR="00074B96" w:rsidRPr="00BF5FCA">
        <w:rPr>
          <w:rFonts w:ascii="Times New Roman" w:hAnsi="Times New Roman" w:cs="Times New Roman"/>
          <w:lang w:val="en-US"/>
        </w:rPr>
        <w:t xml:space="preserve"> need to ensure same rights </w:t>
      </w:r>
      <w:r w:rsidR="00EF24A7" w:rsidRPr="00BF5FCA">
        <w:rPr>
          <w:rFonts w:ascii="Times New Roman" w:hAnsi="Times New Roman" w:cs="Times New Roman"/>
          <w:lang w:val="en-US"/>
        </w:rPr>
        <w:t xml:space="preserve">to </w:t>
      </w:r>
      <w:r w:rsidR="00074B96" w:rsidRPr="00BF5FCA">
        <w:rPr>
          <w:rFonts w:ascii="Times New Roman" w:hAnsi="Times New Roman" w:cs="Times New Roman"/>
          <w:lang w:val="en-US"/>
        </w:rPr>
        <w:t>spouses in respect of ownership, acquisition, management, administration, enjoyment and disposition of property.</w:t>
      </w:r>
      <w:proofErr w:type="gramEnd"/>
      <w:r w:rsidR="00074B96" w:rsidRPr="00BF5FCA">
        <w:rPr>
          <w:rFonts w:ascii="Times New Roman" w:hAnsi="Times New Roman" w:cs="Times New Roman"/>
          <w:lang w:val="en-US"/>
        </w:rPr>
        <w:t xml:space="preserve">  </w:t>
      </w:r>
      <w:r w:rsidR="00C51B52" w:rsidRPr="00BF5FCA">
        <w:rPr>
          <w:rFonts w:ascii="Times New Roman" w:hAnsi="Times New Roman" w:cs="Times New Roman"/>
          <w:lang w:val="en-US"/>
        </w:rPr>
        <w:t>The</w:t>
      </w:r>
      <w:r w:rsidR="00E819F1" w:rsidRPr="00BF5FCA">
        <w:rPr>
          <w:rFonts w:ascii="Times New Roman" w:hAnsi="Times New Roman" w:cs="Times New Roman"/>
          <w:lang w:val="en-US"/>
        </w:rPr>
        <w:t xml:space="preserve"> Committee has </w:t>
      </w:r>
      <w:r w:rsidR="00B83FF7" w:rsidRPr="00BF5FCA">
        <w:rPr>
          <w:rFonts w:ascii="Times New Roman" w:hAnsi="Times New Roman" w:cs="Times New Roman"/>
          <w:lang w:val="en-US"/>
        </w:rPr>
        <w:t xml:space="preserve">also </w:t>
      </w:r>
      <w:r w:rsidR="00E819F1" w:rsidRPr="00BF5FCA">
        <w:rPr>
          <w:rFonts w:ascii="Times New Roman" w:hAnsi="Times New Roman" w:cs="Times New Roman"/>
          <w:lang w:val="en-US"/>
        </w:rPr>
        <w:t>consistently</w:t>
      </w:r>
      <w:r w:rsidR="00B83FF7" w:rsidRPr="00BF5FCA">
        <w:rPr>
          <w:rFonts w:ascii="Times New Roman" w:hAnsi="Times New Roman" w:cs="Times New Roman"/>
          <w:lang w:val="en-US"/>
        </w:rPr>
        <w:t xml:space="preserve"> </w:t>
      </w:r>
      <w:r w:rsidR="00E819F1" w:rsidRPr="00BF5FCA">
        <w:rPr>
          <w:rFonts w:ascii="Times New Roman" w:hAnsi="Times New Roman" w:cs="Times New Roman"/>
          <w:lang w:val="en-US"/>
        </w:rPr>
        <w:t>focused on</w:t>
      </w:r>
      <w:r w:rsidR="0026670A" w:rsidRPr="00BF5FCA">
        <w:rPr>
          <w:rFonts w:ascii="Times New Roman" w:hAnsi="Times New Roman" w:cs="Times New Roman"/>
          <w:lang w:val="en-US"/>
        </w:rPr>
        <w:t xml:space="preserve"> </w:t>
      </w:r>
      <w:r w:rsidR="00B83FF7" w:rsidRPr="00BF5FCA">
        <w:rPr>
          <w:rFonts w:ascii="Times New Roman" w:hAnsi="Times New Roman" w:cs="Times New Roman"/>
          <w:lang w:val="en-US"/>
        </w:rPr>
        <w:t xml:space="preserve">the disproportionate impact that </w:t>
      </w:r>
      <w:r w:rsidR="00092235" w:rsidRPr="00BF5FCA">
        <w:rPr>
          <w:rFonts w:ascii="Times New Roman" w:hAnsi="Times New Roman" w:cs="Times New Roman"/>
          <w:lang w:val="en-US"/>
        </w:rPr>
        <w:t>inequalities in the distribution of re</w:t>
      </w:r>
      <w:r w:rsidR="00092235" w:rsidRPr="00BF5FCA">
        <w:rPr>
          <w:rFonts w:ascii="Times New Roman" w:hAnsi="Times New Roman" w:cs="Times New Roman"/>
          <w:lang w:val="en-US"/>
        </w:rPr>
        <w:lastRenderedPageBreak/>
        <w:t>sources and unpaid work</w:t>
      </w:r>
      <w:r w:rsidR="00AB16C2" w:rsidRPr="00BF5FCA">
        <w:rPr>
          <w:rFonts w:ascii="Times New Roman" w:hAnsi="Times New Roman" w:cs="Times New Roman"/>
          <w:lang w:val="en-US"/>
        </w:rPr>
        <w:t xml:space="preserve"> </w:t>
      </w:r>
      <w:r w:rsidR="00B83FF7" w:rsidRPr="00BF5FCA">
        <w:rPr>
          <w:rFonts w:ascii="Times New Roman" w:hAnsi="Times New Roman" w:cs="Times New Roman"/>
          <w:lang w:val="en-US"/>
        </w:rPr>
        <w:t>ha</w:t>
      </w:r>
      <w:r w:rsidR="00092235" w:rsidRPr="00BF5FCA">
        <w:rPr>
          <w:rFonts w:ascii="Times New Roman" w:hAnsi="Times New Roman" w:cs="Times New Roman"/>
          <w:lang w:val="en-US"/>
        </w:rPr>
        <w:t>ve</w:t>
      </w:r>
      <w:r w:rsidR="00B83FF7" w:rsidRPr="00BF5FCA">
        <w:rPr>
          <w:rFonts w:ascii="Times New Roman" w:hAnsi="Times New Roman" w:cs="Times New Roman"/>
          <w:lang w:val="en-US"/>
        </w:rPr>
        <w:t xml:space="preserve"> on </w:t>
      </w:r>
      <w:r w:rsidR="00E819F1" w:rsidRPr="00BF5FCA">
        <w:rPr>
          <w:rFonts w:ascii="Times New Roman" w:hAnsi="Times New Roman" w:cs="Times New Roman"/>
          <w:lang w:val="en-US"/>
        </w:rPr>
        <w:t>disadvantaged</w:t>
      </w:r>
      <w:r w:rsidR="0026670A" w:rsidRPr="00BF5FCA">
        <w:rPr>
          <w:rFonts w:ascii="Times New Roman" w:hAnsi="Times New Roman" w:cs="Times New Roman"/>
          <w:lang w:val="en-US"/>
        </w:rPr>
        <w:t xml:space="preserve"> groups </w:t>
      </w:r>
      <w:r w:rsidR="00E819F1" w:rsidRPr="00BF5FCA">
        <w:rPr>
          <w:rFonts w:ascii="Times New Roman" w:hAnsi="Times New Roman" w:cs="Times New Roman"/>
          <w:lang w:val="en-US"/>
        </w:rPr>
        <w:t>of women</w:t>
      </w:r>
      <w:r w:rsidR="004D1DB8" w:rsidRPr="00BF5FCA">
        <w:rPr>
          <w:rFonts w:ascii="Times New Roman" w:hAnsi="Times New Roman" w:cs="Times New Roman"/>
          <w:lang w:val="en-US"/>
        </w:rPr>
        <w:t xml:space="preserve">, disproportionately affected by discrimination </w:t>
      </w:r>
      <w:proofErr w:type="gramStart"/>
      <w:r w:rsidR="004D1DB8" w:rsidRPr="00BF5FCA">
        <w:rPr>
          <w:rFonts w:ascii="Times New Roman" w:hAnsi="Times New Roman" w:cs="Times New Roman"/>
          <w:lang w:val="en-US"/>
        </w:rPr>
        <w:t>as a consequence</w:t>
      </w:r>
      <w:proofErr w:type="gramEnd"/>
      <w:r w:rsidR="004D1DB8" w:rsidRPr="00BF5FCA">
        <w:rPr>
          <w:rFonts w:ascii="Times New Roman" w:hAnsi="Times New Roman" w:cs="Times New Roman"/>
          <w:lang w:val="en-US"/>
        </w:rPr>
        <w:t xml:space="preserve"> of different factors, which include, among others, disability, ethnic origin and migration status</w:t>
      </w:r>
      <w:r w:rsidR="0026670A" w:rsidRPr="00BF5FCA">
        <w:rPr>
          <w:rFonts w:ascii="Times New Roman" w:hAnsi="Times New Roman" w:cs="Times New Roman"/>
          <w:lang w:val="en-US"/>
        </w:rPr>
        <w:t>. In this regard, the Committee</w:t>
      </w:r>
      <w:r w:rsidR="00D257D7" w:rsidRPr="00BF5FCA">
        <w:rPr>
          <w:rFonts w:ascii="Times New Roman" w:hAnsi="Times New Roman" w:cs="Times New Roman"/>
          <w:lang w:val="en-US"/>
        </w:rPr>
        <w:t>'</w:t>
      </w:r>
      <w:r w:rsidR="0026670A" w:rsidRPr="00BF5FCA">
        <w:rPr>
          <w:rFonts w:ascii="Times New Roman" w:hAnsi="Times New Roman" w:cs="Times New Roman"/>
          <w:lang w:val="en-US"/>
        </w:rPr>
        <w:t xml:space="preserve">s General Recommendation </w:t>
      </w:r>
      <w:r w:rsidR="007C7F15" w:rsidRPr="00BF5FCA">
        <w:rPr>
          <w:rFonts w:ascii="Times New Roman" w:hAnsi="Times New Roman" w:cs="Times New Roman"/>
          <w:lang w:val="en-US"/>
        </w:rPr>
        <w:t>N</w:t>
      </w:r>
      <w:r w:rsidR="0026670A" w:rsidRPr="00BF5FCA">
        <w:rPr>
          <w:rFonts w:ascii="Times New Roman" w:hAnsi="Times New Roman" w:cs="Times New Roman"/>
          <w:lang w:val="en-US"/>
        </w:rPr>
        <w:t xml:space="preserve">o. 34 </w:t>
      </w:r>
      <w:r w:rsidR="00E819F1" w:rsidRPr="00BF5FCA">
        <w:rPr>
          <w:rFonts w:ascii="Times New Roman" w:hAnsi="Times New Roman" w:cs="Times New Roman"/>
          <w:lang w:val="en-US"/>
        </w:rPr>
        <w:t>(</w:t>
      </w:r>
      <w:r w:rsidR="007C7F15" w:rsidRPr="00BF5FCA">
        <w:rPr>
          <w:rFonts w:ascii="Times New Roman" w:hAnsi="Times New Roman" w:cs="Times New Roman"/>
          <w:lang w:val="en-US"/>
        </w:rPr>
        <w:t>2016</w:t>
      </w:r>
      <w:r w:rsidR="00E819F1" w:rsidRPr="00BF5FCA">
        <w:rPr>
          <w:rFonts w:ascii="Times New Roman" w:hAnsi="Times New Roman" w:cs="Times New Roman"/>
          <w:lang w:val="en-US"/>
        </w:rPr>
        <w:t xml:space="preserve">) </w:t>
      </w:r>
      <w:r w:rsidR="0026670A" w:rsidRPr="00BF5FCA">
        <w:rPr>
          <w:rFonts w:ascii="Times New Roman" w:hAnsi="Times New Roman" w:cs="Times New Roman"/>
          <w:lang w:val="en-US"/>
        </w:rPr>
        <w:t xml:space="preserve">on rural women, </w:t>
      </w:r>
      <w:r w:rsidR="00E819F1" w:rsidRPr="00BF5FCA">
        <w:rPr>
          <w:rFonts w:ascii="Times New Roman" w:hAnsi="Times New Roman" w:cs="Times New Roman"/>
          <w:lang w:val="en-US"/>
        </w:rPr>
        <w:t>re</w:t>
      </w:r>
      <w:r w:rsidR="00591672" w:rsidRPr="00BF5FCA">
        <w:rPr>
          <w:rFonts w:ascii="Times New Roman" w:hAnsi="Times New Roman" w:cs="Times New Roman"/>
          <w:lang w:val="en-US"/>
        </w:rPr>
        <w:t>affirm</w:t>
      </w:r>
      <w:r w:rsidR="00E819F1" w:rsidRPr="00BF5FCA">
        <w:rPr>
          <w:rFonts w:ascii="Times New Roman" w:hAnsi="Times New Roman" w:cs="Times New Roman"/>
          <w:lang w:val="en-US"/>
        </w:rPr>
        <w:t>s</w:t>
      </w:r>
      <w:r w:rsidR="00591672" w:rsidRPr="00BF5FCA">
        <w:rPr>
          <w:rFonts w:ascii="Times New Roman" w:hAnsi="Times New Roman" w:cs="Times New Roman"/>
          <w:lang w:val="en-US"/>
        </w:rPr>
        <w:t xml:space="preserve"> </w:t>
      </w:r>
      <w:r w:rsidR="0026670A" w:rsidRPr="00BF5FCA">
        <w:rPr>
          <w:rFonts w:ascii="Times New Roman" w:hAnsi="Times New Roman" w:cs="Times New Roman"/>
          <w:lang w:val="en-US"/>
        </w:rPr>
        <w:t>their</w:t>
      </w:r>
      <w:r w:rsidR="00074B96" w:rsidRPr="00BF5FCA">
        <w:rPr>
          <w:rFonts w:ascii="Times New Roman" w:hAnsi="Times New Roman" w:cs="Times New Roman"/>
          <w:lang w:val="en-US"/>
        </w:rPr>
        <w:t xml:space="preserve"> rights to land, </w:t>
      </w:r>
      <w:r w:rsidR="0026670A" w:rsidRPr="00BF5FCA">
        <w:rPr>
          <w:rFonts w:ascii="Times New Roman" w:hAnsi="Times New Roman" w:cs="Times New Roman"/>
          <w:lang w:val="en-US"/>
        </w:rPr>
        <w:t xml:space="preserve">access to </w:t>
      </w:r>
      <w:r w:rsidR="00074B96" w:rsidRPr="00BF5FCA">
        <w:rPr>
          <w:rFonts w:ascii="Times New Roman" w:hAnsi="Times New Roman" w:cs="Times New Roman"/>
          <w:lang w:val="en-US"/>
        </w:rPr>
        <w:t xml:space="preserve">natural resources, including water, seeds and forests, and fisheries as fundamental human rights.  </w:t>
      </w:r>
    </w:p>
    <w:p w14:paraId="0067E58F" w14:textId="77777777" w:rsidR="00BF5FCA" w:rsidRDefault="00BF5FCA" w:rsidP="00BF5FCA">
      <w:pPr>
        <w:spacing w:line="360" w:lineRule="auto"/>
        <w:jc w:val="both"/>
        <w:rPr>
          <w:rFonts w:ascii="Times New Roman" w:hAnsi="Times New Roman" w:cs="Times New Roman"/>
          <w:lang w:val="en-US"/>
        </w:rPr>
      </w:pPr>
    </w:p>
    <w:p w14:paraId="18AF5D53" w14:textId="77777777" w:rsidR="00BF5FCA" w:rsidRPr="00BF5FCA" w:rsidRDefault="0026670A" w:rsidP="00BF5FCA">
      <w:pPr>
        <w:spacing w:line="360" w:lineRule="auto"/>
        <w:jc w:val="both"/>
        <w:rPr>
          <w:rFonts w:ascii="Times New Roman" w:hAnsi="Times New Roman" w:cs="Times New Roman"/>
          <w:lang w:val="en-US"/>
        </w:rPr>
      </w:pPr>
      <w:r w:rsidRPr="000A3629">
        <w:rPr>
          <w:rFonts w:ascii="Times New Roman" w:hAnsi="Times New Roman" w:cs="Times New Roman"/>
          <w:lang w:val="en-US"/>
        </w:rPr>
        <w:t>Furthermore, t</w:t>
      </w:r>
      <w:r w:rsidR="00074B96" w:rsidRPr="000A3629">
        <w:rPr>
          <w:rFonts w:ascii="Times New Roman" w:hAnsi="Times New Roman" w:cs="Times New Roman"/>
          <w:lang w:val="en-US"/>
        </w:rPr>
        <w:t xml:space="preserve">he Committee </w:t>
      </w:r>
      <w:r w:rsidRPr="000A3629">
        <w:rPr>
          <w:rFonts w:ascii="Times New Roman" w:hAnsi="Times New Roman" w:cs="Times New Roman"/>
          <w:lang w:val="en-US"/>
        </w:rPr>
        <w:t>fully recognize</w:t>
      </w:r>
      <w:r w:rsidR="00D32702" w:rsidRPr="000A3629">
        <w:rPr>
          <w:rFonts w:ascii="Times New Roman" w:hAnsi="Times New Roman" w:cs="Times New Roman"/>
          <w:lang w:val="en-US"/>
        </w:rPr>
        <w:t>s</w:t>
      </w:r>
      <w:r w:rsidRPr="000A3629">
        <w:rPr>
          <w:rFonts w:ascii="Times New Roman" w:hAnsi="Times New Roman" w:cs="Times New Roman"/>
          <w:lang w:val="en-US"/>
        </w:rPr>
        <w:t xml:space="preserve"> </w:t>
      </w:r>
      <w:r w:rsidR="00074B96" w:rsidRPr="000A3629">
        <w:rPr>
          <w:rFonts w:ascii="Times New Roman" w:hAnsi="Times New Roman" w:cs="Times New Roman"/>
          <w:lang w:val="en-US"/>
        </w:rPr>
        <w:t>the</w:t>
      </w:r>
      <w:r w:rsidRPr="000A3629">
        <w:rPr>
          <w:rFonts w:ascii="Times New Roman" w:hAnsi="Times New Roman" w:cs="Times New Roman"/>
          <w:lang w:val="en-US"/>
        </w:rPr>
        <w:t xml:space="preserve"> </w:t>
      </w:r>
      <w:r w:rsidR="00074B96" w:rsidRPr="000A3629">
        <w:rPr>
          <w:rFonts w:ascii="Times New Roman" w:hAnsi="Times New Roman" w:cs="Times New Roman"/>
          <w:lang w:val="en-US"/>
        </w:rPr>
        <w:t xml:space="preserve">potential </w:t>
      </w:r>
      <w:r w:rsidRPr="000A3629">
        <w:rPr>
          <w:rFonts w:ascii="Times New Roman" w:hAnsi="Times New Roman" w:cs="Times New Roman"/>
          <w:lang w:val="en-US"/>
        </w:rPr>
        <w:t xml:space="preserve">that unlocking </w:t>
      </w:r>
      <w:r w:rsidR="00D32702" w:rsidRPr="000A3629">
        <w:rPr>
          <w:rFonts w:ascii="Times New Roman" w:hAnsi="Times New Roman" w:cs="Times New Roman"/>
          <w:lang w:val="en-US"/>
        </w:rPr>
        <w:t xml:space="preserve">access to </w:t>
      </w:r>
      <w:r w:rsidR="00074B96" w:rsidRPr="000A3629">
        <w:rPr>
          <w:rFonts w:ascii="Times New Roman" w:hAnsi="Times New Roman" w:cs="Times New Roman"/>
          <w:lang w:val="en-US"/>
        </w:rPr>
        <w:t>digital technologies</w:t>
      </w:r>
      <w:r w:rsidR="009812D2" w:rsidRPr="000A3629">
        <w:rPr>
          <w:rFonts w:ascii="Times New Roman" w:hAnsi="Times New Roman" w:cs="Times New Roman"/>
          <w:lang w:val="en-US"/>
        </w:rPr>
        <w:t xml:space="preserve"> and </w:t>
      </w:r>
      <w:r w:rsidR="00092235">
        <w:rPr>
          <w:rFonts w:ascii="Times New Roman" w:hAnsi="Times New Roman" w:cs="Times New Roman"/>
          <w:lang w:val="en-US"/>
        </w:rPr>
        <w:t xml:space="preserve">the </w:t>
      </w:r>
      <w:r w:rsidR="00F50E4F" w:rsidRPr="000A3629">
        <w:rPr>
          <w:rFonts w:ascii="Times New Roman" w:hAnsi="Times New Roman" w:cs="Times New Roman"/>
          <w:lang w:val="en-US"/>
        </w:rPr>
        <w:t>cyber economy</w:t>
      </w:r>
      <w:r w:rsidRPr="000A3629">
        <w:rPr>
          <w:rFonts w:ascii="Times New Roman" w:hAnsi="Times New Roman" w:cs="Times New Roman"/>
          <w:lang w:val="en-US"/>
        </w:rPr>
        <w:t xml:space="preserve">, </w:t>
      </w:r>
      <w:r w:rsidR="00D32702" w:rsidRPr="000A3629">
        <w:rPr>
          <w:rFonts w:ascii="Times New Roman" w:hAnsi="Times New Roman" w:cs="Times New Roman"/>
          <w:lang w:val="en-US"/>
        </w:rPr>
        <w:t>including</w:t>
      </w:r>
      <w:r w:rsidRPr="000A3629">
        <w:rPr>
          <w:rFonts w:ascii="Times New Roman" w:hAnsi="Times New Roman" w:cs="Times New Roman"/>
          <w:lang w:val="en-US"/>
        </w:rPr>
        <w:t xml:space="preserve"> </w:t>
      </w:r>
      <w:r w:rsidR="004D1DB8" w:rsidRPr="000A3629">
        <w:rPr>
          <w:rFonts w:ascii="Times New Roman" w:hAnsi="Times New Roman" w:cs="Times New Roman"/>
          <w:lang w:val="en-US"/>
        </w:rPr>
        <w:t xml:space="preserve">accessible </w:t>
      </w:r>
      <w:r w:rsidRPr="000A3629">
        <w:rPr>
          <w:rFonts w:ascii="Times New Roman" w:hAnsi="Times New Roman" w:cs="Times New Roman"/>
          <w:lang w:val="en-US"/>
        </w:rPr>
        <w:t>Information and Communication Technologies (ICTs), have in</w:t>
      </w:r>
      <w:r w:rsidR="00074B96" w:rsidRPr="000A3629">
        <w:rPr>
          <w:rFonts w:ascii="Times New Roman" w:hAnsi="Times New Roman" w:cs="Times New Roman"/>
          <w:lang w:val="en-US"/>
        </w:rPr>
        <w:t xml:space="preserve"> </w:t>
      </w:r>
      <w:r w:rsidR="00BF3140" w:rsidRPr="000A3629">
        <w:rPr>
          <w:rFonts w:ascii="Times New Roman" w:hAnsi="Times New Roman" w:cs="Times New Roman"/>
          <w:lang w:val="en-US"/>
        </w:rPr>
        <w:t>empowering</w:t>
      </w:r>
      <w:r w:rsidR="00074B96" w:rsidRPr="000A3629">
        <w:rPr>
          <w:rFonts w:ascii="Times New Roman" w:hAnsi="Times New Roman" w:cs="Times New Roman"/>
          <w:lang w:val="en-US"/>
        </w:rPr>
        <w:t xml:space="preserve"> women</w:t>
      </w:r>
      <w:r w:rsidR="00D32702" w:rsidRPr="000A3629">
        <w:rPr>
          <w:rFonts w:ascii="Times New Roman" w:hAnsi="Times New Roman" w:cs="Times New Roman"/>
          <w:lang w:val="en-US"/>
        </w:rPr>
        <w:t>.</w:t>
      </w:r>
      <w:r w:rsidR="00015F79" w:rsidRPr="000A3629">
        <w:rPr>
          <w:rFonts w:ascii="Times New Roman" w:hAnsi="Times New Roman" w:cs="Times New Roman"/>
          <w:lang w:val="en-US"/>
        </w:rPr>
        <w:t xml:space="preserve"> </w:t>
      </w:r>
      <w:r w:rsidR="00074B96" w:rsidRPr="000A3629">
        <w:rPr>
          <w:rFonts w:ascii="Times New Roman" w:hAnsi="Times New Roman" w:cs="Times New Roman"/>
          <w:lang w:val="en-US"/>
        </w:rPr>
        <w:t>The Committee</w:t>
      </w:r>
      <w:r w:rsidR="00F50E4F" w:rsidRPr="00F50E4F">
        <w:t xml:space="preserve"> </w:t>
      </w:r>
      <w:r w:rsidR="00F50E4F" w:rsidRPr="000A3629">
        <w:rPr>
          <w:rFonts w:ascii="Times New Roman" w:hAnsi="Times New Roman" w:cs="Times New Roman"/>
          <w:lang w:val="en-US"/>
        </w:rPr>
        <w:t xml:space="preserve">has </w:t>
      </w:r>
      <w:r w:rsidR="009812D2" w:rsidRPr="000A3629">
        <w:rPr>
          <w:rFonts w:ascii="Times New Roman" w:hAnsi="Times New Roman" w:cs="Times New Roman"/>
          <w:lang w:val="en-US"/>
        </w:rPr>
        <w:t xml:space="preserve">repeatedly </w:t>
      </w:r>
      <w:r w:rsidR="00F50E4F" w:rsidRPr="000A3629">
        <w:rPr>
          <w:rFonts w:ascii="Times New Roman" w:hAnsi="Times New Roman" w:cs="Times New Roman"/>
          <w:lang w:val="en-US"/>
        </w:rPr>
        <w:t>expressed concern about bias</w:t>
      </w:r>
      <w:r w:rsidR="009812D2" w:rsidRPr="000A3629">
        <w:rPr>
          <w:rFonts w:ascii="Times New Roman" w:hAnsi="Times New Roman" w:cs="Times New Roman"/>
          <w:lang w:val="en-US"/>
        </w:rPr>
        <w:t>es</w:t>
      </w:r>
      <w:r w:rsidR="00F50E4F" w:rsidRPr="000A3629">
        <w:rPr>
          <w:rFonts w:ascii="Times New Roman" w:hAnsi="Times New Roman" w:cs="Times New Roman"/>
          <w:lang w:val="en-US"/>
        </w:rPr>
        <w:t xml:space="preserve"> in the development and use of algorithms and artificial intelligence and</w:t>
      </w:r>
      <w:r w:rsidR="009812D2" w:rsidRPr="000A3629">
        <w:rPr>
          <w:rFonts w:ascii="Times New Roman" w:hAnsi="Times New Roman" w:cs="Times New Roman"/>
          <w:lang w:val="en-US"/>
        </w:rPr>
        <w:t xml:space="preserve"> </w:t>
      </w:r>
      <w:r w:rsidR="00B83FF7" w:rsidRPr="000A3629">
        <w:rPr>
          <w:rFonts w:ascii="Times New Roman" w:hAnsi="Times New Roman" w:cs="Times New Roman"/>
          <w:lang w:val="en-US"/>
        </w:rPr>
        <w:t>is again</w:t>
      </w:r>
      <w:r w:rsidR="009812D2" w:rsidRPr="000A3629">
        <w:rPr>
          <w:rFonts w:ascii="Times New Roman" w:hAnsi="Times New Roman" w:cs="Times New Roman"/>
          <w:lang w:val="en-US"/>
        </w:rPr>
        <w:t xml:space="preserve"> urging</w:t>
      </w:r>
      <w:r w:rsidR="00074B96" w:rsidRPr="000A3629">
        <w:rPr>
          <w:rFonts w:ascii="Times New Roman" w:hAnsi="Times New Roman" w:cs="Times New Roman"/>
          <w:lang w:val="en-US"/>
        </w:rPr>
        <w:t xml:space="preserve"> State</w:t>
      </w:r>
      <w:r w:rsidR="00A0277F" w:rsidRPr="000A3629">
        <w:rPr>
          <w:rFonts w:ascii="Times New Roman" w:hAnsi="Times New Roman" w:cs="Times New Roman"/>
          <w:lang w:val="en-US"/>
        </w:rPr>
        <w:t>s</w:t>
      </w:r>
      <w:r w:rsidR="00ED2D9D" w:rsidRPr="000A3629">
        <w:rPr>
          <w:rFonts w:ascii="Times New Roman" w:hAnsi="Times New Roman" w:cs="Times New Roman"/>
          <w:lang w:val="en-US"/>
        </w:rPr>
        <w:t xml:space="preserve"> parties</w:t>
      </w:r>
      <w:r w:rsidR="00074B96" w:rsidRPr="000A3629">
        <w:rPr>
          <w:rFonts w:ascii="Times New Roman" w:hAnsi="Times New Roman" w:cs="Times New Roman"/>
          <w:lang w:val="en-US"/>
        </w:rPr>
        <w:t xml:space="preserve"> to tackle discrimination against women in education and employment</w:t>
      </w:r>
      <w:r w:rsidR="009812D2" w:rsidRPr="000A3629">
        <w:rPr>
          <w:rFonts w:ascii="Times New Roman" w:hAnsi="Times New Roman" w:cs="Times New Roman"/>
          <w:lang w:val="en-US"/>
        </w:rPr>
        <w:t>. Discrimination against women in the employment sphere</w:t>
      </w:r>
      <w:r w:rsidR="00074B96" w:rsidRPr="000A3629">
        <w:rPr>
          <w:rFonts w:ascii="Times New Roman" w:hAnsi="Times New Roman" w:cs="Times New Roman"/>
          <w:lang w:val="en-US"/>
        </w:rPr>
        <w:t xml:space="preserve"> is </w:t>
      </w:r>
      <w:r w:rsidR="00232620" w:rsidRPr="000A3629">
        <w:rPr>
          <w:rFonts w:ascii="Times New Roman" w:hAnsi="Times New Roman" w:cs="Times New Roman"/>
          <w:lang w:val="en-US"/>
        </w:rPr>
        <w:t>palpable by</w:t>
      </w:r>
      <w:r w:rsidR="00074B96" w:rsidRPr="000A3629">
        <w:rPr>
          <w:rFonts w:ascii="Times New Roman" w:hAnsi="Times New Roman" w:cs="Times New Roman"/>
          <w:lang w:val="en-US"/>
        </w:rPr>
        <w:t xml:space="preserve"> the persistent</w:t>
      </w:r>
      <w:r w:rsidR="00232620" w:rsidRPr="000A3629">
        <w:rPr>
          <w:rFonts w:ascii="Times New Roman" w:hAnsi="Times New Roman" w:cs="Times New Roman"/>
          <w:lang w:val="en-US"/>
        </w:rPr>
        <w:t xml:space="preserve"> gender pay</w:t>
      </w:r>
      <w:r w:rsidR="00074B96" w:rsidRPr="000A3629">
        <w:rPr>
          <w:rFonts w:ascii="Times New Roman" w:hAnsi="Times New Roman" w:cs="Times New Roman"/>
          <w:lang w:val="en-US"/>
        </w:rPr>
        <w:t xml:space="preserve"> gap</w:t>
      </w:r>
      <w:r w:rsidR="00232620" w:rsidRPr="000A3629">
        <w:rPr>
          <w:rFonts w:ascii="Times New Roman" w:hAnsi="Times New Roman" w:cs="Times New Roman"/>
          <w:lang w:val="en-US"/>
        </w:rPr>
        <w:t>,</w:t>
      </w:r>
      <w:r w:rsidR="00074B96" w:rsidRPr="000A3629">
        <w:rPr>
          <w:rFonts w:ascii="Times New Roman" w:hAnsi="Times New Roman" w:cs="Times New Roman"/>
          <w:lang w:val="en-US"/>
        </w:rPr>
        <w:t xml:space="preserve"> </w:t>
      </w:r>
      <w:r w:rsidR="00232620" w:rsidRPr="000A3629">
        <w:rPr>
          <w:rFonts w:ascii="Times New Roman" w:hAnsi="Times New Roman" w:cs="Times New Roman"/>
          <w:lang w:val="en-US"/>
        </w:rPr>
        <w:t>the persistent horizontal segregation</w:t>
      </w:r>
      <w:r w:rsidR="00074B96" w:rsidRPr="000A3629">
        <w:rPr>
          <w:rFonts w:ascii="Times New Roman" w:hAnsi="Times New Roman" w:cs="Times New Roman"/>
          <w:lang w:val="en-US"/>
        </w:rPr>
        <w:t xml:space="preserve"> and the difficulties that women </w:t>
      </w:r>
      <w:r w:rsidR="00E819F1" w:rsidRPr="000A3629">
        <w:rPr>
          <w:rFonts w:ascii="Times New Roman" w:hAnsi="Times New Roman" w:cs="Times New Roman"/>
          <w:lang w:val="en-US"/>
        </w:rPr>
        <w:t>still</w:t>
      </w:r>
      <w:r w:rsidR="00232620" w:rsidRPr="000A3629">
        <w:rPr>
          <w:rFonts w:ascii="Times New Roman" w:hAnsi="Times New Roman" w:cs="Times New Roman"/>
          <w:lang w:val="en-US"/>
        </w:rPr>
        <w:t xml:space="preserve"> </w:t>
      </w:r>
      <w:r w:rsidR="00074B96" w:rsidRPr="000A3629">
        <w:rPr>
          <w:rFonts w:ascii="Times New Roman" w:hAnsi="Times New Roman" w:cs="Times New Roman"/>
          <w:lang w:val="en-US"/>
        </w:rPr>
        <w:t>fac</w:t>
      </w:r>
      <w:r w:rsidR="00E819F1" w:rsidRPr="000A3629">
        <w:rPr>
          <w:rFonts w:ascii="Times New Roman" w:hAnsi="Times New Roman" w:cs="Times New Roman"/>
          <w:lang w:val="en-US"/>
        </w:rPr>
        <w:t>e</w:t>
      </w:r>
      <w:r w:rsidR="00074B96" w:rsidRPr="000A3629">
        <w:rPr>
          <w:rFonts w:ascii="Times New Roman" w:hAnsi="Times New Roman" w:cs="Times New Roman"/>
          <w:lang w:val="en-US"/>
        </w:rPr>
        <w:t xml:space="preserve"> </w:t>
      </w:r>
      <w:r w:rsidR="00232620" w:rsidRPr="000A3629">
        <w:rPr>
          <w:rFonts w:ascii="Times New Roman" w:hAnsi="Times New Roman" w:cs="Times New Roman"/>
          <w:lang w:val="en-US"/>
        </w:rPr>
        <w:t>in</w:t>
      </w:r>
      <w:r w:rsidR="00074B96" w:rsidRPr="000A3629">
        <w:rPr>
          <w:rFonts w:ascii="Times New Roman" w:hAnsi="Times New Roman" w:cs="Times New Roman"/>
          <w:lang w:val="en-US"/>
        </w:rPr>
        <w:t xml:space="preserve"> access</w:t>
      </w:r>
      <w:r w:rsidR="00232620" w:rsidRPr="000A3629">
        <w:rPr>
          <w:rFonts w:ascii="Times New Roman" w:hAnsi="Times New Roman" w:cs="Times New Roman"/>
          <w:lang w:val="en-US"/>
        </w:rPr>
        <w:t>ing</w:t>
      </w:r>
      <w:r w:rsidR="00074B96" w:rsidRPr="000A3629">
        <w:rPr>
          <w:rFonts w:ascii="Times New Roman" w:hAnsi="Times New Roman" w:cs="Times New Roman"/>
          <w:lang w:val="en-US"/>
        </w:rPr>
        <w:t xml:space="preserve"> </w:t>
      </w:r>
      <w:r w:rsidR="00232620" w:rsidRPr="000A3629">
        <w:rPr>
          <w:rFonts w:ascii="Times New Roman" w:hAnsi="Times New Roman" w:cs="Times New Roman"/>
          <w:lang w:val="en-US"/>
        </w:rPr>
        <w:t xml:space="preserve">high-level </w:t>
      </w:r>
      <w:r w:rsidR="00074B96" w:rsidRPr="000A3629">
        <w:rPr>
          <w:rFonts w:ascii="Times New Roman" w:hAnsi="Times New Roman" w:cs="Times New Roman"/>
          <w:lang w:val="en-US"/>
        </w:rPr>
        <w:t>positions</w:t>
      </w:r>
      <w:r w:rsidR="00E819F1" w:rsidRPr="000A3629">
        <w:rPr>
          <w:rFonts w:ascii="Times New Roman" w:hAnsi="Times New Roman" w:cs="Times New Roman"/>
          <w:lang w:val="en-US"/>
        </w:rPr>
        <w:t xml:space="preserve"> in both the public and private sectors</w:t>
      </w:r>
      <w:r w:rsidR="00074B96" w:rsidRPr="000A3629">
        <w:rPr>
          <w:rFonts w:ascii="Times New Roman" w:hAnsi="Times New Roman" w:cs="Times New Roman"/>
          <w:lang w:val="en-US"/>
        </w:rPr>
        <w:t xml:space="preserve">. </w:t>
      </w:r>
      <w:r w:rsidR="00015F79" w:rsidRPr="000A3629">
        <w:rPr>
          <w:rFonts w:ascii="Times New Roman" w:hAnsi="Times New Roman" w:cs="Times New Roman"/>
          <w:lang w:val="en-US"/>
        </w:rPr>
        <w:t xml:space="preserve">The Committee has also repeatedly recommended State parties to ensure regulatory frameworks for the informal sector, </w:t>
      </w:r>
      <w:r w:rsidR="00D257D7" w:rsidRPr="000A3629">
        <w:rPr>
          <w:rFonts w:ascii="Times New Roman" w:hAnsi="Times New Roman" w:cs="Times New Roman"/>
          <w:lang w:val="en-US"/>
        </w:rPr>
        <w:t>to ensure</w:t>
      </w:r>
      <w:r w:rsidR="00015F79" w:rsidRPr="000A3629">
        <w:rPr>
          <w:rFonts w:ascii="Times New Roman" w:hAnsi="Times New Roman" w:cs="Times New Roman"/>
          <w:lang w:val="en-US"/>
        </w:rPr>
        <w:t xml:space="preserve"> that women in that sector are </w:t>
      </w:r>
      <w:r w:rsidR="00B83FF7" w:rsidRPr="000A3629">
        <w:rPr>
          <w:rFonts w:ascii="Times New Roman" w:hAnsi="Times New Roman" w:cs="Times New Roman"/>
          <w:lang w:val="en-US"/>
        </w:rPr>
        <w:t>eligible for maternity leave and</w:t>
      </w:r>
      <w:r w:rsidR="00015F79" w:rsidRPr="000A3629">
        <w:rPr>
          <w:rFonts w:ascii="Times New Roman" w:hAnsi="Times New Roman" w:cs="Times New Roman"/>
          <w:lang w:val="en-US"/>
        </w:rPr>
        <w:t xml:space="preserve"> covered by unemployment, pension and other social security benefits. </w:t>
      </w:r>
      <w:r w:rsidR="00232620" w:rsidRPr="000A3629">
        <w:rPr>
          <w:rFonts w:ascii="Times New Roman" w:hAnsi="Times New Roman" w:cs="Times New Roman"/>
          <w:lang w:val="en-US"/>
        </w:rPr>
        <w:t xml:space="preserve">Additionally, </w:t>
      </w:r>
      <w:r w:rsidR="00E819F1" w:rsidRPr="000A3629">
        <w:rPr>
          <w:rFonts w:ascii="Times New Roman" w:hAnsi="Times New Roman" w:cs="Times New Roman"/>
          <w:lang w:val="en-US"/>
        </w:rPr>
        <w:t xml:space="preserve">sexual </w:t>
      </w:r>
      <w:r w:rsidR="00232620" w:rsidRPr="000A3629">
        <w:rPr>
          <w:rFonts w:ascii="Times New Roman" w:hAnsi="Times New Roman" w:cs="Times New Roman"/>
          <w:lang w:val="en-US"/>
        </w:rPr>
        <w:t>h</w:t>
      </w:r>
      <w:r w:rsidR="00074B96" w:rsidRPr="000A3629">
        <w:rPr>
          <w:rFonts w:ascii="Times New Roman" w:hAnsi="Times New Roman" w:cs="Times New Roman"/>
          <w:lang w:val="en-US"/>
        </w:rPr>
        <w:t xml:space="preserve">arassment and other forms of </w:t>
      </w:r>
      <w:r w:rsidR="00E819F1" w:rsidRPr="000A3629">
        <w:rPr>
          <w:rFonts w:ascii="Times New Roman" w:hAnsi="Times New Roman" w:cs="Times New Roman"/>
          <w:lang w:val="en-US"/>
        </w:rPr>
        <w:t xml:space="preserve">gender-based </w:t>
      </w:r>
      <w:r w:rsidR="00074B96" w:rsidRPr="000A3629">
        <w:rPr>
          <w:rFonts w:ascii="Times New Roman" w:hAnsi="Times New Roman" w:cs="Times New Roman"/>
          <w:lang w:val="en-US"/>
        </w:rPr>
        <w:t xml:space="preserve">violence in </w:t>
      </w:r>
      <w:r w:rsidR="00E819F1" w:rsidRPr="000A3629">
        <w:rPr>
          <w:rFonts w:ascii="Times New Roman" w:hAnsi="Times New Roman" w:cs="Times New Roman"/>
          <w:lang w:val="en-US"/>
        </w:rPr>
        <w:t>the work</w:t>
      </w:r>
      <w:r w:rsidR="00B83FF7" w:rsidRPr="000A3629">
        <w:rPr>
          <w:rFonts w:ascii="Times New Roman" w:hAnsi="Times New Roman" w:cs="Times New Roman"/>
          <w:lang w:val="en-US"/>
        </w:rPr>
        <w:t>place</w:t>
      </w:r>
      <w:r w:rsidR="00074B96" w:rsidRPr="000A3629">
        <w:rPr>
          <w:rFonts w:ascii="Times New Roman" w:hAnsi="Times New Roman" w:cs="Times New Roman"/>
          <w:lang w:val="en-US"/>
        </w:rPr>
        <w:t xml:space="preserve"> continue to be </w:t>
      </w:r>
      <w:r w:rsidR="00074B96" w:rsidRPr="00BF5FCA">
        <w:rPr>
          <w:rFonts w:ascii="Times New Roman" w:hAnsi="Times New Roman" w:cs="Times New Roman"/>
          <w:lang w:val="en-US"/>
        </w:rPr>
        <w:t>pervasive</w:t>
      </w:r>
      <w:r w:rsidR="00B83FF7" w:rsidRPr="00BF5FCA">
        <w:rPr>
          <w:rFonts w:ascii="Times New Roman" w:hAnsi="Times New Roman" w:cs="Times New Roman"/>
          <w:lang w:val="en-US"/>
        </w:rPr>
        <w:t>.</w:t>
      </w:r>
    </w:p>
    <w:p w14:paraId="6DF689F2" w14:textId="77777777" w:rsidR="00BF5FCA" w:rsidRPr="00BF5FCA" w:rsidRDefault="00BF5FCA" w:rsidP="00BF5FCA">
      <w:pPr>
        <w:spacing w:line="360" w:lineRule="auto"/>
        <w:jc w:val="both"/>
        <w:rPr>
          <w:rFonts w:ascii="Times New Roman" w:hAnsi="Times New Roman" w:cs="Times New Roman"/>
          <w:lang w:val="en-US"/>
        </w:rPr>
      </w:pPr>
    </w:p>
    <w:p w14:paraId="48F03072" w14:textId="1A9C019C" w:rsidR="004B6928" w:rsidRPr="00BF5FCA" w:rsidRDefault="00074B96" w:rsidP="00BF5FCA">
      <w:pPr>
        <w:spacing w:line="360" w:lineRule="auto"/>
        <w:jc w:val="both"/>
        <w:rPr>
          <w:rFonts w:ascii="Times New Roman" w:hAnsi="Times New Roman" w:cs="Times New Roman"/>
          <w:lang w:val="en-US"/>
        </w:rPr>
      </w:pPr>
      <w:r w:rsidRPr="00BF5FCA">
        <w:rPr>
          <w:rFonts w:ascii="Times New Roman" w:hAnsi="Times New Roman" w:cs="Times New Roman"/>
          <w:i/>
          <w:lang w:val="en-US"/>
        </w:rPr>
        <w:t xml:space="preserve">In relation </w:t>
      </w:r>
      <w:r w:rsidR="009812D2" w:rsidRPr="00BF5FCA">
        <w:rPr>
          <w:rFonts w:ascii="Times New Roman" w:hAnsi="Times New Roman" w:cs="Times New Roman"/>
          <w:b/>
          <w:i/>
          <w:lang w:val="en-US"/>
        </w:rPr>
        <w:t>to education and training for</w:t>
      </w:r>
      <w:r w:rsidRPr="00BF5FCA">
        <w:rPr>
          <w:rFonts w:ascii="Times New Roman" w:hAnsi="Times New Roman" w:cs="Times New Roman"/>
          <w:b/>
          <w:i/>
          <w:lang w:val="en-US"/>
        </w:rPr>
        <w:t xml:space="preserve"> women</w:t>
      </w:r>
      <w:r w:rsidRPr="00BF5FCA">
        <w:rPr>
          <w:rFonts w:ascii="Times New Roman" w:hAnsi="Times New Roman" w:cs="Times New Roman"/>
          <w:i/>
          <w:lang w:val="en-US"/>
        </w:rPr>
        <w:t xml:space="preserve">, </w:t>
      </w:r>
      <w:r w:rsidRPr="00BF5FCA">
        <w:rPr>
          <w:rFonts w:ascii="Times New Roman" w:hAnsi="Times New Roman" w:cs="Times New Roman"/>
          <w:lang w:val="en-US"/>
        </w:rPr>
        <w:t>the Committee</w:t>
      </w:r>
      <w:r w:rsidR="00E819F1" w:rsidRPr="00BF5FCA">
        <w:rPr>
          <w:rFonts w:ascii="Times New Roman" w:hAnsi="Times New Roman" w:cs="Times New Roman"/>
          <w:lang w:val="en-US"/>
        </w:rPr>
        <w:t>,</w:t>
      </w:r>
      <w:r w:rsidRPr="00BF5FCA">
        <w:rPr>
          <w:rFonts w:ascii="Times New Roman" w:hAnsi="Times New Roman" w:cs="Times New Roman"/>
          <w:lang w:val="en-US"/>
        </w:rPr>
        <w:t xml:space="preserve"> in General Recommendation </w:t>
      </w:r>
      <w:r w:rsidR="007C7F15" w:rsidRPr="00BF5FCA">
        <w:rPr>
          <w:rFonts w:ascii="Times New Roman" w:hAnsi="Times New Roman" w:cs="Times New Roman"/>
          <w:lang w:val="en-US"/>
        </w:rPr>
        <w:t>N</w:t>
      </w:r>
      <w:r w:rsidR="007043D6" w:rsidRPr="00BF5FCA">
        <w:rPr>
          <w:rFonts w:ascii="Times New Roman" w:hAnsi="Times New Roman" w:cs="Times New Roman"/>
          <w:lang w:val="en-US"/>
        </w:rPr>
        <w:t xml:space="preserve">o. </w:t>
      </w:r>
      <w:r w:rsidRPr="00BF5FCA">
        <w:rPr>
          <w:rFonts w:ascii="Times New Roman" w:hAnsi="Times New Roman" w:cs="Times New Roman"/>
          <w:lang w:val="en-US"/>
        </w:rPr>
        <w:t xml:space="preserve">36 </w:t>
      </w:r>
      <w:r w:rsidR="00E819F1" w:rsidRPr="00BF5FCA">
        <w:rPr>
          <w:rFonts w:ascii="Times New Roman" w:hAnsi="Times New Roman" w:cs="Times New Roman"/>
          <w:lang w:val="en-US"/>
        </w:rPr>
        <w:t>(</w:t>
      </w:r>
      <w:r w:rsidR="00010C9E" w:rsidRPr="00BF5FCA">
        <w:rPr>
          <w:rFonts w:ascii="Times New Roman" w:hAnsi="Times New Roman" w:cs="Times New Roman"/>
          <w:lang w:val="en-US"/>
        </w:rPr>
        <w:t>2017</w:t>
      </w:r>
      <w:r w:rsidR="00E819F1" w:rsidRPr="00BF5FCA">
        <w:rPr>
          <w:rFonts w:ascii="Times New Roman" w:hAnsi="Times New Roman" w:cs="Times New Roman"/>
          <w:lang w:val="en-US"/>
        </w:rPr>
        <w:t xml:space="preserve">) on the right of girls and women to education, </w:t>
      </w:r>
      <w:r w:rsidR="00B83FF7" w:rsidRPr="00BF5FCA">
        <w:rPr>
          <w:rFonts w:ascii="Times New Roman" w:hAnsi="Times New Roman" w:cs="Times New Roman"/>
          <w:lang w:val="en-US"/>
        </w:rPr>
        <w:t xml:space="preserve">recognizes </w:t>
      </w:r>
      <w:r w:rsidRPr="00BF5FCA">
        <w:rPr>
          <w:rFonts w:ascii="Times New Roman" w:hAnsi="Times New Roman" w:cs="Times New Roman"/>
          <w:lang w:val="en-US"/>
        </w:rPr>
        <w:t xml:space="preserve">the pivotal, transformative and empowering role of education </w:t>
      </w:r>
      <w:r w:rsidR="00E819F1" w:rsidRPr="00BF5FCA">
        <w:rPr>
          <w:rFonts w:ascii="Times New Roman" w:hAnsi="Times New Roman" w:cs="Times New Roman"/>
          <w:lang w:val="en-US"/>
        </w:rPr>
        <w:t>for</w:t>
      </w:r>
      <w:r w:rsidRPr="00BF5FCA">
        <w:rPr>
          <w:rFonts w:ascii="Times New Roman" w:hAnsi="Times New Roman" w:cs="Times New Roman"/>
          <w:lang w:val="en-US"/>
        </w:rPr>
        <w:t xml:space="preserve"> achieving gender equality and </w:t>
      </w:r>
      <w:r w:rsidR="00232620" w:rsidRPr="00BF5FCA">
        <w:rPr>
          <w:rFonts w:ascii="Times New Roman" w:hAnsi="Times New Roman" w:cs="Times New Roman"/>
          <w:lang w:val="en-US"/>
        </w:rPr>
        <w:t>empowering</w:t>
      </w:r>
      <w:r w:rsidRPr="00BF5FCA">
        <w:rPr>
          <w:rFonts w:ascii="Times New Roman" w:hAnsi="Times New Roman" w:cs="Times New Roman"/>
          <w:lang w:val="en-US"/>
        </w:rPr>
        <w:t xml:space="preserve"> women</w:t>
      </w:r>
      <w:r w:rsidRPr="00BF5FCA">
        <w:rPr>
          <w:rFonts w:ascii="Times New Roman" w:hAnsi="Times New Roman" w:cs="Times New Roman"/>
          <w:i/>
          <w:lang w:val="en-US"/>
        </w:rPr>
        <w:t>.</w:t>
      </w:r>
      <w:r w:rsidR="00E66330" w:rsidRPr="00BF5FCA">
        <w:rPr>
          <w:rStyle w:val="FootnoteReference"/>
          <w:rFonts w:ascii="Times New Roman" w:hAnsi="Times New Roman" w:cs="Times New Roman"/>
          <w:lang w:val="en-US"/>
        </w:rPr>
        <w:footnoteReference w:id="1"/>
      </w:r>
      <w:r w:rsidR="00E66330" w:rsidRPr="00BF5FCA">
        <w:rPr>
          <w:rFonts w:ascii="Times New Roman" w:hAnsi="Times New Roman" w:cs="Times New Roman"/>
          <w:lang w:val="en-US"/>
        </w:rPr>
        <w:t xml:space="preserve"> </w:t>
      </w:r>
      <w:r w:rsidR="004D1DB8" w:rsidRPr="00BF5FCA">
        <w:rPr>
          <w:rFonts w:ascii="Times New Roman" w:hAnsi="Times New Roman" w:cs="Times New Roman"/>
          <w:lang w:val="en-US"/>
        </w:rPr>
        <w:t>Inclusive e</w:t>
      </w:r>
      <w:r w:rsidRPr="00BF5FCA">
        <w:rPr>
          <w:rFonts w:ascii="Times New Roman" w:hAnsi="Times New Roman" w:cs="Times New Roman"/>
          <w:lang w:val="en-US"/>
        </w:rPr>
        <w:t>ducation can empower girls</w:t>
      </w:r>
      <w:r w:rsidR="00F50E4F" w:rsidRPr="00BF5FCA">
        <w:rPr>
          <w:rFonts w:ascii="Times New Roman" w:hAnsi="Times New Roman" w:cs="Times New Roman"/>
          <w:lang w:val="en-US"/>
        </w:rPr>
        <w:t>, adolescent girls</w:t>
      </w:r>
      <w:r w:rsidRPr="00BF5FCA">
        <w:rPr>
          <w:rFonts w:ascii="Times New Roman" w:hAnsi="Times New Roman" w:cs="Times New Roman"/>
          <w:lang w:val="en-US"/>
        </w:rPr>
        <w:t xml:space="preserve"> and women </w:t>
      </w:r>
      <w:r w:rsidR="00F50E4F" w:rsidRPr="00BF5FCA">
        <w:rPr>
          <w:rFonts w:ascii="Times New Roman" w:hAnsi="Times New Roman" w:cs="Times New Roman"/>
          <w:lang w:val="en-US"/>
        </w:rPr>
        <w:t xml:space="preserve">at different stages of their </w:t>
      </w:r>
      <w:proofErr w:type="gramStart"/>
      <w:r w:rsidR="00F50E4F" w:rsidRPr="00BF5FCA">
        <w:rPr>
          <w:rFonts w:ascii="Times New Roman" w:hAnsi="Times New Roman" w:cs="Times New Roman"/>
          <w:lang w:val="en-US"/>
        </w:rPr>
        <w:t>life-cycle</w:t>
      </w:r>
      <w:proofErr w:type="gramEnd"/>
      <w:r w:rsidR="00F50E4F" w:rsidRPr="00BF5FCA">
        <w:rPr>
          <w:rFonts w:ascii="Times New Roman" w:hAnsi="Times New Roman" w:cs="Times New Roman"/>
          <w:lang w:val="en-US"/>
        </w:rPr>
        <w:t xml:space="preserve"> </w:t>
      </w:r>
      <w:r w:rsidRPr="00BF5FCA">
        <w:rPr>
          <w:rFonts w:ascii="Times New Roman" w:hAnsi="Times New Roman" w:cs="Times New Roman"/>
          <w:lang w:val="en-US"/>
        </w:rPr>
        <w:t xml:space="preserve">and equip them with </w:t>
      </w:r>
      <w:r w:rsidR="00232620" w:rsidRPr="00BF5FCA">
        <w:rPr>
          <w:rFonts w:ascii="Times New Roman" w:hAnsi="Times New Roman" w:cs="Times New Roman"/>
          <w:lang w:val="en-US"/>
        </w:rPr>
        <w:t xml:space="preserve">the ability </w:t>
      </w:r>
      <w:r w:rsidRPr="00BF5FCA">
        <w:rPr>
          <w:rFonts w:ascii="Times New Roman" w:hAnsi="Times New Roman" w:cs="Times New Roman"/>
          <w:lang w:val="en-US"/>
        </w:rPr>
        <w:t xml:space="preserve">to claim and exercise broader socioeconomic, cultural and political </w:t>
      </w:r>
      <w:r w:rsidRPr="00BF5FCA">
        <w:rPr>
          <w:rFonts w:ascii="Times New Roman" w:hAnsi="Times New Roman" w:cs="Times New Roman"/>
          <w:lang w:val="en-US"/>
        </w:rPr>
        <w:lastRenderedPageBreak/>
        <w:t xml:space="preserve">rights, on an equal basis with boys and men. </w:t>
      </w:r>
      <w:r w:rsidR="00F26E25" w:rsidRPr="00BF5FCA">
        <w:rPr>
          <w:rFonts w:ascii="Times New Roman" w:hAnsi="Times New Roman" w:cs="Times New Roman"/>
          <w:lang w:val="en-US"/>
        </w:rPr>
        <w:t>In order</w:t>
      </w:r>
      <w:r w:rsidR="00232620" w:rsidRPr="00BF5FCA">
        <w:rPr>
          <w:rFonts w:ascii="Times New Roman" w:hAnsi="Times New Roman" w:cs="Times New Roman"/>
          <w:lang w:val="en-US"/>
        </w:rPr>
        <w:t xml:space="preserve"> t</w:t>
      </w:r>
      <w:r w:rsidRPr="00BF5FCA">
        <w:rPr>
          <w:rFonts w:ascii="Times New Roman" w:hAnsi="Times New Roman" w:cs="Times New Roman"/>
          <w:lang w:val="en-US"/>
        </w:rPr>
        <w:t>o achieve gender equality</w:t>
      </w:r>
      <w:r w:rsidR="00232620" w:rsidRPr="00BF5FCA">
        <w:rPr>
          <w:rFonts w:ascii="Times New Roman" w:hAnsi="Times New Roman" w:cs="Times New Roman"/>
          <w:lang w:val="en-US"/>
        </w:rPr>
        <w:t xml:space="preserve"> in</w:t>
      </w:r>
      <w:r w:rsidRPr="00BF5FCA">
        <w:rPr>
          <w:rFonts w:ascii="Times New Roman" w:hAnsi="Times New Roman" w:cs="Times New Roman"/>
          <w:lang w:val="en-US"/>
        </w:rPr>
        <w:t xml:space="preserve"> all aspects of the education system, </w:t>
      </w:r>
      <w:r w:rsidR="00232620" w:rsidRPr="00BF5FCA">
        <w:rPr>
          <w:rFonts w:ascii="Times New Roman" w:hAnsi="Times New Roman" w:cs="Times New Roman"/>
          <w:lang w:val="en-US"/>
        </w:rPr>
        <w:t>the Committee has consistently recommend</w:t>
      </w:r>
      <w:r w:rsidR="00E819F1" w:rsidRPr="00BF5FCA">
        <w:rPr>
          <w:rFonts w:ascii="Times New Roman" w:hAnsi="Times New Roman" w:cs="Times New Roman"/>
          <w:lang w:val="en-US"/>
        </w:rPr>
        <w:t>ed</w:t>
      </w:r>
      <w:r w:rsidR="00232620" w:rsidRPr="00BF5FCA">
        <w:rPr>
          <w:rFonts w:ascii="Times New Roman" w:hAnsi="Times New Roman" w:cs="Times New Roman"/>
          <w:lang w:val="en-US"/>
        </w:rPr>
        <w:t xml:space="preserve"> that legislations, </w:t>
      </w:r>
      <w:r w:rsidRPr="00BF5FCA">
        <w:rPr>
          <w:rFonts w:ascii="Times New Roman" w:hAnsi="Times New Roman" w:cs="Times New Roman"/>
          <w:lang w:val="en-US"/>
        </w:rPr>
        <w:t xml:space="preserve">policies, educational content, pedagogies and learning environments </w:t>
      </w:r>
      <w:r w:rsidR="00232620" w:rsidRPr="00BF5FCA">
        <w:rPr>
          <w:rFonts w:ascii="Times New Roman" w:hAnsi="Times New Roman" w:cs="Times New Roman"/>
          <w:lang w:val="en-US"/>
        </w:rPr>
        <w:t xml:space="preserve">must </w:t>
      </w:r>
      <w:r w:rsidRPr="00BF5FCA">
        <w:rPr>
          <w:rFonts w:ascii="Times New Roman" w:hAnsi="Times New Roman" w:cs="Times New Roman"/>
          <w:lang w:val="en-US"/>
        </w:rPr>
        <w:t xml:space="preserve">be gender-sensitive, </w:t>
      </w:r>
      <w:r w:rsidR="004D1DB8" w:rsidRPr="00BF5FCA">
        <w:rPr>
          <w:rFonts w:ascii="Times New Roman" w:hAnsi="Times New Roman" w:cs="Times New Roman"/>
          <w:lang w:val="en-US"/>
        </w:rPr>
        <w:t xml:space="preserve">accessible, </w:t>
      </w:r>
      <w:r w:rsidRPr="00BF5FCA">
        <w:rPr>
          <w:rFonts w:ascii="Times New Roman" w:hAnsi="Times New Roman" w:cs="Times New Roman"/>
          <w:lang w:val="en-US"/>
        </w:rPr>
        <w:t>responsive to the needs of girls and women and transformative for all</w:t>
      </w:r>
      <w:r w:rsidR="004B6928" w:rsidRPr="00BF5FCA">
        <w:rPr>
          <w:rFonts w:ascii="Times New Roman" w:hAnsi="Times New Roman" w:cs="Times New Roman"/>
          <w:lang w:val="en-US"/>
        </w:rPr>
        <w:t>.</w:t>
      </w:r>
      <w:r w:rsidRPr="00BF5FCA">
        <w:rPr>
          <w:rStyle w:val="FootnoteReference"/>
          <w:rFonts w:ascii="Times New Roman" w:hAnsi="Times New Roman" w:cs="Times New Roman"/>
          <w:lang w:val="en-US"/>
        </w:rPr>
        <w:footnoteReference w:id="2"/>
      </w:r>
      <w:r w:rsidR="004B6928" w:rsidRPr="00BF5FCA">
        <w:rPr>
          <w:rFonts w:ascii="Times New Roman" w:hAnsi="Times New Roman" w:cs="Times New Roman"/>
          <w:lang w:val="en-US"/>
        </w:rPr>
        <w:t xml:space="preserve"> </w:t>
      </w:r>
    </w:p>
    <w:p w14:paraId="4469A4FE" w14:textId="38B78E52" w:rsidR="000A3629" w:rsidRDefault="00074B96" w:rsidP="00BF5FCA">
      <w:pPr>
        <w:pStyle w:val="NormalWeb"/>
        <w:spacing w:line="360" w:lineRule="auto"/>
        <w:jc w:val="both"/>
        <w:rPr>
          <w:lang w:val="en-US"/>
        </w:rPr>
      </w:pPr>
      <w:r w:rsidRPr="00BF5FCA">
        <w:rPr>
          <w:lang w:val="en-US"/>
        </w:rPr>
        <w:t>The underrepresentation of women and girls in science, technology, engineering</w:t>
      </w:r>
      <w:r w:rsidR="00D93336" w:rsidRPr="00BF5FCA">
        <w:rPr>
          <w:lang w:val="en-US"/>
        </w:rPr>
        <w:t xml:space="preserve"> and mathematics (STEM) contributes to</w:t>
      </w:r>
      <w:r w:rsidRPr="00BF5FCA">
        <w:rPr>
          <w:lang w:val="en-US"/>
        </w:rPr>
        <w:t xml:space="preserve"> </w:t>
      </w:r>
      <w:r w:rsidR="00D93336" w:rsidRPr="00BF5FCA">
        <w:rPr>
          <w:lang w:val="en-US"/>
        </w:rPr>
        <w:t xml:space="preserve">a trend that </w:t>
      </w:r>
      <w:r w:rsidR="00BB13C1" w:rsidRPr="00BF5FCA">
        <w:rPr>
          <w:lang w:val="en-US"/>
        </w:rPr>
        <w:t>could lead t</w:t>
      </w:r>
      <w:r w:rsidR="00B83FF7" w:rsidRPr="00BF5FCA">
        <w:rPr>
          <w:lang w:val="en-US"/>
        </w:rPr>
        <w:t xml:space="preserve">o the exclusion of women in this </w:t>
      </w:r>
      <w:r w:rsidR="00BB13C1" w:rsidRPr="00BF5FCA">
        <w:rPr>
          <w:lang w:val="en-US"/>
        </w:rPr>
        <w:t>digital era</w:t>
      </w:r>
      <w:r w:rsidR="00D93336" w:rsidRPr="00BF5FCA">
        <w:rPr>
          <w:lang w:val="en-US"/>
        </w:rPr>
        <w:t>.</w:t>
      </w:r>
      <w:r w:rsidRPr="00BF5FCA">
        <w:rPr>
          <w:lang w:val="en-US"/>
        </w:rPr>
        <w:t xml:space="preserve"> </w:t>
      </w:r>
      <w:proofErr w:type="gramStart"/>
      <w:r w:rsidR="006A3C4D" w:rsidRPr="00BF5FCA">
        <w:rPr>
          <w:lang w:val="en-US"/>
        </w:rPr>
        <w:t>In line with article 4</w:t>
      </w:r>
      <w:r w:rsidR="006A3C4D" w:rsidRPr="000A3629">
        <w:rPr>
          <w:lang w:val="en-US"/>
        </w:rPr>
        <w:t xml:space="preserve"> of the Convention and the Comm</w:t>
      </w:r>
      <w:r w:rsidR="007C7F15" w:rsidRPr="000A3629">
        <w:rPr>
          <w:lang w:val="en-US"/>
        </w:rPr>
        <w:t>ittee's general recommendation N</w:t>
      </w:r>
      <w:r w:rsidR="006A3C4D" w:rsidRPr="000A3629">
        <w:rPr>
          <w:lang w:val="en-US"/>
        </w:rPr>
        <w:t>o. 25</w:t>
      </w:r>
      <w:r w:rsidR="00747433" w:rsidRPr="000A3629">
        <w:rPr>
          <w:lang w:val="en-US"/>
        </w:rPr>
        <w:t xml:space="preserve"> (</w:t>
      </w:r>
      <w:r w:rsidR="00010C9E" w:rsidRPr="000A3629">
        <w:rPr>
          <w:lang w:val="en-US"/>
        </w:rPr>
        <w:t>2004</w:t>
      </w:r>
      <w:r w:rsidR="00747433" w:rsidRPr="000A3629">
        <w:rPr>
          <w:lang w:val="en-US"/>
        </w:rPr>
        <w:t xml:space="preserve">) </w:t>
      </w:r>
      <w:r w:rsidR="00010C9E" w:rsidRPr="000A3629">
        <w:rPr>
          <w:lang w:val="en-US"/>
        </w:rPr>
        <w:t>on temporary special measures</w:t>
      </w:r>
      <w:r w:rsidR="006A3C4D" w:rsidRPr="000A3629">
        <w:rPr>
          <w:lang w:val="en-US"/>
        </w:rPr>
        <w:t>, t</w:t>
      </w:r>
      <w:r w:rsidRPr="000A3629">
        <w:rPr>
          <w:lang w:val="en-US"/>
        </w:rPr>
        <w:t xml:space="preserve">he Committee has </w:t>
      </w:r>
      <w:r w:rsidR="00232620" w:rsidRPr="000A3629">
        <w:rPr>
          <w:lang w:val="en-US"/>
        </w:rPr>
        <w:t xml:space="preserve">repeatedly </w:t>
      </w:r>
      <w:r w:rsidRPr="000A3629">
        <w:rPr>
          <w:lang w:val="en-US"/>
        </w:rPr>
        <w:t xml:space="preserve">called on </w:t>
      </w:r>
      <w:r w:rsidR="00ED2D9D" w:rsidRPr="000A3629">
        <w:rPr>
          <w:lang w:val="en-US"/>
        </w:rPr>
        <w:t>State</w:t>
      </w:r>
      <w:r w:rsidR="00A0277F" w:rsidRPr="000A3629">
        <w:rPr>
          <w:lang w:val="en-US"/>
        </w:rPr>
        <w:t>s</w:t>
      </w:r>
      <w:r w:rsidR="00ED2D9D" w:rsidRPr="000A3629">
        <w:rPr>
          <w:lang w:val="en-US"/>
        </w:rPr>
        <w:t xml:space="preserve"> parties</w:t>
      </w:r>
      <w:r w:rsidRPr="000A3629">
        <w:rPr>
          <w:lang w:val="en-US"/>
        </w:rPr>
        <w:t xml:space="preserve"> to adopt measures to increase the participation of women and girls in STEM </w:t>
      </w:r>
      <w:r w:rsidR="00747433" w:rsidRPr="000A3629">
        <w:rPr>
          <w:lang w:val="en-US"/>
        </w:rPr>
        <w:t>studies</w:t>
      </w:r>
      <w:r w:rsidR="00BB13C1" w:rsidRPr="000A3629">
        <w:rPr>
          <w:lang w:val="en-US"/>
        </w:rPr>
        <w:t xml:space="preserve"> and digital education</w:t>
      </w:r>
      <w:r w:rsidR="00747433" w:rsidRPr="000A3629">
        <w:rPr>
          <w:lang w:val="en-US"/>
        </w:rPr>
        <w:t xml:space="preserve"> </w:t>
      </w:r>
      <w:r w:rsidRPr="000A3629">
        <w:rPr>
          <w:lang w:val="en-US"/>
        </w:rPr>
        <w:t>by providing incentives</w:t>
      </w:r>
      <w:r w:rsidR="00F50E4F" w:rsidRPr="000A3629">
        <w:rPr>
          <w:lang w:val="en-US"/>
        </w:rPr>
        <w:t xml:space="preserve"> such</w:t>
      </w:r>
      <w:r w:rsidRPr="000A3629">
        <w:rPr>
          <w:lang w:val="en-US"/>
        </w:rPr>
        <w:t xml:space="preserve"> as scholarships and adopting temporary special measures</w:t>
      </w:r>
      <w:r w:rsidR="006A3C4D" w:rsidRPr="000A3629">
        <w:rPr>
          <w:lang w:val="en-US"/>
        </w:rPr>
        <w:t xml:space="preserve"> </w:t>
      </w:r>
      <w:r w:rsidR="00BB13C1" w:rsidRPr="000A3629">
        <w:rPr>
          <w:lang w:val="en-US"/>
        </w:rPr>
        <w:t xml:space="preserve">to ensure career paths </w:t>
      </w:r>
      <w:r w:rsidR="006A3C4D" w:rsidRPr="000A3629">
        <w:rPr>
          <w:lang w:val="en-US"/>
        </w:rPr>
        <w:t>in this regard.</w:t>
      </w:r>
      <w:proofErr w:type="gramEnd"/>
    </w:p>
    <w:p w14:paraId="1A227507" w14:textId="1EDB90DA" w:rsidR="000A3629" w:rsidRDefault="00310DF0" w:rsidP="00BF5FCA">
      <w:pPr>
        <w:pStyle w:val="NormalWeb"/>
        <w:spacing w:line="360" w:lineRule="auto"/>
        <w:jc w:val="both"/>
        <w:rPr>
          <w:lang w:val="en-US"/>
        </w:rPr>
      </w:pPr>
      <w:r w:rsidRPr="00CC6669">
        <w:rPr>
          <w:b/>
          <w:i/>
          <w:lang w:val="en-US"/>
        </w:rPr>
        <w:t>Women</w:t>
      </w:r>
      <w:r w:rsidR="00D257D7" w:rsidRPr="00CC6669">
        <w:rPr>
          <w:b/>
          <w:i/>
          <w:lang w:val="en-US"/>
        </w:rPr>
        <w:t>'</w:t>
      </w:r>
      <w:r w:rsidRPr="009925D0">
        <w:rPr>
          <w:b/>
          <w:i/>
          <w:lang w:val="en-US"/>
        </w:rPr>
        <w:t>s a</w:t>
      </w:r>
      <w:r w:rsidR="00C755E3" w:rsidRPr="008A77EC">
        <w:rPr>
          <w:b/>
          <w:i/>
          <w:lang w:val="en-US"/>
        </w:rPr>
        <w:t>ccess to health care</w:t>
      </w:r>
      <w:r w:rsidR="0016558E" w:rsidRPr="008A77EC">
        <w:rPr>
          <w:lang w:val="en-US"/>
        </w:rPr>
        <w:t xml:space="preserve"> </w:t>
      </w:r>
      <w:r w:rsidR="00C755E3" w:rsidRPr="00526D4F">
        <w:rPr>
          <w:lang w:val="en-US"/>
        </w:rPr>
        <w:t>is a basic</w:t>
      </w:r>
      <w:r w:rsidR="00F26E25" w:rsidRPr="00526D4F">
        <w:rPr>
          <w:lang w:val="en-US"/>
        </w:rPr>
        <w:t xml:space="preserve"> human</w:t>
      </w:r>
      <w:r w:rsidR="00C755E3" w:rsidRPr="00526D4F">
        <w:rPr>
          <w:lang w:val="en-US"/>
        </w:rPr>
        <w:t xml:space="preserve"> right under article 12 of the Convention and </w:t>
      </w:r>
      <w:r w:rsidR="00747433" w:rsidRPr="00BF5FCA">
        <w:rPr>
          <w:lang w:val="en-US"/>
        </w:rPr>
        <w:t>further elaborated</w:t>
      </w:r>
      <w:r w:rsidR="00C755E3" w:rsidRPr="00BF5FCA">
        <w:rPr>
          <w:lang w:val="en-US"/>
        </w:rPr>
        <w:t xml:space="preserve"> in General Recommendation</w:t>
      </w:r>
      <w:r w:rsidR="00C755E3" w:rsidRPr="000A3629">
        <w:rPr>
          <w:lang w:val="en-US"/>
        </w:rPr>
        <w:t xml:space="preserve"> </w:t>
      </w:r>
      <w:r w:rsidR="007C7F15" w:rsidRPr="000A3629">
        <w:rPr>
          <w:lang w:val="en-US"/>
        </w:rPr>
        <w:t>N</w:t>
      </w:r>
      <w:r w:rsidR="007043D6" w:rsidRPr="000A3629">
        <w:rPr>
          <w:lang w:val="en-US"/>
        </w:rPr>
        <w:t xml:space="preserve">o. </w:t>
      </w:r>
      <w:r w:rsidR="00C755E3" w:rsidRPr="000A3629">
        <w:rPr>
          <w:lang w:val="en-US"/>
        </w:rPr>
        <w:t>24</w:t>
      </w:r>
      <w:r w:rsidR="00010C9E" w:rsidRPr="000A3629">
        <w:rPr>
          <w:lang w:val="en-US"/>
        </w:rPr>
        <w:t xml:space="preserve"> (1999</w:t>
      </w:r>
      <w:r w:rsidR="00747433" w:rsidRPr="000A3629">
        <w:rPr>
          <w:lang w:val="en-US"/>
        </w:rPr>
        <w:t>)</w:t>
      </w:r>
      <w:r w:rsidR="00010C9E" w:rsidRPr="000A3629">
        <w:rPr>
          <w:lang w:val="en-US"/>
        </w:rPr>
        <w:t xml:space="preserve"> on women and health</w:t>
      </w:r>
      <w:r w:rsidR="00C702B8" w:rsidRPr="000A3629">
        <w:rPr>
          <w:lang w:val="en-US"/>
        </w:rPr>
        <w:t xml:space="preserve">, </w:t>
      </w:r>
      <w:r w:rsidR="006A3C4D" w:rsidRPr="000A3629">
        <w:rPr>
          <w:lang w:val="en-US"/>
        </w:rPr>
        <w:t xml:space="preserve">which </w:t>
      </w:r>
      <w:r w:rsidR="00747433" w:rsidRPr="000A3629">
        <w:rPr>
          <w:lang w:val="en-US"/>
        </w:rPr>
        <w:t xml:space="preserve">gives </w:t>
      </w:r>
      <w:r w:rsidR="006A3C4D" w:rsidRPr="000A3629">
        <w:rPr>
          <w:lang w:val="en-US"/>
        </w:rPr>
        <w:t xml:space="preserve">particular attention to </w:t>
      </w:r>
      <w:r w:rsidR="00C516EB" w:rsidRPr="000A3629">
        <w:rPr>
          <w:lang w:val="en-US"/>
        </w:rPr>
        <w:t xml:space="preserve">women </w:t>
      </w:r>
      <w:r w:rsidR="007E6DE7" w:rsidRPr="000A3629">
        <w:rPr>
          <w:lang w:val="en-US"/>
        </w:rPr>
        <w:t xml:space="preserve">with </w:t>
      </w:r>
      <w:r w:rsidR="00C702B8" w:rsidRPr="000A3629">
        <w:rPr>
          <w:lang w:val="en-US"/>
        </w:rPr>
        <w:t>HIV/AIDS</w:t>
      </w:r>
      <w:r w:rsidR="007E6DE7" w:rsidRPr="000A3629">
        <w:rPr>
          <w:lang w:val="en-US"/>
        </w:rPr>
        <w:t xml:space="preserve"> and</w:t>
      </w:r>
      <w:r w:rsidR="00C702B8" w:rsidRPr="000A3629">
        <w:rPr>
          <w:lang w:val="en-US"/>
        </w:rPr>
        <w:t xml:space="preserve"> women</w:t>
      </w:r>
      <w:r w:rsidR="006A3C4D" w:rsidRPr="000A3629">
        <w:rPr>
          <w:lang w:val="en-US"/>
        </w:rPr>
        <w:t xml:space="preserve"> with disabilities</w:t>
      </w:r>
      <w:r w:rsidR="00ED2D9D" w:rsidRPr="000A3629">
        <w:rPr>
          <w:lang w:val="en-US"/>
        </w:rPr>
        <w:t xml:space="preserve">. </w:t>
      </w:r>
      <w:r w:rsidR="00F26E25" w:rsidRPr="000A3629">
        <w:rPr>
          <w:lang w:val="en-US"/>
        </w:rPr>
        <w:t>The h</w:t>
      </w:r>
      <w:r w:rsidR="00ED2D9D" w:rsidRPr="000A3629">
        <w:rPr>
          <w:lang w:val="en-US"/>
        </w:rPr>
        <w:t>ealth-</w:t>
      </w:r>
      <w:r w:rsidR="002055D3" w:rsidRPr="000A3629">
        <w:rPr>
          <w:lang w:val="en-US"/>
        </w:rPr>
        <w:t xml:space="preserve">related aspects of </w:t>
      </w:r>
      <w:r w:rsidR="00747433" w:rsidRPr="000A3629">
        <w:rPr>
          <w:lang w:val="en-US"/>
        </w:rPr>
        <w:t xml:space="preserve">gender-based </w:t>
      </w:r>
      <w:r w:rsidR="00C702B8" w:rsidRPr="000A3629">
        <w:rPr>
          <w:lang w:val="en-US"/>
        </w:rPr>
        <w:t>violence against women</w:t>
      </w:r>
      <w:r w:rsidR="00C516EB" w:rsidRPr="000A3629">
        <w:rPr>
          <w:lang w:val="en-US"/>
        </w:rPr>
        <w:t>, harmful practices</w:t>
      </w:r>
      <w:r w:rsidR="00C702B8" w:rsidRPr="000A3629">
        <w:rPr>
          <w:lang w:val="en-US"/>
        </w:rPr>
        <w:t xml:space="preserve"> and </w:t>
      </w:r>
      <w:r w:rsidR="002055D3" w:rsidRPr="000A3629">
        <w:rPr>
          <w:lang w:val="en-US"/>
        </w:rPr>
        <w:t>in</w:t>
      </w:r>
      <w:r w:rsidR="00C702B8" w:rsidRPr="000A3629">
        <w:rPr>
          <w:lang w:val="en-US"/>
        </w:rPr>
        <w:t>equality in family relations</w:t>
      </w:r>
      <w:r w:rsidR="00C516EB" w:rsidRPr="000A3629">
        <w:rPr>
          <w:lang w:val="en-US"/>
        </w:rPr>
        <w:t xml:space="preserve"> </w:t>
      </w:r>
      <w:proofErr w:type="gramStart"/>
      <w:r w:rsidR="00C702B8" w:rsidRPr="000A3629">
        <w:rPr>
          <w:lang w:val="en-US"/>
        </w:rPr>
        <w:t xml:space="preserve">are </w:t>
      </w:r>
      <w:r w:rsidR="002055D3" w:rsidRPr="000A3629">
        <w:rPr>
          <w:lang w:val="en-US"/>
        </w:rPr>
        <w:t xml:space="preserve">also </w:t>
      </w:r>
      <w:r w:rsidR="006A3C4D" w:rsidRPr="000A3629">
        <w:rPr>
          <w:lang w:val="en-US"/>
        </w:rPr>
        <w:t>addressed</w:t>
      </w:r>
      <w:proofErr w:type="gramEnd"/>
      <w:r w:rsidR="006A3C4D" w:rsidRPr="000A3629">
        <w:rPr>
          <w:lang w:val="en-US"/>
        </w:rPr>
        <w:t xml:space="preserve"> </w:t>
      </w:r>
      <w:r w:rsidR="002055D3" w:rsidRPr="000A3629">
        <w:rPr>
          <w:lang w:val="en-US"/>
        </w:rPr>
        <w:t xml:space="preserve">under </w:t>
      </w:r>
      <w:r w:rsidR="00C702B8" w:rsidRPr="000A3629">
        <w:rPr>
          <w:lang w:val="en-US"/>
        </w:rPr>
        <w:t>article 12 of the Convention</w:t>
      </w:r>
      <w:r w:rsidR="00C755E3" w:rsidRPr="000A3629">
        <w:rPr>
          <w:lang w:val="en-US"/>
        </w:rPr>
        <w:t xml:space="preserve">. </w:t>
      </w:r>
      <w:r w:rsidR="000C047B" w:rsidRPr="000A3629">
        <w:rPr>
          <w:lang w:val="en-US"/>
        </w:rPr>
        <w:t xml:space="preserve">In this regard, the Committee </w:t>
      </w:r>
      <w:r w:rsidR="00C26621" w:rsidRPr="000A3629">
        <w:rPr>
          <w:lang w:val="en-US"/>
        </w:rPr>
        <w:t xml:space="preserve">consistently </w:t>
      </w:r>
      <w:r w:rsidR="00410512" w:rsidRPr="000A3629">
        <w:rPr>
          <w:lang w:val="en-US"/>
        </w:rPr>
        <w:t xml:space="preserve">monitors </w:t>
      </w:r>
      <w:r w:rsidR="00C26621" w:rsidRPr="000A3629">
        <w:rPr>
          <w:lang w:val="en-US"/>
        </w:rPr>
        <w:t>State</w:t>
      </w:r>
      <w:r w:rsidR="00A0277F" w:rsidRPr="000A3629">
        <w:rPr>
          <w:lang w:val="en-US"/>
        </w:rPr>
        <w:t>s</w:t>
      </w:r>
      <w:r w:rsidR="00ED2D9D" w:rsidRPr="000A3629">
        <w:rPr>
          <w:lang w:val="en-US"/>
        </w:rPr>
        <w:t xml:space="preserve"> parties</w:t>
      </w:r>
      <w:r w:rsidR="00C26621" w:rsidRPr="000A3629">
        <w:rPr>
          <w:lang w:val="en-US"/>
        </w:rPr>
        <w:t xml:space="preserve"> </w:t>
      </w:r>
      <w:r w:rsidR="00410512" w:rsidRPr="000A3629">
        <w:rPr>
          <w:lang w:val="en-US"/>
        </w:rPr>
        <w:t xml:space="preserve">in </w:t>
      </w:r>
      <w:r w:rsidR="00D257D7" w:rsidRPr="000A3629">
        <w:rPr>
          <w:lang w:val="en-US"/>
        </w:rPr>
        <w:t xml:space="preserve">connection to </w:t>
      </w:r>
      <w:r w:rsidR="000C047B" w:rsidRPr="000A3629">
        <w:rPr>
          <w:lang w:val="en-US"/>
        </w:rPr>
        <w:t>intersectional discrimination</w:t>
      </w:r>
      <w:r w:rsidR="00410512" w:rsidRPr="000A3629">
        <w:rPr>
          <w:lang w:val="en-US"/>
        </w:rPr>
        <w:t>s faced by women and girls</w:t>
      </w:r>
      <w:r w:rsidR="002D48F0" w:rsidRPr="000A3629">
        <w:rPr>
          <w:lang w:val="en-US"/>
        </w:rPr>
        <w:t xml:space="preserve">, such as migrant women, refugee and </w:t>
      </w:r>
      <w:r w:rsidR="00F26E25" w:rsidRPr="000A3629">
        <w:rPr>
          <w:lang w:val="en-US"/>
        </w:rPr>
        <w:t xml:space="preserve">internally displaced women, </w:t>
      </w:r>
      <w:r w:rsidR="00410512" w:rsidRPr="000A3629">
        <w:rPr>
          <w:lang w:val="en-US"/>
        </w:rPr>
        <w:t xml:space="preserve">rural women, </w:t>
      </w:r>
      <w:r w:rsidR="002D48F0" w:rsidRPr="000A3629">
        <w:rPr>
          <w:lang w:val="en-US"/>
        </w:rPr>
        <w:t>girl</w:t>
      </w:r>
      <w:r w:rsidR="00F26E25" w:rsidRPr="000A3629">
        <w:rPr>
          <w:lang w:val="en-US"/>
        </w:rPr>
        <w:t>s</w:t>
      </w:r>
      <w:r w:rsidR="002D48F0" w:rsidRPr="000A3629">
        <w:rPr>
          <w:lang w:val="en-US"/>
        </w:rPr>
        <w:t xml:space="preserve"> child</w:t>
      </w:r>
      <w:r w:rsidR="00F50E4F" w:rsidRPr="000A3629">
        <w:rPr>
          <w:lang w:val="en-US"/>
        </w:rPr>
        <w:t>, adolescent girls</w:t>
      </w:r>
      <w:r w:rsidR="00F26E25" w:rsidRPr="000A3629">
        <w:rPr>
          <w:lang w:val="en-US"/>
        </w:rPr>
        <w:t>, elderly</w:t>
      </w:r>
      <w:r w:rsidR="002D48F0" w:rsidRPr="000A3629">
        <w:rPr>
          <w:lang w:val="en-US"/>
        </w:rPr>
        <w:t xml:space="preserve"> women, women in prostitution, indigenous women</w:t>
      </w:r>
      <w:r w:rsidR="000C047B" w:rsidRPr="000A3629">
        <w:rPr>
          <w:lang w:val="en-US"/>
        </w:rPr>
        <w:t xml:space="preserve">, </w:t>
      </w:r>
      <w:r w:rsidR="002D48F0" w:rsidRPr="000A3629">
        <w:rPr>
          <w:lang w:val="en-US"/>
        </w:rPr>
        <w:t>women with disabilities</w:t>
      </w:r>
      <w:r w:rsidR="000C047B" w:rsidRPr="000A3629">
        <w:rPr>
          <w:lang w:val="en-US"/>
        </w:rPr>
        <w:t xml:space="preserve"> and lesbian, bisexual, trans</w:t>
      </w:r>
      <w:r w:rsidR="00410512" w:rsidRPr="000A3629">
        <w:rPr>
          <w:lang w:val="en-US"/>
        </w:rPr>
        <w:t>gender</w:t>
      </w:r>
      <w:r w:rsidR="000C047B" w:rsidRPr="000A3629">
        <w:rPr>
          <w:lang w:val="en-US"/>
        </w:rPr>
        <w:t xml:space="preserve"> and intersex women</w:t>
      </w:r>
      <w:r w:rsidR="00C46165" w:rsidRPr="000A3629">
        <w:rPr>
          <w:lang w:val="en-US"/>
        </w:rPr>
        <w:t xml:space="preserve"> (LBTI)</w:t>
      </w:r>
      <w:r w:rsidR="002D48F0" w:rsidRPr="000A3629">
        <w:rPr>
          <w:lang w:val="en-US"/>
        </w:rPr>
        <w:t>.</w:t>
      </w:r>
      <w:r w:rsidR="00747433" w:rsidRPr="000A3629">
        <w:rPr>
          <w:lang w:val="en-US"/>
        </w:rPr>
        <w:t xml:space="preserve"> In this regard, the Committee calls for </w:t>
      </w:r>
      <w:r w:rsidR="004D1DB8" w:rsidRPr="000A3629">
        <w:rPr>
          <w:lang w:val="en-US"/>
        </w:rPr>
        <w:t xml:space="preserve">all </w:t>
      </w:r>
      <w:r w:rsidR="00747433" w:rsidRPr="000A3629">
        <w:rPr>
          <w:lang w:val="en-US"/>
        </w:rPr>
        <w:t>women</w:t>
      </w:r>
      <w:r w:rsidR="00D257D7" w:rsidRPr="000A3629">
        <w:rPr>
          <w:lang w:val="en-US"/>
        </w:rPr>
        <w:t>'</w:t>
      </w:r>
      <w:r w:rsidR="00747433" w:rsidRPr="000A3629">
        <w:rPr>
          <w:lang w:val="en-US"/>
        </w:rPr>
        <w:t>s and girls</w:t>
      </w:r>
      <w:r w:rsidR="00D257D7" w:rsidRPr="000A3629">
        <w:rPr>
          <w:lang w:val="en-US"/>
        </w:rPr>
        <w:t>'</w:t>
      </w:r>
      <w:r w:rsidR="00747433" w:rsidRPr="000A3629">
        <w:rPr>
          <w:lang w:val="en-US"/>
        </w:rPr>
        <w:t xml:space="preserve"> autonomy </w:t>
      </w:r>
      <w:r w:rsidR="00410512" w:rsidRPr="000A3629">
        <w:rPr>
          <w:lang w:val="en-US"/>
        </w:rPr>
        <w:t>and access to information</w:t>
      </w:r>
      <w:r w:rsidR="004D1DB8" w:rsidRPr="000A3629">
        <w:rPr>
          <w:lang w:val="en-US"/>
        </w:rPr>
        <w:t xml:space="preserve"> and free and informed consent</w:t>
      </w:r>
      <w:r w:rsidR="00410512" w:rsidRPr="000A3629">
        <w:rPr>
          <w:lang w:val="en-US"/>
        </w:rPr>
        <w:t xml:space="preserve"> </w:t>
      </w:r>
      <w:r w:rsidR="00747433" w:rsidRPr="000A3629">
        <w:rPr>
          <w:lang w:val="en-US"/>
        </w:rPr>
        <w:t xml:space="preserve">to decide </w:t>
      </w:r>
      <w:r w:rsidR="00410512" w:rsidRPr="000A3629">
        <w:rPr>
          <w:lang w:val="en-US"/>
        </w:rPr>
        <w:t>over their bodies as well as</w:t>
      </w:r>
      <w:r w:rsidR="00C51B52" w:rsidRPr="000A3629">
        <w:rPr>
          <w:lang w:val="en-US"/>
        </w:rPr>
        <w:t xml:space="preserve"> </w:t>
      </w:r>
      <w:r w:rsidR="00BB13C1" w:rsidRPr="000A3629">
        <w:rPr>
          <w:lang w:val="en-US"/>
        </w:rPr>
        <w:t>all other healt</w:t>
      </w:r>
      <w:r w:rsidR="00410512" w:rsidRPr="000A3629">
        <w:rPr>
          <w:lang w:val="en-US"/>
        </w:rPr>
        <w:t xml:space="preserve">h-related matters. This </w:t>
      </w:r>
      <w:r w:rsidR="00410512" w:rsidRPr="000A3629">
        <w:rPr>
          <w:lang w:val="en-US"/>
        </w:rPr>
        <w:lastRenderedPageBreak/>
        <w:t>includes</w:t>
      </w:r>
      <w:r w:rsidR="00BB13C1" w:rsidRPr="000A3629">
        <w:rPr>
          <w:lang w:val="en-US"/>
        </w:rPr>
        <w:t xml:space="preserve"> </w:t>
      </w:r>
      <w:r w:rsidR="00074B96" w:rsidRPr="000A3629">
        <w:rPr>
          <w:lang w:val="en-US"/>
        </w:rPr>
        <w:t xml:space="preserve">universal access to sexual and reproductive health and reproductive rights, including </w:t>
      </w:r>
      <w:r w:rsidR="008D4DE4" w:rsidRPr="000A3629">
        <w:rPr>
          <w:lang w:val="en-US"/>
        </w:rPr>
        <w:t xml:space="preserve">for </w:t>
      </w:r>
      <w:r w:rsidR="00F26E25" w:rsidRPr="000A3629">
        <w:rPr>
          <w:lang w:val="en-US"/>
        </w:rPr>
        <w:t>elderly women,</w:t>
      </w:r>
      <w:r w:rsidR="00074B96" w:rsidRPr="000A3629">
        <w:rPr>
          <w:lang w:val="en-US"/>
        </w:rPr>
        <w:t xml:space="preserve"> girl</w:t>
      </w:r>
      <w:r w:rsidR="00F26E25" w:rsidRPr="000A3629">
        <w:rPr>
          <w:lang w:val="en-US"/>
        </w:rPr>
        <w:t>s</w:t>
      </w:r>
      <w:r w:rsidR="00074B96" w:rsidRPr="000A3629">
        <w:rPr>
          <w:lang w:val="en-US"/>
        </w:rPr>
        <w:t xml:space="preserve"> child, women with disabilities and L</w:t>
      </w:r>
      <w:r w:rsidR="008D4DE4" w:rsidRPr="000A3629">
        <w:rPr>
          <w:lang w:val="en-US"/>
        </w:rPr>
        <w:t>G</w:t>
      </w:r>
      <w:r w:rsidR="00074B96" w:rsidRPr="000A3629">
        <w:rPr>
          <w:lang w:val="en-US"/>
        </w:rPr>
        <w:t xml:space="preserve">BTI women. </w:t>
      </w:r>
      <w:proofErr w:type="gramStart"/>
      <w:r w:rsidR="00074B96" w:rsidRPr="000A3629">
        <w:rPr>
          <w:lang w:val="en-US"/>
        </w:rPr>
        <w:t>The Committee has acknowledged that violations of women's sexual and reproductive health and rights such as forced sterilization</w:t>
      </w:r>
      <w:r w:rsidR="008D4DE4" w:rsidRPr="000A3629">
        <w:rPr>
          <w:lang w:val="en-US"/>
        </w:rPr>
        <w:t xml:space="preserve"> and </w:t>
      </w:r>
      <w:r w:rsidR="00074B96" w:rsidRPr="000A3629">
        <w:rPr>
          <w:lang w:val="en-US"/>
        </w:rPr>
        <w:t xml:space="preserve">abortion, forced pregnancy, criminalization of abortion, denial or delay of safe abortion </w:t>
      </w:r>
      <w:r w:rsidR="00747433" w:rsidRPr="000A3629">
        <w:rPr>
          <w:lang w:val="en-US"/>
        </w:rPr>
        <w:t xml:space="preserve">services </w:t>
      </w:r>
      <w:r w:rsidR="00074B96" w:rsidRPr="000A3629">
        <w:rPr>
          <w:lang w:val="en-US"/>
        </w:rPr>
        <w:t xml:space="preserve">and/or post-abortion care, forced continuation of pregnancy, </w:t>
      </w:r>
      <w:r w:rsidR="00410512" w:rsidRPr="000A3629">
        <w:rPr>
          <w:lang w:val="en-US"/>
        </w:rPr>
        <w:t xml:space="preserve">obstetric violence, </w:t>
      </w:r>
      <w:r w:rsidR="003B3F7D" w:rsidRPr="000A3629">
        <w:rPr>
          <w:lang w:val="en-US"/>
        </w:rPr>
        <w:t xml:space="preserve">non-voluntary menstrual treatment and other forced treatments, </w:t>
      </w:r>
      <w:r w:rsidR="00074B96" w:rsidRPr="000A3629">
        <w:rPr>
          <w:lang w:val="en-US"/>
        </w:rPr>
        <w:t xml:space="preserve">and abuse and mistreatment of women and girls seeking sexual and reproductive health information, goods and services, are </w:t>
      </w:r>
      <w:r w:rsidR="00410512" w:rsidRPr="000A3629">
        <w:rPr>
          <w:lang w:val="en-US"/>
        </w:rPr>
        <w:t xml:space="preserve">all </w:t>
      </w:r>
      <w:r w:rsidR="00074B96" w:rsidRPr="000A3629">
        <w:rPr>
          <w:lang w:val="en-US"/>
        </w:rPr>
        <w:t>forms of gender-based violence</w:t>
      </w:r>
      <w:r w:rsidR="00410512" w:rsidRPr="000A3629">
        <w:rPr>
          <w:lang w:val="en-US"/>
        </w:rPr>
        <w:t>.</w:t>
      </w:r>
      <w:proofErr w:type="gramEnd"/>
      <w:r w:rsidR="00410512" w:rsidRPr="000A3629">
        <w:rPr>
          <w:lang w:val="en-US"/>
        </w:rPr>
        <w:t xml:space="preserve"> These</w:t>
      </w:r>
      <w:r w:rsidR="00F50E4F" w:rsidRPr="000A3629">
        <w:rPr>
          <w:lang w:val="en-US"/>
        </w:rPr>
        <w:t xml:space="preserve"> often stem from </w:t>
      </w:r>
      <w:r w:rsidR="00747433" w:rsidRPr="000A3629">
        <w:rPr>
          <w:lang w:val="en-US"/>
        </w:rPr>
        <w:t xml:space="preserve">discriminatory </w:t>
      </w:r>
      <w:r w:rsidR="00F50E4F" w:rsidRPr="000A3629">
        <w:rPr>
          <w:lang w:val="en-US"/>
        </w:rPr>
        <w:t>stereotypes and</w:t>
      </w:r>
      <w:r w:rsidR="00074B96" w:rsidRPr="000A3629">
        <w:rPr>
          <w:lang w:val="en-US"/>
        </w:rPr>
        <w:t xml:space="preserve">, </w:t>
      </w:r>
      <w:r w:rsidR="008D4DE4" w:rsidRPr="000A3629">
        <w:rPr>
          <w:lang w:val="en-US"/>
        </w:rPr>
        <w:t>in certain</w:t>
      </w:r>
      <w:r w:rsidR="00074B96" w:rsidRPr="000A3629">
        <w:rPr>
          <w:lang w:val="en-US"/>
        </w:rPr>
        <w:t xml:space="preserve"> circumstances, may amount to torture or cruel, inhuman or degrading treatment. The Com</w:t>
      </w:r>
      <w:r w:rsidR="00410512" w:rsidRPr="000A3629">
        <w:rPr>
          <w:lang w:val="en-US"/>
        </w:rPr>
        <w:t>mittee has also confirmed that failure</w:t>
      </w:r>
      <w:r w:rsidR="00074B96" w:rsidRPr="000A3629">
        <w:rPr>
          <w:lang w:val="en-US"/>
        </w:rPr>
        <w:t xml:space="preserve"> to </w:t>
      </w:r>
      <w:r w:rsidR="00410512" w:rsidRPr="000A3629">
        <w:rPr>
          <w:lang w:val="en-US"/>
        </w:rPr>
        <w:t>provide</w:t>
      </w:r>
      <w:r w:rsidR="00074B96" w:rsidRPr="000A3629">
        <w:rPr>
          <w:lang w:val="en-US"/>
        </w:rPr>
        <w:t xml:space="preserve"> reproductive health services </w:t>
      </w:r>
      <w:r w:rsidR="00747433" w:rsidRPr="000A3629">
        <w:rPr>
          <w:lang w:val="en-US"/>
        </w:rPr>
        <w:t xml:space="preserve">such as abortion </w:t>
      </w:r>
      <w:r w:rsidR="00074B96" w:rsidRPr="000A3629">
        <w:rPr>
          <w:lang w:val="en-US"/>
        </w:rPr>
        <w:t xml:space="preserve">is discriminatory </w:t>
      </w:r>
      <w:r w:rsidR="009D5A32" w:rsidRPr="000A3629">
        <w:rPr>
          <w:lang w:val="en-US"/>
        </w:rPr>
        <w:t xml:space="preserve">towards women </w:t>
      </w:r>
      <w:r w:rsidR="00410512" w:rsidRPr="000A3629">
        <w:rPr>
          <w:lang w:val="en-US"/>
        </w:rPr>
        <w:t>and</w:t>
      </w:r>
      <w:r w:rsidR="00074B96" w:rsidRPr="000A3629">
        <w:rPr>
          <w:lang w:val="en-US"/>
        </w:rPr>
        <w:t xml:space="preserve"> measures </w:t>
      </w:r>
      <w:proofErr w:type="gramStart"/>
      <w:r w:rsidR="00074B96" w:rsidRPr="000A3629">
        <w:rPr>
          <w:lang w:val="en-US"/>
        </w:rPr>
        <w:t>should be introduced</w:t>
      </w:r>
      <w:proofErr w:type="gramEnd"/>
      <w:r w:rsidR="00074B96" w:rsidRPr="000A3629">
        <w:rPr>
          <w:lang w:val="en-US"/>
        </w:rPr>
        <w:t xml:space="preserve"> to ensure that women are referred to alternative health providers in cases of conscientious objection.</w:t>
      </w:r>
    </w:p>
    <w:p w14:paraId="0CC816A6" w14:textId="22232B12" w:rsidR="00BE46B1" w:rsidRPr="00BF5FCA" w:rsidRDefault="00074B96" w:rsidP="00BF5FCA">
      <w:pPr>
        <w:spacing w:line="360" w:lineRule="auto"/>
        <w:jc w:val="both"/>
        <w:rPr>
          <w:rFonts w:ascii="Times New Roman" w:hAnsi="Times New Roman" w:cs="Times New Roman"/>
          <w:lang w:val="en-US"/>
        </w:rPr>
      </w:pPr>
      <w:proofErr w:type="gramStart"/>
      <w:r w:rsidRPr="00BF5FCA">
        <w:rPr>
          <w:rFonts w:ascii="Times New Roman" w:eastAsia="Times New Roman" w:hAnsi="Times New Roman" w:cs="Times New Roman"/>
          <w:i/>
          <w:lang w:val="en-US"/>
        </w:rPr>
        <w:t xml:space="preserve">Furthermore, </w:t>
      </w:r>
      <w:r w:rsidRPr="00BF5FCA">
        <w:rPr>
          <w:rFonts w:ascii="Times New Roman" w:eastAsia="Times New Roman" w:hAnsi="Times New Roman" w:cs="Times New Roman"/>
          <w:lang w:val="en-US"/>
        </w:rPr>
        <w:t xml:space="preserve">the </w:t>
      </w:r>
      <w:r w:rsidR="00747433" w:rsidRPr="00BF5FCA">
        <w:rPr>
          <w:rFonts w:ascii="Times New Roman" w:eastAsia="Times New Roman" w:hAnsi="Times New Roman" w:cs="Times New Roman"/>
          <w:lang w:val="en-US"/>
        </w:rPr>
        <w:t>Committee observed in its l</w:t>
      </w:r>
      <w:r w:rsidR="007C7F15" w:rsidRPr="00BF5FCA">
        <w:rPr>
          <w:rFonts w:ascii="Times New Roman" w:eastAsia="Times New Roman" w:hAnsi="Times New Roman" w:cs="Times New Roman"/>
          <w:lang w:val="en-US"/>
        </w:rPr>
        <w:t>andmark General Recommendation N</w:t>
      </w:r>
      <w:r w:rsidR="00747433" w:rsidRPr="00BF5FCA">
        <w:rPr>
          <w:rFonts w:ascii="Times New Roman" w:eastAsia="Times New Roman" w:hAnsi="Times New Roman" w:cs="Times New Roman"/>
          <w:lang w:val="en-US"/>
        </w:rPr>
        <w:t>o. 19 (1992) on violence against women and reaffirmed in its General Re</w:t>
      </w:r>
      <w:r w:rsidR="007C7F15" w:rsidRPr="00BF5FCA">
        <w:rPr>
          <w:rFonts w:ascii="Times New Roman" w:eastAsia="Times New Roman" w:hAnsi="Times New Roman" w:cs="Times New Roman"/>
          <w:lang w:val="en-US"/>
        </w:rPr>
        <w:t>commendation N</w:t>
      </w:r>
      <w:r w:rsidR="00747433" w:rsidRPr="00BF5FCA">
        <w:rPr>
          <w:rFonts w:ascii="Times New Roman" w:eastAsia="Times New Roman" w:hAnsi="Times New Roman" w:cs="Times New Roman"/>
          <w:lang w:val="en-US"/>
        </w:rPr>
        <w:t>o. 35 (2017) on gender-based violence against women</w:t>
      </w:r>
      <w:r w:rsidR="00410512" w:rsidRPr="00BF5FCA">
        <w:rPr>
          <w:rFonts w:ascii="Times New Roman" w:eastAsia="Times New Roman" w:hAnsi="Times New Roman" w:cs="Times New Roman"/>
          <w:lang w:val="en-US"/>
        </w:rPr>
        <w:t>,</w:t>
      </w:r>
      <w:r w:rsidR="00747433" w:rsidRPr="00BF5FCA">
        <w:rPr>
          <w:rFonts w:ascii="Times New Roman" w:eastAsia="Times New Roman" w:hAnsi="Times New Roman" w:cs="Times New Roman"/>
          <w:lang w:val="en-US"/>
        </w:rPr>
        <w:t xml:space="preserve"> </w:t>
      </w:r>
      <w:r w:rsidR="00BB13C1" w:rsidRPr="00BF5FCA">
        <w:rPr>
          <w:rFonts w:ascii="Times New Roman" w:eastAsia="Times New Roman" w:hAnsi="Times New Roman" w:cs="Times New Roman"/>
          <w:lang w:val="en-US"/>
        </w:rPr>
        <w:t xml:space="preserve">and in general recommendation No. 37 (2018) on the gender-related dimensions of disaster risk reduction in the context of climate change, </w:t>
      </w:r>
      <w:r w:rsidR="00747433" w:rsidRPr="00BF5FCA">
        <w:rPr>
          <w:rFonts w:ascii="Times New Roman" w:eastAsia="Times New Roman" w:hAnsi="Times New Roman" w:cs="Times New Roman"/>
          <w:lang w:val="en-US"/>
        </w:rPr>
        <w:t>that gender-based violence against women is a form</w:t>
      </w:r>
      <w:r w:rsidRPr="00BF5FCA">
        <w:rPr>
          <w:rFonts w:ascii="Times New Roman" w:eastAsia="Times New Roman" w:hAnsi="Times New Roman" w:cs="Times New Roman"/>
          <w:lang w:val="en-US"/>
        </w:rPr>
        <w:t xml:space="preserve"> of discrimination against women </w:t>
      </w:r>
      <w:r w:rsidR="00747433" w:rsidRPr="00BF5FCA">
        <w:rPr>
          <w:rFonts w:ascii="Times New Roman" w:eastAsia="Times New Roman" w:hAnsi="Times New Roman" w:cs="Times New Roman"/>
          <w:lang w:val="en-US"/>
        </w:rPr>
        <w:t>within the meaning of</w:t>
      </w:r>
      <w:r w:rsidRPr="00BF5FCA">
        <w:rPr>
          <w:rFonts w:ascii="Times New Roman" w:eastAsia="Times New Roman" w:hAnsi="Times New Roman" w:cs="Times New Roman"/>
          <w:lang w:val="en-US"/>
        </w:rPr>
        <w:t xml:space="preserve"> article 1 of the Convention.</w:t>
      </w:r>
      <w:proofErr w:type="gramEnd"/>
      <w:r w:rsidRPr="00BF5FCA">
        <w:rPr>
          <w:rFonts w:ascii="Times New Roman" w:eastAsia="Times New Roman" w:hAnsi="Times New Roman" w:cs="Times New Roman"/>
          <w:lang w:val="en-US"/>
        </w:rPr>
        <w:t xml:space="preserve"> </w:t>
      </w:r>
      <w:r w:rsidR="00747433" w:rsidRPr="00BF5FCA">
        <w:rPr>
          <w:rFonts w:ascii="Times New Roman" w:eastAsia="Times New Roman" w:hAnsi="Times New Roman" w:cs="Times New Roman"/>
          <w:lang w:val="en-US"/>
        </w:rPr>
        <w:t>Gender-based v</w:t>
      </w:r>
      <w:r w:rsidRPr="00BF5FCA">
        <w:rPr>
          <w:rFonts w:ascii="Times New Roman" w:eastAsia="Times New Roman" w:hAnsi="Times New Roman" w:cs="Times New Roman"/>
          <w:lang w:val="en-US"/>
        </w:rPr>
        <w:t xml:space="preserve">iolence is a critical obstacle to the achievement of substantive gender equality and to the enjoyment by women of their human rights and fundamental freedoms.  Most notably, the Committee recognizes violence against women as gender-based, rooted in gender-related factors, </w:t>
      </w:r>
      <w:r w:rsidR="001525DC" w:rsidRPr="00BF5FCA">
        <w:rPr>
          <w:rFonts w:ascii="Times New Roman" w:eastAsia="Times New Roman" w:hAnsi="Times New Roman" w:cs="Times New Roman"/>
          <w:lang w:val="en-US"/>
        </w:rPr>
        <w:t>and</w:t>
      </w:r>
      <w:r w:rsidRPr="00BF5FCA">
        <w:rPr>
          <w:rFonts w:ascii="Times New Roman" w:eastAsia="Times New Roman" w:hAnsi="Times New Roman" w:cs="Times New Roman"/>
          <w:lang w:val="en-US"/>
        </w:rPr>
        <w:t xml:space="preserve"> calls for the adoption and implementation of measures </w:t>
      </w:r>
      <w:r w:rsidR="00F26E25" w:rsidRPr="00BF5FCA">
        <w:rPr>
          <w:rFonts w:ascii="Times New Roman" w:eastAsia="Times New Roman" w:hAnsi="Times New Roman" w:cs="Times New Roman"/>
          <w:lang w:val="en-US"/>
        </w:rPr>
        <w:t>aimed at eradicating</w:t>
      </w:r>
      <w:r w:rsidRPr="00BF5FCA">
        <w:rPr>
          <w:rFonts w:ascii="Times New Roman" w:eastAsia="Times New Roman" w:hAnsi="Times New Roman" w:cs="Times New Roman"/>
          <w:lang w:val="en-US"/>
        </w:rPr>
        <w:t xml:space="preserve"> prejudices, stereotypes and </w:t>
      </w:r>
      <w:proofErr w:type="gramStart"/>
      <w:r w:rsidRPr="00BF5FCA">
        <w:rPr>
          <w:rFonts w:ascii="Times New Roman" w:eastAsia="Times New Roman" w:hAnsi="Times New Roman" w:cs="Times New Roman"/>
          <w:lang w:val="en-US"/>
        </w:rPr>
        <w:t>practices</w:t>
      </w:r>
      <w:r w:rsidR="00F26E25" w:rsidRPr="00BF5FCA">
        <w:rPr>
          <w:rFonts w:ascii="Times New Roman" w:eastAsia="Times New Roman" w:hAnsi="Times New Roman" w:cs="Times New Roman"/>
          <w:lang w:val="en-US"/>
        </w:rPr>
        <w:t xml:space="preserve"> which</w:t>
      </w:r>
      <w:proofErr w:type="gramEnd"/>
      <w:r w:rsidR="00F26E25" w:rsidRPr="00BF5FCA">
        <w:rPr>
          <w:rFonts w:ascii="Times New Roman" w:eastAsia="Times New Roman" w:hAnsi="Times New Roman" w:cs="Times New Roman"/>
          <w:lang w:val="en-US"/>
        </w:rPr>
        <w:t xml:space="preserve"> the Committee identifies as </w:t>
      </w:r>
      <w:r w:rsidR="001525DC" w:rsidRPr="00BF5FCA">
        <w:rPr>
          <w:rFonts w:ascii="Times New Roman" w:eastAsia="Times New Roman" w:hAnsi="Times New Roman" w:cs="Times New Roman"/>
          <w:lang w:val="en-US"/>
        </w:rPr>
        <w:t xml:space="preserve">its main </w:t>
      </w:r>
      <w:r w:rsidRPr="00BF5FCA">
        <w:rPr>
          <w:rFonts w:ascii="Times New Roman" w:eastAsia="Times New Roman" w:hAnsi="Times New Roman" w:cs="Times New Roman"/>
          <w:lang w:val="en-US"/>
        </w:rPr>
        <w:t>root causes.</w:t>
      </w:r>
      <w:r w:rsidR="004553FF" w:rsidRPr="00BF5FCA">
        <w:rPr>
          <w:rFonts w:ascii="Times New Roman" w:eastAsia="Times New Roman" w:hAnsi="Times New Roman" w:cs="Times New Roman"/>
          <w:i/>
          <w:lang w:val="en-US"/>
        </w:rPr>
        <w:t xml:space="preserve"> </w:t>
      </w:r>
      <w:r w:rsidR="004B63C9" w:rsidRPr="00BF5FCA">
        <w:rPr>
          <w:rFonts w:ascii="Times New Roman" w:hAnsi="Times New Roman" w:cs="Times New Roman"/>
          <w:lang w:val="en-US"/>
        </w:rPr>
        <w:t xml:space="preserve">The Committee has adopted four </w:t>
      </w:r>
      <w:r w:rsidR="000F430B" w:rsidRPr="00BF5FCA">
        <w:rPr>
          <w:rFonts w:ascii="Times New Roman" w:hAnsi="Times New Roman" w:cs="Times New Roman"/>
          <w:lang w:val="en-US"/>
        </w:rPr>
        <w:t xml:space="preserve">general </w:t>
      </w:r>
      <w:r w:rsidR="004B63C9" w:rsidRPr="00BF5FCA">
        <w:rPr>
          <w:rFonts w:ascii="Times New Roman" w:hAnsi="Times New Roman" w:cs="Times New Roman"/>
          <w:lang w:val="en-US"/>
        </w:rPr>
        <w:t xml:space="preserve">recommendations specifically addressing </w:t>
      </w:r>
      <w:r w:rsidR="00A97A0D" w:rsidRPr="00BF5FCA">
        <w:rPr>
          <w:rFonts w:ascii="Times New Roman" w:hAnsi="Times New Roman" w:cs="Times New Roman"/>
          <w:lang w:val="en-US"/>
        </w:rPr>
        <w:lastRenderedPageBreak/>
        <w:t xml:space="preserve">gender-based </w:t>
      </w:r>
      <w:r w:rsidR="004B63C9" w:rsidRPr="00BF5FCA">
        <w:rPr>
          <w:rFonts w:ascii="Times New Roman" w:hAnsi="Times New Roman" w:cs="Times New Roman"/>
          <w:lang w:val="en-US"/>
        </w:rPr>
        <w:t>violence</w:t>
      </w:r>
      <w:r w:rsidR="004B63C9" w:rsidRPr="00920229">
        <w:rPr>
          <w:rStyle w:val="FootnoteReference"/>
          <w:rFonts w:ascii="Times New Roman" w:hAnsi="Times New Roman" w:cs="Times New Roman"/>
          <w:lang w:val="en-US"/>
        </w:rPr>
        <w:footnoteReference w:id="3"/>
      </w:r>
      <w:r w:rsidR="001525DC" w:rsidRPr="00BF5FCA">
        <w:rPr>
          <w:rFonts w:ascii="Times New Roman" w:hAnsi="Times New Roman" w:cs="Times New Roman"/>
          <w:lang w:val="en-US"/>
        </w:rPr>
        <w:t xml:space="preserve"> and explored its </w:t>
      </w:r>
      <w:r w:rsidR="004B63C9" w:rsidRPr="00BF5FCA">
        <w:rPr>
          <w:rFonts w:ascii="Times New Roman" w:hAnsi="Times New Roman" w:cs="Times New Roman"/>
          <w:lang w:val="en-US"/>
        </w:rPr>
        <w:t>specific dimensions and dynamics</w:t>
      </w:r>
      <w:r w:rsidR="001525DC" w:rsidRPr="00BF5FCA">
        <w:rPr>
          <w:rFonts w:ascii="Times New Roman" w:hAnsi="Times New Roman" w:cs="Times New Roman"/>
          <w:lang w:val="en-US"/>
        </w:rPr>
        <w:t>,</w:t>
      </w:r>
      <w:r w:rsidR="004B63C9" w:rsidRPr="00920229">
        <w:rPr>
          <w:rStyle w:val="FootnoteReference"/>
          <w:rFonts w:ascii="Times New Roman" w:hAnsi="Times New Roman" w:cs="Times New Roman"/>
          <w:lang w:val="en-US"/>
        </w:rPr>
        <w:footnoteReference w:id="4"/>
      </w:r>
      <w:r w:rsidR="001525DC" w:rsidRPr="00BF5FCA">
        <w:rPr>
          <w:rFonts w:ascii="Times New Roman" w:hAnsi="Times New Roman" w:cs="Times New Roman"/>
          <w:lang w:val="en-US"/>
        </w:rPr>
        <w:t xml:space="preserve"> creating</w:t>
      </w:r>
      <w:r w:rsidR="008464C1" w:rsidRPr="00BF5FCA">
        <w:rPr>
          <w:rFonts w:ascii="Times New Roman" w:hAnsi="Times New Roman" w:cs="Times New Roman"/>
          <w:lang w:val="en-US"/>
        </w:rPr>
        <w:t xml:space="preserve"> a</w:t>
      </w:r>
      <w:r w:rsidRPr="00BF5FCA">
        <w:rPr>
          <w:rFonts w:ascii="Times New Roman" w:hAnsi="Times New Roman" w:cs="Times New Roman"/>
          <w:lang w:val="en-US"/>
        </w:rPr>
        <w:t xml:space="preserve"> comprehensive </w:t>
      </w:r>
      <w:r w:rsidR="001525DC" w:rsidRPr="00BF5FCA">
        <w:rPr>
          <w:rFonts w:ascii="Times New Roman" w:hAnsi="Times New Roman" w:cs="Times New Roman"/>
          <w:lang w:val="en-US"/>
        </w:rPr>
        <w:t xml:space="preserve">framework </w:t>
      </w:r>
      <w:r w:rsidR="00FA1FB9" w:rsidRPr="00BF5FCA">
        <w:rPr>
          <w:rFonts w:ascii="Times New Roman" w:hAnsi="Times New Roman" w:cs="Times New Roman"/>
          <w:lang w:val="en-US"/>
        </w:rPr>
        <w:t>to</w:t>
      </w:r>
      <w:r w:rsidR="00ED2D9D" w:rsidRPr="00BF5FCA">
        <w:rPr>
          <w:rFonts w:ascii="Times New Roman" w:hAnsi="Times New Roman" w:cs="Times New Roman"/>
          <w:lang w:val="en-US"/>
        </w:rPr>
        <w:t xml:space="preserve"> </w:t>
      </w:r>
      <w:r w:rsidR="00A97A0D" w:rsidRPr="00BF5FCA">
        <w:rPr>
          <w:rFonts w:ascii="Times New Roman" w:hAnsi="Times New Roman" w:cs="Times New Roman"/>
          <w:lang w:val="en-US"/>
        </w:rPr>
        <w:t xml:space="preserve">address </w:t>
      </w:r>
      <w:r w:rsidR="00FA1FB9" w:rsidRPr="00BF5FCA">
        <w:rPr>
          <w:rFonts w:ascii="Times New Roman" w:hAnsi="Times New Roman" w:cs="Times New Roman"/>
          <w:lang w:val="en-US"/>
        </w:rPr>
        <w:t xml:space="preserve">gender-based violence against women, including </w:t>
      </w:r>
      <w:r w:rsidR="00A97A0D" w:rsidRPr="00BF5FCA">
        <w:rPr>
          <w:rFonts w:ascii="Times New Roman" w:hAnsi="Times New Roman" w:cs="Times New Roman"/>
          <w:lang w:val="en-US"/>
        </w:rPr>
        <w:t>its</w:t>
      </w:r>
      <w:r w:rsidRPr="00BF5FCA">
        <w:rPr>
          <w:rFonts w:ascii="Times New Roman" w:hAnsi="Times New Roman" w:cs="Times New Roman"/>
          <w:lang w:val="en-US"/>
        </w:rPr>
        <w:t xml:space="preserve"> interrelated forms in </w:t>
      </w:r>
      <w:r w:rsidR="00FA1FB9" w:rsidRPr="00BF5FCA">
        <w:rPr>
          <w:rFonts w:ascii="Times New Roman" w:hAnsi="Times New Roman" w:cs="Times New Roman"/>
          <w:lang w:val="en-US"/>
        </w:rPr>
        <w:t>the</w:t>
      </w:r>
      <w:r w:rsidRPr="00BF5FCA">
        <w:rPr>
          <w:rFonts w:ascii="Times New Roman" w:hAnsi="Times New Roman" w:cs="Times New Roman"/>
          <w:lang w:val="en-US"/>
        </w:rPr>
        <w:t xml:space="preserve"> private </w:t>
      </w:r>
      <w:r w:rsidR="00A97A0D" w:rsidRPr="00BF5FCA">
        <w:rPr>
          <w:rFonts w:ascii="Times New Roman" w:hAnsi="Times New Roman" w:cs="Times New Roman"/>
          <w:lang w:val="en-US"/>
        </w:rPr>
        <w:t>and</w:t>
      </w:r>
      <w:r w:rsidRPr="00BF5FCA">
        <w:rPr>
          <w:rFonts w:ascii="Times New Roman" w:hAnsi="Times New Roman" w:cs="Times New Roman"/>
          <w:lang w:val="en-US"/>
        </w:rPr>
        <w:t xml:space="preserve"> public</w:t>
      </w:r>
      <w:r w:rsidR="00A97A0D" w:rsidRPr="00BF5FCA">
        <w:rPr>
          <w:rFonts w:ascii="Times New Roman" w:hAnsi="Times New Roman" w:cs="Times New Roman"/>
          <w:lang w:val="en-US"/>
        </w:rPr>
        <w:t xml:space="preserve"> </w:t>
      </w:r>
      <w:r w:rsidR="00FA1FB9" w:rsidRPr="00BF5FCA">
        <w:rPr>
          <w:rFonts w:ascii="Times New Roman" w:hAnsi="Times New Roman" w:cs="Times New Roman"/>
          <w:lang w:val="en-US"/>
        </w:rPr>
        <w:t>spheres</w:t>
      </w:r>
      <w:r w:rsidRPr="00BF5FCA">
        <w:rPr>
          <w:rFonts w:ascii="Times New Roman" w:hAnsi="Times New Roman" w:cs="Times New Roman"/>
          <w:lang w:val="en-US"/>
        </w:rPr>
        <w:t xml:space="preserve">. </w:t>
      </w:r>
      <w:r w:rsidR="00A97A0D" w:rsidRPr="00BF5FCA">
        <w:rPr>
          <w:rFonts w:ascii="Times New Roman" w:hAnsi="Times New Roman" w:cs="Times New Roman"/>
          <w:lang w:val="en-US"/>
        </w:rPr>
        <w:t xml:space="preserve">The Committee </w:t>
      </w:r>
      <w:r w:rsidRPr="00BF5FCA">
        <w:rPr>
          <w:rFonts w:ascii="Times New Roman" w:hAnsi="Times New Roman" w:cs="Times New Roman"/>
          <w:lang w:val="en-US"/>
        </w:rPr>
        <w:t>has also recognized that gender-based violence may affect some women to different degrees</w:t>
      </w:r>
      <w:r w:rsidR="008464C1" w:rsidRPr="00BF5FCA">
        <w:rPr>
          <w:rFonts w:ascii="Times New Roman" w:hAnsi="Times New Roman" w:cs="Times New Roman"/>
          <w:lang w:val="en-US"/>
        </w:rPr>
        <w:t xml:space="preserve"> and</w:t>
      </w:r>
      <w:r w:rsidRPr="00BF5FCA">
        <w:rPr>
          <w:rFonts w:ascii="Times New Roman" w:hAnsi="Times New Roman" w:cs="Times New Roman"/>
          <w:lang w:val="en-US"/>
        </w:rPr>
        <w:t xml:space="preserve"> ways</w:t>
      </w:r>
      <w:r w:rsidR="008464C1" w:rsidRPr="00BF5FCA">
        <w:rPr>
          <w:rFonts w:ascii="Times New Roman" w:hAnsi="Times New Roman" w:cs="Times New Roman"/>
          <w:lang w:val="en-US"/>
        </w:rPr>
        <w:t xml:space="preserve"> and that</w:t>
      </w:r>
      <w:r w:rsidRPr="00BF5FCA">
        <w:rPr>
          <w:rFonts w:ascii="Times New Roman" w:hAnsi="Times New Roman" w:cs="Times New Roman"/>
          <w:lang w:val="en-US"/>
        </w:rPr>
        <w:t xml:space="preserve"> appropriate</w:t>
      </w:r>
      <w:r w:rsidR="003B3F7D" w:rsidRPr="00BF5FCA">
        <w:rPr>
          <w:rFonts w:ascii="Times New Roman" w:hAnsi="Times New Roman" w:cs="Times New Roman"/>
          <w:lang w:val="en-US"/>
        </w:rPr>
        <w:t xml:space="preserve"> and inclusive</w:t>
      </w:r>
      <w:r w:rsidRPr="00BF5FCA">
        <w:rPr>
          <w:rFonts w:ascii="Times New Roman" w:hAnsi="Times New Roman" w:cs="Times New Roman"/>
          <w:lang w:val="en-US"/>
        </w:rPr>
        <w:t xml:space="preserve"> legal and policy </w:t>
      </w:r>
      <w:r w:rsidR="008464C1" w:rsidRPr="00BF5FCA">
        <w:rPr>
          <w:rFonts w:ascii="Times New Roman" w:hAnsi="Times New Roman" w:cs="Times New Roman"/>
          <w:lang w:val="en-US"/>
        </w:rPr>
        <w:t>measures</w:t>
      </w:r>
      <w:r w:rsidRPr="00BF5FCA">
        <w:rPr>
          <w:rFonts w:ascii="Times New Roman" w:hAnsi="Times New Roman" w:cs="Times New Roman"/>
          <w:lang w:val="en-US"/>
        </w:rPr>
        <w:t xml:space="preserve"> </w:t>
      </w:r>
      <w:proofErr w:type="gramStart"/>
      <w:r w:rsidR="008464C1" w:rsidRPr="00BF5FCA">
        <w:rPr>
          <w:rFonts w:ascii="Times New Roman" w:hAnsi="Times New Roman" w:cs="Times New Roman"/>
          <w:lang w:val="en-US"/>
        </w:rPr>
        <w:t>should be taken</w:t>
      </w:r>
      <w:proofErr w:type="gramEnd"/>
      <w:r w:rsidR="008464C1" w:rsidRPr="00BF5FCA">
        <w:rPr>
          <w:rFonts w:ascii="Times New Roman" w:hAnsi="Times New Roman" w:cs="Times New Roman"/>
          <w:lang w:val="en-US"/>
        </w:rPr>
        <w:t xml:space="preserve"> in this </w:t>
      </w:r>
      <w:r w:rsidR="00C51B52" w:rsidRPr="00BF5FCA">
        <w:rPr>
          <w:rFonts w:ascii="Times New Roman" w:hAnsi="Times New Roman" w:cs="Times New Roman"/>
          <w:lang w:val="en-US"/>
        </w:rPr>
        <w:t>regard</w:t>
      </w:r>
      <w:r w:rsidR="008464C1" w:rsidRPr="00BF5FCA">
        <w:rPr>
          <w:rFonts w:ascii="Times New Roman" w:hAnsi="Times New Roman" w:cs="Times New Roman"/>
          <w:lang w:val="en-US"/>
        </w:rPr>
        <w:t xml:space="preserve"> by States parties</w:t>
      </w:r>
      <w:r w:rsidR="008C466B" w:rsidRPr="00BF5FCA">
        <w:rPr>
          <w:rFonts w:ascii="Times New Roman" w:hAnsi="Times New Roman" w:cs="Times New Roman"/>
          <w:lang w:val="en-US"/>
        </w:rPr>
        <w:t>.</w:t>
      </w:r>
      <w:r w:rsidR="00197AD3" w:rsidRPr="008464C1">
        <w:rPr>
          <w:rStyle w:val="FootnoteReference"/>
          <w:rFonts w:ascii="Times New Roman" w:hAnsi="Times New Roman" w:cs="Times New Roman"/>
          <w:lang w:val="en-US"/>
        </w:rPr>
        <w:footnoteReference w:id="5"/>
      </w:r>
      <w:r w:rsidR="008C466B" w:rsidRPr="00BF5FCA">
        <w:rPr>
          <w:rFonts w:ascii="Times New Roman" w:hAnsi="Times New Roman" w:cs="Times New Roman"/>
          <w:lang w:val="en-US"/>
        </w:rPr>
        <w:t xml:space="preserve">  </w:t>
      </w:r>
    </w:p>
    <w:p w14:paraId="4927F650" w14:textId="1DBACB65" w:rsidR="00074B96" w:rsidRDefault="00074B96" w:rsidP="00BF5FCA">
      <w:pPr>
        <w:pStyle w:val="NormalWeb"/>
        <w:spacing w:line="360" w:lineRule="auto"/>
        <w:jc w:val="both"/>
        <w:rPr>
          <w:rFonts w:eastAsiaTheme="minorHAnsi"/>
          <w:lang w:val="en-US"/>
        </w:rPr>
      </w:pPr>
      <w:r w:rsidRPr="00074B96">
        <w:rPr>
          <w:rFonts w:eastAsiaTheme="minorHAnsi"/>
          <w:lang w:val="en-US"/>
        </w:rPr>
        <w:t xml:space="preserve">The commitment towards the eradication of all forms of </w:t>
      </w:r>
      <w:r w:rsidR="00FA1FB9">
        <w:rPr>
          <w:rFonts w:eastAsiaTheme="minorHAnsi"/>
          <w:lang w:val="en-US"/>
        </w:rPr>
        <w:t xml:space="preserve">gender-based </w:t>
      </w:r>
      <w:r w:rsidRPr="00074B96">
        <w:rPr>
          <w:rFonts w:eastAsiaTheme="minorHAnsi"/>
          <w:lang w:val="en-US"/>
        </w:rPr>
        <w:t xml:space="preserve">violence against women </w:t>
      </w:r>
      <w:r w:rsidR="003B2855">
        <w:rPr>
          <w:rFonts w:eastAsiaTheme="minorHAnsi"/>
          <w:lang w:val="en-US"/>
        </w:rPr>
        <w:t>is a priority for</w:t>
      </w:r>
      <w:r w:rsidR="00410512">
        <w:rPr>
          <w:rFonts w:eastAsiaTheme="minorHAnsi"/>
          <w:lang w:val="en-US"/>
        </w:rPr>
        <w:t xml:space="preserve"> CEDAW and for</w:t>
      </w:r>
      <w:r w:rsidRPr="00074B96">
        <w:rPr>
          <w:rFonts w:eastAsiaTheme="minorHAnsi"/>
          <w:lang w:val="en-US"/>
        </w:rPr>
        <w:t xml:space="preserve"> </w:t>
      </w:r>
      <w:r w:rsidR="003B2855">
        <w:rPr>
          <w:rFonts w:eastAsiaTheme="minorHAnsi"/>
          <w:lang w:val="en-US"/>
        </w:rPr>
        <w:t xml:space="preserve">the </w:t>
      </w:r>
      <w:r w:rsidRPr="00074B96">
        <w:rPr>
          <w:rFonts w:eastAsiaTheme="minorHAnsi"/>
          <w:lang w:val="en-US"/>
        </w:rPr>
        <w:t>U</w:t>
      </w:r>
      <w:r w:rsidR="003B2855">
        <w:rPr>
          <w:rFonts w:eastAsiaTheme="minorHAnsi"/>
          <w:lang w:val="en-US"/>
        </w:rPr>
        <w:t xml:space="preserve">nited </w:t>
      </w:r>
      <w:r w:rsidRPr="00074B96">
        <w:rPr>
          <w:rFonts w:eastAsiaTheme="minorHAnsi"/>
          <w:lang w:val="en-US"/>
        </w:rPr>
        <w:t>N</w:t>
      </w:r>
      <w:r w:rsidR="003B2855">
        <w:rPr>
          <w:rFonts w:eastAsiaTheme="minorHAnsi"/>
          <w:lang w:val="en-US"/>
        </w:rPr>
        <w:t>ations</w:t>
      </w:r>
      <w:r w:rsidRPr="00074B96">
        <w:rPr>
          <w:rFonts w:eastAsiaTheme="minorHAnsi"/>
          <w:lang w:val="en-US"/>
        </w:rPr>
        <w:t xml:space="preserve">. In this regard, the Committee is </w:t>
      </w:r>
      <w:r w:rsidR="00F50E4F" w:rsidRPr="00F50E4F">
        <w:rPr>
          <w:rFonts w:eastAsiaTheme="minorHAnsi"/>
          <w:lang w:val="en-US"/>
        </w:rPr>
        <w:t>building on harmonized synergy through a joint</w:t>
      </w:r>
      <w:r w:rsidRPr="00074B96">
        <w:rPr>
          <w:rFonts w:eastAsiaTheme="minorHAnsi"/>
          <w:lang w:val="en-US"/>
        </w:rPr>
        <w:t xml:space="preserve"> platform </w:t>
      </w:r>
      <w:r w:rsidR="00533D42">
        <w:rPr>
          <w:rFonts w:eastAsiaTheme="minorHAnsi"/>
          <w:lang w:val="en-US"/>
        </w:rPr>
        <w:t>with</w:t>
      </w:r>
      <w:r w:rsidR="00BB13C1">
        <w:rPr>
          <w:rFonts w:eastAsiaTheme="minorHAnsi"/>
          <w:lang w:val="en-US"/>
        </w:rPr>
        <w:t xml:space="preserve"> UN entities</w:t>
      </w:r>
      <w:r w:rsidR="00410512">
        <w:rPr>
          <w:rFonts w:eastAsiaTheme="minorHAnsi"/>
          <w:lang w:val="en-US"/>
        </w:rPr>
        <w:t xml:space="preserve"> and</w:t>
      </w:r>
      <w:r w:rsidR="00FA1FB9">
        <w:rPr>
          <w:rFonts w:eastAsiaTheme="minorHAnsi"/>
          <w:lang w:val="en-US"/>
        </w:rPr>
        <w:t xml:space="preserve"> other international and regional mechanisms to eliminate gender-based violence and discrimination against women,</w:t>
      </w:r>
      <w:r w:rsidR="00533D42">
        <w:rPr>
          <w:rFonts w:eastAsiaTheme="minorHAnsi"/>
          <w:lang w:val="en-US"/>
        </w:rPr>
        <w:t xml:space="preserve"> combining efforts to</w:t>
      </w:r>
      <w:r w:rsidR="00FA1FB9">
        <w:rPr>
          <w:rFonts w:eastAsiaTheme="minorHAnsi"/>
          <w:lang w:val="en-US"/>
        </w:rPr>
        <w:t xml:space="preserve"> </w:t>
      </w:r>
      <w:r w:rsidR="003B2855">
        <w:rPr>
          <w:rFonts w:eastAsiaTheme="minorHAnsi"/>
          <w:lang w:val="en-US"/>
        </w:rPr>
        <w:t>ensur</w:t>
      </w:r>
      <w:r w:rsidR="00533D42">
        <w:rPr>
          <w:rFonts w:eastAsiaTheme="minorHAnsi"/>
          <w:lang w:val="en-US"/>
        </w:rPr>
        <w:t>e</w:t>
      </w:r>
      <w:r w:rsidR="003B2855">
        <w:rPr>
          <w:rFonts w:eastAsiaTheme="minorHAnsi"/>
          <w:lang w:val="en-US"/>
        </w:rPr>
        <w:t xml:space="preserve"> the </w:t>
      </w:r>
      <w:r w:rsidRPr="00074B96">
        <w:rPr>
          <w:rFonts w:eastAsiaTheme="minorHAnsi"/>
          <w:lang w:val="en-US"/>
        </w:rPr>
        <w:t>implementation of women</w:t>
      </w:r>
      <w:r w:rsidR="00D257D7">
        <w:rPr>
          <w:rFonts w:eastAsiaTheme="minorHAnsi"/>
          <w:lang w:val="en-US"/>
        </w:rPr>
        <w:t>'</w:t>
      </w:r>
      <w:r w:rsidR="003B2855">
        <w:rPr>
          <w:rFonts w:eastAsiaTheme="minorHAnsi"/>
          <w:lang w:val="en-US"/>
        </w:rPr>
        <w:t>s</w:t>
      </w:r>
      <w:r w:rsidRPr="00074B96">
        <w:rPr>
          <w:rFonts w:eastAsiaTheme="minorHAnsi"/>
          <w:lang w:val="en-US"/>
        </w:rPr>
        <w:t xml:space="preserve"> human rights and </w:t>
      </w:r>
      <w:r w:rsidR="00533D42">
        <w:rPr>
          <w:rFonts w:eastAsiaTheme="minorHAnsi"/>
          <w:lang w:val="en-US"/>
        </w:rPr>
        <w:t xml:space="preserve">to </w:t>
      </w:r>
      <w:r w:rsidR="00FA1FB9">
        <w:rPr>
          <w:rFonts w:eastAsiaTheme="minorHAnsi"/>
          <w:lang w:val="en-US"/>
        </w:rPr>
        <w:t>address</w:t>
      </w:r>
      <w:r w:rsidRPr="00074B96">
        <w:rPr>
          <w:rFonts w:eastAsiaTheme="minorHAnsi"/>
          <w:lang w:val="en-US"/>
        </w:rPr>
        <w:t xml:space="preserve"> gender-based violence</w:t>
      </w:r>
      <w:r w:rsidR="003B2855">
        <w:rPr>
          <w:rFonts w:eastAsiaTheme="minorHAnsi"/>
          <w:lang w:val="en-US"/>
        </w:rPr>
        <w:t xml:space="preserve"> </w:t>
      </w:r>
      <w:r w:rsidR="00FA1FB9">
        <w:rPr>
          <w:rFonts w:eastAsiaTheme="minorHAnsi"/>
          <w:lang w:val="en-US"/>
        </w:rPr>
        <w:t xml:space="preserve">and discrimination </w:t>
      </w:r>
      <w:r w:rsidR="003B2855">
        <w:rPr>
          <w:rFonts w:eastAsiaTheme="minorHAnsi"/>
          <w:lang w:val="en-US"/>
        </w:rPr>
        <w:t>worldwide</w:t>
      </w:r>
      <w:r w:rsidRPr="00074B96">
        <w:rPr>
          <w:rFonts w:eastAsiaTheme="minorHAnsi"/>
          <w:lang w:val="en-US"/>
        </w:rPr>
        <w:t>.</w:t>
      </w:r>
    </w:p>
    <w:p w14:paraId="06544CB3" w14:textId="3D42CD78" w:rsidR="00F50E4F" w:rsidRDefault="009C6DAD" w:rsidP="00BF5FCA">
      <w:pPr>
        <w:pStyle w:val="NormalWeb"/>
        <w:spacing w:line="360" w:lineRule="auto"/>
        <w:jc w:val="both"/>
        <w:rPr>
          <w:rFonts w:eastAsiaTheme="minorHAnsi"/>
          <w:lang w:val="en-US"/>
        </w:rPr>
      </w:pPr>
      <w:r w:rsidRPr="000F430B">
        <w:rPr>
          <w:rFonts w:eastAsiaTheme="minorHAnsi"/>
          <w:i/>
          <w:lang w:val="en-US"/>
        </w:rPr>
        <w:t xml:space="preserve">In the field of </w:t>
      </w:r>
      <w:r w:rsidRPr="00B807A6">
        <w:rPr>
          <w:rFonts w:eastAsiaTheme="minorHAnsi"/>
          <w:b/>
          <w:i/>
          <w:lang w:val="en-US"/>
        </w:rPr>
        <w:t>w</w:t>
      </w:r>
      <w:r w:rsidR="00265DFA" w:rsidRPr="00B807A6">
        <w:rPr>
          <w:rFonts w:eastAsiaTheme="minorHAnsi"/>
          <w:b/>
          <w:i/>
          <w:lang w:val="en-US"/>
        </w:rPr>
        <w:t xml:space="preserve">omen and </w:t>
      </w:r>
      <w:r w:rsidRPr="00B807A6">
        <w:rPr>
          <w:rFonts w:eastAsiaTheme="minorHAnsi"/>
          <w:b/>
          <w:i/>
          <w:lang w:val="en-US"/>
        </w:rPr>
        <w:t>a</w:t>
      </w:r>
      <w:r w:rsidR="00265DFA" w:rsidRPr="00B807A6">
        <w:rPr>
          <w:rFonts w:eastAsiaTheme="minorHAnsi"/>
          <w:b/>
          <w:i/>
          <w:lang w:val="en-US"/>
        </w:rPr>
        <w:t xml:space="preserve">rmed </w:t>
      </w:r>
      <w:r w:rsidRPr="00BF4E51">
        <w:rPr>
          <w:rFonts w:eastAsiaTheme="minorHAnsi"/>
          <w:b/>
          <w:i/>
          <w:lang w:val="en-US"/>
        </w:rPr>
        <w:t>c</w:t>
      </w:r>
      <w:r w:rsidR="00265DFA" w:rsidRPr="00BF4E51">
        <w:rPr>
          <w:rFonts w:eastAsiaTheme="minorHAnsi"/>
          <w:b/>
          <w:i/>
          <w:lang w:val="en-US"/>
        </w:rPr>
        <w:t>onflict</w:t>
      </w:r>
      <w:r w:rsidR="00265DFA" w:rsidRPr="00BF4E51">
        <w:rPr>
          <w:rFonts w:eastAsiaTheme="minorHAnsi"/>
          <w:lang w:val="en-US"/>
        </w:rPr>
        <w:t xml:space="preserve">, </w:t>
      </w:r>
      <w:r w:rsidR="00F50E4F" w:rsidRPr="00BF4E51">
        <w:rPr>
          <w:rFonts w:eastAsiaTheme="minorHAnsi"/>
          <w:lang w:val="en-US"/>
        </w:rPr>
        <w:t>t</w:t>
      </w:r>
      <w:r w:rsidR="00074B96" w:rsidRPr="00BF4E51">
        <w:rPr>
          <w:rFonts w:eastAsiaTheme="minorHAnsi"/>
          <w:lang w:val="en-US"/>
        </w:rPr>
        <w:t>he Committee has recognized that</w:t>
      </w:r>
      <w:r w:rsidR="00F50E4F" w:rsidRPr="00BF4E51">
        <w:rPr>
          <w:rFonts w:eastAsiaTheme="minorHAnsi"/>
          <w:lang w:val="en-US"/>
        </w:rPr>
        <w:t xml:space="preserve"> United Nations Security Council Resolution</w:t>
      </w:r>
      <w:r w:rsidR="00074B96" w:rsidRPr="00BF4E51">
        <w:rPr>
          <w:rFonts w:eastAsiaTheme="minorHAnsi"/>
          <w:lang w:val="en-US"/>
        </w:rPr>
        <w:t xml:space="preserve"> 1325 (2000) on W</w:t>
      </w:r>
      <w:r w:rsidR="00BF4E51" w:rsidRPr="00BF4E51">
        <w:rPr>
          <w:rFonts w:eastAsiaTheme="minorHAnsi"/>
          <w:lang w:val="en-US"/>
        </w:rPr>
        <w:t xml:space="preserve">omen, </w:t>
      </w:r>
      <w:r w:rsidR="00074B96" w:rsidRPr="00BF4E51">
        <w:rPr>
          <w:rFonts w:eastAsiaTheme="minorHAnsi"/>
          <w:lang w:val="en-US"/>
        </w:rPr>
        <w:t>P</w:t>
      </w:r>
      <w:r w:rsidR="00BF4E51" w:rsidRPr="00BF4E51">
        <w:rPr>
          <w:rFonts w:eastAsiaTheme="minorHAnsi"/>
          <w:lang w:val="en-US"/>
        </w:rPr>
        <w:t xml:space="preserve">eace and </w:t>
      </w:r>
      <w:r w:rsidR="00074B96" w:rsidRPr="00BF4E51">
        <w:rPr>
          <w:rFonts w:eastAsiaTheme="minorHAnsi"/>
          <w:lang w:val="en-US"/>
        </w:rPr>
        <w:t>S</w:t>
      </w:r>
      <w:r w:rsidR="00BF4E51" w:rsidRPr="00BF4E51">
        <w:rPr>
          <w:rFonts w:eastAsiaTheme="minorHAnsi"/>
          <w:lang w:val="en-US"/>
        </w:rPr>
        <w:t>ecurity</w:t>
      </w:r>
      <w:r w:rsidR="00074B96" w:rsidRPr="00BF4E51">
        <w:rPr>
          <w:rFonts w:eastAsiaTheme="minorHAnsi"/>
          <w:lang w:val="en-US"/>
        </w:rPr>
        <w:t xml:space="preserve">, and subsequent </w:t>
      </w:r>
      <w:r w:rsidR="00C51B52">
        <w:rPr>
          <w:rFonts w:eastAsiaTheme="minorHAnsi"/>
          <w:lang w:val="en-US"/>
        </w:rPr>
        <w:t>resolutions</w:t>
      </w:r>
      <w:r w:rsidR="00074B96" w:rsidRPr="00BF4E51">
        <w:rPr>
          <w:rFonts w:eastAsiaTheme="minorHAnsi"/>
          <w:lang w:val="en-US"/>
        </w:rPr>
        <w:t>,</w:t>
      </w:r>
      <w:r w:rsidR="00533D42">
        <w:rPr>
          <w:rFonts w:eastAsiaTheme="minorHAnsi"/>
          <w:lang w:val="en-US"/>
        </w:rPr>
        <w:t xml:space="preserve"> provide an important </w:t>
      </w:r>
      <w:r w:rsidR="000F430B" w:rsidRPr="00BF4E51">
        <w:rPr>
          <w:rFonts w:eastAsiaTheme="minorHAnsi"/>
          <w:lang w:val="en-US"/>
        </w:rPr>
        <w:t xml:space="preserve">and structured </w:t>
      </w:r>
      <w:r w:rsidR="00074B96" w:rsidRPr="00BF4E51">
        <w:rPr>
          <w:rFonts w:eastAsiaTheme="minorHAnsi"/>
          <w:lang w:val="en-US"/>
        </w:rPr>
        <w:t>framework.</w:t>
      </w:r>
      <w:r w:rsidR="00074B96" w:rsidRPr="00074B96">
        <w:rPr>
          <w:rFonts w:eastAsiaTheme="minorHAnsi"/>
          <w:lang w:val="en-US"/>
        </w:rPr>
        <w:t xml:space="preserve"> </w:t>
      </w:r>
      <w:r w:rsidR="00B807A6" w:rsidRPr="00B807A6">
        <w:rPr>
          <w:rFonts w:eastAsiaTheme="minorHAnsi"/>
          <w:lang w:val="en-US"/>
        </w:rPr>
        <w:t xml:space="preserve">In 2013, the Committee adopted General Recommendation </w:t>
      </w:r>
      <w:r w:rsidR="007C7F15">
        <w:rPr>
          <w:rFonts w:eastAsiaTheme="minorHAnsi"/>
          <w:lang w:val="en-US"/>
        </w:rPr>
        <w:t>N</w:t>
      </w:r>
      <w:r w:rsidR="00B807A6">
        <w:rPr>
          <w:rFonts w:eastAsiaTheme="minorHAnsi"/>
          <w:lang w:val="en-US"/>
        </w:rPr>
        <w:t xml:space="preserve">o. </w:t>
      </w:r>
      <w:r w:rsidR="00B807A6" w:rsidRPr="00B807A6">
        <w:rPr>
          <w:rFonts w:eastAsiaTheme="minorHAnsi"/>
          <w:lang w:val="en-US"/>
        </w:rPr>
        <w:t xml:space="preserve">30 on women in conflict prevention, conflict and post-conflict situations, recognizing that </w:t>
      </w:r>
      <w:r w:rsidR="00533D42">
        <w:rPr>
          <w:rFonts w:eastAsiaTheme="minorHAnsi"/>
          <w:lang w:val="en-US"/>
        </w:rPr>
        <w:t>protecting women's human rights and</w:t>
      </w:r>
      <w:r w:rsidR="00B807A6" w:rsidRPr="00B807A6">
        <w:rPr>
          <w:rFonts w:eastAsiaTheme="minorHAnsi"/>
          <w:lang w:val="en-US"/>
        </w:rPr>
        <w:t xml:space="preserve"> advancing substantive gender equality before, during and after conflict </w:t>
      </w:r>
      <w:r w:rsidR="00533D42">
        <w:rPr>
          <w:rFonts w:eastAsiaTheme="minorHAnsi"/>
          <w:lang w:val="en-US"/>
        </w:rPr>
        <w:t xml:space="preserve">is necessary to </w:t>
      </w:r>
      <w:r w:rsidR="00B807A6" w:rsidRPr="00B807A6">
        <w:rPr>
          <w:rFonts w:eastAsiaTheme="minorHAnsi"/>
          <w:lang w:val="en-US"/>
        </w:rPr>
        <w:t>ensur</w:t>
      </w:r>
      <w:r w:rsidR="00533D42">
        <w:rPr>
          <w:rFonts w:eastAsiaTheme="minorHAnsi"/>
          <w:lang w:val="en-US"/>
        </w:rPr>
        <w:t>e</w:t>
      </w:r>
      <w:r w:rsidR="00B807A6" w:rsidRPr="00B807A6">
        <w:rPr>
          <w:rFonts w:eastAsiaTheme="minorHAnsi"/>
          <w:lang w:val="en-US"/>
        </w:rPr>
        <w:t xml:space="preserve"> that women's diverse experiences </w:t>
      </w:r>
      <w:proofErr w:type="gramStart"/>
      <w:r w:rsidR="00B807A6" w:rsidRPr="00B807A6">
        <w:rPr>
          <w:rFonts w:eastAsiaTheme="minorHAnsi"/>
          <w:lang w:val="en-US"/>
        </w:rPr>
        <w:t>are fully integrated</w:t>
      </w:r>
      <w:proofErr w:type="gramEnd"/>
      <w:r w:rsidR="00B807A6" w:rsidRPr="00B807A6">
        <w:rPr>
          <w:rFonts w:eastAsiaTheme="minorHAnsi"/>
          <w:lang w:val="en-US"/>
        </w:rPr>
        <w:t xml:space="preserve"> into all peacebuilding, peacemaking and reconstruction processes</w:t>
      </w:r>
      <w:r w:rsidR="00533D42">
        <w:rPr>
          <w:rFonts w:eastAsiaTheme="minorHAnsi"/>
          <w:lang w:val="en-US"/>
        </w:rPr>
        <w:t>.</w:t>
      </w:r>
      <w:r w:rsidR="00B807A6">
        <w:rPr>
          <w:rFonts w:eastAsiaTheme="minorHAnsi"/>
          <w:lang w:val="en-US"/>
        </w:rPr>
        <w:t xml:space="preserve"> </w:t>
      </w:r>
      <w:r w:rsidR="00B807A6" w:rsidRPr="00B807A6">
        <w:rPr>
          <w:rFonts w:eastAsiaTheme="minorHAnsi"/>
          <w:lang w:val="en-US"/>
        </w:rPr>
        <w:t>The prohibition of discrimination against women reinforces and complements the international legal pr</w:t>
      </w:r>
      <w:r w:rsidR="00BF4E51">
        <w:rPr>
          <w:rFonts w:eastAsiaTheme="minorHAnsi"/>
          <w:lang w:val="en-US"/>
        </w:rPr>
        <w:t>otection regime for refugees,</w:t>
      </w:r>
      <w:r w:rsidR="00B807A6" w:rsidRPr="00B807A6">
        <w:rPr>
          <w:rFonts w:eastAsiaTheme="minorHAnsi"/>
          <w:lang w:val="en-US"/>
        </w:rPr>
        <w:t xml:space="preserve"> displaced and stateless women and girls and international criminal law, including the definitions of </w:t>
      </w:r>
      <w:r w:rsidR="00B807A6" w:rsidRPr="00B807A6">
        <w:rPr>
          <w:rFonts w:eastAsiaTheme="minorHAnsi"/>
          <w:lang w:val="en-US"/>
        </w:rPr>
        <w:lastRenderedPageBreak/>
        <w:t>gender-based violence</w:t>
      </w:r>
      <w:r w:rsidR="00BF4E51">
        <w:rPr>
          <w:rFonts w:eastAsiaTheme="minorHAnsi"/>
          <w:lang w:val="en-US"/>
        </w:rPr>
        <w:t xml:space="preserve"> and</w:t>
      </w:r>
      <w:r w:rsidR="00B807A6" w:rsidRPr="00B807A6">
        <w:rPr>
          <w:rFonts w:eastAsiaTheme="minorHAnsi"/>
          <w:lang w:val="en-US"/>
        </w:rPr>
        <w:t xml:space="preserve"> sexual violence.  In this regard, the Committee has </w:t>
      </w:r>
      <w:r w:rsidR="00FA1FB9">
        <w:rPr>
          <w:rFonts w:eastAsiaTheme="minorHAnsi"/>
          <w:lang w:val="en-US"/>
        </w:rPr>
        <w:t>signed</w:t>
      </w:r>
      <w:r w:rsidR="00B807A6" w:rsidRPr="00B807A6">
        <w:rPr>
          <w:rFonts w:eastAsiaTheme="minorHAnsi"/>
          <w:lang w:val="en-US"/>
        </w:rPr>
        <w:t xml:space="preserve"> a </w:t>
      </w:r>
      <w:r w:rsidR="00BF4E51">
        <w:rPr>
          <w:rFonts w:eastAsiaTheme="minorHAnsi"/>
          <w:lang w:val="en-US"/>
        </w:rPr>
        <w:t>Cooperation Framework with the O</w:t>
      </w:r>
      <w:r w:rsidR="00B807A6" w:rsidRPr="00B807A6">
        <w:rPr>
          <w:rFonts w:eastAsiaTheme="minorHAnsi"/>
          <w:lang w:val="en-US"/>
        </w:rPr>
        <w:t>ffice of the Special Representative of the Secretary-General on Sexual Violence in Conflict.</w:t>
      </w:r>
    </w:p>
    <w:p w14:paraId="24E2B026" w14:textId="0DD7D8A6" w:rsidR="00721002" w:rsidRDefault="00533D42" w:rsidP="00BF5FCA">
      <w:pPr>
        <w:pStyle w:val="NormalWeb"/>
        <w:spacing w:line="360" w:lineRule="auto"/>
        <w:jc w:val="both"/>
        <w:rPr>
          <w:rFonts w:eastAsiaTheme="minorHAnsi"/>
          <w:lang w:val="en-US"/>
        </w:rPr>
      </w:pPr>
      <w:r>
        <w:rPr>
          <w:rFonts w:eastAsiaTheme="minorHAnsi"/>
          <w:lang w:val="en-US"/>
        </w:rPr>
        <w:t>By i</w:t>
      </w:r>
      <w:r w:rsidR="00074B96" w:rsidRPr="00074B96">
        <w:rPr>
          <w:rFonts w:eastAsiaTheme="minorHAnsi"/>
          <w:lang w:val="en-US"/>
        </w:rPr>
        <w:t>ncluding information</w:t>
      </w:r>
      <w:r>
        <w:rPr>
          <w:rFonts w:eastAsiaTheme="minorHAnsi"/>
          <w:lang w:val="en-US"/>
        </w:rPr>
        <w:t xml:space="preserve"> on the implementation of</w:t>
      </w:r>
      <w:r w:rsidR="00074B96" w:rsidRPr="00074B96">
        <w:rPr>
          <w:rFonts w:eastAsiaTheme="minorHAnsi"/>
          <w:lang w:val="en-US"/>
        </w:rPr>
        <w:t xml:space="preserve"> </w:t>
      </w:r>
      <w:r w:rsidR="000069AC">
        <w:rPr>
          <w:rFonts w:eastAsiaTheme="minorHAnsi"/>
          <w:lang w:val="en-US"/>
        </w:rPr>
        <w:t>WPS resolutions</w:t>
      </w:r>
      <w:r w:rsidR="00074B96" w:rsidRPr="00074B96">
        <w:rPr>
          <w:rFonts w:eastAsiaTheme="minorHAnsi"/>
          <w:lang w:val="en-US"/>
        </w:rPr>
        <w:t xml:space="preserve"> in the CEDAW reporting procedure</w:t>
      </w:r>
      <w:r>
        <w:rPr>
          <w:rFonts w:eastAsiaTheme="minorHAnsi"/>
          <w:lang w:val="en-US"/>
        </w:rPr>
        <w:t xml:space="preserve">, </w:t>
      </w:r>
      <w:r w:rsidR="009925D0">
        <w:rPr>
          <w:rFonts w:eastAsiaTheme="minorHAnsi"/>
          <w:lang w:val="en-US"/>
        </w:rPr>
        <w:t xml:space="preserve">the Committee </w:t>
      </w:r>
      <w:r w:rsidR="00074B96" w:rsidRPr="00074B96">
        <w:rPr>
          <w:rFonts w:eastAsiaTheme="minorHAnsi"/>
          <w:lang w:val="en-US"/>
        </w:rPr>
        <w:t>consolidate</w:t>
      </w:r>
      <w:r w:rsidR="009925D0">
        <w:rPr>
          <w:rFonts w:eastAsiaTheme="minorHAnsi"/>
          <w:lang w:val="en-US"/>
        </w:rPr>
        <w:t>s</w:t>
      </w:r>
      <w:r w:rsidR="00074B96" w:rsidRPr="00074B96">
        <w:rPr>
          <w:rFonts w:eastAsiaTheme="minorHAnsi"/>
          <w:lang w:val="en-US"/>
        </w:rPr>
        <w:t xml:space="preserve"> both the Convention and the </w:t>
      </w:r>
      <w:r w:rsidR="00BF4E51">
        <w:rPr>
          <w:rFonts w:eastAsiaTheme="minorHAnsi"/>
          <w:lang w:val="en-US"/>
        </w:rPr>
        <w:t xml:space="preserve">Security </w:t>
      </w:r>
      <w:r w:rsidR="00074B96" w:rsidRPr="00074B96">
        <w:rPr>
          <w:rFonts w:eastAsiaTheme="minorHAnsi"/>
          <w:lang w:val="en-US"/>
        </w:rPr>
        <w:t>Council</w:t>
      </w:r>
      <w:r w:rsidR="00D257D7">
        <w:rPr>
          <w:rFonts w:eastAsiaTheme="minorHAnsi"/>
          <w:lang w:val="en-US"/>
        </w:rPr>
        <w:t>'</w:t>
      </w:r>
      <w:r w:rsidR="00BF4E51">
        <w:rPr>
          <w:rFonts w:eastAsiaTheme="minorHAnsi"/>
          <w:lang w:val="en-US"/>
        </w:rPr>
        <w:t>s Agenda</w:t>
      </w:r>
      <w:r w:rsidR="00074B96" w:rsidRPr="00074B96">
        <w:rPr>
          <w:rFonts w:eastAsiaTheme="minorHAnsi"/>
          <w:lang w:val="en-US"/>
        </w:rPr>
        <w:t xml:space="preserve">, </w:t>
      </w:r>
      <w:r>
        <w:rPr>
          <w:rFonts w:eastAsiaTheme="minorHAnsi"/>
          <w:lang w:val="en-US"/>
        </w:rPr>
        <w:t xml:space="preserve">by </w:t>
      </w:r>
      <w:r w:rsidR="00074B96" w:rsidRPr="00074B96">
        <w:rPr>
          <w:rFonts w:eastAsiaTheme="minorHAnsi"/>
          <w:lang w:val="en-US"/>
        </w:rPr>
        <w:t xml:space="preserve">broadening, strengthening and operationalizing gender equality. To </w:t>
      </w:r>
      <w:r w:rsidR="00B807A6">
        <w:rPr>
          <w:rFonts w:eastAsiaTheme="minorHAnsi"/>
          <w:lang w:val="en-US"/>
        </w:rPr>
        <w:t>this</w:t>
      </w:r>
      <w:r w:rsidR="00074B96" w:rsidRPr="00074B96">
        <w:rPr>
          <w:rFonts w:eastAsiaTheme="minorHAnsi"/>
          <w:lang w:val="en-US"/>
        </w:rPr>
        <w:t xml:space="preserve"> end, the </w:t>
      </w:r>
      <w:r w:rsidR="00BF4E51">
        <w:rPr>
          <w:rFonts w:eastAsiaTheme="minorHAnsi"/>
          <w:lang w:val="en-US"/>
        </w:rPr>
        <w:t xml:space="preserve">Committee </w:t>
      </w:r>
      <w:r w:rsidR="00FA1FB9">
        <w:rPr>
          <w:rFonts w:eastAsiaTheme="minorHAnsi"/>
          <w:lang w:val="en-US"/>
        </w:rPr>
        <w:t>commends</w:t>
      </w:r>
      <w:r w:rsidR="00BF4E51">
        <w:rPr>
          <w:rFonts w:eastAsiaTheme="minorHAnsi"/>
          <w:lang w:val="en-US"/>
        </w:rPr>
        <w:t xml:space="preserve"> the </w:t>
      </w:r>
      <w:r w:rsidR="00074B96" w:rsidRPr="00074B96">
        <w:rPr>
          <w:rFonts w:eastAsiaTheme="minorHAnsi"/>
          <w:lang w:val="en-US"/>
        </w:rPr>
        <w:t xml:space="preserve">2015 Guidebook </w:t>
      </w:r>
      <w:r w:rsidR="00FA1FB9">
        <w:rPr>
          <w:rFonts w:eastAsiaTheme="minorHAnsi"/>
          <w:lang w:val="en-US"/>
        </w:rPr>
        <w:t>of UN Women</w:t>
      </w:r>
      <w:r>
        <w:rPr>
          <w:rFonts w:eastAsiaTheme="minorHAnsi"/>
          <w:lang w:val="en-US"/>
        </w:rPr>
        <w:t xml:space="preserve">, which </w:t>
      </w:r>
      <w:r w:rsidR="00B807A6" w:rsidRPr="00B807A6">
        <w:rPr>
          <w:rFonts w:eastAsiaTheme="minorHAnsi"/>
          <w:lang w:val="en-US"/>
        </w:rPr>
        <w:t>elaborat</w:t>
      </w:r>
      <w:r>
        <w:rPr>
          <w:rFonts w:eastAsiaTheme="minorHAnsi"/>
          <w:lang w:val="en-US"/>
        </w:rPr>
        <w:t>es</w:t>
      </w:r>
      <w:r w:rsidR="00B807A6" w:rsidRPr="00B807A6">
        <w:rPr>
          <w:rFonts w:eastAsiaTheme="minorHAnsi"/>
          <w:lang w:val="en-US"/>
        </w:rPr>
        <w:t xml:space="preserve"> </w:t>
      </w:r>
      <w:r w:rsidR="00B807A6">
        <w:rPr>
          <w:rFonts w:eastAsiaTheme="minorHAnsi"/>
          <w:lang w:val="en-US"/>
        </w:rPr>
        <w:t xml:space="preserve">on </w:t>
      </w:r>
      <w:r w:rsidR="00B807A6" w:rsidRPr="00B807A6">
        <w:rPr>
          <w:rFonts w:eastAsiaTheme="minorHAnsi"/>
          <w:lang w:val="en-US"/>
        </w:rPr>
        <w:t xml:space="preserve">the use of general recommendation </w:t>
      </w:r>
      <w:r w:rsidR="007C7F15">
        <w:rPr>
          <w:rFonts w:eastAsiaTheme="minorHAnsi"/>
          <w:lang w:val="en-US"/>
        </w:rPr>
        <w:t>N</w:t>
      </w:r>
      <w:r w:rsidR="00B807A6">
        <w:rPr>
          <w:rFonts w:eastAsiaTheme="minorHAnsi"/>
          <w:lang w:val="en-US"/>
        </w:rPr>
        <w:t xml:space="preserve">o. </w:t>
      </w:r>
      <w:r w:rsidR="00B807A6" w:rsidRPr="00B807A6">
        <w:rPr>
          <w:rFonts w:eastAsiaTheme="minorHAnsi"/>
          <w:lang w:val="en-US"/>
        </w:rPr>
        <w:t xml:space="preserve">30 </w:t>
      </w:r>
      <w:r w:rsidR="00074B96" w:rsidRPr="00074B96">
        <w:rPr>
          <w:rFonts w:eastAsiaTheme="minorHAnsi"/>
          <w:lang w:val="en-US"/>
        </w:rPr>
        <w:t>and the UN Security Council resolutions on WPS</w:t>
      </w:r>
      <w:r w:rsidR="00BF4E51">
        <w:rPr>
          <w:rFonts w:eastAsiaTheme="minorHAnsi"/>
          <w:lang w:val="en-US"/>
        </w:rPr>
        <w:t>, which</w:t>
      </w:r>
      <w:r w:rsidR="00074B96" w:rsidRPr="00074B96">
        <w:rPr>
          <w:rFonts w:eastAsiaTheme="minorHAnsi"/>
          <w:lang w:val="en-US"/>
        </w:rPr>
        <w:t xml:space="preserve"> include</w:t>
      </w:r>
      <w:r w:rsidR="00BF4E51">
        <w:rPr>
          <w:rFonts w:eastAsiaTheme="minorHAnsi"/>
          <w:lang w:val="en-US"/>
        </w:rPr>
        <w:t>s</w:t>
      </w:r>
      <w:r w:rsidR="00074B96" w:rsidRPr="00074B96">
        <w:rPr>
          <w:rFonts w:eastAsiaTheme="minorHAnsi"/>
          <w:lang w:val="en-US"/>
        </w:rPr>
        <w:t xml:space="preserve"> a che</w:t>
      </w:r>
      <w:r w:rsidR="00ED2D9D">
        <w:rPr>
          <w:rFonts w:eastAsiaTheme="minorHAnsi"/>
          <w:lang w:val="en-US"/>
        </w:rPr>
        <w:t xml:space="preserve">cklist of questions </w:t>
      </w:r>
      <w:r w:rsidR="00BF4E51">
        <w:rPr>
          <w:rFonts w:eastAsiaTheme="minorHAnsi"/>
          <w:lang w:val="en-US"/>
        </w:rPr>
        <w:t xml:space="preserve">that will guide States parties to report </w:t>
      </w:r>
      <w:r w:rsidR="006310C0">
        <w:rPr>
          <w:rFonts w:eastAsiaTheme="minorHAnsi"/>
          <w:lang w:val="en-US"/>
        </w:rPr>
        <w:t>systematically</w:t>
      </w:r>
      <w:r>
        <w:rPr>
          <w:rFonts w:eastAsiaTheme="minorHAnsi"/>
          <w:lang w:val="en-US"/>
        </w:rPr>
        <w:t xml:space="preserve"> on the WPS agenda and </w:t>
      </w:r>
      <w:r w:rsidR="00BF4E51">
        <w:rPr>
          <w:rFonts w:eastAsiaTheme="minorHAnsi"/>
          <w:lang w:val="en-US"/>
        </w:rPr>
        <w:t>enhance their</w:t>
      </w:r>
      <w:r w:rsidR="00B807A6">
        <w:rPr>
          <w:rFonts w:eastAsiaTheme="minorHAnsi"/>
          <w:lang w:val="en-US"/>
        </w:rPr>
        <w:t xml:space="preserve"> accountability, </w:t>
      </w:r>
      <w:r w:rsidR="00B807A6" w:rsidRPr="00B807A6">
        <w:rPr>
          <w:rFonts w:eastAsiaTheme="minorHAnsi"/>
          <w:lang w:val="en-US"/>
        </w:rPr>
        <w:t xml:space="preserve">particularly </w:t>
      </w:r>
      <w:r>
        <w:rPr>
          <w:rFonts w:eastAsiaTheme="minorHAnsi"/>
          <w:lang w:val="en-US"/>
        </w:rPr>
        <w:t>in relation to</w:t>
      </w:r>
      <w:r w:rsidR="00B807A6" w:rsidRPr="00B807A6">
        <w:rPr>
          <w:rFonts w:eastAsiaTheme="minorHAnsi"/>
          <w:lang w:val="en-US"/>
        </w:rPr>
        <w:t xml:space="preserve"> conflict </w:t>
      </w:r>
      <w:r w:rsidR="006310C0">
        <w:rPr>
          <w:rFonts w:eastAsiaTheme="minorHAnsi"/>
          <w:lang w:val="en-US"/>
        </w:rPr>
        <w:t>or</w:t>
      </w:r>
      <w:r w:rsidR="00B807A6" w:rsidRPr="00B807A6">
        <w:rPr>
          <w:rFonts w:eastAsiaTheme="minorHAnsi"/>
          <w:lang w:val="en-US"/>
        </w:rPr>
        <w:t xml:space="preserve"> post</w:t>
      </w:r>
      <w:r w:rsidR="006310C0">
        <w:rPr>
          <w:rFonts w:eastAsiaTheme="minorHAnsi"/>
          <w:lang w:val="en-US"/>
        </w:rPr>
        <w:t>-</w:t>
      </w:r>
      <w:r w:rsidR="00B807A6" w:rsidRPr="00B807A6">
        <w:rPr>
          <w:rFonts w:eastAsiaTheme="minorHAnsi"/>
          <w:lang w:val="en-US"/>
        </w:rPr>
        <w:t>conflict situation</w:t>
      </w:r>
      <w:r w:rsidR="006310C0">
        <w:rPr>
          <w:rFonts w:eastAsiaTheme="minorHAnsi"/>
          <w:lang w:val="en-US"/>
        </w:rPr>
        <w:t>s</w:t>
      </w:r>
      <w:r w:rsidR="00074B96" w:rsidRPr="00074B96">
        <w:rPr>
          <w:rFonts w:eastAsiaTheme="minorHAnsi"/>
          <w:lang w:val="en-US"/>
        </w:rPr>
        <w:t>.</w:t>
      </w:r>
    </w:p>
    <w:p w14:paraId="3F8A41E4" w14:textId="77777777" w:rsidR="00BF5FCA" w:rsidRDefault="00DC32A5" w:rsidP="00BF5FCA">
      <w:pPr>
        <w:spacing w:line="360" w:lineRule="auto"/>
        <w:jc w:val="both"/>
        <w:rPr>
          <w:rFonts w:ascii="Times New Roman" w:hAnsi="Times New Roman" w:cs="Times New Roman"/>
          <w:lang w:val="en-US"/>
        </w:rPr>
      </w:pPr>
      <w:r w:rsidRPr="00BF5FCA">
        <w:rPr>
          <w:rFonts w:ascii="Times New Roman" w:hAnsi="Times New Roman" w:cs="Times New Roman"/>
          <w:i/>
          <w:lang w:val="en-US"/>
        </w:rPr>
        <w:t xml:space="preserve">On </w:t>
      </w:r>
      <w:r w:rsidR="00074B96" w:rsidRPr="00BF5FCA">
        <w:rPr>
          <w:rFonts w:ascii="Times New Roman" w:hAnsi="Times New Roman" w:cs="Times New Roman"/>
          <w:b/>
          <w:i/>
          <w:lang w:val="en-US"/>
        </w:rPr>
        <w:t>women's</w:t>
      </w:r>
      <w:r w:rsidR="00BB13C1" w:rsidRPr="00BF5FCA">
        <w:rPr>
          <w:rFonts w:ascii="Times New Roman" w:hAnsi="Times New Roman" w:cs="Times New Roman"/>
          <w:b/>
          <w:i/>
          <w:lang w:val="en-US"/>
        </w:rPr>
        <w:t xml:space="preserve"> equal</w:t>
      </w:r>
      <w:r w:rsidR="00074B96" w:rsidRPr="00BF5FCA">
        <w:rPr>
          <w:rFonts w:ascii="Times New Roman" w:hAnsi="Times New Roman" w:cs="Times New Roman"/>
          <w:b/>
          <w:i/>
          <w:lang w:val="en-US"/>
        </w:rPr>
        <w:t xml:space="preserve"> participation in politic</w:t>
      </w:r>
      <w:r w:rsidR="006310C0" w:rsidRPr="00BF5FCA">
        <w:rPr>
          <w:rFonts w:ascii="Times New Roman" w:hAnsi="Times New Roman" w:cs="Times New Roman"/>
          <w:b/>
          <w:i/>
          <w:lang w:val="en-US"/>
        </w:rPr>
        <w:t>al</w:t>
      </w:r>
      <w:r w:rsidR="00074B96" w:rsidRPr="00BF5FCA">
        <w:rPr>
          <w:rFonts w:ascii="Times New Roman" w:hAnsi="Times New Roman" w:cs="Times New Roman"/>
          <w:b/>
          <w:i/>
          <w:lang w:val="en-US"/>
        </w:rPr>
        <w:t xml:space="preserve"> and public life</w:t>
      </w:r>
      <w:r w:rsidRPr="00BF5FCA">
        <w:rPr>
          <w:rFonts w:ascii="Times New Roman" w:hAnsi="Times New Roman" w:cs="Times New Roman"/>
          <w:lang w:val="en-US"/>
        </w:rPr>
        <w:t>, through its</w:t>
      </w:r>
      <w:r w:rsidR="00074B96" w:rsidRPr="00BF5FCA">
        <w:rPr>
          <w:rFonts w:ascii="Times New Roman" w:hAnsi="Times New Roman" w:cs="Times New Roman"/>
          <w:lang w:val="en-US"/>
        </w:rPr>
        <w:t xml:space="preserve"> General Recommendation </w:t>
      </w:r>
      <w:r w:rsidR="007C7F15" w:rsidRPr="00BF5FCA">
        <w:rPr>
          <w:rFonts w:ascii="Times New Roman" w:hAnsi="Times New Roman" w:cs="Times New Roman"/>
          <w:lang w:val="en-US"/>
        </w:rPr>
        <w:t>N</w:t>
      </w:r>
      <w:r w:rsidRPr="00BF5FCA">
        <w:rPr>
          <w:rFonts w:ascii="Times New Roman" w:hAnsi="Times New Roman" w:cs="Times New Roman"/>
          <w:lang w:val="en-US"/>
        </w:rPr>
        <w:t xml:space="preserve">o. </w:t>
      </w:r>
      <w:r w:rsidR="00074B96" w:rsidRPr="00BF5FCA">
        <w:rPr>
          <w:rFonts w:ascii="Times New Roman" w:hAnsi="Times New Roman" w:cs="Times New Roman"/>
          <w:lang w:val="en-US"/>
        </w:rPr>
        <w:t>23</w:t>
      </w:r>
      <w:r w:rsidR="006310C0" w:rsidRPr="00BF5FCA">
        <w:rPr>
          <w:rFonts w:ascii="Times New Roman" w:hAnsi="Times New Roman" w:cs="Times New Roman"/>
          <w:lang w:val="en-US"/>
        </w:rPr>
        <w:t xml:space="preserve"> </w:t>
      </w:r>
      <w:r w:rsidR="00010C9E" w:rsidRPr="00BF5FCA">
        <w:rPr>
          <w:rFonts w:ascii="Times New Roman" w:hAnsi="Times New Roman" w:cs="Times New Roman"/>
          <w:lang w:val="en-US"/>
        </w:rPr>
        <w:t>(1997</w:t>
      </w:r>
      <w:r w:rsidR="006310C0" w:rsidRPr="00BF5FCA">
        <w:rPr>
          <w:rFonts w:ascii="Times New Roman" w:hAnsi="Times New Roman" w:cs="Times New Roman"/>
          <w:lang w:val="en-US"/>
        </w:rPr>
        <w:t>)</w:t>
      </w:r>
      <w:r w:rsidR="00010C9E" w:rsidRPr="00BF5FCA">
        <w:rPr>
          <w:rFonts w:ascii="Times New Roman" w:hAnsi="Times New Roman" w:cs="Times New Roman"/>
          <w:lang w:val="en-US"/>
        </w:rPr>
        <w:t xml:space="preserve"> on</w:t>
      </w:r>
      <w:r w:rsidR="00010C9E" w:rsidRPr="00010C9E">
        <w:t xml:space="preserve"> </w:t>
      </w:r>
      <w:r w:rsidR="00010C9E" w:rsidRPr="00BF5FCA">
        <w:rPr>
          <w:rFonts w:ascii="Times New Roman" w:hAnsi="Times New Roman" w:cs="Times New Roman"/>
          <w:lang w:val="en-US"/>
        </w:rPr>
        <w:t xml:space="preserve">women in political and public life, </w:t>
      </w:r>
      <w:r w:rsidRPr="00BF5FCA">
        <w:rPr>
          <w:rFonts w:ascii="Times New Roman" w:hAnsi="Times New Roman" w:cs="Times New Roman"/>
          <w:lang w:val="en-US"/>
        </w:rPr>
        <w:t xml:space="preserve"> the Committee recognized</w:t>
      </w:r>
      <w:r w:rsidR="00074B96" w:rsidRPr="00BF5FCA">
        <w:rPr>
          <w:rFonts w:ascii="Times New Roman" w:hAnsi="Times New Roman" w:cs="Times New Roman"/>
          <w:lang w:val="en-US"/>
        </w:rPr>
        <w:t xml:space="preserve"> that women's full participation </w:t>
      </w:r>
      <w:r w:rsidR="006310C0" w:rsidRPr="00BF5FCA">
        <w:rPr>
          <w:rFonts w:ascii="Times New Roman" w:hAnsi="Times New Roman" w:cs="Times New Roman"/>
          <w:lang w:val="en-US"/>
        </w:rPr>
        <w:t xml:space="preserve">in politics </w:t>
      </w:r>
      <w:r w:rsidR="00074B96" w:rsidRPr="00BF5FCA">
        <w:rPr>
          <w:rFonts w:ascii="Times New Roman" w:hAnsi="Times New Roman" w:cs="Times New Roman"/>
          <w:lang w:val="en-US"/>
        </w:rPr>
        <w:t>is essential not only for their empowerment but also for the advancement of society</w:t>
      </w:r>
      <w:r w:rsidR="00D633DB" w:rsidRPr="00BF5FCA">
        <w:rPr>
          <w:rFonts w:ascii="Times New Roman" w:hAnsi="Times New Roman" w:cs="Times New Roman"/>
          <w:lang w:val="en-US"/>
        </w:rPr>
        <w:t>.</w:t>
      </w:r>
      <w:r w:rsidR="00D633DB" w:rsidRPr="00074B96">
        <w:rPr>
          <w:rStyle w:val="FootnoteReference"/>
          <w:rFonts w:ascii="Times New Roman" w:hAnsi="Times New Roman" w:cs="Times New Roman"/>
          <w:lang w:val="en-US"/>
        </w:rPr>
        <w:footnoteReference w:id="6"/>
      </w:r>
      <w:r w:rsidR="00D633DB" w:rsidRPr="00BF5FCA">
        <w:rPr>
          <w:rFonts w:ascii="Times New Roman" w:hAnsi="Times New Roman" w:cs="Times New Roman"/>
          <w:lang w:val="en-US"/>
        </w:rPr>
        <w:t xml:space="preserve"> </w:t>
      </w:r>
      <w:r w:rsidR="00074B96" w:rsidRPr="00BF5FCA">
        <w:rPr>
          <w:rFonts w:ascii="Times New Roman" w:hAnsi="Times New Roman" w:cs="Times New Roman"/>
        </w:rPr>
        <w:t>As stated in the joint IPU</w:t>
      </w:r>
      <w:r w:rsidRPr="00BF5FCA">
        <w:rPr>
          <w:rFonts w:ascii="Times New Roman" w:hAnsi="Times New Roman" w:cs="Times New Roman"/>
        </w:rPr>
        <w:t>-</w:t>
      </w:r>
      <w:r w:rsidR="00074B96" w:rsidRPr="00BF5FCA">
        <w:rPr>
          <w:rFonts w:ascii="Times New Roman" w:hAnsi="Times New Roman" w:cs="Times New Roman"/>
        </w:rPr>
        <w:t xml:space="preserve">CEDAW statement </w:t>
      </w:r>
      <w:r w:rsidR="00D257D7" w:rsidRPr="00BF5FCA">
        <w:rPr>
          <w:rFonts w:ascii="Times New Roman" w:hAnsi="Times New Roman" w:cs="Times New Roman"/>
        </w:rPr>
        <w:t>"</w:t>
      </w:r>
      <w:r w:rsidR="00BB13C1" w:rsidRPr="00BF5FCA">
        <w:rPr>
          <w:rFonts w:ascii="Times New Roman" w:hAnsi="Times New Roman" w:cs="Times New Roman"/>
        </w:rPr>
        <w:t xml:space="preserve">Women’s political leadership:  Striving for balance: 50/50 by 2030” </w:t>
      </w:r>
      <w:r w:rsidR="00074B96" w:rsidRPr="00BF5FCA">
        <w:rPr>
          <w:rFonts w:ascii="Times New Roman" w:hAnsi="Times New Roman" w:cs="Times New Roman"/>
        </w:rPr>
        <w:t xml:space="preserve">adopted on the occasion of </w:t>
      </w:r>
      <w:r w:rsidR="00010C9E" w:rsidRPr="00BF5FCA">
        <w:rPr>
          <w:rFonts w:ascii="Times New Roman" w:hAnsi="Times New Roman" w:cs="Times New Roman"/>
        </w:rPr>
        <w:t xml:space="preserve">the 2019 </w:t>
      </w:r>
      <w:r w:rsidR="00074B96" w:rsidRPr="00BF5FCA">
        <w:rPr>
          <w:rFonts w:ascii="Times New Roman" w:hAnsi="Times New Roman" w:cs="Times New Roman"/>
        </w:rPr>
        <w:t>International Women</w:t>
      </w:r>
      <w:r w:rsidR="006310C0" w:rsidRPr="00BF5FCA">
        <w:rPr>
          <w:rFonts w:ascii="Times New Roman" w:hAnsi="Times New Roman" w:cs="Times New Roman"/>
        </w:rPr>
        <w:t>’s</w:t>
      </w:r>
      <w:r w:rsidR="00074B96" w:rsidRPr="00BF5FCA">
        <w:rPr>
          <w:rFonts w:ascii="Times New Roman" w:hAnsi="Times New Roman" w:cs="Times New Roman"/>
        </w:rPr>
        <w:t xml:space="preserve"> Day, women's leadership and equal participation </w:t>
      </w:r>
      <w:r w:rsidR="00533D42" w:rsidRPr="00BF5FCA">
        <w:rPr>
          <w:rFonts w:ascii="Times New Roman" w:hAnsi="Times New Roman" w:cs="Times New Roman"/>
        </w:rPr>
        <w:t>with</w:t>
      </w:r>
      <w:r w:rsidR="00074B96" w:rsidRPr="00BF5FCA">
        <w:rPr>
          <w:rFonts w:ascii="Times New Roman" w:hAnsi="Times New Roman" w:cs="Times New Roman"/>
        </w:rPr>
        <w:t xml:space="preserve"> men in public affairs and decision-making is a matter of human rights, a key element of democracy and lasting peace, and a prerequisite for achieving sustainable development. </w:t>
      </w:r>
      <w:r w:rsidRPr="00BF5FCA">
        <w:rPr>
          <w:rFonts w:ascii="Times New Roman" w:hAnsi="Times New Roman" w:cs="Times New Roman"/>
        </w:rPr>
        <w:t>Data and statistics collected by the Committee show that</w:t>
      </w:r>
      <w:r w:rsidR="00A97A0D" w:rsidRPr="00BF5FCA">
        <w:rPr>
          <w:rFonts w:ascii="Times New Roman" w:hAnsi="Times New Roman" w:cs="Times New Roman"/>
        </w:rPr>
        <w:t xml:space="preserve"> </w:t>
      </w:r>
      <w:r w:rsidR="00074B96" w:rsidRPr="00BF5FCA">
        <w:rPr>
          <w:rFonts w:ascii="Times New Roman" w:hAnsi="Times New Roman" w:cs="Times New Roman"/>
        </w:rPr>
        <w:t>women remain underrepresented in national parliaments and local government</w:t>
      </w:r>
      <w:r w:rsidR="006310C0" w:rsidRPr="00BF5FCA">
        <w:rPr>
          <w:rFonts w:ascii="Times New Roman" w:hAnsi="Times New Roman" w:cs="Times New Roman"/>
        </w:rPr>
        <w:t>s</w:t>
      </w:r>
      <w:r w:rsidR="00470DCE" w:rsidRPr="00BF5FCA">
        <w:rPr>
          <w:rFonts w:ascii="Times New Roman" w:hAnsi="Times New Roman" w:cs="Times New Roman"/>
        </w:rPr>
        <w:t xml:space="preserve">. </w:t>
      </w:r>
      <w:r w:rsidR="00074B96" w:rsidRPr="00BF5FCA">
        <w:rPr>
          <w:rFonts w:ascii="Times New Roman" w:hAnsi="Times New Roman" w:cs="Times New Roman"/>
        </w:rPr>
        <w:t>The Comm</w:t>
      </w:r>
      <w:r w:rsidR="00ED2D9D" w:rsidRPr="00BF5FCA">
        <w:rPr>
          <w:rFonts w:ascii="Times New Roman" w:hAnsi="Times New Roman" w:cs="Times New Roman"/>
        </w:rPr>
        <w:t xml:space="preserve">ittee actively recommends </w:t>
      </w:r>
      <w:r w:rsidR="006310C0" w:rsidRPr="00BF5FCA">
        <w:rPr>
          <w:rFonts w:ascii="Times New Roman" w:hAnsi="Times New Roman" w:cs="Times New Roman"/>
        </w:rPr>
        <w:t>that</w:t>
      </w:r>
      <w:r w:rsidR="00ED2D9D" w:rsidRPr="00BF5FCA">
        <w:rPr>
          <w:rFonts w:ascii="Times New Roman" w:hAnsi="Times New Roman" w:cs="Times New Roman"/>
        </w:rPr>
        <w:t xml:space="preserve"> State</w:t>
      </w:r>
      <w:r w:rsidR="00A0277F" w:rsidRPr="00BF5FCA">
        <w:rPr>
          <w:rFonts w:ascii="Times New Roman" w:hAnsi="Times New Roman" w:cs="Times New Roman"/>
        </w:rPr>
        <w:t>s</w:t>
      </w:r>
      <w:r w:rsidR="00ED2D9D" w:rsidRPr="00BF5FCA">
        <w:rPr>
          <w:rFonts w:ascii="Times New Roman" w:hAnsi="Times New Roman" w:cs="Times New Roman"/>
        </w:rPr>
        <w:t xml:space="preserve"> parties</w:t>
      </w:r>
      <w:r w:rsidR="009925D0" w:rsidRPr="00BF5FCA">
        <w:rPr>
          <w:rFonts w:ascii="Times New Roman" w:hAnsi="Times New Roman" w:cs="Times New Roman"/>
        </w:rPr>
        <w:t>, along with other temporary special measures,</w:t>
      </w:r>
      <w:r w:rsidR="00074B96" w:rsidRPr="00BF5FCA">
        <w:rPr>
          <w:rFonts w:ascii="Times New Roman" w:hAnsi="Times New Roman" w:cs="Times New Roman"/>
        </w:rPr>
        <w:t xml:space="preserve"> adopt gender quotas</w:t>
      </w:r>
      <w:r w:rsidR="002133B5" w:rsidRPr="00BF5FCA">
        <w:rPr>
          <w:rFonts w:ascii="Times New Roman" w:hAnsi="Times New Roman" w:cs="Times New Roman"/>
        </w:rPr>
        <w:t xml:space="preserve"> in order to achieve gender parity</w:t>
      </w:r>
      <w:r w:rsidR="00074B96" w:rsidRPr="00BF5FCA">
        <w:rPr>
          <w:rFonts w:ascii="Times New Roman" w:hAnsi="Times New Roman" w:cs="Times New Roman"/>
        </w:rPr>
        <w:t xml:space="preserve">. The Committee also consistently calls on </w:t>
      </w:r>
      <w:r w:rsidR="00ED2D9D" w:rsidRPr="00BF5FCA">
        <w:rPr>
          <w:rFonts w:ascii="Times New Roman" w:hAnsi="Times New Roman" w:cs="Times New Roman"/>
        </w:rPr>
        <w:t>State</w:t>
      </w:r>
      <w:r w:rsidR="00A0277F" w:rsidRPr="00BF5FCA">
        <w:rPr>
          <w:rFonts w:ascii="Times New Roman" w:hAnsi="Times New Roman" w:cs="Times New Roman"/>
        </w:rPr>
        <w:t>s</w:t>
      </w:r>
      <w:r w:rsidR="00ED2D9D" w:rsidRPr="00BF5FCA">
        <w:rPr>
          <w:rFonts w:ascii="Times New Roman" w:hAnsi="Times New Roman" w:cs="Times New Roman"/>
        </w:rPr>
        <w:t xml:space="preserve"> parties</w:t>
      </w:r>
      <w:r w:rsidR="00074B96" w:rsidRPr="00BF5FCA">
        <w:rPr>
          <w:rFonts w:ascii="Times New Roman" w:hAnsi="Times New Roman" w:cs="Times New Roman"/>
        </w:rPr>
        <w:t xml:space="preserve"> to monitor these situations and adopt gender empowering policies</w:t>
      </w:r>
      <w:r w:rsidR="003B3F7D" w:rsidRPr="00BF5FCA">
        <w:rPr>
          <w:rFonts w:ascii="Times New Roman" w:hAnsi="Times New Roman" w:cs="Times New Roman"/>
        </w:rPr>
        <w:t xml:space="preserve">, bearing </w:t>
      </w:r>
      <w:r w:rsidR="003B3F7D" w:rsidRPr="00BF5FCA">
        <w:rPr>
          <w:rFonts w:ascii="Times New Roman" w:hAnsi="Times New Roman" w:cs="Times New Roman"/>
        </w:rPr>
        <w:lastRenderedPageBreak/>
        <w:t>in mind the additional challenges faced by the most disadvantaged groups of women</w:t>
      </w:r>
      <w:r w:rsidR="00074B96" w:rsidRPr="00BF5FCA">
        <w:rPr>
          <w:rFonts w:ascii="Times New Roman" w:hAnsi="Times New Roman" w:cs="Times New Roman"/>
        </w:rPr>
        <w:t>.</w:t>
      </w:r>
    </w:p>
    <w:p w14:paraId="6BAA5FCA" w14:textId="77777777" w:rsidR="00BF5FCA" w:rsidRDefault="00BF5FCA" w:rsidP="00BF5FCA">
      <w:pPr>
        <w:spacing w:line="360" w:lineRule="auto"/>
        <w:jc w:val="both"/>
        <w:rPr>
          <w:rFonts w:ascii="Times New Roman" w:hAnsi="Times New Roman" w:cs="Times New Roman"/>
          <w:lang w:val="en-US"/>
        </w:rPr>
      </w:pPr>
    </w:p>
    <w:p w14:paraId="082819C0" w14:textId="360EAA5C" w:rsidR="005F1B92" w:rsidRPr="00BF5FCA" w:rsidRDefault="00BF669C" w:rsidP="00BF5FCA">
      <w:pPr>
        <w:spacing w:line="360" w:lineRule="auto"/>
        <w:jc w:val="both"/>
        <w:rPr>
          <w:rFonts w:ascii="Times New Roman" w:hAnsi="Times New Roman" w:cs="Times New Roman"/>
          <w:lang w:val="en-US"/>
        </w:rPr>
      </w:pPr>
      <w:r w:rsidRPr="00BF5FCA">
        <w:rPr>
          <w:rFonts w:ascii="Times New Roman" w:hAnsi="Times New Roman" w:cs="Times New Roman"/>
          <w:lang w:val="en-US"/>
        </w:rPr>
        <w:t xml:space="preserve">In relation to the </w:t>
      </w:r>
      <w:r w:rsidRPr="00BF5FCA">
        <w:rPr>
          <w:rFonts w:ascii="Times New Roman" w:hAnsi="Times New Roman" w:cs="Times New Roman"/>
          <w:b/>
          <w:i/>
          <w:lang w:val="en-US"/>
        </w:rPr>
        <w:t>adoption of</w:t>
      </w:r>
      <w:r w:rsidRPr="00BF5FCA">
        <w:rPr>
          <w:rFonts w:ascii="Times New Roman" w:hAnsi="Times New Roman" w:cs="Times New Roman"/>
          <w:b/>
          <w:lang w:val="en-US"/>
        </w:rPr>
        <w:t xml:space="preserve"> </w:t>
      </w:r>
      <w:r w:rsidRPr="00BF5FCA">
        <w:rPr>
          <w:rFonts w:ascii="Times New Roman" w:hAnsi="Times New Roman" w:cs="Times New Roman"/>
          <w:b/>
          <w:i/>
          <w:lang w:val="en-US"/>
        </w:rPr>
        <w:t>institutional mechanisms for the advancement of women</w:t>
      </w:r>
      <w:r w:rsidR="00074B96" w:rsidRPr="00BF5FCA">
        <w:rPr>
          <w:rFonts w:ascii="Times New Roman" w:hAnsi="Times New Roman" w:cs="Times New Roman"/>
          <w:lang w:val="en-US"/>
        </w:rPr>
        <w:t xml:space="preserve">, the revision of national legal and policy frameworks in line with the Convention </w:t>
      </w:r>
      <w:r w:rsidR="00533D42" w:rsidRPr="00BF5FCA">
        <w:rPr>
          <w:rFonts w:ascii="Times New Roman" w:hAnsi="Times New Roman" w:cs="Times New Roman"/>
          <w:lang w:val="en-US"/>
        </w:rPr>
        <w:t>is key to</w:t>
      </w:r>
      <w:r w:rsidR="003B2855" w:rsidRPr="00BF5FCA">
        <w:rPr>
          <w:rFonts w:ascii="Times New Roman" w:hAnsi="Times New Roman" w:cs="Times New Roman"/>
          <w:lang w:val="en-US"/>
        </w:rPr>
        <w:t xml:space="preserve"> </w:t>
      </w:r>
      <w:r w:rsidR="00074B96" w:rsidRPr="00BF5FCA">
        <w:rPr>
          <w:rFonts w:ascii="Times New Roman" w:hAnsi="Times New Roman" w:cs="Times New Roman"/>
          <w:lang w:val="en-US"/>
        </w:rPr>
        <w:t>strengthen</w:t>
      </w:r>
      <w:r w:rsidR="003B2855" w:rsidRPr="00BF5FCA">
        <w:rPr>
          <w:rFonts w:ascii="Times New Roman" w:hAnsi="Times New Roman" w:cs="Times New Roman"/>
          <w:lang w:val="en-US"/>
        </w:rPr>
        <w:t>ing</w:t>
      </w:r>
      <w:r w:rsidR="00074B96" w:rsidRPr="00BF5FCA">
        <w:rPr>
          <w:rFonts w:ascii="Times New Roman" w:hAnsi="Times New Roman" w:cs="Times New Roman"/>
          <w:lang w:val="en-US"/>
        </w:rPr>
        <w:t xml:space="preserve"> the implementation of the BPFA and </w:t>
      </w:r>
      <w:r w:rsidR="003B2855" w:rsidRPr="00BF5FCA">
        <w:rPr>
          <w:rFonts w:ascii="Times New Roman" w:hAnsi="Times New Roman" w:cs="Times New Roman"/>
          <w:lang w:val="en-US"/>
        </w:rPr>
        <w:t xml:space="preserve">of </w:t>
      </w:r>
      <w:r w:rsidR="00074B96" w:rsidRPr="00BF5FCA">
        <w:rPr>
          <w:rFonts w:ascii="Times New Roman" w:hAnsi="Times New Roman" w:cs="Times New Roman"/>
          <w:lang w:val="en-US"/>
        </w:rPr>
        <w:t xml:space="preserve">the </w:t>
      </w:r>
      <w:r w:rsidR="003B2855" w:rsidRPr="00BF5FCA">
        <w:rPr>
          <w:rFonts w:ascii="Times New Roman" w:hAnsi="Times New Roman" w:cs="Times New Roman"/>
          <w:lang w:val="en-US"/>
        </w:rPr>
        <w:t>2030</w:t>
      </w:r>
      <w:r w:rsidR="00920A0B" w:rsidRPr="00BF5FCA">
        <w:rPr>
          <w:rFonts w:ascii="Times New Roman" w:hAnsi="Times New Roman" w:cs="Times New Roman"/>
          <w:lang w:val="en-US"/>
        </w:rPr>
        <w:t xml:space="preserve"> </w:t>
      </w:r>
      <w:r w:rsidR="00074B96" w:rsidRPr="00BF5FCA">
        <w:rPr>
          <w:rFonts w:ascii="Times New Roman" w:hAnsi="Times New Roman" w:cs="Times New Roman"/>
          <w:lang w:val="en-US"/>
        </w:rPr>
        <w:t xml:space="preserve">Agenda for Sustainable Development. In </w:t>
      </w:r>
      <w:r w:rsidR="00920A0B" w:rsidRPr="00BF5FCA">
        <w:rPr>
          <w:rFonts w:ascii="Times New Roman" w:hAnsi="Times New Roman" w:cs="Times New Roman"/>
          <w:lang w:val="en-US"/>
        </w:rPr>
        <w:t>this regard</w:t>
      </w:r>
      <w:r w:rsidR="00074B96" w:rsidRPr="00BF5FCA">
        <w:rPr>
          <w:rFonts w:ascii="Times New Roman" w:hAnsi="Times New Roman" w:cs="Times New Roman"/>
          <w:lang w:val="en-US"/>
        </w:rPr>
        <w:t>, the Convention requires the adoption of legal frameworks to promote, enforce and monitor equality and non-discrimination based on sex</w:t>
      </w:r>
      <w:r w:rsidR="00920A0B" w:rsidRPr="00BF5FCA">
        <w:rPr>
          <w:rFonts w:ascii="Times New Roman" w:hAnsi="Times New Roman" w:cs="Times New Roman"/>
          <w:lang w:val="en-US"/>
        </w:rPr>
        <w:t xml:space="preserve"> and</w:t>
      </w:r>
      <w:r w:rsidR="00074B96" w:rsidRPr="00BF5FCA">
        <w:rPr>
          <w:rFonts w:ascii="Times New Roman" w:hAnsi="Times New Roman" w:cs="Times New Roman"/>
          <w:lang w:val="en-US"/>
        </w:rPr>
        <w:t xml:space="preserve"> calls for the allocation of </w:t>
      </w:r>
      <w:r w:rsidR="00B807A6" w:rsidRPr="00BF5FCA">
        <w:rPr>
          <w:rFonts w:ascii="Times New Roman" w:hAnsi="Times New Roman" w:cs="Times New Roman"/>
          <w:lang w:val="en-US"/>
        </w:rPr>
        <w:t xml:space="preserve">adequate </w:t>
      </w:r>
      <w:r w:rsidR="00074B96" w:rsidRPr="00BF5FCA">
        <w:rPr>
          <w:rFonts w:ascii="Times New Roman" w:hAnsi="Times New Roman" w:cs="Times New Roman"/>
          <w:lang w:val="en-US"/>
        </w:rPr>
        <w:t>budget</w:t>
      </w:r>
      <w:r w:rsidR="006310C0" w:rsidRPr="00BF5FCA">
        <w:rPr>
          <w:rFonts w:ascii="Times New Roman" w:hAnsi="Times New Roman" w:cs="Times New Roman"/>
          <w:lang w:val="en-US"/>
        </w:rPr>
        <w:t xml:space="preserve">ary </w:t>
      </w:r>
      <w:r w:rsidR="00C51B52" w:rsidRPr="00BF5FCA">
        <w:rPr>
          <w:rFonts w:ascii="Times New Roman" w:hAnsi="Times New Roman" w:cs="Times New Roman"/>
          <w:lang w:val="en-US"/>
        </w:rPr>
        <w:t>resources</w:t>
      </w:r>
      <w:r w:rsidR="00074B96" w:rsidRPr="00BF5FCA">
        <w:rPr>
          <w:rFonts w:ascii="Times New Roman" w:hAnsi="Times New Roman" w:cs="Times New Roman"/>
          <w:lang w:val="en-US"/>
        </w:rPr>
        <w:t xml:space="preserve"> and the involvement of women's </w:t>
      </w:r>
      <w:r w:rsidR="00533D42" w:rsidRPr="00BF5FCA">
        <w:rPr>
          <w:rFonts w:ascii="Times New Roman" w:hAnsi="Times New Roman" w:cs="Times New Roman"/>
          <w:lang w:val="en-US"/>
        </w:rPr>
        <w:t>civil society organizations</w:t>
      </w:r>
      <w:r w:rsidR="00074B96" w:rsidRPr="00BF5FCA">
        <w:rPr>
          <w:rFonts w:ascii="Times New Roman" w:hAnsi="Times New Roman" w:cs="Times New Roman"/>
          <w:lang w:val="en-US"/>
        </w:rPr>
        <w:t xml:space="preserve"> in these activities. </w:t>
      </w:r>
    </w:p>
    <w:p w14:paraId="5F144D12" w14:textId="751A5C31" w:rsidR="00B94062" w:rsidRPr="00BF5FCA" w:rsidRDefault="0070582E" w:rsidP="00BF5FCA">
      <w:pPr>
        <w:spacing w:before="100" w:beforeAutospacing="1" w:after="100" w:afterAutospacing="1" w:line="360" w:lineRule="auto"/>
        <w:jc w:val="both"/>
        <w:rPr>
          <w:rFonts w:ascii="Times New Roman" w:eastAsia="Times New Roman" w:hAnsi="Times New Roman" w:cs="Times New Roman"/>
          <w:color w:val="000000"/>
          <w:lang w:val="en-US"/>
        </w:rPr>
      </w:pPr>
      <w:r w:rsidRPr="00BF5FCA">
        <w:rPr>
          <w:rFonts w:ascii="Times New Roman" w:eastAsia="Times New Roman" w:hAnsi="Times New Roman" w:cs="Times New Roman"/>
          <w:i/>
          <w:color w:val="000000"/>
          <w:lang w:val="en-US"/>
        </w:rPr>
        <w:t xml:space="preserve">In relation to </w:t>
      </w:r>
      <w:r w:rsidR="009235FD" w:rsidRPr="00BF5FCA">
        <w:rPr>
          <w:rFonts w:ascii="Times New Roman" w:eastAsia="Times New Roman" w:hAnsi="Times New Roman" w:cs="Times New Roman"/>
          <w:i/>
          <w:color w:val="000000"/>
          <w:lang w:val="en-US"/>
        </w:rPr>
        <w:t xml:space="preserve">the </w:t>
      </w:r>
      <w:r w:rsidR="00F8598D" w:rsidRPr="00BF5FCA">
        <w:rPr>
          <w:rFonts w:ascii="Times New Roman" w:eastAsia="Times New Roman" w:hAnsi="Times New Roman" w:cs="Times New Roman"/>
          <w:i/>
          <w:color w:val="000000"/>
          <w:lang w:val="en-US"/>
        </w:rPr>
        <w:t>socially-differe</w:t>
      </w:r>
      <w:r w:rsidR="00B807A6" w:rsidRPr="00BF5FCA">
        <w:rPr>
          <w:rFonts w:ascii="Times New Roman" w:eastAsia="Times New Roman" w:hAnsi="Times New Roman" w:cs="Times New Roman"/>
          <w:i/>
          <w:color w:val="000000"/>
          <w:lang w:val="en-US"/>
        </w:rPr>
        <w:t xml:space="preserve">ntiated impact of </w:t>
      </w:r>
      <w:r w:rsidR="00B807A6" w:rsidRPr="00BF5FCA">
        <w:rPr>
          <w:rFonts w:ascii="Times New Roman" w:eastAsia="Times New Roman" w:hAnsi="Times New Roman" w:cs="Times New Roman"/>
          <w:b/>
          <w:i/>
          <w:color w:val="000000"/>
          <w:lang w:val="en-US"/>
        </w:rPr>
        <w:t xml:space="preserve">environment </w:t>
      </w:r>
      <w:r w:rsidR="00BF491F" w:rsidRPr="00BF5FCA">
        <w:rPr>
          <w:rFonts w:ascii="Times New Roman" w:eastAsia="Times New Roman" w:hAnsi="Times New Roman" w:cs="Times New Roman"/>
          <w:b/>
          <w:i/>
          <w:color w:val="000000"/>
          <w:lang w:val="en-US"/>
        </w:rPr>
        <w:t xml:space="preserve">and climate </w:t>
      </w:r>
      <w:r w:rsidR="00F8598D" w:rsidRPr="00BF5FCA">
        <w:rPr>
          <w:rFonts w:ascii="Times New Roman" w:eastAsia="Times New Roman" w:hAnsi="Times New Roman" w:cs="Times New Roman"/>
          <w:b/>
          <w:i/>
          <w:color w:val="000000"/>
          <w:lang w:val="en-US"/>
        </w:rPr>
        <w:t>change</w:t>
      </w:r>
      <w:r w:rsidRPr="00BF5FCA">
        <w:rPr>
          <w:rFonts w:ascii="Times New Roman" w:eastAsia="Times New Roman" w:hAnsi="Times New Roman" w:cs="Times New Roman"/>
          <w:i/>
          <w:color w:val="000000"/>
          <w:lang w:val="en-US"/>
        </w:rPr>
        <w:t>,</w:t>
      </w:r>
      <w:r w:rsidR="00F8598D" w:rsidRPr="00010C9E">
        <w:rPr>
          <w:rStyle w:val="FootnoteReference"/>
          <w:rFonts w:ascii="Times New Roman" w:eastAsia="Times New Roman" w:hAnsi="Times New Roman" w:cs="Times New Roman"/>
          <w:color w:val="000000"/>
          <w:lang w:val="en-US"/>
        </w:rPr>
        <w:footnoteReference w:id="7"/>
      </w:r>
      <w:r w:rsidR="00F8598D" w:rsidRPr="00BF5FCA">
        <w:rPr>
          <w:rFonts w:ascii="Times New Roman" w:eastAsia="Times New Roman" w:hAnsi="Times New Roman" w:cs="Times New Roman"/>
          <w:color w:val="000000"/>
          <w:lang w:val="en-US"/>
        </w:rPr>
        <w:t xml:space="preserve"> </w:t>
      </w:r>
      <w:r w:rsidR="00074B96" w:rsidRPr="00BF5FCA">
        <w:rPr>
          <w:rFonts w:ascii="Times New Roman" w:hAnsi="Times New Roman" w:cs="Times New Roman"/>
          <w:color w:val="000000"/>
          <w:lang w:val="en-US"/>
        </w:rPr>
        <w:t xml:space="preserve">the Committee has </w:t>
      </w:r>
      <w:r w:rsidR="002133B5" w:rsidRPr="00BF5FCA">
        <w:rPr>
          <w:rFonts w:ascii="Times New Roman" w:hAnsi="Times New Roman" w:cs="Times New Roman"/>
          <w:color w:val="000000"/>
          <w:lang w:val="en-US"/>
        </w:rPr>
        <w:t xml:space="preserve">highlighted </w:t>
      </w:r>
      <w:r w:rsidR="00074B96" w:rsidRPr="00BF5FCA">
        <w:rPr>
          <w:rFonts w:ascii="Times New Roman" w:hAnsi="Times New Roman" w:cs="Times New Roman"/>
          <w:color w:val="000000"/>
          <w:lang w:val="en-US"/>
        </w:rPr>
        <w:t xml:space="preserve">in General Recommendation </w:t>
      </w:r>
      <w:r w:rsidR="007C7F15" w:rsidRPr="00BF5FCA">
        <w:rPr>
          <w:rFonts w:ascii="Times New Roman" w:hAnsi="Times New Roman" w:cs="Times New Roman"/>
          <w:color w:val="000000"/>
          <w:lang w:val="en-US"/>
        </w:rPr>
        <w:t>N</w:t>
      </w:r>
      <w:r w:rsidR="007043D6" w:rsidRPr="00BF5FCA">
        <w:rPr>
          <w:rFonts w:ascii="Times New Roman" w:hAnsi="Times New Roman" w:cs="Times New Roman"/>
          <w:color w:val="000000"/>
          <w:lang w:val="en-US"/>
        </w:rPr>
        <w:t xml:space="preserve">o. </w:t>
      </w:r>
      <w:r w:rsidR="00074B96" w:rsidRPr="00BF5FCA">
        <w:rPr>
          <w:rFonts w:ascii="Times New Roman" w:hAnsi="Times New Roman" w:cs="Times New Roman"/>
          <w:color w:val="000000"/>
          <w:lang w:val="en-US"/>
        </w:rPr>
        <w:t xml:space="preserve">37 </w:t>
      </w:r>
      <w:r w:rsidR="00010C9E" w:rsidRPr="00BF5FCA">
        <w:rPr>
          <w:rFonts w:ascii="Times New Roman" w:hAnsi="Times New Roman" w:cs="Times New Roman"/>
          <w:color w:val="000000"/>
          <w:lang w:val="en-US"/>
        </w:rPr>
        <w:t>(2018</w:t>
      </w:r>
      <w:r w:rsidR="006310C0" w:rsidRPr="00BF5FCA">
        <w:rPr>
          <w:rFonts w:ascii="Times New Roman" w:hAnsi="Times New Roman" w:cs="Times New Roman"/>
          <w:color w:val="000000"/>
          <w:lang w:val="en-US"/>
        </w:rPr>
        <w:t xml:space="preserve">) </w:t>
      </w:r>
      <w:r w:rsidR="00010C9E" w:rsidRPr="00BF5FCA">
        <w:rPr>
          <w:rFonts w:ascii="Times New Roman" w:hAnsi="Times New Roman" w:cs="Times New Roman"/>
          <w:color w:val="000000"/>
          <w:lang w:val="en-US"/>
        </w:rPr>
        <w:t>on</w:t>
      </w:r>
      <w:r w:rsidR="00010C9E" w:rsidRPr="00010C9E">
        <w:t xml:space="preserve"> g</w:t>
      </w:r>
      <w:r w:rsidR="00010C9E" w:rsidRPr="00BF5FCA">
        <w:rPr>
          <w:rFonts w:ascii="Times New Roman" w:hAnsi="Times New Roman" w:cs="Times New Roman"/>
          <w:color w:val="000000"/>
          <w:lang w:val="en-US"/>
        </w:rPr>
        <w:t>ender-related dimensions of disaster risk reduction in the context of climate change</w:t>
      </w:r>
      <w:r w:rsidR="006310C0" w:rsidRPr="00BF5FCA">
        <w:rPr>
          <w:rFonts w:ascii="Times New Roman" w:hAnsi="Times New Roman" w:cs="Times New Roman"/>
          <w:color w:val="000000"/>
          <w:lang w:val="en-US"/>
        </w:rPr>
        <w:t xml:space="preserve"> </w:t>
      </w:r>
      <w:r w:rsidR="00074B96" w:rsidRPr="00BF5FCA">
        <w:rPr>
          <w:rFonts w:ascii="Times New Roman" w:hAnsi="Times New Roman" w:cs="Times New Roman"/>
          <w:color w:val="000000"/>
          <w:lang w:val="en-US"/>
        </w:rPr>
        <w:t xml:space="preserve">that </w:t>
      </w:r>
      <w:r w:rsidR="002133B5" w:rsidRPr="00BF5FCA">
        <w:rPr>
          <w:rFonts w:ascii="Times New Roman" w:hAnsi="Times New Roman" w:cs="Times New Roman"/>
          <w:color w:val="000000"/>
          <w:lang w:val="en-US"/>
        </w:rPr>
        <w:t xml:space="preserve">disproportionate risks and impacts on their health, safety and livelihoods are faced by </w:t>
      </w:r>
      <w:r w:rsidR="00074B96" w:rsidRPr="00BF5FCA">
        <w:rPr>
          <w:rFonts w:ascii="Times New Roman" w:hAnsi="Times New Roman" w:cs="Times New Roman"/>
          <w:color w:val="000000"/>
          <w:lang w:val="en-US"/>
        </w:rPr>
        <w:t xml:space="preserve">many women and girls. Situations of crisis exacerbate pre-existing gender inequalities and compound intersecting forms of discrimination that affect disadvantaged groups of women and girls, </w:t>
      </w:r>
      <w:r w:rsidR="006310C0" w:rsidRPr="00BF5FCA">
        <w:rPr>
          <w:rFonts w:ascii="Times New Roman" w:hAnsi="Times New Roman" w:cs="Times New Roman"/>
          <w:color w:val="000000"/>
          <w:lang w:val="en-US"/>
        </w:rPr>
        <w:t>including women and girls</w:t>
      </w:r>
      <w:r w:rsidR="00074B96" w:rsidRPr="00BF5FCA">
        <w:rPr>
          <w:rFonts w:ascii="Times New Roman" w:hAnsi="Times New Roman" w:cs="Times New Roman"/>
          <w:color w:val="000000"/>
          <w:lang w:val="en-US"/>
        </w:rPr>
        <w:t xml:space="preserve"> with disabilities</w:t>
      </w:r>
      <w:r w:rsidR="00E917F1" w:rsidRPr="00BF5FCA">
        <w:rPr>
          <w:rFonts w:ascii="Times New Roman" w:hAnsi="Times New Roman" w:cs="Times New Roman"/>
          <w:color w:val="000000"/>
          <w:lang w:val="en-US"/>
        </w:rPr>
        <w:t>, internally displaced women and girls, rural and indigenous women and girls</w:t>
      </w:r>
      <w:r w:rsidR="00074B96" w:rsidRPr="00BF5FCA">
        <w:rPr>
          <w:rFonts w:ascii="Times New Roman" w:hAnsi="Times New Roman" w:cs="Times New Roman"/>
          <w:color w:val="000000"/>
          <w:lang w:val="en-US"/>
        </w:rPr>
        <w:t xml:space="preserve">, to a different degree or in different ways. </w:t>
      </w:r>
      <w:r w:rsidR="00E917F1" w:rsidRPr="00BF5FCA">
        <w:rPr>
          <w:rFonts w:ascii="Times New Roman" w:hAnsi="Times New Roman" w:cs="Times New Roman"/>
          <w:color w:val="000000"/>
          <w:lang w:val="en-US"/>
        </w:rPr>
        <w:t>The Committee has also called upon States parties to crea</w:t>
      </w:r>
      <w:r w:rsidR="00533D42" w:rsidRPr="00BF5FCA">
        <w:rPr>
          <w:rFonts w:ascii="Times New Roman" w:hAnsi="Times New Roman" w:cs="Times New Roman"/>
          <w:color w:val="000000"/>
          <w:lang w:val="en-US"/>
        </w:rPr>
        <w:t>te</w:t>
      </w:r>
      <w:r w:rsidR="00E917F1" w:rsidRPr="00BF5FCA">
        <w:rPr>
          <w:rFonts w:ascii="Times New Roman" w:hAnsi="Times New Roman" w:cs="Times New Roman"/>
          <w:color w:val="000000"/>
          <w:lang w:val="en-US"/>
        </w:rPr>
        <w:t xml:space="preserve"> a new</w:t>
      </w:r>
      <w:r w:rsidR="002133B5" w:rsidRPr="00BF5FCA">
        <w:rPr>
          <w:rFonts w:ascii="Times New Roman" w:hAnsi="Times New Roman" w:cs="Times New Roman"/>
          <w:color w:val="000000"/>
          <w:lang w:val="en-US"/>
        </w:rPr>
        <w:t xml:space="preserve"> </w:t>
      </w:r>
      <w:r w:rsidR="00C14420" w:rsidRPr="00BF5FCA">
        <w:rPr>
          <w:rFonts w:ascii="Times New Roman" w:hAnsi="Times New Roman" w:cs="Times New Roman"/>
          <w:color w:val="000000"/>
          <w:lang w:val="en-US"/>
        </w:rPr>
        <w:t>environment friendly</w:t>
      </w:r>
      <w:r w:rsidR="002133B5" w:rsidRPr="00BF5FCA">
        <w:rPr>
          <w:rFonts w:ascii="Times New Roman" w:hAnsi="Times New Roman" w:cs="Times New Roman"/>
          <w:color w:val="000000"/>
          <w:lang w:val="en-US"/>
        </w:rPr>
        <w:t xml:space="preserve"> and sustainable</w:t>
      </w:r>
      <w:r w:rsidR="00E917F1" w:rsidRPr="00BF5FCA">
        <w:rPr>
          <w:rFonts w:ascii="Times New Roman" w:hAnsi="Times New Roman" w:cs="Times New Roman"/>
          <w:color w:val="000000"/>
          <w:lang w:val="en-US"/>
        </w:rPr>
        <w:t xml:space="preserve"> economy in which women are fully involved partners in innovation and development. </w:t>
      </w:r>
      <w:r w:rsidR="00533D42" w:rsidRPr="00BF5FCA">
        <w:rPr>
          <w:rFonts w:ascii="Times New Roman" w:hAnsi="Times New Roman" w:cs="Times New Roman"/>
          <w:color w:val="000000"/>
          <w:lang w:val="en-US"/>
        </w:rPr>
        <w:t>It also hold</w:t>
      </w:r>
      <w:r w:rsidR="002133B5" w:rsidRPr="00BF5FCA">
        <w:rPr>
          <w:rFonts w:ascii="Times New Roman" w:hAnsi="Times New Roman" w:cs="Times New Roman"/>
          <w:color w:val="000000"/>
          <w:lang w:val="en-US"/>
        </w:rPr>
        <w:t>s</w:t>
      </w:r>
      <w:r w:rsidR="00074B96" w:rsidRPr="00BF5FCA">
        <w:rPr>
          <w:rFonts w:ascii="Times New Roman" w:hAnsi="Times New Roman" w:cs="Times New Roman"/>
          <w:color w:val="000000"/>
          <w:lang w:val="en-US"/>
        </w:rPr>
        <w:t xml:space="preserve"> </w:t>
      </w:r>
      <w:r w:rsidR="00920A0B" w:rsidRPr="00BF5FCA">
        <w:rPr>
          <w:rFonts w:ascii="Times New Roman" w:hAnsi="Times New Roman" w:cs="Times New Roman"/>
          <w:color w:val="000000"/>
          <w:lang w:val="en-US"/>
        </w:rPr>
        <w:t>State</w:t>
      </w:r>
      <w:r w:rsidR="00A0277F" w:rsidRPr="00BF5FCA">
        <w:rPr>
          <w:rFonts w:ascii="Times New Roman" w:hAnsi="Times New Roman" w:cs="Times New Roman"/>
          <w:color w:val="000000"/>
          <w:lang w:val="en-US"/>
        </w:rPr>
        <w:t>s</w:t>
      </w:r>
      <w:r w:rsidR="00920A0B" w:rsidRPr="00BF5FCA">
        <w:rPr>
          <w:rFonts w:ascii="Times New Roman" w:hAnsi="Times New Roman" w:cs="Times New Roman"/>
          <w:color w:val="000000"/>
          <w:lang w:val="en-US"/>
        </w:rPr>
        <w:t xml:space="preserve"> parties accountable </w:t>
      </w:r>
      <w:r w:rsidR="00C14420" w:rsidRPr="00BF5FCA">
        <w:rPr>
          <w:rFonts w:ascii="Times New Roman" w:hAnsi="Times New Roman" w:cs="Times New Roman"/>
          <w:color w:val="000000"/>
          <w:lang w:val="en-US"/>
        </w:rPr>
        <w:t>for</w:t>
      </w:r>
      <w:r w:rsidR="00074B96" w:rsidRPr="00BF5FCA">
        <w:rPr>
          <w:rFonts w:ascii="Times New Roman" w:hAnsi="Times New Roman" w:cs="Times New Roman"/>
          <w:color w:val="000000"/>
          <w:lang w:val="en-US"/>
        </w:rPr>
        <w:t xml:space="preserve"> </w:t>
      </w:r>
      <w:r w:rsidR="00060557" w:rsidRPr="00BF5FCA">
        <w:rPr>
          <w:rFonts w:ascii="Times New Roman" w:hAnsi="Times New Roman" w:cs="Times New Roman"/>
          <w:color w:val="000000"/>
          <w:lang w:val="en-US"/>
        </w:rPr>
        <w:t>guarantee</w:t>
      </w:r>
      <w:r w:rsidR="00C14420" w:rsidRPr="00BF5FCA">
        <w:rPr>
          <w:rFonts w:ascii="Times New Roman" w:hAnsi="Times New Roman" w:cs="Times New Roman"/>
          <w:color w:val="000000"/>
          <w:lang w:val="en-US"/>
        </w:rPr>
        <w:t>ing</w:t>
      </w:r>
      <w:r w:rsidR="00060557" w:rsidRPr="00BF5FCA">
        <w:rPr>
          <w:rFonts w:ascii="Times New Roman" w:hAnsi="Times New Roman" w:cs="Times New Roman"/>
          <w:color w:val="000000"/>
          <w:lang w:val="en-US"/>
        </w:rPr>
        <w:t xml:space="preserve"> equality between </w:t>
      </w:r>
      <w:r w:rsidR="00060557" w:rsidRPr="00BF5FCA">
        <w:rPr>
          <w:rFonts w:ascii="Times New Roman" w:hAnsi="Times New Roman" w:cs="Times New Roman"/>
          <w:color w:val="000000"/>
          <w:lang w:val="en-US"/>
        </w:rPr>
        <w:lastRenderedPageBreak/>
        <w:t xml:space="preserve">women and men, including </w:t>
      </w:r>
      <w:r w:rsidR="00C14420" w:rsidRPr="00BF5FCA">
        <w:rPr>
          <w:rFonts w:ascii="Times New Roman" w:hAnsi="Times New Roman" w:cs="Times New Roman"/>
          <w:color w:val="000000"/>
          <w:lang w:val="en-US"/>
        </w:rPr>
        <w:t xml:space="preserve">through </w:t>
      </w:r>
      <w:r w:rsidR="00060557" w:rsidRPr="00BF5FCA">
        <w:rPr>
          <w:rFonts w:ascii="Times New Roman" w:hAnsi="Times New Roman" w:cs="Times New Roman"/>
          <w:color w:val="000000"/>
          <w:lang w:val="en-US"/>
        </w:rPr>
        <w:t>t</w:t>
      </w:r>
      <w:r w:rsidR="003B3F7D" w:rsidRPr="00BF5FCA">
        <w:rPr>
          <w:rFonts w:ascii="Times New Roman" w:hAnsi="Times New Roman" w:cs="Times New Roman"/>
          <w:color w:val="000000"/>
          <w:lang w:val="en-US"/>
        </w:rPr>
        <w:t>he adoption of participatory,</w:t>
      </w:r>
      <w:r w:rsidR="00060557" w:rsidRPr="00BF5FCA">
        <w:rPr>
          <w:rFonts w:ascii="Times New Roman" w:hAnsi="Times New Roman" w:cs="Times New Roman"/>
          <w:color w:val="000000"/>
          <w:lang w:val="en-US"/>
        </w:rPr>
        <w:t xml:space="preserve"> gender-responsive</w:t>
      </w:r>
      <w:r w:rsidR="003B3F7D" w:rsidRPr="00BF5FCA">
        <w:rPr>
          <w:rFonts w:ascii="Times New Roman" w:hAnsi="Times New Roman" w:cs="Times New Roman"/>
          <w:color w:val="000000"/>
          <w:lang w:val="en-US"/>
        </w:rPr>
        <w:t xml:space="preserve"> and inclusive</w:t>
      </w:r>
      <w:r w:rsidR="00060557" w:rsidRPr="00BF5FCA">
        <w:rPr>
          <w:rFonts w:ascii="Times New Roman" w:hAnsi="Times New Roman" w:cs="Times New Roman"/>
          <w:color w:val="000000"/>
          <w:lang w:val="en-US"/>
        </w:rPr>
        <w:t xml:space="preserve"> legislations, policies, strategies and </w:t>
      </w:r>
      <w:proofErr w:type="spellStart"/>
      <w:r w:rsidR="00060557" w:rsidRPr="00BF5FCA">
        <w:rPr>
          <w:rFonts w:ascii="Times New Roman" w:hAnsi="Times New Roman" w:cs="Times New Roman"/>
          <w:color w:val="000000"/>
          <w:lang w:val="en-US"/>
        </w:rPr>
        <w:t>programmes</w:t>
      </w:r>
      <w:proofErr w:type="spellEnd"/>
      <w:r w:rsidR="00060557" w:rsidRPr="00BF5FCA">
        <w:rPr>
          <w:rFonts w:ascii="Times New Roman" w:hAnsi="Times New Roman" w:cs="Times New Roman"/>
          <w:color w:val="000000"/>
          <w:lang w:val="en-US"/>
        </w:rPr>
        <w:t xml:space="preserve"> relating to disaster risk reduction and climate change, across all sectors</w:t>
      </w:r>
      <w:r w:rsidR="00074B96" w:rsidRPr="00BF5FCA">
        <w:rPr>
          <w:rFonts w:ascii="Times New Roman" w:hAnsi="Times New Roman" w:cs="Times New Roman"/>
          <w:color w:val="000000"/>
          <w:lang w:val="en-US"/>
        </w:rPr>
        <w:t>.</w:t>
      </w:r>
      <w:r w:rsidR="00E357CB" w:rsidRPr="00E357CB">
        <w:rPr>
          <w:rFonts w:eastAsia="Times New Roman"/>
          <w:vertAlign w:val="superscript"/>
          <w:lang w:val="en-US"/>
        </w:rPr>
        <w:footnoteReference w:id="8"/>
      </w:r>
      <w:r w:rsidR="00AD10EC" w:rsidRPr="00BF5FCA">
        <w:rPr>
          <w:rFonts w:ascii="Times New Roman" w:eastAsia="Times New Roman" w:hAnsi="Times New Roman" w:cs="Times New Roman"/>
          <w:color w:val="000000"/>
          <w:lang w:val="en-US"/>
        </w:rPr>
        <w:t xml:space="preserve"> </w:t>
      </w:r>
    </w:p>
    <w:p w14:paraId="6582749C" w14:textId="67D13280" w:rsidR="003739A3" w:rsidRPr="00BF5FCA" w:rsidRDefault="003739A3" w:rsidP="00BF5FCA">
      <w:pPr>
        <w:spacing w:line="360" w:lineRule="auto"/>
        <w:jc w:val="both"/>
        <w:rPr>
          <w:rFonts w:ascii="Times New Roman" w:hAnsi="Times New Roman" w:cs="Times New Roman"/>
          <w:lang w:val="en-US"/>
        </w:rPr>
      </w:pPr>
      <w:proofErr w:type="gramStart"/>
      <w:r w:rsidRPr="00BF5FCA">
        <w:rPr>
          <w:rFonts w:ascii="Times New Roman" w:hAnsi="Times New Roman" w:cs="Times New Roman"/>
          <w:lang w:val="en-US"/>
        </w:rPr>
        <w:t xml:space="preserve">The </w:t>
      </w:r>
      <w:r w:rsidR="00526D4F" w:rsidRPr="00BF5FCA">
        <w:rPr>
          <w:rFonts w:ascii="Times New Roman" w:hAnsi="Times New Roman" w:cs="Times New Roman"/>
          <w:lang w:val="en-US"/>
        </w:rPr>
        <w:t xml:space="preserve">2019 </w:t>
      </w:r>
      <w:r w:rsidRPr="00BF5FCA">
        <w:rPr>
          <w:rFonts w:ascii="Times New Roman" w:hAnsi="Times New Roman" w:cs="Times New Roman"/>
          <w:lang w:val="en-US"/>
        </w:rPr>
        <w:t>Committee</w:t>
      </w:r>
      <w:r w:rsidR="001C05E7" w:rsidRPr="00BF5FCA">
        <w:rPr>
          <w:rFonts w:ascii="Times New Roman" w:hAnsi="Times New Roman" w:cs="Times New Roman"/>
          <w:lang w:val="en-US"/>
        </w:rPr>
        <w:t>’s</w:t>
      </w:r>
      <w:r w:rsidRPr="00BF5FCA">
        <w:rPr>
          <w:rFonts w:ascii="Times New Roman" w:hAnsi="Times New Roman" w:cs="Times New Roman"/>
          <w:lang w:val="en-US"/>
        </w:rPr>
        <w:t xml:space="preserve"> </w:t>
      </w:r>
      <w:r w:rsidRPr="00BF5FCA">
        <w:rPr>
          <w:rFonts w:ascii="Times New Roman" w:eastAsia="Times New Roman" w:hAnsi="Times New Roman" w:cs="Times New Roman"/>
          <w:color w:val="000000"/>
          <w:lang w:val="en-US"/>
        </w:rPr>
        <w:t>joint statement</w:t>
      </w:r>
      <w:r w:rsidR="00526D4F" w:rsidRPr="00BF5FCA">
        <w:rPr>
          <w:rFonts w:ascii="Times New Roman" w:eastAsia="Times New Roman" w:hAnsi="Times New Roman" w:cs="Times New Roman"/>
          <w:color w:val="000000"/>
          <w:lang w:val="en-US"/>
        </w:rPr>
        <w:t xml:space="preserve"> </w:t>
      </w:r>
      <w:r w:rsidR="00BF5FCA" w:rsidRPr="00BF5FCA">
        <w:rPr>
          <w:rFonts w:ascii="Times New Roman" w:eastAsia="Times New Roman" w:hAnsi="Times New Roman" w:cs="Times New Roman"/>
          <w:color w:val="000000"/>
          <w:lang w:val="en-US"/>
        </w:rPr>
        <w:t>with</w:t>
      </w:r>
      <w:r w:rsidR="00BF5FCA" w:rsidRPr="00BF5FCA">
        <w:rPr>
          <w:rFonts w:ascii="Times New Roman" w:hAnsi="Times New Roman" w:cs="Times New Roman"/>
        </w:rPr>
        <w:t xml:space="preserve"> the</w:t>
      </w:r>
      <w:r w:rsidR="00526D4F" w:rsidRPr="00BF5FCA">
        <w:rPr>
          <w:rFonts w:ascii="Times New Roman" w:hAnsi="Times New Roman" w:cs="Times New Roman"/>
        </w:rPr>
        <w:t xml:space="preserve"> </w:t>
      </w:r>
      <w:r w:rsidR="00526D4F" w:rsidRPr="00BF5FCA">
        <w:rPr>
          <w:rFonts w:ascii="Times New Roman" w:eastAsia="Times New Roman" w:hAnsi="Times New Roman" w:cs="Times New Roman"/>
          <w:color w:val="000000"/>
          <w:lang w:val="en-US"/>
        </w:rPr>
        <w:t>Committee on Economic, Social and Cultural Rights, the Committee on the Protection of the Rights of All Migrant Workers and Members of their Families, the Committee on the Rights of the Child and the Committee on the Rights of Persons with Disabilities</w:t>
      </w:r>
      <w:r w:rsidR="00C14420" w:rsidRPr="00BF5FCA">
        <w:rPr>
          <w:rFonts w:ascii="Times New Roman" w:eastAsia="Times New Roman" w:hAnsi="Times New Roman" w:cs="Times New Roman"/>
          <w:color w:val="000000"/>
          <w:lang w:val="en-US"/>
        </w:rPr>
        <w:t xml:space="preserve"> </w:t>
      </w:r>
      <w:r w:rsidRPr="00BF5FCA">
        <w:rPr>
          <w:rFonts w:ascii="Times New Roman" w:eastAsia="Times New Roman" w:hAnsi="Times New Roman" w:cs="Times New Roman"/>
          <w:color w:val="000000"/>
          <w:lang w:val="en-US"/>
        </w:rPr>
        <w:t xml:space="preserve">on </w:t>
      </w:r>
      <w:r w:rsidRPr="00BF5FCA">
        <w:rPr>
          <w:rFonts w:ascii="Times New Roman" w:eastAsia="Times New Roman" w:hAnsi="Times New Roman" w:cs="Times New Roman"/>
          <w:bCs/>
          <w:color w:val="000000"/>
          <w:lang w:val="en-US"/>
        </w:rPr>
        <w:t>"Human Rights and Climate Change"</w:t>
      </w:r>
      <w:r w:rsidRPr="00920229">
        <w:rPr>
          <w:rStyle w:val="FootnoteReference"/>
          <w:rFonts w:ascii="Times New Roman" w:eastAsia="Times New Roman" w:hAnsi="Times New Roman" w:cs="Times New Roman"/>
          <w:color w:val="000000"/>
          <w:lang w:val="en-US"/>
        </w:rPr>
        <w:footnoteReference w:id="9"/>
      </w:r>
      <w:r w:rsidR="00074B96" w:rsidRPr="00BF5FCA">
        <w:rPr>
          <w:rFonts w:ascii="Times New Roman" w:eastAsia="Times New Roman" w:hAnsi="Times New Roman" w:cs="Times New Roman"/>
          <w:bCs/>
          <w:color w:val="000000"/>
          <w:lang w:val="en-US"/>
        </w:rPr>
        <w:t xml:space="preserve"> </w:t>
      </w:r>
      <w:r w:rsidR="00074B96" w:rsidRPr="00BF5FCA">
        <w:rPr>
          <w:rFonts w:ascii="Times New Roman" w:hAnsi="Times New Roman" w:cs="Times New Roman"/>
          <w:lang w:val="en-US"/>
        </w:rPr>
        <w:t xml:space="preserve">welcomes the mobilization by civil society and, in particular, by women, </w:t>
      </w:r>
      <w:r w:rsidR="00C14420" w:rsidRPr="00BF5FCA">
        <w:rPr>
          <w:rFonts w:ascii="Times New Roman" w:hAnsi="Times New Roman" w:cs="Times New Roman"/>
          <w:lang w:val="en-US"/>
        </w:rPr>
        <w:t xml:space="preserve">girls </w:t>
      </w:r>
      <w:r w:rsidR="00074B96" w:rsidRPr="00BF5FCA">
        <w:rPr>
          <w:rFonts w:ascii="Times New Roman" w:hAnsi="Times New Roman" w:cs="Times New Roman"/>
          <w:lang w:val="en-US"/>
        </w:rPr>
        <w:t>and youth, urging governments to take more ambitious action</w:t>
      </w:r>
      <w:r w:rsidR="00920A0B" w:rsidRPr="00BF5FCA">
        <w:rPr>
          <w:rFonts w:ascii="Times New Roman" w:hAnsi="Times New Roman" w:cs="Times New Roman"/>
          <w:lang w:val="en-US"/>
        </w:rPr>
        <w:t>s</w:t>
      </w:r>
      <w:r w:rsidR="00074B96" w:rsidRPr="00BF5FCA">
        <w:rPr>
          <w:rFonts w:ascii="Times New Roman" w:hAnsi="Times New Roman" w:cs="Times New Roman"/>
          <w:lang w:val="en-US"/>
        </w:rPr>
        <w:t>.</w:t>
      </w:r>
      <w:proofErr w:type="gramEnd"/>
      <w:r w:rsidR="00074B96" w:rsidRPr="00BF5FCA">
        <w:rPr>
          <w:rFonts w:ascii="Times New Roman" w:hAnsi="Times New Roman" w:cs="Times New Roman"/>
          <w:lang w:val="en-US"/>
        </w:rPr>
        <w:t xml:space="preserve"> </w:t>
      </w:r>
      <w:r w:rsidR="00920A0B" w:rsidRPr="00BF5FCA">
        <w:rPr>
          <w:rFonts w:ascii="Times New Roman" w:hAnsi="Times New Roman" w:cs="Times New Roman"/>
          <w:lang w:val="en-US"/>
        </w:rPr>
        <w:t xml:space="preserve">The Committee strongly believes that ensuring the </w:t>
      </w:r>
      <w:r w:rsidR="00074B96" w:rsidRPr="00BF5FCA">
        <w:rPr>
          <w:rFonts w:ascii="Times New Roman" w:hAnsi="Times New Roman" w:cs="Times New Roman"/>
          <w:lang w:val="en-US"/>
        </w:rPr>
        <w:t xml:space="preserve">participation of </w:t>
      </w:r>
      <w:r w:rsidR="00C14420" w:rsidRPr="00BF5FCA">
        <w:rPr>
          <w:rFonts w:ascii="Times New Roman" w:hAnsi="Times New Roman" w:cs="Times New Roman"/>
          <w:lang w:val="en-US"/>
        </w:rPr>
        <w:t xml:space="preserve">both </w:t>
      </w:r>
      <w:r w:rsidR="00074B96" w:rsidRPr="00BF5FCA">
        <w:rPr>
          <w:rFonts w:ascii="Times New Roman" w:hAnsi="Times New Roman" w:cs="Times New Roman"/>
          <w:lang w:val="en-US"/>
        </w:rPr>
        <w:t xml:space="preserve">rural </w:t>
      </w:r>
      <w:r w:rsidR="00C14420" w:rsidRPr="00BF5FCA">
        <w:rPr>
          <w:rFonts w:ascii="Times New Roman" w:hAnsi="Times New Roman" w:cs="Times New Roman"/>
          <w:lang w:val="en-US"/>
        </w:rPr>
        <w:t xml:space="preserve">and indigenous </w:t>
      </w:r>
      <w:r w:rsidR="00074B96" w:rsidRPr="00BF5FCA">
        <w:rPr>
          <w:rFonts w:ascii="Times New Roman" w:hAnsi="Times New Roman" w:cs="Times New Roman"/>
          <w:lang w:val="en-US"/>
        </w:rPr>
        <w:t>women</w:t>
      </w:r>
      <w:r w:rsidR="00FD1866" w:rsidRPr="00BF5FCA">
        <w:rPr>
          <w:rFonts w:ascii="Times New Roman" w:hAnsi="Times New Roman" w:cs="Times New Roman"/>
          <w:lang w:val="en-US"/>
        </w:rPr>
        <w:t xml:space="preserve"> and protecti</w:t>
      </w:r>
      <w:r w:rsidR="00C14420" w:rsidRPr="00BF5FCA">
        <w:rPr>
          <w:rFonts w:ascii="Times New Roman" w:hAnsi="Times New Roman" w:cs="Times New Roman"/>
          <w:lang w:val="en-US"/>
        </w:rPr>
        <w:t xml:space="preserve">ng </w:t>
      </w:r>
      <w:r w:rsidR="00C329B0" w:rsidRPr="00BF5FCA">
        <w:rPr>
          <w:rFonts w:ascii="Times New Roman" w:hAnsi="Times New Roman" w:cs="Times New Roman"/>
          <w:lang w:val="en-US"/>
        </w:rPr>
        <w:t xml:space="preserve">and promoting </w:t>
      </w:r>
      <w:r w:rsidR="00C14420" w:rsidRPr="00BF5FCA">
        <w:rPr>
          <w:rFonts w:ascii="Times New Roman" w:hAnsi="Times New Roman" w:cs="Times New Roman"/>
          <w:lang w:val="en-US"/>
        </w:rPr>
        <w:t>their role</w:t>
      </w:r>
      <w:r w:rsidR="00FD1866" w:rsidRPr="00BF5FCA">
        <w:rPr>
          <w:rFonts w:ascii="Times New Roman" w:hAnsi="Times New Roman" w:cs="Times New Roman"/>
          <w:lang w:val="en-US"/>
        </w:rPr>
        <w:t xml:space="preserve"> as human rights defenders</w:t>
      </w:r>
      <w:r w:rsidR="00920A0B" w:rsidRPr="00BF5FCA">
        <w:rPr>
          <w:rFonts w:ascii="Times New Roman" w:hAnsi="Times New Roman" w:cs="Times New Roman"/>
          <w:lang w:val="en-US"/>
        </w:rPr>
        <w:t xml:space="preserve"> is </w:t>
      </w:r>
      <w:r w:rsidR="00FD1866" w:rsidRPr="00BF5FCA">
        <w:rPr>
          <w:rFonts w:ascii="Times New Roman" w:hAnsi="Times New Roman" w:cs="Times New Roman"/>
          <w:lang w:val="en-US"/>
        </w:rPr>
        <w:t>strategic</w:t>
      </w:r>
      <w:r w:rsidR="00920A0B" w:rsidRPr="00BF5FCA">
        <w:rPr>
          <w:rFonts w:ascii="Times New Roman" w:hAnsi="Times New Roman" w:cs="Times New Roman"/>
          <w:lang w:val="en-US"/>
        </w:rPr>
        <w:t xml:space="preserve"> </w:t>
      </w:r>
      <w:r w:rsidR="00FD1866" w:rsidRPr="00BF5FCA">
        <w:rPr>
          <w:rFonts w:ascii="Times New Roman" w:hAnsi="Times New Roman" w:cs="Times New Roman"/>
          <w:lang w:val="en-US"/>
        </w:rPr>
        <w:t>and will ensure</w:t>
      </w:r>
      <w:r w:rsidR="00533D42" w:rsidRPr="00BF5FCA">
        <w:rPr>
          <w:rFonts w:ascii="Times New Roman" w:hAnsi="Times New Roman" w:cs="Times New Roman"/>
          <w:lang w:val="en-US"/>
        </w:rPr>
        <w:t xml:space="preserve"> an approach that </w:t>
      </w:r>
      <w:r w:rsidR="00FD1866" w:rsidRPr="00BF5FCA">
        <w:rPr>
          <w:rFonts w:ascii="Times New Roman" w:hAnsi="Times New Roman" w:cs="Times New Roman"/>
          <w:lang w:val="en-US"/>
        </w:rPr>
        <w:t xml:space="preserve">fully </w:t>
      </w:r>
      <w:r w:rsidR="00074B96" w:rsidRPr="00BF5FCA">
        <w:rPr>
          <w:rFonts w:ascii="Times New Roman" w:hAnsi="Times New Roman" w:cs="Times New Roman"/>
          <w:lang w:val="en-US"/>
        </w:rPr>
        <w:t>captur</w:t>
      </w:r>
      <w:r w:rsidR="00FD1866" w:rsidRPr="00BF5FCA">
        <w:rPr>
          <w:rFonts w:ascii="Times New Roman" w:hAnsi="Times New Roman" w:cs="Times New Roman"/>
          <w:lang w:val="en-US"/>
        </w:rPr>
        <w:t>es</w:t>
      </w:r>
      <w:r w:rsidR="00074B96" w:rsidRPr="00BF5FCA">
        <w:rPr>
          <w:rFonts w:ascii="Times New Roman" w:hAnsi="Times New Roman" w:cs="Times New Roman"/>
          <w:lang w:val="en-US"/>
        </w:rPr>
        <w:t xml:space="preserve"> their </w:t>
      </w:r>
      <w:r w:rsidR="00FD1866" w:rsidRPr="00BF5FCA">
        <w:rPr>
          <w:rFonts w:ascii="Times New Roman" w:hAnsi="Times New Roman" w:cs="Times New Roman"/>
          <w:lang w:val="en-US"/>
        </w:rPr>
        <w:t xml:space="preserve">direct </w:t>
      </w:r>
      <w:r w:rsidR="00ED2D9D" w:rsidRPr="00BF5FCA">
        <w:rPr>
          <w:rFonts w:ascii="Times New Roman" w:hAnsi="Times New Roman" w:cs="Times New Roman"/>
          <w:lang w:val="en-US"/>
        </w:rPr>
        <w:t>experiences</w:t>
      </w:r>
      <w:r w:rsidR="00C329B0" w:rsidRPr="00BF5FCA">
        <w:rPr>
          <w:rFonts w:ascii="Times New Roman" w:hAnsi="Times New Roman" w:cs="Times New Roman"/>
          <w:lang w:val="en-US"/>
        </w:rPr>
        <w:t xml:space="preserve"> and ancestral knowledge,</w:t>
      </w:r>
      <w:r w:rsidR="00FD1866" w:rsidRPr="00BF5FCA">
        <w:rPr>
          <w:rFonts w:ascii="Times New Roman" w:hAnsi="Times New Roman" w:cs="Times New Roman"/>
          <w:lang w:val="en-US"/>
        </w:rPr>
        <w:t xml:space="preserve"> </w:t>
      </w:r>
      <w:r w:rsidR="00ED2D9D" w:rsidRPr="00BF5FCA">
        <w:rPr>
          <w:rFonts w:ascii="Times New Roman" w:hAnsi="Times New Roman" w:cs="Times New Roman"/>
          <w:lang w:val="en-US"/>
        </w:rPr>
        <w:t xml:space="preserve">and triggers better-empowering </w:t>
      </w:r>
      <w:r w:rsidR="00074B96" w:rsidRPr="00BF5FCA">
        <w:rPr>
          <w:rFonts w:ascii="Times New Roman" w:hAnsi="Times New Roman" w:cs="Times New Roman"/>
          <w:lang w:val="en-US"/>
        </w:rPr>
        <w:t xml:space="preserve">policies. </w:t>
      </w:r>
    </w:p>
    <w:p w14:paraId="06E2C35B" w14:textId="77777777" w:rsidR="000A3629" w:rsidRPr="000A3629" w:rsidRDefault="000A3629" w:rsidP="000A3629">
      <w:pPr>
        <w:pStyle w:val="ListParagraph"/>
        <w:rPr>
          <w:rFonts w:ascii="Times New Roman" w:hAnsi="Times New Roman" w:cs="Times New Roman"/>
          <w:lang w:val="en-US"/>
        </w:rPr>
      </w:pPr>
    </w:p>
    <w:p w14:paraId="5E842CB2" w14:textId="2FA2C907" w:rsidR="00615111" w:rsidRPr="00BF5FCA" w:rsidRDefault="00074B96" w:rsidP="00BF5FCA">
      <w:pPr>
        <w:spacing w:before="100" w:beforeAutospacing="1" w:after="100" w:afterAutospacing="1" w:line="360" w:lineRule="auto"/>
        <w:jc w:val="both"/>
        <w:rPr>
          <w:rFonts w:ascii="Times New Roman" w:eastAsia="Times New Roman" w:hAnsi="Times New Roman" w:cs="Times New Roman"/>
          <w:color w:val="000000"/>
          <w:lang w:val="en-US"/>
        </w:rPr>
      </w:pPr>
      <w:r w:rsidRPr="00BF5FCA">
        <w:rPr>
          <w:rFonts w:ascii="Times New Roman" w:eastAsia="Times New Roman" w:hAnsi="Times New Roman" w:cs="Times New Roman"/>
          <w:color w:val="000000"/>
          <w:lang w:val="en-US"/>
        </w:rPr>
        <w:t xml:space="preserve">The Committee </w:t>
      </w:r>
      <w:r w:rsidR="00FD1866" w:rsidRPr="00BF5FCA">
        <w:rPr>
          <w:rFonts w:ascii="Times New Roman" w:eastAsia="Times New Roman" w:hAnsi="Times New Roman" w:cs="Times New Roman"/>
          <w:color w:val="000000"/>
          <w:lang w:val="en-US"/>
        </w:rPr>
        <w:t>identifies</w:t>
      </w:r>
      <w:r w:rsidRPr="00BF5FCA">
        <w:rPr>
          <w:rFonts w:ascii="Times New Roman" w:eastAsia="Times New Roman" w:hAnsi="Times New Roman" w:cs="Times New Roman"/>
          <w:color w:val="000000"/>
          <w:lang w:val="en-US"/>
        </w:rPr>
        <w:t xml:space="preserve"> women as agents of change and essential partners in local, national and international efforts to tac</w:t>
      </w:r>
      <w:r w:rsidR="00ED2D9D" w:rsidRPr="00BF5FCA">
        <w:rPr>
          <w:rFonts w:ascii="Times New Roman" w:eastAsia="Times New Roman" w:hAnsi="Times New Roman" w:cs="Times New Roman"/>
          <w:color w:val="000000"/>
          <w:lang w:val="en-US"/>
        </w:rPr>
        <w:t>kle climate change, rather than</w:t>
      </w:r>
      <w:r w:rsidR="00FD1866" w:rsidRPr="00BF5FCA">
        <w:rPr>
          <w:rFonts w:ascii="Times New Roman" w:eastAsia="Times New Roman" w:hAnsi="Times New Roman" w:cs="Times New Roman"/>
          <w:color w:val="000000"/>
          <w:lang w:val="en-US"/>
        </w:rPr>
        <w:t xml:space="preserve"> </w:t>
      </w:r>
      <w:r w:rsidRPr="00BF5FCA">
        <w:rPr>
          <w:rFonts w:ascii="Times New Roman" w:eastAsia="Times New Roman" w:hAnsi="Times New Roman" w:cs="Times New Roman"/>
          <w:color w:val="000000"/>
          <w:lang w:val="en-US"/>
        </w:rPr>
        <w:t xml:space="preserve">as </w:t>
      </w:r>
      <w:r w:rsidR="00FD1866" w:rsidRPr="00BF5FCA">
        <w:rPr>
          <w:rFonts w:ascii="Times New Roman" w:eastAsia="Times New Roman" w:hAnsi="Times New Roman" w:cs="Times New Roman"/>
          <w:color w:val="000000"/>
          <w:lang w:val="en-US"/>
        </w:rPr>
        <w:t xml:space="preserve">mere </w:t>
      </w:r>
      <w:r w:rsidRPr="00BF5FCA">
        <w:rPr>
          <w:rFonts w:ascii="Times New Roman" w:eastAsia="Times New Roman" w:hAnsi="Times New Roman" w:cs="Times New Roman"/>
          <w:color w:val="000000"/>
          <w:lang w:val="en-US"/>
        </w:rPr>
        <w:t>victims</w:t>
      </w:r>
      <w:r w:rsidR="00F8598D" w:rsidRPr="00BF5FCA">
        <w:rPr>
          <w:rFonts w:ascii="Times New Roman" w:eastAsia="Times New Roman" w:hAnsi="Times New Roman" w:cs="Times New Roman"/>
          <w:color w:val="000000"/>
          <w:lang w:val="en-US"/>
        </w:rPr>
        <w:t>.</w:t>
      </w:r>
      <w:r w:rsidR="00F8598D" w:rsidRPr="00920229">
        <w:rPr>
          <w:vertAlign w:val="superscript"/>
          <w:lang w:val="en-US"/>
        </w:rPr>
        <w:footnoteReference w:id="10"/>
      </w:r>
      <w:r w:rsidR="00F8598D" w:rsidRPr="00BF5FCA">
        <w:rPr>
          <w:rFonts w:ascii="Times New Roman" w:eastAsia="Times New Roman" w:hAnsi="Times New Roman" w:cs="Times New Roman"/>
          <w:color w:val="000000"/>
          <w:vertAlign w:val="superscript"/>
          <w:lang w:val="en-US"/>
        </w:rPr>
        <w:t xml:space="preserve"> </w:t>
      </w:r>
      <w:r w:rsidRPr="00BF5FCA">
        <w:rPr>
          <w:rFonts w:ascii="Times New Roman" w:hAnsi="Times New Roman" w:cs="Times New Roman"/>
          <w:lang w:val="en-US"/>
        </w:rPr>
        <w:t xml:space="preserve">In this regard, the Committee restates the importance of strengthening </w:t>
      </w:r>
      <w:proofErr w:type="gramStart"/>
      <w:r w:rsidRPr="00BF5FCA">
        <w:rPr>
          <w:rFonts w:ascii="Times New Roman" w:hAnsi="Times New Roman" w:cs="Times New Roman"/>
          <w:lang w:val="en-US"/>
        </w:rPr>
        <w:t>women's</w:t>
      </w:r>
      <w:proofErr w:type="gramEnd"/>
      <w:r w:rsidRPr="00BF5FCA">
        <w:rPr>
          <w:rFonts w:ascii="Times New Roman" w:hAnsi="Times New Roman" w:cs="Times New Roman"/>
          <w:lang w:val="en-US"/>
        </w:rPr>
        <w:t xml:space="preserve"> and girls' access to education on STEM</w:t>
      </w:r>
      <w:r w:rsidR="00C329B0" w:rsidRPr="00BF5FCA">
        <w:rPr>
          <w:rFonts w:ascii="Times New Roman" w:hAnsi="Times New Roman" w:cs="Times New Roman"/>
          <w:lang w:val="en-US"/>
        </w:rPr>
        <w:t>, digital technologies and other disciplines related to the environment and climate change</w:t>
      </w:r>
      <w:r w:rsidRPr="00BF5FCA">
        <w:rPr>
          <w:rFonts w:ascii="Times New Roman" w:hAnsi="Times New Roman" w:cs="Times New Roman"/>
          <w:lang w:val="en-US"/>
        </w:rPr>
        <w:t xml:space="preserve"> </w:t>
      </w:r>
      <w:r w:rsidR="00C329B0" w:rsidRPr="00BF5FCA">
        <w:rPr>
          <w:rFonts w:ascii="Times New Roman" w:hAnsi="Times New Roman" w:cs="Times New Roman"/>
          <w:lang w:val="en-US"/>
        </w:rPr>
        <w:t xml:space="preserve">to </w:t>
      </w:r>
      <w:r w:rsidR="006310C0" w:rsidRPr="00BF5FCA">
        <w:rPr>
          <w:rFonts w:ascii="Times New Roman" w:hAnsi="Times New Roman" w:cs="Times New Roman"/>
          <w:lang w:val="en-US"/>
        </w:rPr>
        <w:t>take</w:t>
      </w:r>
      <w:r w:rsidRPr="00BF5FCA">
        <w:rPr>
          <w:rFonts w:ascii="Times New Roman" w:hAnsi="Times New Roman" w:cs="Times New Roman"/>
          <w:lang w:val="en-US"/>
        </w:rPr>
        <w:t xml:space="preserve"> active part in such </w:t>
      </w:r>
      <w:r w:rsidRPr="00BF5FCA">
        <w:rPr>
          <w:rFonts w:ascii="Times New Roman" w:hAnsi="Times New Roman" w:cs="Times New Roman"/>
          <w:lang w:val="en-US"/>
        </w:rPr>
        <w:lastRenderedPageBreak/>
        <w:t>discussions</w:t>
      </w:r>
      <w:r w:rsidR="00F8598D" w:rsidRPr="00920229">
        <w:rPr>
          <w:rStyle w:val="FootnoteReference"/>
          <w:rFonts w:ascii="Times New Roman" w:hAnsi="Times New Roman" w:cs="Times New Roman"/>
          <w:lang w:val="en-US"/>
        </w:rPr>
        <w:footnoteReference w:id="11"/>
      </w:r>
      <w:r w:rsidR="00F8598D" w:rsidRPr="00BF5FCA">
        <w:rPr>
          <w:rFonts w:ascii="Times New Roman" w:hAnsi="Times New Roman" w:cs="Times New Roman"/>
          <w:lang w:val="en-US"/>
        </w:rPr>
        <w:t xml:space="preserve">, </w:t>
      </w:r>
      <w:r w:rsidR="00B94062" w:rsidRPr="00BF5FCA">
        <w:rPr>
          <w:rFonts w:ascii="Times New Roman" w:hAnsi="Times New Roman" w:cs="Times New Roman"/>
          <w:lang w:val="en-US"/>
        </w:rPr>
        <w:t xml:space="preserve">and recommends </w:t>
      </w:r>
      <w:r w:rsidR="00F8598D" w:rsidRPr="00BF5FCA">
        <w:rPr>
          <w:rFonts w:ascii="Times New Roman" w:hAnsi="Times New Roman" w:cs="Times New Roman"/>
          <w:lang w:val="en-US"/>
        </w:rPr>
        <w:t xml:space="preserve">adopting an inclusive approach </w:t>
      </w:r>
      <w:r w:rsidR="00B94062" w:rsidRPr="00BF5FCA">
        <w:rPr>
          <w:rFonts w:ascii="Times New Roman" w:hAnsi="Times New Roman" w:cs="Times New Roman"/>
          <w:lang w:val="en-US"/>
        </w:rPr>
        <w:t xml:space="preserve">that </w:t>
      </w:r>
      <w:r w:rsidR="00F8598D" w:rsidRPr="00BF5FCA">
        <w:rPr>
          <w:rFonts w:ascii="Times New Roman" w:hAnsi="Times New Roman" w:cs="Times New Roman"/>
          <w:lang w:val="en-US"/>
        </w:rPr>
        <w:t>capture</w:t>
      </w:r>
      <w:r w:rsidR="00B94062" w:rsidRPr="00BF5FCA">
        <w:rPr>
          <w:rFonts w:ascii="Times New Roman" w:hAnsi="Times New Roman" w:cs="Times New Roman"/>
          <w:lang w:val="en-US"/>
        </w:rPr>
        <w:t>s</w:t>
      </w:r>
      <w:r w:rsidR="00F8598D" w:rsidRPr="00BF5FCA">
        <w:rPr>
          <w:rFonts w:ascii="Times New Roman" w:hAnsi="Times New Roman" w:cs="Times New Roman"/>
          <w:lang w:val="en-US"/>
        </w:rPr>
        <w:t xml:space="preserve"> the environment through a lens of </w:t>
      </w:r>
      <w:r w:rsidR="00C329B0" w:rsidRPr="00BF5FCA">
        <w:rPr>
          <w:rFonts w:ascii="Times New Roman" w:hAnsi="Times New Roman" w:cs="Times New Roman"/>
          <w:lang w:val="en-US"/>
        </w:rPr>
        <w:t xml:space="preserve">gender, </w:t>
      </w:r>
      <w:r w:rsidR="00F8598D" w:rsidRPr="00BF5FCA">
        <w:rPr>
          <w:rFonts w:ascii="Times New Roman" w:hAnsi="Times New Roman" w:cs="Times New Roman"/>
          <w:lang w:val="en-US"/>
        </w:rPr>
        <w:t>social and economic relationships.</w:t>
      </w:r>
      <w:r w:rsidR="00B94062">
        <w:rPr>
          <w:rStyle w:val="FootnoteReference"/>
          <w:rFonts w:ascii="Times New Roman" w:hAnsi="Times New Roman" w:cs="Times New Roman"/>
          <w:lang w:val="en-US"/>
        </w:rPr>
        <w:footnoteReference w:id="12"/>
      </w:r>
      <w:r w:rsidR="00F8598D" w:rsidRPr="00BF5FCA">
        <w:rPr>
          <w:rFonts w:ascii="Times New Roman" w:hAnsi="Times New Roman" w:cs="Times New Roman"/>
          <w:lang w:val="en-US"/>
        </w:rPr>
        <w:t xml:space="preserve"> </w:t>
      </w:r>
    </w:p>
    <w:p w14:paraId="20AC0197" w14:textId="18A51F10" w:rsidR="008A77EC" w:rsidRPr="00BF5FCA" w:rsidRDefault="00432EAE" w:rsidP="00BF5FCA">
      <w:pPr>
        <w:spacing w:line="360" w:lineRule="auto"/>
        <w:jc w:val="both"/>
        <w:rPr>
          <w:rFonts w:ascii="Times New Roman" w:hAnsi="Times New Roman" w:cs="Times New Roman"/>
          <w:lang w:val="en-US"/>
        </w:rPr>
      </w:pPr>
      <w:r w:rsidRPr="00BF5FCA">
        <w:rPr>
          <w:rFonts w:ascii="Times New Roman" w:hAnsi="Times New Roman" w:cs="Times New Roman"/>
          <w:i/>
          <w:lang w:val="en-US"/>
        </w:rPr>
        <w:t>Finally,</w:t>
      </w:r>
      <w:r w:rsidRPr="00BF5FCA">
        <w:rPr>
          <w:rFonts w:ascii="Times New Roman" w:hAnsi="Times New Roman" w:cs="Times New Roman"/>
          <w:lang w:val="en-US"/>
        </w:rPr>
        <w:t xml:space="preserve"> </w:t>
      </w:r>
      <w:r w:rsidRPr="00BF5FCA">
        <w:rPr>
          <w:rFonts w:ascii="Times New Roman" w:hAnsi="Times New Roman" w:cs="Times New Roman"/>
          <w:b/>
          <w:i/>
          <w:lang w:val="en-US"/>
        </w:rPr>
        <w:t xml:space="preserve">regarding </w:t>
      </w:r>
      <w:r w:rsidR="006310C0" w:rsidRPr="00BF5FCA">
        <w:rPr>
          <w:rFonts w:ascii="Times New Roman" w:hAnsi="Times New Roman" w:cs="Times New Roman"/>
          <w:b/>
          <w:i/>
          <w:lang w:val="en-US"/>
        </w:rPr>
        <w:t xml:space="preserve">the </w:t>
      </w:r>
      <w:r w:rsidRPr="00BF5FCA">
        <w:rPr>
          <w:rFonts w:ascii="Times New Roman" w:hAnsi="Times New Roman" w:cs="Times New Roman"/>
          <w:b/>
          <w:i/>
          <w:lang w:val="en-US"/>
        </w:rPr>
        <w:t>girl</w:t>
      </w:r>
      <w:r w:rsidR="00B807A6" w:rsidRPr="00BF5FCA">
        <w:rPr>
          <w:rFonts w:ascii="Times New Roman" w:hAnsi="Times New Roman" w:cs="Times New Roman"/>
          <w:b/>
          <w:i/>
          <w:lang w:val="en-US"/>
        </w:rPr>
        <w:t xml:space="preserve"> child</w:t>
      </w:r>
      <w:r w:rsidRPr="00BF5FCA">
        <w:rPr>
          <w:rFonts w:ascii="Times New Roman" w:hAnsi="Times New Roman" w:cs="Times New Roman"/>
          <w:lang w:val="en-US"/>
        </w:rPr>
        <w:t xml:space="preserve">, </w:t>
      </w:r>
      <w:r w:rsidR="00BB7373" w:rsidRPr="00BF5FCA">
        <w:rPr>
          <w:rFonts w:ascii="Times New Roman" w:hAnsi="Times New Roman" w:cs="Times New Roman"/>
          <w:lang w:val="en-US"/>
        </w:rPr>
        <w:t>the Convention reflects a life-cycle approa</w:t>
      </w:r>
      <w:r w:rsidR="00C67649" w:rsidRPr="00BF5FCA">
        <w:rPr>
          <w:rFonts w:ascii="Times New Roman" w:hAnsi="Times New Roman" w:cs="Times New Roman"/>
          <w:lang w:val="en-US"/>
        </w:rPr>
        <w:t>ch, and as such, requires State</w:t>
      </w:r>
      <w:r w:rsidR="00A0277F" w:rsidRPr="00BF5FCA">
        <w:rPr>
          <w:rFonts w:ascii="Times New Roman" w:hAnsi="Times New Roman" w:cs="Times New Roman"/>
          <w:lang w:val="en-US"/>
        </w:rPr>
        <w:t>s</w:t>
      </w:r>
      <w:r w:rsidR="00BB7373" w:rsidRPr="00BF5FCA">
        <w:rPr>
          <w:rFonts w:ascii="Times New Roman" w:hAnsi="Times New Roman" w:cs="Times New Roman"/>
          <w:lang w:val="en-US"/>
        </w:rPr>
        <w:t xml:space="preserve"> parties to address the rights</w:t>
      </w:r>
      <w:r w:rsidR="008A77EC" w:rsidRPr="00BF5FCA">
        <w:rPr>
          <w:rFonts w:ascii="Times New Roman" w:hAnsi="Times New Roman" w:cs="Times New Roman"/>
          <w:lang w:val="en-US"/>
        </w:rPr>
        <w:t xml:space="preserve">, their </w:t>
      </w:r>
      <w:r w:rsidR="00BB7373" w:rsidRPr="00BF5FCA">
        <w:rPr>
          <w:rFonts w:ascii="Times New Roman" w:hAnsi="Times New Roman" w:cs="Times New Roman"/>
          <w:lang w:val="en-US"/>
        </w:rPr>
        <w:t>distinct needs of girls</w:t>
      </w:r>
      <w:r w:rsidR="008A77EC" w:rsidRPr="00BF5FCA">
        <w:rPr>
          <w:rFonts w:ascii="Times New Roman" w:hAnsi="Times New Roman" w:cs="Times New Roman"/>
          <w:lang w:val="en-US"/>
        </w:rPr>
        <w:t xml:space="preserve"> and to ensure their empowerment</w:t>
      </w:r>
      <w:r w:rsidR="00BB7373" w:rsidRPr="00BF5FCA">
        <w:rPr>
          <w:rFonts w:ascii="Times New Roman" w:hAnsi="Times New Roman" w:cs="Times New Roman"/>
          <w:lang w:val="en-US"/>
        </w:rPr>
        <w:t xml:space="preserve">. </w:t>
      </w:r>
      <w:proofErr w:type="gramStart"/>
      <w:r w:rsidR="008A77EC" w:rsidRPr="00BF5FCA">
        <w:rPr>
          <w:rFonts w:ascii="Times New Roman" w:hAnsi="Times New Roman" w:cs="Times New Roman"/>
          <w:lang w:val="en-US"/>
        </w:rPr>
        <w:t>T</w:t>
      </w:r>
      <w:r w:rsidR="00BB7373" w:rsidRPr="00BF5FCA">
        <w:rPr>
          <w:rFonts w:ascii="Times New Roman" w:hAnsi="Times New Roman" w:cs="Times New Roman"/>
          <w:lang w:val="en-US"/>
        </w:rPr>
        <w:t xml:space="preserve">he Committee </w:t>
      </w:r>
      <w:r w:rsidR="008A77EC" w:rsidRPr="00BF5FCA">
        <w:rPr>
          <w:rFonts w:ascii="Times New Roman" w:hAnsi="Times New Roman" w:cs="Times New Roman"/>
          <w:lang w:val="en-US"/>
        </w:rPr>
        <w:t xml:space="preserve">has </w:t>
      </w:r>
      <w:r w:rsidR="00BB7373" w:rsidRPr="00BF5FCA">
        <w:rPr>
          <w:rFonts w:ascii="Times New Roman" w:hAnsi="Times New Roman" w:cs="Times New Roman"/>
          <w:lang w:val="en-US"/>
        </w:rPr>
        <w:t xml:space="preserve">adopted a </w:t>
      </w:r>
      <w:r w:rsidR="006310C0" w:rsidRPr="00BF5FCA">
        <w:rPr>
          <w:rFonts w:ascii="Times New Roman" w:hAnsi="Times New Roman" w:cs="Times New Roman"/>
          <w:lang w:val="en-US"/>
        </w:rPr>
        <w:t xml:space="preserve">joint </w:t>
      </w:r>
      <w:r w:rsidR="00BB7373" w:rsidRPr="00BF5FCA">
        <w:rPr>
          <w:rFonts w:ascii="Times New Roman" w:hAnsi="Times New Roman" w:cs="Times New Roman"/>
          <w:lang w:val="en-US"/>
        </w:rPr>
        <w:t>general recommendation with the Committee on the Rights of the Child on harmful practices</w:t>
      </w:r>
      <w:r w:rsidR="007043D6" w:rsidRPr="00BF5FCA">
        <w:rPr>
          <w:rFonts w:ascii="Times New Roman" w:hAnsi="Times New Roman" w:cs="Times New Roman"/>
          <w:lang w:val="en-US"/>
        </w:rPr>
        <w:t xml:space="preserve"> (</w:t>
      </w:r>
      <w:r w:rsidR="00E917F1" w:rsidRPr="00BF5FCA">
        <w:rPr>
          <w:rFonts w:ascii="Times New Roman" w:hAnsi="Times New Roman" w:cs="Times New Roman"/>
          <w:lang w:val="en-US"/>
        </w:rPr>
        <w:t>Joint general recommendation No. 31 of the Committee on the Elimination of Discrimination against Women/general comment No. 18 of the Committee on the Rights of the Child on harmful practices</w:t>
      </w:r>
      <w:r w:rsidR="00BB7373" w:rsidRPr="00BF5FCA">
        <w:rPr>
          <w:rFonts w:ascii="Times New Roman" w:hAnsi="Times New Roman" w:cs="Times New Roman"/>
          <w:lang w:val="en-US"/>
        </w:rPr>
        <w:t>)</w:t>
      </w:r>
      <w:r w:rsidR="008A77EC" w:rsidRPr="00BF5FCA">
        <w:rPr>
          <w:rFonts w:ascii="Times New Roman" w:hAnsi="Times New Roman" w:cs="Times New Roman"/>
          <w:lang w:val="en-US"/>
        </w:rPr>
        <w:t xml:space="preserve"> to protect girls in order to remove obstacles that prevent the fulfillment of their potential</w:t>
      </w:r>
      <w:r w:rsidR="005A4FBB" w:rsidRPr="00BF5FCA">
        <w:rPr>
          <w:rFonts w:ascii="Times New Roman" w:hAnsi="Times New Roman" w:cs="Times New Roman"/>
          <w:lang w:val="en-US"/>
        </w:rPr>
        <w:t>.</w:t>
      </w:r>
      <w:proofErr w:type="gramEnd"/>
      <w:r w:rsidR="00BB7373" w:rsidRPr="00BF5FCA">
        <w:rPr>
          <w:rFonts w:ascii="Times New Roman" w:hAnsi="Times New Roman" w:cs="Times New Roman"/>
          <w:lang w:val="en-US"/>
        </w:rPr>
        <w:t xml:space="preserve"> </w:t>
      </w:r>
      <w:r w:rsidR="00647B7D" w:rsidRPr="00BF5FCA">
        <w:rPr>
          <w:rFonts w:ascii="Times New Roman" w:hAnsi="Times New Roman" w:cs="Times New Roman"/>
          <w:lang w:val="en-US"/>
        </w:rPr>
        <w:t xml:space="preserve">The Committee specifically considers the rights of girls in relation to education by recommending greater enrollment </w:t>
      </w:r>
      <w:r w:rsidR="00065DCE" w:rsidRPr="00BF5FCA">
        <w:rPr>
          <w:rFonts w:ascii="Times New Roman" w:hAnsi="Times New Roman" w:cs="Times New Roman"/>
          <w:lang w:val="en-US"/>
        </w:rPr>
        <w:t xml:space="preserve">and </w:t>
      </w:r>
      <w:r w:rsidR="00647B7D" w:rsidRPr="00BF5FCA">
        <w:rPr>
          <w:rFonts w:ascii="Times New Roman" w:hAnsi="Times New Roman" w:cs="Times New Roman"/>
          <w:lang w:val="en-US"/>
        </w:rPr>
        <w:t xml:space="preserve">involvement </w:t>
      </w:r>
      <w:r w:rsidR="00065DCE" w:rsidRPr="00BF5FCA">
        <w:rPr>
          <w:rFonts w:ascii="Times New Roman" w:hAnsi="Times New Roman" w:cs="Times New Roman"/>
          <w:lang w:val="en-US"/>
        </w:rPr>
        <w:t xml:space="preserve">of girls </w:t>
      </w:r>
      <w:r w:rsidR="00647B7D" w:rsidRPr="00BF5FCA">
        <w:rPr>
          <w:rFonts w:ascii="Times New Roman" w:hAnsi="Times New Roman" w:cs="Times New Roman"/>
          <w:lang w:val="en-US"/>
        </w:rPr>
        <w:t xml:space="preserve">in digital technologies. It also addresses gender-based violence, access to justice, and in the context of conflict, asylum, climate change and climate-induced disasters. On several </w:t>
      </w:r>
      <w:proofErr w:type="gramStart"/>
      <w:r w:rsidR="00647B7D" w:rsidRPr="00BF5FCA">
        <w:rPr>
          <w:rFonts w:ascii="Times New Roman" w:hAnsi="Times New Roman" w:cs="Times New Roman"/>
          <w:lang w:val="en-US"/>
        </w:rPr>
        <w:t>occasions</w:t>
      </w:r>
      <w:proofErr w:type="gramEnd"/>
      <w:r w:rsidR="00647B7D" w:rsidRPr="00BF5FCA">
        <w:rPr>
          <w:rFonts w:ascii="Times New Roman" w:hAnsi="Times New Roman" w:cs="Times New Roman"/>
          <w:lang w:val="en-US"/>
        </w:rPr>
        <w:t xml:space="preserve"> the Committee urged State parties to integrate into school curricula inclusive and accessible content on gender equality and age-appropriate education on sexual and reproductive health and rights, including comprehensive sexuality education for adolescent girls and boys.</w:t>
      </w:r>
      <w:r w:rsidR="00647B7D" w:rsidRPr="00BF5FCA">
        <w:rPr>
          <w:lang w:val="en-US"/>
        </w:rPr>
        <w:t xml:space="preserve"> </w:t>
      </w:r>
    </w:p>
    <w:p w14:paraId="75E2B642" w14:textId="11A56369" w:rsidR="00BB7373" w:rsidRPr="008A77EC" w:rsidRDefault="008A77EC" w:rsidP="008A77EC">
      <w:pPr>
        <w:spacing w:line="360" w:lineRule="auto"/>
        <w:rPr>
          <w:rFonts w:ascii="Times New Roman" w:hAnsi="Times New Roman" w:cs="Times New Roman"/>
          <w:b/>
          <w:lang w:val="en-US"/>
        </w:rPr>
      </w:pPr>
      <w:r w:rsidRPr="008A77EC">
        <w:rPr>
          <w:rFonts w:ascii="Times New Roman" w:hAnsi="Times New Roman" w:cs="Times New Roman"/>
          <w:lang w:val="en-US"/>
        </w:rPr>
        <w:t xml:space="preserve"> </w:t>
      </w:r>
    </w:p>
    <w:p w14:paraId="67B52609" w14:textId="4FC59228" w:rsidR="00EA412E" w:rsidRPr="00920229" w:rsidRDefault="00123707" w:rsidP="00901CD8">
      <w:pPr>
        <w:spacing w:line="360" w:lineRule="auto"/>
        <w:rPr>
          <w:rFonts w:ascii="Times New Roman" w:hAnsi="Times New Roman" w:cs="Times New Roman"/>
          <w:b/>
          <w:lang w:val="en-US"/>
        </w:rPr>
      </w:pPr>
      <w:r>
        <w:rPr>
          <w:rFonts w:ascii="Times New Roman" w:hAnsi="Times New Roman" w:cs="Times New Roman"/>
          <w:b/>
          <w:lang w:val="en-US"/>
        </w:rPr>
        <w:t>C</w:t>
      </w:r>
      <w:r w:rsidR="00EA412E" w:rsidRPr="00920229">
        <w:rPr>
          <w:rFonts w:ascii="Times New Roman" w:hAnsi="Times New Roman" w:cs="Times New Roman"/>
          <w:b/>
          <w:lang w:val="en-US"/>
        </w:rPr>
        <w:t xml:space="preserve">. Persistent </w:t>
      </w:r>
      <w:r w:rsidR="00065DCE">
        <w:rPr>
          <w:rFonts w:ascii="Times New Roman" w:hAnsi="Times New Roman" w:cs="Times New Roman"/>
          <w:b/>
          <w:lang w:val="en-US"/>
        </w:rPr>
        <w:t>and emerging challenges</w:t>
      </w:r>
      <w:r w:rsidR="00EA412E" w:rsidRPr="00920229">
        <w:rPr>
          <w:rFonts w:ascii="Times New Roman" w:hAnsi="Times New Roman" w:cs="Times New Roman"/>
          <w:b/>
          <w:lang w:val="en-US"/>
        </w:rPr>
        <w:t xml:space="preserve"> </w:t>
      </w:r>
    </w:p>
    <w:p w14:paraId="06F3789C" w14:textId="20D19C4F" w:rsidR="00BB7373" w:rsidRDefault="00BB7373" w:rsidP="00BF5FCA">
      <w:pPr>
        <w:pStyle w:val="NormalWeb"/>
        <w:spacing w:line="360" w:lineRule="auto"/>
        <w:jc w:val="both"/>
        <w:rPr>
          <w:lang w:val="en-US"/>
        </w:rPr>
      </w:pPr>
      <w:r w:rsidRPr="00BB7373">
        <w:rPr>
          <w:lang w:val="en-US"/>
        </w:rPr>
        <w:t>The Committee recognizes that in spite of all efforts, each of th</w:t>
      </w:r>
      <w:r w:rsidR="005A4FBB">
        <w:rPr>
          <w:lang w:val="en-US"/>
        </w:rPr>
        <w:t>e aforementioned</w:t>
      </w:r>
      <w:r w:rsidRPr="00BB7373">
        <w:rPr>
          <w:lang w:val="en-US"/>
        </w:rPr>
        <w:t xml:space="preserve"> areas </w:t>
      </w:r>
      <w:r w:rsidR="00FD2331">
        <w:rPr>
          <w:lang w:val="en-US"/>
        </w:rPr>
        <w:t>presents</w:t>
      </w:r>
      <w:r w:rsidRPr="00BB7373">
        <w:rPr>
          <w:lang w:val="en-US"/>
        </w:rPr>
        <w:t xml:space="preserve"> with </w:t>
      </w:r>
      <w:r w:rsidR="00065DCE">
        <w:rPr>
          <w:lang w:val="en-US"/>
        </w:rPr>
        <w:t xml:space="preserve">deep-rooted, </w:t>
      </w:r>
      <w:r w:rsidRPr="00BB7373">
        <w:rPr>
          <w:lang w:val="en-US"/>
        </w:rPr>
        <w:t>persistent and emerging problems. One major challenge is the persistence of gender-based violence against women worldwide, which reveals new complexities. In this respect, the Committee observes that stereotyped portrayal</w:t>
      </w:r>
      <w:r w:rsidR="005A4FBB">
        <w:rPr>
          <w:lang w:val="en-US"/>
        </w:rPr>
        <w:t>s</w:t>
      </w:r>
      <w:r w:rsidRPr="00BB7373">
        <w:rPr>
          <w:lang w:val="en-US"/>
        </w:rPr>
        <w:t xml:space="preserve"> of women is</w:t>
      </w:r>
      <w:r w:rsidR="00FD2331">
        <w:rPr>
          <w:lang w:val="en-US"/>
        </w:rPr>
        <w:t xml:space="preserve"> evident</w:t>
      </w:r>
      <w:r w:rsidRPr="00BB7373">
        <w:rPr>
          <w:lang w:val="en-US"/>
        </w:rPr>
        <w:t xml:space="preserve"> not only in </w:t>
      </w:r>
      <w:r w:rsidR="005814BD">
        <w:rPr>
          <w:lang w:val="en-US"/>
        </w:rPr>
        <w:t xml:space="preserve">the </w:t>
      </w:r>
      <w:r w:rsidR="00FD2331">
        <w:rPr>
          <w:lang w:val="en-US"/>
        </w:rPr>
        <w:t>media but</w:t>
      </w:r>
      <w:r w:rsidRPr="00BB7373">
        <w:rPr>
          <w:lang w:val="en-US"/>
        </w:rPr>
        <w:t xml:space="preserve"> </w:t>
      </w:r>
      <w:r w:rsidR="005814BD">
        <w:rPr>
          <w:lang w:val="en-US"/>
        </w:rPr>
        <w:t xml:space="preserve">also </w:t>
      </w:r>
      <w:r w:rsidR="005A4FBB">
        <w:rPr>
          <w:lang w:val="en-US"/>
        </w:rPr>
        <w:t>inherent in</w:t>
      </w:r>
      <w:r w:rsidRPr="00BB7373">
        <w:rPr>
          <w:lang w:val="en-US"/>
        </w:rPr>
        <w:t xml:space="preserve"> algorithms, which in </w:t>
      </w:r>
      <w:r w:rsidR="005814BD">
        <w:rPr>
          <w:lang w:val="en-US"/>
        </w:rPr>
        <w:t>some</w:t>
      </w:r>
      <w:r w:rsidR="005814BD" w:rsidRPr="00BB7373">
        <w:rPr>
          <w:lang w:val="en-US"/>
        </w:rPr>
        <w:t xml:space="preserve"> </w:t>
      </w:r>
      <w:r w:rsidRPr="00BB7373">
        <w:rPr>
          <w:lang w:val="en-US"/>
        </w:rPr>
        <w:t xml:space="preserve">cases dictate the availability and provision of services, </w:t>
      </w:r>
      <w:r w:rsidRPr="00BB7373">
        <w:rPr>
          <w:lang w:val="en-US"/>
        </w:rPr>
        <w:lastRenderedPageBreak/>
        <w:t xml:space="preserve">the adoption of measures and policies and can influence </w:t>
      </w:r>
      <w:r w:rsidR="00FD2331">
        <w:rPr>
          <w:lang w:val="en-US"/>
        </w:rPr>
        <w:t xml:space="preserve">attitudes, behaviors and </w:t>
      </w:r>
      <w:r w:rsidRPr="00BB7373">
        <w:rPr>
          <w:lang w:val="en-US"/>
        </w:rPr>
        <w:t xml:space="preserve">decision making processes. Online </w:t>
      </w:r>
      <w:proofErr w:type="gramStart"/>
      <w:r w:rsidRPr="00BB7373">
        <w:rPr>
          <w:lang w:val="en-US"/>
        </w:rPr>
        <w:t xml:space="preserve">violence </w:t>
      </w:r>
      <w:r w:rsidR="000069AC">
        <w:rPr>
          <w:lang w:val="en-US"/>
        </w:rPr>
        <w:t>and bullying</w:t>
      </w:r>
      <w:proofErr w:type="gramEnd"/>
      <w:r w:rsidR="000069AC">
        <w:rPr>
          <w:lang w:val="en-US"/>
        </w:rPr>
        <w:t xml:space="preserve"> </w:t>
      </w:r>
      <w:r w:rsidRPr="00BB7373">
        <w:rPr>
          <w:lang w:val="en-US"/>
        </w:rPr>
        <w:t xml:space="preserve">and harassment against women, particularly </w:t>
      </w:r>
      <w:r w:rsidR="005814BD">
        <w:rPr>
          <w:lang w:val="en-US"/>
        </w:rPr>
        <w:t xml:space="preserve">of </w:t>
      </w:r>
      <w:r w:rsidR="005A4FBB">
        <w:rPr>
          <w:lang w:val="en-US"/>
        </w:rPr>
        <w:t xml:space="preserve">women </w:t>
      </w:r>
      <w:r w:rsidRPr="00BB7373">
        <w:rPr>
          <w:lang w:val="en-US"/>
        </w:rPr>
        <w:t>human rights defenders and activists, is another worrying trend.</w:t>
      </w:r>
      <w:r w:rsidR="00470DCE">
        <w:rPr>
          <w:lang w:val="en-US"/>
        </w:rPr>
        <w:t xml:space="preserve"> </w:t>
      </w:r>
    </w:p>
    <w:p w14:paraId="14DF6CF3" w14:textId="057A7180" w:rsidR="000A3629" w:rsidRDefault="005922B1" w:rsidP="00BF5FCA">
      <w:pPr>
        <w:pStyle w:val="NormalWeb"/>
        <w:spacing w:line="360" w:lineRule="auto"/>
        <w:jc w:val="both"/>
        <w:rPr>
          <w:lang w:val="en-US" w:eastAsia="fr-FR"/>
        </w:rPr>
      </w:pPr>
      <w:r>
        <w:rPr>
          <w:lang w:val="en-US"/>
        </w:rPr>
        <w:t xml:space="preserve">Moreover, the </w:t>
      </w:r>
      <w:r w:rsidR="005A4FBB">
        <w:rPr>
          <w:lang w:val="en-US"/>
        </w:rPr>
        <w:t>prevalence</w:t>
      </w:r>
      <w:r w:rsidR="005814BD">
        <w:rPr>
          <w:lang w:val="en-US"/>
        </w:rPr>
        <w:t xml:space="preserve"> of</w:t>
      </w:r>
      <w:r>
        <w:rPr>
          <w:lang w:val="en-US"/>
        </w:rPr>
        <w:t xml:space="preserve"> </w:t>
      </w:r>
      <w:r w:rsidR="00754CAE">
        <w:rPr>
          <w:lang w:val="en-US"/>
        </w:rPr>
        <w:t xml:space="preserve">armed </w:t>
      </w:r>
      <w:r>
        <w:rPr>
          <w:lang w:val="en-US"/>
        </w:rPr>
        <w:t xml:space="preserve">conflict and </w:t>
      </w:r>
      <w:r w:rsidR="00642B79">
        <w:rPr>
          <w:lang w:val="en-US"/>
        </w:rPr>
        <w:t xml:space="preserve">mounting </w:t>
      </w:r>
      <w:r>
        <w:rPr>
          <w:lang w:val="en-US"/>
        </w:rPr>
        <w:t xml:space="preserve">civil unrest, </w:t>
      </w:r>
      <w:r w:rsidRPr="00920229">
        <w:rPr>
          <w:color w:val="000000"/>
          <w:lang w:val="en-US"/>
        </w:rPr>
        <w:t>climate change and climate</w:t>
      </w:r>
      <w:r w:rsidR="00ED2D9D">
        <w:rPr>
          <w:color w:val="000000"/>
          <w:lang w:val="en-US"/>
        </w:rPr>
        <w:t>-</w:t>
      </w:r>
      <w:r w:rsidRPr="00920229">
        <w:rPr>
          <w:color w:val="000000"/>
          <w:lang w:val="en-US"/>
        </w:rPr>
        <w:t>induced disasters</w:t>
      </w:r>
      <w:r w:rsidR="005814BD">
        <w:rPr>
          <w:color w:val="000000"/>
          <w:lang w:val="en-US"/>
        </w:rPr>
        <w:t xml:space="preserve"> </w:t>
      </w:r>
      <w:r w:rsidR="00754CAE">
        <w:rPr>
          <w:color w:val="000000"/>
          <w:lang w:val="en-US"/>
        </w:rPr>
        <w:t xml:space="preserve">gain salience. </w:t>
      </w:r>
      <w:r w:rsidR="001265D9">
        <w:rPr>
          <w:color w:val="000000"/>
          <w:lang w:val="en-US"/>
        </w:rPr>
        <w:t>In such context</w:t>
      </w:r>
      <w:r w:rsidR="005A4FBB">
        <w:rPr>
          <w:color w:val="000000"/>
          <w:lang w:val="en-US"/>
        </w:rPr>
        <w:t>s</w:t>
      </w:r>
      <w:r w:rsidR="001265D9">
        <w:rPr>
          <w:color w:val="000000"/>
          <w:lang w:val="en-US"/>
        </w:rPr>
        <w:t xml:space="preserve">, </w:t>
      </w:r>
      <w:r w:rsidR="001265D9" w:rsidRPr="009D1EAD">
        <w:rPr>
          <w:lang w:val="en-US" w:eastAsia="fr-FR"/>
        </w:rPr>
        <w:t xml:space="preserve">migration </w:t>
      </w:r>
      <w:r w:rsidR="001265D9">
        <w:rPr>
          <w:lang w:val="en-US" w:eastAsia="fr-FR"/>
        </w:rPr>
        <w:t xml:space="preserve">can appear as the only </w:t>
      </w:r>
      <w:r w:rsidR="001265D9" w:rsidRPr="009D1EAD">
        <w:rPr>
          <w:lang w:val="en-US" w:eastAsia="fr-FR"/>
        </w:rPr>
        <w:t>op</w:t>
      </w:r>
      <w:r w:rsidR="005A4FBB">
        <w:rPr>
          <w:lang w:val="en-US" w:eastAsia="fr-FR"/>
        </w:rPr>
        <w:t>tion for a better life</w:t>
      </w:r>
      <w:r w:rsidR="001265D9" w:rsidRPr="009D1EAD">
        <w:rPr>
          <w:lang w:val="en-US" w:eastAsia="fr-FR"/>
        </w:rPr>
        <w:t xml:space="preserve"> for </w:t>
      </w:r>
      <w:r w:rsidR="001265D9">
        <w:rPr>
          <w:lang w:val="en-US" w:eastAsia="fr-FR"/>
        </w:rPr>
        <w:t xml:space="preserve">many </w:t>
      </w:r>
      <w:r w:rsidR="001265D9" w:rsidRPr="009D1EAD">
        <w:rPr>
          <w:lang w:val="en-US" w:eastAsia="fr-FR"/>
        </w:rPr>
        <w:t>women</w:t>
      </w:r>
      <w:r w:rsidR="005A4FBB">
        <w:rPr>
          <w:lang w:val="en-US" w:eastAsia="fr-FR"/>
        </w:rPr>
        <w:t>.</w:t>
      </w:r>
      <w:r w:rsidR="001265D9">
        <w:rPr>
          <w:lang w:val="en-US" w:eastAsia="fr-FR"/>
        </w:rPr>
        <w:t xml:space="preserve"> </w:t>
      </w:r>
      <w:r w:rsidR="005A4FBB">
        <w:rPr>
          <w:lang w:val="en-US" w:eastAsia="fr-FR"/>
        </w:rPr>
        <w:t>At the same time, migration</w:t>
      </w:r>
      <w:r w:rsidR="001265D9" w:rsidRPr="009D1EAD">
        <w:rPr>
          <w:lang w:val="en-US" w:eastAsia="fr-FR"/>
        </w:rPr>
        <w:t xml:space="preserve"> place</w:t>
      </w:r>
      <w:r w:rsidR="005A4FBB">
        <w:rPr>
          <w:lang w:val="en-US" w:eastAsia="fr-FR"/>
        </w:rPr>
        <w:t>s</w:t>
      </w:r>
      <w:r w:rsidR="001265D9" w:rsidRPr="009D1EAD">
        <w:rPr>
          <w:lang w:val="en-US" w:eastAsia="fr-FR"/>
        </w:rPr>
        <w:t xml:space="preserve"> </w:t>
      </w:r>
      <w:r w:rsidR="001265D9">
        <w:rPr>
          <w:lang w:val="en-US" w:eastAsia="fr-FR"/>
        </w:rPr>
        <w:t>women’s</w:t>
      </w:r>
      <w:r w:rsidR="001265D9" w:rsidRPr="009D1EAD">
        <w:rPr>
          <w:lang w:val="en-US" w:eastAsia="fr-FR"/>
        </w:rPr>
        <w:t xml:space="preserve"> human rights and security at risk</w:t>
      </w:r>
      <w:r w:rsidR="00A13EF5">
        <w:rPr>
          <w:lang w:val="en-US" w:eastAsia="fr-FR"/>
        </w:rPr>
        <w:t>,</w:t>
      </w:r>
      <w:r w:rsidR="00112866">
        <w:rPr>
          <w:lang w:val="en-US" w:eastAsia="fr-FR"/>
        </w:rPr>
        <w:t xml:space="preserve"> </w:t>
      </w:r>
      <w:r w:rsidR="00521AFA">
        <w:rPr>
          <w:lang w:val="en-US" w:eastAsia="fr-FR"/>
        </w:rPr>
        <w:t>exposing migrant women and girls to</w:t>
      </w:r>
      <w:r w:rsidR="00FD2331">
        <w:rPr>
          <w:lang w:val="en-US" w:eastAsia="fr-FR"/>
        </w:rPr>
        <w:t xml:space="preserve"> loss of rights,</w:t>
      </w:r>
      <w:r w:rsidR="00065DCE">
        <w:rPr>
          <w:lang w:val="en-US" w:eastAsia="fr-FR"/>
        </w:rPr>
        <w:t xml:space="preserve"> </w:t>
      </w:r>
      <w:r w:rsidR="00521AFA">
        <w:rPr>
          <w:lang w:val="en-US" w:eastAsia="fr-FR"/>
        </w:rPr>
        <w:t>sexual violence</w:t>
      </w:r>
      <w:r w:rsidR="00112866">
        <w:rPr>
          <w:lang w:val="en-US" w:eastAsia="fr-FR"/>
        </w:rPr>
        <w:t xml:space="preserve">, </w:t>
      </w:r>
      <w:r w:rsidR="00A13EF5" w:rsidRPr="00A13EF5">
        <w:rPr>
          <w:lang w:val="en-US" w:eastAsia="fr-FR"/>
        </w:rPr>
        <w:t>abuse</w:t>
      </w:r>
      <w:r w:rsidR="00112866">
        <w:rPr>
          <w:lang w:val="en-US" w:eastAsia="fr-FR"/>
        </w:rPr>
        <w:t xml:space="preserve">, </w:t>
      </w:r>
      <w:r w:rsidR="00112866" w:rsidRPr="00A13EF5">
        <w:rPr>
          <w:lang w:val="en-US" w:eastAsia="fr-FR"/>
        </w:rPr>
        <w:t>trafficking</w:t>
      </w:r>
      <w:r w:rsidR="00112866">
        <w:rPr>
          <w:lang w:val="en-US" w:eastAsia="fr-FR"/>
        </w:rPr>
        <w:t xml:space="preserve"> and </w:t>
      </w:r>
      <w:r w:rsidR="00112866" w:rsidRPr="00A13EF5">
        <w:rPr>
          <w:lang w:val="en-US" w:eastAsia="fr-FR"/>
        </w:rPr>
        <w:t>abusive working conditions</w:t>
      </w:r>
      <w:r w:rsidR="00521AFA">
        <w:rPr>
          <w:lang w:val="en-US" w:eastAsia="fr-FR"/>
        </w:rPr>
        <w:t>,</w:t>
      </w:r>
      <w:r w:rsidR="00112866">
        <w:rPr>
          <w:lang w:val="en-US" w:eastAsia="fr-FR"/>
        </w:rPr>
        <w:t xml:space="preserve"> hate crime</w:t>
      </w:r>
      <w:r w:rsidR="00521AFA">
        <w:rPr>
          <w:lang w:val="en-US" w:eastAsia="fr-FR"/>
        </w:rPr>
        <w:t xml:space="preserve"> </w:t>
      </w:r>
      <w:r w:rsidR="00A13EF5" w:rsidRPr="00A13EF5">
        <w:rPr>
          <w:lang w:val="en-US" w:eastAsia="fr-FR"/>
        </w:rPr>
        <w:t>and detention</w:t>
      </w:r>
      <w:r w:rsidR="00112866">
        <w:rPr>
          <w:lang w:val="en-US" w:eastAsia="fr-FR"/>
        </w:rPr>
        <w:t>.</w:t>
      </w:r>
    </w:p>
    <w:p w14:paraId="774F1AAA" w14:textId="6532A21C" w:rsidR="00BB7373" w:rsidRPr="00BF5FCA" w:rsidRDefault="00BB7373" w:rsidP="00BF5FCA">
      <w:pPr>
        <w:spacing w:line="360" w:lineRule="auto"/>
        <w:jc w:val="both"/>
        <w:rPr>
          <w:rFonts w:ascii="Times New Roman" w:eastAsia="Times New Roman" w:hAnsi="Times New Roman" w:cs="Times New Roman"/>
          <w:lang w:val="en-US"/>
        </w:rPr>
      </w:pPr>
      <w:r w:rsidRPr="00BF5FCA">
        <w:rPr>
          <w:rFonts w:ascii="Times New Roman" w:eastAsia="Times New Roman" w:hAnsi="Times New Roman" w:cs="Times New Roman"/>
          <w:lang w:val="en-US"/>
        </w:rPr>
        <w:t xml:space="preserve">The Committee </w:t>
      </w:r>
      <w:r w:rsidR="005A4FBB" w:rsidRPr="00BF5FCA">
        <w:rPr>
          <w:rFonts w:ascii="Times New Roman" w:eastAsia="Times New Roman" w:hAnsi="Times New Roman" w:cs="Times New Roman"/>
          <w:lang w:val="en-US"/>
        </w:rPr>
        <w:t>has resolved to focus even more on the implementation of</w:t>
      </w:r>
      <w:r w:rsidRPr="00BF5FCA">
        <w:rPr>
          <w:rFonts w:ascii="Times New Roman" w:eastAsia="Times New Roman" w:hAnsi="Times New Roman" w:cs="Times New Roman"/>
          <w:lang w:val="en-US"/>
        </w:rPr>
        <w:t xml:space="preserve"> UNSCR 1325 and </w:t>
      </w:r>
      <w:r w:rsidR="00FA269E" w:rsidRPr="00BF5FCA">
        <w:rPr>
          <w:rFonts w:ascii="Times New Roman" w:eastAsia="Times New Roman" w:hAnsi="Times New Roman" w:cs="Times New Roman"/>
          <w:lang w:val="en-US"/>
        </w:rPr>
        <w:t xml:space="preserve">subsequent </w:t>
      </w:r>
      <w:r w:rsidRPr="00BF5FCA">
        <w:rPr>
          <w:rFonts w:ascii="Times New Roman" w:eastAsia="Times New Roman" w:hAnsi="Times New Roman" w:cs="Times New Roman"/>
          <w:lang w:val="en-US"/>
        </w:rPr>
        <w:t>WPS Resolutions</w:t>
      </w:r>
      <w:r w:rsidR="00B807A6" w:rsidRPr="00BF5FCA">
        <w:rPr>
          <w:rFonts w:ascii="Times New Roman" w:eastAsia="Times New Roman" w:hAnsi="Times New Roman" w:cs="Times New Roman"/>
          <w:lang w:val="en-US"/>
        </w:rPr>
        <w:t>, in line w</w:t>
      </w:r>
      <w:r w:rsidR="007C7F15" w:rsidRPr="00BF5FCA">
        <w:rPr>
          <w:rFonts w:ascii="Times New Roman" w:eastAsia="Times New Roman" w:hAnsi="Times New Roman" w:cs="Times New Roman"/>
          <w:lang w:val="en-US"/>
        </w:rPr>
        <w:t>ith its General recommendation N</w:t>
      </w:r>
      <w:r w:rsidR="00B807A6" w:rsidRPr="00BF5FCA">
        <w:rPr>
          <w:rFonts w:ascii="Times New Roman" w:eastAsia="Times New Roman" w:hAnsi="Times New Roman" w:cs="Times New Roman"/>
          <w:lang w:val="en-US"/>
        </w:rPr>
        <w:t>o. 30,</w:t>
      </w:r>
      <w:r w:rsidRPr="00BF5FCA">
        <w:rPr>
          <w:rFonts w:ascii="Times New Roman" w:eastAsia="Times New Roman" w:hAnsi="Times New Roman" w:cs="Times New Roman"/>
          <w:lang w:val="en-US"/>
        </w:rPr>
        <w:t xml:space="preserve"> </w:t>
      </w:r>
      <w:r w:rsidR="00521AFA" w:rsidRPr="00BF5FCA">
        <w:rPr>
          <w:rFonts w:ascii="Times New Roman" w:eastAsia="Times New Roman" w:hAnsi="Times New Roman" w:cs="Times New Roman"/>
          <w:lang w:val="en-US"/>
        </w:rPr>
        <w:t>in its concluding observations</w:t>
      </w:r>
      <w:r w:rsidRPr="00BF5FCA">
        <w:rPr>
          <w:rFonts w:ascii="Times New Roman" w:eastAsia="Times New Roman" w:hAnsi="Times New Roman" w:cs="Times New Roman"/>
          <w:lang w:val="en-US"/>
        </w:rPr>
        <w:t xml:space="preserve"> and to continue questioning State</w:t>
      </w:r>
      <w:r w:rsidR="00A0277F" w:rsidRPr="00BF5FCA">
        <w:rPr>
          <w:rFonts w:ascii="Times New Roman" w:eastAsia="Times New Roman" w:hAnsi="Times New Roman" w:cs="Times New Roman"/>
          <w:lang w:val="en-US"/>
        </w:rPr>
        <w:t>s</w:t>
      </w:r>
      <w:r w:rsidRPr="00BF5FCA">
        <w:rPr>
          <w:rFonts w:ascii="Times New Roman" w:eastAsia="Times New Roman" w:hAnsi="Times New Roman" w:cs="Times New Roman"/>
          <w:lang w:val="en-US"/>
        </w:rPr>
        <w:t xml:space="preserve"> Parties about the status of implementation of th</w:t>
      </w:r>
      <w:r w:rsidR="00521AFA" w:rsidRPr="00BF5FCA">
        <w:rPr>
          <w:rFonts w:ascii="Times New Roman" w:eastAsia="Times New Roman" w:hAnsi="Times New Roman" w:cs="Times New Roman"/>
          <w:lang w:val="en-US"/>
        </w:rPr>
        <w:t>e</w:t>
      </w:r>
      <w:r w:rsidRPr="00BF5FCA">
        <w:rPr>
          <w:rFonts w:ascii="Times New Roman" w:eastAsia="Times New Roman" w:hAnsi="Times New Roman" w:cs="Times New Roman"/>
          <w:lang w:val="en-US"/>
        </w:rPr>
        <w:t xml:space="preserve">se resolutions. </w:t>
      </w:r>
    </w:p>
    <w:p w14:paraId="6BB65DF4" w14:textId="77777777" w:rsidR="00BB7373" w:rsidRPr="00BB7373" w:rsidRDefault="00BB7373" w:rsidP="00BB7373">
      <w:pPr>
        <w:spacing w:line="360" w:lineRule="auto"/>
        <w:jc w:val="both"/>
        <w:rPr>
          <w:rFonts w:ascii="Times New Roman" w:eastAsia="Times New Roman" w:hAnsi="Times New Roman" w:cs="Times New Roman"/>
          <w:lang w:val="en-US"/>
        </w:rPr>
      </w:pPr>
    </w:p>
    <w:p w14:paraId="266979CF" w14:textId="77777777" w:rsidR="00BB7373" w:rsidRPr="001D7896" w:rsidRDefault="00BB7373" w:rsidP="00BB7373">
      <w:pPr>
        <w:spacing w:line="360" w:lineRule="auto"/>
        <w:jc w:val="both"/>
        <w:rPr>
          <w:rFonts w:ascii="Times New Roman" w:hAnsi="Times New Roman" w:cs="Times New Roman"/>
          <w:lang w:val="en-US"/>
        </w:rPr>
      </w:pPr>
    </w:p>
    <w:p w14:paraId="2D91C4A1" w14:textId="4100D8A4" w:rsidR="00B925AD" w:rsidRPr="00920229" w:rsidRDefault="00123707" w:rsidP="00F14C09">
      <w:pPr>
        <w:spacing w:line="360" w:lineRule="auto"/>
        <w:rPr>
          <w:rFonts w:ascii="Times New Roman" w:hAnsi="Times New Roman" w:cs="Times New Roman"/>
          <w:lang w:val="en-US"/>
        </w:rPr>
      </w:pPr>
      <w:r>
        <w:rPr>
          <w:rFonts w:ascii="Times New Roman" w:hAnsi="Times New Roman" w:cs="Times New Roman"/>
          <w:b/>
          <w:lang w:val="en-US"/>
        </w:rPr>
        <w:t>D</w:t>
      </w:r>
      <w:r w:rsidR="00EA412E" w:rsidRPr="00920229">
        <w:rPr>
          <w:rFonts w:ascii="Times New Roman" w:hAnsi="Times New Roman" w:cs="Times New Roman"/>
          <w:b/>
          <w:lang w:val="en-US"/>
        </w:rPr>
        <w:t>.</w:t>
      </w:r>
      <w:r w:rsidR="00A72AED">
        <w:rPr>
          <w:rFonts w:ascii="Times New Roman" w:hAnsi="Times New Roman" w:cs="Times New Roman"/>
          <w:b/>
          <w:lang w:val="en-US"/>
        </w:rPr>
        <w:tab/>
      </w:r>
      <w:r w:rsidR="00EA412E" w:rsidRPr="00920229">
        <w:rPr>
          <w:rFonts w:ascii="Times New Roman" w:hAnsi="Times New Roman" w:cs="Times New Roman"/>
          <w:b/>
          <w:lang w:val="en-US"/>
        </w:rPr>
        <w:t>Strategy</w:t>
      </w:r>
      <w:r w:rsidR="00FA269E">
        <w:rPr>
          <w:rFonts w:ascii="Times New Roman" w:hAnsi="Times New Roman" w:cs="Times New Roman"/>
          <w:b/>
          <w:lang w:val="en-US"/>
        </w:rPr>
        <w:t xml:space="preserve"> and </w:t>
      </w:r>
      <w:r w:rsidR="00EA412E" w:rsidRPr="00920229">
        <w:rPr>
          <w:rFonts w:ascii="Times New Roman" w:hAnsi="Times New Roman" w:cs="Times New Roman"/>
          <w:b/>
          <w:lang w:val="en-US"/>
        </w:rPr>
        <w:t>priorities for the period 20</w:t>
      </w:r>
      <w:r w:rsidR="00061661">
        <w:rPr>
          <w:rFonts w:ascii="Times New Roman" w:hAnsi="Times New Roman" w:cs="Times New Roman"/>
          <w:b/>
          <w:lang w:val="en-US"/>
        </w:rPr>
        <w:t>20</w:t>
      </w:r>
      <w:r w:rsidR="00EA412E" w:rsidRPr="00920229">
        <w:rPr>
          <w:rFonts w:ascii="Times New Roman" w:hAnsi="Times New Roman" w:cs="Times New Roman"/>
          <w:b/>
          <w:lang w:val="en-US"/>
        </w:rPr>
        <w:t xml:space="preserve"> – 2030</w:t>
      </w:r>
    </w:p>
    <w:p w14:paraId="1576E76F" w14:textId="77777777" w:rsidR="00BB7373" w:rsidRDefault="00BB7373" w:rsidP="00BB7373">
      <w:pPr>
        <w:spacing w:line="360" w:lineRule="auto"/>
        <w:jc w:val="both"/>
        <w:rPr>
          <w:rFonts w:ascii="Times New Roman" w:eastAsia="Times New Roman" w:hAnsi="Times New Roman" w:cs="Times New Roman"/>
          <w:color w:val="000000"/>
          <w:lang w:val="en-US"/>
        </w:rPr>
      </w:pPr>
    </w:p>
    <w:p w14:paraId="73C86F12" w14:textId="06137A7B" w:rsidR="00BB7373" w:rsidRPr="00BF5FCA" w:rsidRDefault="00615283" w:rsidP="00BF5FCA">
      <w:pPr>
        <w:spacing w:line="360" w:lineRule="auto"/>
        <w:jc w:val="both"/>
        <w:rPr>
          <w:rFonts w:ascii="Times New Roman" w:eastAsia="Times New Roman" w:hAnsi="Times New Roman" w:cs="Times New Roman"/>
          <w:color w:val="000000"/>
          <w:lang w:val="en-US"/>
        </w:rPr>
      </w:pPr>
      <w:r w:rsidRPr="00BF5FCA">
        <w:rPr>
          <w:rFonts w:ascii="Times New Roman" w:eastAsia="Times New Roman" w:hAnsi="Times New Roman" w:cs="Times New Roman"/>
          <w:color w:val="000000"/>
          <w:lang w:val="en-US"/>
        </w:rPr>
        <w:t xml:space="preserve">In order to accelerate the implementation of comprehensive legislative </w:t>
      </w:r>
      <w:r w:rsidR="00061661" w:rsidRPr="00BF5FCA">
        <w:rPr>
          <w:rFonts w:ascii="Times New Roman" w:eastAsia="Times New Roman" w:hAnsi="Times New Roman" w:cs="Times New Roman"/>
          <w:color w:val="000000"/>
          <w:lang w:val="en-US"/>
        </w:rPr>
        <w:t xml:space="preserve">gender equality </w:t>
      </w:r>
      <w:r w:rsidRPr="00BF5FCA">
        <w:rPr>
          <w:rFonts w:ascii="Times New Roman" w:eastAsia="Times New Roman" w:hAnsi="Times New Roman" w:cs="Times New Roman"/>
          <w:color w:val="000000"/>
          <w:lang w:val="en-US"/>
        </w:rPr>
        <w:t>framework</w:t>
      </w:r>
      <w:r w:rsidR="00061661" w:rsidRPr="00BF5FCA">
        <w:rPr>
          <w:rFonts w:ascii="Times New Roman" w:eastAsia="Times New Roman" w:hAnsi="Times New Roman" w:cs="Times New Roman"/>
          <w:color w:val="000000"/>
          <w:lang w:val="en-US"/>
        </w:rPr>
        <w:t>s</w:t>
      </w:r>
      <w:r w:rsidRPr="00BF5FCA">
        <w:rPr>
          <w:rFonts w:ascii="Times New Roman" w:eastAsia="Times New Roman" w:hAnsi="Times New Roman" w:cs="Times New Roman"/>
          <w:color w:val="000000"/>
          <w:lang w:val="en-US"/>
        </w:rPr>
        <w:t xml:space="preserve"> in all States parties which promote, protect and empower women</w:t>
      </w:r>
      <w:r w:rsidR="00061661" w:rsidRPr="00BF5FCA">
        <w:rPr>
          <w:rFonts w:ascii="Times New Roman" w:eastAsia="Times New Roman" w:hAnsi="Times New Roman" w:cs="Times New Roman"/>
          <w:color w:val="000000"/>
          <w:lang w:val="en-US"/>
        </w:rPr>
        <w:t>’s</w:t>
      </w:r>
      <w:r w:rsidRPr="00BF5FCA">
        <w:rPr>
          <w:rFonts w:ascii="Times New Roman" w:eastAsia="Times New Roman" w:hAnsi="Times New Roman" w:cs="Times New Roman"/>
          <w:color w:val="000000"/>
          <w:lang w:val="en-US"/>
        </w:rPr>
        <w:t xml:space="preserve"> and girls</w:t>
      </w:r>
      <w:r w:rsidR="00061661" w:rsidRPr="00BF5FCA">
        <w:rPr>
          <w:rFonts w:ascii="Times New Roman" w:eastAsia="Times New Roman" w:hAnsi="Times New Roman" w:cs="Times New Roman"/>
          <w:color w:val="000000"/>
          <w:lang w:val="en-US"/>
        </w:rPr>
        <w:t>’ rights</w:t>
      </w:r>
      <w:r w:rsidRPr="00BF5FCA">
        <w:rPr>
          <w:rFonts w:ascii="Times New Roman" w:eastAsia="Times New Roman" w:hAnsi="Times New Roman" w:cs="Times New Roman"/>
          <w:color w:val="000000"/>
          <w:lang w:val="en-US"/>
        </w:rPr>
        <w:t>, t</w:t>
      </w:r>
      <w:r w:rsidR="00BB7373" w:rsidRPr="00BF5FCA">
        <w:rPr>
          <w:rFonts w:ascii="Times New Roman" w:eastAsia="Times New Roman" w:hAnsi="Times New Roman" w:cs="Times New Roman"/>
          <w:color w:val="000000"/>
          <w:lang w:val="en-US"/>
        </w:rPr>
        <w:t>he Committee calls for</w:t>
      </w:r>
      <w:r w:rsidRPr="00BF5FCA">
        <w:rPr>
          <w:rFonts w:ascii="Times New Roman" w:eastAsia="Times New Roman" w:hAnsi="Times New Roman" w:cs="Times New Roman"/>
          <w:color w:val="000000"/>
          <w:lang w:val="en-US"/>
        </w:rPr>
        <w:t xml:space="preserve"> the establishment of</w:t>
      </w:r>
      <w:r w:rsidR="00BB7373" w:rsidRPr="00BF5FCA">
        <w:rPr>
          <w:rFonts w:ascii="Times New Roman" w:eastAsia="Times New Roman" w:hAnsi="Times New Roman" w:cs="Times New Roman"/>
          <w:color w:val="000000"/>
          <w:lang w:val="en-US"/>
        </w:rPr>
        <w:t xml:space="preserve"> new ways of cooperation</w:t>
      </w:r>
      <w:r w:rsidRPr="00BF5FCA">
        <w:rPr>
          <w:rFonts w:ascii="Times New Roman" w:eastAsia="Times New Roman" w:hAnsi="Times New Roman" w:cs="Times New Roman"/>
          <w:color w:val="000000"/>
          <w:lang w:val="en-US"/>
        </w:rPr>
        <w:t xml:space="preserve"> and </w:t>
      </w:r>
      <w:r w:rsidR="00061661" w:rsidRPr="00BF5FCA">
        <w:rPr>
          <w:rFonts w:ascii="Times New Roman" w:eastAsia="Times New Roman" w:hAnsi="Times New Roman" w:cs="Times New Roman"/>
          <w:color w:val="000000"/>
          <w:lang w:val="en-US"/>
        </w:rPr>
        <w:t xml:space="preserve">the </w:t>
      </w:r>
      <w:r w:rsidRPr="00BF5FCA">
        <w:rPr>
          <w:rFonts w:ascii="Times New Roman" w:eastAsia="Times New Roman" w:hAnsi="Times New Roman" w:cs="Times New Roman"/>
          <w:color w:val="000000"/>
          <w:lang w:val="en-US"/>
        </w:rPr>
        <w:t>consolidation of constructive dialogues with State parties</w:t>
      </w:r>
      <w:r w:rsidR="00FA269E" w:rsidRPr="00BF5FCA">
        <w:rPr>
          <w:rFonts w:ascii="Times New Roman" w:eastAsia="Times New Roman" w:hAnsi="Times New Roman" w:cs="Times New Roman"/>
          <w:color w:val="000000"/>
          <w:lang w:val="en-US"/>
        </w:rPr>
        <w:t xml:space="preserve"> in the implementation of the Agenda for Sustainable Development</w:t>
      </w:r>
      <w:r w:rsidR="00061661" w:rsidRPr="00BF5FCA">
        <w:rPr>
          <w:rFonts w:ascii="Times New Roman" w:eastAsia="Times New Roman" w:hAnsi="Times New Roman" w:cs="Times New Roman"/>
          <w:color w:val="000000"/>
          <w:lang w:val="en-US"/>
        </w:rPr>
        <w:t>.</w:t>
      </w:r>
      <w:r w:rsidRPr="00BF5FCA">
        <w:rPr>
          <w:rFonts w:ascii="Times New Roman" w:eastAsia="Times New Roman" w:hAnsi="Times New Roman" w:cs="Times New Roman"/>
          <w:color w:val="000000"/>
          <w:lang w:val="en-US"/>
        </w:rPr>
        <w:t xml:space="preserve"> </w:t>
      </w:r>
      <w:r w:rsidR="00061661" w:rsidRPr="00BF5FCA">
        <w:rPr>
          <w:rFonts w:ascii="Times New Roman" w:eastAsia="Times New Roman" w:hAnsi="Times New Roman" w:cs="Times New Roman"/>
          <w:color w:val="000000"/>
          <w:lang w:val="en-US"/>
        </w:rPr>
        <w:t xml:space="preserve">In addition, </w:t>
      </w:r>
      <w:r w:rsidRPr="00BF5FCA">
        <w:rPr>
          <w:rFonts w:ascii="Times New Roman" w:eastAsia="Times New Roman" w:hAnsi="Times New Roman" w:cs="Times New Roman"/>
          <w:color w:val="000000"/>
          <w:lang w:val="en-US"/>
        </w:rPr>
        <w:t>strengthened</w:t>
      </w:r>
      <w:r w:rsidR="00BB7373" w:rsidRPr="00BF5FCA">
        <w:rPr>
          <w:rFonts w:ascii="Times New Roman" w:eastAsia="Times New Roman" w:hAnsi="Times New Roman" w:cs="Times New Roman"/>
          <w:color w:val="000000"/>
          <w:lang w:val="en-US"/>
        </w:rPr>
        <w:t xml:space="preserve"> engagement with </w:t>
      </w:r>
      <w:r w:rsidRPr="00BF5FCA">
        <w:rPr>
          <w:rFonts w:ascii="Times New Roman" w:eastAsia="Times New Roman" w:hAnsi="Times New Roman" w:cs="Times New Roman"/>
          <w:color w:val="000000"/>
          <w:lang w:val="en-US"/>
        </w:rPr>
        <w:t>civil society organizations, national human rights institutions,</w:t>
      </w:r>
      <w:r w:rsidR="00BB7373" w:rsidRPr="00BF5FCA">
        <w:rPr>
          <w:rFonts w:ascii="Times New Roman" w:eastAsia="Times New Roman" w:hAnsi="Times New Roman" w:cs="Times New Roman"/>
          <w:color w:val="000000"/>
          <w:lang w:val="en-US"/>
        </w:rPr>
        <w:t xml:space="preserve"> </w:t>
      </w:r>
      <w:r w:rsidRPr="00BF5FCA">
        <w:rPr>
          <w:rFonts w:ascii="Times New Roman" w:eastAsia="Times New Roman" w:hAnsi="Times New Roman" w:cs="Times New Roman"/>
          <w:color w:val="000000"/>
          <w:lang w:val="en-US"/>
        </w:rPr>
        <w:t>the United Nations system and regional organizations</w:t>
      </w:r>
      <w:r w:rsidR="00061661" w:rsidRPr="00BF5FCA">
        <w:rPr>
          <w:rFonts w:ascii="Times New Roman" w:eastAsia="Times New Roman" w:hAnsi="Times New Roman" w:cs="Times New Roman"/>
          <w:color w:val="000000"/>
          <w:lang w:val="en-US"/>
        </w:rPr>
        <w:t xml:space="preserve"> </w:t>
      </w:r>
      <w:r w:rsidR="00FD2331" w:rsidRPr="00BF5FCA">
        <w:rPr>
          <w:rFonts w:ascii="Times New Roman" w:eastAsia="Times New Roman" w:hAnsi="Times New Roman" w:cs="Times New Roman"/>
          <w:color w:val="000000"/>
          <w:lang w:val="en-US"/>
        </w:rPr>
        <w:t>is required</w:t>
      </w:r>
      <w:r w:rsidRPr="00BF5FCA">
        <w:rPr>
          <w:rFonts w:ascii="Times New Roman" w:eastAsia="Times New Roman" w:hAnsi="Times New Roman" w:cs="Times New Roman"/>
          <w:color w:val="000000"/>
          <w:lang w:val="en-US"/>
        </w:rPr>
        <w:t>.</w:t>
      </w:r>
    </w:p>
    <w:p w14:paraId="7FBA2589" w14:textId="77777777" w:rsidR="00BB7373" w:rsidRPr="00BB7373" w:rsidRDefault="00BB7373" w:rsidP="00BB7373">
      <w:pPr>
        <w:spacing w:line="360" w:lineRule="auto"/>
        <w:jc w:val="both"/>
        <w:rPr>
          <w:rFonts w:ascii="Times New Roman" w:eastAsia="Times New Roman" w:hAnsi="Times New Roman" w:cs="Times New Roman"/>
          <w:color w:val="000000"/>
          <w:lang w:val="en-US"/>
        </w:rPr>
      </w:pPr>
    </w:p>
    <w:p w14:paraId="2305BF2A" w14:textId="3EF786D1" w:rsidR="001A3189" w:rsidRPr="00BF5FCA" w:rsidRDefault="001A3189" w:rsidP="00BF5FCA">
      <w:pPr>
        <w:spacing w:line="360" w:lineRule="auto"/>
        <w:jc w:val="both"/>
        <w:rPr>
          <w:rFonts w:ascii="Times New Roman" w:hAnsi="Times New Roman" w:cs="Times New Roman"/>
          <w:bCs/>
          <w:lang w:val="en-US"/>
        </w:rPr>
      </w:pPr>
      <w:r w:rsidRPr="00BF5FCA">
        <w:rPr>
          <w:rFonts w:ascii="Times New Roman" w:hAnsi="Times New Roman" w:cs="Times New Roman"/>
          <w:bCs/>
          <w:lang w:val="en-US"/>
        </w:rPr>
        <w:t xml:space="preserve">The CEDAW Committee </w:t>
      </w:r>
      <w:r w:rsidR="00FD2331" w:rsidRPr="00BF5FCA">
        <w:rPr>
          <w:rFonts w:ascii="Times New Roman" w:hAnsi="Times New Roman" w:cs="Times New Roman"/>
          <w:bCs/>
          <w:lang w:val="en-US"/>
        </w:rPr>
        <w:t xml:space="preserve">seeks to </w:t>
      </w:r>
      <w:r w:rsidRPr="00BF5FCA">
        <w:rPr>
          <w:rFonts w:ascii="Times New Roman" w:hAnsi="Times New Roman" w:cs="Times New Roman"/>
          <w:bCs/>
          <w:lang w:val="en-US"/>
        </w:rPr>
        <w:t xml:space="preserve">strengthen </w:t>
      </w:r>
      <w:r w:rsidR="00061661" w:rsidRPr="00BF5FCA">
        <w:rPr>
          <w:rFonts w:ascii="Times New Roman" w:hAnsi="Times New Roman" w:cs="Times New Roman"/>
          <w:bCs/>
          <w:lang w:val="en-US"/>
        </w:rPr>
        <w:t>its</w:t>
      </w:r>
      <w:r w:rsidRPr="00BF5FCA">
        <w:rPr>
          <w:rFonts w:ascii="Times New Roman" w:hAnsi="Times New Roman" w:cs="Times New Roman"/>
          <w:bCs/>
          <w:lang w:val="en-US"/>
        </w:rPr>
        <w:t xml:space="preserve"> collaboration under the Framework of Cooperation with the Special Representative of the Secretary-General on </w:t>
      </w:r>
      <w:r w:rsidRPr="00BF5FCA">
        <w:rPr>
          <w:rFonts w:ascii="Times New Roman" w:hAnsi="Times New Roman" w:cs="Times New Roman"/>
          <w:bCs/>
          <w:lang w:val="en-US"/>
        </w:rPr>
        <w:lastRenderedPageBreak/>
        <w:t>Sexual Violence in Conflict</w:t>
      </w:r>
      <w:r w:rsidR="00FA269E" w:rsidRPr="00BF5FCA">
        <w:rPr>
          <w:rFonts w:ascii="Times New Roman" w:hAnsi="Times New Roman" w:cs="Times New Roman"/>
          <w:bCs/>
          <w:lang w:val="en-US"/>
        </w:rPr>
        <w:t xml:space="preserve"> and with the United Nations Special Rapporteur on Violence </w:t>
      </w:r>
      <w:proofErr w:type="gramStart"/>
      <w:r w:rsidR="00FA269E" w:rsidRPr="00BF5FCA">
        <w:rPr>
          <w:rFonts w:ascii="Times New Roman" w:hAnsi="Times New Roman" w:cs="Times New Roman"/>
          <w:bCs/>
          <w:lang w:val="en-US"/>
        </w:rPr>
        <w:t>Against</w:t>
      </w:r>
      <w:proofErr w:type="gramEnd"/>
      <w:r w:rsidR="00FA269E" w:rsidRPr="00BF5FCA">
        <w:rPr>
          <w:rFonts w:ascii="Times New Roman" w:hAnsi="Times New Roman" w:cs="Times New Roman"/>
          <w:bCs/>
          <w:lang w:val="en-US"/>
        </w:rPr>
        <w:t xml:space="preserve"> Women</w:t>
      </w:r>
      <w:r w:rsidRPr="00BF5FCA">
        <w:rPr>
          <w:rFonts w:ascii="Times New Roman" w:hAnsi="Times New Roman" w:cs="Times New Roman"/>
          <w:bCs/>
          <w:lang w:val="en-US"/>
        </w:rPr>
        <w:t xml:space="preserve">, to enhance information-sharing and the development of </w:t>
      </w:r>
      <w:r w:rsidR="00061661" w:rsidRPr="00BF5FCA">
        <w:rPr>
          <w:rFonts w:ascii="Times New Roman" w:hAnsi="Times New Roman" w:cs="Times New Roman"/>
          <w:bCs/>
          <w:lang w:val="en-US"/>
        </w:rPr>
        <w:t>common</w:t>
      </w:r>
      <w:r w:rsidRPr="00BF5FCA">
        <w:rPr>
          <w:rFonts w:ascii="Times New Roman" w:hAnsi="Times New Roman" w:cs="Times New Roman"/>
          <w:bCs/>
          <w:lang w:val="en-US"/>
        </w:rPr>
        <w:t xml:space="preserve"> positions. </w:t>
      </w:r>
      <w:r w:rsidR="00061661" w:rsidRPr="00BF5FCA">
        <w:rPr>
          <w:rFonts w:ascii="Times New Roman" w:hAnsi="Times New Roman" w:cs="Times New Roman"/>
          <w:bCs/>
          <w:lang w:val="en-US"/>
        </w:rPr>
        <w:t>Such</w:t>
      </w:r>
      <w:r w:rsidRPr="00BF5FCA">
        <w:rPr>
          <w:rFonts w:ascii="Times New Roman" w:hAnsi="Times New Roman" w:cs="Times New Roman"/>
          <w:bCs/>
          <w:lang w:val="en-US"/>
        </w:rPr>
        <w:t xml:space="preserve"> collaboration </w:t>
      </w:r>
      <w:r w:rsidR="00FD2331" w:rsidRPr="00BF5FCA">
        <w:rPr>
          <w:rFonts w:ascii="Times New Roman" w:hAnsi="Times New Roman" w:cs="Times New Roman"/>
          <w:bCs/>
          <w:lang w:val="en-US"/>
        </w:rPr>
        <w:t>can increase</w:t>
      </w:r>
      <w:r w:rsidRPr="00BF5FCA">
        <w:rPr>
          <w:rFonts w:ascii="Times New Roman" w:hAnsi="Times New Roman" w:cs="Times New Roman"/>
          <w:bCs/>
          <w:lang w:val="en-US"/>
        </w:rPr>
        <w:t xml:space="preserve"> the accountability not only of States parties but also of </w:t>
      </w:r>
      <w:r w:rsidR="00061661" w:rsidRPr="00BF5FCA">
        <w:rPr>
          <w:rFonts w:ascii="Times New Roman" w:hAnsi="Times New Roman" w:cs="Times New Roman"/>
          <w:bCs/>
          <w:lang w:val="en-US"/>
        </w:rPr>
        <w:t>non-State actors</w:t>
      </w:r>
      <w:r w:rsidRPr="00BF5FCA">
        <w:rPr>
          <w:rFonts w:ascii="Times New Roman" w:hAnsi="Times New Roman" w:cs="Times New Roman"/>
          <w:bCs/>
          <w:lang w:val="en-US"/>
        </w:rPr>
        <w:t xml:space="preserve"> operating in their </w:t>
      </w:r>
      <w:r w:rsidR="00061661" w:rsidRPr="00BF5FCA">
        <w:rPr>
          <w:rFonts w:ascii="Times New Roman" w:hAnsi="Times New Roman" w:cs="Times New Roman"/>
          <w:bCs/>
          <w:lang w:val="en-US"/>
        </w:rPr>
        <w:t>jurisdiction</w:t>
      </w:r>
      <w:r w:rsidRPr="00BF5FCA">
        <w:rPr>
          <w:rFonts w:ascii="Times New Roman" w:hAnsi="Times New Roman" w:cs="Times New Roman"/>
          <w:bCs/>
          <w:lang w:val="en-US"/>
        </w:rPr>
        <w:t xml:space="preserve"> in order to </w:t>
      </w:r>
      <w:r w:rsidR="00061661" w:rsidRPr="00BF5FCA">
        <w:rPr>
          <w:rFonts w:ascii="Times New Roman" w:hAnsi="Times New Roman" w:cs="Times New Roman"/>
          <w:bCs/>
          <w:lang w:val="en-US"/>
        </w:rPr>
        <w:t>effectively prevent and curb</w:t>
      </w:r>
      <w:r w:rsidRPr="00BF5FCA">
        <w:rPr>
          <w:rFonts w:ascii="Times New Roman" w:hAnsi="Times New Roman" w:cs="Times New Roman"/>
          <w:bCs/>
          <w:lang w:val="en-US"/>
        </w:rPr>
        <w:t xml:space="preserve"> sexual violence in conflict settings.</w:t>
      </w:r>
    </w:p>
    <w:p w14:paraId="2E83609C" w14:textId="77777777" w:rsidR="001A3189" w:rsidRDefault="001A3189" w:rsidP="001A3189">
      <w:pPr>
        <w:spacing w:line="360" w:lineRule="auto"/>
        <w:jc w:val="both"/>
        <w:rPr>
          <w:rFonts w:ascii="Times New Roman" w:hAnsi="Times New Roman" w:cs="Times New Roman"/>
          <w:bCs/>
          <w:lang w:val="en-US"/>
        </w:rPr>
      </w:pPr>
    </w:p>
    <w:p w14:paraId="6DF3A125" w14:textId="2406AC09" w:rsidR="001A3189" w:rsidRPr="00BF5FCA" w:rsidRDefault="00F43CEC" w:rsidP="00BF5FCA">
      <w:pPr>
        <w:spacing w:line="360" w:lineRule="auto"/>
        <w:jc w:val="both"/>
        <w:rPr>
          <w:rFonts w:ascii="Times New Roman" w:eastAsia="Times New Roman" w:hAnsi="Times New Roman" w:cs="Times New Roman"/>
          <w:color w:val="000000"/>
          <w:lang w:val="en-US"/>
        </w:rPr>
      </w:pPr>
      <w:r w:rsidRPr="00BF5FCA">
        <w:rPr>
          <w:rFonts w:ascii="Times New Roman" w:eastAsia="Times New Roman" w:hAnsi="Times New Roman" w:cs="Times New Roman"/>
          <w:color w:val="000000"/>
          <w:lang w:val="en-US"/>
        </w:rPr>
        <w:t>Under the Convention, t</w:t>
      </w:r>
      <w:r w:rsidR="00BB7373" w:rsidRPr="00BF5FCA">
        <w:rPr>
          <w:rFonts w:ascii="Times New Roman" w:eastAsia="Times New Roman" w:hAnsi="Times New Roman" w:cs="Times New Roman"/>
          <w:color w:val="000000"/>
          <w:lang w:val="en-US"/>
        </w:rPr>
        <w:t xml:space="preserve">he Committee </w:t>
      </w:r>
      <w:r w:rsidRPr="00BF5FCA">
        <w:rPr>
          <w:rFonts w:ascii="Times New Roman" w:eastAsia="Times New Roman" w:hAnsi="Times New Roman" w:cs="Times New Roman"/>
          <w:color w:val="000000"/>
          <w:lang w:val="en-US"/>
        </w:rPr>
        <w:t>will</w:t>
      </w:r>
      <w:r w:rsidR="00BB7373" w:rsidRPr="00BF5FCA">
        <w:rPr>
          <w:rFonts w:ascii="Times New Roman" w:eastAsia="Times New Roman" w:hAnsi="Times New Roman" w:cs="Times New Roman"/>
          <w:color w:val="000000"/>
          <w:lang w:val="en-US"/>
        </w:rPr>
        <w:t xml:space="preserve"> continue </w:t>
      </w:r>
      <w:r w:rsidR="00061661" w:rsidRPr="00BF5FCA">
        <w:rPr>
          <w:rFonts w:ascii="Times New Roman" w:eastAsia="Times New Roman" w:hAnsi="Times New Roman" w:cs="Times New Roman"/>
          <w:color w:val="000000"/>
          <w:lang w:val="en-US"/>
        </w:rPr>
        <w:t>monitoring</w:t>
      </w:r>
      <w:r w:rsidR="00BB7373" w:rsidRPr="00BF5FCA">
        <w:rPr>
          <w:rFonts w:ascii="Times New Roman" w:eastAsia="Times New Roman" w:hAnsi="Times New Roman" w:cs="Times New Roman"/>
          <w:color w:val="000000"/>
          <w:lang w:val="en-US"/>
        </w:rPr>
        <w:t xml:space="preserve"> State</w:t>
      </w:r>
      <w:r w:rsidR="00A0277F" w:rsidRPr="00BF5FCA">
        <w:rPr>
          <w:rFonts w:ascii="Times New Roman" w:eastAsia="Times New Roman" w:hAnsi="Times New Roman" w:cs="Times New Roman"/>
          <w:color w:val="000000"/>
          <w:lang w:val="en-US"/>
        </w:rPr>
        <w:t>s</w:t>
      </w:r>
      <w:r w:rsidR="00C67649" w:rsidRPr="00BF5FCA">
        <w:rPr>
          <w:rFonts w:ascii="Times New Roman" w:eastAsia="Times New Roman" w:hAnsi="Times New Roman" w:cs="Times New Roman"/>
          <w:color w:val="000000"/>
          <w:lang w:val="en-US"/>
        </w:rPr>
        <w:t xml:space="preserve"> parties</w:t>
      </w:r>
      <w:r w:rsidR="00ED2D9D" w:rsidRPr="00BF5FCA">
        <w:rPr>
          <w:rFonts w:ascii="Times New Roman" w:eastAsia="Times New Roman" w:hAnsi="Times New Roman" w:cs="Times New Roman"/>
          <w:color w:val="000000"/>
          <w:lang w:val="en-US"/>
        </w:rPr>
        <w:t>’</w:t>
      </w:r>
      <w:r w:rsidR="00BB7373" w:rsidRPr="00BF5FCA">
        <w:rPr>
          <w:rFonts w:ascii="Times New Roman" w:eastAsia="Times New Roman" w:hAnsi="Times New Roman" w:cs="Times New Roman"/>
          <w:color w:val="000000"/>
          <w:lang w:val="en-US"/>
        </w:rPr>
        <w:t xml:space="preserve"> </w:t>
      </w:r>
      <w:r w:rsidR="00061661" w:rsidRPr="00BF5FCA">
        <w:rPr>
          <w:rFonts w:ascii="Times New Roman" w:eastAsia="Times New Roman" w:hAnsi="Times New Roman" w:cs="Times New Roman"/>
          <w:color w:val="000000"/>
          <w:lang w:val="en-US"/>
        </w:rPr>
        <w:t xml:space="preserve">compliance with their </w:t>
      </w:r>
      <w:r w:rsidR="00BB7373" w:rsidRPr="00BF5FCA">
        <w:rPr>
          <w:rFonts w:ascii="Times New Roman" w:eastAsia="Times New Roman" w:hAnsi="Times New Roman" w:cs="Times New Roman"/>
          <w:color w:val="000000"/>
          <w:lang w:val="en-US"/>
        </w:rPr>
        <w:t xml:space="preserve">obligations to ensure equal rights </w:t>
      </w:r>
      <w:r w:rsidR="00061661" w:rsidRPr="00BF5FCA">
        <w:rPr>
          <w:rFonts w:ascii="Times New Roman" w:eastAsia="Times New Roman" w:hAnsi="Times New Roman" w:cs="Times New Roman"/>
          <w:color w:val="000000"/>
          <w:lang w:val="en-US"/>
        </w:rPr>
        <w:t xml:space="preserve">of women and men </w:t>
      </w:r>
      <w:r w:rsidR="00BB7373" w:rsidRPr="00BF5FCA">
        <w:rPr>
          <w:rFonts w:ascii="Times New Roman" w:eastAsia="Times New Roman" w:hAnsi="Times New Roman" w:cs="Times New Roman"/>
          <w:color w:val="000000"/>
          <w:lang w:val="en-US"/>
        </w:rPr>
        <w:t xml:space="preserve">to economic resources, </w:t>
      </w:r>
      <w:r w:rsidR="007A087E" w:rsidRPr="00BF5FCA">
        <w:rPr>
          <w:rFonts w:ascii="Times New Roman" w:eastAsia="Times New Roman" w:hAnsi="Times New Roman" w:cs="Times New Roman"/>
          <w:color w:val="000000"/>
          <w:lang w:val="en-US"/>
        </w:rPr>
        <w:t xml:space="preserve">inclusive access to </w:t>
      </w:r>
      <w:r w:rsidRPr="00BF5FCA">
        <w:rPr>
          <w:rFonts w:ascii="Times New Roman" w:eastAsia="Times New Roman" w:hAnsi="Times New Roman" w:cs="Times New Roman"/>
          <w:color w:val="000000"/>
          <w:lang w:val="en-US"/>
        </w:rPr>
        <w:t xml:space="preserve">education, </w:t>
      </w:r>
      <w:r w:rsidR="00BB7373" w:rsidRPr="00BF5FCA">
        <w:rPr>
          <w:rFonts w:ascii="Times New Roman" w:eastAsia="Times New Roman" w:hAnsi="Times New Roman" w:cs="Times New Roman"/>
          <w:color w:val="000000"/>
          <w:lang w:val="en-US"/>
        </w:rPr>
        <w:t xml:space="preserve">services, ownership and control over land and other forms of property, inheritance, natural resources, appropriate new technology and financing, </w:t>
      </w:r>
      <w:r w:rsidRPr="00BF5FCA">
        <w:rPr>
          <w:rFonts w:ascii="Times New Roman" w:eastAsia="Times New Roman" w:hAnsi="Times New Roman" w:cs="Times New Roman"/>
          <w:color w:val="000000"/>
          <w:lang w:val="en-US"/>
        </w:rPr>
        <w:t>thereby</w:t>
      </w:r>
      <w:r w:rsidR="00BB7373" w:rsidRPr="00BF5FCA">
        <w:rPr>
          <w:rFonts w:ascii="Times New Roman" w:eastAsia="Times New Roman" w:hAnsi="Times New Roman" w:cs="Times New Roman"/>
          <w:color w:val="000000"/>
          <w:lang w:val="en-US"/>
        </w:rPr>
        <w:t xml:space="preserve"> promot</w:t>
      </w:r>
      <w:r w:rsidRPr="00BF5FCA">
        <w:rPr>
          <w:rFonts w:ascii="Times New Roman" w:eastAsia="Times New Roman" w:hAnsi="Times New Roman" w:cs="Times New Roman"/>
          <w:color w:val="000000"/>
          <w:lang w:val="en-US"/>
        </w:rPr>
        <w:t>ing</w:t>
      </w:r>
      <w:r w:rsidR="00BB7373" w:rsidRPr="00BF5FCA">
        <w:rPr>
          <w:rFonts w:ascii="Times New Roman" w:eastAsia="Times New Roman" w:hAnsi="Times New Roman" w:cs="Times New Roman"/>
          <w:color w:val="000000"/>
          <w:lang w:val="en-US"/>
        </w:rPr>
        <w:t xml:space="preserve"> sustainable development. </w:t>
      </w:r>
    </w:p>
    <w:p w14:paraId="7E3B06B2" w14:textId="77777777" w:rsidR="001A3189" w:rsidRDefault="001A3189" w:rsidP="00BB7373">
      <w:pPr>
        <w:spacing w:line="360" w:lineRule="auto"/>
        <w:jc w:val="both"/>
        <w:rPr>
          <w:rFonts w:ascii="Times New Roman" w:eastAsia="Times New Roman" w:hAnsi="Times New Roman" w:cs="Times New Roman"/>
          <w:color w:val="000000"/>
          <w:lang w:val="en-US"/>
        </w:rPr>
      </w:pPr>
    </w:p>
    <w:p w14:paraId="7522B838" w14:textId="60539875" w:rsidR="00BB7373" w:rsidRPr="00BF5FCA" w:rsidRDefault="00BB7373" w:rsidP="00BF5FCA">
      <w:pPr>
        <w:spacing w:line="360" w:lineRule="auto"/>
        <w:jc w:val="both"/>
        <w:rPr>
          <w:rFonts w:ascii="Times New Roman" w:eastAsia="Times New Roman" w:hAnsi="Times New Roman" w:cs="Times New Roman"/>
          <w:color w:val="000000"/>
          <w:lang w:val="en-US"/>
        </w:rPr>
      </w:pPr>
      <w:r w:rsidRPr="00BF5FCA">
        <w:rPr>
          <w:rFonts w:ascii="Times New Roman" w:eastAsia="Times New Roman" w:hAnsi="Times New Roman" w:cs="Times New Roman"/>
          <w:color w:val="000000"/>
          <w:lang w:val="en-US"/>
        </w:rPr>
        <w:t xml:space="preserve">The Committee </w:t>
      </w:r>
      <w:r w:rsidR="00F43CEC" w:rsidRPr="00BF5FCA">
        <w:rPr>
          <w:rFonts w:ascii="Times New Roman" w:eastAsia="Times New Roman" w:hAnsi="Times New Roman" w:cs="Times New Roman"/>
          <w:color w:val="000000"/>
          <w:lang w:val="en-US"/>
        </w:rPr>
        <w:t>further</w:t>
      </w:r>
      <w:r w:rsidRPr="00BF5FCA">
        <w:rPr>
          <w:rFonts w:ascii="Times New Roman" w:eastAsia="Times New Roman" w:hAnsi="Times New Roman" w:cs="Times New Roman"/>
          <w:color w:val="000000"/>
          <w:lang w:val="en-US"/>
        </w:rPr>
        <w:t xml:space="preserve"> reiterates its commitment t</w:t>
      </w:r>
      <w:r w:rsidR="001A3189" w:rsidRPr="00BF5FCA">
        <w:rPr>
          <w:rFonts w:ascii="Times New Roman" w:eastAsia="Times New Roman" w:hAnsi="Times New Roman" w:cs="Times New Roman"/>
          <w:color w:val="000000"/>
          <w:lang w:val="en-US"/>
        </w:rPr>
        <w:t>o continue assessing the impact</w:t>
      </w:r>
      <w:r w:rsidRPr="00BF5FCA">
        <w:rPr>
          <w:rFonts w:ascii="Times New Roman" w:eastAsia="Times New Roman" w:hAnsi="Times New Roman" w:cs="Times New Roman"/>
          <w:color w:val="000000"/>
          <w:lang w:val="en-US"/>
        </w:rPr>
        <w:t xml:space="preserve"> of climate change and climate-induced disasters on women and girls and provide </w:t>
      </w:r>
      <w:r w:rsidR="00ED2D9D" w:rsidRPr="00BF5FCA">
        <w:rPr>
          <w:rFonts w:ascii="Times New Roman" w:eastAsia="Times New Roman" w:hAnsi="Times New Roman" w:cs="Times New Roman"/>
          <w:color w:val="000000"/>
          <w:lang w:val="en-US"/>
        </w:rPr>
        <w:t>guidance to State</w:t>
      </w:r>
      <w:r w:rsidR="00A0277F" w:rsidRPr="00BF5FCA">
        <w:rPr>
          <w:rFonts w:ascii="Times New Roman" w:eastAsia="Times New Roman" w:hAnsi="Times New Roman" w:cs="Times New Roman"/>
          <w:color w:val="000000"/>
          <w:lang w:val="en-US"/>
        </w:rPr>
        <w:t>s</w:t>
      </w:r>
      <w:r w:rsidR="00ED2D9D" w:rsidRPr="00BF5FCA">
        <w:rPr>
          <w:rFonts w:ascii="Times New Roman" w:eastAsia="Times New Roman" w:hAnsi="Times New Roman" w:cs="Times New Roman"/>
          <w:color w:val="000000"/>
          <w:lang w:val="en-US"/>
        </w:rPr>
        <w:t xml:space="preserve"> parties</w:t>
      </w:r>
      <w:r w:rsidR="001A3189" w:rsidRPr="00BF5FCA">
        <w:rPr>
          <w:rFonts w:ascii="Times New Roman" w:eastAsia="Times New Roman" w:hAnsi="Times New Roman" w:cs="Times New Roman"/>
          <w:color w:val="000000"/>
          <w:lang w:val="en-US"/>
        </w:rPr>
        <w:t xml:space="preserve"> on </w:t>
      </w:r>
      <w:r w:rsidR="00F43CEC" w:rsidRPr="00BF5FCA">
        <w:rPr>
          <w:rFonts w:ascii="Times New Roman" w:eastAsia="Times New Roman" w:hAnsi="Times New Roman" w:cs="Times New Roman"/>
          <w:color w:val="000000"/>
          <w:lang w:val="en-US"/>
        </w:rPr>
        <w:t xml:space="preserve">ways </w:t>
      </w:r>
      <w:r w:rsidR="001A3189" w:rsidRPr="00BF5FCA">
        <w:rPr>
          <w:rFonts w:ascii="Times New Roman" w:eastAsia="Times New Roman" w:hAnsi="Times New Roman" w:cs="Times New Roman"/>
          <w:color w:val="000000"/>
          <w:lang w:val="en-US"/>
        </w:rPr>
        <w:t>to</w:t>
      </w:r>
      <w:r w:rsidRPr="00BF5FCA">
        <w:rPr>
          <w:rFonts w:ascii="Times New Roman" w:eastAsia="Times New Roman" w:hAnsi="Times New Roman" w:cs="Times New Roman"/>
          <w:color w:val="000000"/>
          <w:lang w:val="en-US"/>
        </w:rPr>
        <w:t xml:space="preserve"> meet their obligations under the Convention, </w:t>
      </w:r>
      <w:r w:rsidR="001A3189" w:rsidRPr="00BF5FCA">
        <w:rPr>
          <w:rFonts w:ascii="Times New Roman" w:eastAsia="Times New Roman" w:hAnsi="Times New Roman" w:cs="Times New Roman"/>
          <w:color w:val="000000"/>
          <w:lang w:val="en-US"/>
        </w:rPr>
        <w:t xml:space="preserve">particularly with regard </w:t>
      </w:r>
      <w:r w:rsidRPr="00BF5FCA">
        <w:rPr>
          <w:rFonts w:ascii="Times New Roman" w:eastAsia="Times New Roman" w:hAnsi="Times New Roman" w:cs="Times New Roman"/>
          <w:color w:val="000000"/>
          <w:lang w:val="en-US"/>
        </w:rPr>
        <w:t>to mitigation a</w:t>
      </w:r>
      <w:r w:rsidR="00DB23C7" w:rsidRPr="00BF5FCA">
        <w:rPr>
          <w:rFonts w:ascii="Times New Roman" w:eastAsia="Times New Roman" w:hAnsi="Times New Roman" w:cs="Times New Roman"/>
          <w:color w:val="000000"/>
          <w:lang w:val="en-US"/>
        </w:rPr>
        <w:t>nd adaptation to climate change. It also reiterates its commitment to assess the situation of women’s vulnerability to religious extremism, harmful practices and cultural prejudices.</w:t>
      </w:r>
    </w:p>
    <w:p w14:paraId="3C3FC7D9" w14:textId="77777777" w:rsidR="00BB7373" w:rsidRPr="00BB7373" w:rsidRDefault="00BB7373" w:rsidP="00BB7373">
      <w:pPr>
        <w:spacing w:line="360" w:lineRule="auto"/>
        <w:jc w:val="both"/>
        <w:rPr>
          <w:rFonts w:ascii="Times New Roman" w:hAnsi="Times New Roman" w:cs="Times New Roman"/>
          <w:bCs/>
          <w:lang w:val="en-US"/>
        </w:rPr>
      </w:pPr>
    </w:p>
    <w:p w14:paraId="611EEFD0" w14:textId="78C16B29" w:rsidR="000E63A6" w:rsidRPr="00BF5FCA" w:rsidRDefault="00BB7373" w:rsidP="00BF5FCA">
      <w:pPr>
        <w:spacing w:line="360" w:lineRule="auto"/>
        <w:jc w:val="both"/>
        <w:rPr>
          <w:rFonts w:ascii="Times New Roman" w:hAnsi="Times New Roman" w:cs="Times New Roman"/>
          <w:lang w:val="en-US"/>
        </w:rPr>
      </w:pPr>
      <w:proofErr w:type="gramStart"/>
      <w:r w:rsidRPr="00BF5FCA">
        <w:rPr>
          <w:rFonts w:ascii="Times New Roman" w:hAnsi="Times New Roman" w:cs="Times New Roman"/>
          <w:bCs/>
          <w:lang w:val="en-US"/>
        </w:rPr>
        <w:t xml:space="preserve">Finally, the Committee </w:t>
      </w:r>
      <w:r w:rsidR="00086930" w:rsidRPr="00BF5FCA">
        <w:rPr>
          <w:rFonts w:ascii="Times New Roman" w:hAnsi="Times New Roman" w:cs="Times New Roman"/>
          <w:bCs/>
          <w:lang w:val="en-US"/>
        </w:rPr>
        <w:t xml:space="preserve">highly appreciates the opportunity to be </w:t>
      </w:r>
      <w:r w:rsidR="00FA269E" w:rsidRPr="00BF5FCA">
        <w:rPr>
          <w:rFonts w:ascii="Times New Roman" w:hAnsi="Times New Roman" w:cs="Times New Roman"/>
          <w:bCs/>
          <w:lang w:val="en-US"/>
        </w:rPr>
        <w:t xml:space="preserve">part of the </w:t>
      </w:r>
      <w:r w:rsidR="00C00FC7" w:rsidRPr="00BF5FCA">
        <w:rPr>
          <w:rFonts w:ascii="Times New Roman" w:hAnsi="Times New Roman" w:cs="Times New Roman"/>
          <w:bCs/>
          <w:lang w:val="en-US"/>
        </w:rPr>
        <w:t>action</w:t>
      </w:r>
      <w:r w:rsidR="00FA269E" w:rsidRPr="00BF5FCA">
        <w:rPr>
          <w:rFonts w:ascii="Times New Roman" w:hAnsi="Times New Roman" w:cs="Times New Roman"/>
          <w:bCs/>
          <w:lang w:val="en-US"/>
        </w:rPr>
        <w:t xml:space="preserve"> coalitions</w:t>
      </w:r>
      <w:r w:rsidR="00C00FC7" w:rsidRPr="00BF5FCA">
        <w:rPr>
          <w:rFonts w:ascii="Times New Roman" w:hAnsi="Times New Roman" w:cs="Times New Roman"/>
          <w:bCs/>
          <w:lang w:val="en-US"/>
        </w:rPr>
        <w:t xml:space="preserve"> of the Generation Equality Forum commemorating the </w:t>
      </w:r>
      <w:r w:rsidR="00086930" w:rsidRPr="00BF5FCA">
        <w:rPr>
          <w:rFonts w:ascii="Times New Roman" w:hAnsi="Times New Roman" w:cs="Times New Roman"/>
          <w:bCs/>
          <w:lang w:val="en-US"/>
        </w:rPr>
        <w:t xml:space="preserve"> Beijing +25 review process and </w:t>
      </w:r>
      <w:r w:rsidR="00591672" w:rsidRPr="00BF5FCA">
        <w:rPr>
          <w:rFonts w:ascii="Times New Roman" w:hAnsi="Times New Roman" w:cs="Times New Roman"/>
          <w:bCs/>
          <w:lang w:val="en-US"/>
        </w:rPr>
        <w:t xml:space="preserve">stresses the importance of </w:t>
      </w:r>
      <w:r w:rsidR="00F43CEC" w:rsidRPr="00BF5FCA">
        <w:rPr>
          <w:rFonts w:ascii="Times New Roman" w:hAnsi="Times New Roman" w:cs="Times New Roman"/>
          <w:bCs/>
          <w:lang w:val="en-US"/>
        </w:rPr>
        <w:t>establishing</w:t>
      </w:r>
      <w:r w:rsidR="00591672" w:rsidRPr="00BF5FCA">
        <w:rPr>
          <w:rFonts w:ascii="Times New Roman" w:hAnsi="Times New Roman" w:cs="Times New Roman"/>
          <w:bCs/>
          <w:lang w:val="en-US"/>
        </w:rPr>
        <w:t xml:space="preserve"> a platform for</w:t>
      </w:r>
      <w:r w:rsidRPr="00BF5FCA">
        <w:rPr>
          <w:rFonts w:ascii="Times New Roman" w:hAnsi="Times New Roman" w:cs="Times New Roman"/>
          <w:bCs/>
          <w:lang w:val="en-US"/>
        </w:rPr>
        <w:t xml:space="preserve"> collaboration with </w:t>
      </w:r>
      <w:r w:rsidR="00591672" w:rsidRPr="00BF5FCA">
        <w:rPr>
          <w:rFonts w:ascii="Times New Roman" w:hAnsi="Times New Roman" w:cs="Times New Roman"/>
          <w:bCs/>
          <w:lang w:val="en-US"/>
        </w:rPr>
        <w:t xml:space="preserve">all </w:t>
      </w:r>
      <w:r w:rsidR="00F43CEC" w:rsidRPr="00BF5FCA">
        <w:rPr>
          <w:rFonts w:ascii="Times New Roman" w:hAnsi="Times New Roman" w:cs="Times New Roman"/>
          <w:bCs/>
          <w:lang w:val="en-US"/>
        </w:rPr>
        <w:t xml:space="preserve">relevant </w:t>
      </w:r>
      <w:r w:rsidR="00591672" w:rsidRPr="00BF5FCA">
        <w:rPr>
          <w:rFonts w:ascii="Times New Roman" w:hAnsi="Times New Roman" w:cs="Times New Roman"/>
          <w:bCs/>
          <w:lang w:val="en-US"/>
        </w:rPr>
        <w:t>actors</w:t>
      </w:r>
      <w:r w:rsidR="00FA269E" w:rsidRPr="00BF5FCA">
        <w:rPr>
          <w:rFonts w:ascii="Times New Roman" w:hAnsi="Times New Roman" w:cs="Times New Roman"/>
          <w:bCs/>
          <w:lang w:val="en-US"/>
        </w:rPr>
        <w:t>, including both in the public and private sectors,</w:t>
      </w:r>
      <w:r w:rsidRPr="00BF5FCA">
        <w:rPr>
          <w:rFonts w:ascii="Times New Roman" w:hAnsi="Times New Roman" w:cs="Times New Roman"/>
          <w:bCs/>
          <w:lang w:val="en-US"/>
        </w:rPr>
        <w:t xml:space="preserve"> </w:t>
      </w:r>
      <w:r w:rsidR="00591672" w:rsidRPr="00BF5FCA">
        <w:rPr>
          <w:rFonts w:ascii="Times New Roman" w:hAnsi="Times New Roman" w:cs="Times New Roman"/>
          <w:bCs/>
          <w:lang w:val="en-US"/>
        </w:rPr>
        <w:t xml:space="preserve">as a </w:t>
      </w:r>
      <w:r w:rsidRPr="00BF5FCA">
        <w:rPr>
          <w:rFonts w:ascii="Times New Roman" w:hAnsi="Times New Roman" w:cs="Times New Roman"/>
          <w:bCs/>
          <w:lang w:val="en-US"/>
        </w:rPr>
        <w:t xml:space="preserve">crucial </w:t>
      </w:r>
      <w:r w:rsidR="00591672" w:rsidRPr="00BF5FCA">
        <w:rPr>
          <w:rFonts w:ascii="Times New Roman" w:hAnsi="Times New Roman" w:cs="Times New Roman"/>
          <w:bCs/>
          <w:lang w:val="en-US"/>
        </w:rPr>
        <w:t>instrument to tackle the aforementioned</w:t>
      </w:r>
      <w:r w:rsidRPr="00BF5FCA">
        <w:rPr>
          <w:rFonts w:ascii="Times New Roman" w:hAnsi="Times New Roman" w:cs="Times New Roman"/>
          <w:bCs/>
          <w:lang w:val="en-US"/>
        </w:rPr>
        <w:t xml:space="preserve"> challen</w:t>
      </w:r>
      <w:r w:rsidR="00591672" w:rsidRPr="00BF5FCA">
        <w:rPr>
          <w:rFonts w:ascii="Times New Roman" w:hAnsi="Times New Roman" w:cs="Times New Roman"/>
          <w:bCs/>
          <w:lang w:val="en-US"/>
        </w:rPr>
        <w:t xml:space="preserve">ges and as a coordinated effort to counter </w:t>
      </w:r>
      <w:r w:rsidRPr="00BF5FCA">
        <w:rPr>
          <w:rFonts w:ascii="Times New Roman" w:hAnsi="Times New Roman" w:cs="Times New Roman"/>
          <w:bCs/>
          <w:lang w:val="en-US"/>
        </w:rPr>
        <w:t>the existing backlash against women's rights</w:t>
      </w:r>
      <w:r w:rsidR="00591672" w:rsidRPr="00BF5FCA">
        <w:rPr>
          <w:rFonts w:ascii="Times New Roman" w:hAnsi="Times New Roman" w:cs="Times New Roman"/>
          <w:bCs/>
          <w:lang w:val="en-US"/>
        </w:rPr>
        <w:t xml:space="preserve">, ensure women’s </w:t>
      </w:r>
      <w:r w:rsidRPr="00BF5FCA">
        <w:rPr>
          <w:rFonts w:ascii="Times New Roman" w:hAnsi="Times New Roman" w:cs="Times New Roman"/>
          <w:bCs/>
          <w:lang w:val="en-US"/>
        </w:rPr>
        <w:t>empowerment</w:t>
      </w:r>
      <w:r w:rsidR="00591672" w:rsidRPr="00BF5FCA">
        <w:rPr>
          <w:rFonts w:ascii="Times New Roman" w:hAnsi="Times New Roman" w:cs="Times New Roman"/>
          <w:bCs/>
          <w:lang w:val="en-US"/>
        </w:rPr>
        <w:t xml:space="preserve"> and substantive gender equality, </w:t>
      </w:r>
      <w:r w:rsidRPr="00BF5FCA">
        <w:rPr>
          <w:rFonts w:ascii="Times New Roman" w:hAnsi="Times New Roman" w:cs="Times New Roman"/>
          <w:bCs/>
          <w:lang w:val="en-US"/>
        </w:rPr>
        <w:t xml:space="preserve">and </w:t>
      </w:r>
      <w:r w:rsidR="00591672" w:rsidRPr="00BF5FCA">
        <w:rPr>
          <w:rFonts w:ascii="Times New Roman" w:hAnsi="Times New Roman" w:cs="Times New Roman"/>
          <w:bCs/>
          <w:lang w:val="en-US"/>
        </w:rPr>
        <w:t>eradicating</w:t>
      </w:r>
      <w:r w:rsidRPr="00BF5FCA">
        <w:rPr>
          <w:rFonts w:ascii="Times New Roman" w:hAnsi="Times New Roman" w:cs="Times New Roman"/>
          <w:bCs/>
          <w:lang w:val="en-US"/>
        </w:rPr>
        <w:t xml:space="preserve"> gender-based violence against women.</w:t>
      </w:r>
      <w:proofErr w:type="gramEnd"/>
    </w:p>
    <w:p w14:paraId="167D562C" w14:textId="77777777" w:rsidR="00B925AD" w:rsidRPr="00920229" w:rsidRDefault="00B925AD" w:rsidP="00901CD8">
      <w:pPr>
        <w:spacing w:line="360" w:lineRule="auto"/>
        <w:jc w:val="both"/>
        <w:rPr>
          <w:rFonts w:ascii="Times New Roman" w:hAnsi="Times New Roman" w:cs="Times New Roman"/>
          <w:lang w:val="en-US"/>
        </w:rPr>
      </w:pPr>
    </w:p>
    <w:sectPr w:rsidR="00B925AD" w:rsidRPr="00920229" w:rsidSect="00AF7DC1">
      <w:pgSz w:w="11900" w:h="16840"/>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63EC1" w16cid:durableId="2162A442"/>
  <w16cid:commentId w16cid:paraId="0C5D49AA" w16cid:durableId="2162A4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7EF9B" w14:textId="77777777" w:rsidR="000364BB" w:rsidRDefault="000364BB" w:rsidP="00265DFA">
      <w:r>
        <w:separator/>
      </w:r>
    </w:p>
  </w:endnote>
  <w:endnote w:type="continuationSeparator" w:id="0">
    <w:p w14:paraId="4C7959BA" w14:textId="77777777" w:rsidR="000364BB" w:rsidRDefault="000364BB" w:rsidP="0026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051CA" w14:textId="77777777" w:rsidR="000364BB" w:rsidRDefault="000364BB" w:rsidP="00265DFA">
      <w:r>
        <w:separator/>
      </w:r>
    </w:p>
  </w:footnote>
  <w:footnote w:type="continuationSeparator" w:id="0">
    <w:p w14:paraId="365DA1CB" w14:textId="77777777" w:rsidR="000364BB" w:rsidRDefault="000364BB" w:rsidP="00265DFA">
      <w:r>
        <w:continuationSeparator/>
      </w:r>
    </w:p>
  </w:footnote>
  <w:footnote w:id="1">
    <w:p w14:paraId="58FADED0" w14:textId="77777777" w:rsidR="00DC136D" w:rsidRPr="00E027B3" w:rsidRDefault="00DC136D" w:rsidP="00E66330">
      <w:pPr>
        <w:pStyle w:val="FootnoteText"/>
        <w:rPr>
          <w:rFonts w:ascii="Times New Roman" w:hAnsi="Times New Roman" w:cs="Times New Roman"/>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w:t>
      </w:r>
      <w:r w:rsidRPr="00E027B3">
        <w:rPr>
          <w:rFonts w:ascii="Times New Roman" w:hAnsi="Times New Roman" w:cs="Times New Roman"/>
          <w:lang w:val="en-US"/>
        </w:rPr>
        <w:t xml:space="preserve">CEDAW General Recommendation #36 on the right of girls and women to education. </w:t>
      </w:r>
    </w:p>
  </w:footnote>
  <w:footnote w:id="2">
    <w:p w14:paraId="0964DEC4" w14:textId="1DE003D6" w:rsidR="00074B96" w:rsidRDefault="00074B96">
      <w:pPr>
        <w:pStyle w:val="FootnoteText"/>
      </w:pPr>
      <w:r>
        <w:rPr>
          <w:rStyle w:val="FootnoteReference"/>
        </w:rPr>
        <w:footnoteRef/>
      </w:r>
      <w:r>
        <w:t xml:space="preserve"> </w:t>
      </w:r>
      <w:r w:rsidRPr="00074B96">
        <w:t>ibid, para 13.</w:t>
      </w:r>
    </w:p>
  </w:footnote>
  <w:footnote w:id="3">
    <w:p w14:paraId="1CDB9700" w14:textId="77777777" w:rsidR="00DC136D" w:rsidRPr="00E027B3" w:rsidRDefault="00DC136D" w:rsidP="004B63C9">
      <w:pPr>
        <w:pStyle w:val="FootnoteText"/>
        <w:rPr>
          <w:rFonts w:ascii="Times New Roman" w:hAnsi="Times New Roman" w:cs="Times New Roman"/>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w:t>
      </w:r>
      <w:r w:rsidRPr="00E027B3">
        <w:rPr>
          <w:rFonts w:ascii="Times New Roman" w:hAnsi="Times New Roman" w:cs="Times New Roman"/>
          <w:sz w:val="18"/>
          <w:szCs w:val="18"/>
        </w:rPr>
        <w:t xml:space="preserve">Female Circumcision (General Recommendation 14) Harmful practices affecting children (General Recommendation 31) and Violence </w:t>
      </w:r>
      <w:proofErr w:type="gramStart"/>
      <w:r w:rsidRPr="00E027B3">
        <w:rPr>
          <w:rFonts w:ascii="Times New Roman" w:hAnsi="Times New Roman" w:cs="Times New Roman"/>
          <w:sz w:val="18"/>
          <w:szCs w:val="18"/>
        </w:rPr>
        <w:t>Against</w:t>
      </w:r>
      <w:proofErr w:type="gramEnd"/>
      <w:r w:rsidRPr="00E027B3">
        <w:rPr>
          <w:rFonts w:ascii="Times New Roman" w:hAnsi="Times New Roman" w:cs="Times New Roman"/>
          <w:sz w:val="18"/>
          <w:szCs w:val="18"/>
        </w:rPr>
        <w:t xml:space="preserve"> Women (General Recommendations 12, 19 and 35).</w:t>
      </w:r>
    </w:p>
  </w:footnote>
  <w:footnote w:id="4">
    <w:p w14:paraId="2F3CA34F" w14:textId="77777777" w:rsidR="00DC136D" w:rsidRPr="00E027B3" w:rsidRDefault="00DC136D" w:rsidP="004B63C9">
      <w:pPr>
        <w:pStyle w:val="FootnoteText"/>
        <w:rPr>
          <w:rFonts w:ascii="Times New Roman" w:hAnsi="Times New Roman" w:cs="Times New Roman"/>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On family relations, conflicts and disasters, and on specific groups of women, such as rural women, migrant women workers, older women and disabled women.</w:t>
      </w:r>
    </w:p>
  </w:footnote>
  <w:footnote w:id="5">
    <w:p w14:paraId="6DEC0678" w14:textId="17A1EB87" w:rsidR="00DC136D" w:rsidRPr="00E027B3" w:rsidRDefault="00DC136D">
      <w:pPr>
        <w:pStyle w:val="FootnoteText"/>
        <w:rPr>
          <w:rFonts w:ascii="Times New Roman" w:hAnsi="Times New Roman" w:cs="Times New Roman"/>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w:t>
      </w:r>
      <w:r w:rsidRPr="00E027B3">
        <w:rPr>
          <w:rFonts w:ascii="Times New Roman" w:hAnsi="Times New Roman" w:cs="Times New Roman"/>
          <w:lang w:val="en-US"/>
        </w:rPr>
        <w:t>General Recommendation 28, 19 and 35.</w:t>
      </w:r>
    </w:p>
  </w:footnote>
  <w:footnote w:id="6">
    <w:p w14:paraId="6C707493" w14:textId="77777777" w:rsidR="00DC136D" w:rsidRPr="00E027B3" w:rsidRDefault="00DC136D" w:rsidP="00D633DB">
      <w:pPr>
        <w:pStyle w:val="FootnoteText"/>
        <w:rPr>
          <w:rFonts w:ascii="Times New Roman" w:hAnsi="Times New Roman" w:cs="Times New Roman"/>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w:t>
      </w:r>
      <w:r w:rsidRPr="00E027B3">
        <w:rPr>
          <w:rFonts w:ascii="Times New Roman" w:hAnsi="Times New Roman" w:cs="Times New Roman"/>
          <w:lang w:val="en-US"/>
        </w:rPr>
        <w:t>General Recommendation 23, para 17.</w:t>
      </w:r>
    </w:p>
  </w:footnote>
  <w:footnote w:id="7">
    <w:p w14:paraId="01689F0B" w14:textId="77777777" w:rsidR="00DC136D" w:rsidRPr="00E027B3" w:rsidRDefault="00DC136D" w:rsidP="00F8598D">
      <w:pPr>
        <w:pStyle w:val="FootnoteText"/>
        <w:rPr>
          <w:rFonts w:ascii="Times New Roman" w:hAnsi="Times New Roman" w:cs="Times New Roman"/>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w:t>
      </w:r>
      <w:r w:rsidRPr="00E027B3">
        <w:rPr>
          <w:rFonts w:ascii="Times New Roman" w:hAnsi="Times New Roman" w:cs="Times New Roman"/>
          <w:lang w:val="en-US"/>
        </w:rPr>
        <w:t>Beijing Platform, Global Framework, para 46.</w:t>
      </w:r>
    </w:p>
  </w:footnote>
  <w:footnote w:id="8">
    <w:p w14:paraId="389FF952" w14:textId="77777777" w:rsidR="00DC136D" w:rsidRPr="00E027B3" w:rsidRDefault="00DC136D" w:rsidP="00E357CB">
      <w:pPr>
        <w:pStyle w:val="FootnoteText"/>
        <w:rPr>
          <w:rFonts w:ascii="Times New Roman" w:hAnsi="Times New Roman" w:cs="Times New Roman"/>
          <w:lang w:val="fi-FI"/>
        </w:rPr>
      </w:pPr>
      <w:r w:rsidRPr="00E027B3">
        <w:rPr>
          <w:rStyle w:val="FootnoteReference"/>
          <w:rFonts w:ascii="Times New Roman" w:hAnsi="Times New Roman" w:cs="Times New Roman"/>
        </w:rPr>
        <w:footnoteRef/>
      </w:r>
      <w:r w:rsidRPr="00E027B3">
        <w:rPr>
          <w:rFonts w:ascii="Times New Roman" w:hAnsi="Times New Roman" w:cs="Times New Roman"/>
        </w:rPr>
        <w:t xml:space="preserve"> </w:t>
      </w:r>
      <w:r w:rsidRPr="00E027B3">
        <w:rPr>
          <w:rFonts w:ascii="Times New Roman" w:hAnsi="Times New Roman" w:cs="Times New Roman"/>
          <w:lang w:val="fi-FI"/>
        </w:rPr>
        <w:t>See general recommendation No. 37 on the gender-related dimensions of disaster risk reduction in the context of climate change (2018); general recommendation No. 27 (2010) on older women and the protection of their human rights, para. 25, and general recommendation No. 28 (2010) on the core obligations of States parties under article 2 of the Convention, para. 11. For concluding observations, see CEDAW/C/SLB/CO/1–3, paras. 40–41; CEDAW/C/PER/CO/7–8, paras. 37–38; CEDAW/C/GIN/CO/7–8, para. 53; CEDAW/C/GRD/CO/1–5, paras. 35–36; CEDAW/C/JAM/CO/6–7, paras. 31–32; CEDAW/C/SYC/CO/1–5, paras. 36–37; CEDAW/C/TGO/CO/6–7, para. 17; CEDAW/C/DZA/CO/3–4, paras. 42–43; CEDAW/C/NLZ/CO/7, paras. 9 and 36–37; CEDAW/C/CHI/CO/5–6, paras. 38–39; CEDAW/C/BLR/CO/7, paras. 37–38; CEDAW/C/LKA/CO/7, paras. 38–39; CEDAW/C/NPL/CO/4–5, para. 38; and CEDAW/C/TUV/CO/2, paras. 55–56.</w:t>
      </w:r>
    </w:p>
  </w:footnote>
  <w:footnote w:id="9">
    <w:p w14:paraId="58C07F7A" w14:textId="77777777" w:rsidR="00DC136D" w:rsidRPr="00E027B3" w:rsidRDefault="00DC136D" w:rsidP="003739A3">
      <w:pPr>
        <w:pStyle w:val="FootnoteText"/>
        <w:rPr>
          <w:rFonts w:ascii="Times New Roman" w:hAnsi="Times New Roman" w:cs="Times New Roman"/>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Joint Statement on "Human Rights and Climate Change", 16 September 2019.</w:t>
      </w:r>
    </w:p>
  </w:footnote>
  <w:footnote w:id="10">
    <w:p w14:paraId="0A833A97" w14:textId="77777777" w:rsidR="00DC136D" w:rsidRPr="00E027B3" w:rsidRDefault="00DC136D" w:rsidP="00F8598D">
      <w:pPr>
        <w:pStyle w:val="FootnoteText"/>
        <w:rPr>
          <w:rFonts w:ascii="Times New Roman" w:hAnsi="Times New Roman" w:cs="Times New Roman"/>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CEDAW General Recommendation #37, paras 7-8.</w:t>
      </w:r>
    </w:p>
  </w:footnote>
  <w:footnote w:id="11">
    <w:p w14:paraId="17038A22" w14:textId="77777777" w:rsidR="00DC136D" w:rsidRPr="00E027B3" w:rsidRDefault="00DC136D" w:rsidP="00F8598D">
      <w:pPr>
        <w:pStyle w:val="FootnoteText"/>
        <w:rPr>
          <w:rFonts w:ascii="Times New Roman" w:hAnsi="Times New Roman" w:cs="Times New Roman"/>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w:t>
      </w:r>
      <w:r w:rsidRPr="00E027B3">
        <w:rPr>
          <w:rFonts w:ascii="Times New Roman" w:hAnsi="Times New Roman" w:cs="Times New Roman"/>
          <w:lang w:val="en-US"/>
        </w:rPr>
        <w:t>CEDAW General Recommendation #36.</w:t>
      </w:r>
    </w:p>
  </w:footnote>
  <w:footnote w:id="12">
    <w:p w14:paraId="5A52111F" w14:textId="5CE196D1" w:rsidR="00DC136D" w:rsidRPr="00B94062" w:rsidRDefault="00DC136D">
      <w:pPr>
        <w:pStyle w:val="FootnoteText"/>
        <w:rPr>
          <w:lang w:val="en-US"/>
        </w:rPr>
      </w:pPr>
      <w:r w:rsidRPr="00E027B3">
        <w:rPr>
          <w:rStyle w:val="FootnoteReference"/>
          <w:rFonts w:ascii="Times New Roman" w:hAnsi="Times New Roman" w:cs="Times New Roman"/>
        </w:rPr>
        <w:footnoteRef/>
      </w:r>
      <w:r w:rsidRPr="00E027B3">
        <w:rPr>
          <w:rFonts w:ascii="Times New Roman" w:hAnsi="Times New Roman" w:cs="Times New Roman"/>
        </w:rPr>
        <w:t xml:space="preserve"> </w:t>
      </w:r>
      <w:proofErr w:type="spellStart"/>
      <w:r w:rsidRPr="00E027B3">
        <w:rPr>
          <w:rFonts w:ascii="Times New Roman" w:hAnsi="Times New Roman" w:cs="Times New Roman"/>
        </w:rPr>
        <w:t>Seager</w:t>
      </w:r>
      <w:proofErr w:type="spellEnd"/>
      <w:r w:rsidRPr="00E027B3">
        <w:rPr>
          <w:rFonts w:ascii="Times New Roman" w:hAnsi="Times New Roman" w:cs="Times New Roman"/>
        </w:rPr>
        <w:t>,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BF0"/>
    <w:multiLevelType w:val="hybridMultilevel"/>
    <w:tmpl w:val="8DB27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F199F"/>
    <w:multiLevelType w:val="hybridMultilevel"/>
    <w:tmpl w:val="1D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6220B"/>
    <w:multiLevelType w:val="hybridMultilevel"/>
    <w:tmpl w:val="C390F0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8398B"/>
    <w:multiLevelType w:val="hybridMultilevel"/>
    <w:tmpl w:val="CD58415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06DAF"/>
    <w:multiLevelType w:val="hybridMultilevel"/>
    <w:tmpl w:val="1594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91283"/>
    <w:multiLevelType w:val="hybridMultilevel"/>
    <w:tmpl w:val="CD58415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901AF6"/>
    <w:multiLevelType w:val="hybridMultilevel"/>
    <w:tmpl w:val="C8C47CC4"/>
    <w:lvl w:ilvl="0" w:tplc="E5B267C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9449C"/>
    <w:multiLevelType w:val="hybridMultilevel"/>
    <w:tmpl w:val="37D45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DUwMrSwNDC2MDZV0lEKTi0uzszPAykwrgUAjrz5NiwAAAA="/>
  </w:docVars>
  <w:rsids>
    <w:rsidRoot w:val="00EA412E"/>
    <w:rsid w:val="0000097B"/>
    <w:rsid w:val="00001173"/>
    <w:rsid w:val="00003FDC"/>
    <w:rsid w:val="000069AC"/>
    <w:rsid w:val="000104CC"/>
    <w:rsid w:val="00010C9E"/>
    <w:rsid w:val="0001359A"/>
    <w:rsid w:val="00015F79"/>
    <w:rsid w:val="00021653"/>
    <w:rsid w:val="00024793"/>
    <w:rsid w:val="00027647"/>
    <w:rsid w:val="000338A4"/>
    <w:rsid w:val="000364BB"/>
    <w:rsid w:val="00052D5C"/>
    <w:rsid w:val="00053E11"/>
    <w:rsid w:val="00056238"/>
    <w:rsid w:val="00060557"/>
    <w:rsid w:val="00061661"/>
    <w:rsid w:val="00065DCE"/>
    <w:rsid w:val="00074B96"/>
    <w:rsid w:val="0007761C"/>
    <w:rsid w:val="00086930"/>
    <w:rsid w:val="0008782C"/>
    <w:rsid w:val="00092235"/>
    <w:rsid w:val="000A3629"/>
    <w:rsid w:val="000A6CC0"/>
    <w:rsid w:val="000B2902"/>
    <w:rsid w:val="000B4249"/>
    <w:rsid w:val="000C047B"/>
    <w:rsid w:val="000C7C77"/>
    <w:rsid w:val="000D2EC7"/>
    <w:rsid w:val="000D7DBF"/>
    <w:rsid w:val="000E33A5"/>
    <w:rsid w:val="000E63A6"/>
    <w:rsid w:val="000F1071"/>
    <w:rsid w:val="000F11EA"/>
    <w:rsid w:val="000F430B"/>
    <w:rsid w:val="000F4D68"/>
    <w:rsid w:val="000F7F3E"/>
    <w:rsid w:val="00112866"/>
    <w:rsid w:val="00120F0D"/>
    <w:rsid w:val="00122FA1"/>
    <w:rsid w:val="00123707"/>
    <w:rsid w:val="001265D9"/>
    <w:rsid w:val="00133662"/>
    <w:rsid w:val="00135E5B"/>
    <w:rsid w:val="00137A90"/>
    <w:rsid w:val="001400E8"/>
    <w:rsid w:val="001525DC"/>
    <w:rsid w:val="001526CB"/>
    <w:rsid w:val="00162FFC"/>
    <w:rsid w:val="0016558E"/>
    <w:rsid w:val="00171302"/>
    <w:rsid w:val="00171BC9"/>
    <w:rsid w:val="001860E9"/>
    <w:rsid w:val="00197AD3"/>
    <w:rsid w:val="001A3189"/>
    <w:rsid w:val="001A6007"/>
    <w:rsid w:val="001B545F"/>
    <w:rsid w:val="001B6606"/>
    <w:rsid w:val="001C05E7"/>
    <w:rsid w:val="001C75DA"/>
    <w:rsid w:val="001D3C40"/>
    <w:rsid w:val="001D478B"/>
    <w:rsid w:val="001D71B6"/>
    <w:rsid w:val="001D7896"/>
    <w:rsid w:val="001F279E"/>
    <w:rsid w:val="001F3B05"/>
    <w:rsid w:val="002054DF"/>
    <w:rsid w:val="002055D3"/>
    <w:rsid w:val="002133B5"/>
    <w:rsid w:val="00232620"/>
    <w:rsid w:val="00233D6A"/>
    <w:rsid w:val="00237FA8"/>
    <w:rsid w:val="002443E5"/>
    <w:rsid w:val="00250237"/>
    <w:rsid w:val="002546C2"/>
    <w:rsid w:val="00257998"/>
    <w:rsid w:val="002606A4"/>
    <w:rsid w:val="00265DFA"/>
    <w:rsid w:val="0026670A"/>
    <w:rsid w:val="00274CF8"/>
    <w:rsid w:val="00286FF8"/>
    <w:rsid w:val="002B0A6E"/>
    <w:rsid w:val="002B6CE2"/>
    <w:rsid w:val="002D3C99"/>
    <w:rsid w:val="002D48F0"/>
    <w:rsid w:val="002E0042"/>
    <w:rsid w:val="002E27EF"/>
    <w:rsid w:val="002E5D36"/>
    <w:rsid w:val="002E7C4B"/>
    <w:rsid w:val="002F21B9"/>
    <w:rsid w:val="002F5F36"/>
    <w:rsid w:val="00307409"/>
    <w:rsid w:val="00310DF0"/>
    <w:rsid w:val="00314683"/>
    <w:rsid w:val="00323134"/>
    <w:rsid w:val="00325E39"/>
    <w:rsid w:val="003328DA"/>
    <w:rsid w:val="00337AA5"/>
    <w:rsid w:val="00342F46"/>
    <w:rsid w:val="00347DB0"/>
    <w:rsid w:val="00351CD3"/>
    <w:rsid w:val="0035213E"/>
    <w:rsid w:val="003645B7"/>
    <w:rsid w:val="0036707F"/>
    <w:rsid w:val="003739A3"/>
    <w:rsid w:val="00375729"/>
    <w:rsid w:val="00390441"/>
    <w:rsid w:val="00393AEC"/>
    <w:rsid w:val="00397AF0"/>
    <w:rsid w:val="003B2855"/>
    <w:rsid w:val="003B2A3B"/>
    <w:rsid w:val="003B3F7D"/>
    <w:rsid w:val="003B7A10"/>
    <w:rsid w:val="003C4432"/>
    <w:rsid w:val="003D19FA"/>
    <w:rsid w:val="003D37B8"/>
    <w:rsid w:val="003E0974"/>
    <w:rsid w:val="003E2CCF"/>
    <w:rsid w:val="003F309F"/>
    <w:rsid w:val="003F5317"/>
    <w:rsid w:val="003F78B0"/>
    <w:rsid w:val="00403583"/>
    <w:rsid w:val="00410512"/>
    <w:rsid w:val="004152B9"/>
    <w:rsid w:val="00432EAE"/>
    <w:rsid w:val="004477CD"/>
    <w:rsid w:val="004553FF"/>
    <w:rsid w:val="00456646"/>
    <w:rsid w:val="00456C62"/>
    <w:rsid w:val="00470DCE"/>
    <w:rsid w:val="00473709"/>
    <w:rsid w:val="004A50E2"/>
    <w:rsid w:val="004B3C75"/>
    <w:rsid w:val="004B63C9"/>
    <w:rsid w:val="004B6928"/>
    <w:rsid w:val="004B7145"/>
    <w:rsid w:val="004C0284"/>
    <w:rsid w:val="004C171C"/>
    <w:rsid w:val="004C7826"/>
    <w:rsid w:val="004D1DB8"/>
    <w:rsid w:val="004E2C10"/>
    <w:rsid w:val="004F4477"/>
    <w:rsid w:val="005018E9"/>
    <w:rsid w:val="00521AFA"/>
    <w:rsid w:val="005234D0"/>
    <w:rsid w:val="005247DB"/>
    <w:rsid w:val="005252C1"/>
    <w:rsid w:val="00526D4F"/>
    <w:rsid w:val="00530C6A"/>
    <w:rsid w:val="00532DD5"/>
    <w:rsid w:val="00533369"/>
    <w:rsid w:val="00533D42"/>
    <w:rsid w:val="0053589B"/>
    <w:rsid w:val="00547302"/>
    <w:rsid w:val="00556744"/>
    <w:rsid w:val="00563C8A"/>
    <w:rsid w:val="00571933"/>
    <w:rsid w:val="005814BD"/>
    <w:rsid w:val="00582460"/>
    <w:rsid w:val="0058373F"/>
    <w:rsid w:val="005915A1"/>
    <w:rsid w:val="00591672"/>
    <w:rsid w:val="005922B1"/>
    <w:rsid w:val="005947AE"/>
    <w:rsid w:val="005A4FBB"/>
    <w:rsid w:val="005A57C0"/>
    <w:rsid w:val="005C4041"/>
    <w:rsid w:val="005C7EF2"/>
    <w:rsid w:val="005D052E"/>
    <w:rsid w:val="005D0D5F"/>
    <w:rsid w:val="005F0EBC"/>
    <w:rsid w:val="005F1B92"/>
    <w:rsid w:val="005F7C28"/>
    <w:rsid w:val="0060065B"/>
    <w:rsid w:val="00615111"/>
    <w:rsid w:val="00615283"/>
    <w:rsid w:val="00621029"/>
    <w:rsid w:val="006310C0"/>
    <w:rsid w:val="00631EC8"/>
    <w:rsid w:val="00637A0E"/>
    <w:rsid w:val="00642B79"/>
    <w:rsid w:val="00647B7D"/>
    <w:rsid w:val="00653F17"/>
    <w:rsid w:val="00655B30"/>
    <w:rsid w:val="00672075"/>
    <w:rsid w:val="006804F8"/>
    <w:rsid w:val="00680D2C"/>
    <w:rsid w:val="006816E1"/>
    <w:rsid w:val="006831E5"/>
    <w:rsid w:val="00685071"/>
    <w:rsid w:val="006964F4"/>
    <w:rsid w:val="006A2538"/>
    <w:rsid w:val="006A3C4D"/>
    <w:rsid w:val="006A5D4B"/>
    <w:rsid w:val="006B1EC4"/>
    <w:rsid w:val="006B501B"/>
    <w:rsid w:val="006B5594"/>
    <w:rsid w:val="006C61B3"/>
    <w:rsid w:val="006D01D2"/>
    <w:rsid w:val="006F08DE"/>
    <w:rsid w:val="007011C7"/>
    <w:rsid w:val="00703928"/>
    <w:rsid w:val="007043D6"/>
    <w:rsid w:val="0070582E"/>
    <w:rsid w:val="00707FA8"/>
    <w:rsid w:val="00714BF0"/>
    <w:rsid w:val="0071583A"/>
    <w:rsid w:val="00721002"/>
    <w:rsid w:val="00730FA4"/>
    <w:rsid w:val="00734EBC"/>
    <w:rsid w:val="0074500F"/>
    <w:rsid w:val="00747433"/>
    <w:rsid w:val="0075082D"/>
    <w:rsid w:val="00754CAE"/>
    <w:rsid w:val="0077167E"/>
    <w:rsid w:val="00782DFC"/>
    <w:rsid w:val="007967F4"/>
    <w:rsid w:val="007A087E"/>
    <w:rsid w:val="007A2DDD"/>
    <w:rsid w:val="007A67E7"/>
    <w:rsid w:val="007A6D19"/>
    <w:rsid w:val="007B3FA8"/>
    <w:rsid w:val="007C4FCB"/>
    <w:rsid w:val="007C7F15"/>
    <w:rsid w:val="007D3368"/>
    <w:rsid w:val="007E5B99"/>
    <w:rsid w:val="007E6DE7"/>
    <w:rsid w:val="007F2807"/>
    <w:rsid w:val="007F5F52"/>
    <w:rsid w:val="007F7811"/>
    <w:rsid w:val="00801291"/>
    <w:rsid w:val="008054A8"/>
    <w:rsid w:val="00812933"/>
    <w:rsid w:val="00813ECF"/>
    <w:rsid w:val="008142CA"/>
    <w:rsid w:val="00825034"/>
    <w:rsid w:val="00827EF7"/>
    <w:rsid w:val="008464C1"/>
    <w:rsid w:val="00851B9F"/>
    <w:rsid w:val="00866E96"/>
    <w:rsid w:val="00886BB3"/>
    <w:rsid w:val="00887839"/>
    <w:rsid w:val="00887AA8"/>
    <w:rsid w:val="00892596"/>
    <w:rsid w:val="008A39AC"/>
    <w:rsid w:val="008A45BA"/>
    <w:rsid w:val="008A77EC"/>
    <w:rsid w:val="008B3ABB"/>
    <w:rsid w:val="008B4950"/>
    <w:rsid w:val="008B5CBD"/>
    <w:rsid w:val="008C466B"/>
    <w:rsid w:val="008C4934"/>
    <w:rsid w:val="008C6D00"/>
    <w:rsid w:val="008D0402"/>
    <w:rsid w:val="008D4DE4"/>
    <w:rsid w:val="008E2AD5"/>
    <w:rsid w:val="008E7950"/>
    <w:rsid w:val="008F47EE"/>
    <w:rsid w:val="008F542C"/>
    <w:rsid w:val="008F57EE"/>
    <w:rsid w:val="00901CD8"/>
    <w:rsid w:val="00905529"/>
    <w:rsid w:val="00912181"/>
    <w:rsid w:val="00913258"/>
    <w:rsid w:val="0091517C"/>
    <w:rsid w:val="00920195"/>
    <w:rsid w:val="00920229"/>
    <w:rsid w:val="00920A0B"/>
    <w:rsid w:val="009214AE"/>
    <w:rsid w:val="009235FD"/>
    <w:rsid w:val="00926EA1"/>
    <w:rsid w:val="0092736B"/>
    <w:rsid w:val="009431E5"/>
    <w:rsid w:val="0094363C"/>
    <w:rsid w:val="00947C7A"/>
    <w:rsid w:val="00956B6B"/>
    <w:rsid w:val="00956E38"/>
    <w:rsid w:val="009812D2"/>
    <w:rsid w:val="009925D0"/>
    <w:rsid w:val="00997BAD"/>
    <w:rsid w:val="009A1489"/>
    <w:rsid w:val="009B099E"/>
    <w:rsid w:val="009C6DAD"/>
    <w:rsid w:val="009D1E13"/>
    <w:rsid w:val="009D5A16"/>
    <w:rsid w:val="009D5A32"/>
    <w:rsid w:val="009E38DB"/>
    <w:rsid w:val="009E4153"/>
    <w:rsid w:val="009F4F45"/>
    <w:rsid w:val="00A00C18"/>
    <w:rsid w:val="00A0277F"/>
    <w:rsid w:val="00A03624"/>
    <w:rsid w:val="00A037AD"/>
    <w:rsid w:val="00A13EF5"/>
    <w:rsid w:val="00A15200"/>
    <w:rsid w:val="00A2081B"/>
    <w:rsid w:val="00A214D3"/>
    <w:rsid w:val="00A243DF"/>
    <w:rsid w:val="00A25FE8"/>
    <w:rsid w:val="00A3223C"/>
    <w:rsid w:val="00A62FE8"/>
    <w:rsid w:val="00A63DDB"/>
    <w:rsid w:val="00A72AED"/>
    <w:rsid w:val="00A80213"/>
    <w:rsid w:val="00A920E6"/>
    <w:rsid w:val="00A923FA"/>
    <w:rsid w:val="00A97A0D"/>
    <w:rsid w:val="00AA0409"/>
    <w:rsid w:val="00AA43D0"/>
    <w:rsid w:val="00AB16C2"/>
    <w:rsid w:val="00AB16DC"/>
    <w:rsid w:val="00AB5315"/>
    <w:rsid w:val="00AB5CCE"/>
    <w:rsid w:val="00AB6C06"/>
    <w:rsid w:val="00AC1F4C"/>
    <w:rsid w:val="00AD10EC"/>
    <w:rsid w:val="00AD1F23"/>
    <w:rsid w:val="00AF0A96"/>
    <w:rsid w:val="00AF12CB"/>
    <w:rsid w:val="00AF4847"/>
    <w:rsid w:val="00AF70E7"/>
    <w:rsid w:val="00AF7DC1"/>
    <w:rsid w:val="00B01EA1"/>
    <w:rsid w:val="00B20D6F"/>
    <w:rsid w:val="00B479DC"/>
    <w:rsid w:val="00B5293C"/>
    <w:rsid w:val="00B57775"/>
    <w:rsid w:val="00B61F25"/>
    <w:rsid w:val="00B66F9D"/>
    <w:rsid w:val="00B7660F"/>
    <w:rsid w:val="00B769AD"/>
    <w:rsid w:val="00B800BB"/>
    <w:rsid w:val="00B807A6"/>
    <w:rsid w:val="00B817A5"/>
    <w:rsid w:val="00B83FF7"/>
    <w:rsid w:val="00B8432A"/>
    <w:rsid w:val="00B85DA3"/>
    <w:rsid w:val="00B925AD"/>
    <w:rsid w:val="00B94062"/>
    <w:rsid w:val="00BB13C1"/>
    <w:rsid w:val="00BB37F8"/>
    <w:rsid w:val="00BB7373"/>
    <w:rsid w:val="00BC51A5"/>
    <w:rsid w:val="00BD499B"/>
    <w:rsid w:val="00BD7301"/>
    <w:rsid w:val="00BE09E2"/>
    <w:rsid w:val="00BE18E6"/>
    <w:rsid w:val="00BE46B1"/>
    <w:rsid w:val="00BE6728"/>
    <w:rsid w:val="00BF0259"/>
    <w:rsid w:val="00BF3140"/>
    <w:rsid w:val="00BF47D0"/>
    <w:rsid w:val="00BF491F"/>
    <w:rsid w:val="00BF4E51"/>
    <w:rsid w:val="00BF5FCA"/>
    <w:rsid w:val="00BF669C"/>
    <w:rsid w:val="00C00FC7"/>
    <w:rsid w:val="00C14420"/>
    <w:rsid w:val="00C14B39"/>
    <w:rsid w:val="00C23973"/>
    <w:rsid w:val="00C26621"/>
    <w:rsid w:val="00C329B0"/>
    <w:rsid w:val="00C36CF5"/>
    <w:rsid w:val="00C37AD3"/>
    <w:rsid w:val="00C460FC"/>
    <w:rsid w:val="00C46165"/>
    <w:rsid w:val="00C47FE0"/>
    <w:rsid w:val="00C516EB"/>
    <w:rsid w:val="00C51B52"/>
    <w:rsid w:val="00C5663D"/>
    <w:rsid w:val="00C62D58"/>
    <w:rsid w:val="00C66F03"/>
    <w:rsid w:val="00C67649"/>
    <w:rsid w:val="00C702B8"/>
    <w:rsid w:val="00C755E3"/>
    <w:rsid w:val="00C97E7A"/>
    <w:rsid w:val="00CB5094"/>
    <w:rsid w:val="00CB7FC2"/>
    <w:rsid w:val="00CC087E"/>
    <w:rsid w:val="00CC6669"/>
    <w:rsid w:val="00CC6FF6"/>
    <w:rsid w:val="00CD076C"/>
    <w:rsid w:val="00CD3C33"/>
    <w:rsid w:val="00CD570C"/>
    <w:rsid w:val="00CD5E8B"/>
    <w:rsid w:val="00CD7D64"/>
    <w:rsid w:val="00CF133C"/>
    <w:rsid w:val="00CF57A1"/>
    <w:rsid w:val="00D1241E"/>
    <w:rsid w:val="00D12FD3"/>
    <w:rsid w:val="00D16D45"/>
    <w:rsid w:val="00D21853"/>
    <w:rsid w:val="00D257D7"/>
    <w:rsid w:val="00D25950"/>
    <w:rsid w:val="00D302EB"/>
    <w:rsid w:val="00D32702"/>
    <w:rsid w:val="00D40BE9"/>
    <w:rsid w:val="00D524F5"/>
    <w:rsid w:val="00D558F3"/>
    <w:rsid w:val="00D633DB"/>
    <w:rsid w:val="00D64339"/>
    <w:rsid w:val="00D725A2"/>
    <w:rsid w:val="00D761AB"/>
    <w:rsid w:val="00D80724"/>
    <w:rsid w:val="00D92B48"/>
    <w:rsid w:val="00D93336"/>
    <w:rsid w:val="00DB23C7"/>
    <w:rsid w:val="00DC136D"/>
    <w:rsid w:val="00DC32A5"/>
    <w:rsid w:val="00DC61C2"/>
    <w:rsid w:val="00DD13EC"/>
    <w:rsid w:val="00DD35D1"/>
    <w:rsid w:val="00DE521A"/>
    <w:rsid w:val="00DE63B0"/>
    <w:rsid w:val="00DE6D8F"/>
    <w:rsid w:val="00DF22D4"/>
    <w:rsid w:val="00DF5B06"/>
    <w:rsid w:val="00E027B3"/>
    <w:rsid w:val="00E03562"/>
    <w:rsid w:val="00E03BE1"/>
    <w:rsid w:val="00E04EB3"/>
    <w:rsid w:val="00E334A2"/>
    <w:rsid w:val="00E357CB"/>
    <w:rsid w:val="00E35C7F"/>
    <w:rsid w:val="00E37593"/>
    <w:rsid w:val="00E43E62"/>
    <w:rsid w:val="00E57F3E"/>
    <w:rsid w:val="00E64087"/>
    <w:rsid w:val="00E66330"/>
    <w:rsid w:val="00E7751D"/>
    <w:rsid w:val="00E805B0"/>
    <w:rsid w:val="00E819F1"/>
    <w:rsid w:val="00E83166"/>
    <w:rsid w:val="00E84349"/>
    <w:rsid w:val="00E87BD5"/>
    <w:rsid w:val="00E917F1"/>
    <w:rsid w:val="00EA3C4C"/>
    <w:rsid w:val="00EA412E"/>
    <w:rsid w:val="00EB19B0"/>
    <w:rsid w:val="00ED24BC"/>
    <w:rsid w:val="00ED2D9D"/>
    <w:rsid w:val="00ED4E61"/>
    <w:rsid w:val="00EE276F"/>
    <w:rsid w:val="00EE2FB6"/>
    <w:rsid w:val="00EF24A7"/>
    <w:rsid w:val="00EF4225"/>
    <w:rsid w:val="00F01812"/>
    <w:rsid w:val="00F12983"/>
    <w:rsid w:val="00F14C09"/>
    <w:rsid w:val="00F22F60"/>
    <w:rsid w:val="00F26E25"/>
    <w:rsid w:val="00F26E4D"/>
    <w:rsid w:val="00F3302C"/>
    <w:rsid w:val="00F35125"/>
    <w:rsid w:val="00F43CEC"/>
    <w:rsid w:val="00F50713"/>
    <w:rsid w:val="00F50E4F"/>
    <w:rsid w:val="00F53EFA"/>
    <w:rsid w:val="00F64457"/>
    <w:rsid w:val="00F76B7E"/>
    <w:rsid w:val="00F8183F"/>
    <w:rsid w:val="00F8598D"/>
    <w:rsid w:val="00F8628F"/>
    <w:rsid w:val="00F965F7"/>
    <w:rsid w:val="00FA1FB9"/>
    <w:rsid w:val="00FA269E"/>
    <w:rsid w:val="00FA6DA1"/>
    <w:rsid w:val="00FC0635"/>
    <w:rsid w:val="00FC2A52"/>
    <w:rsid w:val="00FC3974"/>
    <w:rsid w:val="00FC5B49"/>
    <w:rsid w:val="00FC6007"/>
    <w:rsid w:val="00FD0196"/>
    <w:rsid w:val="00FD1654"/>
    <w:rsid w:val="00FD1866"/>
    <w:rsid w:val="00FD2331"/>
    <w:rsid w:val="00FE114B"/>
    <w:rsid w:val="00FE54A0"/>
    <w:rsid w:val="00FE78E0"/>
    <w:rsid w:val="00FF122B"/>
    <w:rsid w:val="00FF162E"/>
    <w:rsid w:val="00FF72E5"/>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5A2DFD"/>
  <w15:chartTrackingRefBased/>
  <w15:docId w15:val="{73AA41E1-2B5D-F744-ACC4-BDDF00D6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35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qFormat/>
    <w:rsid w:val="00DD35D1"/>
    <w:pPr>
      <w:ind w:left="540"/>
      <w:jc w:val="both"/>
    </w:pPr>
    <w:rPr>
      <w:rFonts w:ascii="Times New Roman" w:hAnsi="Times New Roman" w:cs="Times New Roman"/>
      <w:b/>
      <w:bCs/>
      <w:i/>
      <w:iCs/>
      <w:sz w:val="22"/>
      <w:szCs w:val="22"/>
      <w:lang w:eastAsia="en-GB"/>
    </w:rPr>
  </w:style>
  <w:style w:type="character" w:customStyle="1" w:styleId="Heading2Char">
    <w:name w:val="Heading 2 Char"/>
    <w:basedOn w:val="DefaultParagraphFont"/>
    <w:link w:val="Heading2"/>
    <w:uiPriority w:val="9"/>
    <w:semiHidden/>
    <w:rsid w:val="00DD35D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A412E"/>
    <w:rPr>
      <w:sz w:val="16"/>
      <w:szCs w:val="16"/>
    </w:rPr>
  </w:style>
  <w:style w:type="paragraph" w:styleId="CommentText">
    <w:name w:val="annotation text"/>
    <w:basedOn w:val="Normal"/>
    <w:link w:val="CommentTextChar"/>
    <w:uiPriority w:val="99"/>
    <w:unhideWhenUsed/>
    <w:rsid w:val="00EA412E"/>
    <w:pPr>
      <w:spacing w:after="160"/>
    </w:pPr>
    <w:rPr>
      <w:sz w:val="20"/>
      <w:szCs w:val="20"/>
    </w:rPr>
  </w:style>
  <w:style w:type="character" w:customStyle="1" w:styleId="CommentTextChar">
    <w:name w:val="Comment Text Char"/>
    <w:basedOn w:val="DefaultParagraphFont"/>
    <w:link w:val="CommentText"/>
    <w:uiPriority w:val="99"/>
    <w:rsid w:val="00EA412E"/>
    <w:rPr>
      <w:sz w:val="20"/>
      <w:szCs w:val="20"/>
    </w:rPr>
  </w:style>
  <w:style w:type="paragraph" w:styleId="BalloonText">
    <w:name w:val="Balloon Text"/>
    <w:basedOn w:val="Normal"/>
    <w:link w:val="BalloonTextChar"/>
    <w:uiPriority w:val="99"/>
    <w:semiHidden/>
    <w:unhideWhenUsed/>
    <w:rsid w:val="00EA41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412E"/>
    <w:rPr>
      <w:rFonts w:ascii="Times New Roman" w:hAnsi="Times New Roman" w:cs="Times New Roman"/>
      <w:sz w:val="18"/>
      <w:szCs w:val="18"/>
    </w:rPr>
  </w:style>
  <w:style w:type="paragraph" w:styleId="ListParagraph">
    <w:name w:val="List Paragraph"/>
    <w:basedOn w:val="Normal"/>
    <w:uiPriority w:val="34"/>
    <w:qFormat/>
    <w:rsid w:val="00133662"/>
    <w:pPr>
      <w:ind w:left="720"/>
      <w:contextualSpacing/>
    </w:pPr>
  </w:style>
  <w:style w:type="paragraph" w:styleId="FootnoteText">
    <w:name w:val="footnote text"/>
    <w:basedOn w:val="Normal"/>
    <w:link w:val="FootnoteTextChar"/>
    <w:uiPriority w:val="99"/>
    <w:semiHidden/>
    <w:unhideWhenUsed/>
    <w:rsid w:val="00265DFA"/>
    <w:rPr>
      <w:sz w:val="20"/>
      <w:szCs w:val="20"/>
    </w:rPr>
  </w:style>
  <w:style w:type="character" w:customStyle="1" w:styleId="FootnoteTextChar">
    <w:name w:val="Footnote Text Char"/>
    <w:basedOn w:val="DefaultParagraphFont"/>
    <w:link w:val="FootnoteText"/>
    <w:uiPriority w:val="99"/>
    <w:semiHidden/>
    <w:rsid w:val="00265DFA"/>
    <w:rPr>
      <w:sz w:val="20"/>
      <w:szCs w:val="20"/>
    </w:rPr>
  </w:style>
  <w:style w:type="character" w:styleId="FootnoteReference">
    <w:name w:val="footnote reference"/>
    <w:basedOn w:val="DefaultParagraphFont"/>
    <w:uiPriority w:val="99"/>
    <w:semiHidden/>
    <w:unhideWhenUsed/>
    <w:rsid w:val="00265DFA"/>
    <w:rPr>
      <w:vertAlign w:val="superscript"/>
    </w:rPr>
  </w:style>
  <w:style w:type="paragraph" w:styleId="NormalWeb">
    <w:name w:val="Normal (Web)"/>
    <w:basedOn w:val="Normal"/>
    <w:uiPriority w:val="99"/>
    <w:unhideWhenUsed/>
    <w:rsid w:val="00265DFA"/>
    <w:pPr>
      <w:spacing w:before="100" w:beforeAutospacing="1" w:after="100" w:afterAutospacing="1"/>
    </w:pPr>
    <w:rPr>
      <w:rFonts w:ascii="Times New Roman" w:eastAsia="Times New Roman" w:hAnsi="Times New Roman" w:cs="Times New Roman"/>
      <w:lang w:val="fi-FI"/>
    </w:rPr>
  </w:style>
  <w:style w:type="character" w:styleId="Hyperlink">
    <w:name w:val="Hyperlink"/>
    <w:basedOn w:val="DefaultParagraphFont"/>
    <w:uiPriority w:val="99"/>
    <w:unhideWhenUsed/>
    <w:rsid w:val="0061511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2736B"/>
    <w:pPr>
      <w:spacing w:after="0"/>
    </w:pPr>
    <w:rPr>
      <w:b/>
      <w:bCs/>
    </w:rPr>
  </w:style>
  <w:style w:type="character" w:customStyle="1" w:styleId="CommentSubjectChar">
    <w:name w:val="Comment Subject Char"/>
    <w:basedOn w:val="CommentTextChar"/>
    <w:link w:val="CommentSubject"/>
    <w:uiPriority w:val="99"/>
    <w:semiHidden/>
    <w:rsid w:val="0092736B"/>
    <w:rPr>
      <w:b/>
      <w:bCs/>
      <w:sz w:val="20"/>
      <w:szCs w:val="20"/>
    </w:rPr>
  </w:style>
  <w:style w:type="character" w:styleId="FollowedHyperlink">
    <w:name w:val="FollowedHyperlink"/>
    <w:basedOn w:val="DefaultParagraphFont"/>
    <w:uiPriority w:val="99"/>
    <w:semiHidden/>
    <w:unhideWhenUsed/>
    <w:rsid w:val="00DC6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6299">
      <w:bodyDiv w:val="1"/>
      <w:marLeft w:val="0"/>
      <w:marRight w:val="0"/>
      <w:marTop w:val="0"/>
      <w:marBottom w:val="0"/>
      <w:divBdr>
        <w:top w:val="none" w:sz="0" w:space="0" w:color="auto"/>
        <w:left w:val="none" w:sz="0" w:space="0" w:color="auto"/>
        <w:bottom w:val="none" w:sz="0" w:space="0" w:color="auto"/>
        <w:right w:val="none" w:sz="0" w:space="0" w:color="auto"/>
      </w:divBdr>
      <w:divsChild>
        <w:div w:id="230165807">
          <w:marLeft w:val="0"/>
          <w:marRight w:val="0"/>
          <w:marTop w:val="0"/>
          <w:marBottom w:val="0"/>
          <w:divBdr>
            <w:top w:val="none" w:sz="0" w:space="0" w:color="auto"/>
            <w:left w:val="none" w:sz="0" w:space="0" w:color="auto"/>
            <w:bottom w:val="none" w:sz="0" w:space="0" w:color="auto"/>
            <w:right w:val="none" w:sz="0" w:space="0" w:color="auto"/>
          </w:divBdr>
        </w:div>
        <w:div w:id="1599287460">
          <w:marLeft w:val="0"/>
          <w:marRight w:val="0"/>
          <w:marTop w:val="0"/>
          <w:marBottom w:val="0"/>
          <w:divBdr>
            <w:top w:val="none" w:sz="0" w:space="0" w:color="auto"/>
            <w:left w:val="none" w:sz="0" w:space="0" w:color="auto"/>
            <w:bottom w:val="none" w:sz="0" w:space="0" w:color="auto"/>
            <w:right w:val="none" w:sz="0" w:space="0" w:color="auto"/>
          </w:divBdr>
        </w:div>
        <w:div w:id="618537476">
          <w:marLeft w:val="0"/>
          <w:marRight w:val="0"/>
          <w:marTop w:val="0"/>
          <w:marBottom w:val="0"/>
          <w:divBdr>
            <w:top w:val="none" w:sz="0" w:space="0" w:color="auto"/>
            <w:left w:val="none" w:sz="0" w:space="0" w:color="auto"/>
            <w:bottom w:val="none" w:sz="0" w:space="0" w:color="auto"/>
            <w:right w:val="none" w:sz="0" w:space="0" w:color="auto"/>
          </w:divBdr>
        </w:div>
        <w:div w:id="236595673">
          <w:marLeft w:val="0"/>
          <w:marRight w:val="0"/>
          <w:marTop w:val="0"/>
          <w:marBottom w:val="0"/>
          <w:divBdr>
            <w:top w:val="none" w:sz="0" w:space="0" w:color="auto"/>
            <w:left w:val="none" w:sz="0" w:space="0" w:color="auto"/>
            <w:bottom w:val="none" w:sz="0" w:space="0" w:color="auto"/>
            <w:right w:val="none" w:sz="0" w:space="0" w:color="auto"/>
          </w:divBdr>
        </w:div>
      </w:divsChild>
    </w:div>
    <w:div w:id="264115675">
      <w:bodyDiv w:val="1"/>
      <w:marLeft w:val="0"/>
      <w:marRight w:val="0"/>
      <w:marTop w:val="0"/>
      <w:marBottom w:val="0"/>
      <w:divBdr>
        <w:top w:val="none" w:sz="0" w:space="0" w:color="auto"/>
        <w:left w:val="none" w:sz="0" w:space="0" w:color="auto"/>
        <w:bottom w:val="none" w:sz="0" w:space="0" w:color="auto"/>
        <w:right w:val="none" w:sz="0" w:space="0" w:color="auto"/>
      </w:divBdr>
      <w:divsChild>
        <w:div w:id="777455637">
          <w:marLeft w:val="0"/>
          <w:marRight w:val="0"/>
          <w:marTop w:val="0"/>
          <w:marBottom w:val="0"/>
          <w:divBdr>
            <w:top w:val="none" w:sz="0" w:space="0" w:color="auto"/>
            <w:left w:val="none" w:sz="0" w:space="0" w:color="auto"/>
            <w:bottom w:val="none" w:sz="0" w:space="0" w:color="auto"/>
            <w:right w:val="none" w:sz="0" w:space="0" w:color="auto"/>
          </w:divBdr>
          <w:divsChild>
            <w:div w:id="306131796">
              <w:marLeft w:val="0"/>
              <w:marRight w:val="0"/>
              <w:marTop w:val="0"/>
              <w:marBottom w:val="0"/>
              <w:divBdr>
                <w:top w:val="none" w:sz="0" w:space="0" w:color="auto"/>
                <w:left w:val="none" w:sz="0" w:space="0" w:color="auto"/>
                <w:bottom w:val="none" w:sz="0" w:space="0" w:color="auto"/>
                <w:right w:val="none" w:sz="0" w:space="0" w:color="auto"/>
              </w:divBdr>
              <w:divsChild>
                <w:div w:id="4632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65557">
      <w:bodyDiv w:val="1"/>
      <w:marLeft w:val="0"/>
      <w:marRight w:val="0"/>
      <w:marTop w:val="0"/>
      <w:marBottom w:val="0"/>
      <w:divBdr>
        <w:top w:val="none" w:sz="0" w:space="0" w:color="auto"/>
        <w:left w:val="none" w:sz="0" w:space="0" w:color="auto"/>
        <w:bottom w:val="none" w:sz="0" w:space="0" w:color="auto"/>
        <w:right w:val="none" w:sz="0" w:space="0" w:color="auto"/>
      </w:divBdr>
      <w:divsChild>
        <w:div w:id="315384325">
          <w:marLeft w:val="0"/>
          <w:marRight w:val="0"/>
          <w:marTop w:val="0"/>
          <w:marBottom w:val="0"/>
          <w:divBdr>
            <w:top w:val="none" w:sz="0" w:space="0" w:color="auto"/>
            <w:left w:val="none" w:sz="0" w:space="0" w:color="auto"/>
            <w:bottom w:val="none" w:sz="0" w:space="0" w:color="auto"/>
            <w:right w:val="none" w:sz="0" w:space="0" w:color="auto"/>
          </w:divBdr>
          <w:divsChild>
            <w:div w:id="1707607847">
              <w:marLeft w:val="0"/>
              <w:marRight w:val="0"/>
              <w:marTop w:val="0"/>
              <w:marBottom w:val="0"/>
              <w:divBdr>
                <w:top w:val="none" w:sz="0" w:space="0" w:color="auto"/>
                <w:left w:val="none" w:sz="0" w:space="0" w:color="auto"/>
                <w:bottom w:val="none" w:sz="0" w:space="0" w:color="auto"/>
                <w:right w:val="none" w:sz="0" w:space="0" w:color="auto"/>
              </w:divBdr>
              <w:divsChild>
                <w:div w:id="959383869">
                  <w:marLeft w:val="0"/>
                  <w:marRight w:val="0"/>
                  <w:marTop w:val="0"/>
                  <w:marBottom w:val="0"/>
                  <w:divBdr>
                    <w:top w:val="none" w:sz="0" w:space="0" w:color="auto"/>
                    <w:left w:val="none" w:sz="0" w:space="0" w:color="auto"/>
                    <w:bottom w:val="none" w:sz="0" w:space="0" w:color="auto"/>
                    <w:right w:val="none" w:sz="0" w:space="0" w:color="auto"/>
                  </w:divBdr>
                </w:div>
              </w:divsChild>
            </w:div>
            <w:div w:id="2098138470">
              <w:marLeft w:val="0"/>
              <w:marRight w:val="0"/>
              <w:marTop w:val="0"/>
              <w:marBottom w:val="0"/>
              <w:divBdr>
                <w:top w:val="none" w:sz="0" w:space="0" w:color="auto"/>
                <w:left w:val="none" w:sz="0" w:space="0" w:color="auto"/>
                <w:bottom w:val="none" w:sz="0" w:space="0" w:color="auto"/>
                <w:right w:val="none" w:sz="0" w:space="0" w:color="auto"/>
              </w:divBdr>
              <w:divsChild>
                <w:div w:id="1716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7356">
          <w:marLeft w:val="0"/>
          <w:marRight w:val="0"/>
          <w:marTop w:val="0"/>
          <w:marBottom w:val="0"/>
          <w:divBdr>
            <w:top w:val="none" w:sz="0" w:space="0" w:color="auto"/>
            <w:left w:val="none" w:sz="0" w:space="0" w:color="auto"/>
            <w:bottom w:val="none" w:sz="0" w:space="0" w:color="auto"/>
            <w:right w:val="none" w:sz="0" w:space="0" w:color="auto"/>
          </w:divBdr>
          <w:divsChild>
            <w:div w:id="2078428772">
              <w:marLeft w:val="0"/>
              <w:marRight w:val="0"/>
              <w:marTop w:val="0"/>
              <w:marBottom w:val="0"/>
              <w:divBdr>
                <w:top w:val="none" w:sz="0" w:space="0" w:color="auto"/>
                <w:left w:val="none" w:sz="0" w:space="0" w:color="auto"/>
                <w:bottom w:val="none" w:sz="0" w:space="0" w:color="auto"/>
                <w:right w:val="none" w:sz="0" w:space="0" w:color="auto"/>
              </w:divBdr>
              <w:divsChild>
                <w:div w:id="18552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1150">
      <w:bodyDiv w:val="1"/>
      <w:marLeft w:val="0"/>
      <w:marRight w:val="0"/>
      <w:marTop w:val="0"/>
      <w:marBottom w:val="0"/>
      <w:divBdr>
        <w:top w:val="none" w:sz="0" w:space="0" w:color="auto"/>
        <w:left w:val="none" w:sz="0" w:space="0" w:color="auto"/>
        <w:bottom w:val="none" w:sz="0" w:space="0" w:color="auto"/>
        <w:right w:val="none" w:sz="0" w:space="0" w:color="auto"/>
      </w:divBdr>
    </w:div>
    <w:div w:id="12907414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2">
          <w:marLeft w:val="0"/>
          <w:marRight w:val="0"/>
          <w:marTop w:val="0"/>
          <w:marBottom w:val="0"/>
          <w:divBdr>
            <w:top w:val="none" w:sz="0" w:space="0" w:color="auto"/>
            <w:left w:val="none" w:sz="0" w:space="0" w:color="auto"/>
            <w:bottom w:val="none" w:sz="0" w:space="0" w:color="auto"/>
            <w:right w:val="none" w:sz="0" w:space="0" w:color="auto"/>
          </w:divBdr>
        </w:div>
        <w:div w:id="485557663">
          <w:marLeft w:val="0"/>
          <w:marRight w:val="0"/>
          <w:marTop w:val="0"/>
          <w:marBottom w:val="0"/>
          <w:divBdr>
            <w:top w:val="none" w:sz="0" w:space="0" w:color="auto"/>
            <w:left w:val="none" w:sz="0" w:space="0" w:color="auto"/>
            <w:bottom w:val="none" w:sz="0" w:space="0" w:color="auto"/>
            <w:right w:val="none" w:sz="0" w:space="0" w:color="auto"/>
          </w:divBdr>
        </w:div>
        <w:div w:id="1030765805">
          <w:marLeft w:val="0"/>
          <w:marRight w:val="0"/>
          <w:marTop w:val="0"/>
          <w:marBottom w:val="0"/>
          <w:divBdr>
            <w:top w:val="none" w:sz="0" w:space="0" w:color="auto"/>
            <w:left w:val="none" w:sz="0" w:space="0" w:color="auto"/>
            <w:bottom w:val="none" w:sz="0" w:space="0" w:color="auto"/>
            <w:right w:val="none" w:sz="0" w:space="0" w:color="auto"/>
          </w:divBdr>
        </w:div>
        <w:div w:id="2022851650">
          <w:marLeft w:val="0"/>
          <w:marRight w:val="0"/>
          <w:marTop w:val="0"/>
          <w:marBottom w:val="0"/>
          <w:divBdr>
            <w:top w:val="none" w:sz="0" w:space="0" w:color="auto"/>
            <w:left w:val="none" w:sz="0" w:space="0" w:color="auto"/>
            <w:bottom w:val="none" w:sz="0" w:space="0" w:color="auto"/>
            <w:right w:val="none" w:sz="0" w:space="0" w:color="auto"/>
          </w:divBdr>
        </w:div>
        <w:div w:id="969243015">
          <w:marLeft w:val="0"/>
          <w:marRight w:val="0"/>
          <w:marTop w:val="0"/>
          <w:marBottom w:val="0"/>
          <w:divBdr>
            <w:top w:val="none" w:sz="0" w:space="0" w:color="auto"/>
            <w:left w:val="none" w:sz="0" w:space="0" w:color="auto"/>
            <w:bottom w:val="none" w:sz="0" w:space="0" w:color="auto"/>
            <w:right w:val="none" w:sz="0" w:space="0" w:color="auto"/>
          </w:divBdr>
        </w:div>
        <w:div w:id="1857845545">
          <w:marLeft w:val="0"/>
          <w:marRight w:val="0"/>
          <w:marTop w:val="0"/>
          <w:marBottom w:val="0"/>
          <w:divBdr>
            <w:top w:val="none" w:sz="0" w:space="0" w:color="auto"/>
            <w:left w:val="none" w:sz="0" w:space="0" w:color="auto"/>
            <w:bottom w:val="none" w:sz="0" w:space="0" w:color="auto"/>
            <w:right w:val="none" w:sz="0" w:space="0" w:color="auto"/>
          </w:divBdr>
        </w:div>
        <w:div w:id="1332833359">
          <w:marLeft w:val="0"/>
          <w:marRight w:val="0"/>
          <w:marTop w:val="0"/>
          <w:marBottom w:val="0"/>
          <w:divBdr>
            <w:top w:val="none" w:sz="0" w:space="0" w:color="auto"/>
            <w:left w:val="none" w:sz="0" w:space="0" w:color="auto"/>
            <w:bottom w:val="none" w:sz="0" w:space="0" w:color="auto"/>
            <w:right w:val="none" w:sz="0" w:space="0" w:color="auto"/>
          </w:divBdr>
        </w:div>
      </w:divsChild>
    </w:div>
    <w:div w:id="1666663441">
      <w:bodyDiv w:val="1"/>
      <w:marLeft w:val="0"/>
      <w:marRight w:val="0"/>
      <w:marTop w:val="0"/>
      <w:marBottom w:val="0"/>
      <w:divBdr>
        <w:top w:val="none" w:sz="0" w:space="0" w:color="auto"/>
        <w:left w:val="none" w:sz="0" w:space="0" w:color="auto"/>
        <w:bottom w:val="none" w:sz="0" w:space="0" w:color="auto"/>
        <w:right w:val="none" w:sz="0" w:space="0" w:color="auto"/>
      </w:divBdr>
      <w:divsChild>
        <w:div w:id="1563952627">
          <w:marLeft w:val="0"/>
          <w:marRight w:val="0"/>
          <w:marTop w:val="0"/>
          <w:marBottom w:val="0"/>
          <w:divBdr>
            <w:top w:val="none" w:sz="0" w:space="0" w:color="auto"/>
            <w:left w:val="none" w:sz="0" w:space="0" w:color="auto"/>
            <w:bottom w:val="none" w:sz="0" w:space="0" w:color="auto"/>
            <w:right w:val="none" w:sz="0" w:space="0" w:color="auto"/>
          </w:divBdr>
        </w:div>
        <w:div w:id="919949654">
          <w:marLeft w:val="0"/>
          <w:marRight w:val="0"/>
          <w:marTop w:val="0"/>
          <w:marBottom w:val="0"/>
          <w:divBdr>
            <w:top w:val="none" w:sz="0" w:space="0" w:color="auto"/>
            <w:left w:val="none" w:sz="0" w:space="0" w:color="auto"/>
            <w:bottom w:val="none" w:sz="0" w:space="0" w:color="auto"/>
            <w:right w:val="none" w:sz="0" w:space="0" w:color="auto"/>
          </w:divBdr>
        </w:div>
      </w:divsChild>
    </w:div>
    <w:div w:id="1776485871">
      <w:bodyDiv w:val="1"/>
      <w:marLeft w:val="0"/>
      <w:marRight w:val="0"/>
      <w:marTop w:val="0"/>
      <w:marBottom w:val="0"/>
      <w:divBdr>
        <w:top w:val="none" w:sz="0" w:space="0" w:color="auto"/>
        <w:left w:val="none" w:sz="0" w:space="0" w:color="auto"/>
        <w:bottom w:val="none" w:sz="0" w:space="0" w:color="auto"/>
        <w:right w:val="none" w:sz="0" w:space="0" w:color="auto"/>
      </w:divBdr>
      <w:divsChild>
        <w:div w:id="1808891020">
          <w:marLeft w:val="0"/>
          <w:marRight w:val="0"/>
          <w:marTop w:val="0"/>
          <w:marBottom w:val="0"/>
          <w:divBdr>
            <w:top w:val="none" w:sz="0" w:space="0" w:color="auto"/>
            <w:left w:val="none" w:sz="0" w:space="0" w:color="auto"/>
            <w:bottom w:val="none" w:sz="0" w:space="0" w:color="auto"/>
            <w:right w:val="none" w:sz="0" w:space="0" w:color="auto"/>
          </w:divBdr>
        </w:div>
        <w:div w:id="791679958">
          <w:marLeft w:val="0"/>
          <w:marRight w:val="0"/>
          <w:marTop w:val="0"/>
          <w:marBottom w:val="0"/>
          <w:divBdr>
            <w:top w:val="none" w:sz="0" w:space="0" w:color="auto"/>
            <w:left w:val="none" w:sz="0" w:space="0" w:color="auto"/>
            <w:bottom w:val="none" w:sz="0" w:space="0" w:color="auto"/>
            <w:right w:val="none" w:sz="0" w:space="0" w:color="auto"/>
          </w:divBdr>
        </w:div>
        <w:div w:id="396394149">
          <w:marLeft w:val="0"/>
          <w:marRight w:val="0"/>
          <w:marTop w:val="0"/>
          <w:marBottom w:val="0"/>
          <w:divBdr>
            <w:top w:val="none" w:sz="0" w:space="0" w:color="auto"/>
            <w:left w:val="none" w:sz="0" w:space="0" w:color="auto"/>
            <w:bottom w:val="none" w:sz="0" w:space="0" w:color="auto"/>
            <w:right w:val="none" w:sz="0" w:space="0" w:color="auto"/>
          </w:divBdr>
        </w:div>
        <w:div w:id="700934600">
          <w:marLeft w:val="0"/>
          <w:marRight w:val="0"/>
          <w:marTop w:val="0"/>
          <w:marBottom w:val="0"/>
          <w:divBdr>
            <w:top w:val="none" w:sz="0" w:space="0" w:color="auto"/>
            <w:left w:val="none" w:sz="0" w:space="0" w:color="auto"/>
            <w:bottom w:val="none" w:sz="0" w:space="0" w:color="auto"/>
            <w:right w:val="none" w:sz="0" w:space="0" w:color="auto"/>
          </w:divBdr>
        </w:div>
        <w:div w:id="977805378">
          <w:marLeft w:val="0"/>
          <w:marRight w:val="0"/>
          <w:marTop w:val="0"/>
          <w:marBottom w:val="0"/>
          <w:divBdr>
            <w:top w:val="none" w:sz="0" w:space="0" w:color="auto"/>
            <w:left w:val="none" w:sz="0" w:space="0" w:color="auto"/>
            <w:bottom w:val="none" w:sz="0" w:space="0" w:color="auto"/>
            <w:right w:val="none" w:sz="0" w:space="0" w:color="auto"/>
          </w:divBdr>
        </w:div>
        <w:div w:id="79643632">
          <w:marLeft w:val="0"/>
          <w:marRight w:val="0"/>
          <w:marTop w:val="0"/>
          <w:marBottom w:val="0"/>
          <w:divBdr>
            <w:top w:val="none" w:sz="0" w:space="0" w:color="auto"/>
            <w:left w:val="none" w:sz="0" w:space="0" w:color="auto"/>
            <w:bottom w:val="none" w:sz="0" w:space="0" w:color="auto"/>
            <w:right w:val="none" w:sz="0" w:space="0" w:color="auto"/>
          </w:divBdr>
        </w:div>
      </w:divsChild>
    </w:div>
    <w:div w:id="1852839779">
      <w:bodyDiv w:val="1"/>
      <w:marLeft w:val="0"/>
      <w:marRight w:val="0"/>
      <w:marTop w:val="0"/>
      <w:marBottom w:val="0"/>
      <w:divBdr>
        <w:top w:val="none" w:sz="0" w:space="0" w:color="auto"/>
        <w:left w:val="none" w:sz="0" w:space="0" w:color="auto"/>
        <w:bottom w:val="none" w:sz="0" w:space="0" w:color="auto"/>
        <w:right w:val="none" w:sz="0" w:space="0" w:color="auto"/>
      </w:divBdr>
      <w:divsChild>
        <w:div w:id="1735817384">
          <w:marLeft w:val="0"/>
          <w:marRight w:val="0"/>
          <w:marTop w:val="0"/>
          <w:marBottom w:val="0"/>
          <w:divBdr>
            <w:top w:val="none" w:sz="0" w:space="0" w:color="auto"/>
            <w:left w:val="none" w:sz="0" w:space="0" w:color="auto"/>
            <w:bottom w:val="none" w:sz="0" w:space="0" w:color="auto"/>
            <w:right w:val="none" w:sz="0" w:space="0" w:color="auto"/>
          </w:divBdr>
          <w:divsChild>
            <w:div w:id="1287004265">
              <w:marLeft w:val="0"/>
              <w:marRight w:val="0"/>
              <w:marTop w:val="0"/>
              <w:marBottom w:val="0"/>
              <w:divBdr>
                <w:top w:val="none" w:sz="0" w:space="0" w:color="auto"/>
                <w:left w:val="none" w:sz="0" w:space="0" w:color="auto"/>
                <w:bottom w:val="none" w:sz="0" w:space="0" w:color="auto"/>
                <w:right w:val="none" w:sz="0" w:space="0" w:color="auto"/>
              </w:divBdr>
              <w:divsChild>
                <w:div w:id="14779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817771-0271-4AE4-89F4-9D978FD2D11B}">
  <ds:schemaRefs>
    <ds:schemaRef ds:uri="http://schemas.openxmlformats.org/officeDocument/2006/bibliography"/>
  </ds:schemaRefs>
</ds:datastoreItem>
</file>

<file path=customXml/itemProps2.xml><?xml version="1.0" encoding="utf-8"?>
<ds:datastoreItem xmlns:ds="http://schemas.openxmlformats.org/officeDocument/2006/customXml" ds:itemID="{E0CEDCD3-A89B-4AAA-BCE9-3E1209D3C4D1}"/>
</file>

<file path=customXml/itemProps3.xml><?xml version="1.0" encoding="utf-8"?>
<ds:datastoreItem xmlns:ds="http://schemas.openxmlformats.org/officeDocument/2006/customXml" ds:itemID="{7BFD32FB-34BD-4611-A0F6-58D78CFBF383}"/>
</file>

<file path=customXml/itemProps4.xml><?xml version="1.0" encoding="utf-8"?>
<ds:datastoreItem xmlns:ds="http://schemas.openxmlformats.org/officeDocument/2006/customXml" ds:itemID="{6449F9CB-48E7-4DD1-86E1-1DFE3F469D2C}"/>
</file>

<file path=docProps/app.xml><?xml version="1.0" encoding="utf-8"?>
<Properties xmlns="http://schemas.openxmlformats.org/officeDocument/2006/extended-properties" xmlns:vt="http://schemas.openxmlformats.org/officeDocument/2006/docPropsVTypes">
  <Template>Normal.dotm</Template>
  <TotalTime>1</TotalTime>
  <Pages>9</Pages>
  <Words>3345</Words>
  <Characters>19070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Sosa</dc:creator>
  <cp:keywords/>
  <dc:description/>
  <cp:lastModifiedBy>SERIDJ Youcef</cp:lastModifiedBy>
  <cp:revision>2</cp:revision>
  <dcterms:created xsi:type="dcterms:W3CDTF">2020-03-04T14:35:00Z</dcterms:created>
  <dcterms:modified xsi:type="dcterms:W3CDTF">2020-03-04T14:35:00Z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