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FA05" w14:textId="77777777" w:rsidR="007061E9" w:rsidRPr="008956CA" w:rsidRDefault="007061E9" w:rsidP="002226A4">
      <w:pPr>
        <w:spacing w:before="100" w:beforeAutospacing="1" w:after="100" w:afterAutospacing="1" w:line="360" w:lineRule="auto"/>
        <w:contextualSpacing/>
        <w:jc w:val="center"/>
        <w:rPr>
          <w:rFonts w:ascii="Times New Roman" w:hAnsi="Times New Roman" w:cs="Times New Roman"/>
          <w:b/>
          <w:sz w:val="24"/>
          <w:szCs w:val="24"/>
        </w:rPr>
      </w:pPr>
      <w:r w:rsidRPr="008956CA">
        <w:rPr>
          <w:rFonts w:ascii="Times New Roman" w:hAnsi="Times New Roman" w:cs="Times New Roman"/>
          <w:b/>
          <w:sz w:val="24"/>
          <w:szCs w:val="24"/>
        </w:rPr>
        <w:t xml:space="preserve">Observations of the United States of America </w:t>
      </w:r>
    </w:p>
    <w:p w14:paraId="05C1C2C6" w14:textId="77777777" w:rsidR="002226A4" w:rsidRPr="008956CA" w:rsidRDefault="007061E9" w:rsidP="002226A4">
      <w:pPr>
        <w:spacing w:before="100" w:beforeAutospacing="1" w:after="100" w:afterAutospacing="1" w:line="360" w:lineRule="auto"/>
        <w:contextualSpacing/>
        <w:jc w:val="center"/>
        <w:rPr>
          <w:rFonts w:ascii="Times New Roman" w:hAnsi="Times New Roman" w:cs="Times New Roman"/>
          <w:b/>
          <w:sz w:val="24"/>
          <w:szCs w:val="24"/>
        </w:rPr>
      </w:pPr>
      <w:r w:rsidRPr="008956CA">
        <w:rPr>
          <w:rFonts w:ascii="Times New Roman" w:hAnsi="Times New Roman" w:cs="Times New Roman"/>
          <w:b/>
          <w:sz w:val="24"/>
          <w:szCs w:val="24"/>
        </w:rPr>
        <w:t xml:space="preserve">on the Human Rights Committee’s Draft General Comment </w:t>
      </w:r>
      <w:r w:rsidR="002226A4" w:rsidRPr="008956CA">
        <w:rPr>
          <w:rFonts w:ascii="Times New Roman" w:hAnsi="Times New Roman" w:cs="Times New Roman"/>
          <w:b/>
          <w:sz w:val="24"/>
          <w:szCs w:val="24"/>
        </w:rPr>
        <w:t xml:space="preserve">No. </w:t>
      </w:r>
      <w:r w:rsidRPr="008956CA">
        <w:rPr>
          <w:rFonts w:ascii="Times New Roman" w:hAnsi="Times New Roman" w:cs="Times New Roman"/>
          <w:b/>
          <w:sz w:val="24"/>
          <w:szCs w:val="24"/>
        </w:rPr>
        <w:t>37</w:t>
      </w:r>
      <w:r w:rsidR="002226A4" w:rsidRPr="008956CA">
        <w:rPr>
          <w:rFonts w:ascii="Times New Roman" w:hAnsi="Times New Roman" w:cs="Times New Roman"/>
          <w:b/>
          <w:sz w:val="24"/>
          <w:szCs w:val="24"/>
        </w:rPr>
        <w:t xml:space="preserve"> </w:t>
      </w:r>
    </w:p>
    <w:p w14:paraId="4DD66058" w14:textId="61CE32EA" w:rsidR="00EB6068" w:rsidRPr="008956CA" w:rsidRDefault="002226A4" w:rsidP="002226A4">
      <w:pPr>
        <w:spacing w:before="100" w:beforeAutospacing="1" w:after="100" w:afterAutospacing="1" w:line="360" w:lineRule="auto"/>
        <w:contextualSpacing/>
        <w:jc w:val="center"/>
        <w:rPr>
          <w:rFonts w:ascii="Times New Roman" w:hAnsi="Times New Roman" w:cs="Times New Roman"/>
          <w:b/>
          <w:sz w:val="24"/>
          <w:szCs w:val="24"/>
        </w:rPr>
      </w:pPr>
      <w:r w:rsidRPr="008956CA">
        <w:rPr>
          <w:rFonts w:ascii="Times New Roman" w:hAnsi="Times New Roman" w:cs="Times New Roman"/>
          <w:b/>
          <w:sz w:val="24"/>
          <w:szCs w:val="24"/>
        </w:rPr>
        <w:t>On</w:t>
      </w:r>
      <w:r w:rsidR="007061E9" w:rsidRPr="008956CA">
        <w:rPr>
          <w:rFonts w:ascii="Times New Roman" w:hAnsi="Times New Roman" w:cs="Times New Roman"/>
          <w:b/>
          <w:sz w:val="24"/>
          <w:szCs w:val="24"/>
        </w:rPr>
        <w:t xml:space="preserve"> Article 21</w:t>
      </w:r>
      <w:r w:rsidRPr="008956CA">
        <w:rPr>
          <w:rFonts w:ascii="Times New Roman" w:hAnsi="Times New Roman" w:cs="Times New Roman"/>
          <w:b/>
          <w:sz w:val="24"/>
          <w:szCs w:val="24"/>
        </w:rPr>
        <w:t>: Peaceful Assembly</w:t>
      </w:r>
    </w:p>
    <w:p w14:paraId="3E842CF9" w14:textId="77777777" w:rsidR="002226A4" w:rsidRPr="008956CA" w:rsidRDefault="002226A4" w:rsidP="002226A4">
      <w:pPr>
        <w:spacing w:before="100" w:beforeAutospacing="1" w:after="100" w:afterAutospacing="1" w:line="360" w:lineRule="auto"/>
        <w:contextualSpacing/>
        <w:jc w:val="center"/>
        <w:rPr>
          <w:rFonts w:ascii="Times New Roman" w:hAnsi="Times New Roman" w:cs="Times New Roman"/>
          <w:b/>
          <w:sz w:val="24"/>
          <w:szCs w:val="24"/>
        </w:rPr>
      </w:pPr>
    </w:p>
    <w:p w14:paraId="343B00F6" w14:textId="62934808" w:rsidR="007061E9" w:rsidRPr="008956CA" w:rsidRDefault="00404912" w:rsidP="002226A4">
      <w:pPr>
        <w:spacing w:before="100" w:beforeAutospacing="1" w:after="100" w:afterAutospacing="1" w:line="360" w:lineRule="auto"/>
        <w:jc w:val="center"/>
        <w:rPr>
          <w:rFonts w:ascii="Times New Roman" w:hAnsi="Times New Roman" w:cs="Times New Roman"/>
          <w:sz w:val="24"/>
          <w:szCs w:val="24"/>
        </w:rPr>
      </w:pPr>
      <w:r w:rsidRPr="008956CA">
        <w:rPr>
          <w:rFonts w:ascii="Times New Roman" w:hAnsi="Times New Roman" w:cs="Times New Roman"/>
          <w:sz w:val="24"/>
          <w:szCs w:val="24"/>
        </w:rPr>
        <w:t>February 14, 2020</w:t>
      </w:r>
    </w:p>
    <w:p w14:paraId="6E22C39D" w14:textId="64967083" w:rsidR="007061E9" w:rsidRPr="008956CA" w:rsidRDefault="007061E9"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1.</w:t>
      </w:r>
      <w:r w:rsidR="00FB4522" w:rsidRPr="008956CA">
        <w:rPr>
          <w:rFonts w:ascii="Times New Roman" w:hAnsi="Times New Roman" w:cs="Times New Roman"/>
          <w:sz w:val="24"/>
          <w:szCs w:val="24"/>
        </w:rPr>
        <w:t xml:space="preserve"> </w:t>
      </w:r>
      <w:r w:rsidRPr="008956CA">
        <w:rPr>
          <w:rFonts w:ascii="Times New Roman" w:hAnsi="Times New Roman" w:cs="Times New Roman"/>
          <w:sz w:val="24"/>
          <w:szCs w:val="24"/>
        </w:rPr>
        <w:t xml:space="preserve"> The United States Government appreciates the opportunity to respond to Draft General Comment 37 regarding Article 21 of the International Covenant on Civil and Political Rights</w:t>
      </w:r>
      <w:r w:rsidR="00541D5D" w:rsidRPr="008956CA">
        <w:rPr>
          <w:rFonts w:ascii="Times New Roman" w:hAnsi="Times New Roman" w:cs="Times New Roman"/>
          <w:sz w:val="24"/>
          <w:szCs w:val="24"/>
        </w:rPr>
        <w:t xml:space="preserve"> (ICCPR)</w:t>
      </w:r>
      <w:r w:rsidRPr="008956CA">
        <w:rPr>
          <w:rStyle w:val="FootnoteReference"/>
          <w:rFonts w:ascii="Times New Roman" w:hAnsi="Times New Roman" w:cs="Times New Roman"/>
          <w:sz w:val="24"/>
          <w:szCs w:val="24"/>
        </w:rPr>
        <w:footnoteReference w:id="2"/>
      </w:r>
      <w:r w:rsidR="00B404A3" w:rsidRPr="008956CA">
        <w:rPr>
          <w:rFonts w:ascii="Times New Roman" w:hAnsi="Times New Roman" w:cs="Times New Roman"/>
          <w:sz w:val="24"/>
          <w:szCs w:val="24"/>
        </w:rPr>
        <w:t xml:space="preserve"> and </w:t>
      </w:r>
      <w:r w:rsidR="00E81B07" w:rsidRPr="008956CA">
        <w:rPr>
          <w:rFonts w:ascii="Times New Roman" w:hAnsi="Times New Roman" w:cs="Times New Roman"/>
          <w:sz w:val="24"/>
          <w:szCs w:val="24"/>
        </w:rPr>
        <w:t>thanks</w:t>
      </w:r>
      <w:r w:rsidR="00B404A3" w:rsidRPr="008956CA">
        <w:rPr>
          <w:rFonts w:ascii="Times New Roman" w:hAnsi="Times New Roman" w:cs="Times New Roman"/>
          <w:sz w:val="24"/>
          <w:szCs w:val="24"/>
        </w:rPr>
        <w:t xml:space="preserve"> the Committee </w:t>
      </w:r>
      <w:r w:rsidR="00E81B07" w:rsidRPr="008956CA">
        <w:rPr>
          <w:rFonts w:ascii="Times New Roman" w:hAnsi="Times New Roman" w:cs="Times New Roman"/>
          <w:sz w:val="24"/>
          <w:szCs w:val="24"/>
        </w:rPr>
        <w:t>for the important w</w:t>
      </w:r>
      <w:bookmarkStart w:id="0" w:name="_GoBack"/>
      <w:bookmarkEnd w:id="0"/>
      <w:r w:rsidR="00E81B07" w:rsidRPr="008956CA">
        <w:rPr>
          <w:rFonts w:ascii="Times New Roman" w:hAnsi="Times New Roman" w:cs="Times New Roman"/>
          <w:sz w:val="24"/>
          <w:szCs w:val="24"/>
        </w:rPr>
        <w:t xml:space="preserve">ork it </w:t>
      </w:r>
      <w:r w:rsidR="00B404A3" w:rsidRPr="008956CA">
        <w:rPr>
          <w:rFonts w:ascii="Times New Roman" w:hAnsi="Times New Roman" w:cs="Times New Roman"/>
          <w:sz w:val="24"/>
          <w:szCs w:val="24"/>
        </w:rPr>
        <w:t>performs under its mandate as set out in the ICCPR and related Protocols.  The United States is firmly committed to carrying out its obligations under</w:t>
      </w:r>
      <w:r w:rsidR="00DF2259" w:rsidRPr="008956CA">
        <w:rPr>
          <w:rFonts w:ascii="Times New Roman" w:hAnsi="Times New Roman" w:cs="Times New Roman"/>
          <w:sz w:val="24"/>
          <w:szCs w:val="24"/>
        </w:rPr>
        <w:t xml:space="preserve"> </w:t>
      </w:r>
      <w:r w:rsidR="00B404A3" w:rsidRPr="008956CA">
        <w:rPr>
          <w:rFonts w:ascii="Times New Roman" w:hAnsi="Times New Roman" w:cs="Times New Roman"/>
          <w:sz w:val="24"/>
          <w:szCs w:val="24"/>
        </w:rPr>
        <w:t>the ICCPR and under other human rights treaties to which it is Party.</w:t>
      </w:r>
      <w:r w:rsidR="008538C4" w:rsidRPr="008956CA">
        <w:rPr>
          <w:rFonts w:ascii="Times New Roman" w:hAnsi="Times New Roman" w:cs="Times New Roman"/>
          <w:sz w:val="24"/>
          <w:szCs w:val="24"/>
        </w:rPr>
        <w:t xml:space="preserve">  The obligations of </w:t>
      </w:r>
      <w:r w:rsidR="00E81B07" w:rsidRPr="008956CA">
        <w:rPr>
          <w:rFonts w:ascii="Times New Roman" w:hAnsi="Times New Roman" w:cs="Times New Roman"/>
          <w:sz w:val="24"/>
          <w:szCs w:val="24"/>
        </w:rPr>
        <w:t>a State Party</w:t>
      </w:r>
      <w:r w:rsidR="008538C4" w:rsidRPr="008956CA">
        <w:rPr>
          <w:rFonts w:ascii="Times New Roman" w:hAnsi="Times New Roman" w:cs="Times New Roman"/>
          <w:sz w:val="24"/>
          <w:szCs w:val="24"/>
        </w:rPr>
        <w:t xml:space="preserve"> under Article 21 provide important protections for individuals within its territory and subject to its jurisdiction, and the United States supports the Committee’s efforts to assist and facilitate </w:t>
      </w:r>
      <w:r w:rsidR="0018736B" w:rsidRPr="008956CA">
        <w:rPr>
          <w:rFonts w:ascii="Times New Roman" w:hAnsi="Times New Roman" w:cs="Times New Roman"/>
          <w:sz w:val="24"/>
          <w:szCs w:val="24"/>
        </w:rPr>
        <w:t>States Parties</w:t>
      </w:r>
      <w:r w:rsidR="008538C4" w:rsidRPr="008956CA">
        <w:rPr>
          <w:rFonts w:ascii="Times New Roman" w:hAnsi="Times New Roman" w:cs="Times New Roman"/>
          <w:sz w:val="24"/>
          <w:szCs w:val="24"/>
        </w:rPr>
        <w:t>’ implementation of their ICCPR obligations.</w:t>
      </w:r>
      <w:r w:rsidR="008D0138" w:rsidRPr="008956CA">
        <w:rPr>
          <w:rFonts w:ascii="Times New Roman" w:hAnsi="Times New Roman" w:cs="Times New Roman"/>
          <w:sz w:val="24"/>
          <w:szCs w:val="24"/>
        </w:rPr>
        <w:t xml:space="preserve"> </w:t>
      </w:r>
    </w:p>
    <w:p w14:paraId="00C86A41" w14:textId="4FB2E67B" w:rsidR="0011129A" w:rsidRPr="008956CA" w:rsidRDefault="0011129A"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2.  The United States agree</w:t>
      </w:r>
      <w:r w:rsidR="00B650FC" w:rsidRPr="008956CA">
        <w:rPr>
          <w:rFonts w:ascii="Times New Roman" w:hAnsi="Times New Roman" w:cs="Times New Roman"/>
          <w:sz w:val="24"/>
          <w:szCs w:val="24"/>
        </w:rPr>
        <w:t>s</w:t>
      </w:r>
      <w:r w:rsidR="00E82E37" w:rsidRPr="008956CA">
        <w:rPr>
          <w:rFonts w:ascii="Times New Roman" w:hAnsi="Times New Roman" w:cs="Times New Roman"/>
          <w:sz w:val="24"/>
          <w:szCs w:val="24"/>
        </w:rPr>
        <w:t>,</w:t>
      </w:r>
      <w:r w:rsidRPr="008956CA">
        <w:rPr>
          <w:rFonts w:ascii="Times New Roman" w:hAnsi="Times New Roman" w:cs="Times New Roman"/>
          <w:sz w:val="24"/>
          <w:szCs w:val="24"/>
        </w:rPr>
        <w:t xml:space="preserve"> </w:t>
      </w:r>
      <w:r w:rsidR="00FB4522" w:rsidRPr="008956CA">
        <w:rPr>
          <w:rFonts w:ascii="Times New Roman" w:hAnsi="Times New Roman" w:cs="Times New Roman"/>
          <w:sz w:val="24"/>
          <w:szCs w:val="24"/>
        </w:rPr>
        <w:t>as the Committee state</w:t>
      </w:r>
      <w:r w:rsidR="0018736B" w:rsidRPr="008956CA">
        <w:rPr>
          <w:rFonts w:ascii="Times New Roman" w:hAnsi="Times New Roman" w:cs="Times New Roman"/>
          <w:sz w:val="24"/>
          <w:szCs w:val="24"/>
        </w:rPr>
        <w:t>s</w:t>
      </w:r>
      <w:r w:rsidR="00FB4522" w:rsidRPr="008956CA">
        <w:rPr>
          <w:rFonts w:ascii="Times New Roman" w:hAnsi="Times New Roman" w:cs="Times New Roman"/>
          <w:sz w:val="24"/>
          <w:szCs w:val="24"/>
        </w:rPr>
        <w:t xml:space="preserve"> in paragraph </w:t>
      </w:r>
      <w:r w:rsidR="00593B79">
        <w:rPr>
          <w:rFonts w:ascii="Times New Roman" w:hAnsi="Times New Roman" w:cs="Times New Roman"/>
          <w:sz w:val="24"/>
          <w:szCs w:val="24"/>
        </w:rPr>
        <w:t>1</w:t>
      </w:r>
      <w:r w:rsidR="00FB4522" w:rsidRPr="008956CA">
        <w:rPr>
          <w:rFonts w:ascii="Times New Roman" w:hAnsi="Times New Roman" w:cs="Times New Roman"/>
          <w:sz w:val="24"/>
          <w:szCs w:val="24"/>
        </w:rPr>
        <w:t xml:space="preserve"> of its draft General Comment</w:t>
      </w:r>
      <w:r w:rsidR="00E82E37" w:rsidRPr="008956CA">
        <w:rPr>
          <w:rFonts w:ascii="Times New Roman" w:hAnsi="Times New Roman" w:cs="Times New Roman"/>
          <w:sz w:val="24"/>
          <w:szCs w:val="24"/>
        </w:rPr>
        <w:t>,</w:t>
      </w:r>
      <w:r w:rsidR="00FB4522" w:rsidRPr="008956CA">
        <w:rPr>
          <w:rFonts w:ascii="Times New Roman" w:hAnsi="Times New Roman" w:cs="Times New Roman"/>
          <w:sz w:val="24"/>
          <w:szCs w:val="24"/>
        </w:rPr>
        <w:t xml:space="preserve"> </w:t>
      </w:r>
      <w:r w:rsidRPr="008956CA">
        <w:rPr>
          <w:rFonts w:ascii="Times New Roman" w:hAnsi="Times New Roman" w:cs="Times New Roman"/>
          <w:sz w:val="24"/>
          <w:szCs w:val="24"/>
        </w:rPr>
        <w:t>that peaceful assembly</w:t>
      </w:r>
      <w:r w:rsidR="0050686A" w:rsidRPr="008956CA">
        <w:rPr>
          <w:rFonts w:ascii="Times New Roman" w:hAnsi="Times New Roman" w:cs="Times New Roman"/>
          <w:sz w:val="24"/>
          <w:szCs w:val="24"/>
        </w:rPr>
        <w:t xml:space="preserve">, </w:t>
      </w:r>
      <w:r w:rsidRPr="008956CA">
        <w:rPr>
          <w:rFonts w:ascii="Times New Roman" w:hAnsi="Times New Roman" w:cs="Times New Roman"/>
          <w:sz w:val="24"/>
          <w:szCs w:val="24"/>
        </w:rPr>
        <w:t>“</w:t>
      </w:r>
      <w:r w:rsidR="0050686A" w:rsidRPr="008956CA">
        <w:rPr>
          <w:rFonts w:ascii="Times New Roman" w:hAnsi="Times New Roman" w:cs="Times New Roman"/>
          <w:sz w:val="24"/>
          <w:szCs w:val="24"/>
        </w:rPr>
        <w:t>[t]</w:t>
      </w:r>
      <w:proofErr w:type="spellStart"/>
      <w:r w:rsidR="0050686A" w:rsidRPr="008956CA">
        <w:rPr>
          <w:rFonts w:ascii="Times New Roman" w:hAnsi="Times New Roman" w:cs="Times New Roman"/>
          <w:sz w:val="24"/>
          <w:szCs w:val="24"/>
        </w:rPr>
        <w:t>ogether</w:t>
      </w:r>
      <w:proofErr w:type="spellEnd"/>
      <w:r w:rsidR="0050686A" w:rsidRPr="008956CA">
        <w:rPr>
          <w:rFonts w:ascii="Times New Roman" w:hAnsi="Times New Roman" w:cs="Times New Roman"/>
          <w:sz w:val="24"/>
          <w:szCs w:val="24"/>
        </w:rPr>
        <w:t xml:space="preserve"> with other rights related to political </w:t>
      </w:r>
      <w:proofErr w:type="gramStart"/>
      <w:r w:rsidR="0050686A" w:rsidRPr="008956CA">
        <w:rPr>
          <w:rFonts w:ascii="Times New Roman" w:hAnsi="Times New Roman" w:cs="Times New Roman"/>
          <w:sz w:val="24"/>
          <w:szCs w:val="24"/>
        </w:rPr>
        <w:t>freedom,[</w:t>
      </w:r>
      <w:proofErr w:type="gramEnd"/>
      <w:r w:rsidR="0050686A" w:rsidRPr="008956CA">
        <w:rPr>
          <w:rFonts w:ascii="Times New Roman" w:hAnsi="Times New Roman" w:cs="Times New Roman"/>
          <w:sz w:val="24"/>
          <w:szCs w:val="24"/>
        </w:rPr>
        <w:t>]</w:t>
      </w:r>
      <w:r w:rsidR="00593B79">
        <w:rPr>
          <w:rFonts w:ascii="Times New Roman" w:hAnsi="Times New Roman" w:cs="Times New Roman"/>
          <w:sz w:val="24"/>
          <w:szCs w:val="24"/>
        </w:rPr>
        <w:t> </w:t>
      </w:r>
      <w:r w:rsidR="0018736B" w:rsidRPr="008956CA">
        <w:rPr>
          <w:rFonts w:ascii="Times New Roman" w:hAnsi="Times New Roman" w:cs="Times New Roman"/>
          <w:sz w:val="24"/>
          <w:szCs w:val="24"/>
        </w:rPr>
        <w:t>. .</w:t>
      </w:r>
      <w:r w:rsidR="00593B79">
        <w:rPr>
          <w:rFonts w:ascii="Times New Roman" w:hAnsi="Times New Roman" w:cs="Times New Roman"/>
          <w:sz w:val="24"/>
          <w:szCs w:val="24"/>
        </w:rPr>
        <w:t> </w:t>
      </w:r>
      <w:r w:rsidR="0018736B" w:rsidRPr="008956CA">
        <w:rPr>
          <w:rFonts w:ascii="Times New Roman" w:hAnsi="Times New Roman" w:cs="Times New Roman"/>
          <w:sz w:val="24"/>
          <w:szCs w:val="24"/>
        </w:rPr>
        <w:t>.</w:t>
      </w:r>
      <w:r w:rsidR="0050686A" w:rsidRPr="008956CA">
        <w:rPr>
          <w:rFonts w:ascii="Times New Roman" w:hAnsi="Times New Roman" w:cs="Times New Roman"/>
          <w:sz w:val="24"/>
          <w:szCs w:val="24"/>
        </w:rPr>
        <w:t xml:space="preserve"> constitutes the very foundation of a system of participatory government based on democracy</w:t>
      </w:r>
      <w:r w:rsidRPr="008956CA">
        <w:rPr>
          <w:rFonts w:ascii="Times New Roman" w:hAnsi="Times New Roman" w:cs="Times New Roman"/>
          <w:sz w:val="24"/>
          <w:szCs w:val="24"/>
        </w:rPr>
        <w:t>.”</w:t>
      </w:r>
      <w:r w:rsidR="00FB4522" w:rsidRPr="008956CA">
        <w:rPr>
          <w:rFonts w:ascii="Times New Roman" w:hAnsi="Times New Roman" w:cs="Times New Roman"/>
          <w:sz w:val="24"/>
          <w:szCs w:val="24"/>
        </w:rPr>
        <w:t xml:space="preserve"> </w:t>
      </w:r>
      <w:r w:rsidRPr="008956CA">
        <w:rPr>
          <w:rFonts w:ascii="Times New Roman" w:hAnsi="Times New Roman" w:cs="Times New Roman"/>
          <w:sz w:val="24"/>
          <w:szCs w:val="24"/>
        </w:rPr>
        <w:t xml:space="preserve"> The United States maintains protection for peaceful assembly, as provided for in the U.S. Constitution and the law of the United States.</w:t>
      </w:r>
      <w:r w:rsidR="002226A4" w:rsidRPr="008956CA">
        <w:rPr>
          <w:rStyle w:val="FootnoteReference"/>
          <w:rFonts w:ascii="Times New Roman" w:hAnsi="Times New Roman" w:cs="Times New Roman"/>
          <w:sz w:val="24"/>
          <w:szCs w:val="24"/>
        </w:rPr>
        <w:footnoteReference w:id="3"/>
      </w:r>
    </w:p>
    <w:p w14:paraId="2BAFD59D" w14:textId="0FCA6738" w:rsidR="000464A2" w:rsidRPr="008956CA" w:rsidRDefault="00404912" w:rsidP="00870D0A">
      <w:pPr>
        <w:spacing w:before="100" w:beforeAutospacing="1" w:after="100" w:afterAutospacing="1" w:line="240" w:lineRule="auto"/>
        <w:rPr>
          <w:rFonts w:ascii="Times New Roman" w:hAnsi="Times New Roman" w:cs="Times New Roman"/>
          <w:b/>
          <w:sz w:val="24"/>
          <w:szCs w:val="24"/>
        </w:rPr>
      </w:pPr>
      <w:r w:rsidRPr="008956CA">
        <w:rPr>
          <w:rFonts w:ascii="Times New Roman" w:hAnsi="Times New Roman" w:cs="Times New Roman"/>
          <w:b/>
          <w:sz w:val="24"/>
          <w:szCs w:val="24"/>
        </w:rPr>
        <w:t>A</w:t>
      </w:r>
      <w:r w:rsidR="000464A2" w:rsidRPr="008956CA">
        <w:rPr>
          <w:rFonts w:ascii="Times New Roman" w:hAnsi="Times New Roman" w:cs="Times New Roman"/>
          <w:b/>
          <w:sz w:val="24"/>
          <w:szCs w:val="24"/>
        </w:rPr>
        <w:t>. General Observations</w:t>
      </w:r>
    </w:p>
    <w:p w14:paraId="2558ED32" w14:textId="31EFF627" w:rsidR="00870D0A" w:rsidRPr="008956CA" w:rsidRDefault="00870D0A" w:rsidP="00870D0A">
      <w:pPr>
        <w:spacing w:before="100" w:beforeAutospacing="1" w:after="100" w:afterAutospacing="1" w:line="240" w:lineRule="auto"/>
        <w:rPr>
          <w:rFonts w:ascii="Times New Roman" w:hAnsi="Times New Roman" w:cs="Times New Roman"/>
          <w:bCs/>
          <w:sz w:val="24"/>
          <w:szCs w:val="24"/>
          <w:u w:val="single"/>
        </w:rPr>
      </w:pPr>
      <w:r w:rsidRPr="008956CA">
        <w:rPr>
          <w:rFonts w:ascii="Times New Roman" w:hAnsi="Times New Roman" w:cs="Times New Roman"/>
          <w:bCs/>
          <w:sz w:val="24"/>
          <w:szCs w:val="24"/>
          <w:u w:val="single"/>
        </w:rPr>
        <w:t>Authority and Capacity of the Committee</w:t>
      </w:r>
    </w:p>
    <w:p w14:paraId="5A9F3EC0" w14:textId="415AB6C5" w:rsidR="00E07163" w:rsidRPr="008956CA" w:rsidRDefault="00404912"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3</w:t>
      </w:r>
      <w:r w:rsidR="00BC6185" w:rsidRPr="008956CA">
        <w:rPr>
          <w:rFonts w:ascii="Times New Roman" w:hAnsi="Times New Roman" w:cs="Times New Roman"/>
          <w:sz w:val="24"/>
          <w:szCs w:val="24"/>
        </w:rPr>
        <w:t>.</w:t>
      </w:r>
      <w:r w:rsidR="00E07163" w:rsidRPr="008956CA">
        <w:rPr>
          <w:rFonts w:ascii="Times New Roman" w:hAnsi="Times New Roman" w:cs="Times New Roman"/>
          <w:sz w:val="24"/>
          <w:szCs w:val="24"/>
        </w:rPr>
        <w:t xml:space="preserve"> As the United States has stated previously, it is for each State to decide as an exercise of its sovereignty to assume treaty obligations which, once entered into, it has a legal obligation to fulfill.</w:t>
      </w:r>
      <w:r w:rsidR="00E07163" w:rsidRPr="008956CA">
        <w:rPr>
          <w:rStyle w:val="FootnoteReference"/>
          <w:rFonts w:ascii="Times New Roman" w:hAnsi="Times New Roman" w:cs="Times New Roman"/>
          <w:sz w:val="24"/>
          <w:szCs w:val="24"/>
        </w:rPr>
        <w:footnoteReference w:id="4"/>
      </w:r>
      <w:r w:rsidR="00E07163" w:rsidRPr="008956CA">
        <w:rPr>
          <w:rFonts w:ascii="Times New Roman" w:hAnsi="Times New Roman" w:cs="Times New Roman"/>
          <w:sz w:val="24"/>
          <w:szCs w:val="24"/>
        </w:rPr>
        <w:t xml:space="preserve">  </w:t>
      </w:r>
      <w:r w:rsidR="00C0482C" w:rsidRPr="008956CA">
        <w:rPr>
          <w:rFonts w:ascii="Times New Roman" w:hAnsi="Times New Roman" w:cs="Times New Roman"/>
          <w:sz w:val="24"/>
          <w:szCs w:val="24"/>
        </w:rPr>
        <w:t>T</w:t>
      </w:r>
      <w:r w:rsidR="00E07163" w:rsidRPr="008956CA">
        <w:rPr>
          <w:rFonts w:ascii="Times New Roman" w:hAnsi="Times New Roman" w:cs="Times New Roman"/>
          <w:sz w:val="24"/>
          <w:szCs w:val="24"/>
        </w:rPr>
        <w:t xml:space="preserve">reaty parties could, through provisions in the treaty, agree to allow another entity to render authoritative treaty interpretation or to resolve definitively legal disputes or questions relating to their obligations, but </w:t>
      </w:r>
      <w:r w:rsidR="0018736B" w:rsidRPr="008956CA">
        <w:rPr>
          <w:rFonts w:ascii="Times New Roman" w:hAnsi="Times New Roman" w:cs="Times New Roman"/>
          <w:sz w:val="24"/>
          <w:szCs w:val="24"/>
        </w:rPr>
        <w:t>States Parties</w:t>
      </w:r>
      <w:r w:rsidR="00E07163" w:rsidRPr="008956CA">
        <w:rPr>
          <w:rFonts w:ascii="Times New Roman" w:hAnsi="Times New Roman" w:cs="Times New Roman"/>
          <w:sz w:val="24"/>
          <w:szCs w:val="24"/>
        </w:rPr>
        <w:t xml:space="preserve"> to the ICCPR have not given authority to the </w:t>
      </w:r>
      <w:r w:rsidR="00E07163" w:rsidRPr="008956CA">
        <w:rPr>
          <w:rFonts w:ascii="Times New Roman" w:hAnsi="Times New Roman" w:cs="Times New Roman"/>
          <w:sz w:val="24"/>
          <w:szCs w:val="24"/>
        </w:rPr>
        <w:lastRenderedPageBreak/>
        <w:t>Human Rights Committee or to any other entity to fashion or otherwise determine their treaty obligations.</w:t>
      </w:r>
      <w:r w:rsidR="00E07163" w:rsidRPr="008956CA">
        <w:rPr>
          <w:rStyle w:val="FootnoteReference"/>
          <w:rFonts w:ascii="Times New Roman" w:hAnsi="Times New Roman" w:cs="Times New Roman"/>
          <w:sz w:val="24"/>
          <w:szCs w:val="24"/>
        </w:rPr>
        <w:footnoteReference w:id="5"/>
      </w:r>
      <w:r w:rsidR="00E07163" w:rsidRPr="008956CA">
        <w:rPr>
          <w:rFonts w:ascii="Times New Roman" w:hAnsi="Times New Roman" w:cs="Times New Roman"/>
          <w:sz w:val="24"/>
          <w:szCs w:val="24"/>
        </w:rPr>
        <w:t xml:space="preserve">  </w:t>
      </w:r>
    </w:p>
    <w:p w14:paraId="17A91D27" w14:textId="6475F838" w:rsidR="000464A2" w:rsidRPr="008956CA" w:rsidRDefault="00404912" w:rsidP="00870D0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4</w:t>
      </w:r>
      <w:r w:rsidR="00BC6185" w:rsidRPr="008956CA">
        <w:rPr>
          <w:rFonts w:ascii="Times New Roman" w:hAnsi="Times New Roman" w:cs="Times New Roman"/>
          <w:sz w:val="24"/>
          <w:szCs w:val="24"/>
        </w:rPr>
        <w:t xml:space="preserve">. </w:t>
      </w:r>
      <w:r w:rsidR="000464A2" w:rsidRPr="008956CA">
        <w:rPr>
          <w:rFonts w:ascii="Times New Roman" w:hAnsi="Times New Roman" w:cs="Times New Roman"/>
          <w:sz w:val="24"/>
          <w:szCs w:val="24"/>
        </w:rPr>
        <w:t xml:space="preserve">  </w:t>
      </w:r>
      <w:r w:rsidR="008B3DEB" w:rsidRPr="008956CA">
        <w:rPr>
          <w:rFonts w:ascii="Times New Roman" w:hAnsi="Times New Roman" w:cs="Times New Roman"/>
          <w:sz w:val="24"/>
          <w:szCs w:val="24"/>
        </w:rPr>
        <w:t>T</w:t>
      </w:r>
      <w:r w:rsidR="000464A2" w:rsidRPr="008956CA">
        <w:rPr>
          <w:rFonts w:ascii="Times New Roman" w:hAnsi="Times New Roman" w:cs="Times New Roman"/>
          <w:sz w:val="24"/>
          <w:szCs w:val="24"/>
        </w:rPr>
        <w:t xml:space="preserve">he United States </w:t>
      </w:r>
      <w:r w:rsidR="008B3DEB" w:rsidRPr="008956CA">
        <w:rPr>
          <w:rFonts w:ascii="Times New Roman" w:hAnsi="Times New Roman" w:cs="Times New Roman"/>
          <w:sz w:val="24"/>
          <w:szCs w:val="24"/>
        </w:rPr>
        <w:t xml:space="preserve">repeatedly </w:t>
      </w:r>
      <w:r w:rsidR="000464A2" w:rsidRPr="008956CA">
        <w:rPr>
          <w:rFonts w:ascii="Times New Roman" w:hAnsi="Times New Roman" w:cs="Times New Roman"/>
          <w:sz w:val="24"/>
          <w:szCs w:val="24"/>
        </w:rPr>
        <w:t xml:space="preserve">has expressed concerns with the Committee’s interpretive practice generally, explaining in detail our view that </w:t>
      </w:r>
      <w:r w:rsidR="003B5D94" w:rsidRPr="008956CA">
        <w:rPr>
          <w:rFonts w:ascii="Times New Roman" w:hAnsi="Times New Roman" w:cs="Times New Roman"/>
          <w:sz w:val="24"/>
          <w:szCs w:val="24"/>
        </w:rPr>
        <w:t>this practice</w:t>
      </w:r>
      <w:r w:rsidR="000464A2" w:rsidRPr="008956CA">
        <w:rPr>
          <w:rFonts w:ascii="Times New Roman" w:hAnsi="Times New Roman" w:cs="Times New Roman"/>
          <w:sz w:val="24"/>
          <w:szCs w:val="24"/>
        </w:rPr>
        <w:t xml:space="preserve"> is beyond the Committee’s authority and mandate and contrary to international law.</w:t>
      </w:r>
      <w:r w:rsidR="00443016" w:rsidRPr="008956CA">
        <w:rPr>
          <w:rStyle w:val="FootnoteReference"/>
          <w:rFonts w:ascii="Times New Roman" w:hAnsi="Times New Roman" w:cs="Times New Roman"/>
          <w:sz w:val="24"/>
          <w:szCs w:val="24"/>
        </w:rPr>
        <w:footnoteReference w:id="6"/>
      </w:r>
      <w:r w:rsidR="000464A2" w:rsidRPr="008956CA">
        <w:rPr>
          <w:rFonts w:ascii="Times New Roman" w:hAnsi="Times New Roman" w:cs="Times New Roman"/>
          <w:sz w:val="24"/>
          <w:szCs w:val="24"/>
        </w:rPr>
        <w:t xml:space="preserve">  The United States reiterates </w:t>
      </w:r>
      <w:r w:rsidR="003B5D94" w:rsidRPr="008956CA">
        <w:rPr>
          <w:rFonts w:ascii="Times New Roman" w:hAnsi="Times New Roman" w:cs="Times New Roman"/>
          <w:sz w:val="24"/>
          <w:szCs w:val="24"/>
        </w:rPr>
        <w:t>this view</w:t>
      </w:r>
      <w:r w:rsidR="000464A2" w:rsidRPr="008956CA">
        <w:rPr>
          <w:rFonts w:ascii="Times New Roman" w:hAnsi="Times New Roman" w:cs="Times New Roman"/>
          <w:sz w:val="24"/>
          <w:szCs w:val="24"/>
        </w:rPr>
        <w:t xml:space="preserve"> here with regard to draft General Comment No. 3</w:t>
      </w:r>
      <w:r w:rsidR="00870D0A" w:rsidRPr="008956CA">
        <w:rPr>
          <w:rFonts w:ascii="Times New Roman" w:hAnsi="Times New Roman" w:cs="Times New Roman"/>
          <w:sz w:val="24"/>
          <w:szCs w:val="24"/>
        </w:rPr>
        <w:t>7</w:t>
      </w:r>
      <w:r w:rsidR="000464A2" w:rsidRPr="008956CA">
        <w:rPr>
          <w:rFonts w:ascii="Times New Roman" w:hAnsi="Times New Roman" w:cs="Times New Roman"/>
          <w:sz w:val="24"/>
          <w:szCs w:val="24"/>
        </w:rPr>
        <w:t>.</w:t>
      </w:r>
    </w:p>
    <w:p w14:paraId="42E2CD8B" w14:textId="2DE592BB" w:rsidR="000464A2" w:rsidRPr="008956CA" w:rsidRDefault="00404912"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5</w:t>
      </w:r>
      <w:r w:rsidR="00BC6185" w:rsidRPr="008956CA">
        <w:rPr>
          <w:rFonts w:ascii="Times New Roman" w:hAnsi="Times New Roman" w:cs="Times New Roman"/>
          <w:sz w:val="24"/>
          <w:szCs w:val="24"/>
        </w:rPr>
        <w:t>.</w:t>
      </w:r>
      <w:r w:rsidR="000464A2" w:rsidRPr="008956CA">
        <w:rPr>
          <w:rFonts w:ascii="Times New Roman" w:hAnsi="Times New Roman" w:cs="Times New Roman"/>
          <w:sz w:val="24"/>
          <w:szCs w:val="24"/>
        </w:rPr>
        <w:t xml:space="preserve">  </w:t>
      </w:r>
      <w:r w:rsidR="008B3DEB" w:rsidRPr="008956CA">
        <w:rPr>
          <w:rFonts w:ascii="Times New Roman" w:hAnsi="Times New Roman" w:cs="Times New Roman"/>
          <w:sz w:val="24"/>
          <w:szCs w:val="24"/>
        </w:rPr>
        <w:t>The</w:t>
      </w:r>
      <w:r w:rsidR="000464A2" w:rsidRPr="008956CA">
        <w:rPr>
          <w:rFonts w:ascii="Times New Roman" w:hAnsi="Times New Roman" w:cs="Times New Roman"/>
          <w:sz w:val="24"/>
          <w:szCs w:val="24"/>
        </w:rPr>
        <w:t xml:space="preserve"> United States </w:t>
      </w:r>
      <w:r w:rsidR="008B3DEB" w:rsidRPr="008956CA">
        <w:rPr>
          <w:rFonts w:ascii="Times New Roman" w:hAnsi="Times New Roman" w:cs="Times New Roman"/>
          <w:sz w:val="24"/>
          <w:szCs w:val="24"/>
        </w:rPr>
        <w:t>urges</w:t>
      </w:r>
      <w:r w:rsidR="000464A2" w:rsidRPr="008956CA">
        <w:rPr>
          <w:rFonts w:ascii="Times New Roman" w:hAnsi="Times New Roman" w:cs="Times New Roman"/>
          <w:sz w:val="24"/>
          <w:szCs w:val="24"/>
        </w:rPr>
        <w:t xml:space="preserve"> the Committee to make explicit at the beginning of any final general comment that it reflects the Committee’s views, which are not legally</w:t>
      </w:r>
      <w:r w:rsidR="00D07794">
        <w:rPr>
          <w:rFonts w:ascii="Times New Roman" w:hAnsi="Times New Roman" w:cs="Times New Roman"/>
          <w:sz w:val="24"/>
          <w:szCs w:val="24"/>
        </w:rPr>
        <w:t xml:space="preserve"> </w:t>
      </w:r>
      <w:r w:rsidR="000464A2" w:rsidRPr="008956CA">
        <w:rPr>
          <w:rFonts w:ascii="Times New Roman" w:hAnsi="Times New Roman" w:cs="Times New Roman"/>
          <w:sz w:val="24"/>
          <w:szCs w:val="24"/>
        </w:rPr>
        <w:t xml:space="preserve">binding, and that the purpose of the general comment is to provide recommendations to </w:t>
      </w:r>
      <w:r w:rsidR="0018736B" w:rsidRPr="008956CA">
        <w:rPr>
          <w:rFonts w:ascii="Times New Roman" w:hAnsi="Times New Roman" w:cs="Times New Roman"/>
          <w:sz w:val="24"/>
          <w:szCs w:val="24"/>
        </w:rPr>
        <w:t>States Parties</w:t>
      </w:r>
      <w:r w:rsidR="000464A2" w:rsidRPr="008956CA">
        <w:rPr>
          <w:rFonts w:ascii="Times New Roman" w:hAnsi="Times New Roman" w:cs="Times New Roman"/>
          <w:sz w:val="24"/>
          <w:szCs w:val="24"/>
        </w:rPr>
        <w:t xml:space="preserve"> with regard to their implementation of the Covenant and in fulfilling their periodic reporting requirements under Article 40</w:t>
      </w:r>
      <w:r w:rsidR="008B3DEB" w:rsidRPr="008956CA">
        <w:rPr>
          <w:rFonts w:ascii="Times New Roman" w:hAnsi="Times New Roman" w:cs="Times New Roman"/>
          <w:sz w:val="24"/>
          <w:szCs w:val="24"/>
        </w:rPr>
        <w:t xml:space="preserve"> and to</w:t>
      </w:r>
      <w:r w:rsidR="000464A2" w:rsidRPr="008956CA">
        <w:rPr>
          <w:rFonts w:ascii="Times New Roman" w:hAnsi="Times New Roman" w:cs="Times New Roman"/>
          <w:sz w:val="24"/>
          <w:szCs w:val="24"/>
        </w:rPr>
        <w:t xml:space="preserve"> refrain from providing its recommendations in imperative (“must”) or mandatory (“required”) terms.  </w:t>
      </w:r>
      <w:r w:rsidR="008B3DEB" w:rsidRPr="008956CA">
        <w:rPr>
          <w:rFonts w:ascii="Times New Roman" w:hAnsi="Times New Roman" w:cs="Times New Roman"/>
          <w:sz w:val="24"/>
          <w:szCs w:val="24"/>
        </w:rPr>
        <w:t xml:space="preserve">As the United States stated in its </w:t>
      </w:r>
      <w:r w:rsidR="00264458" w:rsidRPr="008956CA">
        <w:rPr>
          <w:rFonts w:ascii="Times New Roman" w:hAnsi="Times New Roman" w:cs="Times New Roman"/>
          <w:sz w:val="24"/>
          <w:szCs w:val="24"/>
        </w:rPr>
        <w:t>O</w:t>
      </w:r>
      <w:r w:rsidR="008B3DEB" w:rsidRPr="008956CA">
        <w:rPr>
          <w:rFonts w:ascii="Times New Roman" w:hAnsi="Times New Roman" w:cs="Times New Roman"/>
          <w:sz w:val="24"/>
          <w:szCs w:val="24"/>
        </w:rPr>
        <w:t xml:space="preserve">bservations on General Comment </w:t>
      </w:r>
      <w:r w:rsidR="009B2CA9">
        <w:rPr>
          <w:rFonts w:ascii="Times New Roman" w:hAnsi="Times New Roman" w:cs="Times New Roman"/>
          <w:sz w:val="24"/>
          <w:szCs w:val="24"/>
        </w:rPr>
        <w:t xml:space="preserve">No. </w:t>
      </w:r>
      <w:r w:rsidR="008B3DEB" w:rsidRPr="008956CA">
        <w:rPr>
          <w:rFonts w:ascii="Times New Roman" w:hAnsi="Times New Roman" w:cs="Times New Roman"/>
          <w:sz w:val="24"/>
          <w:szCs w:val="24"/>
        </w:rPr>
        <w:t>36, “</w:t>
      </w:r>
      <w:r w:rsidR="000464A2" w:rsidRPr="008956CA">
        <w:rPr>
          <w:rFonts w:ascii="Times New Roman" w:hAnsi="Times New Roman" w:cs="Times New Roman"/>
          <w:sz w:val="24"/>
          <w:szCs w:val="24"/>
        </w:rPr>
        <w:t xml:space="preserve">To the extent that the Committee undertakes to express its views regarding </w:t>
      </w:r>
      <w:r w:rsidR="0018736B" w:rsidRPr="008956CA">
        <w:rPr>
          <w:rFonts w:ascii="Times New Roman" w:hAnsi="Times New Roman" w:cs="Times New Roman"/>
          <w:sz w:val="24"/>
          <w:szCs w:val="24"/>
        </w:rPr>
        <w:t>States Parties</w:t>
      </w:r>
      <w:r w:rsidR="000464A2" w:rsidRPr="008956CA">
        <w:rPr>
          <w:rFonts w:ascii="Times New Roman" w:hAnsi="Times New Roman" w:cs="Times New Roman"/>
          <w:sz w:val="24"/>
          <w:szCs w:val="24"/>
        </w:rPr>
        <w:t xml:space="preserve">’ obligations or how it believes a provision should be interpreted beyond the terms contained in the treaty text, we urge the Committee to frame any such interpretation as Committee views regarding best practices, and to ensure that the opposing views of </w:t>
      </w:r>
      <w:r w:rsidR="0018736B" w:rsidRPr="008956CA">
        <w:rPr>
          <w:rFonts w:ascii="Times New Roman" w:hAnsi="Times New Roman" w:cs="Times New Roman"/>
          <w:sz w:val="24"/>
          <w:szCs w:val="24"/>
        </w:rPr>
        <w:t>States Parties</w:t>
      </w:r>
      <w:r w:rsidR="000464A2" w:rsidRPr="008956CA">
        <w:rPr>
          <w:rFonts w:ascii="Times New Roman" w:hAnsi="Times New Roman" w:cs="Times New Roman"/>
          <w:sz w:val="24"/>
          <w:szCs w:val="24"/>
        </w:rPr>
        <w:t xml:space="preserve">, including the United States, are also reflected in the text of the general comment, in order to avoid the impression that the interpretation advanced is authoritative, legally-binding, or otherwise accepted by the </w:t>
      </w:r>
      <w:r w:rsidR="0018736B" w:rsidRPr="008956CA">
        <w:rPr>
          <w:rFonts w:ascii="Times New Roman" w:hAnsi="Times New Roman" w:cs="Times New Roman"/>
          <w:sz w:val="24"/>
          <w:szCs w:val="24"/>
        </w:rPr>
        <w:t>States Parties</w:t>
      </w:r>
      <w:r w:rsidR="006B463C">
        <w:rPr>
          <w:rFonts w:ascii="Times New Roman" w:hAnsi="Times New Roman" w:cs="Times New Roman"/>
          <w:sz w:val="24"/>
          <w:szCs w:val="24"/>
        </w:rPr>
        <w:t>.</w:t>
      </w:r>
      <w:r w:rsidR="008B3DEB" w:rsidRPr="008956CA">
        <w:rPr>
          <w:rFonts w:ascii="Times New Roman" w:hAnsi="Times New Roman" w:cs="Times New Roman"/>
          <w:sz w:val="24"/>
          <w:szCs w:val="24"/>
        </w:rPr>
        <w:t>”</w:t>
      </w:r>
      <w:r w:rsidR="008B3DEB" w:rsidRPr="008956CA">
        <w:rPr>
          <w:rStyle w:val="FootnoteReference"/>
          <w:rFonts w:ascii="Times New Roman" w:hAnsi="Times New Roman" w:cs="Times New Roman"/>
          <w:sz w:val="24"/>
          <w:szCs w:val="24"/>
        </w:rPr>
        <w:footnoteReference w:id="7"/>
      </w:r>
      <w:r w:rsidR="000464A2" w:rsidRPr="008956CA">
        <w:rPr>
          <w:rFonts w:ascii="Times New Roman" w:hAnsi="Times New Roman" w:cs="Times New Roman"/>
          <w:sz w:val="24"/>
          <w:szCs w:val="24"/>
        </w:rPr>
        <w:t xml:space="preserve">    </w:t>
      </w:r>
    </w:p>
    <w:p w14:paraId="3B4D188A" w14:textId="6E0C616E" w:rsidR="00870D0A" w:rsidRPr="008956CA" w:rsidRDefault="00870D0A" w:rsidP="00870D0A">
      <w:pPr>
        <w:spacing w:before="100" w:beforeAutospacing="1" w:after="100" w:afterAutospacing="1" w:line="240" w:lineRule="auto"/>
        <w:rPr>
          <w:rFonts w:ascii="Times New Roman" w:hAnsi="Times New Roman" w:cs="Times New Roman"/>
          <w:sz w:val="24"/>
          <w:szCs w:val="24"/>
          <w:u w:val="single"/>
        </w:rPr>
      </w:pPr>
      <w:r w:rsidRPr="008956CA">
        <w:rPr>
          <w:rFonts w:ascii="Times New Roman" w:hAnsi="Times New Roman" w:cs="Times New Roman"/>
          <w:sz w:val="24"/>
          <w:szCs w:val="24"/>
          <w:u w:val="single"/>
        </w:rPr>
        <w:t>Relevance of Regional Jurisprudence and Guidance</w:t>
      </w:r>
      <w:r w:rsidR="00565F5C" w:rsidRPr="008956CA">
        <w:rPr>
          <w:rFonts w:ascii="Times New Roman" w:hAnsi="Times New Roman" w:cs="Times New Roman"/>
          <w:sz w:val="24"/>
          <w:szCs w:val="24"/>
          <w:u w:val="single"/>
        </w:rPr>
        <w:t xml:space="preserve"> and Other Nonbinding Documents</w:t>
      </w:r>
    </w:p>
    <w:p w14:paraId="02BE1FB7" w14:textId="1DF2A8E1" w:rsidR="007F2E7E" w:rsidRPr="008956CA" w:rsidRDefault="00404912"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bCs/>
          <w:sz w:val="24"/>
          <w:szCs w:val="24"/>
        </w:rPr>
        <w:t>6</w:t>
      </w:r>
      <w:r w:rsidR="00F65D41" w:rsidRPr="008956CA">
        <w:rPr>
          <w:rFonts w:ascii="Times New Roman" w:hAnsi="Times New Roman" w:cs="Times New Roman"/>
          <w:bCs/>
          <w:sz w:val="24"/>
          <w:szCs w:val="24"/>
        </w:rPr>
        <w:t xml:space="preserve">. </w:t>
      </w:r>
      <w:r w:rsidR="002226A4" w:rsidRPr="008956CA">
        <w:rPr>
          <w:rFonts w:ascii="Times New Roman" w:hAnsi="Times New Roman" w:cs="Times New Roman"/>
          <w:bCs/>
          <w:sz w:val="24"/>
          <w:szCs w:val="24"/>
        </w:rPr>
        <w:t xml:space="preserve"> </w:t>
      </w:r>
      <w:bookmarkStart w:id="1" w:name="_Hlk32490005"/>
      <w:r w:rsidR="00F65D41" w:rsidRPr="008956CA">
        <w:rPr>
          <w:rFonts w:ascii="Times New Roman" w:hAnsi="Times New Roman" w:cs="Times New Roman"/>
          <w:bCs/>
          <w:sz w:val="24"/>
          <w:szCs w:val="24"/>
        </w:rPr>
        <w:t xml:space="preserve">Throughout the Draft Comment, the Committee </w:t>
      </w:r>
      <w:r w:rsidR="00D671AC" w:rsidRPr="008956CA">
        <w:rPr>
          <w:rFonts w:ascii="Times New Roman" w:hAnsi="Times New Roman" w:cs="Times New Roman"/>
          <w:bCs/>
          <w:sz w:val="24"/>
          <w:szCs w:val="24"/>
        </w:rPr>
        <w:t>relies on</w:t>
      </w:r>
      <w:r w:rsidR="00F65D41" w:rsidRPr="008956CA">
        <w:rPr>
          <w:rFonts w:ascii="Times New Roman" w:hAnsi="Times New Roman" w:cs="Times New Roman"/>
          <w:bCs/>
          <w:sz w:val="24"/>
          <w:szCs w:val="24"/>
        </w:rPr>
        <w:t xml:space="preserve"> </w:t>
      </w:r>
      <w:r w:rsidR="00D671AC" w:rsidRPr="008956CA">
        <w:rPr>
          <w:rFonts w:ascii="Times New Roman" w:hAnsi="Times New Roman" w:cs="Times New Roman"/>
          <w:bCs/>
          <w:sz w:val="24"/>
          <w:szCs w:val="24"/>
        </w:rPr>
        <w:t>regional jurisprudence and guidance</w:t>
      </w:r>
      <w:r w:rsidR="007F2E7E" w:rsidRPr="008956CA">
        <w:rPr>
          <w:rStyle w:val="FootnoteReference"/>
          <w:rFonts w:ascii="Times New Roman" w:hAnsi="Times New Roman" w:cs="Times New Roman"/>
          <w:bCs/>
          <w:sz w:val="24"/>
          <w:szCs w:val="24"/>
        </w:rPr>
        <w:footnoteReference w:id="8"/>
      </w:r>
      <w:r w:rsidR="00565F5C" w:rsidRPr="008956CA">
        <w:rPr>
          <w:rFonts w:ascii="Times New Roman" w:hAnsi="Times New Roman" w:cs="Times New Roman"/>
          <w:bCs/>
          <w:sz w:val="24"/>
          <w:szCs w:val="24"/>
        </w:rPr>
        <w:t xml:space="preserve"> </w:t>
      </w:r>
      <w:r w:rsidR="00D671AC" w:rsidRPr="008956CA">
        <w:rPr>
          <w:rFonts w:ascii="Times New Roman" w:hAnsi="Times New Roman" w:cs="Times New Roman"/>
          <w:bCs/>
          <w:sz w:val="24"/>
          <w:szCs w:val="24"/>
        </w:rPr>
        <w:t xml:space="preserve">as the </w:t>
      </w:r>
      <w:r w:rsidR="005C084B" w:rsidRPr="008956CA">
        <w:rPr>
          <w:rFonts w:ascii="Times New Roman" w:hAnsi="Times New Roman" w:cs="Times New Roman"/>
          <w:bCs/>
          <w:sz w:val="24"/>
          <w:szCs w:val="24"/>
        </w:rPr>
        <w:t>basis for</w:t>
      </w:r>
      <w:r w:rsidR="00D671AC" w:rsidRPr="008956CA">
        <w:rPr>
          <w:rFonts w:ascii="Times New Roman" w:hAnsi="Times New Roman" w:cs="Times New Roman"/>
          <w:bCs/>
          <w:sz w:val="24"/>
          <w:szCs w:val="24"/>
        </w:rPr>
        <w:t xml:space="preserve"> its positions and views</w:t>
      </w:r>
      <w:r w:rsidR="002226A4" w:rsidRPr="008956CA">
        <w:rPr>
          <w:rFonts w:ascii="Times New Roman" w:hAnsi="Times New Roman" w:cs="Times New Roman"/>
          <w:bCs/>
          <w:sz w:val="24"/>
          <w:szCs w:val="24"/>
        </w:rPr>
        <w:t>, a significant departure from the Committee’s past practice</w:t>
      </w:r>
      <w:r w:rsidR="00D671AC" w:rsidRPr="008956CA">
        <w:rPr>
          <w:rFonts w:ascii="Times New Roman" w:hAnsi="Times New Roman" w:cs="Times New Roman"/>
          <w:bCs/>
          <w:sz w:val="24"/>
          <w:szCs w:val="24"/>
        </w:rPr>
        <w:t xml:space="preserve">.  </w:t>
      </w:r>
      <w:bookmarkEnd w:id="1"/>
      <w:r w:rsidR="00D671AC" w:rsidRPr="008956CA">
        <w:rPr>
          <w:rFonts w:ascii="Times New Roman" w:hAnsi="Times New Roman" w:cs="Times New Roman"/>
          <w:bCs/>
          <w:sz w:val="24"/>
          <w:szCs w:val="24"/>
        </w:rPr>
        <w:t>In some cases, this is true even when a more obvious citation to the ICCPR itself</w:t>
      </w:r>
      <w:r w:rsidR="00954469" w:rsidRPr="008956CA">
        <w:rPr>
          <w:rFonts w:ascii="Times New Roman" w:hAnsi="Times New Roman" w:cs="Times New Roman"/>
          <w:bCs/>
          <w:sz w:val="24"/>
          <w:szCs w:val="24"/>
        </w:rPr>
        <w:t xml:space="preserve"> is available</w:t>
      </w:r>
      <w:r w:rsidR="00D671AC" w:rsidRPr="008956CA">
        <w:rPr>
          <w:rFonts w:ascii="Times New Roman" w:hAnsi="Times New Roman" w:cs="Times New Roman"/>
          <w:bCs/>
          <w:sz w:val="24"/>
          <w:szCs w:val="24"/>
        </w:rPr>
        <w:t xml:space="preserve">.  For example, in paragraph 8, footnote 11, the Comment cites to a </w:t>
      </w:r>
      <w:r w:rsidR="00F65D41" w:rsidRPr="008956CA">
        <w:rPr>
          <w:rFonts w:ascii="Times New Roman" w:hAnsi="Times New Roman" w:cs="Times New Roman"/>
          <w:bCs/>
          <w:sz w:val="24"/>
          <w:szCs w:val="24"/>
        </w:rPr>
        <w:t xml:space="preserve">European Court of Human Rights (ECtHR) </w:t>
      </w:r>
      <w:r w:rsidR="00D671AC" w:rsidRPr="008956CA">
        <w:rPr>
          <w:rFonts w:ascii="Times New Roman" w:hAnsi="Times New Roman" w:cs="Times New Roman"/>
          <w:bCs/>
          <w:sz w:val="24"/>
          <w:szCs w:val="24"/>
        </w:rPr>
        <w:t xml:space="preserve">judgment for the proposition that </w:t>
      </w:r>
      <w:r w:rsidR="0018736B" w:rsidRPr="008956CA">
        <w:rPr>
          <w:rFonts w:ascii="Times New Roman" w:hAnsi="Times New Roman" w:cs="Times New Roman"/>
          <w:bCs/>
          <w:sz w:val="24"/>
          <w:szCs w:val="24"/>
        </w:rPr>
        <w:t>States Parties</w:t>
      </w:r>
      <w:r w:rsidR="00D671AC" w:rsidRPr="008956CA">
        <w:rPr>
          <w:rFonts w:ascii="Times New Roman" w:hAnsi="Times New Roman" w:cs="Times New Roman"/>
          <w:bCs/>
          <w:sz w:val="24"/>
          <w:szCs w:val="24"/>
        </w:rPr>
        <w:t xml:space="preserve"> have an obligation “to </w:t>
      </w:r>
      <w:r w:rsidR="00D671AC" w:rsidRPr="008956CA">
        <w:rPr>
          <w:rFonts w:ascii="Times New Roman" w:hAnsi="Times New Roman" w:cs="Times New Roman"/>
          <w:bCs/>
          <w:sz w:val="24"/>
          <w:szCs w:val="24"/>
        </w:rPr>
        <w:lastRenderedPageBreak/>
        <w:t xml:space="preserve">respect and ensure the exercise of this right.”  But Article 2(1) of the ICCPR states that </w:t>
      </w:r>
      <w:r w:rsidR="0018736B" w:rsidRPr="008956CA">
        <w:rPr>
          <w:rFonts w:ascii="Times New Roman" w:hAnsi="Times New Roman" w:cs="Times New Roman"/>
          <w:bCs/>
          <w:sz w:val="24"/>
          <w:szCs w:val="24"/>
        </w:rPr>
        <w:t>States Parties</w:t>
      </w:r>
      <w:r w:rsidR="00D671AC" w:rsidRPr="008956CA">
        <w:rPr>
          <w:rFonts w:ascii="Times New Roman" w:hAnsi="Times New Roman" w:cs="Times New Roman"/>
          <w:bCs/>
          <w:sz w:val="24"/>
          <w:szCs w:val="24"/>
        </w:rPr>
        <w:t xml:space="preserve"> to the ICCPR “</w:t>
      </w:r>
      <w:proofErr w:type="gramStart"/>
      <w:r w:rsidR="00D671AC" w:rsidRPr="008956CA">
        <w:rPr>
          <w:rFonts w:ascii="Times New Roman" w:hAnsi="Times New Roman" w:cs="Times New Roman"/>
          <w:bCs/>
          <w:sz w:val="24"/>
          <w:szCs w:val="24"/>
        </w:rPr>
        <w:t>undertake[</w:t>
      </w:r>
      <w:proofErr w:type="gramEnd"/>
      <w:r w:rsidR="00D671AC" w:rsidRPr="008956CA">
        <w:rPr>
          <w:rFonts w:ascii="Times New Roman" w:hAnsi="Times New Roman" w:cs="Times New Roman"/>
          <w:bCs/>
          <w:sz w:val="24"/>
          <w:szCs w:val="24"/>
        </w:rPr>
        <w:t>] to respect and to ensure . . . the rights recognized in the present Covenant.”  The United States reminds the Committee that the ECtHR is</w:t>
      </w:r>
      <w:r w:rsidR="00BD249A" w:rsidRPr="008956CA">
        <w:rPr>
          <w:rFonts w:ascii="Times New Roman" w:hAnsi="Times New Roman" w:cs="Times New Roman"/>
          <w:bCs/>
          <w:sz w:val="24"/>
          <w:szCs w:val="24"/>
        </w:rPr>
        <w:t xml:space="preserve"> interpreting Article 11 of the European Convention on Human Rights (ECHR)</w:t>
      </w:r>
      <w:r w:rsidR="00D671AC" w:rsidRPr="008956CA">
        <w:rPr>
          <w:rFonts w:ascii="Times New Roman" w:hAnsi="Times New Roman" w:cs="Times New Roman"/>
          <w:bCs/>
          <w:sz w:val="24"/>
          <w:szCs w:val="24"/>
        </w:rPr>
        <w:t>, rather than</w:t>
      </w:r>
      <w:r w:rsidR="00F65D41" w:rsidRPr="008956CA">
        <w:rPr>
          <w:rFonts w:ascii="Times New Roman" w:hAnsi="Times New Roman" w:cs="Times New Roman"/>
          <w:bCs/>
          <w:sz w:val="24"/>
          <w:szCs w:val="24"/>
        </w:rPr>
        <w:t xml:space="preserve"> Article 21 of the </w:t>
      </w:r>
      <w:r w:rsidR="00804D9F" w:rsidRPr="008956CA">
        <w:rPr>
          <w:rFonts w:ascii="Times New Roman" w:hAnsi="Times New Roman" w:cs="Times New Roman"/>
          <w:bCs/>
          <w:sz w:val="24"/>
          <w:szCs w:val="24"/>
        </w:rPr>
        <w:t>ICCPR</w:t>
      </w:r>
      <w:r w:rsidR="00BD249A" w:rsidRPr="008956CA">
        <w:rPr>
          <w:rFonts w:ascii="Times New Roman" w:hAnsi="Times New Roman" w:cs="Times New Roman"/>
          <w:bCs/>
          <w:sz w:val="24"/>
          <w:szCs w:val="24"/>
        </w:rPr>
        <w:t xml:space="preserve">.  </w:t>
      </w:r>
      <w:r w:rsidR="00804D9F" w:rsidRPr="008956CA">
        <w:rPr>
          <w:rFonts w:ascii="Times New Roman" w:hAnsi="Times New Roman" w:cs="Times New Roman"/>
          <w:bCs/>
          <w:sz w:val="24"/>
          <w:szCs w:val="24"/>
        </w:rPr>
        <w:t>Article 11, while similar to Article 21</w:t>
      </w:r>
      <w:r w:rsidR="008B3DEB" w:rsidRPr="008956CA">
        <w:rPr>
          <w:rFonts w:ascii="Times New Roman" w:hAnsi="Times New Roman" w:cs="Times New Roman"/>
          <w:bCs/>
          <w:sz w:val="24"/>
          <w:szCs w:val="24"/>
        </w:rPr>
        <w:t xml:space="preserve"> in some regards</w:t>
      </w:r>
      <w:r w:rsidR="00804D9F" w:rsidRPr="008956CA">
        <w:rPr>
          <w:rFonts w:ascii="Times New Roman" w:hAnsi="Times New Roman" w:cs="Times New Roman"/>
          <w:bCs/>
          <w:sz w:val="24"/>
          <w:szCs w:val="24"/>
        </w:rPr>
        <w:t xml:space="preserve">, contains different language </w:t>
      </w:r>
      <w:r w:rsidR="008B3DEB" w:rsidRPr="008956CA">
        <w:rPr>
          <w:rFonts w:ascii="Times New Roman" w:hAnsi="Times New Roman" w:cs="Times New Roman"/>
          <w:bCs/>
          <w:sz w:val="24"/>
          <w:szCs w:val="24"/>
        </w:rPr>
        <w:t xml:space="preserve">than the Covenant </w:t>
      </w:r>
      <w:r w:rsidR="00804D9F" w:rsidRPr="008956CA">
        <w:rPr>
          <w:rFonts w:ascii="Times New Roman" w:hAnsi="Times New Roman" w:cs="Times New Roman"/>
          <w:bCs/>
          <w:sz w:val="24"/>
          <w:szCs w:val="24"/>
        </w:rPr>
        <w:t xml:space="preserve">and is interpreted by a Court </w:t>
      </w:r>
      <w:r w:rsidR="00360345" w:rsidRPr="008956CA">
        <w:rPr>
          <w:rFonts w:ascii="Times New Roman" w:hAnsi="Times New Roman" w:cs="Times New Roman"/>
          <w:bCs/>
          <w:sz w:val="24"/>
          <w:szCs w:val="24"/>
        </w:rPr>
        <w:t xml:space="preserve">that was established under the ECHR to ensure the observance of the obligations by its </w:t>
      </w:r>
      <w:r w:rsidR="0018736B" w:rsidRPr="008956CA">
        <w:rPr>
          <w:rFonts w:ascii="Times New Roman" w:hAnsi="Times New Roman" w:cs="Times New Roman"/>
          <w:bCs/>
          <w:sz w:val="24"/>
          <w:szCs w:val="24"/>
        </w:rPr>
        <w:t>States Parties</w:t>
      </w:r>
      <w:r w:rsidR="00360345" w:rsidRPr="008956CA">
        <w:rPr>
          <w:rFonts w:ascii="Times New Roman" w:hAnsi="Times New Roman" w:cs="Times New Roman"/>
          <w:bCs/>
          <w:sz w:val="24"/>
          <w:szCs w:val="24"/>
        </w:rPr>
        <w:t xml:space="preserve"> </w:t>
      </w:r>
      <w:r w:rsidR="00E91C67" w:rsidRPr="008956CA">
        <w:rPr>
          <w:rFonts w:ascii="Times New Roman" w:hAnsi="Times New Roman" w:cs="Times New Roman"/>
          <w:bCs/>
          <w:sz w:val="24"/>
          <w:szCs w:val="24"/>
        </w:rPr>
        <w:t xml:space="preserve">and </w:t>
      </w:r>
      <w:r w:rsidR="009005A2" w:rsidRPr="008956CA">
        <w:rPr>
          <w:rFonts w:ascii="Times New Roman" w:hAnsi="Times New Roman" w:cs="Times New Roman"/>
          <w:bCs/>
          <w:sz w:val="24"/>
          <w:szCs w:val="24"/>
        </w:rPr>
        <w:t xml:space="preserve">that binds </w:t>
      </w:r>
      <w:r w:rsidR="00D07794">
        <w:rPr>
          <w:rFonts w:ascii="Times New Roman" w:hAnsi="Times New Roman" w:cs="Times New Roman"/>
          <w:bCs/>
          <w:sz w:val="24"/>
          <w:szCs w:val="24"/>
        </w:rPr>
        <w:t>S</w:t>
      </w:r>
      <w:r w:rsidR="009005A2" w:rsidRPr="008956CA">
        <w:rPr>
          <w:rFonts w:ascii="Times New Roman" w:hAnsi="Times New Roman" w:cs="Times New Roman"/>
          <w:bCs/>
          <w:sz w:val="24"/>
          <w:szCs w:val="24"/>
        </w:rPr>
        <w:t xml:space="preserve">tates </w:t>
      </w:r>
      <w:r w:rsidR="00D07794">
        <w:rPr>
          <w:rFonts w:ascii="Times New Roman" w:hAnsi="Times New Roman" w:cs="Times New Roman"/>
          <w:bCs/>
          <w:sz w:val="24"/>
          <w:szCs w:val="24"/>
        </w:rPr>
        <w:t>P</w:t>
      </w:r>
      <w:r w:rsidR="009005A2" w:rsidRPr="008956CA">
        <w:rPr>
          <w:rFonts w:ascii="Times New Roman" w:hAnsi="Times New Roman" w:cs="Times New Roman"/>
          <w:bCs/>
          <w:sz w:val="24"/>
          <w:szCs w:val="24"/>
        </w:rPr>
        <w:t>art</w:t>
      </w:r>
      <w:r w:rsidR="00D07794">
        <w:rPr>
          <w:rFonts w:ascii="Times New Roman" w:hAnsi="Times New Roman" w:cs="Times New Roman"/>
          <w:bCs/>
          <w:sz w:val="24"/>
          <w:szCs w:val="24"/>
        </w:rPr>
        <w:t>ies</w:t>
      </w:r>
      <w:r w:rsidR="009005A2" w:rsidRPr="008956CA">
        <w:rPr>
          <w:rFonts w:ascii="Times New Roman" w:hAnsi="Times New Roman" w:cs="Times New Roman"/>
          <w:bCs/>
          <w:sz w:val="24"/>
          <w:szCs w:val="24"/>
        </w:rPr>
        <w:t xml:space="preserve"> to abide by its final judgment in any case to which they are party</w:t>
      </w:r>
      <w:r w:rsidR="00804D9F" w:rsidRPr="008956CA">
        <w:rPr>
          <w:rFonts w:ascii="Times New Roman" w:hAnsi="Times New Roman" w:cs="Times New Roman"/>
          <w:bCs/>
          <w:sz w:val="24"/>
          <w:szCs w:val="24"/>
        </w:rPr>
        <w:t xml:space="preserve">.  </w:t>
      </w:r>
      <w:r w:rsidR="00E91C67" w:rsidRPr="008956CA">
        <w:rPr>
          <w:rFonts w:ascii="Times New Roman" w:hAnsi="Times New Roman" w:cs="Times New Roman"/>
          <w:bCs/>
          <w:sz w:val="24"/>
          <w:szCs w:val="24"/>
        </w:rPr>
        <w:t>Further, o</w:t>
      </w:r>
      <w:r w:rsidR="00BD249A" w:rsidRPr="008956CA">
        <w:rPr>
          <w:rFonts w:ascii="Times New Roman" w:hAnsi="Times New Roman" w:cs="Times New Roman"/>
          <w:bCs/>
          <w:sz w:val="24"/>
          <w:szCs w:val="24"/>
        </w:rPr>
        <w:t xml:space="preserve">nly a small subset of ICCPR </w:t>
      </w:r>
      <w:r w:rsidR="0018736B" w:rsidRPr="008956CA">
        <w:rPr>
          <w:rFonts w:ascii="Times New Roman" w:hAnsi="Times New Roman" w:cs="Times New Roman"/>
          <w:bCs/>
          <w:sz w:val="24"/>
          <w:szCs w:val="24"/>
        </w:rPr>
        <w:t>States Parties</w:t>
      </w:r>
      <w:r w:rsidR="00BD249A" w:rsidRPr="008956CA">
        <w:rPr>
          <w:rFonts w:ascii="Times New Roman" w:hAnsi="Times New Roman" w:cs="Times New Roman"/>
          <w:bCs/>
          <w:sz w:val="24"/>
          <w:szCs w:val="24"/>
        </w:rPr>
        <w:t xml:space="preserve"> are also party to the ECHR and </w:t>
      </w:r>
      <w:r w:rsidR="00DE0BDC" w:rsidRPr="008956CA">
        <w:rPr>
          <w:rFonts w:ascii="Times New Roman" w:hAnsi="Times New Roman" w:cs="Times New Roman"/>
          <w:bCs/>
          <w:sz w:val="24"/>
          <w:szCs w:val="24"/>
        </w:rPr>
        <w:t xml:space="preserve">are bound by final judgments of the </w:t>
      </w:r>
      <w:r w:rsidR="00BD249A" w:rsidRPr="008956CA">
        <w:rPr>
          <w:rFonts w:ascii="Times New Roman" w:hAnsi="Times New Roman" w:cs="Times New Roman"/>
          <w:bCs/>
          <w:sz w:val="24"/>
          <w:szCs w:val="24"/>
        </w:rPr>
        <w:t>ECtHR</w:t>
      </w:r>
      <w:r w:rsidR="00687F60" w:rsidRPr="008956CA">
        <w:rPr>
          <w:rFonts w:ascii="Times New Roman" w:hAnsi="Times New Roman" w:cs="Times New Roman"/>
          <w:bCs/>
          <w:sz w:val="24"/>
          <w:szCs w:val="24"/>
        </w:rPr>
        <w:t>.</w:t>
      </w:r>
      <w:r w:rsidR="00BD249A" w:rsidRPr="008956CA">
        <w:rPr>
          <w:rFonts w:ascii="Times New Roman" w:hAnsi="Times New Roman" w:cs="Times New Roman"/>
          <w:bCs/>
          <w:sz w:val="24"/>
          <w:szCs w:val="24"/>
        </w:rPr>
        <w:t xml:space="preserve"> </w:t>
      </w:r>
      <w:r w:rsidR="00687F60" w:rsidRPr="008956CA">
        <w:rPr>
          <w:rFonts w:ascii="Times New Roman" w:hAnsi="Times New Roman" w:cs="Times New Roman"/>
          <w:bCs/>
          <w:sz w:val="24"/>
          <w:szCs w:val="24"/>
        </w:rPr>
        <w:t xml:space="preserve"> </w:t>
      </w:r>
      <w:r w:rsidR="00804D9F" w:rsidRPr="008956CA">
        <w:rPr>
          <w:rFonts w:ascii="Times New Roman" w:hAnsi="Times New Roman" w:cs="Times New Roman"/>
          <w:bCs/>
          <w:sz w:val="24"/>
          <w:szCs w:val="24"/>
        </w:rPr>
        <w:t xml:space="preserve">The United States is not a party to the ECHR and the ECtHR does not have authority to interpret </w:t>
      </w:r>
      <w:r w:rsidR="00DE0BDC" w:rsidRPr="008956CA">
        <w:rPr>
          <w:rFonts w:ascii="Times New Roman" w:hAnsi="Times New Roman" w:cs="Times New Roman"/>
          <w:bCs/>
          <w:sz w:val="24"/>
          <w:szCs w:val="24"/>
        </w:rPr>
        <w:t>U.</w:t>
      </w:r>
      <w:r w:rsidR="00804D9F" w:rsidRPr="008956CA">
        <w:rPr>
          <w:rFonts w:ascii="Times New Roman" w:hAnsi="Times New Roman" w:cs="Times New Roman"/>
          <w:bCs/>
          <w:sz w:val="24"/>
          <w:szCs w:val="24"/>
        </w:rPr>
        <w:t>S</w:t>
      </w:r>
      <w:r w:rsidR="00DE0BDC" w:rsidRPr="008956CA">
        <w:rPr>
          <w:rFonts w:ascii="Times New Roman" w:hAnsi="Times New Roman" w:cs="Times New Roman"/>
          <w:bCs/>
          <w:sz w:val="24"/>
          <w:szCs w:val="24"/>
        </w:rPr>
        <w:t>.</w:t>
      </w:r>
      <w:r w:rsidR="00804D9F" w:rsidRPr="008956CA">
        <w:rPr>
          <w:rFonts w:ascii="Times New Roman" w:hAnsi="Times New Roman" w:cs="Times New Roman"/>
          <w:bCs/>
          <w:sz w:val="24"/>
          <w:szCs w:val="24"/>
        </w:rPr>
        <w:t xml:space="preserve"> treaty obligations. </w:t>
      </w:r>
      <w:r w:rsidR="00235A02" w:rsidRPr="008956CA">
        <w:rPr>
          <w:rFonts w:ascii="Times New Roman" w:hAnsi="Times New Roman" w:cs="Times New Roman"/>
          <w:bCs/>
          <w:sz w:val="24"/>
          <w:szCs w:val="24"/>
        </w:rPr>
        <w:t xml:space="preserve"> </w:t>
      </w:r>
      <w:r w:rsidR="009A54E7" w:rsidRPr="008956CA">
        <w:rPr>
          <w:rFonts w:ascii="Times New Roman" w:hAnsi="Times New Roman" w:cs="Times New Roman"/>
          <w:sz w:val="24"/>
          <w:szCs w:val="24"/>
        </w:rPr>
        <w:t xml:space="preserve">Thus, the United States encourages the Committee in its final text to refrain from categorical statements regarding State Party obligations unless grounded in and referring to the specific text of the Covenant or other </w:t>
      </w:r>
      <w:r w:rsidR="005B3F6D" w:rsidRPr="008956CA">
        <w:rPr>
          <w:rFonts w:ascii="Times New Roman" w:hAnsi="Times New Roman" w:cs="Times New Roman"/>
          <w:sz w:val="24"/>
          <w:szCs w:val="24"/>
        </w:rPr>
        <w:t xml:space="preserve">relevant </w:t>
      </w:r>
      <w:r w:rsidR="009A54E7" w:rsidRPr="008956CA">
        <w:rPr>
          <w:rFonts w:ascii="Times New Roman" w:hAnsi="Times New Roman" w:cs="Times New Roman"/>
          <w:sz w:val="24"/>
          <w:szCs w:val="24"/>
        </w:rPr>
        <w:t>sources of treaty interpretation</w:t>
      </w:r>
      <w:r w:rsidR="00083587" w:rsidRPr="008956CA">
        <w:rPr>
          <w:rFonts w:ascii="Times New Roman" w:hAnsi="Times New Roman" w:cs="Times New Roman"/>
          <w:sz w:val="24"/>
          <w:szCs w:val="24"/>
        </w:rPr>
        <w:t xml:space="preserve"> under international law</w:t>
      </w:r>
      <w:r w:rsidR="00290280" w:rsidRPr="008956CA">
        <w:rPr>
          <w:rFonts w:ascii="Times New Roman" w:hAnsi="Times New Roman" w:cs="Times New Roman"/>
          <w:sz w:val="24"/>
          <w:szCs w:val="24"/>
        </w:rPr>
        <w:t>.</w:t>
      </w:r>
      <w:r w:rsidR="00EE6362" w:rsidRPr="008956CA">
        <w:rPr>
          <w:rStyle w:val="FootnoteReference"/>
          <w:rFonts w:ascii="Times New Roman" w:hAnsi="Times New Roman" w:cs="Times New Roman"/>
          <w:sz w:val="24"/>
          <w:szCs w:val="24"/>
        </w:rPr>
        <w:footnoteReference w:id="9"/>
      </w:r>
      <w:r w:rsidR="00083587" w:rsidRPr="008956CA">
        <w:rPr>
          <w:rFonts w:ascii="Times New Roman" w:hAnsi="Times New Roman" w:cs="Times New Roman"/>
          <w:sz w:val="24"/>
          <w:szCs w:val="24"/>
        </w:rPr>
        <w:t xml:space="preserve">  </w:t>
      </w:r>
    </w:p>
    <w:p w14:paraId="01E83526" w14:textId="6D981D4E" w:rsidR="007F2E7E" w:rsidRPr="008956CA" w:rsidRDefault="00404912"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7</w:t>
      </w:r>
      <w:r w:rsidR="007F2E7E" w:rsidRPr="008956CA">
        <w:rPr>
          <w:rFonts w:ascii="Times New Roman" w:hAnsi="Times New Roman" w:cs="Times New Roman"/>
          <w:sz w:val="24"/>
          <w:szCs w:val="24"/>
        </w:rPr>
        <w:t>. The United States is also concerned about the Committee’s use of other non-authoritative materials</w:t>
      </w:r>
      <w:r w:rsidR="007F2E7E" w:rsidRPr="008956CA">
        <w:rPr>
          <w:rStyle w:val="FootnoteReference"/>
          <w:rFonts w:ascii="Times New Roman" w:hAnsi="Times New Roman" w:cs="Times New Roman"/>
          <w:sz w:val="24"/>
          <w:szCs w:val="24"/>
        </w:rPr>
        <w:footnoteReference w:id="10"/>
      </w:r>
      <w:r w:rsidR="007F2E7E" w:rsidRPr="008956CA">
        <w:rPr>
          <w:rFonts w:ascii="Times New Roman" w:hAnsi="Times New Roman" w:cs="Times New Roman"/>
          <w:sz w:val="24"/>
          <w:szCs w:val="24"/>
        </w:rPr>
        <w:t xml:space="preserve"> as the basis for</w:t>
      </w:r>
      <w:r w:rsidR="005B3F6D" w:rsidRPr="008956CA">
        <w:rPr>
          <w:rFonts w:ascii="Times New Roman" w:hAnsi="Times New Roman" w:cs="Times New Roman"/>
          <w:sz w:val="24"/>
          <w:szCs w:val="24"/>
        </w:rPr>
        <w:t xml:space="preserve"> statements about the meaning of Covenant provis</w:t>
      </w:r>
      <w:r w:rsidR="005F6528" w:rsidRPr="008956CA">
        <w:rPr>
          <w:rFonts w:ascii="Times New Roman" w:hAnsi="Times New Roman" w:cs="Times New Roman"/>
          <w:sz w:val="24"/>
          <w:szCs w:val="24"/>
        </w:rPr>
        <w:t>i</w:t>
      </w:r>
      <w:r w:rsidR="005B3F6D" w:rsidRPr="008956CA">
        <w:rPr>
          <w:rFonts w:ascii="Times New Roman" w:hAnsi="Times New Roman" w:cs="Times New Roman"/>
          <w:sz w:val="24"/>
          <w:szCs w:val="24"/>
        </w:rPr>
        <w:t>ons</w:t>
      </w:r>
      <w:r w:rsidR="007F2E7E" w:rsidRPr="008956CA">
        <w:rPr>
          <w:rFonts w:ascii="Times New Roman" w:hAnsi="Times New Roman" w:cs="Times New Roman"/>
          <w:sz w:val="24"/>
          <w:szCs w:val="24"/>
        </w:rPr>
        <w:t xml:space="preserve">.  In </w:t>
      </w:r>
      <w:proofErr w:type="gramStart"/>
      <w:r w:rsidR="007F2E7E" w:rsidRPr="008956CA">
        <w:rPr>
          <w:rFonts w:ascii="Times New Roman" w:hAnsi="Times New Roman" w:cs="Times New Roman"/>
          <w:sz w:val="24"/>
          <w:szCs w:val="24"/>
        </w:rPr>
        <w:t>a number of</w:t>
      </w:r>
      <w:proofErr w:type="gramEnd"/>
      <w:r w:rsidR="007F2E7E" w:rsidRPr="008956CA">
        <w:rPr>
          <w:rFonts w:ascii="Times New Roman" w:hAnsi="Times New Roman" w:cs="Times New Roman"/>
          <w:sz w:val="24"/>
          <w:szCs w:val="24"/>
        </w:rPr>
        <w:t xml:space="preserve"> places, the Committee makes statements about the meaning of terminology in the ICCPR for which the only authority cited is a nonbinding, nonauthoritative document.  The meaning of the ICCPR’s provisions should be discerned through application of standard principles of treaty interpretation reflected in VCLT Articles 31 and 32, not by reference to the views of outside bodies.</w:t>
      </w:r>
    </w:p>
    <w:p w14:paraId="2378F462" w14:textId="2738B879" w:rsidR="00565F5C" w:rsidRPr="008956CA" w:rsidRDefault="00404912"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8</w:t>
      </w:r>
      <w:r w:rsidR="007F2E7E" w:rsidRPr="008956CA">
        <w:rPr>
          <w:rFonts w:ascii="Times New Roman" w:hAnsi="Times New Roman" w:cs="Times New Roman"/>
          <w:sz w:val="24"/>
          <w:szCs w:val="24"/>
        </w:rPr>
        <w:t xml:space="preserve">. </w:t>
      </w:r>
      <w:r w:rsidR="00083587" w:rsidRPr="008956CA">
        <w:rPr>
          <w:rFonts w:ascii="Times New Roman" w:hAnsi="Times New Roman" w:cs="Times New Roman"/>
          <w:sz w:val="24"/>
          <w:szCs w:val="24"/>
        </w:rPr>
        <w:t>Regional jurisprudence and guidance</w:t>
      </w:r>
      <w:r w:rsidR="007F2E7E" w:rsidRPr="008956CA">
        <w:rPr>
          <w:rFonts w:ascii="Times New Roman" w:hAnsi="Times New Roman" w:cs="Times New Roman"/>
          <w:sz w:val="24"/>
          <w:szCs w:val="24"/>
        </w:rPr>
        <w:t>, as well as other nonbinding documents</w:t>
      </w:r>
      <w:r w:rsidR="00067188" w:rsidRPr="008956CA">
        <w:rPr>
          <w:rFonts w:ascii="Times New Roman" w:hAnsi="Times New Roman" w:cs="Times New Roman"/>
          <w:sz w:val="24"/>
          <w:szCs w:val="24"/>
        </w:rPr>
        <w:t xml:space="preserve">, </w:t>
      </w:r>
      <w:r w:rsidR="00083587" w:rsidRPr="008956CA">
        <w:rPr>
          <w:rFonts w:ascii="Times New Roman" w:hAnsi="Times New Roman" w:cs="Times New Roman"/>
          <w:sz w:val="24"/>
          <w:szCs w:val="24"/>
        </w:rPr>
        <w:t xml:space="preserve">may </w:t>
      </w:r>
      <w:r w:rsidR="00A94688" w:rsidRPr="008956CA">
        <w:rPr>
          <w:rFonts w:ascii="Times New Roman" w:hAnsi="Times New Roman" w:cs="Times New Roman"/>
          <w:sz w:val="24"/>
          <w:szCs w:val="24"/>
        </w:rPr>
        <w:t xml:space="preserve">be useful in </w:t>
      </w:r>
      <w:r w:rsidR="005B3F6D" w:rsidRPr="008956CA">
        <w:rPr>
          <w:rFonts w:ascii="Times New Roman" w:hAnsi="Times New Roman" w:cs="Times New Roman"/>
          <w:sz w:val="24"/>
          <w:szCs w:val="24"/>
        </w:rPr>
        <w:t xml:space="preserve">identifying </w:t>
      </w:r>
      <w:r w:rsidR="00067188" w:rsidRPr="008956CA">
        <w:rPr>
          <w:rFonts w:ascii="Times New Roman" w:hAnsi="Times New Roman" w:cs="Times New Roman"/>
          <w:sz w:val="24"/>
          <w:szCs w:val="24"/>
        </w:rPr>
        <w:t>good practices</w:t>
      </w:r>
      <w:r w:rsidR="005F6528" w:rsidRPr="008956CA">
        <w:rPr>
          <w:rFonts w:ascii="Times New Roman" w:hAnsi="Times New Roman" w:cs="Times New Roman"/>
          <w:sz w:val="24"/>
          <w:szCs w:val="24"/>
        </w:rPr>
        <w:t xml:space="preserve"> that might help advance some objective of the Covenant.  B</w:t>
      </w:r>
      <w:r w:rsidR="00067188" w:rsidRPr="008956CA">
        <w:rPr>
          <w:rFonts w:ascii="Times New Roman" w:hAnsi="Times New Roman" w:cs="Times New Roman"/>
          <w:sz w:val="24"/>
          <w:szCs w:val="24"/>
        </w:rPr>
        <w:t xml:space="preserve">ut in </w:t>
      </w:r>
      <w:r w:rsidR="005B3F6D" w:rsidRPr="008956CA">
        <w:rPr>
          <w:rFonts w:ascii="Times New Roman" w:hAnsi="Times New Roman" w:cs="Times New Roman"/>
          <w:sz w:val="24"/>
          <w:szCs w:val="24"/>
        </w:rPr>
        <w:t>referring to such documents</w:t>
      </w:r>
      <w:r w:rsidR="00067188" w:rsidRPr="008956CA">
        <w:rPr>
          <w:rFonts w:ascii="Times New Roman" w:hAnsi="Times New Roman" w:cs="Times New Roman"/>
          <w:sz w:val="24"/>
          <w:szCs w:val="24"/>
        </w:rPr>
        <w:t xml:space="preserve"> the Committee should clarify that </w:t>
      </w:r>
      <w:r w:rsidR="005B3F6D" w:rsidRPr="008956CA">
        <w:rPr>
          <w:rFonts w:ascii="Times New Roman" w:hAnsi="Times New Roman" w:cs="Times New Roman"/>
          <w:sz w:val="24"/>
          <w:szCs w:val="24"/>
        </w:rPr>
        <w:t>they</w:t>
      </w:r>
      <w:r w:rsidR="00067188" w:rsidRPr="008956CA">
        <w:rPr>
          <w:rFonts w:ascii="Times New Roman" w:hAnsi="Times New Roman" w:cs="Times New Roman"/>
          <w:sz w:val="24"/>
          <w:szCs w:val="24"/>
        </w:rPr>
        <w:t xml:space="preserve"> are not </w:t>
      </w:r>
      <w:r w:rsidR="005F6528" w:rsidRPr="008956CA">
        <w:rPr>
          <w:rFonts w:ascii="Times New Roman" w:hAnsi="Times New Roman" w:cs="Times New Roman"/>
          <w:sz w:val="24"/>
          <w:szCs w:val="24"/>
        </w:rPr>
        <w:t xml:space="preserve">sources relevant to interpreting the Covenant’s meaning, </w:t>
      </w:r>
      <w:r w:rsidR="008B3DEB" w:rsidRPr="008956CA">
        <w:rPr>
          <w:rFonts w:ascii="Times New Roman" w:hAnsi="Times New Roman" w:cs="Times New Roman"/>
          <w:sz w:val="24"/>
          <w:szCs w:val="24"/>
        </w:rPr>
        <w:t xml:space="preserve">but </w:t>
      </w:r>
      <w:r w:rsidR="005F6528" w:rsidRPr="008956CA">
        <w:rPr>
          <w:rFonts w:ascii="Times New Roman" w:hAnsi="Times New Roman" w:cs="Times New Roman"/>
          <w:sz w:val="24"/>
          <w:szCs w:val="24"/>
        </w:rPr>
        <w:t xml:space="preserve">rather </w:t>
      </w:r>
      <w:r w:rsidR="008B3DEB" w:rsidRPr="008956CA">
        <w:rPr>
          <w:rFonts w:ascii="Times New Roman" w:hAnsi="Times New Roman" w:cs="Times New Roman"/>
          <w:sz w:val="24"/>
          <w:szCs w:val="24"/>
        </w:rPr>
        <w:t xml:space="preserve">have informed the Committee’s </w:t>
      </w:r>
      <w:r w:rsidR="005F6528" w:rsidRPr="008956CA">
        <w:rPr>
          <w:rFonts w:ascii="Times New Roman" w:hAnsi="Times New Roman" w:cs="Times New Roman"/>
          <w:sz w:val="24"/>
          <w:szCs w:val="24"/>
        </w:rPr>
        <w:t>recommendations regarding steps States may wish to consider taking in connection with their implementation of the Covenant</w:t>
      </w:r>
      <w:r w:rsidR="00067188" w:rsidRPr="008956CA">
        <w:rPr>
          <w:rFonts w:ascii="Times New Roman" w:hAnsi="Times New Roman" w:cs="Times New Roman"/>
          <w:sz w:val="24"/>
          <w:szCs w:val="24"/>
        </w:rPr>
        <w:t>.</w:t>
      </w:r>
    </w:p>
    <w:p w14:paraId="0343A475" w14:textId="7CE4D1C5" w:rsidR="00FB4522" w:rsidRPr="008956CA" w:rsidRDefault="00404912" w:rsidP="00870D0A">
      <w:pPr>
        <w:spacing w:before="100" w:beforeAutospacing="1" w:after="100" w:afterAutospacing="1" w:line="240" w:lineRule="auto"/>
        <w:rPr>
          <w:rFonts w:ascii="Times New Roman" w:hAnsi="Times New Roman" w:cs="Times New Roman"/>
          <w:b/>
          <w:sz w:val="24"/>
          <w:szCs w:val="24"/>
        </w:rPr>
      </w:pPr>
      <w:r w:rsidRPr="008956CA">
        <w:rPr>
          <w:rFonts w:ascii="Times New Roman" w:hAnsi="Times New Roman" w:cs="Times New Roman"/>
          <w:b/>
          <w:sz w:val="24"/>
          <w:szCs w:val="24"/>
        </w:rPr>
        <w:t>B</w:t>
      </w:r>
      <w:r w:rsidR="00FB4522" w:rsidRPr="008956CA">
        <w:rPr>
          <w:rFonts w:ascii="Times New Roman" w:hAnsi="Times New Roman" w:cs="Times New Roman"/>
          <w:b/>
          <w:sz w:val="24"/>
          <w:szCs w:val="24"/>
        </w:rPr>
        <w:t xml:space="preserve">.  </w:t>
      </w:r>
      <w:r w:rsidR="003E4965" w:rsidRPr="008956CA">
        <w:rPr>
          <w:rFonts w:ascii="Times New Roman" w:hAnsi="Times New Roman" w:cs="Times New Roman"/>
          <w:b/>
          <w:sz w:val="24"/>
          <w:szCs w:val="24"/>
        </w:rPr>
        <w:t xml:space="preserve">Scope of </w:t>
      </w:r>
      <w:r w:rsidR="00FB4522" w:rsidRPr="008956CA">
        <w:rPr>
          <w:rFonts w:ascii="Times New Roman" w:hAnsi="Times New Roman" w:cs="Times New Roman"/>
          <w:b/>
          <w:sz w:val="24"/>
          <w:szCs w:val="24"/>
        </w:rPr>
        <w:t>Peaceful Assembly</w:t>
      </w:r>
      <w:r w:rsidR="006C091E" w:rsidRPr="008956CA">
        <w:rPr>
          <w:rFonts w:ascii="Times New Roman" w:hAnsi="Times New Roman" w:cs="Times New Roman"/>
          <w:b/>
          <w:sz w:val="24"/>
          <w:szCs w:val="24"/>
        </w:rPr>
        <w:t xml:space="preserve"> Protection</w:t>
      </w:r>
    </w:p>
    <w:p w14:paraId="0675E371" w14:textId="6233F550" w:rsidR="00650BFF" w:rsidRPr="008956CA" w:rsidRDefault="00404912" w:rsidP="00650BFF">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9</w:t>
      </w:r>
      <w:r w:rsidR="00FB4522" w:rsidRPr="008956CA">
        <w:rPr>
          <w:rFonts w:ascii="Times New Roman" w:hAnsi="Times New Roman" w:cs="Times New Roman"/>
          <w:sz w:val="24"/>
          <w:szCs w:val="24"/>
        </w:rPr>
        <w:t xml:space="preserve">.  </w:t>
      </w:r>
      <w:r w:rsidR="00E87EBB" w:rsidRPr="008956CA">
        <w:rPr>
          <w:rFonts w:ascii="Times New Roman" w:hAnsi="Times New Roman" w:cs="Times New Roman"/>
          <w:sz w:val="24"/>
          <w:szCs w:val="24"/>
        </w:rPr>
        <w:t xml:space="preserve">The first sentence of </w:t>
      </w:r>
      <w:r w:rsidR="00C52A44" w:rsidRPr="008956CA">
        <w:rPr>
          <w:rFonts w:ascii="Times New Roman" w:hAnsi="Times New Roman" w:cs="Times New Roman"/>
          <w:sz w:val="24"/>
          <w:szCs w:val="24"/>
        </w:rPr>
        <w:t>A</w:t>
      </w:r>
      <w:r w:rsidR="00E87EBB" w:rsidRPr="008956CA">
        <w:rPr>
          <w:rFonts w:ascii="Times New Roman" w:hAnsi="Times New Roman" w:cs="Times New Roman"/>
          <w:sz w:val="24"/>
          <w:szCs w:val="24"/>
        </w:rPr>
        <w:t>rticle 21 states that “[t]he right to peaceful assembly shall be recognized.”</w:t>
      </w:r>
      <w:r w:rsidR="00CF4DDD" w:rsidRPr="008956CA">
        <w:rPr>
          <w:rFonts w:ascii="Times New Roman" w:hAnsi="Times New Roman" w:cs="Times New Roman"/>
          <w:sz w:val="24"/>
          <w:szCs w:val="24"/>
        </w:rPr>
        <w:t xml:space="preserve"> </w:t>
      </w:r>
      <w:r w:rsidR="00E87EBB" w:rsidRPr="008956CA">
        <w:rPr>
          <w:rFonts w:ascii="Times New Roman" w:hAnsi="Times New Roman" w:cs="Times New Roman"/>
          <w:sz w:val="24"/>
          <w:szCs w:val="24"/>
        </w:rPr>
        <w:t xml:space="preserve"> </w:t>
      </w:r>
      <w:r w:rsidR="0031361F" w:rsidRPr="008956CA">
        <w:rPr>
          <w:rFonts w:ascii="Times New Roman" w:hAnsi="Times New Roman" w:cs="Times New Roman"/>
          <w:sz w:val="24"/>
          <w:szCs w:val="24"/>
        </w:rPr>
        <w:t>For clarity</w:t>
      </w:r>
      <w:r w:rsidR="00E07163" w:rsidRPr="008956CA">
        <w:rPr>
          <w:rFonts w:ascii="Times New Roman" w:hAnsi="Times New Roman" w:cs="Times New Roman"/>
          <w:sz w:val="24"/>
          <w:szCs w:val="24"/>
        </w:rPr>
        <w:t xml:space="preserve">, we encourage the Committee to use the language from Article 21 </w:t>
      </w:r>
      <w:r w:rsidR="0031361F" w:rsidRPr="008956CA">
        <w:rPr>
          <w:rFonts w:ascii="Times New Roman" w:hAnsi="Times New Roman" w:cs="Times New Roman"/>
          <w:sz w:val="24"/>
          <w:szCs w:val="24"/>
        </w:rPr>
        <w:t>consistently throughout the Comment and avoid variations such as “right of assembly” (p</w:t>
      </w:r>
      <w:r w:rsidR="00E91C67" w:rsidRPr="008956CA">
        <w:rPr>
          <w:rFonts w:ascii="Times New Roman" w:hAnsi="Times New Roman" w:cs="Times New Roman"/>
          <w:sz w:val="24"/>
          <w:szCs w:val="24"/>
        </w:rPr>
        <w:t>ara</w:t>
      </w:r>
      <w:r w:rsidR="0031361F" w:rsidRPr="008956CA">
        <w:rPr>
          <w:rFonts w:ascii="Times New Roman" w:hAnsi="Times New Roman" w:cs="Times New Roman"/>
          <w:sz w:val="24"/>
          <w:szCs w:val="24"/>
        </w:rPr>
        <w:t xml:space="preserve">. </w:t>
      </w:r>
      <w:r w:rsidR="00E91C67" w:rsidRPr="008956CA">
        <w:rPr>
          <w:rFonts w:ascii="Times New Roman" w:hAnsi="Times New Roman" w:cs="Times New Roman"/>
          <w:sz w:val="24"/>
          <w:szCs w:val="24"/>
        </w:rPr>
        <w:t>80</w:t>
      </w:r>
      <w:r w:rsidR="0031361F" w:rsidRPr="008956CA">
        <w:rPr>
          <w:rFonts w:ascii="Times New Roman" w:hAnsi="Times New Roman" w:cs="Times New Roman"/>
          <w:sz w:val="24"/>
          <w:szCs w:val="24"/>
        </w:rPr>
        <w:t>)</w:t>
      </w:r>
      <w:r w:rsidR="00E91C67" w:rsidRPr="008956CA">
        <w:rPr>
          <w:rFonts w:ascii="Times New Roman" w:hAnsi="Times New Roman" w:cs="Times New Roman"/>
          <w:sz w:val="24"/>
          <w:szCs w:val="24"/>
        </w:rPr>
        <w:t xml:space="preserve"> or</w:t>
      </w:r>
      <w:r w:rsidR="0031361F" w:rsidRPr="008956CA">
        <w:rPr>
          <w:rFonts w:ascii="Times New Roman" w:hAnsi="Times New Roman" w:cs="Times New Roman"/>
          <w:sz w:val="24"/>
          <w:szCs w:val="24"/>
        </w:rPr>
        <w:t xml:space="preserve"> “freedom of assembly” (p</w:t>
      </w:r>
      <w:r w:rsidR="00E91C67" w:rsidRPr="008956CA">
        <w:rPr>
          <w:rFonts w:ascii="Times New Roman" w:hAnsi="Times New Roman" w:cs="Times New Roman"/>
          <w:sz w:val="24"/>
          <w:szCs w:val="24"/>
        </w:rPr>
        <w:t>ara</w:t>
      </w:r>
      <w:r w:rsidR="0031361F" w:rsidRPr="008956CA">
        <w:rPr>
          <w:rFonts w:ascii="Times New Roman" w:hAnsi="Times New Roman" w:cs="Times New Roman"/>
          <w:sz w:val="24"/>
          <w:szCs w:val="24"/>
        </w:rPr>
        <w:t xml:space="preserve">. </w:t>
      </w:r>
      <w:r w:rsidR="00E91C67" w:rsidRPr="008956CA">
        <w:rPr>
          <w:rFonts w:ascii="Times New Roman" w:hAnsi="Times New Roman" w:cs="Times New Roman"/>
          <w:sz w:val="24"/>
          <w:szCs w:val="24"/>
        </w:rPr>
        <w:t>112</w:t>
      </w:r>
      <w:r w:rsidR="0031361F" w:rsidRPr="008956CA">
        <w:rPr>
          <w:rFonts w:ascii="Times New Roman" w:hAnsi="Times New Roman" w:cs="Times New Roman"/>
          <w:sz w:val="24"/>
          <w:szCs w:val="24"/>
        </w:rPr>
        <w:t>), or even “freedom of peaceful assembly</w:t>
      </w:r>
      <w:r w:rsidR="006B463C">
        <w:rPr>
          <w:rFonts w:ascii="Times New Roman" w:hAnsi="Times New Roman" w:cs="Times New Roman"/>
          <w:sz w:val="24"/>
          <w:szCs w:val="24"/>
        </w:rPr>
        <w:t>,</w:t>
      </w:r>
      <w:r w:rsidR="0031361F" w:rsidRPr="008956CA">
        <w:rPr>
          <w:rFonts w:ascii="Times New Roman" w:hAnsi="Times New Roman" w:cs="Times New Roman"/>
          <w:sz w:val="24"/>
          <w:szCs w:val="24"/>
        </w:rPr>
        <w:t>”</w:t>
      </w:r>
      <w:r w:rsidR="00E91C67" w:rsidRPr="008956CA">
        <w:rPr>
          <w:rFonts w:ascii="Times New Roman" w:hAnsi="Times New Roman" w:cs="Times New Roman"/>
          <w:sz w:val="24"/>
          <w:szCs w:val="24"/>
        </w:rPr>
        <w:t xml:space="preserve"> which draws from the Universal Declaration rather than the Covenant</w:t>
      </w:r>
      <w:r w:rsidR="0031361F" w:rsidRPr="008956CA">
        <w:rPr>
          <w:rFonts w:ascii="Times New Roman" w:hAnsi="Times New Roman" w:cs="Times New Roman"/>
          <w:sz w:val="24"/>
          <w:szCs w:val="24"/>
        </w:rPr>
        <w:t>.</w:t>
      </w:r>
      <w:r w:rsidR="00650BFF" w:rsidRPr="008956CA">
        <w:rPr>
          <w:rFonts w:ascii="Times New Roman" w:hAnsi="Times New Roman" w:cs="Times New Roman"/>
          <w:sz w:val="24"/>
          <w:szCs w:val="24"/>
        </w:rPr>
        <w:t xml:space="preserve">  Further, while the United States agrees that “the right of peaceful assembly is not absolute” as stated in paragraph 8, we consider only the limitations delineated by Article 21</w:t>
      </w:r>
      <w:r w:rsidR="00E91C67" w:rsidRPr="008956CA">
        <w:rPr>
          <w:rFonts w:ascii="Times New Roman" w:hAnsi="Times New Roman" w:cs="Times New Roman"/>
          <w:sz w:val="24"/>
          <w:szCs w:val="24"/>
        </w:rPr>
        <w:t xml:space="preserve">—that is, </w:t>
      </w:r>
      <w:r w:rsidR="00650BFF" w:rsidRPr="008956CA">
        <w:rPr>
          <w:rFonts w:ascii="Times New Roman" w:hAnsi="Times New Roman" w:cs="Times New Roman"/>
          <w:sz w:val="24"/>
          <w:szCs w:val="24"/>
        </w:rPr>
        <w:t>those that are “imposed in conformity with the law and which are necessary in a democratic society in the interests of national security or public safety, public safety (</w:t>
      </w:r>
      <w:proofErr w:type="spellStart"/>
      <w:r w:rsidR="00650BFF" w:rsidRPr="008956CA">
        <w:rPr>
          <w:rFonts w:ascii="Times New Roman" w:hAnsi="Times New Roman" w:cs="Times New Roman"/>
          <w:sz w:val="24"/>
          <w:szCs w:val="24"/>
        </w:rPr>
        <w:t>ordre</w:t>
      </w:r>
      <w:proofErr w:type="spellEnd"/>
      <w:r w:rsidR="00650BFF" w:rsidRPr="008956CA">
        <w:rPr>
          <w:rFonts w:ascii="Times New Roman" w:hAnsi="Times New Roman" w:cs="Times New Roman"/>
          <w:sz w:val="24"/>
          <w:szCs w:val="24"/>
        </w:rPr>
        <w:t xml:space="preserve"> public), the protection of public health or morals or the protection of </w:t>
      </w:r>
      <w:r w:rsidR="00650BFF" w:rsidRPr="008956CA">
        <w:rPr>
          <w:rFonts w:ascii="Times New Roman" w:hAnsi="Times New Roman" w:cs="Times New Roman"/>
          <w:sz w:val="24"/>
          <w:szCs w:val="24"/>
        </w:rPr>
        <w:lastRenderedPageBreak/>
        <w:t>the rights and freedoms of others”</w:t>
      </w:r>
      <w:r w:rsidR="00F04096" w:rsidRPr="008956CA">
        <w:rPr>
          <w:rFonts w:ascii="Times New Roman" w:hAnsi="Times New Roman" w:cs="Times New Roman"/>
          <w:sz w:val="24"/>
          <w:szCs w:val="24"/>
        </w:rPr>
        <w:t xml:space="preserve">—to </w:t>
      </w:r>
      <w:r w:rsidR="00650BFF" w:rsidRPr="008956CA">
        <w:rPr>
          <w:rFonts w:ascii="Times New Roman" w:hAnsi="Times New Roman" w:cs="Times New Roman"/>
          <w:sz w:val="24"/>
          <w:szCs w:val="24"/>
        </w:rPr>
        <w:t>be permissible.  Any references to such limitations should track Article 21’s language precisely.</w:t>
      </w:r>
    </w:p>
    <w:p w14:paraId="78D64491" w14:textId="678854D1" w:rsidR="00F90B84" w:rsidRPr="008956CA" w:rsidRDefault="00404912"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10</w:t>
      </w:r>
      <w:r w:rsidR="00F90B84" w:rsidRPr="008956CA">
        <w:rPr>
          <w:rFonts w:ascii="Times New Roman" w:hAnsi="Times New Roman" w:cs="Times New Roman"/>
          <w:sz w:val="24"/>
          <w:szCs w:val="24"/>
        </w:rPr>
        <w:t xml:space="preserve">.  In paragraph 6, the Committee lists examples of various forms of assemblies. Footnote 10 </w:t>
      </w:r>
      <w:r w:rsidR="00F04096" w:rsidRPr="008956CA">
        <w:rPr>
          <w:rFonts w:ascii="Times New Roman" w:hAnsi="Times New Roman" w:cs="Times New Roman"/>
          <w:sz w:val="24"/>
          <w:szCs w:val="24"/>
        </w:rPr>
        <w:t xml:space="preserve">of the Comment </w:t>
      </w:r>
      <w:r w:rsidR="00F90B84" w:rsidRPr="008956CA">
        <w:rPr>
          <w:rFonts w:ascii="Times New Roman" w:hAnsi="Times New Roman" w:cs="Times New Roman"/>
          <w:sz w:val="24"/>
          <w:szCs w:val="24"/>
        </w:rPr>
        <w:t>explains that “During the drafting of article 21 of the Covenant, specific examples of peaceful assemblies were not included, in order to keep the formulation of the right open</w:t>
      </w:r>
      <w:r w:rsidR="00687F60" w:rsidRPr="008956CA">
        <w:rPr>
          <w:rFonts w:ascii="Times New Roman" w:hAnsi="Times New Roman" w:cs="Times New Roman"/>
          <w:sz w:val="24"/>
          <w:szCs w:val="24"/>
        </w:rPr>
        <w:t>.</w:t>
      </w:r>
      <w:r w:rsidR="00F90B84" w:rsidRPr="008956CA">
        <w:rPr>
          <w:rFonts w:ascii="Times New Roman" w:hAnsi="Times New Roman" w:cs="Times New Roman"/>
          <w:sz w:val="24"/>
          <w:szCs w:val="24"/>
        </w:rPr>
        <w:t>”  For the same reason, the United States cautions against including a list in the Committee’s comment.  If a list is included, the United States urges that it be as expansive as possible, use broader terms such as “protest</w:t>
      </w:r>
      <w:r w:rsidR="006B463C">
        <w:rPr>
          <w:rFonts w:ascii="Times New Roman" w:hAnsi="Times New Roman" w:cs="Times New Roman"/>
          <w:sz w:val="24"/>
          <w:szCs w:val="24"/>
        </w:rPr>
        <w:t>,</w:t>
      </w:r>
      <w:r w:rsidR="00F90B84" w:rsidRPr="008956CA">
        <w:rPr>
          <w:rFonts w:ascii="Times New Roman" w:hAnsi="Times New Roman" w:cs="Times New Roman"/>
          <w:sz w:val="24"/>
          <w:szCs w:val="24"/>
        </w:rPr>
        <w:t>” and be explicitly non</w:t>
      </w:r>
      <w:r w:rsidR="00954469" w:rsidRPr="008956CA">
        <w:rPr>
          <w:rFonts w:ascii="Times New Roman" w:hAnsi="Times New Roman" w:cs="Times New Roman"/>
          <w:sz w:val="24"/>
          <w:szCs w:val="24"/>
        </w:rPr>
        <w:t>-</w:t>
      </w:r>
      <w:r w:rsidR="00F90B84" w:rsidRPr="008956CA">
        <w:rPr>
          <w:rFonts w:ascii="Times New Roman" w:hAnsi="Times New Roman" w:cs="Times New Roman"/>
          <w:sz w:val="24"/>
          <w:szCs w:val="24"/>
        </w:rPr>
        <w:t xml:space="preserve">exhaustive.  </w:t>
      </w:r>
      <w:r w:rsidR="003A280F" w:rsidRPr="008956CA">
        <w:rPr>
          <w:rFonts w:ascii="Times New Roman" w:hAnsi="Times New Roman" w:cs="Times New Roman"/>
          <w:sz w:val="24"/>
          <w:szCs w:val="24"/>
        </w:rPr>
        <w:t xml:space="preserve">At the same time, it should be clear that inclusion on the list in paragraph 6 does not imply that these activities may not be regulated in accordance with Article 21.  </w:t>
      </w:r>
      <w:r w:rsidR="00F90B84" w:rsidRPr="008956CA">
        <w:rPr>
          <w:rFonts w:ascii="Times New Roman" w:hAnsi="Times New Roman" w:cs="Times New Roman"/>
          <w:sz w:val="24"/>
          <w:szCs w:val="24"/>
        </w:rPr>
        <w:t>The United States supports inclusion of illustrations that indicate Article 21 applies to all peaceful assembl</w:t>
      </w:r>
      <w:r w:rsidR="00687F60" w:rsidRPr="008956CA">
        <w:rPr>
          <w:rFonts w:ascii="Times New Roman" w:hAnsi="Times New Roman" w:cs="Times New Roman"/>
          <w:sz w:val="24"/>
          <w:szCs w:val="24"/>
        </w:rPr>
        <w:t>y</w:t>
      </w:r>
      <w:r w:rsidR="00F90B84" w:rsidRPr="008956CA">
        <w:rPr>
          <w:rFonts w:ascii="Times New Roman" w:hAnsi="Times New Roman" w:cs="Times New Roman"/>
          <w:sz w:val="24"/>
          <w:szCs w:val="24"/>
        </w:rPr>
        <w:t xml:space="preserve">, as in the second and third sentences of paragraph 6 (mobile or stationary, indoors or outdoors).   </w:t>
      </w:r>
    </w:p>
    <w:p w14:paraId="53EBEAF5" w14:textId="622AE216" w:rsidR="00466122" w:rsidRPr="008956CA" w:rsidRDefault="00404912"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11</w:t>
      </w:r>
      <w:r w:rsidR="006E3714" w:rsidRPr="008956CA">
        <w:rPr>
          <w:rFonts w:ascii="Times New Roman" w:hAnsi="Times New Roman" w:cs="Times New Roman"/>
          <w:sz w:val="24"/>
          <w:szCs w:val="24"/>
        </w:rPr>
        <w:t xml:space="preserve">. </w:t>
      </w:r>
      <w:r w:rsidR="00A4118D" w:rsidRPr="008956CA">
        <w:rPr>
          <w:rFonts w:ascii="Times New Roman" w:hAnsi="Times New Roman" w:cs="Times New Roman"/>
          <w:sz w:val="24"/>
          <w:szCs w:val="24"/>
        </w:rPr>
        <w:t xml:space="preserve">“Publicly accessible space”:  The text of Article 21 does not </w:t>
      </w:r>
      <w:r w:rsidR="00C65CF5" w:rsidRPr="008956CA">
        <w:rPr>
          <w:rFonts w:ascii="Times New Roman" w:hAnsi="Times New Roman" w:cs="Times New Roman"/>
          <w:sz w:val="24"/>
          <w:szCs w:val="24"/>
        </w:rPr>
        <w:t>limit the</w:t>
      </w:r>
      <w:r w:rsidR="00A4118D" w:rsidRPr="008956CA">
        <w:rPr>
          <w:rFonts w:ascii="Times New Roman" w:hAnsi="Times New Roman" w:cs="Times New Roman"/>
          <w:sz w:val="24"/>
          <w:szCs w:val="24"/>
        </w:rPr>
        <w:t xml:space="preserve"> right to gatherings in public or publicly </w:t>
      </w:r>
      <w:r w:rsidR="00687F60" w:rsidRPr="008956CA">
        <w:rPr>
          <w:rFonts w:ascii="Times New Roman" w:hAnsi="Times New Roman" w:cs="Times New Roman"/>
          <w:sz w:val="24"/>
          <w:szCs w:val="24"/>
        </w:rPr>
        <w:t>accessible</w:t>
      </w:r>
      <w:r w:rsidR="00A4118D" w:rsidRPr="008956CA">
        <w:rPr>
          <w:rFonts w:ascii="Times New Roman" w:hAnsi="Times New Roman" w:cs="Times New Roman"/>
          <w:sz w:val="24"/>
          <w:szCs w:val="24"/>
        </w:rPr>
        <w:t xml:space="preserve"> spaces</w:t>
      </w:r>
      <w:r w:rsidR="00E81858" w:rsidRPr="008956CA">
        <w:rPr>
          <w:rFonts w:ascii="Times New Roman" w:hAnsi="Times New Roman" w:cs="Times New Roman"/>
          <w:sz w:val="24"/>
          <w:szCs w:val="24"/>
        </w:rPr>
        <w:t xml:space="preserve">.  </w:t>
      </w:r>
      <w:r w:rsidR="00F04096" w:rsidRPr="008956CA">
        <w:rPr>
          <w:rFonts w:ascii="Times New Roman" w:hAnsi="Times New Roman" w:cs="Times New Roman"/>
          <w:sz w:val="24"/>
          <w:szCs w:val="24"/>
        </w:rPr>
        <w:t>Rather,</w:t>
      </w:r>
      <w:r w:rsidR="00E81858" w:rsidRPr="008956CA">
        <w:rPr>
          <w:rFonts w:ascii="Times New Roman" w:hAnsi="Times New Roman" w:cs="Times New Roman"/>
          <w:sz w:val="24"/>
          <w:szCs w:val="24"/>
        </w:rPr>
        <w:t xml:space="preserve"> concerns for property rights are addressed by the language </w:t>
      </w:r>
      <w:r w:rsidR="00F04096" w:rsidRPr="008956CA">
        <w:rPr>
          <w:rFonts w:ascii="Times New Roman" w:hAnsi="Times New Roman" w:cs="Times New Roman"/>
          <w:sz w:val="24"/>
          <w:szCs w:val="24"/>
        </w:rPr>
        <w:t xml:space="preserve">in Article 21 </w:t>
      </w:r>
      <w:r w:rsidR="00E81858" w:rsidRPr="008956CA">
        <w:rPr>
          <w:rFonts w:ascii="Times New Roman" w:hAnsi="Times New Roman" w:cs="Times New Roman"/>
          <w:sz w:val="24"/>
          <w:szCs w:val="24"/>
        </w:rPr>
        <w:t>that allows restrictions to</w:t>
      </w:r>
      <w:r w:rsidR="00A4118D" w:rsidRPr="008956CA">
        <w:rPr>
          <w:rFonts w:ascii="Times New Roman" w:hAnsi="Times New Roman" w:cs="Times New Roman"/>
          <w:sz w:val="24"/>
          <w:szCs w:val="24"/>
        </w:rPr>
        <w:t xml:space="preserve"> be placed on the right of peaceful assembly </w:t>
      </w:r>
      <w:r w:rsidR="00C65CF5" w:rsidRPr="008956CA">
        <w:rPr>
          <w:rFonts w:ascii="Times New Roman" w:hAnsi="Times New Roman" w:cs="Times New Roman"/>
          <w:sz w:val="24"/>
          <w:szCs w:val="24"/>
        </w:rPr>
        <w:t xml:space="preserve">that are necessary </w:t>
      </w:r>
      <w:r w:rsidR="00A4118D" w:rsidRPr="008956CA">
        <w:rPr>
          <w:rFonts w:ascii="Times New Roman" w:hAnsi="Times New Roman" w:cs="Times New Roman"/>
          <w:sz w:val="24"/>
          <w:szCs w:val="24"/>
        </w:rPr>
        <w:t xml:space="preserve">for the protection of the rights and freedoms of others.  </w:t>
      </w:r>
      <w:r w:rsidR="00F04096" w:rsidRPr="008956CA">
        <w:rPr>
          <w:rFonts w:ascii="Times New Roman" w:hAnsi="Times New Roman" w:cs="Times New Roman"/>
          <w:sz w:val="24"/>
          <w:szCs w:val="24"/>
        </w:rPr>
        <w:t>The</w:t>
      </w:r>
      <w:r w:rsidR="00A4118D" w:rsidRPr="008956CA">
        <w:rPr>
          <w:rFonts w:ascii="Times New Roman" w:hAnsi="Times New Roman" w:cs="Times New Roman"/>
          <w:sz w:val="24"/>
          <w:szCs w:val="24"/>
        </w:rPr>
        <w:t xml:space="preserve"> United States recommends that the comment be revised to reflect that the right itself protect</w:t>
      </w:r>
      <w:r w:rsidR="00BF11BD" w:rsidRPr="008956CA">
        <w:rPr>
          <w:rFonts w:ascii="Times New Roman" w:hAnsi="Times New Roman" w:cs="Times New Roman"/>
          <w:sz w:val="24"/>
          <w:szCs w:val="24"/>
        </w:rPr>
        <w:t>s</w:t>
      </w:r>
      <w:r w:rsidR="00A4118D" w:rsidRPr="008956CA">
        <w:rPr>
          <w:rFonts w:ascii="Times New Roman" w:hAnsi="Times New Roman" w:cs="Times New Roman"/>
          <w:sz w:val="24"/>
          <w:szCs w:val="24"/>
        </w:rPr>
        <w:t xml:space="preserve"> peaceful assembl</w:t>
      </w:r>
      <w:r w:rsidR="00687F60" w:rsidRPr="008956CA">
        <w:rPr>
          <w:rFonts w:ascii="Times New Roman" w:hAnsi="Times New Roman" w:cs="Times New Roman"/>
          <w:sz w:val="24"/>
          <w:szCs w:val="24"/>
        </w:rPr>
        <w:t>y</w:t>
      </w:r>
      <w:r w:rsidR="00A4118D" w:rsidRPr="008956CA">
        <w:rPr>
          <w:rFonts w:ascii="Times New Roman" w:hAnsi="Times New Roman" w:cs="Times New Roman"/>
          <w:sz w:val="24"/>
          <w:szCs w:val="24"/>
        </w:rPr>
        <w:t xml:space="preserve"> whether </w:t>
      </w:r>
      <w:r w:rsidR="00687F60" w:rsidRPr="008956CA">
        <w:rPr>
          <w:rFonts w:ascii="Times New Roman" w:hAnsi="Times New Roman" w:cs="Times New Roman"/>
          <w:sz w:val="24"/>
          <w:szCs w:val="24"/>
        </w:rPr>
        <w:t>the assembly is</w:t>
      </w:r>
      <w:r w:rsidR="00A4118D" w:rsidRPr="008956CA">
        <w:rPr>
          <w:rFonts w:ascii="Times New Roman" w:hAnsi="Times New Roman" w:cs="Times New Roman"/>
          <w:sz w:val="24"/>
          <w:szCs w:val="24"/>
        </w:rPr>
        <w:t xml:space="preserve"> on publicly accessible or private property, </w:t>
      </w:r>
      <w:r w:rsidR="00A4118D" w:rsidRPr="008956CA">
        <w:rPr>
          <w:rFonts w:ascii="Times New Roman" w:hAnsi="Times New Roman" w:cs="Times New Roman"/>
          <w:i/>
          <w:iCs/>
          <w:sz w:val="24"/>
          <w:szCs w:val="24"/>
        </w:rPr>
        <w:t>provided that</w:t>
      </w:r>
      <w:r w:rsidR="00A4118D" w:rsidRPr="008956CA">
        <w:rPr>
          <w:rFonts w:ascii="Times New Roman" w:hAnsi="Times New Roman" w:cs="Times New Roman"/>
          <w:sz w:val="24"/>
          <w:szCs w:val="24"/>
        </w:rPr>
        <w:t xml:space="preserve"> the owner of the private</w:t>
      </w:r>
      <w:r w:rsidR="00F04096" w:rsidRPr="008956CA">
        <w:rPr>
          <w:rFonts w:ascii="Times New Roman" w:hAnsi="Times New Roman" w:cs="Times New Roman"/>
          <w:sz w:val="24"/>
          <w:szCs w:val="24"/>
        </w:rPr>
        <w:t>, non-publicly accessible</w:t>
      </w:r>
      <w:r w:rsidR="00A4118D" w:rsidRPr="008956CA">
        <w:rPr>
          <w:rFonts w:ascii="Times New Roman" w:hAnsi="Times New Roman" w:cs="Times New Roman"/>
          <w:sz w:val="24"/>
          <w:szCs w:val="24"/>
        </w:rPr>
        <w:t xml:space="preserve"> property consents.</w:t>
      </w:r>
      <w:r w:rsidR="00C65CF5" w:rsidRPr="008956CA">
        <w:rPr>
          <w:rFonts w:ascii="Times New Roman" w:hAnsi="Times New Roman" w:cs="Times New Roman"/>
          <w:sz w:val="24"/>
          <w:szCs w:val="24"/>
        </w:rPr>
        <w:t xml:space="preserve">  Laws protecting private property (e.g., prohibitions on trespass) are legitimate restrictions on the right of peaceful assembly and </w:t>
      </w:r>
      <w:r w:rsidR="00F04096" w:rsidRPr="008956CA">
        <w:rPr>
          <w:rFonts w:ascii="Times New Roman" w:hAnsi="Times New Roman" w:cs="Times New Roman"/>
          <w:sz w:val="24"/>
          <w:szCs w:val="24"/>
        </w:rPr>
        <w:t xml:space="preserve">generally </w:t>
      </w:r>
      <w:r w:rsidR="00C65CF5" w:rsidRPr="008956CA">
        <w:rPr>
          <w:rFonts w:ascii="Times New Roman" w:hAnsi="Times New Roman" w:cs="Times New Roman"/>
          <w:sz w:val="24"/>
          <w:szCs w:val="24"/>
        </w:rPr>
        <w:t>are permissible under the limitations clause of Article 21 itself, but</w:t>
      </w:r>
      <w:r w:rsidR="00A4118D" w:rsidRPr="008956CA">
        <w:rPr>
          <w:rFonts w:ascii="Times New Roman" w:hAnsi="Times New Roman" w:cs="Times New Roman"/>
          <w:sz w:val="24"/>
          <w:szCs w:val="24"/>
        </w:rPr>
        <w:t xml:space="preserve"> </w:t>
      </w:r>
      <w:r w:rsidR="00C65CF5" w:rsidRPr="008956CA">
        <w:rPr>
          <w:rFonts w:ascii="Times New Roman" w:hAnsi="Times New Roman" w:cs="Times New Roman"/>
          <w:sz w:val="24"/>
          <w:szCs w:val="24"/>
        </w:rPr>
        <w:t xml:space="preserve">the individuals peacefully assembling have no less protection from government interference in the assembly because they happen to be doing so on private property.  Such a reading would be contrary to the text of Article 21, as </w:t>
      </w:r>
      <w:r w:rsidR="00551528" w:rsidRPr="008956CA">
        <w:rPr>
          <w:rFonts w:ascii="Times New Roman" w:hAnsi="Times New Roman" w:cs="Times New Roman"/>
          <w:sz w:val="24"/>
          <w:szCs w:val="24"/>
        </w:rPr>
        <w:t>a restriction on peaceful assembl</w:t>
      </w:r>
      <w:r w:rsidR="00687F60" w:rsidRPr="008956CA">
        <w:rPr>
          <w:rFonts w:ascii="Times New Roman" w:hAnsi="Times New Roman" w:cs="Times New Roman"/>
          <w:sz w:val="24"/>
          <w:szCs w:val="24"/>
        </w:rPr>
        <w:t>y</w:t>
      </w:r>
      <w:r w:rsidR="00551528" w:rsidRPr="008956CA">
        <w:rPr>
          <w:rFonts w:ascii="Times New Roman" w:hAnsi="Times New Roman" w:cs="Times New Roman"/>
          <w:sz w:val="24"/>
          <w:szCs w:val="24"/>
        </w:rPr>
        <w:t xml:space="preserve"> on private land that was permitted or even supported by the owner of that land would hardly be “necessary” for the landowners</w:t>
      </w:r>
      <w:r w:rsidR="00BF11BD" w:rsidRPr="008956CA">
        <w:rPr>
          <w:rFonts w:ascii="Times New Roman" w:hAnsi="Times New Roman" w:cs="Times New Roman"/>
          <w:sz w:val="24"/>
          <w:szCs w:val="24"/>
        </w:rPr>
        <w:t>’</w:t>
      </w:r>
      <w:r w:rsidR="00551528" w:rsidRPr="008956CA">
        <w:rPr>
          <w:rFonts w:ascii="Times New Roman" w:hAnsi="Times New Roman" w:cs="Times New Roman"/>
          <w:sz w:val="24"/>
          <w:szCs w:val="24"/>
        </w:rPr>
        <w:t xml:space="preserve"> rights or freedoms.  </w:t>
      </w:r>
      <w:r w:rsidR="00F04096" w:rsidRPr="008956CA">
        <w:rPr>
          <w:rFonts w:ascii="Times New Roman" w:hAnsi="Times New Roman" w:cs="Times New Roman"/>
          <w:sz w:val="24"/>
          <w:szCs w:val="24"/>
        </w:rPr>
        <w:t xml:space="preserve">A contrary reading could provide justification for governments to restrict peaceful gatherings on private land without meeting the strict test in Article 21. </w:t>
      </w:r>
      <w:r w:rsidR="00C65CF5" w:rsidRPr="008956CA">
        <w:rPr>
          <w:rFonts w:ascii="Times New Roman" w:hAnsi="Times New Roman" w:cs="Times New Roman"/>
          <w:sz w:val="24"/>
          <w:szCs w:val="24"/>
        </w:rPr>
        <w:t>L</w:t>
      </w:r>
      <w:r w:rsidR="00A4118D" w:rsidRPr="008956CA">
        <w:rPr>
          <w:rFonts w:ascii="Times New Roman" w:hAnsi="Times New Roman" w:cs="Times New Roman"/>
          <w:sz w:val="24"/>
          <w:szCs w:val="24"/>
        </w:rPr>
        <w:t xml:space="preserve">imitations on government action towards a peaceful assembly should apply with equal force whether the assembly is on publicly accessible or </w:t>
      </w:r>
      <w:r w:rsidR="00BF11BD" w:rsidRPr="008956CA">
        <w:rPr>
          <w:rFonts w:ascii="Times New Roman" w:hAnsi="Times New Roman" w:cs="Times New Roman"/>
          <w:sz w:val="24"/>
          <w:szCs w:val="24"/>
        </w:rPr>
        <w:t xml:space="preserve">fully </w:t>
      </w:r>
      <w:r w:rsidR="00A4118D" w:rsidRPr="008956CA">
        <w:rPr>
          <w:rFonts w:ascii="Times New Roman" w:hAnsi="Times New Roman" w:cs="Times New Roman"/>
          <w:sz w:val="24"/>
          <w:szCs w:val="24"/>
        </w:rPr>
        <w:t>private land, so long as the individuals gathering are rightfully present on the private land.</w:t>
      </w:r>
      <w:r w:rsidR="00B40A3A" w:rsidRPr="008956CA">
        <w:rPr>
          <w:rFonts w:ascii="Times New Roman" w:hAnsi="Times New Roman" w:cs="Times New Roman"/>
          <w:sz w:val="24"/>
          <w:szCs w:val="24"/>
        </w:rPr>
        <w:t xml:space="preserve"> Given the brackets in paragraph 4</w:t>
      </w:r>
      <w:r w:rsidR="00D31E5B" w:rsidRPr="008956CA">
        <w:rPr>
          <w:rFonts w:ascii="Times New Roman" w:hAnsi="Times New Roman" w:cs="Times New Roman"/>
          <w:sz w:val="24"/>
          <w:szCs w:val="24"/>
        </w:rPr>
        <w:t xml:space="preserve"> and 13</w:t>
      </w:r>
      <w:r w:rsidR="00B40A3A" w:rsidRPr="008956CA">
        <w:rPr>
          <w:rFonts w:ascii="Times New Roman" w:hAnsi="Times New Roman" w:cs="Times New Roman"/>
          <w:sz w:val="24"/>
          <w:szCs w:val="24"/>
        </w:rPr>
        <w:t xml:space="preserve">, it appears that the Committee is not in agreement on this issue.  </w:t>
      </w:r>
      <w:r w:rsidR="00BF11BD" w:rsidRPr="008956CA">
        <w:rPr>
          <w:rFonts w:ascii="Times New Roman" w:hAnsi="Times New Roman" w:cs="Times New Roman"/>
          <w:sz w:val="24"/>
          <w:szCs w:val="24"/>
        </w:rPr>
        <w:t xml:space="preserve">Likewise, </w:t>
      </w:r>
      <w:r w:rsidR="00D07794">
        <w:rPr>
          <w:rFonts w:ascii="Times New Roman" w:hAnsi="Times New Roman" w:cs="Times New Roman"/>
          <w:sz w:val="24"/>
          <w:szCs w:val="24"/>
        </w:rPr>
        <w:t>p</w:t>
      </w:r>
      <w:r w:rsidR="00466122" w:rsidRPr="008956CA">
        <w:rPr>
          <w:rFonts w:ascii="Times New Roman" w:hAnsi="Times New Roman" w:cs="Times New Roman"/>
          <w:sz w:val="24"/>
          <w:szCs w:val="24"/>
        </w:rPr>
        <w:t>aragraph 67 states that “assembly rights may require some recognition on private property that is open to the public</w:t>
      </w:r>
      <w:r w:rsidR="006B463C">
        <w:rPr>
          <w:rFonts w:ascii="Times New Roman" w:hAnsi="Times New Roman" w:cs="Times New Roman"/>
          <w:sz w:val="24"/>
          <w:szCs w:val="24"/>
        </w:rPr>
        <w:t>.</w:t>
      </w:r>
      <w:r w:rsidR="00466122" w:rsidRPr="008956CA">
        <w:rPr>
          <w:rFonts w:ascii="Times New Roman" w:hAnsi="Times New Roman" w:cs="Times New Roman"/>
          <w:sz w:val="24"/>
          <w:szCs w:val="24"/>
        </w:rPr>
        <w:t>”  The United States believes t</w:t>
      </w:r>
      <w:r w:rsidR="00BF11BD" w:rsidRPr="008956CA">
        <w:rPr>
          <w:rFonts w:ascii="Times New Roman" w:hAnsi="Times New Roman" w:cs="Times New Roman"/>
          <w:sz w:val="24"/>
          <w:szCs w:val="24"/>
        </w:rPr>
        <w:t>he Comment would be strengthened by a clear statement that</w:t>
      </w:r>
      <w:r w:rsidR="00466122" w:rsidRPr="008956CA">
        <w:rPr>
          <w:rFonts w:ascii="Times New Roman" w:hAnsi="Times New Roman" w:cs="Times New Roman"/>
          <w:sz w:val="24"/>
          <w:szCs w:val="24"/>
        </w:rPr>
        <w:t xml:space="preserve"> </w:t>
      </w:r>
      <w:r w:rsidR="00F04096" w:rsidRPr="008956CA">
        <w:rPr>
          <w:rFonts w:ascii="Times New Roman" w:hAnsi="Times New Roman" w:cs="Times New Roman"/>
          <w:sz w:val="24"/>
          <w:szCs w:val="24"/>
        </w:rPr>
        <w:t xml:space="preserve">Article 21 </w:t>
      </w:r>
      <w:r w:rsidR="00A14729">
        <w:rPr>
          <w:rFonts w:ascii="Times New Roman" w:hAnsi="Times New Roman" w:cs="Times New Roman"/>
          <w:sz w:val="24"/>
          <w:szCs w:val="24"/>
        </w:rPr>
        <w:t xml:space="preserve">applies to </w:t>
      </w:r>
      <w:r w:rsidR="00F04096" w:rsidRPr="008956CA">
        <w:rPr>
          <w:rFonts w:ascii="Times New Roman" w:hAnsi="Times New Roman" w:cs="Times New Roman"/>
          <w:sz w:val="24"/>
          <w:szCs w:val="24"/>
        </w:rPr>
        <w:t>peaceful assembling wherever it takes plac</w:t>
      </w:r>
      <w:r w:rsidR="00A726DE" w:rsidRPr="008956CA">
        <w:rPr>
          <w:rFonts w:ascii="Times New Roman" w:hAnsi="Times New Roman" w:cs="Times New Roman"/>
          <w:sz w:val="24"/>
          <w:szCs w:val="24"/>
        </w:rPr>
        <w:t>e</w:t>
      </w:r>
      <w:r w:rsidR="00B40A3A" w:rsidRPr="008956CA">
        <w:rPr>
          <w:rFonts w:ascii="Times New Roman" w:hAnsi="Times New Roman" w:cs="Times New Roman"/>
          <w:sz w:val="24"/>
          <w:szCs w:val="24"/>
        </w:rPr>
        <w:t>.</w:t>
      </w:r>
    </w:p>
    <w:p w14:paraId="6915C173" w14:textId="6A1FFDFD" w:rsidR="00027114" w:rsidRPr="008956CA" w:rsidRDefault="00404912" w:rsidP="00870D0A">
      <w:pPr>
        <w:spacing w:before="100" w:beforeAutospacing="1" w:after="100" w:afterAutospacing="1" w:line="240" w:lineRule="auto"/>
        <w:rPr>
          <w:rFonts w:ascii="Times New Roman" w:hAnsi="Times New Roman" w:cs="Times New Roman"/>
          <w:sz w:val="24"/>
          <w:szCs w:val="24"/>
          <w:shd w:val="clear" w:color="auto" w:fill="FFFFFF"/>
        </w:rPr>
      </w:pPr>
      <w:r w:rsidRPr="008956CA">
        <w:rPr>
          <w:rFonts w:ascii="Times New Roman" w:hAnsi="Times New Roman" w:cs="Times New Roman"/>
          <w:sz w:val="24"/>
          <w:szCs w:val="24"/>
        </w:rPr>
        <w:t>12.</w:t>
      </w:r>
      <w:r w:rsidR="0031361F" w:rsidRPr="008956CA">
        <w:rPr>
          <w:rFonts w:ascii="Times New Roman" w:hAnsi="Times New Roman" w:cs="Times New Roman"/>
          <w:sz w:val="24"/>
          <w:szCs w:val="24"/>
        </w:rPr>
        <w:t xml:space="preserve"> </w:t>
      </w:r>
      <w:r w:rsidR="00027114" w:rsidRPr="008956CA">
        <w:rPr>
          <w:rFonts w:ascii="Times New Roman" w:hAnsi="Times New Roman" w:cs="Times New Roman"/>
          <w:sz w:val="24"/>
          <w:szCs w:val="24"/>
        </w:rPr>
        <w:t xml:space="preserve">“Peaceful or Violent Assemblies”: </w:t>
      </w:r>
      <w:r w:rsidR="002E16D5" w:rsidRPr="008956CA">
        <w:rPr>
          <w:rFonts w:ascii="Times New Roman" w:hAnsi="Times New Roman" w:cs="Times New Roman"/>
          <w:sz w:val="24"/>
          <w:szCs w:val="24"/>
        </w:rPr>
        <w:t xml:space="preserve">The United States is concerned by the Comment’s articulation of a “two-stage process” for determining whether an individual is engaging in a peaceful assembly as protected by Article 21.  </w:t>
      </w:r>
      <w:r w:rsidR="00670E3D" w:rsidRPr="008956CA">
        <w:rPr>
          <w:rFonts w:ascii="Times New Roman" w:hAnsi="Times New Roman" w:cs="Times New Roman"/>
          <w:sz w:val="24"/>
          <w:szCs w:val="24"/>
        </w:rPr>
        <w:t xml:space="preserve">The right of peaceful assembly, </w:t>
      </w:r>
      <w:r w:rsidR="00670E3D" w:rsidRPr="00D07794">
        <w:rPr>
          <w:rFonts w:ascii="Times New Roman" w:hAnsi="Times New Roman" w:cs="Times New Roman"/>
          <w:sz w:val="24"/>
          <w:szCs w:val="24"/>
        </w:rPr>
        <w:t>like human rights</w:t>
      </w:r>
      <w:r w:rsidR="00D84260">
        <w:rPr>
          <w:rFonts w:ascii="Times New Roman" w:hAnsi="Times New Roman" w:cs="Times New Roman"/>
          <w:sz w:val="24"/>
          <w:szCs w:val="24"/>
        </w:rPr>
        <w:t xml:space="preserve"> generally</w:t>
      </w:r>
      <w:r w:rsidR="00670E3D" w:rsidRPr="00D07794">
        <w:rPr>
          <w:rFonts w:ascii="Times New Roman" w:hAnsi="Times New Roman" w:cs="Times New Roman"/>
          <w:sz w:val="24"/>
          <w:szCs w:val="24"/>
        </w:rPr>
        <w:t>,</w:t>
      </w:r>
      <w:r w:rsidR="00670E3D" w:rsidRPr="008956CA">
        <w:rPr>
          <w:rFonts w:ascii="Times New Roman" w:hAnsi="Times New Roman" w:cs="Times New Roman"/>
          <w:sz w:val="24"/>
          <w:szCs w:val="24"/>
        </w:rPr>
        <w:t xml:space="preserve"> belongs to individuals, not to groups.  When some members of an assembly resort to violence, the other individuals do not lose </w:t>
      </w:r>
      <w:r w:rsidR="00EE6362" w:rsidRPr="008956CA">
        <w:rPr>
          <w:rFonts w:ascii="Times New Roman" w:hAnsi="Times New Roman" w:cs="Times New Roman"/>
          <w:sz w:val="24"/>
          <w:szCs w:val="24"/>
        </w:rPr>
        <w:t>protection under Article 21</w:t>
      </w:r>
      <w:r w:rsidR="00670E3D" w:rsidRPr="008956CA">
        <w:rPr>
          <w:rFonts w:ascii="Times New Roman" w:hAnsi="Times New Roman" w:cs="Times New Roman"/>
          <w:sz w:val="24"/>
          <w:szCs w:val="24"/>
        </w:rPr>
        <w:t xml:space="preserve">, as paragraph 10 </w:t>
      </w:r>
      <w:r w:rsidR="00586D2F" w:rsidRPr="008956CA">
        <w:rPr>
          <w:rFonts w:ascii="Times New Roman" w:hAnsi="Times New Roman" w:cs="Times New Roman"/>
          <w:i/>
          <w:iCs/>
          <w:sz w:val="24"/>
          <w:szCs w:val="24"/>
        </w:rPr>
        <w:t xml:space="preserve">et seq. </w:t>
      </w:r>
      <w:r w:rsidR="00670E3D" w:rsidRPr="008956CA">
        <w:rPr>
          <w:rFonts w:ascii="Times New Roman" w:hAnsi="Times New Roman" w:cs="Times New Roman"/>
          <w:sz w:val="24"/>
          <w:szCs w:val="24"/>
        </w:rPr>
        <w:t xml:space="preserve">of the current draft suggests.  This does not mean that law enforcement cannot </w:t>
      </w:r>
      <w:r w:rsidR="00586D2F" w:rsidRPr="008956CA">
        <w:rPr>
          <w:rFonts w:ascii="Times New Roman" w:hAnsi="Times New Roman" w:cs="Times New Roman"/>
          <w:sz w:val="24"/>
          <w:szCs w:val="24"/>
        </w:rPr>
        <w:t>lawfully</w:t>
      </w:r>
      <w:r w:rsidR="00670E3D" w:rsidRPr="008956CA">
        <w:rPr>
          <w:rFonts w:ascii="Times New Roman" w:hAnsi="Times New Roman" w:cs="Times New Roman"/>
          <w:sz w:val="24"/>
          <w:szCs w:val="24"/>
        </w:rPr>
        <w:t xml:space="preserve"> dis</w:t>
      </w:r>
      <w:r w:rsidR="00E012B7" w:rsidRPr="008956CA">
        <w:rPr>
          <w:rFonts w:ascii="Times New Roman" w:hAnsi="Times New Roman" w:cs="Times New Roman"/>
          <w:sz w:val="24"/>
          <w:szCs w:val="24"/>
        </w:rPr>
        <w:t>pe</w:t>
      </w:r>
      <w:r w:rsidR="00670E3D" w:rsidRPr="008956CA">
        <w:rPr>
          <w:rFonts w:ascii="Times New Roman" w:hAnsi="Times New Roman" w:cs="Times New Roman"/>
          <w:sz w:val="24"/>
          <w:szCs w:val="24"/>
        </w:rPr>
        <w:t xml:space="preserve">rse an assembly that has become violent, but this </w:t>
      </w:r>
      <w:r w:rsidR="00687F60" w:rsidRPr="008956CA">
        <w:rPr>
          <w:rFonts w:ascii="Times New Roman" w:hAnsi="Times New Roman" w:cs="Times New Roman"/>
          <w:sz w:val="24"/>
          <w:szCs w:val="24"/>
        </w:rPr>
        <w:t xml:space="preserve">action </w:t>
      </w:r>
      <w:r w:rsidR="00670E3D" w:rsidRPr="008956CA">
        <w:rPr>
          <w:rFonts w:ascii="Times New Roman" w:hAnsi="Times New Roman" w:cs="Times New Roman"/>
          <w:sz w:val="24"/>
          <w:szCs w:val="24"/>
        </w:rPr>
        <w:t>should be analyzed through the applicable exceptions articulated in Article 2</w:t>
      </w:r>
      <w:r w:rsidR="00D92116" w:rsidRPr="008956CA">
        <w:rPr>
          <w:rFonts w:ascii="Times New Roman" w:hAnsi="Times New Roman" w:cs="Times New Roman"/>
          <w:sz w:val="24"/>
          <w:szCs w:val="24"/>
        </w:rPr>
        <w:t xml:space="preserve">1 </w:t>
      </w:r>
      <w:r w:rsidR="00670E3D" w:rsidRPr="008956CA">
        <w:rPr>
          <w:rFonts w:ascii="Times New Roman" w:hAnsi="Times New Roman" w:cs="Times New Roman"/>
          <w:sz w:val="24"/>
          <w:szCs w:val="24"/>
        </w:rPr>
        <w:t xml:space="preserve">rather than an assessment that Article 21 no longer applies at all.  </w:t>
      </w:r>
      <w:r w:rsidR="00586D2F" w:rsidRPr="008956CA">
        <w:rPr>
          <w:rFonts w:ascii="Times New Roman" w:hAnsi="Times New Roman" w:cs="Times New Roman"/>
          <w:sz w:val="24"/>
          <w:szCs w:val="24"/>
        </w:rPr>
        <w:t xml:space="preserve">By separating the </w:t>
      </w:r>
      <w:r w:rsidR="00174458" w:rsidRPr="008956CA">
        <w:rPr>
          <w:rFonts w:ascii="Times New Roman" w:hAnsi="Times New Roman" w:cs="Times New Roman"/>
          <w:sz w:val="24"/>
          <w:szCs w:val="24"/>
        </w:rPr>
        <w:t xml:space="preserve">questions of </w:t>
      </w:r>
      <w:r w:rsidR="00586D2F" w:rsidRPr="008956CA">
        <w:rPr>
          <w:rFonts w:ascii="Times New Roman" w:hAnsi="Times New Roman" w:cs="Times New Roman"/>
          <w:sz w:val="24"/>
          <w:szCs w:val="24"/>
        </w:rPr>
        <w:t xml:space="preserve">whether an assembly is peaceful and whether </w:t>
      </w:r>
      <w:r w:rsidR="00174458" w:rsidRPr="008956CA">
        <w:rPr>
          <w:rFonts w:ascii="Times New Roman" w:hAnsi="Times New Roman" w:cs="Times New Roman"/>
          <w:sz w:val="24"/>
          <w:szCs w:val="24"/>
        </w:rPr>
        <w:t xml:space="preserve">any peaceful </w:t>
      </w:r>
      <w:r w:rsidR="00174458" w:rsidRPr="008956CA">
        <w:rPr>
          <w:rFonts w:ascii="Times New Roman" w:hAnsi="Times New Roman" w:cs="Times New Roman"/>
          <w:sz w:val="24"/>
          <w:szCs w:val="24"/>
        </w:rPr>
        <w:lastRenderedPageBreak/>
        <w:t>assembly is otherwise subject to restrictions permitted by Article 21, the Committee is suggesting that once the government deems an assembly “violent</w:t>
      </w:r>
      <w:r w:rsidR="006B463C">
        <w:rPr>
          <w:rFonts w:ascii="Times New Roman" w:hAnsi="Times New Roman" w:cs="Times New Roman"/>
          <w:sz w:val="24"/>
          <w:szCs w:val="24"/>
        </w:rPr>
        <w:t>,</w:t>
      </w:r>
      <w:r w:rsidR="00174458" w:rsidRPr="008956CA">
        <w:rPr>
          <w:rFonts w:ascii="Times New Roman" w:hAnsi="Times New Roman" w:cs="Times New Roman"/>
          <w:sz w:val="24"/>
          <w:szCs w:val="24"/>
        </w:rPr>
        <w:t>” it may impose restrictions that are not in conformity with law or not necessary for one of the governmental interests listed exhaustively in Article 21</w:t>
      </w:r>
      <w:r w:rsidR="003C13FF">
        <w:rPr>
          <w:rFonts w:ascii="Times New Roman" w:hAnsi="Times New Roman" w:cs="Times New Roman"/>
          <w:sz w:val="24"/>
          <w:szCs w:val="24"/>
        </w:rPr>
        <w:t>,</w:t>
      </w:r>
      <w:r w:rsidR="00A726DE" w:rsidRPr="008956CA">
        <w:rPr>
          <w:rFonts w:ascii="Times New Roman" w:hAnsi="Times New Roman" w:cs="Times New Roman"/>
          <w:sz w:val="24"/>
          <w:szCs w:val="24"/>
        </w:rPr>
        <w:t xml:space="preserve"> or both</w:t>
      </w:r>
      <w:r w:rsidR="00586D2F" w:rsidRPr="008956CA">
        <w:rPr>
          <w:rFonts w:ascii="Times New Roman" w:hAnsi="Times New Roman" w:cs="Times New Roman"/>
          <w:sz w:val="24"/>
          <w:szCs w:val="24"/>
        </w:rPr>
        <w:t xml:space="preserve">.  </w:t>
      </w:r>
      <w:r w:rsidR="00174458" w:rsidRPr="008956CA">
        <w:rPr>
          <w:rFonts w:ascii="Times New Roman" w:hAnsi="Times New Roman" w:cs="Times New Roman"/>
          <w:sz w:val="24"/>
          <w:szCs w:val="24"/>
        </w:rPr>
        <w:t>In many cases, law enforcement may be able to lawfully arrest and/or detain individuals engaging in violence while allowing the majority of those engaging in peaceful protest to continue; widespread arrests or dis</w:t>
      </w:r>
      <w:r w:rsidR="00E012B7" w:rsidRPr="008956CA">
        <w:rPr>
          <w:rFonts w:ascii="Times New Roman" w:hAnsi="Times New Roman" w:cs="Times New Roman"/>
          <w:sz w:val="24"/>
          <w:szCs w:val="24"/>
        </w:rPr>
        <w:t>pe</w:t>
      </w:r>
      <w:r w:rsidR="00174458" w:rsidRPr="008956CA">
        <w:rPr>
          <w:rFonts w:ascii="Times New Roman" w:hAnsi="Times New Roman" w:cs="Times New Roman"/>
          <w:sz w:val="24"/>
          <w:szCs w:val="24"/>
        </w:rPr>
        <w:t xml:space="preserve">rsing an assembly should only be done when necessary.  </w:t>
      </w:r>
      <w:r w:rsidR="00670E3D" w:rsidRPr="008956CA">
        <w:rPr>
          <w:rFonts w:ascii="Times New Roman" w:hAnsi="Times New Roman" w:cs="Times New Roman"/>
          <w:sz w:val="24"/>
          <w:szCs w:val="24"/>
        </w:rPr>
        <w:t>Indeed, th</w:t>
      </w:r>
      <w:r w:rsidR="00BF11BD" w:rsidRPr="008956CA">
        <w:rPr>
          <w:rFonts w:ascii="Times New Roman" w:hAnsi="Times New Roman" w:cs="Times New Roman"/>
          <w:sz w:val="24"/>
          <w:szCs w:val="24"/>
        </w:rPr>
        <w:t xml:space="preserve">is </w:t>
      </w:r>
      <w:r w:rsidR="00670E3D" w:rsidRPr="008956CA">
        <w:rPr>
          <w:rFonts w:ascii="Times New Roman" w:hAnsi="Times New Roman" w:cs="Times New Roman"/>
          <w:sz w:val="24"/>
          <w:szCs w:val="24"/>
        </w:rPr>
        <w:t>appears to be the Committee’s approach in</w:t>
      </w:r>
      <w:r w:rsidR="00916D54" w:rsidRPr="008956CA">
        <w:rPr>
          <w:rFonts w:ascii="Times New Roman" w:hAnsi="Times New Roman" w:cs="Times New Roman"/>
          <w:sz w:val="24"/>
          <w:szCs w:val="24"/>
        </w:rPr>
        <w:t xml:space="preserve"> paragraph 19, and the United States believes this should be </w:t>
      </w:r>
      <w:r w:rsidR="00E26451" w:rsidRPr="008956CA">
        <w:rPr>
          <w:rFonts w:ascii="Times New Roman" w:hAnsi="Times New Roman" w:cs="Times New Roman"/>
          <w:sz w:val="24"/>
          <w:szCs w:val="24"/>
        </w:rPr>
        <w:t xml:space="preserve">the Committee’s </w:t>
      </w:r>
      <w:r w:rsidR="00916D54" w:rsidRPr="008956CA">
        <w:rPr>
          <w:rFonts w:ascii="Times New Roman" w:hAnsi="Times New Roman" w:cs="Times New Roman"/>
          <w:sz w:val="24"/>
          <w:szCs w:val="24"/>
        </w:rPr>
        <w:t xml:space="preserve">consistent </w:t>
      </w:r>
      <w:r w:rsidR="00E26451" w:rsidRPr="008956CA">
        <w:rPr>
          <w:rFonts w:ascii="Times New Roman" w:hAnsi="Times New Roman" w:cs="Times New Roman"/>
          <w:sz w:val="24"/>
          <w:szCs w:val="24"/>
        </w:rPr>
        <w:t xml:space="preserve">approach </w:t>
      </w:r>
      <w:r w:rsidR="00916D54" w:rsidRPr="008956CA">
        <w:rPr>
          <w:rFonts w:ascii="Times New Roman" w:hAnsi="Times New Roman" w:cs="Times New Roman"/>
          <w:sz w:val="24"/>
          <w:szCs w:val="24"/>
        </w:rPr>
        <w:t xml:space="preserve">throughout the Comment.  This </w:t>
      </w:r>
      <w:r w:rsidR="00A726DE" w:rsidRPr="008956CA">
        <w:rPr>
          <w:rFonts w:ascii="Times New Roman" w:hAnsi="Times New Roman" w:cs="Times New Roman"/>
          <w:sz w:val="24"/>
          <w:szCs w:val="24"/>
        </w:rPr>
        <w:t xml:space="preserve">approach </w:t>
      </w:r>
      <w:r w:rsidR="00916D54" w:rsidRPr="008956CA">
        <w:rPr>
          <w:rFonts w:ascii="Times New Roman" w:hAnsi="Times New Roman" w:cs="Times New Roman"/>
          <w:sz w:val="24"/>
          <w:szCs w:val="24"/>
        </w:rPr>
        <w:t xml:space="preserve">also obviates the need for a more searching assessment of whether an assembly itself is peaceful or violent, since the appropriate question is whether an individual is </w:t>
      </w:r>
      <w:r w:rsidR="00E26451" w:rsidRPr="008956CA">
        <w:rPr>
          <w:rFonts w:ascii="Times New Roman" w:hAnsi="Times New Roman" w:cs="Times New Roman"/>
          <w:sz w:val="24"/>
          <w:szCs w:val="24"/>
        </w:rPr>
        <w:t>peaceful</w:t>
      </w:r>
      <w:r w:rsidR="00174458" w:rsidRPr="008956CA">
        <w:rPr>
          <w:rFonts w:ascii="Times New Roman" w:hAnsi="Times New Roman" w:cs="Times New Roman"/>
          <w:sz w:val="24"/>
          <w:szCs w:val="24"/>
        </w:rPr>
        <w:t>.</w:t>
      </w:r>
    </w:p>
    <w:p w14:paraId="1F5EE8E0" w14:textId="13513A29" w:rsidR="00594BF2" w:rsidRPr="008956CA" w:rsidRDefault="00404912" w:rsidP="00F90B84">
      <w:pPr>
        <w:spacing w:before="100" w:beforeAutospacing="1" w:after="100" w:afterAutospacing="1" w:line="240" w:lineRule="auto"/>
        <w:rPr>
          <w:rFonts w:ascii="Times New Roman" w:hAnsi="Times New Roman" w:cs="Times New Roman"/>
          <w:sz w:val="24"/>
          <w:szCs w:val="24"/>
          <w:shd w:val="clear" w:color="auto" w:fill="FFFFFF"/>
        </w:rPr>
      </w:pPr>
      <w:r w:rsidRPr="008956CA">
        <w:rPr>
          <w:rFonts w:ascii="Times New Roman" w:hAnsi="Times New Roman" w:cs="Times New Roman"/>
          <w:sz w:val="24"/>
          <w:szCs w:val="24"/>
          <w:shd w:val="clear" w:color="auto" w:fill="FFFFFF"/>
        </w:rPr>
        <w:t>13</w:t>
      </w:r>
      <w:r w:rsidR="00D31E5B" w:rsidRPr="008956CA">
        <w:rPr>
          <w:rFonts w:ascii="Times New Roman" w:hAnsi="Times New Roman" w:cs="Times New Roman"/>
          <w:sz w:val="24"/>
          <w:szCs w:val="24"/>
          <w:shd w:val="clear" w:color="auto" w:fill="FFFFFF"/>
        </w:rPr>
        <w:t xml:space="preserve">.  </w:t>
      </w:r>
      <w:r w:rsidR="00E26451" w:rsidRPr="008956CA">
        <w:rPr>
          <w:rFonts w:ascii="Times New Roman" w:hAnsi="Times New Roman" w:cs="Times New Roman"/>
          <w:sz w:val="24"/>
          <w:szCs w:val="24"/>
          <w:shd w:val="clear" w:color="auto" w:fill="FFFFFF"/>
        </w:rPr>
        <w:t>T</w:t>
      </w:r>
      <w:r w:rsidR="002E16D5" w:rsidRPr="008956CA">
        <w:rPr>
          <w:rFonts w:ascii="Times New Roman" w:hAnsi="Times New Roman" w:cs="Times New Roman"/>
          <w:sz w:val="24"/>
          <w:szCs w:val="24"/>
          <w:shd w:val="clear" w:color="auto" w:fill="FFFFFF"/>
        </w:rPr>
        <w:t>he United States does not dispute that</w:t>
      </w:r>
      <w:r w:rsidR="00D31E5B" w:rsidRPr="008956CA">
        <w:rPr>
          <w:rFonts w:ascii="Times New Roman" w:hAnsi="Times New Roman" w:cs="Times New Roman"/>
          <w:sz w:val="24"/>
          <w:szCs w:val="24"/>
          <w:shd w:val="clear" w:color="auto" w:fill="FFFFFF"/>
        </w:rPr>
        <w:t xml:space="preserve"> </w:t>
      </w:r>
      <w:r w:rsidR="00E012B7" w:rsidRPr="008956CA">
        <w:rPr>
          <w:rFonts w:ascii="Times New Roman" w:hAnsi="Times New Roman" w:cs="Times New Roman"/>
          <w:sz w:val="24"/>
          <w:szCs w:val="24"/>
          <w:shd w:val="clear" w:color="auto" w:fill="FFFFFF"/>
        </w:rPr>
        <w:t xml:space="preserve">an </w:t>
      </w:r>
      <w:r w:rsidR="00D31E5B" w:rsidRPr="008956CA">
        <w:rPr>
          <w:rFonts w:ascii="Times New Roman" w:hAnsi="Times New Roman" w:cs="Times New Roman"/>
          <w:i/>
          <w:iCs/>
          <w:sz w:val="24"/>
          <w:szCs w:val="24"/>
          <w:shd w:val="clear" w:color="auto" w:fill="FFFFFF"/>
        </w:rPr>
        <w:t>individual</w:t>
      </w:r>
      <w:r w:rsidR="002E16D5" w:rsidRPr="008956CA">
        <w:rPr>
          <w:rFonts w:ascii="Times New Roman" w:hAnsi="Times New Roman" w:cs="Times New Roman"/>
          <w:sz w:val="24"/>
          <w:szCs w:val="24"/>
          <w:shd w:val="clear" w:color="auto" w:fill="FFFFFF"/>
        </w:rPr>
        <w:t xml:space="preserve">’s activity does not </w:t>
      </w:r>
      <w:r w:rsidR="00EE6362" w:rsidRPr="008956CA">
        <w:rPr>
          <w:rFonts w:ascii="Times New Roman" w:hAnsi="Times New Roman" w:cs="Times New Roman"/>
          <w:sz w:val="24"/>
          <w:szCs w:val="24"/>
          <w:shd w:val="clear" w:color="auto" w:fill="FFFFFF"/>
        </w:rPr>
        <w:t>fall within the scope o</w:t>
      </w:r>
      <w:r w:rsidR="00E012B7" w:rsidRPr="008956CA">
        <w:rPr>
          <w:rFonts w:ascii="Times New Roman" w:hAnsi="Times New Roman" w:cs="Times New Roman"/>
          <w:sz w:val="24"/>
          <w:szCs w:val="24"/>
          <w:shd w:val="clear" w:color="auto" w:fill="FFFFFF"/>
        </w:rPr>
        <w:t>f</w:t>
      </w:r>
      <w:r w:rsidR="00D31E5B" w:rsidRPr="008956CA">
        <w:rPr>
          <w:rFonts w:ascii="Times New Roman" w:hAnsi="Times New Roman" w:cs="Times New Roman"/>
          <w:sz w:val="24"/>
          <w:szCs w:val="24"/>
          <w:shd w:val="clear" w:color="auto" w:fill="FFFFFF"/>
        </w:rPr>
        <w:t xml:space="preserve"> </w:t>
      </w:r>
      <w:r w:rsidR="002E16D5" w:rsidRPr="008956CA">
        <w:rPr>
          <w:rFonts w:ascii="Times New Roman" w:hAnsi="Times New Roman" w:cs="Times New Roman"/>
          <w:sz w:val="24"/>
          <w:szCs w:val="24"/>
          <w:shd w:val="clear" w:color="auto" w:fill="FFFFFF"/>
        </w:rPr>
        <w:t>A</w:t>
      </w:r>
      <w:r w:rsidR="00D31E5B" w:rsidRPr="008956CA">
        <w:rPr>
          <w:rFonts w:ascii="Times New Roman" w:hAnsi="Times New Roman" w:cs="Times New Roman"/>
          <w:sz w:val="24"/>
          <w:szCs w:val="24"/>
          <w:shd w:val="clear" w:color="auto" w:fill="FFFFFF"/>
        </w:rPr>
        <w:t>rticle 21</w:t>
      </w:r>
      <w:r w:rsidR="00EE6362" w:rsidRPr="008956CA">
        <w:rPr>
          <w:rFonts w:ascii="Times New Roman" w:hAnsi="Times New Roman" w:cs="Times New Roman"/>
          <w:sz w:val="24"/>
          <w:szCs w:val="24"/>
          <w:shd w:val="clear" w:color="auto" w:fill="FFFFFF"/>
        </w:rPr>
        <w:t>’s protection</w:t>
      </w:r>
      <w:r w:rsidR="00D31E5B" w:rsidRPr="008956CA">
        <w:rPr>
          <w:rFonts w:ascii="Times New Roman" w:hAnsi="Times New Roman" w:cs="Times New Roman"/>
          <w:sz w:val="24"/>
          <w:szCs w:val="24"/>
          <w:shd w:val="clear" w:color="auto" w:fill="FFFFFF"/>
        </w:rPr>
        <w:t xml:space="preserve"> if the </w:t>
      </w:r>
      <w:r w:rsidR="00D31E5B" w:rsidRPr="008956CA">
        <w:rPr>
          <w:rFonts w:ascii="Times New Roman" w:hAnsi="Times New Roman" w:cs="Times New Roman"/>
          <w:i/>
          <w:iCs/>
          <w:sz w:val="24"/>
          <w:szCs w:val="24"/>
          <w:shd w:val="clear" w:color="auto" w:fill="FFFFFF"/>
        </w:rPr>
        <w:t xml:space="preserve">individual </w:t>
      </w:r>
      <w:r w:rsidR="00D31E5B" w:rsidRPr="008956CA">
        <w:rPr>
          <w:rFonts w:ascii="Times New Roman" w:hAnsi="Times New Roman" w:cs="Times New Roman"/>
          <w:sz w:val="24"/>
          <w:szCs w:val="24"/>
          <w:shd w:val="clear" w:color="auto" w:fill="FFFFFF"/>
        </w:rPr>
        <w:t>becomes violent</w:t>
      </w:r>
      <w:r w:rsidR="00DE0BDC" w:rsidRPr="008956CA">
        <w:rPr>
          <w:rFonts w:ascii="Times New Roman" w:hAnsi="Times New Roman" w:cs="Times New Roman"/>
          <w:sz w:val="24"/>
          <w:szCs w:val="24"/>
          <w:shd w:val="clear" w:color="auto" w:fill="FFFFFF"/>
        </w:rPr>
        <w:t>, e.g.</w:t>
      </w:r>
      <w:r w:rsidR="00870D0A" w:rsidRPr="008956CA">
        <w:rPr>
          <w:rFonts w:ascii="Times New Roman" w:hAnsi="Times New Roman" w:cs="Times New Roman"/>
          <w:sz w:val="24"/>
          <w:szCs w:val="24"/>
          <w:shd w:val="clear" w:color="auto" w:fill="FFFFFF"/>
        </w:rPr>
        <w:t>, if t</w:t>
      </w:r>
      <w:r w:rsidR="0037202A" w:rsidRPr="008956CA">
        <w:rPr>
          <w:rFonts w:ascii="Times New Roman" w:hAnsi="Times New Roman" w:cs="Times New Roman"/>
          <w:sz w:val="24"/>
          <w:szCs w:val="24"/>
          <w:shd w:val="clear" w:color="auto" w:fill="FFFFFF"/>
        </w:rPr>
        <w:t>he individual</w:t>
      </w:r>
      <w:r w:rsidR="00870D0A" w:rsidRPr="008956CA">
        <w:rPr>
          <w:rFonts w:ascii="Times New Roman" w:hAnsi="Times New Roman" w:cs="Times New Roman"/>
          <w:sz w:val="24"/>
          <w:szCs w:val="24"/>
          <w:shd w:val="clear" w:color="auto" w:fill="FFFFFF"/>
        </w:rPr>
        <w:t xml:space="preserve"> engages in</w:t>
      </w:r>
      <w:r w:rsidR="0037202A" w:rsidRPr="008956CA">
        <w:rPr>
          <w:rFonts w:ascii="Times New Roman" w:hAnsi="Times New Roman" w:cs="Times New Roman"/>
          <w:sz w:val="24"/>
          <w:szCs w:val="24"/>
          <w:shd w:val="clear" w:color="auto" w:fill="FFFFFF"/>
        </w:rPr>
        <w:t xml:space="preserve"> criminal use of force against another person or property. The United States also recognizes that in some very narrow circumstances, an individual may be deemed as violent who has not yet engaged in </w:t>
      </w:r>
      <w:r w:rsidR="00594BF2" w:rsidRPr="008956CA">
        <w:rPr>
          <w:rFonts w:ascii="Times New Roman" w:hAnsi="Times New Roman" w:cs="Times New Roman"/>
          <w:sz w:val="24"/>
          <w:szCs w:val="24"/>
          <w:shd w:val="clear" w:color="auto" w:fill="FFFFFF"/>
        </w:rPr>
        <w:t xml:space="preserve">criminal use of force, such as where an individual is involved in a conspiracy to commit violence or where </w:t>
      </w:r>
      <w:r w:rsidR="00E26451" w:rsidRPr="008956CA">
        <w:rPr>
          <w:rFonts w:ascii="Times New Roman" w:hAnsi="Times New Roman" w:cs="Times New Roman"/>
          <w:sz w:val="24"/>
          <w:szCs w:val="24"/>
          <w:shd w:val="clear" w:color="auto" w:fill="FFFFFF"/>
        </w:rPr>
        <w:t xml:space="preserve">the individual’s </w:t>
      </w:r>
      <w:r w:rsidR="00594BF2" w:rsidRPr="008956CA">
        <w:rPr>
          <w:rFonts w:ascii="Times New Roman" w:hAnsi="Times New Roman" w:cs="Times New Roman"/>
          <w:sz w:val="24"/>
          <w:szCs w:val="24"/>
          <w:shd w:val="clear" w:color="auto" w:fill="FFFFFF"/>
        </w:rPr>
        <w:t xml:space="preserve">violence is imminent. </w:t>
      </w:r>
      <w:r w:rsidR="00E26451" w:rsidRPr="008956CA">
        <w:rPr>
          <w:rFonts w:ascii="Times New Roman" w:hAnsi="Times New Roman" w:cs="Times New Roman"/>
          <w:sz w:val="24"/>
          <w:szCs w:val="24"/>
          <w:shd w:val="clear" w:color="auto" w:fill="FFFFFF"/>
        </w:rPr>
        <w:t xml:space="preserve"> It is the United States’ position that a</w:t>
      </w:r>
      <w:r w:rsidR="00594BF2" w:rsidRPr="008956CA">
        <w:rPr>
          <w:rFonts w:ascii="Times New Roman" w:hAnsi="Times New Roman" w:cs="Times New Roman"/>
          <w:sz w:val="24"/>
          <w:szCs w:val="24"/>
          <w:shd w:val="clear" w:color="auto" w:fill="FFFFFF"/>
        </w:rPr>
        <w:t>ny restriction o</w:t>
      </w:r>
      <w:r w:rsidR="00E26451" w:rsidRPr="008956CA">
        <w:rPr>
          <w:rFonts w:ascii="Times New Roman" w:hAnsi="Times New Roman" w:cs="Times New Roman"/>
          <w:sz w:val="24"/>
          <w:szCs w:val="24"/>
          <w:shd w:val="clear" w:color="auto" w:fill="FFFFFF"/>
        </w:rPr>
        <w:t>n</w:t>
      </w:r>
      <w:r w:rsidR="00594BF2" w:rsidRPr="008956CA">
        <w:rPr>
          <w:rFonts w:ascii="Times New Roman" w:hAnsi="Times New Roman" w:cs="Times New Roman"/>
          <w:sz w:val="24"/>
          <w:szCs w:val="24"/>
          <w:shd w:val="clear" w:color="auto" w:fill="FFFFFF"/>
        </w:rPr>
        <w:t xml:space="preserve"> an individual’s rights under Article 21 based on their </w:t>
      </w:r>
      <w:r w:rsidR="00E26451" w:rsidRPr="008956CA">
        <w:rPr>
          <w:rFonts w:ascii="Times New Roman" w:hAnsi="Times New Roman" w:cs="Times New Roman"/>
          <w:sz w:val="24"/>
          <w:szCs w:val="24"/>
          <w:shd w:val="clear" w:color="auto" w:fill="FFFFFF"/>
        </w:rPr>
        <w:t>speech</w:t>
      </w:r>
      <w:r w:rsidR="00594BF2" w:rsidRPr="008956CA">
        <w:rPr>
          <w:rFonts w:ascii="Times New Roman" w:hAnsi="Times New Roman" w:cs="Times New Roman"/>
          <w:sz w:val="24"/>
          <w:szCs w:val="24"/>
          <w:shd w:val="clear" w:color="auto" w:fill="FFFFFF"/>
        </w:rPr>
        <w:t xml:space="preserve"> alone must </w:t>
      </w:r>
      <w:r w:rsidR="00E26451" w:rsidRPr="008956CA">
        <w:rPr>
          <w:rFonts w:ascii="Times New Roman" w:hAnsi="Times New Roman" w:cs="Times New Roman"/>
          <w:sz w:val="24"/>
          <w:szCs w:val="24"/>
          <w:shd w:val="clear" w:color="auto" w:fill="FFFFFF"/>
        </w:rPr>
        <w:t>also comply</w:t>
      </w:r>
      <w:r w:rsidR="00594BF2" w:rsidRPr="008956CA">
        <w:rPr>
          <w:rFonts w:ascii="Times New Roman" w:hAnsi="Times New Roman" w:cs="Times New Roman"/>
          <w:sz w:val="24"/>
          <w:szCs w:val="24"/>
          <w:shd w:val="clear" w:color="auto" w:fill="FFFFFF"/>
        </w:rPr>
        <w:t xml:space="preserve"> with Article 19.  As the United States explained in its observations on Draft </w:t>
      </w:r>
      <w:r w:rsidR="009B7EB7">
        <w:rPr>
          <w:rFonts w:ascii="Times New Roman" w:hAnsi="Times New Roman" w:cs="Times New Roman"/>
          <w:sz w:val="24"/>
          <w:szCs w:val="24"/>
          <w:shd w:val="clear" w:color="auto" w:fill="FFFFFF"/>
        </w:rPr>
        <w:t xml:space="preserve">General </w:t>
      </w:r>
      <w:r w:rsidR="00594BF2" w:rsidRPr="008956CA">
        <w:rPr>
          <w:rFonts w:ascii="Times New Roman" w:hAnsi="Times New Roman" w:cs="Times New Roman"/>
          <w:sz w:val="24"/>
          <w:szCs w:val="24"/>
          <w:shd w:val="clear" w:color="auto" w:fill="FFFFFF"/>
        </w:rPr>
        <w:t>Comment</w:t>
      </w:r>
      <w:r w:rsidR="00F412D9" w:rsidRPr="008956CA">
        <w:rPr>
          <w:rFonts w:ascii="Times New Roman" w:hAnsi="Times New Roman" w:cs="Times New Roman"/>
          <w:sz w:val="24"/>
          <w:szCs w:val="24"/>
          <w:shd w:val="clear" w:color="auto" w:fill="FFFFFF"/>
        </w:rPr>
        <w:t xml:space="preserve"> No.</w:t>
      </w:r>
      <w:r w:rsidR="00594BF2" w:rsidRPr="008956CA">
        <w:rPr>
          <w:rFonts w:ascii="Times New Roman" w:hAnsi="Times New Roman" w:cs="Times New Roman"/>
          <w:sz w:val="24"/>
          <w:szCs w:val="24"/>
          <w:shd w:val="clear" w:color="auto" w:fill="FFFFFF"/>
        </w:rPr>
        <w:t xml:space="preserve"> 34, </w:t>
      </w:r>
    </w:p>
    <w:p w14:paraId="020E3019" w14:textId="77777777" w:rsidR="00870D0A" w:rsidRPr="008956CA" w:rsidRDefault="00594BF2" w:rsidP="00870D0A">
      <w:pPr>
        <w:pStyle w:val="Default"/>
        <w:spacing w:before="100" w:beforeAutospacing="1" w:after="100" w:afterAutospacing="1"/>
        <w:ind w:left="720"/>
        <w:rPr>
          <w:color w:val="auto"/>
        </w:rPr>
      </w:pPr>
      <w:r w:rsidRPr="008956CA">
        <w:rPr>
          <w:color w:val="auto"/>
        </w:rPr>
        <w:t xml:space="preserve">there are some types of advocacy of national, religious, or racial hatred, namely incitement to </w:t>
      </w:r>
      <w:r w:rsidRPr="008956CA">
        <w:rPr>
          <w:i/>
          <w:iCs/>
          <w:color w:val="auto"/>
        </w:rPr>
        <w:t xml:space="preserve">imminent </w:t>
      </w:r>
      <w:r w:rsidRPr="008956CA">
        <w:rPr>
          <w:color w:val="auto"/>
        </w:rPr>
        <w:t>violence, or to imminent hostile acts such as when genuine, intentional threats of violence or intimidation are made to an individual, whereby prohibition is a legitimate government response to protect public order given the potential immediacy of the harm that may be caused by the speech. Given the difficulties in countering or preventing violence resulting from incitement to imminent violence or to hostile acts due to its immediacy, it is an appropriate governmental response to prohibit such expression to maintain public order without risking the underlying human right.”</w:t>
      </w:r>
      <w:r w:rsidRPr="008956CA">
        <w:rPr>
          <w:rStyle w:val="FootnoteReference"/>
          <w:color w:val="auto"/>
        </w:rPr>
        <w:footnoteReference w:id="11"/>
      </w:r>
      <w:r w:rsidRPr="008956CA">
        <w:rPr>
          <w:color w:val="auto"/>
        </w:rPr>
        <w:t xml:space="preserve">  </w:t>
      </w:r>
    </w:p>
    <w:p w14:paraId="78BF7F45" w14:textId="751A03BC" w:rsidR="00D31E5B" w:rsidRPr="008956CA" w:rsidRDefault="00594BF2" w:rsidP="00870D0A">
      <w:pPr>
        <w:pStyle w:val="Default"/>
        <w:spacing w:before="100" w:beforeAutospacing="1" w:after="100" w:afterAutospacing="1"/>
        <w:rPr>
          <w:color w:val="auto"/>
        </w:rPr>
      </w:pPr>
      <w:r w:rsidRPr="008956CA">
        <w:rPr>
          <w:color w:val="auto"/>
        </w:rPr>
        <w:t>The United States therefore recommends that the Committee remove the brackets from “imminent” in paragraph 21.</w:t>
      </w:r>
    </w:p>
    <w:p w14:paraId="63A7713A" w14:textId="3876C2F0" w:rsidR="00027114" w:rsidRPr="008956CA" w:rsidRDefault="00404912"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14</w:t>
      </w:r>
      <w:r w:rsidR="00E82E37" w:rsidRPr="008956CA">
        <w:rPr>
          <w:rFonts w:ascii="Times New Roman" w:hAnsi="Times New Roman" w:cs="Times New Roman"/>
          <w:sz w:val="24"/>
          <w:szCs w:val="24"/>
        </w:rPr>
        <w:t xml:space="preserve">.  </w:t>
      </w:r>
      <w:r w:rsidR="00027114" w:rsidRPr="008956CA">
        <w:rPr>
          <w:rFonts w:ascii="Times New Roman" w:hAnsi="Times New Roman" w:cs="Times New Roman"/>
          <w:sz w:val="24"/>
          <w:szCs w:val="24"/>
        </w:rPr>
        <w:t>Peaceful Assemblies and Civil Disobedience</w:t>
      </w:r>
      <w:r w:rsidR="00F63647" w:rsidRPr="008956CA">
        <w:rPr>
          <w:rFonts w:ascii="Times New Roman" w:hAnsi="Times New Roman" w:cs="Times New Roman"/>
          <w:sz w:val="24"/>
          <w:szCs w:val="24"/>
        </w:rPr>
        <w:t>:  The United States agrees that an individual engaging in peaceful but unlawful activity, including civil disobedience</w:t>
      </w:r>
      <w:r w:rsidR="00A66C18" w:rsidRPr="008956CA">
        <w:rPr>
          <w:rFonts w:ascii="Times New Roman" w:hAnsi="Times New Roman" w:cs="Times New Roman"/>
          <w:sz w:val="24"/>
          <w:szCs w:val="24"/>
        </w:rPr>
        <w:t>, is still protected by Article 21</w:t>
      </w:r>
      <w:r w:rsidR="00F63647" w:rsidRPr="008956CA">
        <w:rPr>
          <w:rFonts w:ascii="Times New Roman" w:hAnsi="Times New Roman" w:cs="Times New Roman"/>
          <w:sz w:val="24"/>
          <w:szCs w:val="24"/>
        </w:rPr>
        <w:t>.</w:t>
      </w:r>
      <w:r w:rsidR="00D31E5B" w:rsidRPr="008956CA">
        <w:rPr>
          <w:rStyle w:val="FootnoteReference"/>
          <w:rFonts w:ascii="Times New Roman" w:hAnsi="Times New Roman" w:cs="Times New Roman"/>
          <w:sz w:val="24"/>
          <w:szCs w:val="24"/>
        </w:rPr>
        <w:footnoteReference w:id="12"/>
      </w:r>
      <w:r w:rsidR="00F63647" w:rsidRPr="008956CA">
        <w:rPr>
          <w:rFonts w:ascii="Times New Roman" w:hAnsi="Times New Roman" w:cs="Times New Roman"/>
          <w:sz w:val="24"/>
          <w:szCs w:val="24"/>
        </w:rPr>
        <w:t xml:space="preserve">  However, Article 21 does not protect an individual from arrest or detention for breaking the law, including laws relating to trespass, so long as the law itself is “</w:t>
      </w:r>
      <w:r w:rsidR="00F63647" w:rsidRPr="008956CA">
        <w:rPr>
          <w:rFonts w:ascii="Times New Roman" w:hAnsi="Times New Roman" w:cs="Times New Roman"/>
          <w:sz w:val="24"/>
          <w:szCs w:val="24"/>
          <w:shd w:val="clear" w:color="auto" w:fill="FFFFFF"/>
        </w:rPr>
        <w:t>necessary in a democratic society in the interests of national security or public safety, public order (</w:t>
      </w:r>
      <w:proofErr w:type="spellStart"/>
      <w:r w:rsidR="00F63647" w:rsidRPr="008956CA">
        <w:rPr>
          <w:rFonts w:ascii="Times New Roman" w:hAnsi="Times New Roman" w:cs="Times New Roman"/>
          <w:sz w:val="24"/>
          <w:szCs w:val="24"/>
          <w:shd w:val="clear" w:color="auto" w:fill="FFFFFF"/>
        </w:rPr>
        <w:t>ordre</w:t>
      </w:r>
      <w:proofErr w:type="spellEnd"/>
      <w:r w:rsidR="00F63647" w:rsidRPr="008956CA">
        <w:rPr>
          <w:rFonts w:ascii="Times New Roman" w:hAnsi="Times New Roman" w:cs="Times New Roman"/>
          <w:sz w:val="24"/>
          <w:szCs w:val="24"/>
          <w:shd w:val="clear" w:color="auto" w:fill="FFFFFF"/>
        </w:rPr>
        <w:t xml:space="preserve"> public), the protection of public health or morals or the protection of the rights and freedoms of </w:t>
      </w:r>
      <w:r w:rsidR="00F63647" w:rsidRPr="008956CA">
        <w:rPr>
          <w:rFonts w:ascii="Times New Roman" w:hAnsi="Times New Roman" w:cs="Times New Roman"/>
          <w:sz w:val="24"/>
          <w:szCs w:val="24"/>
          <w:shd w:val="clear" w:color="auto" w:fill="FFFFFF"/>
        </w:rPr>
        <w:lastRenderedPageBreak/>
        <w:t>others</w:t>
      </w:r>
      <w:r w:rsidR="006B463C">
        <w:rPr>
          <w:rFonts w:ascii="Times New Roman" w:hAnsi="Times New Roman" w:cs="Times New Roman"/>
          <w:sz w:val="24"/>
          <w:szCs w:val="24"/>
          <w:shd w:val="clear" w:color="auto" w:fill="FFFFFF"/>
        </w:rPr>
        <w:t>,</w:t>
      </w:r>
      <w:r w:rsidR="00F63647" w:rsidRPr="008956CA">
        <w:rPr>
          <w:rFonts w:ascii="Times New Roman" w:hAnsi="Times New Roman" w:cs="Times New Roman"/>
          <w:sz w:val="24"/>
          <w:szCs w:val="24"/>
          <w:shd w:val="clear" w:color="auto" w:fill="FFFFFF"/>
        </w:rPr>
        <w:t xml:space="preserve">” and </w:t>
      </w:r>
      <w:r w:rsidR="00F63647" w:rsidRPr="008956CA">
        <w:rPr>
          <w:rFonts w:ascii="Times New Roman" w:hAnsi="Times New Roman" w:cs="Times New Roman"/>
          <w:sz w:val="24"/>
          <w:szCs w:val="24"/>
        </w:rPr>
        <w:t xml:space="preserve">the arrest and/or detention are consistent with the State’s other obligations under </w:t>
      </w:r>
      <w:r w:rsidR="00A726DE" w:rsidRPr="008956CA">
        <w:rPr>
          <w:rFonts w:ascii="Times New Roman" w:hAnsi="Times New Roman" w:cs="Times New Roman"/>
          <w:sz w:val="24"/>
          <w:szCs w:val="24"/>
        </w:rPr>
        <w:t xml:space="preserve">the </w:t>
      </w:r>
      <w:r w:rsidR="00F63647" w:rsidRPr="008956CA">
        <w:rPr>
          <w:rFonts w:ascii="Times New Roman" w:hAnsi="Times New Roman" w:cs="Times New Roman"/>
          <w:sz w:val="24"/>
          <w:szCs w:val="24"/>
        </w:rPr>
        <w:t>Covenant, and in particular Article 9.</w:t>
      </w:r>
    </w:p>
    <w:p w14:paraId="04C8CB3F" w14:textId="7C6532CF" w:rsidR="00D31E5B" w:rsidRPr="008956CA" w:rsidRDefault="00404912" w:rsidP="00870D0A">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15</w:t>
      </w:r>
      <w:r w:rsidR="00D31E5B" w:rsidRPr="008956CA">
        <w:rPr>
          <w:rFonts w:ascii="Times New Roman" w:hAnsi="Times New Roman" w:cs="Times New Roman"/>
          <w:sz w:val="24"/>
          <w:szCs w:val="24"/>
        </w:rPr>
        <w:t>. Similarly, the United States agrees that assemblies that fail to meet domestic legal requirements do not fall outside the scope of Article 21 protection, as stated in paragraph 18</w:t>
      </w:r>
      <w:r w:rsidR="00A66C18" w:rsidRPr="008956CA">
        <w:rPr>
          <w:rFonts w:ascii="Times New Roman" w:hAnsi="Times New Roman" w:cs="Times New Roman"/>
          <w:sz w:val="24"/>
          <w:szCs w:val="24"/>
        </w:rPr>
        <w:t xml:space="preserve"> of the draft Comment</w:t>
      </w:r>
      <w:r w:rsidR="00D31E5B" w:rsidRPr="008956CA">
        <w:rPr>
          <w:rFonts w:ascii="Times New Roman" w:hAnsi="Times New Roman" w:cs="Times New Roman"/>
          <w:sz w:val="24"/>
          <w:szCs w:val="24"/>
        </w:rPr>
        <w:t xml:space="preserve">.  </w:t>
      </w:r>
      <w:r w:rsidR="00F90B84" w:rsidRPr="008956CA">
        <w:rPr>
          <w:rFonts w:ascii="Times New Roman" w:hAnsi="Times New Roman" w:cs="Times New Roman"/>
          <w:sz w:val="24"/>
          <w:szCs w:val="24"/>
        </w:rPr>
        <w:t>Once again, however,</w:t>
      </w:r>
      <w:r w:rsidR="00D31E5B" w:rsidRPr="008956CA">
        <w:rPr>
          <w:rFonts w:ascii="Times New Roman" w:hAnsi="Times New Roman" w:cs="Times New Roman"/>
          <w:sz w:val="24"/>
          <w:szCs w:val="24"/>
        </w:rPr>
        <w:t xml:space="preserve"> this does not mean that the assembly cannot be subject</w:t>
      </w:r>
      <w:r w:rsidR="00A66C18" w:rsidRPr="008956CA">
        <w:rPr>
          <w:rFonts w:ascii="Times New Roman" w:hAnsi="Times New Roman" w:cs="Times New Roman"/>
          <w:sz w:val="24"/>
          <w:szCs w:val="24"/>
        </w:rPr>
        <w:t>ed</w:t>
      </w:r>
      <w:r w:rsidR="00D31E5B" w:rsidRPr="008956CA">
        <w:rPr>
          <w:rFonts w:ascii="Times New Roman" w:hAnsi="Times New Roman" w:cs="Times New Roman"/>
          <w:sz w:val="24"/>
          <w:szCs w:val="24"/>
        </w:rPr>
        <w:t xml:space="preserve"> to the restrictions permissible </w:t>
      </w:r>
      <w:r w:rsidR="00F412D9" w:rsidRPr="008956CA">
        <w:rPr>
          <w:rFonts w:ascii="Times New Roman" w:hAnsi="Times New Roman" w:cs="Times New Roman"/>
          <w:sz w:val="24"/>
          <w:szCs w:val="24"/>
        </w:rPr>
        <w:t>under</w:t>
      </w:r>
      <w:r w:rsidR="00D31E5B" w:rsidRPr="008956CA">
        <w:rPr>
          <w:rFonts w:ascii="Times New Roman" w:hAnsi="Times New Roman" w:cs="Times New Roman"/>
          <w:sz w:val="24"/>
          <w:szCs w:val="24"/>
        </w:rPr>
        <w:t xml:space="preserve"> Article 21.  Depending on the facts and circumstances, this may mean that an assembly that fails to meet domestic legal requirements can lawfully be disbanded or the organizers fined, so long as such actions are in conformity with law and necessary for one of the legitimate governmental interest</w:t>
      </w:r>
      <w:r w:rsidR="00A66C18" w:rsidRPr="008956CA">
        <w:rPr>
          <w:rFonts w:ascii="Times New Roman" w:hAnsi="Times New Roman" w:cs="Times New Roman"/>
          <w:sz w:val="24"/>
          <w:szCs w:val="24"/>
        </w:rPr>
        <w:t>s</w:t>
      </w:r>
      <w:r w:rsidR="00D31E5B" w:rsidRPr="008956CA">
        <w:rPr>
          <w:rFonts w:ascii="Times New Roman" w:hAnsi="Times New Roman" w:cs="Times New Roman"/>
          <w:sz w:val="24"/>
          <w:szCs w:val="24"/>
        </w:rPr>
        <w:t xml:space="preserve"> articulated in Article 21. </w:t>
      </w:r>
    </w:p>
    <w:p w14:paraId="7B42D385" w14:textId="2028E995" w:rsidR="005505F9" w:rsidRPr="008956CA" w:rsidRDefault="00404912" w:rsidP="00870D0A">
      <w:pPr>
        <w:spacing w:before="100" w:beforeAutospacing="1" w:after="100" w:afterAutospacing="1" w:line="240" w:lineRule="auto"/>
        <w:rPr>
          <w:rFonts w:ascii="Times New Roman" w:hAnsi="Times New Roman" w:cs="Times New Roman"/>
          <w:b/>
          <w:sz w:val="24"/>
          <w:szCs w:val="24"/>
        </w:rPr>
      </w:pPr>
      <w:r w:rsidRPr="008956CA">
        <w:rPr>
          <w:rFonts w:ascii="Times New Roman" w:hAnsi="Times New Roman" w:cs="Times New Roman"/>
          <w:b/>
          <w:sz w:val="24"/>
          <w:szCs w:val="24"/>
        </w:rPr>
        <w:t>C</w:t>
      </w:r>
      <w:r w:rsidR="005505F9" w:rsidRPr="008956CA">
        <w:rPr>
          <w:rFonts w:ascii="Times New Roman" w:hAnsi="Times New Roman" w:cs="Times New Roman"/>
          <w:b/>
          <w:sz w:val="24"/>
          <w:szCs w:val="24"/>
        </w:rPr>
        <w:t>. Permissible Limitations</w:t>
      </w:r>
    </w:p>
    <w:p w14:paraId="4F65116B" w14:textId="076FFC7A" w:rsidR="00DF6C4C" w:rsidRPr="008956CA" w:rsidRDefault="00404912" w:rsidP="00870D0A">
      <w:pPr>
        <w:spacing w:before="100" w:beforeAutospacing="1" w:after="100" w:afterAutospacing="1" w:line="240" w:lineRule="auto"/>
        <w:rPr>
          <w:rFonts w:ascii="Times New Roman" w:hAnsi="Times New Roman" w:cs="Times New Roman"/>
          <w:bCs/>
          <w:sz w:val="24"/>
          <w:szCs w:val="24"/>
        </w:rPr>
      </w:pPr>
      <w:r w:rsidRPr="008956CA">
        <w:rPr>
          <w:rFonts w:ascii="Times New Roman" w:hAnsi="Times New Roman" w:cs="Times New Roman"/>
          <w:bCs/>
          <w:sz w:val="24"/>
          <w:szCs w:val="24"/>
        </w:rPr>
        <w:t>16</w:t>
      </w:r>
      <w:r w:rsidR="00DF6C4C" w:rsidRPr="008956CA">
        <w:rPr>
          <w:rFonts w:ascii="Times New Roman" w:hAnsi="Times New Roman" w:cs="Times New Roman"/>
          <w:bCs/>
          <w:sz w:val="24"/>
          <w:szCs w:val="24"/>
        </w:rPr>
        <w:t xml:space="preserve">.  </w:t>
      </w:r>
      <w:r w:rsidR="00C32FB3" w:rsidRPr="008956CA">
        <w:rPr>
          <w:rFonts w:ascii="Times New Roman" w:hAnsi="Times New Roman" w:cs="Times New Roman"/>
          <w:bCs/>
          <w:sz w:val="24"/>
          <w:szCs w:val="24"/>
        </w:rPr>
        <w:t xml:space="preserve">Time, Place, and Manner: </w:t>
      </w:r>
      <w:r w:rsidR="00DF6C4C" w:rsidRPr="008956CA">
        <w:rPr>
          <w:rFonts w:ascii="Times New Roman" w:hAnsi="Times New Roman" w:cs="Times New Roman"/>
          <w:bCs/>
          <w:sz w:val="24"/>
          <w:szCs w:val="24"/>
        </w:rPr>
        <w:t>The United States strongly agrees that</w:t>
      </w:r>
      <w:r w:rsidR="00A22695" w:rsidRPr="008956CA">
        <w:rPr>
          <w:rFonts w:ascii="Times New Roman" w:hAnsi="Times New Roman" w:cs="Times New Roman"/>
          <w:bCs/>
          <w:sz w:val="24"/>
          <w:szCs w:val="24"/>
        </w:rPr>
        <w:t xml:space="preserve"> reasonable</w:t>
      </w:r>
      <w:r w:rsidR="00DF6C4C" w:rsidRPr="008956CA">
        <w:rPr>
          <w:rFonts w:ascii="Times New Roman" w:hAnsi="Times New Roman" w:cs="Times New Roman"/>
          <w:bCs/>
          <w:sz w:val="24"/>
          <w:szCs w:val="24"/>
        </w:rPr>
        <w:t xml:space="preserve"> “time, place, and manner” restrictions </w:t>
      </w:r>
      <w:r w:rsidR="00A9269B" w:rsidRPr="008956CA">
        <w:rPr>
          <w:rFonts w:ascii="Times New Roman" w:hAnsi="Times New Roman" w:cs="Times New Roman"/>
          <w:bCs/>
          <w:sz w:val="24"/>
          <w:szCs w:val="24"/>
        </w:rPr>
        <w:t>on assemblies in traditional public fora</w:t>
      </w:r>
      <w:r w:rsidR="00A279AD" w:rsidRPr="008956CA">
        <w:rPr>
          <w:rFonts w:ascii="Times New Roman" w:hAnsi="Times New Roman" w:cs="Times New Roman"/>
          <w:bCs/>
          <w:sz w:val="24"/>
          <w:szCs w:val="24"/>
        </w:rPr>
        <w:t>, such as streets, parks and other places traditionally used for public assembly and debate,</w:t>
      </w:r>
      <w:r w:rsidR="00A9269B" w:rsidRPr="008956CA">
        <w:rPr>
          <w:rFonts w:ascii="Times New Roman" w:hAnsi="Times New Roman" w:cs="Times New Roman"/>
          <w:bCs/>
          <w:sz w:val="24"/>
          <w:szCs w:val="24"/>
        </w:rPr>
        <w:t xml:space="preserve"> </w:t>
      </w:r>
      <w:r w:rsidR="00DF6C4C" w:rsidRPr="008956CA">
        <w:rPr>
          <w:rFonts w:ascii="Times New Roman" w:hAnsi="Times New Roman" w:cs="Times New Roman"/>
          <w:bCs/>
          <w:sz w:val="24"/>
          <w:szCs w:val="24"/>
        </w:rPr>
        <w:t xml:space="preserve">are lawful under Article 21 of the Covenant.  </w:t>
      </w:r>
      <w:r w:rsidR="00A66C18" w:rsidRPr="008956CA">
        <w:rPr>
          <w:rFonts w:ascii="Times New Roman" w:hAnsi="Times New Roman" w:cs="Times New Roman"/>
          <w:bCs/>
          <w:sz w:val="24"/>
          <w:szCs w:val="24"/>
        </w:rPr>
        <w:t>In the United States, s</w:t>
      </w:r>
      <w:r w:rsidR="00A22695" w:rsidRPr="008956CA">
        <w:rPr>
          <w:rFonts w:ascii="Times New Roman" w:hAnsi="Times New Roman" w:cs="Times New Roman"/>
          <w:bCs/>
          <w:sz w:val="24"/>
          <w:szCs w:val="24"/>
        </w:rPr>
        <w:t xml:space="preserve">uch restrictions </w:t>
      </w:r>
      <w:r w:rsidR="00A279AD" w:rsidRPr="008956CA">
        <w:rPr>
          <w:rFonts w:ascii="Times New Roman" w:hAnsi="Times New Roman" w:cs="Times New Roman"/>
          <w:bCs/>
          <w:sz w:val="24"/>
          <w:szCs w:val="24"/>
        </w:rPr>
        <w:t>must be content-neutral and be narrowly tailored to serve a legitimate state interest.</w:t>
      </w:r>
      <w:r w:rsidR="00A279AD" w:rsidRPr="008956CA">
        <w:rPr>
          <w:rStyle w:val="FootnoteReference"/>
          <w:rFonts w:ascii="Times New Roman" w:hAnsi="Times New Roman" w:cs="Times New Roman"/>
          <w:bCs/>
          <w:sz w:val="24"/>
          <w:szCs w:val="24"/>
        </w:rPr>
        <w:footnoteReference w:id="13"/>
      </w:r>
      <w:r w:rsidR="00A279AD" w:rsidRPr="008956CA">
        <w:rPr>
          <w:rFonts w:ascii="Times New Roman" w:hAnsi="Times New Roman" w:cs="Times New Roman"/>
          <w:bCs/>
          <w:sz w:val="24"/>
          <w:szCs w:val="24"/>
        </w:rPr>
        <w:t xml:space="preserve">  Indeed, time, place</w:t>
      </w:r>
      <w:r w:rsidR="00A726DE" w:rsidRPr="008956CA">
        <w:rPr>
          <w:rFonts w:ascii="Times New Roman" w:hAnsi="Times New Roman" w:cs="Times New Roman"/>
          <w:bCs/>
          <w:sz w:val="24"/>
          <w:szCs w:val="24"/>
        </w:rPr>
        <w:t>,</w:t>
      </w:r>
      <w:r w:rsidR="00A279AD" w:rsidRPr="008956CA">
        <w:rPr>
          <w:rFonts w:ascii="Times New Roman" w:hAnsi="Times New Roman" w:cs="Times New Roman"/>
          <w:bCs/>
          <w:sz w:val="24"/>
          <w:szCs w:val="24"/>
        </w:rPr>
        <w:t xml:space="preserve"> and manner</w:t>
      </w:r>
      <w:r w:rsidR="00FB540C" w:rsidRPr="008956CA">
        <w:rPr>
          <w:rFonts w:ascii="Times New Roman" w:hAnsi="Times New Roman" w:cs="Times New Roman"/>
          <w:bCs/>
          <w:sz w:val="24"/>
          <w:szCs w:val="24"/>
        </w:rPr>
        <w:t xml:space="preserve"> restrictions are often the simplest way to maintain public order and protect the rights</w:t>
      </w:r>
      <w:r w:rsidR="005236FA" w:rsidRPr="008956CA">
        <w:rPr>
          <w:rFonts w:ascii="Times New Roman" w:hAnsi="Times New Roman" w:cs="Times New Roman"/>
          <w:bCs/>
          <w:sz w:val="24"/>
          <w:szCs w:val="24"/>
        </w:rPr>
        <w:t xml:space="preserve"> and freedoms</w:t>
      </w:r>
      <w:r w:rsidR="00FB540C" w:rsidRPr="008956CA">
        <w:rPr>
          <w:rFonts w:ascii="Times New Roman" w:hAnsi="Times New Roman" w:cs="Times New Roman"/>
          <w:bCs/>
          <w:sz w:val="24"/>
          <w:szCs w:val="24"/>
        </w:rPr>
        <w:t xml:space="preserve"> of other</w:t>
      </w:r>
      <w:r w:rsidR="005236FA" w:rsidRPr="008956CA">
        <w:rPr>
          <w:rFonts w:ascii="Times New Roman" w:hAnsi="Times New Roman" w:cs="Times New Roman"/>
          <w:bCs/>
          <w:sz w:val="24"/>
          <w:szCs w:val="24"/>
        </w:rPr>
        <w:t xml:space="preserve">s without discriminating on the </w:t>
      </w:r>
      <w:r w:rsidR="00B33140" w:rsidRPr="008956CA">
        <w:rPr>
          <w:rFonts w:ascii="Times New Roman" w:hAnsi="Times New Roman" w:cs="Times New Roman"/>
          <w:bCs/>
          <w:sz w:val="24"/>
          <w:szCs w:val="24"/>
        </w:rPr>
        <w:t xml:space="preserve">content </w:t>
      </w:r>
      <w:r w:rsidR="00A9269B" w:rsidRPr="008956CA">
        <w:rPr>
          <w:rFonts w:ascii="Times New Roman" w:hAnsi="Times New Roman" w:cs="Times New Roman"/>
          <w:bCs/>
          <w:sz w:val="24"/>
          <w:szCs w:val="24"/>
        </w:rPr>
        <w:t>or viewpoint of the individuals peacefully assembling.</w:t>
      </w:r>
      <w:r w:rsidR="00A279AD" w:rsidRPr="008956CA">
        <w:rPr>
          <w:rFonts w:ascii="Times New Roman" w:hAnsi="Times New Roman" w:cs="Times New Roman"/>
          <w:bCs/>
          <w:sz w:val="24"/>
          <w:szCs w:val="24"/>
        </w:rPr>
        <w:t xml:space="preserve">  However, in limited public fora where the government has opened property for certain types of communicative activity, we believe it is </w:t>
      </w:r>
      <w:r w:rsidR="00D5171B" w:rsidRPr="008956CA">
        <w:rPr>
          <w:rFonts w:ascii="Times New Roman" w:hAnsi="Times New Roman" w:cs="Times New Roman"/>
          <w:bCs/>
          <w:sz w:val="24"/>
          <w:szCs w:val="24"/>
        </w:rPr>
        <w:t>consistent with Article 21</w:t>
      </w:r>
      <w:r w:rsidR="00A279AD" w:rsidRPr="008956CA">
        <w:rPr>
          <w:rFonts w:ascii="Times New Roman" w:hAnsi="Times New Roman" w:cs="Times New Roman"/>
          <w:bCs/>
          <w:sz w:val="24"/>
          <w:szCs w:val="24"/>
        </w:rPr>
        <w:t xml:space="preserve"> for the government to limit the forum to use by certain types of groups or discussion of certain subjects.</w:t>
      </w:r>
      <w:r w:rsidR="00A279AD" w:rsidRPr="008956CA">
        <w:rPr>
          <w:rStyle w:val="FootnoteReference"/>
          <w:rFonts w:ascii="Times New Roman" w:hAnsi="Times New Roman" w:cs="Times New Roman"/>
          <w:bCs/>
          <w:sz w:val="24"/>
          <w:szCs w:val="24"/>
        </w:rPr>
        <w:footnoteReference w:id="14"/>
      </w:r>
      <w:r w:rsidR="00A279AD" w:rsidRPr="008956CA">
        <w:rPr>
          <w:rFonts w:ascii="Times New Roman" w:hAnsi="Times New Roman" w:cs="Times New Roman"/>
          <w:bCs/>
          <w:sz w:val="24"/>
          <w:szCs w:val="24"/>
        </w:rPr>
        <w:t xml:space="preserve">  In such fora, any restrictions based on content must still be justified by a compelling state interest.</w:t>
      </w:r>
      <w:r w:rsidR="00A279AD" w:rsidRPr="008956CA">
        <w:rPr>
          <w:rStyle w:val="FootnoteReference"/>
          <w:rFonts w:ascii="Times New Roman" w:hAnsi="Times New Roman" w:cs="Times New Roman"/>
          <w:bCs/>
          <w:sz w:val="24"/>
          <w:szCs w:val="24"/>
        </w:rPr>
        <w:footnoteReference w:id="15"/>
      </w:r>
      <w:r w:rsidR="00A279AD" w:rsidRPr="008956CA">
        <w:rPr>
          <w:rFonts w:ascii="Times New Roman" w:hAnsi="Times New Roman" w:cs="Times New Roman"/>
          <w:bCs/>
          <w:sz w:val="24"/>
          <w:szCs w:val="24"/>
        </w:rPr>
        <w:t xml:space="preserve">  In areas that the government has reserved for a specific intended purpose, the United States believes that restrictions on peaceful assembly are permissible under Article 21 so long as the limitation is reasonable. The United States believes that the Comment could be strengthened by </w:t>
      </w:r>
      <w:r w:rsidR="00D5171B" w:rsidRPr="008956CA">
        <w:rPr>
          <w:rFonts w:ascii="Times New Roman" w:hAnsi="Times New Roman" w:cs="Times New Roman"/>
          <w:bCs/>
          <w:sz w:val="24"/>
          <w:szCs w:val="24"/>
        </w:rPr>
        <w:t xml:space="preserve">clarification that </w:t>
      </w:r>
      <w:r w:rsidR="00D11C70" w:rsidRPr="008956CA">
        <w:rPr>
          <w:rFonts w:ascii="Times New Roman" w:hAnsi="Times New Roman" w:cs="Times New Roman"/>
          <w:bCs/>
          <w:sz w:val="24"/>
          <w:szCs w:val="24"/>
        </w:rPr>
        <w:t xml:space="preserve">the appropriateness of restrictions under Article 21 </w:t>
      </w:r>
      <w:r w:rsidR="00A66C18" w:rsidRPr="008956CA">
        <w:rPr>
          <w:rFonts w:ascii="Times New Roman" w:hAnsi="Times New Roman" w:cs="Times New Roman"/>
          <w:bCs/>
          <w:sz w:val="24"/>
          <w:szCs w:val="24"/>
        </w:rPr>
        <w:t xml:space="preserve">may </w:t>
      </w:r>
      <w:r w:rsidR="00D11C70" w:rsidRPr="008956CA">
        <w:rPr>
          <w:rFonts w:ascii="Times New Roman" w:hAnsi="Times New Roman" w:cs="Times New Roman"/>
          <w:bCs/>
          <w:sz w:val="24"/>
          <w:szCs w:val="24"/>
        </w:rPr>
        <w:t>depend on the location of the peaceful assembly.</w:t>
      </w:r>
    </w:p>
    <w:p w14:paraId="58B8DFAB" w14:textId="7CAC8D2D" w:rsidR="00B40A3A" w:rsidRPr="008956CA" w:rsidRDefault="00404912" w:rsidP="00870D0A">
      <w:pPr>
        <w:spacing w:before="100" w:beforeAutospacing="1" w:after="100" w:afterAutospacing="1" w:line="240" w:lineRule="auto"/>
        <w:rPr>
          <w:rFonts w:ascii="Times New Roman" w:hAnsi="Times New Roman" w:cs="Times New Roman"/>
          <w:bCs/>
          <w:sz w:val="24"/>
          <w:szCs w:val="24"/>
        </w:rPr>
      </w:pPr>
      <w:r w:rsidRPr="008956CA">
        <w:rPr>
          <w:rFonts w:ascii="Times New Roman" w:hAnsi="Times New Roman" w:cs="Times New Roman"/>
          <w:bCs/>
          <w:sz w:val="24"/>
          <w:szCs w:val="24"/>
        </w:rPr>
        <w:t>17</w:t>
      </w:r>
      <w:r w:rsidR="00B40A3A" w:rsidRPr="008956CA">
        <w:rPr>
          <w:rFonts w:ascii="Times New Roman" w:hAnsi="Times New Roman" w:cs="Times New Roman"/>
          <w:bCs/>
          <w:sz w:val="24"/>
          <w:szCs w:val="24"/>
        </w:rPr>
        <w:t xml:space="preserve">. </w:t>
      </w:r>
      <w:r w:rsidR="00C32FB3" w:rsidRPr="008956CA">
        <w:rPr>
          <w:rFonts w:ascii="Times New Roman" w:hAnsi="Times New Roman" w:cs="Times New Roman"/>
          <w:bCs/>
          <w:sz w:val="24"/>
          <w:szCs w:val="24"/>
        </w:rPr>
        <w:t xml:space="preserve">Disruptions: </w:t>
      </w:r>
      <w:r w:rsidR="00B40A3A" w:rsidRPr="008956CA">
        <w:rPr>
          <w:rFonts w:ascii="Times New Roman" w:hAnsi="Times New Roman" w:cs="Times New Roman"/>
          <w:bCs/>
          <w:sz w:val="24"/>
          <w:szCs w:val="24"/>
        </w:rPr>
        <w:t xml:space="preserve">In paragraph 7, the Committee correctly observes that the disruption of vehicular or pedestrian traffic or economic activity does not necessarily call into question the protection such </w:t>
      </w:r>
      <w:r w:rsidR="00A726DE" w:rsidRPr="008956CA">
        <w:rPr>
          <w:rFonts w:ascii="Times New Roman" w:hAnsi="Times New Roman" w:cs="Times New Roman"/>
          <w:bCs/>
          <w:sz w:val="24"/>
          <w:szCs w:val="24"/>
        </w:rPr>
        <w:t>(</w:t>
      </w:r>
      <w:r w:rsidR="00B40A3A" w:rsidRPr="008956CA">
        <w:rPr>
          <w:rFonts w:ascii="Times New Roman" w:hAnsi="Times New Roman" w:cs="Times New Roman"/>
          <w:bCs/>
          <w:sz w:val="24"/>
          <w:szCs w:val="24"/>
        </w:rPr>
        <w:t>peaceful</w:t>
      </w:r>
      <w:r w:rsidR="00A726DE" w:rsidRPr="008956CA">
        <w:rPr>
          <w:rFonts w:ascii="Times New Roman" w:hAnsi="Times New Roman" w:cs="Times New Roman"/>
          <w:bCs/>
          <w:sz w:val="24"/>
          <w:szCs w:val="24"/>
        </w:rPr>
        <w:t xml:space="preserve">) </w:t>
      </w:r>
      <w:r w:rsidR="00B40A3A" w:rsidRPr="008956CA">
        <w:rPr>
          <w:rFonts w:ascii="Times New Roman" w:hAnsi="Times New Roman" w:cs="Times New Roman"/>
          <w:bCs/>
          <w:sz w:val="24"/>
          <w:szCs w:val="24"/>
        </w:rPr>
        <w:t>assemblies should enjoy</w:t>
      </w:r>
      <w:r w:rsidR="00B54807" w:rsidRPr="008956CA">
        <w:rPr>
          <w:rFonts w:ascii="Times New Roman" w:hAnsi="Times New Roman" w:cs="Times New Roman"/>
          <w:bCs/>
          <w:sz w:val="24"/>
          <w:szCs w:val="24"/>
        </w:rPr>
        <w:t>.  The United States believes that this paragraph could be clarified by stating that any risks such assemblies may cause should be managed in a manner consistent with the permissible limitations in Article 21 itself and other provisions in the Covenant</w:t>
      </w:r>
      <w:r w:rsidR="007D08E1" w:rsidRPr="008956CA">
        <w:rPr>
          <w:rFonts w:ascii="Times New Roman" w:hAnsi="Times New Roman" w:cs="Times New Roman"/>
          <w:bCs/>
          <w:sz w:val="24"/>
          <w:szCs w:val="24"/>
        </w:rPr>
        <w:t>, rather than using the phrase “human rights framework</w:t>
      </w:r>
      <w:r w:rsidR="006B463C">
        <w:rPr>
          <w:rFonts w:ascii="Times New Roman" w:hAnsi="Times New Roman" w:cs="Times New Roman"/>
          <w:bCs/>
          <w:sz w:val="24"/>
          <w:szCs w:val="24"/>
        </w:rPr>
        <w:t>.</w:t>
      </w:r>
      <w:r w:rsidR="007D08E1" w:rsidRPr="008956CA">
        <w:rPr>
          <w:rFonts w:ascii="Times New Roman" w:hAnsi="Times New Roman" w:cs="Times New Roman"/>
          <w:bCs/>
          <w:sz w:val="24"/>
          <w:szCs w:val="24"/>
        </w:rPr>
        <w:t>”</w:t>
      </w:r>
      <w:r w:rsidR="00B54807" w:rsidRPr="008956CA">
        <w:rPr>
          <w:rFonts w:ascii="Times New Roman" w:hAnsi="Times New Roman" w:cs="Times New Roman"/>
          <w:bCs/>
          <w:sz w:val="24"/>
          <w:szCs w:val="24"/>
        </w:rPr>
        <w:t xml:space="preserve">  The phrase “human rights framework” is not well-defined.</w:t>
      </w:r>
    </w:p>
    <w:p w14:paraId="748D435D" w14:textId="7C6487AE" w:rsidR="00DF6C4C" w:rsidRPr="008956CA" w:rsidRDefault="00404912" w:rsidP="00870D0A">
      <w:pPr>
        <w:spacing w:before="100" w:beforeAutospacing="1" w:after="100" w:afterAutospacing="1" w:line="240" w:lineRule="auto"/>
        <w:rPr>
          <w:rFonts w:ascii="Times New Roman" w:hAnsi="Times New Roman" w:cs="Times New Roman"/>
          <w:bCs/>
          <w:sz w:val="24"/>
          <w:szCs w:val="24"/>
        </w:rPr>
      </w:pPr>
      <w:r w:rsidRPr="008956CA">
        <w:rPr>
          <w:rFonts w:ascii="Times New Roman" w:hAnsi="Times New Roman" w:cs="Times New Roman"/>
          <w:bCs/>
          <w:sz w:val="24"/>
          <w:szCs w:val="24"/>
        </w:rPr>
        <w:t>18</w:t>
      </w:r>
      <w:r w:rsidR="00DF6C4C" w:rsidRPr="008956CA">
        <w:rPr>
          <w:rFonts w:ascii="Times New Roman" w:hAnsi="Times New Roman" w:cs="Times New Roman"/>
          <w:bCs/>
          <w:sz w:val="24"/>
          <w:szCs w:val="24"/>
        </w:rPr>
        <w:t>. Permitting vs. Prior Notification</w:t>
      </w:r>
      <w:r w:rsidR="00D67AD8" w:rsidRPr="008956CA">
        <w:rPr>
          <w:rFonts w:ascii="Times New Roman" w:hAnsi="Times New Roman" w:cs="Times New Roman"/>
          <w:bCs/>
          <w:sz w:val="24"/>
          <w:szCs w:val="24"/>
        </w:rPr>
        <w:t xml:space="preserve">: The United States believes that permitting regimes are </w:t>
      </w:r>
      <w:r w:rsidR="00A22695" w:rsidRPr="008956CA">
        <w:rPr>
          <w:rFonts w:ascii="Times New Roman" w:hAnsi="Times New Roman" w:cs="Times New Roman"/>
          <w:bCs/>
          <w:sz w:val="24"/>
          <w:szCs w:val="24"/>
        </w:rPr>
        <w:t xml:space="preserve">consistent with Article 21 so long as they do not delegate overly broad licensing discretion to </w:t>
      </w:r>
      <w:r w:rsidR="00A22695" w:rsidRPr="008956CA">
        <w:rPr>
          <w:rFonts w:ascii="Times New Roman" w:hAnsi="Times New Roman" w:cs="Times New Roman"/>
          <w:bCs/>
          <w:sz w:val="24"/>
          <w:szCs w:val="24"/>
        </w:rPr>
        <w:lastRenderedPageBreak/>
        <w:t>government officials, are narrowly tailored to serve a significant government interest, and leave open ample alternatives for communication.</w:t>
      </w:r>
      <w:r w:rsidR="00A22695" w:rsidRPr="008956CA">
        <w:rPr>
          <w:rStyle w:val="FootnoteReference"/>
          <w:rFonts w:ascii="Times New Roman" w:hAnsi="Times New Roman" w:cs="Times New Roman"/>
          <w:bCs/>
          <w:sz w:val="24"/>
          <w:szCs w:val="24"/>
        </w:rPr>
        <w:footnoteReference w:id="16"/>
      </w:r>
      <w:r w:rsidR="00A22695" w:rsidRPr="008956CA">
        <w:rPr>
          <w:rFonts w:ascii="Times New Roman" w:hAnsi="Times New Roman" w:cs="Times New Roman"/>
          <w:bCs/>
          <w:sz w:val="24"/>
          <w:szCs w:val="24"/>
        </w:rPr>
        <w:t xml:space="preserve">  </w:t>
      </w:r>
      <w:r w:rsidR="00DA4A68" w:rsidRPr="008956CA">
        <w:rPr>
          <w:rFonts w:ascii="Times New Roman" w:hAnsi="Times New Roman" w:cs="Times New Roman"/>
          <w:bCs/>
          <w:sz w:val="24"/>
          <w:szCs w:val="24"/>
        </w:rPr>
        <w:t xml:space="preserve">They should not discriminate on the basis of the viewpoint of the speakers or organizers or the content of their speech or message unless such restrictions </w:t>
      </w:r>
      <w:r w:rsidR="00A66C18" w:rsidRPr="008956CA">
        <w:rPr>
          <w:rFonts w:ascii="Times New Roman" w:hAnsi="Times New Roman" w:cs="Times New Roman"/>
          <w:bCs/>
          <w:sz w:val="24"/>
          <w:szCs w:val="24"/>
        </w:rPr>
        <w:t xml:space="preserve">comply with the strict tests set out in </w:t>
      </w:r>
      <w:r w:rsidR="00DA4A68" w:rsidRPr="008956CA">
        <w:rPr>
          <w:rFonts w:ascii="Times New Roman" w:hAnsi="Times New Roman" w:cs="Times New Roman"/>
          <w:bCs/>
          <w:sz w:val="24"/>
          <w:szCs w:val="24"/>
        </w:rPr>
        <w:t xml:space="preserve">Articles 19(3) and 21 of the Covenant.  </w:t>
      </w:r>
      <w:r w:rsidR="00D5171B" w:rsidRPr="008956CA">
        <w:rPr>
          <w:rFonts w:ascii="Times New Roman" w:hAnsi="Times New Roman" w:cs="Times New Roman"/>
          <w:bCs/>
          <w:sz w:val="24"/>
          <w:szCs w:val="24"/>
        </w:rPr>
        <w:t xml:space="preserve">In general, permitting regimes should provide for flexibility where a peaceful assembly is responding to </w:t>
      </w:r>
      <w:r w:rsidR="00990940" w:rsidRPr="008956CA">
        <w:rPr>
          <w:rFonts w:ascii="Times New Roman" w:hAnsi="Times New Roman" w:cs="Times New Roman"/>
          <w:bCs/>
          <w:sz w:val="24"/>
          <w:szCs w:val="24"/>
        </w:rPr>
        <w:t xml:space="preserve">emerging </w:t>
      </w:r>
      <w:r w:rsidR="00D5171B" w:rsidRPr="008956CA">
        <w:rPr>
          <w:rFonts w:ascii="Times New Roman" w:hAnsi="Times New Roman" w:cs="Times New Roman"/>
          <w:bCs/>
          <w:sz w:val="24"/>
          <w:szCs w:val="24"/>
        </w:rPr>
        <w:t>current events.</w:t>
      </w:r>
      <w:r w:rsidR="00F75268" w:rsidRPr="008956CA">
        <w:rPr>
          <w:rFonts w:ascii="Times New Roman" w:hAnsi="Times New Roman" w:cs="Times New Roman"/>
          <w:bCs/>
          <w:sz w:val="24"/>
          <w:szCs w:val="24"/>
        </w:rPr>
        <w:t xml:space="preserve">  </w:t>
      </w:r>
    </w:p>
    <w:p w14:paraId="5BB30260" w14:textId="7A784521" w:rsidR="00E274BA" w:rsidRPr="008956CA" w:rsidRDefault="00404912" w:rsidP="00A240C6">
      <w:pPr>
        <w:spacing w:before="100" w:beforeAutospacing="1" w:after="100" w:afterAutospacing="1" w:line="240" w:lineRule="auto"/>
        <w:rPr>
          <w:rFonts w:ascii="Times New Roman" w:hAnsi="Times New Roman" w:cs="Times New Roman"/>
          <w:sz w:val="24"/>
          <w:szCs w:val="24"/>
          <w:shd w:val="clear" w:color="auto" w:fill="FFFFFF"/>
        </w:rPr>
      </w:pPr>
      <w:r w:rsidRPr="008956CA">
        <w:rPr>
          <w:rFonts w:ascii="Times New Roman" w:hAnsi="Times New Roman" w:cs="Times New Roman"/>
          <w:sz w:val="24"/>
          <w:szCs w:val="24"/>
          <w:shd w:val="clear" w:color="auto" w:fill="FFFFFF"/>
        </w:rPr>
        <w:t>19</w:t>
      </w:r>
      <w:r w:rsidR="00E274BA" w:rsidRPr="008956CA">
        <w:rPr>
          <w:rFonts w:ascii="Times New Roman" w:hAnsi="Times New Roman" w:cs="Times New Roman"/>
          <w:sz w:val="24"/>
          <w:szCs w:val="24"/>
          <w:shd w:val="clear" w:color="auto" w:fill="FFFFFF"/>
        </w:rPr>
        <w:t xml:space="preserve">.  </w:t>
      </w:r>
      <w:r w:rsidR="00C32FB3" w:rsidRPr="008956CA">
        <w:rPr>
          <w:rFonts w:ascii="Times New Roman" w:hAnsi="Times New Roman" w:cs="Times New Roman"/>
          <w:sz w:val="24"/>
          <w:szCs w:val="24"/>
          <w:shd w:val="clear" w:color="auto" w:fill="FFFFFF"/>
        </w:rPr>
        <w:t xml:space="preserve">Proportionality: </w:t>
      </w:r>
      <w:r w:rsidR="00E274BA" w:rsidRPr="008956CA">
        <w:rPr>
          <w:rFonts w:ascii="Times New Roman" w:hAnsi="Times New Roman" w:cs="Times New Roman"/>
          <w:sz w:val="24"/>
          <w:szCs w:val="24"/>
          <w:shd w:val="clear" w:color="auto" w:fill="FFFFFF"/>
        </w:rPr>
        <w:t xml:space="preserve">The Comment articulates </w:t>
      </w:r>
      <w:proofErr w:type="gramStart"/>
      <w:r w:rsidR="00E274BA" w:rsidRPr="008956CA">
        <w:rPr>
          <w:rFonts w:ascii="Times New Roman" w:hAnsi="Times New Roman" w:cs="Times New Roman"/>
          <w:sz w:val="24"/>
          <w:szCs w:val="24"/>
          <w:shd w:val="clear" w:color="auto" w:fill="FFFFFF"/>
        </w:rPr>
        <w:t>a number of</w:t>
      </w:r>
      <w:proofErr w:type="gramEnd"/>
      <w:r w:rsidR="00E274BA" w:rsidRPr="008956CA">
        <w:rPr>
          <w:rFonts w:ascii="Times New Roman" w:hAnsi="Times New Roman" w:cs="Times New Roman"/>
          <w:sz w:val="24"/>
          <w:szCs w:val="24"/>
          <w:shd w:val="clear" w:color="auto" w:fill="FFFFFF"/>
        </w:rPr>
        <w:t xml:space="preserve"> standards for when limitations on peaceful assembly are permissible.  For example</w:t>
      </w:r>
      <w:r w:rsidR="00A240C6" w:rsidRPr="008956CA">
        <w:rPr>
          <w:rFonts w:ascii="Times New Roman" w:hAnsi="Times New Roman" w:cs="Times New Roman"/>
          <w:sz w:val="24"/>
          <w:szCs w:val="24"/>
          <w:shd w:val="clear" w:color="auto" w:fill="FFFFFF"/>
        </w:rPr>
        <w:t xml:space="preserve">, </w:t>
      </w:r>
      <w:r w:rsidR="00A66C18" w:rsidRPr="008956CA">
        <w:rPr>
          <w:rFonts w:ascii="Times New Roman" w:hAnsi="Times New Roman" w:cs="Times New Roman"/>
          <w:sz w:val="24"/>
          <w:szCs w:val="24"/>
          <w:shd w:val="clear" w:color="auto" w:fill="FFFFFF"/>
        </w:rPr>
        <w:t xml:space="preserve">in </w:t>
      </w:r>
      <w:r w:rsidR="00A240C6" w:rsidRPr="008956CA">
        <w:rPr>
          <w:rFonts w:ascii="Times New Roman" w:hAnsi="Times New Roman" w:cs="Times New Roman"/>
          <w:sz w:val="24"/>
          <w:szCs w:val="24"/>
          <w:shd w:val="clear" w:color="auto" w:fill="FFFFFF"/>
        </w:rPr>
        <w:t>p</w:t>
      </w:r>
      <w:r w:rsidR="000C46A4" w:rsidRPr="008956CA">
        <w:rPr>
          <w:rFonts w:ascii="Times New Roman" w:hAnsi="Times New Roman" w:cs="Times New Roman"/>
          <w:sz w:val="24"/>
          <w:szCs w:val="24"/>
        </w:rPr>
        <w:t>aragraph</w:t>
      </w:r>
      <w:r w:rsidR="00E274BA" w:rsidRPr="008956CA">
        <w:rPr>
          <w:rFonts w:ascii="Times New Roman" w:hAnsi="Times New Roman" w:cs="Times New Roman"/>
          <w:sz w:val="24"/>
          <w:szCs w:val="24"/>
        </w:rPr>
        <w:t xml:space="preserve"> 40</w:t>
      </w:r>
      <w:r w:rsidR="00A240C6" w:rsidRPr="008956CA">
        <w:rPr>
          <w:rFonts w:ascii="Times New Roman" w:hAnsi="Times New Roman" w:cs="Times New Roman"/>
          <w:sz w:val="24"/>
          <w:szCs w:val="24"/>
        </w:rPr>
        <w:t>, the draft General Comment states,</w:t>
      </w:r>
      <w:r w:rsidR="00E274BA" w:rsidRPr="008956CA">
        <w:rPr>
          <w:rFonts w:ascii="Times New Roman" w:hAnsi="Times New Roman" w:cs="Times New Roman"/>
          <w:sz w:val="24"/>
          <w:szCs w:val="24"/>
        </w:rPr>
        <w:t xml:space="preserve"> </w:t>
      </w:r>
      <w:r w:rsidR="00A240C6" w:rsidRPr="008956CA">
        <w:rPr>
          <w:rFonts w:ascii="Times New Roman" w:hAnsi="Times New Roman" w:cs="Times New Roman"/>
          <w:sz w:val="24"/>
          <w:szCs w:val="24"/>
        </w:rPr>
        <w:t>“</w:t>
      </w:r>
      <w:r w:rsidR="00E274BA" w:rsidRPr="008956CA">
        <w:rPr>
          <w:rFonts w:ascii="Times New Roman" w:hAnsi="Times New Roman" w:cs="Times New Roman"/>
          <w:sz w:val="24"/>
          <w:szCs w:val="24"/>
        </w:rPr>
        <w:t>Restrictions are not permissible unless they can be shown to have been provided for by law, and are necessary and proportionate to the permissible grounds for restrictions enumerated in article 21</w:t>
      </w:r>
      <w:r w:rsidR="00A240C6" w:rsidRPr="008956CA">
        <w:rPr>
          <w:rFonts w:ascii="Times New Roman" w:hAnsi="Times New Roman" w:cs="Times New Roman"/>
          <w:sz w:val="24"/>
          <w:szCs w:val="24"/>
        </w:rPr>
        <w:t>” and in paragraph 43, the draft General Comment s</w:t>
      </w:r>
      <w:r w:rsidR="003C13FF">
        <w:rPr>
          <w:rFonts w:ascii="Times New Roman" w:hAnsi="Times New Roman" w:cs="Times New Roman"/>
          <w:sz w:val="24"/>
          <w:szCs w:val="24"/>
        </w:rPr>
        <w:t>tates</w:t>
      </w:r>
      <w:r w:rsidR="00A240C6" w:rsidRPr="008956CA">
        <w:rPr>
          <w:rFonts w:ascii="Times New Roman" w:hAnsi="Times New Roman" w:cs="Times New Roman"/>
          <w:sz w:val="24"/>
          <w:szCs w:val="24"/>
        </w:rPr>
        <w:t>, “</w:t>
      </w:r>
      <w:r w:rsidR="00E012B7" w:rsidRPr="008956CA">
        <w:rPr>
          <w:rFonts w:ascii="Times New Roman" w:hAnsi="Times New Roman" w:cs="Times New Roman"/>
          <w:sz w:val="24"/>
          <w:szCs w:val="24"/>
        </w:rPr>
        <w:t xml:space="preserve">Article 21 spells out a </w:t>
      </w:r>
      <w:r w:rsidR="00E012B7" w:rsidRPr="008956CA">
        <w:rPr>
          <w:rFonts w:ascii="Times New Roman" w:hAnsi="Times New Roman" w:cs="Times New Roman"/>
          <w:i/>
          <w:iCs/>
          <w:sz w:val="24"/>
          <w:szCs w:val="24"/>
        </w:rPr>
        <w:t xml:space="preserve">general framework </w:t>
      </w:r>
      <w:r w:rsidR="00E012B7" w:rsidRPr="008956CA">
        <w:rPr>
          <w:rFonts w:ascii="Times New Roman" w:hAnsi="Times New Roman" w:cs="Times New Roman"/>
          <w:sz w:val="24"/>
          <w:szCs w:val="24"/>
        </w:rPr>
        <w:t xml:space="preserve">which </w:t>
      </w:r>
      <w:r w:rsidR="00E274BA" w:rsidRPr="008956CA">
        <w:rPr>
          <w:rFonts w:ascii="Times New Roman" w:hAnsi="Times New Roman" w:cs="Times New Roman"/>
          <w:sz w:val="24"/>
          <w:szCs w:val="24"/>
        </w:rPr>
        <w:t>any restrictions on the right of peaceful assembly must meet, namely the cumulative requirements of legality, necessity and proportionality</w:t>
      </w:r>
      <w:r w:rsidR="000C46A4" w:rsidRPr="008956CA">
        <w:rPr>
          <w:rFonts w:ascii="Times New Roman" w:hAnsi="Times New Roman" w:cs="Times New Roman"/>
          <w:sz w:val="24"/>
          <w:szCs w:val="24"/>
        </w:rPr>
        <w:t xml:space="preserve"> . . . .</w:t>
      </w:r>
      <w:r w:rsidR="00A240C6" w:rsidRPr="008956CA">
        <w:rPr>
          <w:rFonts w:ascii="Times New Roman" w:hAnsi="Times New Roman" w:cs="Times New Roman"/>
          <w:sz w:val="24"/>
          <w:szCs w:val="24"/>
        </w:rPr>
        <w:t>”</w:t>
      </w:r>
    </w:p>
    <w:p w14:paraId="62224C5F" w14:textId="57FD24E7" w:rsidR="00E274BA" w:rsidRPr="008956CA" w:rsidRDefault="00404912" w:rsidP="00870D0A">
      <w:pPr>
        <w:spacing w:before="100" w:beforeAutospacing="1" w:after="100" w:afterAutospacing="1" w:line="240" w:lineRule="auto"/>
        <w:rPr>
          <w:rFonts w:ascii="Times New Roman" w:hAnsi="Times New Roman" w:cs="Times New Roman"/>
          <w:sz w:val="24"/>
          <w:szCs w:val="24"/>
          <w:shd w:val="clear" w:color="auto" w:fill="FFFFFF"/>
        </w:rPr>
      </w:pPr>
      <w:r w:rsidRPr="008956CA">
        <w:rPr>
          <w:rFonts w:ascii="Times New Roman" w:hAnsi="Times New Roman" w:cs="Times New Roman"/>
          <w:sz w:val="24"/>
          <w:szCs w:val="24"/>
          <w:shd w:val="clear" w:color="auto" w:fill="FFFFFF"/>
        </w:rPr>
        <w:t>20</w:t>
      </w:r>
      <w:r w:rsidR="00A726DE" w:rsidRPr="008956CA">
        <w:rPr>
          <w:rFonts w:ascii="Times New Roman" w:hAnsi="Times New Roman" w:cs="Times New Roman"/>
          <w:sz w:val="24"/>
          <w:szCs w:val="24"/>
          <w:shd w:val="clear" w:color="auto" w:fill="FFFFFF"/>
        </w:rPr>
        <w:t xml:space="preserve">. </w:t>
      </w:r>
      <w:r w:rsidR="00E274BA" w:rsidRPr="008956CA">
        <w:rPr>
          <w:rFonts w:ascii="Times New Roman" w:hAnsi="Times New Roman" w:cs="Times New Roman"/>
          <w:sz w:val="24"/>
          <w:szCs w:val="24"/>
          <w:shd w:val="clear" w:color="auto" w:fill="FFFFFF"/>
        </w:rPr>
        <w:t xml:space="preserve">The United States respectfully submits that </w:t>
      </w:r>
      <w:r w:rsidR="007D08E1" w:rsidRPr="008956CA">
        <w:rPr>
          <w:rFonts w:ascii="Times New Roman" w:hAnsi="Times New Roman" w:cs="Times New Roman"/>
          <w:sz w:val="24"/>
          <w:szCs w:val="24"/>
          <w:shd w:val="clear" w:color="auto" w:fill="FFFFFF"/>
        </w:rPr>
        <w:t xml:space="preserve">these standards are not sound because they are not grounded in the treaty text.  Under </w:t>
      </w:r>
      <w:r w:rsidR="00236383" w:rsidRPr="008956CA">
        <w:rPr>
          <w:rFonts w:ascii="Times New Roman" w:hAnsi="Times New Roman" w:cs="Times New Roman"/>
          <w:sz w:val="24"/>
          <w:szCs w:val="24"/>
          <w:shd w:val="clear" w:color="auto" w:fill="FFFFFF"/>
        </w:rPr>
        <w:t>A</w:t>
      </w:r>
      <w:r w:rsidR="007D08E1" w:rsidRPr="008956CA">
        <w:rPr>
          <w:rFonts w:ascii="Times New Roman" w:hAnsi="Times New Roman" w:cs="Times New Roman"/>
          <w:sz w:val="24"/>
          <w:szCs w:val="24"/>
          <w:shd w:val="clear" w:color="auto" w:fill="FFFFFF"/>
        </w:rPr>
        <w:t xml:space="preserve">rticle 21, </w:t>
      </w:r>
      <w:r w:rsidR="00E274BA" w:rsidRPr="008956CA">
        <w:rPr>
          <w:rFonts w:ascii="Times New Roman" w:hAnsi="Times New Roman" w:cs="Times New Roman"/>
          <w:sz w:val="24"/>
          <w:szCs w:val="24"/>
          <w:shd w:val="clear" w:color="auto" w:fill="FFFFFF"/>
        </w:rPr>
        <w:t xml:space="preserve">the only circumstances in which peaceful assembly may be restricted is when the restriction is 1) imposed in conformity with law and 2) necessary in a democratic society in the interests of a) national security or public safety; b) public order; c) the protection of public health or morals; or d) the protection of the rights and freedoms of others.  </w:t>
      </w:r>
    </w:p>
    <w:p w14:paraId="4108BBE0" w14:textId="25E8DA7C" w:rsidR="000E003B" w:rsidRPr="008956CA" w:rsidRDefault="00404912" w:rsidP="00870D0A">
      <w:pPr>
        <w:spacing w:before="100" w:beforeAutospacing="1" w:after="100" w:afterAutospacing="1" w:line="240" w:lineRule="auto"/>
        <w:rPr>
          <w:rFonts w:ascii="Times New Roman" w:hAnsi="Times New Roman" w:cs="Times New Roman"/>
          <w:sz w:val="24"/>
          <w:szCs w:val="24"/>
          <w:shd w:val="clear" w:color="auto" w:fill="FFFFFF"/>
        </w:rPr>
      </w:pPr>
      <w:r w:rsidRPr="008956CA">
        <w:rPr>
          <w:rFonts w:ascii="Times New Roman" w:hAnsi="Times New Roman" w:cs="Times New Roman"/>
          <w:sz w:val="24"/>
          <w:szCs w:val="24"/>
          <w:shd w:val="clear" w:color="auto" w:fill="FFFFFF"/>
        </w:rPr>
        <w:t>21</w:t>
      </w:r>
      <w:r w:rsidR="00A726DE" w:rsidRPr="008956CA">
        <w:rPr>
          <w:rFonts w:ascii="Times New Roman" w:hAnsi="Times New Roman" w:cs="Times New Roman"/>
          <w:sz w:val="24"/>
          <w:szCs w:val="24"/>
          <w:shd w:val="clear" w:color="auto" w:fill="FFFFFF"/>
        </w:rPr>
        <w:t>. As noted above, t</w:t>
      </w:r>
      <w:r w:rsidR="000E003B" w:rsidRPr="008956CA">
        <w:rPr>
          <w:rFonts w:ascii="Times New Roman" w:hAnsi="Times New Roman" w:cs="Times New Roman"/>
          <w:sz w:val="24"/>
          <w:szCs w:val="24"/>
          <w:shd w:val="clear" w:color="auto" w:fill="FFFFFF"/>
        </w:rPr>
        <w:t>he United States believes that Article 21 provides a</w:t>
      </w:r>
      <w:r w:rsidR="007B1C09" w:rsidRPr="008956CA">
        <w:rPr>
          <w:rFonts w:ascii="Times New Roman" w:hAnsi="Times New Roman" w:cs="Times New Roman"/>
          <w:sz w:val="24"/>
          <w:szCs w:val="24"/>
          <w:shd w:val="clear" w:color="auto" w:fill="FFFFFF"/>
        </w:rPr>
        <w:t xml:space="preserve"> strict and</w:t>
      </w:r>
      <w:r w:rsidR="000E003B" w:rsidRPr="008956CA">
        <w:rPr>
          <w:rFonts w:ascii="Times New Roman" w:hAnsi="Times New Roman" w:cs="Times New Roman"/>
          <w:sz w:val="24"/>
          <w:szCs w:val="24"/>
          <w:shd w:val="clear" w:color="auto" w:fill="FFFFFF"/>
        </w:rPr>
        <w:t xml:space="preserve"> exhaustive list of the requirements for limiting peaceful assembly.  </w:t>
      </w:r>
      <w:r w:rsidR="007B1C09" w:rsidRPr="008956CA">
        <w:rPr>
          <w:rFonts w:ascii="Times New Roman" w:hAnsi="Times New Roman" w:cs="Times New Roman"/>
          <w:sz w:val="24"/>
          <w:szCs w:val="24"/>
          <w:shd w:val="clear" w:color="auto" w:fill="FFFFFF"/>
        </w:rPr>
        <w:t>A</w:t>
      </w:r>
      <w:r w:rsidR="000E003B" w:rsidRPr="008956CA">
        <w:rPr>
          <w:rFonts w:ascii="Times New Roman" w:hAnsi="Times New Roman" w:cs="Times New Roman"/>
          <w:sz w:val="24"/>
          <w:szCs w:val="24"/>
          <w:shd w:val="clear" w:color="auto" w:fill="FFFFFF"/>
        </w:rPr>
        <w:t xml:space="preserve">s a general matter, restrictions that are truly necessary for one of the governmental interests articulated in Article 21 will not be disproportionate.  As the United States explained in its observations on </w:t>
      </w:r>
      <w:r w:rsidR="00602635" w:rsidRPr="008956CA">
        <w:rPr>
          <w:rFonts w:ascii="Times New Roman" w:hAnsi="Times New Roman" w:cs="Times New Roman"/>
          <w:sz w:val="24"/>
          <w:szCs w:val="24"/>
          <w:shd w:val="clear" w:color="auto" w:fill="FFFFFF"/>
        </w:rPr>
        <w:t xml:space="preserve">Draft </w:t>
      </w:r>
      <w:r w:rsidR="000E003B" w:rsidRPr="008956CA">
        <w:rPr>
          <w:rFonts w:ascii="Times New Roman" w:hAnsi="Times New Roman" w:cs="Times New Roman"/>
          <w:sz w:val="24"/>
          <w:szCs w:val="24"/>
          <w:shd w:val="clear" w:color="auto" w:fill="FFFFFF"/>
        </w:rPr>
        <w:t xml:space="preserve">General Comment </w:t>
      </w:r>
      <w:r w:rsidR="005E4F45">
        <w:rPr>
          <w:rFonts w:ascii="Times New Roman" w:hAnsi="Times New Roman" w:cs="Times New Roman"/>
          <w:sz w:val="24"/>
          <w:szCs w:val="24"/>
          <w:shd w:val="clear" w:color="auto" w:fill="FFFFFF"/>
        </w:rPr>
        <w:t xml:space="preserve">No. </w:t>
      </w:r>
      <w:r w:rsidR="000E003B" w:rsidRPr="008956CA">
        <w:rPr>
          <w:rFonts w:ascii="Times New Roman" w:hAnsi="Times New Roman" w:cs="Times New Roman"/>
          <w:sz w:val="24"/>
          <w:szCs w:val="24"/>
          <w:shd w:val="clear" w:color="auto" w:fill="FFFFFF"/>
        </w:rPr>
        <w:t>34</w:t>
      </w:r>
      <w:r w:rsidR="007B1C09" w:rsidRPr="008956CA">
        <w:rPr>
          <w:rFonts w:ascii="Times New Roman" w:hAnsi="Times New Roman" w:cs="Times New Roman"/>
          <w:sz w:val="24"/>
          <w:szCs w:val="24"/>
          <w:shd w:val="clear" w:color="auto" w:fill="FFFFFF"/>
        </w:rPr>
        <w:t xml:space="preserve"> regarding freedom of expression</w:t>
      </w:r>
      <w:r w:rsidR="000E003B" w:rsidRPr="008956CA">
        <w:rPr>
          <w:rFonts w:ascii="Times New Roman" w:hAnsi="Times New Roman" w:cs="Times New Roman"/>
          <w:sz w:val="24"/>
          <w:szCs w:val="24"/>
          <w:shd w:val="clear" w:color="auto" w:fill="FFFFFF"/>
        </w:rPr>
        <w:t>:</w:t>
      </w:r>
    </w:p>
    <w:p w14:paraId="6D1A1358" w14:textId="2893BBDD" w:rsidR="007B1C09" w:rsidRPr="008956CA" w:rsidRDefault="007B1C09" w:rsidP="00650BFF">
      <w:pPr>
        <w:pStyle w:val="Default"/>
        <w:spacing w:before="100" w:beforeAutospacing="1" w:after="100" w:afterAutospacing="1"/>
        <w:ind w:left="720"/>
        <w:rPr>
          <w:color w:val="auto"/>
        </w:rPr>
      </w:pPr>
      <w:r w:rsidRPr="008956CA">
        <w:rPr>
          <w:color w:val="auto"/>
        </w:rPr>
        <w:t xml:space="preserve">the Committee should also clarify that for a restriction to be “necessary,” it must be the least restrictive means for protecting one of the legitimate purposes described in </w:t>
      </w:r>
      <w:r w:rsidR="005E4F45">
        <w:rPr>
          <w:color w:val="auto"/>
        </w:rPr>
        <w:t xml:space="preserve">[Article] </w:t>
      </w:r>
      <w:r w:rsidRPr="008956CA">
        <w:rPr>
          <w:color w:val="auto"/>
        </w:rPr>
        <w:t xml:space="preserve">19(3), it cannot be overly broad, and must be narrowly tailored to prohibit the least amount of expression possible. </w:t>
      </w:r>
    </w:p>
    <w:p w14:paraId="1C64FFF2" w14:textId="697EE0B9" w:rsidR="007B1C09" w:rsidRPr="008956CA" w:rsidRDefault="007B1C09" w:rsidP="00650BFF">
      <w:pPr>
        <w:pStyle w:val="Default"/>
        <w:spacing w:before="100" w:beforeAutospacing="1" w:after="100" w:afterAutospacing="1"/>
        <w:ind w:left="720"/>
        <w:rPr>
          <w:color w:val="auto"/>
        </w:rPr>
      </w:pPr>
      <w:r w:rsidRPr="008956CA">
        <w:rPr>
          <w:color w:val="auto"/>
        </w:rPr>
        <w:t xml:space="preserve">. . .The principle of proportionality [] appears to depart from the strict test of justification [discussed earlier in draft </w:t>
      </w:r>
      <w:r w:rsidR="005E4F45">
        <w:rPr>
          <w:color w:val="auto"/>
        </w:rPr>
        <w:t>General C</w:t>
      </w:r>
      <w:r w:rsidRPr="008956CA">
        <w:rPr>
          <w:color w:val="auto"/>
        </w:rPr>
        <w:t xml:space="preserve">omment </w:t>
      </w:r>
      <w:r w:rsidR="005E4F45">
        <w:rPr>
          <w:color w:val="auto"/>
        </w:rPr>
        <w:t xml:space="preserve">No. </w:t>
      </w:r>
      <w:r w:rsidRPr="008956CA">
        <w:rPr>
          <w:color w:val="auto"/>
        </w:rPr>
        <w:t>34] and as is required for any permissible limitation of the freedom of expression under Article 19(3). The United States respectfully recommends that the Committee revise this section for greater clarity, precision reflective of the language in Article 19(3) and the principles discussed in paragraph 4 of these Observations.</w:t>
      </w:r>
      <w:r w:rsidRPr="008956CA">
        <w:rPr>
          <w:rStyle w:val="FootnoteReference"/>
          <w:color w:val="auto"/>
        </w:rPr>
        <w:footnoteReference w:id="17"/>
      </w:r>
    </w:p>
    <w:p w14:paraId="1B907D2E" w14:textId="7C033A90" w:rsidR="00E274BA" w:rsidRPr="008956CA" w:rsidRDefault="00404912" w:rsidP="00870D0A">
      <w:pPr>
        <w:spacing w:before="100" w:beforeAutospacing="1" w:after="100" w:afterAutospacing="1" w:line="240" w:lineRule="auto"/>
        <w:rPr>
          <w:rFonts w:ascii="Times New Roman" w:hAnsi="Times New Roman" w:cs="Times New Roman"/>
          <w:sz w:val="24"/>
          <w:szCs w:val="24"/>
          <w:shd w:val="clear" w:color="auto" w:fill="FFFFFF"/>
        </w:rPr>
      </w:pPr>
      <w:r w:rsidRPr="008956CA">
        <w:rPr>
          <w:rFonts w:ascii="Times New Roman" w:hAnsi="Times New Roman" w:cs="Times New Roman"/>
          <w:sz w:val="24"/>
          <w:szCs w:val="24"/>
          <w:shd w:val="clear" w:color="auto" w:fill="FFFFFF"/>
        </w:rPr>
        <w:t>22</w:t>
      </w:r>
      <w:r w:rsidR="00602A4E" w:rsidRPr="008956CA">
        <w:rPr>
          <w:rFonts w:ascii="Times New Roman" w:hAnsi="Times New Roman" w:cs="Times New Roman"/>
          <w:sz w:val="24"/>
          <w:szCs w:val="24"/>
          <w:shd w:val="clear" w:color="auto" w:fill="FFFFFF"/>
        </w:rPr>
        <w:t xml:space="preserve">. </w:t>
      </w:r>
      <w:r w:rsidR="007B1C09" w:rsidRPr="008956CA">
        <w:rPr>
          <w:rFonts w:ascii="Times New Roman" w:hAnsi="Times New Roman" w:cs="Times New Roman"/>
          <w:sz w:val="24"/>
          <w:szCs w:val="24"/>
          <w:shd w:val="clear" w:color="auto" w:fill="FFFFFF"/>
        </w:rPr>
        <w:t>Derivations from the text of the Covenant</w:t>
      </w:r>
      <w:r w:rsidR="00DF6C4C" w:rsidRPr="008956CA">
        <w:rPr>
          <w:rFonts w:ascii="Times New Roman" w:hAnsi="Times New Roman" w:cs="Times New Roman"/>
          <w:sz w:val="24"/>
          <w:szCs w:val="24"/>
          <w:shd w:val="clear" w:color="auto" w:fill="FFFFFF"/>
        </w:rPr>
        <w:t xml:space="preserve">, even for the purpose of narrowing the permissible limitations on peaceful assembly, creates precedent for derivations from the text of the Covenant </w:t>
      </w:r>
      <w:r w:rsidR="00DF6C4C" w:rsidRPr="008956CA">
        <w:rPr>
          <w:rFonts w:ascii="Times New Roman" w:hAnsi="Times New Roman" w:cs="Times New Roman"/>
          <w:sz w:val="24"/>
          <w:szCs w:val="24"/>
          <w:shd w:val="clear" w:color="auto" w:fill="FFFFFF"/>
        </w:rPr>
        <w:lastRenderedPageBreak/>
        <w:t xml:space="preserve">that </w:t>
      </w:r>
      <w:r w:rsidR="00990940" w:rsidRPr="008956CA">
        <w:rPr>
          <w:rFonts w:ascii="Times New Roman" w:hAnsi="Times New Roman" w:cs="Times New Roman"/>
          <w:sz w:val="24"/>
          <w:szCs w:val="24"/>
          <w:shd w:val="clear" w:color="auto" w:fill="FFFFFF"/>
        </w:rPr>
        <w:t>may not be</w:t>
      </w:r>
      <w:r w:rsidR="00DF6C4C" w:rsidRPr="008956CA">
        <w:rPr>
          <w:rFonts w:ascii="Times New Roman" w:hAnsi="Times New Roman" w:cs="Times New Roman"/>
          <w:sz w:val="24"/>
          <w:szCs w:val="24"/>
          <w:shd w:val="clear" w:color="auto" w:fill="FFFFFF"/>
        </w:rPr>
        <w:t xml:space="preserve"> harmless in the future.</w:t>
      </w:r>
      <w:r w:rsidR="00577886" w:rsidRPr="008956CA">
        <w:rPr>
          <w:rStyle w:val="FootnoteReference"/>
          <w:rFonts w:ascii="Times New Roman" w:hAnsi="Times New Roman" w:cs="Times New Roman"/>
          <w:sz w:val="24"/>
          <w:szCs w:val="24"/>
          <w:shd w:val="clear" w:color="auto" w:fill="FFFFFF"/>
        </w:rPr>
        <w:footnoteReference w:id="18"/>
      </w:r>
      <w:r w:rsidR="00A726DE" w:rsidRPr="008956CA">
        <w:rPr>
          <w:rFonts w:ascii="Times New Roman" w:hAnsi="Times New Roman" w:cs="Times New Roman"/>
          <w:sz w:val="24"/>
          <w:szCs w:val="24"/>
          <w:shd w:val="clear" w:color="auto" w:fill="FFFFFF"/>
        </w:rPr>
        <w:t xml:space="preserve">  The United States urges the Committee to consistently apply the strict test from Article 21 itself, rather than introducing new</w:t>
      </w:r>
      <w:r w:rsidR="00602A4E" w:rsidRPr="008956CA">
        <w:rPr>
          <w:rFonts w:ascii="Times New Roman" w:hAnsi="Times New Roman" w:cs="Times New Roman"/>
          <w:sz w:val="24"/>
          <w:szCs w:val="24"/>
          <w:shd w:val="clear" w:color="auto" w:fill="FFFFFF"/>
        </w:rPr>
        <w:t xml:space="preserve">, </w:t>
      </w:r>
      <w:proofErr w:type="spellStart"/>
      <w:r w:rsidR="00602A4E" w:rsidRPr="008956CA">
        <w:rPr>
          <w:rFonts w:ascii="Times New Roman" w:hAnsi="Times New Roman" w:cs="Times New Roman"/>
          <w:sz w:val="24"/>
          <w:szCs w:val="24"/>
          <w:shd w:val="clear" w:color="auto" w:fill="FFFFFF"/>
        </w:rPr>
        <w:t>nontextual</w:t>
      </w:r>
      <w:proofErr w:type="spellEnd"/>
      <w:r w:rsidR="00602A4E" w:rsidRPr="008956CA">
        <w:rPr>
          <w:rFonts w:ascii="Times New Roman" w:hAnsi="Times New Roman" w:cs="Times New Roman"/>
          <w:sz w:val="24"/>
          <w:szCs w:val="24"/>
          <w:shd w:val="clear" w:color="auto" w:fill="FFFFFF"/>
        </w:rPr>
        <w:t xml:space="preserve"> standards.</w:t>
      </w:r>
    </w:p>
    <w:p w14:paraId="1DDF4535" w14:textId="049F8161" w:rsidR="003A280F" w:rsidRPr="008956CA" w:rsidRDefault="00404912" w:rsidP="003A280F">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shd w:val="clear" w:color="auto" w:fill="FFFFFF"/>
        </w:rPr>
        <w:t>23</w:t>
      </w:r>
      <w:r w:rsidR="003A280F" w:rsidRPr="008956CA">
        <w:rPr>
          <w:rFonts w:ascii="Times New Roman" w:hAnsi="Times New Roman" w:cs="Times New Roman"/>
          <w:sz w:val="24"/>
          <w:szCs w:val="24"/>
          <w:shd w:val="clear" w:color="auto" w:fill="FFFFFF"/>
        </w:rPr>
        <w:t>. Similarly, in paragraph 8, the Draft states that “any restrictions [on peaceful assembly] must be narrowly drawn.</w:t>
      </w:r>
      <w:r w:rsidR="00602635" w:rsidRPr="008956CA">
        <w:rPr>
          <w:rFonts w:ascii="Times New Roman" w:hAnsi="Times New Roman" w:cs="Times New Roman"/>
          <w:sz w:val="24"/>
          <w:szCs w:val="24"/>
          <w:shd w:val="clear" w:color="auto" w:fill="FFFFFF"/>
        </w:rPr>
        <w:t>”</w:t>
      </w:r>
      <w:r w:rsidR="003A280F" w:rsidRPr="008956CA">
        <w:rPr>
          <w:rFonts w:ascii="Times New Roman" w:hAnsi="Times New Roman" w:cs="Times New Roman"/>
          <w:sz w:val="24"/>
          <w:szCs w:val="24"/>
          <w:shd w:val="clear" w:color="auto" w:fill="FFFFFF"/>
        </w:rPr>
        <w:t xml:space="preserve">  While the United States agrees </w:t>
      </w:r>
      <w:r w:rsidR="00646AF4" w:rsidRPr="008956CA">
        <w:rPr>
          <w:rFonts w:ascii="Times New Roman" w:hAnsi="Times New Roman" w:cs="Times New Roman"/>
          <w:sz w:val="24"/>
          <w:szCs w:val="24"/>
          <w:shd w:val="clear" w:color="auto" w:fill="FFFFFF"/>
        </w:rPr>
        <w:t xml:space="preserve">that </w:t>
      </w:r>
      <w:r w:rsidR="00C32FB3" w:rsidRPr="008956CA">
        <w:rPr>
          <w:rFonts w:ascii="Times New Roman" w:hAnsi="Times New Roman" w:cs="Times New Roman"/>
          <w:sz w:val="24"/>
          <w:szCs w:val="24"/>
          <w:shd w:val="clear" w:color="auto" w:fill="FFFFFF"/>
        </w:rPr>
        <w:t>Article 21 places significant limitations on any restriction the government might place on peaceful assembly</w:t>
      </w:r>
      <w:r w:rsidR="00646AF4" w:rsidRPr="008956CA">
        <w:rPr>
          <w:rFonts w:ascii="Times New Roman" w:hAnsi="Times New Roman" w:cs="Times New Roman"/>
          <w:sz w:val="24"/>
          <w:szCs w:val="24"/>
          <w:shd w:val="clear" w:color="auto" w:fill="FFFFFF"/>
        </w:rPr>
        <w:t xml:space="preserve">, the fact that a limitation is narrowly drawn does not make it lawful under Article 21.  To be permissible under Article 21, a restriction must </w:t>
      </w:r>
      <w:proofErr w:type="gramStart"/>
      <w:r w:rsidR="00646AF4" w:rsidRPr="008956CA">
        <w:rPr>
          <w:rFonts w:ascii="Times New Roman" w:hAnsi="Times New Roman" w:cs="Times New Roman"/>
          <w:sz w:val="24"/>
          <w:szCs w:val="24"/>
          <w:shd w:val="clear" w:color="auto" w:fill="FFFFFF"/>
        </w:rPr>
        <w:t>imposed</w:t>
      </w:r>
      <w:proofErr w:type="gramEnd"/>
      <w:r w:rsidR="00646AF4" w:rsidRPr="008956CA">
        <w:rPr>
          <w:rFonts w:ascii="Times New Roman" w:hAnsi="Times New Roman" w:cs="Times New Roman"/>
          <w:sz w:val="24"/>
          <w:szCs w:val="24"/>
          <w:shd w:val="clear" w:color="auto" w:fill="FFFFFF"/>
        </w:rPr>
        <w:t xml:space="preserve"> in conformity with the law and necessary</w:t>
      </w:r>
      <w:r w:rsidR="00646AF4" w:rsidRPr="008956CA">
        <w:rPr>
          <w:rFonts w:ascii="Times New Roman" w:hAnsi="Times New Roman" w:cs="Times New Roman"/>
          <w:i/>
          <w:iCs/>
          <w:sz w:val="24"/>
          <w:szCs w:val="24"/>
          <w:shd w:val="clear" w:color="auto" w:fill="FFFFFF"/>
        </w:rPr>
        <w:t xml:space="preserve"> for</w:t>
      </w:r>
      <w:r w:rsidR="00646AF4" w:rsidRPr="008956CA">
        <w:rPr>
          <w:rFonts w:ascii="Times New Roman" w:hAnsi="Times New Roman" w:cs="Times New Roman"/>
          <w:sz w:val="24"/>
          <w:szCs w:val="24"/>
        </w:rPr>
        <w:t xml:space="preserve"> one of the legitimate government interests articulated in the Article.</w:t>
      </w:r>
    </w:p>
    <w:p w14:paraId="150D74A9" w14:textId="0796CF8E" w:rsidR="005C084B" w:rsidRPr="008956CA" w:rsidRDefault="00404912" w:rsidP="00A726DE">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24</w:t>
      </w:r>
      <w:r w:rsidR="000C6304" w:rsidRPr="008956CA">
        <w:rPr>
          <w:rFonts w:ascii="Times New Roman" w:hAnsi="Times New Roman" w:cs="Times New Roman"/>
          <w:sz w:val="24"/>
          <w:szCs w:val="24"/>
        </w:rPr>
        <w:t>. Indeed, the United States believes that the Draft Comment could be strengthened by greater elaboration of the necessity prong of Article 21 rather than discussing alternat</w:t>
      </w:r>
      <w:r w:rsidR="003C13FF">
        <w:rPr>
          <w:rFonts w:ascii="Times New Roman" w:hAnsi="Times New Roman" w:cs="Times New Roman"/>
          <w:sz w:val="24"/>
          <w:szCs w:val="24"/>
        </w:rPr>
        <w:t>iv</w:t>
      </w:r>
      <w:r w:rsidR="000C6304" w:rsidRPr="008956CA">
        <w:rPr>
          <w:rFonts w:ascii="Times New Roman" w:hAnsi="Times New Roman" w:cs="Times New Roman"/>
          <w:sz w:val="24"/>
          <w:szCs w:val="24"/>
        </w:rPr>
        <w:t>e standards.  For example, in paragraph 90, the Draft Comment discusses the possibility that an assembly may need to be dis</w:t>
      </w:r>
      <w:r w:rsidR="00602635" w:rsidRPr="008956CA">
        <w:rPr>
          <w:rFonts w:ascii="Times New Roman" w:hAnsi="Times New Roman" w:cs="Times New Roman"/>
          <w:sz w:val="24"/>
          <w:szCs w:val="24"/>
        </w:rPr>
        <w:t>pe</w:t>
      </w:r>
      <w:r w:rsidR="000C6304" w:rsidRPr="008956CA">
        <w:rPr>
          <w:rFonts w:ascii="Times New Roman" w:hAnsi="Times New Roman" w:cs="Times New Roman"/>
          <w:sz w:val="24"/>
          <w:szCs w:val="24"/>
        </w:rPr>
        <w:t xml:space="preserve">rsed by law enforcement.  However, the paragraph focuses solely on the use of force, rather than alternatives to force that could achieve the same objective, such as providing a verbal warning to non-violent assembly participants. </w:t>
      </w:r>
    </w:p>
    <w:p w14:paraId="34FE0E8C" w14:textId="4DB03B2F" w:rsidR="00A726DE" w:rsidRPr="008956CA" w:rsidRDefault="00404912" w:rsidP="00A726DE">
      <w:pPr>
        <w:spacing w:before="100" w:beforeAutospacing="1" w:after="100" w:afterAutospacing="1" w:line="240" w:lineRule="auto"/>
        <w:rPr>
          <w:rFonts w:ascii="Times New Roman" w:hAnsi="Times New Roman" w:cs="Times New Roman"/>
          <w:b/>
          <w:sz w:val="24"/>
          <w:szCs w:val="24"/>
        </w:rPr>
      </w:pPr>
      <w:r w:rsidRPr="008956CA">
        <w:rPr>
          <w:rFonts w:ascii="Times New Roman" w:hAnsi="Times New Roman" w:cs="Times New Roman"/>
          <w:b/>
          <w:sz w:val="24"/>
          <w:szCs w:val="24"/>
        </w:rPr>
        <w:t>D</w:t>
      </w:r>
      <w:r w:rsidR="00A726DE" w:rsidRPr="008956CA">
        <w:rPr>
          <w:rFonts w:ascii="Times New Roman" w:hAnsi="Times New Roman" w:cs="Times New Roman"/>
          <w:b/>
          <w:sz w:val="24"/>
          <w:szCs w:val="24"/>
        </w:rPr>
        <w:t>. The Relationship Between Article 20 and Article 21</w:t>
      </w:r>
    </w:p>
    <w:p w14:paraId="1180EBE7" w14:textId="587A880E" w:rsidR="00A726DE" w:rsidRPr="008956CA" w:rsidRDefault="00404912" w:rsidP="00A726DE">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t>25</w:t>
      </w:r>
      <w:r w:rsidR="00A726DE" w:rsidRPr="008956CA">
        <w:rPr>
          <w:rFonts w:ascii="Times New Roman" w:hAnsi="Times New Roman" w:cs="Times New Roman"/>
          <w:sz w:val="24"/>
          <w:szCs w:val="24"/>
        </w:rPr>
        <w:t xml:space="preserve">. The United States has a reservation to Article 20 given its potential to be interpreted and applied in an overbroad manner.  The United States respectfully submits that the Committee’s discussion of the relationship of </w:t>
      </w:r>
      <w:r w:rsidR="00236383" w:rsidRPr="008956CA">
        <w:rPr>
          <w:rFonts w:ascii="Times New Roman" w:hAnsi="Times New Roman" w:cs="Times New Roman"/>
          <w:sz w:val="24"/>
          <w:szCs w:val="24"/>
        </w:rPr>
        <w:t>A</w:t>
      </w:r>
      <w:r w:rsidR="00A726DE" w:rsidRPr="008956CA">
        <w:rPr>
          <w:rFonts w:ascii="Times New Roman" w:hAnsi="Times New Roman" w:cs="Times New Roman"/>
          <w:sz w:val="24"/>
          <w:szCs w:val="24"/>
        </w:rPr>
        <w:t xml:space="preserve">rticles 21 and 20 should be consistent with the Committee’s discussion of </w:t>
      </w:r>
      <w:r w:rsidR="00236383" w:rsidRPr="008956CA">
        <w:rPr>
          <w:rFonts w:ascii="Times New Roman" w:hAnsi="Times New Roman" w:cs="Times New Roman"/>
          <w:sz w:val="24"/>
          <w:szCs w:val="24"/>
        </w:rPr>
        <w:t>A</w:t>
      </w:r>
      <w:r w:rsidR="00A726DE" w:rsidRPr="008956CA">
        <w:rPr>
          <w:rFonts w:ascii="Times New Roman" w:hAnsi="Times New Roman" w:cs="Times New Roman"/>
          <w:sz w:val="24"/>
          <w:szCs w:val="24"/>
        </w:rPr>
        <w:t xml:space="preserve">rticles 19 and 20 in General Comment </w:t>
      </w:r>
      <w:r w:rsidR="005007BA" w:rsidRPr="008956CA">
        <w:rPr>
          <w:rFonts w:ascii="Times New Roman" w:hAnsi="Times New Roman" w:cs="Times New Roman"/>
          <w:sz w:val="24"/>
          <w:szCs w:val="24"/>
        </w:rPr>
        <w:t xml:space="preserve">No. </w:t>
      </w:r>
      <w:r w:rsidR="00A726DE" w:rsidRPr="008956CA">
        <w:rPr>
          <w:rFonts w:ascii="Times New Roman" w:hAnsi="Times New Roman" w:cs="Times New Roman"/>
          <w:sz w:val="24"/>
          <w:szCs w:val="24"/>
        </w:rPr>
        <w:t>34</w:t>
      </w:r>
      <w:r w:rsidR="00B069BE" w:rsidRPr="008956CA">
        <w:rPr>
          <w:rFonts w:ascii="Times New Roman" w:hAnsi="Times New Roman" w:cs="Times New Roman"/>
          <w:sz w:val="24"/>
          <w:szCs w:val="24"/>
        </w:rPr>
        <w:t>, in which</w:t>
      </w:r>
      <w:r w:rsidR="00A726DE" w:rsidRPr="008956CA">
        <w:rPr>
          <w:rFonts w:ascii="Times New Roman" w:hAnsi="Times New Roman" w:cs="Times New Roman"/>
          <w:sz w:val="24"/>
          <w:szCs w:val="24"/>
        </w:rPr>
        <w:t xml:space="preserve"> the Committee wrote:</w:t>
      </w:r>
    </w:p>
    <w:p w14:paraId="19E6A4A2" w14:textId="711296FE" w:rsidR="00A726DE" w:rsidRPr="008956CA" w:rsidRDefault="00A726DE" w:rsidP="00B069BE">
      <w:pPr>
        <w:pStyle w:val="SingleTxtG"/>
        <w:spacing w:before="100" w:beforeAutospacing="1" w:line="240" w:lineRule="auto"/>
        <w:ind w:left="1138" w:right="1138"/>
        <w:rPr>
          <w:sz w:val="24"/>
          <w:szCs w:val="24"/>
        </w:rPr>
      </w:pPr>
      <w:r w:rsidRPr="008956CA">
        <w:rPr>
          <w:sz w:val="24"/>
          <w:szCs w:val="24"/>
        </w:rPr>
        <w:t>50.</w:t>
      </w:r>
      <w:r w:rsidRPr="008956CA">
        <w:rPr>
          <w:sz w:val="24"/>
          <w:szCs w:val="24"/>
        </w:rPr>
        <w:tab/>
      </w:r>
      <w:r w:rsidR="005E4F45">
        <w:rPr>
          <w:sz w:val="24"/>
          <w:szCs w:val="24"/>
        </w:rPr>
        <w:t xml:space="preserve"> </w:t>
      </w:r>
      <w:r w:rsidRPr="008956CA">
        <w:rPr>
          <w:sz w:val="24"/>
          <w:szCs w:val="24"/>
        </w:rPr>
        <w:t xml:space="preserve">Articles 19 and 20 are compatible with and complement each other. The acts that are addressed in article 20 are all subject to restriction pursuant to article 19, paragraph 3. As such, a limitation that is justified </w:t>
      </w:r>
      <w:proofErr w:type="gramStart"/>
      <w:r w:rsidRPr="008956CA">
        <w:rPr>
          <w:sz w:val="24"/>
          <w:szCs w:val="24"/>
        </w:rPr>
        <w:t>on the basis of</w:t>
      </w:r>
      <w:proofErr w:type="gramEnd"/>
      <w:r w:rsidRPr="008956CA">
        <w:rPr>
          <w:sz w:val="24"/>
          <w:szCs w:val="24"/>
        </w:rPr>
        <w:t xml:space="preserve"> article 20 must also comply with article 19, paragraph 3.</w:t>
      </w:r>
    </w:p>
    <w:p w14:paraId="404698AB" w14:textId="77777777" w:rsidR="00A726DE" w:rsidRPr="008956CA" w:rsidRDefault="00A726DE" w:rsidP="00B069BE">
      <w:pPr>
        <w:pStyle w:val="SingleTxtG"/>
        <w:tabs>
          <w:tab w:val="left" w:pos="1100"/>
        </w:tabs>
        <w:spacing w:before="100" w:beforeAutospacing="1" w:line="240" w:lineRule="auto"/>
        <w:ind w:left="1138" w:right="1138"/>
        <w:rPr>
          <w:sz w:val="24"/>
          <w:szCs w:val="24"/>
        </w:rPr>
      </w:pPr>
      <w:r w:rsidRPr="008956CA">
        <w:rPr>
          <w:sz w:val="24"/>
          <w:szCs w:val="24"/>
        </w:rPr>
        <w:t>51.</w:t>
      </w:r>
      <w:r w:rsidRPr="008956CA">
        <w:rPr>
          <w:sz w:val="24"/>
          <w:szCs w:val="24"/>
        </w:rPr>
        <w:tab/>
        <w:t xml:space="preserve"> What distinguishes the acts addressed in article 20 from other acts that may be subject to restriction under article 19, paragraph 3, is that for the acts addressed in article 20, the Covenant indicates the specific response required from the State: their prohibition by law. It is only to this extent that article 20 may be considered as </w:t>
      </w:r>
      <w:proofErr w:type="spellStart"/>
      <w:r w:rsidRPr="008956CA">
        <w:rPr>
          <w:i/>
          <w:sz w:val="24"/>
          <w:szCs w:val="24"/>
        </w:rPr>
        <w:t>lex</w:t>
      </w:r>
      <w:proofErr w:type="spellEnd"/>
      <w:r w:rsidRPr="008956CA">
        <w:rPr>
          <w:i/>
          <w:sz w:val="24"/>
          <w:szCs w:val="24"/>
        </w:rPr>
        <w:t xml:space="preserve"> </w:t>
      </w:r>
      <w:proofErr w:type="spellStart"/>
      <w:r w:rsidRPr="008956CA">
        <w:rPr>
          <w:i/>
          <w:sz w:val="24"/>
          <w:szCs w:val="24"/>
        </w:rPr>
        <w:t>specialis</w:t>
      </w:r>
      <w:proofErr w:type="spellEnd"/>
      <w:r w:rsidRPr="008956CA">
        <w:rPr>
          <w:sz w:val="24"/>
          <w:szCs w:val="24"/>
        </w:rPr>
        <w:t xml:space="preserve"> </w:t>
      </w:r>
      <w:proofErr w:type="gramStart"/>
      <w:r w:rsidRPr="008956CA">
        <w:rPr>
          <w:sz w:val="24"/>
          <w:szCs w:val="24"/>
        </w:rPr>
        <w:t>with regard to</w:t>
      </w:r>
      <w:proofErr w:type="gramEnd"/>
      <w:r w:rsidRPr="008956CA">
        <w:rPr>
          <w:sz w:val="24"/>
          <w:szCs w:val="24"/>
        </w:rPr>
        <w:t xml:space="preserve"> article 19. </w:t>
      </w:r>
    </w:p>
    <w:p w14:paraId="6F5BAC57" w14:textId="0332617B" w:rsidR="00A726DE" w:rsidRPr="008956CA" w:rsidRDefault="00A726DE" w:rsidP="00B069BE">
      <w:pPr>
        <w:pStyle w:val="SingleTxtG"/>
        <w:tabs>
          <w:tab w:val="left" w:pos="1100"/>
        </w:tabs>
        <w:spacing w:before="100" w:beforeAutospacing="1" w:line="240" w:lineRule="auto"/>
        <w:ind w:left="1138" w:right="1138"/>
        <w:rPr>
          <w:sz w:val="24"/>
          <w:szCs w:val="24"/>
        </w:rPr>
      </w:pPr>
      <w:r w:rsidRPr="008956CA">
        <w:rPr>
          <w:sz w:val="24"/>
          <w:szCs w:val="24"/>
        </w:rPr>
        <w:t>52.</w:t>
      </w:r>
      <w:r w:rsidRPr="008956CA">
        <w:rPr>
          <w:sz w:val="24"/>
          <w:szCs w:val="24"/>
        </w:rPr>
        <w:tab/>
        <w:t xml:space="preserve">It is only </w:t>
      </w:r>
      <w:proofErr w:type="gramStart"/>
      <w:r w:rsidRPr="008956CA">
        <w:rPr>
          <w:sz w:val="24"/>
          <w:szCs w:val="24"/>
        </w:rPr>
        <w:t>with regard to</w:t>
      </w:r>
      <w:proofErr w:type="gramEnd"/>
      <w:r w:rsidRPr="008956CA">
        <w:rPr>
          <w:sz w:val="24"/>
          <w:szCs w:val="24"/>
        </w:rPr>
        <w:t xml:space="preserve"> the specific forms of expression indicated in article 20 that </w:t>
      </w:r>
      <w:r w:rsidR="0018736B" w:rsidRPr="008956CA">
        <w:rPr>
          <w:sz w:val="24"/>
          <w:szCs w:val="24"/>
        </w:rPr>
        <w:t>States Parties</w:t>
      </w:r>
      <w:r w:rsidRPr="008956CA">
        <w:rPr>
          <w:sz w:val="24"/>
          <w:szCs w:val="24"/>
        </w:rPr>
        <w:t xml:space="preserve"> are obliged to have legal prohibitions. In every case in which the State restricts freedom of expression it is necessary to justify the prohibitions and their provisions in strict conformity with article 19.</w:t>
      </w:r>
      <w:r w:rsidR="005007BA" w:rsidRPr="008956CA">
        <w:rPr>
          <w:rStyle w:val="FootnoteReference"/>
          <w:sz w:val="24"/>
          <w:szCs w:val="24"/>
        </w:rPr>
        <w:footnoteReference w:id="19"/>
      </w:r>
    </w:p>
    <w:p w14:paraId="71BED13C" w14:textId="2F7C407D" w:rsidR="00990940" w:rsidRPr="008956CA" w:rsidRDefault="00404912" w:rsidP="00A726DE">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sz w:val="24"/>
          <w:szCs w:val="24"/>
        </w:rPr>
        <w:lastRenderedPageBreak/>
        <w:t>26</w:t>
      </w:r>
      <w:r w:rsidR="00A726DE" w:rsidRPr="008956CA">
        <w:rPr>
          <w:rFonts w:ascii="Times New Roman" w:hAnsi="Times New Roman" w:cs="Times New Roman"/>
          <w:sz w:val="24"/>
          <w:szCs w:val="24"/>
        </w:rPr>
        <w:t xml:space="preserve">. In particular, the Committee’s discussion of Article 20 in paragraphs 22 and 57 </w:t>
      </w:r>
      <w:r w:rsidR="00B71B01" w:rsidRPr="008956CA">
        <w:rPr>
          <w:rFonts w:ascii="Times New Roman" w:hAnsi="Times New Roman" w:cs="Times New Roman"/>
          <w:sz w:val="24"/>
          <w:szCs w:val="24"/>
        </w:rPr>
        <w:t xml:space="preserve">of the draft Comment </w:t>
      </w:r>
      <w:r w:rsidR="00A726DE" w:rsidRPr="008956CA">
        <w:rPr>
          <w:rFonts w:ascii="Times New Roman" w:hAnsi="Times New Roman" w:cs="Times New Roman"/>
          <w:sz w:val="24"/>
          <w:szCs w:val="24"/>
        </w:rPr>
        <w:t xml:space="preserve">should be revised.  In the bracketed paragraph 22, the draft Comment states that “[t]he </w:t>
      </w:r>
      <w:proofErr w:type="gramStart"/>
      <w:r w:rsidR="00A726DE" w:rsidRPr="008956CA">
        <w:rPr>
          <w:rFonts w:ascii="Times New Roman" w:hAnsi="Times New Roman" w:cs="Times New Roman"/>
          <w:sz w:val="24"/>
          <w:szCs w:val="24"/>
        </w:rPr>
        <w:t>scope</w:t>
      </w:r>
      <w:proofErr w:type="gramEnd"/>
      <w:r w:rsidR="00A726DE" w:rsidRPr="008956CA">
        <w:rPr>
          <w:rFonts w:ascii="Times New Roman" w:hAnsi="Times New Roman" w:cs="Times New Roman"/>
          <w:sz w:val="24"/>
          <w:szCs w:val="24"/>
        </w:rPr>
        <w:t xml:space="preserve"> of article 21 is </w:t>
      </w:r>
      <w:r w:rsidR="00A726DE" w:rsidRPr="008956CA">
        <w:rPr>
          <w:rFonts w:ascii="Times New Roman" w:hAnsi="Times New Roman" w:cs="Times New Roman"/>
          <w:i/>
          <w:iCs/>
          <w:sz w:val="24"/>
          <w:szCs w:val="24"/>
        </w:rPr>
        <w:t>further determined</w:t>
      </w:r>
      <w:r w:rsidR="00A726DE" w:rsidRPr="008956CA">
        <w:rPr>
          <w:rFonts w:ascii="Times New Roman" w:hAnsi="Times New Roman" w:cs="Times New Roman"/>
          <w:sz w:val="24"/>
          <w:szCs w:val="24"/>
        </w:rPr>
        <w:t xml:space="preserve"> by article 20”</w:t>
      </w:r>
      <w:r w:rsidR="00A240C6" w:rsidRPr="008956CA">
        <w:rPr>
          <w:rFonts w:ascii="Times New Roman" w:hAnsi="Times New Roman" w:cs="Times New Roman"/>
          <w:sz w:val="24"/>
          <w:szCs w:val="24"/>
        </w:rPr>
        <w:t xml:space="preserve"> (emphasis in original)</w:t>
      </w:r>
      <w:r w:rsidR="00A726DE" w:rsidRPr="008956CA">
        <w:rPr>
          <w:rFonts w:ascii="Times New Roman" w:hAnsi="Times New Roman" w:cs="Times New Roman"/>
          <w:sz w:val="24"/>
          <w:szCs w:val="24"/>
        </w:rPr>
        <w:t xml:space="preserve">.  Because, as the Committee has previously articulated, Article 20 does not expand the bases for restricting other rights in the Covenant, this paragraph should be deleted.  </w:t>
      </w:r>
    </w:p>
    <w:p w14:paraId="2AEF65BD" w14:textId="236E0D95" w:rsidR="00A726DE" w:rsidRPr="008956CA" w:rsidRDefault="00404912" w:rsidP="00A726DE">
      <w:pPr>
        <w:spacing w:before="100" w:beforeAutospacing="1" w:after="100" w:afterAutospacing="1" w:line="240" w:lineRule="auto"/>
        <w:rPr>
          <w:rFonts w:ascii="Times New Roman" w:hAnsi="Times New Roman" w:cs="Times New Roman"/>
          <w:sz w:val="24"/>
          <w:szCs w:val="24"/>
          <w:shd w:val="clear" w:color="auto" w:fill="FFFFFF"/>
        </w:rPr>
      </w:pPr>
      <w:r w:rsidRPr="008956CA">
        <w:rPr>
          <w:rFonts w:ascii="Times New Roman" w:hAnsi="Times New Roman" w:cs="Times New Roman"/>
          <w:sz w:val="24"/>
          <w:szCs w:val="24"/>
        </w:rPr>
        <w:t>27</w:t>
      </w:r>
      <w:r w:rsidR="00990940" w:rsidRPr="008956CA">
        <w:rPr>
          <w:rFonts w:ascii="Times New Roman" w:hAnsi="Times New Roman" w:cs="Times New Roman"/>
          <w:sz w:val="24"/>
          <w:szCs w:val="24"/>
        </w:rPr>
        <w:t xml:space="preserve">.  </w:t>
      </w:r>
      <w:r w:rsidR="00A726DE" w:rsidRPr="008956CA">
        <w:rPr>
          <w:rFonts w:ascii="Times New Roman" w:hAnsi="Times New Roman" w:cs="Times New Roman"/>
          <w:sz w:val="24"/>
          <w:szCs w:val="24"/>
        </w:rPr>
        <w:t xml:space="preserve">In paragraph 57, the Committee does not make any reference to the permissible limitations under Article 21 but looks only to Article 20 for its discussion of the circumstances in which an assembly must be prohibited.  Paragraph 57 should be revised to reflect the Committee’s earlier analysis of Article 20 and state explicitly that any restriction of peaceful assembly pursuant to Article 20 must also meet the requirements of Article 21, which articulates when restrictions on peaceful assembly are permitted: when they are </w:t>
      </w:r>
      <w:r w:rsidR="00A726DE" w:rsidRPr="008956CA">
        <w:rPr>
          <w:rFonts w:ascii="Times New Roman" w:hAnsi="Times New Roman" w:cs="Times New Roman"/>
          <w:sz w:val="24"/>
          <w:szCs w:val="24"/>
          <w:shd w:val="clear" w:color="auto" w:fill="FFFFFF"/>
        </w:rPr>
        <w:t>imposed in conformity with the law and which are necessary in a democratic society in the interests of national security or public safety, public order, the protection of public health or morals or the protection of the rights and freedoms of others.  As the United States made clear in its observations on Draft General Comment 34:</w:t>
      </w:r>
    </w:p>
    <w:p w14:paraId="3D1EDF4C" w14:textId="38B41F03" w:rsidR="00A726DE" w:rsidRPr="008956CA" w:rsidRDefault="00A726DE" w:rsidP="00A726DE">
      <w:pPr>
        <w:spacing w:before="100" w:beforeAutospacing="1" w:after="100" w:afterAutospacing="1" w:line="240" w:lineRule="auto"/>
        <w:ind w:left="720"/>
        <w:rPr>
          <w:rFonts w:ascii="Times New Roman" w:hAnsi="Times New Roman" w:cs="Times New Roman"/>
          <w:sz w:val="24"/>
          <w:szCs w:val="24"/>
        </w:rPr>
      </w:pPr>
      <w:r w:rsidRPr="008956CA">
        <w:rPr>
          <w:rFonts w:ascii="Times New Roman" w:hAnsi="Times New Roman" w:cs="Times New Roman"/>
          <w:sz w:val="24"/>
          <w:szCs w:val="24"/>
        </w:rPr>
        <w:t xml:space="preserve">Indeed, to protect public order or national security, it is not </w:t>
      </w:r>
      <w:r w:rsidRPr="008956CA">
        <w:rPr>
          <w:rFonts w:ascii="Times New Roman" w:hAnsi="Times New Roman"/>
          <w:i/>
          <w:sz w:val="24"/>
        </w:rPr>
        <w:t>necessary</w:t>
      </w:r>
      <w:r w:rsidRPr="008956CA">
        <w:rPr>
          <w:rFonts w:ascii="Times New Roman" w:hAnsi="Times New Roman" w:cs="Times New Roman"/>
          <w:sz w:val="24"/>
          <w:szCs w:val="24"/>
        </w:rPr>
        <w:t xml:space="preserve"> to prohibit all advocacy of racial, religious or national hatred.  There are other less restrictive (and more effective) means of protecting public order in the face of this type of expression.  For example, a combination of efforts can protect public order in the face of hateful expression: ensuring robust protections for freedom of expression of all individuals allows everyone to have a voice and to counter any offensive speech, encouraging government leaders to speak out against such speech, promoting initiatives to create environments of mutual respect and understanding, reaching out to affected communities, providing conflict-resolution services, and rigorously enforcing anti-discrimination and violent hate crimes laws to contribute to a climate of respect.  The efficacy of these types of actions in maintaining public order in the face of hostile expression negates any premise that a prohibition on advocacy of hatred, even when some may consider it amounting to incitement to hostility, discrimination or violence, is necessary for public order or national security.  In fact, there are instances in which such prohibitions can </w:t>
      </w:r>
      <w:proofErr w:type="gramStart"/>
      <w:r w:rsidRPr="008956CA">
        <w:rPr>
          <w:rFonts w:ascii="Times New Roman" w:hAnsi="Times New Roman" w:cs="Times New Roman"/>
          <w:sz w:val="24"/>
          <w:szCs w:val="24"/>
        </w:rPr>
        <w:t>actually contribute</w:t>
      </w:r>
      <w:proofErr w:type="gramEnd"/>
      <w:r w:rsidRPr="008956CA">
        <w:rPr>
          <w:rFonts w:ascii="Times New Roman" w:hAnsi="Times New Roman" w:cs="Times New Roman"/>
          <w:sz w:val="24"/>
          <w:szCs w:val="24"/>
        </w:rPr>
        <w:t xml:space="preserve"> to discrimination, hostility or violence.</w:t>
      </w:r>
      <w:r w:rsidR="007D08E1" w:rsidRPr="008956CA">
        <w:rPr>
          <w:rStyle w:val="FootnoteReference"/>
          <w:rFonts w:ascii="Times New Roman" w:hAnsi="Times New Roman" w:cs="Times New Roman"/>
          <w:sz w:val="24"/>
          <w:szCs w:val="24"/>
        </w:rPr>
        <w:footnoteReference w:id="20"/>
      </w:r>
      <w:r w:rsidRPr="008956CA">
        <w:rPr>
          <w:rFonts w:ascii="Times New Roman" w:hAnsi="Times New Roman" w:cs="Times New Roman"/>
          <w:sz w:val="24"/>
          <w:szCs w:val="24"/>
        </w:rPr>
        <w:t xml:space="preserve">  </w:t>
      </w:r>
    </w:p>
    <w:p w14:paraId="64694611" w14:textId="77777777" w:rsidR="00A726DE" w:rsidRPr="008956CA" w:rsidRDefault="00A726DE" w:rsidP="00A726DE">
      <w:pPr>
        <w:spacing w:before="100" w:beforeAutospacing="1" w:after="100" w:afterAutospacing="1" w:line="240" w:lineRule="auto"/>
        <w:rPr>
          <w:rFonts w:ascii="Times New Roman" w:hAnsi="Times New Roman" w:cs="Times New Roman"/>
          <w:bCs/>
          <w:sz w:val="24"/>
          <w:szCs w:val="24"/>
        </w:rPr>
      </w:pPr>
      <w:r w:rsidRPr="008956CA">
        <w:rPr>
          <w:rFonts w:ascii="Times New Roman" w:hAnsi="Times New Roman" w:cs="Times New Roman"/>
          <w:bCs/>
          <w:sz w:val="24"/>
          <w:szCs w:val="24"/>
        </w:rPr>
        <w:t xml:space="preserve">We strongly urge the Committee to revise the draft Comment, and </w:t>
      </w:r>
      <w:proofErr w:type="gramStart"/>
      <w:r w:rsidRPr="008956CA">
        <w:rPr>
          <w:rFonts w:ascii="Times New Roman" w:hAnsi="Times New Roman" w:cs="Times New Roman"/>
          <w:bCs/>
          <w:sz w:val="24"/>
          <w:szCs w:val="24"/>
        </w:rPr>
        <w:t>in particular paragraphs</w:t>
      </w:r>
      <w:proofErr w:type="gramEnd"/>
      <w:r w:rsidRPr="008956CA">
        <w:rPr>
          <w:rFonts w:ascii="Times New Roman" w:hAnsi="Times New Roman" w:cs="Times New Roman"/>
          <w:bCs/>
          <w:sz w:val="24"/>
          <w:szCs w:val="24"/>
        </w:rPr>
        <w:t xml:space="preserve"> 22 and 57, to reflect its past discussion of Article 20’s relationship to other rights in the Covenant.</w:t>
      </w:r>
    </w:p>
    <w:p w14:paraId="0DC410A6" w14:textId="709AACF1" w:rsidR="00A726DE" w:rsidRPr="008956CA" w:rsidRDefault="00404912" w:rsidP="00A726DE">
      <w:pPr>
        <w:spacing w:before="100" w:beforeAutospacing="1" w:after="100" w:afterAutospacing="1" w:line="240" w:lineRule="auto"/>
        <w:rPr>
          <w:rFonts w:ascii="Times New Roman" w:hAnsi="Times New Roman" w:cs="Times New Roman"/>
          <w:b/>
          <w:sz w:val="24"/>
          <w:szCs w:val="24"/>
        </w:rPr>
      </w:pPr>
      <w:r w:rsidRPr="008956CA">
        <w:rPr>
          <w:rFonts w:ascii="Times New Roman" w:hAnsi="Times New Roman" w:cs="Times New Roman"/>
          <w:b/>
          <w:sz w:val="24"/>
          <w:szCs w:val="24"/>
        </w:rPr>
        <w:t>D</w:t>
      </w:r>
      <w:r w:rsidR="00A726DE" w:rsidRPr="008956CA">
        <w:rPr>
          <w:rFonts w:ascii="Times New Roman" w:hAnsi="Times New Roman" w:cs="Times New Roman"/>
          <w:b/>
          <w:sz w:val="24"/>
          <w:szCs w:val="24"/>
        </w:rPr>
        <w:t>.  Relationship to Other Rights &amp; Provisions</w:t>
      </w:r>
    </w:p>
    <w:p w14:paraId="35BF70F8" w14:textId="0B9A4BAA" w:rsidR="00A726DE" w:rsidRPr="008956CA" w:rsidRDefault="00404912" w:rsidP="00A726DE">
      <w:pPr>
        <w:spacing w:before="100" w:beforeAutospacing="1" w:after="100" w:afterAutospacing="1" w:line="240" w:lineRule="auto"/>
        <w:rPr>
          <w:rFonts w:ascii="Times New Roman" w:hAnsi="Times New Roman" w:cs="Times New Roman"/>
          <w:bCs/>
          <w:sz w:val="24"/>
          <w:szCs w:val="24"/>
        </w:rPr>
      </w:pPr>
      <w:r w:rsidRPr="008956CA">
        <w:rPr>
          <w:rFonts w:ascii="Times New Roman" w:hAnsi="Times New Roman" w:cs="Times New Roman"/>
          <w:sz w:val="24"/>
          <w:szCs w:val="24"/>
        </w:rPr>
        <w:t>28</w:t>
      </w:r>
      <w:r w:rsidR="00A726DE" w:rsidRPr="008956CA">
        <w:rPr>
          <w:rFonts w:ascii="Times New Roman" w:hAnsi="Times New Roman" w:cs="Times New Roman"/>
          <w:sz w:val="24"/>
          <w:szCs w:val="24"/>
        </w:rPr>
        <w:t>.</w:t>
      </w:r>
      <w:r w:rsidRPr="008956CA">
        <w:rPr>
          <w:rFonts w:ascii="Times New Roman" w:hAnsi="Times New Roman" w:cs="Times New Roman"/>
          <w:sz w:val="24"/>
          <w:szCs w:val="24"/>
        </w:rPr>
        <w:t xml:space="preserve"> </w:t>
      </w:r>
      <w:r w:rsidR="00A726DE" w:rsidRPr="008956CA">
        <w:rPr>
          <w:rFonts w:ascii="Times New Roman" w:hAnsi="Times New Roman" w:cs="Times New Roman"/>
          <w:sz w:val="24"/>
          <w:szCs w:val="24"/>
        </w:rPr>
        <w:t xml:space="preserve"> The United States strongly agrees that in addition to Article 21, many other </w:t>
      </w:r>
      <w:r w:rsidR="00E662AF">
        <w:rPr>
          <w:rFonts w:ascii="Times New Roman" w:hAnsi="Times New Roman" w:cs="Times New Roman"/>
          <w:sz w:val="24"/>
          <w:szCs w:val="24"/>
        </w:rPr>
        <w:t>provisions</w:t>
      </w:r>
      <w:r w:rsidR="00A726DE" w:rsidRPr="008956CA">
        <w:rPr>
          <w:rFonts w:ascii="Times New Roman" w:hAnsi="Times New Roman" w:cs="Times New Roman"/>
          <w:sz w:val="24"/>
          <w:szCs w:val="24"/>
        </w:rPr>
        <w:t xml:space="preserve"> may provide protection for individuals engaging in peaceful assembly, including but not limited to Article</w:t>
      </w:r>
      <w:r w:rsidR="00E662AF">
        <w:rPr>
          <w:rFonts w:ascii="Times New Roman" w:hAnsi="Times New Roman" w:cs="Times New Roman"/>
          <w:sz w:val="24"/>
          <w:szCs w:val="24"/>
        </w:rPr>
        <w:t>s</w:t>
      </w:r>
      <w:r w:rsidR="00A726DE" w:rsidRPr="008956CA">
        <w:rPr>
          <w:rFonts w:ascii="Times New Roman" w:hAnsi="Times New Roman" w:cs="Times New Roman"/>
          <w:sz w:val="24"/>
          <w:szCs w:val="24"/>
        </w:rPr>
        <w:t xml:space="preserve"> 6, 9, 17, 18, 19, and 22.  The United States also agrees that even when an individual engages in violence and </w:t>
      </w:r>
      <w:r w:rsidR="00B069BE" w:rsidRPr="008956CA">
        <w:rPr>
          <w:rFonts w:ascii="Times New Roman" w:hAnsi="Times New Roman" w:cs="Times New Roman"/>
          <w:sz w:val="24"/>
          <w:szCs w:val="24"/>
        </w:rPr>
        <w:t>whose activity therefore falls</w:t>
      </w:r>
      <w:r w:rsidR="00A726DE" w:rsidRPr="008956CA">
        <w:rPr>
          <w:rFonts w:ascii="Times New Roman" w:hAnsi="Times New Roman" w:cs="Times New Roman"/>
          <w:sz w:val="24"/>
          <w:szCs w:val="24"/>
        </w:rPr>
        <w:t xml:space="preserve"> outside the scope of Article 21, </w:t>
      </w:r>
      <w:r w:rsidR="00602A4E" w:rsidRPr="008956CA">
        <w:rPr>
          <w:rFonts w:ascii="Times New Roman" w:hAnsi="Times New Roman" w:cs="Times New Roman"/>
          <w:sz w:val="24"/>
          <w:szCs w:val="24"/>
        </w:rPr>
        <w:t xml:space="preserve">or when a peaceful assembly is restricted lawfully pursuant to Article 21, </w:t>
      </w:r>
      <w:r w:rsidR="00A726DE" w:rsidRPr="008956CA">
        <w:rPr>
          <w:rFonts w:ascii="Times New Roman" w:hAnsi="Times New Roman" w:cs="Times New Roman"/>
          <w:sz w:val="24"/>
          <w:szCs w:val="24"/>
        </w:rPr>
        <w:t xml:space="preserve">other rights of the Covenant generally remain applicable. </w:t>
      </w:r>
    </w:p>
    <w:p w14:paraId="0C5DAA92" w14:textId="2D50EE19" w:rsidR="00A726DE" w:rsidRPr="008956CA" w:rsidRDefault="00404912" w:rsidP="00A726DE">
      <w:pPr>
        <w:spacing w:before="100" w:beforeAutospacing="1" w:after="100" w:afterAutospacing="1" w:line="240" w:lineRule="auto"/>
        <w:rPr>
          <w:rFonts w:ascii="Times New Roman" w:hAnsi="Times New Roman" w:cs="Times New Roman"/>
          <w:bCs/>
          <w:sz w:val="24"/>
          <w:szCs w:val="24"/>
        </w:rPr>
      </w:pPr>
      <w:r w:rsidRPr="008956CA">
        <w:rPr>
          <w:rFonts w:ascii="Times New Roman" w:hAnsi="Times New Roman" w:cs="Times New Roman"/>
          <w:bCs/>
          <w:sz w:val="24"/>
          <w:szCs w:val="24"/>
        </w:rPr>
        <w:lastRenderedPageBreak/>
        <w:t>29</w:t>
      </w:r>
      <w:r w:rsidR="00A726DE" w:rsidRPr="008956CA">
        <w:rPr>
          <w:rFonts w:ascii="Times New Roman" w:hAnsi="Times New Roman" w:cs="Times New Roman"/>
          <w:bCs/>
          <w:sz w:val="24"/>
          <w:szCs w:val="24"/>
        </w:rPr>
        <w:t xml:space="preserve">. </w:t>
      </w:r>
      <w:r w:rsidRPr="008956CA">
        <w:rPr>
          <w:rFonts w:ascii="Times New Roman" w:hAnsi="Times New Roman" w:cs="Times New Roman"/>
          <w:bCs/>
          <w:sz w:val="24"/>
          <w:szCs w:val="24"/>
        </w:rPr>
        <w:t xml:space="preserve"> </w:t>
      </w:r>
      <w:r w:rsidR="00A726DE" w:rsidRPr="008956CA">
        <w:rPr>
          <w:rFonts w:ascii="Times New Roman" w:hAnsi="Times New Roman" w:cs="Times New Roman"/>
          <w:bCs/>
          <w:sz w:val="24"/>
          <w:szCs w:val="24"/>
        </w:rPr>
        <w:t xml:space="preserve">Throughout the Comment, the Committee makes use of shorthand reference to </w:t>
      </w:r>
      <w:proofErr w:type="gramStart"/>
      <w:r w:rsidR="00A726DE" w:rsidRPr="008956CA">
        <w:rPr>
          <w:rFonts w:ascii="Times New Roman" w:hAnsi="Times New Roman" w:cs="Times New Roman"/>
          <w:bCs/>
          <w:sz w:val="24"/>
          <w:szCs w:val="24"/>
        </w:rPr>
        <w:t>a number of</w:t>
      </w:r>
      <w:proofErr w:type="gramEnd"/>
      <w:r w:rsidR="00A726DE" w:rsidRPr="008956CA">
        <w:rPr>
          <w:rFonts w:ascii="Times New Roman" w:hAnsi="Times New Roman" w:cs="Times New Roman"/>
          <w:bCs/>
          <w:sz w:val="24"/>
          <w:szCs w:val="24"/>
        </w:rPr>
        <w:t xml:space="preserve"> rights in this </w:t>
      </w:r>
      <w:r w:rsidR="00602635" w:rsidRPr="008956CA">
        <w:rPr>
          <w:rFonts w:ascii="Times New Roman" w:hAnsi="Times New Roman" w:cs="Times New Roman"/>
          <w:bCs/>
          <w:sz w:val="24"/>
          <w:szCs w:val="24"/>
        </w:rPr>
        <w:t xml:space="preserve">Covenant </w:t>
      </w:r>
      <w:r w:rsidR="00A726DE" w:rsidRPr="008956CA">
        <w:rPr>
          <w:rFonts w:ascii="Times New Roman" w:hAnsi="Times New Roman" w:cs="Times New Roman"/>
          <w:bCs/>
          <w:sz w:val="24"/>
          <w:szCs w:val="24"/>
        </w:rPr>
        <w:t>and the</w:t>
      </w:r>
      <w:r w:rsidR="007D08E1" w:rsidRPr="008956CA">
        <w:rPr>
          <w:rFonts w:ascii="Times New Roman" w:hAnsi="Times New Roman" w:cs="Times New Roman"/>
          <w:bCs/>
          <w:sz w:val="24"/>
          <w:szCs w:val="24"/>
        </w:rPr>
        <w:t xml:space="preserve"> International</w:t>
      </w:r>
      <w:r w:rsidR="00A726DE" w:rsidRPr="008956CA">
        <w:rPr>
          <w:rFonts w:ascii="Times New Roman" w:hAnsi="Times New Roman" w:cs="Times New Roman"/>
          <w:bCs/>
          <w:sz w:val="24"/>
          <w:szCs w:val="24"/>
        </w:rPr>
        <w:t xml:space="preserve"> </w:t>
      </w:r>
      <w:r w:rsidR="00602A4E" w:rsidRPr="008956CA">
        <w:rPr>
          <w:rFonts w:ascii="Times New Roman" w:hAnsi="Times New Roman" w:cs="Times New Roman"/>
          <w:bCs/>
          <w:sz w:val="24"/>
          <w:szCs w:val="24"/>
        </w:rPr>
        <w:t>Covenant on Economic, Social and Cultural Rights</w:t>
      </w:r>
      <w:r w:rsidR="007D08E1" w:rsidRPr="008956CA">
        <w:rPr>
          <w:rFonts w:ascii="Times New Roman" w:hAnsi="Times New Roman" w:cs="Times New Roman"/>
          <w:bCs/>
          <w:sz w:val="24"/>
          <w:szCs w:val="24"/>
        </w:rPr>
        <w:t xml:space="preserve"> (“ICESCR”)</w:t>
      </w:r>
      <w:r w:rsidR="00A726DE" w:rsidRPr="008956CA">
        <w:rPr>
          <w:rFonts w:ascii="Times New Roman" w:hAnsi="Times New Roman" w:cs="Times New Roman"/>
          <w:bCs/>
          <w:sz w:val="24"/>
          <w:szCs w:val="24"/>
        </w:rPr>
        <w:t xml:space="preserve">.  The United States recommends </w:t>
      </w:r>
      <w:r w:rsidR="007D08E1" w:rsidRPr="008956CA">
        <w:rPr>
          <w:rFonts w:ascii="Times New Roman" w:hAnsi="Times New Roman" w:cs="Times New Roman"/>
          <w:bCs/>
          <w:sz w:val="24"/>
          <w:szCs w:val="24"/>
        </w:rPr>
        <w:t xml:space="preserve">using </w:t>
      </w:r>
      <w:r w:rsidR="00A726DE" w:rsidRPr="008956CA">
        <w:rPr>
          <w:rFonts w:ascii="Times New Roman" w:hAnsi="Times New Roman" w:cs="Times New Roman"/>
          <w:bCs/>
          <w:sz w:val="24"/>
          <w:szCs w:val="24"/>
        </w:rPr>
        <w:t>the language directly from the Covenant</w:t>
      </w:r>
      <w:r w:rsidR="007D08E1" w:rsidRPr="008956CA">
        <w:rPr>
          <w:rFonts w:ascii="Times New Roman" w:hAnsi="Times New Roman" w:cs="Times New Roman"/>
          <w:bCs/>
          <w:sz w:val="24"/>
          <w:szCs w:val="24"/>
        </w:rPr>
        <w:t>s</w:t>
      </w:r>
      <w:r w:rsidR="00A726DE" w:rsidRPr="008956CA">
        <w:rPr>
          <w:rFonts w:ascii="Times New Roman" w:hAnsi="Times New Roman" w:cs="Times New Roman"/>
          <w:bCs/>
          <w:sz w:val="24"/>
          <w:szCs w:val="24"/>
        </w:rPr>
        <w:t xml:space="preserve"> to avoid confusion about the source of these rights</w:t>
      </w:r>
      <w:r w:rsidR="00D11332" w:rsidRPr="008956CA">
        <w:rPr>
          <w:rFonts w:ascii="Times New Roman" w:hAnsi="Times New Roman" w:cs="Times New Roman"/>
          <w:bCs/>
          <w:sz w:val="24"/>
          <w:szCs w:val="24"/>
        </w:rPr>
        <w:t>.</w:t>
      </w:r>
    </w:p>
    <w:p w14:paraId="006559AA" w14:textId="582D03F4" w:rsidR="00A726DE" w:rsidRPr="008956CA" w:rsidRDefault="00404912" w:rsidP="00A726DE">
      <w:pPr>
        <w:spacing w:before="100" w:beforeAutospacing="1" w:after="100" w:afterAutospacing="1" w:line="240" w:lineRule="auto"/>
        <w:rPr>
          <w:rFonts w:ascii="Times New Roman" w:hAnsi="Times New Roman" w:cs="Times New Roman"/>
          <w:bCs/>
          <w:sz w:val="24"/>
          <w:szCs w:val="24"/>
        </w:rPr>
      </w:pPr>
      <w:r w:rsidRPr="008956CA">
        <w:rPr>
          <w:rFonts w:ascii="Times New Roman" w:hAnsi="Times New Roman" w:cs="Times New Roman"/>
          <w:bCs/>
          <w:sz w:val="24"/>
          <w:szCs w:val="24"/>
        </w:rPr>
        <w:t>30.</w:t>
      </w:r>
      <w:r w:rsidR="00A726DE" w:rsidRPr="008956CA">
        <w:rPr>
          <w:rFonts w:ascii="Times New Roman" w:hAnsi="Times New Roman" w:cs="Times New Roman"/>
          <w:bCs/>
          <w:sz w:val="24"/>
          <w:szCs w:val="24"/>
        </w:rPr>
        <w:t xml:space="preserve"> </w:t>
      </w:r>
      <w:r w:rsidRPr="008956CA">
        <w:rPr>
          <w:rFonts w:ascii="Times New Roman" w:hAnsi="Times New Roman" w:cs="Times New Roman"/>
          <w:bCs/>
          <w:sz w:val="24"/>
          <w:szCs w:val="24"/>
        </w:rPr>
        <w:t xml:space="preserve"> </w:t>
      </w:r>
      <w:r w:rsidR="00A726DE" w:rsidRPr="008956CA">
        <w:rPr>
          <w:rFonts w:ascii="Times New Roman" w:hAnsi="Times New Roman" w:cs="Times New Roman"/>
          <w:bCs/>
          <w:sz w:val="24"/>
          <w:szCs w:val="24"/>
        </w:rPr>
        <w:t>Freedom of Expression:  The United States agrees with the Committee that freedom of expression is often directly relevant to the exercise of the right of peaceful assembly.  We strongly agree that “[t]he rules applicable to freedom of expression should be followed when dealing with the expressive element of peaceful assemblies” and that “restrictions on peaceful assembly may only under strictly limited circumstances be based on the message conveyed by the participants</w:t>
      </w:r>
      <w:r w:rsidR="006B463C">
        <w:rPr>
          <w:rFonts w:ascii="Times New Roman" w:hAnsi="Times New Roman" w:cs="Times New Roman"/>
          <w:bCs/>
          <w:sz w:val="24"/>
          <w:szCs w:val="24"/>
        </w:rPr>
        <w:t>.</w:t>
      </w:r>
      <w:r w:rsidR="00A726DE" w:rsidRPr="008956CA">
        <w:rPr>
          <w:rFonts w:ascii="Times New Roman" w:hAnsi="Times New Roman" w:cs="Times New Roman"/>
          <w:bCs/>
          <w:sz w:val="24"/>
          <w:szCs w:val="24"/>
        </w:rPr>
        <w:t>”</w:t>
      </w:r>
      <w:r w:rsidR="00A66C18" w:rsidRPr="008956CA">
        <w:rPr>
          <w:rStyle w:val="FootnoteReference"/>
          <w:rFonts w:ascii="Times New Roman" w:hAnsi="Times New Roman" w:cs="Times New Roman"/>
          <w:bCs/>
          <w:sz w:val="24"/>
          <w:szCs w:val="24"/>
        </w:rPr>
        <w:footnoteReference w:id="21"/>
      </w:r>
      <w:r w:rsidR="00A726DE" w:rsidRPr="008956CA">
        <w:rPr>
          <w:rFonts w:ascii="Times New Roman" w:hAnsi="Times New Roman" w:cs="Times New Roman"/>
          <w:bCs/>
          <w:sz w:val="24"/>
          <w:szCs w:val="24"/>
        </w:rPr>
        <w:t xml:space="preserve">  Any restriction based on the message of the individuals exercising their right of freedom of expression must comply with the narrow test for restrictions on freedom of expression articulated in Article 19(3) of the Covenant.  As noted above, this is true for restrictions under Article 20 as well.</w:t>
      </w:r>
    </w:p>
    <w:p w14:paraId="4B2D9231" w14:textId="31A19BEA" w:rsidR="00A726DE" w:rsidRPr="008956CA" w:rsidRDefault="00404912" w:rsidP="00A726DE">
      <w:pPr>
        <w:spacing w:before="100" w:beforeAutospacing="1" w:after="100" w:afterAutospacing="1" w:line="240" w:lineRule="auto"/>
        <w:rPr>
          <w:rFonts w:ascii="Times New Roman" w:hAnsi="Times New Roman" w:cs="Times New Roman"/>
          <w:sz w:val="24"/>
          <w:szCs w:val="24"/>
        </w:rPr>
      </w:pPr>
      <w:r w:rsidRPr="008956CA">
        <w:rPr>
          <w:rFonts w:ascii="Times New Roman" w:hAnsi="Times New Roman" w:cs="Times New Roman"/>
          <w:bCs/>
          <w:sz w:val="24"/>
          <w:szCs w:val="24"/>
        </w:rPr>
        <w:t xml:space="preserve">31. </w:t>
      </w:r>
      <w:r w:rsidR="00A726DE" w:rsidRPr="008956CA">
        <w:rPr>
          <w:rFonts w:ascii="Times New Roman" w:hAnsi="Times New Roman" w:cs="Times New Roman"/>
          <w:bCs/>
          <w:sz w:val="24"/>
          <w:szCs w:val="24"/>
        </w:rPr>
        <w:t xml:space="preserve"> Privacy:  The Committee correctly highlights the important relationship between privacy and the exercise of </w:t>
      </w:r>
      <w:r w:rsidR="00B069BE" w:rsidRPr="008956CA">
        <w:rPr>
          <w:rFonts w:ascii="Times New Roman" w:hAnsi="Times New Roman" w:cs="Times New Roman"/>
          <w:bCs/>
          <w:sz w:val="24"/>
          <w:szCs w:val="24"/>
        </w:rPr>
        <w:t xml:space="preserve">the right of </w:t>
      </w:r>
      <w:r w:rsidR="00A726DE" w:rsidRPr="008956CA">
        <w:rPr>
          <w:rFonts w:ascii="Times New Roman" w:hAnsi="Times New Roman" w:cs="Times New Roman"/>
          <w:bCs/>
          <w:sz w:val="24"/>
          <w:szCs w:val="24"/>
        </w:rPr>
        <w:t>peaceful assembly.  As noted above</w:t>
      </w:r>
      <w:r w:rsidR="00602635" w:rsidRPr="008956CA">
        <w:rPr>
          <w:rFonts w:ascii="Times New Roman" w:hAnsi="Times New Roman" w:cs="Times New Roman"/>
          <w:bCs/>
          <w:sz w:val="24"/>
          <w:szCs w:val="24"/>
        </w:rPr>
        <w:t xml:space="preserve"> in paragraph </w:t>
      </w:r>
      <w:r w:rsidR="00A66C18" w:rsidRPr="008956CA">
        <w:rPr>
          <w:rFonts w:ascii="Times New Roman" w:hAnsi="Times New Roman" w:cs="Times New Roman"/>
          <w:bCs/>
          <w:sz w:val="24"/>
          <w:szCs w:val="24"/>
        </w:rPr>
        <w:t>29</w:t>
      </w:r>
      <w:r w:rsidR="00235A02" w:rsidRPr="008956CA">
        <w:rPr>
          <w:rFonts w:ascii="Times New Roman" w:hAnsi="Times New Roman" w:cs="Times New Roman"/>
          <w:bCs/>
          <w:sz w:val="24"/>
          <w:szCs w:val="24"/>
        </w:rPr>
        <w:t xml:space="preserve"> discussing</w:t>
      </w:r>
      <w:r w:rsidR="00872BFF" w:rsidRPr="008956CA">
        <w:rPr>
          <w:rFonts w:ascii="Times New Roman" w:hAnsi="Times New Roman" w:cs="Times New Roman"/>
          <w:bCs/>
          <w:sz w:val="24"/>
          <w:szCs w:val="24"/>
        </w:rPr>
        <w:t xml:space="preserve"> the importance of using</w:t>
      </w:r>
      <w:r w:rsidR="00235A02" w:rsidRPr="008956CA">
        <w:rPr>
          <w:rFonts w:ascii="Times New Roman" w:hAnsi="Times New Roman" w:cs="Times New Roman"/>
          <w:bCs/>
          <w:sz w:val="24"/>
          <w:szCs w:val="24"/>
        </w:rPr>
        <w:t xml:space="preserve"> proper terminology</w:t>
      </w:r>
      <w:r w:rsidR="00872BFF" w:rsidRPr="008956CA">
        <w:rPr>
          <w:rFonts w:ascii="Times New Roman" w:hAnsi="Times New Roman" w:cs="Times New Roman"/>
          <w:bCs/>
          <w:sz w:val="24"/>
          <w:szCs w:val="24"/>
        </w:rPr>
        <w:t xml:space="preserve"> rather than shorthand</w:t>
      </w:r>
      <w:r w:rsidR="00A726DE" w:rsidRPr="008956CA">
        <w:rPr>
          <w:rFonts w:ascii="Times New Roman" w:hAnsi="Times New Roman" w:cs="Times New Roman"/>
          <w:bCs/>
          <w:sz w:val="24"/>
          <w:szCs w:val="24"/>
        </w:rPr>
        <w:t>, wherever privacy is discussed as a human right or “international standard</w:t>
      </w:r>
      <w:r w:rsidR="006B463C">
        <w:rPr>
          <w:rFonts w:ascii="Times New Roman" w:hAnsi="Times New Roman" w:cs="Times New Roman"/>
          <w:bCs/>
          <w:sz w:val="24"/>
          <w:szCs w:val="24"/>
        </w:rPr>
        <w:t>,</w:t>
      </w:r>
      <w:r w:rsidR="00A726DE" w:rsidRPr="008956CA">
        <w:rPr>
          <w:rFonts w:ascii="Times New Roman" w:hAnsi="Times New Roman" w:cs="Times New Roman"/>
          <w:bCs/>
          <w:sz w:val="24"/>
          <w:szCs w:val="24"/>
        </w:rPr>
        <w:t xml:space="preserve">” we </w:t>
      </w:r>
      <w:r w:rsidR="00602635" w:rsidRPr="008956CA">
        <w:rPr>
          <w:rFonts w:ascii="Times New Roman" w:hAnsi="Times New Roman" w:cs="Times New Roman"/>
          <w:bCs/>
          <w:sz w:val="24"/>
          <w:szCs w:val="24"/>
        </w:rPr>
        <w:t>urge</w:t>
      </w:r>
      <w:r w:rsidR="00A726DE" w:rsidRPr="008956CA">
        <w:rPr>
          <w:rFonts w:ascii="Times New Roman" w:hAnsi="Times New Roman" w:cs="Times New Roman"/>
          <w:bCs/>
          <w:sz w:val="24"/>
          <w:szCs w:val="24"/>
        </w:rPr>
        <w:t xml:space="preserve"> the Committee to use the language from the ICCPR</w:t>
      </w:r>
      <w:r w:rsidR="00990940" w:rsidRPr="008956CA">
        <w:rPr>
          <w:rFonts w:ascii="Times New Roman" w:hAnsi="Times New Roman" w:cs="Times New Roman"/>
          <w:bCs/>
          <w:sz w:val="24"/>
          <w:szCs w:val="24"/>
        </w:rPr>
        <w:t>, specifically</w:t>
      </w:r>
      <w:r w:rsidR="00A726DE" w:rsidRPr="008956CA">
        <w:rPr>
          <w:rFonts w:ascii="Times New Roman" w:hAnsi="Times New Roman" w:cs="Times New Roman"/>
          <w:bCs/>
          <w:sz w:val="24"/>
          <w:szCs w:val="24"/>
        </w:rPr>
        <w:t xml:space="preserve"> the right to be free from </w:t>
      </w:r>
      <w:r w:rsidR="00A726DE" w:rsidRPr="008956CA">
        <w:rPr>
          <w:rFonts w:ascii="Times New Roman" w:hAnsi="Times New Roman" w:cs="Times New Roman"/>
          <w:bCs/>
          <w:sz w:val="24"/>
          <w:szCs w:val="24"/>
          <w:u w:val="single"/>
        </w:rPr>
        <w:t>arbitrary or unlawful</w:t>
      </w:r>
      <w:r w:rsidR="00A726DE" w:rsidRPr="008956CA">
        <w:rPr>
          <w:rFonts w:ascii="Times New Roman" w:hAnsi="Times New Roman" w:cs="Times New Roman"/>
          <w:bCs/>
          <w:sz w:val="24"/>
          <w:szCs w:val="24"/>
        </w:rPr>
        <w:t xml:space="preserve"> interference with privacy</w:t>
      </w:r>
      <w:r w:rsidR="00B069BE" w:rsidRPr="008956CA">
        <w:rPr>
          <w:rFonts w:ascii="Times New Roman" w:hAnsi="Times New Roman" w:cs="Times New Roman"/>
          <w:bCs/>
          <w:sz w:val="24"/>
          <w:szCs w:val="24"/>
        </w:rPr>
        <w:t xml:space="preserve">, </w:t>
      </w:r>
      <w:r w:rsidR="001E5629" w:rsidRPr="008956CA">
        <w:rPr>
          <w:rFonts w:ascii="Times New Roman" w:hAnsi="Times New Roman" w:cs="Times New Roman"/>
          <w:bCs/>
          <w:sz w:val="24"/>
          <w:szCs w:val="24"/>
        </w:rPr>
        <w:t xml:space="preserve">as </w:t>
      </w:r>
      <w:r w:rsidR="005E4F45">
        <w:rPr>
          <w:rFonts w:ascii="Times New Roman" w:hAnsi="Times New Roman" w:cs="Times New Roman"/>
          <w:bCs/>
          <w:sz w:val="24"/>
          <w:szCs w:val="24"/>
        </w:rPr>
        <w:t xml:space="preserve">set out </w:t>
      </w:r>
      <w:r w:rsidR="001E5629" w:rsidRPr="008956CA">
        <w:rPr>
          <w:rFonts w:ascii="Times New Roman" w:hAnsi="Times New Roman" w:cs="Times New Roman"/>
          <w:bCs/>
          <w:sz w:val="24"/>
          <w:szCs w:val="24"/>
        </w:rPr>
        <w:t>in</w:t>
      </w:r>
      <w:r w:rsidR="00A726DE" w:rsidRPr="008956CA">
        <w:rPr>
          <w:rFonts w:ascii="Times New Roman" w:hAnsi="Times New Roman" w:cs="Times New Roman"/>
          <w:bCs/>
          <w:sz w:val="24"/>
          <w:szCs w:val="24"/>
        </w:rPr>
        <w:t xml:space="preserve"> Article 17, </w:t>
      </w:r>
      <w:r w:rsidR="00602635" w:rsidRPr="008956CA">
        <w:rPr>
          <w:rFonts w:ascii="Times New Roman" w:hAnsi="Times New Roman" w:cs="Times New Roman"/>
          <w:bCs/>
          <w:sz w:val="24"/>
          <w:szCs w:val="24"/>
        </w:rPr>
        <w:t>to be clear that privacy</w:t>
      </w:r>
      <w:r w:rsidR="00A726DE" w:rsidRPr="008956CA">
        <w:rPr>
          <w:rFonts w:ascii="Times New Roman" w:hAnsi="Times New Roman" w:cs="Times New Roman"/>
          <w:bCs/>
          <w:sz w:val="24"/>
          <w:szCs w:val="24"/>
        </w:rPr>
        <w:t xml:space="preserve"> is not an absolute right.  Paragraph 94 should also be revised</w:t>
      </w:r>
      <w:r w:rsidR="00774837" w:rsidRPr="008956CA">
        <w:rPr>
          <w:rFonts w:ascii="Times New Roman" w:hAnsi="Times New Roman" w:cs="Times New Roman"/>
          <w:bCs/>
          <w:sz w:val="24"/>
          <w:szCs w:val="24"/>
        </w:rPr>
        <w:t xml:space="preserve">, as it currently suggests that </w:t>
      </w:r>
      <w:r w:rsidR="00A726DE" w:rsidRPr="008956CA">
        <w:rPr>
          <w:rFonts w:ascii="Times New Roman" w:hAnsi="Times New Roman" w:cs="Times New Roman"/>
          <w:bCs/>
          <w:sz w:val="24"/>
          <w:szCs w:val="24"/>
        </w:rPr>
        <w:t xml:space="preserve">law enforcement may </w:t>
      </w:r>
      <w:r w:rsidR="00774837" w:rsidRPr="008956CA">
        <w:rPr>
          <w:rFonts w:ascii="Times New Roman" w:hAnsi="Times New Roman" w:cs="Times New Roman"/>
          <w:bCs/>
          <w:sz w:val="24"/>
          <w:szCs w:val="24"/>
        </w:rPr>
        <w:t xml:space="preserve">only engage in </w:t>
      </w:r>
      <w:r w:rsidR="00A726DE" w:rsidRPr="008956CA">
        <w:rPr>
          <w:rFonts w:ascii="Times New Roman" w:hAnsi="Times New Roman" w:cs="Times New Roman"/>
          <w:bCs/>
          <w:sz w:val="24"/>
          <w:szCs w:val="24"/>
        </w:rPr>
        <w:t xml:space="preserve">stop and search or frisk </w:t>
      </w:r>
      <w:r w:rsidR="00774837" w:rsidRPr="008956CA">
        <w:rPr>
          <w:rFonts w:ascii="Times New Roman" w:hAnsi="Times New Roman" w:cs="Times New Roman"/>
          <w:bCs/>
          <w:sz w:val="24"/>
          <w:szCs w:val="24"/>
        </w:rPr>
        <w:t xml:space="preserve">activity </w:t>
      </w:r>
      <w:r w:rsidR="00A726DE" w:rsidRPr="008956CA">
        <w:rPr>
          <w:rFonts w:ascii="Times New Roman" w:hAnsi="Times New Roman" w:cs="Times New Roman"/>
          <w:bCs/>
          <w:sz w:val="24"/>
          <w:szCs w:val="24"/>
        </w:rPr>
        <w:t>on suspicion of a “threat</w:t>
      </w:r>
      <w:r w:rsidR="006B463C">
        <w:rPr>
          <w:rFonts w:ascii="Times New Roman" w:hAnsi="Times New Roman" w:cs="Times New Roman"/>
          <w:bCs/>
          <w:sz w:val="24"/>
          <w:szCs w:val="24"/>
        </w:rPr>
        <w:t>,</w:t>
      </w:r>
      <w:r w:rsidR="00A726DE" w:rsidRPr="008956CA">
        <w:rPr>
          <w:rFonts w:ascii="Times New Roman" w:hAnsi="Times New Roman" w:cs="Times New Roman"/>
          <w:bCs/>
          <w:sz w:val="24"/>
          <w:szCs w:val="24"/>
        </w:rPr>
        <w:t>”</w:t>
      </w:r>
      <w:r w:rsidR="00774837" w:rsidRPr="008956CA">
        <w:rPr>
          <w:rFonts w:ascii="Times New Roman" w:hAnsi="Times New Roman" w:cs="Times New Roman"/>
          <w:bCs/>
          <w:sz w:val="24"/>
          <w:szCs w:val="24"/>
        </w:rPr>
        <w:t xml:space="preserve"> rather than any unlawful activity</w:t>
      </w:r>
      <w:r w:rsidR="00A726DE" w:rsidRPr="008956CA">
        <w:rPr>
          <w:rFonts w:ascii="Times New Roman" w:hAnsi="Times New Roman" w:cs="Times New Roman"/>
          <w:bCs/>
          <w:sz w:val="24"/>
          <w:szCs w:val="24"/>
        </w:rPr>
        <w:t xml:space="preserve">. </w:t>
      </w:r>
      <w:r w:rsidR="00774837" w:rsidRPr="008956CA">
        <w:rPr>
          <w:rFonts w:ascii="Times New Roman" w:hAnsi="Times New Roman" w:cs="Times New Roman"/>
          <w:bCs/>
          <w:sz w:val="24"/>
          <w:szCs w:val="24"/>
        </w:rPr>
        <w:t xml:space="preserve">The United States suggests the following </w:t>
      </w:r>
      <w:r w:rsidR="00774837" w:rsidRPr="008956CA">
        <w:rPr>
          <w:rFonts w:ascii="Times New Roman" w:hAnsi="Times New Roman" w:cs="Times New Roman"/>
          <w:sz w:val="24"/>
          <w:szCs w:val="24"/>
        </w:rPr>
        <w:t xml:space="preserve">alternative: </w:t>
      </w:r>
      <w:r w:rsidR="005E4F45">
        <w:rPr>
          <w:rFonts w:ascii="Times New Roman" w:hAnsi="Times New Roman" w:cs="Times New Roman"/>
          <w:sz w:val="24"/>
          <w:szCs w:val="24"/>
        </w:rPr>
        <w:t>“</w:t>
      </w:r>
      <w:r w:rsidR="00774837" w:rsidRPr="008956CA">
        <w:rPr>
          <w:rFonts w:ascii="Times New Roman" w:hAnsi="Times New Roman" w:cs="Times New Roman"/>
          <w:sz w:val="24"/>
          <w:szCs w:val="24"/>
        </w:rPr>
        <w:t xml:space="preserve">Powers of </w:t>
      </w:r>
      <w:r w:rsidR="005E4F45">
        <w:rPr>
          <w:rFonts w:ascii="Times New Roman" w:hAnsi="Times New Roman" w:cs="Times New Roman"/>
          <w:sz w:val="24"/>
          <w:szCs w:val="24"/>
        </w:rPr>
        <w:t>‘</w:t>
      </w:r>
      <w:r w:rsidR="00774837" w:rsidRPr="008956CA">
        <w:rPr>
          <w:rFonts w:ascii="Times New Roman" w:hAnsi="Times New Roman" w:cs="Times New Roman"/>
          <w:sz w:val="24"/>
          <w:szCs w:val="24"/>
        </w:rPr>
        <w:t>stop and search</w:t>
      </w:r>
      <w:r w:rsidR="005E4F45">
        <w:rPr>
          <w:rFonts w:ascii="Times New Roman" w:hAnsi="Times New Roman" w:cs="Times New Roman"/>
          <w:sz w:val="24"/>
          <w:szCs w:val="24"/>
        </w:rPr>
        <w:t>’</w:t>
      </w:r>
      <w:r w:rsidR="00774837" w:rsidRPr="008956CA">
        <w:rPr>
          <w:rFonts w:ascii="Times New Roman" w:hAnsi="Times New Roman" w:cs="Times New Roman"/>
          <w:sz w:val="24"/>
          <w:szCs w:val="24"/>
        </w:rPr>
        <w:t xml:space="preserve"> or </w:t>
      </w:r>
      <w:r w:rsidR="005E4F45">
        <w:rPr>
          <w:rFonts w:ascii="Times New Roman" w:hAnsi="Times New Roman" w:cs="Times New Roman"/>
          <w:sz w:val="24"/>
          <w:szCs w:val="24"/>
        </w:rPr>
        <w:t>‘</w:t>
      </w:r>
      <w:r w:rsidR="00774837" w:rsidRPr="008956CA">
        <w:rPr>
          <w:rFonts w:ascii="Times New Roman" w:hAnsi="Times New Roman" w:cs="Times New Roman"/>
          <w:sz w:val="24"/>
          <w:szCs w:val="24"/>
        </w:rPr>
        <w:t>stop and frisk,</w:t>
      </w:r>
      <w:r w:rsidR="005E4F45">
        <w:rPr>
          <w:rFonts w:ascii="Times New Roman" w:hAnsi="Times New Roman" w:cs="Times New Roman"/>
          <w:sz w:val="24"/>
          <w:szCs w:val="24"/>
        </w:rPr>
        <w:t>’</w:t>
      </w:r>
      <w:r w:rsidR="00774837" w:rsidRPr="008956CA">
        <w:rPr>
          <w:rFonts w:ascii="Times New Roman" w:hAnsi="Times New Roman" w:cs="Times New Roman"/>
          <w:sz w:val="24"/>
          <w:szCs w:val="24"/>
        </w:rPr>
        <w:t xml:space="preserve"> applied to those who participate in assemblies, or are about to do so, may not be used in a discriminatory manner.  The mere fact that an individual is connected to a peaceful assembly does not constitute reasonable grounds for stopping and searching them.”</w:t>
      </w:r>
    </w:p>
    <w:p w14:paraId="2A274905" w14:textId="032B6CAF" w:rsidR="00774837" w:rsidRPr="008956CA" w:rsidRDefault="00404912" w:rsidP="00774837">
      <w:pPr>
        <w:spacing w:before="100" w:beforeAutospacing="1" w:after="100" w:afterAutospacing="1" w:line="240" w:lineRule="auto"/>
        <w:rPr>
          <w:rFonts w:ascii="Times New Roman" w:hAnsi="Times New Roman" w:cs="Times New Roman"/>
          <w:bCs/>
          <w:sz w:val="24"/>
          <w:szCs w:val="24"/>
        </w:rPr>
      </w:pPr>
      <w:r w:rsidRPr="008956CA">
        <w:rPr>
          <w:rFonts w:ascii="Times New Roman" w:hAnsi="Times New Roman" w:cs="Times New Roman"/>
          <w:bCs/>
          <w:sz w:val="24"/>
          <w:szCs w:val="24"/>
        </w:rPr>
        <w:t>32</w:t>
      </w:r>
      <w:r w:rsidR="00774837" w:rsidRPr="008956CA">
        <w:rPr>
          <w:rFonts w:ascii="Times New Roman" w:hAnsi="Times New Roman" w:cs="Times New Roman"/>
          <w:bCs/>
          <w:sz w:val="24"/>
          <w:szCs w:val="24"/>
        </w:rPr>
        <w:t xml:space="preserve">.  Similarly, </w:t>
      </w:r>
      <w:r w:rsidR="00E662AF">
        <w:rPr>
          <w:rFonts w:ascii="Times New Roman" w:hAnsi="Times New Roman" w:cs="Times New Roman"/>
          <w:bCs/>
          <w:sz w:val="24"/>
          <w:szCs w:val="24"/>
        </w:rPr>
        <w:t>p</w:t>
      </w:r>
      <w:r w:rsidR="00774837" w:rsidRPr="008956CA">
        <w:rPr>
          <w:rFonts w:ascii="Times New Roman" w:hAnsi="Times New Roman" w:cs="Times New Roman"/>
          <w:bCs/>
          <w:sz w:val="24"/>
          <w:szCs w:val="24"/>
        </w:rPr>
        <w:t xml:space="preserve">aragraph 72 should be clarified and revised to indicate that lawful surveillance for </w:t>
      </w:r>
      <w:r w:rsidR="00774837" w:rsidRPr="008956CA">
        <w:rPr>
          <w:rFonts w:ascii="Times New Roman" w:hAnsi="Times New Roman" w:cs="Times New Roman"/>
          <w:bCs/>
          <w:i/>
          <w:sz w:val="24"/>
          <w:szCs w:val="24"/>
        </w:rPr>
        <w:t>legitimate</w:t>
      </w:r>
      <w:r w:rsidR="00774837" w:rsidRPr="008956CA">
        <w:rPr>
          <w:rFonts w:ascii="Times New Roman" w:hAnsi="Times New Roman" w:cs="Times New Roman"/>
          <w:bCs/>
          <w:sz w:val="24"/>
          <w:szCs w:val="24"/>
        </w:rPr>
        <w:t xml:space="preserve"> law enforcement or national security purposes is not an infringement of Article 17.  The fact that an individual is appearing in a public space diminishes their reasonable expectation of privacy; further, a warrant, court order, or similar legal process (which the Committee’s language in the final clause of this paragraph appears to contemplate) may not be legally necessary or required by respective domestic legal regimes of the Parties to the ICCPR.  We recommend deletion of this final clause, or a change from “must be” to “may need to be.”  This is also consistent with how the Committee has crafted </w:t>
      </w:r>
      <w:r w:rsidR="00E662AF">
        <w:rPr>
          <w:rFonts w:ascii="Times New Roman" w:hAnsi="Times New Roman" w:cs="Times New Roman"/>
          <w:bCs/>
          <w:sz w:val="24"/>
          <w:szCs w:val="24"/>
        </w:rPr>
        <w:t>p</w:t>
      </w:r>
      <w:r w:rsidR="00774837" w:rsidRPr="008956CA">
        <w:rPr>
          <w:rFonts w:ascii="Times New Roman" w:hAnsi="Times New Roman" w:cs="Times New Roman"/>
          <w:bCs/>
          <w:sz w:val="24"/>
          <w:szCs w:val="24"/>
        </w:rPr>
        <w:t xml:space="preserve">aragraph 112, with the permissive “may” in the first clause of that paragraph.  </w:t>
      </w:r>
    </w:p>
    <w:p w14:paraId="40291DD5" w14:textId="5A2BA715" w:rsidR="00774837" w:rsidRPr="008956CA" w:rsidRDefault="00404912" w:rsidP="00774837">
      <w:pPr>
        <w:spacing w:before="100" w:beforeAutospacing="1" w:after="100" w:afterAutospacing="1" w:line="240" w:lineRule="auto"/>
        <w:rPr>
          <w:rFonts w:ascii="Times New Roman" w:hAnsi="Times New Roman" w:cs="Times New Roman"/>
          <w:bCs/>
          <w:sz w:val="24"/>
          <w:szCs w:val="24"/>
        </w:rPr>
      </w:pPr>
      <w:r w:rsidRPr="008956CA">
        <w:rPr>
          <w:rFonts w:ascii="Times New Roman" w:hAnsi="Times New Roman" w:cs="Times New Roman"/>
          <w:bCs/>
          <w:sz w:val="24"/>
          <w:szCs w:val="24"/>
        </w:rPr>
        <w:t>33</w:t>
      </w:r>
      <w:r w:rsidR="00774837" w:rsidRPr="008956CA">
        <w:rPr>
          <w:rFonts w:ascii="Times New Roman" w:hAnsi="Times New Roman" w:cs="Times New Roman"/>
          <w:bCs/>
          <w:sz w:val="24"/>
          <w:szCs w:val="24"/>
        </w:rPr>
        <w:t>.</w:t>
      </w:r>
      <w:r w:rsidRPr="008956CA">
        <w:rPr>
          <w:rFonts w:ascii="Times New Roman" w:hAnsi="Times New Roman" w:cs="Times New Roman"/>
          <w:bCs/>
          <w:sz w:val="24"/>
          <w:szCs w:val="24"/>
        </w:rPr>
        <w:t xml:space="preserve"> </w:t>
      </w:r>
      <w:r w:rsidR="00774837" w:rsidRPr="008956CA">
        <w:rPr>
          <w:rFonts w:ascii="Times New Roman" w:hAnsi="Times New Roman" w:cs="Times New Roman"/>
          <w:bCs/>
          <w:sz w:val="24"/>
          <w:szCs w:val="24"/>
        </w:rPr>
        <w:t xml:space="preserve"> Liability of States:  In Paragraphs 100 and 101, the Committee represents that the State is </w:t>
      </w:r>
      <w:r w:rsidR="00EB6068" w:rsidRPr="008956CA">
        <w:rPr>
          <w:rFonts w:ascii="Times New Roman" w:hAnsi="Times New Roman" w:cs="Times New Roman"/>
          <w:bCs/>
          <w:sz w:val="24"/>
          <w:szCs w:val="24"/>
        </w:rPr>
        <w:t>“</w:t>
      </w:r>
      <w:r w:rsidR="00774837" w:rsidRPr="008956CA">
        <w:rPr>
          <w:rFonts w:ascii="Times New Roman" w:hAnsi="Times New Roman" w:cs="Times New Roman"/>
          <w:bCs/>
          <w:sz w:val="24"/>
          <w:szCs w:val="24"/>
        </w:rPr>
        <w:t xml:space="preserve">responsible </w:t>
      </w:r>
      <w:r w:rsidR="00EB6068" w:rsidRPr="008956CA">
        <w:rPr>
          <w:rFonts w:ascii="Times New Roman" w:hAnsi="Times New Roman" w:cs="Times New Roman"/>
          <w:bCs/>
          <w:sz w:val="24"/>
          <w:szCs w:val="24"/>
        </w:rPr>
        <w:t xml:space="preserve">under international law </w:t>
      </w:r>
      <w:r w:rsidR="00774837" w:rsidRPr="008956CA">
        <w:rPr>
          <w:rFonts w:ascii="Times New Roman" w:hAnsi="Times New Roman" w:cs="Times New Roman"/>
          <w:bCs/>
          <w:sz w:val="24"/>
          <w:szCs w:val="24"/>
        </w:rPr>
        <w:t xml:space="preserve">for the acts and omissions of its law enforcement agencies and individual officials.”  </w:t>
      </w:r>
      <w:r w:rsidR="00EB6068" w:rsidRPr="008956CA">
        <w:rPr>
          <w:rFonts w:ascii="Times New Roman" w:hAnsi="Times New Roman" w:cs="Times New Roman"/>
          <w:bCs/>
          <w:sz w:val="24"/>
          <w:szCs w:val="24"/>
        </w:rPr>
        <w:t xml:space="preserve">Under the United States’ domestic accountability structure, the State does not always assume </w:t>
      </w:r>
      <w:r w:rsidR="00774837" w:rsidRPr="008956CA">
        <w:rPr>
          <w:rFonts w:ascii="Times New Roman" w:hAnsi="Times New Roman" w:cs="Times New Roman"/>
          <w:bCs/>
          <w:sz w:val="24"/>
          <w:szCs w:val="24"/>
        </w:rPr>
        <w:t>liability</w:t>
      </w:r>
      <w:r w:rsidR="00EB6068" w:rsidRPr="008956CA">
        <w:rPr>
          <w:rFonts w:ascii="Times New Roman" w:hAnsi="Times New Roman" w:cs="Times New Roman"/>
          <w:bCs/>
          <w:sz w:val="24"/>
          <w:szCs w:val="24"/>
        </w:rPr>
        <w:t xml:space="preserve"> for the </w:t>
      </w:r>
      <w:r w:rsidR="00FA43D1" w:rsidRPr="008956CA">
        <w:rPr>
          <w:rFonts w:ascii="Times New Roman" w:hAnsi="Times New Roman" w:cs="Times New Roman"/>
          <w:bCs/>
          <w:sz w:val="24"/>
          <w:szCs w:val="24"/>
        </w:rPr>
        <w:t xml:space="preserve">bad </w:t>
      </w:r>
      <w:r w:rsidR="00EB6068" w:rsidRPr="008956CA">
        <w:rPr>
          <w:rFonts w:ascii="Times New Roman" w:hAnsi="Times New Roman" w:cs="Times New Roman"/>
          <w:bCs/>
          <w:sz w:val="24"/>
          <w:szCs w:val="24"/>
        </w:rPr>
        <w:t>acts of law enforcement officials</w:t>
      </w:r>
      <w:r w:rsidR="00774837" w:rsidRPr="008956CA">
        <w:rPr>
          <w:rFonts w:ascii="Times New Roman" w:hAnsi="Times New Roman" w:cs="Times New Roman"/>
          <w:bCs/>
          <w:sz w:val="24"/>
          <w:szCs w:val="24"/>
        </w:rPr>
        <w:t xml:space="preserve">; rather, there are a number of factors to consider regarding whether liability will shift to the individual suspected of acting negligently, recklessly, or potentially criminally.  We recommend </w:t>
      </w:r>
      <w:r w:rsidR="00EB6068" w:rsidRPr="008956CA">
        <w:rPr>
          <w:rFonts w:ascii="Times New Roman" w:hAnsi="Times New Roman" w:cs="Times New Roman"/>
          <w:bCs/>
          <w:sz w:val="24"/>
          <w:szCs w:val="24"/>
        </w:rPr>
        <w:t xml:space="preserve">revising the </w:t>
      </w:r>
      <w:r w:rsidR="00745E71" w:rsidRPr="008956CA">
        <w:rPr>
          <w:rFonts w:ascii="Times New Roman" w:hAnsi="Times New Roman" w:cs="Times New Roman"/>
          <w:bCs/>
          <w:sz w:val="24"/>
          <w:szCs w:val="24"/>
        </w:rPr>
        <w:t>Paragraph 100</w:t>
      </w:r>
      <w:r w:rsidR="00FA43D1" w:rsidRPr="008956CA">
        <w:rPr>
          <w:rFonts w:ascii="Times New Roman" w:hAnsi="Times New Roman" w:cs="Times New Roman"/>
          <w:bCs/>
          <w:sz w:val="24"/>
          <w:szCs w:val="24"/>
        </w:rPr>
        <w:t xml:space="preserve"> </w:t>
      </w:r>
      <w:r w:rsidR="00745E71" w:rsidRPr="008956CA">
        <w:rPr>
          <w:rFonts w:ascii="Times New Roman" w:hAnsi="Times New Roman" w:cs="Times New Roman"/>
          <w:bCs/>
          <w:sz w:val="24"/>
          <w:szCs w:val="24"/>
        </w:rPr>
        <w:t>to read</w:t>
      </w:r>
      <w:r w:rsidR="00EB6068" w:rsidRPr="008956CA">
        <w:rPr>
          <w:rFonts w:ascii="Times New Roman" w:hAnsi="Times New Roman" w:cs="Times New Roman"/>
          <w:bCs/>
          <w:sz w:val="24"/>
          <w:szCs w:val="24"/>
        </w:rPr>
        <w:t xml:space="preserve"> </w:t>
      </w:r>
      <w:r w:rsidR="00774837" w:rsidRPr="008956CA">
        <w:rPr>
          <w:rFonts w:ascii="Times New Roman" w:hAnsi="Times New Roman" w:cs="Times New Roman"/>
          <w:bCs/>
          <w:sz w:val="24"/>
          <w:szCs w:val="24"/>
        </w:rPr>
        <w:t>“The State is responsible under international law</w:t>
      </w:r>
      <w:r w:rsidR="00EB6068" w:rsidRPr="008956CA">
        <w:rPr>
          <w:rFonts w:ascii="Times New Roman" w:hAnsi="Times New Roman" w:cs="Times New Roman"/>
          <w:bCs/>
          <w:sz w:val="24"/>
          <w:szCs w:val="24"/>
        </w:rPr>
        <w:t xml:space="preserve"> for the acts and omissions of its law </w:t>
      </w:r>
      <w:r w:rsidR="00EB6068" w:rsidRPr="008956CA">
        <w:rPr>
          <w:rFonts w:ascii="Times New Roman" w:hAnsi="Times New Roman" w:cs="Times New Roman"/>
          <w:bCs/>
          <w:sz w:val="24"/>
          <w:szCs w:val="24"/>
        </w:rPr>
        <w:lastRenderedPageBreak/>
        <w:t xml:space="preserve">enforcement agencies and individual officials </w:t>
      </w:r>
      <w:r w:rsidR="00FA43D1" w:rsidRPr="008956CA">
        <w:rPr>
          <w:rFonts w:ascii="Times New Roman" w:hAnsi="Times New Roman" w:cs="Times New Roman"/>
          <w:sz w:val="24"/>
          <w:szCs w:val="24"/>
        </w:rPr>
        <w:t>acting in their official capacity</w:t>
      </w:r>
      <w:r w:rsidR="00FA43D1" w:rsidRPr="008956CA">
        <w:t xml:space="preserve"> </w:t>
      </w:r>
      <w:r w:rsidR="005E6240" w:rsidRPr="008956CA">
        <w:rPr>
          <w:rFonts w:ascii="Times New Roman" w:hAnsi="Times New Roman" w:cs="Times New Roman"/>
          <w:bCs/>
          <w:sz w:val="24"/>
          <w:szCs w:val="24"/>
        </w:rPr>
        <w:t>and should promote a culture of accountability for law enforcement officials during assemblies</w:t>
      </w:r>
      <w:r w:rsidR="00745E71" w:rsidRPr="008956CA">
        <w:rPr>
          <w:rFonts w:ascii="Times New Roman" w:hAnsi="Times New Roman" w:cs="Times New Roman"/>
          <w:bCs/>
          <w:sz w:val="24"/>
          <w:szCs w:val="24"/>
        </w:rPr>
        <w:t>.  This may</w:t>
      </w:r>
      <w:r w:rsidR="00EB6068" w:rsidRPr="008956CA">
        <w:rPr>
          <w:rFonts w:ascii="Times New Roman" w:hAnsi="Times New Roman" w:cs="Times New Roman"/>
          <w:bCs/>
          <w:sz w:val="24"/>
          <w:szCs w:val="24"/>
        </w:rPr>
        <w:t xml:space="preserve"> be achieved under domestic law </w:t>
      </w:r>
      <w:r w:rsidR="00745E71" w:rsidRPr="008956CA">
        <w:rPr>
          <w:rFonts w:ascii="Times New Roman" w:hAnsi="Times New Roman" w:cs="Times New Roman"/>
          <w:bCs/>
          <w:sz w:val="24"/>
          <w:szCs w:val="24"/>
        </w:rPr>
        <w:t>by holding</w:t>
      </w:r>
      <w:r w:rsidR="00FA43D1" w:rsidRPr="008956CA">
        <w:rPr>
          <w:rFonts w:ascii="Times New Roman" w:hAnsi="Times New Roman" w:cs="Times New Roman"/>
          <w:bCs/>
          <w:sz w:val="24"/>
          <w:szCs w:val="24"/>
        </w:rPr>
        <w:t xml:space="preserve"> either</w:t>
      </w:r>
      <w:r w:rsidR="00745E71" w:rsidRPr="008956CA">
        <w:rPr>
          <w:rFonts w:ascii="Times New Roman" w:hAnsi="Times New Roman" w:cs="Times New Roman"/>
          <w:bCs/>
          <w:sz w:val="24"/>
          <w:szCs w:val="24"/>
        </w:rPr>
        <w:t xml:space="preserve"> the government liable or by holding the individual liable, depending on the specific facts and circumstances.”</w:t>
      </w:r>
      <w:r w:rsidR="005E6240" w:rsidRPr="008956CA">
        <w:rPr>
          <w:rFonts w:ascii="Times New Roman" w:hAnsi="Times New Roman" w:cs="Times New Roman"/>
          <w:bCs/>
          <w:sz w:val="24"/>
          <w:szCs w:val="24"/>
        </w:rPr>
        <w:t xml:space="preserve"> </w:t>
      </w:r>
      <w:r w:rsidR="00774837" w:rsidRPr="008956CA">
        <w:rPr>
          <w:rFonts w:ascii="Times New Roman" w:hAnsi="Times New Roman" w:cs="Times New Roman"/>
          <w:bCs/>
          <w:sz w:val="24"/>
          <w:szCs w:val="24"/>
        </w:rPr>
        <w:t>Similarly, in Paragraph 101, we recommend changing “[l]</w:t>
      </w:r>
      <w:proofErr w:type="spellStart"/>
      <w:r w:rsidR="00774837" w:rsidRPr="008956CA">
        <w:rPr>
          <w:rFonts w:ascii="Times New Roman" w:hAnsi="Times New Roman" w:cs="Times New Roman"/>
          <w:bCs/>
          <w:sz w:val="24"/>
          <w:szCs w:val="24"/>
        </w:rPr>
        <w:t>aw</w:t>
      </w:r>
      <w:proofErr w:type="spellEnd"/>
      <w:r w:rsidR="00774837" w:rsidRPr="008956CA">
        <w:rPr>
          <w:rFonts w:ascii="Times New Roman" w:hAnsi="Times New Roman" w:cs="Times New Roman"/>
          <w:bCs/>
          <w:sz w:val="24"/>
          <w:szCs w:val="24"/>
        </w:rPr>
        <w:t xml:space="preserve"> enforcement agencies and individual officials must be held accountable for their actions . . .” to read “</w:t>
      </w:r>
      <w:r w:rsidR="00745E71" w:rsidRPr="008956CA">
        <w:rPr>
          <w:rFonts w:ascii="Times New Roman" w:hAnsi="Times New Roman" w:cs="Times New Roman"/>
          <w:bCs/>
          <w:sz w:val="24"/>
          <w:szCs w:val="24"/>
        </w:rPr>
        <w:t xml:space="preserve">those responsible for a violation of international human rights law </w:t>
      </w:r>
      <w:r w:rsidR="005E6240" w:rsidRPr="008956CA">
        <w:rPr>
          <w:rFonts w:ascii="Times New Roman" w:hAnsi="Times New Roman" w:cs="Times New Roman"/>
          <w:bCs/>
          <w:sz w:val="24"/>
          <w:szCs w:val="24"/>
        </w:rPr>
        <w:t>should</w:t>
      </w:r>
      <w:r w:rsidR="00774837" w:rsidRPr="008956CA">
        <w:rPr>
          <w:rFonts w:ascii="Times New Roman" w:hAnsi="Times New Roman" w:cs="Times New Roman"/>
          <w:bCs/>
          <w:sz w:val="24"/>
          <w:szCs w:val="24"/>
        </w:rPr>
        <w:t xml:space="preserve"> be held accountable for their actions </w:t>
      </w:r>
      <w:proofErr w:type="gramStart"/>
      <w:r w:rsidR="00774837" w:rsidRPr="008956CA">
        <w:rPr>
          <w:rFonts w:ascii="Times New Roman" w:hAnsi="Times New Roman" w:cs="Times New Roman"/>
          <w:bCs/>
          <w:sz w:val="24"/>
          <w:szCs w:val="24"/>
        </w:rPr>
        <w:t>. . .</w:t>
      </w:r>
      <w:r w:rsidR="005E4F45">
        <w:rPr>
          <w:rFonts w:ascii="Times New Roman" w:hAnsi="Times New Roman" w:cs="Times New Roman"/>
          <w:bCs/>
          <w:sz w:val="24"/>
          <w:szCs w:val="24"/>
        </w:rPr>
        <w:t xml:space="preserve"> .</w:t>
      </w:r>
      <w:proofErr w:type="gramEnd"/>
      <w:r w:rsidR="00774837" w:rsidRPr="008956CA">
        <w:rPr>
          <w:rFonts w:ascii="Times New Roman" w:hAnsi="Times New Roman" w:cs="Times New Roman"/>
          <w:bCs/>
          <w:sz w:val="24"/>
          <w:szCs w:val="24"/>
        </w:rPr>
        <w:t xml:space="preserve">”  </w:t>
      </w:r>
    </w:p>
    <w:p w14:paraId="2E4E4DED" w14:textId="033BBBAC" w:rsidR="00A726DE" w:rsidRPr="008956CA" w:rsidRDefault="00404912" w:rsidP="00A726DE">
      <w:pPr>
        <w:spacing w:before="100" w:beforeAutospacing="1" w:after="100" w:afterAutospacing="1" w:line="240" w:lineRule="auto"/>
        <w:rPr>
          <w:rFonts w:ascii="Times New Roman" w:hAnsi="Times New Roman" w:cs="Times New Roman"/>
          <w:sz w:val="24"/>
          <w:szCs w:val="24"/>
          <w:shd w:val="clear" w:color="auto" w:fill="FFFFFF"/>
        </w:rPr>
      </w:pPr>
      <w:r w:rsidRPr="008956CA">
        <w:rPr>
          <w:rFonts w:ascii="Times New Roman" w:hAnsi="Times New Roman" w:cs="Times New Roman"/>
          <w:bCs/>
          <w:sz w:val="24"/>
          <w:szCs w:val="24"/>
        </w:rPr>
        <w:t>34</w:t>
      </w:r>
      <w:r w:rsidR="00A726DE" w:rsidRPr="008956CA">
        <w:rPr>
          <w:rFonts w:ascii="Times New Roman" w:hAnsi="Times New Roman" w:cs="Times New Roman"/>
          <w:bCs/>
          <w:sz w:val="24"/>
          <w:szCs w:val="24"/>
        </w:rPr>
        <w:t>.</w:t>
      </w:r>
      <w:r w:rsidRPr="008956CA">
        <w:rPr>
          <w:rFonts w:ascii="Times New Roman" w:hAnsi="Times New Roman" w:cs="Times New Roman"/>
          <w:bCs/>
          <w:sz w:val="24"/>
          <w:szCs w:val="24"/>
        </w:rPr>
        <w:t xml:space="preserve"> </w:t>
      </w:r>
      <w:r w:rsidR="00A726DE" w:rsidRPr="008956CA">
        <w:rPr>
          <w:rFonts w:ascii="Times New Roman" w:hAnsi="Times New Roman" w:cs="Times New Roman"/>
          <w:bCs/>
          <w:sz w:val="24"/>
          <w:szCs w:val="24"/>
        </w:rPr>
        <w:t xml:space="preserve"> Non-discrimination:  In paragraph 112, the Committee </w:t>
      </w:r>
      <w:r w:rsidR="001E5629" w:rsidRPr="008956CA">
        <w:rPr>
          <w:rFonts w:ascii="Times New Roman" w:hAnsi="Times New Roman" w:cs="Times New Roman"/>
          <w:bCs/>
          <w:sz w:val="24"/>
          <w:szCs w:val="24"/>
        </w:rPr>
        <w:t>suggests</w:t>
      </w:r>
      <w:r w:rsidR="00A726DE" w:rsidRPr="008956CA">
        <w:rPr>
          <w:rFonts w:ascii="Times New Roman" w:hAnsi="Times New Roman" w:cs="Times New Roman"/>
          <w:bCs/>
          <w:sz w:val="24"/>
          <w:szCs w:val="24"/>
        </w:rPr>
        <w:t xml:space="preserve"> that Article 26 </w:t>
      </w:r>
      <w:r w:rsidR="001E5629" w:rsidRPr="008956CA">
        <w:rPr>
          <w:rFonts w:ascii="Times New Roman" w:hAnsi="Times New Roman" w:cs="Times New Roman"/>
          <w:bCs/>
          <w:sz w:val="24"/>
          <w:szCs w:val="24"/>
        </w:rPr>
        <w:t>provides a right to</w:t>
      </w:r>
      <w:r w:rsidR="00A726DE" w:rsidRPr="008956CA">
        <w:rPr>
          <w:rFonts w:ascii="Times New Roman" w:hAnsi="Times New Roman" w:cs="Times New Roman"/>
          <w:bCs/>
          <w:sz w:val="24"/>
          <w:szCs w:val="24"/>
        </w:rPr>
        <w:t xml:space="preserve"> non-discrimination </w:t>
      </w:r>
      <w:r w:rsidR="001E5629" w:rsidRPr="008956CA">
        <w:rPr>
          <w:rFonts w:ascii="Times New Roman" w:hAnsi="Times New Roman" w:cs="Times New Roman"/>
          <w:bCs/>
          <w:sz w:val="24"/>
          <w:szCs w:val="24"/>
        </w:rPr>
        <w:t xml:space="preserve">that protects individuals from discrimination </w:t>
      </w:r>
      <w:r w:rsidR="00A726DE" w:rsidRPr="008956CA">
        <w:rPr>
          <w:rFonts w:ascii="Times New Roman" w:hAnsi="Times New Roman" w:cs="Times New Roman"/>
          <w:bCs/>
          <w:sz w:val="24"/>
          <w:szCs w:val="24"/>
        </w:rPr>
        <w:t xml:space="preserve">in their exercise of the right of peaceful assembly.  The United States respectfully submits that reference to Article 2(1), which requires </w:t>
      </w:r>
      <w:r w:rsidR="0018736B" w:rsidRPr="008956CA">
        <w:rPr>
          <w:rFonts w:ascii="Times New Roman" w:hAnsi="Times New Roman" w:cs="Times New Roman"/>
          <w:bCs/>
          <w:sz w:val="24"/>
          <w:szCs w:val="24"/>
        </w:rPr>
        <w:t>States Parties</w:t>
      </w:r>
      <w:r w:rsidR="00A726DE" w:rsidRPr="008956CA">
        <w:rPr>
          <w:rFonts w:ascii="Times New Roman" w:hAnsi="Times New Roman" w:cs="Times New Roman"/>
          <w:bCs/>
          <w:sz w:val="24"/>
          <w:szCs w:val="24"/>
        </w:rPr>
        <w:t xml:space="preserve"> to respect and ensure the rights recognized in the Covenant “</w:t>
      </w:r>
      <w:r w:rsidR="00A726DE" w:rsidRPr="008956CA">
        <w:rPr>
          <w:rFonts w:ascii="Times New Roman" w:hAnsi="Times New Roman" w:cs="Times New Roman"/>
          <w:sz w:val="24"/>
          <w:szCs w:val="24"/>
          <w:shd w:val="clear" w:color="auto" w:fill="FFFFFF"/>
        </w:rPr>
        <w:t xml:space="preserve">without distinction of any kind, such as race, </w:t>
      </w:r>
      <w:proofErr w:type="spellStart"/>
      <w:r w:rsidR="00A726DE" w:rsidRPr="008956CA">
        <w:rPr>
          <w:rFonts w:ascii="Times New Roman" w:hAnsi="Times New Roman" w:cs="Times New Roman"/>
          <w:sz w:val="24"/>
          <w:szCs w:val="24"/>
          <w:shd w:val="clear" w:color="auto" w:fill="FFFFFF"/>
        </w:rPr>
        <w:t>colour</w:t>
      </w:r>
      <w:proofErr w:type="spellEnd"/>
      <w:r w:rsidR="00A726DE" w:rsidRPr="008956CA">
        <w:rPr>
          <w:rFonts w:ascii="Times New Roman" w:hAnsi="Times New Roman" w:cs="Times New Roman"/>
          <w:sz w:val="24"/>
          <w:szCs w:val="24"/>
          <w:shd w:val="clear" w:color="auto" w:fill="FFFFFF"/>
        </w:rPr>
        <w:t>, sex, language, religion, political or other opinion, national or social origin, property, birth or other status</w:t>
      </w:r>
      <w:r w:rsidR="006B463C">
        <w:rPr>
          <w:rFonts w:ascii="Times New Roman" w:hAnsi="Times New Roman" w:cs="Times New Roman"/>
          <w:sz w:val="24"/>
          <w:szCs w:val="24"/>
          <w:shd w:val="clear" w:color="auto" w:fill="FFFFFF"/>
        </w:rPr>
        <w:t>,</w:t>
      </w:r>
      <w:r w:rsidR="00A726DE" w:rsidRPr="008956CA">
        <w:rPr>
          <w:rFonts w:ascii="Times New Roman" w:hAnsi="Times New Roman" w:cs="Times New Roman"/>
          <w:sz w:val="24"/>
          <w:szCs w:val="24"/>
          <w:shd w:val="clear" w:color="auto" w:fill="FFFFFF"/>
        </w:rPr>
        <w:t xml:space="preserve">” would be more appropriate than reference to Article 26, which addresses </w:t>
      </w:r>
      <w:r w:rsidR="001E5629" w:rsidRPr="008956CA">
        <w:rPr>
          <w:rFonts w:ascii="Times New Roman" w:hAnsi="Times New Roman" w:cs="Times New Roman"/>
          <w:sz w:val="24"/>
          <w:szCs w:val="24"/>
          <w:shd w:val="clear" w:color="auto" w:fill="FFFFFF"/>
        </w:rPr>
        <w:t xml:space="preserve">only equality before the law and </w:t>
      </w:r>
      <w:r w:rsidR="00A726DE" w:rsidRPr="008956CA">
        <w:rPr>
          <w:rFonts w:ascii="Times New Roman" w:hAnsi="Times New Roman" w:cs="Times New Roman"/>
          <w:sz w:val="24"/>
          <w:szCs w:val="24"/>
          <w:shd w:val="clear" w:color="auto" w:fill="FFFFFF"/>
        </w:rPr>
        <w:t xml:space="preserve">equal protection </w:t>
      </w:r>
      <w:r w:rsidR="001E5629" w:rsidRPr="008956CA">
        <w:rPr>
          <w:rFonts w:ascii="Times New Roman" w:hAnsi="Times New Roman" w:cs="Times New Roman"/>
          <w:sz w:val="24"/>
          <w:szCs w:val="24"/>
          <w:shd w:val="clear" w:color="auto" w:fill="FFFFFF"/>
        </w:rPr>
        <w:t>of</w:t>
      </w:r>
      <w:r w:rsidR="00A726DE" w:rsidRPr="008956CA">
        <w:rPr>
          <w:rFonts w:ascii="Times New Roman" w:hAnsi="Times New Roman" w:cs="Times New Roman"/>
          <w:sz w:val="24"/>
          <w:szCs w:val="24"/>
          <w:shd w:val="clear" w:color="auto" w:fill="FFFFFF"/>
        </w:rPr>
        <w:t xml:space="preserve"> the law.  The United States </w:t>
      </w:r>
      <w:r w:rsidR="001E5629" w:rsidRPr="008956CA">
        <w:rPr>
          <w:rFonts w:ascii="Times New Roman" w:hAnsi="Times New Roman" w:cs="Times New Roman"/>
          <w:sz w:val="24"/>
          <w:szCs w:val="24"/>
          <w:shd w:val="clear" w:color="auto" w:fill="FFFFFF"/>
        </w:rPr>
        <w:t xml:space="preserve">notes that Article 26 </w:t>
      </w:r>
      <w:r w:rsidR="00A726DE" w:rsidRPr="008956CA">
        <w:rPr>
          <w:rFonts w:ascii="Times New Roman" w:hAnsi="Times New Roman" w:cs="Times New Roman"/>
          <w:sz w:val="24"/>
          <w:szCs w:val="24"/>
          <w:shd w:val="clear" w:color="auto" w:fill="FFFFFF"/>
        </w:rPr>
        <w:t xml:space="preserve">does not </w:t>
      </w:r>
      <w:r w:rsidR="001E5629" w:rsidRPr="008956CA">
        <w:rPr>
          <w:rFonts w:ascii="Times New Roman" w:hAnsi="Times New Roman" w:cs="Times New Roman"/>
          <w:sz w:val="24"/>
          <w:szCs w:val="24"/>
          <w:shd w:val="clear" w:color="auto" w:fill="FFFFFF"/>
        </w:rPr>
        <w:t>create</w:t>
      </w:r>
      <w:r w:rsidR="00A726DE" w:rsidRPr="008956CA">
        <w:rPr>
          <w:rFonts w:ascii="Times New Roman" w:hAnsi="Times New Roman" w:cs="Times New Roman"/>
          <w:sz w:val="24"/>
          <w:szCs w:val="24"/>
          <w:shd w:val="clear" w:color="auto" w:fill="FFFFFF"/>
        </w:rPr>
        <w:t xml:space="preserve"> a freestanding right to </w:t>
      </w:r>
      <w:r w:rsidR="001E5629" w:rsidRPr="008956CA">
        <w:rPr>
          <w:rFonts w:ascii="Times New Roman" w:hAnsi="Times New Roman" w:cs="Times New Roman"/>
          <w:sz w:val="24"/>
          <w:szCs w:val="24"/>
          <w:shd w:val="clear" w:color="auto" w:fill="FFFFFF"/>
        </w:rPr>
        <w:t>non-</w:t>
      </w:r>
      <w:r w:rsidR="00A726DE" w:rsidRPr="008956CA">
        <w:rPr>
          <w:rFonts w:ascii="Times New Roman" w:hAnsi="Times New Roman" w:cs="Times New Roman"/>
          <w:sz w:val="24"/>
          <w:szCs w:val="24"/>
          <w:shd w:val="clear" w:color="auto" w:fill="FFFFFF"/>
        </w:rPr>
        <w:t>discrimination.</w:t>
      </w:r>
    </w:p>
    <w:p w14:paraId="0D104316" w14:textId="1A7C82F2" w:rsidR="00A726DE" w:rsidRPr="008956CA" w:rsidRDefault="00404912" w:rsidP="00A726DE">
      <w:pPr>
        <w:spacing w:before="100" w:beforeAutospacing="1" w:after="100" w:afterAutospacing="1" w:line="240" w:lineRule="auto"/>
        <w:rPr>
          <w:rFonts w:ascii="Times New Roman" w:hAnsi="Times New Roman" w:cs="Times New Roman"/>
          <w:sz w:val="24"/>
          <w:szCs w:val="24"/>
          <w:shd w:val="clear" w:color="auto" w:fill="FFFFFF"/>
        </w:rPr>
      </w:pPr>
      <w:r w:rsidRPr="008956CA">
        <w:rPr>
          <w:rFonts w:ascii="Times New Roman" w:hAnsi="Times New Roman" w:cs="Times New Roman"/>
          <w:sz w:val="24"/>
          <w:szCs w:val="24"/>
          <w:shd w:val="clear" w:color="auto" w:fill="FFFFFF"/>
        </w:rPr>
        <w:t>35</w:t>
      </w:r>
      <w:r w:rsidR="00A726DE" w:rsidRPr="008956CA">
        <w:rPr>
          <w:rFonts w:ascii="Times New Roman" w:hAnsi="Times New Roman" w:cs="Times New Roman"/>
          <w:sz w:val="24"/>
          <w:szCs w:val="24"/>
          <w:shd w:val="clear" w:color="auto" w:fill="FFFFFF"/>
        </w:rPr>
        <w:t>.  E</w:t>
      </w:r>
      <w:r w:rsidR="007D08E1" w:rsidRPr="008956CA">
        <w:rPr>
          <w:rFonts w:ascii="Times New Roman" w:hAnsi="Times New Roman" w:cs="Times New Roman"/>
          <w:sz w:val="24"/>
          <w:szCs w:val="24"/>
          <w:shd w:val="clear" w:color="auto" w:fill="FFFFFF"/>
        </w:rPr>
        <w:t xml:space="preserve">conomic, </w:t>
      </w:r>
      <w:r w:rsidR="00A726DE" w:rsidRPr="008956CA">
        <w:rPr>
          <w:rFonts w:ascii="Times New Roman" w:hAnsi="Times New Roman" w:cs="Times New Roman"/>
          <w:sz w:val="24"/>
          <w:szCs w:val="24"/>
          <w:shd w:val="clear" w:color="auto" w:fill="FFFFFF"/>
        </w:rPr>
        <w:t>S</w:t>
      </w:r>
      <w:r w:rsidR="007D08E1" w:rsidRPr="008956CA">
        <w:rPr>
          <w:rFonts w:ascii="Times New Roman" w:hAnsi="Times New Roman" w:cs="Times New Roman"/>
          <w:sz w:val="24"/>
          <w:szCs w:val="24"/>
          <w:shd w:val="clear" w:color="auto" w:fill="FFFFFF"/>
        </w:rPr>
        <w:t xml:space="preserve">ocial and </w:t>
      </w:r>
      <w:r w:rsidR="00A726DE" w:rsidRPr="008956CA">
        <w:rPr>
          <w:rFonts w:ascii="Times New Roman" w:hAnsi="Times New Roman" w:cs="Times New Roman"/>
          <w:sz w:val="24"/>
          <w:szCs w:val="24"/>
          <w:shd w:val="clear" w:color="auto" w:fill="FFFFFF"/>
        </w:rPr>
        <w:t>C</w:t>
      </w:r>
      <w:r w:rsidR="007D08E1" w:rsidRPr="008956CA">
        <w:rPr>
          <w:rFonts w:ascii="Times New Roman" w:hAnsi="Times New Roman" w:cs="Times New Roman"/>
          <w:sz w:val="24"/>
          <w:szCs w:val="24"/>
          <w:shd w:val="clear" w:color="auto" w:fill="FFFFFF"/>
        </w:rPr>
        <w:t xml:space="preserve">ultural </w:t>
      </w:r>
      <w:r w:rsidR="00A726DE" w:rsidRPr="008956CA">
        <w:rPr>
          <w:rFonts w:ascii="Times New Roman" w:hAnsi="Times New Roman" w:cs="Times New Roman"/>
          <w:sz w:val="24"/>
          <w:szCs w:val="24"/>
          <w:shd w:val="clear" w:color="auto" w:fill="FFFFFF"/>
        </w:rPr>
        <w:t xml:space="preserve">Rights:  The United States reiterates that only States are parties to this Covenant and to </w:t>
      </w:r>
      <w:r w:rsidR="00DE0BDC" w:rsidRPr="008956CA">
        <w:rPr>
          <w:rFonts w:ascii="Times New Roman" w:hAnsi="Times New Roman" w:cs="Times New Roman"/>
          <w:sz w:val="24"/>
          <w:szCs w:val="24"/>
          <w:shd w:val="clear" w:color="auto" w:fill="FFFFFF"/>
        </w:rPr>
        <w:t xml:space="preserve">the </w:t>
      </w:r>
      <w:r w:rsidR="00A726DE" w:rsidRPr="008956CA">
        <w:rPr>
          <w:rFonts w:ascii="Times New Roman" w:hAnsi="Times New Roman" w:cs="Times New Roman"/>
          <w:sz w:val="24"/>
          <w:szCs w:val="24"/>
          <w:shd w:val="clear" w:color="auto" w:fill="FFFFFF"/>
        </w:rPr>
        <w:t xml:space="preserve">ICESCR, and thus only States, not private individuals, have the capacity to violate the rights under the Covenants.  Further, the United States reminds the Committee that not all States Party to the ICCPR are party to the ICESCR, and that States only have the obligations they have undertaken. </w:t>
      </w:r>
    </w:p>
    <w:p w14:paraId="31B5082F" w14:textId="77E3C8A2" w:rsidR="00B51C81" w:rsidRPr="008956CA" w:rsidRDefault="00404912" w:rsidP="00870D0A">
      <w:pPr>
        <w:spacing w:before="100" w:beforeAutospacing="1" w:after="100" w:afterAutospacing="1" w:line="240" w:lineRule="auto"/>
        <w:rPr>
          <w:rFonts w:ascii="Times New Roman" w:hAnsi="Times New Roman" w:cs="Times New Roman"/>
          <w:b/>
          <w:sz w:val="24"/>
          <w:szCs w:val="24"/>
        </w:rPr>
      </w:pPr>
      <w:r w:rsidRPr="008956CA">
        <w:rPr>
          <w:rFonts w:ascii="Times New Roman" w:hAnsi="Times New Roman" w:cs="Times New Roman"/>
          <w:b/>
          <w:sz w:val="24"/>
          <w:szCs w:val="24"/>
        </w:rPr>
        <w:t>E</w:t>
      </w:r>
      <w:r w:rsidR="00B51C81" w:rsidRPr="008956CA">
        <w:rPr>
          <w:rFonts w:ascii="Times New Roman" w:hAnsi="Times New Roman" w:cs="Times New Roman"/>
          <w:b/>
          <w:sz w:val="24"/>
          <w:szCs w:val="24"/>
        </w:rPr>
        <w:t xml:space="preserve">. </w:t>
      </w:r>
      <w:r w:rsidR="005B7624" w:rsidRPr="008956CA">
        <w:rPr>
          <w:rFonts w:ascii="Times New Roman" w:hAnsi="Times New Roman" w:cs="Times New Roman"/>
          <w:b/>
          <w:sz w:val="24"/>
          <w:szCs w:val="24"/>
        </w:rPr>
        <w:t>Obligations</w:t>
      </w:r>
    </w:p>
    <w:p w14:paraId="153F82A7" w14:textId="57B5B33C" w:rsidR="00BA3A21" w:rsidRPr="008956CA" w:rsidRDefault="00404912" w:rsidP="00870D0A">
      <w:pPr>
        <w:spacing w:before="100" w:beforeAutospacing="1" w:after="100" w:afterAutospacing="1" w:line="240" w:lineRule="auto"/>
        <w:rPr>
          <w:rFonts w:ascii="Times New Roman" w:hAnsi="Times New Roman" w:cs="Times New Roman"/>
          <w:bCs/>
          <w:iCs/>
          <w:sz w:val="24"/>
          <w:szCs w:val="24"/>
        </w:rPr>
      </w:pPr>
      <w:r w:rsidRPr="008956CA">
        <w:rPr>
          <w:rFonts w:ascii="Times New Roman" w:hAnsi="Times New Roman" w:cs="Times New Roman"/>
          <w:bCs/>
          <w:iCs/>
          <w:sz w:val="24"/>
          <w:szCs w:val="24"/>
        </w:rPr>
        <w:t>36</w:t>
      </w:r>
      <w:r w:rsidR="00602A4E" w:rsidRPr="008956CA">
        <w:rPr>
          <w:rFonts w:ascii="Times New Roman" w:hAnsi="Times New Roman" w:cs="Times New Roman"/>
          <w:bCs/>
          <w:iCs/>
          <w:sz w:val="24"/>
          <w:szCs w:val="24"/>
        </w:rPr>
        <w:t>.</w:t>
      </w:r>
      <w:r w:rsidRPr="008956CA">
        <w:rPr>
          <w:rFonts w:ascii="Times New Roman" w:hAnsi="Times New Roman" w:cs="Times New Roman"/>
          <w:bCs/>
          <w:iCs/>
          <w:sz w:val="24"/>
          <w:szCs w:val="24"/>
        </w:rPr>
        <w:t xml:space="preserve"> </w:t>
      </w:r>
      <w:r w:rsidR="00602A4E" w:rsidRPr="008956CA">
        <w:rPr>
          <w:rFonts w:ascii="Times New Roman" w:hAnsi="Times New Roman" w:cs="Times New Roman"/>
          <w:bCs/>
          <w:iCs/>
          <w:sz w:val="24"/>
          <w:szCs w:val="24"/>
        </w:rPr>
        <w:t xml:space="preserve"> </w:t>
      </w:r>
      <w:r w:rsidR="00F275E0" w:rsidRPr="008956CA">
        <w:rPr>
          <w:rFonts w:ascii="Times New Roman" w:hAnsi="Times New Roman" w:cs="Times New Roman"/>
          <w:bCs/>
          <w:iCs/>
          <w:sz w:val="24"/>
          <w:szCs w:val="24"/>
        </w:rPr>
        <w:t xml:space="preserve">The United States believes that it is a good practice of </w:t>
      </w:r>
      <w:r w:rsidR="0018736B" w:rsidRPr="008956CA">
        <w:rPr>
          <w:rFonts w:ascii="Times New Roman" w:hAnsi="Times New Roman" w:cs="Times New Roman"/>
          <w:bCs/>
          <w:iCs/>
          <w:sz w:val="24"/>
          <w:szCs w:val="24"/>
        </w:rPr>
        <w:t>States Parties</w:t>
      </w:r>
      <w:r w:rsidR="00F275E0" w:rsidRPr="008956CA">
        <w:rPr>
          <w:rFonts w:ascii="Times New Roman" w:hAnsi="Times New Roman" w:cs="Times New Roman"/>
          <w:bCs/>
          <w:iCs/>
          <w:sz w:val="24"/>
          <w:szCs w:val="24"/>
        </w:rPr>
        <w:t xml:space="preserve"> to facilitate the right of peaceful assembly, including where necessary and appropriate, </w:t>
      </w:r>
      <w:proofErr w:type="gramStart"/>
      <w:r w:rsidR="00F275E0" w:rsidRPr="008956CA">
        <w:rPr>
          <w:rFonts w:ascii="Times New Roman" w:hAnsi="Times New Roman" w:cs="Times New Roman"/>
          <w:bCs/>
          <w:iCs/>
          <w:sz w:val="24"/>
          <w:szCs w:val="24"/>
        </w:rPr>
        <w:t>through the use of</w:t>
      </w:r>
      <w:proofErr w:type="gramEnd"/>
      <w:r w:rsidR="00F275E0" w:rsidRPr="008956CA">
        <w:rPr>
          <w:rFonts w:ascii="Times New Roman" w:hAnsi="Times New Roman" w:cs="Times New Roman"/>
          <w:bCs/>
          <w:iCs/>
          <w:sz w:val="24"/>
          <w:szCs w:val="24"/>
        </w:rPr>
        <w:t xml:space="preserve"> law enforcement to maintain order and protect individuals exercising their right of peaceful assembly.  However, </w:t>
      </w:r>
      <w:r w:rsidR="00BA3A21" w:rsidRPr="008956CA">
        <w:rPr>
          <w:rFonts w:ascii="Times New Roman" w:hAnsi="Times New Roman" w:cs="Times New Roman"/>
          <w:sz w:val="24"/>
          <w:szCs w:val="24"/>
        </w:rPr>
        <w:t xml:space="preserve">from the start of negotiations in 1948, the United States </w:t>
      </w:r>
      <w:r w:rsidR="00602A4E" w:rsidRPr="008956CA">
        <w:rPr>
          <w:rFonts w:ascii="Times New Roman" w:hAnsi="Times New Roman" w:cs="Times New Roman"/>
          <w:sz w:val="24"/>
          <w:szCs w:val="24"/>
        </w:rPr>
        <w:t xml:space="preserve">has </w:t>
      </w:r>
      <w:r w:rsidR="00BA3A21" w:rsidRPr="008956CA">
        <w:rPr>
          <w:rFonts w:ascii="Times New Roman" w:hAnsi="Times New Roman" w:cs="Times New Roman"/>
          <w:sz w:val="24"/>
          <w:szCs w:val="24"/>
        </w:rPr>
        <w:t>maintained that the Covenant was intended to protect individuals from State action and that existing codes of criminal law already covered actions committed by individuals or groups.</w:t>
      </w:r>
      <w:r w:rsidR="00BA3A21" w:rsidRPr="008956CA">
        <w:rPr>
          <w:rStyle w:val="FootnoteReference"/>
          <w:rFonts w:ascii="Times New Roman" w:hAnsi="Times New Roman" w:cs="Times New Roman"/>
          <w:sz w:val="24"/>
          <w:szCs w:val="24"/>
        </w:rPr>
        <w:footnoteReference w:id="22"/>
      </w:r>
      <w:r w:rsidR="00BA3A21" w:rsidRPr="008956CA">
        <w:rPr>
          <w:rFonts w:ascii="Times New Roman" w:hAnsi="Times New Roman" w:cs="Times New Roman"/>
          <w:sz w:val="24"/>
          <w:szCs w:val="24"/>
        </w:rPr>
        <w:t xml:space="preserve">  </w:t>
      </w:r>
      <w:r w:rsidR="00BA3A21" w:rsidRPr="008956CA">
        <w:rPr>
          <w:rFonts w:ascii="Times New Roman" w:hAnsi="Times New Roman" w:cs="Times New Roman"/>
          <w:bCs/>
          <w:iCs/>
          <w:sz w:val="24"/>
          <w:szCs w:val="24"/>
        </w:rPr>
        <w:t>T</w:t>
      </w:r>
      <w:r w:rsidR="00F275E0" w:rsidRPr="008956CA">
        <w:rPr>
          <w:rFonts w:ascii="Times New Roman" w:hAnsi="Times New Roman" w:cs="Times New Roman"/>
          <w:bCs/>
          <w:iCs/>
          <w:sz w:val="24"/>
          <w:szCs w:val="24"/>
        </w:rPr>
        <w:t>he United States has repeatedly made known its longstanding view that the Covenant in general does not impose an affirmative duty on the State to protect individuals’ life, liberty, or security of person from interference by private actors</w:t>
      </w:r>
      <w:r w:rsidR="00F275E0" w:rsidRPr="008956CA">
        <w:rPr>
          <w:rStyle w:val="FootnoteReference"/>
          <w:rFonts w:ascii="Times New Roman" w:hAnsi="Times New Roman" w:cs="Times New Roman"/>
          <w:bCs/>
          <w:iCs/>
          <w:sz w:val="24"/>
          <w:szCs w:val="24"/>
        </w:rPr>
        <w:footnoteReference w:id="23"/>
      </w:r>
      <w:r w:rsidR="00F275E0" w:rsidRPr="008956CA">
        <w:rPr>
          <w:rFonts w:ascii="Times New Roman" w:hAnsi="Times New Roman" w:cs="Times New Roman"/>
          <w:bCs/>
          <w:iCs/>
          <w:sz w:val="24"/>
          <w:szCs w:val="24"/>
        </w:rPr>
        <w:t xml:space="preserve"> and consequently such interference does not constitute a violation of the Covenant; our position on Articles 6 and 9 does not change simply because an individual is exercising their right of peaceful assembly. </w:t>
      </w:r>
      <w:r w:rsidR="00BA3A21" w:rsidRPr="008956CA">
        <w:rPr>
          <w:rFonts w:ascii="Times New Roman" w:hAnsi="Times New Roman" w:cs="Times New Roman"/>
          <w:bCs/>
          <w:iCs/>
          <w:sz w:val="24"/>
          <w:szCs w:val="24"/>
        </w:rPr>
        <w:t xml:space="preserve"> </w:t>
      </w:r>
      <w:r w:rsidR="00F275E0" w:rsidRPr="008956CA">
        <w:rPr>
          <w:rFonts w:ascii="Times New Roman" w:hAnsi="Times New Roman" w:cs="Times New Roman"/>
          <w:bCs/>
          <w:iCs/>
          <w:sz w:val="24"/>
          <w:szCs w:val="24"/>
        </w:rPr>
        <w:t xml:space="preserve">The United States </w:t>
      </w:r>
      <w:r w:rsidR="00235A02" w:rsidRPr="008956CA">
        <w:rPr>
          <w:rFonts w:ascii="Times New Roman" w:hAnsi="Times New Roman" w:cs="Times New Roman"/>
          <w:bCs/>
          <w:iCs/>
          <w:sz w:val="24"/>
          <w:szCs w:val="24"/>
        </w:rPr>
        <w:t>objects to</w:t>
      </w:r>
      <w:r w:rsidR="00F275E0" w:rsidRPr="008956CA">
        <w:rPr>
          <w:rFonts w:ascii="Times New Roman" w:hAnsi="Times New Roman" w:cs="Times New Roman"/>
          <w:bCs/>
          <w:iCs/>
          <w:sz w:val="24"/>
          <w:szCs w:val="24"/>
        </w:rPr>
        <w:t xml:space="preserve"> the Committee’s imputing affirmative obligations to </w:t>
      </w:r>
      <w:r w:rsidR="0018736B" w:rsidRPr="008956CA">
        <w:rPr>
          <w:rFonts w:ascii="Times New Roman" w:hAnsi="Times New Roman" w:cs="Times New Roman"/>
          <w:bCs/>
          <w:iCs/>
          <w:sz w:val="24"/>
          <w:szCs w:val="24"/>
        </w:rPr>
        <w:t>States Parties</w:t>
      </w:r>
      <w:r w:rsidR="00F275E0" w:rsidRPr="008956CA">
        <w:rPr>
          <w:rFonts w:ascii="Times New Roman" w:hAnsi="Times New Roman" w:cs="Times New Roman"/>
          <w:bCs/>
          <w:iCs/>
          <w:sz w:val="24"/>
          <w:szCs w:val="24"/>
        </w:rPr>
        <w:t xml:space="preserve"> to prevent, regulate, or punish the non-governmental conduct of private actors.  The ordinary meaning of the text of the Covenant does </w:t>
      </w:r>
      <w:r w:rsidR="00F275E0" w:rsidRPr="008956CA">
        <w:rPr>
          <w:rFonts w:ascii="Times New Roman" w:hAnsi="Times New Roman" w:cs="Times New Roman"/>
          <w:bCs/>
          <w:iCs/>
          <w:sz w:val="24"/>
          <w:szCs w:val="24"/>
        </w:rPr>
        <w:lastRenderedPageBreak/>
        <w:t>not support such a reading,</w:t>
      </w:r>
      <w:r w:rsidR="007E047C" w:rsidRPr="008956CA">
        <w:rPr>
          <w:rStyle w:val="FootnoteReference"/>
          <w:rFonts w:ascii="Times New Roman" w:hAnsi="Times New Roman" w:cs="Times New Roman"/>
          <w:bCs/>
          <w:iCs/>
          <w:sz w:val="24"/>
          <w:szCs w:val="24"/>
        </w:rPr>
        <w:footnoteReference w:id="24"/>
      </w:r>
      <w:r w:rsidR="00F275E0" w:rsidRPr="008956CA">
        <w:rPr>
          <w:rFonts w:ascii="Times New Roman" w:hAnsi="Times New Roman" w:cs="Times New Roman"/>
          <w:bCs/>
          <w:iCs/>
          <w:sz w:val="24"/>
          <w:szCs w:val="24"/>
        </w:rPr>
        <w:t xml:space="preserve"> and the negotiating history makes clear that there was not universal agreement among the negotiating parties to impose obligations on States to prevent interference from private actors.</w:t>
      </w:r>
      <w:r w:rsidR="00F275E0" w:rsidRPr="008956CA">
        <w:rPr>
          <w:rStyle w:val="FootnoteReference"/>
          <w:rFonts w:ascii="Times New Roman" w:hAnsi="Times New Roman" w:cs="Times New Roman"/>
          <w:bCs/>
          <w:iCs/>
          <w:sz w:val="24"/>
          <w:szCs w:val="24"/>
        </w:rPr>
        <w:footnoteReference w:id="25"/>
      </w:r>
      <w:r w:rsidR="00BA3A21" w:rsidRPr="008956CA">
        <w:rPr>
          <w:rFonts w:ascii="Times New Roman" w:hAnsi="Times New Roman" w:cs="Times New Roman"/>
          <w:bCs/>
          <w:iCs/>
          <w:sz w:val="24"/>
          <w:szCs w:val="24"/>
        </w:rPr>
        <w:t xml:space="preserve">  The provisions concerning the affirmative duties of the state should be revised to reflect </w:t>
      </w:r>
      <w:r w:rsidR="00085CD7" w:rsidRPr="008956CA">
        <w:rPr>
          <w:rFonts w:ascii="Times New Roman" w:hAnsi="Times New Roman" w:cs="Times New Roman"/>
          <w:bCs/>
          <w:iCs/>
          <w:sz w:val="24"/>
          <w:szCs w:val="24"/>
        </w:rPr>
        <w:t xml:space="preserve">that these are </w:t>
      </w:r>
      <w:r w:rsidR="00BA3A21" w:rsidRPr="008956CA">
        <w:rPr>
          <w:rFonts w:ascii="Times New Roman" w:hAnsi="Times New Roman" w:cs="Times New Roman"/>
          <w:bCs/>
          <w:iCs/>
          <w:sz w:val="24"/>
          <w:szCs w:val="24"/>
        </w:rPr>
        <w:t>good practices of states to promote enjoyment of the right of peaceful assembly.</w:t>
      </w:r>
    </w:p>
    <w:p w14:paraId="5E742187" w14:textId="1B2E9962" w:rsidR="002E40C1" w:rsidRPr="008956CA" w:rsidRDefault="00404912" w:rsidP="00870D0A">
      <w:pPr>
        <w:spacing w:before="100" w:beforeAutospacing="1" w:after="100" w:afterAutospacing="1" w:line="240" w:lineRule="auto"/>
        <w:rPr>
          <w:rFonts w:ascii="Times New Roman" w:hAnsi="Times New Roman" w:cs="Times New Roman"/>
          <w:bCs/>
          <w:iCs/>
          <w:sz w:val="24"/>
          <w:szCs w:val="24"/>
        </w:rPr>
      </w:pPr>
      <w:r w:rsidRPr="008956CA">
        <w:rPr>
          <w:rFonts w:ascii="Times New Roman" w:hAnsi="Times New Roman" w:cs="Times New Roman"/>
          <w:bCs/>
          <w:iCs/>
          <w:sz w:val="24"/>
          <w:szCs w:val="24"/>
        </w:rPr>
        <w:t>37</w:t>
      </w:r>
      <w:r w:rsidR="00602A4E" w:rsidRPr="008956CA">
        <w:rPr>
          <w:rFonts w:ascii="Times New Roman" w:hAnsi="Times New Roman" w:cs="Times New Roman"/>
          <w:bCs/>
          <w:iCs/>
          <w:sz w:val="24"/>
          <w:szCs w:val="24"/>
        </w:rPr>
        <w:t xml:space="preserve">.  </w:t>
      </w:r>
      <w:r w:rsidR="00F275E0" w:rsidRPr="008956CA">
        <w:rPr>
          <w:rFonts w:ascii="Times New Roman" w:hAnsi="Times New Roman" w:cs="Times New Roman"/>
          <w:bCs/>
          <w:iCs/>
          <w:sz w:val="24"/>
          <w:szCs w:val="24"/>
        </w:rPr>
        <w:t xml:space="preserve">This is not to suggest that </w:t>
      </w:r>
      <w:r w:rsidR="007E047C" w:rsidRPr="008956CA">
        <w:rPr>
          <w:rFonts w:ascii="Times New Roman" w:hAnsi="Times New Roman" w:cs="Times New Roman"/>
          <w:bCs/>
          <w:iCs/>
          <w:sz w:val="24"/>
          <w:szCs w:val="24"/>
        </w:rPr>
        <w:t>the government</w:t>
      </w:r>
      <w:r w:rsidR="00F275E0" w:rsidRPr="008956CA">
        <w:rPr>
          <w:rFonts w:ascii="Times New Roman" w:hAnsi="Times New Roman" w:cs="Times New Roman"/>
          <w:bCs/>
          <w:iCs/>
          <w:sz w:val="24"/>
          <w:szCs w:val="24"/>
        </w:rPr>
        <w:t xml:space="preserve"> has no duties </w:t>
      </w:r>
      <w:proofErr w:type="gramStart"/>
      <w:r w:rsidR="00F275E0" w:rsidRPr="008956CA">
        <w:rPr>
          <w:rFonts w:ascii="Times New Roman" w:hAnsi="Times New Roman" w:cs="Times New Roman"/>
          <w:bCs/>
          <w:iCs/>
          <w:sz w:val="24"/>
          <w:szCs w:val="24"/>
        </w:rPr>
        <w:t>with regard to</w:t>
      </w:r>
      <w:proofErr w:type="gramEnd"/>
      <w:r w:rsidR="00F275E0" w:rsidRPr="008956CA">
        <w:rPr>
          <w:rFonts w:ascii="Times New Roman" w:hAnsi="Times New Roman" w:cs="Times New Roman"/>
          <w:bCs/>
          <w:iCs/>
          <w:sz w:val="24"/>
          <w:szCs w:val="24"/>
        </w:rPr>
        <w:t xml:space="preserve"> the right of peaceful assembly.  </w:t>
      </w:r>
      <w:r w:rsidR="00872BFF" w:rsidRPr="008956CA">
        <w:rPr>
          <w:rFonts w:ascii="Times New Roman" w:hAnsi="Times New Roman" w:cs="Times New Roman"/>
          <w:bCs/>
          <w:iCs/>
          <w:sz w:val="24"/>
          <w:szCs w:val="24"/>
        </w:rPr>
        <w:t>In addition to continuing to comply with the State’s other obligations under the Covenant, in particular Articles 6 and 9,</w:t>
      </w:r>
      <w:r w:rsidR="00872BFF" w:rsidRPr="008956CA">
        <w:rPr>
          <w:rStyle w:val="FootnoteReference"/>
          <w:rFonts w:ascii="Times New Roman" w:hAnsi="Times New Roman" w:cs="Times New Roman"/>
          <w:bCs/>
          <w:iCs/>
          <w:sz w:val="24"/>
          <w:szCs w:val="24"/>
        </w:rPr>
        <w:footnoteReference w:id="26"/>
      </w:r>
      <w:r w:rsidR="00872BFF" w:rsidRPr="008956CA">
        <w:rPr>
          <w:rFonts w:ascii="Times New Roman" w:hAnsi="Times New Roman" w:cs="Times New Roman"/>
          <w:bCs/>
          <w:iCs/>
          <w:sz w:val="24"/>
          <w:szCs w:val="24"/>
        </w:rPr>
        <w:t xml:space="preserve"> l</w:t>
      </w:r>
      <w:r w:rsidR="00F275E0" w:rsidRPr="008956CA">
        <w:rPr>
          <w:rFonts w:ascii="Times New Roman" w:hAnsi="Times New Roman" w:cs="Times New Roman"/>
          <w:bCs/>
          <w:iCs/>
          <w:sz w:val="24"/>
          <w:szCs w:val="24"/>
        </w:rPr>
        <w:t>aw enforcement, once</w:t>
      </w:r>
      <w:r w:rsidR="00121BB8" w:rsidRPr="008956CA">
        <w:rPr>
          <w:rFonts w:ascii="Times New Roman" w:hAnsi="Times New Roman" w:cs="Times New Roman"/>
          <w:bCs/>
          <w:iCs/>
          <w:sz w:val="24"/>
          <w:szCs w:val="24"/>
        </w:rPr>
        <w:t xml:space="preserve"> engaged in maintaining order during an assembly, </w:t>
      </w:r>
      <w:r w:rsidR="007E047C" w:rsidRPr="008956CA">
        <w:rPr>
          <w:rFonts w:ascii="Times New Roman" w:hAnsi="Times New Roman" w:cs="Times New Roman"/>
          <w:bCs/>
          <w:iCs/>
          <w:sz w:val="24"/>
          <w:szCs w:val="24"/>
        </w:rPr>
        <w:t>must not discriminate against individuals on the basis of the viewpoint they are presenting</w:t>
      </w:r>
      <w:r w:rsidR="00FB540C" w:rsidRPr="008956CA">
        <w:rPr>
          <w:rFonts w:ascii="Times New Roman" w:hAnsi="Times New Roman" w:cs="Times New Roman"/>
          <w:bCs/>
          <w:iCs/>
          <w:sz w:val="24"/>
          <w:szCs w:val="24"/>
        </w:rPr>
        <w:t xml:space="preserve">, </w:t>
      </w:r>
      <w:r w:rsidR="007E047C" w:rsidRPr="008956CA">
        <w:rPr>
          <w:rFonts w:ascii="Times New Roman" w:hAnsi="Times New Roman" w:cs="Times New Roman"/>
          <w:bCs/>
          <w:iCs/>
          <w:sz w:val="24"/>
          <w:szCs w:val="24"/>
        </w:rPr>
        <w:t xml:space="preserve">as discussed </w:t>
      </w:r>
      <w:r w:rsidR="00E26451" w:rsidRPr="008956CA">
        <w:rPr>
          <w:rFonts w:ascii="Times New Roman" w:hAnsi="Times New Roman" w:cs="Times New Roman"/>
          <w:bCs/>
          <w:iCs/>
          <w:sz w:val="24"/>
          <w:szCs w:val="24"/>
        </w:rPr>
        <w:t>above in section C</w:t>
      </w:r>
      <w:r w:rsidR="007E047C" w:rsidRPr="008956CA">
        <w:rPr>
          <w:rFonts w:ascii="Times New Roman" w:hAnsi="Times New Roman" w:cs="Times New Roman"/>
          <w:bCs/>
          <w:iCs/>
          <w:sz w:val="24"/>
          <w:szCs w:val="24"/>
        </w:rPr>
        <w:t>.   And where a permitting or notification system is in place, government officials must administer the system in an impartial and timely way</w:t>
      </w:r>
      <w:r w:rsidR="00FB540C" w:rsidRPr="008956CA">
        <w:rPr>
          <w:rFonts w:ascii="Times New Roman" w:hAnsi="Times New Roman" w:cs="Times New Roman"/>
          <w:bCs/>
          <w:iCs/>
          <w:sz w:val="24"/>
          <w:szCs w:val="24"/>
        </w:rPr>
        <w:t>, consistent with Article 21.</w:t>
      </w:r>
    </w:p>
    <w:p w14:paraId="2A1A0BE6" w14:textId="587ABB7E" w:rsidR="00235A02" w:rsidRPr="008956CA" w:rsidRDefault="00404912" w:rsidP="00870D0A">
      <w:pPr>
        <w:spacing w:before="100" w:beforeAutospacing="1" w:after="100" w:afterAutospacing="1" w:line="240" w:lineRule="auto"/>
        <w:rPr>
          <w:rFonts w:ascii="Times New Roman" w:hAnsi="Times New Roman" w:cs="Times New Roman"/>
          <w:bCs/>
          <w:iCs/>
          <w:sz w:val="24"/>
          <w:szCs w:val="24"/>
        </w:rPr>
      </w:pPr>
      <w:r w:rsidRPr="008956CA">
        <w:rPr>
          <w:rFonts w:ascii="Times New Roman" w:hAnsi="Times New Roman" w:cs="Times New Roman"/>
          <w:bCs/>
          <w:iCs/>
          <w:sz w:val="24"/>
          <w:szCs w:val="24"/>
        </w:rPr>
        <w:t>38</w:t>
      </w:r>
      <w:r w:rsidR="002E40C1" w:rsidRPr="008956CA">
        <w:rPr>
          <w:rFonts w:ascii="Times New Roman" w:hAnsi="Times New Roman" w:cs="Times New Roman"/>
          <w:bCs/>
          <w:iCs/>
          <w:sz w:val="24"/>
          <w:szCs w:val="24"/>
        </w:rPr>
        <w:t>.  Nor does the United States disagree that as a general matter it is the government’s role to protect individuals from violent and other crime.  However</w:t>
      </w:r>
      <w:r w:rsidR="00BE712F" w:rsidRPr="008956CA">
        <w:rPr>
          <w:rFonts w:ascii="Times New Roman" w:hAnsi="Times New Roman" w:cs="Times New Roman"/>
          <w:bCs/>
          <w:iCs/>
          <w:sz w:val="24"/>
          <w:szCs w:val="24"/>
        </w:rPr>
        <w:t xml:space="preserve">, the government must ensure that its actions in this regard do not </w:t>
      </w:r>
      <w:r w:rsidR="002E40C1" w:rsidRPr="008956CA">
        <w:rPr>
          <w:rFonts w:ascii="Times New Roman" w:hAnsi="Times New Roman" w:cs="Times New Roman"/>
          <w:bCs/>
          <w:iCs/>
          <w:sz w:val="24"/>
          <w:szCs w:val="24"/>
        </w:rPr>
        <w:t>conflict with the right of peaceful assembly</w:t>
      </w:r>
      <w:r w:rsidR="00BE712F" w:rsidRPr="008956CA">
        <w:rPr>
          <w:rFonts w:ascii="Times New Roman" w:hAnsi="Times New Roman" w:cs="Times New Roman"/>
          <w:bCs/>
          <w:iCs/>
          <w:sz w:val="24"/>
          <w:szCs w:val="24"/>
        </w:rPr>
        <w:t xml:space="preserve"> or other obligations under the Covenant</w:t>
      </w:r>
      <w:r w:rsidR="002E40C1" w:rsidRPr="008956CA">
        <w:rPr>
          <w:rFonts w:ascii="Times New Roman" w:hAnsi="Times New Roman" w:cs="Times New Roman"/>
          <w:bCs/>
          <w:iCs/>
          <w:sz w:val="24"/>
          <w:szCs w:val="24"/>
        </w:rPr>
        <w:t xml:space="preserve">.  In paragraph 31, the Draft states that the “State is obliged to take all [possible / appropriate] measures to protect the participants </w:t>
      </w:r>
      <w:proofErr w:type="gramStart"/>
      <w:r w:rsidR="002E40C1" w:rsidRPr="008956CA">
        <w:rPr>
          <w:rFonts w:ascii="Times New Roman" w:hAnsi="Times New Roman" w:cs="Times New Roman"/>
          <w:bCs/>
          <w:iCs/>
          <w:sz w:val="24"/>
          <w:szCs w:val="24"/>
        </w:rPr>
        <w:t>. . .</w:t>
      </w:r>
      <w:r w:rsidR="006B463C">
        <w:rPr>
          <w:rFonts w:ascii="Times New Roman" w:hAnsi="Times New Roman" w:cs="Times New Roman"/>
          <w:bCs/>
          <w:iCs/>
          <w:sz w:val="24"/>
          <w:szCs w:val="24"/>
        </w:rPr>
        <w:t xml:space="preserve"> .</w:t>
      </w:r>
      <w:proofErr w:type="gramEnd"/>
      <w:r w:rsidR="002E40C1" w:rsidRPr="008956CA">
        <w:rPr>
          <w:rFonts w:ascii="Times New Roman" w:hAnsi="Times New Roman" w:cs="Times New Roman"/>
          <w:bCs/>
          <w:iCs/>
          <w:sz w:val="24"/>
          <w:szCs w:val="24"/>
        </w:rPr>
        <w:t xml:space="preserve">”  The United States strongly suggests the Committee use “appropriate” rather than “possible”, because “possible” could include </w:t>
      </w:r>
      <w:r w:rsidR="009B3071" w:rsidRPr="008956CA">
        <w:rPr>
          <w:rFonts w:ascii="Times New Roman" w:hAnsi="Times New Roman" w:cs="Times New Roman"/>
          <w:bCs/>
          <w:iCs/>
          <w:sz w:val="24"/>
          <w:szCs w:val="24"/>
        </w:rPr>
        <w:t xml:space="preserve">measures inconsistent with the right of peaceful assembly, such as refusing to issue a permit for a protest that could spark violence rather than </w:t>
      </w:r>
      <w:r w:rsidR="00774837" w:rsidRPr="008956CA">
        <w:rPr>
          <w:rFonts w:ascii="Times New Roman" w:hAnsi="Times New Roman" w:cs="Times New Roman"/>
          <w:bCs/>
          <w:iCs/>
          <w:sz w:val="24"/>
          <w:szCs w:val="24"/>
        </w:rPr>
        <w:t xml:space="preserve">a </w:t>
      </w:r>
      <w:r w:rsidR="009B3071" w:rsidRPr="008956CA">
        <w:rPr>
          <w:rFonts w:ascii="Times New Roman" w:hAnsi="Times New Roman" w:cs="Times New Roman"/>
          <w:bCs/>
          <w:iCs/>
          <w:sz w:val="24"/>
          <w:szCs w:val="24"/>
        </w:rPr>
        <w:t xml:space="preserve">more targeted, and thus appropriate response. </w:t>
      </w:r>
    </w:p>
    <w:p w14:paraId="7B8FA53D" w14:textId="65F18C16" w:rsidR="00D11C70" w:rsidRPr="008956CA" w:rsidRDefault="00404912" w:rsidP="00870D0A">
      <w:pPr>
        <w:spacing w:before="100" w:beforeAutospacing="1" w:after="100" w:afterAutospacing="1" w:line="240" w:lineRule="auto"/>
        <w:rPr>
          <w:rFonts w:ascii="Times New Roman" w:hAnsi="Times New Roman" w:cs="Times New Roman"/>
          <w:b/>
          <w:bCs/>
          <w:sz w:val="24"/>
          <w:szCs w:val="24"/>
        </w:rPr>
      </w:pPr>
      <w:r w:rsidRPr="008956CA">
        <w:rPr>
          <w:rFonts w:ascii="Times New Roman" w:hAnsi="Times New Roman" w:cs="Times New Roman"/>
          <w:b/>
          <w:bCs/>
          <w:sz w:val="24"/>
          <w:szCs w:val="24"/>
        </w:rPr>
        <w:t>F</w:t>
      </w:r>
      <w:r w:rsidR="00D11C70" w:rsidRPr="008956CA">
        <w:rPr>
          <w:rFonts w:ascii="Times New Roman" w:hAnsi="Times New Roman" w:cs="Times New Roman"/>
          <w:b/>
          <w:bCs/>
          <w:sz w:val="24"/>
          <w:szCs w:val="24"/>
        </w:rPr>
        <w:t>. Conclusion</w:t>
      </w:r>
    </w:p>
    <w:p w14:paraId="013A672A" w14:textId="09C0627E" w:rsidR="00E77949" w:rsidRPr="008956CA" w:rsidRDefault="00404912" w:rsidP="00E77949">
      <w:pPr>
        <w:spacing w:after="0" w:line="240" w:lineRule="auto"/>
        <w:rPr>
          <w:rFonts w:ascii="Times New Roman" w:hAnsi="Times New Roman" w:cs="Times New Roman"/>
          <w:sz w:val="24"/>
          <w:szCs w:val="24"/>
        </w:rPr>
      </w:pPr>
      <w:r w:rsidRPr="008956CA">
        <w:rPr>
          <w:rFonts w:ascii="Times New Roman" w:hAnsi="Times New Roman" w:cs="Times New Roman"/>
          <w:sz w:val="24"/>
          <w:szCs w:val="24"/>
        </w:rPr>
        <w:t>39</w:t>
      </w:r>
      <w:r w:rsidR="000C6304" w:rsidRPr="008956CA">
        <w:rPr>
          <w:rFonts w:ascii="Times New Roman" w:hAnsi="Times New Roman" w:cs="Times New Roman"/>
          <w:sz w:val="24"/>
          <w:szCs w:val="24"/>
        </w:rPr>
        <w:t xml:space="preserve">.  </w:t>
      </w:r>
      <w:r w:rsidR="00122344" w:rsidRPr="008956CA">
        <w:rPr>
          <w:rFonts w:ascii="Times New Roman" w:hAnsi="Times New Roman" w:cs="Times New Roman"/>
          <w:sz w:val="24"/>
          <w:szCs w:val="24"/>
        </w:rPr>
        <w:t>Though t</w:t>
      </w:r>
      <w:r w:rsidR="00E77949" w:rsidRPr="008956CA">
        <w:rPr>
          <w:rFonts w:ascii="Times New Roman" w:hAnsi="Times New Roman" w:cs="Times New Roman"/>
          <w:sz w:val="24"/>
          <w:szCs w:val="24"/>
        </w:rPr>
        <w:t>he United States supports many other aspects of the Committee’s guidance on Article 21 that are not addressed</w:t>
      </w:r>
      <w:r w:rsidR="001A4A51" w:rsidRPr="008956CA">
        <w:rPr>
          <w:rFonts w:ascii="Times New Roman" w:hAnsi="Times New Roman" w:cs="Times New Roman"/>
          <w:sz w:val="24"/>
          <w:szCs w:val="24"/>
        </w:rPr>
        <w:t xml:space="preserve"> here</w:t>
      </w:r>
      <w:r w:rsidR="00122344" w:rsidRPr="008956CA">
        <w:rPr>
          <w:rFonts w:ascii="Times New Roman" w:hAnsi="Times New Roman" w:cs="Times New Roman"/>
          <w:sz w:val="24"/>
          <w:szCs w:val="24"/>
        </w:rPr>
        <w:t>, these</w:t>
      </w:r>
      <w:r w:rsidR="001A4A51" w:rsidRPr="008956CA">
        <w:rPr>
          <w:rFonts w:ascii="Times New Roman" w:hAnsi="Times New Roman" w:cs="Times New Roman"/>
          <w:sz w:val="24"/>
          <w:szCs w:val="24"/>
        </w:rPr>
        <w:t xml:space="preserve"> observations </w:t>
      </w:r>
      <w:r w:rsidR="00122344" w:rsidRPr="008956CA">
        <w:rPr>
          <w:rFonts w:ascii="Times New Roman" w:hAnsi="Times New Roman" w:cs="Times New Roman"/>
          <w:sz w:val="24"/>
          <w:szCs w:val="24"/>
        </w:rPr>
        <w:t xml:space="preserve">focus </w:t>
      </w:r>
      <w:r w:rsidR="001A4A51" w:rsidRPr="008956CA">
        <w:rPr>
          <w:rFonts w:ascii="Times New Roman" w:hAnsi="Times New Roman" w:cs="Times New Roman"/>
          <w:sz w:val="24"/>
          <w:szCs w:val="24"/>
        </w:rPr>
        <w:t>on a few key areas</w:t>
      </w:r>
      <w:r w:rsidR="00750AD8" w:rsidRPr="008956CA">
        <w:rPr>
          <w:rFonts w:ascii="Times New Roman" w:hAnsi="Times New Roman" w:cs="Times New Roman"/>
          <w:sz w:val="24"/>
          <w:szCs w:val="24"/>
        </w:rPr>
        <w:t xml:space="preserve"> for Committee’s consideration</w:t>
      </w:r>
      <w:r w:rsidR="00E77949" w:rsidRPr="008956CA">
        <w:rPr>
          <w:rFonts w:ascii="Times New Roman" w:hAnsi="Times New Roman" w:cs="Times New Roman"/>
          <w:sz w:val="24"/>
          <w:szCs w:val="24"/>
        </w:rPr>
        <w:t>.</w:t>
      </w:r>
      <w:r w:rsidR="00E77949" w:rsidRPr="008956CA">
        <w:rPr>
          <w:rStyle w:val="FootnoteReference"/>
          <w:rFonts w:ascii="Times New Roman" w:hAnsi="Times New Roman" w:cs="Times New Roman"/>
          <w:sz w:val="24"/>
          <w:szCs w:val="24"/>
        </w:rPr>
        <w:footnoteReference w:id="27"/>
      </w:r>
      <w:r w:rsidR="00E77949" w:rsidRPr="008956CA">
        <w:rPr>
          <w:rFonts w:ascii="Times New Roman" w:hAnsi="Times New Roman" w:cs="Times New Roman"/>
          <w:sz w:val="24"/>
          <w:szCs w:val="24"/>
        </w:rPr>
        <w:t xml:space="preserve">  </w:t>
      </w:r>
    </w:p>
    <w:p w14:paraId="2FA94E7B" w14:textId="77777777" w:rsidR="00E77949" w:rsidRPr="008956CA" w:rsidRDefault="00E77949" w:rsidP="005C084B">
      <w:pPr>
        <w:spacing w:after="0" w:line="240" w:lineRule="auto"/>
        <w:rPr>
          <w:rFonts w:ascii="Times New Roman" w:hAnsi="Times New Roman" w:cs="Times New Roman"/>
          <w:sz w:val="24"/>
          <w:szCs w:val="24"/>
        </w:rPr>
      </w:pPr>
    </w:p>
    <w:p w14:paraId="5E74CC29" w14:textId="41291F4F" w:rsidR="000C6304" w:rsidRPr="005C084B" w:rsidRDefault="00E77949" w:rsidP="005C084B">
      <w:pPr>
        <w:spacing w:after="0" w:line="240" w:lineRule="auto"/>
        <w:rPr>
          <w:rFonts w:ascii="Times New Roman" w:hAnsi="Times New Roman" w:cs="Times New Roman"/>
          <w:sz w:val="24"/>
          <w:szCs w:val="24"/>
        </w:rPr>
      </w:pPr>
      <w:r w:rsidRPr="008956CA">
        <w:rPr>
          <w:rFonts w:ascii="Times New Roman" w:hAnsi="Times New Roman" w:cs="Times New Roman"/>
          <w:sz w:val="24"/>
          <w:szCs w:val="24"/>
        </w:rPr>
        <w:t xml:space="preserve">40.  </w:t>
      </w:r>
      <w:r w:rsidR="00C17744" w:rsidRPr="008956CA">
        <w:rPr>
          <w:rFonts w:ascii="Times New Roman" w:hAnsi="Times New Roman" w:cs="Times New Roman"/>
          <w:sz w:val="24"/>
          <w:szCs w:val="24"/>
        </w:rPr>
        <w:t xml:space="preserve">The United States Government appreciates the important work the Human Rights Committee performs consistent with its mandate as set out in the Covenant.  The United States also appreciates the Committee’s work with respect to draft General Comment </w:t>
      </w:r>
      <w:r w:rsidR="005200BB">
        <w:rPr>
          <w:rFonts w:ascii="Times New Roman" w:hAnsi="Times New Roman" w:cs="Times New Roman"/>
          <w:sz w:val="24"/>
          <w:szCs w:val="24"/>
        </w:rPr>
        <w:t xml:space="preserve">No. </w:t>
      </w:r>
      <w:r w:rsidR="00C17744" w:rsidRPr="008956CA">
        <w:rPr>
          <w:rFonts w:ascii="Times New Roman" w:hAnsi="Times New Roman" w:cs="Times New Roman"/>
          <w:sz w:val="24"/>
          <w:szCs w:val="24"/>
        </w:rPr>
        <w:t xml:space="preserve">37.  The United States hopes its views will be </w:t>
      </w:r>
      <w:proofErr w:type="gramStart"/>
      <w:r w:rsidR="00C17744" w:rsidRPr="008956CA">
        <w:rPr>
          <w:rFonts w:ascii="Times New Roman" w:hAnsi="Times New Roman" w:cs="Times New Roman"/>
          <w:sz w:val="24"/>
          <w:szCs w:val="24"/>
        </w:rPr>
        <w:t>taken into account</w:t>
      </w:r>
      <w:proofErr w:type="gramEnd"/>
      <w:r w:rsidR="00C17744" w:rsidRPr="008956CA">
        <w:rPr>
          <w:rFonts w:ascii="Times New Roman" w:hAnsi="Times New Roman" w:cs="Times New Roman"/>
          <w:sz w:val="24"/>
          <w:szCs w:val="24"/>
        </w:rPr>
        <w:t xml:space="preserve"> as the Committee finalizes its general comment on Article 21 of the Covenant.</w:t>
      </w:r>
    </w:p>
    <w:sectPr w:rsidR="000C6304" w:rsidRPr="005C08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3BE2" w14:textId="77777777" w:rsidR="00EB6068" w:rsidRDefault="00EB6068" w:rsidP="007061E9">
      <w:pPr>
        <w:spacing w:after="0" w:line="240" w:lineRule="auto"/>
      </w:pPr>
      <w:r>
        <w:separator/>
      </w:r>
    </w:p>
  </w:endnote>
  <w:endnote w:type="continuationSeparator" w:id="0">
    <w:p w14:paraId="14162A24" w14:textId="77777777" w:rsidR="00EB6068" w:rsidRDefault="00EB6068" w:rsidP="007061E9">
      <w:pPr>
        <w:spacing w:after="0" w:line="240" w:lineRule="auto"/>
      </w:pPr>
      <w:r>
        <w:continuationSeparator/>
      </w:r>
    </w:p>
  </w:endnote>
  <w:endnote w:type="continuationNotice" w:id="1">
    <w:p w14:paraId="1BE10667" w14:textId="77777777" w:rsidR="00EB6068" w:rsidRDefault="00EB6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176171"/>
      <w:docPartObj>
        <w:docPartGallery w:val="Page Numbers (Bottom of Page)"/>
        <w:docPartUnique/>
      </w:docPartObj>
    </w:sdtPr>
    <w:sdtEndPr>
      <w:rPr>
        <w:rFonts w:ascii="Times New Roman" w:hAnsi="Times New Roman" w:cs="Times New Roman"/>
        <w:noProof/>
        <w:sz w:val="24"/>
        <w:szCs w:val="24"/>
      </w:rPr>
    </w:sdtEndPr>
    <w:sdtContent>
      <w:p w14:paraId="73E9A14C" w14:textId="2D62B031" w:rsidR="00687F60" w:rsidRPr="00687F60" w:rsidRDefault="00687F60">
        <w:pPr>
          <w:pStyle w:val="Footer"/>
          <w:jc w:val="center"/>
          <w:rPr>
            <w:rFonts w:ascii="Times New Roman" w:hAnsi="Times New Roman" w:cs="Times New Roman"/>
            <w:sz w:val="24"/>
            <w:szCs w:val="24"/>
          </w:rPr>
        </w:pPr>
        <w:r w:rsidRPr="00687F60">
          <w:rPr>
            <w:rFonts w:ascii="Times New Roman" w:hAnsi="Times New Roman" w:cs="Times New Roman"/>
            <w:sz w:val="24"/>
            <w:szCs w:val="24"/>
          </w:rPr>
          <w:fldChar w:fldCharType="begin"/>
        </w:r>
        <w:r w:rsidRPr="00687F60">
          <w:rPr>
            <w:rFonts w:ascii="Times New Roman" w:hAnsi="Times New Roman" w:cs="Times New Roman"/>
            <w:sz w:val="24"/>
            <w:szCs w:val="24"/>
          </w:rPr>
          <w:instrText xml:space="preserve"> PAGE   \* MERGEFORMAT </w:instrText>
        </w:r>
        <w:r w:rsidRPr="00687F60">
          <w:rPr>
            <w:rFonts w:ascii="Times New Roman" w:hAnsi="Times New Roman" w:cs="Times New Roman"/>
            <w:sz w:val="24"/>
            <w:szCs w:val="24"/>
          </w:rPr>
          <w:fldChar w:fldCharType="separate"/>
        </w:r>
        <w:r w:rsidRPr="00687F60">
          <w:rPr>
            <w:rFonts w:ascii="Times New Roman" w:hAnsi="Times New Roman" w:cs="Times New Roman"/>
            <w:noProof/>
            <w:sz w:val="24"/>
            <w:szCs w:val="24"/>
          </w:rPr>
          <w:t>2</w:t>
        </w:r>
        <w:r w:rsidRPr="00687F60">
          <w:rPr>
            <w:rFonts w:ascii="Times New Roman" w:hAnsi="Times New Roman" w:cs="Times New Roman"/>
            <w:noProof/>
            <w:sz w:val="24"/>
            <w:szCs w:val="24"/>
          </w:rPr>
          <w:fldChar w:fldCharType="end"/>
        </w:r>
      </w:p>
    </w:sdtContent>
  </w:sdt>
  <w:p w14:paraId="43D07DEA" w14:textId="7BF7FE74" w:rsidR="00EB6068" w:rsidRDefault="00EB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55E6" w14:textId="77777777" w:rsidR="00EB6068" w:rsidRDefault="00EB6068" w:rsidP="007061E9">
      <w:pPr>
        <w:spacing w:after="0" w:line="240" w:lineRule="auto"/>
      </w:pPr>
      <w:r>
        <w:separator/>
      </w:r>
    </w:p>
  </w:footnote>
  <w:footnote w:type="continuationSeparator" w:id="0">
    <w:p w14:paraId="717CE355" w14:textId="77777777" w:rsidR="00EB6068" w:rsidRDefault="00EB6068" w:rsidP="007061E9">
      <w:pPr>
        <w:spacing w:after="0" w:line="240" w:lineRule="auto"/>
      </w:pPr>
      <w:r>
        <w:continuationSeparator/>
      </w:r>
    </w:p>
  </w:footnote>
  <w:footnote w:type="continuationNotice" w:id="1">
    <w:p w14:paraId="6E739A19" w14:textId="77777777" w:rsidR="00EB6068" w:rsidRDefault="00EB6068">
      <w:pPr>
        <w:spacing w:after="0" w:line="240" w:lineRule="auto"/>
      </w:pPr>
    </w:p>
  </w:footnote>
  <w:footnote w:id="2">
    <w:p w14:paraId="694F30E1" w14:textId="683CDD31"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w:t>
      </w:r>
      <w:r w:rsidRPr="008956CA">
        <w:rPr>
          <w:rFonts w:ascii="Times New Roman" w:hAnsi="Times New Roman" w:cs="Times New Roman"/>
          <w:i/>
        </w:rPr>
        <w:t>Draft General Comment No. 37: Article 21</w:t>
      </w:r>
      <w:r w:rsidRPr="008956CA">
        <w:rPr>
          <w:rFonts w:ascii="Times New Roman" w:hAnsi="Times New Roman" w:cs="Times New Roman"/>
        </w:rPr>
        <w:t>, Human Rights Committee, 126</w:t>
      </w:r>
      <w:r w:rsidRPr="008956CA">
        <w:rPr>
          <w:rFonts w:ascii="Times New Roman" w:hAnsi="Times New Roman" w:cs="Times New Roman"/>
          <w:vertAlign w:val="superscript"/>
        </w:rPr>
        <w:t>th</w:t>
      </w:r>
      <w:r w:rsidRPr="008956CA">
        <w:rPr>
          <w:rFonts w:ascii="Times New Roman" w:hAnsi="Times New Roman" w:cs="Times New Roman"/>
        </w:rPr>
        <w:t xml:space="preserve"> session, Geneva, Jul. 1-26, 2019</w:t>
      </w:r>
      <w:r w:rsidR="009B2CA9">
        <w:rPr>
          <w:rFonts w:ascii="Times New Roman" w:hAnsi="Times New Roman" w:cs="Times New Roman"/>
        </w:rPr>
        <w:t>,</w:t>
      </w:r>
      <w:r w:rsidR="00EB0E70" w:rsidRPr="008956CA">
        <w:rPr>
          <w:rFonts w:ascii="Times New Roman" w:hAnsi="Times New Roman" w:cs="Times New Roman"/>
        </w:rPr>
        <w:t xml:space="preserve"> (</w:t>
      </w:r>
      <w:r w:rsidRPr="008956CA">
        <w:rPr>
          <w:rFonts w:ascii="Times New Roman" w:hAnsi="Times New Roman" w:cs="Times New Roman"/>
        </w:rPr>
        <w:t xml:space="preserve">hereinafter </w:t>
      </w:r>
      <w:r w:rsidR="00EB0E70" w:rsidRPr="008956CA">
        <w:rPr>
          <w:rFonts w:ascii="Times New Roman" w:hAnsi="Times New Roman" w:cs="Times New Roman"/>
        </w:rPr>
        <w:t>“</w:t>
      </w:r>
      <w:r w:rsidRPr="008956CA">
        <w:rPr>
          <w:rFonts w:ascii="Times New Roman" w:hAnsi="Times New Roman" w:cs="Times New Roman"/>
        </w:rPr>
        <w:t>Draft General Comment No. 37</w:t>
      </w:r>
      <w:r w:rsidR="00EB0E70" w:rsidRPr="008956CA">
        <w:rPr>
          <w:rFonts w:ascii="Times New Roman" w:hAnsi="Times New Roman" w:cs="Times New Roman"/>
        </w:rPr>
        <w:t>”)</w:t>
      </w:r>
      <w:r w:rsidRPr="008956CA">
        <w:rPr>
          <w:rFonts w:ascii="Times New Roman" w:hAnsi="Times New Roman" w:cs="Times New Roman"/>
        </w:rPr>
        <w:t xml:space="preserve">, available at </w:t>
      </w:r>
      <w:hyperlink r:id="rId1" w:history="1">
        <w:r w:rsidRPr="008956CA">
          <w:rPr>
            <w:rStyle w:val="Hyperlink"/>
            <w:rFonts w:ascii="Times New Roman" w:hAnsi="Times New Roman" w:cs="Times New Roman"/>
          </w:rPr>
          <w:t>https://www.ohchr.org/EN/HRBodies/CCPR/Pages/GCArticle21.aspx</w:t>
        </w:r>
      </w:hyperlink>
      <w:r w:rsidRPr="008956CA">
        <w:rPr>
          <w:rFonts w:ascii="Times New Roman" w:hAnsi="Times New Roman" w:cs="Times New Roman"/>
        </w:rPr>
        <w:t>.</w:t>
      </w:r>
    </w:p>
  </w:footnote>
  <w:footnote w:id="3">
    <w:p w14:paraId="658C2F04" w14:textId="6A2C6A4C" w:rsidR="002226A4" w:rsidRPr="008956CA" w:rsidRDefault="002226A4" w:rsidP="002226A4">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Because, as the United States declared upon ratification, the provisions of articles 1 through 27 of the Covenant are not self-executing, the United States generally meets its obligations regarding Article 21 through the United States Constitution and other domestic laws.  </w:t>
      </w:r>
      <w:r w:rsidRPr="008956CA">
        <w:rPr>
          <w:rFonts w:ascii="Times New Roman" w:hAnsi="Times New Roman" w:cs="Times New Roman"/>
          <w:i/>
          <w:iCs/>
        </w:rPr>
        <w:t xml:space="preserve">See </w:t>
      </w:r>
      <w:r w:rsidRPr="008956CA">
        <w:rPr>
          <w:rFonts w:ascii="Times New Roman" w:hAnsi="Times New Roman" w:cs="Times New Roman"/>
        </w:rPr>
        <w:t xml:space="preserve">United Nations Treaty Collection Depositary, Chapter IV Human Rights, 4. International Covenant on Civil and Political Rights, “United States of America”, available at </w:t>
      </w:r>
      <w:hyperlink r:id="rId2" w:history="1">
        <w:r w:rsidRPr="008956CA">
          <w:rPr>
            <w:rStyle w:val="Hyperlink"/>
            <w:rFonts w:ascii="Times New Roman" w:hAnsi="Times New Roman" w:cs="Times New Roman"/>
          </w:rPr>
          <w:t>https://treaties.un.org/Pages/ViewDetails.aspx?src=TREATY&amp;mtdsg_no=IV-4&amp;chapter=4&amp;clang=_en</w:t>
        </w:r>
      </w:hyperlink>
      <w:r w:rsidR="009B2CA9" w:rsidRPr="009B2CA9">
        <w:rPr>
          <w:rStyle w:val="Hyperlink"/>
          <w:rFonts w:ascii="Times New Roman" w:hAnsi="Times New Roman" w:cs="Times New Roman"/>
          <w:u w:val="none"/>
        </w:rPr>
        <w:t>.</w:t>
      </w:r>
    </w:p>
  </w:footnote>
  <w:footnote w:id="4">
    <w:p w14:paraId="7012F774" w14:textId="3EB5F972" w:rsidR="00EB6068" w:rsidRPr="008956CA" w:rsidRDefault="00EB6068" w:rsidP="001A4A51">
      <w:pPr>
        <w:autoSpaceDE w:val="0"/>
        <w:autoSpaceDN w:val="0"/>
        <w:adjustRightInd w:val="0"/>
        <w:spacing w:after="0" w:line="240" w:lineRule="auto"/>
        <w:rPr>
          <w:rFonts w:ascii="Times New Roman" w:hAnsi="Times New Roman" w:cs="Times New Roman"/>
          <w:sz w:val="20"/>
          <w:szCs w:val="20"/>
        </w:rPr>
      </w:pPr>
      <w:r w:rsidRPr="008956CA">
        <w:rPr>
          <w:rStyle w:val="FootnoteReference"/>
          <w:rFonts w:ascii="Times New Roman" w:hAnsi="Times New Roman" w:cs="Times New Roman"/>
          <w:sz w:val="20"/>
          <w:szCs w:val="20"/>
        </w:rPr>
        <w:footnoteRef/>
      </w:r>
      <w:r w:rsidRPr="008956CA">
        <w:rPr>
          <w:rFonts w:ascii="Times New Roman" w:hAnsi="Times New Roman" w:cs="Times New Roman"/>
          <w:sz w:val="20"/>
          <w:szCs w:val="20"/>
        </w:rPr>
        <w:t xml:space="preserve"> </w:t>
      </w:r>
      <w:r w:rsidRPr="008956CA">
        <w:rPr>
          <w:rFonts w:ascii="Times New Roman" w:hAnsi="Times New Roman" w:cs="Times New Roman"/>
          <w:i/>
          <w:iCs/>
          <w:sz w:val="20"/>
          <w:szCs w:val="20"/>
        </w:rPr>
        <w:t xml:space="preserve">See </w:t>
      </w:r>
      <w:r w:rsidRPr="008956CA">
        <w:rPr>
          <w:rFonts w:ascii="Times New Roman" w:hAnsi="Times New Roman" w:cs="Times New Roman"/>
          <w:sz w:val="20"/>
          <w:szCs w:val="20"/>
        </w:rPr>
        <w:t xml:space="preserve">Statement of Robert K. Harris to the UN Human Rights Committee, July 17-18, 2006, reprinted in Digest of United States Practice in International Law 2006 pp. 284-287 at p. 285, paragraph 2, available at </w:t>
      </w:r>
      <w:hyperlink r:id="rId3" w:history="1">
        <w:r w:rsidRPr="008956CA">
          <w:rPr>
            <w:rStyle w:val="Hyperlink"/>
            <w:rFonts w:ascii="Times New Roman" w:hAnsi="Times New Roman" w:cs="Times New Roman"/>
            <w:sz w:val="20"/>
            <w:szCs w:val="20"/>
          </w:rPr>
          <w:t>https://2009-2017.state.gov/s/l/c24878.htm</w:t>
        </w:r>
      </w:hyperlink>
      <w:r w:rsidRPr="008956CA">
        <w:rPr>
          <w:rFonts w:ascii="Times New Roman" w:hAnsi="Times New Roman" w:cs="Times New Roman"/>
          <w:sz w:val="20"/>
          <w:szCs w:val="20"/>
        </w:rPr>
        <w:t xml:space="preserve">. </w:t>
      </w:r>
    </w:p>
  </w:footnote>
  <w:footnote w:id="5">
    <w:p w14:paraId="41D4E59C" w14:textId="158125B6" w:rsidR="00EB6068" w:rsidRPr="008956CA" w:rsidRDefault="00EB6068" w:rsidP="001A4A51">
      <w:pPr>
        <w:pStyle w:val="CommentText"/>
        <w:spacing w:after="0"/>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w:t>
      </w:r>
      <w:r w:rsidRPr="008956CA">
        <w:rPr>
          <w:rFonts w:ascii="Times New Roman" w:hAnsi="Times New Roman" w:cs="Times New Roman"/>
          <w:i/>
        </w:rPr>
        <w:t>Id</w:t>
      </w:r>
      <w:r w:rsidRPr="008956CA">
        <w:rPr>
          <w:rFonts w:ascii="Times New Roman" w:hAnsi="Times New Roman" w:cs="Times New Roman"/>
        </w:rPr>
        <w:t xml:space="preserve">. at p. 286. </w:t>
      </w:r>
      <w:r w:rsidRPr="008956CA">
        <w:rPr>
          <w:rFonts w:ascii="Times New Roman" w:hAnsi="Times New Roman" w:cs="Times New Roman"/>
          <w:i/>
        </w:rPr>
        <w:t>See</w:t>
      </w:r>
      <w:r w:rsidRPr="008956CA">
        <w:rPr>
          <w:rFonts w:ascii="Times New Roman" w:hAnsi="Times New Roman" w:cs="Times New Roman"/>
        </w:rPr>
        <w:t xml:space="preserve"> </w:t>
      </w:r>
      <w:r w:rsidRPr="008956CA">
        <w:rPr>
          <w:rFonts w:ascii="Times New Roman" w:hAnsi="Times New Roman" w:cs="Times New Roman"/>
          <w:i/>
          <w:iCs/>
        </w:rPr>
        <w:t xml:space="preserve">also </w:t>
      </w:r>
      <w:r w:rsidRPr="008956CA">
        <w:rPr>
          <w:rFonts w:ascii="Times New Roman" w:hAnsi="Times New Roman" w:cs="Times New Roman"/>
        </w:rPr>
        <w:t xml:space="preserve">Observations of the United States of America on the Human Rights Committee’s Draft General Comment </w:t>
      </w:r>
      <w:r w:rsidR="00383331" w:rsidRPr="008956CA">
        <w:rPr>
          <w:rFonts w:ascii="Times New Roman" w:hAnsi="Times New Roman" w:cs="Times New Roman"/>
        </w:rPr>
        <w:t xml:space="preserve">No. </w:t>
      </w:r>
      <w:r w:rsidRPr="008956CA">
        <w:rPr>
          <w:rFonts w:ascii="Times New Roman" w:hAnsi="Times New Roman" w:cs="Times New Roman"/>
        </w:rPr>
        <w:t xml:space="preserve">33: The Obligations of States Parties under the Optional Protocol to the International Covenant on Civil and Political Rights December 22, 2008 (hereinafter “U.S. Observations on General Comment No. 33”), paragraph 9, available at https://www.ohchr.org/EN/HRBodies/CCPR/Pages/GC33-ObligationsofStatesParties.aspx.  </w:t>
      </w:r>
    </w:p>
  </w:footnote>
  <w:footnote w:id="6">
    <w:p w14:paraId="5DEFCA44" w14:textId="28B7B9E1" w:rsidR="00443016" w:rsidRPr="008956CA" w:rsidRDefault="00443016" w:rsidP="001A4A51">
      <w:pPr>
        <w:autoSpaceDE w:val="0"/>
        <w:autoSpaceDN w:val="0"/>
        <w:adjustRightInd w:val="0"/>
        <w:spacing w:after="0" w:line="240" w:lineRule="auto"/>
        <w:rPr>
          <w:rFonts w:ascii="Times New Roman" w:hAnsi="Times New Roman" w:cs="Times New Roman"/>
          <w:sz w:val="20"/>
          <w:szCs w:val="20"/>
        </w:rPr>
      </w:pPr>
      <w:r w:rsidRPr="008956CA">
        <w:rPr>
          <w:rStyle w:val="FootnoteReference"/>
          <w:rFonts w:ascii="Times New Roman" w:hAnsi="Times New Roman" w:cs="Times New Roman"/>
          <w:sz w:val="20"/>
          <w:szCs w:val="20"/>
        </w:rPr>
        <w:footnoteRef/>
      </w:r>
      <w:r w:rsidRPr="008956CA">
        <w:rPr>
          <w:rFonts w:ascii="Times New Roman" w:hAnsi="Times New Roman" w:cs="Times New Roman"/>
          <w:sz w:val="20"/>
          <w:szCs w:val="20"/>
        </w:rPr>
        <w:t xml:space="preserve"> </w:t>
      </w:r>
      <w:r w:rsidRPr="008956CA">
        <w:rPr>
          <w:rFonts w:ascii="Times New Roman" w:hAnsi="Times New Roman" w:cs="Times New Roman"/>
          <w:i/>
          <w:sz w:val="20"/>
          <w:szCs w:val="20"/>
        </w:rPr>
        <w:t>See</w:t>
      </w:r>
      <w:r w:rsidR="003B5D94" w:rsidRPr="008956CA">
        <w:rPr>
          <w:rFonts w:ascii="Times New Roman" w:hAnsi="Times New Roman" w:cs="Times New Roman"/>
          <w:i/>
          <w:sz w:val="20"/>
          <w:szCs w:val="20"/>
        </w:rPr>
        <w:t>, e.g.,</w:t>
      </w:r>
      <w:r w:rsidRPr="008956CA">
        <w:rPr>
          <w:rFonts w:ascii="Times New Roman" w:hAnsi="Times New Roman" w:cs="Times New Roman"/>
          <w:sz w:val="20"/>
          <w:szCs w:val="20"/>
        </w:rPr>
        <w:t xml:space="preserve"> Observations of the United States of America on the Human Rights Committee’s General Comment </w:t>
      </w:r>
      <w:r w:rsidR="00383331" w:rsidRPr="008956CA">
        <w:rPr>
          <w:rFonts w:ascii="Times New Roman" w:hAnsi="Times New Roman" w:cs="Times New Roman"/>
          <w:sz w:val="20"/>
          <w:szCs w:val="20"/>
        </w:rPr>
        <w:t xml:space="preserve">No. </w:t>
      </w:r>
      <w:r w:rsidRPr="008956CA">
        <w:rPr>
          <w:rFonts w:ascii="Times New Roman" w:hAnsi="Times New Roman" w:cs="Times New Roman"/>
          <w:sz w:val="20"/>
          <w:szCs w:val="20"/>
        </w:rPr>
        <w:t xml:space="preserve">24, transmitted March 28, 1995, reprinted in substantial part in Digest of United States Practice in International Law 1991-1999, available at </w:t>
      </w:r>
      <w:hyperlink r:id="rId4" w:history="1">
        <w:r w:rsidRPr="008956CA">
          <w:rPr>
            <w:rStyle w:val="Hyperlink"/>
            <w:rFonts w:ascii="Times New Roman" w:hAnsi="Times New Roman" w:cs="Times New Roman"/>
            <w:sz w:val="20"/>
            <w:szCs w:val="20"/>
          </w:rPr>
          <w:t>https://www.state.gov/documents/organization/139394.pdf</w:t>
        </w:r>
      </w:hyperlink>
      <w:r w:rsidRPr="008956CA">
        <w:rPr>
          <w:rStyle w:val="Hyperlink"/>
          <w:rFonts w:ascii="Times New Roman" w:hAnsi="Times New Roman" w:cs="Times New Roman"/>
          <w:sz w:val="20"/>
          <w:szCs w:val="20"/>
        </w:rPr>
        <w:t>,</w:t>
      </w:r>
      <w:r w:rsidRPr="008956CA">
        <w:rPr>
          <w:rFonts w:ascii="Times New Roman" w:hAnsi="Times New Roman" w:cs="Times New Roman"/>
          <w:sz w:val="20"/>
          <w:szCs w:val="20"/>
        </w:rPr>
        <w:t xml:space="preserve"> at pp. </w:t>
      </w:r>
      <w:r w:rsidR="003B5D94" w:rsidRPr="008956CA">
        <w:rPr>
          <w:rFonts w:ascii="Times New Roman" w:hAnsi="Times New Roman" w:cs="Times New Roman"/>
          <w:sz w:val="20"/>
          <w:szCs w:val="20"/>
        </w:rPr>
        <w:t>879</w:t>
      </w:r>
      <w:r w:rsidRPr="008956CA">
        <w:rPr>
          <w:rFonts w:ascii="Times New Roman" w:hAnsi="Times New Roman" w:cs="Times New Roman"/>
          <w:sz w:val="20"/>
          <w:szCs w:val="20"/>
        </w:rPr>
        <w:t>, and generally pp. 878-883</w:t>
      </w:r>
      <w:r w:rsidR="003B5D94" w:rsidRPr="008956CA">
        <w:rPr>
          <w:rFonts w:ascii="Times New Roman" w:hAnsi="Times New Roman" w:cs="Times New Roman"/>
          <w:sz w:val="20"/>
          <w:szCs w:val="20"/>
        </w:rPr>
        <w:t xml:space="preserve">; U.S. Observations on General Comment No. 33, </w:t>
      </w:r>
      <w:r w:rsidR="003B5D94" w:rsidRPr="008956CA">
        <w:rPr>
          <w:rFonts w:ascii="Times New Roman" w:hAnsi="Times New Roman" w:cs="Times New Roman"/>
          <w:i/>
          <w:iCs/>
          <w:sz w:val="20"/>
          <w:szCs w:val="20"/>
        </w:rPr>
        <w:t xml:space="preserve">supra </w:t>
      </w:r>
      <w:r w:rsidR="003B5D94" w:rsidRPr="008956CA">
        <w:rPr>
          <w:rFonts w:ascii="Times New Roman" w:hAnsi="Times New Roman" w:cs="Times New Roman"/>
          <w:sz w:val="20"/>
          <w:szCs w:val="20"/>
        </w:rPr>
        <w:t>note 4, at paragraphs 5-13; Observations of the United States of America On the Human Rights Committee’s Draft General Comment No. 36 On Article 6 – Right to Life October 6, 2017 (hereinafter “U.S Observations on General Comment No. 36”), at paragraphs 10-12, available at https://www.ohchr.org/EN/HRBodies/CCPR/Pages/GC36-Article6Righttolife.aspx.</w:t>
      </w:r>
    </w:p>
  </w:footnote>
  <w:footnote w:id="7">
    <w:p w14:paraId="388F6D2E" w14:textId="47DAB729"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w:t>
      </w:r>
      <w:r w:rsidR="003B5D94" w:rsidRPr="008956CA">
        <w:rPr>
          <w:rFonts w:ascii="Times New Roman" w:hAnsi="Times New Roman" w:cs="Times New Roman"/>
          <w:i/>
          <w:iCs/>
        </w:rPr>
        <w:t xml:space="preserve">See </w:t>
      </w:r>
      <w:r w:rsidR="003B5D94" w:rsidRPr="008956CA">
        <w:rPr>
          <w:rFonts w:ascii="Times New Roman" w:hAnsi="Times New Roman" w:cs="Times New Roman"/>
        </w:rPr>
        <w:t xml:space="preserve">U.S Observations on General Comment No. 36, </w:t>
      </w:r>
      <w:r w:rsidR="003B5D94" w:rsidRPr="008956CA">
        <w:rPr>
          <w:rFonts w:ascii="Times New Roman" w:hAnsi="Times New Roman" w:cs="Times New Roman"/>
          <w:i/>
          <w:iCs/>
        </w:rPr>
        <w:t>supra</w:t>
      </w:r>
      <w:r w:rsidR="003B5D94" w:rsidRPr="008956CA">
        <w:rPr>
          <w:rFonts w:ascii="Times New Roman" w:hAnsi="Times New Roman" w:cs="Times New Roman"/>
        </w:rPr>
        <w:t xml:space="preserve"> note 5, </w:t>
      </w:r>
      <w:r w:rsidRPr="008956CA">
        <w:rPr>
          <w:rFonts w:ascii="Times New Roman" w:hAnsi="Times New Roman" w:cs="Times New Roman"/>
        </w:rPr>
        <w:t>at paragraph 12.</w:t>
      </w:r>
    </w:p>
  </w:footnote>
  <w:footnote w:id="8">
    <w:p w14:paraId="5495F7DB" w14:textId="34DF095D" w:rsidR="00EB6068" w:rsidRPr="008956CA" w:rsidRDefault="00EB6068" w:rsidP="001A4A51">
      <w:pPr>
        <w:pStyle w:val="FootnoteText"/>
        <w:rPr>
          <w:rFonts w:ascii="Times New Roman" w:hAnsi="Times New Roman" w:cs="Times New Roman"/>
          <w:lang w:val="en-GB"/>
        </w:rPr>
      </w:pPr>
      <w:r w:rsidRPr="008956CA">
        <w:rPr>
          <w:rStyle w:val="FootnoteReference"/>
          <w:rFonts w:ascii="Times New Roman" w:hAnsi="Times New Roman" w:cs="Times New Roman"/>
        </w:rPr>
        <w:footnoteRef/>
      </w:r>
      <w:r w:rsidRPr="008956CA">
        <w:rPr>
          <w:rFonts w:ascii="Times New Roman" w:hAnsi="Times New Roman" w:cs="Times New Roman"/>
        </w:rPr>
        <w:t xml:space="preserve"> Including, for example, caselaw of the European Court of Human Rights (“ECtHR”) and the Inter-American Court of Human Rights, as well as the </w:t>
      </w:r>
      <w:r w:rsidRPr="008956CA">
        <w:rPr>
          <w:rFonts w:ascii="Times New Roman" w:hAnsi="Times New Roman" w:cs="Times New Roman"/>
          <w:lang w:val="en-GB"/>
        </w:rPr>
        <w:t>Organization for Security and Cooperation in Europe (“OSCE”),</w:t>
      </w:r>
      <w:r w:rsidRPr="008956CA" w:rsidDel="000D4249">
        <w:rPr>
          <w:rFonts w:ascii="Times New Roman" w:hAnsi="Times New Roman" w:cs="Times New Roman"/>
          <w:lang w:val="en-GB"/>
        </w:rPr>
        <w:t xml:space="preserve"> </w:t>
      </w:r>
      <w:r w:rsidRPr="008956CA">
        <w:rPr>
          <w:rFonts w:ascii="Times New Roman" w:hAnsi="Times New Roman" w:cs="Times New Roman"/>
          <w:i/>
          <w:iCs/>
          <w:lang w:val="en-GB"/>
        </w:rPr>
        <w:t>Guidelines on Freedom of Peaceful Assembly</w:t>
      </w:r>
      <w:r w:rsidRPr="008956CA">
        <w:rPr>
          <w:rFonts w:ascii="Times New Roman" w:hAnsi="Times New Roman" w:cs="Times New Roman"/>
          <w:lang w:val="en-GB"/>
        </w:rPr>
        <w:t xml:space="preserve"> (Warsaw, OSCE Office for Democratic Institutions and Human Rights, 2010); and the African Commission on Human and Peoples’ Rights (“ACHPR”), </w:t>
      </w:r>
      <w:r w:rsidRPr="008956CA">
        <w:rPr>
          <w:rFonts w:ascii="Times New Roman" w:hAnsi="Times New Roman" w:cs="Times New Roman"/>
          <w:i/>
          <w:lang w:val="en-GB"/>
        </w:rPr>
        <w:t>Guidelines on Freedom of Association and Assembly in Africa</w:t>
      </w:r>
      <w:r w:rsidRPr="008956CA">
        <w:rPr>
          <w:rFonts w:ascii="Times New Roman" w:hAnsi="Times New Roman" w:cs="Times New Roman"/>
          <w:lang w:val="en-GB"/>
        </w:rPr>
        <w:t xml:space="preserve"> (2017); and </w:t>
      </w:r>
      <w:r w:rsidRPr="008956CA">
        <w:rPr>
          <w:rFonts w:ascii="Times New Roman" w:hAnsi="Times New Roman" w:cs="Times New Roman"/>
          <w:i/>
          <w:lang w:val="en-GB"/>
        </w:rPr>
        <w:t>Guidelines for the Policing of Assemblies by Law Enforcement Officials in Africa</w:t>
      </w:r>
      <w:r w:rsidRPr="008956CA">
        <w:rPr>
          <w:rFonts w:ascii="Times New Roman" w:hAnsi="Times New Roman" w:cs="Times New Roman"/>
          <w:lang w:val="en-GB"/>
        </w:rPr>
        <w:t xml:space="preserve"> (2017).</w:t>
      </w:r>
    </w:p>
  </w:footnote>
  <w:footnote w:id="9">
    <w:p w14:paraId="56B5CC3B" w14:textId="00EF1279"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For the United States views on treaty interpretation, </w:t>
      </w:r>
      <w:r w:rsidRPr="008956CA">
        <w:rPr>
          <w:rFonts w:ascii="Times New Roman" w:hAnsi="Times New Roman" w:cs="Times New Roman"/>
          <w:i/>
          <w:iCs/>
        </w:rPr>
        <w:t xml:space="preserve">see </w:t>
      </w:r>
      <w:r w:rsidRPr="008956CA">
        <w:rPr>
          <w:rFonts w:ascii="Times New Roman" w:hAnsi="Times New Roman" w:cs="Times New Roman"/>
        </w:rPr>
        <w:t xml:space="preserve">U.S. Observations on General Comment No. 36, </w:t>
      </w:r>
      <w:r w:rsidRPr="008956CA">
        <w:rPr>
          <w:rFonts w:ascii="Times New Roman" w:hAnsi="Times New Roman" w:cs="Times New Roman"/>
          <w:i/>
          <w:iCs/>
        </w:rPr>
        <w:t>supra</w:t>
      </w:r>
      <w:r w:rsidRPr="008956CA">
        <w:rPr>
          <w:rFonts w:ascii="Times New Roman" w:hAnsi="Times New Roman" w:cs="Times New Roman"/>
        </w:rPr>
        <w:t xml:space="preserve"> note </w:t>
      </w:r>
      <w:r w:rsidR="001A4A51" w:rsidRPr="008956CA">
        <w:rPr>
          <w:rFonts w:ascii="Times New Roman" w:hAnsi="Times New Roman" w:cs="Times New Roman"/>
        </w:rPr>
        <w:t>5</w:t>
      </w:r>
      <w:r w:rsidRPr="008956CA">
        <w:rPr>
          <w:rFonts w:ascii="Times New Roman" w:hAnsi="Times New Roman" w:cs="Times New Roman"/>
        </w:rPr>
        <w:t xml:space="preserve">, </w:t>
      </w:r>
      <w:proofErr w:type="gramStart"/>
      <w:r w:rsidRPr="008956CA">
        <w:rPr>
          <w:rFonts w:ascii="Times New Roman" w:hAnsi="Times New Roman" w:cs="Times New Roman"/>
        </w:rPr>
        <w:t>in particular paragraph</w:t>
      </w:r>
      <w:proofErr w:type="gramEnd"/>
      <w:r w:rsidRPr="008956CA">
        <w:rPr>
          <w:rFonts w:ascii="Times New Roman" w:hAnsi="Times New Roman" w:cs="Times New Roman"/>
        </w:rPr>
        <w:t xml:space="preserve"> 7.</w:t>
      </w:r>
    </w:p>
  </w:footnote>
  <w:footnote w:id="10">
    <w:p w14:paraId="4F466B99" w14:textId="3C8A8E44"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Including, for example, the </w:t>
      </w:r>
      <w:proofErr w:type="spellStart"/>
      <w:r w:rsidRPr="008956CA">
        <w:rPr>
          <w:rFonts w:ascii="Times New Roman" w:hAnsi="Times New Roman" w:cs="Times New Roman"/>
          <w:lang w:val="en-GB"/>
        </w:rPr>
        <w:t>Siracusa</w:t>
      </w:r>
      <w:proofErr w:type="spellEnd"/>
      <w:r w:rsidRPr="008956CA">
        <w:rPr>
          <w:rFonts w:ascii="Times New Roman" w:hAnsi="Times New Roman" w:cs="Times New Roman"/>
          <w:lang w:val="en-GB"/>
        </w:rPr>
        <w:t xml:space="preserve"> Principles on the Limitation and Derogation of Provisions in the International Covenant on Civil and Political Rights</w:t>
      </w:r>
      <w:r w:rsidRPr="008956CA">
        <w:rPr>
          <w:rFonts w:ascii="Times New Roman" w:hAnsi="Times New Roman" w:cs="Times New Roman"/>
        </w:rPr>
        <w:t>, and the Basic Principles on the Use of Force and Firearms by Law Enforcement Officers.</w:t>
      </w:r>
    </w:p>
  </w:footnote>
  <w:footnote w:id="11">
    <w:p w14:paraId="6EDC4111" w14:textId="462DCE89"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Observations of the United States of America On the Human Rights Committee’s Draft General Comment No. 34 On Article 19 – Freedom of Expression July 5, 2011, (hereinafter “U.S. Observations on Draft General Comment No. 34”), </w:t>
      </w:r>
      <w:r w:rsidRPr="008956CA">
        <w:rPr>
          <w:rFonts w:ascii="Times New Roman" w:hAnsi="Times New Roman" w:cs="Times New Roman"/>
          <w:i/>
        </w:rPr>
        <w:t>excerpted</w:t>
      </w:r>
      <w:r w:rsidRPr="008956CA">
        <w:rPr>
          <w:rFonts w:ascii="Times New Roman" w:hAnsi="Times New Roman" w:cs="Times New Roman"/>
          <w:i/>
          <w:iCs/>
        </w:rPr>
        <w:t xml:space="preserve"> in </w:t>
      </w:r>
      <w:r w:rsidRPr="008956CA">
        <w:rPr>
          <w:rFonts w:ascii="Times New Roman" w:hAnsi="Times New Roman" w:cs="Times New Roman"/>
        </w:rPr>
        <w:t xml:space="preserve">Digest of U.S. Practice in International Law 2011, pp. 225-230, at 229 paragraph 13, available at </w:t>
      </w:r>
      <w:hyperlink r:id="rId5" w:history="1">
        <w:r w:rsidRPr="008956CA">
          <w:rPr>
            <w:rStyle w:val="Hyperlink"/>
            <w:rFonts w:ascii="Times New Roman" w:hAnsi="Times New Roman" w:cs="Times New Roman"/>
            <w:color w:val="auto"/>
          </w:rPr>
          <w:t>https://2009-2017.state.gov/s/l/2011/index.htm</w:t>
        </w:r>
      </w:hyperlink>
      <w:r w:rsidRPr="008956CA">
        <w:rPr>
          <w:rFonts w:ascii="Times New Roman" w:hAnsi="Times New Roman" w:cs="Times New Roman"/>
        </w:rPr>
        <w:t>.</w:t>
      </w:r>
    </w:p>
  </w:footnote>
  <w:footnote w:id="12">
    <w:p w14:paraId="479CE7FF" w14:textId="6A959C7D"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Draft General Comment No. 37, </w:t>
      </w:r>
      <w:r w:rsidRPr="008956CA">
        <w:rPr>
          <w:rFonts w:ascii="Times New Roman" w:hAnsi="Times New Roman" w:cs="Times New Roman"/>
          <w:i/>
          <w:iCs/>
        </w:rPr>
        <w:t>supra</w:t>
      </w:r>
      <w:r w:rsidRPr="008956CA">
        <w:rPr>
          <w:rFonts w:ascii="Times New Roman" w:hAnsi="Times New Roman" w:cs="Times New Roman"/>
        </w:rPr>
        <w:t xml:space="preserve"> note </w:t>
      </w:r>
      <w:r w:rsidR="00EB0E70" w:rsidRPr="008956CA">
        <w:rPr>
          <w:rFonts w:ascii="Times New Roman" w:hAnsi="Times New Roman" w:cs="Times New Roman"/>
        </w:rPr>
        <w:t>1</w:t>
      </w:r>
      <w:r w:rsidRPr="008956CA">
        <w:rPr>
          <w:rFonts w:ascii="Times New Roman" w:hAnsi="Times New Roman" w:cs="Times New Roman"/>
        </w:rPr>
        <w:t>, at paragraph 18.</w:t>
      </w:r>
    </w:p>
  </w:footnote>
  <w:footnote w:id="13">
    <w:p w14:paraId="7293426E" w14:textId="1A98CA7C" w:rsidR="00EB6068" w:rsidRPr="008956CA" w:rsidRDefault="00EB6068" w:rsidP="001A4A51">
      <w:pPr>
        <w:spacing w:after="0" w:line="240" w:lineRule="auto"/>
        <w:rPr>
          <w:rFonts w:ascii="Times New Roman" w:hAnsi="Times New Roman" w:cs="Times New Roman"/>
          <w:sz w:val="20"/>
          <w:szCs w:val="20"/>
        </w:rPr>
      </w:pPr>
      <w:r w:rsidRPr="008956CA">
        <w:rPr>
          <w:vertAlign w:val="superscript"/>
        </w:rPr>
        <w:footnoteRef/>
      </w:r>
      <w:r w:rsidRPr="008956CA">
        <w:t xml:space="preserve"> </w:t>
      </w:r>
      <w:r w:rsidRPr="008956CA">
        <w:rPr>
          <w:rFonts w:ascii="Times New Roman" w:hAnsi="Times New Roman" w:cs="Times New Roman"/>
          <w:sz w:val="20"/>
          <w:szCs w:val="20"/>
        </w:rPr>
        <w:t>Fourth Periodic Report of the United States of America to the United Nations Committee on Human Rights Concerning the International Covenant on Civil and Political Rights, December 30, 2011</w:t>
      </w:r>
      <w:r w:rsidR="001A4A51" w:rsidRPr="008956CA">
        <w:rPr>
          <w:rFonts w:ascii="Times New Roman" w:hAnsi="Times New Roman" w:cs="Times New Roman"/>
          <w:sz w:val="20"/>
          <w:szCs w:val="20"/>
        </w:rPr>
        <w:t xml:space="preserve">, </w:t>
      </w:r>
      <w:r w:rsidRPr="008956CA">
        <w:rPr>
          <w:rFonts w:ascii="Times New Roman" w:hAnsi="Times New Roman" w:cs="Times New Roman"/>
          <w:sz w:val="20"/>
          <w:szCs w:val="20"/>
        </w:rPr>
        <w:t xml:space="preserve">at paragraph 376, available at </w:t>
      </w:r>
      <w:hyperlink r:id="rId6" w:anchor="art21" w:history="1">
        <w:r w:rsidRPr="008956CA">
          <w:rPr>
            <w:rStyle w:val="Hyperlink"/>
            <w:rFonts w:ascii="Times New Roman" w:hAnsi="Times New Roman" w:cs="Times New Roman"/>
            <w:sz w:val="20"/>
            <w:szCs w:val="20"/>
          </w:rPr>
          <w:t>https://2009-2017.state.gov/j/drl/rls/179781.htm#art21</w:t>
        </w:r>
      </w:hyperlink>
      <w:r w:rsidRPr="008956CA">
        <w:rPr>
          <w:rFonts w:ascii="Times New Roman" w:hAnsi="Times New Roman" w:cs="Times New Roman"/>
          <w:sz w:val="20"/>
          <w:szCs w:val="20"/>
        </w:rPr>
        <w:t>.</w:t>
      </w:r>
    </w:p>
  </w:footnote>
  <w:footnote w:id="14">
    <w:p w14:paraId="234E9F3C" w14:textId="63972524"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w:t>
      </w:r>
      <w:r w:rsidRPr="008956CA">
        <w:rPr>
          <w:rFonts w:ascii="Times New Roman" w:hAnsi="Times New Roman" w:cs="Times New Roman"/>
          <w:i/>
          <w:iCs/>
        </w:rPr>
        <w:t>Id.</w:t>
      </w:r>
    </w:p>
  </w:footnote>
  <w:footnote w:id="15">
    <w:p w14:paraId="64003838" w14:textId="3AE95D03"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w:t>
      </w:r>
      <w:r w:rsidRPr="008956CA">
        <w:rPr>
          <w:rFonts w:ascii="Times New Roman" w:hAnsi="Times New Roman" w:cs="Times New Roman"/>
          <w:i/>
          <w:iCs/>
        </w:rPr>
        <w:t>Id.</w:t>
      </w:r>
    </w:p>
  </w:footnote>
  <w:footnote w:id="16">
    <w:p w14:paraId="70CA1297" w14:textId="0D6F6A74"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w:t>
      </w:r>
      <w:r w:rsidRPr="008956CA">
        <w:rPr>
          <w:rFonts w:ascii="Times New Roman" w:hAnsi="Times New Roman" w:cs="Times New Roman"/>
          <w:i/>
          <w:iCs/>
        </w:rPr>
        <w:t>Id.</w:t>
      </w:r>
      <w:r w:rsidRPr="008956CA">
        <w:rPr>
          <w:rFonts w:ascii="Times New Roman" w:hAnsi="Times New Roman" w:cs="Times New Roman"/>
        </w:rPr>
        <w:t xml:space="preserve"> at paragraph 378.</w:t>
      </w:r>
    </w:p>
  </w:footnote>
  <w:footnote w:id="17">
    <w:p w14:paraId="23EF6BD4" w14:textId="1BAE5BD4"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U.S. Observations on General Comment No. 34, </w:t>
      </w:r>
      <w:r w:rsidRPr="008956CA">
        <w:rPr>
          <w:rFonts w:ascii="Times New Roman" w:hAnsi="Times New Roman" w:cs="Times New Roman"/>
          <w:i/>
          <w:iCs/>
        </w:rPr>
        <w:t>supra</w:t>
      </w:r>
      <w:r w:rsidRPr="008956CA">
        <w:rPr>
          <w:rFonts w:ascii="Times New Roman" w:hAnsi="Times New Roman" w:cs="Times New Roman"/>
        </w:rPr>
        <w:t xml:space="preserve"> note </w:t>
      </w:r>
      <w:r w:rsidR="00EB0E70" w:rsidRPr="008956CA">
        <w:rPr>
          <w:rFonts w:ascii="Times New Roman" w:hAnsi="Times New Roman" w:cs="Times New Roman"/>
        </w:rPr>
        <w:t>10</w:t>
      </w:r>
      <w:r w:rsidRPr="008956CA">
        <w:rPr>
          <w:rFonts w:ascii="Times New Roman" w:hAnsi="Times New Roman" w:cs="Times New Roman"/>
        </w:rPr>
        <w:t>, at 228, paragraphs 9-10.</w:t>
      </w:r>
    </w:p>
  </w:footnote>
  <w:footnote w:id="18">
    <w:p w14:paraId="3D983A0F" w14:textId="01B4E49D" w:rsidR="00577886" w:rsidRPr="008956CA" w:rsidRDefault="00577886"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For similar reasons, the United States objects to the Committee’s assertion that “all use of force must comply with the fundamental principles of legality, necessity, proportionality, precaution and non-discrimination applicable to articles 6 and 7.</w:t>
      </w:r>
      <w:r w:rsidR="002C0449" w:rsidRPr="008956CA">
        <w:rPr>
          <w:rFonts w:ascii="Times New Roman" w:hAnsi="Times New Roman" w:cs="Times New Roman"/>
        </w:rPr>
        <w:t>”</w:t>
      </w:r>
      <w:r w:rsidRPr="008956CA">
        <w:rPr>
          <w:rFonts w:ascii="Times New Roman" w:hAnsi="Times New Roman" w:cs="Times New Roman"/>
        </w:rPr>
        <w:t xml:space="preserve">  For a detailed discussion of the United States’ views on the standards applicable to Article 6, </w:t>
      </w:r>
      <w:r w:rsidRPr="008956CA">
        <w:rPr>
          <w:rFonts w:ascii="Times New Roman" w:hAnsi="Times New Roman" w:cs="Times New Roman"/>
          <w:i/>
          <w:iCs/>
        </w:rPr>
        <w:t>see</w:t>
      </w:r>
      <w:r w:rsidRPr="008956CA">
        <w:rPr>
          <w:rFonts w:ascii="Times New Roman" w:hAnsi="Times New Roman" w:cs="Times New Roman"/>
        </w:rPr>
        <w:t xml:space="preserve"> the U.S. Observations on General Comment No. 36</w:t>
      </w:r>
      <w:r w:rsidR="005E4F45">
        <w:rPr>
          <w:rFonts w:ascii="Times New Roman" w:hAnsi="Times New Roman" w:cs="Times New Roman"/>
        </w:rPr>
        <w:t xml:space="preserve">, </w:t>
      </w:r>
      <w:r w:rsidR="005E4F45" w:rsidRPr="005E4F45">
        <w:rPr>
          <w:rFonts w:ascii="Times New Roman" w:hAnsi="Times New Roman" w:cs="Times New Roman"/>
          <w:i/>
          <w:iCs/>
        </w:rPr>
        <w:t xml:space="preserve">supra </w:t>
      </w:r>
      <w:r w:rsidR="005E4F45">
        <w:rPr>
          <w:rFonts w:ascii="Times New Roman" w:hAnsi="Times New Roman" w:cs="Times New Roman"/>
        </w:rPr>
        <w:t>note 5.</w:t>
      </w:r>
    </w:p>
  </w:footnote>
  <w:footnote w:id="19">
    <w:p w14:paraId="3ED2677A" w14:textId="40C92C11" w:rsidR="005007BA" w:rsidRPr="008956CA" w:rsidRDefault="005007BA">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General Comment No. 34, Article 19: Freedoms of opinion and expression, CCPR/C/GC/34, paragraphs 50-52 (footnotes omitted), available at </w:t>
      </w:r>
      <w:hyperlink r:id="rId7" w:history="1">
        <w:r w:rsidRPr="008956CA">
          <w:rPr>
            <w:rStyle w:val="Hyperlink"/>
            <w:rFonts w:ascii="Times New Roman" w:hAnsi="Times New Roman" w:cs="Times New Roman"/>
          </w:rPr>
          <w:t>https://www2.ohchr.org/english/bodies/hrc/docs/gc34.pdf</w:t>
        </w:r>
      </w:hyperlink>
      <w:r w:rsidRPr="008956CA">
        <w:rPr>
          <w:rFonts w:ascii="Times New Roman" w:hAnsi="Times New Roman" w:cs="Times New Roman"/>
        </w:rPr>
        <w:t xml:space="preserve"> </w:t>
      </w:r>
    </w:p>
  </w:footnote>
  <w:footnote w:id="20">
    <w:p w14:paraId="0FA3E78D" w14:textId="737C80E5"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U.S. Observations on General Comment No. 34, </w:t>
      </w:r>
      <w:r w:rsidRPr="008956CA">
        <w:rPr>
          <w:rFonts w:ascii="Times New Roman" w:hAnsi="Times New Roman" w:cs="Times New Roman"/>
          <w:i/>
          <w:iCs/>
        </w:rPr>
        <w:t>supra</w:t>
      </w:r>
      <w:r w:rsidRPr="008956CA">
        <w:rPr>
          <w:rFonts w:ascii="Times New Roman" w:hAnsi="Times New Roman" w:cs="Times New Roman"/>
        </w:rPr>
        <w:t xml:space="preserve"> note </w:t>
      </w:r>
      <w:r w:rsidR="00FE598F" w:rsidRPr="008956CA">
        <w:rPr>
          <w:rFonts w:ascii="Times New Roman" w:hAnsi="Times New Roman" w:cs="Times New Roman"/>
        </w:rPr>
        <w:t>10</w:t>
      </w:r>
      <w:r w:rsidRPr="008956CA">
        <w:rPr>
          <w:rFonts w:ascii="Times New Roman" w:hAnsi="Times New Roman" w:cs="Times New Roman"/>
        </w:rPr>
        <w:t>, at 228-29, paragraph 12.</w:t>
      </w:r>
    </w:p>
  </w:footnote>
  <w:footnote w:id="21">
    <w:p w14:paraId="4BC5B770" w14:textId="24E43DE5" w:rsidR="00A66C18" w:rsidRPr="008956CA" w:rsidRDefault="00A66C18">
      <w:pPr>
        <w:pStyle w:val="FootnoteText"/>
      </w:pPr>
      <w:r w:rsidRPr="008956CA">
        <w:rPr>
          <w:rStyle w:val="FootnoteReference"/>
        </w:rPr>
        <w:footnoteRef/>
      </w:r>
      <w:r w:rsidRPr="008956CA">
        <w:t xml:space="preserve"> </w:t>
      </w:r>
      <w:r w:rsidRPr="008956CA">
        <w:rPr>
          <w:rFonts w:ascii="Times New Roman" w:hAnsi="Times New Roman" w:cs="Times New Roman"/>
        </w:rPr>
        <w:t xml:space="preserve">Draft General Comment No. 37, </w:t>
      </w:r>
      <w:r w:rsidRPr="008956CA">
        <w:rPr>
          <w:rFonts w:ascii="Times New Roman" w:hAnsi="Times New Roman" w:cs="Times New Roman"/>
          <w:i/>
          <w:iCs/>
        </w:rPr>
        <w:t>supra</w:t>
      </w:r>
      <w:r w:rsidRPr="008956CA">
        <w:rPr>
          <w:rFonts w:ascii="Times New Roman" w:hAnsi="Times New Roman" w:cs="Times New Roman"/>
        </w:rPr>
        <w:t xml:space="preserve"> note 1, at paragraph 56.</w:t>
      </w:r>
    </w:p>
  </w:footnote>
  <w:footnote w:id="22">
    <w:p w14:paraId="2678FC93" w14:textId="2C17337E" w:rsidR="00EB6068" w:rsidRPr="008956CA" w:rsidRDefault="00EB6068" w:rsidP="001A4A51">
      <w:pPr>
        <w:pStyle w:val="CommentText"/>
        <w:spacing w:after="0"/>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U.S. Observations on General Comment No. 36, </w:t>
      </w:r>
      <w:r w:rsidRPr="008956CA">
        <w:rPr>
          <w:rFonts w:ascii="Times New Roman" w:hAnsi="Times New Roman" w:cs="Times New Roman"/>
          <w:i/>
          <w:iCs/>
        </w:rPr>
        <w:t>supra</w:t>
      </w:r>
      <w:r w:rsidRPr="008956CA">
        <w:rPr>
          <w:rFonts w:ascii="Times New Roman" w:hAnsi="Times New Roman" w:cs="Times New Roman"/>
        </w:rPr>
        <w:t xml:space="preserve"> note </w:t>
      </w:r>
      <w:r w:rsidR="00FE598F" w:rsidRPr="008956CA">
        <w:rPr>
          <w:rFonts w:ascii="Times New Roman" w:hAnsi="Times New Roman" w:cs="Times New Roman"/>
        </w:rPr>
        <w:t>5</w:t>
      </w:r>
      <w:r w:rsidRPr="008956CA">
        <w:rPr>
          <w:rFonts w:ascii="Times New Roman" w:hAnsi="Times New Roman" w:cs="Times New Roman"/>
        </w:rPr>
        <w:t>, at paragraph 34.</w:t>
      </w:r>
    </w:p>
  </w:footnote>
  <w:footnote w:id="23">
    <w:p w14:paraId="31168CD4" w14:textId="7FF0C467"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w:t>
      </w:r>
      <w:r w:rsidRPr="008956CA">
        <w:rPr>
          <w:rFonts w:ascii="Times New Roman" w:hAnsi="Times New Roman" w:cs="Times New Roman"/>
          <w:i/>
          <w:iCs/>
        </w:rPr>
        <w:t>See generally</w:t>
      </w:r>
      <w:r w:rsidRPr="008956CA">
        <w:rPr>
          <w:rFonts w:ascii="Times New Roman" w:hAnsi="Times New Roman" w:cs="Times New Roman"/>
        </w:rPr>
        <w:t xml:space="preserve"> </w:t>
      </w:r>
      <w:r w:rsidR="00383331" w:rsidRPr="008956CA">
        <w:rPr>
          <w:rFonts w:ascii="Times New Roman" w:hAnsi="Times New Roman" w:cs="Times New Roman"/>
        </w:rPr>
        <w:t xml:space="preserve">Observations of the United States of America on the Human Rights Committee’s Draft General Comment No. 35: Article 9, June 10, 2014 (hereinafter “U.S. Observations on Draft General Comment No. 35”), </w:t>
      </w:r>
      <w:r w:rsidR="00383331" w:rsidRPr="008956CA">
        <w:rPr>
          <w:rFonts w:ascii="Times New Roman" w:hAnsi="Times New Roman" w:cs="Times New Roman"/>
          <w:i/>
        </w:rPr>
        <w:t>excerpted</w:t>
      </w:r>
      <w:r w:rsidR="00383331" w:rsidRPr="008956CA">
        <w:rPr>
          <w:rFonts w:ascii="Times New Roman" w:hAnsi="Times New Roman" w:cs="Times New Roman"/>
          <w:i/>
          <w:iCs/>
        </w:rPr>
        <w:t xml:space="preserve"> in </w:t>
      </w:r>
      <w:r w:rsidR="00383331" w:rsidRPr="008956CA">
        <w:rPr>
          <w:rFonts w:ascii="Times New Roman" w:hAnsi="Times New Roman" w:cs="Times New Roman"/>
        </w:rPr>
        <w:t xml:space="preserve">Digest of U.S. Practice in International Law 2014, pp. 178-184, available at </w:t>
      </w:r>
      <w:hyperlink r:id="rId8" w:history="1">
        <w:r w:rsidR="00383331" w:rsidRPr="008956CA">
          <w:rPr>
            <w:rStyle w:val="Hyperlink"/>
            <w:rFonts w:ascii="Times New Roman" w:hAnsi="Times New Roman" w:cs="Times New Roman"/>
          </w:rPr>
          <w:t>https://2009-2017.state.gov/s/l/2014/index.htm</w:t>
        </w:r>
      </w:hyperlink>
      <w:r w:rsidRPr="008956CA">
        <w:rPr>
          <w:rFonts w:ascii="Times New Roman" w:hAnsi="Times New Roman" w:cs="Times New Roman"/>
        </w:rPr>
        <w:t xml:space="preserve">, and </w:t>
      </w:r>
      <w:r w:rsidR="00383331" w:rsidRPr="008956CA">
        <w:rPr>
          <w:rFonts w:ascii="Times New Roman" w:hAnsi="Times New Roman" w:cs="Times New Roman"/>
        </w:rPr>
        <w:t xml:space="preserve">No. </w:t>
      </w:r>
      <w:r w:rsidRPr="008956CA">
        <w:rPr>
          <w:rFonts w:ascii="Times New Roman" w:hAnsi="Times New Roman" w:cs="Times New Roman"/>
        </w:rPr>
        <w:t xml:space="preserve">36, </w:t>
      </w:r>
      <w:r w:rsidRPr="008956CA">
        <w:rPr>
          <w:rFonts w:ascii="Times New Roman" w:hAnsi="Times New Roman" w:cs="Times New Roman"/>
          <w:i/>
          <w:iCs/>
        </w:rPr>
        <w:t xml:space="preserve">supra </w:t>
      </w:r>
      <w:r w:rsidRPr="008956CA">
        <w:rPr>
          <w:rFonts w:ascii="Times New Roman" w:hAnsi="Times New Roman" w:cs="Times New Roman"/>
        </w:rPr>
        <w:t xml:space="preserve">note </w:t>
      </w:r>
      <w:r w:rsidR="00383331" w:rsidRPr="008956CA">
        <w:rPr>
          <w:rFonts w:ascii="Times New Roman" w:hAnsi="Times New Roman" w:cs="Times New Roman"/>
        </w:rPr>
        <w:t>5</w:t>
      </w:r>
      <w:r w:rsidRPr="008956CA">
        <w:rPr>
          <w:rFonts w:ascii="Times New Roman" w:hAnsi="Times New Roman" w:cs="Times New Roman"/>
        </w:rPr>
        <w:t>.</w:t>
      </w:r>
    </w:p>
  </w:footnote>
  <w:footnote w:id="24">
    <w:p w14:paraId="1B470F22" w14:textId="46AC4392"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For examples of treaty text that requires States to protect individuals from private actors, s</w:t>
      </w:r>
      <w:r w:rsidRPr="008956CA">
        <w:rPr>
          <w:rFonts w:ascii="Times New Roman" w:hAnsi="Times New Roman" w:cs="Times New Roman"/>
          <w:i/>
        </w:rPr>
        <w:t xml:space="preserve">ee </w:t>
      </w:r>
      <w:r w:rsidRPr="008956CA">
        <w:rPr>
          <w:rFonts w:ascii="Times New Roman" w:hAnsi="Times New Roman" w:cs="Times New Roman"/>
        </w:rPr>
        <w:t xml:space="preserve">U.S. Observations on Draft General Comment No. 35, </w:t>
      </w:r>
      <w:r w:rsidRPr="008956CA">
        <w:rPr>
          <w:rFonts w:ascii="Times New Roman" w:hAnsi="Times New Roman" w:cs="Times New Roman"/>
          <w:i/>
          <w:iCs/>
        </w:rPr>
        <w:t>supra</w:t>
      </w:r>
      <w:r w:rsidRPr="008956CA">
        <w:rPr>
          <w:rFonts w:ascii="Times New Roman" w:hAnsi="Times New Roman" w:cs="Times New Roman"/>
        </w:rPr>
        <w:t xml:space="preserve"> note </w:t>
      </w:r>
      <w:r w:rsidR="00660E30" w:rsidRPr="008956CA">
        <w:rPr>
          <w:rFonts w:ascii="Times New Roman" w:hAnsi="Times New Roman" w:cs="Times New Roman"/>
        </w:rPr>
        <w:t>2</w:t>
      </w:r>
      <w:r w:rsidR="00085CD7" w:rsidRPr="008956CA">
        <w:rPr>
          <w:rFonts w:ascii="Times New Roman" w:hAnsi="Times New Roman" w:cs="Times New Roman"/>
        </w:rPr>
        <w:t>2</w:t>
      </w:r>
      <w:r w:rsidRPr="008956CA">
        <w:rPr>
          <w:rFonts w:ascii="Times New Roman" w:hAnsi="Times New Roman" w:cs="Times New Roman"/>
        </w:rPr>
        <w:t>, at paragraphs 14-17.</w:t>
      </w:r>
    </w:p>
  </w:footnote>
  <w:footnote w:id="25">
    <w:p w14:paraId="49257D07" w14:textId="7C08CA71" w:rsidR="00EB6068" w:rsidRPr="008956CA" w:rsidRDefault="00EB6068"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w:t>
      </w:r>
      <w:r w:rsidRPr="008956CA">
        <w:rPr>
          <w:rFonts w:ascii="Times New Roman" w:hAnsi="Times New Roman" w:cs="Times New Roman"/>
          <w:smallCaps/>
        </w:rPr>
        <w:t xml:space="preserve">Guide to the “Travaux </w:t>
      </w:r>
      <w:proofErr w:type="spellStart"/>
      <w:r w:rsidRPr="008956CA">
        <w:rPr>
          <w:rFonts w:ascii="Times New Roman" w:hAnsi="Times New Roman" w:cs="Times New Roman"/>
          <w:smallCaps/>
        </w:rPr>
        <w:t>Préparatoires</w:t>
      </w:r>
      <w:proofErr w:type="spellEnd"/>
      <w:r w:rsidRPr="008956CA">
        <w:rPr>
          <w:rFonts w:ascii="Times New Roman" w:hAnsi="Times New Roman" w:cs="Times New Roman"/>
          <w:smallCaps/>
        </w:rPr>
        <w:t>” of the International Covenant on Civil and Political Rights</w:t>
      </w:r>
      <w:r w:rsidRPr="008956CA">
        <w:rPr>
          <w:rFonts w:ascii="Times New Roman" w:hAnsi="Times New Roman" w:cs="Times New Roman"/>
        </w:rPr>
        <w:t xml:space="preserve"> 414 (Marc. J. </w:t>
      </w:r>
      <w:proofErr w:type="spellStart"/>
      <w:r w:rsidRPr="008956CA">
        <w:rPr>
          <w:rFonts w:ascii="Times New Roman" w:hAnsi="Times New Roman" w:cs="Times New Roman"/>
        </w:rPr>
        <w:t>Bossuyt</w:t>
      </w:r>
      <w:proofErr w:type="spellEnd"/>
      <w:r w:rsidRPr="008956CA">
        <w:rPr>
          <w:rFonts w:ascii="Times New Roman" w:hAnsi="Times New Roman" w:cs="Times New Roman"/>
        </w:rPr>
        <w:t xml:space="preserve"> ed., 1987); [E/CN.4/SR121, p.3 (F)].</w:t>
      </w:r>
    </w:p>
  </w:footnote>
  <w:footnote w:id="26">
    <w:p w14:paraId="3CAB42E0" w14:textId="10EFC57D" w:rsidR="00872BFF" w:rsidRPr="008956CA" w:rsidRDefault="00872BFF"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In this regard, we object to the broad assertion that “firearms are not an appropriate tool for the policing of assemblies” in Paragraph 98.  First, the assertion does not even take into consideration whether those assembling are doing so peacefully but makes a blanket statement that apparently applies to all assemblies.  Second, in many jurisdictions, including the United States, many law enforcement officials are routinely armed, including for the purpose of maintaining public order at a peaceful assembly.  The Comment should focus on whether States Parties are complying with other provisions of the Covenant, such as Articles 6 and 9, rather than asserting new, </w:t>
      </w:r>
      <w:proofErr w:type="spellStart"/>
      <w:r w:rsidRPr="008956CA">
        <w:rPr>
          <w:rFonts w:ascii="Times New Roman" w:hAnsi="Times New Roman" w:cs="Times New Roman"/>
        </w:rPr>
        <w:t>nontextual</w:t>
      </w:r>
      <w:proofErr w:type="spellEnd"/>
      <w:r w:rsidRPr="008956CA">
        <w:rPr>
          <w:rFonts w:ascii="Times New Roman" w:hAnsi="Times New Roman" w:cs="Times New Roman"/>
        </w:rPr>
        <w:t xml:space="preserve"> standards based on regional guidance, as discussed in Section </w:t>
      </w:r>
      <w:r w:rsidR="00383331" w:rsidRPr="008956CA">
        <w:rPr>
          <w:rFonts w:ascii="Times New Roman" w:hAnsi="Times New Roman" w:cs="Times New Roman"/>
        </w:rPr>
        <w:t>A</w:t>
      </w:r>
      <w:r w:rsidRPr="008956CA">
        <w:rPr>
          <w:rFonts w:ascii="Times New Roman" w:hAnsi="Times New Roman" w:cs="Times New Roman"/>
        </w:rPr>
        <w:t>.</w:t>
      </w:r>
    </w:p>
  </w:footnote>
  <w:footnote w:id="27">
    <w:p w14:paraId="43043547" w14:textId="3FE3889E" w:rsidR="00E77949" w:rsidRPr="001A4A51" w:rsidRDefault="00E77949" w:rsidP="001A4A51">
      <w:pPr>
        <w:pStyle w:val="FootnoteText"/>
        <w:rPr>
          <w:rFonts w:ascii="Times New Roman" w:hAnsi="Times New Roman" w:cs="Times New Roman"/>
        </w:rPr>
      </w:pPr>
      <w:r w:rsidRPr="008956CA">
        <w:rPr>
          <w:rStyle w:val="FootnoteReference"/>
          <w:rFonts w:ascii="Times New Roman" w:hAnsi="Times New Roman" w:cs="Times New Roman"/>
        </w:rPr>
        <w:footnoteRef/>
      </w:r>
      <w:r w:rsidRPr="008956CA">
        <w:rPr>
          <w:rFonts w:ascii="Times New Roman" w:hAnsi="Times New Roman" w:cs="Times New Roman"/>
        </w:rPr>
        <w:t xml:space="preserve"> However, the United States’ silence on </w:t>
      </w:r>
      <w:r w:rsidR="001A4A51" w:rsidRPr="008956CA">
        <w:rPr>
          <w:rFonts w:ascii="Times New Roman" w:hAnsi="Times New Roman" w:cs="Times New Roman"/>
        </w:rPr>
        <w:t xml:space="preserve">topics not addressed in these observations should not be </w:t>
      </w:r>
      <w:r w:rsidR="0092706F" w:rsidRPr="008956CA">
        <w:rPr>
          <w:rFonts w:ascii="Times New Roman" w:hAnsi="Times New Roman" w:cs="Times New Roman"/>
        </w:rPr>
        <w:t xml:space="preserve">understood </w:t>
      </w:r>
      <w:r w:rsidR="001A4A51" w:rsidRPr="008956CA">
        <w:rPr>
          <w:rFonts w:ascii="Times New Roman" w:hAnsi="Times New Roman" w:cs="Times New Roman"/>
        </w:rPr>
        <w:t>as agreement with the Committee’s views.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1A68"/>
    <w:multiLevelType w:val="hybridMultilevel"/>
    <w:tmpl w:val="BD723FB0"/>
    <w:lvl w:ilvl="0" w:tplc="0409000F">
      <w:start w:val="1"/>
      <w:numFmt w:val="decimal"/>
      <w:lvlText w:val="%1."/>
      <w:lvlJc w:val="left"/>
      <w:pPr>
        <w:tabs>
          <w:tab w:val="num" w:pos="360"/>
        </w:tabs>
        <w:ind w:left="360" w:hanging="360"/>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240"/>
        </w:tabs>
        <w:ind w:left="324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3960"/>
        </w:tabs>
        <w:ind w:left="396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4680"/>
        </w:tabs>
        <w:ind w:left="468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400"/>
        </w:tabs>
        <w:ind w:left="540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120"/>
        </w:tabs>
        <w:ind w:left="612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E9"/>
    <w:rsid w:val="00006E41"/>
    <w:rsid w:val="00027114"/>
    <w:rsid w:val="000302C9"/>
    <w:rsid w:val="00040170"/>
    <w:rsid w:val="000464A2"/>
    <w:rsid w:val="00050BF6"/>
    <w:rsid w:val="00054E59"/>
    <w:rsid w:val="00060104"/>
    <w:rsid w:val="000626E6"/>
    <w:rsid w:val="00065532"/>
    <w:rsid w:val="00067188"/>
    <w:rsid w:val="00082C9B"/>
    <w:rsid w:val="00083587"/>
    <w:rsid w:val="00085CD7"/>
    <w:rsid w:val="000A16F5"/>
    <w:rsid w:val="000A6517"/>
    <w:rsid w:val="000C46A4"/>
    <w:rsid w:val="000C6304"/>
    <w:rsid w:val="000E003B"/>
    <w:rsid w:val="000E3467"/>
    <w:rsid w:val="000F4464"/>
    <w:rsid w:val="00104324"/>
    <w:rsid w:val="0011129A"/>
    <w:rsid w:val="001132B0"/>
    <w:rsid w:val="00121BB8"/>
    <w:rsid w:val="00122344"/>
    <w:rsid w:val="00133904"/>
    <w:rsid w:val="00141D12"/>
    <w:rsid w:val="00144C24"/>
    <w:rsid w:val="00160A58"/>
    <w:rsid w:val="00174458"/>
    <w:rsid w:val="0018736B"/>
    <w:rsid w:val="0018738C"/>
    <w:rsid w:val="00193038"/>
    <w:rsid w:val="001A4A51"/>
    <w:rsid w:val="001A5248"/>
    <w:rsid w:val="001A72BC"/>
    <w:rsid w:val="001C764F"/>
    <w:rsid w:val="001E44FF"/>
    <w:rsid w:val="001E5629"/>
    <w:rsid w:val="001F0D0C"/>
    <w:rsid w:val="001F56CD"/>
    <w:rsid w:val="001F7F69"/>
    <w:rsid w:val="002226A4"/>
    <w:rsid w:val="002243E4"/>
    <w:rsid w:val="0023276D"/>
    <w:rsid w:val="00235A02"/>
    <w:rsid w:val="00236383"/>
    <w:rsid w:val="00245553"/>
    <w:rsid w:val="00246DD3"/>
    <w:rsid w:val="00253B4E"/>
    <w:rsid w:val="00255F22"/>
    <w:rsid w:val="00264458"/>
    <w:rsid w:val="00266F1E"/>
    <w:rsid w:val="00274210"/>
    <w:rsid w:val="00282E96"/>
    <w:rsid w:val="00290280"/>
    <w:rsid w:val="00297E7E"/>
    <w:rsid w:val="002B3FDA"/>
    <w:rsid w:val="002B4810"/>
    <w:rsid w:val="002C0449"/>
    <w:rsid w:val="002D06C7"/>
    <w:rsid w:val="002D44AC"/>
    <w:rsid w:val="002D6311"/>
    <w:rsid w:val="002E16D5"/>
    <w:rsid w:val="002E40C1"/>
    <w:rsid w:val="002E564E"/>
    <w:rsid w:val="002F536A"/>
    <w:rsid w:val="002F7344"/>
    <w:rsid w:val="00300290"/>
    <w:rsid w:val="00301BA4"/>
    <w:rsid w:val="00310CF4"/>
    <w:rsid w:val="0031361F"/>
    <w:rsid w:val="003345E9"/>
    <w:rsid w:val="003404B2"/>
    <w:rsid w:val="00360345"/>
    <w:rsid w:val="00366BE5"/>
    <w:rsid w:val="0037202A"/>
    <w:rsid w:val="00383331"/>
    <w:rsid w:val="00383EF4"/>
    <w:rsid w:val="003A280F"/>
    <w:rsid w:val="003A4ED2"/>
    <w:rsid w:val="003B5D94"/>
    <w:rsid w:val="003C13FF"/>
    <w:rsid w:val="003C2FFF"/>
    <w:rsid w:val="003C5E15"/>
    <w:rsid w:val="003D0E29"/>
    <w:rsid w:val="003E4965"/>
    <w:rsid w:val="003F357F"/>
    <w:rsid w:val="003F644B"/>
    <w:rsid w:val="003F74DB"/>
    <w:rsid w:val="00404912"/>
    <w:rsid w:val="00415E12"/>
    <w:rsid w:val="00417AA7"/>
    <w:rsid w:val="0042339E"/>
    <w:rsid w:val="004358D8"/>
    <w:rsid w:val="00443016"/>
    <w:rsid w:val="00443673"/>
    <w:rsid w:val="00446B73"/>
    <w:rsid w:val="004564C4"/>
    <w:rsid w:val="004647C7"/>
    <w:rsid w:val="00466122"/>
    <w:rsid w:val="004923B3"/>
    <w:rsid w:val="004D087A"/>
    <w:rsid w:val="004D6460"/>
    <w:rsid w:val="004E1752"/>
    <w:rsid w:val="004E2365"/>
    <w:rsid w:val="005007BA"/>
    <w:rsid w:val="0050686A"/>
    <w:rsid w:val="00511F7D"/>
    <w:rsid w:val="005200BB"/>
    <w:rsid w:val="005236FA"/>
    <w:rsid w:val="00524697"/>
    <w:rsid w:val="00532D1D"/>
    <w:rsid w:val="00541D5D"/>
    <w:rsid w:val="005438EE"/>
    <w:rsid w:val="005458FC"/>
    <w:rsid w:val="005505F9"/>
    <w:rsid w:val="00551528"/>
    <w:rsid w:val="005614C6"/>
    <w:rsid w:val="00565F5C"/>
    <w:rsid w:val="00577886"/>
    <w:rsid w:val="0058582D"/>
    <w:rsid w:val="00586D2F"/>
    <w:rsid w:val="00593B79"/>
    <w:rsid w:val="0059495B"/>
    <w:rsid w:val="00594BF2"/>
    <w:rsid w:val="00597785"/>
    <w:rsid w:val="005B3F6D"/>
    <w:rsid w:val="005B7624"/>
    <w:rsid w:val="005C084B"/>
    <w:rsid w:val="005E17E6"/>
    <w:rsid w:val="005E29B4"/>
    <w:rsid w:val="005E4F45"/>
    <w:rsid w:val="005E6240"/>
    <w:rsid w:val="005F6528"/>
    <w:rsid w:val="00602635"/>
    <w:rsid w:val="00602A4E"/>
    <w:rsid w:val="0061287E"/>
    <w:rsid w:val="00624240"/>
    <w:rsid w:val="00631E67"/>
    <w:rsid w:val="00635831"/>
    <w:rsid w:val="006403A0"/>
    <w:rsid w:val="00645E16"/>
    <w:rsid w:val="00646AF4"/>
    <w:rsid w:val="00650BFF"/>
    <w:rsid w:val="00654B79"/>
    <w:rsid w:val="00660E30"/>
    <w:rsid w:val="0066538A"/>
    <w:rsid w:val="00670E3D"/>
    <w:rsid w:val="0067286F"/>
    <w:rsid w:val="0068272F"/>
    <w:rsid w:val="00687F60"/>
    <w:rsid w:val="00695830"/>
    <w:rsid w:val="00696274"/>
    <w:rsid w:val="006A2A5C"/>
    <w:rsid w:val="006B463C"/>
    <w:rsid w:val="006C091E"/>
    <w:rsid w:val="006C2092"/>
    <w:rsid w:val="006D28F2"/>
    <w:rsid w:val="006E3714"/>
    <w:rsid w:val="007061E9"/>
    <w:rsid w:val="00722611"/>
    <w:rsid w:val="00731FA7"/>
    <w:rsid w:val="00740D5F"/>
    <w:rsid w:val="00745DA7"/>
    <w:rsid w:val="00745E71"/>
    <w:rsid w:val="00750AD8"/>
    <w:rsid w:val="0076200C"/>
    <w:rsid w:val="00774837"/>
    <w:rsid w:val="00775232"/>
    <w:rsid w:val="00775339"/>
    <w:rsid w:val="00780FF4"/>
    <w:rsid w:val="0078103C"/>
    <w:rsid w:val="00782560"/>
    <w:rsid w:val="00786F25"/>
    <w:rsid w:val="007A161B"/>
    <w:rsid w:val="007B1C09"/>
    <w:rsid w:val="007C0C1E"/>
    <w:rsid w:val="007D08E1"/>
    <w:rsid w:val="007E047C"/>
    <w:rsid w:val="007E5833"/>
    <w:rsid w:val="007F2E7E"/>
    <w:rsid w:val="0080276D"/>
    <w:rsid w:val="00803F02"/>
    <w:rsid w:val="00804D9F"/>
    <w:rsid w:val="00814959"/>
    <w:rsid w:val="008538C4"/>
    <w:rsid w:val="00853C72"/>
    <w:rsid w:val="00862204"/>
    <w:rsid w:val="00870D0A"/>
    <w:rsid w:val="00872BFF"/>
    <w:rsid w:val="0087503D"/>
    <w:rsid w:val="00891D14"/>
    <w:rsid w:val="008956CA"/>
    <w:rsid w:val="0089581A"/>
    <w:rsid w:val="008B3DEB"/>
    <w:rsid w:val="008D0138"/>
    <w:rsid w:val="008D529F"/>
    <w:rsid w:val="008F6C19"/>
    <w:rsid w:val="009005A2"/>
    <w:rsid w:val="00900F69"/>
    <w:rsid w:val="00903E35"/>
    <w:rsid w:val="009152D0"/>
    <w:rsid w:val="00916D54"/>
    <w:rsid w:val="0092706F"/>
    <w:rsid w:val="00950C88"/>
    <w:rsid w:val="00954469"/>
    <w:rsid w:val="0096120E"/>
    <w:rsid w:val="00973669"/>
    <w:rsid w:val="00985F23"/>
    <w:rsid w:val="00987416"/>
    <w:rsid w:val="00990940"/>
    <w:rsid w:val="00992BC4"/>
    <w:rsid w:val="00994C68"/>
    <w:rsid w:val="009A54E7"/>
    <w:rsid w:val="009A675C"/>
    <w:rsid w:val="009B2CA9"/>
    <w:rsid w:val="009B3071"/>
    <w:rsid w:val="009B7EB7"/>
    <w:rsid w:val="009E550A"/>
    <w:rsid w:val="009E7CBE"/>
    <w:rsid w:val="009E7FC1"/>
    <w:rsid w:val="009F1674"/>
    <w:rsid w:val="00A03420"/>
    <w:rsid w:val="00A1318F"/>
    <w:rsid w:val="00A14729"/>
    <w:rsid w:val="00A22695"/>
    <w:rsid w:val="00A2286C"/>
    <w:rsid w:val="00A240C6"/>
    <w:rsid w:val="00A279AD"/>
    <w:rsid w:val="00A32E57"/>
    <w:rsid w:val="00A4118D"/>
    <w:rsid w:val="00A47624"/>
    <w:rsid w:val="00A51521"/>
    <w:rsid w:val="00A6280B"/>
    <w:rsid w:val="00A66C18"/>
    <w:rsid w:val="00A726DE"/>
    <w:rsid w:val="00A73FC1"/>
    <w:rsid w:val="00A77D41"/>
    <w:rsid w:val="00A83C65"/>
    <w:rsid w:val="00A9269B"/>
    <w:rsid w:val="00A92E01"/>
    <w:rsid w:val="00A94688"/>
    <w:rsid w:val="00A94AB1"/>
    <w:rsid w:val="00AD40B1"/>
    <w:rsid w:val="00AE7B6A"/>
    <w:rsid w:val="00AF0DA1"/>
    <w:rsid w:val="00B069BE"/>
    <w:rsid w:val="00B10068"/>
    <w:rsid w:val="00B16D86"/>
    <w:rsid w:val="00B2246D"/>
    <w:rsid w:val="00B33140"/>
    <w:rsid w:val="00B404A3"/>
    <w:rsid w:val="00B40A3A"/>
    <w:rsid w:val="00B51C81"/>
    <w:rsid w:val="00B54807"/>
    <w:rsid w:val="00B650FC"/>
    <w:rsid w:val="00B714B6"/>
    <w:rsid w:val="00B71B01"/>
    <w:rsid w:val="00B809F7"/>
    <w:rsid w:val="00B8321D"/>
    <w:rsid w:val="00BA302F"/>
    <w:rsid w:val="00BA3A21"/>
    <w:rsid w:val="00BB419D"/>
    <w:rsid w:val="00BC6185"/>
    <w:rsid w:val="00BC67A9"/>
    <w:rsid w:val="00BD249A"/>
    <w:rsid w:val="00BD4A57"/>
    <w:rsid w:val="00BE712F"/>
    <w:rsid w:val="00BF11BD"/>
    <w:rsid w:val="00BF4D4B"/>
    <w:rsid w:val="00C0482C"/>
    <w:rsid w:val="00C17744"/>
    <w:rsid w:val="00C2483A"/>
    <w:rsid w:val="00C32FB3"/>
    <w:rsid w:val="00C47789"/>
    <w:rsid w:val="00C51BBC"/>
    <w:rsid w:val="00C52A44"/>
    <w:rsid w:val="00C65CF5"/>
    <w:rsid w:val="00C66456"/>
    <w:rsid w:val="00C701A1"/>
    <w:rsid w:val="00C70B0C"/>
    <w:rsid w:val="00C7567D"/>
    <w:rsid w:val="00CA1BD7"/>
    <w:rsid w:val="00CA1C4C"/>
    <w:rsid w:val="00CC2121"/>
    <w:rsid w:val="00CF4DDD"/>
    <w:rsid w:val="00D07794"/>
    <w:rsid w:val="00D11332"/>
    <w:rsid w:val="00D11C70"/>
    <w:rsid w:val="00D221AE"/>
    <w:rsid w:val="00D237B1"/>
    <w:rsid w:val="00D25B0F"/>
    <w:rsid w:val="00D31E5B"/>
    <w:rsid w:val="00D34DFA"/>
    <w:rsid w:val="00D5171B"/>
    <w:rsid w:val="00D671AC"/>
    <w:rsid w:val="00D67AD8"/>
    <w:rsid w:val="00D77171"/>
    <w:rsid w:val="00D84260"/>
    <w:rsid w:val="00D92116"/>
    <w:rsid w:val="00D92E1F"/>
    <w:rsid w:val="00D93E60"/>
    <w:rsid w:val="00DA4A68"/>
    <w:rsid w:val="00DB6EBC"/>
    <w:rsid w:val="00DD640E"/>
    <w:rsid w:val="00DD7229"/>
    <w:rsid w:val="00DE0BDC"/>
    <w:rsid w:val="00DE7D2E"/>
    <w:rsid w:val="00DF1C49"/>
    <w:rsid w:val="00DF2259"/>
    <w:rsid w:val="00DF6C4C"/>
    <w:rsid w:val="00E012B7"/>
    <w:rsid w:val="00E07163"/>
    <w:rsid w:val="00E2072A"/>
    <w:rsid w:val="00E24DEA"/>
    <w:rsid w:val="00E26451"/>
    <w:rsid w:val="00E274BA"/>
    <w:rsid w:val="00E3004B"/>
    <w:rsid w:val="00E3744C"/>
    <w:rsid w:val="00E544E7"/>
    <w:rsid w:val="00E62893"/>
    <w:rsid w:val="00E662AF"/>
    <w:rsid w:val="00E72DDC"/>
    <w:rsid w:val="00E77949"/>
    <w:rsid w:val="00E81858"/>
    <w:rsid w:val="00E81B07"/>
    <w:rsid w:val="00E82E37"/>
    <w:rsid w:val="00E87EBB"/>
    <w:rsid w:val="00E91C67"/>
    <w:rsid w:val="00EA1564"/>
    <w:rsid w:val="00EA2386"/>
    <w:rsid w:val="00EA68E8"/>
    <w:rsid w:val="00EB0E70"/>
    <w:rsid w:val="00EB6068"/>
    <w:rsid w:val="00EC0423"/>
    <w:rsid w:val="00EC2818"/>
    <w:rsid w:val="00EC5364"/>
    <w:rsid w:val="00EE6362"/>
    <w:rsid w:val="00F04096"/>
    <w:rsid w:val="00F12012"/>
    <w:rsid w:val="00F252F0"/>
    <w:rsid w:val="00F275E0"/>
    <w:rsid w:val="00F403E2"/>
    <w:rsid w:val="00F412D9"/>
    <w:rsid w:val="00F55D97"/>
    <w:rsid w:val="00F56439"/>
    <w:rsid w:val="00F57430"/>
    <w:rsid w:val="00F576C6"/>
    <w:rsid w:val="00F63647"/>
    <w:rsid w:val="00F65D41"/>
    <w:rsid w:val="00F75268"/>
    <w:rsid w:val="00F84ACF"/>
    <w:rsid w:val="00F90724"/>
    <w:rsid w:val="00F90B84"/>
    <w:rsid w:val="00F9283E"/>
    <w:rsid w:val="00FA43D1"/>
    <w:rsid w:val="00FB4522"/>
    <w:rsid w:val="00FB540C"/>
    <w:rsid w:val="00FE176D"/>
    <w:rsid w:val="00FE5228"/>
    <w:rsid w:val="00FE598F"/>
    <w:rsid w:val="00FE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13BDC8"/>
  <w15:chartTrackingRefBased/>
  <w15:docId w15:val="{736D63FC-199F-40C6-8C4D-E8777953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5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E9"/>
    <w:rPr>
      <w:rFonts w:ascii="Segoe UI" w:hAnsi="Segoe UI" w:cs="Segoe UI"/>
      <w:sz w:val="18"/>
      <w:szCs w:val="18"/>
    </w:rPr>
  </w:style>
  <w:style w:type="paragraph" w:styleId="Header">
    <w:name w:val="header"/>
    <w:basedOn w:val="Normal"/>
    <w:link w:val="HeaderChar"/>
    <w:unhideWhenUsed/>
    <w:rsid w:val="0070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E9"/>
  </w:style>
  <w:style w:type="paragraph" w:styleId="Footer">
    <w:name w:val="footer"/>
    <w:basedOn w:val="Normal"/>
    <w:link w:val="FooterChar"/>
    <w:uiPriority w:val="99"/>
    <w:unhideWhenUsed/>
    <w:rsid w:val="0070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E9"/>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A"/>
    <w:basedOn w:val="Normal"/>
    <w:link w:val="ListParagraphChar"/>
    <w:uiPriority w:val="34"/>
    <w:qFormat/>
    <w:rsid w:val="007061E9"/>
    <w:pPr>
      <w:ind w:left="720"/>
      <w:contextualSpacing/>
    </w:pPr>
  </w:style>
  <w:style w:type="paragraph" w:styleId="FootnoteText">
    <w:name w:val="footnote text"/>
    <w:aliases w:val="5_G,Footnote Text Char Char Char Char Char,Footnote Text Char Char Char Char,Footnote reference,FA Fu,Footnote Text Char Char Char,Char,Footnote Reference1,Voetnoottekst1, Char1,FA Fu1,Footnote Text Char Char Char1,Footnote Text Char Char1"/>
    <w:basedOn w:val="Normal"/>
    <w:link w:val="FootnoteTextChar"/>
    <w:uiPriority w:val="99"/>
    <w:unhideWhenUsed/>
    <w:qFormat/>
    <w:rsid w:val="007061E9"/>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Voetnoottekst1 Char, Char1 Char"/>
    <w:basedOn w:val="DefaultParagraphFont"/>
    <w:link w:val="FootnoteText"/>
    <w:uiPriority w:val="99"/>
    <w:rsid w:val="007061E9"/>
    <w:rPr>
      <w:sz w:val="20"/>
      <w:szCs w:val="20"/>
    </w:rPr>
  </w:style>
  <w:style w:type="character" w:styleId="FootnoteReference">
    <w:name w:val="footnote reference"/>
    <w:aliases w:val="4_G,Footnote number"/>
    <w:basedOn w:val="DefaultParagraphFont"/>
    <w:link w:val="4GZchn"/>
    <w:unhideWhenUsed/>
    <w:qFormat/>
    <w:rsid w:val="007061E9"/>
    <w:rPr>
      <w:vertAlign w:val="superscript"/>
    </w:rPr>
  </w:style>
  <w:style w:type="character" w:styleId="Hyperlink">
    <w:name w:val="Hyperlink"/>
    <w:basedOn w:val="DefaultParagraphFont"/>
    <w:uiPriority w:val="99"/>
    <w:unhideWhenUsed/>
    <w:rsid w:val="00BD4A57"/>
    <w:rPr>
      <w:color w:val="0000FF"/>
      <w:u w:val="single"/>
    </w:rPr>
  </w:style>
  <w:style w:type="character" w:styleId="CommentReference">
    <w:name w:val="annotation reference"/>
    <w:basedOn w:val="DefaultParagraphFont"/>
    <w:uiPriority w:val="99"/>
    <w:semiHidden/>
    <w:unhideWhenUsed/>
    <w:rsid w:val="00DF2259"/>
    <w:rPr>
      <w:sz w:val="16"/>
      <w:szCs w:val="16"/>
    </w:rPr>
  </w:style>
  <w:style w:type="paragraph" w:styleId="CommentText">
    <w:name w:val="annotation text"/>
    <w:basedOn w:val="Normal"/>
    <w:link w:val="CommentTextChar"/>
    <w:unhideWhenUsed/>
    <w:rsid w:val="00DF2259"/>
    <w:pPr>
      <w:spacing w:line="240" w:lineRule="auto"/>
    </w:pPr>
    <w:rPr>
      <w:sz w:val="20"/>
      <w:szCs w:val="20"/>
    </w:rPr>
  </w:style>
  <w:style w:type="character" w:customStyle="1" w:styleId="CommentTextChar">
    <w:name w:val="Comment Text Char"/>
    <w:basedOn w:val="DefaultParagraphFont"/>
    <w:link w:val="CommentText"/>
    <w:rsid w:val="00DF2259"/>
    <w:rPr>
      <w:sz w:val="20"/>
      <w:szCs w:val="20"/>
    </w:rPr>
  </w:style>
  <w:style w:type="paragraph" w:styleId="CommentSubject">
    <w:name w:val="annotation subject"/>
    <w:basedOn w:val="CommentText"/>
    <w:next w:val="CommentText"/>
    <w:link w:val="CommentSubjectChar"/>
    <w:uiPriority w:val="99"/>
    <w:semiHidden/>
    <w:unhideWhenUsed/>
    <w:rsid w:val="00DF2259"/>
    <w:rPr>
      <w:b/>
      <w:bCs/>
    </w:rPr>
  </w:style>
  <w:style w:type="character" w:customStyle="1" w:styleId="CommentSubjectChar">
    <w:name w:val="Comment Subject Char"/>
    <w:basedOn w:val="CommentTextChar"/>
    <w:link w:val="CommentSubject"/>
    <w:uiPriority w:val="99"/>
    <w:semiHidden/>
    <w:rsid w:val="00DF2259"/>
    <w:rPr>
      <w:b/>
      <w:bCs/>
      <w:sz w:val="20"/>
      <w:szCs w:val="20"/>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0464A2"/>
    <w:pPr>
      <w:spacing w:line="240" w:lineRule="exact"/>
    </w:pPr>
    <w:rPr>
      <w:vertAlign w:val="superscript"/>
    </w:rPr>
  </w:style>
  <w:style w:type="character" w:styleId="Emphasis">
    <w:name w:val="Emphasis"/>
    <w:basedOn w:val="DefaultParagraphFont"/>
    <w:uiPriority w:val="20"/>
    <w:qFormat/>
    <w:rsid w:val="00722611"/>
    <w:rPr>
      <w:i/>
      <w:iCs/>
    </w:rPr>
  </w:style>
  <w:style w:type="character" w:customStyle="1" w:styleId="costarpage">
    <w:name w:val="co_starpage"/>
    <w:basedOn w:val="DefaultParagraphFont"/>
    <w:rsid w:val="00654B79"/>
  </w:style>
  <w:style w:type="paragraph" w:styleId="NormalWeb">
    <w:name w:val="Normal (Web)"/>
    <w:basedOn w:val="Normal"/>
    <w:uiPriority w:val="99"/>
    <w:semiHidden/>
    <w:unhideWhenUsed/>
    <w:rsid w:val="00030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2C9"/>
    <w:rPr>
      <w:b/>
      <w:bC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C2483A"/>
  </w:style>
  <w:style w:type="paragraph" w:customStyle="1" w:styleId="SingleTxtG">
    <w:name w:val="_ Single Txt_G"/>
    <w:basedOn w:val="Normal"/>
    <w:rsid w:val="00253B4E"/>
    <w:pPr>
      <w:suppressAutoHyphens/>
      <w:spacing w:after="120" w:line="240" w:lineRule="atLeast"/>
      <w:ind w:left="1134" w:right="1134"/>
      <w:jc w:val="both"/>
    </w:pPr>
    <w:rPr>
      <w:rFonts w:ascii="Times New Roman" w:eastAsia="PMingLiU" w:hAnsi="Times New Roman" w:cs="Times New Roman"/>
      <w:sz w:val="20"/>
      <w:szCs w:val="20"/>
      <w:lang w:val="en-GB"/>
    </w:rPr>
  </w:style>
  <w:style w:type="paragraph" w:customStyle="1" w:styleId="Default">
    <w:name w:val="Default"/>
    <w:rsid w:val="007B1C0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279AD"/>
    <w:rPr>
      <w:color w:val="605E5C"/>
      <w:shd w:val="clear" w:color="auto" w:fill="E1DFDD"/>
    </w:rPr>
  </w:style>
  <w:style w:type="character" w:styleId="FollowedHyperlink">
    <w:name w:val="FollowedHyperlink"/>
    <w:basedOn w:val="DefaultParagraphFont"/>
    <w:uiPriority w:val="99"/>
    <w:semiHidden/>
    <w:unhideWhenUsed/>
    <w:rsid w:val="00A2286C"/>
    <w:rPr>
      <w:color w:val="954F72" w:themeColor="followedHyperlink"/>
      <w:u w:val="single"/>
    </w:rPr>
  </w:style>
  <w:style w:type="character" w:customStyle="1" w:styleId="Heading2Char">
    <w:name w:val="Heading 2 Char"/>
    <w:basedOn w:val="DefaultParagraphFont"/>
    <w:link w:val="Heading2"/>
    <w:uiPriority w:val="9"/>
    <w:rsid w:val="00985F23"/>
    <w:rPr>
      <w:rFonts w:ascii="Times New Roman" w:eastAsia="Times New Roman" w:hAnsi="Times New Roman" w:cs="Times New Roman"/>
      <w:b/>
      <w:bCs/>
      <w:sz w:val="36"/>
      <w:szCs w:val="36"/>
    </w:rPr>
  </w:style>
  <w:style w:type="paragraph" w:styleId="Revision">
    <w:name w:val="Revision"/>
    <w:hidden/>
    <w:uiPriority w:val="99"/>
    <w:semiHidden/>
    <w:rsid w:val="001E4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0898">
      <w:bodyDiv w:val="1"/>
      <w:marLeft w:val="0"/>
      <w:marRight w:val="0"/>
      <w:marTop w:val="0"/>
      <w:marBottom w:val="0"/>
      <w:divBdr>
        <w:top w:val="none" w:sz="0" w:space="0" w:color="auto"/>
        <w:left w:val="none" w:sz="0" w:space="0" w:color="auto"/>
        <w:bottom w:val="none" w:sz="0" w:space="0" w:color="auto"/>
        <w:right w:val="none" w:sz="0" w:space="0" w:color="auto"/>
      </w:divBdr>
    </w:div>
    <w:div w:id="128474745">
      <w:bodyDiv w:val="1"/>
      <w:marLeft w:val="0"/>
      <w:marRight w:val="0"/>
      <w:marTop w:val="0"/>
      <w:marBottom w:val="0"/>
      <w:divBdr>
        <w:top w:val="none" w:sz="0" w:space="0" w:color="auto"/>
        <w:left w:val="none" w:sz="0" w:space="0" w:color="auto"/>
        <w:bottom w:val="none" w:sz="0" w:space="0" w:color="auto"/>
        <w:right w:val="none" w:sz="0" w:space="0" w:color="auto"/>
      </w:divBdr>
    </w:div>
    <w:div w:id="139423528">
      <w:bodyDiv w:val="1"/>
      <w:marLeft w:val="0"/>
      <w:marRight w:val="0"/>
      <w:marTop w:val="0"/>
      <w:marBottom w:val="0"/>
      <w:divBdr>
        <w:top w:val="none" w:sz="0" w:space="0" w:color="auto"/>
        <w:left w:val="none" w:sz="0" w:space="0" w:color="auto"/>
        <w:bottom w:val="none" w:sz="0" w:space="0" w:color="auto"/>
        <w:right w:val="none" w:sz="0" w:space="0" w:color="auto"/>
      </w:divBdr>
    </w:div>
    <w:div w:id="140120699">
      <w:bodyDiv w:val="1"/>
      <w:marLeft w:val="0"/>
      <w:marRight w:val="0"/>
      <w:marTop w:val="0"/>
      <w:marBottom w:val="0"/>
      <w:divBdr>
        <w:top w:val="none" w:sz="0" w:space="0" w:color="auto"/>
        <w:left w:val="none" w:sz="0" w:space="0" w:color="auto"/>
        <w:bottom w:val="none" w:sz="0" w:space="0" w:color="auto"/>
        <w:right w:val="none" w:sz="0" w:space="0" w:color="auto"/>
      </w:divBdr>
      <w:divsChild>
        <w:div w:id="1982688835">
          <w:marLeft w:val="0"/>
          <w:marRight w:val="0"/>
          <w:marTop w:val="0"/>
          <w:marBottom w:val="0"/>
          <w:divBdr>
            <w:top w:val="none" w:sz="0" w:space="0" w:color="auto"/>
            <w:left w:val="none" w:sz="0" w:space="0" w:color="auto"/>
            <w:bottom w:val="none" w:sz="0" w:space="0" w:color="auto"/>
            <w:right w:val="none" w:sz="0" w:space="0" w:color="auto"/>
          </w:divBdr>
        </w:div>
        <w:div w:id="1653018862">
          <w:marLeft w:val="0"/>
          <w:marRight w:val="0"/>
          <w:marTop w:val="240"/>
          <w:marBottom w:val="0"/>
          <w:divBdr>
            <w:top w:val="none" w:sz="0" w:space="0" w:color="auto"/>
            <w:left w:val="none" w:sz="0" w:space="0" w:color="auto"/>
            <w:bottom w:val="none" w:sz="0" w:space="0" w:color="auto"/>
            <w:right w:val="none" w:sz="0" w:space="0" w:color="auto"/>
          </w:divBdr>
          <w:divsChild>
            <w:div w:id="9882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4204">
      <w:bodyDiv w:val="1"/>
      <w:marLeft w:val="0"/>
      <w:marRight w:val="0"/>
      <w:marTop w:val="0"/>
      <w:marBottom w:val="0"/>
      <w:divBdr>
        <w:top w:val="none" w:sz="0" w:space="0" w:color="auto"/>
        <w:left w:val="none" w:sz="0" w:space="0" w:color="auto"/>
        <w:bottom w:val="none" w:sz="0" w:space="0" w:color="auto"/>
        <w:right w:val="none" w:sz="0" w:space="0" w:color="auto"/>
      </w:divBdr>
    </w:div>
    <w:div w:id="245384151">
      <w:bodyDiv w:val="1"/>
      <w:marLeft w:val="0"/>
      <w:marRight w:val="0"/>
      <w:marTop w:val="0"/>
      <w:marBottom w:val="0"/>
      <w:divBdr>
        <w:top w:val="none" w:sz="0" w:space="0" w:color="auto"/>
        <w:left w:val="none" w:sz="0" w:space="0" w:color="auto"/>
        <w:bottom w:val="none" w:sz="0" w:space="0" w:color="auto"/>
        <w:right w:val="none" w:sz="0" w:space="0" w:color="auto"/>
      </w:divBdr>
    </w:div>
    <w:div w:id="423502238">
      <w:bodyDiv w:val="1"/>
      <w:marLeft w:val="0"/>
      <w:marRight w:val="0"/>
      <w:marTop w:val="0"/>
      <w:marBottom w:val="0"/>
      <w:divBdr>
        <w:top w:val="none" w:sz="0" w:space="0" w:color="auto"/>
        <w:left w:val="none" w:sz="0" w:space="0" w:color="auto"/>
        <w:bottom w:val="none" w:sz="0" w:space="0" w:color="auto"/>
        <w:right w:val="none" w:sz="0" w:space="0" w:color="auto"/>
      </w:divBdr>
    </w:div>
    <w:div w:id="450245630">
      <w:bodyDiv w:val="1"/>
      <w:marLeft w:val="0"/>
      <w:marRight w:val="0"/>
      <w:marTop w:val="0"/>
      <w:marBottom w:val="0"/>
      <w:divBdr>
        <w:top w:val="none" w:sz="0" w:space="0" w:color="auto"/>
        <w:left w:val="none" w:sz="0" w:space="0" w:color="auto"/>
        <w:bottom w:val="none" w:sz="0" w:space="0" w:color="auto"/>
        <w:right w:val="none" w:sz="0" w:space="0" w:color="auto"/>
      </w:divBdr>
    </w:div>
    <w:div w:id="492452787">
      <w:bodyDiv w:val="1"/>
      <w:marLeft w:val="0"/>
      <w:marRight w:val="0"/>
      <w:marTop w:val="0"/>
      <w:marBottom w:val="0"/>
      <w:divBdr>
        <w:top w:val="none" w:sz="0" w:space="0" w:color="auto"/>
        <w:left w:val="none" w:sz="0" w:space="0" w:color="auto"/>
        <w:bottom w:val="none" w:sz="0" w:space="0" w:color="auto"/>
        <w:right w:val="none" w:sz="0" w:space="0" w:color="auto"/>
      </w:divBdr>
    </w:div>
    <w:div w:id="610819416">
      <w:bodyDiv w:val="1"/>
      <w:marLeft w:val="0"/>
      <w:marRight w:val="0"/>
      <w:marTop w:val="0"/>
      <w:marBottom w:val="0"/>
      <w:divBdr>
        <w:top w:val="none" w:sz="0" w:space="0" w:color="auto"/>
        <w:left w:val="none" w:sz="0" w:space="0" w:color="auto"/>
        <w:bottom w:val="none" w:sz="0" w:space="0" w:color="auto"/>
        <w:right w:val="none" w:sz="0" w:space="0" w:color="auto"/>
      </w:divBdr>
    </w:div>
    <w:div w:id="682434038">
      <w:bodyDiv w:val="1"/>
      <w:marLeft w:val="0"/>
      <w:marRight w:val="0"/>
      <w:marTop w:val="0"/>
      <w:marBottom w:val="0"/>
      <w:divBdr>
        <w:top w:val="none" w:sz="0" w:space="0" w:color="auto"/>
        <w:left w:val="none" w:sz="0" w:space="0" w:color="auto"/>
        <w:bottom w:val="none" w:sz="0" w:space="0" w:color="auto"/>
        <w:right w:val="none" w:sz="0" w:space="0" w:color="auto"/>
      </w:divBdr>
    </w:div>
    <w:div w:id="962350234">
      <w:bodyDiv w:val="1"/>
      <w:marLeft w:val="0"/>
      <w:marRight w:val="0"/>
      <w:marTop w:val="0"/>
      <w:marBottom w:val="0"/>
      <w:divBdr>
        <w:top w:val="none" w:sz="0" w:space="0" w:color="auto"/>
        <w:left w:val="none" w:sz="0" w:space="0" w:color="auto"/>
        <w:bottom w:val="none" w:sz="0" w:space="0" w:color="auto"/>
        <w:right w:val="none" w:sz="0" w:space="0" w:color="auto"/>
      </w:divBdr>
    </w:div>
    <w:div w:id="997458680">
      <w:bodyDiv w:val="1"/>
      <w:marLeft w:val="0"/>
      <w:marRight w:val="0"/>
      <w:marTop w:val="0"/>
      <w:marBottom w:val="0"/>
      <w:divBdr>
        <w:top w:val="none" w:sz="0" w:space="0" w:color="auto"/>
        <w:left w:val="none" w:sz="0" w:space="0" w:color="auto"/>
        <w:bottom w:val="none" w:sz="0" w:space="0" w:color="auto"/>
        <w:right w:val="none" w:sz="0" w:space="0" w:color="auto"/>
      </w:divBdr>
    </w:div>
    <w:div w:id="1001197206">
      <w:bodyDiv w:val="1"/>
      <w:marLeft w:val="0"/>
      <w:marRight w:val="0"/>
      <w:marTop w:val="0"/>
      <w:marBottom w:val="0"/>
      <w:divBdr>
        <w:top w:val="none" w:sz="0" w:space="0" w:color="auto"/>
        <w:left w:val="none" w:sz="0" w:space="0" w:color="auto"/>
        <w:bottom w:val="none" w:sz="0" w:space="0" w:color="auto"/>
        <w:right w:val="none" w:sz="0" w:space="0" w:color="auto"/>
      </w:divBdr>
    </w:div>
    <w:div w:id="1017776019">
      <w:bodyDiv w:val="1"/>
      <w:marLeft w:val="0"/>
      <w:marRight w:val="0"/>
      <w:marTop w:val="0"/>
      <w:marBottom w:val="0"/>
      <w:divBdr>
        <w:top w:val="none" w:sz="0" w:space="0" w:color="auto"/>
        <w:left w:val="none" w:sz="0" w:space="0" w:color="auto"/>
        <w:bottom w:val="none" w:sz="0" w:space="0" w:color="auto"/>
        <w:right w:val="none" w:sz="0" w:space="0" w:color="auto"/>
      </w:divBdr>
    </w:div>
    <w:div w:id="1034768265">
      <w:bodyDiv w:val="1"/>
      <w:marLeft w:val="0"/>
      <w:marRight w:val="0"/>
      <w:marTop w:val="0"/>
      <w:marBottom w:val="0"/>
      <w:divBdr>
        <w:top w:val="none" w:sz="0" w:space="0" w:color="auto"/>
        <w:left w:val="none" w:sz="0" w:space="0" w:color="auto"/>
        <w:bottom w:val="none" w:sz="0" w:space="0" w:color="auto"/>
        <w:right w:val="none" w:sz="0" w:space="0" w:color="auto"/>
      </w:divBdr>
    </w:div>
    <w:div w:id="1098909424">
      <w:bodyDiv w:val="1"/>
      <w:marLeft w:val="0"/>
      <w:marRight w:val="0"/>
      <w:marTop w:val="0"/>
      <w:marBottom w:val="0"/>
      <w:divBdr>
        <w:top w:val="none" w:sz="0" w:space="0" w:color="auto"/>
        <w:left w:val="none" w:sz="0" w:space="0" w:color="auto"/>
        <w:bottom w:val="none" w:sz="0" w:space="0" w:color="auto"/>
        <w:right w:val="none" w:sz="0" w:space="0" w:color="auto"/>
      </w:divBdr>
    </w:div>
    <w:div w:id="1143236970">
      <w:bodyDiv w:val="1"/>
      <w:marLeft w:val="0"/>
      <w:marRight w:val="0"/>
      <w:marTop w:val="0"/>
      <w:marBottom w:val="0"/>
      <w:divBdr>
        <w:top w:val="none" w:sz="0" w:space="0" w:color="auto"/>
        <w:left w:val="none" w:sz="0" w:space="0" w:color="auto"/>
        <w:bottom w:val="none" w:sz="0" w:space="0" w:color="auto"/>
        <w:right w:val="none" w:sz="0" w:space="0" w:color="auto"/>
      </w:divBdr>
    </w:div>
    <w:div w:id="1182358191">
      <w:bodyDiv w:val="1"/>
      <w:marLeft w:val="0"/>
      <w:marRight w:val="0"/>
      <w:marTop w:val="0"/>
      <w:marBottom w:val="0"/>
      <w:divBdr>
        <w:top w:val="none" w:sz="0" w:space="0" w:color="auto"/>
        <w:left w:val="none" w:sz="0" w:space="0" w:color="auto"/>
        <w:bottom w:val="none" w:sz="0" w:space="0" w:color="auto"/>
        <w:right w:val="none" w:sz="0" w:space="0" w:color="auto"/>
      </w:divBdr>
    </w:div>
    <w:div w:id="1195342160">
      <w:bodyDiv w:val="1"/>
      <w:marLeft w:val="0"/>
      <w:marRight w:val="0"/>
      <w:marTop w:val="0"/>
      <w:marBottom w:val="0"/>
      <w:divBdr>
        <w:top w:val="none" w:sz="0" w:space="0" w:color="auto"/>
        <w:left w:val="none" w:sz="0" w:space="0" w:color="auto"/>
        <w:bottom w:val="none" w:sz="0" w:space="0" w:color="auto"/>
        <w:right w:val="none" w:sz="0" w:space="0" w:color="auto"/>
      </w:divBdr>
    </w:div>
    <w:div w:id="1198927089">
      <w:bodyDiv w:val="1"/>
      <w:marLeft w:val="0"/>
      <w:marRight w:val="0"/>
      <w:marTop w:val="0"/>
      <w:marBottom w:val="0"/>
      <w:divBdr>
        <w:top w:val="none" w:sz="0" w:space="0" w:color="auto"/>
        <w:left w:val="none" w:sz="0" w:space="0" w:color="auto"/>
        <w:bottom w:val="none" w:sz="0" w:space="0" w:color="auto"/>
        <w:right w:val="none" w:sz="0" w:space="0" w:color="auto"/>
      </w:divBdr>
      <w:divsChild>
        <w:div w:id="138037682">
          <w:marLeft w:val="0"/>
          <w:marRight w:val="0"/>
          <w:marTop w:val="240"/>
          <w:marBottom w:val="0"/>
          <w:divBdr>
            <w:top w:val="none" w:sz="0" w:space="0" w:color="auto"/>
            <w:left w:val="none" w:sz="0" w:space="0" w:color="auto"/>
            <w:bottom w:val="none" w:sz="0" w:space="0" w:color="auto"/>
            <w:right w:val="none" w:sz="0" w:space="0" w:color="auto"/>
          </w:divBdr>
          <w:divsChild>
            <w:div w:id="1831405702">
              <w:marLeft w:val="0"/>
              <w:marRight w:val="0"/>
              <w:marTop w:val="240"/>
              <w:marBottom w:val="0"/>
              <w:divBdr>
                <w:top w:val="none" w:sz="0" w:space="0" w:color="auto"/>
                <w:left w:val="none" w:sz="0" w:space="0" w:color="auto"/>
                <w:bottom w:val="none" w:sz="0" w:space="0" w:color="auto"/>
                <w:right w:val="none" w:sz="0" w:space="0" w:color="auto"/>
              </w:divBdr>
            </w:div>
          </w:divsChild>
        </w:div>
        <w:div w:id="1362708233">
          <w:marLeft w:val="0"/>
          <w:marRight w:val="0"/>
          <w:marTop w:val="0"/>
          <w:marBottom w:val="0"/>
          <w:divBdr>
            <w:top w:val="none" w:sz="0" w:space="0" w:color="auto"/>
            <w:left w:val="none" w:sz="0" w:space="0" w:color="auto"/>
            <w:bottom w:val="none" w:sz="0" w:space="0" w:color="auto"/>
            <w:right w:val="none" w:sz="0" w:space="0" w:color="auto"/>
          </w:divBdr>
        </w:div>
      </w:divsChild>
    </w:div>
    <w:div w:id="1264261333">
      <w:bodyDiv w:val="1"/>
      <w:marLeft w:val="0"/>
      <w:marRight w:val="0"/>
      <w:marTop w:val="0"/>
      <w:marBottom w:val="0"/>
      <w:divBdr>
        <w:top w:val="none" w:sz="0" w:space="0" w:color="auto"/>
        <w:left w:val="none" w:sz="0" w:space="0" w:color="auto"/>
        <w:bottom w:val="none" w:sz="0" w:space="0" w:color="auto"/>
        <w:right w:val="none" w:sz="0" w:space="0" w:color="auto"/>
      </w:divBdr>
    </w:div>
    <w:div w:id="1451584643">
      <w:bodyDiv w:val="1"/>
      <w:marLeft w:val="0"/>
      <w:marRight w:val="0"/>
      <w:marTop w:val="0"/>
      <w:marBottom w:val="0"/>
      <w:divBdr>
        <w:top w:val="none" w:sz="0" w:space="0" w:color="auto"/>
        <w:left w:val="none" w:sz="0" w:space="0" w:color="auto"/>
        <w:bottom w:val="none" w:sz="0" w:space="0" w:color="auto"/>
        <w:right w:val="none" w:sz="0" w:space="0" w:color="auto"/>
      </w:divBdr>
    </w:div>
    <w:div w:id="1457333510">
      <w:bodyDiv w:val="1"/>
      <w:marLeft w:val="0"/>
      <w:marRight w:val="0"/>
      <w:marTop w:val="0"/>
      <w:marBottom w:val="0"/>
      <w:divBdr>
        <w:top w:val="none" w:sz="0" w:space="0" w:color="auto"/>
        <w:left w:val="none" w:sz="0" w:space="0" w:color="auto"/>
        <w:bottom w:val="none" w:sz="0" w:space="0" w:color="auto"/>
        <w:right w:val="none" w:sz="0" w:space="0" w:color="auto"/>
      </w:divBdr>
    </w:div>
    <w:div w:id="1509061438">
      <w:bodyDiv w:val="1"/>
      <w:marLeft w:val="0"/>
      <w:marRight w:val="0"/>
      <w:marTop w:val="0"/>
      <w:marBottom w:val="0"/>
      <w:divBdr>
        <w:top w:val="none" w:sz="0" w:space="0" w:color="auto"/>
        <w:left w:val="none" w:sz="0" w:space="0" w:color="auto"/>
        <w:bottom w:val="none" w:sz="0" w:space="0" w:color="auto"/>
        <w:right w:val="none" w:sz="0" w:space="0" w:color="auto"/>
      </w:divBdr>
    </w:div>
    <w:div w:id="1549412943">
      <w:bodyDiv w:val="1"/>
      <w:marLeft w:val="0"/>
      <w:marRight w:val="0"/>
      <w:marTop w:val="0"/>
      <w:marBottom w:val="0"/>
      <w:divBdr>
        <w:top w:val="none" w:sz="0" w:space="0" w:color="auto"/>
        <w:left w:val="none" w:sz="0" w:space="0" w:color="auto"/>
        <w:bottom w:val="none" w:sz="0" w:space="0" w:color="auto"/>
        <w:right w:val="none" w:sz="0" w:space="0" w:color="auto"/>
      </w:divBdr>
    </w:div>
    <w:div w:id="1575816861">
      <w:bodyDiv w:val="1"/>
      <w:marLeft w:val="0"/>
      <w:marRight w:val="0"/>
      <w:marTop w:val="0"/>
      <w:marBottom w:val="0"/>
      <w:divBdr>
        <w:top w:val="none" w:sz="0" w:space="0" w:color="auto"/>
        <w:left w:val="none" w:sz="0" w:space="0" w:color="auto"/>
        <w:bottom w:val="none" w:sz="0" w:space="0" w:color="auto"/>
        <w:right w:val="none" w:sz="0" w:space="0" w:color="auto"/>
      </w:divBdr>
    </w:div>
    <w:div w:id="1678969856">
      <w:bodyDiv w:val="1"/>
      <w:marLeft w:val="0"/>
      <w:marRight w:val="0"/>
      <w:marTop w:val="0"/>
      <w:marBottom w:val="0"/>
      <w:divBdr>
        <w:top w:val="none" w:sz="0" w:space="0" w:color="auto"/>
        <w:left w:val="none" w:sz="0" w:space="0" w:color="auto"/>
        <w:bottom w:val="none" w:sz="0" w:space="0" w:color="auto"/>
        <w:right w:val="none" w:sz="0" w:space="0" w:color="auto"/>
      </w:divBdr>
    </w:div>
    <w:div w:id="1719012517">
      <w:bodyDiv w:val="1"/>
      <w:marLeft w:val="0"/>
      <w:marRight w:val="0"/>
      <w:marTop w:val="0"/>
      <w:marBottom w:val="0"/>
      <w:divBdr>
        <w:top w:val="none" w:sz="0" w:space="0" w:color="auto"/>
        <w:left w:val="none" w:sz="0" w:space="0" w:color="auto"/>
        <w:bottom w:val="none" w:sz="0" w:space="0" w:color="auto"/>
        <w:right w:val="none" w:sz="0" w:space="0" w:color="auto"/>
      </w:divBdr>
    </w:div>
    <w:div w:id="1886598578">
      <w:bodyDiv w:val="1"/>
      <w:marLeft w:val="0"/>
      <w:marRight w:val="0"/>
      <w:marTop w:val="0"/>
      <w:marBottom w:val="0"/>
      <w:divBdr>
        <w:top w:val="none" w:sz="0" w:space="0" w:color="auto"/>
        <w:left w:val="none" w:sz="0" w:space="0" w:color="auto"/>
        <w:bottom w:val="none" w:sz="0" w:space="0" w:color="auto"/>
        <w:right w:val="none" w:sz="0" w:space="0" w:color="auto"/>
      </w:divBdr>
      <w:divsChild>
        <w:div w:id="1707024626">
          <w:marLeft w:val="0"/>
          <w:marRight w:val="0"/>
          <w:marTop w:val="0"/>
          <w:marBottom w:val="0"/>
          <w:divBdr>
            <w:top w:val="none" w:sz="0" w:space="0" w:color="auto"/>
            <w:left w:val="none" w:sz="0" w:space="0" w:color="auto"/>
            <w:bottom w:val="none" w:sz="0" w:space="0" w:color="auto"/>
            <w:right w:val="none" w:sz="0" w:space="0" w:color="auto"/>
          </w:divBdr>
        </w:div>
        <w:div w:id="107355556">
          <w:marLeft w:val="0"/>
          <w:marRight w:val="0"/>
          <w:marTop w:val="240"/>
          <w:marBottom w:val="0"/>
          <w:divBdr>
            <w:top w:val="none" w:sz="0" w:space="0" w:color="auto"/>
            <w:left w:val="none" w:sz="0" w:space="0" w:color="auto"/>
            <w:bottom w:val="none" w:sz="0" w:space="0" w:color="auto"/>
            <w:right w:val="none" w:sz="0" w:space="0" w:color="auto"/>
          </w:divBdr>
          <w:divsChild>
            <w:div w:id="2067365593">
              <w:marLeft w:val="0"/>
              <w:marRight w:val="0"/>
              <w:marTop w:val="0"/>
              <w:marBottom w:val="0"/>
              <w:divBdr>
                <w:top w:val="none" w:sz="0" w:space="0" w:color="auto"/>
                <w:left w:val="none" w:sz="0" w:space="0" w:color="auto"/>
                <w:bottom w:val="none" w:sz="0" w:space="0" w:color="auto"/>
                <w:right w:val="none" w:sz="0" w:space="0" w:color="auto"/>
              </w:divBdr>
            </w:div>
          </w:divsChild>
        </w:div>
        <w:div w:id="1268927715">
          <w:marLeft w:val="0"/>
          <w:marRight w:val="0"/>
          <w:marTop w:val="240"/>
          <w:marBottom w:val="0"/>
          <w:divBdr>
            <w:top w:val="none" w:sz="0" w:space="0" w:color="auto"/>
            <w:left w:val="none" w:sz="0" w:space="0" w:color="auto"/>
            <w:bottom w:val="none" w:sz="0" w:space="0" w:color="auto"/>
            <w:right w:val="none" w:sz="0" w:space="0" w:color="auto"/>
          </w:divBdr>
          <w:divsChild>
            <w:div w:id="1035696368">
              <w:marLeft w:val="0"/>
              <w:marRight w:val="0"/>
              <w:marTop w:val="0"/>
              <w:marBottom w:val="0"/>
              <w:divBdr>
                <w:top w:val="none" w:sz="0" w:space="0" w:color="auto"/>
                <w:left w:val="none" w:sz="0" w:space="0" w:color="auto"/>
                <w:bottom w:val="none" w:sz="0" w:space="0" w:color="auto"/>
                <w:right w:val="none" w:sz="0" w:space="0" w:color="auto"/>
              </w:divBdr>
            </w:div>
          </w:divsChild>
        </w:div>
        <w:div w:id="1906212827">
          <w:marLeft w:val="0"/>
          <w:marRight w:val="0"/>
          <w:marTop w:val="240"/>
          <w:marBottom w:val="0"/>
          <w:divBdr>
            <w:top w:val="none" w:sz="0" w:space="0" w:color="auto"/>
            <w:left w:val="none" w:sz="0" w:space="0" w:color="auto"/>
            <w:bottom w:val="none" w:sz="0" w:space="0" w:color="auto"/>
            <w:right w:val="none" w:sz="0" w:space="0" w:color="auto"/>
          </w:divBdr>
          <w:divsChild>
            <w:div w:id="1143624826">
              <w:marLeft w:val="0"/>
              <w:marRight w:val="0"/>
              <w:marTop w:val="0"/>
              <w:marBottom w:val="0"/>
              <w:divBdr>
                <w:top w:val="none" w:sz="0" w:space="0" w:color="auto"/>
                <w:left w:val="none" w:sz="0" w:space="0" w:color="auto"/>
                <w:bottom w:val="none" w:sz="0" w:space="0" w:color="auto"/>
                <w:right w:val="none" w:sz="0" w:space="0" w:color="auto"/>
              </w:divBdr>
            </w:div>
          </w:divsChild>
        </w:div>
        <w:div w:id="798885911">
          <w:marLeft w:val="0"/>
          <w:marRight w:val="0"/>
          <w:marTop w:val="240"/>
          <w:marBottom w:val="0"/>
          <w:divBdr>
            <w:top w:val="none" w:sz="0" w:space="0" w:color="auto"/>
            <w:left w:val="none" w:sz="0" w:space="0" w:color="auto"/>
            <w:bottom w:val="none" w:sz="0" w:space="0" w:color="auto"/>
            <w:right w:val="none" w:sz="0" w:space="0" w:color="auto"/>
          </w:divBdr>
          <w:divsChild>
            <w:div w:id="772945637">
              <w:marLeft w:val="0"/>
              <w:marRight w:val="0"/>
              <w:marTop w:val="0"/>
              <w:marBottom w:val="0"/>
              <w:divBdr>
                <w:top w:val="none" w:sz="0" w:space="0" w:color="auto"/>
                <w:left w:val="none" w:sz="0" w:space="0" w:color="auto"/>
                <w:bottom w:val="none" w:sz="0" w:space="0" w:color="auto"/>
                <w:right w:val="none" w:sz="0" w:space="0" w:color="auto"/>
              </w:divBdr>
            </w:div>
            <w:div w:id="477916196">
              <w:marLeft w:val="0"/>
              <w:marRight w:val="0"/>
              <w:marTop w:val="240"/>
              <w:marBottom w:val="0"/>
              <w:divBdr>
                <w:top w:val="none" w:sz="0" w:space="0" w:color="auto"/>
                <w:left w:val="none" w:sz="0" w:space="0" w:color="auto"/>
                <w:bottom w:val="none" w:sz="0" w:space="0" w:color="auto"/>
                <w:right w:val="none" w:sz="0" w:space="0" w:color="auto"/>
              </w:divBdr>
              <w:divsChild>
                <w:div w:id="506754677">
                  <w:marLeft w:val="0"/>
                  <w:marRight w:val="0"/>
                  <w:marTop w:val="0"/>
                  <w:marBottom w:val="0"/>
                  <w:divBdr>
                    <w:top w:val="none" w:sz="0" w:space="0" w:color="auto"/>
                    <w:left w:val="none" w:sz="0" w:space="0" w:color="auto"/>
                    <w:bottom w:val="none" w:sz="0" w:space="0" w:color="auto"/>
                    <w:right w:val="none" w:sz="0" w:space="0" w:color="auto"/>
                  </w:divBdr>
                  <w:divsChild>
                    <w:div w:id="109323641">
                      <w:blockQuote w:val="1"/>
                      <w:marLeft w:val="0"/>
                      <w:marRight w:val="0"/>
                      <w:marTop w:val="0"/>
                      <w:marBottom w:val="0"/>
                      <w:divBdr>
                        <w:top w:val="none" w:sz="0" w:space="0" w:color="auto"/>
                        <w:left w:val="none" w:sz="0" w:space="0" w:color="auto"/>
                        <w:bottom w:val="none" w:sz="0" w:space="0" w:color="auto"/>
                        <w:right w:val="none" w:sz="0" w:space="0" w:color="auto"/>
                      </w:divBdr>
                      <w:divsChild>
                        <w:div w:id="1676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569">
              <w:marLeft w:val="0"/>
              <w:marRight w:val="0"/>
              <w:marTop w:val="240"/>
              <w:marBottom w:val="0"/>
              <w:divBdr>
                <w:top w:val="none" w:sz="0" w:space="0" w:color="auto"/>
                <w:left w:val="none" w:sz="0" w:space="0" w:color="auto"/>
                <w:bottom w:val="none" w:sz="0" w:space="0" w:color="auto"/>
                <w:right w:val="none" w:sz="0" w:space="0" w:color="auto"/>
              </w:divBdr>
            </w:div>
          </w:divsChild>
        </w:div>
        <w:div w:id="1641154757">
          <w:marLeft w:val="0"/>
          <w:marRight w:val="0"/>
          <w:marTop w:val="240"/>
          <w:marBottom w:val="0"/>
          <w:divBdr>
            <w:top w:val="none" w:sz="0" w:space="0" w:color="auto"/>
            <w:left w:val="none" w:sz="0" w:space="0" w:color="auto"/>
            <w:bottom w:val="none" w:sz="0" w:space="0" w:color="auto"/>
            <w:right w:val="none" w:sz="0" w:space="0" w:color="auto"/>
          </w:divBdr>
          <w:divsChild>
            <w:div w:id="15462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049">
      <w:bodyDiv w:val="1"/>
      <w:marLeft w:val="0"/>
      <w:marRight w:val="0"/>
      <w:marTop w:val="0"/>
      <w:marBottom w:val="0"/>
      <w:divBdr>
        <w:top w:val="none" w:sz="0" w:space="0" w:color="auto"/>
        <w:left w:val="none" w:sz="0" w:space="0" w:color="auto"/>
        <w:bottom w:val="none" w:sz="0" w:space="0" w:color="auto"/>
        <w:right w:val="none" w:sz="0" w:space="0" w:color="auto"/>
      </w:divBdr>
    </w:div>
    <w:div w:id="2008359745">
      <w:bodyDiv w:val="1"/>
      <w:marLeft w:val="0"/>
      <w:marRight w:val="0"/>
      <w:marTop w:val="0"/>
      <w:marBottom w:val="0"/>
      <w:divBdr>
        <w:top w:val="none" w:sz="0" w:space="0" w:color="auto"/>
        <w:left w:val="none" w:sz="0" w:space="0" w:color="auto"/>
        <w:bottom w:val="none" w:sz="0" w:space="0" w:color="auto"/>
        <w:right w:val="none" w:sz="0" w:space="0" w:color="auto"/>
      </w:divBdr>
      <w:divsChild>
        <w:div w:id="1732192313">
          <w:marLeft w:val="0"/>
          <w:marRight w:val="0"/>
          <w:marTop w:val="0"/>
          <w:marBottom w:val="0"/>
          <w:divBdr>
            <w:top w:val="none" w:sz="0" w:space="0" w:color="auto"/>
            <w:left w:val="none" w:sz="0" w:space="0" w:color="auto"/>
            <w:bottom w:val="none" w:sz="0" w:space="0" w:color="auto"/>
            <w:right w:val="none" w:sz="0" w:space="0" w:color="auto"/>
          </w:divBdr>
        </w:div>
        <w:div w:id="2100440749">
          <w:marLeft w:val="0"/>
          <w:marRight w:val="0"/>
          <w:marTop w:val="240"/>
          <w:marBottom w:val="0"/>
          <w:divBdr>
            <w:top w:val="none" w:sz="0" w:space="0" w:color="auto"/>
            <w:left w:val="none" w:sz="0" w:space="0" w:color="auto"/>
            <w:bottom w:val="none" w:sz="0" w:space="0" w:color="auto"/>
            <w:right w:val="none" w:sz="0" w:space="0" w:color="auto"/>
          </w:divBdr>
          <w:divsChild>
            <w:div w:id="428552257">
              <w:marLeft w:val="0"/>
              <w:marRight w:val="0"/>
              <w:marTop w:val="0"/>
              <w:marBottom w:val="0"/>
              <w:divBdr>
                <w:top w:val="none" w:sz="0" w:space="0" w:color="auto"/>
                <w:left w:val="none" w:sz="0" w:space="0" w:color="auto"/>
                <w:bottom w:val="none" w:sz="0" w:space="0" w:color="auto"/>
                <w:right w:val="none" w:sz="0" w:space="0" w:color="auto"/>
              </w:divBdr>
            </w:div>
            <w:div w:id="1094127700">
              <w:marLeft w:val="0"/>
              <w:marRight w:val="0"/>
              <w:marTop w:val="240"/>
              <w:marBottom w:val="0"/>
              <w:divBdr>
                <w:top w:val="none" w:sz="0" w:space="0" w:color="auto"/>
                <w:left w:val="none" w:sz="0" w:space="0" w:color="auto"/>
                <w:bottom w:val="none" w:sz="0" w:space="0" w:color="auto"/>
                <w:right w:val="none" w:sz="0" w:space="0" w:color="auto"/>
              </w:divBdr>
              <w:divsChild>
                <w:div w:id="10885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2748">
          <w:marLeft w:val="0"/>
          <w:marRight w:val="0"/>
          <w:marTop w:val="240"/>
          <w:marBottom w:val="0"/>
          <w:divBdr>
            <w:top w:val="none" w:sz="0" w:space="0" w:color="auto"/>
            <w:left w:val="none" w:sz="0" w:space="0" w:color="auto"/>
            <w:bottom w:val="none" w:sz="0" w:space="0" w:color="auto"/>
            <w:right w:val="none" w:sz="0" w:space="0" w:color="auto"/>
          </w:divBdr>
          <w:divsChild>
            <w:div w:id="637108082">
              <w:marLeft w:val="0"/>
              <w:marRight w:val="0"/>
              <w:marTop w:val="0"/>
              <w:marBottom w:val="0"/>
              <w:divBdr>
                <w:top w:val="none" w:sz="0" w:space="0" w:color="auto"/>
                <w:left w:val="none" w:sz="0" w:space="0" w:color="auto"/>
                <w:bottom w:val="none" w:sz="0" w:space="0" w:color="auto"/>
                <w:right w:val="none" w:sz="0" w:space="0" w:color="auto"/>
              </w:divBdr>
            </w:div>
          </w:divsChild>
        </w:div>
        <w:div w:id="24453278">
          <w:marLeft w:val="0"/>
          <w:marRight w:val="0"/>
          <w:marTop w:val="240"/>
          <w:marBottom w:val="0"/>
          <w:divBdr>
            <w:top w:val="none" w:sz="0" w:space="0" w:color="auto"/>
            <w:left w:val="none" w:sz="0" w:space="0" w:color="auto"/>
            <w:bottom w:val="none" w:sz="0" w:space="0" w:color="auto"/>
            <w:right w:val="none" w:sz="0" w:space="0" w:color="auto"/>
          </w:divBdr>
          <w:divsChild>
            <w:div w:id="221448663">
              <w:marLeft w:val="0"/>
              <w:marRight w:val="0"/>
              <w:marTop w:val="0"/>
              <w:marBottom w:val="0"/>
              <w:divBdr>
                <w:top w:val="none" w:sz="0" w:space="0" w:color="auto"/>
                <w:left w:val="none" w:sz="0" w:space="0" w:color="auto"/>
                <w:bottom w:val="none" w:sz="0" w:space="0" w:color="auto"/>
                <w:right w:val="none" w:sz="0" w:space="0" w:color="auto"/>
              </w:divBdr>
            </w:div>
          </w:divsChild>
        </w:div>
        <w:div w:id="620772194">
          <w:marLeft w:val="0"/>
          <w:marRight w:val="0"/>
          <w:marTop w:val="240"/>
          <w:marBottom w:val="0"/>
          <w:divBdr>
            <w:top w:val="none" w:sz="0" w:space="0" w:color="auto"/>
            <w:left w:val="none" w:sz="0" w:space="0" w:color="auto"/>
            <w:bottom w:val="none" w:sz="0" w:space="0" w:color="auto"/>
            <w:right w:val="none" w:sz="0" w:space="0" w:color="auto"/>
          </w:divBdr>
          <w:divsChild>
            <w:div w:id="1384981294">
              <w:marLeft w:val="0"/>
              <w:marRight w:val="0"/>
              <w:marTop w:val="0"/>
              <w:marBottom w:val="0"/>
              <w:divBdr>
                <w:top w:val="none" w:sz="0" w:space="0" w:color="auto"/>
                <w:left w:val="none" w:sz="0" w:space="0" w:color="auto"/>
                <w:bottom w:val="none" w:sz="0" w:space="0" w:color="auto"/>
                <w:right w:val="none" w:sz="0" w:space="0" w:color="auto"/>
              </w:divBdr>
            </w:div>
          </w:divsChild>
        </w:div>
        <w:div w:id="1471284028">
          <w:marLeft w:val="0"/>
          <w:marRight w:val="0"/>
          <w:marTop w:val="240"/>
          <w:marBottom w:val="0"/>
          <w:divBdr>
            <w:top w:val="none" w:sz="0" w:space="0" w:color="auto"/>
            <w:left w:val="none" w:sz="0" w:space="0" w:color="auto"/>
            <w:bottom w:val="none" w:sz="0" w:space="0" w:color="auto"/>
            <w:right w:val="none" w:sz="0" w:space="0" w:color="auto"/>
          </w:divBdr>
          <w:divsChild>
            <w:div w:id="1101726469">
              <w:marLeft w:val="0"/>
              <w:marRight w:val="0"/>
              <w:marTop w:val="0"/>
              <w:marBottom w:val="0"/>
              <w:divBdr>
                <w:top w:val="none" w:sz="0" w:space="0" w:color="auto"/>
                <w:left w:val="none" w:sz="0" w:space="0" w:color="auto"/>
                <w:bottom w:val="none" w:sz="0" w:space="0" w:color="auto"/>
                <w:right w:val="none" w:sz="0" w:space="0" w:color="auto"/>
              </w:divBdr>
            </w:div>
          </w:divsChild>
        </w:div>
        <w:div w:id="1790738381">
          <w:marLeft w:val="0"/>
          <w:marRight w:val="0"/>
          <w:marTop w:val="240"/>
          <w:marBottom w:val="0"/>
          <w:divBdr>
            <w:top w:val="none" w:sz="0" w:space="0" w:color="auto"/>
            <w:left w:val="none" w:sz="0" w:space="0" w:color="auto"/>
            <w:bottom w:val="none" w:sz="0" w:space="0" w:color="auto"/>
            <w:right w:val="none" w:sz="0" w:space="0" w:color="auto"/>
          </w:divBdr>
          <w:divsChild>
            <w:div w:id="4445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3962">
      <w:bodyDiv w:val="1"/>
      <w:marLeft w:val="0"/>
      <w:marRight w:val="0"/>
      <w:marTop w:val="0"/>
      <w:marBottom w:val="0"/>
      <w:divBdr>
        <w:top w:val="none" w:sz="0" w:space="0" w:color="auto"/>
        <w:left w:val="none" w:sz="0" w:space="0" w:color="auto"/>
        <w:bottom w:val="none" w:sz="0" w:space="0" w:color="auto"/>
        <w:right w:val="none" w:sz="0" w:space="0" w:color="auto"/>
      </w:divBdr>
    </w:div>
    <w:div w:id="2035382611">
      <w:bodyDiv w:val="1"/>
      <w:marLeft w:val="0"/>
      <w:marRight w:val="0"/>
      <w:marTop w:val="0"/>
      <w:marBottom w:val="0"/>
      <w:divBdr>
        <w:top w:val="none" w:sz="0" w:space="0" w:color="auto"/>
        <w:left w:val="none" w:sz="0" w:space="0" w:color="auto"/>
        <w:bottom w:val="none" w:sz="0" w:space="0" w:color="auto"/>
        <w:right w:val="none" w:sz="0" w:space="0" w:color="auto"/>
      </w:divBdr>
      <w:divsChild>
        <w:div w:id="361131155">
          <w:marLeft w:val="0"/>
          <w:marRight w:val="0"/>
          <w:marTop w:val="0"/>
          <w:marBottom w:val="0"/>
          <w:divBdr>
            <w:top w:val="none" w:sz="0" w:space="0" w:color="auto"/>
            <w:left w:val="none" w:sz="0" w:space="0" w:color="auto"/>
            <w:bottom w:val="none" w:sz="0" w:space="0" w:color="auto"/>
            <w:right w:val="none" w:sz="0" w:space="0" w:color="auto"/>
          </w:divBdr>
        </w:div>
        <w:div w:id="1258172105">
          <w:marLeft w:val="0"/>
          <w:marRight w:val="0"/>
          <w:marTop w:val="240"/>
          <w:marBottom w:val="0"/>
          <w:divBdr>
            <w:top w:val="none" w:sz="0" w:space="0" w:color="auto"/>
            <w:left w:val="none" w:sz="0" w:space="0" w:color="auto"/>
            <w:bottom w:val="none" w:sz="0" w:space="0" w:color="auto"/>
            <w:right w:val="none" w:sz="0" w:space="0" w:color="auto"/>
          </w:divBdr>
          <w:divsChild>
            <w:div w:id="1721244298">
              <w:marLeft w:val="0"/>
              <w:marRight w:val="0"/>
              <w:marTop w:val="0"/>
              <w:marBottom w:val="0"/>
              <w:divBdr>
                <w:top w:val="none" w:sz="0" w:space="0" w:color="auto"/>
                <w:left w:val="none" w:sz="0" w:space="0" w:color="auto"/>
                <w:bottom w:val="none" w:sz="0" w:space="0" w:color="auto"/>
                <w:right w:val="none" w:sz="0" w:space="0" w:color="auto"/>
              </w:divBdr>
            </w:div>
            <w:div w:id="335305418">
              <w:marLeft w:val="0"/>
              <w:marRight w:val="0"/>
              <w:marTop w:val="240"/>
              <w:marBottom w:val="0"/>
              <w:divBdr>
                <w:top w:val="none" w:sz="0" w:space="0" w:color="auto"/>
                <w:left w:val="none" w:sz="0" w:space="0" w:color="auto"/>
                <w:bottom w:val="none" w:sz="0" w:space="0" w:color="auto"/>
                <w:right w:val="none" w:sz="0" w:space="0" w:color="auto"/>
              </w:divBdr>
              <w:divsChild>
                <w:div w:id="1064911737">
                  <w:marLeft w:val="0"/>
                  <w:marRight w:val="0"/>
                  <w:marTop w:val="0"/>
                  <w:marBottom w:val="0"/>
                  <w:divBdr>
                    <w:top w:val="none" w:sz="0" w:space="0" w:color="auto"/>
                    <w:left w:val="none" w:sz="0" w:space="0" w:color="auto"/>
                    <w:bottom w:val="none" w:sz="0" w:space="0" w:color="auto"/>
                    <w:right w:val="none" w:sz="0" w:space="0" w:color="auto"/>
                  </w:divBdr>
                </w:div>
              </w:divsChild>
            </w:div>
            <w:div w:id="238752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0664370">
      <w:bodyDiv w:val="1"/>
      <w:marLeft w:val="0"/>
      <w:marRight w:val="0"/>
      <w:marTop w:val="0"/>
      <w:marBottom w:val="0"/>
      <w:divBdr>
        <w:top w:val="none" w:sz="0" w:space="0" w:color="auto"/>
        <w:left w:val="none" w:sz="0" w:space="0" w:color="auto"/>
        <w:bottom w:val="none" w:sz="0" w:space="0" w:color="auto"/>
        <w:right w:val="none" w:sz="0" w:space="0" w:color="auto"/>
      </w:divBdr>
      <w:divsChild>
        <w:div w:id="381101751">
          <w:marLeft w:val="0"/>
          <w:marRight w:val="0"/>
          <w:marTop w:val="0"/>
          <w:marBottom w:val="0"/>
          <w:divBdr>
            <w:top w:val="none" w:sz="0" w:space="0" w:color="auto"/>
            <w:left w:val="none" w:sz="0" w:space="0" w:color="auto"/>
            <w:bottom w:val="none" w:sz="0" w:space="0" w:color="auto"/>
            <w:right w:val="none" w:sz="0" w:space="0" w:color="auto"/>
          </w:divBdr>
        </w:div>
        <w:div w:id="399182689">
          <w:marLeft w:val="0"/>
          <w:marRight w:val="0"/>
          <w:marTop w:val="240"/>
          <w:marBottom w:val="0"/>
          <w:divBdr>
            <w:top w:val="none" w:sz="0" w:space="0" w:color="auto"/>
            <w:left w:val="none" w:sz="0" w:space="0" w:color="auto"/>
            <w:bottom w:val="none" w:sz="0" w:space="0" w:color="auto"/>
            <w:right w:val="none" w:sz="0" w:space="0" w:color="auto"/>
          </w:divBdr>
          <w:divsChild>
            <w:div w:id="1495143723">
              <w:marLeft w:val="0"/>
              <w:marRight w:val="0"/>
              <w:marTop w:val="0"/>
              <w:marBottom w:val="0"/>
              <w:divBdr>
                <w:top w:val="none" w:sz="0" w:space="0" w:color="auto"/>
                <w:left w:val="none" w:sz="0" w:space="0" w:color="auto"/>
                <w:bottom w:val="none" w:sz="0" w:space="0" w:color="auto"/>
                <w:right w:val="none" w:sz="0" w:space="0" w:color="auto"/>
              </w:divBdr>
            </w:div>
          </w:divsChild>
        </w:div>
        <w:div w:id="997148654">
          <w:marLeft w:val="0"/>
          <w:marRight w:val="0"/>
          <w:marTop w:val="240"/>
          <w:marBottom w:val="0"/>
          <w:divBdr>
            <w:top w:val="none" w:sz="0" w:space="0" w:color="auto"/>
            <w:left w:val="none" w:sz="0" w:space="0" w:color="auto"/>
            <w:bottom w:val="none" w:sz="0" w:space="0" w:color="auto"/>
            <w:right w:val="none" w:sz="0" w:space="0" w:color="auto"/>
          </w:divBdr>
          <w:divsChild>
            <w:div w:id="458039106">
              <w:marLeft w:val="0"/>
              <w:marRight w:val="0"/>
              <w:marTop w:val="0"/>
              <w:marBottom w:val="0"/>
              <w:divBdr>
                <w:top w:val="none" w:sz="0" w:space="0" w:color="auto"/>
                <w:left w:val="none" w:sz="0" w:space="0" w:color="auto"/>
                <w:bottom w:val="none" w:sz="0" w:space="0" w:color="auto"/>
                <w:right w:val="none" w:sz="0" w:space="0" w:color="auto"/>
              </w:divBdr>
            </w:div>
          </w:divsChild>
        </w:div>
        <w:div w:id="1741170552">
          <w:marLeft w:val="0"/>
          <w:marRight w:val="0"/>
          <w:marTop w:val="240"/>
          <w:marBottom w:val="0"/>
          <w:divBdr>
            <w:top w:val="none" w:sz="0" w:space="0" w:color="auto"/>
            <w:left w:val="none" w:sz="0" w:space="0" w:color="auto"/>
            <w:bottom w:val="none" w:sz="0" w:space="0" w:color="auto"/>
            <w:right w:val="none" w:sz="0" w:space="0" w:color="auto"/>
          </w:divBdr>
          <w:divsChild>
            <w:div w:id="343410261">
              <w:marLeft w:val="0"/>
              <w:marRight w:val="0"/>
              <w:marTop w:val="0"/>
              <w:marBottom w:val="0"/>
              <w:divBdr>
                <w:top w:val="none" w:sz="0" w:space="0" w:color="auto"/>
                <w:left w:val="none" w:sz="0" w:space="0" w:color="auto"/>
                <w:bottom w:val="none" w:sz="0" w:space="0" w:color="auto"/>
                <w:right w:val="none" w:sz="0" w:space="0" w:color="auto"/>
              </w:divBdr>
            </w:div>
          </w:divsChild>
        </w:div>
        <w:div w:id="1923836915">
          <w:marLeft w:val="0"/>
          <w:marRight w:val="0"/>
          <w:marTop w:val="240"/>
          <w:marBottom w:val="0"/>
          <w:divBdr>
            <w:top w:val="none" w:sz="0" w:space="0" w:color="auto"/>
            <w:left w:val="none" w:sz="0" w:space="0" w:color="auto"/>
            <w:bottom w:val="none" w:sz="0" w:space="0" w:color="auto"/>
            <w:right w:val="none" w:sz="0" w:space="0" w:color="auto"/>
          </w:divBdr>
          <w:divsChild>
            <w:div w:id="9473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2009-2017.state.gov/s/l/2014/index.htm" TargetMode="External"/><Relationship Id="rId3" Type="http://schemas.openxmlformats.org/officeDocument/2006/relationships/hyperlink" Target="https://2009-2017.state.gov/s/l/c24878.htm" TargetMode="External"/><Relationship Id="rId7" Type="http://schemas.openxmlformats.org/officeDocument/2006/relationships/hyperlink" Target="https://www2.ohchr.org/english/bodies/hrc/docs/gc34.pdf" TargetMode="External"/><Relationship Id="rId2" Type="http://schemas.openxmlformats.org/officeDocument/2006/relationships/hyperlink" Target="https://treaties.un.org/Pages/ViewDetails.aspx?src=TREATY&amp;mtdsg_no=IV-4&amp;chapter=4&amp;clang=_en" TargetMode="External"/><Relationship Id="rId1" Type="http://schemas.openxmlformats.org/officeDocument/2006/relationships/hyperlink" Target="https://www.ohchr.org/EN/HRBodies/CCPR/Pages/GCArticle21.aspx" TargetMode="External"/><Relationship Id="rId6" Type="http://schemas.openxmlformats.org/officeDocument/2006/relationships/hyperlink" Target="https://2009-2017.state.gov/j/drl/rls/179781.htm" TargetMode="External"/><Relationship Id="rId5" Type="http://schemas.openxmlformats.org/officeDocument/2006/relationships/hyperlink" Target="https://2009-2017.state.gov/s/l/2011/index.htm" TargetMode="External"/><Relationship Id="rId4" Type="http://schemas.openxmlformats.org/officeDocument/2006/relationships/hyperlink" Target="https://www.state.gov/documents/organization/1393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2" ma:contentTypeDescription="Create a new document." ma:contentTypeScope="" ma:versionID="3744176d986c17f39a68ff91a3c9b5c6">
  <xsd:schema xmlns:xsd="http://www.w3.org/2001/XMLSchema" xmlns:xs="http://www.w3.org/2001/XMLSchema" xmlns:p="http://schemas.microsoft.com/office/2006/metadata/properties" xmlns:ns3="f9ed9578-d32b-44f4-833c-23a98eae8c72" targetNamespace="http://schemas.microsoft.com/office/2006/metadata/properties" ma:root="true" ma:fieldsID="2bcb7b75006be96ccaeb351b17368660" ns3:_="">
    <xsd:import namespace="f9ed9578-d32b-44f4-833c-23a98eae8c7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7A57-285B-44EA-B426-5A27C365A04D}"/>
</file>

<file path=customXml/itemProps2.xml><?xml version="1.0" encoding="utf-8"?>
<ds:datastoreItem xmlns:ds="http://schemas.openxmlformats.org/officeDocument/2006/customXml" ds:itemID="{8AB79F66-49D0-4273-94D0-5DDB97BC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9D0FB-FEF5-48B0-8B3A-25CD8A09525A}">
  <ds:schemaRefs>
    <ds:schemaRef ds:uri="http://schemas.microsoft.com/sharepoint/v3/contenttype/forms"/>
  </ds:schemaRefs>
</ds:datastoreItem>
</file>

<file path=customXml/itemProps4.xml><?xml version="1.0" encoding="utf-8"?>
<ds:datastoreItem xmlns:ds="http://schemas.openxmlformats.org/officeDocument/2006/customXml" ds:itemID="{C02D7336-8247-4BE8-80B7-ABFFA54F99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97EF96-B563-4367-86EB-A6F3FDDA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5328</Words>
  <Characters>30371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Childress, Rebecca L</dc:creator>
  <cp:keywords/>
  <dc:description/>
  <cp:lastModifiedBy>Riblett, Phillip J (Geneva)</cp:lastModifiedBy>
  <cp:revision>4</cp:revision>
  <cp:lastPrinted>2020-02-13T19:13:00Z</cp:lastPrinted>
  <dcterms:created xsi:type="dcterms:W3CDTF">2020-02-14T09:52:00Z</dcterms:created>
  <dcterms:modified xsi:type="dcterms:W3CDTF">2020-02-14T14:11:00Z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ChildressRL@state.gov</vt:lpwstr>
  </property>
  <property fmtid="{D5CDD505-2E9C-101B-9397-08002B2CF9AE}" pid="5" name="MSIP_Label_1665d9ee-429a-4d5f-97cc-cfb56e044a6e_SetDate">
    <vt:lpwstr>2019-09-13T15:15:28.3407867Z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65fee6e6-f1ed-4352-9a1e-5dad97bd58a4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0x0101008822B9E06671B54FA89F14538B9B0FEA</vt:lpwstr>
  </property>
</Properties>
</file>