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05" w:rsidRPr="000E05A9" w:rsidRDefault="001E2DF1">
      <w:pPr>
        <w:shd w:val="clear" w:color="auto" w:fill="FFFFFF"/>
        <w:jc w:val="center"/>
        <w:rPr>
          <w:rFonts w:ascii="Cambria" w:eastAsia="Cambria" w:hAnsi="Cambria" w:cs="Cambria"/>
          <w:b/>
          <w:color w:val="222222"/>
          <w:sz w:val="28"/>
          <w:szCs w:val="28"/>
          <w:lang w:val="es-419"/>
        </w:rPr>
      </w:pPr>
      <w:r w:rsidRPr="000E05A9">
        <w:rPr>
          <w:rFonts w:ascii="Cambria" w:eastAsia="Cambria" w:hAnsi="Cambria" w:cs="Cambria"/>
          <w:b/>
          <w:color w:val="222222"/>
          <w:sz w:val="28"/>
          <w:szCs w:val="28"/>
          <w:lang w:val="es-419"/>
        </w:rPr>
        <w:t xml:space="preserve"> Aporte conjunto</w:t>
      </w:r>
    </w:p>
    <w:p w:rsidR="00780C05" w:rsidRPr="000E05A9" w:rsidRDefault="00780C05">
      <w:pPr>
        <w:shd w:val="clear" w:color="auto" w:fill="FFFFFF"/>
        <w:jc w:val="center"/>
        <w:rPr>
          <w:rFonts w:ascii="Cambria" w:eastAsia="Cambria" w:hAnsi="Cambria" w:cs="Cambria"/>
          <w:b/>
          <w:color w:val="222222"/>
          <w:sz w:val="24"/>
          <w:szCs w:val="24"/>
          <w:lang w:val="es-419"/>
        </w:rPr>
      </w:pPr>
    </w:p>
    <w:p w:rsidR="00780C05" w:rsidRPr="000E05A9" w:rsidRDefault="001E2DF1">
      <w:pPr>
        <w:shd w:val="clear" w:color="auto" w:fill="FFFFFF"/>
        <w:jc w:val="center"/>
        <w:rPr>
          <w:rFonts w:ascii="Cambria" w:eastAsia="Cambria" w:hAnsi="Cambria" w:cs="Cambria"/>
          <w:b/>
          <w:color w:val="222222"/>
          <w:sz w:val="24"/>
          <w:szCs w:val="24"/>
          <w:lang w:val="es-419"/>
        </w:rPr>
      </w:pPr>
      <w:r w:rsidRPr="000E05A9">
        <w:rPr>
          <w:rFonts w:ascii="Cambria" w:eastAsia="Cambria" w:hAnsi="Cambria" w:cs="Cambria"/>
          <w:b/>
          <w:color w:val="222222"/>
          <w:sz w:val="24"/>
          <w:szCs w:val="24"/>
          <w:lang w:val="es-419"/>
        </w:rPr>
        <w:t>Observación General 37 del Comité de Derechos Humanos de Naciones Unidas sobre el Derecho de Reunión (art. 21 del PIDCP)</w:t>
      </w:r>
    </w:p>
    <w:p w:rsidR="00780C05" w:rsidRPr="000E05A9" w:rsidRDefault="00780C05">
      <w:pPr>
        <w:shd w:val="clear" w:color="auto" w:fill="FFFFFF"/>
        <w:jc w:val="center"/>
        <w:rPr>
          <w:rFonts w:ascii="Cambria" w:eastAsia="Cambria" w:hAnsi="Cambria" w:cs="Cambria"/>
          <w:b/>
          <w:color w:val="222222"/>
          <w:sz w:val="24"/>
          <w:szCs w:val="24"/>
          <w:lang w:val="es-419"/>
        </w:rPr>
      </w:pPr>
    </w:p>
    <w:p w:rsidR="00780C05" w:rsidRPr="006C1C41" w:rsidRDefault="001E2DF1">
      <w:pPr>
        <w:shd w:val="clear" w:color="auto" w:fill="FFFFFF"/>
        <w:jc w:val="right"/>
        <w:rPr>
          <w:rFonts w:ascii="Cambria" w:eastAsia="Cambria" w:hAnsi="Cambria" w:cs="Cambria"/>
          <w:b/>
          <w:color w:val="222222"/>
          <w:sz w:val="24"/>
          <w:szCs w:val="24"/>
          <w:lang w:val="es-419"/>
        </w:rPr>
      </w:pPr>
      <w:r w:rsidRPr="006C1C41">
        <w:rPr>
          <w:rFonts w:ascii="Cambria" w:eastAsia="Cambria" w:hAnsi="Cambria" w:cs="Cambria"/>
          <w:b/>
          <w:color w:val="222222"/>
          <w:sz w:val="24"/>
          <w:szCs w:val="24"/>
          <w:lang w:val="es-419"/>
        </w:rPr>
        <w:t>Febrero de 2020</w:t>
      </w:r>
    </w:p>
    <w:p w:rsidR="00780C05" w:rsidRPr="006C1C41" w:rsidRDefault="00780C05">
      <w:pPr>
        <w:rPr>
          <w:rFonts w:ascii="Cambria" w:eastAsia="Cambria" w:hAnsi="Cambria" w:cs="Cambria"/>
          <w:sz w:val="24"/>
          <w:szCs w:val="24"/>
          <w:lang w:val="es-419"/>
        </w:rPr>
      </w:pPr>
    </w:p>
    <w:p w:rsidR="00780C05" w:rsidRPr="006C1C41" w:rsidRDefault="00780C05">
      <w:pPr>
        <w:rPr>
          <w:rFonts w:ascii="Cambria" w:eastAsia="Cambria" w:hAnsi="Cambria" w:cs="Cambria"/>
          <w:sz w:val="24"/>
          <w:szCs w:val="24"/>
          <w:lang w:val="es-419"/>
        </w:rPr>
      </w:pPr>
    </w:p>
    <w:p w:rsidR="00780C05" w:rsidRPr="006C1C41" w:rsidRDefault="001E2DF1">
      <w:pPr>
        <w:jc w:val="both"/>
        <w:rPr>
          <w:rFonts w:ascii="Cambria" w:eastAsia="Cambria" w:hAnsi="Cambria" w:cs="Cambria"/>
          <w:sz w:val="24"/>
          <w:szCs w:val="24"/>
          <w:lang w:val="es-419"/>
        </w:rPr>
      </w:pPr>
      <w:r w:rsidRPr="006C1C41">
        <w:rPr>
          <w:rFonts w:ascii="Cambria" w:eastAsia="Cambria" w:hAnsi="Cambria" w:cs="Cambria"/>
          <w:sz w:val="24"/>
          <w:szCs w:val="24"/>
          <w:lang w:val="es-419"/>
        </w:rPr>
        <w:t>Estimadas/os expertas/os del Comité:</w:t>
      </w:r>
    </w:p>
    <w:p w:rsidR="00780C05" w:rsidRPr="000E05A9" w:rsidRDefault="001E2DF1">
      <w:pP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Nos dirigimos a Uds. en representación de un grupo de organizaciones latinoamericanas de derechos humanos en relación a la consulta abierta por el Comité respecto del último borrador de la Observación General Nº 37 sobre el derecho de reunión (en adelante: “el borrador”) del Pacto Internacional de derechos civiles y políticos (en adelante, “el Pacto”).</w:t>
      </w:r>
    </w:p>
    <w:p w:rsidR="00780C05" w:rsidRPr="000E05A9" w:rsidRDefault="001E2DF1">
      <w:pPr>
        <w:spacing w:before="240"/>
        <w:jc w:val="both"/>
        <w:rPr>
          <w:rFonts w:ascii="Cambria" w:eastAsia="Cambria" w:hAnsi="Cambria" w:cs="Cambria"/>
          <w:sz w:val="24"/>
          <w:szCs w:val="24"/>
          <w:lang w:val="es-419"/>
        </w:rPr>
      </w:pPr>
      <w:r w:rsidRPr="00351ED3">
        <w:rPr>
          <w:rFonts w:ascii="Cambria" w:eastAsia="Cambria" w:hAnsi="Cambria" w:cs="Cambria"/>
          <w:sz w:val="24"/>
          <w:szCs w:val="24"/>
          <w:lang w:val="es-419"/>
        </w:rPr>
        <w:t xml:space="preserve">Esta presentación </w:t>
      </w:r>
      <w:r w:rsidR="000E05A9" w:rsidRPr="00351ED3">
        <w:rPr>
          <w:rFonts w:ascii="Cambria" w:eastAsia="Cambria" w:hAnsi="Cambria" w:cs="Cambria"/>
          <w:sz w:val="24"/>
          <w:szCs w:val="24"/>
          <w:lang w:val="es-419"/>
        </w:rPr>
        <w:t xml:space="preserve">surge a partir del intercambio que tuvo lugar en la consulta regional organizada por Artículo 19 entre los días 4 y 5 de diciembre de 2019, en la ciudad de México DF, con la presencia de miembros del Comité. Se </w:t>
      </w:r>
      <w:r w:rsidRPr="00351ED3">
        <w:rPr>
          <w:rFonts w:ascii="Cambria" w:eastAsia="Cambria" w:hAnsi="Cambria" w:cs="Cambria"/>
          <w:sz w:val="24"/>
          <w:szCs w:val="24"/>
          <w:lang w:val="es-419"/>
        </w:rPr>
        <w:t xml:space="preserve">procura poner a su disposición consideraciones sobre el borrador </w:t>
      </w:r>
      <w:r w:rsidR="000E05A9" w:rsidRPr="00351ED3">
        <w:rPr>
          <w:rFonts w:ascii="Cambria" w:eastAsia="Cambria" w:hAnsi="Cambria" w:cs="Cambria"/>
          <w:sz w:val="24"/>
          <w:szCs w:val="24"/>
          <w:lang w:val="es-419"/>
        </w:rPr>
        <w:t>y los contenidos concretos del derecho de reunión,</w:t>
      </w:r>
      <w:r w:rsidRPr="00351ED3">
        <w:rPr>
          <w:rFonts w:ascii="Cambria" w:eastAsia="Cambria" w:hAnsi="Cambria" w:cs="Cambria"/>
          <w:sz w:val="24"/>
          <w:szCs w:val="24"/>
          <w:lang w:val="es-419"/>
        </w:rPr>
        <w:t xml:space="preserve"> a partir de la experiencia de nuestras organizaci</w:t>
      </w:r>
      <w:r w:rsidR="000E05A9" w:rsidRPr="00351ED3">
        <w:rPr>
          <w:rFonts w:ascii="Cambria" w:eastAsia="Cambria" w:hAnsi="Cambria" w:cs="Cambria"/>
          <w:sz w:val="24"/>
          <w:szCs w:val="24"/>
          <w:lang w:val="es-419"/>
        </w:rPr>
        <w:t xml:space="preserve">ones en el terreno, </w:t>
      </w:r>
      <w:r w:rsidRPr="00351ED3">
        <w:rPr>
          <w:rFonts w:ascii="Cambria" w:eastAsia="Cambria" w:hAnsi="Cambria" w:cs="Cambria"/>
          <w:sz w:val="24"/>
          <w:szCs w:val="24"/>
          <w:lang w:val="es-419"/>
        </w:rPr>
        <w:t>así como los desarrollos en materia de estándares y recomendaciones prácticas ocurridos en los últimos años a nivel regional e internacional.</w:t>
      </w:r>
      <w:r w:rsidRPr="000E05A9">
        <w:rPr>
          <w:rFonts w:ascii="Cambria" w:eastAsia="Cambria" w:hAnsi="Cambria" w:cs="Cambria"/>
          <w:sz w:val="24"/>
          <w:szCs w:val="24"/>
          <w:lang w:val="es-419"/>
        </w:rPr>
        <w:t xml:space="preserve"> </w:t>
      </w:r>
    </w:p>
    <w:p w:rsidR="00780C05" w:rsidRPr="000E05A9" w:rsidRDefault="00663920">
      <w:pP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El</w:t>
      </w:r>
      <w:r w:rsidR="001E2DF1" w:rsidRPr="000E05A9">
        <w:rPr>
          <w:rFonts w:ascii="Cambria" w:eastAsia="Cambria" w:hAnsi="Cambria" w:cs="Cambria"/>
          <w:sz w:val="24"/>
          <w:szCs w:val="24"/>
          <w:lang w:val="es-419"/>
        </w:rPr>
        <w:t xml:space="preserve"> documento se centra en los siguientes temas: 1) consideraciones generales y lenguaje del informe; 2) la noción de “protestas violentas”; 3) autorización y avi</w:t>
      </w:r>
      <w:r w:rsidR="000E05A9">
        <w:rPr>
          <w:rFonts w:ascii="Cambria" w:eastAsia="Cambria" w:hAnsi="Cambria" w:cs="Cambria"/>
          <w:sz w:val="24"/>
          <w:szCs w:val="24"/>
          <w:lang w:val="es-419"/>
        </w:rPr>
        <w:t>so previo; 4)</w:t>
      </w:r>
      <w:r w:rsidR="001E2DF1" w:rsidRPr="000E05A9">
        <w:rPr>
          <w:rFonts w:ascii="Cambria" w:eastAsia="Cambria" w:hAnsi="Cambria" w:cs="Cambria"/>
          <w:sz w:val="24"/>
          <w:szCs w:val="24"/>
          <w:lang w:val="es-419"/>
        </w:rPr>
        <w:t xml:space="preserve"> restricciones ilegítimas al derecho de reunión pacífica; 5) </w:t>
      </w:r>
      <w:r w:rsidR="000E05A9">
        <w:rPr>
          <w:rFonts w:ascii="Cambria" w:eastAsia="Cambria" w:hAnsi="Cambria" w:cs="Cambria"/>
          <w:sz w:val="24"/>
          <w:szCs w:val="24"/>
          <w:lang w:val="es-419"/>
        </w:rPr>
        <w:t xml:space="preserve">otras </w:t>
      </w:r>
      <w:r w:rsidR="001E2DF1" w:rsidRPr="000E05A9">
        <w:rPr>
          <w:rFonts w:ascii="Cambria" w:eastAsia="Cambria" w:hAnsi="Cambria" w:cs="Cambria"/>
          <w:sz w:val="24"/>
          <w:szCs w:val="24"/>
          <w:lang w:val="es-419"/>
        </w:rPr>
        <w:t>obligaciones de los Estados partes en relación al derecho de reunión pacífica; 6) rendición de cuentas. En el anexo se sugieren redacciones alternativas a la actual para una variedad de párrafos, a fin de recoger las observaciones planteadas en el cuerpo principal del presente informe.</w:t>
      </w:r>
    </w:p>
    <w:p w:rsidR="0014049D" w:rsidRPr="000E05A9" w:rsidRDefault="001E2DF1" w:rsidP="00050F35">
      <w:pPr>
        <w:spacing w:before="240"/>
        <w:jc w:val="both"/>
        <w:rPr>
          <w:rFonts w:ascii="Cambria" w:hAnsi="Cambria"/>
          <w:color w:val="000000"/>
          <w:sz w:val="24"/>
          <w:szCs w:val="24"/>
          <w:shd w:val="clear" w:color="auto" w:fill="FFFFFF"/>
          <w:lang w:val="es-419"/>
        </w:rPr>
      </w:pPr>
      <w:r w:rsidRPr="000E05A9">
        <w:rPr>
          <w:rFonts w:ascii="Cambria" w:eastAsia="Cambria" w:hAnsi="Cambria" w:cs="Cambria"/>
          <w:sz w:val="24"/>
          <w:szCs w:val="24"/>
          <w:lang w:val="es-419"/>
        </w:rPr>
        <w:t xml:space="preserve">Quedamos a vuestra disposición para ampliar o aclarar lo que puedan estimar necesario. </w:t>
      </w:r>
    </w:p>
    <w:p w:rsidR="0014049D" w:rsidRPr="000E05A9" w:rsidRDefault="00EE20BE" w:rsidP="00050F35">
      <w:pPr>
        <w:spacing w:before="240"/>
        <w:jc w:val="both"/>
        <w:rPr>
          <w:rFonts w:ascii="Cambria" w:hAnsi="Cambria"/>
          <w:color w:val="000000"/>
          <w:sz w:val="24"/>
          <w:szCs w:val="24"/>
          <w:shd w:val="clear" w:color="auto" w:fill="FFFFFF"/>
          <w:lang w:val="es-419"/>
        </w:rPr>
      </w:pPr>
      <w:r w:rsidRPr="000E05A9">
        <w:rPr>
          <w:rFonts w:ascii="Cambria" w:hAnsi="Cambria"/>
          <w:color w:val="000000"/>
          <w:sz w:val="24"/>
          <w:szCs w:val="24"/>
          <w:shd w:val="clear" w:color="auto" w:fill="FFFFFF"/>
          <w:lang w:val="es-419"/>
        </w:rPr>
        <w:t>Alianza Regional por la Libre Expresión e Información</w:t>
      </w:r>
      <w:r w:rsidR="00413BDF">
        <w:rPr>
          <w:rStyle w:val="FootnoteReference"/>
          <w:rFonts w:ascii="Cambria" w:hAnsi="Cambria"/>
          <w:color w:val="000000"/>
          <w:sz w:val="24"/>
          <w:szCs w:val="24"/>
          <w:shd w:val="clear" w:color="auto" w:fill="FFFFFF"/>
        </w:rPr>
        <w:footnoteReference w:id="1"/>
      </w:r>
    </w:p>
    <w:p w:rsidR="00050F35" w:rsidRPr="000E05A9" w:rsidRDefault="00EE20BE" w:rsidP="00050F35">
      <w:pPr>
        <w:spacing w:before="240"/>
        <w:jc w:val="both"/>
        <w:rPr>
          <w:rFonts w:ascii="Cambria" w:hAnsi="Cambria"/>
          <w:color w:val="000000"/>
          <w:sz w:val="24"/>
          <w:szCs w:val="24"/>
          <w:shd w:val="clear" w:color="auto" w:fill="FFFFFF"/>
          <w:lang w:val="es-419"/>
        </w:rPr>
      </w:pPr>
      <w:r w:rsidRPr="000E05A9">
        <w:rPr>
          <w:rFonts w:ascii="Cambria" w:hAnsi="Cambria"/>
          <w:color w:val="000000"/>
          <w:sz w:val="24"/>
          <w:szCs w:val="24"/>
          <w:shd w:val="clear" w:color="auto" w:fill="FFFFFF"/>
          <w:lang w:val="es-419"/>
        </w:rPr>
        <w:t>Art</w:t>
      </w:r>
      <w:r w:rsidR="00AF403C" w:rsidRPr="000E05A9">
        <w:rPr>
          <w:rFonts w:ascii="Cambria" w:hAnsi="Cambria"/>
          <w:color w:val="000000"/>
          <w:sz w:val="24"/>
          <w:szCs w:val="24"/>
          <w:shd w:val="clear" w:color="auto" w:fill="FFFFFF"/>
          <w:lang w:val="es-419"/>
        </w:rPr>
        <w:t>icle 19 – Oficina para México y Centroamérica</w:t>
      </w:r>
    </w:p>
    <w:p w:rsidR="0014049D" w:rsidRDefault="0014049D" w:rsidP="00050F35">
      <w:pPr>
        <w:spacing w:before="240"/>
        <w:jc w:val="both"/>
        <w:rPr>
          <w:rFonts w:ascii="Cambria" w:hAnsi="Cambria"/>
          <w:color w:val="000000"/>
          <w:sz w:val="24"/>
          <w:szCs w:val="24"/>
          <w:shd w:val="clear" w:color="auto" w:fill="FFFFFF"/>
        </w:rPr>
      </w:pPr>
      <w:r>
        <w:rPr>
          <w:rFonts w:ascii="Cambria" w:hAnsi="Cambria"/>
          <w:color w:val="000000"/>
          <w:sz w:val="24"/>
          <w:szCs w:val="24"/>
          <w:shd w:val="clear" w:color="auto" w:fill="FFFFFF"/>
        </w:rPr>
        <w:lastRenderedPageBreak/>
        <w:t>Blogueiras Negras (Brasil)</w:t>
      </w:r>
    </w:p>
    <w:p w:rsidR="00050F35" w:rsidRDefault="00EE20BE" w:rsidP="00050F35">
      <w:pPr>
        <w:spacing w:before="240"/>
        <w:jc w:val="both"/>
        <w:rPr>
          <w:rFonts w:ascii="Cambria" w:hAnsi="Cambria"/>
          <w:color w:val="000000"/>
          <w:sz w:val="24"/>
          <w:szCs w:val="24"/>
          <w:shd w:val="clear" w:color="auto" w:fill="FFFFFF"/>
        </w:rPr>
      </w:pPr>
      <w:r w:rsidRPr="00050F35">
        <w:rPr>
          <w:rFonts w:ascii="Cambria" w:hAnsi="Cambria"/>
          <w:color w:val="000000"/>
          <w:sz w:val="24"/>
          <w:szCs w:val="24"/>
          <w:shd w:val="clear" w:color="auto" w:fill="FFFFFF"/>
        </w:rPr>
        <w:t>Casa da Cultura Digital Porto Alegre (Brasil)</w:t>
      </w:r>
    </w:p>
    <w:p w:rsidR="00050F35" w:rsidRPr="000E05A9" w:rsidRDefault="000E05A9" w:rsidP="00050F35">
      <w:pPr>
        <w:spacing w:before="240"/>
        <w:jc w:val="both"/>
        <w:rPr>
          <w:rFonts w:ascii="Cambria" w:hAnsi="Cambria"/>
          <w:color w:val="000000"/>
          <w:sz w:val="24"/>
          <w:szCs w:val="24"/>
          <w:shd w:val="clear" w:color="auto" w:fill="FFFFFF"/>
          <w:lang w:val="es-419"/>
        </w:rPr>
      </w:pPr>
      <w:r>
        <w:rPr>
          <w:rFonts w:ascii="Cambria" w:hAnsi="Cambria"/>
          <w:color w:val="000000"/>
          <w:sz w:val="24"/>
          <w:szCs w:val="24"/>
          <w:shd w:val="clear" w:color="auto" w:fill="FFFFFF"/>
          <w:lang w:val="es-419"/>
        </w:rPr>
        <w:t>Centro de </w:t>
      </w:r>
      <w:r w:rsidR="00EE20BE" w:rsidRPr="000E05A9">
        <w:rPr>
          <w:rFonts w:ascii="Cambria" w:hAnsi="Cambria"/>
          <w:color w:val="000000"/>
          <w:sz w:val="24"/>
          <w:szCs w:val="24"/>
          <w:shd w:val="clear" w:color="auto" w:fill="FFFFFF"/>
          <w:lang w:val="es-419"/>
        </w:rPr>
        <w:t>Estudios de Derecho, Justicia y Sociedad - DeJusticia (Colombia)</w:t>
      </w:r>
    </w:p>
    <w:p w:rsidR="00050F35" w:rsidRPr="000E05A9" w:rsidRDefault="00EE20BE" w:rsidP="00050F35">
      <w:pPr>
        <w:spacing w:before="240"/>
        <w:jc w:val="both"/>
        <w:rPr>
          <w:rFonts w:ascii="Cambria" w:hAnsi="Cambria"/>
          <w:color w:val="000000"/>
          <w:sz w:val="24"/>
          <w:szCs w:val="24"/>
          <w:shd w:val="clear" w:color="auto" w:fill="FFFFFF"/>
          <w:lang w:val="es-419"/>
        </w:rPr>
      </w:pPr>
      <w:r w:rsidRPr="000E05A9">
        <w:rPr>
          <w:rFonts w:ascii="Cambria" w:hAnsi="Cambria"/>
          <w:color w:val="000000"/>
          <w:sz w:val="24"/>
          <w:szCs w:val="24"/>
          <w:shd w:val="clear" w:color="auto" w:fill="FFFFFF"/>
          <w:lang w:val="es-419"/>
        </w:rPr>
        <w:t>Centro de Estudios Legales y Sociales - CELS (Argentina)</w:t>
      </w:r>
    </w:p>
    <w:p w:rsidR="00050F35" w:rsidRPr="000E05A9" w:rsidRDefault="00EE20BE" w:rsidP="00050F35">
      <w:pPr>
        <w:spacing w:before="240"/>
        <w:jc w:val="both"/>
        <w:rPr>
          <w:rFonts w:ascii="Cambria" w:hAnsi="Cambria"/>
          <w:color w:val="000000"/>
          <w:sz w:val="24"/>
          <w:szCs w:val="24"/>
          <w:shd w:val="clear" w:color="auto" w:fill="FFFFFF"/>
          <w:lang w:val="es-419"/>
        </w:rPr>
      </w:pPr>
      <w:r w:rsidRPr="000E05A9">
        <w:rPr>
          <w:rFonts w:ascii="Cambria" w:hAnsi="Cambria"/>
          <w:color w:val="000000"/>
          <w:sz w:val="24"/>
          <w:szCs w:val="24"/>
          <w:shd w:val="clear" w:color="auto" w:fill="FFFFFF"/>
          <w:lang w:val="es-419"/>
        </w:rPr>
        <w:t>Centro por la Justicia y el Derecho Internacional – CEJIL</w:t>
      </w:r>
    </w:p>
    <w:p w:rsidR="00050F35" w:rsidRPr="000E05A9" w:rsidRDefault="00EE20BE" w:rsidP="00050F35">
      <w:pPr>
        <w:spacing w:before="240"/>
        <w:jc w:val="both"/>
        <w:rPr>
          <w:rFonts w:ascii="Cambria" w:hAnsi="Cambria"/>
          <w:color w:val="000000"/>
          <w:sz w:val="24"/>
          <w:szCs w:val="24"/>
          <w:shd w:val="clear" w:color="auto" w:fill="FFFFFF"/>
          <w:lang w:val="es-419"/>
        </w:rPr>
      </w:pPr>
      <w:r w:rsidRPr="000E05A9">
        <w:rPr>
          <w:rFonts w:ascii="Cambria" w:hAnsi="Cambria"/>
          <w:color w:val="000000"/>
          <w:sz w:val="24"/>
          <w:szCs w:val="24"/>
          <w:shd w:val="clear" w:color="auto" w:fill="FFFFFF"/>
          <w:lang w:val="es-419"/>
        </w:rPr>
        <w:t>Derechos Digitales (América Latina)</w:t>
      </w:r>
    </w:p>
    <w:p w:rsidR="00050F35" w:rsidRDefault="00EE20BE" w:rsidP="00050F35">
      <w:pPr>
        <w:spacing w:before="240"/>
        <w:jc w:val="both"/>
        <w:rPr>
          <w:rFonts w:ascii="Cambria" w:hAnsi="Cambria"/>
          <w:color w:val="000000"/>
          <w:sz w:val="24"/>
          <w:szCs w:val="24"/>
          <w:shd w:val="clear" w:color="auto" w:fill="FFFFFF"/>
          <w:lang w:val="es-419"/>
        </w:rPr>
      </w:pPr>
      <w:r w:rsidRPr="000E05A9">
        <w:rPr>
          <w:rFonts w:ascii="Cambria" w:hAnsi="Cambria"/>
          <w:color w:val="000000"/>
          <w:sz w:val="24"/>
          <w:szCs w:val="24"/>
          <w:shd w:val="clear" w:color="auto" w:fill="FFFFFF"/>
          <w:lang w:val="es-419"/>
        </w:rPr>
        <w:t>Fundación Construir (Bolivia)</w:t>
      </w:r>
    </w:p>
    <w:p w:rsidR="006C1C41" w:rsidRPr="006C1C41" w:rsidRDefault="006C1C41" w:rsidP="00050F35">
      <w:pPr>
        <w:spacing w:before="240"/>
        <w:jc w:val="both"/>
        <w:rPr>
          <w:rFonts w:ascii="Cambria" w:hAnsi="Cambria"/>
          <w:sz w:val="24"/>
          <w:szCs w:val="24"/>
          <w:shd w:val="clear" w:color="auto" w:fill="FFFFFF"/>
          <w:lang w:val="es-419"/>
        </w:rPr>
      </w:pPr>
      <w:r w:rsidRPr="006C1C41">
        <w:rPr>
          <w:rFonts w:ascii="Cambria" w:hAnsi="Cambria"/>
          <w:sz w:val="24"/>
          <w:szCs w:val="24"/>
          <w:shd w:val="clear" w:color="auto" w:fill="FFFFFF"/>
          <w:lang w:val="es-419"/>
        </w:rPr>
        <w:t>Fundación Internet (Bolivia)</w:t>
      </w:r>
    </w:p>
    <w:p w:rsidR="0014049D" w:rsidRPr="006C1C41" w:rsidRDefault="0014049D" w:rsidP="00050F35">
      <w:pPr>
        <w:spacing w:before="240"/>
        <w:jc w:val="both"/>
        <w:rPr>
          <w:rFonts w:ascii="Cambria" w:hAnsi="Cambria"/>
          <w:color w:val="000000"/>
          <w:sz w:val="24"/>
          <w:szCs w:val="24"/>
          <w:shd w:val="clear" w:color="auto" w:fill="FFFFFF"/>
          <w:lang w:val="es-419"/>
        </w:rPr>
      </w:pPr>
      <w:r w:rsidRPr="006C1C41">
        <w:rPr>
          <w:rFonts w:ascii="Cambria" w:hAnsi="Cambria"/>
          <w:color w:val="000000"/>
          <w:sz w:val="24"/>
          <w:szCs w:val="24"/>
          <w:shd w:val="clear" w:color="auto" w:fill="FFFFFF"/>
          <w:lang w:val="es-419"/>
        </w:rPr>
        <w:t>Greenpeace USA (Estados Unidos)</w:t>
      </w:r>
    </w:p>
    <w:p w:rsidR="00050F35" w:rsidRDefault="00EE20BE" w:rsidP="00050F35">
      <w:pPr>
        <w:spacing w:before="240"/>
        <w:jc w:val="both"/>
        <w:rPr>
          <w:rFonts w:ascii="Cambria" w:hAnsi="Cambria"/>
          <w:color w:val="000000"/>
          <w:sz w:val="24"/>
          <w:szCs w:val="24"/>
          <w:shd w:val="clear" w:color="auto" w:fill="FFFFFF"/>
        </w:rPr>
      </w:pPr>
      <w:r w:rsidRPr="00050F35">
        <w:rPr>
          <w:rFonts w:ascii="Cambria" w:hAnsi="Cambria"/>
          <w:color w:val="000000"/>
          <w:sz w:val="24"/>
          <w:szCs w:val="24"/>
          <w:shd w:val="clear" w:color="auto" w:fill="FFFFFF"/>
        </w:rPr>
        <w:t>InternetLab - Pesquisa emDireito e Tecnología (Brasil)</w:t>
      </w:r>
    </w:p>
    <w:p w:rsidR="0014049D" w:rsidRPr="000E05A9" w:rsidRDefault="0014049D" w:rsidP="00050F35">
      <w:pPr>
        <w:spacing w:before="240"/>
        <w:jc w:val="both"/>
        <w:rPr>
          <w:rFonts w:ascii="Cambria" w:hAnsi="Cambria"/>
          <w:color w:val="000000"/>
          <w:sz w:val="24"/>
          <w:szCs w:val="24"/>
          <w:shd w:val="clear" w:color="auto" w:fill="FFFFFF"/>
          <w:lang w:val="es-419"/>
        </w:rPr>
      </w:pPr>
      <w:r w:rsidRPr="000E05A9">
        <w:rPr>
          <w:rFonts w:ascii="Cambria" w:hAnsi="Cambria"/>
          <w:color w:val="000000"/>
          <w:sz w:val="24"/>
          <w:szCs w:val="24"/>
          <w:shd w:val="clear" w:color="auto" w:fill="FFFFFF"/>
          <w:lang w:val="es-419"/>
        </w:rPr>
        <w:t>National Lawyers Guild (Estados Unidos)</w:t>
      </w:r>
    </w:p>
    <w:p w:rsidR="00413BDF" w:rsidRPr="000E05A9" w:rsidRDefault="00EE20BE" w:rsidP="00413BDF">
      <w:pPr>
        <w:spacing w:before="240"/>
        <w:jc w:val="both"/>
        <w:rPr>
          <w:rFonts w:ascii="Cambria" w:hAnsi="Cambria"/>
          <w:color w:val="000000"/>
          <w:sz w:val="24"/>
          <w:szCs w:val="24"/>
          <w:shd w:val="clear" w:color="auto" w:fill="FFFFFF"/>
          <w:lang w:val="es-419"/>
        </w:rPr>
      </w:pPr>
      <w:r w:rsidRPr="000E05A9">
        <w:rPr>
          <w:rFonts w:ascii="Cambria" w:hAnsi="Cambria"/>
          <w:color w:val="000000"/>
          <w:sz w:val="24"/>
          <w:szCs w:val="24"/>
          <w:shd w:val="clear" w:color="auto" w:fill="FFFFFF"/>
          <w:lang w:val="es-419"/>
        </w:rPr>
        <w:t>POJOAJU Asociación de ONGs del Paraguay</w:t>
      </w:r>
    </w:p>
    <w:p w:rsidR="00413BDF" w:rsidRPr="000E05A9" w:rsidRDefault="00EE20BE" w:rsidP="00413BDF">
      <w:pPr>
        <w:spacing w:before="240"/>
        <w:jc w:val="both"/>
        <w:rPr>
          <w:rFonts w:ascii="Cambria" w:hAnsi="Cambria"/>
          <w:color w:val="000000"/>
          <w:sz w:val="24"/>
          <w:szCs w:val="24"/>
          <w:shd w:val="clear" w:color="auto" w:fill="FFFFFF"/>
          <w:lang w:val="es-419"/>
        </w:rPr>
      </w:pPr>
      <w:r w:rsidRPr="000E05A9">
        <w:rPr>
          <w:rFonts w:ascii="Cambria" w:hAnsi="Cambria"/>
          <w:color w:val="000000"/>
          <w:sz w:val="24"/>
          <w:szCs w:val="24"/>
          <w:shd w:val="clear" w:color="auto" w:fill="FFFFFF"/>
          <w:lang w:val="es-419"/>
        </w:rPr>
        <w:t>Red en Defensa de los Derechos Digitales - R3D (México)</w:t>
      </w:r>
    </w:p>
    <w:p w:rsidR="00EE20BE" w:rsidRPr="000E05A9" w:rsidRDefault="00EE20BE" w:rsidP="00413BDF">
      <w:pPr>
        <w:spacing w:before="240"/>
        <w:jc w:val="both"/>
        <w:rPr>
          <w:rFonts w:ascii="Cambria" w:hAnsi="Cambria"/>
          <w:color w:val="000000"/>
          <w:sz w:val="24"/>
          <w:szCs w:val="24"/>
          <w:shd w:val="clear" w:color="auto" w:fill="FFFFFF"/>
          <w:lang w:val="es-419"/>
        </w:rPr>
      </w:pPr>
      <w:r w:rsidRPr="000E05A9">
        <w:rPr>
          <w:rFonts w:ascii="Cambria" w:hAnsi="Cambria"/>
          <w:color w:val="000000"/>
          <w:sz w:val="24"/>
          <w:szCs w:val="24"/>
          <w:shd w:val="clear" w:color="auto" w:fill="FFFFFF"/>
          <w:lang w:val="es-419"/>
        </w:rPr>
        <w:t>SurSiendo – Comunicación y Cultura Digital (México)</w:t>
      </w:r>
    </w:p>
    <w:p w:rsidR="000E05A9" w:rsidRDefault="000E05A9">
      <w:pPr>
        <w:rPr>
          <w:rFonts w:ascii="Cambria" w:eastAsia="Cambria" w:hAnsi="Cambria" w:cs="Cambria"/>
          <w:sz w:val="24"/>
          <w:szCs w:val="24"/>
          <w:lang w:val="es-419"/>
        </w:rPr>
      </w:pPr>
      <w:r>
        <w:rPr>
          <w:rFonts w:ascii="Cambria" w:eastAsia="Cambria" w:hAnsi="Cambria" w:cs="Cambria"/>
          <w:sz w:val="24"/>
          <w:szCs w:val="24"/>
          <w:lang w:val="es-419"/>
        </w:rPr>
        <w:br w:type="page"/>
      </w:r>
    </w:p>
    <w:p w:rsidR="00780C05" w:rsidRDefault="001E2DF1">
      <w:pPr>
        <w:pStyle w:val="Heading1"/>
        <w:numPr>
          <w:ilvl w:val="0"/>
          <w:numId w:val="1"/>
        </w:numPr>
      </w:pPr>
      <w:bookmarkStart w:id="0" w:name="_y8sjzq6bdlgj" w:colFirst="0" w:colLast="0"/>
      <w:bookmarkEnd w:id="0"/>
      <w:r>
        <w:lastRenderedPageBreak/>
        <w:t>Consideraciones generales</w:t>
      </w:r>
    </w:p>
    <w:p w:rsidR="00780C05" w:rsidRDefault="001E2DF1">
      <w:pPr>
        <w:pStyle w:val="Heading2"/>
      </w:pPr>
      <w:bookmarkStart w:id="1" w:name="_4vm6stmbj2r1" w:colFirst="0" w:colLast="0"/>
      <w:bookmarkEnd w:id="1"/>
      <w:r>
        <w:t xml:space="preserve">1.1. Estructura del borrador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Uno de los problemas estructurales del borrador es que temas centrales para el derecho de reunión se encuentran desarrollados de manera dispersa a lo largo del documento, en muchos casos, con diferencias importantes de lenguaje entre los distintos párrafos. El resultado de lo anterior es que encontramos en el borrador estándares distintos y hasta contradictorios entre ellos para varios de tales temas.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Un ejemplo es la definición de “reunión pacífica” y los límites de la respuesta estatal en el caso de que se verifiquen hechos de violencia en estos contextos. Existen claras contradicciones y diferencias de lenguaje entre los párrafos 10, 17, 19, 20, 21 y 49 que deben ser resueltas en un nuevo borrador. </w:t>
      </w:r>
    </w:p>
    <w:p w:rsidR="00780C05" w:rsidRPr="000E05A9" w:rsidRDefault="001E2DF1">
      <w:pPr>
        <w:pStyle w:val="Heading2"/>
        <w:rPr>
          <w:lang w:val="es-419"/>
        </w:rPr>
      </w:pPr>
      <w:bookmarkStart w:id="2" w:name="_dvo33zp6ah7e" w:colFirst="0" w:colLast="0"/>
      <w:bookmarkEnd w:id="2"/>
      <w:r w:rsidRPr="000E05A9">
        <w:rPr>
          <w:lang w:val="es-419"/>
        </w:rPr>
        <w:t xml:space="preserve">1.2. Contradicciones con los estándares más recientes sobre el derecho de reunión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La Observación General Nº 37 se discute en un contexto en el que el tema del derecho de reunión ha sido objeto, en los últimos años de numerosas consultas de sistemas regionales de protección, organizaciones internacionales y, particularmente, por la Relatoría Especial de Naciones Unidas sobre el derecho a la libertad de reunión pacífica y de asociación, y la Relatoría Especial de Naciones Unidas sobre Ejecuciones Extrajudiciales, Sumarias o Arbitrarias y, a nivel de las Américas, la Comisión Interamericana de Derechos Humanos (CIDH) y la Corte Interamericana de Derechos Humanos.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Los numerosos espacios de discusión, formularios, borradores distribuidos, resultaron en la producción de valiosos informes que avanzan en precisar las obligaciones del Estado en el contexto de las reuniones. Estos documentos constituyen una valiosa base para la interpretación del contenido del artículo 21 del Pacto porque tienen en cuenta la realidad del ejercicio de este derecho </w:t>
      </w:r>
      <w:r w:rsidR="006C1C41">
        <w:rPr>
          <w:rFonts w:ascii="Cambria" w:eastAsia="Cambria" w:hAnsi="Cambria" w:cs="Cambria"/>
          <w:sz w:val="24"/>
          <w:szCs w:val="24"/>
          <w:lang w:val="es-419"/>
        </w:rPr>
        <w:t xml:space="preserve">en el terreno y en particular </w:t>
      </w:r>
      <w:r w:rsidRPr="000E05A9">
        <w:rPr>
          <w:rFonts w:ascii="Cambria" w:eastAsia="Cambria" w:hAnsi="Cambria" w:cs="Cambria"/>
          <w:sz w:val="24"/>
          <w:szCs w:val="24"/>
          <w:lang w:val="es-419"/>
        </w:rPr>
        <w:t xml:space="preserve">de las respuestas de los Estados a la protesta. Estas respuestas tienden, de manera creciente, a la represión, la criminalización y el impedimento del ejercicio de reunión en el mundo. Sin embargo, en distintas oportunidades el borrador presenta un estándar más bajo, flexible o general que el desarrollado en informes recientes.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Por ejemplo, el borrador retrocede en relación a la conclusión alcanzada por distintos mecanismos respecto a que los sistemas de autorización previa son incompatibles con el derecho de reunión, y que según cómo se usen, también pueden ser incompatibles con este derecho los procedimientos de notificación (véase el apartado 3 de este documento). En su párrafo 84, el borrador admite los procedimientos de autorización previa al no establecer su incompatibilidad con el artículo 21 del Pacto. En cuanto a los sistemas de notificación previa, se los aborda por lo general como siendo positivos y necesarios, y un deber de los manifestantes que, si incumplido, habilitaría medidas restrictivas al derecho de reunión. En el párrafo 88, el borrador refiere a la necesidad de imponer medidas de vigilancia de reuniones “que no tengan notificación previa y puedan afectar el orden público”. Este es un estándar peligroso, que habilita medidas intrusivas y vincula la falta de notificación a una afectación del orden público. </w:t>
      </w:r>
      <w:r w:rsidR="009B4C30">
        <w:rPr>
          <w:rFonts w:ascii="Cambria" w:eastAsia="Cambria" w:hAnsi="Cambria" w:cs="Cambria"/>
          <w:sz w:val="24"/>
          <w:szCs w:val="24"/>
          <w:lang w:val="es-419"/>
        </w:rPr>
        <w:t>E</w:t>
      </w:r>
      <w:r w:rsidRPr="000E05A9">
        <w:rPr>
          <w:rFonts w:ascii="Cambria" w:eastAsia="Cambria" w:hAnsi="Cambria" w:cs="Cambria"/>
          <w:sz w:val="24"/>
          <w:szCs w:val="24"/>
          <w:lang w:val="es-419"/>
        </w:rPr>
        <w:t>l Tribun</w:t>
      </w:r>
      <w:r w:rsidR="009B4C30">
        <w:rPr>
          <w:rFonts w:ascii="Cambria" w:eastAsia="Cambria" w:hAnsi="Cambria" w:cs="Cambria"/>
          <w:sz w:val="24"/>
          <w:szCs w:val="24"/>
          <w:lang w:val="es-419"/>
        </w:rPr>
        <w:t xml:space="preserve">al Europeo de Derechos Humanos </w:t>
      </w:r>
      <w:r w:rsidRPr="000E05A9">
        <w:rPr>
          <w:rFonts w:ascii="Cambria" w:eastAsia="Cambria" w:hAnsi="Cambria" w:cs="Cambria"/>
          <w:sz w:val="24"/>
          <w:szCs w:val="24"/>
          <w:lang w:val="es-419"/>
        </w:rPr>
        <w:t>consideró que constituye una restricción desproporcionada a la libertad de reunión pacífica la disolución de una manifestación pacífica por no haberse cumplido con la exigencia de realizar una notificación previa</w:t>
      </w:r>
      <w:r>
        <w:rPr>
          <w:rFonts w:ascii="Cambria" w:eastAsia="Cambria" w:hAnsi="Cambria" w:cs="Cambria"/>
          <w:sz w:val="24"/>
          <w:szCs w:val="24"/>
          <w:vertAlign w:val="superscript"/>
        </w:rPr>
        <w:footnoteReference w:id="2"/>
      </w:r>
      <w:r w:rsidRPr="000E05A9">
        <w:rPr>
          <w:rFonts w:ascii="Cambria" w:eastAsia="Cambria" w:hAnsi="Cambria" w:cs="Cambria"/>
          <w:sz w:val="24"/>
          <w:szCs w:val="24"/>
          <w:lang w:val="es-419"/>
        </w:rPr>
        <w:t>.</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El lenguaje sobre uso de la fuerza, a su vez, trae a lo largo de todo el texto referencias sobre “control” y la “vigilancia” de reuniones, en lugar de los estándares sobre obligaciones positivas de faci</w:t>
      </w:r>
      <w:r w:rsidR="009B4C30">
        <w:rPr>
          <w:rFonts w:ascii="Cambria" w:eastAsia="Cambria" w:hAnsi="Cambria" w:cs="Cambria"/>
          <w:sz w:val="24"/>
          <w:szCs w:val="24"/>
          <w:lang w:val="es-419"/>
        </w:rPr>
        <w:t>litación y garantía del derecho</w:t>
      </w:r>
      <w:r w:rsidRPr="000E05A9">
        <w:rPr>
          <w:rFonts w:ascii="Cambria" w:eastAsia="Cambria" w:hAnsi="Cambria" w:cs="Cambria"/>
          <w:sz w:val="24"/>
          <w:szCs w:val="24"/>
          <w:lang w:val="es-419"/>
        </w:rPr>
        <w:t xml:space="preserve"> y </w:t>
      </w:r>
      <w:r w:rsidR="009B4C30">
        <w:rPr>
          <w:rFonts w:ascii="Cambria" w:eastAsia="Cambria" w:hAnsi="Cambria" w:cs="Cambria"/>
          <w:sz w:val="24"/>
          <w:szCs w:val="24"/>
          <w:lang w:val="es-419"/>
        </w:rPr>
        <w:t xml:space="preserve">de </w:t>
      </w:r>
      <w:r w:rsidRPr="000E05A9">
        <w:rPr>
          <w:rFonts w:ascii="Cambria" w:eastAsia="Cambria" w:hAnsi="Cambria" w:cs="Cambria"/>
          <w:sz w:val="24"/>
          <w:szCs w:val="24"/>
          <w:lang w:val="es-419"/>
        </w:rPr>
        <w:t xml:space="preserve">protección de las personas. Esto representa un problema para el desarrollo progresivo del derecho internacional y para que el instrumento sea una herramienta efectiva para proteger el ejercicio del derecho de reunión por parte de las personas en el terreno.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En cuanto al concepto de protestas pacíficas y de violencia, el borrador también retrocede en relación a documentos de Relatorías Especiales de Naciones Unidas </w:t>
      </w:r>
      <w:r w:rsidR="009B4C30">
        <w:rPr>
          <w:rFonts w:ascii="Cambria" w:eastAsia="Cambria" w:hAnsi="Cambria" w:cs="Cambria"/>
          <w:sz w:val="24"/>
          <w:szCs w:val="24"/>
          <w:lang w:val="es-419"/>
        </w:rPr>
        <w:t>publicados entre</w:t>
      </w:r>
      <w:r w:rsidRPr="000E05A9">
        <w:rPr>
          <w:rFonts w:ascii="Cambria" w:eastAsia="Cambria" w:hAnsi="Cambria" w:cs="Cambria"/>
          <w:sz w:val="24"/>
          <w:szCs w:val="24"/>
          <w:lang w:val="es-419"/>
        </w:rPr>
        <w:t xml:space="preserve"> 2015-2017, al informe de la Relatoría de Libertad de Expresión de la CIDH de 2019, y a las </w:t>
      </w:r>
      <w:r w:rsidRPr="000E05A9">
        <w:rPr>
          <w:rFonts w:ascii="Cambria" w:eastAsia="Cambria" w:hAnsi="Cambria" w:cs="Cambria"/>
          <w:i/>
          <w:sz w:val="24"/>
          <w:szCs w:val="24"/>
          <w:lang w:val="es-419"/>
        </w:rPr>
        <w:t>Guidelines</w:t>
      </w:r>
      <w:r w:rsidRPr="000E05A9">
        <w:rPr>
          <w:rFonts w:ascii="Cambria" w:eastAsia="Cambria" w:hAnsi="Cambria" w:cs="Cambria"/>
          <w:sz w:val="24"/>
          <w:szCs w:val="24"/>
          <w:lang w:val="es-419"/>
        </w:rPr>
        <w:t>de la Organización por la Seguridad y la Cooper</w:t>
      </w:r>
      <w:r w:rsidR="009B4C30">
        <w:rPr>
          <w:rFonts w:ascii="Cambria" w:eastAsia="Cambria" w:hAnsi="Cambria" w:cs="Cambria"/>
          <w:sz w:val="24"/>
          <w:szCs w:val="24"/>
          <w:lang w:val="es-419"/>
        </w:rPr>
        <w:t xml:space="preserve">ación en Europa (OSCE) de 2007, tal como </w:t>
      </w:r>
      <w:r w:rsidR="0066754E">
        <w:rPr>
          <w:rFonts w:ascii="Cambria" w:eastAsia="Cambria" w:hAnsi="Cambria" w:cs="Cambria"/>
          <w:sz w:val="24"/>
          <w:szCs w:val="24"/>
          <w:lang w:val="es-419"/>
        </w:rPr>
        <w:t>exponemos</w:t>
      </w:r>
      <w:r w:rsidR="009B4C30">
        <w:rPr>
          <w:rFonts w:ascii="Cambria" w:eastAsia="Cambria" w:hAnsi="Cambria" w:cs="Cambria"/>
          <w:sz w:val="24"/>
          <w:szCs w:val="24"/>
          <w:lang w:val="es-419"/>
        </w:rPr>
        <w:t xml:space="preserve"> en el apartado 2 del presente informe.</w:t>
      </w:r>
    </w:p>
    <w:p w:rsidR="00780C05" w:rsidRPr="000E05A9" w:rsidRDefault="001E2DF1">
      <w:pPr>
        <w:pStyle w:val="Heading2"/>
        <w:jc w:val="both"/>
        <w:rPr>
          <w:lang w:val="es-419"/>
        </w:rPr>
      </w:pPr>
      <w:bookmarkStart w:id="3" w:name="_h8ghgz1wxp2z" w:colFirst="0" w:colLast="0"/>
      <w:bookmarkEnd w:id="3"/>
      <w:r w:rsidRPr="000E05A9">
        <w:rPr>
          <w:lang w:val="es-419"/>
        </w:rPr>
        <w:t xml:space="preserve">1.3. Lenguaje laxo sobre obligaciones estatales </w:t>
      </w:r>
    </w:p>
    <w:p w:rsidR="00780C05" w:rsidRPr="000E05A9" w:rsidRDefault="001E2DF1">
      <w:pPr>
        <w:spacing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En muchos párrafos el borrador presenta unlenguaje laxo respecto de las obligaciones estatales contenidas en el artículo 21. </w:t>
      </w:r>
    </w:p>
    <w:p w:rsidR="00780C05" w:rsidRPr="000E05A9" w:rsidRDefault="001E2DF1">
      <w:pPr>
        <w:spacing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Eso se verifica en el lenguaje escogido para referirse a prácticas estatales con comprobado impacto sobre los derechos humanos en términos de “oportunidades y retos”; medidas que pueden “restringir o proteger” a la protesta; sugerencias para que las autoridades “consideren llevar a cabo restricciones parciales”; el uso de la expresión “de forma indebida” o la referencia imprecisa a “estándares internacionales en la materia”; el uso reiterado de la expresión “en la medida de lo posible” o “por lo general”. Esto es visible en párrafos como el 38, 41, 74 y 75, entre otros. </w:t>
      </w:r>
    </w:p>
    <w:p w:rsidR="00780C05" w:rsidRPr="000E05A9" w:rsidRDefault="001E2DF1">
      <w:pPr>
        <w:spacing w:before="240" w:after="120"/>
        <w:jc w:val="both"/>
        <w:rPr>
          <w:rFonts w:ascii="Cambria" w:eastAsia="Cambria" w:hAnsi="Cambria" w:cs="Cambria"/>
          <w:sz w:val="24"/>
          <w:szCs w:val="24"/>
          <w:lang w:val="es-419"/>
        </w:rPr>
      </w:pPr>
      <w:r w:rsidRPr="000E05A9">
        <w:rPr>
          <w:rFonts w:ascii="Cambria" w:eastAsia="Cambria" w:hAnsi="Cambria" w:cs="Cambria"/>
          <w:sz w:val="24"/>
          <w:szCs w:val="24"/>
          <w:lang w:val="es-419"/>
        </w:rPr>
        <w:t>Las afirmaciones sobre “costos y beneficios”, realizadas de forma genérica, eluden la responsabilidad esencial del Comité al elaborar Observaciones Generales de aclarar las obligaciones de los Estados. Al contrario, se legitima la agenda política actual en varios temas, por ejemplo, el uso de nuevas tecnologías de demostradas consecuencias en términos de violaciones de derechos, sin realizar ninguna precisión sobre los impactos graves que pueden tener sobre los derechos contenidos en el artículo 21 y demás disposiciones del Pacto. Este lenguaje, verificado en párrafos como el 11, puede hacer que la Observación General Nº 37 en vez de servir como un instrumento para condicionar la actuación del Estado y proteger a las personas, las deje aún más desprotegidas.</w:t>
      </w:r>
    </w:p>
    <w:p w:rsidR="003714CF" w:rsidRDefault="001E2DF1">
      <w:pPr>
        <w:spacing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A esa misma lógica obedece </w:t>
      </w:r>
      <w:r w:rsidR="00C415C2">
        <w:rPr>
          <w:rFonts w:ascii="Cambria" w:eastAsia="Cambria" w:hAnsi="Cambria" w:cs="Cambria"/>
          <w:sz w:val="24"/>
          <w:szCs w:val="24"/>
          <w:lang w:val="es-419"/>
        </w:rPr>
        <w:t xml:space="preserve">el párrafo 41, que en lugar de </w:t>
      </w:r>
      <w:r w:rsidRPr="000E05A9">
        <w:rPr>
          <w:rFonts w:ascii="Cambria" w:eastAsia="Cambria" w:hAnsi="Cambria" w:cs="Cambria"/>
          <w:sz w:val="24"/>
          <w:szCs w:val="24"/>
          <w:lang w:val="es-419"/>
        </w:rPr>
        <w:t>fijar un estándar claro que limite restricciones de carácter total o general dada su inherente desproporcionalidad, parece recomendar sin mayores precisiones que los Estados apli</w:t>
      </w:r>
      <w:r w:rsidR="00C415C2">
        <w:rPr>
          <w:rFonts w:ascii="Cambria" w:eastAsia="Cambria" w:hAnsi="Cambria" w:cs="Cambria"/>
          <w:sz w:val="24"/>
          <w:szCs w:val="24"/>
          <w:lang w:val="es-419"/>
        </w:rPr>
        <w:t>quen restricciones parciales, au</w:t>
      </w:r>
      <w:r w:rsidRPr="000E05A9">
        <w:rPr>
          <w:rFonts w:ascii="Cambria" w:eastAsia="Cambria" w:hAnsi="Cambria" w:cs="Cambria"/>
          <w:sz w:val="24"/>
          <w:szCs w:val="24"/>
          <w:lang w:val="es-419"/>
        </w:rPr>
        <w:t xml:space="preserve">n cuando es evidente que incluso las restricciones parciales pueden ser incompatibles con el artículo 21. </w:t>
      </w:r>
      <w:r w:rsidR="003714CF" w:rsidRPr="000E05A9">
        <w:rPr>
          <w:rFonts w:ascii="Cambria" w:eastAsia="Cambria" w:hAnsi="Cambria" w:cs="Cambria"/>
          <w:sz w:val="24"/>
          <w:szCs w:val="24"/>
          <w:lang w:val="es-419"/>
        </w:rPr>
        <w:t xml:space="preserve">El lenguaje que han utilizado otros mecanismos de protección y expertos en la materia es el de la presunción del carácter pacífico de la protesta y de la obligación de facilitar, es decir, los Estados no sólo no deben prohibir la protesta: tampoco deben restringirla y, cuando decidan hacerlo, deben respetar estrictamente el test de legalidad, necesidad y proporcionalidad, y los objetivos legítimos establecidos en el Pacto. El Comité extrapola los límites de su competencia al habilitar, de manera abstracta, restricciones “intermedias” o “parciales”. </w:t>
      </w:r>
    </w:p>
    <w:p w:rsidR="00780C05" w:rsidRPr="000E05A9" w:rsidRDefault="003714CF">
      <w:pPr>
        <w:spacing w:after="240"/>
        <w:jc w:val="both"/>
        <w:rPr>
          <w:rFonts w:ascii="Cambria" w:eastAsia="Cambria" w:hAnsi="Cambria" w:cs="Cambria"/>
          <w:sz w:val="24"/>
          <w:szCs w:val="24"/>
          <w:lang w:val="es-419"/>
        </w:rPr>
      </w:pPr>
      <w:r>
        <w:rPr>
          <w:rFonts w:ascii="Cambria" w:eastAsia="Cambria" w:hAnsi="Cambria" w:cs="Cambria"/>
          <w:sz w:val="24"/>
          <w:szCs w:val="24"/>
          <w:lang w:val="es-419"/>
        </w:rPr>
        <w:t>E</w:t>
      </w:r>
      <w:r w:rsidR="001E2DF1" w:rsidRPr="000E05A9">
        <w:rPr>
          <w:rFonts w:ascii="Cambria" w:eastAsia="Cambria" w:hAnsi="Cambria" w:cs="Cambria"/>
          <w:sz w:val="24"/>
          <w:szCs w:val="24"/>
          <w:lang w:val="es-419"/>
        </w:rPr>
        <w:t>ntendemos que</w:t>
      </w:r>
      <w:r w:rsidR="00C415C2">
        <w:rPr>
          <w:rFonts w:ascii="Cambria" w:eastAsia="Cambria" w:hAnsi="Cambria" w:cs="Cambria"/>
          <w:sz w:val="24"/>
          <w:szCs w:val="24"/>
          <w:lang w:val="es-419"/>
        </w:rPr>
        <w:t>, en un Comentario General sobre el derecho de reunión,</w:t>
      </w:r>
      <w:r w:rsidR="001E2DF1" w:rsidRPr="000E05A9">
        <w:rPr>
          <w:rFonts w:ascii="Cambria" w:eastAsia="Cambria" w:hAnsi="Cambria" w:cs="Cambria"/>
          <w:sz w:val="24"/>
          <w:szCs w:val="24"/>
          <w:lang w:val="es-419"/>
        </w:rPr>
        <w:t xml:space="preserve"> las consideraciones sobre las medidas de intervención por parte del Estado deben estar claramente enmarcadas en su deber positivo de facilitar el ejercicio del derecho o, excepcionalmente, en su deber de proteger otros derechos en juego. La </w:t>
      </w:r>
      <w:r w:rsidR="00C415C2">
        <w:rPr>
          <w:rFonts w:ascii="Cambria" w:eastAsia="Cambria" w:hAnsi="Cambria" w:cs="Cambria"/>
          <w:sz w:val="24"/>
          <w:szCs w:val="24"/>
          <w:lang w:val="es-419"/>
        </w:rPr>
        <w:t>legitimación</w:t>
      </w:r>
      <w:r w:rsidR="001E2DF1" w:rsidRPr="000E05A9">
        <w:rPr>
          <w:rFonts w:ascii="Cambria" w:eastAsia="Cambria" w:hAnsi="Cambria" w:cs="Cambria"/>
          <w:sz w:val="24"/>
          <w:szCs w:val="24"/>
          <w:lang w:val="es-419"/>
        </w:rPr>
        <w:t xml:space="preserve"> de medidas restrictivas por fuera del marco de la protección de los derechos humanos pone en riesgo su garantía e implica un desconocimiento del mandato del Comité.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El mismo lenguaje laxo se verifica respecto de las obligaciones estatales en materia de gestión de la conectividad y acceso a </w:t>
      </w:r>
      <w:r w:rsidR="00131AF2" w:rsidRPr="00131AF2">
        <w:rPr>
          <w:rFonts w:ascii="Cambria" w:eastAsia="Cambria" w:hAnsi="Cambria" w:cs="Cambria"/>
          <w:sz w:val="24"/>
          <w:szCs w:val="24"/>
          <w:lang w:val="es-419"/>
        </w:rPr>
        <w:t>internet –</w:t>
      </w:r>
      <w:r w:rsidR="00351ED3" w:rsidRPr="00351ED3">
        <w:rPr>
          <w:lang w:val="es-419"/>
        </w:rPr>
        <w:t xml:space="preserve"> </w:t>
      </w:r>
      <w:r w:rsidR="00351ED3" w:rsidRPr="00351ED3">
        <w:rPr>
          <w:rFonts w:ascii="Cambria" w:eastAsia="Cambria" w:hAnsi="Cambria" w:cs="Cambria"/>
          <w:sz w:val="24"/>
          <w:szCs w:val="24"/>
          <w:lang w:val="es-419"/>
        </w:rPr>
        <w:t>por ejemplo, en el párrafo 38 del borrador</w:t>
      </w:r>
      <w:r w:rsidR="00131AF2" w:rsidRPr="00131AF2">
        <w:rPr>
          <w:rFonts w:ascii="Cambria" w:eastAsia="Cambria" w:hAnsi="Cambria" w:cs="Cambria"/>
          <w:sz w:val="24"/>
          <w:szCs w:val="24"/>
          <w:lang w:val="es-419"/>
        </w:rPr>
        <w:t xml:space="preserve">. </w:t>
      </w:r>
      <w:r w:rsidRPr="000E05A9">
        <w:rPr>
          <w:rFonts w:ascii="Cambria" w:eastAsia="Cambria" w:hAnsi="Cambria" w:cs="Cambria"/>
          <w:sz w:val="24"/>
          <w:szCs w:val="24"/>
          <w:lang w:val="es-419"/>
        </w:rPr>
        <w:t>Tal como ha expresado el relator de Libertad de Expresión de Naciones Unidas, el bloqueo o ralentización de internet antes, durante o después de la reunión es una restricción al derecho. A la mención</w:t>
      </w:r>
      <w:r w:rsidR="00EE587D">
        <w:rPr>
          <w:rFonts w:ascii="Cambria" w:eastAsia="Cambria" w:hAnsi="Cambria" w:cs="Cambria"/>
          <w:sz w:val="24"/>
          <w:szCs w:val="24"/>
          <w:lang w:val="es-419"/>
        </w:rPr>
        <w:t xml:space="preserve"> </w:t>
      </w:r>
      <w:r w:rsidRPr="000E05A9">
        <w:rPr>
          <w:rFonts w:ascii="Cambria" w:eastAsia="Cambria" w:hAnsi="Cambria" w:cs="Cambria"/>
          <w:sz w:val="24"/>
          <w:szCs w:val="24"/>
          <w:lang w:val="es-419"/>
        </w:rPr>
        <w:t>a la autorregulación</w:t>
      </w:r>
      <w:r w:rsidR="00EE587D">
        <w:rPr>
          <w:rFonts w:ascii="Cambria" w:eastAsia="Cambria" w:hAnsi="Cambria" w:cs="Cambria"/>
          <w:sz w:val="24"/>
          <w:szCs w:val="24"/>
          <w:lang w:val="es-419"/>
        </w:rPr>
        <w:t xml:space="preserve"> de internet</w:t>
      </w:r>
      <w:r w:rsidRPr="000E05A9">
        <w:rPr>
          <w:rFonts w:ascii="Cambria" w:eastAsia="Cambria" w:hAnsi="Cambria" w:cs="Cambria"/>
          <w:sz w:val="24"/>
          <w:szCs w:val="24"/>
          <w:lang w:val="es-419"/>
        </w:rPr>
        <w:t xml:space="preserve"> no se opone la consideración de políticas de regulación y control de la actividad de proveedores privados de internet con el fin de proteger los derechos contemplados en el Pacto. La Observación General Nº 37 debe indicar de forma clara que el Estado tiene la obligación de garantizar la provisión y el acceso a internet en el contexto del ejercicio del derecho de reunión, incluso cuando ésta es realizada por entes privados.</w:t>
      </w:r>
    </w:p>
    <w:p w:rsidR="00780C05" w:rsidRPr="000E05A9" w:rsidRDefault="001E2DF1">
      <w:pPr>
        <w:pBdr>
          <w:top w:val="nil"/>
          <w:left w:val="nil"/>
          <w:bottom w:val="nil"/>
          <w:right w:val="nil"/>
          <w:between w:val="nil"/>
        </w:pBdr>
        <w:jc w:val="both"/>
        <w:rPr>
          <w:rFonts w:ascii="Cambria" w:eastAsia="Cambria" w:hAnsi="Cambria" w:cs="Cambria"/>
          <w:b/>
          <w:color w:val="0000FF"/>
          <w:sz w:val="24"/>
          <w:szCs w:val="24"/>
          <w:lang w:val="es-419"/>
        </w:rPr>
      </w:pPr>
      <w:r w:rsidRPr="000E05A9">
        <w:rPr>
          <w:rFonts w:ascii="Cambria" w:eastAsia="Cambria" w:hAnsi="Cambria" w:cs="Cambria"/>
          <w:sz w:val="24"/>
          <w:szCs w:val="24"/>
          <w:lang w:val="es-419"/>
        </w:rPr>
        <w:t>El borrador restringe en la 1º oración del párrafo 75 el uso del derecho penal contra los organizadores de una manifestación por actos cometidos por terceros. Sin embargo</w:t>
      </w:r>
      <w:r w:rsidR="00A35E9C">
        <w:rPr>
          <w:rFonts w:ascii="Cambria" w:eastAsia="Cambria" w:hAnsi="Cambria" w:cs="Cambria"/>
          <w:sz w:val="24"/>
          <w:szCs w:val="24"/>
          <w:lang w:val="es-419"/>
        </w:rPr>
        <w:t>,</w:t>
      </w:r>
      <w:r w:rsidRPr="000E05A9">
        <w:rPr>
          <w:rFonts w:ascii="Cambria" w:eastAsia="Cambria" w:hAnsi="Cambria" w:cs="Cambria"/>
          <w:sz w:val="24"/>
          <w:szCs w:val="24"/>
          <w:lang w:val="es-419"/>
        </w:rPr>
        <w:t xml:space="preserve"> la ambigüedad del lenguaje posterior relativiza el estándar consolidado por las Relatorías Especiales de Naciones Unidas y la Comisión Interamericana de Derechos Humanos: no es claro qué quiere decir “poder haber previsto y prevenido” “con esfuerzos razonables”. </w:t>
      </w:r>
      <w:r w:rsidR="00A35E9C">
        <w:rPr>
          <w:rFonts w:ascii="Cambria" w:eastAsia="Cambria" w:hAnsi="Cambria" w:cs="Cambria"/>
          <w:sz w:val="24"/>
          <w:szCs w:val="24"/>
          <w:lang w:val="es-419"/>
        </w:rPr>
        <w:t>Este</w:t>
      </w:r>
      <w:r w:rsidRPr="000E05A9">
        <w:rPr>
          <w:rFonts w:ascii="Cambria" w:eastAsia="Cambria" w:hAnsi="Cambria" w:cs="Cambria"/>
          <w:sz w:val="24"/>
          <w:szCs w:val="24"/>
          <w:lang w:val="es-419"/>
        </w:rPr>
        <w:t xml:space="preserve"> lenguaje que ofrece graves riesgos</w:t>
      </w:r>
      <w:r w:rsidR="00A35E9C">
        <w:rPr>
          <w:rFonts w:ascii="Cambria" w:eastAsia="Cambria" w:hAnsi="Cambria" w:cs="Cambria"/>
          <w:sz w:val="24"/>
          <w:szCs w:val="24"/>
          <w:lang w:val="es-419"/>
        </w:rPr>
        <w:t>, pudiendo se</w:t>
      </w:r>
      <w:r w:rsidRPr="000E05A9">
        <w:rPr>
          <w:rFonts w:ascii="Cambria" w:eastAsia="Cambria" w:hAnsi="Cambria" w:cs="Cambria"/>
          <w:sz w:val="24"/>
          <w:szCs w:val="24"/>
          <w:lang w:val="es-419"/>
        </w:rPr>
        <w:t xml:space="preserve">r aplicado para criminalizar a líderes sociales y manifestantes. </w:t>
      </w:r>
    </w:p>
    <w:p w:rsidR="00780C05" w:rsidRPr="000E05A9" w:rsidRDefault="001E2DF1">
      <w:pPr>
        <w:pStyle w:val="Heading2"/>
        <w:spacing w:line="240" w:lineRule="auto"/>
        <w:jc w:val="both"/>
        <w:rPr>
          <w:sz w:val="24"/>
          <w:szCs w:val="24"/>
          <w:lang w:val="es-419"/>
        </w:rPr>
      </w:pPr>
      <w:bookmarkStart w:id="4" w:name="_w1pj0q9kkz9" w:colFirst="0" w:colLast="0"/>
      <w:bookmarkEnd w:id="4"/>
      <w:r w:rsidRPr="000E05A9">
        <w:rPr>
          <w:lang w:val="es-419"/>
        </w:rPr>
        <w:t xml:space="preserve">1.4. El rol de las nuevas tecnologías y la vigencia de los derechos humanos consagrados en el sistema de las Naciones Unidas a las actividades en línea </w:t>
      </w:r>
      <w:r w:rsidRPr="000E05A9">
        <w:rPr>
          <w:sz w:val="24"/>
          <w:szCs w:val="24"/>
          <w:lang w:val="es-419"/>
        </w:rPr>
        <w:tab/>
      </w:r>
    </w:p>
    <w:p w:rsidR="00780C05" w:rsidRPr="000E05A9" w:rsidRDefault="001E2DF1">
      <w:pPr>
        <w:spacing w:before="240" w:line="240"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El párrafo 11 del borrador se refiere a la transformación que la forma de celebrar reuniones públicas ha sufrido con el tiempo, la que impacta el modo en el que las autoridades abordan el derecho de reunión pacífica y de asociación. </w:t>
      </w:r>
    </w:p>
    <w:p w:rsidR="00780C05" w:rsidRPr="000E05A9" w:rsidRDefault="001E2DF1">
      <w:pPr>
        <w:spacing w:before="240" w:line="240"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Consideramos que la reflexión contenida en este párrafo debe conectarse con una consideración más general de que el derecho de reunión pacífica puede ejercerse en el mundo físico, o puede ser ejercido o facilitado por actividades desarrolladas en espacio</w:t>
      </w:r>
      <w:r w:rsidR="003C212D">
        <w:rPr>
          <w:rFonts w:ascii="Cambria" w:eastAsia="Cambria" w:hAnsi="Cambria" w:cs="Cambria"/>
          <w:sz w:val="24"/>
          <w:szCs w:val="24"/>
          <w:lang w:val="es-419"/>
        </w:rPr>
        <w:t>s digitales, y por lo tanto, la</w:t>
      </w:r>
      <w:r w:rsidRPr="000E05A9">
        <w:rPr>
          <w:rFonts w:ascii="Cambria" w:eastAsia="Cambria" w:hAnsi="Cambria" w:cs="Cambria"/>
          <w:sz w:val="24"/>
          <w:szCs w:val="24"/>
          <w:lang w:val="es-419"/>
        </w:rPr>
        <w:t xml:space="preserve"> protección al ejercicio del derecho debe ser garantizada en ambos casos, tal como han declarado diferentes órganos de Naciones Unidas.</w:t>
      </w:r>
    </w:p>
    <w:p w:rsidR="00780C05" w:rsidRPr="000E05A9" w:rsidRDefault="001E2DF1">
      <w:pPr>
        <w:spacing w:before="240" w:line="240" w:lineRule="auto"/>
        <w:jc w:val="both"/>
        <w:rPr>
          <w:rFonts w:ascii="Cambria" w:eastAsia="Cambria" w:hAnsi="Cambria" w:cs="Cambria"/>
          <w:sz w:val="24"/>
          <w:szCs w:val="24"/>
          <w:vertAlign w:val="superscript"/>
          <w:lang w:val="es-419"/>
        </w:rPr>
      </w:pPr>
      <w:r w:rsidRPr="000E05A9">
        <w:rPr>
          <w:rFonts w:ascii="Cambria" w:eastAsia="Cambria" w:hAnsi="Cambria" w:cs="Cambria"/>
          <w:sz w:val="24"/>
          <w:szCs w:val="24"/>
          <w:lang w:val="es-419"/>
        </w:rPr>
        <w:t>El Consejo de Derechos Humanos ha recalcado en su resolución sobre Promoción, protección y disfrute de los derechos humanos en Internet:</w:t>
      </w:r>
      <w:r>
        <w:rPr>
          <w:rFonts w:ascii="Cambria" w:eastAsia="Cambria" w:hAnsi="Cambria" w:cs="Cambria"/>
          <w:sz w:val="24"/>
          <w:szCs w:val="24"/>
          <w:vertAlign w:val="superscript"/>
        </w:rPr>
        <w:footnoteReference w:id="3"/>
      </w:r>
    </w:p>
    <w:p w:rsidR="00780C05" w:rsidRPr="000E05A9" w:rsidRDefault="001E2DF1">
      <w:pPr>
        <w:spacing w:before="240" w:line="240" w:lineRule="auto"/>
        <w:ind w:left="850" w:right="809"/>
        <w:jc w:val="both"/>
        <w:rPr>
          <w:rFonts w:ascii="Cambria" w:eastAsia="Cambria" w:hAnsi="Cambria" w:cs="Cambria"/>
          <w:lang w:val="es-419"/>
        </w:rPr>
      </w:pPr>
      <w:r w:rsidRPr="000E05A9">
        <w:rPr>
          <w:rFonts w:ascii="Cambria" w:eastAsia="Cambria" w:hAnsi="Cambria" w:cs="Cambria"/>
          <w:lang w:val="es-419"/>
        </w:rPr>
        <w:t xml:space="preserve"> “que los mismos derechos que tienen fuera de línea las personas también deben protegerse en línea, en particular la libertad de expresión, lo que es aplicable independientemente de las fronteras y por conducto de cualquier medio de su propia elección, de conformidad con el artículo 19 de la Declaración Universal de Derechos Humanos y del Pacto Internacional de Derechos Civiles y Políticos”.</w:t>
      </w:r>
    </w:p>
    <w:p w:rsidR="00780C05" w:rsidRPr="000E05A9" w:rsidRDefault="001E2DF1">
      <w:pPr>
        <w:spacing w:before="240" w:line="240"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Ello también ha sido expresamente abordado por la Asamblea General de las Naciones Unidas al exhortar a todos los Estados:</w:t>
      </w:r>
    </w:p>
    <w:p w:rsidR="00780C05" w:rsidRPr="000E05A9" w:rsidRDefault="001E2DF1">
      <w:pPr>
        <w:spacing w:before="240" w:line="240" w:lineRule="auto"/>
        <w:ind w:left="850" w:right="809"/>
        <w:jc w:val="both"/>
        <w:rPr>
          <w:rFonts w:ascii="Cambria" w:eastAsia="Cambria" w:hAnsi="Cambria" w:cs="Cambria"/>
          <w:lang w:val="es-419"/>
        </w:rPr>
      </w:pPr>
      <w:r w:rsidRPr="000E05A9">
        <w:rPr>
          <w:rFonts w:ascii="Cambria" w:eastAsia="Cambria" w:hAnsi="Cambria" w:cs="Cambria"/>
          <w:lang w:val="es-419"/>
        </w:rPr>
        <w:t xml:space="preserve"> “a que velen por que los mismos derechos que tienen las personas cuando no están conectadas, incluidos los derechos a la libertad de expresión, de reunión pacífica y de asociación, estén plenamente protegidos también cuando estén en línea, de conformidad con el derecho de los derechos humanos”.</w:t>
      </w:r>
      <w:r>
        <w:rPr>
          <w:rFonts w:ascii="Cambria" w:eastAsia="Cambria" w:hAnsi="Cambria" w:cs="Cambria"/>
          <w:vertAlign w:val="superscript"/>
        </w:rPr>
        <w:footnoteReference w:id="4"/>
      </w:r>
    </w:p>
    <w:p w:rsidR="00780C05" w:rsidRPr="000E05A9" w:rsidRDefault="001E2DF1">
      <w:pPr>
        <w:spacing w:before="240" w:line="240"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En el Sistema Interamericano, la Relatoría Especial sobre Derechos Económicos, Sociales, Culturales y Ambientales (DESCA) ha observado en su más reciente informe:</w:t>
      </w:r>
    </w:p>
    <w:p w:rsidR="00780C05" w:rsidRPr="000E05A9" w:rsidRDefault="001E2DF1">
      <w:pPr>
        <w:spacing w:before="240" w:line="240" w:lineRule="auto"/>
        <w:ind w:left="850" w:right="809"/>
        <w:jc w:val="both"/>
        <w:rPr>
          <w:rFonts w:ascii="Cambria" w:eastAsia="Cambria" w:hAnsi="Cambria" w:cs="Cambria"/>
          <w:lang w:val="es-419"/>
        </w:rPr>
      </w:pPr>
      <w:r w:rsidRPr="000E05A9">
        <w:rPr>
          <w:rFonts w:ascii="Cambria" w:eastAsia="Cambria" w:hAnsi="Cambria" w:cs="Cambria"/>
          <w:lang w:val="es-419"/>
        </w:rPr>
        <w:t xml:space="preserve"> “que Internet y diversos medios electrónicos o digitales de comunicación constituyen una plataforma para el ejercicio de derechos humanos, incluyendo derechos civiles y políticos, como también derechos económicos, sociales, culturales y ambientales.”</w:t>
      </w:r>
      <w:r>
        <w:rPr>
          <w:rFonts w:ascii="Cambria" w:eastAsia="Cambria" w:hAnsi="Cambria" w:cs="Cambria"/>
          <w:vertAlign w:val="superscript"/>
        </w:rPr>
        <w:footnoteReference w:id="5"/>
      </w:r>
    </w:p>
    <w:p w:rsidR="00780C05" w:rsidRPr="000E05A9" w:rsidRDefault="001E2DF1">
      <w:pPr>
        <w:spacing w:before="240" w:line="240" w:lineRule="auto"/>
        <w:ind w:right="-40"/>
        <w:jc w:val="both"/>
        <w:rPr>
          <w:rFonts w:ascii="Cambria" w:eastAsia="Cambria" w:hAnsi="Cambria" w:cs="Cambria"/>
          <w:sz w:val="24"/>
          <w:szCs w:val="24"/>
          <w:lang w:val="es-419"/>
        </w:rPr>
      </w:pPr>
      <w:r w:rsidRPr="000E05A9">
        <w:rPr>
          <w:rFonts w:ascii="Cambria" w:eastAsia="Cambria" w:hAnsi="Cambria" w:cs="Cambria"/>
          <w:sz w:val="24"/>
          <w:szCs w:val="24"/>
          <w:lang w:val="es-419"/>
        </w:rPr>
        <w:t>La relevancia de la protección de los espacios digitales para el ejercicio de la libertad de reunión pacífica y de asociación no se limita a la obligación negativa del Estado de no ge</w:t>
      </w:r>
      <w:r w:rsidR="003A388D">
        <w:rPr>
          <w:rFonts w:ascii="Cambria" w:eastAsia="Cambria" w:hAnsi="Cambria" w:cs="Cambria"/>
          <w:sz w:val="24"/>
          <w:szCs w:val="24"/>
          <w:lang w:val="es-419"/>
        </w:rPr>
        <w:t>nerar interferencia en este, si</w:t>
      </w:r>
      <w:r w:rsidRPr="000E05A9">
        <w:rPr>
          <w:rFonts w:ascii="Cambria" w:eastAsia="Cambria" w:hAnsi="Cambria" w:cs="Cambria"/>
          <w:sz w:val="24"/>
          <w:szCs w:val="24"/>
          <w:lang w:val="es-419"/>
        </w:rPr>
        <w:t xml:space="preserve">no que también abarca como lo ha indicado el Relator Especial, las iniciativas destinadas a: </w:t>
      </w:r>
    </w:p>
    <w:p w:rsidR="00780C05" w:rsidRPr="000E05A9" w:rsidRDefault="001E2DF1">
      <w:pPr>
        <w:spacing w:before="240" w:line="240" w:lineRule="auto"/>
        <w:ind w:left="720" w:right="809"/>
        <w:jc w:val="both"/>
        <w:rPr>
          <w:rFonts w:ascii="Cambria" w:eastAsia="Cambria" w:hAnsi="Cambria" w:cs="Cambria"/>
          <w:lang w:val="es-419"/>
        </w:rPr>
      </w:pPr>
      <w:r w:rsidRPr="000E05A9">
        <w:rPr>
          <w:rFonts w:ascii="Cambria" w:eastAsia="Cambria" w:hAnsi="Cambria" w:cs="Cambria"/>
          <w:lang w:val="es-419"/>
        </w:rPr>
        <w:t>“cerrar las brechas digitales, especialmente la existente entre los géneros, y a aumentar el uso de la tecnología de la información y las comunicaciones, para promover el pleno disfrute de los derechos humanos para todos” que son detalladas en el párrafo 5 de la resolución sobre Promoción, protección y disfrute de los derechos humanos en Internet.</w:t>
      </w:r>
      <w:r>
        <w:rPr>
          <w:rFonts w:ascii="Cambria" w:eastAsia="Cambria" w:hAnsi="Cambria" w:cs="Cambria"/>
          <w:vertAlign w:val="superscript"/>
        </w:rPr>
        <w:footnoteReference w:id="6"/>
      </w:r>
    </w:p>
    <w:p w:rsidR="00780C05" w:rsidRPr="000E05A9" w:rsidRDefault="001E2DF1">
      <w:pPr>
        <w:spacing w:before="240" w:line="240"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Finalmente, también el Relator Especial observa que:</w:t>
      </w:r>
    </w:p>
    <w:p w:rsidR="00780C05" w:rsidRPr="000E05A9" w:rsidRDefault="001E2DF1">
      <w:pPr>
        <w:spacing w:before="240" w:line="240" w:lineRule="auto"/>
        <w:ind w:left="720" w:right="809"/>
        <w:jc w:val="both"/>
        <w:rPr>
          <w:rFonts w:ascii="Cambria" w:eastAsia="Cambria" w:hAnsi="Cambria" w:cs="Cambria"/>
          <w:vertAlign w:val="superscript"/>
          <w:lang w:val="es-419"/>
        </w:rPr>
      </w:pPr>
      <w:r w:rsidRPr="000E05A9">
        <w:rPr>
          <w:rFonts w:ascii="Cambria" w:eastAsia="Cambria" w:hAnsi="Cambria" w:cs="Cambria"/>
          <w:lang w:val="es-419"/>
        </w:rPr>
        <w:t xml:space="preserve"> “[l]a obligación de proteger los derechos a la libertad de reunión pacífica y de asociación requiere que se adopten medidas positivas para prevenir las actividades de agentes no estatales, como las empresas, que se pudieran injerir indebidamente en el ejercicio de esos derechos.”</w:t>
      </w:r>
      <w:r>
        <w:rPr>
          <w:rFonts w:ascii="Cambria" w:eastAsia="Cambria" w:hAnsi="Cambria" w:cs="Cambria"/>
          <w:vertAlign w:val="superscript"/>
        </w:rPr>
        <w:footnoteReference w:id="7"/>
      </w:r>
    </w:p>
    <w:p w:rsidR="00780C05" w:rsidRPr="000E05A9" w:rsidRDefault="001E2DF1">
      <w:pPr>
        <w:pBdr>
          <w:top w:val="nil"/>
          <w:left w:val="nil"/>
          <w:bottom w:val="nil"/>
          <w:right w:val="nil"/>
          <w:between w:val="nil"/>
        </w:pBdr>
        <w:spacing w:before="240" w:line="240"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En cuanto a la conexión de los derechos a la libertad de reunión pacífica y de asociación con el ejercicio de otros derechos, </w:t>
      </w:r>
      <w:r w:rsidRPr="000E05A9">
        <w:rPr>
          <w:rFonts w:ascii="Cambria" w:eastAsia="Cambria" w:hAnsi="Cambria" w:cs="Cambria"/>
          <w:b/>
          <w:sz w:val="24"/>
          <w:szCs w:val="24"/>
          <w:lang w:val="es-419"/>
        </w:rPr>
        <w:t>el entendimiento contemporáneo del marco jurídico que se requiere para dar pleno efecto al artículo 21 requiere que se aborde la privacidad como una base esencial para el ejercicio de tal derecho</w:t>
      </w:r>
      <w:r w:rsidRPr="000E05A9">
        <w:rPr>
          <w:rFonts w:ascii="Cambria" w:eastAsia="Cambria" w:hAnsi="Cambria" w:cs="Cambria"/>
          <w:sz w:val="24"/>
          <w:szCs w:val="24"/>
          <w:lang w:val="es-419"/>
        </w:rPr>
        <w:t xml:space="preserve">. </w:t>
      </w:r>
    </w:p>
    <w:p w:rsidR="00780C05" w:rsidRPr="000E05A9" w:rsidRDefault="001E2DF1">
      <w:pPr>
        <w:pBdr>
          <w:top w:val="nil"/>
          <w:left w:val="nil"/>
          <w:bottom w:val="nil"/>
          <w:right w:val="nil"/>
          <w:between w:val="nil"/>
        </w:pBdr>
        <w:spacing w:before="240" w:line="240"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A la hora de hacer referencia a los riesgos de uso de tecnologías de vigilancia que impactan el derecho a la reunión pacífica, cabe recordar la Resolución del Consejo de Derechos Humanos sobre el derecho a la privacidad en la era digital, la cual señala que:</w:t>
      </w:r>
    </w:p>
    <w:p w:rsidR="00780C05" w:rsidRPr="000E05A9" w:rsidRDefault="001E2DF1">
      <w:pPr>
        <w:pBdr>
          <w:top w:val="nil"/>
          <w:left w:val="nil"/>
          <w:bottom w:val="nil"/>
          <w:right w:val="nil"/>
          <w:between w:val="nil"/>
        </w:pBdr>
        <w:spacing w:before="240" w:line="240" w:lineRule="auto"/>
        <w:ind w:left="850" w:right="809"/>
        <w:jc w:val="both"/>
        <w:rPr>
          <w:rFonts w:ascii="Cambria" w:eastAsia="Cambria" w:hAnsi="Cambria" w:cs="Cambria"/>
          <w:lang w:val="es-419"/>
        </w:rPr>
      </w:pPr>
      <w:r w:rsidRPr="000E05A9">
        <w:rPr>
          <w:rFonts w:ascii="Cambria" w:eastAsia="Cambria" w:hAnsi="Cambria" w:cs="Cambria"/>
          <w:lang w:val="es-419"/>
        </w:rPr>
        <w:t xml:space="preserve"> “el derecho a la privacidad puede permitir el disfrute de otros derechos y el libre desarrollo de la personalidad y la identidad de las personas y su capacidad para participar en la vida política, económica, social y cultural”</w:t>
      </w:r>
    </w:p>
    <w:p w:rsidR="00780C05" w:rsidRPr="000E05A9" w:rsidRDefault="001E2DF1">
      <w:pPr>
        <w:pBdr>
          <w:top w:val="nil"/>
          <w:left w:val="nil"/>
          <w:bottom w:val="nil"/>
          <w:right w:val="nil"/>
          <w:between w:val="nil"/>
        </w:pBdr>
        <w:spacing w:before="240" w:line="240" w:lineRule="auto"/>
        <w:ind w:left="850" w:right="809"/>
        <w:jc w:val="both"/>
        <w:rPr>
          <w:rFonts w:ascii="Cambria" w:eastAsia="Cambria" w:hAnsi="Cambria" w:cs="Cambria"/>
          <w:lang w:val="es-419"/>
        </w:rPr>
      </w:pPr>
      <w:r w:rsidRPr="000E05A9">
        <w:rPr>
          <w:rFonts w:ascii="Cambria" w:eastAsia="Cambria" w:hAnsi="Cambria" w:cs="Cambria"/>
          <w:lang w:val="es-419"/>
        </w:rPr>
        <w:t>“las violaciones o transgresiones del derecho a la privacidad podrían afectar al ejercicio de otros derechos humanos, como el derecho a la libertad de expresión y a abrigar opiniones sin injerencias, y el derecho a la libertad de reunión y asociación pacíficas”.</w:t>
      </w:r>
      <w:r>
        <w:rPr>
          <w:rFonts w:ascii="Cambria" w:eastAsia="Cambria" w:hAnsi="Cambria" w:cs="Cambria"/>
          <w:vertAlign w:val="superscript"/>
        </w:rPr>
        <w:footnoteReference w:id="8"/>
      </w:r>
    </w:p>
    <w:p w:rsidR="00780C05" w:rsidRPr="000E05A9" w:rsidRDefault="001E2DF1">
      <w:pPr>
        <w:pBdr>
          <w:top w:val="nil"/>
          <w:left w:val="nil"/>
          <w:bottom w:val="nil"/>
          <w:right w:val="nil"/>
          <w:between w:val="nil"/>
        </w:pBdr>
        <w:spacing w:before="240" w:line="240"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Por su parte el Relator Especial de las Naciones Unidas para la Protección y Promoción del Derecho a la Libertad de Opinión y de Expresión constata también que:</w:t>
      </w:r>
    </w:p>
    <w:p w:rsidR="00780C05" w:rsidRPr="000E05A9" w:rsidRDefault="001E2DF1">
      <w:pPr>
        <w:pBdr>
          <w:top w:val="nil"/>
          <w:left w:val="nil"/>
          <w:bottom w:val="nil"/>
          <w:right w:val="nil"/>
          <w:between w:val="nil"/>
        </w:pBdr>
        <w:spacing w:before="240" w:line="240" w:lineRule="auto"/>
        <w:ind w:left="850" w:right="809"/>
        <w:jc w:val="both"/>
        <w:rPr>
          <w:rFonts w:ascii="Cambria" w:eastAsia="Cambria" w:hAnsi="Cambria" w:cs="Cambria"/>
          <w:lang w:val="es-419"/>
        </w:rPr>
      </w:pPr>
      <w:r w:rsidRPr="000E05A9">
        <w:rPr>
          <w:rFonts w:ascii="Cambria" w:eastAsia="Cambria" w:hAnsi="Cambria" w:cs="Cambria"/>
          <w:lang w:val="es-419"/>
        </w:rPr>
        <w:t>“[l]as vulneraciones de los derechos a la libertad de reunión pacífica y de asociación también pueden estorbar el disfrute, tanto en línea como fuera de línea, de otros derechos humanos; entre ellos, el derecho a la privacidad y el derecho a la libertad de opinión y de expresión, que están íntimamente ligados al disfrute de los derechos a la libertad de reunión pacífica y de asociación. También se pueden ver perjudicados otros derechos, particularmente los económicos, sociales y culturales.”</w:t>
      </w:r>
      <w:r>
        <w:rPr>
          <w:rFonts w:ascii="Cambria" w:eastAsia="Cambria" w:hAnsi="Cambria" w:cs="Cambria"/>
          <w:vertAlign w:val="superscript"/>
        </w:rPr>
        <w:footnoteReference w:id="9"/>
      </w:r>
    </w:p>
    <w:p w:rsidR="00780C05" w:rsidRPr="000E05A9" w:rsidRDefault="001E2DF1">
      <w:pPr>
        <w:pBdr>
          <w:top w:val="nil"/>
          <w:left w:val="nil"/>
          <w:bottom w:val="nil"/>
          <w:right w:val="nil"/>
          <w:between w:val="nil"/>
        </w:pBdr>
        <w:spacing w:before="240" w:line="240"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En el mismo sentido, la declaración conjunta de los Relatores Especiales de las Naciones Unidas y de la CIDH para la Protección y Promoción del Derecho a la Libertad de Opinión y de Expresión de 2013 expresa que: </w:t>
      </w:r>
    </w:p>
    <w:p w:rsidR="00780C05" w:rsidRPr="000E05A9" w:rsidRDefault="001E2DF1">
      <w:pPr>
        <w:pBdr>
          <w:top w:val="nil"/>
          <w:left w:val="nil"/>
          <w:bottom w:val="nil"/>
          <w:right w:val="nil"/>
          <w:between w:val="nil"/>
        </w:pBdr>
        <w:spacing w:before="240" w:line="240" w:lineRule="auto"/>
        <w:ind w:left="850" w:right="809"/>
        <w:jc w:val="both"/>
        <w:rPr>
          <w:rFonts w:ascii="Cambria" w:eastAsia="Cambria" w:hAnsi="Cambria" w:cs="Cambria"/>
          <w:lang w:val="es-419"/>
        </w:rPr>
      </w:pPr>
      <w:r w:rsidRPr="000E05A9">
        <w:rPr>
          <w:rFonts w:ascii="Cambria" w:eastAsia="Cambria" w:hAnsi="Cambria" w:cs="Cambria"/>
          <w:lang w:val="es-419"/>
        </w:rPr>
        <w:t>“[l]os derechos de reunión y libertad de expresión, garantizados en la Convención Americana sobre Derechos Humanos y en el Pacto Internacional de Derechos Civiles y Políticos, son fundamentales y su garantía es una condición necesaria para la existencia y el funcionamiento de una sociedad democrática. Un Estado puede imponer limitaciones razonables a las manifestaciones con el fin de asegurar el desarrollo pacífico de las mismas o dispersar aquellas que se tornan violentas, siempre que tales límites se encuentren regidos por los principios de legalidad, necesidad y proporcionalidad. Además, la desconcentración de una manifestación debe justificarse en el deber de protección de las personas, y deben utilizarse las medidas más seguras y menos lesivas para los manifestantes. El uso de la fuerza en manifestaciones públicas debe ser excepcional y en circunstancias estrictamente necesarias conforme a los principios internacionalmente reconocidos.”</w:t>
      </w:r>
      <w:r>
        <w:rPr>
          <w:rFonts w:ascii="Cambria" w:eastAsia="Cambria" w:hAnsi="Cambria" w:cs="Cambria"/>
          <w:vertAlign w:val="superscript"/>
        </w:rPr>
        <w:footnoteReference w:id="10"/>
      </w:r>
    </w:p>
    <w:p w:rsidR="00780C05" w:rsidRPr="000E05A9" w:rsidRDefault="00780C05">
      <w:pPr>
        <w:rPr>
          <w:rFonts w:ascii="Cambria" w:eastAsia="Cambria" w:hAnsi="Cambria" w:cs="Cambria"/>
          <w:sz w:val="24"/>
          <w:szCs w:val="24"/>
          <w:lang w:val="es-419"/>
        </w:rPr>
      </w:pPr>
    </w:p>
    <w:p w:rsidR="00780C05" w:rsidRPr="000E05A9" w:rsidRDefault="00780C05">
      <w:pPr>
        <w:rPr>
          <w:rFonts w:ascii="Cambria" w:eastAsia="Cambria" w:hAnsi="Cambria" w:cs="Cambria"/>
          <w:sz w:val="24"/>
          <w:szCs w:val="24"/>
          <w:lang w:val="es-419"/>
        </w:rPr>
      </w:pPr>
    </w:p>
    <w:p w:rsidR="00780C05" w:rsidRDefault="001E2DF1">
      <w:pPr>
        <w:pStyle w:val="Heading1"/>
        <w:numPr>
          <w:ilvl w:val="0"/>
          <w:numId w:val="1"/>
        </w:numPr>
      </w:pPr>
      <w:bookmarkStart w:id="5" w:name="_pqq5uzaqselm" w:colFirst="0" w:colLast="0"/>
      <w:bookmarkEnd w:id="5"/>
      <w:r>
        <w:t xml:space="preserve">El concepto de “protestas violentas” </w:t>
      </w:r>
    </w:p>
    <w:p w:rsidR="00780C05" w:rsidRDefault="00780C05">
      <w:pPr>
        <w:rPr>
          <w:rFonts w:ascii="Cambria" w:eastAsia="Cambria" w:hAnsi="Cambria" w:cs="Cambria"/>
          <w:sz w:val="24"/>
          <w:szCs w:val="24"/>
        </w:rPr>
      </w:pPr>
    </w:p>
    <w:p w:rsidR="00780C05" w:rsidRPr="000E05A9" w:rsidRDefault="001E2DF1">
      <w:pPr>
        <w:pStyle w:val="Heading2"/>
        <w:rPr>
          <w:lang w:val="es-419"/>
        </w:rPr>
      </w:pPr>
      <w:bookmarkStart w:id="6" w:name="_xxuihiel0o5d" w:colFirst="0" w:colLast="0"/>
      <w:bookmarkEnd w:id="6"/>
      <w:r w:rsidRPr="000E05A9">
        <w:rPr>
          <w:lang w:val="es-419"/>
        </w:rPr>
        <w:t>2.1. Estándares internacionales y regionales sobre la definición de “protesta pacífica”</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La discusión sobre el significado de la palabra “pacífica” presente en el artículo 21 es de fundamental importancia; sin embargo, es </w:t>
      </w:r>
      <w:r w:rsidRPr="000E05A9">
        <w:rPr>
          <w:rFonts w:ascii="Cambria" w:eastAsia="Cambria" w:hAnsi="Cambria" w:cs="Cambria"/>
          <w:b/>
          <w:sz w:val="24"/>
          <w:szCs w:val="24"/>
          <w:lang w:val="es-419"/>
        </w:rPr>
        <w:t>abordado de manera poco precisa y contradictoria por el borrador de la Observación General Nº 37</w:t>
      </w:r>
      <w:r w:rsidRPr="000E05A9">
        <w:rPr>
          <w:rFonts w:ascii="Cambria" w:eastAsia="Cambria" w:hAnsi="Cambria" w:cs="Cambria"/>
          <w:sz w:val="24"/>
          <w:szCs w:val="24"/>
          <w:lang w:val="es-419"/>
        </w:rPr>
        <w:t>.</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Tal como es de conocimiento de las organizaciones de la sociedad civil con presencia en el terreno,  el argumento de que una protesta “es violenta” y por lo tanto ”ilegal”, es un patrón recurrente en la respuesta estatal a las protestas para justificar su represión, dispersarla, restringirla o criminalizar a los participantes y organizadores. De allí la relevancia clave de contar con una definición precisa en relación a la palabra “pacífica”.</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Tal como reconoció la CIDH, en las Américas:</w:t>
      </w:r>
    </w:p>
    <w:p w:rsidR="00780C05" w:rsidRPr="000E05A9" w:rsidRDefault="001E2DF1">
      <w:pPr>
        <w:spacing w:before="240" w:after="240"/>
        <w:ind w:left="850" w:right="809"/>
        <w:jc w:val="both"/>
        <w:rPr>
          <w:rFonts w:ascii="Cambria" w:eastAsia="Cambria" w:hAnsi="Cambria" w:cs="Cambria"/>
          <w:sz w:val="24"/>
          <w:szCs w:val="24"/>
          <w:lang w:val="es-419"/>
        </w:rPr>
      </w:pPr>
      <w:r w:rsidRPr="000E05A9">
        <w:rPr>
          <w:rFonts w:ascii="Cambria" w:eastAsia="Cambria" w:hAnsi="Cambria" w:cs="Cambria"/>
          <w:lang w:val="es-419"/>
        </w:rPr>
        <w:t>“la noción de orden público y paz social que se impone parece preocupada únicamente en garantizar el orden como una expresión del poder del Estado y privilegiar los derechos e intereses de quienes se puedan ver afectados circunstancialmente por las protestas. A pesar de que se identifican algunos avances normativos, el uso desproporcionado de la fuerza observado indica que las autoridades estatales de las Américas todavía se inclinan rápidamente a deslegitimar la protesta social por la afectación que pueda causar, por ejemplo, a vías de tránsito, desconociendo la importancia de los derechos de expresión y petición en juego y su estrecha relación con la democracia”</w:t>
      </w:r>
      <w:r>
        <w:rPr>
          <w:rFonts w:ascii="Cambria" w:eastAsia="Cambria" w:hAnsi="Cambria" w:cs="Cambria"/>
          <w:vertAlign w:val="superscript"/>
        </w:rPr>
        <w:footnoteReference w:id="11"/>
      </w:r>
    </w:p>
    <w:p w:rsidR="00780C05" w:rsidRPr="000E05A9" w:rsidRDefault="001E2DF1">
      <w:pPr>
        <w:spacing w:before="240" w:after="200"/>
        <w:jc w:val="both"/>
        <w:rPr>
          <w:rFonts w:ascii="Cambria" w:eastAsia="Cambria" w:hAnsi="Cambria" w:cs="Cambria"/>
          <w:sz w:val="24"/>
          <w:szCs w:val="24"/>
          <w:lang w:val="es-419"/>
        </w:rPr>
      </w:pPr>
      <w:r w:rsidRPr="000E05A9">
        <w:rPr>
          <w:rFonts w:ascii="Cambria" w:eastAsia="Cambria" w:hAnsi="Cambria" w:cs="Cambria"/>
          <w:sz w:val="24"/>
          <w:szCs w:val="24"/>
          <w:lang w:val="es-419"/>
        </w:rPr>
        <w:t>Por esta razón, y mediante extensos procesos de consulta, la CIDH, junto a las Relatorías Especiales de Naciones Unidas para la Libertad de Asociación y Reunión y sobre la Ejecuciones Extrajudiciales, Sumarias o Arbitrarias han desarrollado en años recientes estándares para tornar más preciso el calificativo “pacíficas” que traen las normas internacionales sobre el derecho de reunión. En su reciente informe sobre Protesta y Derechos Humanos, la CIDH consideró:</w:t>
      </w:r>
    </w:p>
    <w:p w:rsidR="00780C05" w:rsidRPr="000E05A9" w:rsidRDefault="001E2DF1">
      <w:pPr>
        <w:ind w:left="850" w:right="809"/>
        <w:jc w:val="both"/>
        <w:rPr>
          <w:rFonts w:ascii="Cambria" w:eastAsia="Cambria" w:hAnsi="Cambria" w:cs="Cambria"/>
          <w:lang w:val="es-419"/>
        </w:rPr>
      </w:pPr>
      <w:r w:rsidRPr="000E05A9">
        <w:rPr>
          <w:rFonts w:ascii="Cambria" w:eastAsia="Cambria" w:hAnsi="Cambria" w:cs="Cambria"/>
          <w:lang w:val="es-419"/>
        </w:rPr>
        <w:t>“En cuanto a las restricciones de modo, “el derecho de reunión, tal como se ha definido en el plano internacional y en los ordenamientos jurídicos internos de rango constitucional en los países de la región, tiene como requisito el de ejercerse de manera pacífica y sin armas”. Dada la obligación del Estado de proteger los derechos humanos en contextos de protesta, incluidos la vida y la integridad de los manifestantes, este calificativo presente en el art. 15 de la Convención Americana debe interpretarse en el sentido de que el Estado puede restringir la participación en manifestaciones públicas y protestas a las personas que cometan actos de violencia o que porten armas.”</w:t>
      </w:r>
      <w:r>
        <w:rPr>
          <w:rFonts w:ascii="Cambria" w:eastAsia="Cambria" w:hAnsi="Cambria" w:cs="Cambria"/>
          <w:vertAlign w:val="superscript"/>
        </w:rPr>
        <w:footnoteReference w:id="12"/>
      </w:r>
    </w:p>
    <w:p w:rsidR="00780C05" w:rsidRPr="000E05A9" w:rsidRDefault="001E2DF1">
      <w:pP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El párrafo 19 del borrador de la Observación General Nº 37, incorpora correctamente el estándar interamericano de la presunción a favor del carácter pacífico de las reuniones. También que los actos de violencia cometidos por algunos participantes no deben atribuirse a otros participantes. Esto último es correcto y consistente con estándares fundamentales de derecho penal, pero insuficiente para proteger el derecho de reunión. Es crucial que el borrador aclare que los actos de violencia cometidos en el marco de una protesta no habilitan que se declare la protesta entera como violenta para impedirla, restringirla, reprimirla o criminalizar a sus organizadores y a los participantes. </w:t>
      </w:r>
    </w:p>
    <w:p w:rsidR="00780C05" w:rsidRPr="000E05A9" w:rsidRDefault="001E2DF1">
      <w:pP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Este no es el estándar fijado por el borrador.  El párrafo 10, por ejemplo, establece que protestas enteras podrían estar desprotegidas por el Pacto a partir de una definición general e indefinida de violencia. El párrafo 17, a su vez, trae una formulación nueva de “pacífica”, que se aparta de los desarrollos recientes a nivel europeo, interamericano e incluso los realizados por procedimientos especiales de Naciones Unidas que habilita clasificar una reunión entera como pacífica o violenta; aún más grave, incluye la posibilidad de que los Estados la considere violenta en función de la “incitación”, la “intención de provocarla” o “porque la violencia sea inminente”.</w:t>
      </w:r>
    </w:p>
    <w:p w:rsidR="00780C05" w:rsidRPr="000E05A9" w:rsidRDefault="001E2DF1">
      <w:pP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El párrafo 21 del Borrador, a su vez, habilita la desprotección de reuniones enteras a partir de conceptos vagos como el de incitación e intención de violencia, el de “violencia generalizada” o el de que “los líderes transmitan” un mensaje violento. El párrafo necesita reformulación y una aclaración de </w:t>
      </w:r>
      <w:r w:rsidR="00351ED3" w:rsidRPr="000E05A9">
        <w:rPr>
          <w:rFonts w:ascii="Cambria" w:eastAsia="Cambria" w:hAnsi="Cambria" w:cs="Cambria"/>
          <w:sz w:val="24"/>
          <w:szCs w:val="24"/>
          <w:lang w:val="es-419"/>
        </w:rPr>
        <w:t>que,</w:t>
      </w:r>
      <w:r w:rsidRPr="000E05A9">
        <w:rPr>
          <w:rFonts w:ascii="Cambria" w:eastAsia="Cambria" w:hAnsi="Cambria" w:cs="Cambria"/>
          <w:sz w:val="24"/>
          <w:szCs w:val="24"/>
          <w:lang w:val="es-419"/>
        </w:rPr>
        <w:t xml:space="preserve"> </w:t>
      </w:r>
      <w:r w:rsidRPr="000E05A9">
        <w:rPr>
          <w:rFonts w:ascii="Cambria" w:eastAsia="Cambria" w:hAnsi="Cambria" w:cs="Cambria"/>
          <w:b/>
          <w:sz w:val="24"/>
          <w:szCs w:val="24"/>
          <w:lang w:val="es-419"/>
        </w:rPr>
        <w:t>en cualquier hipótesis,</w:t>
      </w:r>
      <w:r w:rsidR="00351ED3">
        <w:rPr>
          <w:rFonts w:ascii="Cambria" w:eastAsia="Cambria" w:hAnsi="Cambria" w:cs="Cambria"/>
          <w:b/>
          <w:sz w:val="24"/>
          <w:szCs w:val="24"/>
          <w:lang w:val="es-419"/>
        </w:rPr>
        <w:t xml:space="preserve"> </w:t>
      </w:r>
      <w:r w:rsidRPr="000E05A9">
        <w:rPr>
          <w:rFonts w:ascii="Cambria" w:eastAsia="Cambria" w:hAnsi="Cambria" w:cs="Cambria"/>
          <w:b/>
          <w:sz w:val="24"/>
          <w:szCs w:val="24"/>
          <w:lang w:val="es-419"/>
        </w:rPr>
        <w:t>esta restricción del derecho de reunión debe basarse en el deber de protección de otros derechos</w:t>
      </w:r>
      <w:r w:rsidRPr="000E05A9">
        <w:rPr>
          <w:rFonts w:ascii="Cambria" w:eastAsia="Cambria" w:hAnsi="Cambria" w:cs="Cambria"/>
          <w:sz w:val="24"/>
          <w:szCs w:val="24"/>
          <w:lang w:val="es-419"/>
        </w:rPr>
        <w:t>, en particular el derecho a la vida y la integridad física de las personas. De lo contrario, serán estándares que se usarán para habilitar respuestas violentas por parte del Estado, con consecuencias graves para la seguridad de las personas.</w:t>
      </w:r>
    </w:p>
    <w:p w:rsidR="00780C05" w:rsidRPr="000E05A9" w:rsidRDefault="001E2DF1">
      <w:pP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Asimismo, en el marco del actual borrador </w:t>
      </w:r>
      <w:r w:rsidRPr="000E05A9">
        <w:rPr>
          <w:rFonts w:ascii="Cambria" w:eastAsia="Cambria" w:hAnsi="Cambria" w:cs="Cambria"/>
          <w:b/>
          <w:sz w:val="24"/>
          <w:szCs w:val="24"/>
          <w:lang w:val="es-419"/>
        </w:rPr>
        <w:t>es particularmente preocupante que en sus párrafos 17 y 49 los “daños graves a la propiedad” se incluyan como un criterio para esa clasificación de una protesta como violenta.</w:t>
      </w:r>
    </w:p>
    <w:p w:rsidR="00780C05" w:rsidRPr="000E05A9" w:rsidRDefault="001E2DF1">
      <w:pPr>
        <w:spacing w:before="240"/>
        <w:jc w:val="both"/>
        <w:rPr>
          <w:rFonts w:ascii="Cambria" w:eastAsia="Cambria" w:hAnsi="Cambria" w:cs="Cambria"/>
          <w:i/>
          <w:lang w:val="es-419"/>
        </w:rPr>
      </w:pPr>
      <w:r w:rsidRPr="000E05A9">
        <w:rPr>
          <w:rFonts w:ascii="Cambria" w:eastAsia="Cambria" w:hAnsi="Cambria" w:cs="Cambria"/>
          <w:sz w:val="24"/>
          <w:szCs w:val="24"/>
          <w:lang w:val="es-419"/>
        </w:rPr>
        <w:t>El Comité ofrece dos referencias para hablar de daños a la propiedad. En el párrafo 49, cita un documento de la década del 80, los Principios de Siracusa. En el párrafo 17, cita estándares mucho más recientes y acordes a los últimos desarrollos jurídicos en la materia: las Directrices sobre la Libertad de Reunión Pacífica de la OSCE, de 2010</w:t>
      </w:r>
      <w:r>
        <w:rPr>
          <w:rFonts w:ascii="Cambria" w:eastAsia="Cambria" w:hAnsi="Cambria" w:cs="Cambria"/>
          <w:sz w:val="24"/>
          <w:szCs w:val="24"/>
          <w:vertAlign w:val="superscript"/>
        </w:rPr>
        <w:footnoteReference w:id="13"/>
      </w:r>
      <w:r w:rsidRPr="000E05A9">
        <w:rPr>
          <w:rFonts w:ascii="Cambria" w:eastAsia="Cambria" w:hAnsi="Cambria" w:cs="Cambria"/>
          <w:sz w:val="24"/>
          <w:szCs w:val="24"/>
          <w:lang w:val="es-419"/>
        </w:rPr>
        <w:t>:</w:t>
      </w:r>
    </w:p>
    <w:p w:rsidR="00780C05" w:rsidRPr="000E05A9" w:rsidRDefault="001E2DF1">
      <w:pPr>
        <w:spacing w:before="240" w:after="240"/>
        <w:ind w:left="850" w:right="809"/>
        <w:jc w:val="both"/>
        <w:rPr>
          <w:rFonts w:ascii="Cambria" w:eastAsia="Cambria" w:hAnsi="Cambria" w:cs="Cambria"/>
          <w:lang w:val="en-GB"/>
        </w:rPr>
      </w:pPr>
      <w:r w:rsidRPr="000E05A9">
        <w:rPr>
          <w:rFonts w:ascii="Cambria" w:eastAsia="Cambria" w:hAnsi="Cambria" w:cs="Cambria"/>
          <w:lang w:val="en-GB"/>
        </w:rPr>
        <w:t>26. The</w:t>
      </w:r>
      <w:r w:rsidR="00901584">
        <w:rPr>
          <w:rFonts w:ascii="Cambria" w:eastAsia="Cambria" w:hAnsi="Cambria" w:cs="Cambria"/>
          <w:lang w:val="en-GB"/>
        </w:rPr>
        <w:t xml:space="preserve"> </w:t>
      </w:r>
      <w:r w:rsidRPr="000E05A9">
        <w:rPr>
          <w:rFonts w:ascii="Cambria" w:eastAsia="Cambria" w:hAnsi="Cambria" w:cs="Cambria"/>
          <w:lang w:val="en-GB"/>
        </w:rPr>
        <w:t>term “peaceful” should be interpreted to include</w:t>
      </w:r>
      <w:r w:rsidR="00901584">
        <w:rPr>
          <w:rFonts w:ascii="Cambria" w:eastAsia="Cambria" w:hAnsi="Cambria" w:cs="Cambria"/>
          <w:lang w:val="en-GB"/>
        </w:rPr>
        <w:t xml:space="preserve"> </w:t>
      </w:r>
      <w:r w:rsidRPr="000E05A9">
        <w:rPr>
          <w:rFonts w:ascii="Cambria" w:eastAsia="Cambria" w:hAnsi="Cambria" w:cs="Cambria"/>
          <w:lang w:val="en-GB"/>
        </w:rPr>
        <w:t>conduct</w:t>
      </w:r>
      <w:r w:rsidR="00901584">
        <w:rPr>
          <w:rFonts w:ascii="Cambria" w:eastAsia="Cambria" w:hAnsi="Cambria" w:cs="Cambria"/>
          <w:lang w:val="en-GB"/>
        </w:rPr>
        <w:t xml:space="preserve"> </w:t>
      </w:r>
      <w:r w:rsidRPr="000E05A9">
        <w:rPr>
          <w:rFonts w:ascii="Cambria" w:eastAsia="Cambria" w:hAnsi="Cambria" w:cs="Cambria"/>
          <w:lang w:val="en-GB"/>
        </w:rPr>
        <w:t>that</w:t>
      </w:r>
      <w:r w:rsidR="00901584">
        <w:rPr>
          <w:rFonts w:ascii="Cambria" w:eastAsia="Cambria" w:hAnsi="Cambria" w:cs="Cambria"/>
          <w:lang w:val="en-GB"/>
        </w:rPr>
        <w:t xml:space="preserve"> </w:t>
      </w:r>
      <w:r w:rsidRPr="000E05A9">
        <w:rPr>
          <w:rFonts w:ascii="Cambria" w:eastAsia="Cambria" w:hAnsi="Cambria" w:cs="Cambria"/>
          <w:lang w:val="en-GB"/>
        </w:rPr>
        <w:t>may</w:t>
      </w:r>
      <w:r w:rsidR="00901584">
        <w:rPr>
          <w:rFonts w:ascii="Cambria" w:eastAsia="Cambria" w:hAnsi="Cambria" w:cs="Cambria"/>
          <w:lang w:val="en-GB"/>
        </w:rPr>
        <w:t xml:space="preserve"> </w:t>
      </w:r>
      <w:r w:rsidRPr="000E05A9">
        <w:rPr>
          <w:rFonts w:ascii="Cambria" w:eastAsia="Cambria" w:hAnsi="Cambria" w:cs="Cambria"/>
          <w:lang w:val="en-GB"/>
        </w:rPr>
        <w:t>annoy</w:t>
      </w:r>
      <w:r w:rsidR="00901584">
        <w:rPr>
          <w:rFonts w:ascii="Cambria" w:eastAsia="Cambria" w:hAnsi="Cambria" w:cs="Cambria"/>
          <w:lang w:val="en-GB"/>
        </w:rPr>
        <w:t xml:space="preserve"> </w:t>
      </w:r>
      <w:r w:rsidRPr="000E05A9">
        <w:rPr>
          <w:rFonts w:ascii="Cambria" w:eastAsia="Cambria" w:hAnsi="Cambria" w:cs="Cambria"/>
          <w:lang w:val="en-GB"/>
        </w:rPr>
        <w:t>or</w:t>
      </w:r>
      <w:r w:rsidR="00901584">
        <w:rPr>
          <w:rFonts w:ascii="Cambria" w:eastAsia="Cambria" w:hAnsi="Cambria" w:cs="Cambria"/>
          <w:lang w:val="en-GB"/>
        </w:rPr>
        <w:t xml:space="preserve"> </w:t>
      </w:r>
      <w:r w:rsidRPr="000E05A9">
        <w:rPr>
          <w:rFonts w:ascii="Cambria" w:eastAsia="Cambria" w:hAnsi="Cambria" w:cs="Cambria"/>
          <w:lang w:val="en-GB"/>
        </w:rPr>
        <w:t>give</w:t>
      </w:r>
      <w:r w:rsidR="00901584">
        <w:rPr>
          <w:rFonts w:ascii="Cambria" w:eastAsia="Cambria" w:hAnsi="Cambria" w:cs="Cambria"/>
          <w:lang w:val="en-GB"/>
        </w:rPr>
        <w:t xml:space="preserve"> </w:t>
      </w:r>
      <w:r w:rsidRPr="000E05A9">
        <w:rPr>
          <w:rFonts w:ascii="Cambria" w:eastAsia="Cambria" w:hAnsi="Cambria" w:cs="Cambria"/>
          <w:lang w:val="en-GB"/>
        </w:rPr>
        <w:t>offence to persons</w:t>
      </w:r>
      <w:r w:rsidR="00901584">
        <w:rPr>
          <w:rFonts w:ascii="Cambria" w:eastAsia="Cambria" w:hAnsi="Cambria" w:cs="Cambria"/>
          <w:lang w:val="en-GB"/>
        </w:rPr>
        <w:t xml:space="preserve"> </w:t>
      </w:r>
      <w:r w:rsidRPr="000E05A9">
        <w:rPr>
          <w:rFonts w:ascii="Cambria" w:eastAsia="Cambria" w:hAnsi="Cambria" w:cs="Cambria"/>
          <w:lang w:val="en-GB"/>
        </w:rPr>
        <w:t>opposed to the ideas or</w:t>
      </w:r>
      <w:r w:rsidR="00901584">
        <w:rPr>
          <w:rFonts w:ascii="Cambria" w:eastAsia="Cambria" w:hAnsi="Cambria" w:cs="Cambria"/>
          <w:lang w:val="en-GB"/>
        </w:rPr>
        <w:t xml:space="preserve"> </w:t>
      </w:r>
      <w:r w:rsidRPr="000E05A9">
        <w:rPr>
          <w:rFonts w:ascii="Cambria" w:eastAsia="Cambria" w:hAnsi="Cambria" w:cs="Cambria"/>
          <w:lang w:val="en-GB"/>
        </w:rPr>
        <w:t>claims</w:t>
      </w:r>
      <w:r w:rsidR="00901584">
        <w:rPr>
          <w:rFonts w:ascii="Cambria" w:eastAsia="Cambria" w:hAnsi="Cambria" w:cs="Cambria"/>
          <w:lang w:val="en-GB"/>
        </w:rPr>
        <w:t xml:space="preserve"> </w:t>
      </w:r>
      <w:r w:rsidRPr="000E05A9">
        <w:rPr>
          <w:rFonts w:ascii="Cambria" w:eastAsia="Cambria" w:hAnsi="Cambria" w:cs="Cambria"/>
          <w:lang w:val="en-GB"/>
        </w:rPr>
        <w:t>that</w:t>
      </w:r>
      <w:r w:rsidR="00901584">
        <w:rPr>
          <w:rFonts w:ascii="Cambria" w:eastAsia="Cambria" w:hAnsi="Cambria" w:cs="Cambria"/>
          <w:lang w:val="en-GB"/>
        </w:rPr>
        <w:t xml:space="preserve"> </w:t>
      </w:r>
      <w:r w:rsidRPr="000E05A9">
        <w:rPr>
          <w:rFonts w:ascii="Cambria" w:eastAsia="Cambria" w:hAnsi="Cambria" w:cs="Cambria"/>
          <w:lang w:val="en-GB"/>
        </w:rPr>
        <w:t>it</w:t>
      </w:r>
      <w:r w:rsidR="00901584">
        <w:rPr>
          <w:rFonts w:ascii="Cambria" w:eastAsia="Cambria" w:hAnsi="Cambria" w:cs="Cambria"/>
          <w:lang w:val="en-GB"/>
        </w:rPr>
        <w:t xml:space="preserve"> </w:t>
      </w:r>
      <w:r w:rsidRPr="000E05A9">
        <w:rPr>
          <w:rFonts w:ascii="Cambria" w:eastAsia="Cambria" w:hAnsi="Cambria" w:cs="Cambria"/>
          <w:lang w:val="en-GB"/>
        </w:rPr>
        <w:t>is</w:t>
      </w:r>
      <w:r w:rsidR="00901584">
        <w:rPr>
          <w:rFonts w:ascii="Cambria" w:eastAsia="Cambria" w:hAnsi="Cambria" w:cs="Cambria"/>
          <w:lang w:val="en-GB"/>
        </w:rPr>
        <w:t xml:space="preserve"> </w:t>
      </w:r>
      <w:r w:rsidRPr="000E05A9">
        <w:rPr>
          <w:rFonts w:ascii="Cambria" w:eastAsia="Cambria" w:hAnsi="Cambria" w:cs="Cambria"/>
          <w:lang w:val="en-GB"/>
        </w:rPr>
        <w:t>seeking to promote, and even</w:t>
      </w:r>
      <w:r w:rsidR="00901584">
        <w:rPr>
          <w:rFonts w:ascii="Cambria" w:eastAsia="Cambria" w:hAnsi="Cambria" w:cs="Cambria"/>
          <w:lang w:val="en-GB"/>
        </w:rPr>
        <w:t xml:space="preserve"> </w:t>
      </w:r>
      <w:r w:rsidRPr="000E05A9">
        <w:rPr>
          <w:rFonts w:ascii="Cambria" w:eastAsia="Cambria" w:hAnsi="Cambria" w:cs="Cambria"/>
          <w:lang w:val="en-GB"/>
        </w:rPr>
        <w:t>include</w:t>
      </w:r>
      <w:r w:rsidR="00901584">
        <w:rPr>
          <w:rFonts w:ascii="Cambria" w:eastAsia="Cambria" w:hAnsi="Cambria" w:cs="Cambria"/>
          <w:lang w:val="en-GB"/>
        </w:rPr>
        <w:t xml:space="preserve"> </w:t>
      </w:r>
      <w:r w:rsidRPr="000E05A9">
        <w:rPr>
          <w:rFonts w:ascii="Cambria" w:eastAsia="Cambria" w:hAnsi="Cambria" w:cs="Cambria"/>
          <w:lang w:val="en-GB"/>
        </w:rPr>
        <w:t>conduct</w:t>
      </w:r>
      <w:r w:rsidR="00901584">
        <w:rPr>
          <w:rFonts w:ascii="Cambria" w:eastAsia="Cambria" w:hAnsi="Cambria" w:cs="Cambria"/>
          <w:lang w:val="en-GB"/>
        </w:rPr>
        <w:t xml:space="preserve"> </w:t>
      </w:r>
      <w:r w:rsidRPr="000E05A9">
        <w:rPr>
          <w:rFonts w:ascii="Cambria" w:eastAsia="Cambria" w:hAnsi="Cambria" w:cs="Cambria"/>
          <w:lang w:val="en-GB"/>
        </w:rPr>
        <w:t>that</w:t>
      </w:r>
      <w:r w:rsidR="00901584">
        <w:rPr>
          <w:rFonts w:ascii="Cambria" w:eastAsia="Cambria" w:hAnsi="Cambria" w:cs="Cambria"/>
          <w:lang w:val="en-GB"/>
        </w:rPr>
        <w:t xml:space="preserve"> </w:t>
      </w:r>
      <w:r w:rsidRPr="000E05A9">
        <w:rPr>
          <w:rFonts w:ascii="Cambria" w:eastAsia="Cambria" w:hAnsi="Cambria" w:cs="Cambria"/>
          <w:lang w:val="en-GB"/>
        </w:rPr>
        <w:t>temporarily</w:t>
      </w:r>
      <w:r w:rsidR="00901584">
        <w:rPr>
          <w:rFonts w:ascii="Cambria" w:eastAsia="Cambria" w:hAnsi="Cambria" w:cs="Cambria"/>
          <w:lang w:val="en-GB"/>
        </w:rPr>
        <w:t xml:space="preserve"> </w:t>
      </w:r>
      <w:r w:rsidRPr="000E05A9">
        <w:rPr>
          <w:rFonts w:ascii="Cambria" w:eastAsia="Cambria" w:hAnsi="Cambria" w:cs="Cambria"/>
          <w:lang w:val="en-GB"/>
        </w:rPr>
        <w:t>hinders, impedes</w:t>
      </w:r>
      <w:r w:rsidR="00901584">
        <w:rPr>
          <w:rFonts w:ascii="Cambria" w:eastAsia="Cambria" w:hAnsi="Cambria" w:cs="Cambria"/>
          <w:lang w:val="en-GB"/>
        </w:rPr>
        <w:t xml:space="preserve"> </w:t>
      </w:r>
      <w:r w:rsidRPr="000E05A9">
        <w:rPr>
          <w:rFonts w:ascii="Cambria" w:eastAsia="Cambria" w:hAnsi="Cambria" w:cs="Cambria"/>
          <w:lang w:val="en-GB"/>
        </w:rPr>
        <w:t>or</w:t>
      </w:r>
      <w:r w:rsidR="00901584">
        <w:rPr>
          <w:rFonts w:ascii="Cambria" w:eastAsia="Cambria" w:hAnsi="Cambria" w:cs="Cambria"/>
          <w:lang w:val="en-GB"/>
        </w:rPr>
        <w:t xml:space="preserve"> </w:t>
      </w:r>
      <w:r w:rsidRPr="000E05A9">
        <w:rPr>
          <w:rFonts w:ascii="Cambria" w:eastAsia="Cambria" w:hAnsi="Cambria" w:cs="Cambria"/>
          <w:lang w:val="en-GB"/>
        </w:rPr>
        <w:t>obstructs</w:t>
      </w:r>
      <w:r w:rsidR="00901584">
        <w:rPr>
          <w:rFonts w:ascii="Cambria" w:eastAsia="Cambria" w:hAnsi="Cambria" w:cs="Cambria"/>
          <w:lang w:val="en-GB"/>
        </w:rPr>
        <w:t xml:space="preserve"> </w:t>
      </w:r>
      <w:r w:rsidRPr="000E05A9">
        <w:rPr>
          <w:rFonts w:ascii="Cambria" w:eastAsia="Cambria" w:hAnsi="Cambria" w:cs="Cambria"/>
          <w:lang w:val="en-GB"/>
        </w:rPr>
        <w:t>the</w:t>
      </w:r>
      <w:r w:rsidR="00901584">
        <w:rPr>
          <w:rFonts w:ascii="Cambria" w:eastAsia="Cambria" w:hAnsi="Cambria" w:cs="Cambria"/>
          <w:lang w:val="en-GB"/>
        </w:rPr>
        <w:t xml:space="preserve"> </w:t>
      </w:r>
      <w:r w:rsidRPr="000E05A9">
        <w:rPr>
          <w:rFonts w:ascii="Cambria" w:eastAsia="Cambria" w:hAnsi="Cambria" w:cs="Cambria"/>
          <w:lang w:val="en-GB"/>
        </w:rPr>
        <w:t>activities of third</w:t>
      </w:r>
      <w:r w:rsidR="00901584">
        <w:rPr>
          <w:rFonts w:ascii="Cambria" w:eastAsia="Cambria" w:hAnsi="Cambria" w:cs="Cambria"/>
          <w:lang w:val="en-GB"/>
        </w:rPr>
        <w:t xml:space="preserve"> </w:t>
      </w:r>
      <w:r w:rsidRPr="000E05A9">
        <w:rPr>
          <w:rFonts w:ascii="Cambria" w:eastAsia="Cambria" w:hAnsi="Cambria" w:cs="Cambria"/>
          <w:lang w:val="en-GB"/>
        </w:rPr>
        <w:t>parties. Thus, by</w:t>
      </w:r>
      <w:r w:rsidR="00901584">
        <w:rPr>
          <w:rFonts w:ascii="Cambria" w:eastAsia="Cambria" w:hAnsi="Cambria" w:cs="Cambria"/>
          <w:lang w:val="en-GB"/>
        </w:rPr>
        <w:t xml:space="preserve"> </w:t>
      </w:r>
      <w:r w:rsidRPr="000E05A9">
        <w:rPr>
          <w:rFonts w:ascii="Cambria" w:eastAsia="Cambria" w:hAnsi="Cambria" w:cs="Cambria"/>
          <w:lang w:val="en-GB"/>
        </w:rPr>
        <w:t>way of example, assemblies</w:t>
      </w:r>
      <w:r w:rsidR="00901584">
        <w:rPr>
          <w:rFonts w:ascii="Cambria" w:eastAsia="Cambria" w:hAnsi="Cambria" w:cs="Cambria"/>
          <w:lang w:val="en-GB"/>
        </w:rPr>
        <w:t xml:space="preserve"> </w:t>
      </w:r>
      <w:r w:rsidRPr="000E05A9">
        <w:rPr>
          <w:rFonts w:ascii="Cambria" w:eastAsia="Cambria" w:hAnsi="Cambria" w:cs="Cambria"/>
          <w:lang w:val="en-GB"/>
        </w:rPr>
        <w:t>involving</w:t>
      </w:r>
      <w:r w:rsidR="00901584">
        <w:rPr>
          <w:rFonts w:ascii="Cambria" w:eastAsia="Cambria" w:hAnsi="Cambria" w:cs="Cambria"/>
          <w:lang w:val="en-GB"/>
        </w:rPr>
        <w:t xml:space="preserve"> </w:t>
      </w:r>
      <w:r w:rsidRPr="000E05A9">
        <w:rPr>
          <w:rFonts w:ascii="Cambria" w:eastAsia="Cambria" w:hAnsi="Cambria" w:cs="Cambria"/>
          <w:lang w:val="en-GB"/>
        </w:rPr>
        <w:t>purely</w:t>
      </w:r>
      <w:r w:rsidR="00901584">
        <w:rPr>
          <w:rFonts w:ascii="Cambria" w:eastAsia="Cambria" w:hAnsi="Cambria" w:cs="Cambria"/>
          <w:lang w:val="en-GB"/>
        </w:rPr>
        <w:t xml:space="preserve"> </w:t>
      </w:r>
      <w:r w:rsidRPr="000E05A9">
        <w:rPr>
          <w:rFonts w:ascii="Cambria" w:eastAsia="Cambria" w:hAnsi="Cambria" w:cs="Cambria"/>
          <w:lang w:val="en-GB"/>
        </w:rPr>
        <w:t>passive</w:t>
      </w:r>
      <w:r w:rsidR="00901584">
        <w:rPr>
          <w:rFonts w:ascii="Cambria" w:eastAsia="Cambria" w:hAnsi="Cambria" w:cs="Cambria"/>
          <w:lang w:val="en-GB"/>
        </w:rPr>
        <w:t xml:space="preserve"> </w:t>
      </w:r>
      <w:r w:rsidRPr="000E05A9">
        <w:rPr>
          <w:rFonts w:ascii="Cambria" w:eastAsia="Cambria" w:hAnsi="Cambria" w:cs="Cambria"/>
          <w:lang w:val="en-GB"/>
        </w:rPr>
        <w:t>resistance</w:t>
      </w:r>
      <w:r w:rsidR="00901584">
        <w:rPr>
          <w:rFonts w:ascii="Cambria" w:eastAsia="Cambria" w:hAnsi="Cambria" w:cs="Cambria"/>
          <w:lang w:val="en-GB"/>
        </w:rPr>
        <w:t xml:space="preserve"> </w:t>
      </w:r>
      <w:r w:rsidRPr="000E05A9">
        <w:rPr>
          <w:rFonts w:ascii="Cambria" w:eastAsia="Cambria" w:hAnsi="Cambria" w:cs="Cambria"/>
          <w:lang w:val="en-GB"/>
        </w:rPr>
        <w:t>should be characterized as peaceful. Furthermore, in the</w:t>
      </w:r>
      <w:r w:rsidR="00901584">
        <w:rPr>
          <w:rFonts w:ascii="Cambria" w:eastAsia="Cambria" w:hAnsi="Cambria" w:cs="Cambria"/>
          <w:lang w:val="en-GB"/>
        </w:rPr>
        <w:t xml:space="preserve"> </w:t>
      </w:r>
      <w:r w:rsidRPr="000E05A9">
        <w:rPr>
          <w:rFonts w:ascii="Cambria" w:eastAsia="Cambria" w:hAnsi="Cambria" w:cs="Cambria"/>
          <w:lang w:val="en-GB"/>
        </w:rPr>
        <w:t>course of an</w:t>
      </w:r>
      <w:r w:rsidR="00901584">
        <w:rPr>
          <w:rFonts w:ascii="Cambria" w:eastAsia="Cambria" w:hAnsi="Cambria" w:cs="Cambria"/>
          <w:lang w:val="en-GB"/>
        </w:rPr>
        <w:t xml:space="preserve"> </w:t>
      </w:r>
      <w:r w:rsidRPr="000E05A9">
        <w:rPr>
          <w:rFonts w:ascii="Cambria" w:eastAsia="Cambria" w:hAnsi="Cambria" w:cs="Cambria"/>
          <w:lang w:val="en-GB"/>
        </w:rPr>
        <w:t>assembly, “an individual does</w:t>
      </w:r>
      <w:r w:rsidR="00901584">
        <w:rPr>
          <w:rFonts w:ascii="Cambria" w:eastAsia="Cambria" w:hAnsi="Cambria" w:cs="Cambria"/>
          <w:lang w:val="en-GB"/>
        </w:rPr>
        <w:t xml:space="preserve"> </w:t>
      </w:r>
      <w:r w:rsidRPr="000E05A9">
        <w:rPr>
          <w:rFonts w:ascii="Cambria" w:eastAsia="Cambria" w:hAnsi="Cambria" w:cs="Cambria"/>
          <w:lang w:val="en-GB"/>
        </w:rPr>
        <w:t>not</w:t>
      </w:r>
      <w:r w:rsidR="00901584">
        <w:rPr>
          <w:rFonts w:ascii="Cambria" w:eastAsia="Cambria" w:hAnsi="Cambria" w:cs="Cambria"/>
          <w:lang w:val="en-GB"/>
        </w:rPr>
        <w:t xml:space="preserve"> </w:t>
      </w:r>
      <w:r w:rsidRPr="000E05A9">
        <w:rPr>
          <w:rFonts w:ascii="Cambria" w:eastAsia="Cambria" w:hAnsi="Cambria" w:cs="Cambria"/>
          <w:lang w:val="en-GB"/>
        </w:rPr>
        <w:t>cease to enjoy</w:t>
      </w:r>
      <w:r w:rsidR="00901584">
        <w:rPr>
          <w:rFonts w:ascii="Cambria" w:eastAsia="Cambria" w:hAnsi="Cambria" w:cs="Cambria"/>
          <w:lang w:val="en-GB"/>
        </w:rPr>
        <w:t xml:space="preserve"> </w:t>
      </w:r>
      <w:r w:rsidRPr="000E05A9">
        <w:rPr>
          <w:rFonts w:ascii="Cambria" w:eastAsia="Cambria" w:hAnsi="Cambria" w:cs="Cambria"/>
          <w:lang w:val="en-GB"/>
        </w:rPr>
        <w:t>the</w:t>
      </w:r>
      <w:r w:rsidR="00901584">
        <w:rPr>
          <w:rFonts w:ascii="Cambria" w:eastAsia="Cambria" w:hAnsi="Cambria" w:cs="Cambria"/>
          <w:lang w:val="en-GB"/>
        </w:rPr>
        <w:t xml:space="preserve"> </w:t>
      </w:r>
      <w:r w:rsidRPr="000E05A9">
        <w:rPr>
          <w:rFonts w:ascii="Cambria" w:eastAsia="Cambria" w:hAnsi="Cambria" w:cs="Cambria"/>
          <w:lang w:val="en-GB"/>
        </w:rPr>
        <w:t>right to peaceful</w:t>
      </w:r>
      <w:r w:rsidR="00901584">
        <w:rPr>
          <w:rFonts w:ascii="Cambria" w:eastAsia="Cambria" w:hAnsi="Cambria" w:cs="Cambria"/>
          <w:lang w:val="en-GB"/>
        </w:rPr>
        <w:t xml:space="preserve"> </w:t>
      </w:r>
      <w:r w:rsidRPr="000E05A9">
        <w:rPr>
          <w:rFonts w:ascii="Cambria" w:eastAsia="Cambria" w:hAnsi="Cambria" w:cs="Cambria"/>
          <w:lang w:val="en-GB"/>
        </w:rPr>
        <w:t>assembly as a result of sporadic</w:t>
      </w:r>
      <w:r w:rsidR="00901584">
        <w:rPr>
          <w:rFonts w:ascii="Cambria" w:eastAsia="Cambria" w:hAnsi="Cambria" w:cs="Cambria"/>
          <w:lang w:val="en-GB"/>
        </w:rPr>
        <w:t xml:space="preserve"> </w:t>
      </w:r>
      <w:r w:rsidRPr="000E05A9">
        <w:rPr>
          <w:rFonts w:ascii="Cambria" w:eastAsia="Cambria" w:hAnsi="Cambria" w:cs="Cambria"/>
          <w:lang w:val="en-GB"/>
        </w:rPr>
        <w:t>violence</w:t>
      </w:r>
      <w:r w:rsidR="00901584">
        <w:rPr>
          <w:rFonts w:ascii="Cambria" w:eastAsia="Cambria" w:hAnsi="Cambria" w:cs="Cambria"/>
          <w:lang w:val="en-GB"/>
        </w:rPr>
        <w:t xml:space="preserve"> </w:t>
      </w:r>
      <w:r w:rsidRPr="000E05A9">
        <w:rPr>
          <w:rFonts w:ascii="Cambria" w:eastAsia="Cambria" w:hAnsi="Cambria" w:cs="Cambria"/>
          <w:lang w:val="en-GB"/>
        </w:rPr>
        <w:t>or</w:t>
      </w:r>
      <w:r w:rsidR="00901584">
        <w:rPr>
          <w:rFonts w:ascii="Cambria" w:eastAsia="Cambria" w:hAnsi="Cambria" w:cs="Cambria"/>
          <w:lang w:val="en-GB"/>
        </w:rPr>
        <w:t xml:space="preserve"> </w:t>
      </w:r>
      <w:r w:rsidRPr="000E05A9">
        <w:rPr>
          <w:rFonts w:ascii="Cambria" w:eastAsia="Cambria" w:hAnsi="Cambria" w:cs="Cambria"/>
          <w:lang w:val="en-GB"/>
        </w:rPr>
        <w:t>other</w:t>
      </w:r>
      <w:r w:rsidR="00901584">
        <w:rPr>
          <w:rFonts w:ascii="Cambria" w:eastAsia="Cambria" w:hAnsi="Cambria" w:cs="Cambria"/>
          <w:lang w:val="en-GB"/>
        </w:rPr>
        <w:t xml:space="preserve"> </w:t>
      </w:r>
      <w:r w:rsidRPr="000E05A9">
        <w:rPr>
          <w:rFonts w:ascii="Cambria" w:eastAsia="Cambria" w:hAnsi="Cambria" w:cs="Cambria"/>
          <w:lang w:val="en-GB"/>
        </w:rPr>
        <w:t>punishable</w:t>
      </w:r>
      <w:r w:rsidR="00901584">
        <w:rPr>
          <w:rFonts w:ascii="Cambria" w:eastAsia="Cambria" w:hAnsi="Cambria" w:cs="Cambria"/>
          <w:lang w:val="en-GB"/>
        </w:rPr>
        <w:t xml:space="preserve"> </w:t>
      </w:r>
      <w:r w:rsidRPr="000E05A9">
        <w:rPr>
          <w:rFonts w:ascii="Cambria" w:eastAsia="Cambria" w:hAnsi="Cambria" w:cs="Cambria"/>
          <w:lang w:val="en-GB"/>
        </w:rPr>
        <w:t>acts</w:t>
      </w:r>
      <w:r w:rsidR="00901584">
        <w:rPr>
          <w:rFonts w:ascii="Cambria" w:eastAsia="Cambria" w:hAnsi="Cambria" w:cs="Cambria"/>
          <w:lang w:val="en-GB"/>
        </w:rPr>
        <w:t xml:space="preserve"> </w:t>
      </w:r>
      <w:r w:rsidRPr="000E05A9">
        <w:rPr>
          <w:rFonts w:ascii="Cambria" w:eastAsia="Cambria" w:hAnsi="Cambria" w:cs="Cambria"/>
          <w:lang w:val="en-GB"/>
        </w:rPr>
        <w:t>committed</w:t>
      </w:r>
      <w:r w:rsidR="00901584">
        <w:rPr>
          <w:rFonts w:ascii="Cambria" w:eastAsia="Cambria" w:hAnsi="Cambria" w:cs="Cambria"/>
          <w:lang w:val="en-GB"/>
        </w:rPr>
        <w:t xml:space="preserve"> </w:t>
      </w:r>
      <w:r w:rsidRPr="000E05A9">
        <w:rPr>
          <w:rFonts w:ascii="Cambria" w:eastAsia="Cambria" w:hAnsi="Cambria" w:cs="Cambria"/>
          <w:lang w:val="en-GB"/>
        </w:rPr>
        <w:t>by</w:t>
      </w:r>
      <w:r w:rsidR="00901584">
        <w:rPr>
          <w:rFonts w:ascii="Cambria" w:eastAsia="Cambria" w:hAnsi="Cambria" w:cs="Cambria"/>
          <w:lang w:val="en-GB"/>
        </w:rPr>
        <w:t xml:space="preserve"> </w:t>
      </w:r>
      <w:r w:rsidRPr="000E05A9">
        <w:rPr>
          <w:rFonts w:ascii="Cambria" w:eastAsia="Cambria" w:hAnsi="Cambria" w:cs="Cambria"/>
          <w:lang w:val="en-GB"/>
        </w:rPr>
        <w:t>others in the</w:t>
      </w:r>
      <w:r w:rsidR="00901584">
        <w:rPr>
          <w:rFonts w:ascii="Cambria" w:eastAsia="Cambria" w:hAnsi="Cambria" w:cs="Cambria"/>
          <w:lang w:val="en-GB"/>
        </w:rPr>
        <w:t xml:space="preserve"> </w:t>
      </w:r>
      <w:r w:rsidRPr="000E05A9">
        <w:rPr>
          <w:rFonts w:ascii="Cambria" w:eastAsia="Cambria" w:hAnsi="Cambria" w:cs="Cambria"/>
          <w:lang w:val="en-GB"/>
        </w:rPr>
        <w:t>course of the</w:t>
      </w:r>
      <w:r w:rsidR="00901584">
        <w:rPr>
          <w:rFonts w:ascii="Cambria" w:eastAsia="Cambria" w:hAnsi="Cambria" w:cs="Cambria"/>
          <w:lang w:val="en-GB"/>
        </w:rPr>
        <w:t xml:space="preserve"> </w:t>
      </w:r>
      <w:r w:rsidRPr="000E05A9">
        <w:rPr>
          <w:rFonts w:ascii="Cambria" w:eastAsia="Cambria" w:hAnsi="Cambria" w:cs="Cambria"/>
          <w:lang w:val="en-GB"/>
        </w:rPr>
        <w:t>demonstration, if</w:t>
      </w:r>
      <w:r w:rsidR="00901584">
        <w:rPr>
          <w:rFonts w:ascii="Cambria" w:eastAsia="Cambria" w:hAnsi="Cambria" w:cs="Cambria"/>
          <w:lang w:val="en-GB"/>
        </w:rPr>
        <w:t xml:space="preserve"> </w:t>
      </w:r>
      <w:r w:rsidRPr="000E05A9">
        <w:rPr>
          <w:rFonts w:ascii="Cambria" w:eastAsia="Cambria" w:hAnsi="Cambria" w:cs="Cambria"/>
          <w:lang w:val="en-GB"/>
        </w:rPr>
        <w:t>the individual in question</w:t>
      </w:r>
      <w:r w:rsidR="00901584">
        <w:rPr>
          <w:rFonts w:ascii="Cambria" w:eastAsia="Cambria" w:hAnsi="Cambria" w:cs="Cambria"/>
          <w:lang w:val="en-GB"/>
        </w:rPr>
        <w:t xml:space="preserve"> </w:t>
      </w:r>
      <w:r w:rsidRPr="000E05A9">
        <w:rPr>
          <w:rFonts w:ascii="Cambria" w:eastAsia="Cambria" w:hAnsi="Cambria" w:cs="Cambria"/>
          <w:lang w:val="en-GB"/>
        </w:rPr>
        <w:t>remains</w:t>
      </w:r>
      <w:r w:rsidR="00901584">
        <w:rPr>
          <w:rFonts w:ascii="Cambria" w:eastAsia="Cambria" w:hAnsi="Cambria" w:cs="Cambria"/>
          <w:lang w:val="en-GB"/>
        </w:rPr>
        <w:t xml:space="preserve"> </w:t>
      </w:r>
      <w:r w:rsidRPr="000E05A9">
        <w:rPr>
          <w:rFonts w:ascii="Cambria" w:eastAsia="Cambria" w:hAnsi="Cambria" w:cs="Cambria"/>
          <w:lang w:val="en-GB"/>
        </w:rPr>
        <w:t>peaceful in his</w:t>
      </w:r>
      <w:r w:rsidR="00901584">
        <w:rPr>
          <w:rFonts w:ascii="Cambria" w:eastAsia="Cambria" w:hAnsi="Cambria" w:cs="Cambria"/>
          <w:lang w:val="en-GB"/>
        </w:rPr>
        <w:t xml:space="preserve"> </w:t>
      </w:r>
      <w:r w:rsidRPr="000E05A9">
        <w:rPr>
          <w:rFonts w:ascii="Cambria" w:eastAsia="Cambria" w:hAnsi="Cambria" w:cs="Cambria"/>
          <w:lang w:val="en-GB"/>
        </w:rPr>
        <w:t>or</w:t>
      </w:r>
      <w:r w:rsidR="00901584">
        <w:rPr>
          <w:rFonts w:ascii="Cambria" w:eastAsia="Cambria" w:hAnsi="Cambria" w:cs="Cambria"/>
          <w:lang w:val="en-GB"/>
        </w:rPr>
        <w:t xml:space="preserve"> </w:t>
      </w:r>
      <w:r w:rsidRPr="000E05A9">
        <w:rPr>
          <w:rFonts w:ascii="Cambria" w:eastAsia="Cambria" w:hAnsi="Cambria" w:cs="Cambria"/>
          <w:lang w:val="en-GB"/>
        </w:rPr>
        <w:t>her</w:t>
      </w:r>
      <w:r w:rsidR="00901584">
        <w:rPr>
          <w:rFonts w:ascii="Cambria" w:eastAsia="Cambria" w:hAnsi="Cambria" w:cs="Cambria"/>
          <w:lang w:val="en-GB"/>
        </w:rPr>
        <w:t xml:space="preserve"> </w:t>
      </w:r>
      <w:r w:rsidRPr="000E05A9">
        <w:rPr>
          <w:rFonts w:ascii="Cambria" w:eastAsia="Cambria" w:hAnsi="Cambria" w:cs="Cambria"/>
          <w:lang w:val="en-GB"/>
        </w:rPr>
        <w:t>own</w:t>
      </w:r>
      <w:r w:rsidR="00901584">
        <w:rPr>
          <w:rFonts w:ascii="Cambria" w:eastAsia="Cambria" w:hAnsi="Cambria" w:cs="Cambria"/>
          <w:lang w:val="en-GB"/>
        </w:rPr>
        <w:t xml:space="preserve"> </w:t>
      </w:r>
      <w:r w:rsidRPr="000E05A9">
        <w:rPr>
          <w:rFonts w:ascii="Cambria" w:eastAsia="Cambria" w:hAnsi="Cambria" w:cs="Cambria"/>
          <w:lang w:val="en-GB"/>
        </w:rPr>
        <w:t>intentions</w:t>
      </w:r>
      <w:r w:rsidR="00901584">
        <w:rPr>
          <w:rFonts w:ascii="Cambria" w:eastAsia="Cambria" w:hAnsi="Cambria" w:cs="Cambria"/>
          <w:lang w:val="en-GB"/>
        </w:rPr>
        <w:t xml:space="preserve"> </w:t>
      </w:r>
      <w:r w:rsidRPr="000E05A9">
        <w:rPr>
          <w:rFonts w:ascii="Cambria" w:eastAsia="Cambria" w:hAnsi="Cambria" w:cs="Cambria"/>
          <w:lang w:val="en-GB"/>
        </w:rPr>
        <w:t>or</w:t>
      </w:r>
      <w:r w:rsidR="00901584">
        <w:rPr>
          <w:rFonts w:ascii="Cambria" w:eastAsia="Cambria" w:hAnsi="Cambria" w:cs="Cambria"/>
          <w:lang w:val="en-GB"/>
        </w:rPr>
        <w:t xml:space="preserve"> </w:t>
      </w:r>
      <w:r w:rsidRPr="000E05A9">
        <w:rPr>
          <w:rFonts w:ascii="Cambria" w:eastAsia="Cambria" w:hAnsi="Cambria" w:cs="Cambria"/>
          <w:lang w:val="en-GB"/>
        </w:rPr>
        <w:t>behaviour.</w:t>
      </w:r>
    </w:p>
    <w:p w:rsidR="00780C05" w:rsidRPr="000E05A9" w:rsidRDefault="001E2DF1">
      <w:pPr>
        <w:spacing w:after="120"/>
        <w:ind w:left="850" w:right="809"/>
        <w:jc w:val="both"/>
        <w:rPr>
          <w:rFonts w:ascii="Cambria" w:eastAsia="Cambria" w:hAnsi="Cambria" w:cs="Cambria"/>
          <w:lang w:val="en-GB"/>
        </w:rPr>
      </w:pPr>
      <w:r w:rsidRPr="000E05A9">
        <w:rPr>
          <w:rFonts w:ascii="Cambria" w:eastAsia="Cambria" w:hAnsi="Cambria" w:cs="Cambria"/>
          <w:lang w:val="en-GB"/>
        </w:rPr>
        <w:t>27.The spectrum of conduct</w:t>
      </w:r>
      <w:r w:rsidR="00901584">
        <w:rPr>
          <w:rFonts w:ascii="Cambria" w:eastAsia="Cambria" w:hAnsi="Cambria" w:cs="Cambria"/>
          <w:lang w:val="en-GB"/>
        </w:rPr>
        <w:t xml:space="preserve"> </w:t>
      </w:r>
      <w:r w:rsidRPr="000E05A9">
        <w:rPr>
          <w:rFonts w:ascii="Cambria" w:eastAsia="Cambria" w:hAnsi="Cambria" w:cs="Cambria"/>
          <w:lang w:val="en-GB"/>
        </w:rPr>
        <w:t>that</w:t>
      </w:r>
      <w:r w:rsidR="00901584">
        <w:rPr>
          <w:rFonts w:ascii="Cambria" w:eastAsia="Cambria" w:hAnsi="Cambria" w:cs="Cambria"/>
          <w:lang w:val="en-GB"/>
        </w:rPr>
        <w:t xml:space="preserve"> </w:t>
      </w:r>
      <w:r w:rsidRPr="000E05A9">
        <w:rPr>
          <w:rFonts w:ascii="Cambria" w:eastAsia="Cambria" w:hAnsi="Cambria" w:cs="Cambria"/>
          <w:lang w:val="en-GB"/>
        </w:rPr>
        <w:t>constitutes “violence” should be narrowlyconstruedbutmayexceptionallyextendbeyondpurelyphysicalviolence to include inhuman or</w:t>
      </w:r>
      <w:r w:rsidR="00901584">
        <w:rPr>
          <w:rFonts w:ascii="Cambria" w:eastAsia="Cambria" w:hAnsi="Cambria" w:cs="Cambria"/>
          <w:lang w:val="en-GB"/>
        </w:rPr>
        <w:t xml:space="preserve"> </w:t>
      </w:r>
      <w:r w:rsidRPr="000E05A9">
        <w:rPr>
          <w:rFonts w:ascii="Cambria" w:eastAsia="Cambria" w:hAnsi="Cambria" w:cs="Cambria"/>
          <w:lang w:val="en-GB"/>
        </w:rPr>
        <w:t>degrading</w:t>
      </w:r>
      <w:r w:rsidR="00901584">
        <w:rPr>
          <w:rFonts w:ascii="Cambria" w:eastAsia="Cambria" w:hAnsi="Cambria" w:cs="Cambria"/>
          <w:lang w:val="en-GB"/>
        </w:rPr>
        <w:t xml:space="preserve"> </w:t>
      </w:r>
      <w:r w:rsidRPr="000E05A9">
        <w:rPr>
          <w:rFonts w:ascii="Cambria" w:eastAsia="Cambria" w:hAnsi="Cambria" w:cs="Cambria"/>
          <w:lang w:val="en-GB"/>
        </w:rPr>
        <w:t>treatment</w:t>
      </w:r>
      <w:r w:rsidR="00901584">
        <w:rPr>
          <w:rFonts w:ascii="Cambria" w:eastAsia="Cambria" w:hAnsi="Cambria" w:cs="Cambria"/>
          <w:lang w:val="en-GB"/>
        </w:rPr>
        <w:t xml:space="preserve"> </w:t>
      </w:r>
      <w:r w:rsidRPr="000E05A9">
        <w:rPr>
          <w:rFonts w:ascii="Cambria" w:eastAsia="Cambria" w:hAnsi="Cambria" w:cs="Cambria"/>
          <w:lang w:val="en-GB"/>
        </w:rPr>
        <w:t>or</w:t>
      </w:r>
      <w:r w:rsidR="00901584">
        <w:rPr>
          <w:rFonts w:ascii="Cambria" w:eastAsia="Cambria" w:hAnsi="Cambria" w:cs="Cambria"/>
          <w:lang w:val="en-GB"/>
        </w:rPr>
        <w:t xml:space="preserve"> </w:t>
      </w:r>
      <w:r w:rsidRPr="000E05A9">
        <w:rPr>
          <w:rFonts w:ascii="Cambria" w:eastAsia="Cambria" w:hAnsi="Cambria" w:cs="Cambria"/>
          <w:lang w:val="en-GB"/>
        </w:rPr>
        <w:t>the</w:t>
      </w:r>
      <w:r w:rsidR="00901584">
        <w:rPr>
          <w:rFonts w:ascii="Cambria" w:eastAsia="Cambria" w:hAnsi="Cambria" w:cs="Cambria"/>
          <w:lang w:val="en-GB"/>
        </w:rPr>
        <w:t xml:space="preserve"> </w:t>
      </w:r>
      <w:r w:rsidRPr="000E05A9">
        <w:rPr>
          <w:rFonts w:ascii="Cambria" w:eastAsia="Cambria" w:hAnsi="Cambria" w:cs="Cambria"/>
          <w:lang w:val="en-GB"/>
        </w:rPr>
        <w:t>intentional</w:t>
      </w:r>
      <w:r w:rsidR="00901584">
        <w:rPr>
          <w:rFonts w:ascii="Cambria" w:eastAsia="Cambria" w:hAnsi="Cambria" w:cs="Cambria"/>
          <w:lang w:val="en-GB"/>
        </w:rPr>
        <w:t xml:space="preserve"> </w:t>
      </w:r>
      <w:r w:rsidRPr="000E05A9">
        <w:rPr>
          <w:rFonts w:ascii="Cambria" w:eastAsia="Cambria" w:hAnsi="Cambria" w:cs="Cambria"/>
          <w:lang w:val="en-GB"/>
        </w:rPr>
        <w:t>intimidation</w:t>
      </w:r>
      <w:r w:rsidR="00901584">
        <w:rPr>
          <w:rFonts w:ascii="Cambria" w:eastAsia="Cambria" w:hAnsi="Cambria" w:cs="Cambria"/>
          <w:lang w:val="en-GB"/>
        </w:rPr>
        <w:t xml:space="preserve"> </w:t>
      </w:r>
      <w:r w:rsidRPr="000E05A9">
        <w:rPr>
          <w:rFonts w:ascii="Cambria" w:eastAsia="Cambria" w:hAnsi="Cambria" w:cs="Cambria"/>
          <w:lang w:val="en-GB"/>
        </w:rPr>
        <w:t>or</w:t>
      </w:r>
      <w:r w:rsidR="00901584">
        <w:rPr>
          <w:rFonts w:ascii="Cambria" w:eastAsia="Cambria" w:hAnsi="Cambria" w:cs="Cambria"/>
          <w:lang w:val="en-GB"/>
        </w:rPr>
        <w:t xml:space="preserve"> </w:t>
      </w:r>
      <w:r w:rsidRPr="000E05A9">
        <w:rPr>
          <w:rFonts w:ascii="Cambria" w:eastAsia="Cambria" w:hAnsi="Cambria" w:cs="Cambria"/>
          <w:lang w:val="en-GB"/>
        </w:rPr>
        <w:t>harassment of a “captive audience”. In such</w:t>
      </w:r>
      <w:r w:rsidR="00901584">
        <w:rPr>
          <w:rFonts w:ascii="Cambria" w:eastAsia="Cambria" w:hAnsi="Cambria" w:cs="Cambria"/>
          <w:lang w:val="en-GB"/>
        </w:rPr>
        <w:t xml:space="preserve"> </w:t>
      </w:r>
      <w:r w:rsidRPr="000E05A9">
        <w:rPr>
          <w:rFonts w:ascii="Cambria" w:eastAsia="Cambria" w:hAnsi="Cambria" w:cs="Cambria"/>
          <w:lang w:val="en-GB"/>
        </w:rPr>
        <w:t>instances, the</w:t>
      </w:r>
      <w:r w:rsidR="00901584">
        <w:rPr>
          <w:rFonts w:ascii="Cambria" w:eastAsia="Cambria" w:hAnsi="Cambria" w:cs="Cambria"/>
          <w:lang w:val="en-GB"/>
        </w:rPr>
        <w:t xml:space="preserve"> </w:t>
      </w:r>
      <w:r w:rsidRPr="000E05A9">
        <w:rPr>
          <w:rFonts w:ascii="Cambria" w:eastAsia="Cambria" w:hAnsi="Cambria" w:cs="Cambria"/>
          <w:lang w:val="en-GB"/>
        </w:rPr>
        <w:t>destruction of rights</w:t>
      </w:r>
      <w:r w:rsidR="00901584">
        <w:rPr>
          <w:rFonts w:ascii="Cambria" w:eastAsia="Cambria" w:hAnsi="Cambria" w:cs="Cambria"/>
          <w:lang w:val="en-GB"/>
        </w:rPr>
        <w:t xml:space="preserve"> </w:t>
      </w:r>
      <w:r w:rsidRPr="000E05A9">
        <w:rPr>
          <w:rFonts w:ascii="Cambria" w:eastAsia="Cambria" w:hAnsi="Cambria" w:cs="Cambria"/>
          <w:lang w:val="en-GB"/>
        </w:rPr>
        <w:t>provisions</w:t>
      </w:r>
      <w:r w:rsidR="00901584">
        <w:rPr>
          <w:rFonts w:ascii="Cambria" w:eastAsia="Cambria" w:hAnsi="Cambria" w:cs="Cambria"/>
          <w:lang w:val="en-GB"/>
        </w:rPr>
        <w:t xml:space="preserve"> </w:t>
      </w:r>
      <w:r w:rsidRPr="000E05A9">
        <w:rPr>
          <w:rFonts w:ascii="Cambria" w:eastAsia="Cambria" w:hAnsi="Cambria" w:cs="Cambria"/>
          <w:lang w:val="en-GB"/>
        </w:rPr>
        <w:t>may</w:t>
      </w:r>
      <w:r w:rsidR="00901584">
        <w:rPr>
          <w:rFonts w:ascii="Cambria" w:eastAsia="Cambria" w:hAnsi="Cambria" w:cs="Cambria"/>
          <w:lang w:val="en-GB"/>
        </w:rPr>
        <w:t xml:space="preserve"> </w:t>
      </w:r>
      <w:r w:rsidRPr="000E05A9">
        <w:rPr>
          <w:rFonts w:ascii="Cambria" w:eastAsia="Cambria" w:hAnsi="Cambria" w:cs="Cambria"/>
          <w:lang w:val="en-GB"/>
        </w:rPr>
        <w:t>also be engaged.</w:t>
      </w:r>
    </w:p>
    <w:p w:rsidR="00780C05" w:rsidRPr="000E05A9" w:rsidRDefault="001E2DF1">
      <w:pPr>
        <w:spacing w:after="120"/>
        <w:ind w:left="850" w:right="809"/>
        <w:jc w:val="both"/>
        <w:rPr>
          <w:rFonts w:ascii="Cambria" w:eastAsia="Cambria" w:hAnsi="Cambria" w:cs="Cambria"/>
          <w:lang w:val="en-GB"/>
        </w:rPr>
      </w:pPr>
      <w:r w:rsidRPr="000E05A9">
        <w:rPr>
          <w:rFonts w:ascii="Cambria" w:eastAsia="Cambria" w:hAnsi="Cambria" w:cs="Cambria"/>
          <w:lang w:val="en-GB"/>
        </w:rPr>
        <w:t xml:space="preserve">15 </w:t>
      </w:r>
      <w:r w:rsidR="00901584">
        <w:rPr>
          <w:rFonts w:ascii="Cambria" w:eastAsia="Cambria" w:hAnsi="Cambria" w:cs="Cambria"/>
          <w:lang w:val="en-GB"/>
        </w:rPr>
        <w:t>–</w:t>
      </w:r>
      <w:r w:rsidRPr="000E05A9">
        <w:rPr>
          <w:rFonts w:ascii="Cambria" w:eastAsia="Cambria" w:hAnsi="Cambria" w:cs="Cambria"/>
          <w:lang w:val="en-GB"/>
        </w:rPr>
        <w:t xml:space="preserve"> The</w:t>
      </w:r>
      <w:r w:rsidR="00901584">
        <w:rPr>
          <w:rFonts w:ascii="Cambria" w:eastAsia="Cambria" w:hAnsi="Cambria" w:cs="Cambria"/>
          <w:lang w:val="en-GB"/>
        </w:rPr>
        <w:t xml:space="preserve"> </w:t>
      </w:r>
      <w:r w:rsidRPr="000E05A9">
        <w:rPr>
          <w:rFonts w:ascii="Cambria" w:eastAsia="Cambria" w:hAnsi="Cambria" w:cs="Cambria"/>
          <w:lang w:val="en-GB"/>
        </w:rPr>
        <w:t>imperative of adopting a holistic</w:t>
      </w:r>
      <w:r w:rsidR="00901584">
        <w:rPr>
          <w:rFonts w:ascii="Cambria" w:eastAsia="Cambria" w:hAnsi="Cambria" w:cs="Cambria"/>
          <w:lang w:val="en-GB"/>
        </w:rPr>
        <w:t xml:space="preserve"> </w:t>
      </w:r>
      <w:r w:rsidRPr="000E05A9">
        <w:rPr>
          <w:rFonts w:ascii="Cambria" w:eastAsia="Cambria" w:hAnsi="Cambria" w:cs="Cambria"/>
          <w:lang w:val="en-GB"/>
        </w:rPr>
        <w:t>approach to freedom of assembly</w:t>
      </w:r>
      <w:r w:rsidR="00901584">
        <w:rPr>
          <w:rFonts w:ascii="Cambria" w:eastAsia="Cambria" w:hAnsi="Cambria" w:cs="Cambria"/>
          <w:lang w:val="en-GB"/>
        </w:rPr>
        <w:t xml:space="preserve"> </w:t>
      </w:r>
      <w:r w:rsidRPr="000E05A9">
        <w:rPr>
          <w:rFonts w:ascii="Cambria" w:eastAsia="Cambria" w:hAnsi="Cambria" w:cs="Cambria"/>
          <w:lang w:val="en-GB"/>
        </w:rPr>
        <w:t>is</w:t>
      </w:r>
      <w:r w:rsidR="00901584">
        <w:rPr>
          <w:rFonts w:ascii="Cambria" w:eastAsia="Cambria" w:hAnsi="Cambria" w:cs="Cambria"/>
          <w:lang w:val="en-GB"/>
        </w:rPr>
        <w:t xml:space="preserve"> </w:t>
      </w:r>
      <w:r w:rsidRPr="000E05A9">
        <w:rPr>
          <w:rFonts w:ascii="Cambria" w:eastAsia="Cambria" w:hAnsi="Cambria" w:cs="Cambria"/>
          <w:lang w:val="en-GB"/>
        </w:rPr>
        <w:t>underscored</w:t>
      </w:r>
      <w:r w:rsidR="00901584">
        <w:rPr>
          <w:rFonts w:ascii="Cambria" w:eastAsia="Cambria" w:hAnsi="Cambria" w:cs="Cambria"/>
          <w:lang w:val="en-GB"/>
        </w:rPr>
        <w:t xml:space="preserve"> </w:t>
      </w:r>
      <w:r w:rsidRPr="000E05A9">
        <w:rPr>
          <w:rFonts w:ascii="Cambria" w:eastAsia="Cambria" w:hAnsi="Cambria" w:cs="Cambria"/>
          <w:lang w:val="en-GB"/>
        </w:rPr>
        <w:t>by</w:t>
      </w:r>
      <w:r w:rsidR="00901584">
        <w:rPr>
          <w:rFonts w:ascii="Cambria" w:eastAsia="Cambria" w:hAnsi="Cambria" w:cs="Cambria"/>
          <w:lang w:val="en-GB"/>
        </w:rPr>
        <w:t xml:space="preserve"> </w:t>
      </w:r>
      <w:r w:rsidRPr="000E05A9">
        <w:rPr>
          <w:rFonts w:ascii="Cambria" w:eastAsia="Cambria" w:hAnsi="Cambria" w:cs="Cambria"/>
          <w:lang w:val="en-GB"/>
        </w:rPr>
        <w:t>the “destruction of rights” provisions</w:t>
      </w:r>
      <w:r w:rsidR="00901584">
        <w:rPr>
          <w:rFonts w:ascii="Cambria" w:eastAsia="Cambria" w:hAnsi="Cambria" w:cs="Cambria"/>
          <w:lang w:val="en-GB"/>
        </w:rPr>
        <w:t xml:space="preserve"> </w:t>
      </w:r>
      <w:r w:rsidRPr="000E05A9">
        <w:rPr>
          <w:rFonts w:ascii="Cambria" w:eastAsia="Cambria" w:hAnsi="Cambria" w:cs="Cambria"/>
          <w:lang w:val="en-GB"/>
        </w:rPr>
        <w:t>contained in Article 30 of the Universal Declaration of Human Rights (UDHR), Article 5 of the ICCPR and Article 17 of the ECHR.</w:t>
      </w:r>
    </w:p>
    <w:p w:rsidR="00780C05" w:rsidRPr="000E05A9" w:rsidRDefault="001E2DF1">
      <w:pPr>
        <w:spacing w:before="240" w:after="12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Sin embargo, una lectura atenta permite ver que </w:t>
      </w:r>
      <w:r w:rsidRPr="000E05A9">
        <w:rPr>
          <w:rFonts w:ascii="Cambria" w:eastAsia="Cambria" w:hAnsi="Cambria" w:cs="Cambria"/>
          <w:b/>
          <w:sz w:val="24"/>
          <w:szCs w:val="24"/>
          <w:lang w:val="es-419"/>
        </w:rPr>
        <w:t>el párrafo 17 cita de manera equivocada a las Directrices sobre la Libertad de Reunión Pacífica de la OSCE</w:t>
      </w:r>
      <w:r w:rsidRPr="000E05A9">
        <w:rPr>
          <w:rFonts w:ascii="Cambria" w:eastAsia="Cambria" w:hAnsi="Cambria" w:cs="Cambria"/>
          <w:sz w:val="24"/>
          <w:szCs w:val="24"/>
          <w:lang w:val="es-419"/>
        </w:rPr>
        <w:t xml:space="preserve">. Las directrices son muy claras en formular una interpretación amplia del calificativo “pacífico” y un concepto estrictamente acotado de “violencia”. Esta definición acotada incluiría la violencia física, los tratos crueles, inhumanos o degradantes y la intimidación o acoso intencional de un público pasivo. Ese documento </w:t>
      </w:r>
      <w:r w:rsidRPr="000E05A9">
        <w:rPr>
          <w:rFonts w:ascii="Cambria" w:eastAsia="Cambria" w:hAnsi="Cambria" w:cs="Cambria"/>
          <w:b/>
          <w:sz w:val="24"/>
          <w:szCs w:val="24"/>
          <w:lang w:val="es-419"/>
        </w:rPr>
        <w:t>no menciona los daños graves a la propiedad</w:t>
      </w:r>
      <w:r w:rsidRPr="000E05A9">
        <w:rPr>
          <w:rFonts w:ascii="Cambria" w:eastAsia="Cambria" w:hAnsi="Cambria" w:cs="Cambria"/>
          <w:sz w:val="24"/>
          <w:szCs w:val="24"/>
          <w:lang w:val="es-419"/>
        </w:rPr>
        <w:t xml:space="preserve"> como criterio para la clasificación de una reunión como violenta; lo que menciona es la posibilidad de considerar como parte de la definición de violencia “la destrucción de la provisión de derechos”. </w:t>
      </w:r>
    </w:p>
    <w:p w:rsidR="00780C05" w:rsidRPr="000E05A9" w:rsidRDefault="001E2DF1">
      <w:pPr>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El párrafo 93 sobre detenciones trae las mismas expresiones amplias e imprecisas del párrafo 21 y el problema de la definición de “violencia”. En el documento ANEXO se proponen alteraciones en el sentido de retirar el estándar de “intención” o “incitación” a la “violencia” y acotar la posibilidad de la detención a la comisión de delitos, considerada su gravedad y la afectación a los derechos de las personas.  </w:t>
      </w:r>
    </w:p>
    <w:p w:rsidR="00780C05" w:rsidRPr="000E05A9" w:rsidRDefault="001E2DF1">
      <w:pPr>
        <w:pStyle w:val="Heading2"/>
        <w:rPr>
          <w:lang w:val="es-419"/>
        </w:rPr>
      </w:pPr>
      <w:bookmarkStart w:id="7" w:name="_7kihyxc8tsb6" w:colFirst="0" w:colLast="0"/>
      <w:bookmarkEnd w:id="7"/>
      <w:r w:rsidRPr="000E05A9">
        <w:rPr>
          <w:lang w:val="es-419"/>
        </w:rPr>
        <w:t xml:space="preserve">2.2. Alcance de incitación a la violencia por medios digitales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La interpretación del alcance del derecho a la reunión pacífica conforme a lo consagrado en el artículo 21 del Pacto enfrenta el desafío del uso de medios digitales para la definición del propósito, del contenido expresivo, o del transcurso de una reunión. </w:t>
      </w:r>
    </w:p>
    <w:p w:rsidR="00780C05" w:rsidRPr="000E05A9" w:rsidRDefault="001E2DF1">
      <w:pP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Una de las tendencias detectadas en el más reciente informe de la Relatoría Especial para la Libertad de Reunión Pacífica es la criminalización de las actividades en redes digitales de individuos y organizaciones.</w:t>
      </w:r>
      <w:r>
        <w:rPr>
          <w:rFonts w:ascii="Cambria" w:eastAsia="Cambria" w:hAnsi="Cambria" w:cs="Cambria"/>
          <w:sz w:val="24"/>
          <w:szCs w:val="24"/>
          <w:vertAlign w:val="superscript"/>
        </w:rPr>
        <w:footnoteReference w:id="14"/>
      </w:r>
      <w:r w:rsidRPr="000E05A9">
        <w:rPr>
          <w:rFonts w:ascii="Cambria" w:eastAsia="Cambria" w:hAnsi="Cambria" w:cs="Cambria"/>
          <w:sz w:val="24"/>
          <w:szCs w:val="24"/>
          <w:lang w:val="es-419"/>
        </w:rPr>
        <w:t xml:space="preserve"> En algunos casos, se intenta criminalizar tanto los actos de expresión para convocar a las reuniones como las reuniones mismas. Ello tiene un efecto paralizante: si la convocatoria a una reunión puede ser arbitrariamente calificada como una forma de incitación a la violencia, se desestimula la participación en esa reunión aun cuando ella sea pacífica.</w:t>
      </w:r>
    </w:p>
    <w:p w:rsidR="00780C05" w:rsidRPr="000E05A9" w:rsidRDefault="001E2DF1">
      <w:pPr>
        <w:pBdr>
          <w:top w:val="nil"/>
          <w:left w:val="nil"/>
          <w:bottom w:val="nil"/>
          <w:right w:val="nil"/>
          <w:between w:val="nil"/>
        </w:pBd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Es cierto que el acto mismo de convocatoria a una reunión, que puede hacerse a través de medios digitales, es un indicio relevante para conocer la finalidad perseguida por ella y el probable contenido expresivo (incluyendo si tales fines no son cubiertos por el artículo 21); sin embargo, los actos de violencia discursivos a través de medios digitales (por ejemplo, mediante la injuria, la amenaza o el discurso discriminatorio) deben recibir un tratamiento legal específico acorde con los estándares internacionales de derechos humanos, y particularmente las garantías de protección a la libertad de expresión contenidas en el artículo 19 del Pacto. </w:t>
      </w:r>
    </w:p>
    <w:p w:rsidR="00780C05" w:rsidRPr="000E05A9" w:rsidRDefault="001E2DF1">
      <w:pPr>
        <w:pBdr>
          <w:top w:val="nil"/>
          <w:left w:val="nil"/>
          <w:bottom w:val="nil"/>
          <w:right w:val="nil"/>
          <w:between w:val="nil"/>
        </w:pBd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Actos colectivos de expresión violenta en línea previos, simultáneos o posteriores a la reunión deben abordarse a partir de un análisis que no necesariamente equivale a la evaluación sobre el riesgo de los actos físicos realizados en el contexto de una reunión. Puesto que la desprotec</w:t>
      </w:r>
      <w:r w:rsidR="00C80EDE">
        <w:rPr>
          <w:rFonts w:ascii="Cambria" w:eastAsia="Cambria" w:hAnsi="Cambria" w:cs="Cambria"/>
          <w:sz w:val="24"/>
          <w:szCs w:val="24"/>
          <w:lang w:val="es-419"/>
        </w:rPr>
        <w:t xml:space="preserve">ción de una reunión en función </w:t>
      </w:r>
      <w:r w:rsidRPr="000E05A9">
        <w:rPr>
          <w:rFonts w:ascii="Cambria" w:eastAsia="Cambria" w:hAnsi="Cambria" w:cs="Cambria"/>
          <w:sz w:val="24"/>
          <w:szCs w:val="24"/>
          <w:lang w:val="es-419"/>
        </w:rPr>
        <w:t xml:space="preserve">de actos expresivos en torno a la misma restringiría tanto la libertad de expresión como la libertad de reunión, </w:t>
      </w:r>
      <w:r w:rsidR="00C80EDE">
        <w:rPr>
          <w:rFonts w:ascii="Cambria" w:eastAsia="Cambria" w:hAnsi="Cambria" w:cs="Cambria"/>
          <w:b/>
          <w:sz w:val="24"/>
          <w:szCs w:val="24"/>
          <w:lang w:val="es-419"/>
        </w:rPr>
        <w:t xml:space="preserve">consideramos </w:t>
      </w:r>
      <w:r w:rsidRPr="000E05A9">
        <w:rPr>
          <w:rFonts w:ascii="Cambria" w:eastAsia="Cambria" w:hAnsi="Cambria" w:cs="Cambria"/>
          <w:b/>
          <w:sz w:val="24"/>
          <w:szCs w:val="24"/>
          <w:lang w:val="es-419"/>
        </w:rPr>
        <w:t xml:space="preserve">necesario considerar de forma muy específica y excepcional la incitación a la violencia por medios digitales como causal para determinar la exclusión de protección del artículo 21 del Pacto; </w:t>
      </w:r>
      <w:r w:rsidRPr="000E05A9">
        <w:rPr>
          <w:rFonts w:ascii="Cambria" w:eastAsia="Cambria" w:hAnsi="Cambria" w:cs="Cambria"/>
          <w:sz w:val="24"/>
          <w:szCs w:val="24"/>
          <w:lang w:val="es-419"/>
        </w:rPr>
        <w:t xml:space="preserve">cualquier restricción debe someterse al test de legalidad, proporcionalidad y necesidad. La necesidad de proteger a las personas no puede servir como base para que el Estado restrinja de desproporcionadamente otros derechos. Se destaca que particularmente en los medios digitales son cada vez más comunes actos de falsa incitación a la violencia para deslegitimarla y categorizarla como ilegal o no cubierta por el derecho de reunión pacífica. </w:t>
      </w:r>
    </w:p>
    <w:p w:rsidR="00780C05" w:rsidRPr="000E05A9" w:rsidRDefault="001E2DF1">
      <w:pPr>
        <w:spacing w:before="240"/>
        <w:jc w:val="both"/>
        <w:rPr>
          <w:rFonts w:ascii="Cambria" w:eastAsia="Cambria" w:hAnsi="Cambria" w:cs="Cambria"/>
          <w:b/>
          <w:sz w:val="24"/>
          <w:szCs w:val="24"/>
          <w:lang w:val="es-419"/>
        </w:rPr>
      </w:pPr>
      <w:r w:rsidRPr="000E05A9">
        <w:rPr>
          <w:rFonts w:ascii="Cambria" w:eastAsia="Cambria" w:hAnsi="Cambria" w:cs="Cambria"/>
          <w:sz w:val="24"/>
          <w:szCs w:val="24"/>
          <w:lang w:val="es-419"/>
        </w:rPr>
        <w:t>Asimismo, atendida la complejidad que representa la regulación de formas digitales de expresiones que reflejan discriminación, odio, e incitación a la violencia en los términos del artículo 20, su regulación constituye una tarea compleja para los Estados y para la comunidad internacional, que no debe efectuarse en función de contingencias políticas ni de tensiones contingentes con otros Estados o instituciones.</w:t>
      </w:r>
    </w:p>
    <w:p w:rsidR="00780C05" w:rsidRPr="000E05A9" w:rsidRDefault="001E2DF1">
      <w:pPr>
        <w:pBdr>
          <w:top w:val="nil"/>
          <w:left w:val="nil"/>
          <w:bottom w:val="nil"/>
          <w:right w:val="nil"/>
          <w:between w:val="nil"/>
        </w:pBd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Como regla general, la convocatoria a reuniones y asambleas con propósitos de protesta y manifestación contraria a la autoridad no puede ser calificada como una forma de incitación a la violencia, ni apología del odio nacional, racial o religioso que constituya incitación a la discriminación, la hostilidad o la violencia, en los términos del artículo 20 del Pacto. Es decir, no puede el Estado servirse de sus obligaciones bajo el artículo 20 para restringir mediante la ley actos de organización o convocatoria a reuniones y asambleas con contenido contrario al gobierno o sus intereses, ni en general para evadir el deber del Estado de mantener neutralidad frente al contenido expresivo de una reunión.</w:t>
      </w:r>
    </w:p>
    <w:p w:rsidR="00780C05" w:rsidRPr="000E05A9" w:rsidRDefault="001E2DF1">
      <w:pP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Es por ello que </w:t>
      </w:r>
      <w:r w:rsidRPr="000E05A9">
        <w:rPr>
          <w:rFonts w:ascii="Cambria" w:eastAsia="Cambria" w:hAnsi="Cambria" w:cs="Cambria"/>
          <w:b/>
          <w:sz w:val="24"/>
          <w:szCs w:val="24"/>
          <w:lang w:val="es-419"/>
        </w:rPr>
        <w:t>no consideramos adecuada la primera opción contemplada en el párrafo 22 del borrador</w:t>
      </w:r>
      <w:r w:rsidRPr="000E05A9">
        <w:rPr>
          <w:rFonts w:ascii="Cambria" w:eastAsia="Cambria" w:hAnsi="Cambria" w:cs="Cambria"/>
          <w:sz w:val="24"/>
          <w:szCs w:val="24"/>
          <w:lang w:val="es-419"/>
        </w:rPr>
        <w:t>, ya que se trata de una interpretación laxa de lo que constituye una incitación a la violencia en los términos del artículo 20 del Pacto.</w:t>
      </w:r>
    </w:p>
    <w:p w:rsidR="00780C05" w:rsidRPr="000E05A9" w:rsidRDefault="00780C05">
      <w:pPr>
        <w:pBdr>
          <w:top w:val="nil"/>
          <w:left w:val="nil"/>
          <w:bottom w:val="nil"/>
          <w:right w:val="nil"/>
          <w:between w:val="nil"/>
        </w:pBdr>
        <w:spacing w:before="240" w:line="240" w:lineRule="auto"/>
        <w:jc w:val="both"/>
        <w:rPr>
          <w:rFonts w:ascii="Cambria" w:eastAsia="Cambria" w:hAnsi="Cambria" w:cs="Cambria"/>
          <w:sz w:val="24"/>
          <w:szCs w:val="24"/>
          <w:lang w:val="es-419"/>
        </w:rPr>
      </w:pPr>
    </w:p>
    <w:p w:rsidR="00780C05" w:rsidRPr="00C80EDE" w:rsidRDefault="001E2DF1">
      <w:pPr>
        <w:pStyle w:val="Heading1"/>
        <w:numPr>
          <w:ilvl w:val="0"/>
          <w:numId w:val="1"/>
        </w:numPr>
        <w:rPr>
          <w:sz w:val="24"/>
          <w:szCs w:val="24"/>
          <w:lang w:val="es-419"/>
        </w:rPr>
      </w:pPr>
      <w:bookmarkStart w:id="8" w:name="_m9modh3v5feg" w:colFirst="0" w:colLast="0"/>
      <w:bookmarkEnd w:id="8"/>
      <w:r w:rsidRPr="00C80EDE">
        <w:rPr>
          <w:lang w:val="es-419"/>
        </w:rPr>
        <w:t>Autorización y aviso previo</w:t>
      </w:r>
    </w:p>
    <w:p w:rsidR="00780C05" w:rsidRDefault="00780C05">
      <w:pPr>
        <w:rPr>
          <w:rFonts w:ascii="Cambria" w:eastAsia="Cambria" w:hAnsi="Cambria" w:cs="Cambria"/>
          <w:b/>
          <w:color w:val="9900FF"/>
          <w:sz w:val="24"/>
          <w:szCs w:val="24"/>
        </w:rPr>
      </w:pP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En materia de los regímenes de notificación y autorización, el borrador de la Observación General Nº 37 establece en el párrafo 80 un deber de informar a las autoridades por adelantado cuando se tenga la intención de llevar a cabo una reunión pacífica. Dicho lenguaje, junto con el de los párrafos 84 y 88, debe ser reformulado con el propósito de dar claridad sobre la naturaleza de este requisito. </w:t>
      </w: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El derecho a la reunión pacífica es, esencialmente, disruptivo. </w:t>
      </w:r>
      <w:r w:rsidRPr="000E05A9">
        <w:rPr>
          <w:rFonts w:ascii="Cambria" w:eastAsia="Cambria" w:hAnsi="Cambria" w:cs="Cambria"/>
          <w:b/>
          <w:sz w:val="24"/>
          <w:szCs w:val="24"/>
          <w:lang w:val="es-419"/>
        </w:rPr>
        <w:t>Los sistemas de notificación pueden existir en un Estado, pero no deben ser obligatorios</w:t>
      </w:r>
      <w:r w:rsidRPr="000E05A9">
        <w:rPr>
          <w:rFonts w:ascii="Cambria" w:eastAsia="Cambria" w:hAnsi="Cambria" w:cs="Cambria"/>
          <w:sz w:val="24"/>
          <w:szCs w:val="24"/>
          <w:lang w:val="es-419"/>
        </w:rPr>
        <w:t>.</w:t>
      </w:r>
      <w:r w:rsidRPr="000E05A9">
        <w:rPr>
          <w:rFonts w:ascii="Cambria" w:eastAsia="Cambria" w:hAnsi="Cambria" w:cs="Cambria"/>
          <w:b/>
          <w:sz w:val="24"/>
          <w:szCs w:val="24"/>
          <w:lang w:val="es-419"/>
        </w:rPr>
        <w:t xml:space="preserve"> Cuando existan, tienen que estar debidamente justificados con base en finalidades legítimas como la garantía de los derechos de los participantes durante el desarrollo de la reunión.</w:t>
      </w:r>
      <w:r w:rsidRPr="000E05A9">
        <w:rPr>
          <w:rFonts w:ascii="Cambria" w:eastAsia="Cambria" w:hAnsi="Cambria" w:cs="Cambria"/>
          <w:sz w:val="24"/>
          <w:szCs w:val="24"/>
          <w:lang w:val="es-419"/>
        </w:rPr>
        <w:t xml:space="preserve"> Deben entenderse como un medio para salvaguardar derechos e intereses legítimos y no como un fin en sí mismo. En ese sentido se ha expresado la CIDH a través de su Relatoría de Libertad de Expresión: </w:t>
      </w:r>
    </w:p>
    <w:p w:rsidR="00780C05" w:rsidRPr="000E05A9" w:rsidRDefault="001E2DF1">
      <w:pPr>
        <w:spacing w:line="240" w:lineRule="auto"/>
        <w:ind w:left="720"/>
        <w:jc w:val="both"/>
        <w:rPr>
          <w:rFonts w:ascii="Cambria" w:eastAsia="Cambria" w:hAnsi="Cambria" w:cs="Cambria"/>
          <w:lang w:val="es-419"/>
        </w:rPr>
      </w:pPr>
      <w:r w:rsidRPr="000E05A9">
        <w:rPr>
          <w:rFonts w:ascii="Cambria" w:eastAsia="Cambria" w:hAnsi="Cambria" w:cs="Cambria"/>
          <w:lang w:val="es-419"/>
        </w:rPr>
        <w:t>“</w:t>
      </w:r>
      <w:r w:rsidR="0075032E" w:rsidRPr="0075032E">
        <w:rPr>
          <w:rFonts w:ascii="Cambria" w:eastAsia="Cambria" w:hAnsi="Cambria" w:cs="Cambria"/>
          <w:lang w:val="es-419"/>
        </w:rPr>
        <w:t>El Relator Especial considera que el ejercicio de las libertades fundamentales no debe supeditarse a la obtención de una autorización previa de las autoridades (como se establece de manera explícita en la Constitución española); a lo sumo, debe aplicarse un procedimiento de notificación previa que obedezca a la necesidad de que las autoridades del Estado faciliten el ejercicio del derecho a la libertad de reunión pacífica y tomen medidas para proteger la seguridad y el orden públicos y los derechos y libert</w:t>
      </w:r>
      <w:r w:rsidR="0075032E">
        <w:rPr>
          <w:rFonts w:ascii="Cambria" w:eastAsia="Cambria" w:hAnsi="Cambria" w:cs="Cambria"/>
          <w:lang w:val="es-419"/>
        </w:rPr>
        <w:t>ades de los demás</w:t>
      </w:r>
      <w:r w:rsidR="0075032E" w:rsidRPr="0075032E">
        <w:rPr>
          <w:rFonts w:ascii="Cambria" w:eastAsia="Cambria" w:hAnsi="Cambria" w:cs="Cambria"/>
          <w:lang w:val="es-419"/>
        </w:rPr>
        <w:t>. Dicha notificación debe someterse a una evaluación de la proporcionalidad que no</w:t>
      </w:r>
      <w:r w:rsidR="0075032E">
        <w:rPr>
          <w:rFonts w:ascii="Cambria" w:eastAsia="Cambria" w:hAnsi="Cambria" w:cs="Cambria"/>
          <w:lang w:val="es-419"/>
        </w:rPr>
        <w:t xml:space="preserve"> sea excesivamente burocrática</w:t>
      </w:r>
      <w:r w:rsidRPr="000E05A9">
        <w:rPr>
          <w:rFonts w:ascii="Cambria" w:eastAsia="Cambria" w:hAnsi="Cambria" w:cs="Cambria"/>
          <w:lang w:val="es-419"/>
        </w:rPr>
        <w:t xml:space="preserve">.” </w:t>
      </w:r>
      <w:r>
        <w:rPr>
          <w:rFonts w:ascii="Cambria" w:eastAsia="Cambria" w:hAnsi="Cambria" w:cs="Cambria"/>
          <w:vertAlign w:val="superscript"/>
        </w:rPr>
        <w:footnoteReference w:id="15"/>
      </w:r>
    </w:p>
    <w:p w:rsidR="00780C05" w:rsidRPr="000E05A9" w:rsidRDefault="00780C05">
      <w:pPr>
        <w:spacing w:line="240" w:lineRule="auto"/>
        <w:ind w:left="720"/>
        <w:jc w:val="both"/>
        <w:rPr>
          <w:rFonts w:ascii="Cambria" w:eastAsia="Cambria" w:hAnsi="Cambria" w:cs="Cambria"/>
          <w:lang w:val="es-419"/>
        </w:rPr>
      </w:pP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Estos sistemas no pueden convertirse en un obstáculo para quienes convocan y participan en una reunión pacífica por ser demasiado onerosos o difíciles de cumplir. En cambio, tienen que ser rápidos, eficientes, accesibles y, sobre todo, proporcionales en relación con las posibles repercusiones que puede generar la reunión a los derechos de quienes no participan. No se puede exigir aviso previo en las reuniones cuyo número de participantes no hace necesario tomar medidas para mitigar estos efectos o armonizar los derechos de quienes no participan o cuando su lugar y duración son reducidos. Tampoco se puede exigir este requisito cuando las reuniones pacíficas se forman de manera espontánea ya que el tiempo no lo permite.</w:t>
      </w: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Los Estados no deben imponer ninguna sanción en el caso que el aviso previo no se de, y la reunión pacífica se lleve a cabo sin ser notificada. Participar en una reunión pacífica que no fue notificada conforme a los requisitos previstos no es ilegal. </w:t>
      </w:r>
      <w:r w:rsidRPr="000E05A9">
        <w:rPr>
          <w:rFonts w:ascii="Cambria" w:eastAsia="Cambria" w:hAnsi="Cambria" w:cs="Cambria"/>
          <w:b/>
          <w:sz w:val="24"/>
          <w:szCs w:val="24"/>
          <w:lang w:val="es-419"/>
        </w:rPr>
        <w:t>Si hay algún tipo de sanción, sin importar su naturaleza, se convierte en un régimen de autorización.</w:t>
      </w:r>
      <w:r w:rsidRPr="000E05A9">
        <w:rPr>
          <w:rFonts w:ascii="Cambria" w:eastAsia="Cambria" w:hAnsi="Cambria" w:cs="Cambria"/>
          <w:sz w:val="24"/>
          <w:szCs w:val="24"/>
          <w:lang w:val="es-419"/>
        </w:rPr>
        <w:t xml:space="preserve"> Los regímenes de autorización son incompatibles con el ejercicio del derecho de reunión pacífica</w:t>
      </w:r>
      <w:r>
        <w:rPr>
          <w:rFonts w:ascii="Cambria" w:eastAsia="Cambria" w:hAnsi="Cambria" w:cs="Cambria"/>
          <w:sz w:val="24"/>
          <w:szCs w:val="24"/>
          <w:vertAlign w:val="superscript"/>
        </w:rPr>
        <w:footnoteReference w:id="16"/>
      </w:r>
      <w:r w:rsidRPr="000E05A9">
        <w:rPr>
          <w:rFonts w:ascii="Cambria" w:eastAsia="Cambria" w:hAnsi="Cambria" w:cs="Cambria"/>
          <w:sz w:val="24"/>
          <w:szCs w:val="24"/>
          <w:lang w:val="es-419"/>
        </w:rPr>
        <w:t xml:space="preserve">. </w:t>
      </w: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En los países en que subsista este sistema de autorización o permiso, incluso en la práctica, debe desaparecer puesto que se convierte en una limitación desproporcionada al ejercicio del derecho de reunión pacífica. Al respecto el Relator Especial de Libertad de Expresión de la CIDH señala: </w:t>
      </w:r>
    </w:p>
    <w:p w:rsidR="00780C05" w:rsidRPr="000E05A9" w:rsidRDefault="001E2DF1">
      <w:pPr>
        <w:spacing w:after="160" w:line="259" w:lineRule="auto"/>
        <w:ind w:left="720"/>
        <w:jc w:val="both"/>
        <w:rPr>
          <w:rFonts w:ascii="Cambria" w:eastAsia="Cambria" w:hAnsi="Cambria" w:cs="Cambria"/>
          <w:lang w:val="es-419"/>
        </w:rPr>
      </w:pPr>
      <w:r w:rsidRPr="000E05A9">
        <w:rPr>
          <w:rFonts w:ascii="Cambria" w:eastAsia="Cambria" w:hAnsi="Cambria" w:cs="Cambria"/>
          <w:lang w:val="es-419"/>
        </w:rPr>
        <w:t xml:space="preserve">“El aviso previo, generalmente justificado por los Estados sobre la base de la necesidad de ofrecer mayor protección a una manifestación, no puede funcionar como un mecanismo de autorización encubierto. La CIDH sostuvo en su informe sobre “Criminalización de Defensores y Defensoras de Derechos Humanos” que la exigencia de una notificación previa no debe ser confundida con la exigencia de un permiso previo otorgado discrecionalmente, el cual, aun cuando se trate de espacios públicos, no debe estar previsto en la normativa ni en la práctica de las autoridades administrativas” </w:t>
      </w:r>
      <w:r>
        <w:rPr>
          <w:rFonts w:ascii="Cambria" w:eastAsia="Cambria" w:hAnsi="Cambria" w:cs="Cambria"/>
          <w:vertAlign w:val="superscript"/>
        </w:rPr>
        <w:footnoteReference w:id="17"/>
      </w:r>
      <w:r w:rsidRPr="000E05A9">
        <w:rPr>
          <w:rFonts w:ascii="Cambria" w:eastAsia="Cambria" w:hAnsi="Cambria" w:cs="Cambria"/>
          <w:lang w:val="es-419"/>
        </w:rPr>
        <w:t xml:space="preserve">. </w:t>
      </w:r>
    </w:p>
    <w:p w:rsidR="00780C05" w:rsidRPr="000E05A9" w:rsidRDefault="00780C05">
      <w:pPr>
        <w:spacing w:after="160" w:line="259" w:lineRule="auto"/>
        <w:jc w:val="both"/>
        <w:rPr>
          <w:rFonts w:ascii="Cambria" w:eastAsia="Cambria" w:hAnsi="Cambria" w:cs="Cambria"/>
          <w:sz w:val="24"/>
          <w:szCs w:val="24"/>
          <w:lang w:val="es-419"/>
        </w:rPr>
      </w:pPr>
    </w:p>
    <w:p w:rsidR="00780C05" w:rsidRPr="000E05A9" w:rsidRDefault="001E2DF1">
      <w:pPr>
        <w:pStyle w:val="Heading1"/>
        <w:numPr>
          <w:ilvl w:val="0"/>
          <w:numId w:val="1"/>
        </w:numPr>
        <w:rPr>
          <w:lang w:val="es-419"/>
        </w:rPr>
      </w:pPr>
      <w:bookmarkStart w:id="9" w:name="_p349pjohcpfs" w:colFirst="0" w:colLast="0"/>
      <w:bookmarkEnd w:id="9"/>
      <w:r w:rsidRPr="000E05A9">
        <w:rPr>
          <w:lang w:val="es-419"/>
        </w:rPr>
        <w:t>Restricciones ilegítimas al derecho de reunión pacífica</w:t>
      </w:r>
    </w:p>
    <w:p w:rsidR="00780C05" w:rsidRPr="000E05A9" w:rsidRDefault="001E2DF1">
      <w:pPr>
        <w:pStyle w:val="Heading2"/>
        <w:rPr>
          <w:lang w:val="es-419"/>
        </w:rPr>
      </w:pPr>
      <w:bookmarkStart w:id="10" w:name="_5tffnnahjsi6" w:colFirst="0" w:colLast="0"/>
      <w:bookmarkEnd w:id="10"/>
      <w:r w:rsidRPr="000E05A9">
        <w:rPr>
          <w:lang w:val="es-419"/>
        </w:rPr>
        <w:t>4.1. Vigilancia</w:t>
      </w:r>
    </w:p>
    <w:p w:rsidR="00780C05" w:rsidRPr="000E05A9" w:rsidRDefault="001E2DF1">
      <w:pPr>
        <w:pBdr>
          <w:top w:val="nil"/>
          <w:left w:val="nil"/>
          <w:bottom w:val="nil"/>
          <w:right w:val="nil"/>
          <w:between w:val="nil"/>
        </w:pBd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Las actividades de vigilancia conducidas por el Estado han ido incrementando su nivel de sofisticación para aplicar restricciones al ejercicio de derechos, entre ellos la libertad de reunión pacífica y de asociación. El informe temático del Relator Especial sobre los Derechos a la Libertad de Reunión Pacífica y de Asociación señala que: </w:t>
      </w:r>
    </w:p>
    <w:p w:rsidR="00780C05" w:rsidRPr="000E05A9" w:rsidRDefault="001E2DF1">
      <w:pPr>
        <w:spacing w:before="240" w:line="240" w:lineRule="auto"/>
        <w:ind w:left="850" w:right="809"/>
        <w:jc w:val="both"/>
        <w:rPr>
          <w:rFonts w:ascii="Cambria" w:eastAsia="Cambria" w:hAnsi="Cambria" w:cs="Cambria"/>
          <w:sz w:val="24"/>
          <w:szCs w:val="24"/>
          <w:lang w:val="es-419"/>
        </w:rPr>
      </w:pPr>
      <w:r w:rsidRPr="000E05A9">
        <w:rPr>
          <w:rFonts w:ascii="Cambria" w:eastAsia="Cambria" w:hAnsi="Cambria" w:cs="Cambria"/>
          <w:lang w:val="es-419"/>
        </w:rPr>
        <w:t>“[l]a era digital ha abierto un nuevo espacio para el disfrute de los derechos a la libertad de reunión pacífica y de asociación. Hay numerosos ejemplos de todo el mundo que demuestran el poder que tiene la tecnología digital en manos de personas que desean unirse para promover la democracia, la paz y el desarrollo. Sin embargo, la revolución digital también ha traído una serie de riesgos y amenazas nuevos para esos derechos". Agregando a este respecto que “en el último decenio, los Estados han utilizado la tecnología para silenciar, vigilar y acosar a los disidentes, la oposición política, los defensores de los derechos humanos, los activistas y los manifestantes, y para manipular a la opinión pública. Los gobiernos ordenan interrupciones del servicio de Internet con más frecuencia y bloquean sitios web y plataformas antes de momentos democráticos decisivos, como elecciones y manifestaciones”</w:t>
      </w:r>
      <w:r>
        <w:rPr>
          <w:rFonts w:ascii="Cambria" w:eastAsia="Cambria" w:hAnsi="Cambria" w:cs="Cambria"/>
          <w:vertAlign w:val="superscript"/>
        </w:rPr>
        <w:footnoteReference w:id="18"/>
      </w:r>
      <w:r w:rsidRPr="000E05A9">
        <w:rPr>
          <w:rFonts w:ascii="Cambria" w:eastAsia="Cambria" w:hAnsi="Cambria" w:cs="Cambria"/>
          <w:sz w:val="24"/>
          <w:szCs w:val="24"/>
          <w:lang w:val="es-419"/>
        </w:rPr>
        <w:t>.</w:t>
      </w:r>
    </w:p>
    <w:p w:rsidR="00780C05" w:rsidRPr="000E05A9" w:rsidRDefault="001E2DF1">
      <w:pPr>
        <w:pBdr>
          <w:top w:val="nil"/>
          <w:left w:val="nil"/>
          <w:bottom w:val="nil"/>
          <w:right w:val="nil"/>
          <w:between w:val="nil"/>
        </w:pBd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Estas tendencias incluyen a la intervención en las comunicaciones telefónicas o electrónicas, la implantación de códigos maliciosos para extraer informaciones de dispositivos electrónicos, el monitoreo de metadatos de comunicaciones u otros, en medio analógico o electrónico, la recolección y análisis de metadatos obtenidos de distintas maneras, la recolección de datos biométricos, entre otras</w:t>
      </w:r>
      <w:r>
        <w:rPr>
          <w:rFonts w:ascii="Cambria" w:eastAsia="Cambria" w:hAnsi="Cambria" w:cs="Cambria"/>
          <w:sz w:val="24"/>
          <w:szCs w:val="24"/>
          <w:vertAlign w:val="superscript"/>
        </w:rPr>
        <w:footnoteReference w:id="19"/>
      </w:r>
      <w:r w:rsidRPr="000E05A9">
        <w:rPr>
          <w:rFonts w:ascii="Cambria" w:eastAsia="Cambria" w:hAnsi="Cambria" w:cs="Cambria"/>
          <w:sz w:val="24"/>
          <w:szCs w:val="24"/>
          <w:lang w:val="es-419"/>
        </w:rPr>
        <w:t>.</w:t>
      </w:r>
    </w:p>
    <w:p w:rsidR="00780C05" w:rsidRPr="000E05A9" w:rsidRDefault="001E2DF1">
      <w:pPr>
        <w:pBdr>
          <w:top w:val="nil"/>
          <w:left w:val="nil"/>
          <w:bottom w:val="nil"/>
          <w:right w:val="nil"/>
          <w:between w:val="nil"/>
        </w:pBd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En distintas ocasiones acciones de vigilancia han sido implementadas como excusa para la vulneración de derechos garantizados por el Pacto, entre ellos la privacidad, la libertad de expresión y la libertad de reunión pacífica y de asociación</w:t>
      </w:r>
      <w:r>
        <w:rPr>
          <w:rFonts w:ascii="Cambria" w:eastAsia="Cambria" w:hAnsi="Cambria" w:cs="Cambria"/>
          <w:sz w:val="24"/>
          <w:szCs w:val="24"/>
          <w:vertAlign w:val="superscript"/>
        </w:rPr>
        <w:footnoteReference w:id="20"/>
      </w:r>
      <w:r w:rsidRPr="000E05A9">
        <w:rPr>
          <w:rFonts w:ascii="Cambria" w:eastAsia="Cambria" w:hAnsi="Cambria" w:cs="Cambria"/>
          <w:sz w:val="24"/>
          <w:szCs w:val="24"/>
          <w:lang w:val="es-419"/>
        </w:rPr>
        <w:t>. Desde el Sistema Interamericano de Derechos Humanos, un reciente informe de la Relatoría Especial para la Libertad de Expresión, ha identificado la</w:t>
      </w:r>
    </w:p>
    <w:p w:rsidR="00780C05" w:rsidRPr="000E05A9" w:rsidRDefault="001E2DF1">
      <w:pPr>
        <w:pBdr>
          <w:top w:val="nil"/>
          <w:left w:val="nil"/>
          <w:bottom w:val="nil"/>
          <w:right w:val="nil"/>
          <w:between w:val="nil"/>
        </w:pBdr>
        <w:spacing w:before="240" w:line="240" w:lineRule="auto"/>
        <w:ind w:left="850" w:right="854"/>
        <w:jc w:val="both"/>
        <w:rPr>
          <w:rFonts w:ascii="Cambria" w:eastAsia="Cambria" w:hAnsi="Cambria" w:cs="Cambria"/>
          <w:lang w:val="es-419"/>
        </w:rPr>
      </w:pPr>
      <w:r w:rsidRPr="000E05A9">
        <w:rPr>
          <w:rFonts w:ascii="Cambria" w:eastAsia="Cambria" w:hAnsi="Cambria" w:cs="Cambria"/>
          <w:lang w:val="es-419"/>
        </w:rPr>
        <w:t>“presencia en las redes sociales de agentes policiales y militares infiltrados o con identidades falsas con el objetivo de obtener información sobre movimientos sociales y la organización de manifestaciones y protestas”</w:t>
      </w:r>
      <w:r w:rsidR="00F1427F">
        <w:rPr>
          <w:rStyle w:val="FootnoteReference"/>
          <w:rFonts w:ascii="Cambria" w:eastAsia="Cambria" w:hAnsi="Cambria" w:cs="Cambria"/>
          <w:lang w:val="es-419"/>
        </w:rPr>
        <w:footnoteReference w:id="21"/>
      </w:r>
    </w:p>
    <w:p w:rsidR="00780C05" w:rsidRPr="000E05A9" w:rsidRDefault="001E2DF1">
      <w:pPr>
        <w:spacing w:before="240"/>
        <w:ind w:right="4"/>
        <w:jc w:val="both"/>
        <w:rPr>
          <w:rFonts w:ascii="Cambria" w:eastAsia="Cambria" w:hAnsi="Cambria" w:cs="Cambria"/>
          <w:sz w:val="24"/>
          <w:szCs w:val="24"/>
          <w:lang w:val="es-419"/>
        </w:rPr>
      </w:pPr>
      <w:r w:rsidRPr="000E05A9">
        <w:rPr>
          <w:rFonts w:ascii="Cambria" w:eastAsia="Cambria" w:hAnsi="Cambria" w:cs="Cambria"/>
          <w:sz w:val="24"/>
          <w:szCs w:val="24"/>
          <w:lang w:val="es-419"/>
        </w:rPr>
        <w:t>Estas acciones incluyen intervenciones en las comunicaciones y la retención de datos, como reconoció el Comité de Derechos Humanos de la ONU en las revisiones periódicas de cumplimiento del Pacto</w:t>
      </w:r>
      <w:r>
        <w:rPr>
          <w:rFonts w:ascii="Cambria" w:eastAsia="Cambria" w:hAnsi="Cambria" w:cs="Cambria"/>
          <w:sz w:val="24"/>
          <w:szCs w:val="24"/>
          <w:vertAlign w:val="superscript"/>
        </w:rPr>
        <w:footnoteReference w:id="22"/>
      </w:r>
      <w:r w:rsidRPr="000E05A9">
        <w:rPr>
          <w:rFonts w:ascii="Cambria" w:eastAsia="Cambria" w:hAnsi="Cambria" w:cs="Cambria"/>
          <w:sz w:val="24"/>
          <w:szCs w:val="24"/>
          <w:lang w:val="es-419"/>
        </w:rPr>
        <w:t>, que también expresó en 2017 su preocupación por el uso del hackeo con fines de vigilancia</w:t>
      </w:r>
      <w:r>
        <w:rPr>
          <w:rFonts w:ascii="Cambria" w:eastAsia="Cambria" w:hAnsi="Cambria" w:cs="Cambria"/>
          <w:sz w:val="24"/>
          <w:szCs w:val="24"/>
          <w:vertAlign w:val="superscript"/>
        </w:rPr>
        <w:footnoteReference w:id="23"/>
      </w:r>
      <w:r w:rsidRPr="000E05A9">
        <w:rPr>
          <w:rFonts w:ascii="Cambria" w:eastAsia="Cambria" w:hAnsi="Cambria" w:cs="Cambria"/>
          <w:sz w:val="24"/>
          <w:szCs w:val="24"/>
          <w:lang w:val="es-419"/>
        </w:rPr>
        <w:t xml:space="preserve">. </w:t>
      </w:r>
    </w:p>
    <w:p w:rsidR="00780C05" w:rsidRPr="000E05A9" w:rsidRDefault="001E2DF1">
      <w:pPr>
        <w:spacing w:before="240"/>
        <w:ind w:right="4"/>
        <w:jc w:val="both"/>
        <w:rPr>
          <w:rFonts w:ascii="Cambria" w:eastAsia="Cambria" w:hAnsi="Cambria" w:cs="Cambria"/>
          <w:sz w:val="24"/>
          <w:szCs w:val="24"/>
          <w:lang w:val="es-419"/>
        </w:rPr>
      </w:pPr>
      <w:r w:rsidRPr="000E05A9">
        <w:rPr>
          <w:rFonts w:ascii="Cambria" w:eastAsia="Cambria" w:hAnsi="Cambria" w:cs="Cambria"/>
          <w:sz w:val="24"/>
          <w:szCs w:val="24"/>
          <w:lang w:val="es-419"/>
        </w:rPr>
        <w:t>En distintas ocasiones autoridades de organismos internacionales de derechos humanos han manifestado preocupaciones</w:t>
      </w:r>
      <w:r>
        <w:rPr>
          <w:rFonts w:ascii="Cambria" w:eastAsia="Cambria" w:hAnsi="Cambria" w:cs="Cambria"/>
          <w:sz w:val="24"/>
          <w:szCs w:val="24"/>
          <w:vertAlign w:val="superscript"/>
        </w:rPr>
        <w:footnoteReference w:id="24"/>
      </w:r>
      <w:r w:rsidRPr="000E05A9">
        <w:rPr>
          <w:rFonts w:ascii="Cambria" w:eastAsia="Cambria" w:hAnsi="Cambria" w:cs="Cambria"/>
          <w:sz w:val="24"/>
          <w:szCs w:val="24"/>
          <w:lang w:val="es-419"/>
        </w:rPr>
        <w:t xml:space="preserve"> con sus impactos tanto respecto de la población en general, como de grupos específicos tales como los defensores de Derechos Humanos y los periodistas o comunicadores sociales</w:t>
      </w:r>
      <w:r>
        <w:rPr>
          <w:rFonts w:ascii="Cambria" w:eastAsia="Cambria" w:hAnsi="Cambria" w:cs="Cambria"/>
          <w:sz w:val="24"/>
          <w:szCs w:val="24"/>
          <w:vertAlign w:val="superscript"/>
        </w:rPr>
        <w:footnoteReference w:id="25"/>
      </w:r>
      <w:r w:rsidRPr="000E05A9">
        <w:rPr>
          <w:rFonts w:ascii="Cambria" w:eastAsia="Cambria" w:hAnsi="Cambria" w:cs="Cambria"/>
          <w:sz w:val="24"/>
          <w:szCs w:val="24"/>
          <w:vertAlign w:val="superscript"/>
          <w:lang w:val="es-419"/>
        </w:rPr>
        <w:t xml:space="preserve">. </w:t>
      </w:r>
      <w:r w:rsidRPr="000E05A9">
        <w:rPr>
          <w:rFonts w:ascii="Cambria" w:eastAsia="Cambria" w:hAnsi="Cambria" w:cs="Cambria"/>
          <w:sz w:val="24"/>
          <w:szCs w:val="24"/>
          <w:lang w:val="es-419"/>
        </w:rPr>
        <w:t>La interceptación, recolección y uso de metadatos interfieren con el derecho a la privacidad, tal como lo han reconocido expertos en derechos humanos, incluyendo el Relator Especial de la ONU sobre libertad de expresión, el Relator Especial de la ONU sobre la lucha sobre la protección de los derechos humanos y las libertades fundamentales en la lucha contra el terrorismo</w:t>
      </w:r>
      <w:r>
        <w:rPr>
          <w:rFonts w:ascii="Cambria" w:eastAsia="Cambria" w:hAnsi="Cambria" w:cs="Cambria"/>
          <w:sz w:val="24"/>
          <w:szCs w:val="24"/>
          <w:vertAlign w:val="superscript"/>
        </w:rPr>
        <w:footnoteReference w:id="26"/>
      </w:r>
      <w:r w:rsidRPr="000E05A9">
        <w:rPr>
          <w:rFonts w:ascii="Cambria" w:eastAsia="Cambria" w:hAnsi="Cambria" w:cs="Cambria"/>
          <w:sz w:val="24"/>
          <w:szCs w:val="24"/>
          <w:lang w:val="es-419"/>
        </w:rPr>
        <w:t xml:space="preserve"> y el Alto Comisionado para los Derechos Humanos</w:t>
      </w:r>
      <w:r>
        <w:rPr>
          <w:rFonts w:ascii="Cambria" w:eastAsia="Cambria" w:hAnsi="Cambria" w:cs="Cambria"/>
          <w:sz w:val="24"/>
          <w:szCs w:val="24"/>
          <w:vertAlign w:val="superscript"/>
        </w:rPr>
        <w:footnoteReference w:id="27"/>
      </w:r>
      <w:r w:rsidRPr="000E05A9">
        <w:rPr>
          <w:rFonts w:ascii="Cambria" w:eastAsia="Cambria" w:hAnsi="Cambria" w:cs="Cambria"/>
          <w:sz w:val="24"/>
          <w:szCs w:val="24"/>
          <w:lang w:val="es-419"/>
        </w:rPr>
        <w:t xml:space="preserve">. </w:t>
      </w:r>
    </w:p>
    <w:p w:rsidR="00780C05" w:rsidRPr="000E05A9" w:rsidRDefault="001E2DF1">
      <w:pPr>
        <w:spacing w:before="240"/>
        <w:ind w:right="4"/>
        <w:jc w:val="both"/>
        <w:rPr>
          <w:rFonts w:ascii="Cambria" w:eastAsia="Cambria" w:hAnsi="Cambria" w:cs="Cambria"/>
          <w:sz w:val="24"/>
          <w:szCs w:val="24"/>
          <w:lang w:val="es-419"/>
        </w:rPr>
      </w:pPr>
      <w:r w:rsidRPr="000E05A9">
        <w:rPr>
          <w:rFonts w:ascii="Cambria" w:eastAsia="Cambria" w:hAnsi="Cambria" w:cs="Cambria"/>
          <w:sz w:val="24"/>
          <w:szCs w:val="24"/>
          <w:lang w:val="es-419"/>
        </w:rPr>
        <w:t>Al respecto, la Relatoría de Libertad de Expresión de la CIDH ha concluido que “[d]icha práctica puede ser considerada una violación grave de los derechos de reunión y libertad de asociación, e incluso del derecho de privacidad” y señalado que “[e]n ninguna circunstancia se encuentran permitidas acciones de inteligencia en internet para vigilar a los organizadores o participantes de protestas sociales.”</w:t>
      </w:r>
      <w:r>
        <w:rPr>
          <w:rFonts w:ascii="Cambria" w:eastAsia="Cambria" w:hAnsi="Cambria" w:cs="Cambria"/>
          <w:sz w:val="24"/>
          <w:szCs w:val="24"/>
          <w:vertAlign w:val="superscript"/>
        </w:rPr>
        <w:footnoteReference w:id="28"/>
      </w:r>
      <w:r w:rsidRPr="000E05A9">
        <w:rPr>
          <w:rFonts w:ascii="Cambria" w:eastAsia="Cambria" w:hAnsi="Cambria" w:cs="Cambria"/>
          <w:sz w:val="24"/>
          <w:szCs w:val="24"/>
          <w:lang w:val="es-419"/>
        </w:rPr>
        <w:t xml:space="preserve"> El Tribunal de Justicia de la Unión Europea (TJUE), ha considerado la retención de metadatos relativos a la vida privada y las comunicaciones de una persona es en sí misma, una injerencia en el derecho a la intimidad</w:t>
      </w:r>
      <w:r>
        <w:rPr>
          <w:rFonts w:ascii="Cambria" w:eastAsia="Cambria" w:hAnsi="Cambria" w:cs="Cambria"/>
          <w:sz w:val="24"/>
          <w:szCs w:val="24"/>
          <w:vertAlign w:val="superscript"/>
        </w:rPr>
        <w:footnoteReference w:id="29"/>
      </w:r>
      <w:r w:rsidRPr="000E05A9">
        <w:rPr>
          <w:rFonts w:ascii="Cambria" w:eastAsia="Cambria" w:hAnsi="Cambria" w:cs="Cambria"/>
          <w:sz w:val="24"/>
          <w:szCs w:val="24"/>
          <w:lang w:val="es-419"/>
        </w:rPr>
        <w:t xml:space="preserve">. </w:t>
      </w:r>
    </w:p>
    <w:p w:rsidR="00780C05" w:rsidRPr="000E05A9" w:rsidRDefault="001E2DF1">
      <w:pP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Estas interferencias pueden resultar violatorias del derecho a la reunión pacífica. La CIDH, al pronunciarse acerca el uso de vigilancia en Internet, la ha considerado, en cualquiera de sus formatos o matices, como</w:t>
      </w:r>
    </w:p>
    <w:p w:rsidR="00780C05" w:rsidRPr="00A74B09" w:rsidRDefault="001E2DF1">
      <w:pPr>
        <w:spacing w:before="240" w:line="240" w:lineRule="auto"/>
        <w:ind w:left="850" w:right="854"/>
        <w:jc w:val="both"/>
        <w:rPr>
          <w:rFonts w:ascii="Cambria" w:eastAsia="Cambria" w:hAnsi="Cambria" w:cs="Cambria"/>
          <w:sz w:val="24"/>
          <w:szCs w:val="24"/>
          <w:vertAlign w:val="superscript"/>
          <w:lang w:val="es-419"/>
        </w:rPr>
      </w:pPr>
      <w:r w:rsidRPr="00A74B09">
        <w:rPr>
          <w:rFonts w:ascii="Cambria" w:eastAsia="Cambria" w:hAnsi="Cambria" w:cs="Cambria"/>
          <w:lang w:val="es-419"/>
        </w:rPr>
        <w:t>“una injerencia en la vida privada de las personas y, de ejercerse ilegítimamente, puede afectar además los derechos al debido proceso y a un juicio justo, a la libertad de expresión y al acceso a la información. Tanto a nivel regional como universal se reconoce que las prácticas de vigilancia y la interceptación y recopilación ilícita o arbitraria de datos personales</w:t>
      </w:r>
      <w:r w:rsidR="00C80EDE" w:rsidRPr="00A74B09">
        <w:rPr>
          <w:rFonts w:ascii="Cambria" w:eastAsia="Cambria" w:hAnsi="Cambria" w:cs="Cambria"/>
          <w:lang w:val="es-419"/>
        </w:rPr>
        <w:t xml:space="preserve"> </w:t>
      </w:r>
      <w:r w:rsidRPr="00A74B09">
        <w:rPr>
          <w:rFonts w:ascii="Cambria" w:eastAsia="Cambria" w:hAnsi="Cambria" w:cs="Cambria"/>
          <w:lang w:val="es-419"/>
        </w:rPr>
        <w:t>no sólo</w:t>
      </w:r>
      <w:r w:rsidR="00C80EDE" w:rsidRPr="00A74B09">
        <w:rPr>
          <w:rFonts w:ascii="Cambria" w:eastAsia="Cambria" w:hAnsi="Cambria" w:cs="Cambria"/>
          <w:lang w:val="es-419"/>
        </w:rPr>
        <w:t xml:space="preserve"> </w:t>
      </w:r>
      <w:r w:rsidRPr="00A74B09">
        <w:rPr>
          <w:rFonts w:ascii="Cambria" w:eastAsia="Cambria" w:hAnsi="Cambria" w:cs="Cambria"/>
          <w:lang w:val="es-419"/>
        </w:rPr>
        <w:t>afectan el derecho a la privacidad y a la libertad de expresión sino que también pueden ser contrarios a los preceptos de una sociedad democrática”.</w:t>
      </w:r>
      <w:r w:rsidRPr="00A74B09">
        <w:rPr>
          <w:rFonts w:ascii="Cambria" w:eastAsia="Cambria" w:hAnsi="Cambria" w:cs="Cambria"/>
          <w:vertAlign w:val="superscript"/>
        </w:rPr>
        <w:footnoteReference w:id="30"/>
      </w:r>
    </w:p>
    <w:p w:rsidR="00780C05" w:rsidRPr="00A74B09" w:rsidRDefault="001E2DF1">
      <w:pPr>
        <w:spacing w:before="240" w:line="240" w:lineRule="auto"/>
        <w:ind w:right="854"/>
        <w:jc w:val="both"/>
        <w:rPr>
          <w:rFonts w:ascii="Cambria" w:eastAsia="Cambria" w:hAnsi="Cambria" w:cs="Cambria"/>
          <w:sz w:val="24"/>
          <w:szCs w:val="24"/>
          <w:lang w:val="es-419"/>
        </w:rPr>
      </w:pPr>
      <w:r w:rsidRPr="00A74B09">
        <w:rPr>
          <w:rFonts w:ascii="Cambria" w:eastAsia="Cambria" w:hAnsi="Cambria" w:cs="Cambria"/>
          <w:sz w:val="24"/>
          <w:szCs w:val="24"/>
          <w:lang w:val="es-419"/>
        </w:rPr>
        <w:t>A su vez, la Relatoría Especial para la Libertad de Expresión del Sistema Interamericano ha expresado recientemente que:</w:t>
      </w:r>
    </w:p>
    <w:p w:rsidR="00780C05" w:rsidRPr="00A74B09" w:rsidRDefault="001E2DF1">
      <w:pPr>
        <w:spacing w:before="240" w:line="240" w:lineRule="auto"/>
        <w:ind w:left="850" w:right="809"/>
        <w:jc w:val="both"/>
        <w:rPr>
          <w:rFonts w:ascii="Cambria" w:eastAsia="Cambria" w:hAnsi="Cambria" w:cs="Cambria"/>
          <w:lang w:val="es-419"/>
        </w:rPr>
      </w:pPr>
      <w:r w:rsidRPr="00A74B09">
        <w:rPr>
          <w:rFonts w:ascii="Cambria" w:eastAsia="Cambria" w:hAnsi="Cambria" w:cs="Cambria"/>
          <w:lang w:val="es-419"/>
        </w:rPr>
        <w:t>“[e]n ningún caso la mera participación en protestas, en su difusión u organización puede motivar la violación del derecho a la privacidad respecto de las comunicaciones privadas realizadas por una persona, ya sean realizadas por escrito, por voz o imágenes, y con independencia de la plataforma utilizada. El derecho a la privacidad abarca no solamente las comunicaciones individuales, sino también las comunicaciones que se desarrollan en grupos cerrados a los que solo los miembros tienen acceso”.</w:t>
      </w:r>
      <w:r w:rsidRPr="00A74B09">
        <w:rPr>
          <w:rFonts w:ascii="Cambria" w:eastAsia="Cambria" w:hAnsi="Cambria" w:cs="Cambria"/>
          <w:vertAlign w:val="superscript"/>
        </w:rPr>
        <w:footnoteReference w:id="31"/>
      </w:r>
    </w:p>
    <w:p w:rsidR="00780C05" w:rsidRPr="00A74B09" w:rsidRDefault="001E2DF1">
      <w:pPr>
        <w:spacing w:before="240"/>
        <w:jc w:val="both"/>
        <w:rPr>
          <w:rFonts w:ascii="Cambria" w:eastAsia="Cambria" w:hAnsi="Cambria" w:cs="Cambria"/>
          <w:sz w:val="24"/>
          <w:szCs w:val="24"/>
          <w:lang w:val="es-419"/>
        </w:rPr>
      </w:pPr>
      <w:r w:rsidRPr="00A74B09">
        <w:rPr>
          <w:rFonts w:ascii="Cambria" w:eastAsia="Cambria" w:hAnsi="Cambria" w:cs="Cambria"/>
          <w:sz w:val="24"/>
          <w:szCs w:val="24"/>
          <w:lang w:val="es-419"/>
        </w:rPr>
        <w:t xml:space="preserve">Además, indica una presunción en contra de las actividades de inteligencia aplicadas al contexto de protesta, las cuales se califican de principio contrarias a los estándares interamericanos: </w:t>
      </w:r>
    </w:p>
    <w:p w:rsidR="00780C05" w:rsidRPr="00A74B09" w:rsidRDefault="001E2DF1">
      <w:pPr>
        <w:spacing w:before="240" w:line="240" w:lineRule="auto"/>
        <w:ind w:left="720" w:right="854"/>
        <w:jc w:val="both"/>
        <w:rPr>
          <w:rFonts w:ascii="Cambria" w:eastAsia="Cambria" w:hAnsi="Cambria" w:cs="Cambria"/>
          <w:lang w:val="es-419"/>
        </w:rPr>
      </w:pPr>
      <w:r w:rsidRPr="00A74B09">
        <w:rPr>
          <w:rFonts w:ascii="Cambria" w:eastAsia="Cambria" w:hAnsi="Cambria" w:cs="Cambria"/>
          <w:lang w:val="es-419"/>
        </w:rPr>
        <w:t>“Cualquier actividad de inteligencia relacionada con las libertades y derechos políticos implicados en las protestas deben contar con orden judicial y control externo”.</w:t>
      </w:r>
      <w:r w:rsidRPr="00A74B09">
        <w:rPr>
          <w:rFonts w:ascii="Cambria" w:eastAsia="Cambria" w:hAnsi="Cambria" w:cs="Cambria"/>
          <w:vertAlign w:val="superscript"/>
        </w:rPr>
        <w:footnoteReference w:id="32"/>
      </w:r>
    </w:p>
    <w:p w:rsidR="00780C05" w:rsidRPr="000E05A9" w:rsidRDefault="001E2DF1">
      <w:pPr>
        <w:spacing w:before="240"/>
        <w:ind w:left="2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Por la íntima relación antes examinada entre la libertad de expresión, la privacidad, y la reunión pacífica, lo anterior se aplica también a acciones de vigilancia que pueden impactar en el pleno ejercicio de tales derechos, como reconocen explícitamente los relatores especiales sobre la libertad de expresión en declaración conjunta de 2015: </w:t>
      </w:r>
    </w:p>
    <w:p w:rsidR="00780C05" w:rsidRPr="000E05A9" w:rsidRDefault="001E2DF1">
      <w:pPr>
        <w:spacing w:before="240" w:line="240" w:lineRule="auto"/>
        <w:ind w:left="850" w:right="854"/>
        <w:jc w:val="both"/>
        <w:rPr>
          <w:rFonts w:ascii="Cambria" w:eastAsia="Cambria" w:hAnsi="Cambria" w:cs="Cambria"/>
          <w:lang w:val="es-419"/>
        </w:rPr>
      </w:pPr>
      <w:r w:rsidRPr="000E05A9">
        <w:rPr>
          <w:rFonts w:ascii="Cambria" w:eastAsia="Cambria" w:hAnsi="Cambria" w:cs="Cambria"/>
          <w:lang w:val="es-419"/>
        </w:rPr>
        <w:t>“[l]as situaciones de conflicto no deberían ser utilizadas para justificar el aumento de la vigilancia por parte de actores del Estado dado a que la vigilancia representa la invasión a la privacidad y una restricción de la libertad de expresión. De acuerdo con el triple test para las restricciones a la libertad de expresión y, en particular, la parte de necesidad de ese test, la vigilancia debería llevarse a cabo sólo de forma limitada y selectiva y de una manera que represente un equilibrio adecuado entre el orden público y las necesidades de seguridad, por un lado, y los derechos a la libertad de expresión y a la privacidad, por el otro. La vigilancia indirecta o masiva, es inherentemente desproporcionada y constituye una violación de los derechos de privacidad y libertad de expresión.”</w:t>
      </w:r>
      <w:r>
        <w:rPr>
          <w:rFonts w:ascii="Cambria" w:eastAsia="Cambria" w:hAnsi="Cambria" w:cs="Cambria"/>
          <w:vertAlign w:val="superscript"/>
        </w:rPr>
        <w:footnoteReference w:id="33"/>
      </w:r>
    </w:p>
    <w:p w:rsidR="00780C05" w:rsidRPr="000E05A9" w:rsidRDefault="001E2DF1">
      <w:pP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El borrador necesita incorporar en forma clara y directa estos elementos para definir un marco que permita identificar las interferencias ilegítimas con el derecho de reunión establecido en el artículo 21 del Pacto. </w:t>
      </w:r>
      <w:r w:rsidRPr="000E05A9">
        <w:rPr>
          <w:rFonts w:ascii="Cambria" w:eastAsia="Cambria" w:hAnsi="Cambria" w:cs="Cambria"/>
          <w:b/>
          <w:sz w:val="24"/>
          <w:szCs w:val="24"/>
          <w:lang w:val="es-419"/>
        </w:rPr>
        <w:t>Lastareas de vigilancia en el contexto de reuniones deben ser excepcionales y autorizadas por autoridades judiciales independientes</w:t>
      </w:r>
      <w:r>
        <w:rPr>
          <w:rFonts w:ascii="Cambria" w:eastAsia="Cambria" w:hAnsi="Cambria" w:cs="Cambria"/>
          <w:sz w:val="24"/>
          <w:szCs w:val="24"/>
          <w:vertAlign w:val="superscript"/>
        </w:rPr>
        <w:footnoteReference w:id="34"/>
      </w:r>
      <w:r w:rsidRPr="000E05A9">
        <w:rPr>
          <w:rFonts w:ascii="Cambria" w:eastAsia="Cambria" w:hAnsi="Cambria" w:cs="Cambria"/>
          <w:sz w:val="24"/>
          <w:szCs w:val="24"/>
          <w:lang w:val="es-419"/>
        </w:rPr>
        <w:t>, que deben dar cuenta de las razones por las cuales la medida es idónea para alcanzar los fines que persigue en el caso concreto; de si es lo suficientemente acotada como para no afectar el derecho involucrado más de lo necesario; y de si resulta proporcional respecto del interés que se quiere promover</w:t>
      </w:r>
      <w:r>
        <w:rPr>
          <w:rFonts w:ascii="Cambria" w:eastAsia="Cambria" w:hAnsi="Cambria" w:cs="Cambria"/>
          <w:sz w:val="24"/>
          <w:szCs w:val="24"/>
          <w:vertAlign w:val="superscript"/>
        </w:rPr>
        <w:footnoteReference w:id="35"/>
      </w:r>
      <w:r w:rsidRPr="000E05A9">
        <w:rPr>
          <w:rFonts w:ascii="Cambria" w:eastAsia="Cambria" w:hAnsi="Cambria" w:cs="Cambria"/>
          <w:sz w:val="24"/>
          <w:szCs w:val="24"/>
          <w:lang w:val="es-419"/>
        </w:rPr>
        <w:t>. Medidas de vigilancia masiva, como las tecnologías de interceptación en larga escala, significan una forma de vigilancia indiscriminada que atenta contra toda consideración de proporcionalidad</w:t>
      </w:r>
      <w:r>
        <w:rPr>
          <w:rFonts w:ascii="Cambria" w:eastAsia="Cambria" w:hAnsi="Cambria" w:cs="Cambria"/>
          <w:sz w:val="24"/>
          <w:szCs w:val="24"/>
          <w:vertAlign w:val="superscript"/>
        </w:rPr>
        <w:footnoteReference w:id="36"/>
      </w:r>
      <w:r w:rsidRPr="000E05A9">
        <w:rPr>
          <w:rFonts w:ascii="Cambria" w:eastAsia="Cambria" w:hAnsi="Cambria" w:cs="Cambria"/>
          <w:sz w:val="24"/>
          <w:szCs w:val="24"/>
          <w:lang w:val="es-419"/>
        </w:rPr>
        <w:t xml:space="preserve">. </w:t>
      </w:r>
    </w:p>
    <w:p w:rsidR="00780C05" w:rsidRPr="000E05A9" w:rsidRDefault="001E2DF1">
      <w:pPr>
        <w:spacing w:before="240"/>
        <w:jc w:val="both"/>
        <w:rPr>
          <w:rFonts w:ascii="Cambria" w:eastAsia="Cambria" w:hAnsi="Cambria" w:cs="Cambria"/>
          <w:sz w:val="24"/>
          <w:szCs w:val="24"/>
          <w:lang w:val="es-419"/>
        </w:rPr>
      </w:pPr>
      <w:r w:rsidRPr="000E05A9">
        <w:rPr>
          <w:rFonts w:ascii="Cambria" w:eastAsia="Cambria" w:hAnsi="Cambria" w:cs="Cambria"/>
          <w:b/>
          <w:sz w:val="24"/>
          <w:szCs w:val="24"/>
          <w:lang w:val="es-419"/>
        </w:rPr>
        <w:t xml:space="preserve">En ese sentido, entendemos que es fundamental revisar los párrafos 11, 29, 38, 70, 71, 72 y 105 del borrador. Su lenguaje normaliza y utiliza un lenguaje permisivo respecto de las actividades de vigilancia. </w:t>
      </w:r>
      <w:r w:rsidRPr="000E05A9">
        <w:rPr>
          <w:rFonts w:ascii="Cambria" w:eastAsia="Cambria" w:hAnsi="Cambria" w:cs="Cambria"/>
          <w:sz w:val="24"/>
          <w:szCs w:val="24"/>
          <w:lang w:val="es-419"/>
        </w:rPr>
        <w:t xml:space="preserve">El borrador no establece con suficiente claridad la obligación del Estado de limitar el uso de tecnologías para controlar o registrar en manera masiva la participación en reuniones. Tampoco se hacen referencias a la necesidad de que la vigilancia focalizada atienda requisitos mínimos de necesidad y proporcionalidad. </w:t>
      </w:r>
    </w:p>
    <w:p w:rsidR="00780C05" w:rsidRPr="000E05A9" w:rsidRDefault="001E2DF1">
      <w:pPr>
        <w:spacing w:before="240"/>
        <w:jc w:val="both"/>
        <w:rPr>
          <w:rFonts w:ascii="Cambria" w:eastAsia="Cambria" w:hAnsi="Cambria" w:cs="Cambria"/>
          <w:sz w:val="24"/>
          <w:szCs w:val="24"/>
          <w:lang w:val="es-419"/>
        </w:rPr>
      </w:pPr>
      <w:r w:rsidRPr="000E05A9">
        <w:rPr>
          <w:rFonts w:ascii="Cambria" w:eastAsia="Cambria" w:hAnsi="Cambria" w:cs="Cambria"/>
          <w:sz w:val="24"/>
          <w:szCs w:val="24"/>
          <w:lang w:val="es-419"/>
        </w:rPr>
        <w:t>Creemos particularmente relevante que se tenga en consideración lo que ha señalado la CIDH respecto a las condiciones de vigilancia permisibles y compatibles con la vigencia y protección de los derechos humanos, las cuales:</w:t>
      </w:r>
    </w:p>
    <w:p w:rsidR="00780C05" w:rsidRPr="000E05A9" w:rsidRDefault="001E2DF1">
      <w:pPr>
        <w:spacing w:before="240" w:line="240" w:lineRule="auto"/>
        <w:ind w:left="850" w:right="854"/>
        <w:jc w:val="both"/>
        <w:rPr>
          <w:rFonts w:ascii="Cambria" w:eastAsia="Cambria" w:hAnsi="Cambria" w:cs="Cambria"/>
          <w:lang w:val="es-419"/>
        </w:rPr>
      </w:pPr>
      <w:r w:rsidRPr="000E05A9">
        <w:rPr>
          <w:rFonts w:ascii="Cambria" w:eastAsia="Cambria" w:hAnsi="Cambria" w:cs="Cambria"/>
          <w:lang w:val="es-419"/>
        </w:rPr>
        <w:t>“deben estar establecidas en forma previa y de manera expresa, taxativa, precisa y clara en una ley, tanto en el sentido formal como material. En vista del riesgo intrínseco de abuso de cualquier sistema de vigilancia, estas medidas deben basarse en legislación particularmente precisa, con reglas claras y detalladas, y los Estados han de garantizar un diálogo plural, democrático y abierto en la instancia previa a la adopción de la normativa aplicable. Los objetivos conforme a los cuales se habilite el monitoreo o la interceptación de comunicaciones deben constar expresamente en la ley y en todos los casos las leyes deberán establecer la necesidad de una orden judicial previa. La naturaleza de las medidas, al igual que su alcance y duración han de estar reguladas, estableciendo los hechos que podrían dar lugar a dichas medidas y los organismos competentes para autorizarlas, implementarlas y supervisarlas”.</w:t>
      </w:r>
      <w:r>
        <w:rPr>
          <w:rFonts w:ascii="Cambria" w:eastAsia="Cambria" w:hAnsi="Cambria" w:cs="Cambria"/>
          <w:vertAlign w:val="superscript"/>
        </w:rPr>
        <w:footnoteReference w:id="37"/>
      </w:r>
    </w:p>
    <w:p w:rsidR="00780C05" w:rsidRPr="000E05A9" w:rsidRDefault="001E2DF1">
      <w:pPr>
        <w:spacing w:before="240" w:line="240" w:lineRule="auto"/>
        <w:ind w:right="854"/>
        <w:jc w:val="both"/>
        <w:rPr>
          <w:rFonts w:ascii="Cambria" w:eastAsia="Cambria" w:hAnsi="Cambria" w:cs="Cambria"/>
          <w:sz w:val="24"/>
          <w:szCs w:val="24"/>
          <w:lang w:val="es-419"/>
        </w:rPr>
      </w:pPr>
      <w:r w:rsidRPr="000E05A9">
        <w:rPr>
          <w:rFonts w:ascii="Cambria" w:eastAsia="Cambria" w:hAnsi="Cambria" w:cs="Cambria"/>
          <w:lang w:val="es-419"/>
        </w:rPr>
        <w:t xml:space="preserve">Asimismo, </w:t>
      </w:r>
      <w:r w:rsidRPr="000E05A9">
        <w:rPr>
          <w:rFonts w:ascii="Cambria" w:eastAsia="Cambria" w:hAnsi="Cambria" w:cs="Cambria"/>
          <w:sz w:val="24"/>
          <w:szCs w:val="24"/>
          <w:lang w:val="es-419"/>
        </w:rPr>
        <w:t>se recomienda que el borrador incorpore el llamado a los Estados de la Asamblea General de las Naciones Unidas de que:</w:t>
      </w:r>
    </w:p>
    <w:p w:rsidR="00780C05" w:rsidRPr="000E05A9" w:rsidRDefault="00780C05">
      <w:pPr>
        <w:jc w:val="both"/>
        <w:rPr>
          <w:rFonts w:ascii="Cambria" w:eastAsia="Cambria" w:hAnsi="Cambria" w:cs="Cambria"/>
          <w:sz w:val="24"/>
          <w:szCs w:val="24"/>
          <w:lang w:val="es-419"/>
        </w:rPr>
      </w:pPr>
    </w:p>
    <w:p w:rsidR="00780C05" w:rsidRPr="000E05A9" w:rsidRDefault="001E2DF1">
      <w:pPr>
        <w:ind w:left="850" w:right="854"/>
        <w:jc w:val="both"/>
        <w:rPr>
          <w:rFonts w:ascii="Cambria" w:eastAsia="Cambria" w:hAnsi="Cambria" w:cs="Cambria"/>
          <w:lang w:val="es-419"/>
        </w:rPr>
      </w:pPr>
      <w:r w:rsidRPr="000E05A9">
        <w:rPr>
          <w:rFonts w:ascii="Cambria" w:eastAsia="Cambria" w:hAnsi="Cambria" w:cs="Cambria"/>
          <w:lang w:val="es-419"/>
        </w:rPr>
        <w:t xml:space="preserve">“a) Respeten y protejan el derecho a la privacidad, incluso en el contexto de las comunicaciones digitales; </w:t>
      </w:r>
    </w:p>
    <w:p w:rsidR="00780C05" w:rsidRPr="000E05A9" w:rsidRDefault="001E2DF1">
      <w:pPr>
        <w:ind w:left="850" w:right="854"/>
        <w:jc w:val="both"/>
        <w:rPr>
          <w:rFonts w:ascii="Cambria" w:eastAsia="Cambria" w:hAnsi="Cambria" w:cs="Cambria"/>
          <w:lang w:val="es-419"/>
        </w:rPr>
      </w:pPr>
      <w:r w:rsidRPr="000E05A9">
        <w:rPr>
          <w:rFonts w:ascii="Cambria" w:eastAsia="Cambria" w:hAnsi="Cambria" w:cs="Cambria"/>
          <w:lang w:val="es-419"/>
        </w:rPr>
        <w:t xml:space="preserve">b) Adopten medidas para poner fin a las violaciones de esos derechos y creen las condiciones necesarias para impedirlas, como cerciorarse de que la legislación nacional pertinente se ajuste a sus obligaciones en virtud del derecho internacional de los derechos humanos; </w:t>
      </w:r>
    </w:p>
    <w:p w:rsidR="00780C05" w:rsidRPr="000E05A9" w:rsidRDefault="001E2DF1">
      <w:pPr>
        <w:ind w:left="850" w:right="854"/>
        <w:jc w:val="both"/>
        <w:rPr>
          <w:rFonts w:ascii="Cambria" w:eastAsia="Cambria" w:hAnsi="Cambria" w:cs="Cambria"/>
          <w:lang w:val="es-419"/>
        </w:rPr>
      </w:pPr>
      <w:r w:rsidRPr="000E05A9">
        <w:rPr>
          <w:rFonts w:ascii="Cambria" w:eastAsia="Cambria" w:hAnsi="Cambria" w:cs="Cambria"/>
          <w:lang w:val="es-419"/>
        </w:rPr>
        <w:t xml:space="preserve">c) Examinen sus procedimientos, prácticas y legislación relativos a la vigilancia y la interceptación de las comunicaciones y la recopilación de datos personales, incluidas la vigilancia, interceptación y recopilación a gran escala, con miras a afianzar el derecho a la privacidad, velando por que se dé cumplimiento pleno y efectivo de todas sus obligaciones en virtud del derecho internacional de los derechos humanos; </w:t>
      </w:r>
    </w:p>
    <w:p w:rsidR="00780C05" w:rsidRPr="000E05A9" w:rsidRDefault="001E2DF1">
      <w:pPr>
        <w:ind w:left="850" w:right="854"/>
        <w:jc w:val="both"/>
        <w:rPr>
          <w:rFonts w:ascii="Cambria" w:eastAsia="Cambria" w:hAnsi="Cambria" w:cs="Cambria"/>
          <w:sz w:val="24"/>
          <w:szCs w:val="24"/>
          <w:lang w:val="es-419"/>
        </w:rPr>
      </w:pPr>
      <w:r w:rsidRPr="000E05A9">
        <w:rPr>
          <w:rFonts w:ascii="Cambria" w:eastAsia="Cambria" w:hAnsi="Cambria" w:cs="Cambria"/>
          <w:lang w:val="es-419"/>
        </w:rPr>
        <w:t>d) Establezcan o mantengan mecanismos nacionales de supervisión independientes y efectivos capaces de asegurar la transparencia, cuando proceda, y la rendición de cuentas por las actividades de vigilancia de las comunicaciones y la interceptación y recopilación de datos personales que realice el Estado.”</w:t>
      </w:r>
      <w:r>
        <w:rPr>
          <w:rFonts w:ascii="Cambria" w:eastAsia="Cambria" w:hAnsi="Cambria" w:cs="Cambria"/>
          <w:vertAlign w:val="superscript"/>
        </w:rPr>
        <w:footnoteReference w:id="38"/>
      </w:r>
    </w:p>
    <w:p w:rsidR="00780C05" w:rsidRPr="000E05A9" w:rsidRDefault="00780C05">
      <w:pPr>
        <w:jc w:val="both"/>
        <w:rPr>
          <w:rFonts w:ascii="Cambria" w:eastAsia="Cambria" w:hAnsi="Cambria" w:cs="Cambria"/>
          <w:sz w:val="24"/>
          <w:szCs w:val="24"/>
          <w:lang w:val="es-419"/>
        </w:rPr>
      </w:pPr>
    </w:p>
    <w:p w:rsidR="00780C05" w:rsidRPr="000E05A9" w:rsidRDefault="001E2DF1">
      <w:pPr>
        <w:pStyle w:val="Heading2"/>
        <w:rPr>
          <w:sz w:val="24"/>
          <w:szCs w:val="24"/>
          <w:lang w:val="es-419"/>
        </w:rPr>
      </w:pPr>
      <w:bookmarkStart w:id="11" w:name="_pnaqt37v3enh" w:colFirst="0" w:colLast="0"/>
      <w:bookmarkEnd w:id="11"/>
      <w:r w:rsidRPr="000E05A9">
        <w:rPr>
          <w:lang w:val="es-419"/>
        </w:rPr>
        <w:t>4.2. Derecho penal y criminalización</w:t>
      </w:r>
    </w:p>
    <w:p w:rsidR="00780C05" w:rsidRPr="000E05A9" w:rsidRDefault="005C4090">
      <w:pPr>
        <w:spacing w:after="160"/>
        <w:jc w:val="both"/>
        <w:rPr>
          <w:rFonts w:ascii="Cambria" w:eastAsia="Cambria" w:hAnsi="Cambria" w:cs="Cambria"/>
          <w:sz w:val="24"/>
          <w:szCs w:val="24"/>
          <w:lang w:val="es-419"/>
        </w:rPr>
      </w:pPr>
      <w:r>
        <w:rPr>
          <w:rFonts w:ascii="Cambria" w:eastAsia="Cambria" w:hAnsi="Cambria" w:cs="Cambria"/>
          <w:sz w:val="24"/>
          <w:szCs w:val="24"/>
          <w:lang w:val="es-419"/>
        </w:rPr>
        <w:t>La Observación General Nº 37</w:t>
      </w:r>
      <w:r w:rsidR="001E2DF1" w:rsidRPr="000E05A9">
        <w:rPr>
          <w:rFonts w:ascii="Cambria" w:eastAsia="Cambria" w:hAnsi="Cambria" w:cs="Cambria"/>
          <w:b/>
          <w:sz w:val="24"/>
          <w:szCs w:val="24"/>
          <w:lang w:val="es-419"/>
        </w:rPr>
        <w:t xml:space="preserve"> no incluye una mención expresa de los deberes de los Estados parte en relación con la criminalización del ejercicio del derecho a la reunión pacífica</w:t>
      </w:r>
      <w:r w:rsidR="001E2DF1" w:rsidRPr="000E05A9">
        <w:rPr>
          <w:rFonts w:ascii="Cambria" w:eastAsia="Cambria" w:hAnsi="Cambria" w:cs="Cambria"/>
          <w:sz w:val="24"/>
          <w:szCs w:val="24"/>
          <w:lang w:val="es-419"/>
        </w:rPr>
        <w:t xml:space="preserve">. </w:t>
      </w:r>
    </w:p>
    <w:p w:rsidR="00780C05" w:rsidRPr="000E05A9" w:rsidRDefault="001E2DF1">
      <w:pPr>
        <w:spacing w:after="160"/>
        <w:jc w:val="both"/>
        <w:rPr>
          <w:rFonts w:ascii="Cambria" w:eastAsia="Cambria" w:hAnsi="Cambria" w:cs="Cambria"/>
          <w:sz w:val="24"/>
          <w:szCs w:val="24"/>
          <w:lang w:val="es-419"/>
        </w:rPr>
      </w:pPr>
      <w:r w:rsidRPr="000E05A9">
        <w:rPr>
          <w:rFonts w:ascii="Cambria" w:eastAsia="Cambria" w:hAnsi="Cambria" w:cs="Cambria"/>
          <w:sz w:val="24"/>
          <w:szCs w:val="24"/>
          <w:lang w:val="es-419"/>
        </w:rPr>
        <w:t>Se entiende como criminalización el uso de una estrategia sistemática de silenciamiento que opera deslegitimando los motivos y los repertorios de acción de los líderes y participantes de las reuniones pacíficas a través de detenciones y encarcelamientos arbitrarios sin respeto del debido proceso, persecución judicial mediante la apertura de procesos penales o contravencionales en razón de la organización o participación en una reunión, legislación punitiva que busca suprimir o poner límites en relación con el ejercicio del derecho</w:t>
      </w:r>
      <w:r>
        <w:rPr>
          <w:rFonts w:ascii="Cambria" w:eastAsia="Cambria" w:hAnsi="Cambria" w:cs="Cambria"/>
          <w:sz w:val="24"/>
          <w:szCs w:val="24"/>
          <w:vertAlign w:val="superscript"/>
        </w:rPr>
        <w:footnoteReference w:id="39"/>
      </w:r>
      <w:r w:rsidRPr="000E05A9">
        <w:rPr>
          <w:rFonts w:ascii="Cambria" w:eastAsia="Cambria" w:hAnsi="Cambria" w:cs="Cambria"/>
          <w:sz w:val="24"/>
          <w:szCs w:val="24"/>
          <w:lang w:val="es-419"/>
        </w:rPr>
        <w:t>, entre otros. En este sentido, la Relatoría Especial para la Libertad de Expresión de la CIDH ha expresado:</w:t>
      </w:r>
    </w:p>
    <w:p w:rsidR="00780C05" w:rsidRPr="000E05A9" w:rsidRDefault="001E2DF1">
      <w:pPr>
        <w:spacing w:line="240" w:lineRule="auto"/>
        <w:ind w:left="720" w:right="854"/>
        <w:jc w:val="both"/>
        <w:rPr>
          <w:rFonts w:ascii="Cambria" w:eastAsia="Cambria" w:hAnsi="Cambria" w:cs="Cambria"/>
          <w:lang w:val="es-419"/>
        </w:rPr>
      </w:pPr>
      <w:r w:rsidRPr="000E05A9">
        <w:rPr>
          <w:rFonts w:ascii="Cambria" w:eastAsia="Cambria" w:hAnsi="Cambria" w:cs="Cambria"/>
          <w:lang w:val="es-419"/>
        </w:rPr>
        <w:t>“La criminalización de la protesta social consiste en el uso del poder punitivo del Estado para disuadir, castigar o impedir el ejercicio del derecho a la protesta y en algunos casos, de la participación social y política en forma más amplia, mediante el uso arbitrario, desproporcional o reiterado de la justicia penal o contravencional en contra de manifestantes, activistas, referentes sociales o políticos por su participación en una protesta social, o el señalamiento de haberla organizado, o por el hecho de formar parte del colectivo o entidad organizadora o convocante. Sus efectos habituales son la sujeción a procesos, de faltas o penales, arbitrarios y prolongados, la aplicación de multas y/o a detenciones arbitrarias con o sin condena”.</w:t>
      </w:r>
      <w:r>
        <w:rPr>
          <w:rFonts w:ascii="Cambria" w:eastAsia="Cambria" w:hAnsi="Cambria" w:cs="Cambria"/>
          <w:vertAlign w:val="superscript"/>
        </w:rPr>
        <w:footnoteReference w:id="40"/>
      </w:r>
      <w:r w:rsidRPr="000E05A9">
        <w:rPr>
          <w:rFonts w:ascii="Cambria" w:eastAsia="Cambria" w:hAnsi="Cambria" w:cs="Cambria"/>
          <w:lang w:val="es-419"/>
        </w:rPr>
        <w:t>.</w:t>
      </w:r>
    </w:p>
    <w:p w:rsidR="00780C05" w:rsidRPr="000E05A9" w:rsidRDefault="00780C05">
      <w:pPr>
        <w:spacing w:line="240" w:lineRule="auto"/>
        <w:ind w:left="720" w:right="854"/>
        <w:jc w:val="both"/>
        <w:rPr>
          <w:rFonts w:ascii="Cambria" w:eastAsia="Cambria" w:hAnsi="Cambria" w:cs="Cambria"/>
          <w:lang w:val="es-419"/>
        </w:rPr>
      </w:pPr>
    </w:p>
    <w:p w:rsidR="00780C05" w:rsidRPr="000E05A9" w:rsidRDefault="001E2DF1">
      <w:pPr>
        <w:spacing w:after="160"/>
        <w:jc w:val="both"/>
        <w:rPr>
          <w:rFonts w:ascii="Cambria" w:eastAsia="Cambria" w:hAnsi="Cambria" w:cs="Cambria"/>
          <w:color w:val="2F5496"/>
          <w:sz w:val="24"/>
          <w:szCs w:val="24"/>
          <w:lang w:val="es-419"/>
        </w:rPr>
      </w:pPr>
      <w:r w:rsidRPr="000E05A9">
        <w:rPr>
          <w:rFonts w:ascii="Cambria" w:eastAsia="Cambria" w:hAnsi="Cambria" w:cs="Cambria"/>
          <w:sz w:val="24"/>
          <w:szCs w:val="24"/>
          <w:lang w:val="es-419"/>
        </w:rPr>
        <w:t>El objetivo es señalar a quienes ejercen este derecho como una amenaza para el orden público y la seguridad nacional, lo que al final tiene un efecto disuasivo que obstaculiza el derecho a la reunión pacífica. La CIDH ha establecido que la criminalización afecta tanto una dimensión personal dado que provoca temor, angustia al individuo por la posible privación de su libertad, como una dimensión colectiva, puesto que tiene el efecto de intimidar e inhibir  que más personas quisieran ejercer su derecho a la reunión pacífica a futuro por temor a represalias o a ser sometidos también a un proceso penal infundado</w:t>
      </w:r>
      <w:r>
        <w:rPr>
          <w:rFonts w:ascii="Cambria" w:eastAsia="Cambria" w:hAnsi="Cambria" w:cs="Cambria"/>
          <w:sz w:val="24"/>
          <w:szCs w:val="24"/>
          <w:vertAlign w:val="superscript"/>
        </w:rPr>
        <w:footnoteReference w:id="41"/>
      </w:r>
      <w:r w:rsidRPr="000E05A9">
        <w:rPr>
          <w:rFonts w:ascii="Cambria" w:eastAsia="Cambria" w:hAnsi="Cambria" w:cs="Cambria"/>
          <w:sz w:val="24"/>
          <w:szCs w:val="24"/>
          <w:lang w:val="es-419"/>
        </w:rPr>
        <w:t>.</w:t>
      </w:r>
    </w:p>
    <w:p w:rsidR="00780C05" w:rsidRPr="000E05A9" w:rsidRDefault="001E2DF1">
      <w:pPr>
        <w:spacing w:after="160"/>
        <w:jc w:val="both"/>
        <w:rPr>
          <w:rFonts w:ascii="Cambria" w:eastAsia="Cambria" w:hAnsi="Cambria" w:cs="Cambria"/>
          <w:color w:val="2F5496"/>
          <w:sz w:val="24"/>
          <w:szCs w:val="24"/>
          <w:lang w:val="es-419"/>
        </w:rPr>
      </w:pPr>
      <w:r w:rsidRPr="000E05A9">
        <w:rPr>
          <w:rFonts w:ascii="Cambria" w:eastAsia="Cambria" w:hAnsi="Cambria" w:cs="Cambria"/>
          <w:sz w:val="24"/>
          <w:szCs w:val="24"/>
          <w:lang w:val="es-419"/>
        </w:rPr>
        <w:t xml:space="preserve">La Observación General Nº 37 </w:t>
      </w:r>
      <w:r w:rsidRPr="000E05A9">
        <w:rPr>
          <w:rFonts w:ascii="Cambria" w:eastAsia="Cambria" w:hAnsi="Cambria" w:cs="Cambria"/>
          <w:b/>
          <w:sz w:val="24"/>
          <w:szCs w:val="24"/>
          <w:lang w:val="es-419"/>
        </w:rPr>
        <w:t>debe hacer una mayor precisión en los deberes que tienen los sistemas judiciales dentro de los Estados para cumplir con la obligación de respetar y garantizar el derecho de reunión.</w:t>
      </w:r>
      <w:r w:rsidRPr="000E05A9">
        <w:rPr>
          <w:rFonts w:ascii="Cambria" w:eastAsia="Cambria" w:hAnsi="Cambria" w:cs="Cambria"/>
          <w:sz w:val="24"/>
          <w:szCs w:val="24"/>
          <w:lang w:val="es-419"/>
        </w:rPr>
        <w:t xml:space="preserve"> Las leyes penales y contravencionales se instrumentalizan por el mismo Estado para desacreditar, estigmatizar y perseguir a los organizadores y participantes de reuniones pacíficas sólo por el hecho de ejercer su derecho. Antes o durante la reunión, se ejecutan capturas arbitrarias y se les abre un proceso judicial por delitos relacionados con el orden público, o incluso por otros delitos más graves como el terrorismo, cuando no se tiene ninguna prueba más allá de la participación en la reunión misma. Es necesario enfatizar que la conducta del individuo tiene que ser evaluada independientemente de la conducta de los demás participantes de la reunión. </w:t>
      </w:r>
      <w:r w:rsidRPr="000E05A9">
        <w:rPr>
          <w:rFonts w:ascii="Cambria" w:eastAsia="Cambria" w:hAnsi="Cambria" w:cs="Cambria"/>
          <w:b/>
          <w:sz w:val="24"/>
          <w:szCs w:val="24"/>
          <w:lang w:val="es-419"/>
        </w:rPr>
        <w:t>El Estado, a través de las autoridades correspondientes, tiene la carga probatoria de demostrar las acciones violentas de cada participante y no justificar el proceso penal con base en distintas manifestaciones de violencia que hubieran podido surgir durante la reunión</w:t>
      </w:r>
      <w:r w:rsidRPr="000E05A9">
        <w:rPr>
          <w:rFonts w:ascii="Cambria" w:eastAsia="Cambria" w:hAnsi="Cambria" w:cs="Cambria"/>
          <w:sz w:val="24"/>
          <w:szCs w:val="24"/>
          <w:lang w:val="es-419"/>
        </w:rPr>
        <w:t xml:space="preserve">. </w:t>
      </w:r>
    </w:p>
    <w:p w:rsidR="00780C05" w:rsidRPr="000E05A9" w:rsidRDefault="001E2DF1">
      <w:pPr>
        <w:spacing w:after="16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La criminalización del derecho a la reunión pacífica a través del uso excesivo y arbitrario del derecho penal es incompatible con un estado de derecho que garantiza la libertad de expresión y la libertad de reunión como una de sus manifestaciones. </w:t>
      </w:r>
    </w:p>
    <w:p w:rsidR="00780C05" w:rsidRPr="000E05A9" w:rsidRDefault="001E2DF1">
      <w:pPr>
        <w:spacing w:after="160" w:line="259" w:lineRule="auto"/>
        <w:ind w:left="850" w:right="854"/>
        <w:jc w:val="both"/>
        <w:rPr>
          <w:rFonts w:ascii="Cambria" w:eastAsia="Cambria" w:hAnsi="Cambria" w:cs="Cambria"/>
          <w:lang w:val="es-419"/>
        </w:rPr>
      </w:pPr>
      <w:r w:rsidRPr="000E05A9">
        <w:rPr>
          <w:rFonts w:ascii="Cambria" w:eastAsia="Cambria" w:hAnsi="Cambria" w:cs="Cambria"/>
          <w:lang w:val="es-419"/>
        </w:rPr>
        <w:t>“</w:t>
      </w:r>
      <w:r w:rsidR="00A74B09">
        <w:rPr>
          <w:rFonts w:ascii="Cambria" w:eastAsia="Cambria" w:hAnsi="Cambria" w:cs="Cambria"/>
          <w:highlight w:val="white"/>
          <w:lang w:val="es-419"/>
        </w:rPr>
        <w:t>[L</w:t>
      </w:r>
      <w:r w:rsidRPr="000E05A9">
        <w:rPr>
          <w:rFonts w:ascii="Cambria" w:eastAsia="Cambria" w:hAnsi="Cambria" w:cs="Cambria"/>
          <w:highlight w:val="white"/>
          <w:lang w:val="es-419"/>
        </w:rPr>
        <w:t>os]</w:t>
      </w:r>
      <w:r w:rsidR="00A74B09" w:rsidRPr="00A74B09">
        <w:rPr>
          <w:lang w:val="es-419"/>
        </w:rPr>
        <w:t xml:space="preserve"> </w:t>
      </w:r>
      <w:r w:rsidR="00A74B09" w:rsidRPr="00A74B09">
        <w:rPr>
          <w:rFonts w:ascii="Cambria" w:eastAsia="Cambria" w:hAnsi="Cambria" w:cs="Cambria"/>
          <w:lang w:val="es-419"/>
        </w:rPr>
        <w:t>Estados tienen el deber de tomar todas las medidas necesarias para evitar que se someta a juicios injustos o infundados a personas que de manera legítima reclaman el respeto y protección de los derechos humanos.  El inicio de investigaciones penales o querellas judiciales sin fundamento en contra de defensores de derechos humanos, no sólo tiene por efecto amedrentar su labor sino que además puede generar una paralización de su trabajo de defensa de derechos humanos en tanto su tiempo, recursos y energías deben dedicarse a su propia defensa</w:t>
      </w:r>
      <w:r w:rsidRPr="000E05A9">
        <w:rPr>
          <w:rFonts w:ascii="Cambria" w:eastAsia="Cambria" w:hAnsi="Cambria" w:cs="Cambria"/>
          <w:lang w:val="es-419"/>
        </w:rPr>
        <w:t>”</w:t>
      </w:r>
      <w:r>
        <w:rPr>
          <w:rFonts w:ascii="Cambria" w:eastAsia="Cambria" w:hAnsi="Cambria" w:cs="Cambria"/>
          <w:vertAlign w:val="superscript"/>
        </w:rPr>
        <w:footnoteReference w:id="42"/>
      </w:r>
      <w:r w:rsidRPr="000E05A9">
        <w:rPr>
          <w:rFonts w:ascii="Cambria" w:eastAsia="Cambria" w:hAnsi="Cambria" w:cs="Cambria"/>
          <w:lang w:val="es-419"/>
        </w:rPr>
        <w:t xml:space="preserve">. </w:t>
      </w:r>
    </w:p>
    <w:p w:rsidR="00780C05" w:rsidRPr="000E05A9" w:rsidRDefault="001E2DF1">
      <w:pPr>
        <w:spacing w:after="160"/>
        <w:jc w:val="both"/>
        <w:rPr>
          <w:rFonts w:ascii="Cambria" w:eastAsia="Cambria" w:hAnsi="Cambria" w:cs="Cambria"/>
          <w:b/>
          <w:color w:val="9900FF"/>
          <w:sz w:val="24"/>
          <w:szCs w:val="24"/>
          <w:lang w:val="es-419"/>
        </w:rPr>
      </w:pPr>
      <w:r w:rsidRPr="000E05A9">
        <w:rPr>
          <w:rFonts w:ascii="Cambria" w:eastAsia="Cambria" w:hAnsi="Cambria" w:cs="Cambria"/>
          <w:sz w:val="24"/>
          <w:szCs w:val="24"/>
          <w:lang w:val="es-419"/>
        </w:rPr>
        <w:t xml:space="preserve">Asimismo, la formulación de tipos penales siempre debe cumplir con una serie de elementos que impidan la persecución de ciertos individuos mediante la aparente protección de bienes jurídicos a través de delitos sin suficiente fundamento político-criminal. </w:t>
      </w:r>
      <w:r w:rsidRPr="000E05A9">
        <w:rPr>
          <w:rFonts w:ascii="Cambria" w:eastAsia="Cambria" w:hAnsi="Cambria" w:cs="Cambria"/>
          <w:b/>
          <w:sz w:val="24"/>
          <w:szCs w:val="24"/>
          <w:lang w:val="es-419"/>
        </w:rPr>
        <w:t>Los tipos penales deben emplear términos estrictos y unívocos que no den lugar a un campo amplio de interpretación y aplicación para los jueces, sino que acoten claramente las conductas punibles</w:t>
      </w:r>
      <w:r>
        <w:rPr>
          <w:rFonts w:ascii="Cambria" w:eastAsia="Cambria" w:hAnsi="Cambria" w:cs="Cambria"/>
          <w:sz w:val="24"/>
          <w:szCs w:val="24"/>
          <w:vertAlign w:val="superscript"/>
        </w:rPr>
        <w:footnoteReference w:id="43"/>
      </w:r>
      <w:r w:rsidRPr="000E05A9">
        <w:rPr>
          <w:rFonts w:ascii="Cambria" w:eastAsia="Cambria" w:hAnsi="Cambria" w:cs="Cambria"/>
          <w:sz w:val="24"/>
          <w:szCs w:val="24"/>
          <w:lang w:val="es-419"/>
        </w:rPr>
        <w:t xml:space="preserve">. Es decir, la legislación penal y su aplicación caso a caso se debe circunscribir siempre al principio de legalidad para evitar la criminalización de conductas legítimas desarrolladas por los individuos en el ejercicio de su derecho a la reunión pacífica pero que pueden ser vistas como una amenaza o un obstáculo para el Estado. </w:t>
      </w:r>
    </w:p>
    <w:p w:rsidR="00780C05" w:rsidRPr="000E05A9" w:rsidRDefault="001E2DF1">
      <w:pPr>
        <w:pStyle w:val="Heading2"/>
        <w:rPr>
          <w:lang w:val="es-419"/>
        </w:rPr>
      </w:pPr>
      <w:bookmarkStart w:id="12" w:name="_gqih4dgqjkzh" w:colFirst="0" w:colLast="0"/>
      <w:bookmarkEnd w:id="12"/>
      <w:r w:rsidRPr="000E05A9">
        <w:rPr>
          <w:lang w:val="es-419"/>
        </w:rPr>
        <w:t>4.3. Detenciones</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El borrador de la Observación General menciona en repetidas ocasiones elementos relacionados con la detención de los participantes. A grandes rasgos, establece que la protección del derecho de la reunión pacífica está relacionada con el derecho a no ser sometido a detención arbitraria, es decir, a no ser privado de la libertad de forma ilegal. Asimismo, establece que, en los casos en que sea legal y se requiera la detención de ciertos participantes, aquello debe cumplir con la legislación internacional y nacional en materia de uso de fuerza.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Se recomienda, sin embargo, que el Borrador </w:t>
      </w:r>
      <w:r w:rsidRPr="000E05A9">
        <w:rPr>
          <w:rFonts w:ascii="Cambria" w:eastAsia="Cambria" w:hAnsi="Cambria" w:cs="Cambria"/>
          <w:b/>
          <w:sz w:val="24"/>
          <w:szCs w:val="24"/>
          <w:lang w:val="es-419"/>
        </w:rPr>
        <w:t>incorpore los estándares más avanzados en materia de detenciones y su uso en el contexto del ejercicio del derecho de reunión</w:t>
      </w:r>
      <w:r w:rsidRPr="000E05A9">
        <w:rPr>
          <w:rFonts w:ascii="Cambria" w:eastAsia="Cambria" w:hAnsi="Cambria" w:cs="Cambria"/>
          <w:sz w:val="24"/>
          <w:szCs w:val="24"/>
          <w:lang w:val="es-419"/>
        </w:rPr>
        <w:t xml:space="preserve"> como forma de impedir el ejercicio del derecho, amedrentar, castigar, impedir el registro y la difusión de imágenes sobre la actuación policial y generar un efecto disuasivo en la población, </w:t>
      </w:r>
      <w:r w:rsidRPr="000E05A9">
        <w:rPr>
          <w:rFonts w:ascii="Cambria" w:eastAsia="Cambria" w:hAnsi="Cambria" w:cs="Cambria"/>
          <w:b/>
          <w:sz w:val="24"/>
          <w:szCs w:val="24"/>
          <w:lang w:val="es-419"/>
        </w:rPr>
        <w:t>particularmente aquellos establecidos en el Sistema Interamericano de Derechos Humanos</w:t>
      </w:r>
      <w:r w:rsidRPr="000E05A9">
        <w:rPr>
          <w:rFonts w:ascii="Cambria" w:eastAsia="Cambria" w:hAnsi="Cambria" w:cs="Cambria"/>
          <w:sz w:val="24"/>
          <w:szCs w:val="24"/>
          <w:lang w:val="es-419"/>
        </w:rPr>
        <w:t>.</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Es necesario que estas detenciones se adecúen no solo a normas nacionales e internacionales sobre criterios de uso de fuerza, sino también “las que se refieren a los derechos a la intimidad, la libertad y las garantías procesales”</w:t>
      </w:r>
      <w:r>
        <w:rPr>
          <w:rFonts w:ascii="Cambria" w:eastAsia="Cambria" w:hAnsi="Cambria" w:cs="Cambria"/>
          <w:sz w:val="24"/>
          <w:szCs w:val="24"/>
          <w:vertAlign w:val="superscript"/>
        </w:rPr>
        <w:footnoteReference w:id="44"/>
      </w:r>
      <w:r w:rsidRPr="000E05A9">
        <w:rPr>
          <w:rFonts w:ascii="Cambria" w:eastAsia="Cambria" w:hAnsi="Cambria" w:cs="Cambria"/>
          <w:sz w:val="24"/>
          <w:szCs w:val="24"/>
          <w:lang w:val="es-419"/>
        </w:rPr>
        <w:t>. A saber, las detenciones deben estar suficientemente justificadas y fundadas en motivos razonables, no simplemente como consecuencia del ejercicio del derecho a la reunión. Ningún participante de una reunión pacífica puede ser sometido a detención o prisión arbitrarias, ya que</w:t>
      </w:r>
    </w:p>
    <w:p w:rsidR="00780C05" w:rsidRPr="000E05A9" w:rsidRDefault="001E2DF1">
      <w:pPr>
        <w:spacing w:before="240" w:after="240"/>
        <w:ind w:left="700"/>
        <w:jc w:val="both"/>
        <w:rPr>
          <w:rFonts w:ascii="Cambria" w:eastAsia="Cambria" w:hAnsi="Cambria" w:cs="Cambria"/>
          <w:sz w:val="24"/>
          <w:szCs w:val="24"/>
          <w:lang w:val="es-419"/>
        </w:rPr>
      </w:pPr>
      <w:r w:rsidRPr="000E05A9">
        <w:rPr>
          <w:rFonts w:ascii="Cambria" w:eastAsia="Cambria" w:hAnsi="Cambria" w:cs="Cambria"/>
          <w:sz w:val="24"/>
          <w:szCs w:val="24"/>
          <w:lang w:val="es-419"/>
        </w:rPr>
        <w:t>“nadie puede ser privado de su libertad física, salvo por las causas y en las condiciones fijadas de antemano por las Constituciones Políticas de los Estados parte o por leyes dictadas conforme a ellas”</w:t>
      </w:r>
      <w:r>
        <w:rPr>
          <w:rFonts w:ascii="Cambria" w:eastAsia="Cambria" w:hAnsi="Cambria" w:cs="Cambria"/>
          <w:sz w:val="24"/>
          <w:szCs w:val="24"/>
          <w:vertAlign w:val="superscript"/>
        </w:rPr>
        <w:footnoteReference w:id="45"/>
      </w:r>
      <w:r w:rsidRPr="000E05A9">
        <w:rPr>
          <w:rFonts w:ascii="Cambria" w:eastAsia="Cambria" w:hAnsi="Cambria" w:cs="Cambria"/>
          <w:sz w:val="24"/>
          <w:szCs w:val="24"/>
          <w:lang w:val="es-419"/>
        </w:rPr>
        <w:t>.</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Ahora bien, “la fuerza empleada por los agentes policiales para inmovilizar o detener a alguien en una manifestación debe ser estrictamente proporcional al objeto que deba alcanzarse y sólo se aplicará en la medida necesaria según la resistencia ofrecida por la persona contra la que es preciso utilizarla”</w:t>
      </w:r>
      <w:r>
        <w:rPr>
          <w:rFonts w:ascii="Cambria" w:eastAsia="Cambria" w:hAnsi="Cambria" w:cs="Cambria"/>
          <w:sz w:val="24"/>
          <w:szCs w:val="24"/>
          <w:vertAlign w:val="superscript"/>
        </w:rPr>
        <w:footnoteReference w:id="46"/>
      </w:r>
      <w:r w:rsidRPr="000E05A9">
        <w:rPr>
          <w:rFonts w:ascii="Cambria" w:eastAsia="Cambria" w:hAnsi="Cambria" w:cs="Cambria"/>
          <w:sz w:val="24"/>
          <w:szCs w:val="24"/>
          <w:lang w:val="es-419"/>
        </w:rPr>
        <w:t>. Una vez detenida la persona, no se suspende la protección de los demás derechos amparados como el derecho a la vida, la dignidad humana, la no discriminación, la privacidad, el derecho a no ser sometido a tratos crueles, inhumanos o degradantes, entre otros. En este sentido</w:t>
      </w:r>
    </w:p>
    <w:p w:rsidR="00780C05" w:rsidRPr="00C06530" w:rsidRDefault="001E2DF1">
      <w:pPr>
        <w:spacing w:before="240" w:after="240"/>
        <w:ind w:left="700"/>
        <w:jc w:val="both"/>
        <w:rPr>
          <w:rFonts w:ascii="Cambria" w:eastAsia="Cambria" w:hAnsi="Cambria" w:cs="Cambria"/>
          <w:lang w:val="es-419"/>
        </w:rPr>
      </w:pPr>
      <w:r w:rsidRPr="00C06530">
        <w:rPr>
          <w:rFonts w:ascii="Cambria" w:eastAsia="Cambria" w:hAnsi="Cambria" w:cs="Cambria"/>
          <w:lang w:val="es-419"/>
        </w:rPr>
        <w:t>“toda persona detenida en una manifestación pública tiene derecho a condiciones de detención compatibles con su dignidad personal y el Estado debe garantizarle el derecho a la vida y a la integridad personal; las autoridades estatales ejercen en estos casos un control total sobre la persona que se encuentra bajo su custodia, por lo que el Estado es garante de su integridad personal”</w:t>
      </w:r>
      <w:r w:rsidRPr="00C06530">
        <w:rPr>
          <w:rFonts w:ascii="Cambria" w:eastAsia="Cambria" w:hAnsi="Cambria" w:cs="Cambria"/>
          <w:vertAlign w:val="superscript"/>
        </w:rPr>
        <w:footnoteReference w:id="47"/>
      </w:r>
      <w:r w:rsidRPr="00C06530">
        <w:rPr>
          <w:rFonts w:ascii="Cambria" w:eastAsia="Cambria" w:hAnsi="Cambria" w:cs="Cambria"/>
          <w:lang w:val="es-419"/>
        </w:rPr>
        <w:t>.</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Las detenciones, retenciones o traslados de personas en contextos de reuniones, manifestaciones o protestas sociales no deben ser instrumentalizadas con el objetivo de reprimir, castigar, estigmatizar, perseguir o desincentivar la participación en futuras reuniones. Es decir,</w:t>
      </w:r>
    </w:p>
    <w:p w:rsidR="00780C05" w:rsidRPr="000E05A9" w:rsidRDefault="001E2DF1">
      <w:pPr>
        <w:spacing w:before="240" w:after="240"/>
        <w:ind w:left="700"/>
        <w:jc w:val="both"/>
        <w:rPr>
          <w:rFonts w:ascii="Cambria" w:eastAsia="Cambria" w:hAnsi="Cambria" w:cs="Cambria"/>
          <w:lang w:val="es-419"/>
        </w:rPr>
      </w:pPr>
      <w:r w:rsidRPr="000E05A9">
        <w:rPr>
          <w:rFonts w:ascii="Cambria" w:eastAsia="Cambria" w:hAnsi="Cambria" w:cs="Cambria"/>
          <w:lang w:val="es-419"/>
        </w:rPr>
        <w:t>“Una detención que se base exclusivamente en el acto de participar en una protesta o manifestación pública no comporta los requisitos de razonabilidad y proporcionalidad establecidos por los estándares internacionales. La privación de la libertad durante el desarrollo de una manifestación tiene el efecto inmediato de impedir el ejercicio del derecho a la protesta de la persona detenida y genera un efecto inhibitorio respecto a la participación en manifestaciones públicas, todo lo cual afecta el goce y el ejercicio del derecho a la protesta social”</w:t>
      </w:r>
      <w:r>
        <w:rPr>
          <w:rFonts w:ascii="Cambria" w:eastAsia="Cambria" w:hAnsi="Cambria" w:cs="Cambria"/>
          <w:vertAlign w:val="superscript"/>
        </w:rPr>
        <w:footnoteReference w:id="48"/>
      </w:r>
      <w:r w:rsidRPr="000E05A9">
        <w:rPr>
          <w:rFonts w:ascii="Cambria" w:eastAsia="Cambria" w:hAnsi="Cambria" w:cs="Cambria"/>
          <w:lang w:val="es-419"/>
        </w:rPr>
        <w:t>.</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Es necesario recordar que las detenciones arbitrarias son una práctica a la que acuden frecuentemente los funcionarios encargados de hacer cumplir la ley para castigar a quienes participan de una reunión, incumpliendo todos los protocolos y estándares internacionales en materia de garantías procesales y principio de legalidad. Se relaciona íntimamente con la criminalización del ejercicio del derecho de reunión. Además, durante el tiempo que transcurre en la detención es común que otros derechos se vean vulnerados como el derecho a la integridad física, a la información, a la privacidad, a la defensa, entre otros. En este sentido, cualquier detención o encarcelamiento arbitrario debe ser investigado y sancionado. Los Estados deben cumplir una serie de obligaciones específicas en esta materia, a saber:</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i. Establecer que la privación de la libertad de cualquier persona solamente puede hacerse en las circunstancias taxativamente establecidas en la ley;</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ii. garantizar el trato digno a las personas bajo custodia de las autoridades del Estado;</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iii. incorporar la obligación de los agentes del Estado de informar de inmediato a la persona detenida los motivos de su detención;</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iv. poner en conocimiento de la detención de inmediato al juez competente, para que resuelva sobre la situación de la persona detenida;</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v. informar a los familiares y allegados de la persona detenida sobre el lugar donde se encuentra, así como sobre los motivos de la detención;</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vi. garantizar la asistencia letrada a la persona detenida desde el momento de la detención;</w:t>
      </w:r>
    </w:p>
    <w:p w:rsidR="00780C05" w:rsidRDefault="001E2DF1">
      <w:pPr>
        <w:spacing w:after="200"/>
        <w:jc w:val="both"/>
        <w:rPr>
          <w:rFonts w:ascii="Cambria" w:eastAsia="Cambria" w:hAnsi="Cambria" w:cs="Cambria"/>
          <w:sz w:val="24"/>
          <w:szCs w:val="24"/>
        </w:rPr>
      </w:pPr>
      <w:r>
        <w:rPr>
          <w:rFonts w:ascii="Cambria" w:eastAsia="Cambria" w:hAnsi="Cambria" w:cs="Cambria"/>
          <w:sz w:val="24"/>
          <w:szCs w:val="24"/>
        </w:rPr>
        <w:t>vii. Organizar un registro público de personas detenidas</w:t>
      </w:r>
      <w:r>
        <w:rPr>
          <w:rFonts w:ascii="Cambria" w:eastAsia="Cambria" w:hAnsi="Cambria" w:cs="Cambria"/>
          <w:sz w:val="24"/>
          <w:szCs w:val="24"/>
          <w:vertAlign w:val="superscript"/>
        </w:rPr>
        <w:footnoteReference w:id="49"/>
      </w:r>
      <w:r>
        <w:rPr>
          <w:rFonts w:ascii="Cambria" w:eastAsia="Cambria" w:hAnsi="Cambria" w:cs="Cambria"/>
          <w:sz w:val="24"/>
          <w:szCs w:val="24"/>
        </w:rPr>
        <w:t>.</w:t>
      </w:r>
    </w:p>
    <w:p w:rsidR="00780C05" w:rsidRDefault="00780C05">
      <w:pPr>
        <w:ind w:left="1080"/>
        <w:jc w:val="both"/>
        <w:rPr>
          <w:rFonts w:ascii="Cambria" w:eastAsia="Cambria" w:hAnsi="Cambria" w:cs="Cambria"/>
          <w:sz w:val="24"/>
          <w:szCs w:val="24"/>
        </w:rPr>
      </w:pPr>
    </w:p>
    <w:p w:rsidR="00780C05" w:rsidRPr="000E05A9" w:rsidRDefault="001E2DF1">
      <w:pPr>
        <w:pStyle w:val="Heading1"/>
        <w:numPr>
          <w:ilvl w:val="0"/>
          <w:numId w:val="1"/>
        </w:numPr>
        <w:rPr>
          <w:lang w:val="es-419"/>
        </w:rPr>
      </w:pPr>
      <w:bookmarkStart w:id="13" w:name="_akp31xwvbhi2" w:colFirst="0" w:colLast="0"/>
      <w:bookmarkEnd w:id="13"/>
      <w:r w:rsidRPr="000E05A9">
        <w:rPr>
          <w:lang w:val="es-419"/>
        </w:rPr>
        <w:t>O</w:t>
      </w:r>
      <w:r w:rsidR="000E05A9">
        <w:rPr>
          <w:lang w:val="es-419"/>
        </w:rPr>
        <w:t>tras o</w:t>
      </w:r>
      <w:r w:rsidRPr="000E05A9">
        <w:rPr>
          <w:lang w:val="es-419"/>
        </w:rPr>
        <w:t>bligaciones de los Estados partes en relación al derecho de reunión pacífica</w:t>
      </w:r>
    </w:p>
    <w:p w:rsidR="00780C05" w:rsidRPr="000E05A9" w:rsidRDefault="00780C05">
      <w:pPr>
        <w:ind w:left="720"/>
        <w:rPr>
          <w:rFonts w:ascii="Cambria" w:eastAsia="Cambria" w:hAnsi="Cambria" w:cs="Cambria"/>
          <w:b/>
          <w:sz w:val="24"/>
          <w:szCs w:val="24"/>
          <w:lang w:val="es-419"/>
        </w:rPr>
      </w:pPr>
    </w:p>
    <w:p w:rsidR="00780C05" w:rsidRPr="000E05A9" w:rsidRDefault="001E2DF1">
      <w:pPr>
        <w:pStyle w:val="Heading2"/>
        <w:rPr>
          <w:color w:val="FF0000"/>
          <w:sz w:val="24"/>
          <w:szCs w:val="24"/>
          <w:lang w:val="es-419"/>
        </w:rPr>
      </w:pPr>
      <w:bookmarkStart w:id="14" w:name="_swcrh3nl4sa7" w:colFirst="0" w:colLast="0"/>
      <w:bookmarkEnd w:id="14"/>
      <w:r w:rsidRPr="000E05A9">
        <w:rPr>
          <w:lang w:val="es-419"/>
        </w:rPr>
        <w:t>5.1. Exclusión de las Fuerzas Armadas</w:t>
      </w:r>
    </w:p>
    <w:p w:rsidR="00780C05" w:rsidRPr="000E05A9" w:rsidRDefault="001E2DF1">
      <w:pPr>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Se encuentra ampliamente desarrollado en el Sistema Interamericano de Derechos Humanos el estándar de la exclusión de las Fuerzas Armadas de las tareas de seguridad. En el documento anexo se propone la reformulación del párrafo 92 mediante la eliminación de la expresión “por lo general” y la inserción de mayor precisión respecto de la necesidad de exclusión de las Fuerzas Armadas de las funciones de facilitación de reuniones, en línea con las obligaciones de los Estados en el marco del artículo 21. Tal como consideró la Corte Interamericana, </w:t>
      </w:r>
    </w:p>
    <w:p w:rsidR="00780C05" w:rsidRPr="000E05A9" w:rsidRDefault="00780C05">
      <w:pPr>
        <w:jc w:val="both"/>
        <w:rPr>
          <w:rFonts w:ascii="Cambria" w:eastAsia="Cambria" w:hAnsi="Cambria" w:cs="Cambria"/>
          <w:sz w:val="24"/>
          <w:szCs w:val="24"/>
          <w:lang w:val="es-419"/>
        </w:rPr>
      </w:pPr>
    </w:p>
    <w:p w:rsidR="00780C05" w:rsidRPr="000E05A9" w:rsidRDefault="001E2DF1">
      <w:pPr>
        <w:ind w:left="720"/>
        <w:jc w:val="both"/>
        <w:rPr>
          <w:rFonts w:ascii="Cambria" w:eastAsia="Cambria" w:hAnsi="Cambria" w:cs="Cambria"/>
          <w:lang w:val="es-419"/>
        </w:rPr>
      </w:pPr>
      <w:r w:rsidRPr="000E05A9">
        <w:rPr>
          <w:rFonts w:ascii="Cambria" w:eastAsia="Cambria" w:hAnsi="Cambria" w:cs="Cambria"/>
          <w:lang w:val="es-419"/>
        </w:rPr>
        <w:t>“los Estados deben limitar al máximo el uso de las fuerzas armadas para el control de disturbios internos, puesto que el entrenamiento que reciben está dirigido a derrotar al enemigo, y no a la protección y control de civiles, entrenamiento que es propio de los entes policiales”</w:t>
      </w:r>
      <w:r>
        <w:rPr>
          <w:rFonts w:ascii="Cambria" w:eastAsia="Cambria" w:hAnsi="Cambria" w:cs="Cambria"/>
          <w:vertAlign w:val="superscript"/>
        </w:rPr>
        <w:footnoteReference w:id="50"/>
      </w:r>
      <w:r w:rsidRPr="000E05A9">
        <w:rPr>
          <w:rFonts w:ascii="Cambria" w:eastAsia="Cambria" w:hAnsi="Cambria" w:cs="Cambria"/>
          <w:lang w:val="es-419"/>
        </w:rPr>
        <w:t xml:space="preserve">. </w:t>
      </w:r>
    </w:p>
    <w:p w:rsidR="00780C05" w:rsidRPr="000E05A9" w:rsidRDefault="00780C05">
      <w:pPr>
        <w:jc w:val="both"/>
        <w:rPr>
          <w:rFonts w:ascii="Cambria" w:eastAsia="Cambria" w:hAnsi="Cambria" w:cs="Cambria"/>
          <w:lang w:val="es-419"/>
        </w:rPr>
      </w:pPr>
    </w:p>
    <w:p w:rsidR="00780C05" w:rsidRPr="000E05A9" w:rsidRDefault="001E2DF1">
      <w:pPr>
        <w:spacing w:after="240"/>
        <w:jc w:val="both"/>
        <w:rPr>
          <w:rFonts w:ascii="Cambria" w:eastAsia="Cambria" w:hAnsi="Cambria" w:cs="Cambria"/>
          <w:sz w:val="24"/>
          <w:szCs w:val="24"/>
          <w:lang w:val="es-419"/>
        </w:rPr>
      </w:pPr>
      <w:r w:rsidRPr="000E05A9">
        <w:rPr>
          <w:rFonts w:ascii="Cambria" w:eastAsia="Cambria" w:hAnsi="Cambria" w:cs="Cambria"/>
          <w:sz w:val="24"/>
          <w:szCs w:val="24"/>
          <w:lang w:val="es-419"/>
        </w:rPr>
        <w:t>Ampliando este mismo principio, la Corte consideró en el caso Zambrano Vélez Vs. Ecuador, de 2007 que es</w:t>
      </w:r>
    </w:p>
    <w:p w:rsidR="00780C05" w:rsidRPr="000E05A9" w:rsidRDefault="001E2DF1">
      <w:pPr>
        <w:spacing w:after="240"/>
        <w:ind w:left="720"/>
        <w:jc w:val="both"/>
        <w:rPr>
          <w:rFonts w:ascii="Cambria" w:eastAsia="Cambria" w:hAnsi="Cambria" w:cs="Cambria"/>
          <w:lang w:val="es-419"/>
        </w:rPr>
      </w:pPr>
      <w:r w:rsidRPr="000E05A9">
        <w:rPr>
          <w:rFonts w:ascii="Cambria" w:eastAsia="Cambria" w:hAnsi="Cambria" w:cs="Cambria"/>
          <w:lang w:val="es-419"/>
        </w:rPr>
        <w:t>“absolutamente necesario enfatizar en el extremo cuidado que los Estados deben observar al utilizar las Fuerzas Armadas como elemento de control de la protesta social, disturbios internos, violencia interna, situaciones excepcionales y criminalidad común. Tal como ha señalado este Tribunal, ‘los Estados deben limitar al máximo el uso de las fuerzas armadas para el control de disturbios internos, puesto que el entrenamiento que reciben está dirigido a derrotar al enemigo, y no a la protección y control de civiles, entrenamiento que es propio de los entes policiales’. El deslinde de las funciones militares y de policía debe guiar el estricto cumplimiento del deber de prevención y protección de los derechos en riesgo, a cargo de las autoridades internas”</w:t>
      </w:r>
      <w:r>
        <w:rPr>
          <w:rFonts w:ascii="Cambria" w:eastAsia="Cambria" w:hAnsi="Cambria" w:cs="Cambria"/>
          <w:vertAlign w:val="superscript"/>
        </w:rPr>
        <w:footnoteReference w:id="51"/>
      </w:r>
      <w:r w:rsidRPr="000E05A9">
        <w:rPr>
          <w:rFonts w:ascii="Cambria" w:eastAsia="Cambria" w:hAnsi="Cambria" w:cs="Cambria"/>
          <w:lang w:val="es-419"/>
        </w:rPr>
        <w:t>.</w:t>
      </w:r>
    </w:p>
    <w:p w:rsidR="00780C05" w:rsidRPr="000E05A9" w:rsidRDefault="001E2DF1">
      <w:pPr>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En un contexto de acelerada militarización de la actuación del Estado en el contexto de reuniones, consideramos crucial que la Observación General No 37 incluya estos desarrollos realizados a lo largo de varios años en el Sistema Interamericano de Derechos Humanos. </w:t>
      </w:r>
    </w:p>
    <w:p w:rsidR="00780C05" w:rsidRPr="000E05A9" w:rsidRDefault="00780C05">
      <w:pPr>
        <w:rPr>
          <w:rFonts w:ascii="Cambria" w:eastAsia="Cambria" w:hAnsi="Cambria" w:cs="Cambria"/>
          <w:sz w:val="24"/>
          <w:szCs w:val="24"/>
          <w:lang w:val="es-419"/>
        </w:rPr>
      </w:pPr>
    </w:p>
    <w:p w:rsidR="00780C05" w:rsidRPr="000E05A9" w:rsidRDefault="00780C05">
      <w:pPr>
        <w:rPr>
          <w:rFonts w:ascii="Cambria" w:eastAsia="Cambria" w:hAnsi="Cambria" w:cs="Cambria"/>
          <w:sz w:val="24"/>
          <w:szCs w:val="24"/>
          <w:lang w:val="es-419"/>
        </w:rPr>
      </w:pPr>
    </w:p>
    <w:p w:rsidR="00780C05" w:rsidRDefault="001E2DF1">
      <w:pPr>
        <w:pStyle w:val="Heading1"/>
        <w:numPr>
          <w:ilvl w:val="0"/>
          <w:numId w:val="1"/>
        </w:numPr>
      </w:pPr>
      <w:bookmarkStart w:id="15" w:name="_mx1yvolqs5ye" w:colFirst="0" w:colLast="0"/>
      <w:bookmarkEnd w:id="15"/>
      <w:r>
        <w:t xml:space="preserve">Rendición de cuentas </w:t>
      </w:r>
    </w:p>
    <w:p w:rsidR="00780C05" w:rsidRPr="000E05A9" w:rsidRDefault="001E2DF1">
      <w:pPr>
        <w:pStyle w:val="Heading2"/>
        <w:rPr>
          <w:lang w:val="es-419"/>
        </w:rPr>
      </w:pPr>
      <w:bookmarkStart w:id="16" w:name="_suufol8tucgk" w:colFirst="0" w:colLast="0"/>
      <w:bookmarkEnd w:id="16"/>
      <w:r w:rsidRPr="000E05A9">
        <w:rPr>
          <w:lang w:val="es-419"/>
        </w:rPr>
        <w:t>6.1. Transparencia y Acceso a la Información</w:t>
      </w:r>
    </w:p>
    <w:p w:rsidR="00780C05" w:rsidRPr="000E05A9" w:rsidRDefault="001E2DF1">
      <w:pPr>
        <w:spacing w:before="240" w:after="240"/>
        <w:jc w:val="both"/>
        <w:rPr>
          <w:rFonts w:ascii="Cambria" w:eastAsia="Cambria" w:hAnsi="Cambria" w:cs="Cambria"/>
          <w:color w:val="222222"/>
          <w:sz w:val="24"/>
          <w:szCs w:val="24"/>
          <w:highlight w:val="white"/>
          <w:lang w:val="es-419"/>
        </w:rPr>
      </w:pPr>
      <w:r w:rsidRPr="000E05A9">
        <w:rPr>
          <w:rFonts w:ascii="Cambria" w:eastAsia="Cambria" w:hAnsi="Cambria" w:cs="Cambria"/>
          <w:sz w:val="24"/>
          <w:szCs w:val="24"/>
          <w:lang w:val="es-419"/>
        </w:rPr>
        <w:t xml:space="preserve">Personas en distintos lugares del continente americano ven vulnerado su derecho de reunión y protesta; </w:t>
      </w:r>
      <w:r w:rsidRPr="000E05A9">
        <w:rPr>
          <w:rFonts w:ascii="Cambria" w:eastAsia="Cambria" w:hAnsi="Cambria" w:cs="Cambria"/>
          <w:color w:val="222222"/>
          <w:sz w:val="24"/>
          <w:szCs w:val="24"/>
          <w:highlight w:val="white"/>
          <w:lang w:val="es-419"/>
        </w:rPr>
        <w:t xml:space="preserve">este último originado en la articulación del primero y el derecho de libertad de expresión, así como en el de participación política. </w:t>
      </w:r>
    </w:p>
    <w:p w:rsidR="00780C05" w:rsidRPr="000E05A9" w:rsidRDefault="001E2DF1">
      <w:pPr>
        <w:spacing w:before="240" w:after="240"/>
        <w:jc w:val="both"/>
        <w:rPr>
          <w:rFonts w:ascii="Cambria" w:eastAsia="Cambria" w:hAnsi="Cambria" w:cs="Cambria"/>
          <w:b/>
          <w:color w:val="FF0000"/>
          <w:sz w:val="24"/>
          <w:szCs w:val="24"/>
          <w:lang w:val="es-419"/>
        </w:rPr>
      </w:pPr>
      <w:r w:rsidRPr="000E05A9">
        <w:rPr>
          <w:rFonts w:ascii="Cambria" w:eastAsia="Cambria" w:hAnsi="Cambria" w:cs="Cambria"/>
          <w:color w:val="222222"/>
          <w:sz w:val="24"/>
          <w:szCs w:val="24"/>
          <w:highlight w:val="white"/>
          <w:lang w:val="es-419"/>
        </w:rPr>
        <w:t xml:space="preserve">Corresponde al Estado garantizar el efectivo ejercicio </w:t>
      </w:r>
      <w:r w:rsidRPr="000E05A9">
        <w:rPr>
          <w:rFonts w:ascii="Cambria" w:eastAsia="Cambria" w:hAnsi="Cambria" w:cs="Cambria"/>
          <w:sz w:val="24"/>
          <w:szCs w:val="24"/>
          <w:highlight w:val="white"/>
          <w:lang w:val="es-419"/>
        </w:rPr>
        <w:t>de estos derechos, por lo que resulta fundamental que se activen mecanismos efectivos de supervisión ciudadana sobre el accionar estatal, lo cual demanda transparencia, acceso a la información y rendición de cuentas.</w:t>
      </w:r>
      <w:r w:rsidR="00C06530">
        <w:rPr>
          <w:rFonts w:ascii="Cambria" w:eastAsia="Cambria" w:hAnsi="Cambria" w:cs="Cambria"/>
          <w:sz w:val="24"/>
          <w:szCs w:val="24"/>
          <w:lang w:val="es-419"/>
        </w:rPr>
        <w:t xml:space="preserve"> </w:t>
      </w:r>
      <w:r w:rsidRPr="000E05A9">
        <w:rPr>
          <w:rFonts w:ascii="Cambria" w:eastAsia="Cambria" w:hAnsi="Cambria" w:cs="Cambria"/>
          <w:b/>
          <w:sz w:val="24"/>
          <w:szCs w:val="24"/>
          <w:lang w:val="es-419"/>
        </w:rPr>
        <w:t>En este sentido advertimos  que la Observación General Nº 37 no es taxativa en la referencia a las obligaciones Estatales de producción de información y su accesibilidad ciudadana.</w:t>
      </w:r>
    </w:p>
    <w:p w:rsidR="00780C05" w:rsidRPr="000E05A9" w:rsidRDefault="001E2DF1">
      <w:pPr>
        <w:spacing w:before="240" w:after="240"/>
        <w:jc w:val="both"/>
        <w:rPr>
          <w:rFonts w:ascii="Cambria" w:eastAsia="Cambria" w:hAnsi="Cambria" w:cs="Cambria"/>
          <w:color w:val="222222"/>
          <w:sz w:val="24"/>
          <w:szCs w:val="24"/>
          <w:highlight w:val="white"/>
          <w:lang w:val="es-419"/>
        </w:rPr>
      </w:pPr>
      <w:r w:rsidRPr="000E05A9">
        <w:rPr>
          <w:rFonts w:ascii="Cambria" w:eastAsia="Cambria" w:hAnsi="Cambria" w:cs="Cambria"/>
          <w:color w:val="222222"/>
          <w:sz w:val="24"/>
          <w:szCs w:val="24"/>
          <w:highlight w:val="white"/>
          <w:lang w:val="es-419"/>
        </w:rPr>
        <w:t>La libertad de información es parte del derecho fundamental a la libertad de expresión, reconocido por la Resolución 59 de la Asamblea General de Naciones Unidas, de 1946, así como por el artículo 19, de la Declaración Universal de Derechos Humanos, que establece que todo individuo tiene derecho a la libertad de expresión y que el mismo comprende el derecho de “investigar y recibir informaciones y opiniones, y el de difundirlas, sin limitación de fronteras, por cualquier medio de expresión”.</w:t>
      </w:r>
    </w:p>
    <w:p w:rsidR="00780C05" w:rsidRPr="000E05A9" w:rsidRDefault="001E2DF1">
      <w:pPr>
        <w:spacing w:before="240" w:after="240"/>
        <w:jc w:val="both"/>
        <w:rPr>
          <w:rFonts w:ascii="Cambria" w:eastAsia="Cambria" w:hAnsi="Cambria" w:cs="Cambria"/>
          <w:color w:val="222222"/>
          <w:sz w:val="24"/>
          <w:szCs w:val="24"/>
          <w:highlight w:val="white"/>
          <w:lang w:val="es-419"/>
        </w:rPr>
      </w:pPr>
      <w:r w:rsidRPr="000E05A9">
        <w:rPr>
          <w:rFonts w:ascii="Cambria" w:eastAsia="Cambria" w:hAnsi="Cambria" w:cs="Cambria"/>
          <w:color w:val="222222"/>
          <w:sz w:val="24"/>
          <w:szCs w:val="24"/>
          <w:highlight w:val="white"/>
          <w:lang w:val="es-419"/>
        </w:rPr>
        <w:t>Asimismo, la libertad de información también ha sido consagrada como derivación de la libertad de expresión en otros instrumentos internacionales de derechos humanos, como el  Pacto y la Convención Americana sobre Derechos Humanos, que señalan:</w:t>
      </w:r>
    </w:p>
    <w:p w:rsidR="00780C05" w:rsidRPr="000E05A9" w:rsidRDefault="001E2DF1">
      <w:pPr>
        <w:spacing w:before="240" w:after="240"/>
        <w:ind w:left="850" w:right="854"/>
        <w:jc w:val="both"/>
        <w:rPr>
          <w:rFonts w:ascii="Cambria" w:eastAsia="Cambria" w:hAnsi="Cambria" w:cs="Cambria"/>
          <w:color w:val="222222"/>
          <w:sz w:val="24"/>
          <w:szCs w:val="24"/>
          <w:highlight w:val="white"/>
          <w:lang w:val="es-419"/>
        </w:rPr>
      </w:pPr>
      <w:r w:rsidRPr="000E05A9">
        <w:rPr>
          <w:rFonts w:ascii="Cambria" w:eastAsia="Cambria" w:hAnsi="Cambria" w:cs="Cambria"/>
          <w:color w:val="222222"/>
          <w:highlight w:val="white"/>
          <w:lang w:val="es-419"/>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r>
        <w:rPr>
          <w:rFonts w:ascii="Cambria" w:eastAsia="Cambria" w:hAnsi="Cambria" w:cs="Cambria"/>
          <w:color w:val="222222"/>
          <w:highlight w:val="white"/>
          <w:vertAlign w:val="superscript"/>
        </w:rPr>
        <w:footnoteReference w:id="52"/>
      </w:r>
    </w:p>
    <w:p w:rsidR="00780C05" w:rsidRPr="000E05A9" w:rsidRDefault="001E2DF1">
      <w:pPr>
        <w:spacing w:before="240" w:after="240"/>
        <w:jc w:val="both"/>
        <w:rPr>
          <w:rFonts w:ascii="Cambria" w:eastAsia="Cambria" w:hAnsi="Cambria" w:cs="Cambria"/>
          <w:color w:val="222222"/>
          <w:sz w:val="24"/>
          <w:szCs w:val="24"/>
          <w:highlight w:val="white"/>
          <w:lang w:val="es-419"/>
        </w:rPr>
      </w:pPr>
      <w:r w:rsidRPr="000E05A9">
        <w:rPr>
          <w:rFonts w:ascii="Cambria" w:eastAsia="Cambria" w:hAnsi="Cambria" w:cs="Cambria"/>
          <w:color w:val="222222"/>
          <w:sz w:val="24"/>
          <w:szCs w:val="24"/>
          <w:highlight w:val="white"/>
          <w:lang w:val="es-419"/>
        </w:rPr>
        <w:t>Por su parte,</w:t>
      </w:r>
      <w:r w:rsidR="00C06530">
        <w:rPr>
          <w:rFonts w:ascii="Cambria" w:eastAsia="Cambria" w:hAnsi="Cambria" w:cs="Cambria"/>
          <w:color w:val="222222"/>
          <w:sz w:val="24"/>
          <w:szCs w:val="24"/>
          <w:highlight w:val="white"/>
          <w:lang w:val="es-419"/>
        </w:rPr>
        <w:t xml:space="preserve"> </w:t>
      </w:r>
      <w:r w:rsidRPr="000E05A9">
        <w:rPr>
          <w:rFonts w:ascii="Cambria" w:eastAsia="Cambria" w:hAnsi="Cambria" w:cs="Cambria"/>
          <w:color w:val="222222"/>
          <w:sz w:val="24"/>
          <w:szCs w:val="24"/>
          <w:highlight w:val="white"/>
          <w:lang w:val="es-419"/>
        </w:rPr>
        <w:t xml:space="preserve">el acceso a la información es considerado un “derecho llave”, pues habilita a los ciudadanos el goce de otros derechos. En cuanto aquí compete, se trataría por ejemplo del acceso a la información necesaria para ejercer el derecho a la protesta y el derecho de reunión; pero también de información que puede resultar fundamental para habilitar otros derechos como el de acceso a la justicia en caso de que se presenten violaciones a derechos de los manifestantes o uso excesivo de la fuerza por parte de las autoridades de seguridad en la gestión de una reunión; o, para el resguardo del derecho a la privacidad en caso de ser objeto de políticas de vigilancia. Para esos casos, es fundamental que la ciudadanía pueda conocer previamente los dispositivos de seguridad previstos o los protocolos de actuación, y posteriormente rendiciones sobre el uso efectivo de armas, acceso a filmaciones u otros datos y registros.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color w:val="222222"/>
          <w:sz w:val="24"/>
          <w:szCs w:val="24"/>
          <w:highlight w:val="white"/>
          <w:lang w:val="es-419"/>
        </w:rPr>
        <w:t>En virtud de esto es fundamental que la ciudadanía tenga acceso a la información necesaria para ejercitar los derechos asociados al artículo 21 del Pacto, para lo cual es indispensable que no haya restricciones indebidas a la información. En este sentido se ha expresado la</w:t>
      </w:r>
      <w:r w:rsidRPr="000E05A9">
        <w:rPr>
          <w:rFonts w:ascii="Cambria" w:eastAsia="Cambria" w:hAnsi="Cambria" w:cs="Cambria"/>
          <w:sz w:val="24"/>
          <w:szCs w:val="24"/>
          <w:lang w:val="es-419"/>
        </w:rPr>
        <w:t xml:space="preserve"> Relatoría Especial para la Libertad de Expresión de la CIDH, al desarrollar una serie de estándares sobre acceso a la información relacionados al derecho a la protesta social</w:t>
      </w:r>
      <w:r>
        <w:rPr>
          <w:rFonts w:ascii="Cambria" w:eastAsia="Cambria" w:hAnsi="Cambria" w:cs="Cambria"/>
          <w:sz w:val="24"/>
          <w:szCs w:val="24"/>
          <w:vertAlign w:val="superscript"/>
        </w:rPr>
        <w:footnoteReference w:id="53"/>
      </w:r>
      <w:r w:rsidRPr="000E05A9">
        <w:rPr>
          <w:rFonts w:ascii="Cambria" w:eastAsia="Cambria" w:hAnsi="Cambria" w:cs="Cambria"/>
          <w:sz w:val="24"/>
          <w:szCs w:val="24"/>
          <w:lang w:val="es-419"/>
        </w:rPr>
        <w:t xml:space="preserve">, los cuales señalan que deben existir amplios criterios de acceso a la información y la consecuente obligación para el Estado de producir información y registros.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Consideramos clave que el estándar internacional de Naciones Unidas no resulte inferior al de la región, y en este sentido </w:t>
      </w:r>
      <w:r w:rsidRPr="000E05A9">
        <w:rPr>
          <w:rFonts w:ascii="Cambria" w:eastAsia="Cambria" w:hAnsi="Cambria" w:cs="Cambria"/>
          <w:b/>
          <w:sz w:val="24"/>
          <w:szCs w:val="24"/>
          <w:lang w:val="es-419"/>
        </w:rPr>
        <w:t>las organizaciones firmantes hacemos propias las sugerencias del referido informe de la RELE, que recoge estándares y opiniones previas generadas por diversos organismos internacionales</w:t>
      </w:r>
      <w:r w:rsidRPr="000E05A9">
        <w:rPr>
          <w:rFonts w:ascii="Cambria" w:eastAsia="Cambria" w:hAnsi="Cambria" w:cs="Cambria"/>
          <w:sz w:val="24"/>
          <w:szCs w:val="24"/>
          <w:lang w:val="es-419"/>
        </w:rPr>
        <w:t>, y añade algunas aclaraciones, destacando que los Estados deben garantizar que la ciudadanía pueda acceder a información, la cual debe abarcar al menos la siguiente:</w:t>
      </w:r>
    </w:p>
    <w:p w:rsidR="00780C05" w:rsidRPr="000E05A9" w:rsidRDefault="001E2DF1">
      <w:pPr>
        <w:numPr>
          <w:ilvl w:val="0"/>
          <w:numId w:val="2"/>
        </w:numPr>
        <w:spacing w:before="240" w:after="200"/>
        <w:ind w:right="571"/>
        <w:jc w:val="both"/>
        <w:rPr>
          <w:rFonts w:ascii="Cambria" w:eastAsia="Cambria" w:hAnsi="Cambria" w:cs="Cambria"/>
          <w:lang w:val="es-419"/>
        </w:rPr>
      </w:pPr>
      <w:r w:rsidRPr="000E05A9">
        <w:rPr>
          <w:rFonts w:ascii="Cambria" w:eastAsia="Cambria" w:hAnsi="Cambria" w:cs="Cambria"/>
          <w:lang w:val="es-419"/>
        </w:rPr>
        <w:t>El derecho de acceder a la información contempla el derecho a “grabar una reunión, lo cual incluye grabar la operación de mantenimiento del orden. También pueden grabar una interacción en la que esa persona es, a su vez, grabada por un agente público, a lo cual se ha denominado en ocasiones derecho de “retrograbación”. El estado debería proteger ese derecho. La confiscación, la incautación y/o destrucción de notas y material de grabación sonora o audiovisual, sin las debidas garantías procesales, deberían estar prohibidas y ser castigadas”</w:t>
      </w:r>
      <w:r>
        <w:rPr>
          <w:rFonts w:ascii="Cambria" w:eastAsia="Cambria" w:hAnsi="Cambria" w:cs="Cambria"/>
          <w:vertAlign w:val="superscript"/>
        </w:rPr>
        <w:footnoteReference w:id="54"/>
      </w:r>
      <w:r w:rsidRPr="000E05A9">
        <w:rPr>
          <w:rFonts w:ascii="Cambria" w:eastAsia="Cambria" w:hAnsi="Cambria" w:cs="Cambria"/>
          <w:lang w:val="es-419"/>
        </w:rPr>
        <w:t>.</w:t>
      </w:r>
    </w:p>
    <w:p w:rsidR="00780C05" w:rsidRPr="000E05A9" w:rsidRDefault="001E2DF1">
      <w:pPr>
        <w:numPr>
          <w:ilvl w:val="0"/>
          <w:numId w:val="2"/>
        </w:numPr>
        <w:spacing w:after="200"/>
        <w:ind w:right="571"/>
        <w:jc w:val="both"/>
        <w:rPr>
          <w:rFonts w:ascii="Cambria" w:eastAsia="Cambria" w:hAnsi="Cambria" w:cs="Cambria"/>
          <w:lang w:val="es-419"/>
        </w:rPr>
      </w:pPr>
      <w:r w:rsidRPr="000E05A9">
        <w:rPr>
          <w:rFonts w:ascii="Cambria" w:eastAsia="Cambria" w:hAnsi="Cambria" w:cs="Cambria"/>
          <w:lang w:val="es-419"/>
        </w:rPr>
        <w:t>El Estado tiene el deber de registrar y grabar el accionar de sus agentes, a fin de posibilitar la revisión y mejora del accionar de estos, con el objeto de permitir el necesario control ante cualquier irregularidad</w:t>
      </w:r>
      <w:r>
        <w:rPr>
          <w:rFonts w:ascii="Cambria" w:eastAsia="Cambria" w:hAnsi="Cambria" w:cs="Cambria"/>
          <w:vertAlign w:val="superscript"/>
        </w:rPr>
        <w:footnoteReference w:id="55"/>
      </w:r>
      <w:r w:rsidRPr="000E05A9">
        <w:rPr>
          <w:rFonts w:ascii="Cambria" w:eastAsia="Cambria" w:hAnsi="Cambria" w:cs="Cambria"/>
          <w:lang w:val="es-419"/>
        </w:rPr>
        <w:t>.</w:t>
      </w:r>
    </w:p>
    <w:p w:rsidR="00780C05" w:rsidRPr="000E05A9" w:rsidRDefault="001E2DF1">
      <w:pPr>
        <w:numPr>
          <w:ilvl w:val="0"/>
          <w:numId w:val="2"/>
        </w:numPr>
        <w:spacing w:after="200"/>
        <w:ind w:right="571"/>
        <w:jc w:val="both"/>
        <w:rPr>
          <w:rFonts w:ascii="Cambria" w:eastAsia="Cambria" w:hAnsi="Cambria" w:cs="Cambria"/>
          <w:lang w:val="es-419"/>
        </w:rPr>
      </w:pPr>
      <w:r w:rsidRPr="000E05A9">
        <w:rPr>
          <w:rFonts w:ascii="Cambria" w:eastAsia="Cambria" w:hAnsi="Cambria" w:cs="Cambria"/>
          <w:lang w:val="es-419"/>
        </w:rPr>
        <w:t>Las normativas que regulan la protesta social deben ser accesibles y públicas, lo cual no abarca sólo leyes, sino que también protocolos o manuales de procedimiento y órdenes para desarrollar los operativos</w:t>
      </w:r>
      <w:r>
        <w:rPr>
          <w:rFonts w:ascii="Cambria" w:eastAsia="Cambria" w:hAnsi="Cambria" w:cs="Cambria"/>
          <w:vertAlign w:val="superscript"/>
        </w:rPr>
        <w:footnoteReference w:id="56"/>
      </w:r>
      <w:r w:rsidRPr="000E05A9">
        <w:rPr>
          <w:rFonts w:ascii="Cambria" w:eastAsia="Cambria" w:hAnsi="Cambria" w:cs="Cambria"/>
          <w:lang w:val="es-419"/>
        </w:rPr>
        <w:t>.</w:t>
      </w:r>
    </w:p>
    <w:p w:rsidR="00780C05" w:rsidRPr="000E05A9" w:rsidRDefault="001E2DF1">
      <w:pPr>
        <w:numPr>
          <w:ilvl w:val="0"/>
          <w:numId w:val="2"/>
        </w:numPr>
        <w:spacing w:before="240" w:after="200"/>
        <w:ind w:right="854"/>
        <w:jc w:val="both"/>
        <w:rPr>
          <w:rFonts w:ascii="Cambria" w:eastAsia="Cambria" w:hAnsi="Cambria" w:cs="Cambria"/>
          <w:lang w:val="es-419"/>
        </w:rPr>
      </w:pPr>
      <w:r w:rsidRPr="000E05A9">
        <w:rPr>
          <w:rFonts w:ascii="Cambria" w:eastAsia="Cambria" w:hAnsi="Cambria" w:cs="Cambria"/>
          <w:lang w:val="es-419"/>
        </w:rPr>
        <w:t>El Estado debe llevar el registro detallado del armamento asignado, así como de las municiones, y establecer procedimientos y formas de supervisión para que durante las manifestaciones solo se asigne el armamento permitido</w:t>
      </w:r>
      <w:r>
        <w:rPr>
          <w:rFonts w:ascii="Cambria" w:eastAsia="Cambria" w:hAnsi="Cambria" w:cs="Cambria"/>
          <w:vertAlign w:val="superscript"/>
        </w:rPr>
        <w:footnoteReference w:id="57"/>
      </w:r>
      <w:r w:rsidRPr="000E05A9">
        <w:rPr>
          <w:rFonts w:ascii="Cambria" w:eastAsia="Cambria" w:hAnsi="Cambria" w:cs="Cambria"/>
          <w:lang w:val="es-419"/>
        </w:rPr>
        <w:t>.</w:t>
      </w:r>
    </w:p>
    <w:p w:rsidR="00780C05" w:rsidRPr="000E05A9" w:rsidRDefault="001E2DF1">
      <w:pPr>
        <w:pStyle w:val="Heading2"/>
        <w:rPr>
          <w:lang w:val="es-419"/>
        </w:rPr>
      </w:pPr>
      <w:bookmarkStart w:id="17" w:name="_p8mvqqf6u4by" w:colFirst="0" w:colLast="0"/>
      <w:bookmarkEnd w:id="17"/>
      <w:r w:rsidRPr="000E05A9">
        <w:rPr>
          <w:lang w:val="es-419"/>
        </w:rPr>
        <w:t>6.2. Protocolos de criterios de uso de fuerza</w:t>
      </w: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Relacionada con la obligación general que tienen los Estados parte de respetar y garantizar el derecho a la reunión pacífica se encuentra también la obligación de rendir cuentas y proporcionar recursos efectivos en caso de violación de este derecho. </w:t>
      </w: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La Observación General Nº37 menciona la rendición de cuentas en relación con su importancia para evitar que se produzcan violaciones y abusos de derechos (párrafo 71), el deber de notificar todo uso de fuerza (párrafo 88), la responsabilidad del Estado por acciones y omisiones de sus funcionarios (párrafo 100), el deber de que los uniformados tengan visible siempre una forma de identificación (párrafo 100) y el uso de dispositivos de grabación por parte de los funcionarios encargados de hacer cumplir la ley (párrafo 105). </w:t>
      </w:r>
    </w:p>
    <w:p w:rsidR="00780C05" w:rsidRPr="000E05A9" w:rsidRDefault="001E2DF1">
      <w:pPr>
        <w:spacing w:after="160" w:line="259" w:lineRule="auto"/>
        <w:jc w:val="both"/>
        <w:rPr>
          <w:rFonts w:ascii="Cambria" w:eastAsia="Cambria" w:hAnsi="Cambria" w:cs="Cambria"/>
          <w:b/>
          <w:sz w:val="24"/>
          <w:szCs w:val="24"/>
          <w:lang w:val="es-419"/>
        </w:rPr>
      </w:pPr>
      <w:r w:rsidRPr="000E05A9">
        <w:rPr>
          <w:rFonts w:ascii="Cambria" w:eastAsia="Cambria" w:hAnsi="Cambria" w:cs="Cambria"/>
          <w:b/>
          <w:sz w:val="24"/>
          <w:szCs w:val="24"/>
          <w:lang w:val="es-419"/>
        </w:rPr>
        <w:t>Sin embargo, no hay un desarrollo específico en torno al deber de rendir cuentas en relación con los protocolos y criterios de uso de fuerza</w:t>
      </w:r>
      <w:r w:rsidRPr="000E05A9">
        <w:rPr>
          <w:rFonts w:ascii="Cambria" w:eastAsia="Cambria" w:hAnsi="Cambria" w:cs="Cambria"/>
          <w:sz w:val="24"/>
          <w:szCs w:val="24"/>
          <w:lang w:val="es-419"/>
        </w:rPr>
        <w:t xml:space="preserve">. La transparencia y la posibilidad de que todos los individuos puedan acceder a la información sobre el uso de la fuerza cobran gran relevancia en el contexto del derecho a la reunión pacífica. Eso implica que las normas y reglamentaciones en esta materia </w:t>
      </w:r>
      <w:r w:rsidRPr="000E05A9">
        <w:rPr>
          <w:rFonts w:ascii="Cambria" w:eastAsia="Cambria" w:hAnsi="Cambria" w:cs="Cambria"/>
          <w:b/>
          <w:sz w:val="24"/>
          <w:szCs w:val="24"/>
          <w:lang w:val="es-419"/>
        </w:rPr>
        <w:t>deben establecer de manera clara los deberes y las responsabilidades de aquellos funcionarios que participan en la gestión de reuniones</w:t>
      </w:r>
      <w:r w:rsidRPr="000E05A9">
        <w:rPr>
          <w:rFonts w:ascii="Cambria" w:eastAsia="Cambria" w:hAnsi="Cambria" w:cs="Cambria"/>
          <w:sz w:val="24"/>
          <w:szCs w:val="24"/>
          <w:lang w:val="es-419"/>
        </w:rPr>
        <w:t>, los procedimientos a seguir en relación con el ejercicio del derecho, quiénes son las autoridades responsables y los recursos disponibles en caso de que se genere una violación a este derecho y a otros en el marco de una reunión pacífica.</w:t>
      </w: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Dado que durante el ejercicio del derecho pueden llegar a presentarse distintos acontecimientos que impliquen el uso de violencia por parte de los participantes o de otros individuos infiltrados en medio de la reunión surge la posibilidad de que los funcionarios encargados de hacer cumplir la ley acudan al empleo de la fuerza. Este uso de la fuerza no puede, bajo ninguna circunstancia, ser arbitrario, excesivo o discriminatorio. En ese contexto,</w:t>
      </w:r>
    </w:p>
    <w:p w:rsidR="00780C05" w:rsidRPr="000E05A9" w:rsidRDefault="001E2DF1">
      <w:pPr>
        <w:spacing w:after="160" w:line="259" w:lineRule="auto"/>
        <w:ind w:left="850" w:right="854"/>
        <w:jc w:val="both"/>
        <w:rPr>
          <w:rFonts w:ascii="Cambria" w:eastAsia="Cambria" w:hAnsi="Cambria" w:cs="Cambria"/>
          <w:lang w:val="es-419"/>
        </w:rPr>
      </w:pPr>
      <w:r w:rsidRPr="000E05A9">
        <w:rPr>
          <w:rFonts w:ascii="Cambria" w:eastAsia="Cambria" w:hAnsi="Cambria" w:cs="Cambria"/>
          <w:lang w:val="es-419"/>
        </w:rPr>
        <w:t>“</w:t>
      </w:r>
      <w:r w:rsidRPr="000E05A9">
        <w:rPr>
          <w:rFonts w:ascii="Cambria" w:eastAsia="Cambria" w:hAnsi="Cambria" w:cs="Cambria"/>
          <w:highlight w:val="white"/>
          <w:lang w:val="es-419"/>
        </w:rPr>
        <w:t xml:space="preserve">[la] </w:t>
      </w:r>
      <w:r w:rsidRPr="000E05A9">
        <w:rPr>
          <w:rFonts w:ascii="Cambria" w:eastAsia="Cambria" w:hAnsi="Cambria" w:cs="Cambria"/>
          <w:lang w:val="es-419"/>
        </w:rPr>
        <w:t>legislación debe exigir la recopilación y el reporte de datos sobre el uso de la fuerza, incluyendo: número y tipo de armas desplegadas; arrestos; paradas y búsquedas realizadas; y el entrenamiento que los oficiales han recibido sobre el porte oculto de armas y equipos. Debería haber un sistema centralizado para reportar cada vez que una CCW o un arma de fuego se saca o se usa, ya sea que esto haya resultado en lesiones o muerte, y la información demográfica de los individuos contra quienes se hizo uso de la fuerza. Una falta injustificada al informar o mantener reportes adecuados debe considerarse como un motivo para una acción disciplinaria”</w:t>
      </w:r>
      <w:r>
        <w:rPr>
          <w:rFonts w:ascii="Cambria" w:eastAsia="Cambria" w:hAnsi="Cambria" w:cs="Cambria"/>
          <w:vertAlign w:val="superscript"/>
        </w:rPr>
        <w:footnoteReference w:id="58"/>
      </w:r>
      <w:r w:rsidRPr="000E05A9">
        <w:rPr>
          <w:rFonts w:ascii="Cambria" w:eastAsia="Cambria" w:hAnsi="Cambria" w:cs="Cambria"/>
          <w:lang w:val="es-419"/>
        </w:rPr>
        <w:t xml:space="preserve">. </w:t>
      </w: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El uso de la fuerza debe seguir una serie de protocolos previamente establecidos en la legislación nacional, respetuosos de los más altos estándares internacionales, con principios y criterios suficientemente claros que permitan evaluar cuándo la fuerza se desplegó de manera adecuada y cuándo no. Así pues, dichos protocolos deben estar disponibles y ser de fácil acceso para todos los individuos, tanto para quienes participan de una reunión pacífica como para quienes no. </w:t>
      </w:r>
    </w:p>
    <w:p w:rsidR="00780C05" w:rsidRPr="000E05A9" w:rsidRDefault="001E2DF1">
      <w:pPr>
        <w:spacing w:line="240" w:lineRule="auto"/>
        <w:ind w:left="850" w:right="854"/>
        <w:jc w:val="both"/>
        <w:rPr>
          <w:rFonts w:ascii="Cambria" w:eastAsia="Cambria" w:hAnsi="Cambria" w:cs="Cambria"/>
          <w:lang w:val="es-419"/>
        </w:rPr>
      </w:pPr>
      <w:r w:rsidRPr="000E05A9">
        <w:rPr>
          <w:rFonts w:ascii="Cambria" w:eastAsia="Cambria" w:hAnsi="Cambria" w:cs="Cambria"/>
          <w:lang w:val="es-419"/>
        </w:rPr>
        <w:t>“Todas las normativas que regulan la protesta social deben ser accesibles y publicadas. Estas regulaciones incluyen no sólo las leyes, decretos y ordenanzas, sino también protocolos generales, manuales de procedimiento y órdenes específicas en relación al modo de desarrollar los operativos. el conocimiento y publicidad de estos protocolos y normas deontológicas disminuyen los márgenes de arbitrariedad de las decisiones y acciones de los funcionarios del Estado en el marco de las protestas sociales</w:t>
      </w:r>
      <w:r>
        <w:rPr>
          <w:rFonts w:ascii="Cambria" w:eastAsia="Cambria" w:hAnsi="Cambria" w:cs="Cambria"/>
          <w:vertAlign w:val="superscript"/>
        </w:rPr>
        <w:footnoteReference w:id="59"/>
      </w:r>
      <w:r w:rsidRPr="000E05A9">
        <w:rPr>
          <w:rFonts w:ascii="Cambria" w:eastAsia="Cambria" w:hAnsi="Cambria" w:cs="Cambria"/>
          <w:lang w:val="es-419"/>
        </w:rPr>
        <w:t xml:space="preserve">. </w:t>
      </w:r>
    </w:p>
    <w:p w:rsidR="00780C05" w:rsidRPr="000E05A9" w:rsidRDefault="00780C05">
      <w:pPr>
        <w:spacing w:line="240" w:lineRule="auto"/>
        <w:ind w:left="850" w:right="854"/>
        <w:jc w:val="both"/>
        <w:rPr>
          <w:rFonts w:ascii="Cambria" w:eastAsia="Cambria" w:hAnsi="Cambria" w:cs="Cambria"/>
          <w:lang w:val="es-419"/>
        </w:rPr>
      </w:pP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Que sean de fácil acceso implica no sólo que se puedan ubicar fácilmente, sino que su lenguaje pueda ser comprendido por todos los individuos sin mayor dificultad. Además, </w:t>
      </w:r>
      <w:r w:rsidRPr="000E05A9">
        <w:rPr>
          <w:rFonts w:ascii="Cambria" w:eastAsia="Cambria" w:hAnsi="Cambria" w:cs="Cambria"/>
          <w:b/>
          <w:sz w:val="24"/>
          <w:szCs w:val="24"/>
          <w:lang w:val="es-419"/>
        </w:rPr>
        <w:t>los criterios que regulan el uso de la fuerza: legalidad, necesidad, proporcionalidad, precaución y no discriminación, deben estar definidos con la mayor claridad posible.</w:t>
      </w:r>
      <w:r w:rsidRPr="000E05A9">
        <w:rPr>
          <w:rFonts w:ascii="Cambria" w:eastAsia="Cambria" w:hAnsi="Cambria" w:cs="Cambria"/>
          <w:sz w:val="24"/>
          <w:szCs w:val="24"/>
          <w:lang w:val="es-419"/>
        </w:rPr>
        <w:t xml:space="preserve"> Esto, con el fin de evitar interpretaciones amplias y ambiguas que puedan hacer pasar un uso de fuerza ilegítimo por uno que no lo es y, en consecuencia, que los funcionarios que cometan abusos y arbitrariedades no asuman su responsabilidad por ello. </w:t>
      </w: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Es necesario que los funcionarios apliquen técnicas de diálogo social y desescalamiento del conflicto antes de acudir al uso de la fuerza, ya que éste debe ser el último recurso. Tal como señala la ONU, </w:t>
      </w:r>
      <w:r w:rsidRPr="000E05A9">
        <w:rPr>
          <w:rFonts w:ascii="Cambria" w:eastAsia="Cambria" w:hAnsi="Cambria" w:cs="Cambria"/>
          <w:b/>
          <w:sz w:val="24"/>
          <w:szCs w:val="24"/>
          <w:lang w:val="es-419"/>
        </w:rPr>
        <w:t>los gobiernos tienen la obligación de garantizar que el uso arbitrario o abusivo de la fuerza se castigue como delito</w:t>
      </w:r>
      <w:r>
        <w:rPr>
          <w:rFonts w:ascii="Cambria" w:eastAsia="Cambria" w:hAnsi="Cambria" w:cs="Cambria"/>
          <w:sz w:val="24"/>
          <w:szCs w:val="24"/>
          <w:vertAlign w:val="superscript"/>
        </w:rPr>
        <w:footnoteReference w:id="60"/>
      </w:r>
      <w:r w:rsidRPr="000E05A9">
        <w:rPr>
          <w:rFonts w:ascii="Cambria" w:eastAsia="Cambria" w:hAnsi="Cambria" w:cs="Cambria"/>
          <w:sz w:val="24"/>
          <w:szCs w:val="24"/>
          <w:lang w:val="es-419"/>
        </w:rPr>
        <w:t xml:space="preserve">. Aquello incluye el conocimiento y el acceso oportuno a recursos legales por parte de los individuos en caso de presuntas violaciones del derecho de reunión pacífica u otros que puedan verse afectados en el desarrollo de su ejercicio. Sin embargo, conocer los recursos legales de los cuales el individuo dispone no es suficiente para que sus derechos se encuentren protegidos. Es necesario que el acceso a éstos sea efectivo y eficiente, que las autoridades encargadas de tramitar los recursos actúen de modo independiente y transparente para que las investigaciones tengan el impulso requerido, no se dejen influenciar por la corrupción y puedan dar lugar a una sanción al final del proceso.  </w:t>
      </w: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Sumado a lo anterior, se destaca la obligación de que existan </w:t>
      </w:r>
      <w:r w:rsidRPr="000E05A9">
        <w:rPr>
          <w:rFonts w:ascii="Cambria" w:eastAsia="Cambria" w:hAnsi="Cambria" w:cs="Cambria"/>
          <w:b/>
          <w:sz w:val="24"/>
          <w:szCs w:val="24"/>
          <w:lang w:val="es-419"/>
        </w:rPr>
        <w:t xml:space="preserve">estructuras de mando claras y conocidas por todos los individuos para sustentar la rendición de cuentas </w:t>
      </w:r>
      <w:r w:rsidRPr="000E05A9">
        <w:rPr>
          <w:rFonts w:ascii="Cambria" w:eastAsia="Cambria" w:hAnsi="Cambria" w:cs="Cambria"/>
          <w:sz w:val="24"/>
          <w:szCs w:val="24"/>
          <w:lang w:val="es-419"/>
        </w:rPr>
        <w:t>en materia de la gestión de la reunión pacífica</w:t>
      </w:r>
      <w:r>
        <w:rPr>
          <w:rFonts w:ascii="Cambria" w:eastAsia="Cambria" w:hAnsi="Cambria" w:cs="Cambria"/>
          <w:sz w:val="24"/>
          <w:szCs w:val="24"/>
          <w:vertAlign w:val="superscript"/>
        </w:rPr>
        <w:footnoteReference w:id="61"/>
      </w:r>
      <w:r w:rsidRPr="000E05A9">
        <w:rPr>
          <w:rFonts w:ascii="Cambria" w:eastAsia="Cambria" w:hAnsi="Cambria" w:cs="Cambria"/>
          <w:sz w:val="24"/>
          <w:szCs w:val="24"/>
          <w:lang w:val="es-419"/>
        </w:rPr>
        <w:t xml:space="preserve"> y, de ser el caso, en materia del uso de la fuerza también. Cualquier uso de la fuerza por parte de los funcionarios encargados de hacer cumplir la ley debe ser avisado, notificado, registrado en detalle y debidamente justificado. </w:t>
      </w:r>
    </w:p>
    <w:p w:rsidR="00780C05" w:rsidRPr="000E05A9" w:rsidRDefault="001E2DF1">
      <w:pPr>
        <w:spacing w:line="240" w:lineRule="auto"/>
        <w:ind w:left="850" w:right="854"/>
        <w:jc w:val="both"/>
        <w:rPr>
          <w:rFonts w:ascii="Cambria" w:eastAsia="Cambria" w:hAnsi="Cambria" w:cs="Cambria"/>
          <w:sz w:val="20"/>
          <w:szCs w:val="20"/>
          <w:lang w:val="es-419"/>
        </w:rPr>
      </w:pPr>
      <w:r w:rsidRPr="000E05A9">
        <w:rPr>
          <w:rFonts w:ascii="Cambria" w:eastAsia="Cambria" w:hAnsi="Cambria" w:cs="Cambria"/>
          <w:lang w:val="es-419"/>
        </w:rPr>
        <w:t>“Es deber del Estado el registro detallado del armamento asignado así como de las municiones. Es fundamental establecer procedimientos y formas de supervisión para que en el contexto de manifestaciones sólo ese asigne el armamento permitido a los funcionarios autorizados a su eventual utilización. Corresponde individualizando la asignación de armamentos y municiones así como de los funcionarios responsables de supervisar el correcto y efectivo cumplimiento de esas disposiciones y su registro”</w:t>
      </w:r>
      <w:r>
        <w:rPr>
          <w:rFonts w:ascii="Cambria" w:eastAsia="Cambria" w:hAnsi="Cambria" w:cs="Cambria"/>
          <w:sz w:val="24"/>
          <w:szCs w:val="24"/>
          <w:vertAlign w:val="superscript"/>
        </w:rPr>
        <w:footnoteReference w:id="62"/>
      </w:r>
      <w:r w:rsidRPr="000E05A9">
        <w:rPr>
          <w:rFonts w:ascii="Cambria" w:eastAsia="Cambria" w:hAnsi="Cambria" w:cs="Cambria"/>
          <w:sz w:val="24"/>
          <w:szCs w:val="24"/>
          <w:lang w:val="es-419"/>
        </w:rPr>
        <w:t>.</w:t>
      </w:r>
    </w:p>
    <w:p w:rsidR="00780C05" w:rsidRPr="000E05A9" w:rsidRDefault="00780C05">
      <w:pPr>
        <w:spacing w:line="240" w:lineRule="auto"/>
        <w:jc w:val="both"/>
        <w:rPr>
          <w:rFonts w:ascii="Cambria" w:eastAsia="Cambria" w:hAnsi="Cambria" w:cs="Cambria"/>
          <w:sz w:val="20"/>
          <w:szCs w:val="20"/>
          <w:lang w:val="es-419"/>
        </w:rPr>
      </w:pP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Cuando como consecuencia del uso de la fuerza, tanto legítimo como ilegítimo, se generen muertes o lesiones, dichos sucesos deben ser comunicados y sometidos a un proceso de investigación estricto para determinar si hubo o no responsabilidad del Estado por un mal procedimiento. Dichas </w:t>
      </w:r>
      <w:r w:rsidRPr="000E05A9">
        <w:rPr>
          <w:rFonts w:ascii="Cambria" w:eastAsia="Cambria" w:hAnsi="Cambria" w:cs="Cambria"/>
          <w:b/>
          <w:sz w:val="24"/>
          <w:szCs w:val="24"/>
          <w:lang w:val="es-419"/>
        </w:rPr>
        <w:t>investigaciones, tanto a nivel penal como administrativo, deben ser transparentes, independientes e imparciales.</w:t>
      </w:r>
      <w:r w:rsidRPr="000E05A9">
        <w:rPr>
          <w:rFonts w:ascii="Cambria" w:eastAsia="Cambria" w:hAnsi="Cambria" w:cs="Cambria"/>
          <w:sz w:val="24"/>
          <w:szCs w:val="24"/>
          <w:lang w:val="es-419"/>
        </w:rPr>
        <w:t xml:space="preserve"> Esto contribuye a que no se repitan las violaciones al derecho de reunión pacífica y a los demás derechos que puedan verse afectados durante su ejercicio por parte del Estado y sus funcionarios puesto que, además de la responsabilidad penal individual que pueda identificarse, también se puede determinar una responsabilidad de la institución, así como los factores organizativos relacionados como las líneas de mando, las normas de procedimiento, la planeación de los operativos, el tipo de armas que se usan e incluso la misma formación de los funcionarios.  </w:t>
      </w:r>
    </w:p>
    <w:p w:rsidR="00780C05" w:rsidRPr="000E05A9" w:rsidRDefault="001E2DF1">
      <w:pPr>
        <w:spacing w:line="240" w:lineRule="auto"/>
        <w:ind w:left="850" w:right="854"/>
        <w:jc w:val="both"/>
        <w:rPr>
          <w:rFonts w:ascii="Cambria" w:eastAsia="Cambria" w:hAnsi="Cambria" w:cs="Cambria"/>
          <w:lang w:val="es-419"/>
        </w:rPr>
      </w:pPr>
      <w:r w:rsidRPr="000E05A9">
        <w:rPr>
          <w:rFonts w:ascii="Cambria" w:eastAsia="Cambria" w:hAnsi="Cambria" w:cs="Cambria"/>
          <w:lang w:val="es-419"/>
        </w:rPr>
        <w:t>“El Estado tiene también el deber de registrar y grabar el accionar de sus agentes, a fin de posibilitar la revisión y mejora del accionar de estos [...]. La accesibilidad y conservación de estos registros también permite el necesario control de cualquier denuncia de irregularidad”</w:t>
      </w:r>
      <w:r>
        <w:rPr>
          <w:rFonts w:ascii="Cambria" w:eastAsia="Cambria" w:hAnsi="Cambria" w:cs="Cambria"/>
          <w:vertAlign w:val="superscript"/>
        </w:rPr>
        <w:footnoteReference w:id="63"/>
      </w:r>
      <w:r w:rsidRPr="000E05A9">
        <w:rPr>
          <w:rFonts w:ascii="Cambria" w:eastAsia="Cambria" w:hAnsi="Cambria" w:cs="Cambria"/>
          <w:lang w:val="es-419"/>
        </w:rPr>
        <w:t>.</w:t>
      </w:r>
    </w:p>
    <w:p w:rsidR="00780C05" w:rsidRPr="000E05A9" w:rsidRDefault="00780C05">
      <w:pPr>
        <w:spacing w:line="240" w:lineRule="auto"/>
        <w:ind w:left="850" w:right="854"/>
        <w:jc w:val="both"/>
        <w:rPr>
          <w:rFonts w:ascii="Cambria" w:eastAsia="Cambria" w:hAnsi="Cambria" w:cs="Cambria"/>
          <w:lang w:val="es-419"/>
        </w:rPr>
      </w:pPr>
    </w:p>
    <w:p w:rsidR="00780C05" w:rsidRPr="000E05A9" w:rsidRDefault="001E2DF1">
      <w:pPr>
        <w:spacing w:after="160" w:line="259" w:lineRule="auto"/>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De manera que, mecanismos fuertes de rendición de cuentas son un componente esencial para proteger el derecho a la reunión pacífica dado que permite conocer en detalle el marco normativo que rige el actuar de los funcionarios encargados de hacer cumplir la ley y, en consecuencia, vigilar que este cumpla con los estándares sobre derechos humanos requeridos, y sancionar cuando exista alguna falta al derecho de reunión pacífica, y a los demás derechos relacionados con su ejercicio. </w:t>
      </w:r>
    </w:p>
    <w:p w:rsidR="00780C05" w:rsidRPr="000E05A9" w:rsidRDefault="001E2DF1">
      <w:pPr>
        <w:pStyle w:val="Heading2"/>
        <w:rPr>
          <w:sz w:val="24"/>
          <w:szCs w:val="24"/>
          <w:lang w:val="es-419"/>
        </w:rPr>
      </w:pPr>
      <w:bookmarkStart w:id="18" w:name="_sbpvbayjt591" w:colFirst="0" w:colLast="0"/>
      <w:bookmarkEnd w:id="18"/>
      <w:r w:rsidRPr="000E05A9">
        <w:rPr>
          <w:lang w:val="es-419"/>
        </w:rPr>
        <w:t>6.3. Rendición de cuentas sobre el uso de tecnologías de vigilancia</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Atendido que el uso de tecnologías de vigilancia por parte de los Estados conlleva una interferencia inherente al derecho a la privacidad y un impacto subsecuente a otros derechos, incluido el de reunión, medidas adicionales deben ser adoptadas para permitir condiciones de transparencia y de rendición de cuentas en la adquisición y uso de estas tecnologías. </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A lo largo de la redacción de la Observación General Nº 37 propuesta por el Comité se hace referencia a diversas maneras de emplear el uso de las tecnologías en labores de vigilancia; sin embargo, </w:t>
      </w:r>
      <w:r w:rsidRPr="000E05A9">
        <w:rPr>
          <w:rFonts w:ascii="Cambria" w:eastAsia="Cambria" w:hAnsi="Cambria" w:cs="Cambria"/>
          <w:b/>
          <w:sz w:val="24"/>
          <w:szCs w:val="24"/>
          <w:lang w:val="es-419"/>
        </w:rPr>
        <w:t>no se aborda la importancia de contar con herramientas de control, entre las que destacan las medidas de transparencia y acceso a la información ante los casos en que estas tecnologías sean implementadas</w:t>
      </w:r>
      <w:r w:rsidRPr="000E05A9">
        <w:rPr>
          <w:rFonts w:ascii="Cambria" w:eastAsia="Cambria" w:hAnsi="Cambria" w:cs="Cambria"/>
          <w:sz w:val="24"/>
          <w:szCs w:val="24"/>
          <w:lang w:val="es-419"/>
        </w:rPr>
        <w:t xml:space="preserve"> antes, durante o en actividades relacionadas con el derecho de reunión pacífica. </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En este orden de ideas, tanto la regulación de las condiciones y circunstancias excepcionales que autorizan las actividades de vigilancia, como el procedimiento para su ejecución lícita, deben constar en la ley, conocida por la ciudadanía. Del mismo modo, deben ofrecerse legalmente las herramientas para el control por parte de la ciudadanía, incluidas las obligaciones de transparencia activa y pasiva, y los mecanismos para la evaluación y sanción a</w:t>
      </w:r>
      <w:r w:rsidR="00C06530">
        <w:rPr>
          <w:rFonts w:ascii="Cambria" w:eastAsia="Cambria" w:hAnsi="Cambria" w:cs="Cambria"/>
          <w:sz w:val="24"/>
          <w:szCs w:val="24"/>
          <w:lang w:val="es-419"/>
        </w:rPr>
        <w:t>nte el abuso de las acciones de</w:t>
      </w:r>
      <w:r w:rsidRPr="000E05A9">
        <w:rPr>
          <w:rFonts w:ascii="Cambria" w:eastAsia="Cambria" w:hAnsi="Cambria" w:cs="Cambria"/>
          <w:sz w:val="24"/>
          <w:szCs w:val="24"/>
          <w:lang w:val="es-419"/>
        </w:rPr>
        <w:t xml:space="preserve"> vigilancia.  En ese mismo sentido, se requieren transparencia y acceso a la información de los contratos, recursos, prácticas y estadísticas que reflejan cómo es que los Estados desempeñan estas actividades intrusivas. </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Ante el riesgo de arbitrariedad que resulta especialmente evidente en los casos en que existe un ejercicio de facultades discrecionales, el Tribunal Europeo de Derechos Humanos (TEDH) sostiene que cuando se trata de medidas secretas de vigilancia, la exigencia de que estén previstas en la ley significa que se deben usar términos suficientemente claros para indicar de manera adecuada en qué circunstancias y bajo qué condiciones se autoriza a los poderes públicos a tomar tales medidas, pues la existencia de reglas claras y detalladas en la materia es indispensable</w:t>
      </w:r>
      <w:r>
        <w:rPr>
          <w:rFonts w:ascii="Cambria" w:eastAsia="Cambria" w:hAnsi="Cambria" w:cs="Cambria"/>
          <w:sz w:val="24"/>
          <w:szCs w:val="24"/>
          <w:vertAlign w:val="superscript"/>
        </w:rPr>
        <w:footnoteReference w:id="64"/>
      </w:r>
      <w:r w:rsidRPr="000E05A9">
        <w:rPr>
          <w:rFonts w:ascii="Cambria" w:eastAsia="Cambria" w:hAnsi="Cambria" w:cs="Cambria"/>
          <w:sz w:val="24"/>
          <w:szCs w:val="24"/>
          <w:lang w:val="es-419"/>
        </w:rPr>
        <w:t>.</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Por su parte, el ex Relator Especial de las Naciones Unidas para la promoción y protección del derecho a la libertad de expresión y opinión, Frank La Rue, ha llamado a los Estados a revisar la legislación nacional que regula la vigilancia de las comunicaciones de manera que se adecúe a los estándares internacionales a través de medidas como: la supervisión judicial independiente; el establecimiento de medidas relativas al alcance, naturaleza, duración y circunstancias en las que pueden adoptarse de medidas de vigilancia; la notificación diferida a la persona afectada; el acceso a un recurso judicial adecuado y efectivo; el respeto al principio de proporcionalidad; la supervisión por un órgano independiente; medidas de transparencia y otras medidas que inhiban el abuso de las facultades de vigilancia</w:t>
      </w:r>
      <w:r>
        <w:rPr>
          <w:rFonts w:ascii="Cambria" w:eastAsia="Cambria" w:hAnsi="Cambria" w:cs="Cambria"/>
          <w:sz w:val="24"/>
          <w:szCs w:val="24"/>
          <w:vertAlign w:val="superscript"/>
        </w:rPr>
        <w:footnoteReference w:id="65"/>
      </w:r>
      <w:r w:rsidRPr="000E05A9">
        <w:rPr>
          <w:rFonts w:ascii="Cambria" w:eastAsia="Cambria" w:hAnsi="Cambria" w:cs="Cambria"/>
          <w:sz w:val="24"/>
          <w:szCs w:val="24"/>
          <w:lang w:val="es-419"/>
        </w:rPr>
        <w:t>.</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b/>
          <w:sz w:val="24"/>
          <w:szCs w:val="24"/>
          <w:lang w:val="es-419"/>
        </w:rPr>
        <w:t>La ausencia de controles a las actividades de vigilancia empleadas en el contexto de una reunión pacífica, ya sea de forma masiva o particular respecto de alguna persona participante, supone el riesgo inherente de abuso</w:t>
      </w:r>
      <w:r>
        <w:rPr>
          <w:rFonts w:ascii="Cambria" w:eastAsia="Cambria" w:hAnsi="Cambria" w:cs="Cambria"/>
          <w:sz w:val="24"/>
          <w:szCs w:val="24"/>
          <w:vertAlign w:val="superscript"/>
        </w:rPr>
        <w:footnoteReference w:id="66"/>
      </w:r>
      <w:r w:rsidRPr="000E05A9">
        <w:rPr>
          <w:rFonts w:ascii="Cambria" w:eastAsia="Cambria" w:hAnsi="Cambria" w:cs="Cambria"/>
          <w:sz w:val="24"/>
          <w:szCs w:val="24"/>
          <w:lang w:val="es-419"/>
        </w:rPr>
        <w:t>; es por tanto que herramientas como la transparencia resultan fundamentales para que exista un control social sobre este tipo de medidas, de manera que se inhiban los riesgos de abuso, y exista una adecuada deliberación pública informada en torno a los riesgos que representan las medidas de vigilancia, particularmente de la realizada de manera encubierta o con desconocimiento de las personas afectadas.</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La importancia de la transparencia respecto de las medidas de vigilancia encubierta ha sido ampliamente reconocida por diversos organismos de protección internacional de derechos humanos; entre otros, en la resolución </w:t>
      </w:r>
      <w:r w:rsidRPr="000E05A9">
        <w:rPr>
          <w:rFonts w:ascii="Cambria" w:eastAsia="Cambria" w:hAnsi="Cambria" w:cs="Cambria"/>
          <w:i/>
          <w:sz w:val="24"/>
          <w:szCs w:val="24"/>
          <w:lang w:val="es-419"/>
        </w:rPr>
        <w:t>“El derecho a la privacidad en la era digital”</w:t>
      </w:r>
      <w:r w:rsidRPr="000E05A9">
        <w:rPr>
          <w:rFonts w:ascii="Cambria" w:eastAsia="Cambria" w:hAnsi="Cambria" w:cs="Cambria"/>
          <w:sz w:val="24"/>
          <w:szCs w:val="24"/>
          <w:lang w:val="es-419"/>
        </w:rPr>
        <w:t>, adoptada por consenso por los miembros de la Asamblea General de la ONU el 18 de diciembre de 2013 y de nuevo el 19 de noviembre de 2014:</w:t>
      </w:r>
    </w:p>
    <w:p w:rsidR="00780C05" w:rsidRPr="000E05A9" w:rsidRDefault="001E2DF1">
      <w:pPr>
        <w:spacing w:after="200"/>
        <w:ind w:left="720" w:right="854"/>
        <w:jc w:val="both"/>
        <w:rPr>
          <w:rFonts w:ascii="Cambria" w:eastAsia="Cambria" w:hAnsi="Cambria" w:cs="Cambria"/>
          <w:sz w:val="24"/>
          <w:szCs w:val="24"/>
          <w:lang w:val="es-419"/>
        </w:rPr>
      </w:pPr>
      <w:r w:rsidRPr="000E05A9">
        <w:rPr>
          <w:rFonts w:ascii="Cambria" w:eastAsia="Cambria" w:hAnsi="Cambria" w:cs="Cambria"/>
          <w:lang w:val="es-419"/>
        </w:rPr>
        <w:t>Recomienda a los Estados establecer o mantener “mecanismos nacionales de supervisión independiente y efectivos capaces de asegurar la transparencia, cuando proceda, y la rendición de cuentas por las actividades de vigilancia de las comunicaciones y la interceptación y recopilación de datos personales que realice el Estado</w:t>
      </w:r>
      <w:r w:rsidRPr="000E05A9">
        <w:rPr>
          <w:rFonts w:ascii="Cambria" w:eastAsia="Cambria" w:hAnsi="Cambria" w:cs="Cambria"/>
          <w:i/>
          <w:lang w:val="es-419"/>
        </w:rPr>
        <w:t>”</w:t>
      </w:r>
      <w:r>
        <w:rPr>
          <w:rFonts w:ascii="Cambria" w:eastAsia="Cambria" w:hAnsi="Cambria" w:cs="Cambria"/>
          <w:vertAlign w:val="superscript"/>
        </w:rPr>
        <w:footnoteReference w:id="67"/>
      </w:r>
      <w:r w:rsidRPr="000E05A9">
        <w:rPr>
          <w:rFonts w:ascii="Cambria" w:eastAsia="Cambria" w:hAnsi="Cambria" w:cs="Cambria"/>
          <w:lang w:val="es-419"/>
        </w:rPr>
        <w:t xml:space="preserve">. </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En similar sentido se expresaron en su Declaración Conjunta sobre Programas de Vigilancia y su Impacto para la Libertad de Expresión, el Relator Especial sobre el derecho a la libertad de opinión y expresión de la ONU y la Relatora Especial para la Libertad de Expresión de la CIDH:</w:t>
      </w:r>
    </w:p>
    <w:p w:rsidR="00780C05" w:rsidRPr="000E05A9" w:rsidRDefault="001E2DF1">
      <w:pPr>
        <w:spacing w:after="200"/>
        <w:ind w:left="850" w:right="854"/>
        <w:jc w:val="both"/>
        <w:rPr>
          <w:rFonts w:ascii="Cambria" w:eastAsia="Cambria" w:hAnsi="Cambria" w:cs="Cambria"/>
          <w:lang w:val="es-419"/>
        </w:rPr>
      </w:pPr>
      <w:r w:rsidRPr="000E05A9">
        <w:rPr>
          <w:rFonts w:ascii="Cambria" w:eastAsia="Cambria" w:hAnsi="Cambria" w:cs="Cambria"/>
          <w:lang w:val="es-419"/>
        </w:rPr>
        <w:t>“Toda persona tiene derecho a acceder a información bajo el control del Estado. Este derecho incluye la información que se relaciona con la seguridad nacional, salvo las precisas excepciones que establezca la ley, siempre que estas resulten necesarias en una sociedad democrática. Las leyes deben asegurar que el público pueda acceder a información sobre los programas de vigilancia de comunicaciones privadas, su alcance y los controles existentes para garantizar que no puedan ser usados de manera arbitraria. En consecuencia, los Estados deben difundir, por lo menos, información relativa al marco regulatorio de los programas de vigilancia; los órganos encargados para implementar y supervisar dichos programas; los procedimientos de autorización, de selección de objetivos y de manejo de datos, así como información sobre el uso de estas técnicas, incluidos datos agregados sobre su alcance. En todo caso, los Estados deben establecer mecanismos de control independientes capaces de asegurar transparencia y rendición de cuentas sobre estos programas. (...)</w:t>
      </w:r>
    </w:p>
    <w:p w:rsidR="00780C05" w:rsidRPr="000E05A9" w:rsidRDefault="001E2DF1">
      <w:pPr>
        <w:spacing w:after="200"/>
        <w:ind w:left="850" w:right="854"/>
        <w:jc w:val="both"/>
        <w:rPr>
          <w:rFonts w:ascii="Cambria" w:eastAsia="Cambria" w:hAnsi="Cambria" w:cs="Cambria"/>
          <w:sz w:val="24"/>
          <w:szCs w:val="24"/>
          <w:lang w:val="es-419"/>
        </w:rPr>
      </w:pPr>
      <w:r w:rsidRPr="000E05A9">
        <w:rPr>
          <w:rFonts w:ascii="Cambria" w:eastAsia="Cambria" w:hAnsi="Cambria" w:cs="Cambria"/>
          <w:lang w:val="es-419"/>
        </w:rPr>
        <w:t>El Estado tiene la obligación de divulgar ampliamente la información sobre programas ilegales de vigilancia de comunicaciones privadas. Esta obligación debe ser satisfecha sin perjuicio del derecho a la información personal de quienes habrían sido afectados. En todo caso, los Estados deben adelantar investigaciones exhaustivas para identificar y sancionar a los responsables de este tipo de prácticas e informar oportunamente a quienes han podido ser víctima de las mismas”</w:t>
      </w:r>
      <w:r>
        <w:rPr>
          <w:rFonts w:ascii="Cambria" w:eastAsia="Cambria" w:hAnsi="Cambria" w:cs="Cambria"/>
          <w:sz w:val="24"/>
          <w:szCs w:val="24"/>
          <w:vertAlign w:val="superscript"/>
        </w:rPr>
        <w:footnoteReference w:id="68"/>
      </w:r>
      <w:r w:rsidRPr="000E05A9">
        <w:rPr>
          <w:rFonts w:ascii="Cambria" w:eastAsia="Cambria" w:hAnsi="Cambria" w:cs="Cambria"/>
          <w:sz w:val="24"/>
          <w:szCs w:val="24"/>
          <w:lang w:val="es-419"/>
        </w:rPr>
        <w:t>.</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No obstante lo anterior,</w:t>
      </w:r>
      <w:r w:rsidRPr="000E05A9">
        <w:rPr>
          <w:rFonts w:ascii="Cambria" w:eastAsia="Cambria" w:hAnsi="Cambria" w:cs="Cambria"/>
          <w:b/>
          <w:sz w:val="24"/>
          <w:szCs w:val="24"/>
          <w:lang w:val="es-419"/>
        </w:rPr>
        <w:t xml:space="preserve"> los Estados suelen adoptar leyes y procedimientos que fomentan la incertidumbre y sirven como protección para los abusos por parte de sus autoridades; el ejemplo por excelencia es la reserva de información en materia de vigilancia por motivos de “seguridad nacional”</w:t>
      </w:r>
      <w:r w:rsidRPr="000E05A9">
        <w:rPr>
          <w:rFonts w:ascii="Cambria" w:eastAsia="Cambria" w:hAnsi="Cambria" w:cs="Cambria"/>
          <w:sz w:val="24"/>
          <w:szCs w:val="24"/>
          <w:lang w:val="es-419"/>
        </w:rPr>
        <w:t>. La invocación de razones de seguridad nacional para la no entrega de información sobre actividades y tecnologías intrusivas, constituye un riesgo para las obligaciones de transparencia, y hace imposible la rendición de cuentas, limitando gravemente el ejercicio de derechos fundamentales incluido el de reunión.</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Al respecto, el Principio 1.3. de los Principios de Johannesburgo</w:t>
      </w:r>
      <w:r>
        <w:rPr>
          <w:rFonts w:ascii="Cambria" w:eastAsia="Cambria" w:hAnsi="Cambria" w:cs="Cambria"/>
          <w:sz w:val="24"/>
          <w:szCs w:val="24"/>
          <w:vertAlign w:val="superscript"/>
        </w:rPr>
        <w:footnoteReference w:id="69"/>
      </w:r>
      <w:r w:rsidRPr="000E05A9">
        <w:rPr>
          <w:rFonts w:ascii="Cambria" w:eastAsia="Cambria" w:hAnsi="Cambria" w:cs="Cambria"/>
          <w:sz w:val="24"/>
          <w:szCs w:val="24"/>
          <w:lang w:val="es-419"/>
        </w:rPr>
        <w:t xml:space="preserve">, establece que para poder imponer una restricción sobre la libertad de expresión o de información se requiere que esta sea necesaria para proteger un interés legítimo, debiendo el gobierno demostrar que: </w:t>
      </w:r>
    </w:p>
    <w:p w:rsidR="00780C05" w:rsidRPr="000E05A9" w:rsidRDefault="001E2DF1">
      <w:pPr>
        <w:spacing w:after="200"/>
        <w:ind w:left="850" w:right="854"/>
        <w:jc w:val="both"/>
        <w:rPr>
          <w:rFonts w:ascii="Cambria" w:eastAsia="Cambria" w:hAnsi="Cambria" w:cs="Cambria"/>
          <w:lang w:val="es-419"/>
        </w:rPr>
      </w:pPr>
      <w:r w:rsidRPr="000E05A9">
        <w:rPr>
          <w:rFonts w:ascii="Cambria" w:eastAsia="Cambria" w:hAnsi="Cambria" w:cs="Cambria"/>
          <w:lang w:val="es-419"/>
        </w:rPr>
        <w:t xml:space="preserve">“1. La expresión o información en cuestión representa una amenaza grave a un interés legítimo de seguridad y orden públicos; </w:t>
      </w:r>
    </w:p>
    <w:p w:rsidR="00780C05" w:rsidRPr="000E05A9" w:rsidRDefault="001E2DF1">
      <w:pPr>
        <w:spacing w:after="200"/>
        <w:ind w:left="850" w:right="854"/>
        <w:jc w:val="both"/>
        <w:rPr>
          <w:rFonts w:ascii="Cambria" w:eastAsia="Cambria" w:hAnsi="Cambria" w:cs="Cambria"/>
          <w:lang w:val="es-419"/>
        </w:rPr>
      </w:pPr>
      <w:r w:rsidRPr="000E05A9">
        <w:rPr>
          <w:rFonts w:ascii="Cambria" w:eastAsia="Cambria" w:hAnsi="Cambria" w:cs="Cambria"/>
          <w:lang w:val="es-419"/>
        </w:rPr>
        <w:t xml:space="preserve">2. La restricción impuesta es la medida menos restrictiva posible para proteger aquel interés; y </w:t>
      </w:r>
    </w:p>
    <w:p w:rsidR="00780C05" w:rsidRPr="000E05A9" w:rsidRDefault="001E2DF1">
      <w:pPr>
        <w:spacing w:after="200"/>
        <w:ind w:left="850" w:right="854"/>
        <w:jc w:val="both"/>
        <w:rPr>
          <w:rFonts w:ascii="Cambria" w:eastAsia="Cambria" w:hAnsi="Cambria" w:cs="Cambria"/>
          <w:sz w:val="24"/>
          <w:szCs w:val="24"/>
          <w:lang w:val="es-419"/>
        </w:rPr>
      </w:pPr>
      <w:r w:rsidRPr="000E05A9">
        <w:rPr>
          <w:rFonts w:ascii="Cambria" w:eastAsia="Cambria" w:hAnsi="Cambria" w:cs="Cambria"/>
          <w:lang w:val="es-419"/>
        </w:rPr>
        <w:t>3. La restricción es compatible con los principios democráticos”.</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Lo anterior se fortaleció con el desarrollo de instrumentos como los Principios Globales sobre Seguridad Nacional y Derecho a la Información (Principios de Tshwane)</w:t>
      </w:r>
      <w:r>
        <w:rPr>
          <w:rFonts w:ascii="Cambria" w:eastAsia="Cambria" w:hAnsi="Cambria" w:cs="Cambria"/>
          <w:sz w:val="24"/>
          <w:szCs w:val="24"/>
          <w:vertAlign w:val="superscript"/>
        </w:rPr>
        <w:footnoteReference w:id="70"/>
      </w:r>
      <w:r w:rsidRPr="000E05A9">
        <w:rPr>
          <w:rFonts w:ascii="Cambria" w:eastAsia="Cambria" w:hAnsi="Cambria" w:cs="Cambria"/>
          <w:sz w:val="24"/>
          <w:szCs w:val="24"/>
          <w:lang w:val="es-419"/>
        </w:rPr>
        <w:t xml:space="preserve">, en los que se ha trabajado los requisitos para restringir el derecho a la información por razones de seguridad nacional enfatizando que: </w:t>
      </w:r>
    </w:p>
    <w:p w:rsidR="00780C05" w:rsidRPr="000E05A9" w:rsidRDefault="001E2DF1">
      <w:pPr>
        <w:spacing w:after="200"/>
        <w:ind w:left="850" w:right="854"/>
        <w:jc w:val="both"/>
        <w:rPr>
          <w:rFonts w:ascii="Cambria" w:eastAsia="Cambria" w:hAnsi="Cambria" w:cs="Cambria"/>
          <w:sz w:val="24"/>
          <w:szCs w:val="24"/>
          <w:lang w:val="es-419"/>
        </w:rPr>
      </w:pPr>
      <w:r w:rsidRPr="000E05A9">
        <w:rPr>
          <w:rFonts w:ascii="Cambria" w:eastAsia="Cambria" w:hAnsi="Cambria" w:cs="Cambria"/>
          <w:lang w:val="es-419"/>
        </w:rPr>
        <w:t>“no podrán aplicarse restricciones al derecho a la información invocando razones de seguridad nacional a menos que el gobierno demuestre que: (1) la restricción (a) está establecida en una ley y (b) resulta necesaria en una sociedad democrática (c) para proteger un interés legítimo de seguridad nacional; y (2) la ley establece garantías adecuadas contra la posibilidad de abuso, incluido el escrutinio oportuno, pleno, accesible y efectivo de la validez  de las restricciones por una autoridad supervisora independiente y su revisión exhaustiva por los tribunales”</w:t>
      </w:r>
      <w:r>
        <w:rPr>
          <w:rFonts w:ascii="Cambria" w:eastAsia="Cambria" w:hAnsi="Cambria" w:cs="Cambria"/>
          <w:vertAlign w:val="superscript"/>
        </w:rPr>
        <w:footnoteReference w:id="71"/>
      </w:r>
      <w:r w:rsidRPr="000E05A9">
        <w:rPr>
          <w:rFonts w:ascii="Cambria" w:eastAsia="Cambria" w:hAnsi="Cambria" w:cs="Cambria"/>
          <w:lang w:val="es-419"/>
        </w:rPr>
        <w:t>.</w:t>
      </w:r>
    </w:p>
    <w:p w:rsidR="00780C05" w:rsidRPr="000E05A9" w:rsidRDefault="001E2DF1">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Los Principios Tshwane dejan muy clara la necesidad de reconocer la obligación de los Estados de garantizar la transparencia respecto de programas de vigilancia para fines de seguridad nacional, pues como señala en su Principio 10 las categorías de información sobre las cuales existe una fuerte presunción o un interés esencial a favor de su divulgación consisten en: </w:t>
      </w:r>
    </w:p>
    <w:p w:rsidR="00780C05" w:rsidRPr="000E05A9" w:rsidRDefault="001E2DF1">
      <w:pPr>
        <w:spacing w:after="200"/>
        <w:ind w:left="850" w:right="854"/>
        <w:jc w:val="both"/>
        <w:rPr>
          <w:rFonts w:ascii="Cambria" w:eastAsia="Cambria" w:hAnsi="Cambria" w:cs="Cambria"/>
          <w:lang w:val="es-419"/>
        </w:rPr>
      </w:pPr>
      <w:r w:rsidRPr="000E05A9">
        <w:rPr>
          <w:rFonts w:ascii="Cambria" w:eastAsia="Cambria" w:hAnsi="Cambria" w:cs="Cambria"/>
          <w:lang w:val="es-419"/>
        </w:rPr>
        <w:t>“E. Vigilancia (1)</w:t>
      </w:r>
      <w:r w:rsidR="00C06530">
        <w:rPr>
          <w:rFonts w:ascii="Cambria" w:eastAsia="Cambria" w:hAnsi="Cambria" w:cs="Cambria"/>
          <w:lang w:val="es-419"/>
        </w:rPr>
        <w:t xml:space="preserve"> </w:t>
      </w:r>
      <w:r w:rsidRPr="000E05A9">
        <w:rPr>
          <w:rFonts w:ascii="Cambria" w:eastAsia="Cambria" w:hAnsi="Cambria" w:cs="Cambria"/>
          <w:lang w:val="es-419"/>
        </w:rPr>
        <w:t xml:space="preserve">El público debería conocer tanto las leyes y principales reglamentaciones a todas las formas de vigilancia secreta como los procedimientos relativos a la autorización de dicha vigilancia, la selección de objetivos, el uso, intercambio, almacenamiento y la destrucción y el material interceptado. </w:t>
      </w:r>
    </w:p>
    <w:p w:rsidR="00780C05" w:rsidRPr="000E05A9" w:rsidRDefault="001E2DF1">
      <w:pPr>
        <w:spacing w:after="200"/>
        <w:ind w:left="850" w:right="854"/>
        <w:jc w:val="both"/>
        <w:rPr>
          <w:rFonts w:ascii="Cambria" w:eastAsia="Cambria" w:hAnsi="Cambria" w:cs="Cambria"/>
          <w:lang w:val="es-419"/>
        </w:rPr>
      </w:pPr>
      <w:r w:rsidRPr="000E05A9">
        <w:rPr>
          <w:rFonts w:ascii="Cambria" w:eastAsia="Cambria" w:hAnsi="Cambria" w:cs="Cambria"/>
          <w:lang w:val="es-419"/>
        </w:rPr>
        <w:t>(2) El público también deber tener acceso a la información sobre las entidades autorizadas para llevar a cabo acciones de vigilancia, y a las estadísticas relativas al uso de dichas acciones.</w:t>
      </w:r>
    </w:p>
    <w:p w:rsidR="00780C05" w:rsidRPr="000E05A9" w:rsidRDefault="001E2DF1">
      <w:pPr>
        <w:spacing w:after="200"/>
        <w:ind w:left="850" w:right="854"/>
        <w:jc w:val="both"/>
        <w:rPr>
          <w:rFonts w:ascii="Cambria" w:eastAsia="Cambria" w:hAnsi="Cambria" w:cs="Cambria"/>
          <w:lang w:val="es-419"/>
        </w:rPr>
      </w:pPr>
      <w:r w:rsidRPr="000E05A9">
        <w:rPr>
          <w:rFonts w:ascii="Cambria" w:eastAsia="Cambria" w:hAnsi="Cambria" w:cs="Cambria"/>
          <w:lang w:val="es-419"/>
        </w:rPr>
        <w:t xml:space="preserve">(3) Se debería informar al público, además, de las vigilancias ilegales. La información acerca de este tipo de vigilancias debería ser hecha pública en la mayor medida posible, sin violar los derechos de privacidad de las personas vigiladas. </w:t>
      </w:r>
    </w:p>
    <w:p w:rsidR="00780C05" w:rsidRPr="000E05A9" w:rsidRDefault="001E2DF1">
      <w:pPr>
        <w:spacing w:after="200"/>
        <w:ind w:left="850" w:right="854"/>
        <w:jc w:val="both"/>
        <w:rPr>
          <w:rFonts w:ascii="Cambria" w:eastAsia="Cambria" w:hAnsi="Cambria" w:cs="Cambria"/>
          <w:lang w:val="es-419"/>
        </w:rPr>
      </w:pPr>
      <w:r w:rsidRPr="000E05A9">
        <w:rPr>
          <w:rFonts w:ascii="Cambria" w:eastAsia="Cambria" w:hAnsi="Cambria" w:cs="Cambria"/>
          <w:lang w:val="es-419"/>
        </w:rPr>
        <w:t>(4) Estos Principios abordan el derecho del público a acceder a la información y se entienden sin perjuicio a los derechos sustantivos y procesales adicionales de los individuos que han sido, o creen haber sido, sujetos a vigilancia.”</w:t>
      </w:r>
    </w:p>
    <w:p w:rsidR="00780C05" w:rsidRPr="000E05A9" w:rsidRDefault="001E2DF1" w:rsidP="000E05A9">
      <w:pPr>
        <w:spacing w:after="20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Ante la importancia de reiterar la necesidad de contar con medidas de transparencia asociadas a las actividades de vigilancia por parte de los Estados, resulta igual de prioritario el no obviar los mecanismos a través de los cuáles las autoridades pueden hacer caso omiso de sus obligaciones de transparencia; por lo que se sugiere que la Observación General agregue un párrafo contemplando esta situación. </w:t>
      </w:r>
    </w:p>
    <w:p w:rsidR="00780C05" w:rsidRPr="000E05A9" w:rsidRDefault="001E2DF1">
      <w:pPr>
        <w:spacing w:before="240" w:after="240"/>
        <w:ind w:left="720"/>
        <w:jc w:val="center"/>
        <w:rPr>
          <w:rFonts w:ascii="Cambria" w:eastAsia="Cambria" w:hAnsi="Cambria" w:cs="Cambria"/>
          <w:b/>
          <w:sz w:val="24"/>
          <w:szCs w:val="24"/>
          <w:lang w:val="es-419"/>
        </w:rPr>
      </w:pPr>
      <w:r w:rsidRPr="000E05A9">
        <w:rPr>
          <w:rFonts w:ascii="Cambria" w:eastAsia="Cambria" w:hAnsi="Cambria" w:cs="Cambria"/>
          <w:b/>
          <w:i/>
          <w:sz w:val="28"/>
          <w:szCs w:val="28"/>
          <w:lang w:val="es-419"/>
        </w:rPr>
        <w:t>Conclusión</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El grupo de grupo de organizaciones latinoamericanas de derechos humanos firmantes del presente aporte, hacemos un llamado a la revisión del texto del borrador de Observación General Nº 37 sobre el derecho de reunión a la luz de la información aquí compartida basada en la la experiencia de nuestras organizaciones en el terreno. </w:t>
      </w:r>
    </w:p>
    <w:p w:rsidR="00780C05" w:rsidRPr="000E05A9"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 xml:space="preserve">Resulta imprescindible que la Observación General sea clara sobre las obligaciones estatales en relación al Artículo 21 del Pacto y consistente con los desarrollos en materia de estándares y recomendaciones prácticas ocurridos en los últimos años a nivel regional, en particular en el Sistema Interamericano y </w:t>
      </w:r>
      <w:r w:rsidR="00613761">
        <w:rPr>
          <w:rFonts w:ascii="Cambria" w:eastAsia="Cambria" w:hAnsi="Cambria" w:cs="Cambria"/>
          <w:sz w:val="24"/>
          <w:szCs w:val="24"/>
          <w:lang w:val="es-419"/>
        </w:rPr>
        <w:t>E</w:t>
      </w:r>
      <w:r w:rsidR="00613761" w:rsidRPr="000E05A9">
        <w:rPr>
          <w:rFonts w:ascii="Cambria" w:eastAsia="Cambria" w:hAnsi="Cambria" w:cs="Cambria"/>
          <w:sz w:val="24"/>
          <w:szCs w:val="24"/>
          <w:lang w:val="es-419"/>
        </w:rPr>
        <w:t>uropeo</w:t>
      </w:r>
      <w:r w:rsidRPr="000E05A9">
        <w:rPr>
          <w:rFonts w:ascii="Cambria" w:eastAsia="Cambria" w:hAnsi="Cambria" w:cs="Cambria"/>
          <w:sz w:val="24"/>
          <w:szCs w:val="24"/>
          <w:lang w:val="es-419"/>
        </w:rPr>
        <w:t xml:space="preserve">, y a los desarrollados a nivel internacional por los diferentes órganos que forman parte de las Naciones Unidas. </w:t>
      </w:r>
    </w:p>
    <w:p w:rsidR="00B15D3D" w:rsidRDefault="001E2DF1">
      <w:pPr>
        <w:spacing w:before="240" w:after="240"/>
        <w:jc w:val="both"/>
        <w:rPr>
          <w:rFonts w:ascii="Cambria" w:eastAsia="Cambria" w:hAnsi="Cambria" w:cs="Cambria"/>
          <w:sz w:val="24"/>
          <w:szCs w:val="24"/>
          <w:lang w:val="es-419"/>
        </w:rPr>
      </w:pPr>
      <w:r w:rsidRPr="000E05A9">
        <w:rPr>
          <w:rFonts w:ascii="Cambria" w:eastAsia="Cambria" w:hAnsi="Cambria" w:cs="Cambria"/>
          <w:sz w:val="24"/>
          <w:szCs w:val="24"/>
          <w:lang w:val="es-419"/>
        </w:rPr>
        <w:t>Instamos los miembros del Comité a revisar las sugerencias específicas de mejoras o ajustes de lenguaje que acompañamos como Anexo a este documento.</w:t>
      </w:r>
    </w:p>
    <w:p w:rsidR="00B15D3D" w:rsidRDefault="00B15D3D">
      <w:pPr>
        <w:rPr>
          <w:rFonts w:ascii="Cambria" w:eastAsia="Cambria" w:hAnsi="Cambria" w:cs="Cambria"/>
          <w:sz w:val="24"/>
          <w:szCs w:val="24"/>
          <w:lang w:val="es-419"/>
        </w:rPr>
      </w:pPr>
      <w:r>
        <w:rPr>
          <w:rFonts w:ascii="Cambria" w:eastAsia="Cambria" w:hAnsi="Cambria" w:cs="Cambria"/>
          <w:sz w:val="24"/>
          <w:szCs w:val="24"/>
          <w:lang w:val="es-419"/>
        </w:rPr>
        <w:br w:type="page"/>
      </w:r>
    </w:p>
    <w:p w:rsidR="00B15D3D" w:rsidRDefault="00B15D3D" w:rsidP="00B15D3D">
      <w:pPr>
        <w:spacing w:before="240" w:after="120"/>
        <w:jc w:val="center"/>
        <w:rPr>
          <w:rFonts w:ascii="Cambria" w:eastAsia="Cambria" w:hAnsi="Cambria" w:cs="Cambria"/>
          <w:b/>
          <w:sz w:val="24"/>
          <w:szCs w:val="24"/>
        </w:rPr>
      </w:pPr>
      <w:r>
        <w:rPr>
          <w:rFonts w:ascii="Cambria" w:eastAsia="Cambria" w:hAnsi="Cambria" w:cs="Cambria"/>
          <w:b/>
          <w:sz w:val="24"/>
          <w:szCs w:val="24"/>
        </w:rPr>
        <w:t xml:space="preserve">ANEXO </w:t>
      </w:r>
    </w:p>
    <w:p w:rsidR="00B15D3D" w:rsidRDefault="00B15D3D" w:rsidP="00B15D3D">
      <w:pPr>
        <w:spacing w:before="240" w:after="120"/>
        <w:jc w:val="center"/>
        <w:rPr>
          <w:rFonts w:ascii="Cambria" w:eastAsia="Cambria" w:hAnsi="Cambria" w:cs="Cambria"/>
          <w:b/>
          <w:sz w:val="24"/>
          <w:szCs w:val="24"/>
        </w:rPr>
      </w:pPr>
      <w:r>
        <w:rPr>
          <w:rFonts w:ascii="Cambria" w:eastAsia="Cambria" w:hAnsi="Cambria" w:cs="Cambria"/>
          <w:b/>
          <w:sz w:val="24"/>
          <w:szCs w:val="24"/>
        </w:rPr>
        <w:t>OG 37 - SUGERENCIAS AL TEXTO DEL BORRADOR</w:t>
      </w:r>
    </w:p>
    <w:p w:rsidR="00B15D3D" w:rsidRDefault="00B15D3D" w:rsidP="00B15D3D">
      <w:pPr>
        <w:spacing w:before="240" w:after="120"/>
        <w:jc w:val="both"/>
        <w:rPr>
          <w:rFonts w:ascii="Cambria" w:eastAsia="Cambria" w:hAnsi="Cambria" w:cs="Cambria"/>
          <w:b/>
          <w:sz w:val="24"/>
          <w:szCs w:val="24"/>
        </w:rPr>
      </w:pPr>
      <w:r>
        <w:rPr>
          <w:rFonts w:ascii="Cambria" w:eastAsia="Cambria" w:hAnsi="Cambria" w:cs="Cambria"/>
          <w:b/>
          <w:sz w:val="24"/>
          <w:szCs w:val="24"/>
        </w:rPr>
        <w:t>Párrafo 9 - La plena protección del derecho de reunión pacífica solo es posible si se protegen también los demás derechos vinculados a la libertad política, a menudo superpuestos, sobre todo la libertad de expresión o también la libertad de asociación y de participación política. La protección del derecho de reunión pacífica en muchos casos depende también de la realización de un amplio abanico de derechos como el derecho a la no discriminación, la libre circulación, la privacidad, la religión, el derecho a no ser sometido a tratos crueles, inhumanos o degradantes ni a la detención arbitraria y el derecho a la vida</w:t>
      </w:r>
      <w:r>
        <w:rPr>
          <w:rFonts w:ascii="Cambria" w:eastAsia="Cambria" w:hAnsi="Cambria" w:cs="Cambria"/>
          <w:b/>
          <w:sz w:val="24"/>
          <w:szCs w:val="24"/>
          <w:u w:val="single"/>
        </w:rPr>
        <w:t>. El Estado debe garantizar que cualquier medida que signifique restricciones a este derecho sea adoptada con pleno respeto a estándares de legalidad, necesidad y proporcionalidad observando que el uso de tecnología no ponga en riesgo tales derechos, en línea o fuera de línea</w:t>
      </w:r>
      <w:r>
        <w:rPr>
          <w:rFonts w:ascii="Cambria" w:eastAsia="Cambria" w:hAnsi="Cambria" w:cs="Cambria"/>
          <w:b/>
          <w:sz w:val="24"/>
          <w:szCs w:val="24"/>
        </w:rPr>
        <w:t>.</w:t>
      </w:r>
    </w:p>
    <w:p w:rsidR="00B15D3D" w:rsidRDefault="00B15D3D" w:rsidP="00B15D3D">
      <w:pPr>
        <w:spacing w:before="24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9 - incluir los estándares de legalidad, necesidad y proporcionalidad y el ejercicio de derechos en línea. </w:t>
      </w:r>
    </w:p>
    <w:p w:rsidR="00B15D3D" w:rsidRDefault="00B15D3D" w:rsidP="00B15D3D">
      <w:pPr>
        <w:spacing w:before="240"/>
        <w:jc w:val="both"/>
        <w:rPr>
          <w:rFonts w:ascii="Cambria" w:eastAsia="Cambria" w:hAnsi="Cambria" w:cs="Cambria"/>
          <w:sz w:val="24"/>
          <w:szCs w:val="24"/>
        </w:rPr>
      </w:pPr>
    </w:p>
    <w:p w:rsidR="00B15D3D" w:rsidRDefault="00B15D3D" w:rsidP="00B15D3D">
      <w:pPr>
        <w:spacing w:before="240" w:after="120"/>
        <w:jc w:val="both"/>
        <w:rPr>
          <w:rFonts w:ascii="Cambria" w:eastAsia="Cambria" w:hAnsi="Cambria" w:cs="Cambria"/>
          <w:b/>
          <w:sz w:val="24"/>
          <w:szCs w:val="24"/>
        </w:rPr>
      </w:pPr>
      <w:r>
        <w:rPr>
          <w:rFonts w:ascii="Cambria" w:eastAsia="Cambria" w:hAnsi="Cambria" w:cs="Cambria"/>
          <w:b/>
          <w:sz w:val="24"/>
          <w:szCs w:val="24"/>
        </w:rPr>
        <w:t>Párrafo 10 - Cuando las reuniones no entren en el ámbito de ‘reuniones pacíficas’, por ejemplo si se vuelven violentas, ya no están protegidas por el artículo 21, pero las personas involucradas conservan el resto de derechos en virtud del Pacto, incluyendo los enumerados anteriormente, con sujeción a las restricciones aplicables.</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 xml:space="preserve">SUGERENCIA. Párrafo 10 reformulado: </w:t>
      </w:r>
      <w:r>
        <w:rPr>
          <w:rFonts w:ascii="Cambria" w:eastAsia="Cambria" w:hAnsi="Cambria" w:cs="Cambria"/>
          <w:sz w:val="24"/>
          <w:szCs w:val="24"/>
        </w:rPr>
        <w:t>“El derecho de reunión definido en el artículo 21 tiene como requisito el de ejercerse de manera pacífica. Este calificativo no debe entenderse en el sentido de que los Estados puedan clasificar reuniones enteras como violentas justificando sobre esta base su impedimento, dispersión, represión y criminalización. El calificativo “pacífica” implica que el Estado puede restringir, temporaria e individualmente, la participación en reuniones, manifestaciones públicas y protestas de las personas que cometan actos de violencia.</w:t>
      </w:r>
      <w:r>
        <w:rPr>
          <w:rFonts w:ascii="Cambria" w:eastAsia="Cambria" w:hAnsi="Cambria" w:cs="Cambria"/>
          <w:sz w:val="24"/>
          <w:szCs w:val="24"/>
          <w:vertAlign w:val="superscript"/>
        </w:rPr>
        <w:footnoteReference w:id="72"/>
      </w:r>
      <w:r>
        <w:rPr>
          <w:rFonts w:ascii="Cambria" w:eastAsia="Cambria" w:hAnsi="Cambria" w:cs="Cambria"/>
          <w:sz w:val="24"/>
          <w:szCs w:val="24"/>
        </w:rPr>
        <w:t xml:space="preserve"> Un individuo no pierde su derecho de reunión pacífica en consecuencia de actos de violencia u otros actos sancionables cometidos por otros en el contexto de una manifestación</w:t>
      </w:r>
      <w:r>
        <w:rPr>
          <w:rFonts w:ascii="Cambria" w:eastAsia="Cambria" w:hAnsi="Cambria" w:cs="Cambria"/>
          <w:sz w:val="24"/>
          <w:szCs w:val="24"/>
          <w:vertAlign w:val="superscript"/>
        </w:rPr>
        <w:footnoteReference w:id="73"/>
      </w:r>
      <w:r>
        <w:rPr>
          <w:rFonts w:ascii="Cambria" w:eastAsia="Cambria" w:hAnsi="Cambria" w:cs="Cambria"/>
          <w:sz w:val="24"/>
          <w:szCs w:val="24"/>
        </w:rPr>
        <w:t>”.</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rPr>
      </w:pPr>
      <w:r>
        <w:rPr>
          <w:rFonts w:ascii="Cambria" w:eastAsia="Cambria" w:hAnsi="Cambria" w:cs="Cambria"/>
          <w:b/>
          <w:sz w:val="24"/>
          <w:szCs w:val="24"/>
        </w:rPr>
        <w:t xml:space="preserve">Párrafo 11 - La forma de celebrar reuniones públicas cambia con el tiempo, tal y como ocurre con el contexto. Esto, a su vez, puede afectar la forma en la que las autoridades abordan el derecho. Las tecnologías emergentes, por ejemplo, </w:t>
      </w:r>
      <w:r>
        <w:rPr>
          <w:rFonts w:ascii="Cambria" w:eastAsia="Cambria" w:hAnsi="Cambria" w:cs="Cambria"/>
          <w:b/>
          <w:strike/>
          <w:sz w:val="24"/>
          <w:szCs w:val="24"/>
        </w:rPr>
        <w:t>presentan nuevos espacios y oportunidades, así como retos para</w:t>
      </w:r>
      <w:r>
        <w:rPr>
          <w:rFonts w:ascii="Cambria" w:eastAsia="Cambria" w:hAnsi="Cambria" w:cs="Cambria"/>
          <w:b/>
          <w:sz w:val="24"/>
          <w:szCs w:val="24"/>
        </w:rPr>
        <w:t xml:space="preserve"> </w:t>
      </w:r>
      <w:r w:rsidRPr="00EC6901">
        <w:rPr>
          <w:rFonts w:ascii="Cambria" w:eastAsia="Cambria" w:hAnsi="Cambria" w:cs="Cambria"/>
          <w:b/>
          <w:sz w:val="24"/>
          <w:szCs w:val="24"/>
          <w:u w:val="single"/>
        </w:rPr>
        <w:t>pueden ampliar los espacios</w:t>
      </w:r>
      <w:r>
        <w:rPr>
          <w:rFonts w:ascii="Cambria" w:eastAsia="Cambria" w:hAnsi="Cambria" w:cs="Cambria"/>
          <w:b/>
          <w:sz w:val="24"/>
          <w:szCs w:val="24"/>
        </w:rPr>
        <w:t xml:space="preserve"> para el ejercicio del derecho de reunión pacífica</w:t>
      </w:r>
      <w:r>
        <w:rPr>
          <w:rFonts w:ascii="Cambria" w:eastAsia="Cambria" w:hAnsi="Cambria" w:cs="Cambria"/>
          <w:b/>
          <w:sz w:val="24"/>
          <w:szCs w:val="24"/>
          <w:u w:val="single"/>
        </w:rPr>
        <w:t>, pero también pueden ser usadas por los Estados para restringirlo</w:t>
      </w:r>
      <w:r>
        <w:rPr>
          <w:rFonts w:ascii="Cambria" w:eastAsia="Cambria" w:hAnsi="Cambria" w:cs="Cambria"/>
          <w:b/>
          <w:sz w:val="24"/>
          <w:szCs w:val="24"/>
        </w:rPr>
        <w:t xml:space="preserve">. </w:t>
      </w:r>
      <w:r>
        <w:rPr>
          <w:rFonts w:ascii="Cambria" w:eastAsia="Cambria" w:hAnsi="Cambria" w:cs="Cambria"/>
          <w:b/>
          <w:strike/>
          <w:sz w:val="24"/>
          <w:szCs w:val="24"/>
        </w:rPr>
        <w:t>Las tecnologías de la comunicación a menudo no solo desempeñan un papel fundamental en la organización y el control, sino también en la obstaculización de las reuniones</w:t>
      </w:r>
      <w:r>
        <w:rPr>
          <w:rFonts w:ascii="Cambria" w:eastAsia="Cambria" w:hAnsi="Cambria" w:cs="Cambria"/>
          <w:b/>
          <w:sz w:val="24"/>
          <w:szCs w:val="24"/>
        </w:rPr>
        <w:t xml:space="preserve">. Las tecnologías de vigilancia </w:t>
      </w:r>
      <w:r>
        <w:rPr>
          <w:rFonts w:ascii="Cambria" w:eastAsia="Cambria" w:hAnsi="Cambria" w:cs="Cambria"/>
          <w:b/>
          <w:strike/>
          <w:sz w:val="24"/>
          <w:szCs w:val="24"/>
        </w:rPr>
        <w:t xml:space="preserve">pueden utilizarse para detectar amenazas de violencia y proteger así al público, pero también podrían </w:t>
      </w:r>
      <w:r>
        <w:rPr>
          <w:rFonts w:ascii="Cambria" w:eastAsia="Cambria" w:hAnsi="Cambria" w:cs="Cambria"/>
          <w:b/>
          <w:sz w:val="24"/>
          <w:szCs w:val="24"/>
        </w:rPr>
        <w:t xml:space="preserve"> pueden infringir el derecho a la privacidad y otros derechos de los participantes y transeúntes. </w:t>
      </w:r>
      <w:r>
        <w:rPr>
          <w:rFonts w:ascii="Cambria" w:eastAsia="Cambria" w:hAnsi="Cambria" w:cs="Cambria"/>
          <w:b/>
          <w:sz w:val="24"/>
          <w:szCs w:val="24"/>
          <w:u w:val="single"/>
        </w:rPr>
        <w:t>Dada la interdependencia entre el ejercicio de la libertad de reunión pacífica y de asociación, la privacidad y la libertad de expresión, deben aplicarse los estándares de legalidad, necesidad y proporcionalidad a cualquier intervención del Estado a través del uso de tecnología que pueda poner en riesgo tales derechos, en línea o fuera de línea</w:t>
      </w:r>
      <w:r>
        <w:rPr>
          <w:rFonts w:ascii="Cambria" w:eastAsia="Cambria" w:hAnsi="Cambria" w:cs="Cambria"/>
          <w:b/>
          <w:sz w:val="24"/>
          <w:szCs w:val="24"/>
        </w:rPr>
        <w:t xml:space="preserve">. </w:t>
      </w:r>
      <w:r>
        <w:rPr>
          <w:rFonts w:ascii="Cambria" w:eastAsia="Cambria" w:hAnsi="Cambria" w:cs="Cambria"/>
          <w:b/>
          <w:strike/>
          <w:sz w:val="24"/>
          <w:szCs w:val="24"/>
        </w:rPr>
        <w:t>Existe una gama de armas menos mortíferas</w:t>
      </w:r>
      <w:r>
        <w:rPr>
          <w:rFonts w:ascii="Cambria" w:eastAsia="Cambria" w:hAnsi="Cambria" w:cs="Cambria"/>
          <w:b/>
          <w:strike/>
          <w:sz w:val="24"/>
          <w:szCs w:val="24"/>
          <w:u w:val="single"/>
        </w:rPr>
        <w:t xml:space="preserve">, </w:t>
      </w:r>
      <w:r>
        <w:rPr>
          <w:rFonts w:ascii="Cambria" w:eastAsia="Cambria" w:hAnsi="Cambria" w:cs="Cambria"/>
          <w:b/>
          <w:strike/>
          <w:sz w:val="24"/>
          <w:szCs w:val="24"/>
        </w:rPr>
        <w:t xml:space="preserve">como l. </w:t>
      </w:r>
      <w:r>
        <w:rPr>
          <w:rFonts w:ascii="Cambria" w:eastAsia="Cambria" w:hAnsi="Cambria" w:cs="Cambria"/>
          <w:b/>
          <w:sz w:val="24"/>
          <w:szCs w:val="24"/>
          <w:u w:val="single"/>
        </w:rPr>
        <w:t>El uso de l</w:t>
      </w:r>
      <w:r>
        <w:rPr>
          <w:rFonts w:ascii="Cambria" w:eastAsia="Cambria" w:hAnsi="Cambria" w:cs="Cambria"/>
          <w:b/>
          <w:sz w:val="24"/>
          <w:szCs w:val="24"/>
        </w:rPr>
        <w:t xml:space="preserve">os sistemas </w:t>
      </w:r>
      <w:r>
        <w:rPr>
          <w:rFonts w:ascii="Cambria" w:eastAsia="Cambria" w:hAnsi="Cambria" w:cs="Cambria"/>
          <w:b/>
          <w:strike/>
          <w:sz w:val="24"/>
          <w:szCs w:val="24"/>
        </w:rPr>
        <w:t>armas de</w:t>
      </w:r>
      <w:r>
        <w:rPr>
          <w:rFonts w:ascii="Cambria" w:eastAsia="Cambria" w:hAnsi="Cambria" w:cs="Cambria"/>
          <w:b/>
          <w:sz w:val="24"/>
          <w:szCs w:val="24"/>
        </w:rPr>
        <w:t xml:space="preserve"> por control remoto </w:t>
      </w:r>
      <w:r>
        <w:rPr>
          <w:rFonts w:ascii="Cambria" w:eastAsia="Cambria" w:hAnsi="Cambria" w:cs="Cambria"/>
          <w:b/>
          <w:strike/>
          <w:sz w:val="24"/>
          <w:szCs w:val="24"/>
        </w:rPr>
        <w:t xml:space="preserve">que se usan </w:t>
      </w:r>
      <w:r>
        <w:rPr>
          <w:rFonts w:ascii="Cambria" w:eastAsia="Cambria" w:hAnsi="Cambria" w:cs="Cambria"/>
          <w:b/>
          <w:sz w:val="24"/>
          <w:szCs w:val="24"/>
        </w:rPr>
        <w:t xml:space="preserve">en </w:t>
      </w:r>
      <w:r>
        <w:rPr>
          <w:rFonts w:ascii="Cambria" w:eastAsia="Cambria" w:hAnsi="Cambria" w:cs="Cambria"/>
          <w:b/>
          <w:strike/>
          <w:sz w:val="24"/>
          <w:szCs w:val="24"/>
        </w:rPr>
        <w:t>la vigilancia de</w:t>
      </w:r>
      <w:r>
        <w:rPr>
          <w:rFonts w:ascii="Cambria" w:eastAsia="Cambria" w:hAnsi="Cambria" w:cs="Cambria"/>
          <w:b/>
          <w:sz w:val="24"/>
          <w:szCs w:val="24"/>
        </w:rPr>
        <w:t xml:space="preserve"> reuniones, </w:t>
      </w:r>
      <w:r>
        <w:rPr>
          <w:rFonts w:ascii="Cambria" w:eastAsia="Cambria" w:hAnsi="Cambria" w:cs="Cambria"/>
          <w:b/>
          <w:strike/>
          <w:sz w:val="24"/>
          <w:szCs w:val="24"/>
        </w:rPr>
        <w:t>y que pueden restringir o aumentar la fuerza empleada</w:t>
      </w:r>
      <w:r>
        <w:rPr>
          <w:rFonts w:ascii="Cambria" w:eastAsia="Cambria" w:hAnsi="Cambria" w:cs="Cambria"/>
          <w:b/>
          <w:sz w:val="24"/>
          <w:szCs w:val="24"/>
        </w:rPr>
        <w:t xml:space="preserve"> </w:t>
      </w:r>
      <w:r>
        <w:rPr>
          <w:rFonts w:ascii="Cambria" w:eastAsia="Cambria" w:hAnsi="Cambria" w:cs="Cambria"/>
          <w:b/>
          <w:sz w:val="24"/>
          <w:szCs w:val="24"/>
          <w:u w:val="single"/>
        </w:rPr>
        <w:t>puede resultar en el registro y almacenamiento ilegal de datos personales y reducir las posibilidades de regulación y control del uso de la fuerza</w:t>
      </w:r>
      <w:r>
        <w:rPr>
          <w:rFonts w:ascii="Cambria" w:eastAsia="Cambria" w:hAnsi="Cambria" w:cs="Cambria"/>
          <w:b/>
          <w:sz w:val="24"/>
          <w:szCs w:val="24"/>
        </w:rPr>
        <w:t xml:space="preserve">.  Además, cada vez son más los espacios públicos </w:t>
      </w:r>
      <w:r>
        <w:rPr>
          <w:rFonts w:ascii="Cambria" w:eastAsia="Cambria" w:hAnsi="Cambria" w:cs="Cambria"/>
          <w:b/>
          <w:strike/>
          <w:sz w:val="24"/>
          <w:szCs w:val="24"/>
        </w:rPr>
        <w:t>de propiedad</w:t>
      </w:r>
      <w:r>
        <w:rPr>
          <w:rFonts w:ascii="Cambria" w:eastAsia="Cambria" w:hAnsi="Cambria" w:cs="Cambria"/>
          <w:b/>
          <w:sz w:val="24"/>
          <w:szCs w:val="24"/>
        </w:rPr>
        <w:t xml:space="preserve"> </w:t>
      </w:r>
      <w:r>
        <w:rPr>
          <w:rFonts w:ascii="Cambria" w:eastAsia="Cambria" w:hAnsi="Cambria" w:cs="Cambria"/>
          <w:b/>
          <w:sz w:val="24"/>
          <w:szCs w:val="24"/>
          <w:u w:val="single"/>
        </w:rPr>
        <w:t>concedidos a la gestión</w:t>
      </w:r>
      <w:r>
        <w:rPr>
          <w:rFonts w:ascii="Cambria" w:eastAsia="Cambria" w:hAnsi="Cambria" w:cs="Cambria"/>
          <w:b/>
          <w:sz w:val="24"/>
          <w:szCs w:val="24"/>
        </w:rPr>
        <w:t xml:space="preserve"> privada. Este tipo de consideraciones deben contribuir en el entendimiento contemporáneo del marco jurídico que se requiere para dar pleno efecto al artículo 21.</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11 - Suprimir lenguaje laxo sobre “costos y beneficios” de tecnologías nuevas, vigilancia y drones, fortaleciendo el énfasis en cómo son usadas para restringir el derecho de reunión. Sobre drones, si el texto busca abordar solamente el tema de su uso para la vigilancia, no debiera usar el término “armas”. El abordaje del uso de armas por control remoto requerirían un lenguaje totalmente distinto sobre control del uso de la fuerza y rendición de cuentas.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rPr>
      </w:pPr>
      <w:r>
        <w:rPr>
          <w:rFonts w:ascii="Cambria" w:eastAsia="Cambria" w:hAnsi="Cambria" w:cs="Cambria"/>
          <w:b/>
          <w:sz w:val="24"/>
          <w:szCs w:val="24"/>
        </w:rPr>
        <w:t>Párrafo 17 [SUPRIMIR] - Una reunión "pacífica" se contrapone a una violenta (o que se considera violenta debido a la incitación a la violencia, a la intención de provocarla o porque la violencia sea inminente). Los términos "pacífica" y "no violenta" se utilizan, por lo tanto, indistintamente en este contexto. Por definición, el derecho a la reunión pacífica no se ejercerá de forma violenta. En este contexto, la "violencia" siempre entraña que los participantes hagan uso de fuerza física que pueda resultar en lesiones o fallecimiento, o daños graves a la propiedad. La mera perturbación de la circulación del tráfico o de los peatones o de las actividades cotidianas no equivale a violencia.</w:t>
      </w:r>
    </w:p>
    <w:p w:rsidR="00B15D3D" w:rsidRDefault="00B15D3D" w:rsidP="00B15D3D">
      <w:pPr>
        <w:spacing w:before="24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17: Los párrafos 10 y 19 son suficientes para aclarar la definición de reunión pacífica. Este párrafo tiene una cita incorrecta de las Guidelines OSCE al hablar de “daños a la propiedad”. Las directrices, a diferencia de este párrafo, desarrollan un concepto amplio de “pacífica” y muy acotado de violencia, y hacen referencia a la afectación de la provisión de derechos, y no a los daños a la propiedad.</w:t>
      </w:r>
    </w:p>
    <w:p w:rsidR="00B15D3D" w:rsidRDefault="00B15D3D" w:rsidP="00B15D3D">
      <w:pPr>
        <w:spacing w:before="240"/>
        <w:jc w:val="both"/>
        <w:rPr>
          <w:rFonts w:ascii="Cambria" w:eastAsia="Cambria" w:hAnsi="Cambria" w:cs="Cambria"/>
          <w:sz w:val="24"/>
          <w:szCs w:val="24"/>
        </w:rPr>
      </w:pPr>
    </w:p>
    <w:p w:rsidR="00B15D3D" w:rsidRDefault="00B15D3D" w:rsidP="00B15D3D">
      <w:pPr>
        <w:spacing w:before="240" w:after="120"/>
        <w:jc w:val="both"/>
        <w:rPr>
          <w:rFonts w:ascii="Cambria" w:eastAsia="Cambria" w:hAnsi="Cambria" w:cs="Cambria"/>
          <w:b/>
          <w:strike/>
          <w:sz w:val="24"/>
          <w:szCs w:val="24"/>
        </w:rPr>
      </w:pPr>
      <w:r>
        <w:rPr>
          <w:rFonts w:ascii="Cambria" w:eastAsia="Cambria" w:hAnsi="Cambria" w:cs="Cambria"/>
          <w:b/>
          <w:sz w:val="24"/>
          <w:szCs w:val="24"/>
        </w:rPr>
        <w:t xml:space="preserve">Párrafo 19 - </w:t>
      </w:r>
      <w:r>
        <w:rPr>
          <w:rFonts w:ascii="Cambria" w:eastAsia="Cambria" w:hAnsi="Cambria" w:cs="Cambria"/>
          <w:b/>
          <w:strike/>
          <w:sz w:val="24"/>
          <w:szCs w:val="24"/>
        </w:rPr>
        <w:t xml:space="preserve">Se considera reunión violenta aquella que está sesgada de violencia[, generalizada y grave, que a veces recibe el nombre de altercado]. </w:t>
      </w:r>
      <w:r>
        <w:rPr>
          <w:rFonts w:ascii="Cambria" w:eastAsia="Cambria" w:hAnsi="Cambria" w:cs="Cambria"/>
          <w:b/>
          <w:sz w:val="24"/>
          <w:szCs w:val="24"/>
        </w:rPr>
        <w:t xml:space="preserve">No siempre existe una clara línea divisoria entre las reuniones que son pacíficas y aquellas </w:t>
      </w:r>
      <w:r>
        <w:rPr>
          <w:rFonts w:ascii="Cambria" w:eastAsia="Cambria" w:hAnsi="Cambria" w:cs="Cambria"/>
          <w:b/>
          <w:sz w:val="24"/>
          <w:szCs w:val="24"/>
          <w:u w:val="single"/>
        </w:rPr>
        <w:t xml:space="preserve">en las cuales se pueden presentar conductas o fenómenos violentos </w:t>
      </w:r>
      <w:r>
        <w:rPr>
          <w:rFonts w:ascii="Cambria" w:eastAsia="Cambria" w:hAnsi="Cambria" w:cs="Cambria"/>
          <w:b/>
          <w:strike/>
          <w:sz w:val="24"/>
          <w:szCs w:val="24"/>
        </w:rPr>
        <w:t>que son violentas</w:t>
      </w:r>
      <w:r>
        <w:rPr>
          <w:rFonts w:ascii="Cambria" w:eastAsia="Cambria" w:hAnsi="Cambria" w:cs="Cambria"/>
          <w:b/>
          <w:sz w:val="24"/>
          <w:szCs w:val="24"/>
        </w:rPr>
        <w:t xml:space="preserve">, pero </w:t>
      </w:r>
      <w:r>
        <w:rPr>
          <w:rFonts w:ascii="Cambria" w:eastAsia="Cambria" w:hAnsi="Cambria" w:cs="Cambria"/>
          <w:b/>
          <w:strike/>
          <w:sz w:val="24"/>
          <w:szCs w:val="24"/>
        </w:rPr>
        <w:t xml:space="preserve">se da la </w:t>
      </w:r>
      <w:r>
        <w:rPr>
          <w:rFonts w:ascii="Cambria" w:eastAsia="Cambria" w:hAnsi="Cambria" w:cs="Cambria"/>
          <w:b/>
          <w:sz w:val="24"/>
          <w:szCs w:val="24"/>
          <w:u w:val="single"/>
        </w:rPr>
        <w:t xml:space="preserve">existe una </w:t>
      </w:r>
      <w:r>
        <w:rPr>
          <w:rFonts w:ascii="Cambria" w:eastAsia="Cambria" w:hAnsi="Cambria" w:cs="Cambria"/>
          <w:b/>
          <w:sz w:val="24"/>
          <w:szCs w:val="24"/>
        </w:rPr>
        <w:t xml:space="preserve">presunción </w:t>
      </w:r>
      <w:r>
        <w:rPr>
          <w:rFonts w:ascii="Cambria" w:eastAsia="Cambria" w:hAnsi="Cambria" w:cs="Cambria"/>
          <w:b/>
          <w:strike/>
          <w:sz w:val="24"/>
          <w:szCs w:val="24"/>
        </w:rPr>
        <w:t>en favor de considerar</w:t>
      </w:r>
      <w:r>
        <w:rPr>
          <w:rFonts w:ascii="Cambria" w:eastAsia="Cambria" w:hAnsi="Cambria" w:cs="Cambria"/>
          <w:b/>
          <w:sz w:val="24"/>
          <w:szCs w:val="24"/>
        </w:rPr>
        <w:t xml:space="preserve"> de que las reuniones son </w:t>
      </w:r>
      <w:r>
        <w:rPr>
          <w:rFonts w:ascii="Cambria" w:eastAsia="Cambria" w:hAnsi="Cambria" w:cs="Cambria"/>
          <w:b/>
          <w:strike/>
          <w:sz w:val="24"/>
          <w:szCs w:val="24"/>
        </w:rPr>
        <w:t xml:space="preserve">como </w:t>
      </w:r>
      <w:r>
        <w:rPr>
          <w:rFonts w:ascii="Cambria" w:eastAsia="Cambria" w:hAnsi="Cambria" w:cs="Cambria"/>
          <w:b/>
          <w:sz w:val="24"/>
          <w:szCs w:val="24"/>
        </w:rPr>
        <w:t xml:space="preserve">pacíficas. Además, los actos de violencia aislados cometidos por ciertos participantes no debe en modo alguno atribuirse a </w:t>
      </w:r>
      <w:r>
        <w:rPr>
          <w:rFonts w:ascii="Cambria" w:eastAsia="Cambria" w:hAnsi="Cambria" w:cs="Cambria"/>
          <w:b/>
          <w:strike/>
          <w:sz w:val="24"/>
          <w:szCs w:val="24"/>
        </w:rPr>
        <w:t xml:space="preserve">otros  </w:t>
      </w:r>
      <w:r>
        <w:rPr>
          <w:rFonts w:ascii="Cambria" w:eastAsia="Cambria" w:hAnsi="Cambria" w:cs="Cambria"/>
          <w:b/>
          <w:sz w:val="24"/>
          <w:szCs w:val="24"/>
          <w:u w:val="single"/>
        </w:rPr>
        <w:t>todos los</w:t>
      </w:r>
      <w:r>
        <w:rPr>
          <w:rFonts w:ascii="Cambria" w:eastAsia="Cambria" w:hAnsi="Cambria" w:cs="Cambria"/>
          <w:b/>
          <w:strike/>
          <w:sz w:val="24"/>
          <w:szCs w:val="24"/>
        </w:rPr>
        <w:t xml:space="preserve"> </w:t>
      </w:r>
      <w:r>
        <w:rPr>
          <w:rFonts w:ascii="Cambria" w:eastAsia="Cambria" w:hAnsi="Cambria" w:cs="Cambria"/>
          <w:b/>
          <w:sz w:val="24"/>
          <w:szCs w:val="24"/>
        </w:rPr>
        <w:t xml:space="preserve">participantes. </w:t>
      </w:r>
      <w:r>
        <w:rPr>
          <w:rFonts w:ascii="Cambria" w:eastAsia="Cambria" w:hAnsi="Cambria" w:cs="Cambria"/>
          <w:b/>
          <w:strike/>
          <w:sz w:val="24"/>
          <w:szCs w:val="24"/>
        </w:rPr>
        <w:t>Así, hay participantes de una reunión que pueden acogerse al artículo 21, mientras que otros participantes de la misma reunión no.</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19 - Eliminar estándares que confunden o contradicen lo establecido en los documentos más recientes sobre la definición de “pacíficas”. Estos estándares están contemplados en el nuevo párrafo 10 propuesto en este documento. </w:t>
      </w:r>
    </w:p>
    <w:p w:rsidR="00B15D3D" w:rsidRDefault="00B15D3D" w:rsidP="00B15D3D">
      <w:pPr>
        <w:spacing w:before="240" w:after="120"/>
        <w:jc w:val="both"/>
        <w:rPr>
          <w:rFonts w:ascii="Cambria" w:eastAsia="Cambria" w:hAnsi="Cambria" w:cs="Cambria"/>
          <w:sz w:val="24"/>
          <w:szCs w:val="24"/>
        </w:rPr>
      </w:pPr>
    </w:p>
    <w:p w:rsidR="00B15D3D" w:rsidRDefault="00B15D3D" w:rsidP="00B15D3D">
      <w:pPr>
        <w:spacing w:before="240" w:after="120"/>
        <w:jc w:val="both"/>
        <w:rPr>
          <w:rFonts w:ascii="Cambria" w:eastAsia="Cambria" w:hAnsi="Cambria" w:cs="Cambria"/>
          <w:b/>
          <w:sz w:val="24"/>
          <w:szCs w:val="24"/>
        </w:rPr>
      </w:pPr>
      <w:r>
        <w:rPr>
          <w:rFonts w:ascii="Cambria" w:eastAsia="Cambria" w:hAnsi="Cambria" w:cs="Cambria"/>
          <w:b/>
          <w:sz w:val="24"/>
          <w:szCs w:val="24"/>
        </w:rPr>
        <w:t>Párrafo 20 - La cuestión de que una reunión pierda el carácter de pacífica debe abordarse con respecto a la violencia que se origina o que se considera que se origina por parte de los participantes. La violencia cometida por las autoridades contra los participantes de una reunión pacífica no convierte la reunión por sí misma en violenta. Lo mismo sucede con la violencia ejercida por miembros del público contra la reunión o por los participantes en las contraasambleas.</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20 - Estos estándares están contemplados en el nuevo párrafo 10, propuesto en este documento, y en el párrafo 19. Además, la violencia arbitraria cometida por las autoridades contra los participantes de una reunión pacífica se considera un delito. Por tanto, debe ser investigado y sancionado. Esto se desarrolla con mayor detalle en el párrafo 89 de la Observación General.  </w:t>
      </w:r>
    </w:p>
    <w:p w:rsidR="00B15D3D" w:rsidRDefault="00B15D3D" w:rsidP="00B15D3D">
      <w:pPr>
        <w:spacing w:before="240" w:after="120"/>
        <w:jc w:val="both"/>
        <w:rPr>
          <w:rFonts w:ascii="Cambria" w:eastAsia="Cambria" w:hAnsi="Cambria" w:cs="Cambria"/>
          <w:b/>
          <w:sz w:val="24"/>
          <w:szCs w:val="24"/>
        </w:rPr>
      </w:pPr>
    </w:p>
    <w:p w:rsidR="00B15D3D" w:rsidRDefault="00B15D3D" w:rsidP="00B15D3D">
      <w:pPr>
        <w:spacing w:before="240" w:after="120"/>
        <w:jc w:val="both"/>
        <w:rPr>
          <w:rFonts w:ascii="Cambria" w:eastAsia="Cambria" w:hAnsi="Cambria" w:cs="Cambria"/>
          <w:b/>
          <w:sz w:val="24"/>
          <w:szCs w:val="24"/>
        </w:rPr>
      </w:pPr>
      <w:r>
        <w:rPr>
          <w:rFonts w:ascii="Cambria" w:eastAsia="Cambria" w:hAnsi="Cambria" w:cs="Cambria"/>
          <w:b/>
          <w:sz w:val="24"/>
          <w:szCs w:val="24"/>
        </w:rPr>
        <w:t xml:space="preserve">Párrafo 21. La conducta de los participantes puede considerarse violenta cuando </w:t>
      </w:r>
      <w:r>
        <w:rPr>
          <w:rFonts w:ascii="Cambria" w:eastAsia="Cambria" w:hAnsi="Cambria" w:cs="Cambria"/>
          <w:b/>
          <w:sz w:val="24"/>
          <w:szCs w:val="24"/>
          <w:u w:val="single"/>
        </w:rPr>
        <w:t>estén cometiendo delitos que atenten o pongan en riesgo inminente  la integridad física u otros derechos fundamentales de las personas.</w:t>
      </w:r>
      <w:r>
        <w:rPr>
          <w:rFonts w:ascii="Cambria" w:eastAsia="Cambria" w:hAnsi="Cambria" w:cs="Cambria"/>
          <w:b/>
          <w:sz w:val="24"/>
          <w:szCs w:val="24"/>
        </w:rPr>
        <w:t xml:space="preserve"> </w:t>
      </w:r>
      <w:r>
        <w:rPr>
          <w:rFonts w:ascii="Cambria" w:eastAsia="Cambria" w:hAnsi="Cambria" w:cs="Cambria"/>
          <w:b/>
          <w:strike/>
          <w:sz w:val="24"/>
          <w:szCs w:val="24"/>
        </w:rPr>
        <w:t>, antes o durante el acontecimiento, los participantes incitan a otros al uso [inminente] de fuerza ilegal, si los participantes tienen intenciones violentas y pretenden ejercerlas, o si la violencia es inminente. Los ejemplos aislados en los que este sea el caso,</w:t>
      </w:r>
      <w:r>
        <w:rPr>
          <w:rFonts w:ascii="Cambria" w:eastAsia="Cambria" w:hAnsi="Cambria" w:cs="Cambria"/>
          <w:b/>
          <w:sz w:val="24"/>
          <w:szCs w:val="24"/>
        </w:rPr>
        <w:t xml:space="preserve"> La identificación de personas con estas conductas no </w:t>
      </w:r>
      <w:r>
        <w:rPr>
          <w:rFonts w:ascii="Cambria" w:eastAsia="Cambria" w:hAnsi="Cambria" w:cs="Cambria"/>
          <w:b/>
          <w:strike/>
          <w:sz w:val="24"/>
          <w:szCs w:val="24"/>
        </w:rPr>
        <w:t xml:space="preserve">serán </w:t>
      </w:r>
      <w:r>
        <w:rPr>
          <w:rFonts w:ascii="Cambria" w:eastAsia="Cambria" w:hAnsi="Cambria" w:cs="Cambria"/>
          <w:b/>
          <w:sz w:val="24"/>
          <w:szCs w:val="24"/>
        </w:rPr>
        <w:t>es suficiente</w:t>
      </w:r>
      <w:r>
        <w:rPr>
          <w:rFonts w:ascii="Cambria" w:eastAsia="Cambria" w:hAnsi="Cambria" w:cs="Cambria"/>
          <w:b/>
          <w:strike/>
          <w:sz w:val="24"/>
          <w:szCs w:val="24"/>
        </w:rPr>
        <w:t>s</w:t>
      </w:r>
      <w:r>
        <w:rPr>
          <w:rFonts w:ascii="Cambria" w:eastAsia="Cambria" w:hAnsi="Cambria" w:cs="Cambria"/>
          <w:b/>
          <w:sz w:val="24"/>
          <w:szCs w:val="24"/>
        </w:rPr>
        <w:t xml:space="preserve"> para</w:t>
      </w:r>
      <w:r>
        <w:rPr>
          <w:rFonts w:ascii="Cambria" w:eastAsia="Cambria" w:hAnsi="Cambria" w:cs="Cambria"/>
          <w:b/>
          <w:strike/>
          <w:sz w:val="24"/>
          <w:szCs w:val="24"/>
        </w:rPr>
        <w:t xml:space="preserve"> censurar </w:t>
      </w:r>
      <w:r>
        <w:rPr>
          <w:rFonts w:ascii="Cambria" w:eastAsia="Cambria" w:hAnsi="Cambria" w:cs="Cambria"/>
          <w:b/>
          <w:strike/>
          <w:sz w:val="24"/>
          <w:szCs w:val="24"/>
          <w:u w:val="single"/>
        </w:rPr>
        <w:t xml:space="preserve">clasificar </w:t>
      </w:r>
      <w:r>
        <w:rPr>
          <w:rFonts w:ascii="Cambria" w:eastAsia="Cambria" w:hAnsi="Cambria" w:cs="Cambria"/>
          <w:b/>
          <w:strike/>
          <w:sz w:val="24"/>
          <w:szCs w:val="24"/>
        </w:rPr>
        <w:t xml:space="preserve">toda una reunión de </w:t>
      </w:r>
      <w:r>
        <w:rPr>
          <w:rFonts w:ascii="Cambria" w:eastAsia="Cambria" w:hAnsi="Cambria" w:cs="Cambria"/>
          <w:b/>
          <w:strike/>
          <w:sz w:val="24"/>
          <w:szCs w:val="24"/>
          <w:u w:val="single"/>
        </w:rPr>
        <w:t xml:space="preserve">como </w:t>
      </w:r>
      <w:r>
        <w:rPr>
          <w:rFonts w:ascii="Cambria" w:eastAsia="Cambria" w:hAnsi="Cambria" w:cs="Cambria"/>
          <w:b/>
          <w:strike/>
          <w:sz w:val="24"/>
          <w:szCs w:val="24"/>
        </w:rPr>
        <w:t xml:space="preserve">no pacífica </w:t>
      </w:r>
      <w:r>
        <w:rPr>
          <w:rFonts w:ascii="Cambria" w:eastAsia="Cambria" w:hAnsi="Cambria" w:cs="Cambria"/>
          <w:b/>
          <w:sz w:val="24"/>
          <w:szCs w:val="24"/>
        </w:rPr>
        <w:t xml:space="preserve">dejar de considerar a una reunión como pacífica.  </w:t>
      </w:r>
      <w:r>
        <w:rPr>
          <w:rFonts w:ascii="Cambria" w:eastAsia="Cambria" w:hAnsi="Cambria" w:cs="Cambria"/>
          <w:b/>
          <w:strike/>
          <w:sz w:val="24"/>
          <w:szCs w:val="24"/>
        </w:rPr>
        <w:t>, pero s</w:t>
      </w:r>
      <w:r>
        <w:rPr>
          <w:rFonts w:ascii="Cambria" w:eastAsia="Cambria" w:hAnsi="Cambria" w:cs="Cambria"/>
          <w:b/>
          <w:sz w:val="24"/>
          <w:szCs w:val="24"/>
        </w:rPr>
        <w:t xml:space="preserve">i la </w:t>
      </w:r>
      <w:r>
        <w:rPr>
          <w:rFonts w:ascii="Cambria" w:eastAsia="Cambria" w:hAnsi="Cambria" w:cs="Cambria"/>
          <w:b/>
          <w:strike/>
          <w:sz w:val="24"/>
          <w:szCs w:val="24"/>
        </w:rPr>
        <w:t xml:space="preserve">incitación o la intención de </w:t>
      </w:r>
      <w:r>
        <w:rPr>
          <w:rFonts w:ascii="Cambria" w:eastAsia="Cambria" w:hAnsi="Cambria" w:cs="Cambria"/>
          <w:b/>
          <w:sz w:val="24"/>
          <w:szCs w:val="24"/>
        </w:rPr>
        <w:t xml:space="preserve">Si la violencia es generalizada, o si los mismos líderes u organizadores de la reunión transmiten dicho mensaje, la participación en la reunión </w:t>
      </w:r>
      <w:r>
        <w:rPr>
          <w:rFonts w:ascii="Cambria" w:eastAsia="Cambria" w:hAnsi="Cambria" w:cs="Cambria"/>
          <w:b/>
          <w:strike/>
          <w:sz w:val="24"/>
          <w:szCs w:val="24"/>
        </w:rPr>
        <w:t xml:space="preserve">como tal ya no está protegida </w:t>
      </w:r>
      <w:r>
        <w:rPr>
          <w:rFonts w:ascii="Cambria" w:eastAsia="Cambria" w:hAnsi="Cambria" w:cs="Cambria"/>
          <w:b/>
          <w:sz w:val="24"/>
          <w:szCs w:val="24"/>
        </w:rPr>
        <w:t xml:space="preserve"> </w:t>
      </w:r>
      <w:r>
        <w:rPr>
          <w:rFonts w:ascii="Cambria" w:eastAsia="Cambria" w:hAnsi="Cambria" w:cs="Cambria"/>
          <w:b/>
          <w:sz w:val="24"/>
          <w:szCs w:val="24"/>
          <w:u w:val="single"/>
        </w:rPr>
        <w:t xml:space="preserve">puede perder su protección </w:t>
      </w:r>
      <w:r>
        <w:rPr>
          <w:rFonts w:ascii="Cambria" w:eastAsia="Cambria" w:hAnsi="Cambria" w:cs="Cambria"/>
          <w:b/>
          <w:strike/>
          <w:sz w:val="24"/>
          <w:szCs w:val="24"/>
        </w:rPr>
        <w:t>en virtud d</w:t>
      </w:r>
      <w:r>
        <w:rPr>
          <w:rFonts w:ascii="Cambria" w:eastAsia="Cambria" w:hAnsi="Cambria" w:cs="Cambria"/>
          <w:b/>
          <w:sz w:val="24"/>
          <w:szCs w:val="24"/>
        </w:rPr>
        <w:t xml:space="preserve"> </w:t>
      </w:r>
      <w:r>
        <w:rPr>
          <w:rFonts w:ascii="Cambria" w:eastAsia="Cambria" w:hAnsi="Cambria" w:cs="Cambria"/>
          <w:b/>
          <w:sz w:val="24"/>
          <w:szCs w:val="24"/>
          <w:u w:val="single"/>
        </w:rPr>
        <w:t>bajo</w:t>
      </w:r>
      <w:r>
        <w:rPr>
          <w:rFonts w:ascii="Cambria" w:eastAsia="Cambria" w:hAnsi="Cambria" w:cs="Cambria"/>
          <w:b/>
          <w:sz w:val="24"/>
          <w:szCs w:val="24"/>
        </w:rPr>
        <w:t xml:space="preserve"> el artículo 21. </w:t>
      </w:r>
      <w:r>
        <w:rPr>
          <w:rFonts w:ascii="Cambria" w:eastAsia="Cambria" w:hAnsi="Cambria" w:cs="Cambria"/>
          <w:b/>
          <w:sz w:val="24"/>
          <w:szCs w:val="24"/>
          <w:u w:val="single"/>
        </w:rPr>
        <w:t>Aun en estos casos el Estado tiene la obligación de garantizar los demás derechos, tales como la libertad de expresión, de creencia y de opinión, el derecho a la vida y a la integridad física y el derecho a no ser arbitrariamente privado de su libertad, razón por la cual ninguna reunión puede considerarse como desprotegida por el Pacto</w:t>
      </w:r>
      <w:r>
        <w:rPr>
          <w:rFonts w:ascii="Cambria" w:eastAsia="Cambria" w:hAnsi="Cambria" w:cs="Cambria"/>
          <w:b/>
          <w:sz w:val="24"/>
          <w:szCs w:val="24"/>
        </w:rPr>
        <w:t>.</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21 - La mera intención violenta expresada en la convocatoria no puede ser considerada una razón legítima para restringir el derecho a la reunión , si no se encuentra acompañada de una evaluación concreta sobre la gravedad, verosimilitud e inminencia de la amenaza, en particular en relación a la existencia de un riesgo concreto para la integridad física de las personas. </w:t>
      </w:r>
    </w:p>
    <w:p w:rsidR="00B15D3D" w:rsidRDefault="00B15D3D" w:rsidP="00B15D3D">
      <w:pPr>
        <w:spacing w:before="240" w:after="120"/>
        <w:jc w:val="both"/>
        <w:rPr>
          <w:rFonts w:ascii="Cambria" w:eastAsia="Cambria" w:hAnsi="Cambria" w:cs="Cambria"/>
          <w:sz w:val="24"/>
          <w:szCs w:val="24"/>
        </w:rPr>
      </w:pPr>
    </w:p>
    <w:p w:rsidR="00B15D3D" w:rsidRDefault="00B15D3D" w:rsidP="00B15D3D">
      <w:pPr>
        <w:spacing w:before="240" w:after="120"/>
        <w:jc w:val="both"/>
        <w:rPr>
          <w:rFonts w:ascii="Cambria" w:eastAsia="Cambria" w:hAnsi="Cambria" w:cs="Cambria"/>
          <w:b/>
          <w:strike/>
          <w:sz w:val="24"/>
          <w:szCs w:val="24"/>
        </w:rPr>
      </w:pPr>
      <w:r>
        <w:rPr>
          <w:rFonts w:ascii="Cambria" w:eastAsia="Cambria" w:hAnsi="Cambria" w:cs="Cambria"/>
          <w:b/>
          <w:sz w:val="24"/>
          <w:szCs w:val="24"/>
        </w:rPr>
        <w:t xml:space="preserve">Párrafo 22. [SUPRIMIR]    </w:t>
      </w:r>
      <w:r>
        <w:rPr>
          <w:rFonts w:ascii="Cambria" w:eastAsia="Cambria" w:hAnsi="Cambria" w:cs="Cambria"/>
          <w:b/>
          <w:strike/>
          <w:sz w:val="24"/>
          <w:szCs w:val="24"/>
        </w:rPr>
        <w:t>[Opción 1: El ámbito de aplicación del artículo 21 se determina además en el artículo 20 del Pacto, que obliga a los Estados partes a prohibir propaganda en favor de la guerra (art. 20.1)) y la apología del odio nacional, racial o religioso que constituya incitación a la discriminación u hostilidad, además de la violencia (art. 20.2)). La participación en reuniones en las que el propósito de expresión esté recogido en el artículo 20 no entra dentro del ámbito de aplicación ni está protegido por el artículo 21. Dichas reuniones deben prohibirse. La opción 2 consiste en suprimir este párrafo y que se abarque la necesidad de actuar contra la incitación a la discriminación u hostilidades (no violencia, ya que forma parte del ámbito de aplicación) en la sección sobre restricciones que requieren justificación].</w:t>
      </w:r>
    </w:p>
    <w:p w:rsidR="00B15D3D" w:rsidRDefault="00B15D3D" w:rsidP="00B15D3D">
      <w:pPr>
        <w:spacing w:before="240" w:after="120"/>
        <w:jc w:val="both"/>
        <w:rPr>
          <w:rFonts w:ascii="Cambria" w:eastAsia="Cambria" w:hAnsi="Cambria" w:cs="Cambria"/>
          <w:b/>
          <w:sz w:val="24"/>
          <w:szCs w:val="24"/>
        </w:rPr>
      </w:pPr>
      <w:r>
        <w:rPr>
          <w:rFonts w:ascii="Cambria" w:eastAsia="Cambria" w:hAnsi="Cambria" w:cs="Cambria"/>
          <w:sz w:val="24"/>
          <w:szCs w:val="24"/>
        </w:rPr>
        <w:t xml:space="preserve">SUGERENCIA párr. 22.- </w:t>
      </w:r>
      <w:r>
        <w:rPr>
          <w:rFonts w:ascii="Cambria" w:eastAsia="Cambria" w:hAnsi="Cambria" w:cs="Cambria"/>
          <w:sz w:val="24"/>
          <w:szCs w:val="24"/>
          <w:u w:val="single"/>
        </w:rPr>
        <w:t>Suprimir</w:t>
      </w:r>
      <w:r>
        <w:rPr>
          <w:rFonts w:ascii="Cambria" w:eastAsia="Cambria" w:hAnsi="Cambria" w:cs="Cambria"/>
          <w:sz w:val="24"/>
          <w:szCs w:val="24"/>
        </w:rPr>
        <w:t xml:space="preserve"> el párrafo 22, como expresa la segunda opción del texto. La primera opción constituye una interpretación laxa de lo que constituye una incitación a la violencia en los términos del artículo 20 del Pacto, y consideramos que no puede el Estado servirse de sus obligaciones bajo el artículo 20 para restringir mediante la ley actos de organización o convocatoria a reuniones y asambleas con contenido contrario al gobierno o sus intereses, ni en general para evadir el deber del Estado de mantener neutralidad frente al contenido expresivo de una reunión. Por lo demás, como se ha reiterado, ninguna reunión debe considerarse desprotegida bajo el artículo 21 del Pacto.</w:t>
      </w:r>
    </w:p>
    <w:p w:rsidR="00B15D3D" w:rsidRDefault="00B15D3D" w:rsidP="00B15D3D">
      <w:pPr>
        <w:spacing w:before="240" w:after="120"/>
        <w:jc w:val="both"/>
        <w:rPr>
          <w:rFonts w:ascii="Cambria" w:eastAsia="Cambria" w:hAnsi="Cambria" w:cs="Cambria"/>
          <w:sz w:val="24"/>
          <w:szCs w:val="24"/>
        </w:rPr>
      </w:pPr>
    </w:p>
    <w:p w:rsidR="00B15D3D" w:rsidRDefault="00B15D3D" w:rsidP="00B15D3D">
      <w:pPr>
        <w:spacing w:after="120"/>
        <w:ind w:right="-40"/>
        <w:jc w:val="both"/>
        <w:rPr>
          <w:rFonts w:ascii="Cambria" w:eastAsia="Cambria" w:hAnsi="Cambria" w:cs="Cambria"/>
          <w:sz w:val="24"/>
          <w:szCs w:val="24"/>
          <w:highlight w:val="yellow"/>
        </w:rPr>
      </w:pPr>
      <w:r>
        <w:rPr>
          <w:rFonts w:ascii="Cambria" w:eastAsia="Cambria" w:hAnsi="Cambria" w:cs="Cambria"/>
          <w:b/>
          <w:sz w:val="24"/>
          <w:szCs w:val="24"/>
        </w:rPr>
        <w:t xml:space="preserve">Párrafo 29.   Al </w:t>
      </w:r>
      <w:r>
        <w:rPr>
          <w:rFonts w:ascii="Cambria" w:eastAsia="Cambria" w:hAnsi="Cambria" w:cs="Cambria"/>
          <w:b/>
          <w:strike/>
          <w:sz w:val="24"/>
          <w:szCs w:val="24"/>
        </w:rPr>
        <w:t>tratar con</w:t>
      </w:r>
      <w:r>
        <w:rPr>
          <w:rFonts w:ascii="Cambria" w:eastAsia="Cambria" w:hAnsi="Cambria" w:cs="Cambria"/>
          <w:b/>
          <w:sz w:val="24"/>
          <w:szCs w:val="24"/>
        </w:rPr>
        <w:t xml:space="preserve"> </w:t>
      </w:r>
      <w:r>
        <w:rPr>
          <w:rFonts w:ascii="Cambria" w:eastAsia="Cambria" w:hAnsi="Cambria" w:cs="Cambria"/>
          <w:b/>
          <w:sz w:val="24"/>
          <w:szCs w:val="24"/>
          <w:u w:val="single"/>
        </w:rPr>
        <w:t>proteger y facilitar</w:t>
      </w:r>
      <w:r>
        <w:rPr>
          <w:rFonts w:ascii="Cambria" w:eastAsia="Cambria" w:hAnsi="Cambria" w:cs="Cambria"/>
          <w:b/>
          <w:sz w:val="24"/>
          <w:szCs w:val="24"/>
        </w:rPr>
        <w:t xml:space="preserve"> las reuniones los Estados partes deben tomar medidas </w:t>
      </w:r>
      <w:r>
        <w:rPr>
          <w:rFonts w:ascii="Cambria" w:eastAsia="Cambria" w:hAnsi="Cambria" w:cs="Cambria"/>
          <w:b/>
          <w:strike/>
          <w:sz w:val="24"/>
          <w:szCs w:val="24"/>
        </w:rPr>
        <w:t xml:space="preserve">cautelares </w:t>
      </w:r>
      <w:r>
        <w:rPr>
          <w:rFonts w:ascii="Cambria" w:eastAsia="Cambria" w:hAnsi="Cambria" w:cs="Cambria"/>
          <w:b/>
          <w:sz w:val="24"/>
          <w:szCs w:val="24"/>
        </w:rPr>
        <w:t xml:space="preserve"> </w:t>
      </w:r>
      <w:r>
        <w:rPr>
          <w:rFonts w:ascii="Cambria" w:eastAsia="Cambria" w:hAnsi="Cambria" w:cs="Cambria"/>
          <w:b/>
          <w:sz w:val="24"/>
          <w:szCs w:val="24"/>
          <w:u w:val="single"/>
        </w:rPr>
        <w:t>para prevenir</w:t>
      </w:r>
      <w:r>
        <w:rPr>
          <w:rFonts w:ascii="Cambria" w:eastAsia="Cambria" w:hAnsi="Cambria" w:cs="Cambria"/>
          <w:b/>
          <w:sz w:val="24"/>
          <w:szCs w:val="24"/>
        </w:rPr>
        <w:t xml:space="preserve"> </w:t>
      </w:r>
      <w:r>
        <w:rPr>
          <w:rFonts w:ascii="Cambria" w:eastAsia="Cambria" w:hAnsi="Cambria" w:cs="Cambria"/>
          <w:b/>
          <w:strike/>
          <w:sz w:val="24"/>
          <w:szCs w:val="24"/>
        </w:rPr>
        <w:t xml:space="preserve">con el fin de evitar </w:t>
      </w:r>
      <w:r>
        <w:rPr>
          <w:rFonts w:ascii="Cambria" w:eastAsia="Cambria" w:hAnsi="Cambria" w:cs="Cambria"/>
          <w:b/>
          <w:sz w:val="24"/>
          <w:szCs w:val="24"/>
        </w:rPr>
        <w:t xml:space="preserve">violaciones </w:t>
      </w:r>
      <w:r>
        <w:rPr>
          <w:rFonts w:ascii="Cambria" w:eastAsia="Cambria" w:hAnsi="Cambria" w:cs="Cambria"/>
          <w:b/>
          <w:strike/>
          <w:sz w:val="24"/>
          <w:szCs w:val="24"/>
        </w:rPr>
        <w:t xml:space="preserve">y abusos </w:t>
      </w:r>
      <w:r>
        <w:rPr>
          <w:rFonts w:ascii="Cambria" w:eastAsia="Cambria" w:hAnsi="Cambria" w:cs="Cambria"/>
          <w:b/>
          <w:sz w:val="24"/>
          <w:szCs w:val="24"/>
        </w:rPr>
        <w:t xml:space="preserve">de los diferentes derechos en juego. </w:t>
      </w:r>
      <w:r>
        <w:rPr>
          <w:rFonts w:ascii="Cambria" w:eastAsia="Cambria" w:hAnsi="Cambria" w:cs="Cambria"/>
          <w:b/>
          <w:strike/>
          <w:sz w:val="24"/>
          <w:szCs w:val="24"/>
        </w:rPr>
        <w:t xml:space="preserve">Asimismo, </w:t>
      </w:r>
      <w:r>
        <w:rPr>
          <w:rFonts w:ascii="Cambria" w:eastAsia="Cambria" w:hAnsi="Cambria" w:cs="Cambria"/>
          <w:b/>
          <w:sz w:val="24"/>
          <w:szCs w:val="24"/>
        </w:rPr>
        <w:t xml:space="preserve">La necesidad de tomar dichas medidas </w:t>
      </w:r>
      <w:r>
        <w:rPr>
          <w:rFonts w:ascii="Cambria" w:eastAsia="Cambria" w:hAnsi="Cambria" w:cs="Cambria"/>
          <w:b/>
          <w:strike/>
          <w:sz w:val="24"/>
          <w:szCs w:val="24"/>
        </w:rPr>
        <w:t>cautelare</w:t>
      </w:r>
      <w:r>
        <w:rPr>
          <w:rFonts w:ascii="Cambria" w:eastAsia="Cambria" w:hAnsi="Cambria" w:cs="Cambria"/>
          <w:b/>
          <w:sz w:val="24"/>
          <w:szCs w:val="24"/>
        </w:rPr>
        <w:t xml:space="preserve"> no puede servir como justificación para </w:t>
      </w:r>
      <w:r>
        <w:rPr>
          <w:rFonts w:ascii="Cambria" w:eastAsia="Cambria" w:hAnsi="Cambria" w:cs="Cambria"/>
          <w:b/>
          <w:strike/>
          <w:sz w:val="24"/>
          <w:szCs w:val="24"/>
        </w:rPr>
        <w:t xml:space="preserve">tomar medidas que violen </w:t>
      </w:r>
      <w:r>
        <w:rPr>
          <w:rFonts w:ascii="Cambria" w:eastAsia="Cambria" w:hAnsi="Cambria" w:cs="Cambria"/>
          <w:b/>
          <w:sz w:val="24"/>
          <w:szCs w:val="24"/>
          <w:u w:val="single"/>
        </w:rPr>
        <w:t xml:space="preserve">restringir </w:t>
      </w:r>
      <w:r>
        <w:rPr>
          <w:rFonts w:ascii="Cambria" w:eastAsia="Cambria" w:hAnsi="Cambria" w:cs="Cambria"/>
          <w:b/>
          <w:sz w:val="24"/>
          <w:szCs w:val="24"/>
        </w:rPr>
        <w:t xml:space="preserve">derechos </w:t>
      </w:r>
      <w:r>
        <w:rPr>
          <w:rFonts w:ascii="Cambria" w:eastAsia="Cambria" w:hAnsi="Cambria" w:cs="Cambria"/>
          <w:b/>
          <w:sz w:val="24"/>
          <w:szCs w:val="24"/>
          <w:u w:val="single"/>
        </w:rPr>
        <w:t>de manera a privarlos de su contenido, incluido el derecho de reunión</w:t>
      </w:r>
      <w:r>
        <w:rPr>
          <w:rFonts w:ascii="Cambria" w:eastAsia="Cambria" w:hAnsi="Cambria" w:cs="Cambria"/>
          <w:b/>
          <w:sz w:val="24"/>
          <w:szCs w:val="24"/>
        </w:rPr>
        <w:t xml:space="preserve">, </w:t>
      </w:r>
      <w:r>
        <w:rPr>
          <w:rFonts w:ascii="Cambria" w:eastAsia="Cambria" w:hAnsi="Cambria" w:cs="Cambria"/>
          <w:b/>
          <w:strike/>
          <w:sz w:val="24"/>
          <w:szCs w:val="24"/>
        </w:rPr>
        <w:t xml:space="preserve">como </w:t>
      </w:r>
      <w:r>
        <w:rPr>
          <w:rFonts w:ascii="Cambria" w:eastAsia="Cambria" w:hAnsi="Cambria" w:cs="Cambria"/>
          <w:b/>
          <w:sz w:val="24"/>
          <w:szCs w:val="24"/>
        </w:rPr>
        <w:t xml:space="preserve">el derecho a la privacidad, </w:t>
      </w:r>
      <w:r>
        <w:rPr>
          <w:rFonts w:ascii="Cambria" w:eastAsia="Cambria" w:hAnsi="Cambria" w:cs="Cambria"/>
          <w:b/>
          <w:sz w:val="24"/>
          <w:szCs w:val="24"/>
          <w:u w:val="single"/>
        </w:rPr>
        <w:t>la libertad de expresión, el derecho a la participación política y los derechos sociales, económicos y culturales. Cualquier medida adoptada debe satisfacer los requisitos de legalidad, necesidad y proporcionalidad.</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29: La obligación del Estado de prevenir violaciones no es lo mismo que tomar medidas cautelares. Tampoco puede servir como justificación para restringir derechos de manera a privarlos de su contenido. </w:t>
      </w:r>
    </w:p>
    <w:p w:rsidR="00B15D3D" w:rsidRDefault="00B15D3D" w:rsidP="00B15D3D">
      <w:pPr>
        <w:spacing w:before="240" w:after="12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u w:val="single"/>
        </w:rPr>
      </w:pPr>
      <w:r>
        <w:rPr>
          <w:rFonts w:ascii="Cambria" w:eastAsia="Cambria" w:hAnsi="Cambria" w:cs="Cambria"/>
          <w:b/>
          <w:sz w:val="24"/>
          <w:szCs w:val="24"/>
        </w:rPr>
        <w:t xml:space="preserve">Párrafo 32. La piedra angular del deber de respetar y garantizar las reuniones pacíficas es un sistema jurídico y de toma de decisiones eficaz y transparente. La legislación nacional debe establecer con claridad los deberes y responsabilidades de todos los funcionarios que participan en la gestión de las reuniones y debe alinearse con las normas internacionales pertinentes. </w:t>
      </w:r>
      <w:r>
        <w:rPr>
          <w:rFonts w:ascii="Cambria" w:eastAsia="Cambria" w:hAnsi="Cambria" w:cs="Cambria"/>
          <w:b/>
          <w:sz w:val="24"/>
          <w:szCs w:val="24"/>
          <w:u w:val="single"/>
        </w:rPr>
        <w:t xml:space="preserve">De igual modo, la legislación nacional debe establecer los tipos penales de manera clara y unívoca, que no permita que los encargados de administrar justicia puedan interpretarlos de manera amplia para perseguir a quienes organizan y participan en una reunión. </w:t>
      </w:r>
      <w:r>
        <w:rPr>
          <w:rFonts w:ascii="Cambria" w:eastAsia="Cambria" w:hAnsi="Cambria" w:cs="Cambria"/>
          <w:b/>
          <w:sz w:val="24"/>
          <w:szCs w:val="24"/>
        </w:rPr>
        <w:t xml:space="preserve"> Los Estados deben velar por que se tome conciencia pública sobre lo que establece la legislación con respecto al derecho de reunión, sobre los procedimientos a seguir, si los hubiera, para ejercer el derecho, quiénes son las autoridades responsables, la normativa aplicable a dichos funcionarios y los recursos disponibles en caso de presuntas violaciones de derechos.</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32: Incluir la necesidad de que la legislación penal en los Estados sea lo suficientemente precisa, clara, estricta y unívoca para que en su aplicación e interpretación por los funcionarios encargados de administrar justicia no terminen abriendo procesos judiciales cuyo objetivo sea castigar a los participantes de una reunión sólo por haber ejercido este derecho.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b/>
          <w:sz w:val="24"/>
          <w:szCs w:val="24"/>
        </w:rPr>
        <w:t xml:space="preserve">Párrafo 34: El papel de los periodistas, de los defensores de derechos humanos y de otras personas que participan en la observación, incluida la documentación o la presentación de informes de las reuniones, es de especial importancia y tienen el derecho a la protección en virtud del [artículo 21 del] Pacto. No se les puede prohibir el ejercicio de dichas funciones, tampoco con respecto a los actos de los funcionarios encargados de hacer cumplir la ley. El equipo que usan no se debe confiscar o dañar. Incluso si la reunión se declara  ilegal o se dispersa, no se elimina el derecho </w:t>
      </w:r>
      <w:r>
        <w:rPr>
          <w:rFonts w:ascii="Cambria" w:eastAsia="Cambria" w:hAnsi="Cambria" w:cs="Cambria"/>
          <w:b/>
          <w:strike/>
          <w:sz w:val="24"/>
          <w:szCs w:val="24"/>
        </w:rPr>
        <w:t xml:space="preserve">de observarla </w:t>
      </w:r>
      <w:r>
        <w:rPr>
          <w:rFonts w:ascii="Cambria" w:eastAsia="Cambria" w:hAnsi="Cambria" w:cs="Cambria"/>
          <w:b/>
          <w:sz w:val="24"/>
          <w:szCs w:val="24"/>
          <w:u w:val="single"/>
        </w:rPr>
        <w:t>a documentar, fotografiar o grabar la reunión, incluyendo la actuación de funcionarios encargados de hacer cumplir la ley.</w:t>
      </w:r>
      <w:r>
        <w:rPr>
          <w:rFonts w:ascii="Cambria" w:eastAsia="Cambria" w:hAnsi="Cambria" w:cs="Cambria"/>
          <w:b/>
          <w:sz w:val="24"/>
          <w:szCs w:val="24"/>
        </w:rPr>
        <w:t xml:space="preserve"> Nadie debe ser acosado o penalizado como resultado de asistir a manifestaciones. La observación de reuniones constituye una buena práctica para instituciones nacionales independientes de derechos humanos y organizaciones no gubernamentales. </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34 - Una práctica altamente preocupante ha sido el hostigamiento y violencia policial en contra de personas periodistas, defensoras de derechos humanos o participantes en reuniones que documentan actos de violencia policial. Por ello consideramos que es sumamente importante que el Comentario General establezca de protecciones más claras al respecto.</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rPr>
      </w:pPr>
      <w:r>
        <w:rPr>
          <w:rFonts w:ascii="Cambria" w:eastAsia="Cambria" w:hAnsi="Cambria" w:cs="Cambria"/>
          <w:b/>
          <w:sz w:val="24"/>
          <w:szCs w:val="24"/>
        </w:rPr>
        <w:t xml:space="preserve">Párrafo 38 - (…) Los Estados partes, por ejemplo, se abstendrán de bloquear </w:t>
      </w:r>
      <w:r>
        <w:rPr>
          <w:rFonts w:ascii="Cambria" w:eastAsia="Cambria" w:hAnsi="Cambria" w:cs="Cambria"/>
          <w:b/>
          <w:strike/>
          <w:sz w:val="24"/>
          <w:szCs w:val="24"/>
        </w:rPr>
        <w:t xml:space="preserve">de forma indebida </w:t>
      </w:r>
      <w:r>
        <w:rPr>
          <w:rFonts w:ascii="Cambria" w:eastAsia="Cambria" w:hAnsi="Cambria" w:cs="Cambria"/>
          <w:b/>
          <w:sz w:val="24"/>
          <w:szCs w:val="24"/>
        </w:rPr>
        <w:t xml:space="preserve">la conectividad a internet en relación con manifestaciones. </w:t>
      </w:r>
      <w:r>
        <w:rPr>
          <w:rFonts w:ascii="Cambria" w:eastAsia="Cambria" w:hAnsi="Cambria" w:cs="Cambria"/>
          <w:b/>
          <w:strike/>
          <w:sz w:val="24"/>
          <w:szCs w:val="24"/>
        </w:rPr>
        <w:t xml:space="preserve"> Lo mismo ocurre con l</w:t>
      </w:r>
      <w:r>
        <w:rPr>
          <w:rFonts w:ascii="Cambria" w:eastAsia="Cambria" w:hAnsi="Cambria" w:cs="Cambria"/>
          <w:b/>
          <w:sz w:val="24"/>
          <w:szCs w:val="24"/>
        </w:rPr>
        <w:t xml:space="preserve"> Las injerencias u obstaculizaciones de la conectividad en objetivos geoespecíficos o específicas de la tecnología no deben </w:t>
      </w:r>
      <w:r>
        <w:rPr>
          <w:rFonts w:ascii="Cambria" w:eastAsia="Cambria" w:hAnsi="Cambria" w:cs="Cambria"/>
          <w:b/>
          <w:sz w:val="24"/>
          <w:szCs w:val="24"/>
          <w:u w:val="single"/>
        </w:rPr>
        <w:t>ser utilizadas como medidas para</w:t>
      </w:r>
      <w:r>
        <w:rPr>
          <w:rFonts w:ascii="Cambria" w:eastAsia="Cambria" w:hAnsi="Cambria" w:cs="Cambria"/>
          <w:b/>
          <w:sz w:val="24"/>
          <w:szCs w:val="24"/>
        </w:rPr>
        <w:t xml:space="preserve"> afectar el derecho de reunión </w:t>
      </w:r>
      <w:r>
        <w:rPr>
          <w:rFonts w:ascii="Cambria" w:eastAsia="Cambria" w:hAnsi="Cambria" w:cs="Cambria"/>
          <w:b/>
          <w:sz w:val="24"/>
          <w:szCs w:val="24"/>
          <w:u w:val="single"/>
        </w:rPr>
        <w:t>ni los demás derechos fundamentales</w:t>
      </w:r>
      <w:r>
        <w:rPr>
          <w:rFonts w:ascii="Cambria" w:eastAsia="Cambria" w:hAnsi="Cambria" w:cs="Cambria"/>
          <w:b/>
          <w:sz w:val="24"/>
          <w:szCs w:val="24"/>
        </w:rPr>
        <w:t xml:space="preserve">. Los Estados partes deben asegurar </w:t>
      </w:r>
      <w:r>
        <w:rPr>
          <w:rFonts w:ascii="Cambria" w:eastAsia="Cambria" w:hAnsi="Cambria" w:cs="Cambria"/>
          <w:b/>
          <w:sz w:val="24"/>
          <w:szCs w:val="24"/>
          <w:u w:val="single"/>
        </w:rPr>
        <w:t>la provisión y acceso a internet, inclusive, cuando sea necesario, mediante la regulación y el control de la actividad de proveedores de estos servicios. Los Estados tienen la obligación de proteger la privacidad y la seguridad de los participantes de una reunión inclusive respecto de las actividades de empresas privadas bajo su jurisdicción</w:t>
      </w:r>
      <w:r>
        <w:rPr>
          <w:rFonts w:ascii="Cambria" w:eastAsia="Cambria" w:hAnsi="Cambria" w:cs="Cambria"/>
          <w:b/>
          <w:sz w:val="24"/>
          <w:szCs w:val="24"/>
        </w:rPr>
        <w:t xml:space="preserve">. </w:t>
      </w:r>
      <w:r>
        <w:rPr>
          <w:rFonts w:ascii="Cambria" w:eastAsia="Cambria" w:hAnsi="Cambria" w:cs="Cambria"/>
          <w:b/>
          <w:strike/>
          <w:sz w:val="24"/>
          <w:szCs w:val="24"/>
        </w:rPr>
        <w:t xml:space="preserve">que la autorregulación de los proveedores de servicios de internet no afecta a las reuniones de forma indebida y que las actividades de dichos proveedores no infringen de forma indebida la privacidad o seguridad de los participantes de la reunión. </w:t>
      </w:r>
      <w:r>
        <w:rPr>
          <w:rFonts w:ascii="Cambria" w:eastAsia="Cambria" w:hAnsi="Cambria" w:cs="Cambria"/>
          <w:b/>
          <w:sz w:val="24"/>
          <w:szCs w:val="24"/>
        </w:rPr>
        <w:t>Toda restricción del funcionamiento de los sistemas de difusión de información debe cumplir con las pruebas para la restricción a la libertad de expresión.</w:t>
      </w:r>
    </w:p>
    <w:p w:rsidR="00B15D3D" w:rsidRDefault="00B15D3D" w:rsidP="00B15D3D">
      <w:pPr>
        <w:spacing w:before="24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38 - Suprimir “de forma indebida”, dado que no hay justificación para bloquear internet en el contexto de manifestaciones. Del mismo modo, las referencias a interferencias y bloqueos limitados geográficamente o según tecnología deben ser rechazadas tajantemente como mecanismos de restricción de derechos, no solo al de reunión. Reformular lenguaje sobre la regulación de empresas que proveen servicios de conectividad para incluir la obligación de regulación y control por parte del Estado con el objetivo de garantizar la protección de los derechos establecidos en el PIDCP.</w:t>
      </w:r>
    </w:p>
    <w:p w:rsidR="00B15D3D" w:rsidRDefault="00B15D3D" w:rsidP="00B15D3D">
      <w:pPr>
        <w:spacing w:before="240" w:after="240"/>
        <w:jc w:val="both"/>
        <w:rPr>
          <w:rFonts w:ascii="Cambria" w:eastAsia="Cambria" w:hAnsi="Cambria" w:cs="Cambria"/>
          <w:b/>
          <w:sz w:val="24"/>
          <w:szCs w:val="24"/>
        </w:rPr>
      </w:pPr>
      <w:r>
        <w:rPr>
          <w:rFonts w:ascii="Cambria" w:eastAsia="Cambria" w:hAnsi="Cambria" w:cs="Cambria"/>
          <w:b/>
          <w:sz w:val="24"/>
          <w:szCs w:val="24"/>
        </w:rPr>
        <w:t xml:space="preserve">Párrafo 41. </w:t>
      </w:r>
      <w:r>
        <w:rPr>
          <w:rFonts w:ascii="Cambria" w:eastAsia="Cambria" w:hAnsi="Cambria" w:cs="Cambria"/>
          <w:b/>
          <w:strike/>
          <w:sz w:val="24"/>
          <w:szCs w:val="24"/>
        </w:rPr>
        <w:t xml:space="preserve">Cuando se contemple la imposición de restricciones a una reunión, las autoridades deberían considerar, cuando proceda, imponer restricciones intermedias o parciales en lugar de considerar la decisión como una elección entre la no intervención y la prohibición. </w:t>
      </w:r>
      <w:r>
        <w:rPr>
          <w:rFonts w:ascii="Cambria" w:eastAsia="Cambria" w:hAnsi="Cambria" w:cs="Cambria"/>
          <w:b/>
          <w:sz w:val="24"/>
          <w:szCs w:val="24"/>
          <w:u w:val="single"/>
        </w:rPr>
        <w:t>La aplicación generalizada de restricciones legales al derecho a participar en protestas pacíficas es inherentemente desproporcionada, ya que no permite tomar en cuenta las circunstancias específicas de cada caso en concreto</w:t>
      </w:r>
      <w:r>
        <w:rPr>
          <w:rFonts w:ascii="Cambria" w:eastAsia="Cambria" w:hAnsi="Cambria" w:cs="Cambria"/>
          <w:b/>
          <w:sz w:val="24"/>
          <w:szCs w:val="24"/>
          <w:u w:val="single"/>
          <w:vertAlign w:val="superscript"/>
        </w:rPr>
        <w:footnoteReference w:id="74"/>
      </w:r>
      <w:r>
        <w:rPr>
          <w:rFonts w:ascii="Cambria" w:eastAsia="Cambria" w:hAnsi="Cambria" w:cs="Cambria"/>
          <w:b/>
          <w:sz w:val="24"/>
          <w:szCs w:val="24"/>
          <w:u w:val="single"/>
        </w:rPr>
        <w:t xml:space="preserve">. </w:t>
      </w:r>
      <w:r>
        <w:rPr>
          <w:rFonts w:ascii="Cambria" w:eastAsia="Cambria" w:hAnsi="Cambria" w:cs="Cambria"/>
          <w:b/>
          <w:sz w:val="24"/>
          <w:szCs w:val="24"/>
        </w:rPr>
        <w:t>Además, a menudo es preferible permitir que una reunión se celebre y decidir posteriormente si se deberían tomar medidas relacionadas con las transgresiones durante el evento, en lugar de imponer restricciones previas con el fin de eliminar todo riesgo.</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41: El Comité no debe recomendar en abstracto que los Estados impongan restricciones “parciales” o “intermedias” al derecho de reunión. Debe establecer límites, como la prohibición de restricciones legales generales y la obligación de aplicar el test de necesidad y proporcionalidad en cada caso concreto.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rPr>
      </w:pPr>
      <w:r>
        <w:rPr>
          <w:rFonts w:ascii="Cambria" w:eastAsia="Cambria" w:hAnsi="Cambria" w:cs="Cambria"/>
          <w:b/>
          <w:sz w:val="24"/>
          <w:szCs w:val="24"/>
        </w:rPr>
        <w:t xml:space="preserve">Párrafo 48. Los "intereses de seguridad nacional" pueden ser motivo de restricciones si dichas restricciones son necesarias para proteger la existencia de la nación, su integridad territorial o su independencia política contra la fuerza o la amenaza de fuerza. Este umbral </w:t>
      </w:r>
      <w:r>
        <w:rPr>
          <w:rFonts w:ascii="Cambria" w:eastAsia="Cambria" w:hAnsi="Cambria" w:cs="Cambria"/>
          <w:b/>
          <w:sz w:val="24"/>
          <w:szCs w:val="24"/>
          <w:u w:val="single"/>
        </w:rPr>
        <w:t>nunca</w:t>
      </w:r>
      <w:r w:rsidRPr="00EC6901">
        <w:rPr>
          <w:rFonts w:ascii="Cambria" w:eastAsia="Cambria" w:hAnsi="Cambria" w:cs="Cambria"/>
          <w:b/>
          <w:sz w:val="24"/>
          <w:szCs w:val="24"/>
          <w:u w:val="single"/>
        </w:rPr>
        <w:t xml:space="preserve"> se traspasará en</w:t>
      </w:r>
      <w:r>
        <w:rPr>
          <w:rFonts w:ascii="Cambria" w:eastAsia="Cambria" w:hAnsi="Cambria" w:cs="Cambria"/>
          <w:b/>
          <w:sz w:val="24"/>
          <w:szCs w:val="24"/>
          <w:u w:val="single"/>
        </w:rPr>
        <w:t xml:space="preserve"> el contexto de </w:t>
      </w:r>
      <w:r>
        <w:rPr>
          <w:rFonts w:ascii="Cambria" w:eastAsia="Cambria" w:hAnsi="Cambria" w:cs="Cambria"/>
          <w:b/>
          <w:strike/>
          <w:sz w:val="24"/>
          <w:szCs w:val="24"/>
        </w:rPr>
        <w:t>solo se traspasará de forma excepcional por la</w:t>
      </w:r>
      <w:r>
        <w:rPr>
          <w:rFonts w:ascii="Cambria" w:eastAsia="Cambria" w:hAnsi="Cambria" w:cs="Cambria"/>
          <w:b/>
          <w:sz w:val="24"/>
          <w:szCs w:val="24"/>
        </w:rPr>
        <w:t xml:space="preserve"> reuniones que puedan ser calificadas de</w:t>
      </w:r>
      <w:r>
        <w:rPr>
          <w:rFonts w:ascii="Cambria" w:eastAsia="Cambria" w:hAnsi="Cambria" w:cs="Cambria"/>
          <w:b/>
          <w:strike/>
          <w:sz w:val="24"/>
          <w:szCs w:val="24"/>
        </w:rPr>
        <w:t xml:space="preserve"> "pacíficas"</w:t>
      </w:r>
      <w:r>
        <w:rPr>
          <w:rFonts w:ascii="Cambria" w:eastAsia="Cambria" w:hAnsi="Cambria" w:cs="Cambria"/>
          <w:b/>
          <w:sz w:val="24"/>
          <w:szCs w:val="24"/>
        </w:rPr>
        <w:t>pacíficas. Además, cuando la propia razón del deterioro de la seguridad nacional sea la supresión de los derechos humanos, dicho deterioro no puede usarse para justificar la imposición de nuevas restricciones a dichos derechos, incluyendo el de reunión.</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48: una reunión pacífica no puede constituir una amenaza a la seguridad nacional.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120"/>
        <w:jc w:val="both"/>
        <w:rPr>
          <w:rFonts w:ascii="Cambria" w:eastAsia="Cambria" w:hAnsi="Cambria" w:cs="Cambria"/>
          <w:b/>
          <w:sz w:val="24"/>
          <w:szCs w:val="24"/>
        </w:rPr>
      </w:pPr>
      <w:r>
        <w:rPr>
          <w:rFonts w:ascii="Cambria" w:eastAsia="Cambria" w:hAnsi="Cambria" w:cs="Cambria"/>
          <w:b/>
          <w:sz w:val="24"/>
          <w:szCs w:val="24"/>
        </w:rPr>
        <w:t xml:space="preserve">Párrafo 49. Para que se invoque el motivo de "seguridad pública" con el fin de imponer restricciones al derecho de reunión pacífica, se debe determinar que la reunión crea un riesgo significativo e inmediato para la seguridad de las personas (las vidas o la integridad física) o un riesgo similar de </w:t>
      </w:r>
      <w:r>
        <w:rPr>
          <w:rFonts w:ascii="Cambria" w:eastAsia="Cambria" w:hAnsi="Cambria" w:cs="Cambria"/>
          <w:b/>
          <w:strike/>
          <w:sz w:val="24"/>
          <w:szCs w:val="24"/>
        </w:rPr>
        <w:t>daños</w:t>
      </w:r>
      <w:r>
        <w:rPr>
          <w:rFonts w:ascii="Cambria" w:eastAsia="Cambria" w:hAnsi="Cambria" w:cs="Cambria"/>
          <w:b/>
          <w:sz w:val="24"/>
          <w:szCs w:val="24"/>
        </w:rPr>
        <w:t xml:space="preserve"> </w:t>
      </w:r>
      <w:r w:rsidRPr="00EC6901">
        <w:rPr>
          <w:rFonts w:ascii="Cambria" w:eastAsia="Cambria" w:hAnsi="Cambria" w:cs="Cambria"/>
          <w:b/>
          <w:strike/>
          <w:sz w:val="24"/>
          <w:szCs w:val="24"/>
        </w:rPr>
        <w:t>graves</w:t>
      </w:r>
      <w:r>
        <w:rPr>
          <w:rFonts w:ascii="Cambria" w:eastAsia="Cambria" w:hAnsi="Cambria" w:cs="Cambria"/>
          <w:b/>
          <w:sz w:val="24"/>
          <w:szCs w:val="24"/>
        </w:rPr>
        <w:t xml:space="preserve"> </w:t>
      </w:r>
      <w:r>
        <w:rPr>
          <w:rFonts w:ascii="Cambria" w:eastAsia="Cambria" w:hAnsi="Cambria" w:cs="Cambria"/>
          <w:b/>
          <w:strike/>
          <w:sz w:val="24"/>
          <w:szCs w:val="24"/>
        </w:rPr>
        <w:t>a la propiedad</w:t>
      </w:r>
      <w:r>
        <w:rPr>
          <w:rFonts w:ascii="Cambria" w:eastAsia="Cambria" w:hAnsi="Cambria" w:cs="Cambria"/>
          <w:b/>
          <w:sz w:val="24"/>
          <w:szCs w:val="24"/>
        </w:rPr>
        <w:t xml:space="preserve"> </w:t>
      </w:r>
      <w:r>
        <w:rPr>
          <w:rFonts w:ascii="Cambria" w:eastAsia="Cambria" w:hAnsi="Cambria" w:cs="Cambria"/>
          <w:b/>
          <w:sz w:val="24"/>
          <w:szCs w:val="24"/>
          <w:u w:val="single"/>
        </w:rPr>
        <w:t>destrucción de provisión de derechos</w:t>
      </w:r>
      <w:r>
        <w:rPr>
          <w:rFonts w:ascii="Cambria" w:eastAsia="Cambria" w:hAnsi="Cambria" w:cs="Cambria"/>
          <w:b/>
          <w:sz w:val="24"/>
          <w:szCs w:val="24"/>
          <w:u w:val="single"/>
          <w:vertAlign w:val="superscript"/>
        </w:rPr>
        <w:footnoteReference w:id="75"/>
      </w:r>
      <w:r>
        <w:rPr>
          <w:rFonts w:ascii="Cambria" w:eastAsia="Cambria" w:hAnsi="Cambria" w:cs="Cambria"/>
          <w:b/>
          <w:sz w:val="24"/>
          <w:szCs w:val="24"/>
        </w:rPr>
        <w:t xml:space="preserve">. </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49 - Sustituir la referencia a “daños graves a la propiedad”, que no es parte de la jurisprudencia más actual sobre el concepto de reunión pacífica, por “destrucción de la provisión de derechos”, que es el término usado en las </w:t>
      </w:r>
      <w:r>
        <w:rPr>
          <w:rFonts w:ascii="Cambria" w:eastAsia="Cambria" w:hAnsi="Cambria" w:cs="Cambria"/>
          <w:i/>
          <w:sz w:val="24"/>
          <w:szCs w:val="24"/>
        </w:rPr>
        <w:t xml:space="preserve">Guidelines on Freedom of Peaceful Assembly </w:t>
      </w:r>
      <w:r>
        <w:rPr>
          <w:rFonts w:ascii="Cambria" w:eastAsia="Cambria" w:hAnsi="Cambria" w:cs="Cambria"/>
          <w:sz w:val="24"/>
          <w:szCs w:val="24"/>
        </w:rPr>
        <w:t>de la OSCE.</w:t>
      </w:r>
    </w:p>
    <w:p w:rsidR="00B15D3D" w:rsidRDefault="00B15D3D" w:rsidP="00B15D3D">
      <w:pPr>
        <w:spacing w:before="240" w:after="120"/>
        <w:jc w:val="both"/>
        <w:rPr>
          <w:rFonts w:ascii="Cambria" w:eastAsia="Cambria" w:hAnsi="Cambria" w:cs="Cambria"/>
          <w:sz w:val="24"/>
          <w:szCs w:val="24"/>
        </w:rPr>
      </w:pPr>
    </w:p>
    <w:p w:rsidR="00B15D3D" w:rsidRDefault="00B15D3D" w:rsidP="00B15D3D">
      <w:pPr>
        <w:spacing w:after="120"/>
        <w:ind w:right="-40"/>
        <w:jc w:val="both"/>
        <w:rPr>
          <w:rFonts w:ascii="Cambria" w:eastAsia="Cambria" w:hAnsi="Cambria" w:cs="Cambria"/>
          <w:b/>
          <w:sz w:val="24"/>
          <w:szCs w:val="24"/>
        </w:rPr>
      </w:pPr>
      <w:r>
        <w:rPr>
          <w:rFonts w:ascii="Cambria" w:eastAsia="Cambria" w:hAnsi="Cambria" w:cs="Cambria"/>
          <w:b/>
          <w:sz w:val="24"/>
          <w:szCs w:val="24"/>
        </w:rPr>
        <w:t>Párrafo 52 [SUPRIMIR]: Las restricciones a las reuniones pacíficas solo deben imponerse con carácter excepcional en aras de "la protección de la moral". En el caso de que se utilice, este motivo no debería emplearse para proteger interpretaciones de la moral estrechas de miras ni deben basarse en principios que emanen exclusivamente de una sola tradición social, filosófica o religiosa y toda restricción tal debe entenderse a la luz de la universalidad de los derechos humanos y del principio de no discriminación. Las restricciones basadas en este motivo no pueden reflejar, por ejemplo, una oposición a las expresiones de orientación sexual.</w:t>
      </w:r>
    </w:p>
    <w:p w:rsidR="00B15D3D" w:rsidRDefault="00B15D3D" w:rsidP="00B15D3D">
      <w:pPr>
        <w:spacing w:after="120"/>
        <w:ind w:right="-4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52 - Las únicas razones válidas para restringir una reunión bajo el argumento de la “protección de la moral” se encuentran previstas en el Artículo 20 del Pacto y desarrolladas en el párrafo 57 de la Observación General. </w:t>
      </w:r>
    </w:p>
    <w:p w:rsidR="00B15D3D" w:rsidRDefault="00B15D3D" w:rsidP="00B15D3D">
      <w:pPr>
        <w:spacing w:after="120"/>
        <w:ind w:right="-40"/>
        <w:jc w:val="both"/>
        <w:rPr>
          <w:rFonts w:ascii="Cambria" w:eastAsia="Cambria" w:hAnsi="Cambria" w:cs="Cambria"/>
          <w:sz w:val="24"/>
          <w:szCs w:val="24"/>
        </w:rPr>
      </w:pPr>
    </w:p>
    <w:p w:rsidR="00B15D3D" w:rsidRDefault="00B15D3D" w:rsidP="00B15D3D">
      <w:pPr>
        <w:spacing w:after="120"/>
        <w:ind w:right="-40"/>
        <w:jc w:val="both"/>
        <w:rPr>
          <w:rFonts w:ascii="Cambria" w:eastAsia="Cambria" w:hAnsi="Cambria" w:cs="Cambria"/>
          <w:b/>
          <w:sz w:val="24"/>
          <w:szCs w:val="24"/>
        </w:rPr>
      </w:pPr>
      <w:r>
        <w:rPr>
          <w:rFonts w:ascii="Cambria" w:eastAsia="Cambria" w:hAnsi="Cambria" w:cs="Cambria"/>
          <w:b/>
          <w:sz w:val="24"/>
          <w:szCs w:val="24"/>
        </w:rPr>
        <w:t xml:space="preserve">Párrafo 62. Con respecto a las restricciones al </w:t>
      </w:r>
      <w:r>
        <w:rPr>
          <w:rFonts w:ascii="Cambria" w:eastAsia="Cambria" w:hAnsi="Cambria" w:cs="Cambria"/>
          <w:b/>
          <w:i/>
          <w:sz w:val="24"/>
          <w:szCs w:val="24"/>
        </w:rPr>
        <w:t>tiempo</w:t>
      </w:r>
      <w:r>
        <w:rPr>
          <w:rFonts w:ascii="Cambria" w:eastAsia="Cambria" w:hAnsi="Cambria" w:cs="Cambria"/>
          <w:b/>
          <w:sz w:val="24"/>
          <w:szCs w:val="24"/>
        </w:rPr>
        <w:t xml:space="preserve"> de las reuniones, si bien no existen reglas fijas sobre las restricciones en la duración de las reuniones pacíficas, los participantes deben contar con oportunidad suficiente para manifestar sus opiniones de forma eficaz. Por lo general, </w:t>
      </w:r>
      <w:r>
        <w:rPr>
          <w:rFonts w:ascii="Cambria" w:eastAsia="Cambria" w:hAnsi="Cambria" w:cs="Cambria"/>
          <w:b/>
          <w:strike/>
          <w:sz w:val="24"/>
          <w:szCs w:val="24"/>
        </w:rPr>
        <w:t xml:space="preserve">las reuniones pacíficas son de índole temporal y </w:t>
      </w:r>
      <w:r>
        <w:rPr>
          <w:rFonts w:ascii="Cambria" w:eastAsia="Cambria" w:hAnsi="Cambria" w:cs="Cambria"/>
          <w:b/>
          <w:sz w:val="24"/>
          <w:szCs w:val="24"/>
        </w:rPr>
        <w:t xml:space="preserve">se debe dejar que </w:t>
      </w:r>
      <w:r>
        <w:rPr>
          <w:rFonts w:ascii="Cambria" w:eastAsia="Cambria" w:hAnsi="Cambria" w:cs="Cambria"/>
          <w:b/>
          <w:sz w:val="24"/>
          <w:szCs w:val="24"/>
          <w:u w:val="single"/>
        </w:rPr>
        <w:t xml:space="preserve">las reuniones </w:t>
      </w:r>
      <w:r>
        <w:rPr>
          <w:rFonts w:ascii="Cambria" w:eastAsia="Cambria" w:hAnsi="Cambria" w:cs="Cambria"/>
          <w:b/>
          <w:sz w:val="24"/>
          <w:szCs w:val="24"/>
        </w:rPr>
        <w:t xml:space="preserve">finalicen por sí mismas. Además, las reuniones no deben limitarse únicamente por su frecuencia. La duración y la frecuencia de una manifestación puede desempeñar un papel central a la hora de transmitir un mensaje al público receptor. </w:t>
      </w:r>
      <w:r>
        <w:rPr>
          <w:rFonts w:ascii="Cambria" w:eastAsia="Cambria" w:hAnsi="Cambria" w:cs="Cambria"/>
          <w:b/>
          <w:strike/>
          <w:sz w:val="24"/>
          <w:szCs w:val="24"/>
        </w:rPr>
        <w:t xml:space="preserve">Sin embargo, </w:t>
      </w:r>
      <w:r>
        <w:rPr>
          <w:rFonts w:ascii="Cambria" w:eastAsia="Cambria" w:hAnsi="Cambria" w:cs="Cambria"/>
          <w:b/>
          <w:sz w:val="24"/>
          <w:szCs w:val="24"/>
          <w:u w:val="single"/>
        </w:rPr>
        <w:t>En el caso de que</w:t>
      </w:r>
      <w:r>
        <w:rPr>
          <w:rFonts w:ascii="Cambria" w:eastAsia="Cambria" w:hAnsi="Cambria" w:cs="Cambria"/>
          <w:b/>
          <w:sz w:val="24"/>
          <w:szCs w:val="24"/>
        </w:rPr>
        <w:t xml:space="preserve"> el efecto acumulativo de las reuniones constantes </w:t>
      </w:r>
      <w:r>
        <w:rPr>
          <w:rFonts w:ascii="Cambria" w:eastAsia="Cambria" w:hAnsi="Cambria" w:cs="Cambria"/>
          <w:b/>
          <w:strike/>
          <w:sz w:val="24"/>
          <w:szCs w:val="24"/>
        </w:rPr>
        <w:t>no debe afectar de forma desproporcionada</w:t>
      </w:r>
      <w:r>
        <w:rPr>
          <w:rFonts w:ascii="Cambria" w:eastAsia="Cambria" w:hAnsi="Cambria" w:cs="Cambria"/>
          <w:b/>
          <w:sz w:val="24"/>
          <w:szCs w:val="24"/>
        </w:rPr>
        <w:t xml:space="preserve"> </w:t>
      </w:r>
      <w:r>
        <w:rPr>
          <w:rFonts w:ascii="Cambria" w:eastAsia="Cambria" w:hAnsi="Cambria" w:cs="Cambria"/>
          <w:b/>
          <w:sz w:val="24"/>
          <w:szCs w:val="24"/>
          <w:u w:val="single"/>
        </w:rPr>
        <w:t xml:space="preserve">afecte </w:t>
      </w:r>
      <w:r>
        <w:rPr>
          <w:rFonts w:ascii="Cambria" w:eastAsia="Cambria" w:hAnsi="Cambria" w:cs="Cambria"/>
          <w:b/>
          <w:sz w:val="24"/>
          <w:szCs w:val="24"/>
        </w:rPr>
        <w:t>los derechos de los demás</w:t>
      </w:r>
      <w:r>
        <w:rPr>
          <w:rFonts w:ascii="Cambria" w:eastAsia="Cambria" w:hAnsi="Cambria" w:cs="Cambria"/>
          <w:b/>
          <w:sz w:val="24"/>
          <w:szCs w:val="24"/>
          <w:u w:val="single"/>
        </w:rPr>
        <w:t>, el Estado debe realizar una ponderación entre los derechos e intereses legítimos enfrentados o contrapuestos en cada caso concreto</w:t>
      </w:r>
      <w:r>
        <w:rPr>
          <w:rFonts w:ascii="Cambria" w:eastAsia="Cambria" w:hAnsi="Cambria" w:cs="Cambria"/>
          <w:b/>
          <w:sz w:val="24"/>
          <w:szCs w:val="24"/>
          <w:u w:val="single"/>
          <w:vertAlign w:val="superscript"/>
        </w:rPr>
        <w:footnoteReference w:id="76"/>
      </w:r>
      <w:r>
        <w:rPr>
          <w:rFonts w:ascii="Cambria" w:eastAsia="Cambria" w:hAnsi="Cambria" w:cs="Cambria"/>
          <w:b/>
          <w:sz w:val="24"/>
          <w:szCs w:val="24"/>
          <w:u w:val="single"/>
        </w:rPr>
        <w:t>.</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62 - No se debe afirmar que es parte de la “índole” de las reuniones pacíficas ser temporales; existen reuniones que se dan bajo la forma de ocupaciones que pueden ser de larga duración. No necesariamente las reuniones constantes afectan derechos; incluso cuando esto se da, la Comisión Interamericana de Derechos Humanos ha considerado que el Estado debe ponderar caso a caso los derechos en juego, teniendo en cuenta la importancia del derecho de reunión en una sociedad democrática. </w:t>
      </w:r>
    </w:p>
    <w:p w:rsidR="00B15D3D" w:rsidRDefault="00B15D3D" w:rsidP="00B15D3D">
      <w:pPr>
        <w:spacing w:before="240" w:after="120"/>
        <w:jc w:val="both"/>
        <w:rPr>
          <w:rFonts w:ascii="Cambria" w:eastAsia="Cambria" w:hAnsi="Cambria" w:cs="Cambria"/>
          <w:b/>
          <w:strike/>
          <w:sz w:val="24"/>
          <w:szCs w:val="24"/>
        </w:rPr>
      </w:pPr>
      <w:r>
        <w:rPr>
          <w:rFonts w:ascii="Cambria" w:eastAsia="Cambria" w:hAnsi="Cambria" w:cs="Cambria"/>
          <w:b/>
          <w:sz w:val="24"/>
          <w:szCs w:val="24"/>
        </w:rPr>
        <w:t xml:space="preserve">Párrafo 67: El aumento en la privatización de los espacios públicos pone de manifiesto que los derechos de reunión requieren cierto reconocimiento en la propiedad privada abierta al público. Los intereses de los propietarios privados deben </w:t>
      </w:r>
      <w:r>
        <w:rPr>
          <w:rFonts w:ascii="Cambria" w:eastAsia="Cambria" w:hAnsi="Cambria" w:cs="Cambria"/>
          <w:b/>
          <w:strike/>
          <w:sz w:val="24"/>
          <w:szCs w:val="24"/>
        </w:rPr>
        <w:t>recibir el peso adecuado, pero podrían</w:t>
      </w:r>
      <w:r>
        <w:rPr>
          <w:rFonts w:ascii="Cambria" w:eastAsia="Cambria" w:hAnsi="Cambria" w:cs="Cambria"/>
          <w:b/>
          <w:sz w:val="24"/>
          <w:szCs w:val="24"/>
        </w:rPr>
        <w:t xml:space="preserve"> </w:t>
      </w:r>
      <w:r>
        <w:rPr>
          <w:rFonts w:ascii="Cambria" w:eastAsia="Cambria" w:hAnsi="Cambria" w:cs="Cambria"/>
          <w:b/>
          <w:sz w:val="24"/>
          <w:szCs w:val="24"/>
          <w:u w:val="single"/>
        </w:rPr>
        <w:t xml:space="preserve">pueden </w:t>
      </w:r>
      <w:r>
        <w:rPr>
          <w:rFonts w:ascii="Cambria" w:eastAsia="Cambria" w:hAnsi="Cambria" w:cs="Cambria"/>
          <w:b/>
          <w:sz w:val="24"/>
          <w:szCs w:val="24"/>
        </w:rPr>
        <w:t>verse limitados si los participantes no tienen otra forma razonable de transmitir el mensaje al público receptor.</w:t>
      </w:r>
      <w:r>
        <w:rPr>
          <w:rFonts w:ascii="Cambria" w:eastAsia="Cambria" w:hAnsi="Cambria" w:cs="Cambria"/>
          <w:b/>
          <w:sz w:val="16"/>
          <w:szCs w:val="16"/>
        </w:rPr>
        <w:t xml:space="preserve"> </w:t>
      </w:r>
      <w:r>
        <w:rPr>
          <w:rFonts w:ascii="Cambria" w:eastAsia="Cambria" w:hAnsi="Cambria" w:cs="Cambria"/>
          <w:b/>
          <w:strike/>
          <w:sz w:val="24"/>
          <w:szCs w:val="24"/>
        </w:rPr>
        <w:t>Las reuniones que se celebran en una propiedad privada con el consentimiento de los propietarios disfrutan de la misma protección que otras reuniones.</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67 - El texto es demasiado laxo en relación a un tema central para la protección del derecho. La frase final hace referencia a una situación que no corresponde a la realidad; las situaciones en que el derecho de reunión se ejerce en contraposición a intereses privados suelen ser, al contrario, extremadamente conflictivas y violentas. Sin embargo, la frase da a entender que, cuando no hay “consentimiento de los propietarios”, la reunión ocurrida en una propiedad privada no tiene el mismo nivel de protección que otras. Cabe al Comité proteger todas las reuniones, particularmente aquellas que ocurren en contextos de mayor conflictividad, delimitando de manera clara las responsabilidades del Estado y también las obligaciones de las empresas. </w:t>
      </w:r>
    </w:p>
    <w:p w:rsidR="00B15D3D" w:rsidRDefault="00B15D3D" w:rsidP="00B15D3D">
      <w:pPr>
        <w:spacing w:before="240" w:after="120"/>
        <w:jc w:val="both"/>
        <w:rPr>
          <w:rFonts w:ascii="Cambria" w:eastAsia="Cambria" w:hAnsi="Cambria" w:cs="Cambria"/>
          <w:sz w:val="24"/>
          <w:szCs w:val="24"/>
        </w:rPr>
      </w:pPr>
    </w:p>
    <w:p w:rsidR="00B15D3D" w:rsidRDefault="00B15D3D" w:rsidP="00B15D3D">
      <w:pPr>
        <w:spacing w:before="240" w:after="120"/>
        <w:jc w:val="both"/>
        <w:rPr>
          <w:rFonts w:ascii="Cambria" w:eastAsia="Cambria" w:hAnsi="Cambria" w:cs="Cambria"/>
          <w:b/>
          <w:sz w:val="24"/>
          <w:szCs w:val="24"/>
        </w:rPr>
      </w:pPr>
      <w:r>
        <w:rPr>
          <w:rFonts w:ascii="Cambria" w:eastAsia="Cambria" w:hAnsi="Cambria" w:cs="Cambria"/>
          <w:b/>
          <w:sz w:val="24"/>
          <w:szCs w:val="24"/>
        </w:rPr>
        <w:t xml:space="preserve">Párrafo 68: En lo que se refiere a restricciones en la </w:t>
      </w:r>
      <w:r>
        <w:rPr>
          <w:rFonts w:ascii="Cambria" w:eastAsia="Cambria" w:hAnsi="Cambria" w:cs="Cambria"/>
          <w:b/>
          <w:i/>
          <w:sz w:val="24"/>
          <w:szCs w:val="24"/>
        </w:rPr>
        <w:t>forma</w:t>
      </w:r>
      <w:r>
        <w:rPr>
          <w:rFonts w:ascii="Cambria" w:eastAsia="Cambria" w:hAnsi="Cambria" w:cs="Cambria"/>
          <w:b/>
          <w:sz w:val="24"/>
          <w:szCs w:val="24"/>
        </w:rPr>
        <w:t xml:space="preserve"> de las reuniones pacíficas, los participantes deberían, en general, poder determinar por sí mismos si quieren usar material como carteles, megáfonos o instrumentos musicales para transmitir el mensaje. Las reuniones pueden conllevar la construcción de estructuras y el montaje de sistemas de sonido para llegar al público,</w:t>
      </w:r>
      <w:r>
        <w:rPr>
          <w:rFonts w:ascii="Cambria" w:eastAsia="Cambria" w:hAnsi="Cambria" w:cs="Cambria"/>
          <w:b/>
          <w:strike/>
          <w:sz w:val="24"/>
          <w:szCs w:val="24"/>
        </w:rPr>
        <w:t xml:space="preserve"> pero dada la índole temporal de las reuniones, deben ser construcciones no permanentes</w:t>
      </w:r>
      <w:r>
        <w:rPr>
          <w:rFonts w:ascii="Cambria" w:eastAsia="Cambria" w:hAnsi="Cambria" w:cs="Cambria"/>
          <w:b/>
          <w:sz w:val="24"/>
          <w:szCs w:val="24"/>
        </w:rPr>
        <w:t>.</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68 - No le cabe al Comité determinar la duración de una reunión; la frase puede dejar desprotegidas algunas formas de reunión estrechamente vinculadas al ejercicio y la defensa de derechos, como las ocupaciones para el ejercicio del derecho a la vivienda o a la tierra y la alimentación. </w:t>
      </w:r>
    </w:p>
    <w:p w:rsidR="00B15D3D" w:rsidRDefault="00B15D3D" w:rsidP="00B15D3D">
      <w:pPr>
        <w:spacing w:before="240" w:after="120"/>
        <w:jc w:val="both"/>
        <w:rPr>
          <w:rFonts w:ascii="Cambria" w:eastAsia="Cambria" w:hAnsi="Cambria" w:cs="Cambria"/>
          <w:b/>
          <w:sz w:val="24"/>
          <w:szCs w:val="24"/>
        </w:rPr>
      </w:pPr>
    </w:p>
    <w:p w:rsidR="00B15D3D" w:rsidRDefault="00B15D3D" w:rsidP="00B15D3D">
      <w:pPr>
        <w:spacing w:before="240" w:after="120"/>
        <w:jc w:val="both"/>
        <w:rPr>
          <w:rFonts w:ascii="Cambria" w:eastAsia="Cambria" w:hAnsi="Cambria" w:cs="Cambria"/>
          <w:b/>
          <w:sz w:val="24"/>
          <w:szCs w:val="24"/>
          <w:u w:val="single"/>
        </w:rPr>
      </w:pPr>
      <w:r>
        <w:rPr>
          <w:rFonts w:ascii="Cambria" w:eastAsia="Cambria" w:hAnsi="Cambria" w:cs="Cambria"/>
          <w:b/>
          <w:sz w:val="24"/>
          <w:szCs w:val="24"/>
        </w:rPr>
        <w:t xml:space="preserve">Párrafo 70: Cubrirse la cara durante una reunión o utilizar disfraces como gorros o máscaras puede formar parte del elemento de expresión de una reunión pacífica o servir para evitar represalias, también en el contexto de las nuevas tecnologías de vigilancia, y servir para proteger la privacidad. No se debe prohibir a los participantes de una reunión cubrirse la cara </w:t>
      </w:r>
      <w:r>
        <w:rPr>
          <w:rFonts w:ascii="Cambria" w:eastAsia="Cambria" w:hAnsi="Cambria" w:cs="Cambria"/>
          <w:b/>
          <w:strike/>
          <w:sz w:val="24"/>
          <w:szCs w:val="24"/>
        </w:rPr>
        <w:t>cuando no haya evidencia demostrable de violencia inminente por su parte y una causa probable de detención. Como tal, las prohibiciones generales solo pueden justificarse de forma excepcional.</w:t>
      </w:r>
      <w:r>
        <w:rPr>
          <w:rFonts w:ascii="Cambria" w:eastAsia="Cambria" w:hAnsi="Cambria" w:cs="Cambria"/>
          <w:b/>
          <w:sz w:val="24"/>
          <w:szCs w:val="24"/>
        </w:rPr>
        <w:t xml:space="preserve"> </w:t>
      </w:r>
      <w:r>
        <w:rPr>
          <w:rFonts w:ascii="Cambria" w:eastAsia="Cambria" w:hAnsi="Cambria" w:cs="Cambria"/>
          <w:b/>
          <w:sz w:val="24"/>
          <w:szCs w:val="24"/>
          <w:u w:val="single"/>
        </w:rPr>
        <w:t xml:space="preserve">De manera análoga, no se debe restringir la utilización de herramientas de comunicación y navegación anónimas en Internet. El desarrollo de reglas de identificación obligatoria y la retención masiva de metadatos para el acceso a Internet pueden constituir restricciones indebidas al derecho de reunión. </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70 - El derecho a la privacidad puede resultar fundamental para el ejercicio del derecho de reunión y debe garantizarse tanto en el mundo físico como en línea. Este párrafo parecería permitir la criminalización del acto de cubrirse la cara. En caso de evidencia demostrable de violencia inminente por parte de una persona, la cobertura del rostro no resulta relevante, sino otro tipo de acciones que trascienden la cobertura del rostro.</w:t>
      </w:r>
    </w:p>
    <w:p w:rsidR="00B15D3D" w:rsidRDefault="00B15D3D" w:rsidP="00B15D3D">
      <w:pPr>
        <w:spacing w:before="240" w:after="120"/>
        <w:jc w:val="both"/>
        <w:rPr>
          <w:rFonts w:ascii="Cambria" w:eastAsia="Cambria" w:hAnsi="Cambria" w:cs="Cambria"/>
          <w:sz w:val="24"/>
          <w:szCs w:val="24"/>
        </w:rPr>
      </w:pPr>
    </w:p>
    <w:p w:rsidR="00B15D3D" w:rsidRDefault="00B15D3D" w:rsidP="00B15D3D">
      <w:pPr>
        <w:spacing w:before="240" w:after="120"/>
        <w:jc w:val="both"/>
        <w:rPr>
          <w:rFonts w:ascii="Cambria" w:eastAsia="Cambria" w:hAnsi="Cambria" w:cs="Cambria"/>
          <w:b/>
          <w:sz w:val="24"/>
          <w:szCs w:val="24"/>
        </w:rPr>
      </w:pPr>
      <w:r>
        <w:rPr>
          <w:rFonts w:ascii="Cambria" w:eastAsia="Cambria" w:hAnsi="Cambria" w:cs="Cambria"/>
          <w:b/>
          <w:sz w:val="24"/>
          <w:szCs w:val="24"/>
        </w:rPr>
        <w:t xml:space="preserve">Párrafo 71.   </w:t>
      </w:r>
      <w:r>
        <w:rPr>
          <w:rFonts w:ascii="Cambria" w:eastAsia="Cambria" w:hAnsi="Cambria" w:cs="Cambria"/>
          <w:b/>
          <w:sz w:val="24"/>
          <w:szCs w:val="24"/>
        </w:rPr>
        <w:tab/>
        <w:t>La recopilación de información y datos relevantes por parte de las autoridades puede, en ciertas circunstancias, ayudar en la gestión de reuniones, mejorar la rendición pública de cuentas y ser parte de un enfoque proactivo para evitar que se produzcan violaciones y abusos de derechos. Sin embargo, toda compilación de información</w:t>
      </w:r>
      <w:r>
        <w:rPr>
          <w:rFonts w:ascii="Cambria" w:eastAsia="Cambria" w:hAnsi="Cambria" w:cs="Cambria"/>
          <w:b/>
          <w:strike/>
          <w:sz w:val="24"/>
          <w:szCs w:val="24"/>
        </w:rPr>
        <w:t xml:space="preserve">, incluyendo mediante la vigilancia o la interceptación de comunicaciones y la forma en la que se conserva y se accede a la información </w:t>
      </w:r>
      <w:r>
        <w:rPr>
          <w:rFonts w:ascii="Cambria" w:eastAsia="Cambria" w:hAnsi="Cambria" w:cs="Cambria"/>
          <w:b/>
          <w:sz w:val="24"/>
          <w:szCs w:val="24"/>
        </w:rPr>
        <w:t>debe ajustarse de forma estricta a las normas internacionales</w:t>
      </w:r>
      <w:r>
        <w:rPr>
          <w:rFonts w:ascii="Cambria" w:eastAsia="Cambria" w:hAnsi="Cambria" w:cs="Cambria"/>
          <w:b/>
          <w:sz w:val="24"/>
          <w:szCs w:val="24"/>
          <w:u w:val="single"/>
        </w:rPr>
        <w:t xml:space="preserve"> y a los estándares de derechos humanos</w:t>
      </w:r>
      <w:r>
        <w:rPr>
          <w:rFonts w:ascii="Cambria" w:eastAsia="Cambria" w:hAnsi="Cambria" w:cs="Cambria"/>
          <w:b/>
          <w:sz w:val="24"/>
          <w:szCs w:val="24"/>
        </w:rPr>
        <w:t xml:space="preserve">, </w:t>
      </w:r>
      <w:r>
        <w:rPr>
          <w:rFonts w:ascii="Cambria" w:eastAsia="Cambria" w:hAnsi="Cambria" w:cs="Cambria"/>
          <w:b/>
          <w:strike/>
          <w:sz w:val="24"/>
          <w:szCs w:val="24"/>
        </w:rPr>
        <w:t>también con respecto al</w:t>
      </w:r>
      <w:r>
        <w:rPr>
          <w:rFonts w:ascii="Cambria" w:eastAsia="Cambria" w:hAnsi="Cambria" w:cs="Cambria"/>
          <w:b/>
          <w:sz w:val="24"/>
          <w:szCs w:val="24"/>
        </w:rPr>
        <w:t xml:space="preserve"> </w:t>
      </w:r>
      <w:r>
        <w:rPr>
          <w:rFonts w:ascii="Cambria" w:eastAsia="Cambria" w:hAnsi="Cambria" w:cs="Cambria"/>
          <w:b/>
          <w:sz w:val="24"/>
          <w:szCs w:val="24"/>
          <w:u w:val="single"/>
        </w:rPr>
        <w:t>incluido el</w:t>
      </w:r>
      <w:r>
        <w:rPr>
          <w:rFonts w:ascii="Cambria" w:eastAsia="Cambria" w:hAnsi="Cambria" w:cs="Cambria"/>
          <w:b/>
          <w:sz w:val="24"/>
          <w:szCs w:val="24"/>
        </w:rPr>
        <w:t xml:space="preserve"> derecho a la privacidad </w:t>
      </w:r>
      <w:r>
        <w:rPr>
          <w:rFonts w:ascii="Cambria" w:eastAsia="Cambria" w:hAnsi="Cambria" w:cs="Cambria"/>
          <w:b/>
          <w:sz w:val="24"/>
          <w:szCs w:val="24"/>
          <w:u w:val="single"/>
        </w:rPr>
        <w:t>y los derechos de reunión y asociación,</w:t>
      </w:r>
      <w:r>
        <w:rPr>
          <w:rFonts w:ascii="Cambria" w:eastAsia="Cambria" w:hAnsi="Cambria" w:cs="Cambria"/>
          <w:b/>
          <w:sz w:val="24"/>
          <w:szCs w:val="24"/>
        </w:rPr>
        <w:t xml:space="preserve"> y nunca debe tener por objeto </w:t>
      </w:r>
      <w:r>
        <w:rPr>
          <w:rFonts w:ascii="Cambria" w:eastAsia="Cambria" w:hAnsi="Cambria" w:cs="Cambria"/>
          <w:b/>
          <w:sz w:val="24"/>
          <w:szCs w:val="24"/>
          <w:u w:val="single"/>
        </w:rPr>
        <w:t>ni por efecto</w:t>
      </w:r>
      <w:r>
        <w:rPr>
          <w:rFonts w:ascii="Cambria" w:eastAsia="Cambria" w:hAnsi="Cambria" w:cs="Cambria"/>
          <w:b/>
          <w:sz w:val="24"/>
          <w:szCs w:val="24"/>
        </w:rPr>
        <w:t xml:space="preserve"> intimidar o </w:t>
      </w:r>
      <w:r>
        <w:rPr>
          <w:rFonts w:ascii="Cambria" w:eastAsia="Cambria" w:hAnsi="Cambria" w:cs="Cambria"/>
          <w:b/>
          <w:sz w:val="24"/>
          <w:szCs w:val="24"/>
          <w:u w:val="single"/>
        </w:rPr>
        <w:t xml:space="preserve">criminalizar </w:t>
      </w:r>
      <w:r>
        <w:rPr>
          <w:rFonts w:ascii="Cambria" w:eastAsia="Cambria" w:hAnsi="Cambria" w:cs="Cambria"/>
          <w:b/>
          <w:strike/>
          <w:sz w:val="24"/>
          <w:szCs w:val="24"/>
        </w:rPr>
        <w:t xml:space="preserve">acusar </w:t>
      </w:r>
      <w:r>
        <w:rPr>
          <w:rFonts w:ascii="Cambria" w:eastAsia="Cambria" w:hAnsi="Cambria" w:cs="Cambria"/>
          <w:b/>
          <w:sz w:val="24"/>
          <w:szCs w:val="24"/>
        </w:rPr>
        <w:t xml:space="preserve">a los (posibles) </w:t>
      </w:r>
      <w:r>
        <w:rPr>
          <w:rFonts w:ascii="Cambria" w:eastAsia="Cambria" w:hAnsi="Cambria" w:cs="Cambria"/>
          <w:b/>
          <w:sz w:val="24"/>
          <w:szCs w:val="24"/>
          <w:u w:val="single"/>
        </w:rPr>
        <w:t xml:space="preserve">organizadores o </w:t>
      </w:r>
      <w:r>
        <w:rPr>
          <w:rFonts w:ascii="Cambria" w:eastAsia="Cambria" w:hAnsi="Cambria" w:cs="Cambria"/>
          <w:b/>
          <w:sz w:val="24"/>
          <w:szCs w:val="24"/>
        </w:rPr>
        <w:t xml:space="preserve">participantes </w:t>
      </w:r>
      <w:r>
        <w:rPr>
          <w:rFonts w:ascii="Cambria" w:eastAsia="Cambria" w:hAnsi="Cambria" w:cs="Cambria"/>
          <w:b/>
          <w:strike/>
          <w:sz w:val="24"/>
          <w:szCs w:val="24"/>
        </w:rPr>
        <w:t>en</w:t>
      </w:r>
      <w:r>
        <w:rPr>
          <w:rFonts w:ascii="Cambria" w:eastAsia="Cambria" w:hAnsi="Cambria" w:cs="Cambria"/>
          <w:b/>
          <w:sz w:val="24"/>
          <w:szCs w:val="24"/>
        </w:rPr>
        <w:t xml:space="preserve"> </w:t>
      </w:r>
      <w:r>
        <w:rPr>
          <w:rFonts w:ascii="Cambria" w:eastAsia="Cambria" w:hAnsi="Cambria" w:cs="Cambria"/>
          <w:b/>
          <w:sz w:val="24"/>
          <w:szCs w:val="24"/>
          <w:u w:val="single"/>
        </w:rPr>
        <w:t>de</w:t>
      </w:r>
      <w:r>
        <w:rPr>
          <w:rFonts w:ascii="Cambria" w:eastAsia="Cambria" w:hAnsi="Cambria" w:cs="Cambria"/>
          <w:b/>
          <w:sz w:val="24"/>
          <w:szCs w:val="24"/>
        </w:rPr>
        <w:t xml:space="preserve"> las reuniones </w:t>
      </w:r>
      <w:r>
        <w:rPr>
          <w:rFonts w:ascii="Cambria" w:eastAsia="Cambria" w:hAnsi="Cambria" w:cs="Cambria"/>
          <w:b/>
          <w:sz w:val="24"/>
          <w:szCs w:val="24"/>
          <w:u w:val="single"/>
        </w:rPr>
        <w:t>u otros líderes sociales</w:t>
      </w:r>
      <w:r>
        <w:rPr>
          <w:rFonts w:ascii="Cambria" w:eastAsia="Cambria" w:hAnsi="Cambria" w:cs="Cambria"/>
          <w:b/>
          <w:sz w:val="24"/>
          <w:szCs w:val="24"/>
        </w:rPr>
        <w:t xml:space="preserve">. Dichas prácticas deben ser reguladas por marcos jurídicos nacionales </w:t>
      </w:r>
      <w:r>
        <w:rPr>
          <w:rFonts w:ascii="Cambria" w:eastAsia="Cambria" w:hAnsi="Cambria" w:cs="Cambria"/>
          <w:b/>
          <w:sz w:val="24"/>
          <w:szCs w:val="24"/>
          <w:u w:val="single"/>
        </w:rPr>
        <w:t>de rango legal</w:t>
      </w:r>
      <w:r>
        <w:rPr>
          <w:rFonts w:ascii="Cambria" w:eastAsia="Cambria" w:hAnsi="Cambria" w:cs="Cambria"/>
          <w:b/>
          <w:sz w:val="24"/>
          <w:szCs w:val="24"/>
        </w:rPr>
        <w:t>, apropiados y accesibles al público, compatibles con la normativa internacional y sujetos al escrutinio de los tribunales.</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71 - Es necesario en este párrafo reforzar la excepcionalidad y sujeción al test tripartito para la adopción de cualquier medida que signifique restricción de derechos fundamentales, en particular, las medidas de recopilación de información referida a grupos e individuos. La gestión de las reuniones no puede servir como base para ejercer actividades ilegítimas de vigilancia masiva o dirigida, ni como vía para el amedrentamiento (intencional o no) de personas con figuración relacionada a una reunión, ni de sus participantes. Se sugiere así una mayor precisión sobre los criterios y límites para que la recopilación de información en el contexto de reuniones no viole el artículo 21 del Pacto. </w:t>
      </w:r>
    </w:p>
    <w:p w:rsidR="00B15D3D" w:rsidRDefault="00B15D3D" w:rsidP="00B15D3D">
      <w:pPr>
        <w:spacing w:before="240" w:after="120"/>
        <w:jc w:val="both"/>
        <w:rPr>
          <w:rFonts w:ascii="Cambria" w:eastAsia="Cambria" w:hAnsi="Cambria" w:cs="Cambria"/>
          <w:sz w:val="24"/>
          <w:szCs w:val="24"/>
        </w:rPr>
      </w:pPr>
    </w:p>
    <w:p w:rsidR="00B15D3D" w:rsidRDefault="00B15D3D" w:rsidP="00B15D3D">
      <w:pPr>
        <w:spacing w:after="120"/>
        <w:ind w:right="-40"/>
        <w:jc w:val="both"/>
        <w:rPr>
          <w:rFonts w:ascii="Cambria" w:eastAsia="Cambria" w:hAnsi="Cambria" w:cs="Cambria"/>
          <w:sz w:val="24"/>
          <w:szCs w:val="24"/>
          <w:u w:val="single"/>
        </w:rPr>
      </w:pPr>
      <w:r>
        <w:rPr>
          <w:rFonts w:ascii="Cambria" w:eastAsia="Cambria" w:hAnsi="Cambria" w:cs="Cambria"/>
          <w:b/>
          <w:sz w:val="24"/>
          <w:szCs w:val="24"/>
        </w:rPr>
        <w:t>Párrafo 72. El mero hecho de que las reuniones tengan lugar en público no significa que la privacidad de los participantes no pueda verse infringida, por ejemplo, mediante el reconocimiento facial y otras tecnologías que pueden identificar participantes individuales en una multitud</w:t>
      </w:r>
      <w:r>
        <w:rPr>
          <w:rFonts w:ascii="Cambria" w:eastAsia="Cambria" w:hAnsi="Cambria" w:cs="Cambria"/>
          <w:b/>
          <w:sz w:val="24"/>
          <w:szCs w:val="24"/>
          <w:u w:val="single"/>
        </w:rPr>
        <w:t>, por lo que los Estados no deben incurrir en su uso en reuniones</w:t>
      </w:r>
      <w:r>
        <w:rPr>
          <w:rFonts w:ascii="Cambria" w:eastAsia="Cambria" w:hAnsi="Cambria" w:cs="Cambria"/>
          <w:b/>
          <w:sz w:val="24"/>
          <w:szCs w:val="24"/>
        </w:rPr>
        <w:t xml:space="preserve">. Lo mismo ocurre con el </w:t>
      </w:r>
      <w:r>
        <w:rPr>
          <w:rFonts w:ascii="Cambria" w:eastAsia="Cambria" w:hAnsi="Cambria" w:cs="Cambria"/>
          <w:b/>
          <w:strike/>
          <w:sz w:val="24"/>
          <w:szCs w:val="24"/>
        </w:rPr>
        <w:t xml:space="preserve">control </w:t>
      </w:r>
      <w:r>
        <w:rPr>
          <w:rFonts w:ascii="Cambria" w:eastAsia="Cambria" w:hAnsi="Cambria" w:cs="Cambria"/>
          <w:b/>
          <w:sz w:val="24"/>
          <w:szCs w:val="24"/>
          <w:u w:val="single"/>
        </w:rPr>
        <w:t>monitoreo</w:t>
      </w:r>
      <w:r>
        <w:rPr>
          <w:rFonts w:ascii="Cambria" w:eastAsia="Cambria" w:hAnsi="Cambria" w:cs="Cambria"/>
          <w:b/>
          <w:sz w:val="24"/>
          <w:szCs w:val="24"/>
        </w:rPr>
        <w:t xml:space="preserve"> de las redes sociales para obtener información sobre </w:t>
      </w:r>
      <w:r>
        <w:rPr>
          <w:rFonts w:ascii="Cambria" w:eastAsia="Cambria" w:hAnsi="Cambria" w:cs="Cambria"/>
          <w:b/>
          <w:strike/>
          <w:sz w:val="24"/>
          <w:szCs w:val="24"/>
        </w:rPr>
        <w:t>los participantes</w:t>
      </w:r>
      <w:r>
        <w:rPr>
          <w:rFonts w:ascii="Cambria" w:eastAsia="Cambria" w:hAnsi="Cambria" w:cs="Cambria"/>
          <w:b/>
          <w:sz w:val="24"/>
          <w:szCs w:val="24"/>
        </w:rPr>
        <w:t xml:space="preserve"> </w:t>
      </w:r>
      <w:r>
        <w:rPr>
          <w:rFonts w:ascii="Cambria" w:eastAsia="Cambria" w:hAnsi="Cambria" w:cs="Cambria"/>
          <w:b/>
          <w:sz w:val="24"/>
          <w:szCs w:val="24"/>
          <w:u w:val="single"/>
        </w:rPr>
        <w:t>la participación</w:t>
      </w:r>
      <w:r>
        <w:rPr>
          <w:rFonts w:ascii="Cambria" w:eastAsia="Cambria" w:hAnsi="Cambria" w:cs="Cambria"/>
          <w:b/>
          <w:sz w:val="24"/>
          <w:szCs w:val="24"/>
        </w:rPr>
        <w:t xml:space="preserve"> en reuniones pacíficas</w:t>
      </w:r>
      <w:r>
        <w:rPr>
          <w:rFonts w:ascii="Cambria" w:eastAsia="Cambria" w:hAnsi="Cambria" w:cs="Cambria"/>
          <w:b/>
          <w:sz w:val="24"/>
          <w:szCs w:val="24"/>
          <w:u w:val="single"/>
        </w:rPr>
        <w:t>: sin una justificación legítima - como por ejemplo, el cumplimiento de un orden judicial en el marco de una investigación criminal - esta medida no cumple con el requisito de necesidad.  Dado su impacto restrictivo sobre el derecho de reunión, las medidas de vigilancia y monitoreo en redes sociales deben ser siempre excepcionales y estrictamente proporcionales al fin buscado</w:t>
      </w:r>
      <w:r>
        <w:rPr>
          <w:rFonts w:ascii="Cambria" w:eastAsia="Cambria" w:hAnsi="Cambria" w:cs="Cambria"/>
          <w:b/>
          <w:sz w:val="24"/>
          <w:szCs w:val="24"/>
        </w:rPr>
        <w:t>.</w:t>
      </w:r>
      <w:r>
        <w:rPr>
          <w:rFonts w:ascii="Cambria" w:eastAsia="Cambria" w:hAnsi="Cambria" w:cs="Cambria"/>
          <w:b/>
          <w:strike/>
          <w:sz w:val="24"/>
          <w:szCs w:val="24"/>
        </w:rPr>
        <w:t xml:space="preserve"> Se deben ejercer un escrutinio y supervisión independientes sobre l </w:t>
      </w:r>
      <w:r>
        <w:rPr>
          <w:rFonts w:ascii="Cambria" w:eastAsia="Cambria" w:hAnsi="Cambria" w:cs="Cambria"/>
          <w:b/>
          <w:sz w:val="24"/>
          <w:szCs w:val="24"/>
          <w:u w:val="single"/>
        </w:rPr>
        <w:t>L</w:t>
      </w:r>
      <w:r>
        <w:rPr>
          <w:rFonts w:ascii="Cambria" w:eastAsia="Cambria" w:hAnsi="Cambria" w:cs="Cambria"/>
          <w:b/>
          <w:sz w:val="24"/>
          <w:szCs w:val="24"/>
        </w:rPr>
        <w:t>a recolección de información y de datos personales de aquellos que participen en reuniones pacíficas</w:t>
      </w:r>
      <w:r>
        <w:rPr>
          <w:rFonts w:ascii="Cambria" w:eastAsia="Cambria" w:hAnsi="Cambria" w:cs="Cambria"/>
          <w:b/>
          <w:sz w:val="24"/>
          <w:szCs w:val="24"/>
          <w:u w:val="single"/>
        </w:rPr>
        <w:t xml:space="preserve"> solo debe hacerse con fines de investigación de delitos cuando existan sospechas fundadas de participación y bajo condiciones que permitan escrutinio y supervisión independientes. </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72: [La versión en español tiene errores de traducción].  La privacidad de los participantes en una reunión puede verse infringida mediante tecnologías biométricas tales como el reconocimiento facial. Esta es una tecnología de vigilancia en notable aumento a nivel global,</w:t>
      </w:r>
      <w:r>
        <w:rPr>
          <w:rFonts w:ascii="Cambria" w:eastAsia="Cambria" w:hAnsi="Cambria" w:cs="Cambria"/>
          <w:sz w:val="24"/>
          <w:szCs w:val="24"/>
          <w:vertAlign w:val="superscript"/>
        </w:rPr>
        <w:footnoteReference w:id="77"/>
      </w:r>
      <w:r>
        <w:rPr>
          <w:rFonts w:ascii="Cambria" w:eastAsia="Cambria" w:hAnsi="Cambria" w:cs="Cambria"/>
          <w:sz w:val="24"/>
          <w:szCs w:val="24"/>
        </w:rPr>
        <w:t xml:space="preserve"> que conlleva riesgos al ejercicio del derecho a la reunión pacífica una vez que permite la identificación de patrones de movimiento individualizados de todas las personas. Este tipo de tecnologías debe ser utilizado únicamente de forma excepcional, acotada y proporcionada, bajo altos estándares de control y transparencia. El monitoreo de las redes sociales para obtener información sobre participantes en reuniones, a su vez, aun cuando los datos se obtengan de fuentes supuestamente públicas, como redes sociales, pueden representar interferencias indebidas con el ejercicio del derecho de reunión y la libertad de asociación. </w:t>
      </w:r>
    </w:p>
    <w:p w:rsidR="00B15D3D" w:rsidRDefault="00B15D3D" w:rsidP="00B15D3D">
      <w:pPr>
        <w:spacing w:before="240" w:after="120"/>
        <w:jc w:val="both"/>
        <w:rPr>
          <w:rFonts w:ascii="Cambria" w:eastAsia="Cambria" w:hAnsi="Cambria" w:cs="Cambria"/>
          <w:b/>
          <w:sz w:val="24"/>
          <w:szCs w:val="24"/>
        </w:rPr>
      </w:pPr>
      <w:r>
        <w:rPr>
          <w:rFonts w:ascii="Cambria" w:eastAsia="Cambria" w:hAnsi="Cambria" w:cs="Cambria"/>
          <w:b/>
          <w:sz w:val="24"/>
          <w:szCs w:val="24"/>
        </w:rPr>
        <w:t xml:space="preserve">Párrafo 74. </w:t>
      </w:r>
      <w:r>
        <w:rPr>
          <w:rFonts w:ascii="Cambria" w:eastAsia="Cambria" w:hAnsi="Cambria" w:cs="Cambria"/>
          <w:b/>
          <w:sz w:val="24"/>
          <w:szCs w:val="24"/>
        </w:rPr>
        <w:tab/>
        <w:t xml:space="preserve">Requerir que los participantes sufraguen los gastos </w:t>
      </w:r>
      <w:r>
        <w:rPr>
          <w:rFonts w:ascii="Cambria" w:eastAsia="Cambria" w:hAnsi="Cambria" w:cs="Cambria"/>
          <w:b/>
          <w:strike/>
          <w:sz w:val="24"/>
          <w:szCs w:val="24"/>
        </w:rPr>
        <w:t xml:space="preserve">de vigilancia, </w:t>
      </w:r>
      <w:r>
        <w:rPr>
          <w:rFonts w:ascii="Cambria" w:eastAsia="Cambria" w:hAnsi="Cambria" w:cs="Cambria"/>
          <w:b/>
          <w:sz w:val="24"/>
          <w:szCs w:val="24"/>
        </w:rPr>
        <w:t>de seguridad,  de asistencia médica o de limpieza  vinculados a las reuniones pacíficas no es,</w:t>
      </w:r>
      <w:r>
        <w:rPr>
          <w:rFonts w:ascii="Cambria" w:eastAsia="Cambria" w:hAnsi="Cambria" w:cs="Cambria"/>
          <w:b/>
          <w:strike/>
          <w:sz w:val="24"/>
          <w:szCs w:val="24"/>
        </w:rPr>
        <w:t xml:space="preserve"> por lo general</w:t>
      </w:r>
      <w:r>
        <w:rPr>
          <w:rFonts w:ascii="Cambria" w:eastAsia="Cambria" w:hAnsi="Cambria" w:cs="Cambria"/>
          <w:b/>
          <w:sz w:val="24"/>
          <w:szCs w:val="24"/>
        </w:rPr>
        <w:t>, compatible con el artículo 21. Como regla, dichos costes deben sufragarse con fondos públicos y no deben transferirse a los participantes.</w:t>
      </w:r>
    </w:p>
    <w:p w:rsidR="00B15D3D" w:rsidRDefault="00B15D3D" w:rsidP="00B15D3D">
      <w:pPr>
        <w:spacing w:before="240" w:after="12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74 - Suprimir “por lo general”. Suprimir “vigilancia”, no es una tarea del Estado vigilar reuniones </w:t>
      </w:r>
      <w:r>
        <w:rPr>
          <w:rFonts w:ascii="Cambria" w:eastAsia="Cambria" w:hAnsi="Cambria" w:cs="Cambria"/>
          <w:i/>
          <w:sz w:val="24"/>
          <w:szCs w:val="24"/>
        </w:rPr>
        <w:t>per s</w:t>
      </w:r>
      <w:r>
        <w:rPr>
          <w:rFonts w:ascii="Cambria" w:eastAsia="Cambria" w:hAnsi="Cambria" w:cs="Cambria"/>
          <w:sz w:val="24"/>
          <w:szCs w:val="24"/>
        </w:rPr>
        <w:t xml:space="preserve">e. Imponer el requisito de que los participantes y organizadores respondan por los gastos derivados de las reuniones pacíficas no es compatible, de ningún modo, con el artículo 21. Sólo se puede exigir una responsabilidad patrimonial cuando se demuestre la existencia de una conducta individual que haya generado un daño significativo. </w:t>
      </w:r>
    </w:p>
    <w:p w:rsidR="00B15D3D" w:rsidRDefault="00B15D3D" w:rsidP="00B15D3D">
      <w:pPr>
        <w:spacing w:before="240" w:after="12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rPr>
      </w:pPr>
      <w:r>
        <w:rPr>
          <w:rFonts w:ascii="Cambria" w:eastAsia="Cambria" w:hAnsi="Cambria" w:cs="Cambria"/>
          <w:b/>
          <w:sz w:val="24"/>
          <w:szCs w:val="24"/>
        </w:rPr>
        <w:t xml:space="preserve">Párrafo 75. “(…) No se debe imponer </w:t>
      </w:r>
      <w:r>
        <w:rPr>
          <w:rFonts w:ascii="Cambria" w:eastAsia="Cambria" w:hAnsi="Cambria" w:cs="Cambria"/>
          <w:b/>
          <w:strike/>
          <w:sz w:val="24"/>
          <w:szCs w:val="24"/>
        </w:rPr>
        <w:t>como regla general</w:t>
      </w:r>
      <w:r>
        <w:rPr>
          <w:rFonts w:ascii="Cambria" w:eastAsia="Cambria" w:hAnsi="Cambria" w:cs="Cambria"/>
          <w:b/>
          <w:sz w:val="24"/>
          <w:szCs w:val="24"/>
        </w:rPr>
        <w:t xml:space="preserve"> la responsabilidad a los organizadores o a los participantes por los daños causados por otros participantes en una reunión.  </w:t>
      </w:r>
      <w:r>
        <w:rPr>
          <w:rFonts w:ascii="Cambria" w:eastAsia="Cambria" w:hAnsi="Cambria" w:cs="Cambria"/>
          <w:b/>
          <w:strike/>
          <w:sz w:val="24"/>
          <w:szCs w:val="24"/>
        </w:rPr>
        <w:t>En el caso de que así fuese, se debe limitar la responsabilidad a lo que podrían haber previsto y prevenido con esfuerzos razonables</w:t>
      </w:r>
      <w:r>
        <w:rPr>
          <w:rFonts w:ascii="Cambria" w:eastAsia="Cambria" w:hAnsi="Cambria" w:cs="Cambria"/>
          <w:b/>
          <w:sz w:val="24"/>
          <w:szCs w:val="24"/>
        </w:rPr>
        <w:t>. (…)”</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75 - Suprimir “como regla general”, un término que genera confusión sobre las obligaciones del Estado. Suprimir la frase “En el caso de que así fuese, se debe limitar la responsabilidad a lo que podrían haber previsto y prevenido con esfuerzos razonables”. Este estándar es contrario a los estándares más recientes sobre criminalización de defensores y crea un criterio poco definido para habilitarla - el “haber podido prever o prevenir con esfuerzos razonables” - que abre un amplio margen de discrecionalidad estatal.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u w:val="single"/>
        </w:rPr>
      </w:pPr>
      <w:r>
        <w:rPr>
          <w:rFonts w:ascii="Cambria" w:eastAsia="Cambria" w:hAnsi="Cambria" w:cs="Cambria"/>
          <w:b/>
          <w:sz w:val="24"/>
          <w:szCs w:val="24"/>
        </w:rPr>
        <w:t xml:space="preserve">Párrafo 76. Cuando se imponen sanciones penales o administrativas contra participantes de reuniones pacíficas, dichas sanciones deben ser proporcionales y no pueden aplicarse cuando su conducta esté protegida por el derecho. </w:t>
      </w:r>
      <w:r>
        <w:rPr>
          <w:rFonts w:ascii="Cambria" w:eastAsia="Cambria" w:hAnsi="Cambria" w:cs="Cambria"/>
          <w:b/>
          <w:sz w:val="24"/>
          <w:szCs w:val="24"/>
          <w:u w:val="single"/>
        </w:rPr>
        <w:t xml:space="preserve">Los funcionarios encargados de imponer sanciones penales o administrativas deben dar inicio a dichos procesos solamente cuando haya motivos razonables y suficientemente fundados de la existencia de conductas individuales que puedan constituir un delito o una contravención. El derecho penal y el derecho administrativo no pueden ser usados de manera instrumental para criminalizar, estigmatizar, perseguir o intimidar a quienes ejercen el derecho de reunión; tampoco para desincentivar o inhibir la participación de otras personas a futuro. Cualquier uso arbitrario de las sanciones penales o administrativas contra participantes de reuniones pacíficas por parte de los funcionarios encargados deben ser investigadas. </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u w:val="single"/>
        </w:rPr>
        <w:t xml:space="preserve">JUSTIFICACIÓN </w:t>
      </w:r>
      <w:r>
        <w:rPr>
          <w:rFonts w:ascii="Cambria" w:eastAsia="Cambria" w:hAnsi="Cambria" w:cs="Cambria"/>
          <w:sz w:val="24"/>
          <w:szCs w:val="24"/>
        </w:rPr>
        <w:t xml:space="preserve">párrafo 76 - El borrador debe enfocarse detalladamente en los riesgos de criminalización de las reuniones o protestas a través de la imposición arbitraria de sanciones penales o administrativas a participantes de reuniones pacíficas. Asimismo, establecer que los funcionarios encargados de administrar justicia o de imponer este tipo de sanciones también están obligados a proteger y garantizar el derecho a la reunión de todas las personas.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jc w:val="both"/>
        <w:rPr>
          <w:rFonts w:ascii="Cambria" w:eastAsia="Cambria" w:hAnsi="Cambria" w:cs="Cambria"/>
          <w:b/>
          <w:sz w:val="24"/>
          <w:szCs w:val="24"/>
        </w:rPr>
      </w:pPr>
      <w:r>
        <w:rPr>
          <w:rFonts w:ascii="Cambria" w:eastAsia="Cambria" w:hAnsi="Cambria" w:cs="Cambria"/>
          <w:b/>
          <w:sz w:val="24"/>
          <w:szCs w:val="24"/>
        </w:rPr>
        <w:t xml:space="preserve">Párrafo 80.    Los sistemas de notificación implican que aquellos que tengan la intención de organizar una reunión pacífica </w:t>
      </w:r>
      <w:r>
        <w:rPr>
          <w:rFonts w:ascii="Cambria" w:eastAsia="Cambria" w:hAnsi="Cambria" w:cs="Cambria"/>
          <w:b/>
          <w:strike/>
          <w:sz w:val="24"/>
          <w:szCs w:val="24"/>
        </w:rPr>
        <w:t>deben, en consecuencia,</w:t>
      </w:r>
      <w:r>
        <w:rPr>
          <w:rFonts w:ascii="Cambria" w:eastAsia="Cambria" w:hAnsi="Cambria" w:cs="Cambria"/>
          <w:b/>
          <w:sz w:val="24"/>
          <w:szCs w:val="24"/>
        </w:rPr>
        <w:t xml:space="preserve"> </w:t>
      </w:r>
      <w:r>
        <w:rPr>
          <w:rFonts w:ascii="Cambria" w:eastAsia="Cambria" w:hAnsi="Cambria" w:cs="Cambria"/>
          <w:b/>
          <w:sz w:val="24"/>
          <w:szCs w:val="24"/>
          <w:u w:val="single"/>
        </w:rPr>
        <w:t xml:space="preserve">pueden </w:t>
      </w:r>
      <w:r>
        <w:rPr>
          <w:rFonts w:ascii="Cambria" w:eastAsia="Cambria" w:hAnsi="Cambria" w:cs="Cambria"/>
          <w:b/>
          <w:sz w:val="24"/>
          <w:szCs w:val="24"/>
        </w:rPr>
        <w:t xml:space="preserve">informar a las autoridades por adelantado y proporcionar algunos hechos destacados. Este requerimiento es admisible en la medida en la que sea necesario para ayudar a las autoridades a facilitar el buen desarrollo de las reuniones pacíficas y proteger los derechos de los demás. Al mismo tiempo, este requisito </w:t>
      </w:r>
      <w:r>
        <w:rPr>
          <w:rFonts w:ascii="Cambria" w:eastAsia="Cambria" w:hAnsi="Cambria" w:cs="Cambria"/>
          <w:b/>
          <w:strike/>
          <w:sz w:val="24"/>
          <w:szCs w:val="24"/>
        </w:rPr>
        <w:t>puede ser</w:t>
      </w:r>
      <w:r>
        <w:rPr>
          <w:rFonts w:ascii="Cambria" w:eastAsia="Cambria" w:hAnsi="Cambria" w:cs="Cambria"/>
          <w:b/>
          <w:sz w:val="24"/>
          <w:szCs w:val="24"/>
        </w:rPr>
        <w:t xml:space="preserve"> </w:t>
      </w:r>
      <w:r>
        <w:rPr>
          <w:rFonts w:ascii="Cambria" w:eastAsia="Cambria" w:hAnsi="Cambria" w:cs="Cambria"/>
          <w:b/>
          <w:sz w:val="24"/>
          <w:szCs w:val="24"/>
          <w:u w:val="single"/>
        </w:rPr>
        <w:t>no debe ser</w:t>
      </w:r>
      <w:r>
        <w:rPr>
          <w:rFonts w:ascii="Cambria" w:eastAsia="Cambria" w:hAnsi="Cambria" w:cs="Cambria"/>
          <w:b/>
          <w:sz w:val="24"/>
          <w:szCs w:val="24"/>
        </w:rPr>
        <w:t xml:space="preserve"> </w:t>
      </w:r>
      <w:r>
        <w:rPr>
          <w:rFonts w:ascii="Cambria" w:eastAsia="Cambria" w:hAnsi="Cambria" w:cs="Cambria"/>
          <w:b/>
          <w:strike/>
          <w:sz w:val="24"/>
          <w:szCs w:val="24"/>
        </w:rPr>
        <w:t xml:space="preserve">mal </w:t>
      </w:r>
      <w:r>
        <w:rPr>
          <w:rFonts w:ascii="Cambria" w:eastAsia="Cambria" w:hAnsi="Cambria" w:cs="Cambria"/>
          <w:b/>
          <w:sz w:val="24"/>
          <w:szCs w:val="24"/>
        </w:rPr>
        <w:t xml:space="preserve">empleado para reprimir las reuniones </w:t>
      </w:r>
      <w:r>
        <w:rPr>
          <w:rFonts w:ascii="Cambria" w:eastAsia="Cambria" w:hAnsi="Cambria" w:cs="Cambria"/>
          <w:b/>
          <w:strike/>
          <w:sz w:val="24"/>
          <w:szCs w:val="24"/>
        </w:rPr>
        <w:t>pacíficas</w:t>
      </w:r>
      <w:r>
        <w:rPr>
          <w:rFonts w:ascii="Cambria" w:eastAsia="Cambria" w:hAnsi="Cambria" w:cs="Cambria"/>
          <w:b/>
          <w:sz w:val="24"/>
          <w:szCs w:val="24"/>
        </w:rPr>
        <w:t>. Como ocurre con otras injerencias al derecho de reunión, se deben justificar los requisitos de notificación en base a los motivos enumerados en el artículo 21. La aplicación de los requisitos de notificación no debe convertirse en un fin en sí mismo. Los procedimientos de notificación no deben ser indebidamente onerosos y deben ser proporcionales a las posibles repercusiones públicas de la reunión en cuestión.</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u w:val="single"/>
        </w:rPr>
        <w:t>JUSTIFICACIÓN</w:t>
      </w:r>
      <w:r>
        <w:rPr>
          <w:rFonts w:ascii="Cambria" w:eastAsia="Cambria" w:hAnsi="Cambria" w:cs="Cambria"/>
          <w:sz w:val="24"/>
          <w:szCs w:val="24"/>
        </w:rPr>
        <w:t xml:space="preserve"> párrafo 80- Los sistemas de notificación no pueden ser entendidos como un requisito o una obligación para los organizadores de las reuniones, sino como una posibilidad orientada a que las autoridades puedan garantizar los derechos de todos los participantes de la reunión. La falta de notificación o aviso previo no debe ser usada nunca para criminalizar a los participantes u organizadores. Las reuniones que no fueron notificadas también están bajo la protección del Artículo 21 del Pacto.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u w:val="single"/>
        </w:rPr>
      </w:pPr>
      <w:r>
        <w:rPr>
          <w:rFonts w:ascii="Cambria" w:eastAsia="Cambria" w:hAnsi="Cambria" w:cs="Cambria"/>
          <w:b/>
          <w:sz w:val="24"/>
          <w:szCs w:val="24"/>
        </w:rPr>
        <w:t xml:space="preserve">Párrafo 84. </w:t>
      </w:r>
      <w:r>
        <w:rPr>
          <w:rFonts w:ascii="Cambria" w:eastAsia="Cambria" w:hAnsi="Cambria" w:cs="Cambria"/>
          <w:b/>
          <w:sz w:val="24"/>
          <w:szCs w:val="24"/>
        </w:rPr>
        <w:tab/>
        <w:t xml:space="preserve">Los regímenes de autorización, mediante los que aquellos que desean reunirse deben solicitar la autorización (o el permiso) de las autoridades, socavan la idea de que las reuniones pacíficas son un derecho básico, </w:t>
      </w:r>
      <w:r>
        <w:rPr>
          <w:rFonts w:ascii="Cambria" w:eastAsia="Cambria" w:hAnsi="Cambria" w:cs="Cambria"/>
          <w:b/>
          <w:sz w:val="24"/>
          <w:szCs w:val="24"/>
          <w:u w:val="single"/>
        </w:rPr>
        <w:t>son incompatibles con la garantía del derecho de reunión</w:t>
      </w:r>
      <w:r>
        <w:rPr>
          <w:rFonts w:ascii="Cambria" w:eastAsia="Cambria" w:hAnsi="Cambria" w:cs="Cambria"/>
          <w:b/>
          <w:sz w:val="24"/>
          <w:szCs w:val="24"/>
        </w:rPr>
        <w:t xml:space="preserve">.  </w:t>
      </w:r>
      <w:r>
        <w:rPr>
          <w:rFonts w:ascii="Cambria" w:eastAsia="Cambria" w:hAnsi="Cambria" w:cs="Cambria"/>
          <w:b/>
          <w:strike/>
          <w:sz w:val="24"/>
          <w:szCs w:val="24"/>
        </w:rPr>
        <w:t xml:space="preserve">Cuando </w:t>
      </w:r>
      <w:r>
        <w:rPr>
          <w:rFonts w:ascii="Cambria" w:eastAsia="Cambria" w:hAnsi="Cambria" w:cs="Cambria"/>
          <w:b/>
          <w:sz w:val="24"/>
          <w:szCs w:val="24"/>
          <w:u w:val="single"/>
        </w:rPr>
        <w:t xml:space="preserve">En los Estados donde </w:t>
      </w:r>
      <w:r>
        <w:rPr>
          <w:rFonts w:ascii="Cambria" w:eastAsia="Cambria" w:hAnsi="Cambria" w:cs="Cambria"/>
          <w:b/>
          <w:sz w:val="24"/>
          <w:szCs w:val="24"/>
        </w:rPr>
        <w:t xml:space="preserve">persistan dichos requisitos, deben </w:t>
      </w:r>
      <w:r>
        <w:rPr>
          <w:rFonts w:ascii="Cambria" w:eastAsia="Cambria" w:hAnsi="Cambria" w:cs="Cambria"/>
          <w:b/>
          <w:strike/>
          <w:sz w:val="24"/>
          <w:szCs w:val="24"/>
        </w:rPr>
        <w:t>funcionar en la práctica como un sistema de notificación cuya autorización se concede de forma automática en ausencia de razones de peso para lo contrario</w:t>
      </w:r>
      <w:r>
        <w:rPr>
          <w:rFonts w:ascii="Cambria" w:eastAsia="Cambria" w:hAnsi="Cambria" w:cs="Cambria"/>
          <w:b/>
          <w:sz w:val="24"/>
          <w:szCs w:val="24"/>
        </w:rPr>
        <w:t xml:space="preserve"> </w:t>
      </w:r>
      <w:r>
        <w:rPr>
          <w:rFonts w:ascii="Cambria" w:eastAsia="Cambria" w:hAnsi="Cambria" w:cs="Cambria"/>
          <w:b/>
          <w:sz w:val="24"/>
          <w:szCs w:val="24"/>
          <w:u w:val="single"/>
        </w:rPr>
        <w:t>ser eliminados.</w:t>
      </w:r>
      <w:r>
        <w:rPr>
          <w:rFonts w:ascii="Cambria" w:eastAsia="Cambria" w:hAnsi="Cambria" w:cs="Cambria"/>
          <w:b/>
          <w:sz w:val="24"/>
          <w:szCs w:val="24"/>
        </w:rPr>
        <w:t xml:space="preserve"> </w:t>
      </w:r>
      <w:r>
        <w:rPr>
          <w:rFonts w:ascii="Cambria" w:eastAsia="Cambria" w:hAnsi="Cambria" w:cs="Cambria"/>
          <w:b/>
          <w:strike/>
          <w:sz w:val="24"/>
          <w:szCs w:val="24"/>
        </w:rPr>
        <w:t xml:space="preserve">Dichos sistemas tampoco deben ser excesivamente burocráticos. </w:t>
      </w:r>
      <w:r>
        <w:rPr>
          <w:rFonts w:ascii="Cambria" w:eastAsia="Cambria" w:hAnsi="Cambria" w:cs="Cambria"/>
          <w:b/>
          <w:sz w:val="24"/>
          <w:szCs w:val="24"/>
        </w:rPr>
        <w:t xml:space="preserve"> Los regímenes de notificación, por su parte, no deben funcionar en la práctica como sistemas de autorización. </w:t>
      </w:r>
      <w:r>
        <w:rPr>
          <w:rFonts w:ascii="Cambria" w:eastAsia="Cambria" w:hAnsi="Cambria" w:cs="Cambria"/>
          <w:b/>
          <w:sz w:val="24"/>
          <w:szCs w:val="24"/>
          <w:u w:val="single"/>
        </w:rPr>
        <w:t>Sólo están justificados con base en finalidades legítimas como la garantía de los derechos de los participantes durante el desarrollo de la reunión. Dichos sistemas de notificación no pueden convertirse en un obstáculo para la reunión. De igual modo, ninguna reunión puede ser restringida sólo por la ausencia de notificación o aviso previo.</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rPr>
        <w:t xml:space="preserve">JUSTIFICACIÓN párrafo 84- Debe quedar claro que los regímenes de autorización son incompatibles con el ejercicio del derecho de reunión pacífica. Donde existan deben ser eliminados. Además, es necesario profundizar en materia de los sistemas de notificación o aviso previo.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rPr>
      </w:pPr>
      <w:r>
        <w:rPr>
          <w:rFonts w:ascii="Cambria" w:eastAsia="Cambria" w:hAnsi="Cambria" w:cs="Cambria"/>
          <w:b/>
          <w:sz w:val="24"/>
          <w:szCs w:val="24"/>
        </w:rPr>
        <w:t xml:space="preserve">Párrafo 88: </w:t>
      </w:r>
      <w:r>
        <w:rPr>
          <w:rFonts w:ascii="Cambria" w:eastAsia="Cambria" w:hAnsi="Cambria" w:cs="Cambria"/>
          <w:b/>
          <w:sz w:val="24"/>
          <w:szCs w:val="24"/>
          <w:u w:val="single"/>
        </w:rPr>
        <w:t>Las obligaciones positivas del Estado de garantizar el derecho de reunión exigen que</w:t>
      </w:r>
      <w:r>
        <w:rPr>
          <w:rFonts w:ascii="Cambria" w:eastAsia="Cambria" w:hAnsi="Cambria" w:cs="Cambria"/>
          <w:b/>
          <w:strike/>
          <w:sz w:val="24"/>
          <w:szCs w:val="24"/>
          <w:u w:val="single"/>
        </w:rPr>
        <w:t xml:space="preserve"> </w:t>
      </w:r>
      <w:r>
        <w:rPr>
          <w:rFonts w:ascii="Cambria" w:eastAsia="Cambria" w:hAnsi="Cambria" w:cs="Cambria"/>
          <w:b/>
          <w:strike/>
          <w:sz w:val="24"/>
          <w:szCs w:val="24"/>
        </w:rPr>
        <w:t xml:space="preserve">L </w:t>
      </w:r>
      <w:r>
        <w:rPr>
          <w:rFonts w:ascii="Cambria" w:eastAsia="Cambria" w:hAnsi="Cambria" w:cs="Cambria"/>
          <w:b/>
          <w:sz w:val="24"/>
          <w:szCs w:val="24"/>
          <w:u w:val="single"/>
        </w:rPr>
        <w:t>l</w:t>
      </w:r>
      <w:r>
        <w:rPr>
          <w:rFonts w:ascii="Cambria" w:eastAsia="Cambria" w:hAnsi="Cambria" w:cs="Cambria"/>
          <w:b/>
          <w:sz w:val="24"/>
          <w:szCs w:val="24"/>
        </w:rPr>
        <w:t xml:space="preserve">os organismos competentes encargados de hacer cumplir la ley </w:t>
      </w:r>
      <w:r>
        <w:rPr>
          <w:rFonts w:ascii="Cambria" w:eastAsia="Cambria" w:hAnsi="Cambria" w:cs="Cambria"/>
          <w:b/>
          <w:strike/>
          <w:sz w:val="24"/>
          <w:szCs w:val="24"/>
        </w:rPr>
        <w:t xml:space="preserve">deben elaborar </w:t>
      </w:r>
      <w:r>
        <w:rPr>
          <w:rFonts w:ascii="Cambria" w:eastAsia="Cambria" w:hAnsi="Cambria" w:cs="Cambria"/>
          <w:b/>
          <w:sz w:val="24"/>
          <w:szCs w:val="24"/>
        </w:rPr>
        <w:t xml:space="preserve"> elaboren planes de contingencia y protocolos de capacitación </w:t>
      </w:r>
      <w:r>
        <w:rPr>
          <w:rFonts w:ascii="Cambria" w:eastAsia="Cambria" w:hAnsi="Cambria" w:cs="Cambria"/>
          <w:b/>
          <w:strike/>
          <w:sz w:val="24"/>
          <w:szCs w:val="24"/>
        </w:rPr>
        <w:t xml:space="preserve">más genéricos, en particular </w:t>
      </w:r>
      <w:r>
        <w:rPr>
          <w:rFonts w:ascii="Cambria" w:eastAsia="Cambria" w:hAnsi="Cambria" w:cs="Cambria"/>
          <w:b/>
          <w:sz w:val="24"/>
          <w:szCs w:val="24"/>
        </w:rPr>
        <w:t xml:space="preserve">para la </w:t>
      </w:r>
      <w:r>
        <w:rPr>
          <w:rFonts w:ascii="Cambria" w:eastAsia="Cambria" w:hAnsi="Cambria" w:cs="Cambria"/>
          <w:b/>
          <w:strike/>
          <w:sz w:val="24"/>
          <w:szCs w:val="24"/>
        </w:rPr>
        <w:t xml:space="preserve">vigilancia </w:t>
      </w:r>
      <w:r>
        <w:rPr>
          <w:rFonts w:ascii="Cambria" w:eastAsia="Cambria" w:hAnsi="Cambria" w:cs="Cambria"/>
          <w:b/>
          <w:sz w:val="24"/>
          <w:szCs w:val="24"/>
          <w:u w:val="single"/>
        </w:rPr>
        <w:t xml:space="preserve">facilitación </w:t>
      </w:r>
      <w:r>
        <w:rPr>
          <w:rFonts w:ascii="Cambria" w:eastAsia="Cambria" w:hAnsi="Cambria" w:cs="Cambria"/>
          <w:b/>
          <w:sz w:val="24"/>
          <w:szCs w:val="24"/>
        </w:rPr>
        <w:t xml:space="preserve">de reuniones </w:t>
      </w:r>
      <w:r>
        <w:rPr>
          <w:rFonts w:ascii="Cambria" w:eastAsia="Cambria" w:hAnsi="Cambria" w:cs="Cambria"/>
          <w:b/>
          <w:strike/>
          <w:sz w:val="24"/>
          <w:szCs w:val="24"/>
        </w:rPr>
        <w:t>de las que las autoridades no tengan notificación previa y que puedan afectar el orden público</w:t>
      </w:r>
      <w:r>
        <w:rPr>
          <w:rFonts w:ascii="Cambria" w:eastAsia="Cambria" w:hAnsi="Cambria" w:cs="Cambria"/>
          <w:b/>
          <w:sz w:val="24"/>
          <w:szCs w:val="24"/>
        </w:rPr>
        <w:t>. Esto incluye reuniones y contrarreuniones espontáneas. Deben existir estructuras de mando claras que sustenten la rendición de cuentas, así como protocolos para el registro y la documentación de los acontecimientos, asegurando la identificación de los funcionarios encargados de hacer cumplir la ley y notificando todo uso de la fuerza.</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rPr>
        <w:t xml:space="preserve">JUSTIFICACIÓN párrafo 88 - El párrafo vincula la ausencia de notificación previa, procedimiento que no debiera ser obligatorio sino servir para la protección de los participantes en una reunión,  al desarrollo de medidas de vigilancia y protección del orden público. Este vínculo entre afectación del orden público y la ausencia de notificación representa un riesgo y un retroceso en relación a los estándares establecidos sobre el tema.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rPr>
      </w:pPr>
      <w:r>
        <w:rPr>
          <w:rFonts w:ascii="Cambria" w:eastAsia="Cambria" w:hAnsi="Cambria" w:cs="Cambria"/>
          <w:b/>
          <w:sz w:val="24"/>
          <w:szCs w:val="24"/>
        </w:rPr>
        <w:t>Párrafo 89. En el desempeño de sus funciones, los funcionarios encargados de hacer cumplir la ley están obligados,</w:t>
      </w:r>
      <w:r>
        <w:rPr>
          <w:rFonts w:ascii="Cambria" w:eastAsia="Cambria" w:hAnsi="Cambria" w:cs="Cambria"/>
          <w:b/>
          <w:strike/>
          <w:sz w:val="24"/>
          <w:szCs w:val="24"/>
        </w:rPr>
        <w:t xml:space="preserve"> en la medida de lo posible</w:t>
      </w:r>
      <w:r>
        <w:rPr>
          <w:rFonts w:ascii="Cambria" w:eastAsia="Cambria" w:hAnsi="Cambria" w:cs="Cambria"/>
          <w:b/>
          <w:sz w:val="24"/>
          <w:szCs w:val="24"/>
        </w:rPr>
        <w:t>, a utilizar medios no violentos antes de recurrir, cuando sea absolutamente necesario, al uso de la fuerza. En cualquier caso, todo uso de la fuerza debe cumplir con los principios de legalidad, necesidad, proporcionalidad, precaución y no discriminación aplicables a los artículos 6 y 7 del Pacto y quienes hagan uso de la fuerza deben rendir cuentas por cada uso.</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rPr>
        <w:t xml:space="preserve">JUSTIFICACIÓN párrafo 89. Suprimir “en la medida de lo posible”. Los funcionarios encargados de hacer cumplir la ley siempre deben agotar todos los medios no violentos antes de recurrir al uso de la fuerza. No debe existir un margen de posibilidad.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u w:val="single"/>
        </w:rPr>
      </w:pPr>
      <w:r>
        <w:rPr>
          <w:rFonts w:ascii="Cambria" w:eastAsia="Cambria" w:hAnsi="Cambria" w:cs="Cambria"/>
          <w:b/>
          <w:sz w:val="24"/>
          <w:szCs w:val="24"/>
        </w:rPr>
        <w:t xml:space="preserve">Párrafo 90. Cuando sea legal y se requiera la detención de ciertos participantes o la dispersión de una reunión, dichas acciones deben cumplir con la legislación internacional y basarse en las disposiciones del derecho nacional con respecto al uso permisible de la fuerza </w:t>
      </w:r>
      <w:r>
        <w:rPr>
          <w:rFonts w:ascii="Cambria" w:eastAsia="Cambria" w:hAnsi="Cambria" w:cs="Cambria"/>
          <w:b/>
          <w:sz w:val="24"/>
          <w:szCs w:val="24"/>
          <w:u w:val="single"/>
        </w:rPr>
        <w:t>y a las debidas garantías procesales, incluido el principio de legalidad</w:t>
      </w:r>
      <w:r>
        <w:rPr>
          <w:rFonts w:ascii="Cambria" w:eastAsia="Cambria" w:hAnsi="Cambria" w:cs="Cambria"/>
          <w:b/>
          <w:sz w:val="24"/>
          <w:szCs w:val="24"/>
        </w:rPr>
        <w:t xml:space="preserve">.  Los regímenes de jurisdicción interna sobre el uso de la fuerza por parte de los funcionarios encargados de hacer cumplir la ley deben estar acordes con los requisitos establecidos por el derecho internacional o armonizarse en el caso contrario. La legislación nacional no debe conceder poderes prácticamente ilimitados a los agentes para, por ejemplo, utilizar la "fuerza" o "toda fuerza necesaria" para dispersar reuniones o para "disparar a las piernas". En particular, la legislación nacional no debe permitir el uso de la fuerza de forma arbitraria, excesiva o discriminatoria contra los participantes en una reunión. </w:t>
      </w:r>
      <w:r>
        <w:rPr>
          <w:rFonts w:ascii="Cambria" w:eastAsia="Cambria" w:hAnsi="Cambria" w:cs="Cambria"/>
          <w:b/>
          <w:sz w:val="24"/>
          <w:szCs w:val="24"/>
          <w:u w:val="single"/>
        </w:rPr>
        <w:t>Una vez las personas se encuentran detenidas, sus derechos a la vida, a la integridad personal, a la no discriminación, a la privacidad y a no ser sometidos a tortura o tratos o penas crueles, inhumanas o degradantes siguen siendo objeto de protección. La detención no puede ser usada por los funcionarios encargados de hacer cumplir la ley para castigar, reprimir o estigmatizar a los participantes ni para desincentivar futuras reuniones. Cualquier caso de detención arbitraria debe ser investigado y sancionado.</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u w:val="single"/>
        </w:rPr>
        <w:t>SUGERENCIA</w:t>
      </w:r>
      <w:r>
        <w:rPr>
          <w:rFonts w:ascii="Cambria" w:eastAsia="Cambria" w:hAnsi="Cambria" w:cs="Cambria"/>
          <w:sz w:val="24"/>
          <w:szCs w:val="24"/>
        </w:rPr>
        <w:t xml:space="preserve"> párrafo 90- La detención tiene implicaciones y consecuencias que van mucho más allá de las relacionadas con los criterios de uso de fuerza. Es necesario aclarar que las detenciones no pueden ser usadas como un castigo para quienes ejercen el derecho a la reunión ya que esto genera un gran impacto negativo en la participación en reuniones futuras. Además, todas las personas detenidas siguen gozando de sus derechos fundamentales y se les debe respetar las garantías procesales.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rPr>
      </w:pPr>
      <w:r>
        <w:rPr>
          <w:rFonts w:ascii="Cambria" w:eastAsia="Cambria" w:hAnsi="Cambria" w:cs="Cambria"/>
          <w:b/>
          <w:sz w:val="24"/>
          <w:szCs w:val="24"/>
        </w:rPr>
        <w:t xml:space="preserve">Párrafo 92. Siempre que sea posible, solo se debe desplegar para ese fin a aquellos funcionarios encargados de hacer cumplir la ley que hayan recibido la capacitación para la vigilancia en reuniones. </w:t>
      </w:r>
      <w:r>
        <w:rPr>
          <w:rFonts w:ascii="Cambria" w:eastAsia="Cambria" w:hAnsi="Cambria" w:cs="Cambria"/>
          <w:b/>
          <w:strike/>
          <w:sz w:val="24"/>
          <w:szCs w:val="24"/>
        </w:rPr>
        <w:t>Por regla general, no se debe utilizar a militares para mantener el orden en reuniones.</w:t>
      </w:r>
      <w:r>
        <w:rPr>
          <w:rFonts w:ascii="Cambria" w:eastAsia="Cambria" w:hAnsi="Cambria" w:cs="Cambria"/>
          <w:b/>
          <w:sz w:val="24"/>
          <w:szCs w:val="24"/>
        </w:rPr>
        <w:t xml:space="preserve"> </w:t>
      </w:r>
      <w:r>
        <w:rPr>
          <w:rFonts w:ascii="Cambria" w:eastAsia="Cambria" w:hAnsi="Cambria" w:cs="Cambria"/>
          <w:b/>
          <w:sz w:val="24"/>
          <w:szCs w:val="24"/>
          <w:u w:val="single"/>
        </w:rPr>
        <w:t>Los Estados deben limitar al máximo el uso de las fuerzas armadas para el control de disturbios internos, puesto que el entrenamiento que reciben está dirigido a derrotar al enemigo, y no a la protección de civiles, entrenamiento que es propio de los entes policiales</w:t>
      </w:r>
      <w:r>
        <w:rPr>
          <w:rFonts w:ascii="Cambria" w:eastAsia="Cambria" w:hAnsi="Cambria" w:cs="Cambria"/>
          <w:b/>
          <w:sz w:val="24"/>
          <w:szCs w:val="24"/>
          <w:u w:val="single"/>
          <w:vertAlign w:val="superscript"/>
        </w:rPr>
        <w:footnoteReference w:id="78"/>
      </w:r>
      <w:r>
        <w:rPr>
          <w:rFonts w:ascii="Cambria" w:eastAsia="Cambria" w:hAnsi="Cambria" w:cs="Cambria"/>
          <w:b/>
          <w:sz w:val="24"/>
          <w:szCs w:val="24"/>
          <w:u w:val="single"/>
        </w:rPr>
        <w:t>. Dado el interés social que tiene el derecho de reunión para la vida democrática, en el ámbito específico de las manifestaciones adquieren mayor fuerza las razones para que se excluya la participación de militares.</w:t>
      </w:r>
      <w:r>
        <w:rPr>
          <w:rFonts w:ascii="Cambria" w:eastAsia="Cambria" w:hAnsi="Cambria" w:cs="Cambria"/>
          <w:b/>
          <w:sz w:val="24"/>
          <w:szCs w:val="24"/>
          <w:u w:val="single"/>
          <w:vertAlign w:val="superscript"/>
        </w:rPr>
        <w:footnoteReference w:id="79"/>
      </w:r>
      <w:r>
        <w:rPr>
          <w:rFonts w:ascii="Cambria" w:eastAsia="Cambria" w:hAnsi="Cambria" w:cs="Cambria"/>
          <w:b/>
          <w:sz w:val="24"/>
          <w:szCs w:val="24"/>
          <w:u w:val="single"/>
        </w:rPr>
        <w:t xml:space="preserve"> </w:t>
      </w:r>
      <w:r>
        <w:rPr>
          <w:rFonts w:ascii="Cambria" w:eastAsia="Cambria" w:hAnsi="Cambria" w:cs="Cambria"/>
          <w:b/>
          <w:sz w:val="24"/>
          <w:szCs w:val="24"/>
        </w:rPr>
        <w:t xml:space="preserve">Los funcionarios encargados de hacer cumplir la ley responsables de la vigilancia en reuniones deben estar equipados debidamente, incluso, cuando se requiera, con armas menos </w:t>
      </w:r>
      <w:r>
        <w:rPr>
          <w:rFonts w:ascii="Cambria" w:eastAsia="Cambria" w:hAnsi="Cambria" w:cs="Cambria"/>
          <w:b/>
          <w:sz w:val="24"/>
          <w:szCs w:val="24"/>
          <w:u w:val="single"/>
        </w:rPr>
        <w:t xml:space="preserve">letales </w:t>
      </w:r>
      <w:r>
        <w:rPr>
          <w:rFonts w:ascii="Cambria" w:eastAsia="Cambria" w:hAnsi="Cambria" w:cs="Cambria"/>
          <w:b/>
          <w:strike/>
          <w:sz w:val="24"/>
          <w:szCs w:val="24"/>
        </w:rPr>
        <w:t xml:space="preserve">mortíferas </w:t>
      </w:r>
      <w:r>
        <w:rPr>
          <w:rFonts w:ascii="Cambria" w:eastAsia="Cambria" w:hAnsi="Cambria" w:cs="Cambria"/>
          <w:b/>
          <w:sz w:val="24"/>
          <w:szCs w:val="24"/>
        </w:rPr>
        <w:t>apropiadas y con un equipo de protección personal adecuado. Los Estados partes deben velar por que todas las armas, incluyendo las menos mortíferas, sean sometidas a controles independientes estrictos y deben evaluar y controlar el impacto que ocasionan en los derechos a la vida y a la integridad corporal, así como al bienestar mental de los afectados.</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rPr>
        <w:t xml:space="preserve">JUSTIFICACIÓN párrafo 92: La militarización de la respuesta estatal a las manifestaciones es un patrón grave, que reduce las posibilidades de la gestión y canalización pacífica de los conflictos sociales. El tipo de entrenamiento que reciben las fuerzas armadas no es compatible con el cumplimiento por parte del Estado de su obligación de protección del derecho de reunión pacífica establecido en el artículo 21.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rPr>
      </w:pPr>
      <w:r>
        <w:rPr>
          <w:rFonts w:ascii="Cambria" w:eastAsia="Cambria" w:hAnsi="Cambria" w:cs="Cambria"/>
          <w:b/>
          <w:sz w:val="24"/>
          <w:szCs w:val="24"/>
        </w:rPr>
        <w:t xml:space="preserve">Párrafo 93. La detención preventiva de determinadas personas con el fin de evitar su participación en las reuniones puede constituir una privación arbitraria de la libertad, que es incompatible con el derecho de reunión pacífica. Solo puede llevarse a cabo en casos excepcionales cuando las autoridades tengan conocimiento efectivo de la </w:t>
      </w:r>
      <w:r>
        <w:rPr>
          <w:rFonts w:ascii="Cambria" w:eastAsia="Cambria" w:hAnsi="Cambria" w:cs="Cambria"/>
          <w:b/>
          <w:strike/>
          <w:sz w:val="24"/>
          <w:szCs w:val="24"/>
        </w:rPr>
        <w:t>intención de los individuos implicados en la creación o incitación</w:t>
      </w:r>
      <w:r>
        <w:rPr>
          <w:rFonts w:ascii="Cambria" w:eastAsia="Cambria" w:hAnsi="Cambria" w:cs="Cambria"/>
          <w:b/>
          <w:sz w:val="24"/>
          <w:szCs w:val="24"/>
        </w:rPr>
        <w:t xml:space="preserve"> </w:t>
      </w:r>
      <w:r>
        <w:rPr>
          <w:rFonts w:ascii="Cambria" w:eastAsia="Cambria" w:hAnsi="Cambria" w:cs="Cambria"/>
          <w:b/>
          <w:sz w:val="24"/>
          <w:szCs w:val="24"/>
          <w:u w:val="single"/>
        </w:rPr>
        <w:t xml:space="preserve">inminencia </w:t>
      </w:r>
      <w:r>
        <w:rPr>
          <w:rFonts w:ascii="Cambria" w:eastAsia="Cambria" w:hAnsi="Cambria" w:cs="Cambria"/>
          <w:b/>
          <w:sz w:val="24"/>
          <w:szCs w:val="24"/>
        </w:rPr>
        <w:t xml:space="preserve">de </w:t>
      </w:r>
      <w:r>
        <w:rPr>
          <w:rFonts w:ascii="Cambria" w:eastAsia="Cambria" w:hAnsi="Cambria" w:cs="Cambria"/>
          <w:b/>
          <w:sz w:val="24"/>
          <w:szCs w:val="24"/>
          <w:u w:val="single"/>
        </w:rPr>
        <w:t>la comisión</w:t>
      </w:r>
      <w:r>
        <w:rPr>
          <w:rFonts w:ascii="Cambria" w:eastAsia="Cambria" w:hAnsi="Cambria" w:cs="Cambria"/>
          <w:b/>
          <w:sz w:val="24"/>
          <w:szCs w:val="24"/>
        </w:rPr>
        <w:t xml:space="preserve"> durante una reunión </w:t>
      </w:r>
      <w:r>
        <w:rPr>
          <w:rFonts w:ascii="Cambria" w:eastAsia="Cambria" w:hAnsi="Cambria" w:cs="Cambria"/>
          <w:b/>
          <w:sz w:val="24"/>
          <w:szCs w:val="24"/>
          <w:u w:val="single"/>
        </w:rPr>
        <w:t xml:space="preserve"> de </w:t>
      </w:r>
      <w:r>
        <w:rPr>
          <w:rFonts w:ascii="Cambria" w:eastAsia="Cambria" w:hAnsi="Cambria" w:cs="Cambria"/>
          <w:b/>
          <w:sz w:val="24"/>
          <w:szCs w:val="24"/>
        </w:rPr>
        <w:t xml:space="preserve">actos </w:t>
      </w:r>
      <w:r>
        <w:rPr>
          <w:rFonts w:ascii="Cambria" w:eastAsia="Cambria" w:hAnsi="Cambria" w:cs="Cambria"/>
          <w:b/>
          <w:strike/>
          <w:sz w:val="24"/>
          <w:szCs w:val="24"/>
        </w:rPr>
        <w:t xml:space="preserve">de violencia </w:t>
      </w:r>
      <w:r>
        <w:rPr>
          <w:rFonts w:ascii="Cambria" w:eastAsia="Cambria" w:hAnsi="Cambria" w:cs="Cambria"/>
          <w:b/>
          <w:sz w:val="24"/>
          <w:szCs w:val="24"/>
          <w:u w:val="single"/>
        </w:rPr>
        <w:t>que pongan en riesgo la integridad física y los derechos de las personas,</w:t>
      </w:r>
      <w:r>
        <w:rPr>
          <w:rFonts w:ascii="Cambria" w:eastAsia="Cambria" w:hAnsi="Cambria" w:cs="Cambria"/>
          <w:b/>
          <w:sz w:val="24"/>
          <w:szCs w:val="24"/>
        </w:rPr>
        <w:t xml:space="preserve"> en particular y cuando </w:t>
      </w:r>
      <w:r>
        <w:rPr>
          <w:rFonts w:ascii="Cambria" w:eastAsia="Cambria" w:hAnsi="Cambria" w:cs="Cambria"/>
          <w:b/>
          <w:sz w:val="24"/>
          <w:szCs w:val="24"/>
          <w:u w:val="single"/>
        </w:rPr>
        <w:t xml:space="preserve">no sea posible adoptar </w:t>
      </w:r>
      <w:r>
        <w:rPr>
          <w:rFonts w:ascii="Cambria" w:eastAsia="Cambria" w:hAnsi="Cambria" w:cs="Cambria"/>
          <w:b/>
          <w:strike/>
          <w:sz w:val="24"/>
          <w:szCs w:val="24"/>
        </w:rPr>
        <w:t xml:space="preserve">otras </w:t>
      </w:r>
      <w:r>
        <w:rPr>
          <w:rFonts w:ascii="Cambria" w:eastAsia="Cambria" w:hAnsi="Cambria" w:cs="Cambria"/>
          <w:b/>
          <w:sz w:val="24"/>
          <w:szCs w:val="24"/>
        </w:rPr>
        <w:t xml:space="preserve">medidas </w:t>
      </w:r>
      <w:r>
        <w:rPr>
          <w:rFonts w:ascii="Cambria" w:eastAsia="Cambria" w:hAnsi="Cambria" w:cs="Cambria"/>
          <w:b/>
          <w:sz w:val="24"/>
          <w:szCs w:val="24"/>
          <w:u w:val="single"/>
        </w:rPr>
        <w:t xml:space="preserve">menos restrictivas </w:t>
      </w:r>
      <w:r>
        <w:rPr>
          <w:rFonts w:ascii="Cambria" w:eastAsia="Cambria" w:hAnsi="Cambria" w:cs="Cambria"/>
          <w:b/>
          <w:sz w:val="24"/>
          <w:szCs w:val="24"/>
        </w:rPr>
        <w:t>para evitar</w:t>
      </w:r>
      <w:r>
        <w:rPr>
          <w:rFonts w:ascii="Cambria" w:eastAsia="Cambria" w:hAnsi="Cambria" w:cs="Cambria"/>
          <w:b/>
          <w:sz w:val="24"/>
          <w:szCs w:val="24"/>
          <w:u w:val="single"/>
        </w:rPr>
        <w:t>los</w:t>
      </w:r>
      <w:r>
        <w:rPr>
          <w:rFonts w:ascii="Cambria" w:eastAsia="Cambria" w:hAnsi="Cambria" w:cs="Cambria"/>
          <w:b/>
          <w:sz w:val="24"/>
          <w:szCs w:val="24"/>
        </w:rPr>
        <w:t xml:space="preserve"> </w:t>
      </w:r>
      <w:r>
        <w:rPr>
          <w:rFonts w:ascii="Cambria" w:eastAsia="Cambria" w:hAnsi="Cambria" w:cs="Cambria"/>
          <w:b/>
          <w:strike/>
          <w:sz w:val="24"/>
          <w:szCs w:val="24"/>
          <w:u w:val="single"/>
        </w:rPr>
        <w:t>a violencia</w:t>
      </w:r>
      <w:r>
        <w:rPr>
          <w:rFonts w:ascii="Cambria" w:eastAsia="Cambria" w:hAnsi="Cambria" w:cs="Cambria"/>
          <w:b/>
          <w:strike/>
          <w:sz w:val="24"/>
          <w:szCs w:val="24"/>
        </w:rPr>
        <w:t xml:space="preserve"> sean claramente inadecuadas</w:t>
      </w:r>
      <w:r>
        <w:rPr>
          <w:rFonts w:ascii="Cambria" w:eastAsia="Cambria" w:hAnsi="Cambria" w:cs="Cambria"/>
          <w:b/>
          <w:sz w:val="24"/>
          <w:szCs w:val="24"/>
        </w:rPr>
        <w:t xml:space="preserve">. Son arbitrarias las prácticas de detenciones </w:t>
      </w:r>
      <w:r>
        <w:rPr>
          <w:rFonts w:ascii="Cambria" w:eastAsia="Cambria" w:hAnsi="Cambria" w:cs="Cambria"/>
          <w:b/>
          <w:sz w:val="24"/>
          <w:szCs w:val="24"/>
          <w:u w:val="single"/>
        </w:rPr>
        <w:t xml:space="preserve">masivas e </w:t>
      </w:r>
      <w:r>
        <w:rPr>
          <w:rFonts w:ascii="Cambria" w:eastAsia="Cambria" w:hAnsi="Cambria" w:cs="Cambria"/>
          <w:b/>
          <w:sz w:val="24"/>
          <w:szCs w:val="24"/>
        </w:rPr>
        <w:t xml:space="preserve">indiscriminadas </w:t>
      </w:r>
      <w:r>
        <w:rPr>
          <w:rFonts w:ascii="Cambria" w:eastAsia="Cambria" w:hAnsi="Cambria" w:cs="Cambria"/>
          <w:b/>
          <w:strike/>
          <w:sz w:val="24"/>
          <w:szCs w:val="24"/>
        </w:rPr>
        <w:t xml:space="preserve">en masa </w:t>
      </w:r>
      <w:r>
        <w:rPr>
          <w:rFonts w:ascii="Cambria" w:eastAsia="Cambria" w:hAnsi="Cambria" w:cs="Cambria"/>
          <w:b/>
          <w:sz w:val="24"/>
          <w:szCs w:val="24"/>
        </w:rPr>
        <w:t xml:space="preserve">antes, durante o </w:t>
      </w:r>
      <w:r>
        <w:rPr>
          <w:rFonts w:ascii="Cambria" w:eastAsia="Cambria" w:hAnsi="Cambria" w:cs="Cambria"/>
          <w:b/>
          <w:strike/>
          <w:sz w:val="24"/>
          <w:szCs w:val="24"/>
        </w:rPr>
        <w:t xml:space="preserve">tras </w:t>
      </w:r>
      <w:r>
        <w:rPr>
          <w:rFonts w:ascii="Cambria" w:eastAsia="Cambria" w:hAnsi="Cambria" w:cs="Cambria"/>
          <w:b/>
          <w:sz w:val="24"/>
          <w:szCs w:val="24"/>
          <w:u w:val="single"/>
        </w:rPr>
        <w:t xml:space="preserve">después de </w:t>
      </w:r>
      <w:r>
        <w:rPr>
          <w:rFonts w:ascii="Cambria" w:eastAsia="Cambria" w:hAnsi="Cambria" w:cs="Cambria"/>
          <w:b/>
          <w:sz w:val="24"/>
          <w:szCs w:val="24"/>
        </w:rPr>
        <w:t>una reunión.</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rPr>
        <w:t xml:space="preserve">JUSTIFICACIÓN, párrafo 93. Se busca armonizar el párrafo a los cambios sugeridos a otros párrafos, como el 21. En general, se recomienda evitar el uso del término amplio “violencia” y optar por referencia más concreta a la prevención de delitos graves en términos de afectación de derechos. En la parte final del párrafo hay errores de traducción que dificultan el entendimiento.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24"/>
          <w:szCs w:val="24"/>
        </w:rPr>
      </w:pPr>
      <w:r>
        <w:rPr>
          <w:rFonts w:ascii="Cambria" w:eastAsia="Cambria" w:hAnsi="Cambria" w:cs="Cambria"/>
          <w:b/>
          <w:sz w:val="24"/>
          <w:szCs w:val="24"/>
        </w:rPr>
        <w:t xml:space="preserve">Párrafo 94. Las facultades de "interpelación y registro" o "interpelación y cacheo" empleadas con aquellos que participan en reuniones o que van a participar se deben ejercer en base a las pruebas de una amenaza específica. </w:t>
      </w:r>
      <w:r>
        <w:rPr>
          <w:rFonts w:ascii="Cambria" w:eastAsia="Cambria" w:hAnsi="Cambria" w:cs="Cambria"/>
          <w:b/>
          <w:sz w:val="24"/>
          <w:szCs w:val="24"/>
          <w:u w:val="single"/>
        </w:rPr>
        <w:t>No se deben confiscar ni revisar teléfonos y mochilas de manera indiscriminada.</w:t>
      </w:r>
      <w:r>
        <w:rPr>
          <w:rFonts w:ascii="Cambria" w:eastAsia="Cambria" w:hAnsi="Cambria" w:cs="Cambria"/>
          <w:b/>
          <w:sz w:val="24"/>
          <w:szCs w:val="24"/>
        </w:rPr>
        <w:t xml:space="preserve"> De lo contrario, constituyen una injerencia injustificada al derecho a la privacidad. No deben usarse de forma discriminatoria. No se considera motivo razonable para detener y registrar a una persona el mero hecho de que dicha persona esté vinculada a una reunión pacífica.</w:t>
      </w:r>
      <w:r>
        <w:rPr>
          <w:rFonts w:ascii="Cambria" w:eastAsia="Cambria" w:hAnsi="Cambria" w:cs="Cambria"/>
          <w:sz w:val="24"/>
          <w:szCs w:val="24"/>
          <w:u w:val="single"/>
        </w:rPr>
        <w:t xml:space="preserve"> </w:t>
      </w:r>
      <w:r>
        <w:rPr>
          <w:rFonts w:ascii="Cambria" w:eastAsia="Cambria" w:hAnsi="Cambria" w:cs="Cambria"/>
          <w:b/>
          <w:sz w:val="24"/>
          <w:szCs w:val="24"/>
          <w:u w:val="single"/>
        </w:rPr>
        <w:t>Igualmente, los Estados deben abstenerse de utilizar tecnologías de vigilancia masiva o que interfieren el derecho a la privacidad de las personas participantes de una reunión y de transeúntes ajenos a la misma de manera indiscriminada, como la vigilancia con reconocimiento facial o la recolección masiva de información de dispositivos de comunicación.</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rPr>
        <w:t xml:space="preserve">JUSTIFICACIÓN párrafo 94: entendemos que la Observación General debería hacer explícito el carácter ilegítimo de la vigilancia masiva, en particular tecnologías como la videovigilancia con análisis de reconocimiento facial o la utilización de IMSI Catchers. Esto, en congruencia, por ejemplo, con lo que se señala sobre “stop and search” o “stop and frisk” en donde se observa que esas “searches” solo son legítimas cuando existe evidencia de una amenaza específica. Asimismo debería considerarse agregar lenguaje específico sobre el decomiso y revisión de teléfonos o mochilas. </w:t>
      </w:r>
    </w:p>
    <w:p w:rsidR="00B15D3D" w:rsidRDefault="00B15D3D" w:rsidP="00B15D3D">
      <w:pPr>
        <w:spacing w:before="240" w:after="240"/>
        <w:jc w:val="both"/>
        <w:rPr>
          <w:rFonts w:ascii="Cambria" w:eastAsia="Cambria" w:hAnsi="Cambria" w:cs="Cambria"/>
          <w:sz w:val="24"/>
          <w:szCs w:val="24"/>
        </w:rPr>
      </w:pPr>
    </w:p>
    <w:p w:rsidR="00B15D3D" w:rsidRDefault="00B15D3D" w:rsidP="00B15D3D">
      <w:pPr>
        <w:spacing w:before="240" w:after="240"/>
        <w:jc w:val="both"/>
        <w:rPr>
          <w:rFonts w:ascii="Cambria" w:eastAsia="Cambria" w:hAnsi="Cambria" w:cs="Cambria"/>
          <w:b/>
          <w:sz w:val="34"/>
          <w:szCs w:val="34"/>
          <w:vertAlign w:val="superscript"/>
        </w:rPr>
      </w:pPr>
      <w:r>
        <w:rPr>
          <w:rFonts w:ascii="Cambria" w:eastAsia="Cambria" w:hAnsi="Cambria" w:cs="Cambria"/>
          <w:b/>
          <w:sz w:val="24"/>
          <w:szCs w:val="24"/>
        </w:rPr>
        <w:t xml:space="preserve">Párrafo 105.   El uso de dispositivos de grabación por parte de los funcionarios encargados de hacer cumplir la ley durante las reuniones, incluyendo mediante cámaras corporales, puede desempeñar un papel importante a la hora de asegurar la rendición de cuentas. Sin embargo, las autoridades deben disponer de directrices claras y disponibles al público para asegurar que el uso es coherente con la normativa internacional sobre privacidad y no tiene un efecto amedrentador en la participación en las reuniones. </w:t>
      </w:r>
      <w:r>
        <w:rPr>
          <w:rFonts w:ascii="Cambria" w:eastAsia="Cambria" w:hAnsi="Cambria" w:cs="Cambria"/>
          <w:b/>
          <w:sz w:val="24"/>
          <w:szCs w:val="24"/>
          <w:u w:val="single"/>
        </w:rPr>
        <w:t>Particularmente, las directrices deberían establecer con claridad los momentos en los que el dispositivo de grabación debe ser activado y asegurar  el acceso al material grabado por parte de posibles víctimas de abuso y de órganos de supervisión.</w:t>
      </w:r>
    </w:p>
    <w:p w:rsidR="00B15D3D" w:rsidRDefault="00B15D3D" w:rsidP="00B15D3D">
      <w:pPr>
        <w:spacing w:before="240" w:after="240"/>
        <w:jc w:val="both"/>
        <w:rPr>
          <w:rFonts w:ascii="Cambria" w:eastAsia="Cambria" w:hAnsi="Cambria" w:cs="Cambria"/>
          <w:sz w:val="24"/>
          <w:szCs w:val="24"/>
        </w:rPr>
      </w:pPr>
      <w:r>
        <w:rPr>
          <w:rFonts w:ascii="Cambria" w:eastAsia="Cambria" w:hAnsi="Cambria" w:cs="Cambria"/>
          <w:sz w:val="24"/>
          <w:szCs w:val="24"/>
        </w:rPr>
        <w:t xml:space="preserve">JUSTIFICACIÓN, párrafo 105: las grabaciones por parte de funcionarios encargados de hacer cumplir la ley han sido usadas frecuentemente para amedrentar, criminalizar y representar de manera sesgada hechos durante una reunión; por lo que consideramos necesario incluir en la Observación General más detalles sobre la regulación necesaria de esta tecnología que garantice, entre otras cosas, lineamientos públicos sobre el uso de este tipo de cámaras, accesibilidad del material recolectado para organismos de supervisión, denunciantes de abusos y mecanismos de rendición de cuentas. </w:t>
      </w:r>
    </w:p>
    <w:p w:rsidR="00780C05" w:rsidRPr="000E05A9" w:rsidRDefault="00780C05">
      <w:pPr>
        <w:spacing w:before="240" w:after="240"/>
        <w:jc w:val="both"/>
        <w:rPr>
          <w:rFonts w:ascii="Cambria" w:eastAsia="Cambria" w:hAnsi="Cambria" w:cs="Cambria"/>
          <w:sz w:val="24"/>
          <w:szCs w:val="24"/>
          <w:lang w:val="es-419"/>
        </w:rPr>
      </w:pPr>
      <w:bookmarkStart w:id="19" w:name="_GoBack"/>
      <w:bookmarkEnd w:id="19"/>
    </w:p>
    <w:p w:rsidR="00780C05" w:rsidRPr="000E05A9" w:rsidRDefault="00780C05">
      <w:pPr>
        <w:spacing w:before="240" w:after="240"/>
        <w:rPr>
          <w:rFonts w:ascii="Cambria" w:eastAsia="Cambria" w:hAnsi="Cambria" w:cs="Cambria"/>
          <w:sz w:val="24"/>
          <w:szCs w:val="24"/>
          <w:lang w:val="es-419"/>
        </w:rPr>
      </w:pPr>
    </w:p>
    <w:sectPr w:rsidR="00780C05" w:rsidRPr="000E05A9" w:rsidSect="00492367">
      <w:footerReference w:type="default" r:id="rId8"/>
      <w:pgSz w:w="11909" w:h="16834"/>
      <w:pgMar w:top="1440" w:right="1399"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B1" w:rsidRDefault="00103CB1">
      <w:pPr>
        <w:spacing w:line="240" w:lineRule="auto"/>
      </w:pPr>
      <w:r>
        <w:separator/>
      </w:r>
    </w:p>
  </w:endnote>
  <w:endnote w:type="continuationSeparator" w:id="0">
    <w:p w:rsidR="00103CB1" w:rsidRDefault="00103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DE" w:rsidRDefault="00C80EDE">
    <w:pPr>
      <w:jc w:val="right"/>
    </w:pPr>
    <w:r>
      <w:fldChar w:fldCharType="begin"/>
    </w:r>
    <w:r>
      <w:instrText>PAGE</w:instrText>
    </w:r>
    <w:r>
      <w:fldChar w:fldCharType="separate"/>
    </w:r>
    <w:r w:rsidR="00B15D3D">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B1" w:rsidRDefault="00103CB1">
      <w:pPr>
        <w:spacing w:line="240" w:lineRule="auto"/>
      </w:pPr>
      <w:r>
        <w:separator/>
      </w:r>
    </w:p>
  </w:footnote>
  <w:footnote w:type="continuationSeparator" w:id="0">
    <w:p w:rsidR="00103CB1" w:rsidRDefault="00103CB1">
      <w:pPr>
        <w:spacing w:line="240" w:lineRule="auto"/>
      </w:pPr>
      <w:r>
        <w:continuationSeparator/>
      </w:r>
    </w:p>
  </w:footnote>
  <w:footnote w:id="1">
    <w:p w:rsidR="00C80EDE" w:rsidRPr="000E05A9" w:rsidRDefault="00C80EDE" w:rsidP="00C80EDE">
      <w:pPr>
        <w:spacing w:line="240" w:lineRule="auto"/>
        <w:jc w:val="both"/>
        <w:rPr>
          <w:rFonts w:ascii="Cambria" w:hAnsi="Cambria" w:cs="Times New Roman"/>
          <w:b/>
          <w:sz w:val="20"/>
          <w:szCs w:val="20"/>
          <w:lang w:val="es-419"/>
        </w:rPr>
      </w:pPr>
      <w:r>
        <w:rPr>
          <w:rStyle w:val="FootnoteReference"/>
        </w:rPr>
        <w:footnoteRef/>
      </w:r>
      <w:r w:rsidRPr="001C6AAE">
        <w:rPr>
          <w:rFonts w:ascii="Cambria" w:hAnsi="Cambria"/>
          <w:sz w:val="20"/>
          <w:szCs w:val="20"/>
          <w:lang w:val="es-ES"/>
        </w:rPr>
        <w:t>Integran la Alianza Regional las organizaciones:</w:t>
      </w:r>
      <w:r w:rsidRPr="000E05A9">
        <w:rPr>
          <w:rFonts w:ascii="Cambria" w:hAnsi="Cambria" w:cs="Times New Roman"/>
          <w:sz w:val="20"/>
          <w:szCs w:val="20"/>
          <w:lang w:val="es-419"/>
        </w:rPr>
        <w:t xml:space="preserve">Acción Ciudadana (Guatemala), Artigo 19 (Brasil), Asociación Nacional de la Prensa – ANP (Bolivia), Centro de Archivos y Acceso a la Información – Cainfo (Uruguay), Comité por la Libre Expresión – C-Libre (Honduras), Espacio Público (Venezuela), </w:t>
      </w:r>
      <w:r w:rsidRPr="000E05A9">
        <w:rPr>
          <w:rFonts w:ascii="Cambria" w:hAnsi="Cambria" w:cs="Times New Roman"/>
          <w:b/>
          <w:sz w:val="20"/>
          <w:szCs w:val="20"/>
          <w:lang w:val="es-419"/>
        </w:rPr>
        <w:t>F</w:t>
      </w:r>
      <w:r w:rsidRPr="000E05A9">
        <w:rPr>
          <w:rFonts w:ascii="Cambria" w:hAnsi="Cambria" w:cs="Times New Roman"/>
          <w:sz w:val="20"/>
          <w:szCs w:val="20"/>
          <w:lang w:val="es-419"/>
        </w:rPr>
        <w:t xml:space="preserve">undación Democracia sin Fronteras – FDsF (Honduras), Fundación Salvadoreña para el Desarrollo Económico y Social – FUSADES (El Salvador), Fundación Ciudadanía y Desarrollo –FCD (Ecuador), Fundación Violeta Barrios de Chamorro –FVBCH (Nicaragua), Fundar, Centro de Análisis e Investigación (México), Instituto de Derecho y Economía Ambiental – IDEA (Paraguay), Instituto de Prensa y Libertad de Expresión – IPLEX (Costa Rica), Observatorio Cubano de Derechos Humanos (Cuba), Participación Ciudadana (República Dominicana), Transparencia por Colombia (Colombia),y Transparencia Venezuela (Venezuela). </w:t>
      </w:r>
    </w:p>
    <w:p w:rsidR="00C80EDE" w:rsidRPr="00413BDF" w:rsidRDefault="00C80EDE">
      <w:pPr>
        <w:pStyle w:val="FootnoteText"/>
        <w:rPr>
          <w:lang w:val="es-ES"/>
        </w:rPr>
      </w:pPr>
    </w:p>
  </w:footnote>
  <w:footnote w:id="2">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Cf. TEDH, Bukta y otros c. Hungría, solicitud Nº 25691/04 (2007).</w:t>
      </w:r>
    </w:p>
  </w:footnote>
  <w:footnote w:id="3">
    <w:p w:rsidR="00C80EDE" w:rsidRPr="000E05A9" w:rsidRDefault="00C80EDE">
      <w:pPr>
        <w:spacing w:line="240" w:lineRule="auto"/>
        <w:rPr>
          <w:sz w:val="20"/>
          <w:szCs w:val="20"/>
          <w:vertAlign w:val="superscript"/>
          <w:lang w:val="es-419"/>
        </w:rPr>
      </w:pPr>
      <w:r>
        <w:rPr>
          <w:vertAlign w:val="superscript"/>
        </w:rPr>
        <w:footnoteRef/>
      </w:r>
      <w:r w:rsidRPr="000E05A9">
        <w:rPr>
          <w:rFonts w:ascii="Cambria" w:eastAsia="Cambria" w:hAnsi="Cambria" w:cs="Cambria"/>
          <w:sz w:val="20"/>
          <w:szCs w:val="20"/>
          <w:lang w:val="es-419"/>
        </w:rPr>
        <w:t xml:space="preserve">A/HRC/38/L.10/Rev.1 Disponible en: </w:t>
      </w:r>
      <w:hyperlink r:id="rId1">
        <w:r w:rsidRPr="000E05A9">
          <w:rPr>
            <w:rFonts w:ascii="Cambria" w:eastAsia="Cambria" w:hAnsi="Cambria" w:cs="Cambria"/>
            <w:color w:val="1155CC"/>
            <w:sz w:val="20"/>
            <w:szCs w:val="20"/>
            <w:u w:val="single"/>
            <w:lang w:val="es-419"/>
          </w:rPr>
          <w:t>https://documents-dds-ny.un.org/doc/UNDOC/LTD/G18/203/76/PDF/G1820376.pdf?OpenElement</w:t>
        </w:r>
      </w:hyperlink>
    </w:p>
  </w:footnote>
  <w:footnote w:id="4">
    <w:p w:rsidR="00C80EDE" w:rsidRPr="000E05A9" w:rsidRDefault="00C80EDE">
      <w:pPr>
        <w:spacing w:line="240" w:lineRule="auto"/>
        <w:rPr>
          <w:sz w:val="20"/>
          <w:szCs w:val="20"/>
          <w:vertAlign w:val="superscript"/>
          <w:lang w:val="es-419"/>
        </w:rPr>
      </w:pPr>
      <w:r>
        <w:rPr>
          <w:vertAlign w:val="superscript"/>
        </w:rPr>
        <w:footnoteRef/>
      </w:r>
      <w:r w:rsidRPr="000E05A9">
        <w:rPr>
          <w:rFonts w:ascii="Cambria" w:eastAsia="Cambria" w:hAnsi="Cambria" w:cs="Cambria"/>
          <w:sz w:val="20"/>
          <w:szCs w:val="20"/>
          <w:lang w:val="es-419"/>
        </w:rPr>
        <w:t xml:space="preserve"> Resolución 73/173 de la Asamblea General aprobada el 17 de diciembre de 2018, disponible en:</w:t>
      </w:r>
      <w:hyperlink r:id="rId2"/>
      <w:hyperlink r:id="rId3">
        <w:r w:rsidRPr="000E05A9">
          <w:rPr>
            <w:rFonts w:ascii="Cambria" w:eastAsia="Cambria" w:hAnsi="Cambria" w:cs="Cambria"/>
            <w:color w:val="1155CC"/>
            <w:sz w:val="20"/>
            <w:szCs w:val="20"/>
            <w:u w:val="single"/>
            <w:lang w:val="es-419"/>
          </w:rPr>
          <w:t>https://undocs.org/pdf?symbol=es/A/RES/73/173</w:t>
        </w:r>
      </w:hyperlink>
    </w:p>
  </w:footnote>
  <w:footnote w:id="5">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REDESCA, Informe Empresas y DDHH, Párrafo 267, disponible en: </w:t>
      </w:r>
      <w:hyperlink r:id="rId4">
        <w:r w:rsidRPr="000E05A9">
          <w:rPr>
            <w:rFonts w:ascii="Cambria" w:eastAsia="Cambria" w:hAnsi="Cambria" w:cs="Cambria"/>
            <w:color w:val="1155CC"/>
            <w:sz w:val="20"/>
            <w:szCs w:val="20"/>
            <w:u w:val="single"/>
            <w:lang w:val="es-419"/>
          </w:rPr>
          <w:t>http://www.oas.org/es/cidh/informes/pdfs/EmpresasDDHH.pdf</w:t>
        </w:r>
      </w:hyperlink>
    </w:p>
  </w:footnote>
  <w:footnote w:id="6">
    <w:p w:rsidR="00C80EDE" w:rsidRDefault="00C80EDE">
      <w:pPr>
        <w:spacing w:line="240" w:lineRule="auto"/>
        <w:rPr>
          <w:sz w:val="20"/>
          <w:szCs w:val="20"/>
          <w:vertAlign w:val="superscript"/>
        </w:rPr>
      </w:pPr>
      <w:r>
        <w:rPr>
          <w:vertAlign w:val="superscript"/>
        </w:rPr>
        <w:footnoteRef/>
      </w:r>
      <w:r>
        <w:rPr>
          <w:rFonts w:ascii="Cambria" w:eastAsia="Cambria" w:hAnsi="Cambria" w:cs="Cambria"/>
          <w:sz w:val="20"/>
          <w:szCs w:val="20"/>
        </w:rPr>
        <w:t>A/HRC/38/L.10/Rev.1</w:t>
      </w:r>
    </w:p>
  </w:footnote>
  <w:footnote w:id="7">
    <w:p w:rsidR="00C80EDE" w:rsidRDefault="00C80EDE">
      <w:pPr>
        <w:spacing w:line="240" w:lineRule="auto"/>
        <w:rPr>
          <w:sz w:val="20"/>
          <w:szCs w:val="20"/>
          <w:vertAlign w:val="superscript"/>
        </w:rPr>
      </w:pPr>
      <w:r>
        <w:rPr>
          <w:vertAlign w:val="superscript"/>
        </w:rPr>
        <w:footnoteRef/>
      </w:r>
      <w:r>
        <w:rPr>
          <w:rFonts w:ascii="Cambria" w:eastAsia="Cambria" w:hAnsi="Cambria" w:cs="Cambria"/>
          <w:sz w:val="20"/>
          <w:szCs w:val="20"/>
        </w:rPr>
        <w:t xml:space="preserve">A/HRC/41/41, </w:t>
      </w:r>
      <w:r>
        <w:rPr>
          <w:rFonts w:ascii="Cambria" w:eastAsia="Cambria" w:hAnsi="Cambria" w:cs="Cambria"/>
          <w:sz w:val="20"/>
          <w:szCs w:val="20"/>
        </w:rPr>
        <w:tab/>
        <w:t>Párrafo 14.</w:t>
      </w:r>
    </w:p>
  </w:footnote>
  <w:footnote w:id="8">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sz w:val="20"/>
          <w:szCs w:val="20"/>
          <w:lang w:val="es-419"/>
        </w:rPr>
        <w:t xml:space="preserve">A/HRC/42/L.18, disponible en: </w:t>
      </w:r>
      <w:hyperlink r:id="rId5">
        <w:r w:rsidRPr="000E05A9">
          <w:rPr>
            <w:rFonts w:ascii="Cambria" w:eastAsia="Cambria" w:hAnsi="Cambria" w:cs="Cambria"/>
            <w:color w:val="1155CC"/>
            <w:sz w:val="20"/>
            <w:szCs w:val="20"/>
            <w:u w:val="single"/>
            <w:lang w:val="es-419"/>
          </w:rPr>
          <w:t>https://documents-dds-ny.un.org/doc/UNDOC/LTD/G19/282/26/PDF/G1928226.pdf?OpenElement</w:t>
        </w:r>
      </w:hyperlink>
    </w:p>
  </w:footnote>
  <w:footnote w:id="9">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sz w:val="20"/>
          <w:szCs w:val="20"/>
          <w:lang w:val="es-419"/>
        </w:rPr>
        <w:t xml:space="preserve">A/HRC/41/41, </w:t>
      </w:r>
      <w:r w:rsidRPr="000E05A9">
        <w:rPr>
          <w:rFonts w:ascii="Cambria" w:eastAsia="Cambria" w:hAnsi="Cambria" w:cs="Cambria"/>
          <w:sz w:val="20"/>
          <w:szCs w:val="20"/>
          <w:lang w:val="es-419"/>
        </w:rPr>
        <w:tab/>
        <w:t>párrafo 16.</w:t>
      </w:r>
    </w:p>
  </w:footnote>
  <w:footnote w:id="10">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sz w:val="20"/>
          <w:szCs w:val="20"/>
          <w:lang w:val="es-419"/>
        </w:rPr>
        <w:t>Relatores Especiales de las Naciones Unidas y de la Comisión Interamericana de Derechos Humanos para la Protección y Promoción del Derecho a la Libertad de Opinión y de Expresión. Declaración conjunta sobre violencia contra periodistas y comunicadores en el marco de manifestaciones sociales, 2013, disponible en:</w:t>
      </w:r>
      <w:hyperlink r:id="rId6">
        <w:r w:rsidRPr="000E05A9">
          <w:rPr>
            <w:rFonts w:ascii="Cambria" w:eastAsia="Cambria" w:hAnsi="Cambria" w:cs="Cambria"/>
            <w:color w:val="1155CC"/>
            <w:sz w:val="20"/>
            <w:szCs w:val="20"/>
            <w:u w:val="single"/>
            <w:lang w:val="es-419"/>
          </w:rPr>
          <w:t>http://www.oas.org/es/cidh/expresion/showarticle.asp?artID=951&amp;lID=2</w:t>
        </w:r>
      </w:hyperlink>
      <w:r w:rsidRPr="000E05A9">
        <w:rPr>
          <w:rFonts w:ascii="Times New Roman" w:eastAsia="Times New Roman" w:hAnsi="Times New Roman" w:cs="Times New Roman"/>
          <w:sz w:val="20"/>
          <w:szCs w:val="20"/>
          <w:lang w:val="es-419"/>
        </w:rPr>
        <w:tab/>
      </w:r>
      <w:r w:rsidRPr="000E05A9">
        <w:rPr>
          <w:rFonts w:ascii="Cambria" w:eastAsia="Cambria" w:hAnsi="Cambria" w:cs="Cambria"/>
          <w:sz w:val="24"/>
          <w:szCs w:val="24"/>
          <w:lang w:val="es-419"/>
        </w:rPr>
        <w:tab/>
      </w:r>
    </w:p>
  </w:footnote>
  <w:footnote w:id="11">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CIDH, Informe Anual 2015, capítulo IV.A, “Uso de la Fuerza”, párrafo 59. </w:t>
      </w:r>
    </w:p>
  </w:footnote>
  <w:footnote w:id="12">
    <w:p w:rsidR="00C80EDE" w:rsidRPr="000E05A9" w:rsidRDefault="00C80EDE">
      <w:pPr>
        <w:spacing w:line="240" w:lineRule="auto"/>
        <w:jc w:val="both"/>
        <w:rPr>
          <w:sz w:val="20"/>
          <w:szCs w:val="20"/>
          <w:lang w:val="es-419"/>
        </w:rPr>
      </w:pPr>
      <w:r>
        <w:rPr>
          <w:vertAlign w:val="superscript"/>
        </w:rPr>
        <w:footnoteRef/>
      </w:r>
      <w:r w:rsidR="00684FC5">
        <w:rPr>
          <w:rFonts w:ascii="Cambria" w:eastAsia="Cambria" w:hAnsi="Cambria" w:cs="Cambria"/>
          <w:sz w:val="20"/>
          <w:szCs w:val="20"/>
          <w:lang w:val="es-419"/>
        </w:rPr>
        <w:t xml:space="preserve"> </w:t>
      </w:r>
      <w:r w:rsidRPr="000E05A9">
        <w:rPr>
          <w:rFonts w:ascii="Cambria" w:eastAsia="Cambria" w:hAnsi="Cambria" w:cs="Cambria"/>
          <w:sz w:val="20"/>
          <w:szCs w:val="20"/>
          <w:lang w:val="es-419"/>
        </w:rPr>
        <w:t xml:space="preserve">CIDH - Relatoría Especial para la Libertad de Expresión, “Protesta y Derechos Humanos: Estándares sobre los derechos involucrados en la protesta social y las obligaciones que deben guiar la respuesta estatal”, OEA/Ser.L/V/II CIDH/RELE/INF.22/19, septiembre de 2019, párr. 81. disponible en </w:t>
      </w:r>
      <w:hyperlink r:id="rId7">
        <w:r w:rsidRPr="000E05A9">
          <w:rPr>
            <w:rFonts w:ascii="Times New Roman" w:eastAsia="Times New Roman" w:hAnsi="Times New Roman" w:cs="Times New Roman"/>
            <w:color w:val="1155CC"/>
            <w:u w:val="single"/>
            <w:lang w:val="es-419"/>
          </w:rPr>
          <w:t>http://www.oas.org/es/cidh/expresion/publicaciones/ProtestayDerechosHumanos.pdf</w:t>
        </w:r>
      </w:hyperlink>
    </w:p>
  </w:footnote>
  <w:footnote w:id="13">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sz w:val="20"/>
          <w:szCs w:val="20"/>
          <w:lang w:val="en-GB"/>
        </w:rPr>
        <w:t xml:space="preserve">OSCE, GuidelinesonFreedom of PeacefulAssembly, 2010, párr.. </w:t>
      </w:r>
      <w:r w:rsidRPr="000E05A9">
        <w:rPr>
          <w:rFonts w:ascii="Cambria" w:eastAsia="Cambria" w:hAnsi="Cambria" w:cs="Cambria"/>
          <w:sz w:val="20"/>
          <w:szCs w:val="20"/>
          <w:lang w:val="es-419"/>
        </w:rPr>
        <w:t>26 – 27, 15</w:t>
      </w:r>
    </w:p>
  </w:footnote>
  <w:footnote w:id="14">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sz w:val="20"/>
          <w:szCs w:val="20"/>
          <w:lang w:val="es-419"/>
        </w:rPr>
        <w:t>1A/HRC/41/41, párrafo 39.</w:t>
      </w:r>
    </w:p>
  </w:footnote>
  <w:footnote w:id="15">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0075032E">
        <w:rPr>
          <w:rFonts w:ascii="Cambria" w:eastAsia="Cambria" w:hAnsi="Cambria" w:cs="Cambria"/>
          <w:sz w:val="20"/>
          <w:szCs w:val="20"/>
          <w:lang w:val="es-419"/>
        </w:rPr>
        <w:t xml:space="preserve"> </w:t>
      </w:r>
      <w:r w:rsidRPr="000E05A9">
        <w:rPr>
          <w:rFonts w:ascii="Cambria" w:eastAsia="Cambria" w:hAnsi="Cambria" w:cs="Cambria"/>
          <w:sz w:val="20"/>
          <w:szCs w:val="20"/>
          <w:lang w:val="es-419"/>
        </w:rPr>
        <w:t>Informe del relator especial sobre los derechos a la libertad de reunión pacífica y de asociación, A/HRC/20/27, mayo de 2012</w:t>
      </w:r>
      <w:r w:rsidR="0075032E">
        <w:rPr>
          <w:rFonts w:ascii="Cambria" w:eastAsia="Cambria" w:hAnsi="Cambria" w:cs="Cambria"/>
          <w:sz w:val="20"/>
          <w:szCs w:val="20"/>
          <w:lang w:val="es-419"/>
        </w:rPr>
        <w:t>, párr. 28.</w:t>
      </w:r>
    </w:p>
  </w:footnote>
  <w:footnote w:id="16">
    <w:p w:rsidR="00C80EDE" w:rsidRPr="000E05A9" w:rsidRDefault="00C80EDE">
      <w:pPr>
        <w:spacing w:after="160" w:line="259" w:lineRule="auto"/>
        <w:jc w:val="both"/>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A/HRC/23/39, 24 de abril de 2013, párr. 51.</w:t>
      </w:r>
    </w:p>
  </w:footnote>
  <w:footnote w:id="17">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OEA/Ser.L/V/II CIDH/RELE/INF.22/19, septiembre de 2019, párr. 57. </w:t>
      </w:r>
    </w:p>
  </w:footnote>
  <w:footnote w:id="18">
    <w:p w:rsidR="00C80EDE" w:rsidRPr="00684FC5" w:rsidRDefault="00C80EDE">
      <w:pPr>
        <w:spacing w:line="240" w:lineRule="auto"/>
        <w:rPr>
          <w:rFonts w:ascii="Cambria" w:hAnsi="Cambria" w:cstheme="minorHAnsi"/>
          <w:sz w:val="20"/>
          <w:szCs w:val="20"/>
          <w:vertAlign w:val="superscript"/>
          <w:lang w:val="es-419"/>
        </w:rPr>
      </w:pPr>
      <w:r w:rsidRPr="00684FC5">
        <w:rPr>
          <w:rFonts w:ascii="Cambria" w:hAnsi="Cambria" w:cstheme="minorHAnsi"/>
          <w:vertAlign w:val="superscript"/>
        </w:rPr>
        <w:footnoteRef/>
      </w:r>
      <w:r w:rsidRPr="00684FC5">
        <w:rPr>
          <w:rFonts w:ascii="Cambria" w:eastAsia="Cambria" w:hAnsi="Cambria" w:cstheme="minorHAnsi"/>
          <w:sz w:val="20"/>
          <w:szCs w:val="20"/>
          <w:lang w:val="es-419"/>
        </w:rPr>
        <w:t>A/HRC/41/41, Informe del Relator Especial sobre los derechos a la libertad de reunión pacífica y de asociación, Clément Nyaletsossi Voule, 17 de mayo de 2019, Párrafos 2 y 3.</w:t>
      </w:r>
    </w:p>
  </w:footnote>
  <w:footnote w:id="19">
    <w:p w:rsidR="00C80EDE" w:rsidRPr="00684FC5" w:rsidRDefault="00C80EDE">
      <w:pPr>
        <w:spacing w:line="240" w:lineRule="auto"/>
        <w:rPr>
          <w:rFonts w:ascii="Cambria" w:hAnsi="Cambria" w:cstheme="minorHAnsi"/>
          <w:sz w:val="20"/>
          <w:szCs w:val="20"/>
          <w:lang w:val="es-419"/>
        </w:rPr>
      </w:pPr>
      <w:r w:rsidRPr="00684FC5">
        <w:rPr>
          <w:rFonts w:ascii="Cambria" w:hAnsi="Cambria" w:cstheme="minorHAnsi"/>
          <w:vertAlign w:val="superscript"/>
        </w:rPr>
        <w:footnoteRef/>
      </w:r>
      <w:r w:rsidRPr="00684FC5">
        <w:rPr>
          <w:rFonts w:ascii="Cambria" w:eastAsia="Cambria" w:hAnsi="Cambria" w:cstheme="minorHAnsi"/>
          <w:sz w:val="20"/>
          <w:szCs w:val="20"/>
          <w:lang w:val="es-419"/>
        </w:rPr>
        <w:t>A/HRC/41/35,</w:t>
      </w:r>
      <w:r w:rsidRPr="00684FC5">
        <w:rPr>
          <w:rFonts w:ascii="Cambria" w:eastAsia="Times New Roman" w:hAnsi="Cambria" w:cstheme="minorHAnsi"/>
          <w:sz w:val="20"/>
          <w:szCs w:val="20"/>
          <w:lang w:val="es-419"/>
        </w:rPr>
        <w:t xml:space="preserve"> La vigilancia y los derechos humanos, Informe del Relator Especial sobre la promoción y protección del derecho a la libertad de opinión y de expresión, 28 de mayo de 2019, disponible en: </w:t>
      </w:r>
      <w:hyperlink r:id="rId8">
        <w:r w:rsidRPr="00684FC5">
          <w:rPr>
            <w:rFonts w:ascii="Cambria" w:eastAsia="Times New Roman" w:hAnsi="Cambria" w:cstheme="minorHAnsi"/>
            <w:color w:val="1155CC"/>
            <w:sz w:val="20"/>
            <w:szCs w:val="20"/>
            <w:u w:val="single"/>
            <w:lang w:val="es-419"/>
          </w:rPr>
          <w:t>https://documents-dds-ny.un.org/doc/UNDOC/GEN/G19/148/79/PDF/G1914879.pdf?OpenElement</w:t>
        </w:r>
      </w:hyperlink>
    </w:p>
  </w:footnote>
  <w:footnote w:id="20">
    <w:p w:rsidR="00C80EDE" w:rsidRPr="00684FC5" w:rsidRDefault="00C80EDE">
      <w:pPr>
        <w:spacing w:line="240" w:lineRule="auto"/>
        <w:rPr>
          <w:rFonts w:ascii="Cambria" w:hAnsi="Cambria" w:cstheme="minorHAnsi"/>
          <w:sz w:val="20"/>
          <w:szCs w:val="20"/>
          <w:lang w:val="es-419"/>
        </w:rPr>
      </w:pPr>
      <w:r w:rsidRPr="00684FC5">
        <w:rPr>
          <w:rFonts w:ascii="Cambria" w:hAnsi="Cambria" w:cstheme="minorHAnsi"/>
          <w:sz w:val="20"/>
          <w:szCs w:val="20"/>
          <w:vertAlign w:val="superscript"/>
        </w:rPr>
        <w:footnoteRef/>
      </w:r>
      <w:r w:rsidR="00684FC5" w:rsidRPr="00684FC5">
        <w:rPr>
          <w:rFonts w:ascii="Cambria" w:eastAsia="Times New Roman" w:hAnsi="Cambria" w:cstheme="minorHAnsi"/>
          <w:sz w:val="20"/>
          <w:szCs w:val="20"/>
          <w:lang w:val="es-419"/>
        </w:rPr>
        <w:t xml:space="preserve"> </w:t>
      </w:r>
      <w:r w:rsidRPr="00684FC5">
        <w:rPr>
          <w:rFonts w:ascii="Cambria" w:eastAsia="Times New Roman" w:hAnsi="Cambria" w:cstheme="minorHAnsi"/>
          <w:sz w:val="20"/>
          <w:szCs w:val="20"/>
          <w:lang w:val="es-419"/>
        </w:rPr>
        <w:t>Ibid, párrafo 21.</w:t>
      </w:r>
    </w:p>
  </w:footnote>
  <w:footnote w:id="21">
    <w:p w:rsidR="00F1427F" w:rsidRPr="00684FC5" w:rsidRDefault="00F1427F" w:rsidP="00684FC5">
      <w:pPr>
        <w:pStyle w:val="FootnoteText"/>
        <w:rPr>
          <w:rFonts w:ascii="Cambria" w:hAnsi="Cambria" w:cstheme="minorHAnsi"/>
          <w:lang w:val="en-GB"/>
        </w:rPr>
      </w:pPr>
      <w:r w:rsidRPr="00684FC5">
        <w:rPr>
          <w:rStyle w:val="FootnoteReference"/>
          <w:rFonts w:ascii="Cambria" w:hAnsi="Cambria" w:cstheme="minorHAnsi"/>
        </w:rPr>
        <w:footnoteRef/>
      </w:r>
      <w:r w:rsidRPr="00684FC5">
        <w:rPr>
          <w:rFonts w:ascii="Cambria" w:hAnsi="Cambria" w:cstheme="minorHAnsi"/>
          <w:lang w:val="es-419"/>
        </w:rPr>
        <w:t xml:space="preserve"> </w:t>
      </w:r>
      <w:r w:rsidR="00684FC5" w:rsidRPr="00684FC5">
        <w:rPr>
          <w:rFonts w:ascii="Cambria" w:eastAsia="Cambria" w:hAnsi="Cambria" w:cstheme="minorHAnsi"/>
          <w:lang w:val="es-419"/>
        </w:rPr>
        <w:t xml:space="preserve">CIDH - Relatoría Especial para la Libertad de Expresión, “Protesta y Derechos Humanos: Estándares sobre los derechos involucrados en la protesta social y las obligaciones que deben guiar la respuesta estatal”, OEA/Ser.L/V/II CIDH/RELE/INF.22/19, septiembre de 2019, párr. </w:t>
      </w:r>
      <w:r w:rsidR="00684FC5">
        <w:rPr>
          <w:rFonts w:ascii="Cambria" w:eastAsia="Cambria" w:hAnsi="Cambria" w:cstheme="minorHAnsi"/>
          <w:lang w:val="en-GB"/>
        </w:rPr>
        <w:t>300</w:t>
      </w:r>
      <w:r w:rsidR="00684FC5" w:rsidRPr="00684FC5">
        <w:rPr>
          <w:rFonts w:ascii="Cambria" w:eastAsia="Cambria" w:hAnsi="Cambria" w:cstheme="minorHAnsi"/>
          <w:lang w:val="en-GB"/>
        </w:rPr>
        <w:t>.</w:t>
      </w:r>
    </w:p>
  </w:footnote>
  <w:footnote w:id="22">
    <w:p w:rsidR="00C80EDE" w:rsidRPr="00684FC5" w:rsidRDefault="00C80EDE">
      <w:pPr>
        <w:spacing w:line="240" w:lineRule="auto"/>
        <w:rPr>
          <w:rFonts w:ascii="Cambria" w:hAnsi="Cambria" w:cstheme="minorHAnsi"/>
          <w:sz w:val="20"/>
          <w:szCs w:val="20"/>
          <w:lang w:val="es-419"/>
        </w:rPr>
      </w:pPr>
      <w:r w:rsidRPr="00684FC5">
        <w:rPr>
          <w:rFonts w:ascii="Cambria" w:hAnsi="Cambria" w:cstheme="minorHAnsi"/>
          <w:sz w:val="20"/>
          <w:szCs w:val="20"/>
          <w:vertAlign w:val="superscript"/>
        </w:rPr>
        <w:footnoteRef/>
      </w:r>
      <w:r w:rsidR="00684FC5" w:rsidRPr="00684FC5">
        <w:rPr>
          <w:rFonts w:ascii="Cambria" w:eastAsia="Times New Roman" w:hAnsi="Cambria" w:cstheme="minorHAnsi"/>
          <w:sz w:val="20"/>
          <w:szCs w:val="20"/>
          <w:lang w:val="en-GB"/>
        </w:rPr>
        <w:t xml:space="preserve"> </w:t>
      </w:r>
      <w:r w:rsidRPr="00684FC5">
        <w:rPr>
          <w:rFonts w:ascii="Cambria" w:eastAsia="Times New Roman" w:hAnsi="Cambria" w:cstheme="minorHAnsi"/>
          <w:sz w:val="20"/>
          <w:szCs w:val="20"/>
          <w:lang w:val="en-GB"/>
        </w:rPr>
        <w:t xml:space="preserve">Human Rights Committee, Concluding Observations of the Fourth Periodic Report of the United States of America, UN Doc. </w:t>
      </w:r>
      <w:r w:rsidRPr="00684FC5">
        <w:rPr>
          <w:rFonts w:ascii="Cambria" w:eastAsia="Times New Roman" w:hAnsi="Cambria" w:cstheme="minorHAnsi"/>
          <w:sz w:val="20"/>
          <w:szCs w:val="20"/>
          <w:lang w:val="es-419"/>
        </w:rPr>
        <w:t>CCPR/C/USA/CO/4, 23 April 2014, para. 22.</w:t>
      </w:r>
    </w:p>
  </w:footnote>
  <w:footnote w:id="23">
    <w:p w:rsidR="00C80EDE" w:rsidRPr="00684FC5" w:rsidRDefault="00C80EDE">
      <w:pPr>
        <w:spacing w:line="240" w:lineRule="auto"/>
        <w:rPr>
          <w:rFonts w:ascii="Cambria" w:hAnsi="Cambria" w:cstheme="minorHAnsi"/>
          <w:sz w:val="20"/>
          <w:szCs w:val="20"/>
          <w:lang w:val="es-419"/>
        </w:rPr>
      </w:pPr>
      <w:r w:rsidRPr="00684FC5">
        <w:rPr>
          <w:rFonts w:ascii="Cambria" w:hAnsi="Cambria" w:cstheme="minorHAnsi"/>
          <w:sz w:val="20"/>
          <w:szCs w:val="20"/>
          <w:vertAlign w:val="superscript"/>
        </w:rPr>
        <w:footnoteRef/>
      </w:r>
      <w:r w:rsidR="00684FC5" w:rsidRPr="00684FC5">
        <w:rPr>
          <w:rFonts w:ascii="Cambria" w:eastAsia="Times New Roman" w:hAnsi="Cambria" w:cstheme="minorHAnsi"/>
          <w:sz w:val="20"/>
          <w:szCs w:val="20"/>
          <w:lang w:val="es-419"/>
        </w:rPr>
        <w:t xml:space="preserve"> </w:t>
      </w:r>
      <w:r w:rsidRPr="00684FC5">
        <w:rPr>
          <w:rFonts w:ascii="Cambria" w:eastAsia="Times New Roman" w:hAnsi="Cambria" w:cstheme="minorHAnsi"/>
          <w:sz w:val="20"/>
          <w:szCs w:val="20"/>
          <w:lang w:val="es-419"/>
        </w:rPr>
        <w:t>Observaciones finales sobre el sexto informe periódico de Italia, Comité de Derechos Humanos, UN Doc. CCPR/C/ITA/CO/6, 28 de marzo de 2017, párrafo 36.</w:t>
      </w:r>
    </w:p>
  </w:footnote>
  <w:footnote w:id="24">
    <w:p w:rsidR="00C80EDE" w:rsidRPr="000E05A9" w:rsidRDefault="00C80EDE">
      <w:pPr>
        <w:spacing w:line="240" w:lineRule="auto"/>
        <w:rPr>
          <w:sz w:val="20"/>
          <w:szCs w:val="20"/>
          <w:lang w:val="es-419"/>
        </w:rPr>
      </w:pPr>
      <w:r w:rsidRPr="00684FC5">
        <w:rPr>
          <w:rFonts w:ascii="Cambria" w:hAnsi="Cambria" w:cstheme="minorHAnsi"/>
          <w:sz w:val="20"/>
          <w:szCs w:val="20"/>
          <w:vertAlign w:val="superscript"/>
        </w:rPr>
        <w:footnoteRef/>
      </w:r>
      <w:r w:rsidR="00684FC5" w:rsidRPr="00684FC5">
        <w:rPr>
          <w:rFonts w:ascii="Cambria" w:eastAsia="Times New Roman" w:hAnsi="Cambria" w:cstheme="minorHAnsi"/>
          <w:sz w:val="20"/>
          <w:szCs w:val="20"/>
          <w:lang w:val="es-419"/>
        </w:rPr>
        <w:t xml:space="preserve"> </w:t>
      </w:r>
      <w:r w:rsidRPr="00684FC5">
        <w:rPr>
          <w:rFonts w:ascii="Cambria" w:eastAsia="Times New Roman" w:hAnsi="Cambria" w:cstheme="minorHAnsi"/>
          <w:sz w:val="20"/>
          <w:szCs w:val="20"/>
          <w:lang w:val="es-419"/>
        </w:rPr>
        <w:t>ONU. Asamblea General. Resolución aprobada por la Asamblea General el 17 de diciembre de 2018. 73/179. El derecho a la privacidad en la era digital. A/RES/73/179. Disponible en &lt;https://undocs.org/en/A/RES/73/179&gt;.</w:t>
      </w:r>
    </w:p>
  </w:footnote>
  <w:footnote w:id="25">
    <w:p w:rsidR="00C80EDE" w:rsidRPr="000E05A9" w:rsidRDefault="00C80EDE">
      <w:pPr>
        <w:spacing w:line="240" w:lineRule="auto"/>
        <w:rPr>
          <w:sz w:val="20"/>
          <w:szCs w:val="20"/>
          <w:vertAlign w:val="superscript"/>
          <w:lang w:val="es-419"/>
        </w:rPr>
      </w:pPr>
      <w:r>
        <w:rPr>
          <w:vertAlign w:val="superscript"/>
        </w:rPr>
        <w:footnoteRef/>
      </w:r>
      <w:r w:rsidRPr="000E05A9">
        <w:rPr>
          <w:rFonts w:ascii="Times New Roman" w:eastAsia="Times New Roman" w:hAnsi="Times New Roman" w:cs="Times New Roman"/>
          <w:sz w:val="20"/>
          <w:szCs w:val="20"/>
          <w:lang w:val="es-419"/>
        </w:rPr>
        <w:t xml:space="preserve">  Informe del Relator Especial sobre la situación de los defensores de derechos </w:t>
      </w:r>
      <w:r w:rsidRPr="000E05A9">
        <w:rPr>
          <w:rFonts w:ascii="Times New Roman" w:eastAsia="Times New Roman" w:hAnsi="Times New Roman" w:cs="Times New Roman"/>
          <w:sz w:val="20"/>
          <w:szCs w:val="20"/>
          <w:lang w:val="es-419"/>
        </w:rPr>
        <w:tab/>
        <w:t xml:space="preserve">humanos. UN Doc. A/70/217, 30 de julio de 2015, párrafo 46, disponible en: </w:t>
      </w:r>
      <w:hyperlink r:id="rId9">
        <w:r w:rsidRPr="000E05A9">
          <w:rPr>
            <w:rFonts w:ascii="Times New Roman" w:eastAsia="Times New Roman" w:hAnsi="Times New Roman" w:cs="Times New Roman"/>
            <w:color w:val="1155CC"/>
            <w:sz w:val="20"/>
            <w:szCs w:val="20"/>
            <w:u w:val="single"/>
            <w:lang w:val="es-419"/>
          </w:rPr>
          <w:t>https://www.acnur.org/fileadmin/Documentos/BDL/2016/10399.pd</w:t>
        </w:r>
      </w:hyperlink>
      <w:hyperlink r:id="rId10">
        <w:r w:rsidRPr="000E05A9">
          <w:rPr>
            <w:rFonts w:ascii="Times New Roman" w:eastAsia="Times New Roman" w:hAnsi="Times New Roman" w:cs="Times New Roman"/>
            <w:sz w:val="20"/>
            <w:szCs w:val="20"/>
            <w:lang w:val="es-419"/>
          </w:rPr>
          <w:t>f</w:t>
        </w:r>
      </w:hyperlink>
    </w:p>
    <w:p w:rsidR="00C80EDE" w:rsidRPr="000E05A9" w:rsidRDefault="00C80EDE">
      <w:pPr>
        <w:spacing w:line="240" w:lineRule="auto"/>
        <w:rPr>
          <w:sz w:val="20"/>
          <w:szCs w:val="20"/>
          <w:vertAlign w:val="superscript"/>
          <w:lang w:val="es-419"/>
        </w:rPr>
      </w:pPr>
      <w:r w:rsidRPr="000E05A9">
        <w:rPr>
          <w:rFonts w:ascii="Times New Roman" w:eastAsia="Times New Roman" w:hAnsi="Times New Roman" w:cs="Times New Roman"/>
          <w:sz w:val="20"/>
          <w:szCs w:val="20"/>
          <w:lang w:val="es-419"/>
        </w:rPr>
        <w:t>R</w:t>
      </w:r>
      <w:r w:rsidRPr="000E05A9">
        <w:rPr>
          <w:rFonts w:ascii="Cambria" w:eastAsia="Cambria" w:hAnsi="Cambria" w:cs="Cambria"/>
          <w:sz w:val="20"/>
          <w:szCs w:val="20"/>
          <w:lang w:val="es-419"/>
        </w:rPr>
        <w:t xml:space="preserve">elatores Especiales de las Naciones Unidas y de la Comisión Interamericana de Derechos Humanos para la Protección y Promoción del Derecho a la Libertad de Opinión y de Expresión. </w:t>
      </w:r>
      <w:r w:rsidRPr="000E05A9">
        <w:rPr>
          <w:rFonts w:ascii="Times New Roman" w:eastAsia="Times New Roman" w:hAnsi="Times New Roman" w:cs="Times New Roman"/>
          <w:sz w:val="20"/>
          <w:szCs w:val="20"/>
          <w:lang w:val="es-419"/>
        </w:rPr>
        <w:t>Declaración conjunta sobre violencia contra periodistas y comunicadores en el marco de manifestaciones sociales. 2013.</w:t>
      </w:r>
    </w:p>
  </w:footnote>
  <w:footnote w:id="26">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A/69/397, 23/09/2014. Informe del Relator Especial sobre la promoción y la protección de los derechos humanos y las libertades fundamentales en la lucha contra el terrorismo, párrafo 18, disponible en: </w:t>
      </w:r>
      <w:r w:rsidRPr="000E05A9">
        <w:rPr>
          <w:rFonts w:ascii="Times New Roman" w:eastAsia="Times New Roman" w:hAnsi="Times New Roman" w:cs="Times New Roman"/>
          <w:color w:val="1155CC"/>
          <w:sz w:val="20"/>
          <w:szCs w:val="20"/>
          <w:u w:val="single"/>
          <w:lang w:val="es-419"/>
        </w:rPr>
        <w:t>https://undocs.org/pdf?symbol=es/A/69/397</w:t>
      </w:r>
    </w:p>
  </w:footnote>
  <w:footnote w:id="27">
    <w:p w:rsidR="00C80EDE" w:rsidRPr="000E05A9" w:rsidRDefault="00C80EDE">
      <w:pPr>
        <w:spacing w:line="240" w:lineRule="auto"/>
        <w:rPr>
          <w:sz w:val="20"/>
          <w:szCs w:val="20"/>
          <w:vertAlign w:val="superscript"/>
          <w:lang w:val="es-419"/>
        </w:rPr>
      </w:pPr>
      <w:r>
        <w:rPr>
          <w:vertAlign w:val="superscript"/>
        </w:rPr>
        <w:footnoteRef/>
      </w:r>
      <w:r w:rsidRPr="000E05A9">
        <w:rPr>
          <w:rFonts w:ascii="Cambria" w:eastAsia="Cambria" w:hAnsi="Cambria" w:cs="Cambria"/>
          <w:sz w:val="20"/>
          <w:szCs w:val="20"/>
          <w:lang w:val="en-GB"/>
        </w:rPr>
        <w:t>A/HRC/27/37, 30/06/2014. Report of the High Commissioner</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for Human Rights</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on</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the</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 xml:space="preserve">right to privacy in the digital age. </w:t>
      </w:r>
      <w:r w:rsidRPr="000E05A9">
        <w:rPr>
          <w:rFonts w:ascii="Cambria" w:eastAsia="Cambria" w:hAnsi="Cambria" w:cs="Cambria"/>
          <w:sz w:val="20"/>
          <w:szCs w:val="20"/>
          <w:lang w:val="es-419"/>
        </w:rPr>
        <w:t xml:space="preserve">Párrafos 19 y 20, disponible en: </w:t>
      </w:r>
      <w:r w:rsidRPr="000E05A9">
        <w:rPr>
          <w:rFonts w:ascii="Times New Roman" w:eastAsia="Times New Roman" w:hAnsi="Times New Roman" w:cs="Times New Roman"/>
          <w:color w:val="1155CC"/>
          <w:sz w:val="20"/>
          <w:szCs w:val="20"/>
          <w:u w:val="single"/>
          <w:lang w:val="es-419"/>
        </w:rPr>
        <w:t>https://www.ohchr.org/EN/HRBodies/HRC/RegularSessions/Session27/Documents/A.HRC.27.37_en.pdf</w:t>
      </w:r>
    </w:p>
  </w:footnote>
  <w:footnote w:id="28">
    <w:p w:rsidR="00C80EDE" w:rsidRDefault="00C80EDE">
      <w:pPr>
        <w:spacing w:line="240" w:lineRule="auto"/>
        <w:rPr>
          <w:sz w:val="20"/>
          <w:szCs w:val="20"/>
        </w:rPr>
      </w:pPr>
      <w:r>
        <w:rPr>
          <w:vertAlign w:val="superscript"/>
        </w:rPr>
        <w:footnoteRef/>
      </w:r>
      <w:r>
        <w:rPr>
          <w:rFonts w:ascii="Cambria" w:eastAsia="Cambria" w:hAnsi="Cambria" w:cs="Cambria"/>
          <w:sz w:val="20"/>
          <w:szCs w:val="20"/>
        </w:rPr>
        <w:t xml:space="preserve">OEA/Ser.L/V/II CIDH/RELE/INF.22/19, </w:t>
      </w:r>
      <w:r>
        <w:rPr>
          <w:rFonts w:ascii="Times New Roman" w:eastAsia="Times New Roman" w:hAnsi="Times New Roman" w:cs="Times New Roman"/>
          <w:sz w:val="20"/>
          <w:szCs w:val="20"/>
        </w:rPr>
        <w:t xml:space="preserve">Párrafo 300. </w:t>
      </w:r>
    </w:p>
  </w:footnote>
  <w:footnote w:id="29">
    <w:p w:rsidR="00C80EDE" w:rsidRPr="000E05A9" w:rsidRDefault="00C80EDE">
      <w:pPr>
        <w:spacing w:line="240" w:lineRule="auto"/>
        <w:rPr>
          <w:sz w:val="20"/>
          <w:szCs w:val="20"/>
          <w:lang w:val="es-419"/>
        </w:rPr>
      </w:pPr>
      <w:r>
        <w:rPr>
          <w:vertAlign w:val="superscript"/>
        </w:rPr>
        <w:footnoteRef/>
      </w:r>
      <w:r w:rsidRPr="000E05A9">
        <w:rPr>
          <w:rFonts w:ascii="Times New Roman" w:eastAsia="Times New Roman" w:hAnsi="Times New Roman" w:cs="Times New Roman"/>
          <w:sz w:val="20"/>
          <w:szCs w:val="20"/>
          <w:lang w:val="es-419"/>
        </w:rPr>
        <w:t>Sentencia del 8 de abril de 2014, Digital Rights</w:t>
      </w:r>
      <w:r w:rsidR="00C06530">
        <w:rPr>
          <w:rFonts w:ascii="Times New Roman" w:eastAsia="Times New Roman" w:hAnsi="Times New Roman" w:cs="Times New Roman"/>
          <w:sz w:val="20"/>
          <w:szCs w:val="20"/>
          <w:lang w:val="es-419"/>
        </w:rPr>
        <w:t xml:space="preserve"> </w:t>
      </w:r>
      <w:r w:rsidRPr="000E05A9">
        <w:rPr>
          <w:rFonts w:ascii="Times New Roman" w:eastAsia="Times New Roman" w:hAnsi="Times New Roman" w:cs="Times New Roman"/>
          <w:sz w:val="20"/>
          <w:szCs w:val="20"/>
          <w:lang w:val="es-419"/>
        </w:rPr>
        <w:t>Ireland</w:t>
      </w:r>
      <w:r w:rsidR="00C06530">
        <w:rPr>
          <w:rFonts w:ascii="Times New Roman" w:eastAsia="Times New Roman" w:hAnsi="Times New Roman" w:cs="Times New Roman"/>
          <w:sz w:val="20"/>
          <w:szCs w:val="20"/>
          <w:lang w:val="es-419"/>
        </w:rPr>
        <w:t xml:space="preserve"> </w:t>
      </w:r>
      <w:r w:rsidRPr="000E05A9">
        <w:rPr>
          <w:rFonts w:ascii="Times New Roman" w:eastAsia="Times New Roman" w:hAnsi="Times New Roman" w:cs="Times New Roman"/>
          <w:sz w:val="20"/>
          <w:szCs w:val="20"/>
          <w:lang w:val="es-419"/>
        </w:rPr>
        <w:t>Ltd, C-293/12 y Kärntner</w:t>
      </w:r>
      <w:r w:rsidR="00C06530">
        <w:rPr>
          <w:rFonts w:ascii="Times New Roman" w:eastAsia="Times New Roman" w:hAnsi="Times New Roman" w:cs="Times New Roman"/>
          <w:sz w:val="20"/>
          <w:szCs w:val="20"/>
          <w:lang w:val="es-419"/>
        </w:rPr>
        <w:t xml:space="preserve"> </w:t>
      </w:r>
      <w:r w:rsidRPr="000E05A9">
        <w:rPr>
          <w:rFonts w:ascii="Times New Roman" w:eastAsia="Times New Roman" w:hAnsi="Times New Roman" w:cs="Times New Roman"/>
          <w:sz w:val="20"/>
          <w:szCs w:val="20"/>
          <w:lang w:val="es-419"/>
        </w:rPr>
        <w:t xml:space="preserve">Landesregierung, C-594/12, EU:C:2014:238, párrafo 27, disponible en: </w:t>
      </w:r>
      <w:hyperlink r:id="rId11">
        <w:r w:rsidRPr="000E05A9">
          <w:rPr>
            <w:rFonts w:ascii="Times New Roman" w:eastAsia="Times New Roman" w:hAnsi="Times New Roman" w:cs="Times New Roman"/>
            <w:color w:val="1155CC"/>
            <w:sz w:val="20"/>
            <w:szCs w:val="20"/>
            <w:u w:val="single"/>
            <w:lang w:val="es-419"/>
          </w:rPr>
          <w:t>http://curia.europa.eu/juris/document/document.jsf?docid=150642&amp;mode=req&amp;pageIndex=1&amp;dir=&amp;occ=first&amp;part=1&amp;text=&amp;doclang=EN&amp;cid=635772</w:t>
        </w:r>
      </w:hyperlink>
    </w:p>
  </w:footnote>
  <w:footnote w:id="30">
    <w:p w:rsidR="00C80EDE" w:rsidRPr="000E05A9" w:rsidRDefault="00C80EDE">
      <w:pPr>
        <w:spacing w:line="240" w:lineRule="auto"/>
        <w:rPr>
          <w:sz w:val="20"/>
          <w:szCs w:val="20"/>
          <w:vertAlign w:val="superscript"/>
          <w:lang w:val="es-419"/>
        </w:rPr>
      </w:pPr>
      <w:r>
        <w:rPr>
          <w:vertAlign w:val="superscript"/>
        </w:rPr>
        <w:footnoteRef/>
      </w:r>
      <w:r w:rsidRPr="000E05A9">
        <w:rPr>
          <w:rFonts w:ascii="Cambria" w:eastAsia="Cambria" w:hAnsi="Cambria" w:cs="Cambria"/>
          <w:sz w:val="20"/>
          <w:szCs w:val="20"/>
          <w:lang w:val="es-419"/>
        </w:rPr>
        <w:t xml:space="preserve"> Informe Anual Comisión Interamericana de Derechos Humanos 2016, párrafo 212, Disponible en: </w:t>
      </w:r>
      <w:r w:rsidRPr="000E05A9">
        <w:rPr>
          <w:rFonts w:ascii="Cambria" w:eastAsia="Cambria" w:hAnsi="Cambria" w:cs="Cambria"/>
          <w:sz w:val="20"/>
          <w:szCs w:val="20"/>
          <w:lang w:val="es-419"/>
        </w:rPr>
        <w:tab/>
      </w:r>
      <w:hyperlink r:id="rId12">
        <w:r w:rsidRPr="000E05A9">
          <w:rPr>
            <w:rFonts w:ascii="Times New Roman" w:eastAsia="Times New Roman" w:hAnsi="Times New Roman" w:cs="Times New Roman"/>
            <w:color w:val="1155CC"/>
            <w:sz w:val="20"/>
            <w:szCs w:val="20"/>
            <w:u w:val="single"/>
            <w:lang w:val="es-419"/>
          </w:rPr>
          <w:t>http://www.oas.org/es/cidh/expresion/docs/informes/anuales/InformeAnual2016RELE.pdf</w:t>
        </w:r>
      </w:hyperlink>
    </w:p>
  </w:footnote>
  <w:footnote w:id="31">
    <w:p w:rsidR="00C80EDE" w:rsidRPr="00A74B09" w:rsidRDefault="00C80EDE" w:rsidP="00A74B09">
      <w:pPr>
        <w:spacing w:line="240" w:lineRule="auto"/>
        <w:rPr>
          <w:rFonts w:ascii="Cambria" w:eastAsia="Times New Roman" w:hAnsi="Cambria" w:cs="Times New Roman"/>
          <w:color w:val="1155CC"/>
          <w:sz w:val="20"/>
          <w:szCs w:val="20"/>
          <w:u w:val="single"/>
        </w:rPr>
      </w:pPr>
      <w:r w:rsidRPr="00A74B09">
        <w:rPr>
          <w:rFonts w:ascii="Cambria" w:hAnsi="Cambria"/>
          <w:vertAlign w:val="superscript"/>
        </w:rPr>
        <w:footnoteRef/>
      </w:r>
      <w:r w:rsidRPr="00A74B09">
        <w:rPr>
          <w:rFonts w:ascii="Cambria" w:eastAsia="Cambria" w:hAnsi="Cambria" w:cs="Cambria"/>
          <w:sz w:val="20"/>
          <w:szCs w:val="20"/>
        </w:rPr>
        <w:t xml:space="preserve"> OEA/Ser.L/V/II CIDH/RELE/INF.22/19, párrafo 299.</w:t>
      </w:r>
    </w:p>
  </w:footnote>
  <w:footnote w:id="32">
    <w:p w:rsidR="00C80EDE" w:rsidRPr="00A74B09" w:rsidRDefault="00C80EDE" w:rsidP="00A74B09">
      <w:pPr>
        <w:spacing w:line="240" w:lineRule="auto"/>
        <w:rPr>
          <w:rFonts w:ascii="Cambria" w:hAnsi="Cambria"/>
          <w:sz w:val="20"/>
          <w:szCs w:val="20"/>
          <w:vertAlign w:val="superscript"/>
          <w:lang w:val="es-419"/>
        </w:rPr>
      </w:pPr>
      <w:r w:rsidRPr="00A74B09">
        <w:rPr>
          <w:rFonts w:ascii="Cambria" w:hAnsi="Cambria"/>
          <w:vertAlign w:val="superscript"/>
        </w:rPr>
        <w:footnoteRef/>
      </w:r>
      <w:r w:rsidRPr="00A74B09">
        <w:rPr>
          <w:rFonts w:ascii="Cambria" w:eastAsia="Cambria" w:hAnsi="Cambria" w:cs="Cambria"/>
          <w:sz w:val="20"/>
          <w:szCs w:val="20"/>
          <w:lang w:val="es-419"/>
        </w:rPr>
        <w:t xml:space="preserve">Ibid, párrafo 346. </w:t>
      </w:r>
      <w:r w:rsidRPr="00A74B09">
        <w:rPr>
          <w:rFonts w:ascii="Cambria" w:eastAsia="Cambria" w:hAnsi="Cambria" w:cs="Cambria"/>
          <w:sz w:val="20"/>
          <w:szCs w:val="20"/>
          <w:lang w:val="es-419"/>
        </w:rPr>
        <w:tab/>
      </w:r>
    </w:p>
  </w:footnote>
  <w:footnote w:id="33">
    <w:p w:rsidR="00C80EDE" w:rsidRPr="00A74B09" w:rsidRDefault="00C80EDE" w:rsidP="00A74B09">
      <w:pPr>
        <w:spacing w:line="240" w:lineRule="auto"/>
        <w:rPr>
          <w:rFonts w:ascii="Cambria" w:hAnsi="Cambria"/>
          <w:sz w:val="20"/>
          <w:szCs w:val="20"/>
          <w:lang w:val="es-419"/>
        </w:rPr>
      </w:pPr>
      <w:r w:rsidRPr="00A74B09">
        <w:rPr>
          <w:rFonts w:ascii="Cambria" w:hAnsi="Cambria"/>
          <w:vertAlign w:val="superscript"/>
        </w:rPr>
        <w:footnoteRef/>
      </w:r>
      <w:r w:rsidRPr="00A74B09">
        <w:rPr>
          <w:rFonts w:ascii="Cambria" w:eastAsia="Times New Roman" w:hAnsi="Cambria" w:cs="Times New Roman"/>
          <w:sz w:val="20"/>
          <w:szCs w:val="20"/>
          <w:lang w:val="es-419"/>
        </w:rPr>
        <w:t>R</w:t>
      </w:r>
      <w:r w:rsidRPr="00A74B09">
        <w:rPr>
          <w:rFonts w:ascii="Cambria" w:eastAsia="Cambria" w:hAnsi="Cambria" w:cs="Cambria"/>
          <w:sz w:val="20"/>
          <w:szCs w:val="20"/>
          <w:lang w:val="es-419"/>
        </w:rPr>
        <w:t xml:space="preserve">elatores Especiales de las Naciones Unidas y de la Comisión Interamericana de Derechos Humanos para la Protección y Promoción del Derecho a la Libertad de Opinión y de Expresión. Declaración Conjunta sobre la libertad de expresión y las respuestas a las situaciones de conflicto. 2015. Párrafo 8, disponible en: </w:t>
      </w:r>
      <w:hyperlink r:id="rId13">
        <w:r w:rsidRPr="00A74B09">
          <w:rPr>
            <w:rFonts w:ascii="Cambria" w:eastAsia="Times New Roman" w:hAnsi="Cambria" w:cs="Times New Roman"/>
            <w:color w:val="1155CC"/>
            <w:sz w:val="20"/>
            <w:szCs w:val="20"/>
            <w:u w:val="single"/>
            <w:lang w:val="es-419"/>
          </w:rPr>
          <w:t>http://www.oas.org/es/cidh/expresion/showarticle.asp?artID=987&amp;lID=2</w:t>
        </w:r>
      </w:hyperlink>
    </w:p>
  </w:footnote>
  <w:footnote w:id="34">
    <w:p w:rsidR="00C80EDE" w:rsidRPr="000E05A9" w:rsidRDefault="00C80EDE" w:rsidP="00A74B09">
      <w:pPr>
        <w:spacing w:line="240" w:lineRule="auto"/>
        <w:rPr>
          <w:rFonts w:ascii="Cambria" w:eastAsia="Cambria" w:hAnsi="Cambria" w:cs="Cambria"/>
          <w:sz w:val="20"/>
          <w:szCs w:val="20"/>
          <w:lang w:val="es-419"/>
        </w:rPr>
      </w:pPr>
      <w:r w:rsidRPr="00A74B09">
        <w:rPr>
          <w:rFonts w:ascii="Cambria" w:hAnsi="Cambria"/>
          <w:vertAlign w:val="superscript"/>
        </w:rPr>
        <w:footnoteRef/>
      </w:r>
      <w:r w:rsidRPr="00A74B09">
        <w:rPr>
          <w:rFonts w:ascii="Cambria" w:eastAsia="Cambria" w:hAnsi="Cambria" w:cs="Cambria"/>
          <w:sz w:val="20"/>
          <w:szCs w:val="20"/>
          <w:lang w:val="es-419"/>
        </w:rPr>
        <w:t xml:space="preserve"> Relator Especial de las Naciones Unidas (ONU) para la Libertad de Opinión y de Expresión y Relatora Especial de la Organización de Estados Americanos (OEA) para la Libertad de Expresión. 21 de junio de 2013. Declaración conjunta sobre programas de vigilancia y su impacto en la libertad de expresión. Punto 1-3 y 9; Relator Especial de las Naciones Unidas (ONU) sobre la Promoción y Protección del derecho a la Libertad de Opinión y de Expresión, Representante para la Libertad de los Medios de Comunicación de la Organización para la Seguridad y la Cooperación en Europa (OSCE), Relatora Especial de la Organización de Estados Americanos (OEA) para la Libertad de Expresión, y Relatora Especial sobre Libertad de</w:t>
      </w:r>
      <w:r w:rsidRPr="000E05A9">
        <w:rPr>
          <w:rFonts w:ascii="Cambria" w:eastAsia="Cambria" w:hAnsi="Cambria" w:cs="Cambria"/>
          <w:sz w:val="20"/>
          <w:szCs w:val="20"/>
          <w:lang w:val="es-419"/>
        </w:rPr>
        <w:t xml:space="preserve"> Expresión y Acceso a la Información de la Comisión Africana de Derechos Humanos y de los Pueblos (CADHP). 1 de junio de 2011. Declaración conjunta sobre libertad de expresión e Internet. Punto 1 (a) y (b). </w:t>
      </w:r>
    </w:p>
  </w:footnote>
  <w:footnote w:id="35">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Párr. 165. Disponible en: </w:t>
      </w:r>
      <w:hyperlink r:id="rId14">
        <w:r w:rsidRPr="000E05A9">
          <w:rPr>
            <w:rFonts w:ascii="Cambria" w:eastAsia="Cambria" w:hAnsi="Cambria" w:cs="Cambria"/>
            <w:color w:val="1155CC"/>
            <w:sz w:val="20"/>
            <w:szCs w:val="20"/>
            <w:u w:val="single"/>
            <w:lang w:val="es-419"/>
          </w:rPr>
          <w:t>http://www.oas.org/es/cidh/expresion/docs/informes/2014_04_08_internet_web.pdf</w:t>
        </w:r>
      </w:hyperlink>
    </w:p>
  </w:footnote>
  <w:footnote w:id="36">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CDH. Informe del Relator Especial sobre la promoción y protección del derecho a la libertad de opinión y expresión, Frank La Rue. A/HRC/23/40. 17 de abril de 2013. Pár. 62. Disponible en: </w:t>
      </w:r>
      <w:hyperlink r:id="rId15">
        <w:r w:rsidRPr="000E05A9">
          <w:rPr>
            <w:rFonts w:ascii="Cambria" w:eastAsia="Cambria" w:hAnsi="Cambria" w:cs="Cambria"/>
            <w:color w:val="1155CC"/>
            <w:sz w:val="20"/>
            <w:szCs w:val="20"/>
            <w:u w:val="single"/>
            <w:lang w:val="es-419"/>
          </w:rPr>
          <w:t>https://www.ohchr.org/Documents/HRBodies/HRCouncil/RegularSession/Session23/A.HRC.23.40_EN.pdf</w:t>
        </w:r>
      </w:hyperlink>
    </w:p>
  </w:footnote>
  <w:footnote w:id="37">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CIDH, Relatoría de Libertad de Expresión, “Estándares para una Internet Libre, Abierta e Incluyente”, 15 de marzo 2017, Párr. 217-218.</w:t>
      </w:r>
    </w:p>
  </w:footnote>
  <w:footnote w:id="38">
    <w:p w:rsidR="00C80EDE" w:rsidRPr="000E05A9" w:rsidRDefault="00C80EDE">
      <w:pPr>
        <w:spacing w:line="240" w:lineRule="auto"/>
        <w:rPr>
          <w:rFonts w:ascii="Cambria" w:eastAsia="Cambria" w:hAnsi="Cambria" w:cs="Cambria"/>
          <w:sz w:val="20"/>
          <w:szCs w:val="20"/>
          <w:lang w:val="en-GB"/>
        </w:rPr>
      </w:pPr>
      <w:r>
        <w:rPr>
          <w:vertAlign w:val="superscript"/>
        </w:rPr>
        <w:footnoteRef/>
      </w:r>
      <w:r w:rsidRPr="000E05A9">
        <w:rPr>
          <w:rFonts w:ascii="Cambria" w:eastAsia="Cambria" w:hAnsi="Cambria" w:cs="Cambria"/>
          <w:sz w:val="20"/>
          <w:szCs w:val="20"/>
          <w:lang w:val="es-419"/>
        </w:rPr>
        <w:t xml:space="preserve">  Naciones Unidas. Asamblea General. Resolución aprobada por la Asamblea General el 18 de diciembre de 2013. 68/167. El derecho a la privacidad en la era digital. A/RES/68/167. 21 de enero de 2014. Párr. 4. </w:t>
      </w:r>
      <w:r w:rsidRPr="00131AF2">
        <w:rPr>
          <w:rFonts w:ascii="Cambria" w:eastAsia="Cambria" w:hAnsi="Cambria" w:cs="Cambria"/>
          <w:sz w:val="20"/>
          <w:szCs w:val="20"/>
          <w:lang w:val="es-419"/>
        </w:rPr>
        <w:t xml:space="preserve">Disponible para consulta en: </w:t>
      </w:r>
      <w:hyperlink r:id="rId16">
        <w:r w:rsidRPr="00131AF2">
          <w:rPr>
            <w:rFonts w:ascii="Cambria" w:eastAsia="Cambria" w:hAnsi="Cambria" w:cs="Cambria"/>
            <w:color w:val="1155CC"/>
            <w:sz w:val="20"/>
            <w:szCs w:val="20"/>
            <w:u w:val="single"/>
            <w:lang w:val="es-419"/>
          </w:rPr>
          <w:t>http://www.un.org/en/ga/search/view_doc.asp?symbol=A/RES/68/167</w:t>
        </w:r>
      </w:hyperlink>
      <w:r w:rsidRPr="00131AF2">
        <w:rPr>
          <w:rFonts w:ascii="Cambria" w:eastAsia="Cambria" w:hAnsi="Cambria" w:cs="Cambria"/>
          <w:sz w:val="20"/>
          <w:szCs w:val="20"/>
          <w:lang w:val="es-419"/>
        </w:rPr>
        <w:t xml:space="preserve"> ; General Assembly. </w:t>
      </w:r>
      <w:r w:rsidRPr="000E05A9">
        <w:rPr>
          <w:rFonts w:ascii="Cambria" w:eastAsia="Cambria" w:hAnsi="Cambria" w:cs="Cambria"/>
          <w:sz w:val="20"/>
          <w:szCs w:val="20"/>
          <w:lang w:val="en-GB"/>
        </w:rPr>
        <w:t>Department of Public</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Information. General Assembly</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Adopts 68 Resolutions, 7 Decisions as It</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Takes</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Action</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on</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Reports of Its</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Third</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Committee.</w:t>
      </w:r>
    </w:p>
  </w:footnote>
  <w:footnote w:id="39">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“La criminalización y represión normativa de la protesta no solo toma la forma de represiones y restricciones generales a la libertad de reunión, como las que se encuentran en algunos regímenes no democráticos, sino que también opera de manera más sutil, a través de leyes que se utilizan para suprimir o poner límites sobre la participación en manifestaciones públicas o protestas.” Recuperen las calles: Represión y criminalización de la protesta en el mundo, International Network of Civil Liberties</w:t>
      </w:r>
      <w:r w:rsidR="00C06530">
        <w:rPr>
          <w:rFonts w:ascii="Cambria" w:eastAsia="Cambria" w:hAnsi="Cambria" w:cs="Cambria"/>
          <w:sz w:val="20"/>
          <w:szCs w:val="20"/>
          <w:lang w:val="es-419"/>
        </w:rPr>
        <w:t xml:space="preserve"> </w:t>
      </w:r>
      <w:r w:rsidRPr="000E05A9">
        <w:rPr>
          <w:rFonts w:ascii="Cambria" w:eastAsia="Cambria" w:hAnsi="Cambria" w:cs="Cambria"/>
          <w:sz w:val="20"/>
          <w:szCs w:val="20"/>
          <w:lang w:val="es-419"/>
        </w:rPr>
        <w:t>Organizations</w:t>
      </w:r>
      <w:r w:rsidR="00C06530">
        <w:rPr>
          <w:rFonts w:ascii="Cambria" w:eastAsia="Cambria" w:hAnsi="Cambria" w:cs="Cambria"/>
          <w:sz w:val="20"/>
          <w:szCs w:val="20"/>
          <w:lang w:val="es-419"/>
        </w:rPr>
        <w:t xml:space="preserve"> </w:t>
      </w:r>
      <w:r w:rsidRPr="000E05A9">
        <w:rPr>
          <w:rFonts w:ascii="Cambria" w:eastAsia="Cambria" w:hAnsi="Cambria" w:cs="Cambria"/>
          <w:sz w:val="20"/>
          <w:szCs w:val="20"/>
          <w:lang w:val="es-419"/>
        </w:rPr>
        <w:t>-</w:t>
      </w:r>
      <w:r w:rsidR="00C06530">
        <w:rPr>
          <w:rFonts w:ascii="Cambria" w:eastAsia="Cambria" w:hAnsi="Cambria" w:cs="Cambria"/>
          <w:sz w:val="20"/>
          <w:szCs w:val="20"/>
          <w:lang w:val="es-419"/>
        </w:rPr>
        <w:t xml:space="preserve"> </w:t>
      </w:r>
      <w:r w:rsidRPr="000E05A9">
        <w:rPr>
          <w:rFonts w:ascii="Cambria" w:eastAsia="Cambria" w:hAnsi="Cambria" w:cs="Cambria"/>
          <w:sz w:val="20"/>
          <w:szCs w:val="20"/>
          <w:lang w:val="es-419"/>
        </w:rPr>
        <w:t xml:space="preserve">INCLO, octubre de 2013, p. 63. </w:t>
      </w:r>
    </w:p>
  </w:footnote>
  <w:footnote w:id="40">
    <w:p w:rsidR="00C80EDE" w:rsidRDefault="00C80EDE">
      <w:pPr>
        <w:spacing w:line="240" w:lineRule="auto"/>
        <w:jc w:val="both"/>
        <w:rPr>
          <w:rFonts w:ascii="Cambria" w:eastAsia="Cambria" w:hAnsi="Cambria" w:cs="Cambria"/>
          <w:sz w:val="20"/>
          <w:szCs w:val="20"/>
        </w:rPr>
      </w:pPr>
      <w:r>
        <w:rPr>
          <w:vertAlign w:val="superscript"/>
        </w:rPr>
        <w:footnoteRef/>
      </w:r>
      <w:r w:rsidRPr="000E05A9">
        <w:rPr>
          <w:rFonts w:ascii="Cambria" w:eastAsia="Cambria" w:hAnsi="Cambria" w:cs="Cambria"/>
          <w:sz w:val="20"/>
          <w:szCs w:val="20"/>
          <w:lang w:val="es-419"/>
        </w:rPr>
        <w:t xml:space="preserve"> “La criminalización de la protesta social consiste en el uso del poder punitivo del Estado para disuadir, castigar o impedir el ejercicio del derecho a la protesta y en algunos casos, de la participación social y política en forma más amplia, mediante el uso arbitrario, desproporcional o reiterado de la justicia penal o contravencional en contra de manifestantes, activistas, referentes sociales o políticos por su participación en una protesta social, o el señalamiento de haberla organizado, o por el hecho de formar parte del colectivo o entidad organizadora o convocante. Sus efectos habituales son la sujeción a procesos, de faltas o penales, arbitrarios y prolongados, la aplicación de multas y/o a detenciones arbitrarias con o sin condena”.  </w:t>
      </w:r>
      <w:r>
        <w:rPr>
          <w:rFonts w:ascii="Cambria" w:eastAsia="Cambria" w:hAnsi="Cambria" w:cs="Cambria"/>
          <w:sz w:val="20"/>
          <w:szCs w:val="20"/>
        </w:rPr>
        <w:t xml:space="preserve">OEA/Ser.L/V/II CIDH/RELE/INF.22/19,  párr. 188. </w:t>
      </w:r>
    </w:p>
  </w:footnote>
  <w:footnote w:id="41">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Pr>
          <w:rFonts w:ascii="Cambria" w:eastAsia="Cambria" w:hAnsi="Cambria" w:cs="Cambria"/>
          <w:sz w:val="20"/>
          <w:szCs w:val="20"/>
        </w:rPr>
        <w:t xml:space="preserve"> CIDH. </w:t>
      </w:r>
      <w:r w:rsidRPr="000E05A9">
        <w:rPr>
          <w:rFonts w:ascii="Cambria" w:eastAsia="Cambria" w:hAnsi="Cambria" w:cs="Cambria"/>
          <w:sz w:val="20"/>
          <w:szCs w:val="20"/>
          <w:lang w:val="es-419"/>
        </w:rPr>
        <w:t>Segundo informe sobre la situación de las defensoras y defensores de los derechos humanos en las Américas. OEA/Ser.L/V/II. Doc. 6631 diciembre 2011, párr. 79.</w:t>
      </w:r>
    </w:p>
  </w:footnote>
  <w:footnote w:id="42">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Ibid,, párr. 76.</w:t>
      </w:r>
    </w:p>
  </w:footnote>
  <w:footnote w:id="43">
    <w:p w:rsidR="00C80EDE" w:rsidRPr="000E05A9" w:rsidRDefault="00C80EDE">
      <w:pPr>
        <w:spacing w:after="160" w:line="259" w:lineRule="auto"/>
        <w:rPr>
          <w:rFonts w:ascii="Cambria" w:eastAsia="Cambria" w:hAnsi="Cambria" w:cs="Cambria"/>
          <w:color w:val="2F5496"/>
          <w:sz w:val="20"/>
          <w:szCs w:val="20"/>
          <w:lang w:val="es-419"/>
        </w:rPr>
      </w:pPr>
      <w:r>
        <w:rPr>
          <w:vertAlign w:val="superscript"/>
        </w:rPr>
        <w:footnoteRef/>
      </w:r>
      <w:r w:rsidRPr="000E05A9">
        <w:rPr>
          <w:rFonts w:ascii="Cambria" w:eastAsia="Cambria" w:hAnsi="Cambria" w:cs="Cambria"/>
          <w:sz w:val="20"/>
          <w:szCs w:val="20"/>
          <w:lang w:val="es-419"/>
        </w:rPr>
        <w:t xml:space="preserve"> OEA/Ser.L/V/II. Doc. 6631 diciembre 2011, párr. 80 y 81</w:t>
      </w:r>
      <w:r w:rsidRPr="000E05A9">
        <w:rPr>
          <w:rFonts w:ascii="Cambria" w:eastAsia="Cambria" w:hAnsi="Cambria" w:cs="Cambria"/>
          <w:color w:val="2F5496"/>
          <w:sz w:val="20"/>
          <w:szCs w:val="20"/>
          <w:lang w:val="es-419"/>
        </w:rPr>
        <w:t>.</w:t>
      </w:r>
    </w:p>
  </w:footnote>
  <w:footnote w:id="44">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sz w:val="20"/>
          <w:szCs w:val="20"/>
          <w:lang w:val="es-419"/>
        </w:rPr>
        <w:t>OEA/Ser.L/V/II CIDH/RELE/INF.22/19, párr. 128, disponible en:</w:t>
      </w:r>
      <w:hyperlink r:id="rId17"/>
      <w:hyperlink r:id="rId18">
        <w:r w:rsidRPr="000E05A9">
          <w:rPr>
            <w:rFonts w:ascii="Cambria" w:eastAsia="Cambria" w:hAnsi="Cambria" w:cs="Cambria"/>
            <w:color w:val="1155CC"/>
            <w:sz w:val="20"/>
            <w:szCs w:val="20"/>
            <w:u w:val="single"/>
            <w:lang w:val="es-419"/>
          </w:rPr>
          <w:t>https://www.oas.org/es/cidh/expresion/publicaciones/ProtestayDerechosHumanos.pdf</w:t>
        </w:r>
      </w:hyperlink>
    </w:p>
  </w:footnote>
  <w:footnote w:id="45">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sz w:val="20"/>
          <w:szCs w:val="20"/>
          <w:lang w:val="es-419"/>
        </w:rPr>
        <w:t>Convención Americana de Derechos Humanos, art. 7.2.</w:t>
      </w:r>
    </w:p>
  </w:footnote>
  <w:footnote w:id="46">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sz w:val="20"/>
          <w:szCs w:val="20"/>
          <w:lang w:val="es-419"/>
        </w:rPr>
        <w:t>OEA/Ser.L/V/II CIDH/RELE/INF.22/19, párr. 129, disponible en:</w:t>
      </w:r>
      <w:hyperlink r:id="rId19"/>
      <w:hyperlink r:id="rId20">
        <w:r w:rsidRPr="000E05A9">
          <w:rPr>
            <w:rFonts w:ascii="Cambria" w:eastAsia="Cambria" w:hAnsi="Cambria" w:cs="Cambria"/>
            <w:color w:val="1155CC"/>
            <w:sz w:val="20"/>
            <w:szCs w:val="20"/>
            <w:u w:val="single"/>
            <w:lang w:val="es-419"/>
          </w:rPr>
          <w:t>https://www.oas.org/es/cidh/expresion/publicaciones/ProtestayDerechosHumanos.pdf</w:t>
        </w:r>
      </w:hyperlink>
    </w:p>
  </w:footnote>
  <w:footnote w:id="47">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sz w:val="20"/>
          <w:szCs w:val="20"/>
          <w:lang w:val="es-419"/>
        </w:rPr>
        <w:t>OEA/Ser.L/V/II. Doc.57, 2009, párr. 151, disponible en:</w:t>
      </w:r>
      <w:hyperlink r:id="rId21"/>
      <w:hyperlink r:id="rId22">
        <w:r w:rsidRPr="000E05A9">
          <w:rPr>
            <w:rFonts w:ascii="Cambria" w:eastAsia="Cambria" w:hAnsi="Cambria" w:cs="Cambria"/>
            <w:color w:val="1155CC"/>
            <w:sz w:val="20"/>
            <w:szCs w:val="20"/>
            <w:u w:val="single"/>
            <w:lang w:val="es-419"/>
          </w:rPr>
          <w:t>https://www.cidh.oas.org/pdf%20files/SEGURIDAD%20CIUDADANA%202009%20ESP.pdf</w:t>
        </w:r>
      </w:hyperlink>
    </w:p>
  </w:footnote>
  <w:footnote w:id="48">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sz w:val="20"/>
          <w:szCs w:val="20"/>
          <w:lang w:val="es-419"/>
        </w:rPr>
        <w:t>OEA/Ser.L/V/II CIDH/RELE/INF.22/19, párr. 228, disponible en:</w:t>
      </w:r>
      <w:hyperlink r:id="rId23"/>
      <w:hyperlink r:id="rId24">
        <w:r w:rsidRPr="000E05A9">
          <w:rPr>
            <w:rFonts w:ascii="Cambria" w:eastAsia="Cambria" w:hAnsi="Cambria" w:cs="Cambria"/>
            <w:color w:val="1155CC"/>
            <w:sz w:val="20"/>
            <w:szCs w:val="20"/>
            <w:u w:val="single"/>
            <w:lang w:val="es-419"/>
          </w:rPr>
          <w:t>https://www.oas.org/es/cidh/expresion/publicaciones/ProtestayDerechosHumanos.pdf</w:t>
        </w:r>
      </w:hyperlink>
    </w:p>
  </w:footnote>
  <w:footnote w:id="49">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sz w:val="20"/>
          <w:szCs w:val="20"/>
          <w:lang w:val="es-419"/>
        </w:rPr>
        <w:t>OEA/Ser.L/V/II CIDH/RELE/INF.22/19, párr. 140, disponible en:</w:t>
      </w:r>
      <w:hyperlink r:id="rId25"/>
      <w:hyperlink r:id="rId26">
        <w:r w:rsidRPr="000E05A9">
          <w:rPr>
            <w:rFonts w:ascii="Cambria" w:eastAsia="Cambria" w:hAnsi="Cambria" w:cs="Cambria"/>
            <w:color w:val="1155CC"/>
            <w:sz w:val="20"/>
            <w:szCs w:val="20"/>
            <w:u w:val="single"/>
            <w:lang w:val="es-419"/>
          </w:rPr>
          <w:t>https://www.oas.org/es/cidh/expresion/publicaciones/ProtestayDerechosHumanos.pdf</w:t>
        </w:r>
      </w:hyperlink>
    </w:p>
  </w:footnote>
  <w:footnote w:id="50">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Corte IDH, caso Montero Aranguren y otros (Retén de Catia) Vs. Venezuela, 2006, párr. 78.</w:t>
      </w:r>
    </w:p>
  </w:footnote>
  <w:footnote w:id="51">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Corte IDH, caso Zambrano Vélez Vs. Ecuador, 2007, párr. 51.</w:t>
      </w:r>
    </w:p>
  </w:footnote>
  <w:footnote w:id="52">
    <w:p w:rsidR="00C80EDE" w:rsidRPr="000E05A9" w:rsidRDefault="00C80EDE">
      <w:pPr>
        <w:spacing w:line="240" w:lineRule="auto"/>
        <w:rPr>
          <w:sz w:val="20"/>
          <w:szCs w:val="20"/>
          <w:lang w:val="es-419"/>
        </w:rPr>
      </w:pPr>
      <w:r>
        <w:rPr>
          <w:vertAlign w:val="superscript"/>
        </w:rPr>
        <w:footnoteRef/>
      </w:r>
      <w:r w:rsidRPr="000E05A9">
        <w:rPr>
          <w:sz w:val="20"/>
          <w:szCs w:val="20"/>
          <w:lang w:val="es-419"/>
        </w:rPr>
        <w:t xml:space="preserve"> ACNUDH, Pacto Internacional de Derechos Civiles y Políticos, 1966. Artículo 19.</w:t>
      </w:r>
    </w:p>
    <w:p w:rsidR="00C80EDE" w:rsidRPr="000E05A9" w:rsidRDefault="00C80EDE">
      <w:pPr>
        <w:spacing w:line="240" w:lineRule="auto"/>
        <w:rPr>
          <w:sz w:val="20"/>
          <w:szCs w:val="20"/>
          <w:lang w:val="es-419"/>
        </w:rPr>
      </w:pPr>
      <w:r w:rsidRPr="000E05A9">
        <w:rPr>
          <w:sz w:val="20"/>
          <w:szCs w:val="20"/>
          <w:lang w:val="es-419"/>
        </w:rPr>
        <w:t xml:space="preserve">OEA, Convención Americana sobre Derechos Humanos (Pacto de San José), 1969. Articulo 13. </w:t>
      </w:r>
    </w:p>
  </w:footnote>
  <w:footnote w:id="53">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OEA/Ser.L/V/II CIDH/RELE/INF.22/19</w:t>
      </w:r>
    </w:p>
  </w:footnote>
  <w:footnote w:id="54">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Consejo de Derechos Humanos. “ Informe conjunto del Relator Especial sobre los derechos a la libertad de reunión pacífica y de asociación y el Relator Especial sobre las ejecuciones extrajudiciales, sumarias o arbitrarias acerca de la gestión adecuada de las manifestaciones”, A/HRC/31/66, 4 de febrero de 2016, párr. 71 / También en: OEA/Ser.L/V/II CIDH/RELE/INF.22/19,  párrafo 308.</w:t>
      </w:r>
    </w:p>
  </w:footnote>
  <w:footnote w:id="55">
    <w:p w:rsidR="00C80EDE" w:rsidRDefault="00C80EDE">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ROEA/Ser.L/V/II CIDH/RELE/INF.22/19, párrafo 309.</w:t>
      </w:r>
    </w:p>
  </w:footnote>
  <w:footnote w:id="56">
    <w:p w:rsidR="00C80EDE" w:rsidRPr="000E05A9" w:rsidRDefault="00C80EDE">
      <w:pPr>
        <w:spacing w:line="240" w:lineRule="auto"/>
        <w:rPr>
          <w:sz w:val="20"/>
          <w:szCs w:val="20"/>
          <w:lang w:val="es-419"/>
        </w:rPr>
      </w:pPr>
      <w:r>
        <w:rPr>
          <w:vertAlign w:val="superscript"/>
        </w:rPr>
        <w:footnoteRef/>
      </w:r>
      <w:r w:rsidRPr="000E05A9">
        <w:rPr>
          <w:rFonts w:ascii="Cambria" w:eastAsia="Cambria" w:hAnsi="Cambria" w:cs="Cambria"/>
          <w:i/>
          <w:sz w:val="20"/>
          <w:szCs w:val="20"/>
          <w:lang w:val="es-419"/>
        </w:rPr>
        <w:t>La legislación que rige la policía debe ser accesible a los ciudadanos y suficientemente clara y precisa; llegado el caso, debe completarse con reglamentos claros igualmente accesibles a los ciudadanos</w:t>
      </w:r>
      <w:r w:rsidRPr="000E05A9">
        <w:rPr>
          <w:rFonts w:ascii="Cambria" w:eastAsia="Cambria" w:hAnsi="Cambria" w:cs="Cambria"/>
          <w:sz w:val="20"/>
          <w:szCs w:val="20"/>
          <w:lang w:val="es-419"/>
        </w:rPr>
        <w:t>”. Código Europeo de Ética Policial. Recomendación Rec. (2001) 10 del Comité de Ministros a los Estados miembros sobre el Código Europeo de Ética de la Policía. II 4) / También en: OEA/Ser.L/V/II CIDH/RELE/INF.22/19, párrafo 310.</w:t>
      </w:r>
    </w:p>
  </w:footnote>
  <w:footnote w:id="57">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Principios Básicos sobre el Empleo de la Fuerza y de Armas de Fuego por los Funcionarios Encargados de Hacer Cumplir la Ley, Principio 11. CIDH, Acceso a la Justicia e Inclusión Social: el camino hacia el Fortalecimiento de la democracia en Bolivia, OEA/Ser.L/V/II.Doc. 34, 28 junio 2007 Capítulo I, Introducción. Párr 45 b) / También en: OEA/Ser.L/V/II CIDH/RELE/INF.22/19, párrafo 312. </w:t>
      </w:r>
    </w:p>
  </w:footnote>
  <w:footnote w:id="58">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n-GB"/>
        </w:rPr>
        <w:t>Defending</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dissent: Towards</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State</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Practices</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that</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Protect and Promote</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the</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Rights to Protest. International Network of Civil Liberties</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Organizations-INCLO &amp;The International Human Rights</w:t>
      </w:r>
      <w:r w:rsidR="00C06530">
        <w:rPr>
          <w:rFonts w:ascii="Cambria" w:eastAsia="Cambria" w:hAnsi="Cambria" w:cs="Cambria"/>
          <w:sz w:val="20"/>
          <w:szCs w:val="20"/>
          <w:lang w:val="en-GB"/>
        </w:rPr>
        <w:t xml:space="preserve"> </w:t>
      </w:r>
      <w:r w:rsidRPr="000E05A9">
        <w:rPr>
          <w:rFonts w:ascii="Cambria" w:eastAsia="Cambria" w:hAnsi="Cambria" w:cs="Cambria"/>
          <w:sz w:val="20"/>
          <w:szCs w:val="20"/>
          <w:lang w:val="en-GB"/>
        </w:rPr>
        <w:t xml:space="preserve">Clinic (IHRC). </w:t>
      </w:r>
      <w:r w:rsidRPr="000E05A9">
        <w:rPr>
          <w:rFonts w:ascii="Cambria" w:eastAsia="Cambria" w:hAnsi="Cambria" w:cs="Cambria"/>
          <w:sz w:val="20"/>
          <w:szCs w:val="20"/>
          <w:lang w:val="es-419"/>
        </w:rPr>
        <w:t xml:space="preserve">2018. p. 11 [Traducción propia]. </w:t>
      </w:r>
    </w:p>
  </w:footnote>
  <w:footnote w:id="59">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Pr="00F1427F">
        <w:rPr>
          <w:rFonts w:ascii="Cambria" w:eastAsia="Cambria" w:hAnsi="Cambria" w:cs="Cambria"/>
          <w:sz w:val="20"/>
          <w:szCs w:val="20"/>
        </w:rPr>
        <w:t xml:space="preserve"> OEA/Ser.L/V/II CIDH/RELE/INF.22/19,  párrafo. </w:t>
      </w:r>
      <w:r w:rsidRPr="000E05A9">
        <w:rPr>
          <w:rFonts w:ascii="Cambria" w:eastAsia="Cambria" w:hAnsi="Cambria" w:cs="Cambria"/>
          <w:sz w:val="20"/>
          <w:szCs w:val="20"/>
          <w:lang w:val="es-419"/>
        </w:rPr>
        <w:t xml:space="preserve">310. </w:t>
      </w:r>
    </w:p>
  </w:footnote>
  <w:footnote w:id="60">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Principios Básicos de la ONU sobre el Empleo de la Fuerza y de Armas de Fuego por los Funcionarios Encargados de Hacer Cumplir la Ley, principios 6, 7 y 22.</w:t>
      </w:r>
    </w:p>
  </w:footnote>
  <w:footnote w:id="61">
    <w:p w:rsidR="00C80EDE" w:rsidRDefault="00C80EDE">
      <w:pPr>
        <w:spacing w:line="240" w:lineRule="auto"/>
        <w:jc w:val="both"/>
        <w:rPr>
          <w:rFonts w:ascii="Cambria" w:eastAsia="Cambria" w:hAnsi="Cambria" w:cs="Cambria"/>
          <w:sz w:val="20"/>
          <w:szCs w:val="20"/>
        </w:rPr>
      </w:pPr>
      <w:r>
        <w:rPr>
          <w:vertAlign w:val="superscript"/>
        </w:rPr>
        <w:footnoteRef/>
      </w:r>
      <w:r w:rsidRPr="000E05A9">
        <w:rPr>
          <w:rFonts w:ascii="Cambria" w:eastAsia="Cambria" w:hAnsi="Cambria" w:cs="Cambria"/>
          <w:sz w:val="20"/>
          <w:szCs w:val="20"/>
          <w:lang w:val="es-419"/>
        </w:rPr>
        <w:t xml:space="preserve"> “Es también importante que las instrucciones de planificación del operativo identifiquen a los funcionarios policiales de alto rango responsables de comando policial del operativo y las secciones participantes. Las principales órdenes e indicaciones que se den durante el operativo deben ser registradas y fundamentadas. Los protocolos deben establecer claramente los niveles de responsabilidad para las distintas órdenes”. </w:t>
      </w:r>
      <w:r>
        <w:rPr>
          <w:rFonts w:ascii="Cambria" w:eastAsia="Cambria" w:hAnsi="Cambria" w:cs="Cambria"/>
          <w:sz w:val="20"/>
          <w:szCs w:val="20"/>
        </w:rPr>
        <w:t xml:space="preserve">OEA/Ser.L/V/II CIDH/RELE/INF.22/19, párrafo. 315. </w:t>
      </w:r>
    </w:p>
  </w:footnote>
  <w:footnote w:id="62">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Pr>
          <w:rFonts w:ascii="Cambria" w:eastAsia="Cambria" w:hAnsi="Cambria" w:cs="Cambria"/>
          <w:sz w:val="20"/>
          <w:szCs w:val="20"/>
        </w:rPr>
        <w:t xml:space="preserve">Ibid, párrafo. </w:t>
      </w:r>
      <w:r w:rsidRPr="000E05A9">
        <w:rPr>
          <w:rFonts w:ascii="Cambria" w:eastAsia="Cambria" w:hAnsi="Cambria" w:cs="Cambria"/>
          <w:sz w:val="20"/>
          <w:szCs w:val="20"/>
          <w:lang w:val="es-419"/>
        </w:rPr>
        <w:t xml:space="preserve">312. </w:t>
      </w:r>
    </w:p>
  </w:footnote>
  <w:footnote w:id="63">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Ibid,  párrafo. 309. </w:t>
      </w:r>
    </w:p>
  </w:footnote>
  <w:footnote w:id="64">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TEDH. Caso de Uzun vs. Alemania. Aplicación No. 35623/05. Sentencia de 2 de Septiembre de 2010, párr. 61; Caso de Valenzuela Contreras vs. España. Aplicación No. 58/1997/842/1048. Sentencia de 30 de Julio de 1998, párr. 46.</w:t>
      </w:r>
    </w:p>
  </w:footnote>
  <w:footnote w:id="65">
    <w:p w:rsidR="00C80EDE" w:rsidRPr="000E05A9" w:rsidRDefault="00C80EDE">
      <w:pPr>
        <w:spacing w:line="240" w:lineRule="auto"/>
        <w:rPr>
          <w:rFonts w:ascii="Cambria" w:eastAsia="Cambria" w:hAnsi="Cambria" w:cs="Cambria"/>
          <w:sz w:val="20"/>
          <w:szCs w:val="20"/>
          <w:lang w:val="en-GB"/>
        </w:rPr>
      </w:pPr>
      <w:r>
        <w:rPr>
          <w:vertAlign w:val="superscript"/>
        </w:rPr>
        <w:footnoteRef/>
      </w:r>
      <w:r w:rsidRPr="000E05A9">
        <w:rPr>
          <w:rFonts w:ascii="Cambria" w:eastAsia="Cambria" w:hAnsi="Cambria" w:cs="Cambria"/>
          <w:sz w:val="20"/>
          <w:szCs w:val="20"/>
          <w:lang w:val="es-419"/>
        </w:rPr>
        <w:t xml:space="preserve"> ONU. Informe del Relator Especial sobre la promoción y protección del derecho a la libertad de opinión y de expresión, Frank La Rue. 17 de abril de 2013. </w:t>
      </w:r>
      <w:r w:rsidRPr="000E05A9">
        <w:rPr>
          <w:rFonts w:ascii="Cambria" w:eastAsia="Cambria" w:hAnsi="Cambria" w:cs="Cambria"/>
          <w:sz w:val="20"/>
          <w:szCs w:val="20"/>
          <w:lang w:val="en-GB"/>
        </w:rPr>
        <w:t>A/HRC/23/40.</w:t>
      </w:r>
    </w:p>
  </w:footnote>
  <w:footnote w:id="66">
    <w:p w:rsidR="00C80EDE" w:rsidRPr="000E05A9" w:rsidRDefault="00C80EDE">
      <w:pPr>
        <w:spacing w:line="240" w:lineRule="auto"/>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n-GB"/>
        </w:rPr>
        <w:t xml:space="preserve"> TEDH. CASE OF THE ASSOCIATION FOR EUROPEAN INTEGRATION AND HUMAN RIGHTS AND EKIMDZHIEV v. BULGARIA, párrs. </w:t>
      </w:r>
      <w:r w:rsidRPr="000E05A9">
        <w:rPr>
          <w:rFonts w:ascii="Cambria" w:eastAsia="Cambria" w:hAnsi="Cambria" w:cs="Cambria"/>
          <w:sz w:val="20"/>
          <w:szCs w:val="20"/>
          <w:lang w:val="es-419"/>
        </w:rPr>
        <w:t>90-94.</w:t>
      </w:r>
    </w:p>
  </w:footnote>
  <w:footnote w:id="67">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ONU. Asamblea General. Resolución aprobada por la Asamblea General el 18 de diciembre de 2013. 68/167. El derecho a la privacidad en la era digital. A/RES/68/167. 21 de enero de 2014.</w:t>
      </w:r>
    </w:p>
  </w:footnote>
  <w:footnote w:id="68">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 Relator Especial de las Naciones Unidas (ONU) para la Protección y Promoción del Derecho a la Libertad de Opinión y de Expresión Relatora Especial para la Libertad de Expresión de la Comisión Interamericana de Derechos Humanos de la OEA. Declaración Conjunta sobre Programas de Vigilancia y su Impacto para la Libertad de Expresión. Disponible en:</w:t>
      </w:r>
    </w:p>
    <w:p w:rsidR="00C80EDE" w:rsidRPr="000E05A9" w:rsidRDefault="00103CB1">
      <w:pPr>
        <w:spacing w:line="240" w:lineRule="auto"/>
        <w:jc w:val="both"/>
        <w:rPr>
          <w:rFonts w:ascii="Cambria" w:eastAsia="Cambria" w:hAnsi="Cambria" w:cs="Cambria"/>
          <w:sz w:val="20"/>
          <w:szCs w:val="20"/>
          <w:lang w:val="es-419"/>
        </w:rPr>
      </w:pPr>
      <w:hyperlink r:id="rId27">
        <w:r w:rsidR="00C80EDE" w:rsidRPr="000E05A9">
          <w:rPr>
            <w:rFonts w:ascii="Cambria" w:eastAsia="Cambria" w:hAnsi="Cambria" w:cs="Cambria"/>
            <w:color w:val="1155CC"/>
            <w:sz w:val="20"/>
            <w:szCs w:val="20"/>
            <w:u w:val="single"/>
            <w:lang w:val="es-419"/>
          </w:rPr>
          <w:t>https://www.oas.org/es/cidh/expresion/showarticle.asp?artID=926&amp;lID=2</w:t>
        </w:r>
      </w:hyperlink>
    </w:p>
  </w:footnote>
  <w:footnote w:id="69">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00C06530">
        <w:rPr>
          <w:rFonts w:ascii="Cambria" w:eastAsia="Cambria" w:hAnsi="Cambria" w:cs="Cambria"/>
          <w:sz w:val="20"/>
          <w:szCs w:val="20"/>
          <w:lang w:val="es-419"/>
        </w:rPr>
        <w:t xml:space="preserve">Article 19. Los Principios de </w:t>
      </w:r>
      <w:r w:rsidRPr="000E05A9">
        <w:rPr>
          <w:rFonts w:ascii="Cambria" w:eastAsia="Cambria" w:hAnsi="Cambria" w:cs="Cambria"/>
          <w:sz w:val="20"/>
          <w:szCs w:val="20"/>
          <w:lang w:val="es-419"/>
        </w:rPr>
        <w:t>Johannesburgo sobre la Seguridad Nacional, la Libertad de Expresión y el Acceso a la Información. Noviembre 1996. Disponible en:</w:t>
      </w:r>
    </w:p>
    <w:p w:rsidR="00C80EDE" w:rsidRPr="000E05A9" w:rsidRDefault="00103CB1">
      <w:pPr>
        <w:spacing w:line="240" w:lineRule="auto"/>
        <w:rPr>
          <w:rFonts w:ascii="Cambria" w:eastAsia="Cambria" w:hAnsi="Cambria" w:cs="Cambria"/>
          <w:sz w:val="20"/>
          <w:szCs w:val="20"/>
          <w:lang w:val="es-419"/>
        </w:rPr>
      </w:pPr>
      <w:hyperlink r:id="rId28">
        <w:r w:rsidR="00C80EDE" w:rsidRPr="000E05A9">
          <w:rPr>
            <w:rFonts w:ascii="Cambria" w:eastAsia="Cambria" w:hAnsi="Cambria" w:cs="Cambria"/>
            <w:color w:val="1155CC"/>
            <w:sz w:val="20"/>
            <w:szCs w:val="20"/>
            <w:u w:val="single"/>
            <w:lang w:val="es-419"/>
          </w:rPr>
          <w:t>https://www.article19.org/data/files/medialibrary/1803/Johannesburg-Principles.Spa.pdf</w:t>
        </w:r>
      </w:hyperlink>
    </w:p>
  </w:footnote>
  <w:footnote w:id="70">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Pr="000E05A9">
        <w:rPr>
          <w:rFonts w:ascii="Proxima Nova" w:eastAsia="Proxima Nova" w:hAnsi="Proxima Nova" w:cs="Proxima Nova"/>
          <w:sz w:val="20"/>
          <w:szCs w:val="20"/>
          <w:lang w:val="es-419"/>
        </w:rPr>
        <w:t>P</w:t>
      </w:r>
      <w:r w:rsidRPr="000E05A9">
        <w:rPr>
          <w:rFonts w:ascii="Cambria" w:eastAsia="Cambria" w:hAnsi="Cambria" w:cs="Cambria"/>
          <w:sz w:val="20"/>
          <w:szCs w:val="20"/>
          <w:lang w:val="es-419"/>
        </w:rPr>
        <w:t xml:space="preserve">rincipios Globales sobre Seguridad Nacional y el Derecho a la Información (“Principios de Tshwane”) concluidos en Tshwane, Sudáfrica y emitidos el 12 de junio de 2013. Disponible en: </w:t>
      </w:r>
      <w:hyperlink r:id="rId29">
        <w:r w:rsidRPr="000E05A9">
          <w:rPr>
            <w:rFonts w:ascii="Cambria" w:eastAsia="Cambria" w:hAnsi="Cambria" w:cs="Cambria"/>
            <w:color w:val="1155CC"/>
            <w:sz w:val="20"/>
            <w:szCs w:val="20"/>
            <w:u w:val="single"/>
            <w:lang w:val="es-419"/>
          </w:rPr>
          <w:t>https://www.aclu.org/sites/default/files/assets/spanish-version_of_the_tshwane_principles.doc</w:t>
        </w:r>
      </w:hyperlink>
    </w:p>
  </w:footnote>
  <w:footnote w:id="71">
    <w:p w:rsidR="00C80EDE" w:rsidRPr="000E05A9" w:rsidRDefault="00C80EDE">
      <w:pPr>
        <w:spacing w:line="240" w:lineRule="auto"/>
        <w:jc w:val="both"/>
        <w:rPr>
          <w:rFonts w:ascii="Cambria" w:eastAsia="Cambria" w:hAnsi="Cambria" w:cs="Cambria"/>
          <w:sz w:val="20"/>
          <w:szCs w:val="20"/>
          <w:lang w:val="es-419"/>
        </w:rPr>
      </w:pPr>
      <w:r>
        <w:rPr>
          <w:vertAlign w:val="superscript"/>
        </w:rPr>
        <w:footnoteRef/>
      </w:r>
      <w:r w:rsidRPr="000E05A9">
        <w:rPr>
          <w:rFonts w:ascii="Cambria" w:eastAsia="Cambria" w:hAnsi="Cambria" w:cs="Cambria"/>
          <w:sz w:val="20"/>
          <w:szCs w:val="20"/>
          <w:lang w:val="es-419"/>
        </w:rPr>
        <w:t xml:space="preserve">Principios Globales sobre Seguridad Nacional y el Derecho a la Información (“Principios de Tshwane”) concluidos en Tshwane, Sudáfrica y emitidos el 12 de junio de 2013. Principio 3.Disponible en: </w:t>
      </w:r>
      <w:hyperlink r:id="rId30">
        <w:r w:rsidRPr="000E05A9">
          <w:rPr>
            <w:rFonts w:ascii="Cambria" w:eastAsia="Cambria" w:hAnsi="Cambria" w:cs="Cambria"/>
            <w:color w:val="1155CC"/>
            <w:sz w:val="20"/>
            <w:szCs w:val="20"/>
            <w:u w:val="single"/>
            <w:lang w:val="es-419"/>
          </w:rPr>
          <w:t>https://www.aclu.org/sites/default/files/assets/spanish-version_of_the_tshwane_principles.doc</w:t>
        </w:r>
      </w:hyperlink>
    </w:p>
  </w:footnote>
  <w:footnote w:id="72">
    <w:p w:rsidR="00B15D3D" w:rsidRDefault="00B15D3D" w:rsidP="00B15D3D">
      <w:pPr>
        <w:spacing w:line="240" w:lineRule="auto"/>
        <w:jc w:val="both"/>
      </w:pPr>
      <w:r>
        <w:rPr>
          <w:vertAlign w:val="superscript"/>
        </w:rPr>
        <w:footnoteRef/>
      </w:r>
      <w:r>
        <w:t xml:space="preserve"> </w:t>
      </w:r>
      <w:r>
        <w:rPr>
          <w:rFonts w:ascii="Cambria" w:eastAsia="Cambria" w:hAnsi="Cambria" w:cs="Cambria"/>
        </w:rPr>
        <w:t xml:space="preserve">CIDH - Relatoría Especial para la Libertad de Expresión, “Protesta y Derechos Humanos: Estándares sobre los derechos involucrados en la protesta social y las obligaciones que deben guiar la respuesta estatal”, septiembre de 2019, párr. 81. </w:t>
      </w:r>
    </w:p>
  </w:footnote>
  <w:footnote w:id="73">
    <w:p w:rsidR="00B15D3D" w:rsidRDefault="00B15D3D" w:rsidP="00B15D3D">
      <w:pPr>
        <w:spacing w:line="240" w:lineRule="auto"/>
        <w:rPr>
          <w:sz w:val="20"/>
          <w:szCs w:val="20"/>
        </w:rPr>
      </w:pPr>
      <w:r>
        <w:rPr>
          <w:vertAlign w:val="superscript"/>
        </w:rPr>
        <w:footnoteRef/>
      </w:r>
      <w:r>
        <w:rPr>
          <w:sz w:val="20"/>
          <w:szCs w:val="20"/>
        </w:rPr>
        <w:t xml:space="preserve"> </w:t>
      </w:r>
      <w:r>
        <w:rPr>
          <w:rFonts w:ascii="Cambria" w:eastAsia="Cambria" w:hAnsi="Cambria" w:cs="Cambria"/>
          <w:i/>
          <w:sz w:val="24"/>
          <w:szCs w:val="24"/>
        </w:rPr>
        <w:t xml:space="preserve">OSCE, Guidelines on Freedom of Peaceful Assembly, </w:t>
      </w:r>
      <w:r>
        <w:rPr>
          <w:rFonts w:ascii="Cambria" w:eastAsia="Cambria" w:hAnsi="Cambria" w:cs="Cambria"/>
          <w:sz w:val="24"/>
          <w:szCs w:val="24"/>
        </w:rPr>
        <w:t xml:space="preserve">para. 26 - 27. </w:t>
      </w:r>
    </w:p>
  </w:footnote>
  <w:footnote w:id="74">
    <w:p w:rsidR="00B15D3D" w:rsidRDefault="00B15D3D" w:rsidP="00B15D3D">
      <w:pPr>
        <w:spacing w:line="240" w:lineRule="auto"/>
        <w:jc w:val="both"/>
        <w:rPr>
          <w:sz w:val="20"/>
          <w:szCs w:val="20"/>
        </w:rPr>
      </w:pPr>
      <w:r>
        <w:rPr>
          <w:vertAlign w:val="superscript"/>
        </w:rPr>
        <w:footnoteRef/>
      </w:r>
      <w:r>
        <w:rPr>
          <w:sz w:val="20"/>
          <w:szCs w:val="20"/>
        </w:rPr>
        <w:t xml:space="preserve"> </w:t>
      </w:r>
      <w:r>
        <w:rPr>
          <w:rFonts w:ascii="Cambria" w:eastAsia="Cambria" w:hAnsi="Cambria" w:cs="Cambria"/>
        </w:rPr>
        <w:t xml:space="preserve">CIDH - Relatoría Especial para la Libertad de Expresión: “Protesta y Derechos Humanos: Estándares sobre los derechos involucrados en la protesta social y las obligaciones que deben guiar la respuesta estatal”, septiembre de 2019, párr. 45. </w:t>
      </w:r>
    </w:p>
  </w:footnote>
  <w:footnote w:id="75">
    <w:p w:rsidR="00B15D3D" w:rsidRDefault="00B15D3D" w:rsidP="00B15D3D">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w:t>
      </w:r>
      <w:r>
        <w:rPr>
          <w:rFonts w:ascii="Cambria" w:eastAsia="Cambria" w:hAnsi="Cambria" w:cs="Cambria"/>
          <w:i/>
          <w:sz w:val="20"/>
          <w:szCs w:val="20"/>
        </w:rPr>
        <w:t xml:space="preserve">OSCE, Guidelines on Freedom of Peaceful Assembly, </w:t>
      </w:r>
      <w:r>
        <w:rPr>
          <w:rFonts w:ascii="Cambria" w:eastAsia="Cambria" w:hAnsi="Cambria" w:cs="Cambria"/>
          <w:sz w:val="20"/>
          <w:szCs w:val="20"/>
        </w:rPr>
        <w:t>para. 26 - 27.</w:t>
      </w:r>
    </w:p>
  </w:footnote>
  <w:footnote w:id="76">
    <w:p w:rsidR="00B15D3D" w:rsidRDefault="00B15D3D" w:rsidP="00B15D3D">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CIDH, Informe sobre Seguridad Ciudadana y Derechos Humanos, 31 de diciembre de 2011, OEA/Ser.L/V/II. Doc 57, párr. 195. </w:t>
      </w:r>
    </w:p>
  </w:footnote>
  <w:footnote w:id="77">
    <w:p w:rsidR="00B15D3D" w:rsidRDefault="00B15D3D" w:rsidP="00B15D3D">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A/HRC/41/35, La vigilancia y los derechos humanos, párrafo 12.</w:t>
      </w:r>
    </w:p>
  </w:footnote>
  <w:footnote w:id="78">
    <w:p w:rsidR="00B15D3D" w:rsidRDefault="00B15D3D" w:rsidP="00B15D3D">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Corte IDH, Caso Montero Aranguren y otros (Retén de Catia) Vs. Venezuela. Sentencia de 5 de julio de 2006, Serie C Nº 150, párrafo 78. </w:t>
      </w:r>
      <w:r w:rsidRPr="00EC6901">
        <w:rPr>
          <w:rFonts w:ascii="Cambria" w:eastAsia="Cambria" w:hAnsi="Cambria" w:cs="Cambria"/>
          <w:sz w:val="20"/>
          <w:szCs w:val="20"/>
          <w:lang w:val="en-GB"/>
        </w:rPr>
        <w:t xml:space="preserve">CCPR/C/VEN/CO/4, párr. 14 y CADHP, </w:t>
      </w:r>
      <w:r w:rsidRPr="00EC6901">
        <w:rPr>
          <w:rFonts w:ascii="Cambria" w:eastAsia="Cambria" w:hAnsi="Cambria" w:cs="Cambria"/>
          <w:i/>
          <w:sz w:val="20"/>
          <w:szCs w:val="20"/>
          <w:lang w:val="en-GB"/>
        </w:rPr>
        <w:t>Guidelines on Policing Assemblies in Africa</w:t>
      </w:r>
      <w:r w:rsidRPr="00EC6901">
        <w:rPr>
          <w:rFonts w:ascii="Cambria" w:eastAsia="Cambria" w:hAnsi="Cambria" w:cs="Cambria"/>
          <w:sz w:val="20"/>
          <w:szCs w:val="20"/>
          <w:lang w:val="en-GB"/>
        </w:rPr>
        <w:t xml:space="preserve">, párr. </w:t>
      </w:r>
      <w:r>
        <w:rPr>
          <w:rFonts w:ascii="Cambria" w:eastAsia="Cambria" w:hAnsi="Cambria" w:cs="Cambria"/>
          <w:sz w:val="20"/>
          <w:szCs w:val="20"/>
        </w:rPr>
        <w:t xml:space="preserve">3.2. </w:t>
      </w:r>
    </w:p>
  </w:footnote>
  <w:footnote w:id="79">
    <w:p w:rsidR="00B15D3D" w:rsidRDefault="00B15D3D" w:rsidP="00B15D3D">
      <w:pPr>
        <w:spacing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w:t>
      </w:r>
      <w:r>
        <w:rPr>
          <w:rFonts w:ascii="Cambria" w:eastAsia="Cambria" w:hAnsi="Cambria" w:cs="Cambria"/>
          <w:sz w:val="20"/>
          <w:szCs w:val="20"/>
          <w:highlight w:val="white"/>
        </w:rPr>
        <w:t>CIDH, Informe Anual 2015, capítulo IV A, párr</w:t>
      </w:r>
      <w:r>
        <w:rPr>
          <w:rFonts w:ascii="Cambria" w:eastAsia="Cambria" w:hAnsi="Cambria" w:cs="Cambria"/>
          <w:sz w:val="20"/>
          <w:szCs w:val="20"/>
        </w:rPr>
        <w:t>.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A7B"/>
    <w:multiLevelType w:val="multilevel"/>
    <w:tmpl w:val="76A4D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CC234E"/>
    <w:multiLevelType w:val="multilevel"/>
    <w:tmpl w:val="7556F744"/>
    <w:lvl w:ilvl="0">
      <w:start w:val="1"/>
      <w:numFmt w:val="decimal"/>
      <w:lvlText w:val="%1."/>
      <w:lvlJc w:val="left"/>
      <w:pPr>
        <w:ind w:left="720" w:hanging="360"/>
      </w:pPr>
      <w:rPr>
        <w:rFonts w:ascii="Arial" w:eastAsia="Arial" w:hAnsi="Arial" w:cs="Arial"/>
        <w:b/>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05"/>
    <w:rsid w:val="00050F35"/>
    <w:rsid w:val="00076D62"/>
    <w:rsid w:val="00080A1A"/>
    <w:rsid w:val="00080F9A"/>
    <w:rsid w:val="000E05A9"/>
    <w:rsid w:val="000F0903"/>
    <w:rsid w:val="00103CB1"/>
    <w:rsid w:val="00131AF2"/>
    <w:rsid w:val="00137710"/>
    <w:rsid w:val="0014049D"/>
    <w:rsid w:val="001B68DE"/>
    <w:rsid w:val="001C6AAE"/>
    <w:rsid w:val="001D1203"/>
    <w:rsid w:val="001E2DF1"/>
    <w:rsid w:val="00351ED3"/>
    <w:rsid w:val="003714CF"/>
    <w:rsid w:val="003A388D"/>
    <w:rsid w:val="003C212D"/>
    <w:rsid w:val="004055EB"/>
    <w:rsid w:val="00413071"/>
    <w:rsid w:val="00413BDF"/>
    <w:rsid w:val="0042346A"/>
    <w:rsid w:val="00427715"/>
    <w:rsid w:val="00492367"/>
    <w:rsid w:val="004B7A2A"/>
    <w:rsid w:val="005C2F8F"/>
    <w:rsid w:val="005C4090"/>
    <w:rsid w:val="005C6320"/>
    <w:rsid w:val="006104BA"/>
    <w:rsid w:val="00613761"/>
    <w:rsid w:val="006242D7"/>
    <w:rsid w:val="00663920"/>
    <w:rsid w:val="0066754E"/>
    <w:rsid w:val="00684FC5"/>
    <w:rsid w:val="006C1C41"/>
    <w:rsid w:val="0075032E"/>
    <w:rsid w:val="00780C05"/>
    <w:rsid w:val="0089412D"/>
    <w:rsid w:val="008E3F8D"/>
    <w:rsid w:val="00901584"/>
    <w:rsid w:val="009317E7"/>
    <w:rsid w:val="0094190F"/>
    <w:rsid w:val="009B0ACA"/>
    <w:rsid w:val="009B4C30"/>
    <w:rsid w:val="00A35E9C"/>
    <w:rsid w:val="00A74B09"/>
    <w:rsid w:val="00AC2E92"/>
    <w:rsid w:val="00AF403C"/>
    <w:rsid w:val="00B15D3D"/>
    <w:rsid w:val="00B6231A"/>
    <w:rsid w:val="00BC1613"/>
    <w:rsid w:val="00C06530"/>
    <w:rsid w:val="00C415C2"/>
    <w:rsid w:val="00C80EDE"/>
    <w:rsid w:val="00D07CE3"/>
    <w:rsid w:val="00DE27C0"/>
    <w:rsid w:val="00E2389B"/>
    <w:rsid w:val="00E704C8"/>
    <w:rsid w:val="00E92646"/>
    <w:rsid w:val="00EB37F3"/>
    <w:rsid w:val="00EB7CCF"/>
    <w:rsid w:val="00EE20BE"/>
    <w:rsid w:val="00EE587D"/>
    <w:rsid w:val="00F142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EFAE"/>
  <w15:docId w15:val="{6F989E20-09FA-4AA1-9494-3F3031F0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2367"/>
  </w:style>
  <w:style w:type="paragraph" w:styleId="Heading1">
    <w:name w:val="heading 1"/>
    <w:basedOn w:val="Normal"/>
    <w:next w:val="Normal"/>
    <w:rsid w:val="00492367"/>
    <w:pPr>
      <w:keepNext/>
      <w:keepLines/>
      <w:ind w:left="720" w:hanging="360"/>
      <w:outlineLvl w:val="0"/>
    </w:pPr>
    <w:rPr>
      <w:rFonts w:ascii="Cambria" w:eastAsia="Cambria" w:hAnsi="Cambria" w:cs="Cambria"/>
      <w:b/>
      <w:i/>
      <w:sz w:val="28"/>
      <w:szCs w:val="28"/>
      <w:u w:val="single"/>
    </w:rPr>
  </w:style>
  <w:style w:type="paragraph" w:styleId="Heading2">
    <w:name w:val="heading 2"/>
    <w:basedOn w:val="Normal"/>
    <w:next w:val="Normal"/>
    <w:rsid w:val="00492367"/>
    <w:pPr>
      <w:keepNext/>
      <w:keepLines/>
      <w:spacing w:before="240" w:after="240"/>
      <w:outlineLvl w:val="1"/>
    </w:pPr>
    <w:rPr>
      <w:rFonts w:ascii="Cambria" w:eastAsia="Cambria" w:hAnsi="Cambria" w:cs="Cambria"/>
      <w:b/>
      <w:i/>
      <w:sz w:val="28"/>
      <w:szCs w:val="28"/>
    </w:rPr>
  </w:style>
  <w:style w:type="paragraph" w:styleId="Heading3">
    <w:name w:val="heading 3"/>
    <w:basedOn w:val="Normal"/>
    <w:next w:val="Normal"/>
    <w:rsid w:val="00492367"/>
    <w:pPr>
      <w:keepNext/>
      <w:keepLines/>
      <w:spacing w:before="320" w:after="80"/>
      <w:outlineLvl w:val="2"/>
    </w:pPr>
    <w:rPr>
      <w:color w:val="434343"/>
      <w:sz w:val="28"/>
      <w:szCs w:val="28"/>
    </w:rPr>
  </w:style>
  <w:style w:type="paragraph" w:styleId="Heading4">
    <w:name w:val="heading 4"/>
    <w:basedOn w:val="Normal"/>
    <w:next w:val="Normal"/>
    <w:rsid w:val="00492367"/>
    <w:pPr>
      <w:keepNext/>
      <w:keepLines/>
      <w:spacing w:before="280" w:after="80"/>
      <w:outlineLvl w:val="3"/>
    </w:pPr>
    <w:rPr>
      <w:color w:val="666666"/>
      <w:sz w:val="24"/>
      <w:szCs w:val="24"/>
    </w:rPr>
  </w:style>
  <w:style w:type="paragraph" w:styleId="Heading5">
    <w:name w:val="heading 5"/>
    <w:basedOn w:val="Normal"/>
    <w:next w:val="Normal"/>
    <w:rsid w:val="00492367"/>
    <w:pPr>
      <w:keepNext/>
      <w:keepLines/>
      <w:spacing w:before="240" w:after="80"/>
      <w:outlineLvl w:val="4"/>
    </w:pPr>
    <w:rPr>
      <w:color w:val="666666"/>
    </w:rPr>
  </w:style>
  <w:style w:type="paragraph" w:styleId="Heading6">
    <w:name w:val="heading 6"/>
    <w:basedOn w:val="Normal"/>
    <w:next w:val="Normal"/>
    <w:rsid w:val="0049236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92367"/>
    <w:tblPr>
      <w:tblCellMar>
        <w:top w:w="0" w:type="dxa"/>
        <w:left w:w="0" w:type="dxa"/>
        <w:bottom w:w="0" w:type="dxa"/>
        <w:right w:w="0" w:type="dxa"/>
      </w:tblCellMar>
    </w:tblPr>
  </w:style>
  <w:style w:type="paragraph" w:styleId="Title">
    <w:name w:val="Title"/>
    <w:basedOn w:val="Normal"/>
    <w:next w:val="Normal"/>
    <w:rsid w:val="00492367"/>
    <w:pPr>
      <w:keepNext/>
      <w:keepLines/>
      <w:spacing w:after="60"/>
    </w:pPr>
    <w:rPr>
      <w:sz w:val="52"/>
      <w:szCs w:val="52"/>
    </w:rPr>
  </w:style>
  <w:style w:type="paragraph" w:styleId="Subtitle">
    <w:name w:val="Subtitle"/>
    <w:basedOn w:val="Normal"/>
    <w:next w:val="Normal"/>
    <w:rsid w:val="00492367"/>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413BDF"/>
    <w:pPr>
      <w:spacing w:line="240" w:lineRule="auto"/>
    </w:pPr>
    <w:rPr>
      <w:sz w:val="20"/>
      <w:szCs w:val="20"/>
    </w:rPr>
  </w:style>
  <w:style w:type="character" w:customStyle="1" w:styleId="FootnoteTextChar">
    <w:name w:val="Footnote Text Char"/>
    <w:basedOn w:val="DefaultParagraphFont"/>
    <w:link w:val="FootnoteText"/>
    <w:uiPriority w:val="99"/>
    <w:semiHidden/>
    <w:rsid w:val="00413BDF"/>
    <w:rPr>
      <w:sz w:val="20"/>
      <w:szCs w:val="20"/>
    </w:rPr>
  </w:style>
  <w:style w:type="character" w:styleId="FootnoteReference">
    <w:name w:val="footnote reference"/>
    <w:basedOn w:val="DefaultParagraphFont"/>
    <w:uiPriority w:val="99"/>
    <w:semiHidden/>
    <w:unhideWhenUsed/>
    <w:rsid w:val="00413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9/148/79/PDF/G1914879.pdf?OpenElement" TargetMode="External"/><Relationship Id="rId13" Type="http://schemas.openxmlformats.org/officeDocument/2006/relationships/hyperlink" Target="http://www.oas.org/es/cidh/expresion/showarticle.asp?artID=987&amp;lID=2" TargetMode="External"/><Relationship Id="rId18" Type="http://schemas.openxmlformats.org/officeDocument/2006/relationships/hyperlink" Target="https://www.oas.org/es/cidh/expresion/publicaciones/ProtestayDerechosHumanos.pdf" TargetMode="External"/><Relationship Id="rId26" Type="http://schemas.openxmlformats.org/officeDocument/2006/relationships/hyperlink" Target="https://www.oas.org/es/cidh/expresion/publicaciones/ProtestayDerechosHumanos.pdf" TargetMode="External"/><Relationship Id="rId3" Type="http://schemas.openxmlformats.org/officeDocument/2006/relationships/hyperlink" Target="https://undocs.org/pdf?symbol=es/A/RES/73/173)" TargetMode="External"/><Relationship Id="rId21" Type="http://schemas.openxmlformats.org/officeDocument/2006/relationships/hyperlink" Target="https://www.cidh.oas.org/pdf%20files/SEGURIDAD%20CIUDADANA%202009%20ESP.pdf" TargetMode="External"/><Relationship Id="rId7" Type="http://schemas.openxmlformats.org/officeDocument/2006/relationships/hyperlink" Target="http://www.oas.org/es/cidh/expresion/publicaciones/ProtestayDerechosHumanos.pdf" TargetMode="External"/><Relationship Id="rId12" Type="http://schemas.openxmlformats.org/officeDocument/2006/relationships/hyperlink" Target="http://www.oas.org/es/cidh/expresion/docs/informes/anuales/InformeAnual2016RELE.pdf" TargetMode="External"/><Relationship Id="rId17" Type="http://schemas.openxmlformats.org/officeDocument/2006/relationships/hyperlink" Target="https://www.oas.org/es/cidh/expresion/publicaciones/ProtestayDerechosHumanos.pdf" TargetMode="External"/><Relationship Id="rId25" Type="http://schemas.openxmlformats.org/officeDocument/2006/relationships/hyperlink" Target="https://www.oas.org/es/cidh/expresion/publicaciones/ProtestayDerechosHumanos.pdf" TargetMode="External"/><Relationship Id="rId2" Type="http://schemas.openxmlformats.org/officeDocument/2006/relationships/hyperlink" Target="https://undocs.org/pdf?symbol=es/A/RES/73/173)" TargetMode="External"/><Relationship Id="rId16" Type="http://schemas.openxmlformats.org/officeDocument/2006/relationships/hyperlink" Target="http://www.un.org/en/ga/search/view_doc.asp?symbol=A/RES/68/167" TargetMode="External"/><Relationship Id="rId20" Type="http://schemas.openxmlformats.org/officeDocument/2006/relationships/hyperlink" Target="https://www.oas.org/es/cidh/expresion/publicaciones/ProtestayDerechosHumanos.pdf" TargetMode="External"/><Relationship Id="rId29" Type="http://schemas.openxmlformats.org/officeDocument/2006/relationships/hyperlink" Target="https://www.aclu.org/sites/default/files/assets/spanish-version_of_the_tshwane_principles.doc" TargetMode="External"/><Relationship Id="rId1" Type="http://schemas.openxmlformats.org/officeDocument/2006/relationships/hyperlink" Target="https://documents-dds-ny.un.org/doc/UNDOC/LTD/G18/203/76/PDF/G1820376.pdf?OpenElement)" TargetMode="External"/><Relationship Id="rId6" Type="http://schemas.openxmlformats.org/officeDocument/2006/relationships/hyperlink" Target="http://www.oas.org/es/cidh/expresion/showarticle.asp?artID=951&amp;lID=2" TargetMode="External"/><Relationship Id="rId11" Type="http://schemas.openxmlformats.org/officeDocument/2006/relationships/hyperlink" Target="http://curia.europa.eu/juris/document/document.jsf?docid=150642&amp;mode=req&amp;pageIndex=1&amp;dir=&amp;occ=first&amp;part=1&amp;text=&amp;doclang=EN&amp;cid=635772" TargetMode="External"/><Relationship Id="rId24" Type="http://schemas.openxmlformats.org/officeDocument/2006/relationships/hyperlink" Target="https://www.oas.org/es/cidh/expresion/publicaciones/ProtestayDerechosHumanos.pdf" TargetMode="External"/><Relationship Id="rId5" Type="http://schemas.openxmlformats.org/officeDocument/2006/relationships/hyperlink" Target="https://documents-dds-ny.un.org/doc/UNDOC/LTD/G19/282/26/PDF/G1928226.pdf?OpenElement" TargetMode="External"/><Relationship Id="rId15" Type="http://schemas.openxmlformats.org/officeDocument/2006/relationships/hyperlink" Target="https://www.ohchr.org/Documents/HRBodies/HRCouncil/RegularSession/Session23/A.HRC.23.40_EN.pdf" TargetMode="External"/><Relationship Id="rId23" Type="http://schemas.openxmlformats.org/officeDocument/2006/relationships/hyperlink" Target="https://www.oas.org/es/cidh/expresion/publicaciones/ProtestayDerechosHumanos.pdf" TargetMode="External"/><Relationship Id="rId28" Type="http://schemas.openxmlformats.org/officeDocument/2006/relationships/hyperlink" Target="https://www.article19.org/data/files/medialibrary/1803/Johannesburg-Principles.Spa.pdf" TargetMode="External"/><Relationship Id="rId10" Type="http://schemas.openxmlformats.org/officeDocument/2006/relationships/hyperlink" Target="https://www.acnur.org/fileadmin/Documentos/BDL/2016/10399.pdf" TargetMode="External"/><Relationship Id="rId19" Type="http://schemas.openxmlformats.org/officeDocument/2006/relationships/hyperlink" Target="https://www.oas.org/es/cidh/expresion/publicaciones/ProtestayDerechosHumanos.pdf" TargetMode="External"/><Relationship Id="rId4" Type="http://schemas.openxmlformats.org/officeDocument/2006/relationships/hyperlink" Target="http://www.oas.org/es/cidh/informes/pdfs/EmpresasDDHH.pdf" TargetMode="External"/><Relationship Id="rId9" Type="http://schemas.openxmlformats.org/officeDocument/2006/relationships/hyperlink" Target="https://www.acnur.org/fileadmin/Documentos/BDL/2016/10399.pdf" TargetMode="External"/><Relationship Id="rId14" Type="http://schemas.openxmlformats.org/officeDocument/2006/relationships/hyperlink" Target="http://www.oas.org/es/cidh/expresion/docs/informes/2014_04_08_internet_web.pdf" TargetMode="External"/><Relationship Id="rId22" Type="http://schemas.openxmlformats.org/officeDocument/2006/relationships/hyperlink" Target="https://www.cidh.oas.org/pdf%20files/SEGURIDAD%20CIUDADANA%202009%20ESP.pdf" TargetMode="External"/><Relationship Id="rId27" Type="http://schemas.openxmlformats.org/officeDocument/2006/relationships/hyperlink" Target="https://www.oas.org/es/cidh/expresion/showarticle.asp?artID=926&amp;lID=2" TargetMode="External"/><Relationship Id="rId30" Type="http://schemas.openxmlformats.org/officeDocument/2006/relationships/hyperlink" Target="https://www.aclu.org/sites/default/files/assets/spanish-version_of_the_tshwane_principles.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9BF375-AA8C-443A-A288-064E88626F7C}">
  <ds:schemaRefs>
    <ds:schemaRef ds:uri="http://schemas.openxmlformats.org/officeDocument/2006/bibliography"/>
  </ds:schemaRefs>
</ds:datastoreItem>
</file>

<file path=customXml/itemProps2.xml><?xml version="1.0" encoding="utf-8"?>
<ds:datastoreItem xmlns:ds="http://schemas.openxmlformats.org/officeDocument/2006/customXml" ds:itemID="{EDF927ED-4972-4DF4-A121-85C3437E9198}"/>
</file>

<file path=customXml/itemProps3.xml><?xml version="1.0" encoding="utf-8"?>
<ds:datastoreItem xmlns:ds="http://schemas.openxmlformats.org/officeDocument/2006/customXml" ds:itemID="{ED04C5FF-6A64-40F8-84DF-FB3876A81EEA}"/>
</file>

<file path=customXml/itemProps4.xml><?xml version="1.0" encoding="utf-8"?>
<ds:datastoreItem xmlns:ds="http://schemas.openxmlformats.org/officeDocument/2006/customXml" ds:itemID="{9632BC37-A69D-4915-9A63-77F4C2CE6A86}"/>
</file>

<file path=docProps/app.xml><?xml version="1.0" encoding="utf-8"?>
<Properties xmlns="http://schemas.openxmlformats.org/officeDocument/2006/extended-properties" xmlns:vt="http://schemas.openxmlformats.org/officeDocument/2006/docPropsVTypes">
  <Template>Normal.dotm</Template>
  <TotalTime>0</TotalTime>
  <Pages>49</Pages>
  <Words>18377</Words>
  <Characters>104753</Characters>
  <Application>Microsoft Office Word</Application>
  <DocSecurity>0</DocSecurity>
  <Lines>872</Lines>
  <Paragraphs>245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dc:creator>
  <cp:lastModifiedBy>ROSNIANSKY Cherry Lou</cp:lastModifiedBy>
  <cp:revision>2</cp:revision>
  <dcterms:created xsi:type="dcterms:W3CDTF">2020-02-28T13:53:00Z</dcterms:created>
  <dcterms:modified xsi:type="dcterms:W3CDTF">2020-02-28T13:53:00Z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