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B2" w:rsidRDefault="003B0A48">
      <w:pPr>
        <w:rPr>
          <w:rFonts w:ascii="Book Antiqua" w:hAnsi="Book Antiqua"/>
          <w:b/>
          <w:bCs/>
          <w:lang w:val="en-GB"/>
        </w:rPr>
      </w:pPr>
      <w:r>
        <w:rPr>
          <w:rFonts w:ascii="Book Antiqua" w:hAnsi="Book Antiqua"/>
          <w:b/>
          <w:bCs/>
          <w:noProof/>
          <w:lang w:val="en-GB" w:eastAsia="en-GB"/>
        </w:rPr>
        <w:drawing>
          <wp:anchor distT="0" distB="0" distL="114300" distR="123190" simplePos="0" relativeHeight="2" behindDoc="1" locked="0" layoutInCell="1" allowOverlap="1">
            <wp:simplePos x="0" y="0"/>
            <wp:positionH relativeFrom="column">
              <wp:posOffset>0</wp:posOffset>
            </wp:positionH>
            <wp:positionV relativeFrom="paragraph">
              <wp:posOffset>635</wp:posOffset>
            </wp:positionV>
            <wp:extent cx="1038225" cy="1009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1038225" cy="1009650"/>
                    </a:xfrm>
                    <a:prstGeom prst="rect">
                      <a:avLst/>
                    </a:prstGeom>
                  </pic:spPr>
                </pic:pic>
              </a:graphicData>
            </a:graphic>
          </wp:anchor>
        </w:drawing>
      </w:r>
      <w:r>
        <w:rPr>
          <w:rFonts w:ascii="Book Antiqua" w:hAnsi="Book Antiqua"/>
          <w:b/>
          <w:bCs/>
          <w:noProof/>
          <w:lang w:val="en-GB" w:eastAsia="en-GB"/>
        </w:rPr>
        <w:drawing>
          <wp:anchor distT="0" distB="0" distL="114300" distR="114300" simplePos="0" relativeHeight="3" behindDoc="1" locked="0" layoutInCell="1" allowOverlap="1">
            <wp:simplePos x="0" y="0"/>
            <wp:positionH relativeFrom="column">
              <wp:posOffset>1336675</wp:posOffset>
            </wp:positionH>
            <wp:positionV relativeFrom="paragraph">
              <wp:posOffset>635</wp:posOffset>
            </wp:positionV>
            <wp:extent cx="4711700" cy="10096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stretch>
                      <a:fillRect/>
                    </a:stretch>
                  </pic:blipFill>
                  <pic:spPr bwMode="auto">
                    <a:xfrm>
                      <a:off x="0" y="0"/>
                      <a:ext cx="4711700" cy="1009650"/>
                    </a:xfrm>
                    <a:prstGeom prst="rect">
                      <a:avLst/>
                    </a:prstGeom>
                  </pic:spPr>
                </pic:pic>
              </a:graphicData>
            </a:graphic>
          </wp:anchor>
        </w:drawing>
      </w:r>
    </w:p>
    <w:p w:rsidR="000827B2" w:rsidRDefault="000827B2">
      <w:pPr>
        <w:rPr>
          <w:rFonts w:ascii="Book Antiqua" w:hAnsi="Book Antiqua"/>
          <w:b/>
          <w:bCs/>
          <w:lang w:val="en-GB"/>
        </w:rPr>
      </w:pPr>
    </w:p>
    <w:p w:rsidR="000827B2" w:rsidRDefault="000827B2">
      <w:pPr>
        <w:rPr>
          <w:rFonts w:ascii="Book Antiqua" w:hAnsi="Book Antiqua"/>
          <w:b/>
          <w:bCs/>
          <w:lang w:val="en-GB"/>
        </w:rPr>
      </w:pPr>
    </w:p>
    <w:p w:rsidR="000827B2" w:rsidRDefault="000827B2">
      <w:pPr>
        <w:rPr>
          <w:rFonts w:ascii="Book Antiqua" w:hAnsi="Book Antiqua"/>
          <w:b/>
          <w:bCs/>
          <w:lang w:val="en-GB"/>
        </w:rPr>
      </w:pPr>
    </w:p>
    <w:p w:rsidR="000827B2" w:rsidRDefault="000827B2">
      <w:pPr>
        <w:rPr>
          <w:rFonts w:ascii="Book Antiqua" w:hAnsi="Book Antiqua"/>
          <w:b/>
          <w:bCs/>
          <w:lang w:val="en-GB"/>
        </w:rPr>
      </w:pPr>
    </w:p>
    <w:p w:rsidR="000827B2" w:rsidRDefault="000827B2">
      <w:pPr>
        <w:rPr>
          <w:rFonts w:ascii="Book Antiqua" w:hAnsi="Book Antiqua"/>
          <w:b/>
          <w:bCs/>
          <w:lang w:val="en-GB"/>
        </w:rPr>
      </w:pPr>
    </w:p>
    <w:p w:rsidR="000827B2" w:rsidRDefault="000827B2">
      <w:pPr>
        <w:rPr>
          <w:rFonts w:ascii="Book Antiqua" w:hAnsi="Book Antiqua"/>
          <w:b/>
          <w:bCs/>
          <w:lang w:val="en-GB"/>
        </w:rPr>
      </w:pPr>
    </w:p>
    <w:p w:rsidR="000827B2" w:rsidRDefault="000827B2">
      <w:pPr>
        <w:rPr>
          <w:rFonts w:ascii="Book Antiqua" w:hAnsi="Book Antiqua"/>
          <w:b/>
          <w:bCs/>
          <w:lang w:val="en-GB"/>
        </w:rPr>
      </w:pPr>
    </w:p>
    <w:p w:rsidR="000827B2" w:rsidRDefault="000827B2">
      <w:pPr>
        <w:jc w:val="center"/>
        <w:rPr>
          <w:rFonts w:asciiTheme="minorHAnsi" w:eastAsia="Times New Roman" w:hAnsiTheme="minorHAnsi" w:cs="Times New Roman"/>
          <w:b/>
          <w:sz w:val="24"/>
          <w:szCs w:val="24"/>
          <w:lang w:val="en-US"/>
        </w:rPr>
      </w:pPr>
    </w:p>
    <w:p w:rsidR="000827B2" w:rsidRDefault="000827B2">
      <w:pPr>
        <w:jc w:val="center"/>
        <w:rPr>
          <w:rFonts w:asciiTheme="minorHAnsi" w:eastAsia="Times New Roman" w:hAnsiTheme="minorHAnsi" w:cs="Times New Roman"/>
          <w:b/>
          <w:sz w:val="24"/>
          <w:szCs w:val="24"/>
          <w:lang w:val="en-US"/>
        </w:rPr>
      </w:pPr>
    </w:p>
    <w:p w:rsidR="000827B2" w:rsidRDefault="000827B2">
      <w:pPr>
        <w:jc w:val="center"/>
        <w:rPr>
          <w:rFonts w:asciiTheme="minorHAnsi" w:eastAsia="Times New Roman" w:hAnsiTheme="minorHAnsi" w:cs="Times New Roman"/>
          <w:b/>
          <w:sz w:val="24"/>
          <w:szCs w:val="24"/>
          <w:lang w:val="en-US"/>
        </w:rPr>
      </w:pPr>
    </w:p>
    <w:p w:rsidR="000827B2" w:rsidRDefault="000827B2">
      <w:pPr>
        <w:jc w:val="center"/>
        <w:rPr>
          <w:rFonts w:asciiTheme="minorHAnsi" w:eastAsia="Times New Roman" w:hAnsiTheme="minorHAnsi" w:cs="Times New Roman"/>
          <w:b/>
          <w:sz w:val="24"/>
          <w:szCs w:val="24"/>
          <w:lang w:val="en-US"/>
        </w:rPr>
      </w:pPr>
    </w:p>
    <w:p w:rsidR="000827B2" w:rsidRPr="000B7187" w:rsidRDefault="003B0A48" w:rsidP="000B7187">
      <w:pPr>
        <w:spacing w:line="240" w:lineRule="auto"/>
        <w:jc w:val="center"/>
        <w:rPr>
          <w:rFonts w:asciiTheme="minorHAnsi" w:eastAsia="Times New Roman" w:hAnsiTheme="minorHAnsi" w:cs="Times New Roman"/>
          <w:b/>
          <w:sz w:val="24"/>
          <w:szCs w:val="24"/>
          <w:lang w:val="en-US"/>
        </w:rPr>
      </w:pPr>
      <w:r w:rsidRPr="000B7187">
        <w:rPr>
          <w:rFonts w:asciiTheme="minorHAnsi" w:eastAsia="Times New Roman" w:hAnsiTheme="minorHAnsi" w:cs="Times New Roman"/>
          <w:b/>
          <w:sz w:val="24"/>
          <w:szCs w:val="24"/>
          <w:lang w:val="en-US"/>
        </w:rPr>
        <w:t>WRITTEN COMMENTS</w:t>
      </w:r>
    </w:p>
    <w:p w:rsidR="000827B2" w:rsidRPr="000B7187" w:rsidRDefault="003B0A48" w:rsidP="000B7187">
      <w:pPr>
        <w:spacing w:line="240" w:lineRule="auto"/>
        <w:jc w:val="center"/>
        <w:rPr>
          <w:rFonts w:asciiTheme="minorHAnsi" w:eastAsia="Times New Roman" w:hAnsiTheme="minorHAnsi" w:cs="Times New Roman"/>
          <w:b/>
          <w:sz w:val="24"/>
          <w:szCs w:val="24"/>
          <w:lang w:val="en-US"/>
        </w:rPr>
      </w:pPr>
      <w:r w:rsidRPr="000B7187">
        <w:rPr>
          <w:rFonts w:asciiTheme="minorHAnsi" w:eastAsia="Times New Roman" w:hAnsiTheme="minorHAnsi" w:cs="Times New Roman"/>
          <w:b/>
          <w:sz w:val="24"/>
          <w:szCs w:val="24"/>
          <w:lang w:val="en-US"/>
        </w:rPr>
        <w:t>TO THE REVISED DRAFT OF GENERAL COMMENT No. 27 ON ARTICLE 21</w:t>
      </w:r>
    </w:p>
    <w:p w:rsidR="000827B2" w:rsidRPr="000B7187" w:rsidRDefault="003B0A48" w:rsidP="000B7187">
      <w:pPr>
        <w:spacing w:line="240" w:lineRule="auto"/>
        <w:jc w:val="center"/>
        <w:rPr>
          <w:rFonts w:asciiTheme="minorHAnsi" w:eastAsia="Times New Roman" w:hAnsiTheme="minorHAnsi" w:cs="Times New Roman"/>
          <w:b/>
          <w:sz w:val="24"/>
          <w:szCs w:val="24"/>
          <w:lang w:val="en-US"/>
        </w:rPr>
      </w:pPr>
      <w:r w:rsidRPr="000B7187">
        <w:rPr>
          <w:rFonts w:asciiTheme="minorHAnsi" w:eastAsia="Times New Roman" w:hAnsiTheme="minorHAnsi" w:cs="Times New Roman"/>
          <w:b/>
          <w:sz w:val="24"/>
          <w:szCs w:val="24"/>
          <w:lang w:val="en-US"/>
        </w:rPr>
        <w:t>OF THE INTERNATIONAL COVENANT ON CIVIL AND POLITICAL RIGHTS</w:t>
      </w:r>
    </w:p>
    <w:p w:rsidR="000827B2" w:rsidRPr="000B7187" w:rsidRDefault="003B0A48" w:rsidP="000B7187">
      <w:pPr>
        <w:spacing w:line="240" w:lineRule="auto"/>
        <w:jc w:val="center"/>
        <w:rPr>
          <w:rFonts w:asciiTheme="minorHAnsi" w:eastAsia="Times New Roman" w:hAnsiTheme="minorHAnsi" w:cs="Times New Roman"/>
          <w:b/>
          <w:sz w:val="24"/>
          <w:szCs w:val="24"/>
          <w:lang w:val="en-US"/>
        </w:rPr>
      </w:pPr>
      <w:r w:rsidRPr="000B7187">
        <w:rPr>
          <w:rFonts w:asciiTheme="minorHAnsi" w:eastAsia="Times New Roman" w:hAnsiTheme="minorHAnsi" w:cs="Times New Roman"/>
          <w:b/>
          <w:sz w:val="24"/>
          <w:szCs w:val="24"/>
          <w:lang w:val="en-US"/>
        </w:rPr>
        <w:t>PREPARED BY HUMAN RIGHTS CENTRE “MEMORIAL” AND OVD-INFO</w:t>
      </w:r>
    </w:p>
    <w:p w:rsidR="000827B2" w:rsidRPr="000B7187" w:rsidRDefault="000827B2" w:rsidP="000B7187">
      <w:pPr>
        <w:spacing w:line="240" w:lineRule="auto"/>
        <w:rPr>
          <w:rFonts w:asciiTheme="minorHAnsi" w:eastAsia="Times New Roman" w:hAnsiTheme="minorHAnsi" w:cs="Times New Roman"/>
          <w:b/>
          <w:sz w:val="24"/>
          <w:szCs w:val="24"/>
          <w:lang w:val="en-US"/>
        </w:rPr>
      </w:pPr>
    </w:p>
    <w:p w:rsidR="000827B2" w:rsidRPr="000B7187" w:rsidRDefault="000827B2" w:rsidP="000B7187">
      <w:pPr>
        <w:spacing w:line="240" w:lineRule="auto"/>
        <w:rPr>
          <w:rFonts w:asciiTheme="minorHAnsi" w:hAnsiTheme="minorHAnsi"/>
          <w:sz w:val="24"/>
          <w:szCs w:val="24"/>
          <w:lang w:val="en-US"/>
        </w:rPr>
      </w:pPr>
    </w:p>
    <w:p w:rsidR="000827B2" w:rsidRPr="000B7187" w:rsidRDefault="000827B2" w:rsidP="000B7187">
      <w:pPr>
        <w:spacing w:line="240" w:lineRule="auto"/>
        <w:rPr>
          <w:rFonts w:asciiTheme="minorHAnsi" w:hAnsiTheme="minorHAnsi"/>
          <w:sz w:val="24"/>
          <w:szCs w:val="24"/>
          <w:lang w:val="en-US"/>
        </w:rPr>
      </w:pPr>
    </w:p>
    <w:p w:rsidR="000827B2" w:rsidRPr="000B7187" w:rsidRDefault="000827B2" w:rsidP="000B7187">
      <w:pPr>
        <w:spacing w:line="240" w:lineRule="auto"/>
        <w:rPr>
          <w:rFonts w:asciiTheme="minorHAnsi" w:hAnsiTheme="minorHAnsi"/>
          <w:sz w:val="24"/>
          <w:szCs w:val="24"/>
          <w:lang w:val="en-US"/>
        </w:rPr>
      </w:pPr>
    </w:p>
    <w:p w:rsidR="000827B2" w:rsidRPr="000B7187" w:rsidRDefault="000827B2" w:rsidP="000B7187">
      <w:pPr>
        <w:spacing w:line="240" w:lineRule="auto"/>
        <w:rPr>
          <w:rFonts w:asciiTheme="minorHAnsi" w:hAnsiTheme="minorHAnsi"/>
          <w:sz w:val="24"/>
          <w:szCs w:val="24"/>
          <w:lang w:val="en-US"/>
        </w:rPr>
      </w:pPr>
    </w:p>
    <w:p w:rsidR="000827B2" w:rsidRPr="000B7187" w:rsidRDefault="000827B2" w:rsidP="000B7187">
      <w:pPr>
        <w:spacing w:line="240" w:lineRule="auto"/>
        <w:rPr>
          <w:rFonts w:asciiTheme="minorHAnsi" w:hAnsiTheme="minorHAnsi"/>
          <w:sz w:val="24"/>
          <w:szCs w:val="24"/>
          <w:lang w:val="en-US"/>
        </w:rPr>
      </w:pPr>
    </w:p>
    <w:p w:rsidR="000827B2" w:rsidRPr="000B7187" w:rsidRDefault="000827B2" w:rsidP="000B7187">
      <w:pPr>
        <w:spacing w:line="240" w:lineRule="auto"/>
        <w:rPr>
          <w:rFonts w:asciiTheme="minorHAnsi" w:hAnsiTheme="minorHAnsi"/>
          <w:sz w:val="24"/>
          <w:szCs w:val="24"/>
          <w:lang w:val="en-US"/>
        </w:rPr>
      </w:pPr>
    </w:p>
    <w:p w:rsidR="000827B2" w:rsidRPr="000B7187" w:rsidRDefault="003B0A48" w:rsidP="000B7187">
      <w:pPr>
        <w:spacing w:line="240" w:lineRule="auto"/>
        <w:rPr>
          <w:rFonts w:asciiTheme="minorHAnsi" w:hAnsiTheme="minorHAnsi"/>
          <w:sz w:val="24"/>
          <w:szCs w:val="24"/>
          <w:lang w:val="en-US"/>
        </w:rPr>
      </w:pPr>
      <w:r w:rsidRPr="000B7187">
        <w:rPr>
          <w:rFonts w:asciiTheme="minorHAnsi" w:hAnsiTheme="minorHAnsi"/>
          <w:i/>
          <w:iCs/>
          <w:sz w:val="24"/>
          <w:szCs w:val="24"/>
          <w:lang w:val="en-US"/>
        </w:rPr>
        <w:t>Submitted to:</w:t>
      </w:r>
      <w:r w:rsidRPr="000B7187">
        <w:rPr>
          <w:rFonts w:asciiTheme="minorHAnsi" w:hAnsiTheme="minorHAnsi"/>
          <w:sz w:val="24"/>
          <w:szCs w:val="24"/>
          <w:lang w:val="en-US"/>
        </w:rPr>
        <w:t xml:space="preserve"> The United Nations Human Rights Committee </w:t>
      </w:r>
    </w:p>
    <w:p w:rsidR="000827B2" w:rsidRPr="000B7187" w:rsidRDefault="003B0A48" w:rsidP="000B7187">
      <w:pPr>
        <w:spacing w:line="240" w:lineRule="auto"/>
        <w:ind w:left="720" w:firstLine="720"/>
        <w:rPr>
          <w:rFonts w:asciiTheme="minorHAnsi" w:hAnsiTheme="minorHAnsi"/>
          <w:sz w:val="24"/>
          <w:szCs w:val="24"/>
          <w:lang w:val="en-US"/>
        </w:rPr>
      </w:pPr>
      <w:r w:rsidRPr="000B7187">
        <w:rPr>
          <w:rFonts w:asciiTheme="minorHAnsi" w:hAnsiTheme="minorHAnsi"/>
          <w:sz w:val="24"/>
          <w:szCs w:val="24"/>
          <w:lang w:val="en-US"/>
        </w:rPr>
        <w:t xml:space="preserve">E-mail: ccpr@ohchr.org </w:t>
      </w:r>
    </w:p>
    <w:p w:rsidR="000827B2" w:rsidRPr="000B7187" w:rsidRDefault="000827B2" w:rsidP="000B7187">
      <w:pPr>
        <w:spacing w:line="240" w:lineRule="auto"/>
        <w:ind w:left="720" w:firstLine="720"/>
        <w:rPr>
          <w:rFonts w:asciiTheme="minorHAnsi" w:hAnsiTheme="minorHAnsi"/>
          <w:sz w:val="24"/>
          <w:szCs w:val="24"/>
          <w:lang w:val="en-US"/>
        </w:rPr>
      </w:pPr>
    </w:p>
    <w:p w:rsidR="000827B2" w:rsidRPr="000B7187" w:rsidRDefault="003B0A48" w:rsidP="000B7187">
      <w:pPr>
        <w:spacing w:line="240" w:lineRule="auto"/>
        <w:rPr>
          <w:rFonts w:asciiTheme="minorHAnsi" w:hAnsiTheme="minorHAnsi"/>
          <w:sz w:val="24"/>
          <w:szCs w:val="24"/>
          <w:lang w:val="en-US"/>
        </w:rPr>
      </w:pPr>
      <w:r w:rsidRPr="000B7187">
        <w:rPr>
          <w:rFonts w:asciiTheme="minorHAnsi" w:hAnsiTheme="minorHAnsi"/>
          <w:i/>
          <w:iCs/>
          <w:sz w:val="24"/>
          <w:szCs w:val="24"/>
          <w:lang w:val="en-US"/>
        </w:rPr>
        <w:t xml:space="preserve">Submitted by: </w:t>
      </w:r>
      <w:bookmarkStart w:id="0" w:name="_GoBack"/>
      <w:r w:rsidRPr="000B7187">
        <w:rPr>
          <w:rFonts w:asciiTheme="minorHAnsi" w:hAnsiTheme="minorHAnsi"/>
          <w:sz w:val="24"/>
          <w:szCs w:val="24"/>
          <w:lang w:val="en-US"/>
        </w:rPr>
        <w:t>Human Rights Centre “Memorial” (HRC “Memorial”) and OVD-Info</w:t>
      </w:r>
      <w:bookmarkEnd w:id="0"/>
      <w:r w:rsidRPr="000B7187">
        <w:rPr>
          <w:rFonts w:asciiTheme="minorHAnsi" w:hAnsiTheme="minorHAnsi"/>
          <w:sz w:val="24"/>
          <w:szCs w:val="24"/>
          <w:lang w:val="en-US"/>
        </w:rPr>
        <w:br/>
      </w:r>
      <w:r w:rsidRPr="000B7187">
        <w:rPr>
          <w:rFonts w:asciiTheme="minorHAnsi" w:hAnsiTheme="minorHAnsi"/>
          <w:sz w:val="24"/>
          <w:szCs w:val="24"/>
          <w:lang w:val="en-US"/>
        </w:rPr>
        <w:tab/>
      </w:r>
      <w:r w:rsidRPr="000B7187">
        <w:rPr>
          <w:rFonts w:asciiTheme="minorHAnsi" w:hAnsiTheme="minorHAnsi"/>
          <w:sz w:val="24"/>
          <w:szCs w:val="24"/>
          <w:lang w:val="en-US"/>
        </w:rPr>
        <w:tab/>
        <w:t>E-mail: coordinator</w:t>
      </w:r>
      <w:hyperlink r:id="rId10">
        <w:r w:rsidRPr="000B7187">
          <w:rPr>
            <w:rStyle w:val="-"/>
            <w:rFonts w:asciiTheme="minorHAnsi" w:hAnsiTheme="minorHAnsi"/>
            <w:sz w:val="24"/>
            <w:szCs w:val="24"/>
            <w:lang w:val="en-US"/>
          </w:rPr>
          <w:t>@memohrc.org</w:t>
        </w:r>
      </w:hyperlink>
    </w:p>
    <w:p w:rsidR="000827B2" w:rsidRPr="000B7187" w:rsidRDefault="000827B2" w:rsidP="000B7187">
      <w:pPr>
        <w:spacing w:line="240" w:lineRule="auto"/>
        <w:ind w:left="1440"/>
        <w:rPr>
          <w:rFonts w:asciiTheme="minorHAnsi" w:hAnsiTheme="minorHAnsi"/>
          <w:sz w:val="24"/>
          <w:szCs w:val="24"/>
          <w:lang w:val="en-US"/>
        </w:rPr>
      </w:pPr>
    </w:p>
    <w:p w:rsidR="000827B2" w:rsidRPr="000B7187" w:rsidRDefault="003B0A48" w:rsidP="000B7187">
      <w:pPr>
        <w:spacing w:line="240" w:lineRule="auto"/>
        <w:rPr>
          <w:rFonts w:asciiTheme="minorHAnsi" w:hAnsiTheme="minorHAnsi"/>
          <w:sz w:val="24"/>
          <w:szCs w:val="24"/>
          <w:lang w:val="en-US"/>
        </w:rPr>
      </w:pPr>
      <w:r w:rsidRPr="000B7187">
        <w:rPr>
          <w:rFonts w:asciiTheme="minorHAnsi" w:hAnsiTheme="minorHAnsi"/>
          <w:i/>
          <w:iCs/>
          <w:sz w:val="24"/>
          <w:szCs w:val="24"/>
          <w:lang w:val="en-US"/>
        </w:rPr>
        <w:t>Re:</w:t>
      </w:r>
      <w:r w:rsidRPr="000B7187">
        <w:rPr>
          <w:rFonts w:asciiTheme="minorHAnsi" w:hAnsiTheme="minorHAnsi"/>
          <w:sz w:val="24"/>
          <w:szCs w:val="24"/>
          <w:lang w:val="en-US"/>
        </w:rPr>
        <w:t xml:space="preserve"> Public call for comments to the Revised Draft of General Comment No. 37 on Article 21 of the International Covenant on Civil and Political Rights </w:t>
      </w:r>
    </w:p>
    <w:p w:rsidR="000827B2" w:rsidRPr="000B7187" w:rsidRDefault="000827B2" w:rsidP="000B7187">
      <w:pPr>
        <w:spacing w:line="240" w:lineRule="auto"/>
        <w:rPr>
          <w:rFonts w:asciiTheme="minorHAnsi" w:hAnsiTheme="minorHAnsi"/>
          <w:sz w:val="24"/>
          <w:szCs w:val="24"/>
          <w:lang w:val="en-US"/>
        </w:rPr>
      </w:pPr>
    </w:p>
    <w:p w:rsidR="000827B2" w:rsidRPr="000B7187" w:rsidRDefault="003B0A48" w:rsidP="000B7187">
      <w:pPr>
        <w:spacing w:line="240" w:lineRule="auto"/>
        <w:rPr>
          <w:rFonts w:asciiTheme="minorHAnsi" w:hAnsiTheme="minorHAnsi"/>
          <w:sz w:val="24"/>
          <w:szCs w:val="24"/>
          <w:lang w:val="en-US"/>
        </w:rPr>
      </w:pPr>
      <w:r w:rsidRPr="000B7187">
        <w:rPr>
          <w:rFonts w:asciiTheme="minorHAnsi" w:hAnsiTheme="minorHAnsi"/>
          <w:i/>
          <w:iCs/>
          <w:sz w:val="24"/>
          <w:szCs w:val="24"/>
          <w:lang w:val="en-US"/>
        </w:rPr>
        <w:t>Date:</w:t>
      </w:r>
      <w:r w:rsidRPr="000B7187">
        <w:rPr>
          <w:rFonts w:asciiTheme="minorHAnsi" w:hAnsiTheme="minorHAnsi"/>
          <w:sz w:val="24"/>
          <w:szCs w:val="24"/>
          <w:lang w:val="en-US"/>
        </w:rPr>
        <w:t xml:space="preserve"> 21 February 2020</w:t>
      </w:r>
    </w:p>
    <w:p w:rsidR="000827B2" w:rsidRPr="000B7187" w:rsidRDefault="003B0A48" w:rsidP="000B7187">
      <w:pPr>
        <w:spacing w:line="240" w:lineRule="auto"/>
        <w:rPr>
          <w:rFonts w:asciiTheme="minorHAnsi" w:hAnsiTheme="minorHAnsi"/>
          <w:sz w:val="24"/>
          <w:szCs w:val="24"/>
          <w:lang w:val="en-US"/>
        </w:rPr>
      </w:pPr>
      <w:r w:rsidRPr="000B7187">
        <w:rPr>
          <w:rFonts w:asciiTheme="minorHAnsi" w:hAnsiTheme="minorHAnsi"/>
          <w:sz w:val="24"/>
          <w:szCs w:val="24"/>
        </w:rPr>
        <w:br w:type="page"/>
      </w:r>
    </w:p>
    <w:p w:rsidR="000827B2" w:rsidRPr="000B7187" w:rsidRDefault="003B0A48" w:rsidP="000B7187">
      <w:pPr>
        <w:spacing w:after="240" w:line="240" w:lineRule="auto"/>
        <w:jc w:val="center"/>
        <w:rPr>
          <w:rFonts w:asciiTheme="minorHAnsi" w:eastAsia="Times New Roman" w:hAnsiTheme="minorHAnsi" w:cs="Times New Roman"/>
          <w:b/>
          <w:bCs/>
          <w:sz w:val="24"/>
          <w:szCs w:val="24"/>
          <w:lang w:val="en-GB"/>
        </w:rPr>
      </w:pPr>
      <w:r w:rsidRPr="000B7187">
        <w:rPr>
          <w:rFonts w:asciiTheme="minorHAnsi" w:hAnsiTheme="minorHAnsi"/>
          <w:b/>
          <w:bCs/>
          <w:sz w:val="24"/>
          <w:szCs w:val="24"/>
          <w:lang w:val="en-GB"/>
        </w:rPr>
        <w:lastRenderedPageBreak/>
        <w:t>CONTENTS</w:t>
      </w:r>
    </w:p>
    <w:p w:rsidR="000827B2" w:rsidRPr="0017131E" w:rsidRDefault="000827B2" w:rsidP="000B7187">
      <w:pPr>
        <w:spacing w:after="240" w:line="240" w:lineRule="auto"/>
        <w:jc w:val="both"/>
        <w:rPr>
          <w:rFonts w:asciiTheme="minorHAnsi" w:eastAsia="Times New Roman" w:hAnsiTheme="minorHAnsi" w:cs="Times New Roman"/>
          <w:b/>
          <w:sz w:val="24"/>
          <w:szCs w:val="24"/>
          <w:lang w:val="en-GB"/>
        </w:rPr>
      </w:pPr>
    </w:p>
    <w:p w:rsidR="000827B2" w:rsidRPr="0017131E" w:rsidRDefault="003B0A48" w:rsidP="000B7187">
      <w:pPr>
        <w:pStyle w:val="ListParagraph"/>
        <w:numPr>
          <w:ilvl w:val="0"/>
          <w:numId w:val="2"/>
        </w:numPr>
        <w:spacing w:after="240" w:line="240" w:lineRule="auto"/>
        <w:contextualSpacing w:val="0"/>
        <w:jc w:val="both"/>
        <w:rPr>
          <w:rFonts w:asciiTheme="minorHAnsi" w:eastAsia="Times New Roman" w:hAnsiTheme="minorHAnsi" w:cs="Times New Roman"/>
          <w:b/>
          <w:sz w:val="24"/>
          <w:szCs w:val="24"/>
          <w:lang w:val="en-GB"/>
        </w:rPr>
      </w:pPr>
      <w:r w:rsidRPr="0017131E">
        <w:rPr>
          <w:rFonts w:asciiTheme="minorHAnsi" w:eastAsia="Times New Roman" w:hAnsiTheme="minorHAnsi" w:cs="Times New Roman"/>
          <w:b/>
          <w:sz w:val="24"/>
          <w:szCs w:val="24"/>
          <w:lang w:val="en-GB"/>
        </w:rPr>
        <w:t>INTRODUCTION………………………………………………………………………………………...3</w:t>
      </w:r>
    </w:p>
    <w:p w:rsidR="000827B2" w:rsidRPr="0017131E" w:rsidRDefault="003B0A48" w:rsidP="000B7187">
      <w:pPr>
        <w:pStyle w:val="ListParagraph"/>
        <w:numPr>
          <w:ilvl w:val="0"/>
          <w:numId w:val="2"/>
        </w:numPr>
        <w:spacing w:after="240" w:line="240" w:lineRule="auto"/>
        <w:contextualSpacing w:val="0"/>
        <w:jc w:val="both"/>
        <w:rPr>
          <w:rFonts w:asciiTheme="minorHAnsi" w:hAnsiTheme="minorHAnsi"/>
          <w:b/>
          <w:sz w:val="24"/>
          <w:szCs w:val="24"/>
          <w:lang w:val="en-US"/>
        </w:rPr>
      </w:pPr>
      <w:r w:rsidRPr="0017131E">
        <w:rPr>
          <w:rFonts w:asciiTheme="minorHAnsi" w:eastAsia="Times New Roman" w:hAnsiTheme="minorHAnsi" w:cs="Times New Roman"/>
          <w:b/>
          <w:sz w:val="24"/>
          <w:szCs w:val="24"/>
          <w:lang w:val="en-GB"/>
        </w:rPr>
        <w:t>ABOUT HRC “MEMORIAL” AND OVD-INFO…………………………………………………</w:t>
      </w:r>
      <w:r w:rsidR="0017131E">
        <w:rPr>
          <w:rFonts w:asciiTheme="minorHAnsi" w:eastAsia="Times New Roman" w:hAnsiTheme="minorHAnsi" w:cs="Times New Roman"/>
          <w:b/>
          <w:sz w:val="24"/>
          <w:szCs w:val="24"/>
          <w:lang w:val="en-GB"/>
        </w:rPr>
        <w:t>.</w:t>
      </w:r>
      <w:r w:rsidRPr="0017131E">
        <w:rPr>
          <w:rFonts w:asciiTheme="minorHAnsi" w:eastAsia="Times New Roman" w:hAnsiTheme="minorHAnsi" w:cs="Times New Roman"/>
          <w:b/>
          <w:sz w:val="24"/>
          <w:szCs w:val="24"/>
          <w:lang w:val="en-GB"/>
        </w:rPr>
        <w:t>3</w:t>
      </w:r>
    </w:p>
    <w:p w:rsidR="000827B2" w:rsidRPr="0017131E" w:rsidRDefault="003B0A48" w:rsidP="000B7187">
      <w:pPr>
        <w:pStyle w:val="ListParagraph"/>
        <w:numPr>
          <w:ilvl w:val="0"/>
          <w:numId w:val="2"/>
        </w:numPr>
        <w:spacing w:after="240" w:line="240" w:lineRule="auto"/>
        <w:contextualSpacing w:val="0"/>
        <w:jc w:val="both"/>
        <w:rPr>
          <w:rFonts w:asciiTheme="minorHAnsi" w:eastAsia="Times New Roman" w:hAnsiTheme="minorHAnsi" w:cs="Times New Roman"/>
          <w:b/>
          <w:sz w:val="24"/>
          <w:szCs w:val="24"/>
          <w:lang w:val="en-GB"/>
        </w:rPr>
      </w:pPr>
      <w:r w:rsidRPr="0017131E">
        <w:rPr>
          <w:rFonts w:asciiTheme="minorHAnsi" w:eastAsia="Times New Roman" w:hAnsiTheme="minorHAnsi" w:cs="Times New Roman"/>
          <w:b/>
          <w:sz w:val="24"/>
          <w:szCs w:val="24"/>
          <w:lang w:val="en-GB"/>
        </w:rPr>
        <w:t>MATTERS FOR CONSIDERATION</w:t>
      </w:r>
    </w:p>
    <w:p w:rsidR="000827B2" w:rsidRPr="0017131E" w:rsidRDefault="003B0A48" w:rsidP="000B7187">
      <w:pPr>
        <w:pStyle w:val="ListParagraph"/>
        <w:numPr>
          <w:ilvl w:val="0"/>
          <w:numId w:val="3"/>
        </w:numPr>
        <w:spacing w:after="240" w:line="240" w:lineRule="auto"/>
        <w:contextualSpacing w:val="0"/>
        <w:jc w:val="both"/>
        <w:rPr>
          <w:rFonts w:asciiTheme="minorHAnsi" w:hAnsiTheme="minorHAnsi"/>
          <w:b/>
          <w:sz w:val="24"/>
          <w:szCs w:val="24"/>
        </w:rPr>
      </w:pPr>
      <w:r w:rsidRPr="0017131E">
        <w:rPr>
          <w:rFonts w:asciiTheme="minorHAnsi" w:eastAsia="Times New Roman" w:hAnsiTheme="minorHAnsi" w:cs="Times New Roman"/>
          <w:b/>
          <w:sz w:val="24"/>
          <w:szCs w:val="24"/>
          <w:lang w:val="en-GB"/>
        </w:rPr>
        <w:t>General remarks………………………………………………………………………………….</w:t>
      </w:r>
      <w:r w:rsidR="0017131E">
        <w:rPr>
          <w:rFonts w:asciiTheme="minorHAnsi" w:eastAsia="Times New Roman" w:hAnsiTheme="minorHAnsi" w:cs="Times New Roman"/>
          <w:b/>
          <w:sz w:val="24"/>
          <w:szCs w:val="24"/>
          <w:lang w:val="en-GB"/>
        </w:rPr>
        <w:t>.</w:t>
      </w:r>
      <w:r w:rsidRPr="0017131E">
        <w:rPr>
          <w:rFonts w:asciiTheme="minorHAnsi" w:eastAsia="Times New Roman" w:hAnsiTheme="minorHAnsi" w:cs="Times New Roman"/>
          <w:b/>
          <w:sz w:val="24"/>
          <w:szCs w:val="24"/>
          <w:lang w:val="en-GB"/>
        </w:rPr>
        <w:t>3</w:t>
      </w:r>
    </w:p>
    <w:p w:rsidR="000827B2" w:rsidRPr="0017131E" w:rsidRDefault="003B0A48" w:rsidP="000B7187">
      <w:pPr>
        <w:pStyle w:val="ListParagraph"/>
        <w:numPr>
          <w:ilvl w:val="0"/>
          <w:numId w:val="3"/>
        </w:numPr>
        <w:spacing w:after="240" w:line="240" w:lineRule="auto"/>
        <w:contextualSpacing w:val="0"/>
        <w:jc w:val="both"/>
        <w:rPr>
          <w:rFonts w:asciiTheme="minorHAnsi" w:hAnsiTheme="minorHAnsi"/>
          <w:b/>
          <w:sz w:val="24"/>
          <w:szCs w:val="24"/>
          <w:lang w:val="en-US"/>
        </w:rPr>
      </w:pPr>
      <w:r w:rsidRPr="0017131E">
        <w:rPr>
          <w:rFonts w:asciiTheme="minorHAnsi" w:eastAsia="Times New Roman" w:hAnsiTheme="minorHAnsi" w:cs="Times New Roman"/>
          <w:b/>
          <w:sz w:val="24"/>
          <w:szCs w:val="24"/>
          <w:lang w:val="en-GB"/>
        </w:rPr>
        <w:t>Notion of a “peaceful” assembly…………………………………………………………...4</w:t>
      </w:r>
    </w:p>
    <w:p w:rsidR="000827B2" w:rsidRPr="0017131E" w:rsidRDefault="003B0A48" w:rsidP="000B7187">
      <w:pPr>
        <w:pStyle w:val="ListParagraph"/>
        <w:numPr>
          <w:ilvl w:val="0"/>
          <w:numId w:val="3"/>
        </w:numPr>
        <w:spacing w:after="240" w:line="240" w:lineRule="auto"/>
        <w:contextualSpacing w:val="0"/>
        <w:jc w:val="both"/>
        <w:rPr>
          <w:rFonts w:asciiTheme="minorHAnsi" w:hAnsiTheme="minorHAnsi"/>
          <w:b/>
          <w:sz w:val="24"/>
          <w:szCs w:val="24"/>
          <w:lang w:val="en-US"/>
        </w:rPr>
      </w:pPr>
      <w:r w:rsidRPr="0017131E">
        <w:rPr>
          <w:rFonts w:asciiTheme="minorHAnsi" w:eastAsia="Times New Roman" w:hAnsiTheme="minorHAnsi" w:cs="Times New Roman"/>
          <w:b/>
          <w:sz w:val="24"/>
          <w:szCs w:val="24"/>
          <w:lang w:val="en-GB"/>
        </w:rPr>
        <w:t>Minorities’ right to participate and set a theme of an event…………………6</w:t>
      </w:r>
    </w:p>
    <w:p w:rsidR="000827B2" w:rsidRPr="0017131E" w:rsidRDefault="003B0A48" w:rsidP="000B7187">
      <w:pPr>
        <w:pStyle w:val="ListParagraph"/>
        <w:numPr>
          <w:ilvl w:val="0"/>
          <w:numId w:val="3"/>
        </w:numPr>
        <w:spacing w:after="240" w:line="240" w:lineRule="auto"/>
        <w:ind w:left="1077" w:hanging="357"/>
        <w:contextualSpacing w:val="0"/>
        <w:jc w:val="both"/>
        <w:rPr>
          <w:rFonts w:asciiTheme="minorHAnsi" w:eastAsia="Times New Roman" w:hAnsiTheme="minorHAnsi" w:cs="Times New Roman"/>
          <w:b/>
          <w:sz w:val="24"/>
          <w:szCs w:val="24"/>
          <w:lang w:val="en-GB"/>
        </w:rPr>
      </w:pPr>
      <w:r w:rsidRPr="0017131E">
        <w:rPr>
          <w:rFonts w:asciiTheme="minorHAnsi" w:eastAsia="Times New Roman" w:hAnsiTheme="minorHAnsi" w:cs="Times New Roman"/>
          <w:b/>
          <w:sz w:val="24"/>
          <w:szCs w:val="24"/>
          <w:lang w:val="en-GB"/>
        </w:rPr>
        <w:t xml:space="preserve">The obligation of States parties in respect of the right </w:t>
      </w:r>
    </w:p>
    <w:p w:rsidR="000827B2" w:rsidRPr="0017131E" w:rsidRDefault="003B0A48" w:rsidP="000B7187">
      <w:pPr>
        <w:pStyle w:val="ListParagraph"/>
        <w:spacing w:after="240" w:line="240" w:lineRule="auto"/>
        <w:ind w:left="1080"/>
        <w:contextualSpacing w:val="0"/>
        <w:jc w:val="both"/>
        <w:rPr>
          <w:rFonts w:asciiTheme="minorHAnsi" w:hAnsiTheme="minorHAnsi"/>
          <w:b/>
          <w:sz w:val="24"/>
          <w:szCs w:val="24"/>
        </w:rPr>
      </w:pPr>
      <w:r w:rsidRPr="0017131E">
        <w:rPr>
          <w:rFonts w:asciiTheme="minorHAnsi" w:eastAsia="Times New Roman" w:hAnsiTheme="minorHAnsi" w:cs="Times New Roman"/>
          <w:b/>
          <w:sz w:val="24"/>
          <w:szCs w:val="24"/>
          <w:lang w:val="en-GB"/>
        </w:rPr>
        <w:t>of peaceful assembly…………………………………………………………………………….6</w:t>
      </w:r>
    </w:p>
    <w:p w:rsidR="000827B2" w:rsidRPr="0017131E" w:rsidRDefault="003B0A48" w:rsidP="000B7187">
      <w:pPr>
        <w:pStyle w:val="ListParagraph"/>
        <w:numPr>
          <w:ilvl w:val="0"/>
          <w:numId w:val="3"/>
        </w:numPr>
        <w:spacing w:after="240" w:line="240" w:lineRule="auto"/>
        <w:contextualSpacing w:val="0"/>
        <w:jc w:val="both"/>
        <w:rPr>
          <w:rFonts w:asciiTheme="minorHAnsi" w:hAnsiTheme="minorHAnsi"/>
          <w:b/>
          <w:sz w:val="24"/>
          <w:szCs w:val="24"/>
          <w:lang w:val="en-US"/>
        </w:rPr>
      </w:pPr>
      <w:r w:rsidRPr="0017131E">
        <w:rPr>
          <w:rFonts w:asciiTheme="minorHAnsi" w:eastAsia="Times New Roman" w:hAnsiTheme="minorHAnsi" w:cs="Times New Roman"/>
          <w:b/>
          <w:sz w:val="24"/>
          <w:szCs w:val="24"/>
          <w:lang w:val="en-GB"/>
        </w:rPr>
        <w:t>Restrictions on the right of peaceful assembly……………………………………..7</w:t>
      </w:r>
    </w:p>
    <w:p w:rsidR="000827B2" w:rsidRPr="0017131E" w:rsidRDefault="003B0A48" w:rsidP="000B7187">
      <w:pPr>
        <w:pStyle w:val="ListParagraph"/>
        <w:numPr>
          <w:ilvl w:val="0"/>
          <w:numId w:val="3"/>
        </w:numPr>
        <w:spacing w:after="240" w:line="240" w:lineRule="auto"/>
        <w:contextualSpacing w:val="0"/>
        <w:jc w:val="both"/>
        <w:rPr>
          <w:rFonts w:asciiTheme="minorHAnsi" w:hAnsiTheme="minorHAnsi"/>
          <w:b/>
          <w:sz w:val="24"/>
          <w:szCs w:val="24"/>
        </w:rPr>
      </w:pPr>
      <w:r w:rsidRPr="0017131E">
        <w:rPr>
          <w:rFonts w:asciiTheme="minorHAnsi" w:eastAsia="Times New Roman" w:hAnsiTheme="minorHAnsi" w:cs="Times New Roman"/>
          <w:b/>
          <w:sz w:val="24"/>
          <w:szCs w:val="24"/>
          <w:lang w:val="en-GB"/>
        </w:rPr>
        <w:t>Notification and authoriz</w:t>
      </w:r>
      <w:r w:rsidR="0017131E">
        <w:rPr>
          <w:rFonts w:asciiTheme="minorHAnsi" w:eastAsia="Times New Roman" w:hAnsiTheme="minorHAnsi" w:cs="Times New Roman"/>
          <w:b/>
          <w:sz w:val="24"/>
          <w:szCs w:val="24"/>
          <w:lang w:val="en-GB"/>
        </w:rPr>
        <w:t>ation regimes………………………………………………10</w:t>
      </w:r>
    </w:p>
    <w:p w:rsidR="000827B2" w:rsidRPr="0017131E" w:rsidRDefault="003B0A48" w:rsidP="000B7187">
      <w:pPr>
        <w:pStyle w:val="ListParagraph"/>
        <w:numPr>
          <w:ilvl w:val="0"/>
          <w:numId w:val="3"/>
        </w:numPr>
        <w:spacing w:after="240" w:line="240" w:lineRule="auto"/>
        <w:contextualSpacing w:val="0"/>
        <w:jc w:val="both"/>
        <w:rPr>
          <w:rFonts w:asciiTheme="minorHAnsi" w:hAnsiTheme="minorHAnsi"/>
          <w:b/>
          <w:sz w:val="24"/>
          <w:szCs w:val="24"/>
          <w:lang w:val="en-US"/>
        </w:rPr>
      </w:pPr>
      <w:r w:rsidRPr="0017131E">
        <w:rPr>
          <w:rFonts w:asciiTheme="minorHAnsi" w:eastAsia="Times New Roman" w:hAnsiTheme="minorHAnsi" w:cs="Times New Roman"/>
          <w:b/>
          <w:sz w:val="24"/>
          <w:szCs w:val="24"/>
          <w:lang w:val="en-GB"/>
        </w:rPr>
        <w:lastRenderedPageBreak/>
        <w:t>Duties and powers of law enforcement agencies……………………………….</w:t>
      </w:r>
      <w:r w:rsidR="0017131E">
        <w:rPr>
          <w:rFonts w:asciiTheme="minorHAnsi" w:eastAsia="Times New Roman" w:hAnsiTheme="minorHAnsi" w:cs="Times New Roman"/>
          <w:b/>
          <w:sz w:val="24"/>
          <w:szCs w:val="24"/>
          <w:lang w:val="en-GB"/>
        </w:rPr>
        <w:t>.</w:t>
      </w:r>
      <w:r w:rsidRPr="0017131E">
        <w:rPr>
          <w:rFonts w:asciiTheme="minorHAnsi" w:eastAsia="Times New Roman" w:hAnsiTheme="minorHAnsi" w:cs="Times New Roman"/>
          <w:b/>
          <w:sz w:val="24"/>
          <w:szCs w:val="24"/>
          <w:lang w:val="en-GB"/>
        </w:rPr>
        <w:t>.</w:t>
      </w:r>
      <w:r w:rsidR="0017131E">
        <w:rPr>
          <w:rFonts w:asciiTheme="minorHAnsi" w:eastAsia="Times New Roman" w:hAnsiTheme="minorHAnsi" w:cs="Times New Roman"/>
          <w:b/>
          <w:sz w:val="24"/>
          <w:szCs w:val="24"/>
          <w:lang w:val="en-GB"/>
        </w:rPr>
        <w:t>12</w:t>
      </w:r>
    </w:p>
    <w:p w:rsidR="000827B2" w:rsidRPr="0017131E" w:rsidRDefault="003B0A48" w:rsidP="000B7187">
      <w:pPr>
        <w:pStyle w:val="ListParagraph"/>
        <w:numPr>
          <w:ilvl w:val="0"/>
          <w:numId w:val="3"/>
        </w:numPr>
        <w:spacing w:after="240" w:line="240" w:lineRule="auto"/>
        <w:contextualSpacing w:val="0"/>
        <w:jc w:val="both"/>
        <w:rPr>
          <w:rFonts w:asciiTheme="minorHAnsi" w:hAnsiTheme="minorHAnsi"/>
          <w:b/>
          <w:sz w:val="24"/>
          <w:szCs w:val="24"/>
          <w:lang w:val="en-US"/>
        </w:rPr>
      </w:pPr>
      <w:r w:rsidRPr="0017131E">
        <w:rPr>
          <w:rFonts w:asciiTheme="minorHAnsi" w:eastAsia="Times New Roman" w:hAnsiTheme="minorHAnsi" w:cs="Times New Roman"/>
          <w:b/>
          <w:sz w:val="24"/>
          <w:szCs w:val="24"/>
          <w:lang w:val="en-GB"/>
        </w:rPr>
        <w:t>Correlation between different articles of the CCPR…………………………….</w:t>
      </w:r>
      <w:r w:rsidR="0017131E">
        <w:rPr>
          <w:rFonts w:asciiTheme="minorHAnsi" w:eastAsia="Times New Roman" w:hAnsiTheme="minorHAnsi" w:cs="Times New Roman"/>
          <w:b/>
          <w:sz w:val="24"/>
          <w:szCs w:val="24"/>
          <w:lang w:val="en-GB"/>
        </w:rPr>
        <w:t>.12</w:t>
      </w:r>
    </w:p>
    <w:p w:rsidR="000827B2" w:rsidRPr="0017131E" w:rsidRDefault="003B0A48" w:rsidP="000B7187">
      <w:pPr>
        <w:pStyle w:val="ListParagraph"/>
        <w:numPr>
          <w:ilvl w:val="0"/>
          <w:numId w:val="2"/>
        </w:numPr>
        <w:spacing w:after="240" w:line="240" w:lineRule="auto"/>
        <w:contextualSpacing w:val="0"/>
        <w:jc w:val="both"/>
        <w:rPr>
          <w:rFonts w:asciiTheme="minorHAnsi" w:hAnsiTheme="minorHAnsi"/>
          <w:b/>
          <w:sz w:val="24"/>
          <w:szCs w:val="24"/>
        </w:rPr>
      </w:pPr>
      <w:r w:rsidRPr="0017131E">
        <w:rPr>
          <w:rFonts w:asciiTheme="minorHAnsi" w:eastAsia="Times New Roman" w:hAnsiTheme="minorHAnsi" w:cs="Times New Roman"/>
          <w:b/>
          <w:sz w:val="24"/>
          <w:szCs w:val="24"/>
          <w:lang w:val="en-GB"/>
        </w:rPr>
        <w:t>CONCLUSION AND ORAL CONTRIBUTION………………………………………………..</w:t>
      </w:r>
      <w:r w:rsidR="0017131E">
        <w:rPr>
          <w:rFonts w:asciiTheme="minorHAnsi" w:eastAsia="Times New Roman" w:hAnsiTheme="minorHAnsi" w:cs="Times New Roman"/>
          <w:b/>
          <w:sz w:val="24"/>
          <w:szCs w:val="24"/>
          <w:lang w:val="en-GB"/>
        </w:rPr>
        <w:t>..13</w:t>
      </w:r>
    </w:p>
    <w:p w:rsidR="000827B2" w:rsidRPr="000B7187" w:rsidRDefault="003B0A48" w:rsidP="000B7187">
      <w:pPr>
        <w:spacing w:line="240" w:lineRule="auto"/>
        <w:rPr>
          <w:rFonts w:asciiTheme="minorHAnsi" w:eastAsia="Times New Roman" w:hAnsiTheme="minorHAnsi" w:cs="Times New Roman"/>
          <w:b/>
          <w:sz w:val="24"/>
          <w:szCs w:val="24"/>
          <w:lang w:val="en-GB"/>
        </w:rPr>
      </w:pPr>
      <w:r w:rsidRPr="000B7187">
        <w:rPr>
          <w:rFonts w:asciiTheme="minorHAnsi" w:hAnsiTheme="minorHAnsi"/>
          <w:sz w:val="24"/>
          <w:szCs w:val="24"/>
        </w:rPr>
        <w:br w:type="page"/>
      </w:r>
    </w:p>
    <w:p w:rsidR="000827B2" w:rsidRPr="000B7187" w:rsidRDefault="003B0A48" w:rsidP="000B7187">
      <w:pPr>
        <w:pStyle w:val="ListParagraph"/>
        <w:numPr>
          <w:ilvl w:val="0"/>
          <w:numId w:val="4"/>
        </w:numPr>
        <w:spacing w:after="200" w:line="240" w:lineRule="auto"/>
        <w:contextualSpacing w:val="0"/>
        <w:jc w:val="both"/>
        <w:rPr>
          <w:rFonts w:asciiTheme="minorHAnsi" w:eastAsia="Times New Roman" w:hAnsiTheme="minorHAnsi" w:cs="Times New Roman"/>
          <w:b/>
          <w:sz w:val="24"/>
          <w:szCs w:val="24"/>
          <w:lang w:val="en-GB"/>
        </w:rPr>
      </w:pPr>
      <w:r w:rsidRPr="000B7187">
        <w:rPr>
          <w:rFonts w:asciiTheme="minorHAnsi" w:eastAsia="Times New Roman" w:hAnsiTheme="minorHAnsi" w:cs="Times New Roman"/>
          <w:b/>
          <w:sz w:val="24"/>
          <w:szCs w:val="24"/>
          <w:lang w:val="en-GB"/>
        </w:rPr>
        <w:lastRenderedPageBreak/>
        <w:t>INTRODUCTION</w:t>
      </w:r>
    </w:p>
    <w:p w:rsidR="000827B2" w:rsidRPr="000B7187" w:rsidRDefault="003B0A48" w:rsidP="000B7187">
      <w:pPr>
        <w:pStyle w:val="ListParagraph"/>
        <w:numPr>
          <w:ilvl w:val="0"/>
          <w:numId w:val="5"/>
        </w:numPr>
        <w:spacing w:after="200" w:line="240" w:lineRule="auto"/>
        <w:contextualSpacing w:val="0"/>
        <w:jc w:val="both"/>
        <w:rPr>
          <w:rFonts w:asciiTheme="minorHAnsi" w:hAnsiTheme="minorHAnsi"/>
          <w:sz w:val="24"/>
          <w:szCs w:val="24"/>
          <w:lang w:val="en-GB"/>
        </w:rPr>
      </w:pPr>
      <w:r w:rsidRPr="000B7187">
        <w:rPr>
          <w:rFonts w:asciiTheme="minorHAnsi" w:hAnsiTheme="minorHAnsi"/>
          <w:sz w:val="24"/>
          <w:szCs w:val="24"/>
          <w:lang w:val="en-GB"/>
        </w:rPr>
        <w:t>This written contribution is submitted to the United Nations Human Rights Committee (“Committee”) by Human Rights Centre “Memorial” (HRC “Memorial”) and OVD-Info in response to the public call for comments to the Revised Draft of General Comment No. 37 on Article 21 (“General Comment”) of the International Covenant on Civil and Political Rights (“ICCPR”), concerning the right of peaceful assembly, adopted on first reading in November 2019.</w:t>
      </w:r>
    </w:p>
    <w:p w:rsidR="000827B2" w:rsidRPr="000B7187" w:rsidRDefault="000827B2" w:rsidP="000B7187">
      <w:pPr>
        <w:spacing w:after="200" w:line="240" w:lineRule="auto"/>
        <w:jc w:val="both"/>
        <w:rPr>
          <w:rFonts w:asciiTheme="minorHAnsi" w:hAnsiTheme="minorHAnsi"/>
          <w:sz w:val="24"/>
          <w:szCs w:val="24"/>
          <w:lang w:val="en-GB"/>
        </w:rPr>
      </w:pPr>
    </w:p>
    <w:p w:rsidR="000827B2" w:rsidRPr="000B7187" w:rsidRDefault="003B0A48" w:rsidP="000B7187">
      <w:pPr>
        <w:pStyle w:val="ListParagraph"/>
        <w:numPr>
          <w:ilvl w:val="0"/>
          <w:numId w:val="4"/>
        </w:numPr>
        <w:spacing w:after="200" w:line="240" w:lineRule="auto"/>
        <w:contextualSpacing w:val="0"/>
        <w:jc w:val="both"/>
        <w:rPr>
          <w:rFonts w:asciiTheme="minorHAnsi" w:eastAsia="Times New Roman" w:hAnsiTheme="minorHAnsi" w:cs="Times New Roman"/>
          <w:b/>
          <w:sz w:val="24"/>
          <w:szCs w:val="24"/>
          <w:lang w:val="en-GB"/>
        </w:rPr>
      </w:pPr>
      <w:r w:rsidRPr="000B7187">
        <w:rPr>
          <w:rFonts w:asciiTheme="minorHAnsi" w:eastAsia="Times New Roman" w:hAnsiTheme="minorHAnsi" w:cs="Times New Roman"/>
          <w:b/>
          <w:sz w:val="24"/>
          <w:szCs w:val="24"/>
          <w:lang w:val="en-GB"/>
        </w:rPr>
        <w:t>ABOUT HRC “MEMORIAL” AND OVD-INFO</w:t>
      </w:r>
    </w:p>
    <w:p w:rsidR="000827B2" w:rsidRPr="000B7187" w:rsidRDefault="00AF045C" w:rsidP="000B7187">
      <w:pPr>
        <w:pStyle w:val="ListParagraph"/>
        <w:numPr>
          <w:ilvl w:val="0"/>
          <w:numId w:val="5"/>
        </w:numPr>
        <w:spacing w:after="200" w:line="240" w:lineRule="auto"/>
        <w:contextualSpacing w:val="0"/>
        <w:jc w:val="both"/>
        <w:rPr>
          <w:rFonts w:asciiTheme="minorHAnsi" w:hAnsiTheme="minorHAnsi"/>
          <w:sz w:val="24"/>
          <w:szCs w:val="24"/>
          <w:lang w:val="en-US"/>
        </w:rPr>
      </w:pPr>
      <w:hyperlink r:id="rId11">
        <w:r w:rsidR="003B0A48" w:rsidRPr="000B7187">
          <w:rPr>
            <w:rStyle w:val="-"/>
            <w:rFonts w:asciiTheme="minorHAnsi" w:eastAsia="Times New Roman" w:hAnsiTheme="minorHAnsi" w:cs="Times New Roman"/>
            <w:sz w:val="24"/>
            <w:szCs w:val="24"/>
            <w:lang w:val="en-GB"/>
          </w:rPr>
          <w:t>Human Rights Centre «Memorial»</w:t>
        </w:r>
      </w:hyperlink>
      <w:r w:rsidR="003B0A48" w:rsidRPr="000B7187">
        <w:rPr>
          <w:rFonts w:asciiTheme="minorHAnsi" w:eastAsia="Times New Roman" w:hAnsiTheme="minorHAnsi" w:cs="Times New Roman"/>
          <w:sz w:val="24"/>
          <w:szCs w:val="24"/>
          <w:lang w:val="en-GB"/>
        </w:rPr>
        <w:t xml:space="preserve"> (HRC «Memorial») is Moscow-based NGO, founded in 1992. Human Rights Centre «Memorial» works, among others, in partnership with the London-based European Human Rights Advocacy Centre (EHRAC) in a project aimed at taking cases to the European Court of Human Rights. More than 300 applications concerning human rights violations in the Russian Federation have been lodged with the Court within the framework of this joint project. A number of these cases concern an interference with the right to freedom of assembly, including </w:t>
      </w:r>
      <w:r w:rsidR="003B0A48" w:rsidRPr="000B7187">
        <w:rPr>
          <w:rFonts w:asciiTheme="minorHAnsi" w:eastAsia="Times New Roman" w:hAnsiTheme="minorHAnsi" w:cs="Times New Roman"/>
          <w:i/>
          <w:iCs/>
          <w:sz w:val="24"/>
          <w:szCs w:val="24"/>
          <w:lang w:val="en-GB"/>
        </w:rPr>
        <w:t>Frumkin v. Russia</w:t>
      </w:r>
      <w:r w:rsidR="003B0A48" w:rsidRPr="000B7187">
        <w:rPr>
          <w:rFonts w:asciiTheme="minorHAnsi" w:eastAsia="Times New Roman" w:hAnsiTheme="minorHAnsi" w:cs="Times New Roman"/>
          <w:sz w:val="24"/>
          <w:szCs w:val="24"/>
          <w:lang w:val="en-GB"/>
        </w:rPr>
        <w:t xml:space="preserve"> (application no. 74568/12), </w:t>
      </w:r>
      <w:r w:rsidR="003B0A48" w:rsidRPr="000B7187">
        <w:rPr>
          <w:rFonts w:asciiTheme="minorHAnsi" w:eastAsia="Times New Roman" w:hAnsiTheme="minorHAnsi" w:cs="Times New Roman"/>
          <w:i/>
          <w:iCs/>
          <w:sz w:val="24"/>
          <w:szCs w:val="24"/>
          <w:lang w:val="en-GB"/>
        </w:rPr>
        <w:t>Sozayev and Others v. Russia</w:t>
      </w:r>
      <w:r w:rsidR="003B0A48" w:rsidRPr="000B7187">
        <w:rPr>
          <w:rFonts w:asciiTheme="minorHAnsi" w:eastAsia="Times New Roman" w:hAnsiTheme="minorHAnsi" w:cs="Times New Roman"/>
          <w:sz w:val="24"/>
          <w:szCs w:val="24"/>
          <w:lang w:val="en-GB"/>
        </w:rPr>
        <w:t xml:space="preserve"> (application no. 67685/14), </w:t>
      </w:r>
      <w:r w:rsidR="003B0A48" w:rsidRPr="000B7187">
        <w:rPr>
          <w:rFonts w:asciiTheme="minorHAnsi" w:eastAsia="Times New Roman" w:hAnsiTheme="minorHAnsi" w:cs="Times New Roman"/>
          <w:i/>
          <w:iCs/>
          <w:sz w:val="24"/>
          <w:szCs w:val="24"/>
          <w:lang w:val="en-GB"/>
        </w:rPr>
        <w:t>Ilupin v. Russia</w:t>
      </w:r>
      <w:r w:rsidR="003B0A48" w:rsidRPr="000B7187">
        <w:rPr>
          <w:rFonts w:asciiTheme="minorHAnsi" w:eastAsia="Times New Roman" w:hAnsiTheme="minorHAnsi" w:cs="Times New Roman"/>
          <w:sz w:val="24"/>
          <w:szCs w:val="24"/>
          <w:lang w:val="en-GB"/>
        </w:rPr>
        <w:t xml:space="preserve"> (application no. 57141/12), </w:t>
      </w:r>
      <w:r w:rsidR="003B0A48" w:rsidRPr="000B7187">
        <w:rPr>
          <w:rFonts w:asciiTheme="minorHAnsi" w:eastAsia="Times New Roman" w:hAnsiTheme="minorHAnsi" w:cs="Times New Roman"/>
          <w:i/>
          <w:iCs/>
          <w:sz w:val="24"/>
          <w:szCs w:val="24"/>
          <w:lang w:val="en-GB"/>
        </w:rPr>
        <w:t>Ilupin and Others v. Russia</w:t>
      </w:r>
      <w:r w:rsidR="003B0A48" w:rsidRPr="000B7187">
        <w:rPr>
          <w:rFonts w:asciiTheme="minorHAnsi" w:eastAsia="Times New Roman" w:hAnsiTheme="minorHAnsi" w:cs="Times New Roman"/>
          <w:sz w:val="24"/>
          <w:szCs w:val="24"/>
          <w:lang w:val="en-GB"/>
        </w:rPr>
        <w:t xml:space="preserve"> (application no. 76797/13), </w:t>
      </w:r>
      <w:r w:rsidR="003B0A48" w:rsidRPr="000B7187">
        <w:rPr>
          <w:rFonts w:asciiTheme="minorHAnsi" w:eastAsia="Times New Roman" w:hAnsiTheme="minorHAnsi" w:cs="Times New Roman"/>
          <w:i/>
          <w:iCs/>
          <w:sz w:val="24"/>
          <w:szCs w:val="24"/>
          <w:lang w:val="en-GB"/>
        </w:rPr>
        <w:t>Aleksandrov v. Russia</w:t>
      </w:r>
      <w:r w:rsidR="003B0A48" w:rsidRPr="000B7187">
        <w:rPr>
          <w:rFonts w:asciiTheme="minorHAnsi" w:eastAsia="Times New Roman" w:hAnsiTheme="minorHAnsi" w:cs="Times New Roman"/>
          <w:sz w:val="24"/>
          <w:szCs w:val="24"/>
          <w:lang w:val="en-GB"/>
        </w:rPr>
        <w:t xml:space="preserve"> (application no. 45733/13) and many others. </w:t>
      </w:r>
    </w:p>
    <w:p w:rsidR="000827B2" w:rsidRPr="000B7187" w:rsidRDefault="00AF045C" w:rsidP="000B7187">
      <w:pPr>
        <w:pStyle w:val="ListParagraph"/>
        <w:numPr>
          <w:ilvl w:val="0"/>
          <w:numId w:val="5"/>
        </w:numPr>
        <w:spacing w:after="200" w:line="240" w:lineRule="auto"/>
        <w:contextualSpacing w:val="0"/>
        <w:jc w:val="both"/>
        <w:rPr>
          <w:rFonts w:asciiTheme="minorHAnsi" w:hAnsiTheme="minorHAnsi"/>
          <w:sz w:val="24"/>
          <w:szCs w:val="24"/>
          <w:lang w:val="en-US"/>
        </w:rPr>
      </w:pPr>
      <w:hyperlink r:id="rId12">
        <w:r w:rsidR="003B0A48" w:rsidRPr="000B7187">
          <w:rPr>
            <w:rStyle w:val="-"/>
            <w:rFonts w:asciiTheme="minorHAnsi" w:eastAsia="Times New Roman" w:hAnsiTheme="minorHAnsi" w:cs="Times New Roman"/>
            <w:sz w:val="24"/>
            <w:szCs w:val="24"/>
            <w:lang w:val="en-GB"/>
          </w:rPr>
          <w:t>OVD-Info</w:t>
        </w:r>
      </w:hyperlink>
      <w:r w:rsidR="003B0A48" w:rsidRPr="000B7187">
        <w:rPr>
          <w:rFonts w:asciiTheme="minorHAnsi" w:eastAsia="Times New Roman" w:hAnsiTheme="minorHAnsi" w:cs="Times New Roman"/>
          <w:sz w:val="24"/>
          <w:szCs w:val="24"/>
          <w:lang w:val="en-GB"/>
        </w:rPr>
        <w:t xml:space="preserve"> is an independent human rights media project aimed at monitoring cases of political persecution in Russia and providing legal assistance to victims of such persecution. OVD-Info was founded during mass protests of December 2011 as a volunteer project with the purpose of giving publicity to information on arrests of protests’ participants. Today OVD-Info operates a </w:t>
      </w:r>
      <w:r w:rsidR="003B0A48" w:rsidRPr="000B7187">
        <w:rPr>
          <w:rFonts w:asciiTheme="minorHAnsi" w:eastAsia="Times New Roman" w:hAnsiTheme="minorHAnsi" w:cs="Times New Roman"/>
          <w:sz w:val="24"/>
          <w:szCs w:val="24"/>
          <w:lang w:val="en-GB"/>
        </w:rPr>
        <w:lastRenderedPageBreak/>
        <w:t xml:space="preserve">24-hour federal hotline to collect information on all types of political persecution and coordinate legal assistance to its victims, provides legal education to activists and researches different types of political persecution in Russia. </w:t>
      </w:r>
    </w:p>
    <w:p w:rsidR="000827B2" w:rsidRPr="000B7187" w:rsidRDefault="000827B2" w:rsidP="000B7187">
      <w:pPr>
        <w:pStyle w:val="ListParagraph"/>
        <w:spacing w:after="200" w:line="240" w:lineRule="auto"/>
        <w:contextualSpacing w:val="0"/>
        <w:jc w:val="both"/>
        <w:rPr>
          <w:rFonts w:asciiTheme="minorHAnsi" w:eastAsia="Times New Roman" w:hAnsiTheme="minorHAnsi" w:cs="Times New Roman"/>
          <w:sz w:val="24"/>
          <w:szCs w:val="24"/>
          <w:lang w:val="en-GB"/>
        </w:rPr>
      </w:pPr>
    </w:p>
    <w:p w:rsidR="000827B2" w:rsidRPr="000B7187" w:rsidRDefault="003B0A48" w:rsidP="000B7187">
      <w:pPr>
        <w:pStyle w:val="ListParagraph"/>
        <w:numPr>
          <w:ilvl w:val="0"/>
          <w:numId w:val="4"/>
        </w:numPr>
        <w:spacing w:after="200" w:line="240" w:lineRule="auto"/>
        <w:ind w:hanging="357"/>
        <w:contextualSpacing w:val="0"/>
        <w:jc w:val="both"/>
        <w:rPr>
          <w:rFonts w:asciiTheme="minorHAnsi" w:eastAsia="Times New Roman" w:hAnsiTheme="minorHAnsi" w:cs="Times New Roman"/>
          <w:b/>
          <w:sz w:val="24"/>
          <w:szCs w:val="24"/>
          <w:lang w:val="en-GB"/>
        </w:rPr>
      </w:pPr>
      <w:r w:rsidRPr="000B7187">
        <w:rPr>
          <w:rFonts w:asciiTheme="minorHAnsi" w:eastAsia="Times New Roman" w:hAnsiTheme="minorHAnsi" w:cs="Times New Roman"/>
          <w:b/>
          <w:sz w:val="24"/>
          <w:szCs w:val="24"/>
          <w:lang w:val="en-GB"/>
        </w:rPr>
        <w:t>MATTERS FOR CONSIDERATION</w:t>
      </w:r>
    </w:p>
    <w:p w:rsidR="000827B2" w:rsidRPr="000B7187" w:rsidRDefault="003B0A48" w:rsidP="000B7187">
      <w:pPr>
        <w:pStyle w:val="ListParagraph"/>
        <w:numPr>
          <w:ilvl w:val="0"/>
          <w:numId w:val="6"/>
        </w:numPr>
        <w:spacing w:after="200" w:line="240" w:lineRule="auto"/>
        <w:ind w:hanging="357"/>
        <w:contextualSpacing w:val="0"/>
        <w:jc w:val="both"/>
        <w:rPr>
          <w:rFonts w:asciiTheme="minorHAnsi" w:eastAsia="Times New Roman" w:hAnsiTheme="minorHAnsi" w:cs="Times New Roman"/>
          <w:b/>
          <w:sz w:val="24"/>
          <w:szCs w:val="24"/>
          <w:lang w:val="en-GB"/>
        </w:rPr>
      </w:pPr>
      <w:r w:rsidRPr="000B7187">
        <w:rPr>
          <w:rFonts w:asciiTheme="minorHAnsi" w:eastAsia="Times New Roman" w:hAnsiTheme="minorHAnsi" w:cs="Times New Roman"/>
          <w:b/>
          <w:sz w:val="24"/>
          <w:szCs w:val="24"/>
          <w:lang w:val="en-GB"/>
        </w:rPr>
        <w:t>General remarks</w:t>
      </w:r>
    </w:p>
    <w:p w:rsidR="000827B2" w:rsidRPr="000B7187" w:rsidRDefault="003B0A48" w:rsidP="000B7187">
      <w:pPr>
        <w:pStyle w:val="ListParagraph"/>
        <w:numPr>
          <w:ilvl w:val="0"/>
          <w:numId w:val="5"/>
        </w:numPr>
        <w:spacing w:after="200" w:line="240" w:lineRule="auto"/>
        <w:ind w:hanging="357"/>
        <w:contextualSpacing w:val="0"/>
        <w:jc w:val="both"/>
        <w:rPr>
          <w:rFonts w:asciiTheme="minorHAnsi" w:hAnsiTheme="minorHAnsi"/>
          <w:sz w:val="24"/>
          <w:szCs w:val="24"/>
          <w:lang w:val="en-GB"/>
        </w:rPr>
      </w:pPr>
      <w:r w:rsidRPr="000B7187">
        <w:rPr>
          <w:rFonts w:asciiTheme="minorHAnsi" w:eastAsia="Times New Roman" w:hAnsiTheme="minorHAnsi" w:cs="Times New Roman"/>
          <w:sz w:val="24"/>
          <w:szCs w:val="24"/>
          <w:highlight w:val="white"/>
          <w:lang w:val="en-GB"/>
        </w:rPr>
        <w:t xml:space="preserve">We suggest that the words “in principle”, “generally”, “not necessarily” or similar ones are not used in cases where they are not followed by a description of the exceptions to the general rules. We believe that exceptions to the general rules should be described by the Committee and not left up to the interpretation of the States. For instance, we suggest to delete the underlined words in the phrases below or to list up the exceptions to the general rules directly in the text of the General Comment: </w:t>
      </w:r>
    </w:p>
    <w:p w:rsidR="000827B2" w:rsidRPr="000B7187" w:rsidRDefault="003B0A48" w:rsidP="000B7187">
      <w:pPr>
        <w:spacing w:after="200" w:line="240" w:lineRule="auto"/>
        <w:ind w:left="720"/>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t>Para. 18</w:t>
      </w:r>
      <w:r w:rsidRPr="000B7187">
        <w:rPr>
          <w:rFonts w:asciiTheme="minorHAnsi" w:eastAsia="Times New Roman" w:hAnsiTheme="minorHAnsi" w:cs="Times New Roman"/>
          <w:i/>
          <w:sz w:val="24"/>
          <w:szCs w:val="24"/>
          <w:highlight w:val="white"/>
          <w:lang w:val="en-GB"/>
        </w:rPr>
        <w:t xml:space="preserve">: “Civil disobedience or direct-action campaigns are </w:t>
      </w:r>
      <w:r w:rsidRPr="000B7187">
        <w:rPr>
          <w:rFonts w:asciiTheme="minorHAnsi" w:eastAsia="Times New Roman" w:hAnsiTheme="minorHAnsi" w:cs="Times New Roman"/>
          <w:i/>
          <w:sz w:val="24"/>
          <w:szCs w:val="24"/>
          <w:highlight w:val="white"/>
          <w:u w:val="single"/>
          <w:lang w:val="en-GB"/>
        </w:rPr>
        <w:t>in principle</w:t>
      </w:r>
      <w:r w:rsidRPr="000B7187">
        <w:rPr>
          <w:rFonts w:asciiTheme="minorHAnsi" w:eastAsia="Times New Roman" w:hAnsiTheme="minorHAnsi" w:cs="Times New Roman"/>
          <w:i/>
          <w:sz w:val="24"/>
          <w:szCs w:val="24"/>
          <w:highlight w:val="white"/>
          <w:lang w:val="en-GB"/>
        </w:rPr>
        <w:t xml:space="preserve"> covered by article 21, provided they are non-violent”.</w:t>
      </w:r>
    </w:p>
    <w:p w:rsidR="000827B2" w:rsidRPr="000B7187" w:rsidRDefault="003B0A48" w:rsidP="000B7187">
      <w:pPr>
        <w:spacing w:after="200" w:line="240" w:lineRule="auto"/>
        <w:ind w:left="708"/>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t>Para. 23: “</w:t>
      </w:r>
      <w:r w:rsidRPr="000B7187">
        <w:rPr>
          <w:rFonts w:asciiTheme="minorHAnsi" w:eastAsia="Times New Roman" w:hAnsiTheme="minorHAnsi" w:cs="Times New Roman"/>
          <w:i/>
          <w:sz w:val="24"/>
          <w:szCs w:val="24"/>
          <w:highlight w:val="white"/>
          <w:lang w:val="en-GB"/>
        </w:rPr>
        <w:t xml:space="preserve">The carrying by participants of objects that are or could be viewed as weapons is not </w:t>
      </w:r>
      <w:r w:rsidRPr="000B7187">
        <w:rPr>
          <w:rFonts w:asciiTheme="minorHAnsi" w:eastAsia="Times New Roman" w:hAnsiTheme="minorHAnsi" w:cs="Times New Roman"/>
          <w:i/>
          <w:sz w:val="24"/>
          <w:szCs w:val="24"/>
          <w:highlight w:val="white"/>
          <w:u w:val="single"/>
          <w:lang w:val="en-GB"/>
        </w:rPr>
        <w:t>necessarily</w:t>
      </w:r>
      <w:r w:rsidRPr="000B7187">
        <w:rPr>
          <w:rFonts w:asciiTheme="minorHAnsi" w:eastAsia="Times New Roman" w:hAnsiTheme="minorHAnsi" w:cs="Times New Roman"/>
          <w:i/>
          <w:sz w:val="24"/>
          <w:szCs w:val="24"/>
          <w:highlight w:val="white"/>
          <w:lang w:val="en-GB"/>
        </w:rPr>
        <w:t xml:space="preserve"> sufficient to render the assembly violent”. </w:t>
      </w:r>
    </w:p>
    <w:p w:rsidR="000827B2" w:rsidRPr="000B7187" w:rsidRDefault="003B0A48" w:rsidP="000B7187">
      <w:pPr>
        <w:spacing w:after="200" w:line="240" w:lineRule="auto"/>
        <w:ind w:left="708"/>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t>Para. 25</w:t>
      </w:r>
      <w:r w:rsidRPr="000B7187">
        <w:rPr>
          <w:rFonts w:asciiTheme="minorHAnsi" w:eastAsia="Times New Roman" w:hAnsiTheme="minorHAnsi" w:cs="Times New Roman"/>
          <w:i/>
          <w:sz w:val="24"/>
          <w:szCs w:val="24"/>
          <w:highlight w:val="white"/>
          <w:lang w:val="en-GB"/>
        </w:rPr>
        <w:t xml:space="preserve">: “The approach of the authorities to peaceful assemblies and any restrictions imposed must thus </w:t>
      </w:r>
      <w:r w:rsidRPr="000B7187">
        <w:rPr>
          <w:rFonts w:asciiTheme="minorHAnsi" w:eastAsia="Times New Roman" w:hAnsiTheme="minorHAnsi" w:cs="Times New Roman"/>
          <w:i/>
          <w:sz w:val="24"/>
          <w:szCs w:val="24"/>
          <w:highlight w:val="white"/>
          <w:u w:val="single"/>
          <w:lang w:val="en-GB"/>
        </w:rPr>
        <w:t>in principle</w:t>
      </w:r>
      <w:r w:rsidRPr="000B7187">
        <w:rPr>
          <w:rFonts w:asciiTheme="minorHAnsi" w:eastAsia="Times New Roman" w:hAnsiTheme="minorHAnsi" w:cs="Times New Roman"/>
          <w:i/>
          <w:sz w:val="24"/>
          <w:szCs w:val="24"/>
          <w:highlight w:val="white"/>
          <w:lang w:val="en-GB"/>
        </w:rPr>
        <w:t xml:space="preserve"> be “content neutral”.</w:t>
      </w:r>
    </w:p>
    <w:p w:rsidR="000827B2" w:rsidRPr="000B7187" w:rsidRDefault="003B0A48" w:rsidP="000B7187">
      <w:pPr>
        <w:spacing w:after="200" w:line="240" w:lineRule="auto"/>
        <w:ind w:left="708"/>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t>Para. 42</w:t>
      </w:r>
      <w:r w:rsidRPr="000B7187">
        <w:rPr>
          <w:rFonts w:asciiTheme="minorHAnsi" w:eastAsia="Times New Roman" w:hAnsiTheme="minorHAnsi" w:cs="Times New Roman"/>
          <w:i/>
          <w:sz w:val="24"/>
          <w:szCs w:val="24"/>
          <w:highlight w:val="white"/>
          <w:lang w:val="en-GB"/>
        </w:rPr>
        <w:t xml:space="preserve">: “Any restrictions on participation in peaceful assemblies should </w:t>
      </w:r>
      <w:r w:rsidRPr="000B7187">
        <w:rPr>
          <w:rFonts w:asciiTheme="minorHAnsi" w:eastAsia="Times New Roman" w:hAnsiTheme="minorHAnsi" w:cs="Times New Roman"/>
          <w:i/>
          <w:sz w:val="24"/>
          <w:szCs w:val="24"/>
          <w:highlight w:val="white"/>
          <w:u w:val="single"/>
          <w:lang w:val="en-GB"/>
        </w:rPr>
        <w:t>in principle</w:t>
      </w:r>
      <w:r w:rsidRPr="000B7187">
        <w:rPr>
          <w:rFonts w:asciiTheme="minorHAnsi" w:eastAsia="Times New Roman" w:hAnsiTheme="minorHAnsi" w:cs="Times New Roman"/>
          <w:i/>
          <w:sz w:val="24"/>
          <w:szCs w:val="24"/>
          <w:highlight w:val="white"/>
          <w:lang w:val="en-GB"/>
        </w:rPr>
        <w:t xml:space="preserve"> be based on a differentiated or individualized assessment of the conduct of the individual and the assembly concerned”.</w:t>
      </w:r>
    </w:p>
    <w:p w:rsidR="000827B2" w:rsidRPr="000B7187" w:rsidRDefault="003B0A48" w:rsidP="000B7187">
      <w:pPr>
        <w:spacing w:after="200" w:line="240" w:lineRule="auto"/>
        <w:ind w:left="708"/>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lastRenderedPageBreak/>
        <w:t>Para. 54</w:t>
      </w:r>
      <w:r w:rsidRPr="000B7187">
        <w:rPr>
          <w:rFonts w:asciiTheme="minorHAnsi" w:eastAsia="Times New Roman" w:hAnsiTheme="minorHAnsi" w:cs="Times New Roman"/>
          <w:i/>
          <w:sz w:val="24"/>
          <w:szCs w:val="24"/>
          <w:highlight w:val="white"/>
          <w:lang w:val="en-GB"/>
        </w:rPr>
        <w:t xml:space="preserve">: “Central to the realisation of the right of peaceful assembly is the requirement that any restrictions must </w:t>
      </w:r>
      <w:r w:rsidRPr="000B7187">
        <w:rPr>
          <w:rFonts w:asciiTheme="minorHAnsi" w:eastAsia="Times New Roman" w:hAnsiTheme="minorHAnsi" w:cs="Times New Roman"/>
          <w:i/>
          <w:sz w:val="24"/>
          <w:szCs w:val="24"/>
          <w:highlight w:val="white"/>
          <w:u w:val="single"/>
          <w:lang w:val="en-GB"/>
        </w:rPr>
        <w:t>in principle</w:t>
      </w:r>
      <w:r w:rsidRPr="000B7187">
        <w:rPr>
          <w:rFonts w:asciiTheme="minorHAnsi" w:eastAsia="Times New Roman" w:hAnsiTheme="minorHAnsi" w:cs="Times New Roman"/>
          <w:i/>
          <w:sz w:val="24"/>
          <w:szCs w:val="24"/>
          <w:highlight w:val="white"/>
          <w:lang w:val="en-GB"/>
        </w:rPr>
        <w:t xml:space="preserve"> be content neutral, and thus not be related to the message conveyed by the assembly”.</w:t>
      </w:r>
    </w:p>
    <w:p w:rsidR="000827B2" w:rsidRPr="000B7187" w:rsidRDefault="003B0A48" w:rsidP="000B7187">
      <w:pPr>
        <w:spacing w:after="200" w:line="240" w:lineRule="auto"/>
        <w:ind w:left="720"/>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t xml:space="preserve">Para. 65: </w:t>
      </w:r>
      <w:r w:rsidRPr="000B7187">
        <w:rPr>
          <w:rFonts w:asciiTheme="minorHAnsi" w:eastAsia="Times New Roman" w:hAnsiTheme="minorHAnsi" w:cs="Times New Roman"/>
          <w:i/>
          <w:sz w:val="24"/>
          <w:szCs w:val="24"/>
          <w:highlight w:val="white"/>
          <w:lang w:val="en-GB"/>
        </w:rPr>
        <w:t>“</w:t>
      </w:r>
      <w:r w:rsidRPr="000B7187">
        <w:rPr>
          <w:rFonts w:asciiTheme="minorHAnsi" w:eastAsia="Times New Roman" w:hAnsiTheme="minorHAnsi" w:cs="Times New Roman"/>
          <w:i/>
          <w:sz w:val="24"/>
          <w:szCs w:val="24"/>
          <w:highlight w:val="white"/>
          <w:u w:val="single"/>
          <w:lang w:val="en-GB"/>
        </w:rPr>
        <w:t>As a general rule</w:t>
      </w:r>
      <w:r w:rsidRPr="000B7187">
        <w:rPr>
          <w:rFonts w:asciiTheme="minorHAnsi" w:eastAsia="Times New Roman" w:hAnsiTheme="minorHAnsi" w:cs="Times New Roman"/>
          <w:i/>
          <w:sz w:val="24"/>
          <w:szCs w:val="24"/>
          <w:highlight w:val="white"/>
          <w:lang w:val="en-GB"/>
        </w:rPr>
        <w:t>, prohibitions on all assemblies anywhere in the capital; in any public location except a single specified place, either in a city, or outside the city centre; or prohibitions on assemblies in “all the streets in the city”, may not be imposed”.</w:t>
      </w:r>
    </w:p>
    <w:p w:rsidR="000827B2" w:rsidRPr="000B7187" w:rsidRDefault="003B0A48" w:rsidP="000B7187">
      <w:pPr>
        <w:spacing w:after="200" w:line="240" w:lineRule="auto"/>
        <w:ind w:left="708"/>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t>Para. 68: “</w:t>
      </w:r>
      <w:r w:rsidRPr="000B7187">
        <w:rPr>
          <w:rFonts w:asciiTheme="minorHAnsi" w:eastAsia="Times New Roman" w:hAnsiTheme="minorHAnsi" w:cs="Times New Roman"/>
          <w:i/>
          <w:sz w:val="24"/>
          <w:szCs w:val="24"/>
          <w:highlight w:val="white"/>
          <w:lang w:val="en-GB"/>
        </w:rPr>
        <w:t xml:space="preserve">As far as restrictions on the manner of peaceful assemblies are concerned: participants should </w:t>
      </w:r>
      <w:r w:rsidRPr="000B7187">
        <w:rPr>
          <w:rFonts w:asciiTheme="minorHAnsi" w:eastAsia="Times New Roman" w:hAnsiTheme="minorHAnsi" w:cs="Times New Roman"/>
          <w:i/>
          <w:sz w:val="24"/>
          <w:szCs w:val="24"/>
          <w:highlight w:val="white"/>
          <w:u w:val="single"/>
          <w:lang w:val="en-GB"/>
        </w:rPr>
        <w:t>generally</w:t>
      </w:r>
      <w:r w:rsidRPr="000B7187">
        <w:rPr>
          <w:rFonts w:asciiTheme="minorHAnsi" w:eastAsia="Times New Roman" w:hAnsiTheme="minorHAnsi" w:cs="Times New Roman"/>
          <w:i/>
          <w:sz w:val="24"/>
          <w:szCs w:val="24"/>
          <w:highlight w:val="white"/>
          <w:lang w:val="en-GB"/>
        </w:rPr>
        <w:t xml:space="preserve"> be left to determine whether they want to use equipment such as posters or megaphones or musical instruments to convey their message”.</w:t>
      </w:r>
    </w:p>
    <w:p w:rsidR="000827B2" w:rsidRPr="000B7187" w:rsidRDefault="003B0A48" w:rsidP="000B7187">
      <w:pPr>
        <w:spacing w:after="200" w:line="240" w:lineRule="auto"/>
        <w:ind w:left="708"/>
        <w:jc w:val="both"/>
        <w:rPr>
          <w:rFonts w:asciiTheme="minorHAnsi" w:eastAsia="Times New Roman" w:hAnsiTheme="minorHAnsi" w:cs="Times New Roman"/>
          <w:i/>
          <w:sz w:val="24"/>
          <w:szCs w:val="24"/>
          <w:highlight w:val="white"/>
          <w:lang w:val="en-GB"/>
        </w:rPr>
      </w:pPr>
      <w:r w:rsidRPr="000B7187">
        <w:rPr>
          <w:rFonts w:asciiTheme="minorHAnsi" w:eastAsia="Times New Roman" w:hAnsiTheme="minorHAnsi" w:cs="Times New Roman"/>
          <w:sz w:val="24"/>
          <w:szCs w:val="24"/>
          <w:highlight w:val="white"/>
          <w:lang w:val="en-GB"/>
        </w:rPr>
        <w:t>Para. 74: “</w:t>
      </w:r>
      <w:r w:rsidRPr="000B7187">
        <w:rPr>
          <w:rFonts w:asciiTheme="minorHAnsi" w:eastAsia="Times New Roman" w:hAnsiTheme="minorHAnsi" w:cs="Times New Roman"/>
          <w:i/>
          <w:sz w:val="24"/>
          <w:szCs w:val="24"/>
          <w:highlight w:val="white"/>
          <w:lang w:val="en-GB"/>
        </w:rPr>
        <w:t>Requirements for participants to cover the costs of policing or security</w:t>
      </w:r>
      <w:r w:rsidRPr="000B7187">
        <w:rPr>
          <w:rFonts w:asciiTheme="minorHAnsi" w:eastAsia="Times New Roman" w:hAnsiTheme="minorHAnsi" w:cs="Times New Roman"/>
          <w:i/>
          <w:sz w:val="24"/>
          <w:szCs w:val="24"/>
          <w:highlight w:val="white"/>
          <w:vertAlign w:val="superscript"/>
          <w:lang w:val="en-GB"/>
        </w:rPr>
        <w:t xml:space="preserve"> </w:t>
      </w:r>
      <w:r w:rsidRPr="000B7187">
        <w:rPr>
          <w:rFonts w:asciiTheme="minorHAnsi" w:eastAsia="Times New Roman" w:hAnsiTheme="minorHAnsi" w:cs="Times New Roman"/>
          <w:i/>
          <w:sz w:val="24"/>
          <w:szCs w:val="24"/>
          <w:highlight w:val="white"/>
          <w:lang w:val="en-GB"/>
        </w:rPr>
        <w:t xml:space="preserve">or medical assistance or cleaning associated with peaceful assemblies are </w:t>
      </w:r>
      <w:r w:rsidRPr="000B7187">
        <w:rPr>
          <w:rFonts w:asciiTheme="minorHAnsi" w:eastAsia="Times New Roman" w:hAnsiTheme="minorHAnsi" w:cs="Times New Roman"/>
          <w:i/>
          <w:sz w:val="24"/>
          <w:szCs w:val="24"/>
          <w:highlight w:val="white"/>
          <w:u w:val="single"/>
          <w:lang w:val="en-GB"/>
        </w:rPr>
        <w:t>generally</w:t>
      </w:r>
      <w:r w:rsidRPr="000B7187">
        <w:rPr>
          <w:rFonts w:asciiTheme="minorHAnsi" w:eastAsia="Times New Roman" w:hAnsiTheme="minorHAnsi" w:cs="Times New Roman"/>
          <w:i/>
          <w:sz w:val="24"/>
          <w:szCs w:val="24"/>
          <w:highlight w:val="white"/>
          <w:lang w:val="en-GB"/>
        </w:rPr>
        <w:t xml:space="preserve"> not compatible with article 21. These costs should </w:t>
      </w:r>
      <w:r w:rsidRPr="000B7187">
        <w:rPr>
          <w:rFonts w:asciiTheme="minorHAnsi" w:eastAsia="Times New Roman" w:hAnsiTheme="minorHAnsi" w:cs="Times New Roman"/>
          <w:i/>
          <w:sz w:val="24"/>
          <w:szCs w:val="24"/>
          <w:highlight w:val="white"/>
          <w:u w:val="single"/>
          <w:lang w:val="en-GB"/>
        </w:rPr>
        <w:t>as a rule</w:t>
      </w:r>
      <w:r w:rsidRPr="000B7187">
        <w:rPr>
          <w:rFonts w:asciiTheme="minorHAnsi" w:eastAsia="Times New Roman" w:hAnsiTheme="minorHAnsi" w:cs="Times New Roman"/>
          <w:i/>
          <w:sz w:val="24"/>
          <w:szCs w:val="24"/>
          <w:highlight w:val="white"/>
          <w:lang w:val="en-GB"/>
        </w:rPr>
        <w:t xml:space="preserve"> be covered by public funds and should not be transferred to the participants”.</w:t>
      </w:r>
    </w:p>
    <w:p w:rsidR="000827B2" w:rsidRPr="000B7187" w:rsidRDefault="003B0A48" w:rsidP="000B7187">
      <w:pPr>
        <w:spacing w:after="200" w:line="240" w:lineRule="auto"/>
        <w:ind w:left="708"/>
        <w:jc w:val="both"/>
        <w:rPr>
          <w:rFonts w:asciiTheme="minorHAnsi" w:eastAsia="Times New Roman" w:hAnsiTheme="minorHAnsi" w:cs="Times New Roman"/>
          <w:sz w:val="24"/>
          <w:szCs w:val="24"/>
          <w:lang w:val="en-GB"/>
        </w:rPr>
      </w:pPr>
      <w:r w:rsidRPr="000B7187">
        <w:rPr>
          <w:rFonts w:asciiTheme="minorHAnsi" w:eastAsia="Times New Roman" w:hAnsiTheme="minorHAnsi" w:cs="Times New Roman"/>
          <w:sz w:val="24"/>
          <w:szCs w:val="24"/>
          <w:highlight w:val="white"/>
          <w:lang w:val="en-GB"/>
        </w:rPr>
        <w:t xml:space="preserve">We consider that it is particularly important to use the precise wording while determining the restrictions to the right to freedom of assembly. </w:t>
      </w:r>
    </w:p>
    <w:p w:rsidR="000827B2" w:rsidRPr="000B7187" w:rsidRDefault="003B0A48" w:rsidP="000B7187">
      <w:pPr>
        <w:pStyle w:val="ListParagraph"/>
        <w:numPr>
          <w:ilvl w:val="0"/>
          <w:numId w:val="5"/>
        </w:numPr>
        <w:spacing w:after="200" w:line="240" w:lineRule="auto"/>
        <w:contextualSpacing w:val="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it is recognised in the General Comment that everyone present at the peaceful assembly are protected by the guarantees of Article 21 of the ICCPR, irrespective of whether these persons participate in the peaceful assembly or are passers-by. This provision would play an important role in examination of cases concerning disseminations of peaceful assemblies and indiscriminatory arrests of persons present at the spot. </w:t>
      </w:r>
    </w:p>
    <w:p w:rsidR="000827B2" w:rsidRPr="000B7187" w:rsidRDefault="000827B2" w:rsidP="000B7187">
      <w:pPr>
        <w:spacing w:after="200" w:line="240" w:lineRule="auto"/>
        <w:ind w:left="1440"/>
        <w:jc w:val="both"/>
        <w:rPr>
          <w:rFonts w:asciiTheme="minorHAnsi" w:eastAsia="Times New Roman" w:hAnsiTheme="minorHAnsi" w:cs="Times New Roman"/>
          <w:sz w:val="24"/>
          <w:szCs w:val="24"/>
          <w:lang w:val="en-GB"/>
        </w:rPr>
      </w:pPr>
    </w:p>
    <w:p w:rsidR="000827B2" w:rsidRPr="000B7187" w:rsidRDefault="003B0A48" w:rsidP="000B7187">
      <w:pPr>
        <w:pStyle w:val="ListParagraph"/>
        <w:numPr>
          <w:ilvl w:val="0"/>
          <w:numId w:val="6"/>
        </w:numPr>
        <w:spacing w:after="200" w:line="240" w:lineRule="auto"/>
        <w:contextualSpacing w:val="0"/>
        <w:jc w:val="both"/>
        <w:rPr>
          <w:rFonts w:asciiTheme="minorHAnsi" w:hAnsiTheme="minorHAnsi"/>
          <w:b/>
          <w:sz w:val="24"/>
          <w:szCs w:val="24"/>
          <w:lang w:val="en-US"/>
        </w:rPr>
      </w:pPr>
      <w:r w:rsidRPr="000B7187">
        <w:rPr>
          <w:rFonts w:asciiTheme="minorHAnsi" w:eastAsia="Times New Roman" w:hAnsiTheme="minorHAnsi" w:cs="Times New Roman"/>
          <w:b/>
          <w:sz w:val="24"/>
          <w:szCs w:val="24"/>
          <w:lang w:val="en-GB"/>
        </w:rPr>
        <w:lastRenderedPageBreak/>
        <w:t>Notion of a “peaceful” assembly</w:t>
      </w:r>
    </w:p>
    <w:p w:rsidR="000827B2" w:rsidRPr="000B7187" w:rsidRDefault="003B0A48" w:rsidP="000B7187">
      <w:pPr>
        <w:pStyle w:val="ListParagraph"/>
        <w:numPr>
          <w:ilvl w:val="0"/>
          <w:numId w:val="5"/>
        </w:numPr>
        <w:spacing w:after="200" w:line="240" w:lineRule="auto"/>
        <w:contextualSpacing w:val="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17: </w:t>
      </w:r>
      <w:r w:rsidRPr="000B7187">
        <w:rPr>
          <w:rFonts w:asciiTheme="minorHAnsi" w:eastAsia="Times New Roman" w:hAnsiTheme="minorHAnsi" w:cs="Times New Roman"/>
          <w:i/>
          <w:iCs/>
          <w:sz w:val="24"/>
          <w:szCs w:val="24"/>
          <w:lang w:val="en-GB"/>
        </w:rPr>
        <w:t>“…Violence in this context typically entails the use by participants of physical force that is likely to result in injury or death, or serious damage to property. Mere disruption of vehicular or pedestrian movement or daily activities does not amount to violence”</w:t>
      </w:r>
      <w:r w:rsidRPr="000B7187">
        <w:rPr>
          <w:rFonts w:asciiTheme="minorHAnsi" w:eastAsia="Times New Roman" w:hAnsiTheme="minorHAnsi" w:cs="Times New Roman"/>
          <w:sz w:val="24"/>
          <w:szCs w:val="24"/>
          <w:lang w:val="en-GB"/>
        </w:rPr>
        <w:t>.</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Since acts of violence by the participants of an assembly may be provoked by unlawful actions of the state agents (policemen, etc.), we suggest adding that while considering cases concerning violent actions of participants of an assembly, the courts should carefully analyse the general situation at the scene as well as the actions by the state agents. The authorities should bear the burden of proof with regard of proving that their actions were justified.</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19: “</w:t>
      </w:r>
      <w:r w:rsidRPr="000B7187">
        <w:rPr>
          <w:rFonts w:asciiTheme="minorHAnsi" w:eastAsia="Times New Roman" w:hAnsiTheme="minorHAnsi" w:cs="Times New Roman"/>
          <w:i/>
          <w:sz w:val="24"/>
          <w:szCs w:val="24"/>
          <w:lang w:val="en-GB"/>
        </w:rPr>
        <w:t>A violent assembly is one that is characterized by [widespread and serious] violence [, and is sometimes referred to as a riot]”.</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that the words in the square brackets are inserted, since they specify what acts constitute violence. We believe that single acts of physical force that is  not likely to result in injury or death, or serious damage to property do not themselves render the assemble violent.</w:t>
      </w:r>
      <w:r w:rsidR="0017131E">
        <w:rPr>
          <w:rStyle w:val="FootnoteReference"/>
          <w:rFonts w:asciiTheme="minorHAnsi" w:eastAsia="Times New Roman" w:hAnsiTheme="minorHAnsi" w:cs="Times New Roman"/>
          <w:sz w:val="24"/>
          <w:szCs w:val="24"/>
          <w:lang w:val="en-GB"/>
        </w:rPr>
        <w:footnoteReference w:id="1"/>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20:</w:t>
      </w:r>
      <w:r w:rsidRPr="000B7187">
        <w:rPr>
          <w:rFonts w:asciiTheme="minorHAnsi" w:eastAsia="Times New Roman" w:hAnsiTheme="minorHAnsi" w:cs="Times New Roman"/>
          <w:i/>
          <w:sz w:val="24"/>
          <w:szCs w:val="24"/>
          <w:lang w:val="en-GB"/>
        </w:rPr>
        <w:t xml:space="preserve"> “The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lastRenderedPageBreak/>
        <w:t xml:space="preserve">We suggest that the following sentence is added to this paragraph: </w:t>
      </w:r>
      <w:r w:rsidRPr="000B7187">
        <w:rPr>
          <w:rFonts w:asciiTheme="minorHAnsi" w:eastAsia="Times New Roman" w:hAnsiTheme="minorHAnsi" w:cs="Times New Roman"/>
          <w:i/>
          <w:iCs/>
          <w:sz w:val="24"/>
          <w:szCs w:val="24"/>
          <w:lang w:val="en-GB"/>
        </w:rPr>
        <w:t>“Self-defence by participants and/or organisers of an assembly against illegal and manifestly disproportionate violence by the police or and/or organisers of a counter-demonstration does not itself render the assembly violent”</w:t>
      </w:r>
      <w:r w:rsidRPr="000B7187">
        <w:rPr>
          <w:rFonts w:asciiTheme="minorHAnsi" w:eastAsia="Times New Roman" w:hAnsiTheme="minorHAnsi" w:cs="Times New Roman"/>
          <w:sz w:val="24"/>
          <w:szCs w:val="24"/>
          <w:lang w:val="en-GB"/>
        </w:rPr>
        <w:t>.</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22: </w:t>
      </w:r>
      <w:r w:rsidRPr="000B7187">
        <w:rPr>
          <w:rFonts w:asciiTheme="minorHAnsi" w:eastAsia="Times New Roman" w:hAnsiTheme="minorHAnsi" w:cs="Times New Roman"/>
          <w:i/>
          <w:sz w:val="24"/>
          <w:szCs w:val="24"/>
          <w:lang w:val="en-GB"/>
        </w:rPr>
        <w:t xml:space="preserve"> [Option 1: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Option 2 is that this paragraph be deleted, and the need to act against incitement of discrimination or hostility (not violence, that is part of the scope) be dealt with in the section on restrictions that require justification.] </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that Option 2 is chosen, since (1) the issue at hand concerns restrictions, but not the scope of the rights, (2) the “Restrictions” section already contains this thesis (para. 57).</w:t>
      </w:r>
    </w:p>
    <w:p w:rsidR="000827B2" w:rsidRPr="000B7187" w:rsidRDefault="003B0A48" w:rsidP="000B7187">
      <w:pPr>
        <w:pStyle w:val="ListParagraph"/>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33: </w:t>
      </w:r>
      <w:r w:rsidRPr="000B7187">
        <w:rPr>
          <w:rFonts w:asciiTheme="minorHAnsi" w:eastAsia="Times New Roman" w:hAnsiTheme="minorHAnsi" w:cs="Times New Roman"/>
          <w:i/>
          <w:sz w:val="24"/>
          <w:szCs w:val="24"/>
          <w:lang w:val="en-GB"/>
        </w:rPr>
        <w:t>“States parties must moreover ensu</w:t>
      </w:r>
      <w:r w:rsidR="000B7187">
        <w:rPr>
          <w:rFonts w:asciiTheme="minorHAnsi" w:eastAsia="Times New Roman" w:hAnsiTheme="minorHAnsi" w:cs="Times New Roman"/>
          <w:i/>
          <w:sz w:val="24"/>
          <w:szCs w:val="24"/>
          <w:lang w:val="en-GB"/>
        </w:rPr>
        <w:t xml:space="preserve">re independent and transparent </w:t>
      </w:r>
      <w:r w:rsidRPr="000B7187">
        <w:rPr>
          <w:rFonts w:asciiTheme="minorHAnsi" w:eastAsia="Times New Roman" w:hAnsiTheme="minorHAnsi" w:cs="Times New Roman"/>
          <w:i/>
          <w:sz w:val="24"/>
          <w:szCs w:val="24"/>
          <w:lang w:val="en-GB"/>
        </w:rPr>
        <w:t xml:space="preserve">oversight of all bodies involved in managing </w:t>
      </w:r>
      <w:r w:rsidR="000B7187" w:rsidRPr="000B7187">
        <w:rPr>
          <w:rFonts w:asciiTheme="minorHAnsi" w:eastAsia="Times New Roman" w:hAnsiTheme="minorHAnsi" w:cs="Times New Roman"/>
          <w:i/>
          <w:sz w:val="24"/>
          <w:szCs w:val="24"/>
          <w:lang w:val="en-GB"/>
        </w:rPr>
        <w:t xml:space="preserve">peaceful assemblies, including </w:t>
      </w:r>
      <w:r w:rsidRPr="000B7187">
        <w:rPr>
          <w:rFonts w:asciiTheme="minorHAnsi" w:eastAsia="Times New Roman" w:hAnsiTheme="minorHAnsi" w:cs="Times New Roman"/>
          <w:i/>
          <w:sz w:val="24"/>
          <w:szCs w:val="24"/>
          <w:lang w:val="en-GB"/>
        </w:rPr>
        <w:t xml:space="preserve">through timely access to judicial remedies in case of </w:t>
      </w:r>
      <w:r w:rsidR="000B7187" w:rsidRPr="000B7187">
        <w:rPr>
          <w:rFonts w:asciiTheme="minorHAnsi" w:eastAsia="Times New Roman" w:hAnsiTheme="minorHAnsi" w:cs="Times New Roman"/>
          <w:i/>
          <w:sz w:val="24"/>
          <w:szCs w:val="24"/>
          <w:lang w:val="en-GB"/>
        </w:rPr>
        <w:t xml:space="preserve">[alleged/potential] violations </w:t>
      </w:r>
      <w:r w:rsidRPr="000B7187">
        <w:rPr>
          <w:rFonts w:asciiTheme="minorHAnsi" w:eastAsia="Times New Roman" w:hAnsiTheme="minorHAnsi" w:cs="Times New Roman"/>
          <w:i/>
          <w:sz w:val="24"/>
          <w:szCs w:val="24"/>
          <w:lang w:val="en-GB"/>
        </w:rPr>
        <w:t>of the right”.</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stressing that, according to Article 14 of the ICCPR, guarantees of the right to a fair trial should, without exception, apply to participants and organisers of peaceful assemblies.</w:t>
      </w:r>
    </w:p>
    <w:p w:rsidR="000827B2" w:rsidRPr="000B7187" w:rsidRDefault="000827B2" w:rsidP="0017131E">
      <w:pPr>
        <w:spacing w:after="200" w:line="240" w:lineRule="auto"/>
        <w:jc w:val="both"/>
        <w:rPr>
          <w:rFonts w:asciiTheme="minorHAnsi" w:eastAsia="Times New Roman" w:hAnsiTheme="minorHAnsi" w:cs="Times New Roman"/>
          <w:sz w:val="24"/>
          <w:szCs w:val="24"/>
          <w:lang w:val="en-GB"/>
        </w:rPr>
      </w:pPr>
    </w:p>
    <w:p w:rsidR="000827B2" w:rsidRPr="000B7187" w:rsidRDefault="003B0A48" w:rsidP="000B7187">
      <w:pPr>
        <w:pStyle w:val="ListParagraph"/>
        <w:numPr>
          <w:ilvl w:val="0"/>
          <w:numId w:val="6"/>
        </w:numPr>
        <w:spacing w:after="200" w:line="240" w:lineRule="auto"/>
        <w:jc w:val="both"/>
        <w:rPr>
          <w:rFonts w:asciiTheme="minorHAnsi" w:hAnsiTheme="minorHAnsi"/>
          <w:b/>
          <w:sz w:val="24"/>
          <w:szCs w:val="24"/>
          <w:lang w:val="en-US"/>
        </w:rPr>
      </w:pPr>
      <w:r w:rsidRPr="000B7187">
        <w:rPr>
          <w:rFonts w:asciiTheme="minorHAnsi" w:eastAsia="Times New Roman" w:hAnsiTheme="minorHAnsi" w:cs="Times New Roman"/>
          <w:b/>
          <w:sz w:val="24"/>
          <w:szCs w:val="24"/>
          <w:lang w:val="en-GB"/>
        </w:rPr>
        <w:lastRenderedPageBreak/>
        <w:t xml:space="preserve">Minorities’ right to participate and set a theme of an event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28</w:t>
      </w:r>
      <w:r w:rsidRPr="000B7187">
        <w:rPr>
          <w:rFonts w:asciiTheme="minorHAnsi" w:eastAsia="Times New Roman" w:hAnsiTheme="minorHAnsi" w:cs="Times New Roman"/>
          <w:i/>
          <w:sz w:val="24"/>
          <w:szCs w:val="24"/>
          <w:lang w:val="en-GB"/>
        </w:rPr>
        <w:t>: “States must not deal with assemblies in a discriminatory manner, for example on the basis of nationality, race, ethnicity, age, political opinion, religion, belief, minority status, disability, sexual orientation or gender identity. Particular efforts should be made to ensure equal and effective protection of the right of peaceful assembly of individuals who are members of groups who are or have been subjected to discrimination. This includes the duty to protect participants from homophobic, sexual or gender-based attacks”.</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specifying that minorities and vulnerable groups are entitled to conduct public events, “</w:t>
      </w:r>
      <w:r w:rsidRPr="000B7187">
        <w:rPr>
          <w:rFonts w:asciiTheme="minorHAnsi" w:eastAsia="Times New Roman" w:hAnsiTheme="minorHAnsi" w:cs="Times New Roman"/>
          <w:sz w:val="24"/>
          <w:szCs w:val="24"/>
          <w:u w:val="single"/>
          <w:lang w:val="en-GB"/>
        </w:rPr>
        <w:t>including those raising the issues concerning their particular group”</w:t>
      </w:r>
      <w:r w:rsidRPr="000B7187">
        <w:rPr>
          <w:rFonts w:asciiTheme="minorHAnsi" w:eastAsia="Times New Roman" w:hAnsiTheme="minorHAnsi" w:cs="Times New Roman"/>
          <w:sz w:val="24"/>
          <w:szCs w:val="24"/>
          <w:lang w:val="en-GB"/>
        </w:rPr>
        <w:t>.</w:t>
      </w:r>
      <w:r w:rsidR="0017131E">
        <w:rPr>
          <w:rStyle w:val="FootnoteReference"/>
          <w:rFonts w:asciiTheme="minorHAnsi" w:eastAsia="Times New Roman" w:hAnsiTheme="minorHAnsi" w:cs="Times New Roman"/>
          <w:sz w:val="24"/>
          <w:szCs w:val="24"/>
          <w:lang w:val="en-GB"/>
        </w:rPr>
        <w:footnoteReference w:id="2"/>
      </w:r>
      <w:r w:rsidRPr="000B7187">
        <w:rPr>
          <w:rFonts w:asciiTheme="minorHAnsi" w:eastAsia="Times New Roman" w:hAnsiTheme="minorHAnsi" w:cs="Times New Roman"/>
          <w:sz w:val="24"/>
          <w:szCs w:val="24"/>
          <w:lang w:val="en-GB"/>
        </w:rPr>
        <w:t xml:space="preserve">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52: “</w:t>
      </w:r>
      <w:r w:rsidRPr="000B7187">
        <w:rPr>
          <w:rFonts w:asciiTheme="minorHAnsi" w:eastAsia="Times New Roman" w:hAnsiTheme="minorHAnsi" w:cs="Times New Roman"/>
          <w:i/>
          <w:sz w:val="24"/>
          <w:szCs w:val="24"/>
          <w:lang w:val="en-GB"/>
        </w:rPr>
        <w:t>Restrictions on peaceful assemblies should only exceptionally be imposed for “the protection of morals”. If used at all, this ground should not be used to protect parochial understandings of morality or be based on principles deriving exclusively from a single social, philosophical or religious tradition and any such restrictions must be understood in the light of the universality of human rights and the principle of non-discrimination. Restrictions based on this ground may not for instance reflect opposition to expressions of sexual orientation”.</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adding that the “the protection of morals” ground should not be used for prohibition of or restrictions to peaceful assemblies related to the rights of women, disabled people and other groups who are or have been subjected to discrimination. Neither should this ground be used for prohibition </w:t>
      </w:r>
      <w:r w:rsidRPr="000B7187">
        <w:rPr>
          <w:rFonts w:asciiTheme="minorHAnsi" w:eastAsia="Times New Roman" w:hAnsiTheme="minorHAnsi" w:cs="Times New Roman"/>
          <w:sz w:val="24"/>
          <w:szCs w:val="24"/>
          <w:lang w:val="en-GB"/>
        </w:rPr>
        <w:lastRenderedPageBreak/>
        <w:t xml:space="preserve">of or restrictions to peaceful assemblies aimed at criticising the traditions of the society, including the religious and family traditions. </w:t>
      </w:r>
    </w:p>
    <w:p w:rsidR="000827B2" w:rsidRPr="000B7187" w:rsidRDefault="003B0A48" w:rsidP="000B7187">
      <w:pPr>
        <w:spacing w:after="200" w:line="240" w:lineRule="auto"/>
        <w:ind w:left="720"/>
        <w:jc w:val="both"/>
        <w:rPr>
          <w:rFonts w:asciiTheme="minorHAnsi" w:eastAsia="Times New Roman" w:hAnsiTheme="minorHAnsi" w:cs="Times New Roman"/>
          <w:sz w:val="24"/>
          <w:szCs w:val="24"/>
          <w:lang w:val="en-GB"/>
        </w:rPr>
      </w:pPr>
      <w:r w:rsidRPr="000B7187">
        <w:rPr>
          <w:rFonts w:asciiTheme="minorHAnsi" w:eastAsia="Times New Roman" w:hAnsiTheme="minorHAnsi" w:cs="Times New Roman"/>
          <w:sz w:val="24"/>
          <w:szCs w:val="24"/>
          <w:lang w:val="en-GB"/>
        </w:rPr>
        <w:t xml:space="preserve">   </w:t>
      </w:r>
    </w:p>
    <w:p w:rsidR="000827B2" w:rsidRPr="0017131E" w:rsidRDefault="003B0A48" w:rsidP="0017131E">
      <w:pPr>
        <w:pStyle w:val="ListParagraph"/>
        <w:numPr>
          <w:ilvl w:val="0"/>
          <w:numId w:val="6"/>
        </w:numPr>
        <w:spacing w:after="200" w:line="240" w:lineRule="auto"/>
        <w:jc w:val="both"/>
        <w:rPr>
          <w:rFonts w:asciiTheme="minorHAnsi" w:eastAsia="Times New Roman" w:hAnsiTheme="minorHAnsi" w:cs="Times New Roman"/>
          <w:b/>
          <w:sz w:val="24"/>
          <w:szCs w:val="24"/>
          <w:lang w:val="en-GB"/>
        </w:rPr>
      </w:pPr>
      <w:r w:rsidRPr="0017131E">
        <w:rPr>
          <w:rFonts w:asciiTheme="minorHAnsi" w:eastAsia="Times New Roman" w:hAnsiTheme="minorHAnsi" w:cs="Times New Roman"/>
          <w:b/>
          <w:sz w:val="24"/>
          <w:szCs w:val="24"/>
          <w:lang w:val="en-GB"/>
        </w:rPr>
        <w:t xml:space="preserve">The obligation of States parties in respect of the right of peaceful assembly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34:</w:t>
      </w:r>
      <w:r w:rsidRPr="000B7187">
        <w:rPr>
          <w:rFonts w:asciiTheme="minorHAnsi" w:eastAsia="Times New Roman" w:hAnsiTheme="minorHAnsi" w:cs="Times New Roman"/>
          <w:i/>
          <w:sz w:val="24"/>
          <w:szCs w:val="24"/>
          <w:lang w:val="en-GB"/>
        </w:rPr>
        <w:t xml:space="preserve"> “The role of journalists, human rights defenders and others involved in monitoring, including documenting or reporting on assemblies, is of special importance, and they are entitled to protection under [article 21 of] the Covenant.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w:t>
      </w:r>
      <w:r w:rsidRPr="000B7187">
        <w:rPr>
          <w:rFonts w:asciiTheme="minorHAnsi" w:eastAsia="Times New Roman" w:hAnsiTheme="minorHAnsi" w:cs="Times New Roman"/>
          <w:i/>
          <w:sz w:val="24"/>
          <w:szCs w:val="24"/>
          <w:u w:val="single"/>
          <w:lang w:val="en-GB"/>
        </w:rPr>
        <w:t xml:space="preserve">No one should be harassed or penalised as a result of their attendance at demonstrations. </w:t>
      </w:r>
      <w:r w:rsidRPr="000B7187">
        <w:rPr>
          <w:rFonts w:asciiTheme="minorHAnsi" w:eastAsia="Times New Roman" w:hAnsiTheme="minorHAnsi" w:cs="Times New Roman"/>
          <w:i/>
          <w:sz w:val="24"/>
          <w:szCs w:val="24"/>
          <w:lang w:val="en-GB"/>
        </w:rPr>
        <w:t xml:space="preserve">It is a good practice for independent national human rights institutions and non-governmental organizations to monitor assemblies”. </w:t>
      </w:r>
    </w:p>
    <w:p w:rsidR="000827B2" w:rsidRPr="000B7187" w:rsidRDefault="003B0A48" w:rsidP="000B7187">
      <w:pPr>
        <w:spacing w:after="200" w:line="240" w:lineRule="auto"/>
        <w:ind w:left="720"/>
        <w:jc w:val="both"/>
        <w:rPr>
          <w:rFonts w:asciiTheme="minorHAnsi" w:hAnsiTheme="minorHAnsi"/>
          <w:sz w:val="24"/>
          <w:szCs w:val="24"/>
        </w:rPr>
      </w:pPr>
      <w:r w:rsidRPr="000B7187">
        <w:rPr>
          <w:rFonts w:asciiTheme="minorHAnsi" w:eastAsia="Times New Roman" w:hAnsiTheme="minorHAnsi" w:cs="Times New Roman"/>
          <w:sz w:val="24"/>
          <w:szCs w:val="24"/>
          <w:lang w:val="en-GB"/>
        </w:rPr>
        <w:t>It is not clear whether the underlined sentence refers to those involved in monitoring (including journalists and human rights defenders</w:t>
      </w:r>
      <w:r w:rsidRPr="000B7187">
        <w:rPr>
          <w:rFonts w:asciiTheme="minorHAnsi" w:eastAsia="Times New Roman" w:hAnsiTheme="minorHAnsi" w:cs="Times New Roman"/>
          <w:i/>
          <w:sz w:val="24"/>
          <w:szCs w:val="24"/>
          <w:lang w:val="en-GB"/>
        </w:rPr>
        <w:t>)</w:t>
      </w:r>
      <w:r w:rsidRPr="000B7187">
        <w:rPr>
          <w:rFonts w:asciiTheme="minorHAnsi" w:eastAsia="Times New Roman" w:hAnsiTheme="minorHAnsi" w:cs="Times New Roman"/>
          <w:sz w:val="24"/>
          <w:szCs w:val="24"/>
          <w:lang w:val="en-GB"/>
        </w:rPr>
        <w:t xml:space="preserve"> or to all participants of a peaceful assembly. We suggest that it is clarified.</w:t>
      </w:r>
    </w:p>
    <w:p w:rsidR="000827B2" w:rsidRPr="000B7187" w:rsidRDefault="003B0A48" w:rsidP="000B7187">
      <w:pPr>
        <w:numPr>
          <w:ilvl w:val="0"/>
          <w:numId w:val="5"/>
        </w:numPr>
        <w:spacing w:after="200" w:line="240" w:lineRule="auto"/>
        <w:ind w:left="737" w:hanging="34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37: “</w:t>
      </w:r>
      <w:r w:rsidRPr="000B7187">
        <w:rPr>
          <w:rFonts w:asciiTheme="minorHAnsi" w:eastAsia="Times New Roman" w:hAnsiTheme="minorHAnsi" w:cs="Times New Roman"/>
          <w:i/>
          <w:sz w:val="24"/>
          <w:szCs w:val="24"/>
          <w:lang w:val="en-GB"/>
        </w:rPr>
        <w:t xml:space="preserve">For example, publicity for an upcoming assembly before notification has taken place cannot be penalized </w:t>
      </w:r>
      <w:r w:rsidRPr="000B7187">
        <w:rPr>
          <w:rFonts w:asciiTheme="minorHAnsi" w:eastAsia="Times New Roman" w:hAnsiTheme="minorHAnsi" w:cs="Times New Roman"/>
          <w:i/>
          <w:sz w:val="24"/>
          <w:szCs w:val="24"/>
          <w:u w:val="single"/>
          <w:lang w:val="en-GB"/>
        </w:rPr>
        <w:t>in the absence of a specific indication of what dangers would have been created by the early distribution of the information”</w:t>
      </w:r>
      <w:r w:rsidRPr="000B7187">
        <w:rPr>
          <w:rFonts w:asciiTheme="minorHAnsi" w:eastAsia="Times New Roman" w:hAnsiTheme="minorHAnsi" w:cs="Times New Roman"/>
          <w:i/>
          <w:sz w:val="24"/>
          <w:szCs w:val="24"/>
          <w:lang w:val="en-GB"/>
        </w:rPr>
        <w:t xml:space="preserve">. </w:t>
      </w:r>
    </w:p>
    <w:p w:rsidR="000827B2" w:rsidRPr="000B7187" w:rsidRDefault="003B0A48" w:rsidP="000B7187">
      <w:pPr>
        <w:spacing w:after="200" w:line="240" w:lineRule="auto"/>
        <w:ind w:left="737"/>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underlined phrase is deleted. When the assembly is protected by the ICCPR (which means, inter alia, that it is peaceful) the distribution of the information about it may not impose danger. We consider that </w:t>
      </w:r>
      <w:r w:rsidRPr="000B7187">
        <w:rPr>
          <w:rFonts w:asciiTheme="minorHAnsi" w:eastAsia="Times New Roman" w:hAnsiTheme="minorHAnsi" w:cs="Times New Roman"/>
          <w:sz w:val="24"/>
          <w:szCs w:val="24"/>
          <w:lang w:val="en-GB"/>
        </w:rPr>
        <w:lastRenderedPageBreak/>
        <w:t xml:space="preserve">there is a risk that governments use this phrase to prohibit and prosecute distribution of the information about peaceful assemblies that have not been yet approved by the authorities. The governments can argue that there is a “danger” that the assembly is not approved and, thus, the organisers should wait for this approval before disseminating the information about the assembly. We believe that the right to disseminate the information about a peaceful assembly should not be linked to the formal approval of the assembly by the authorities and to the risks that may derive from the prohibition of the assembly by the authorities. </w:t>
      </w:r>
    </w:p>
    <w:p w:rsidR="000827B2" w:rsidRPr="000B7187" w:rsidRDefault="003B0A48" w:rsidP="000B7187">
      <w:pPr>
        <w:numPr>
          <w:ilvl w:val="0"/>
          <w:numId w:val="5"/>
        </w:numPr>
        <w:spacing w:after="200" w:line="240" w:lineRule="auto"/>
        <w:ind w:left="737" w:hanging="34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38:</w:t>
      </w:r>
      <w:r w:rsidRPr="000B7187">
        <w:rPr>
          <w:rFonts w:asciiTheme="minorHAnsi" w:eastAsia="Times New Roman" w:hAnsiTheme="minorHAnsi" w:cs="Times New Roman"/>
          <w:i/>
          <w:sz w:val="24"/>
          <w:szCs w:val="24"/>
          <w:lang w:val="en-GB"/>
        </w:rPr>
        <w:t xml:space="preserve"> “In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 [, during demonstrations or at the place of demonstrations]”. </w:t>
      </w:r>
    </w:p>
    <w:p w:rsidR="000827B2" w:rsidRPr="000B7187" w:rsidRDefault="003B0A48" w:rsidP="000B7187">
      <w:pPr>
        <w:spacing w:after="200" w:line="240" w:lineRule="auto"/>
        <w:ind w:left="737"/>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words in the square brackets are inserted. We also suggest adding that private companies should be responsible for unduly blockings of the Internet connectivity during peaceful assemblies. In such situations the actions of the private companies should be considered not only as providing improper services but also as interferences with the right to peaceful assembly. </w:t>
      </w:r>
    </w:p>
    <w:p w:rsidR="000827B2" w:rsidRPr="000B7187" w:rsidRDefault="000827B2" w:rsidP="000B7187">
      <w:pPr>
        <w:spacing w:after="200" w:line="240" w:lineRule="auto"/>
        <w:ind w:left="720" w:right="1140"/>
        <w:jc w:val="both"/>
        <w:rPr>
          <w:rFonts w:asciiTheme="minorHAnsi" w:eastAsia="Times New Roman" w:hAnsiTheme="minorHAnsi" w:cs="Times New Roman"/>
          <w:sz w:val="24"/>
          <w:szCs w:val="24"/>
          <w:u w:val="single"/>
          <w:lang w:val="en-GB"/>
        </w:rPr>
      </w:pPr>
    </w:p>
    <w:p w:rsidR="000827B2" w:rsidRPr="00B96547" w:rsidRDefault="003B0A48" w:rsidP="00B96547">
      <w:pPr>
        <w:pStyle w:val="ListParagraph"/>
        <w:numPr>
          <w:ilvl w:val="0"/>
          <w:numId w:val="6"/>
        </w:numPr>
        <w:spacing w:after="200" w:line="240" w:lineRule="auto"/>
        <w:jc w:val="both"/>
        <w:rPr>
          <w:rFonts w:asciiTheme="minorHAnsi" w:hAnsiTheme="minorHAnsi"/>
          <w:b/>
          <w:sz w:val="24"/>
          <w:szCs w:val="24"/>
          <w:lang w:val="en-US"/>
        </w:rPr>
      </w:pPr>
      <w:r w:rsidRPr="00B96547">
        <w:rPr>
          <w:rFonts w:asciiTheme="minorHAnsi" w:eastAsia="Times New Roman" w:hAnsiTheme="minorHAnsi" w:cs="Times New Roman"/>
          <w:b/>
          <w:sz w:val="24"/>
          <w:szCs w:val="24"/>
          <w:lang w:val="en-GB"/>
        </w:rPr>
        <w:t xml:space="preserve">Restrictions on the right of peaceful assembly </w:t>
      </w:r>
    </w:p>
    <w:p w:rsidR="000827B2" w:rsidRPr="000B7187" w:rsidRDefault="003B0A48" w:rsidP="000B7187">
      <w:pPr>
        <w:numPr>
          <w:ilvl w:val="0"/>
          <w:numId w:val="5"/>
        </w:numPr>
        <w:spacing w:after="200" w:line="240" w:lineRule="auto"/>
        <w:ind w:left="737" w:hanging="34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44: “</w:t>
      </w:r>
      <w:r w:rsidRPr="000B7187">
        <w:rPr>
          <w:rFonts w:asciiTheme="minorHAnsi" w:eastAsia="Times New Roman" w:hAnsiTheme="minorHAnsi" w:cs="Times New Roman"/>
          <w:i/>
          <w:sz w:val="24"/>
          <w:szCs w:val="24"/>
          <w:lang w:val="en-GB"/>
        </w:rPr>
        <w:t>The second sentence of article 21 provides that no restrictions may be placed on the exercise of this right other than those imposed in conformity with the law. This poses the formal requirement of legality, akin to the require</w:t>
      </w:r>
      <w:r w:rsidRPr="000B7187">
        <w:rPr>
          <w:rFonts w:asciiTheme="minorHAnsi" w:eastAsia="Times New Roman" w:hAnsiTheme="minorHAnsi" w:cs="Times New Roman"/>
          <w:i/>
          <w:sz w:val="24"/>
          <w:szCs w:val="24"/>
          <w:lang w:val="en-GB"/>
        </w:rPr>
        <w:lastRenderedPageBreak/>
        <w:t xml:space="preserve">ment that limitations must be “provided by law” in other articles of the Covenant. Restrictions must thus be imposed through law </w:t>
      </w:r>
      <w:r w:rsidRPr="000B7187">
        <w:rPr>
          <w:rFonts w:asciiTheme="minorHAnsi" w:eastAsia="Times New Roman" w:hAnsiTheme="minorHAnsi" w:cs="Times New Roman"/>
          <w:i/>
          <w:sz w:val="24"/>
          <w:szCs w:val="24"/>
          <w:u w:val="single"/>
          <w:lang w:val="en-GB"/>
        </w:rPr>
        <w:t>or administrative actions based on law.</w:t>
      </w:r>
      <w:r w:rsidRPr="000B7187">
        <w:rPr>
          <w:rFonts w:asciiTheme="minorHAnsi" w:eastAsia="Times New Roman" w:hAnsiTheme="minorHAnsi" w:cs="Times New Roman"/>
          <w:i/>
          <w:sz w:val="24"/>
          <w:szCs w:val="24"/>
          <w:lang w:val="en-GB"/>
        </w:rPr>
        <w:t xml:space="preserve"> The laws in question must be sufficiently precise to allow members of society to decide how to regulate their conduct and may not confer unfettered or sweeping discretion on those charged with its execution”.</w:t>
      </w:r>
    </w:p>
    <w:p w:rsidR="000827B2" w:rsidRPr="000B7187" w:rsidRDefault="003B0A48" w:rsidP="000B7187">
      <w:pPr>
        <w:spacing w:after="200" w:line="240" w:lineRule="auto"/>
        <w:ind w:left="68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deleting the underlined words</w:t>
      </w:r>
      <w:r w:rsidRPr="000B7187">
        <w:rPr>
          <w:rFonts w:asciiTheme="minorHAnsi" w:eastAsia="Times New Roman" w:hAnsiTheme="minorHAnsi" w:cs="Times New Roman"/>
          <w:i/>
          <w:sz w:val="24"/>
          <w:szCs w:val="24"/>
          <w:lang w:val="en-GB"/>
        </w:rPr>
        <w:t xml:space="preserve">. </w:t>
      </w:r>
      <w:r w:rsidRPr="000B7187">
        <w:rPr>
          <w:rFonts w:asciiTheme="minorHAnsi" w:eastAsia="Times New Roman" w:hAnsiTheme="minorHAnsi" w:cs="Times New Roman"/>
          <w:sz w:val="24"/>
          <w:szCs w:val="24"/>
          <w:lang w:val="en-GB"/>
        </w:rPr>
        <w:t xml:space="preserve">We believe that all restrictions should be imposed through law.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55:</w:t>
      </w:r>
      <w:r w:rsidRPr="000B7187">
        <w:rPr>
          <w:rFonts w:asciiTheme="minorHAnsi" w:eastAsia="Times New Roman" w:hAnsiTheme="minorHAnsi" w:cs="Times New Roman"/>
          <w:i/>
          <w:sz w:val="24"/>
          <w:szCs w:val="24"/>
          <w:lang w:val="en-GB"/>
        </w:rPr>
        <w:t xml:space="preserve"> “Restrictions on peaceful assemblies must thus not be used, explicitly or implicitly, to stifle expression of political opposition to a government, including calls for changes of government, the constitution, the political system, or political independence for part of the country [, calls for changes of laws and traditions, alternative points of view on historical events, express positions against the majority opinion]”</w:t>
      </w:r>
    </w:p>
    <w:p w:rsidR="000827B2" w:rsidRPr="000B7187" w:rsidRDefault="003B0A48" w:rsidP="000B7187">
      <w:pPr>
        <w:spacing w:after="200" w:line="240" w:lineRule="auto"/>
        <w:ind w:left="737"/>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words in the square brackets are inserted.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56: </w:t>
      </w:r>
      <w:r w:rsidRPr="000B7187">
        <w:rPr>
          <w:rFonts w:asciiTheme="minorHAnsi" w:eastAsia="Times New Roman" w:hAnsiTheme="minorHAnsi" w:cs="Times New Roman"/>
          <w:i/>
          <w:sz w:val="24"/>
          <w:szCs w:val="24"/>
          <w:lang w:val="en-GB"/>
        </w:rPr>
        <w:t>“The rules applicable to freedom of expression should be followed when dealing with the expressive element of peaceful assemblies, also when it provokes a hostile reaction. As with freedom of expression, restrictions on peaceful assembly may only under strictly limited circumstances be based on the message conveyed by the participants”.</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either clarifying what is understood by the phrase “strictly limited circumstances” and accompanying it with examples of such circumstances, or deleting the second sentence from this paragraph.</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58: “</w:t>
      </w:r>
      <w:r w:rsidRPr="000B7187">
        <w:rPr>
          <w:rFonts w:asciiTheme="minorHAnsi" w:eastAsia="Times New Roman" w:hAnsiTheme="minorHAnsi" w:cs="Times New Roman"/>
          <w:i/>
          <w:sz w:val="24"/>
          <w:szCs w:val="24"/>
          <w:lang w:val="en-GB"/>
        </w:rPr>
        <w:t xml:space="preserve">The fact that an assembly provokes or may provoke a hostile reaction from members of the public against participants, </w:t>
      </w:r>
      <w:r w:rsidRPr="000B7187">
        <w:rPr>
          <w:rFonts w:asciiTheme="minorHAnsi" w:eastAsia="Times New Roman" w:hAnsiTheme="minorHAnsi" w:cs="Times New Roman"/>
          <w:i/>
          <w:sz w:val="24"/>
          <w:szCs w:val="24"/>
          <w:u w:val="single"/>
          <w:lang w:val="en-GB"/>
        </w:rPr>
        <w:t>as a general rule</w:t>
      </w:r>
      <w:r w:rsidRPr="000B7187">
        <w:rPr>
          <w:rFonts w:asciiTheme="minorHAnsi" w:eastAsia="Times New Roman" w:hAnsiTheme="minorHAnsi" w:cs="Times New Roman"/>
          <w:i/>
          <w:sz w:val="24"/>
          <w:szCs w:val="24"/>
          <w:lang w:val="en-GB"/>
        </w:rPr>
        <w:t xml:space="preserve">, does not </w:t>
      </w:r>
      <w:r w:rsidRPr="000B7187">
        <w:rPr>
          <w:rFonts w:asciiTheme="minorHAnsi" w:eastAsia="Times New Roman" w:hAnsiTheme="minorHAnsi" w:cs="Times New Roman"/>
          <w:i/>
          <w:sz w:val="24"/>
          <w:szCs w:val="24"/>
          <w:lang w:val="en-GB"/>
        </w:rPr>
        <w:lastRenderedPageBreak/>
        <w:t>justify prohibition; the assembly must be allowed to go ahead and its participants must be protected. However, in the exceptional case where the State is manifestly unable to protect the participants from such threat, restrictions on the assembly may be imposed”.</w:t>
      </w:r>
    </w:p>
    <w:p w:rsidR="000827B2" w:rsidRPr="000B7187" w:rsidRDefault="003B0A48" w:rsidP="000B7187">
      <w:pPr>
        <w:spacing w:after="200" w:line="240" w:lineRule="auto"/>
        <w:ind w:left="720"/>
        <w:jc w:val="both"/>
        <w:rPr>
          <w:rFonts w:asciiTheme="minorHAnsi" w:eastAsia="Times New Roman" w:hAnsiTheme="minorHAnsi" w:cs="Times New Roman"/>
          <w:i/>
          <w:sz w:val="24"/>
          <w:szCs w:val="24"/>
          <w:u w:val="single"/>
          <w:lang w:val="en-GB"/>
        </w:rPr>
      </w:pPr>
      <w:r w:rsidRPr="000B7187">
        <w:rPr>
          <w:rFonts w:asciiTheme="minorHAnsi" w:eastAsia="Times New Roman" w:hAnsiTheme="minorHAnsi" w:cs="Times New Roman"/>
          <w:sz w:val="24"/>
          <w:szCs w:val="24"/>
          <w:lang w:val="en-GB"/>
        </w:rPr>
        <w:t>Para. 59:</w:t>
      </w:r>
      <w:r w:rsidRPr="000B7187">
        <w:rPr>
          <w:rFonts w:asciiTheme="minorHAnsi" w:eastAsia="Times New Roman" w:hAnsiTheme="minorHAnsi" w:cs="Times New Roman"/>
          <w:i/>
          <w:sz w:val="24"/>
          <w:szCs w:val="24"/>
          <w:lang w:val="en-GB"/>
        </w:rPr>
        <w:t xml:space="preserve"> “Any such restrictions must be able to withstand strict scrutiny. An unspecified risk of violence, or the mere possibility that the authorities will not have the capacity to prevent or neutralize the violence emanating from those opposed to the assembly, is not enough; the State must be able to show, based on a concrete risk assessment, that it would not be able to contain the situation, even if significant law enforcement capability were to be deployed. In such cases, alternatives such as postponement or relocation of the assembly must be considered </w:t>
      </w:r>
      <w:r w:rsidRPr="000B7187">
        <w:rPr>
          <w:rFonts w:asciiTheme="minorHAnsi" w:eastAsia="Times New Roman" w:hAnsiTheme="minorHAnsi" w:cs="Times New Roman"/>
          <w:i/>
          <w:sz w:val="24"/>
          <w:szCs w:val="24"/>
          <w:u w:val="single"/>
          <w:lang w:val="en-GB"/>
        </w:rPr>
        <w:t>before resort to prohibition</w:t>
      </w:r>
      <w:r w:rsidRPr="000B7187">
        <w:rPr>
          <w:rFonts w:asciiTheme="minorHAnsi" w:eastAsia="Times New Roman" w:hAnsiTheme="minorHAnsi" w:cs="Times New Roman"/>
          <w:i/>
          <w:sz w:val="24"/>
          <w:szCs w:val="24"/>
          <w:lang w:val="en-GB"/>
        </w:rPr>
        <w:t>”.</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deleting the underlined words in paragraphs 58-59. We consider that the situation described in these paragraphs may justify postponement, relocation or some other restrictions aimed at assuring safety of the participants of the peaceful assembly but may not justify prohibition of the assembly. In cases when even significant law enforcement forces can not protect participants of the assembly, the States may refer to the paras. 107-110 of the General Comment concerning the assemblies during states of emergency and armed conflicts. </w:t>
      </w:r>
    </w:p>
    <w:p w:rsidR="000827B2" w:rsidRPr="000B7187" w:rsidRDefault="003B0A48" w:rsidP="000B7187">
      <w:pPr>
        <w:numPr>
          <w:ilvl w:val="0"/>
          <w:numId w:val="5"/>
        </w:numPr>
        <w:spacing w:after="200" w:line="240" w:lineRule="auto"/>
        <w:jc w:val="both"/>
        <w:rPr>
          <w:rFonts w:asciiTheme="minorHAnsi" w:hAnsiTheme="minorHAnsi"/>
          <w:sz w:val="24"/>
          <w:szCs w:val="24"/>
        </w:rPr>
      </w:pPr>
      <w:r w:rsidRPr="000B7187">
        <w:rPr>
          <w:rFonts w:asciiTheme="minorHAnsi" w:eastAsia="Times New Roman" w:hAnsiTheme="minorHAnsi" w:cs="Times New Roman"/>
          <w:sz w:val="24"/>
          <w:szCs w:val="24"/>
          <w:highlight w:val="white"/>
          <w:lang w:val="en-GB"/>
        </w:rPr>
        <w:t xml:space="preserve">We suggest that the following paragraph is inserted between paras. 60 and 61: </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i/>
          <w:iCs/>
          <w:sz w:val="24"/>
          <w:szCs w:val="24"/>
          <w:highlight w:val="white"/>
          <w:lang w:val="en-GB"/>
        </w:rPr>
        <w:t xml:space="preserve">“Posters and slogans used by participants of a peaceful assembly should not be subject to censorship, with the exclusion of cases when such posters and slogans incite to violence or hatred or </w:t>
      </w:r>
      <w:r w:rsidRPr="000B7187">
        <w:rPr>
          <w:rFonts w:asciiTheme="minorHAnsi" w:eastAsia="Times New Roman" w:hAnsiTheme="minorHAnsi" w:cs="Times New Roman"/>
          <w:i/>
          <w:iCs/>
          <w:color w:val="000000"/>
          <w:sz w:val="24"/>
          <w:szCs w:val="24"/>
          <w:highlight w:val="white"/>
          <w:lang w:val="en-GB"/>
        </w:rPr>
        <w:t>encourage to commit hateful acts. Using certain p</w:t>
      </w:r>
      <w:r w:rsidRPr="000B7187">
        <w:rPr>
          <w:rFonts w:asciiTheme="minorHAnsi" w:eastAsia="Times New Roman" w:hAnsiTheme="minorHAnsi" w:cs="Times New Roman"/>
          <w:i/>
          <w:iCs/>
          <w:sz w:val="24"/>
          <w:szCs w:val="24"/>
          <w:highlight w:val="white"/>
          <w:lang w:val="en-GB"/>
        </w:rPr>
        <w:t>osters and slogans should not be prohibited on the basis that they fall outside the content of assembly”</w:t>
      </w:r>
      <w:r w:rsidRPr="000B7187">
        <w:rPr>
          <w:rFonts w:asciiTheme="minorHAnsi" w:eastAsia="Times New Roman" w:hAnsiTheme="minorHAnsi" w:cs="Times New Roman"/>
          <w:sz w:val="24"/>
          <w:szCs w:val="24"/>
          <w:highlight w:val="white"/>
          <w:lang w:val="en-GB"/>
        </w:rPr>
        <w:t>.</w:t>
      </w:r>
    </w:p>
    <w:p w:rsidR="000827B2" w:rsidRPr="000B7187" w:rsidRDefault="003B0A48" w:rsidP="000B7187">
      <w:pPr>
        <w:numPr>
          <w:ilvl w:val="0"/>
          <w:numId w:val="5"/>
        </w:numPr>
        <w:spacing w:after="200" w:line="240" w:lineRule="auto"/>
        <w:jc w:val="both"/>
        <w:rPr>
          <w:rFonts w:asciiTheme="minorHAnsi" w:eastAsia="Times New Roman" w:hAnsiTheme="minorHAnsi" w:cs="Times New Roman"/>
          <w:sz w:val="24"/>
          <w:szCs w:val="24"/>
          <w:lang w:val="en-GB"/>
        </w:rPr>
      </w:pPr>
      <w:r w:rsidRPr="000B7187">
        <w:rPr>
          <w:rFonts w:asciiTheme="minorHAnsi" w:eastAsia="Times New Roman" w:hAnsiTheme="minorHAnsi" w:cs="Times New Roman"/>
          <w:sz w:val="24"/>
          <w:szCs w:val="24"/>
          <w:lang w:val="en-GB"/>
        </w:rPr>
        <w:lastRenderedPageBreak/>
        <w:t xml:space="preserve">Para. 61: </w:t>
      </w:r>
      <w:r w:rsidRPr="000B7187">
        <w:rPr>
          <w:rFonts w:asciiTheme="minorHAnsi" w:eastAsia="Times New Roman" w:hAnsiTheme="minorHAnsi" w:cs="Times New Roman"/>
          <w:i/>
          <w:sz w:val="24"/>
          <w:szCs w:val="24"/>
          <w:lang w:val="en-GB"/>
        </w:rPr>
        <w:t xml:space="preserve">“The regulation of the “time, place and manner” of assemblies is </w:t>
      </w:r>
      <w:r w:rsidRPr="000B7187">
        <w:rPr>
          <w:rFonts w:asciiTheme="minorHAnsi" w:eastAsia="Times New Roman" w:hAnsiTheme="minorHAnsi" w:cs="Times New Roman"/>
          <w:i/>
          <w:sz w:val="24"/>
          <w:szCs w:val="24"/>
          <w:u w:val="single"/>
          <w:lang w:val="en-GB"/>
        </w:rPr>
        <w:t>generally</w:t>
      </w:r>
      <w:r w:rsidRPr="000B7187">
        <w:rPr>
          <w:rFonts w:asciiTheme="minorHAnsi" w:eastAsia="Times New Roman" w:hAnsiTheme="minorHAnsi" w:cs="Times New Roman"/>
          <w:i/>
          <w:sz w:val="24"/>
          <w:szCs w:val="24"/>
          <w:lang w:val="en-GB"/>
        </w:rPr>
        <w:t xml:space="preserve"> content neutral...”</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underlined word is deleted. We believe that since the content of the assembly </w:t>
      </w:r>
      <w:r w:rsidRPr="000B7187">
        <w:rPr>
          <w:rFonts w:asciiTheme="minorHAnsi" w:eastAsia="Times New Roman" w:hAnsiTheme="minorHAnsi" w:cs="Times New Roman"/>
          <w:color w:val="000000"/>
          <w:sz w:val="24"/>
          <w:szCs w:val="24"/>
          <w:lang w:val="en-GB"/>
        </w:rPr>
        <w:t xml:space="preserve">is reconcilable with freedom of assembly as protected </w:t>
      </w:r>
      <w:r w:rsidRPr="000B7187">
        <w:rPr>
          <w:rFonts w:asciiTheme="minorHAnsi" w:eastAsia="Times New Roman" w:hAnsiTheme="minorHAnsi" w:cs="Times New Roman"/>
          <w:sz w:val="24"/>
          <w:szCs w:val="24"/>
          <w:lang w:val="en-GB"/>
        </w:rPr>
        <w:t xml:space="preserve">by the ICCPR, there should be no differences in regulating the time, place and manner of different assemblies. </w:t>
      </w:r>
    </w:p>
    <w:p w:rsidR="000827B2" w:rsidRPr="000B7187" w:rsidRDefault="003B0A48" w:rsidP="000B7187">
      <w:pPr>
        <w:numPr>
          <w:ilvl w:val="0"/>
          <w:numId w:val="5"/>
        </w:numPr>
        <w:spacing w:after="200" w:line="240" w:lineRule="auto"/>
        <w:jc w:val="both"/>
        <w:rPr>
          <w:rFonts w:asciiTheme="minorHAnsi" w:hAnsiTheme="minorHAnsi"/>
          <w:sz w:val="24"/>
          <w:szCs w:val="24"/>
        </w:rPr>
      </w:pPr>
      <w:r w:rsidRPr="000B7187">
        <w:rPr>
          <w:rFonts w:asciiTheme="minorHAnsi" w:eastAsia="Times New Roman" w:hAnsiTheme="minorHAnsi" w:cs="Times New Roman"/>
          <w:sz w:val="24"/>
          <w:szCs w:val="24"/>
          <w:lang w:val="en-GB"/>
        </w:rPr>
        <w:t xml:space="preserve">Para. 63: </w:t>
      </w:r>
      <w:r w:rsidRPr="000B7187">
        <w:rPr>
          <w:rFonts w:asciiTheme="minorHAnsi" w:eastAsia="Times New Roman" w:hAnsiTheme="minorHAnsi" w:cs="Times New Roman"/>
          <w:i/>
          <w:sz w:val="24"/>
          <w:szCs w:val="24"/>
          <w:lang w:val="en-GB"/>
        </w:rPr>
        <w:t>“Restrictions on the precise time of day or date when assemblies can or cannot be held, raise concerns about their compatibility with the Covenant. At the same time, it should be recognized that the timing of assemblies can affect their impact and may warrant restrictions. For example, assemblies held at night in residential areas might have an undue impact on the lives of those who live nearby. [Nevertheless, an absolute prohibition of holding assemblies in the precise time of day in a certain area cannot be justified. In each case, specific circumstances should be considered]”.</w:t>
      </w:r>
    </w:p>
    <w:p w:rsidR="000827B2" w:rsidRPr="000B7187" w:rsidRDefault="003B0A48" w:rsidP="000B7187">
      <w:pPr>
        <w:spacing w:after="200" w:line="240" w:lineRule="auto"/>
        <w:ind w:left="737"/>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that the words in the square brackets are inserted.</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65:</w:t>
      </w:r>
      <w:r w:rsidRPr="000B7187">
        <w:rPr>
          <w:rFonts w:asciiTheme="minorHAnsi" w:eastAsia="Times New Roman" w:hAnsiTheme="minorHAnsi" w:cs="Times New Roman"/>
          <w:i/>
          <w:sz w:val="24"/>
          <w:szCs w:val="24"/>
          <w:lang w:val="en-GB"/>
        </w:rPr>
        <w:t xml:space="preserve"> “As a general rule, prohibitions on all assemblies anywhere in the capital; in any public location except a single [or several] specified place[(s)], either in a city, or outside the city centre; or prohibitions on assemblies in “all the streets in the city”, may not be imposed”. </w:t>
      </w:r>
    </w:p>
    <w:p w:rsidR="000827B2" w:rsidRPr="000B7187" w:rsidRDefault="003B0A48" w:rsidP="000B7187">
      <w:pPr>
        <w:spacing w:after="200" w:line="240" w:lineRule="auto"/>
        <w:ind w:left="68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words in the square brackets are inserted.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66:</w:t>
      </w:r>
      <w:r w:rsidRPr="000B7187">
        <w:rPr>
          <w:rFonts w:asciiTheme="minorHAnsi" w:eastAsia="Times New Roman" w:hAnsiTheme="minorHAnsi" w:cs="Times New Roman"/>
          <w:i/>
          <w:sz w:val="24"/>
          <w:szCs w:val="24"/>
          <w:lang w:val="en-GB"/>
        </w:rPr>
        <w:t xml:space="preserve"> “The designation of the perimeters of places such as courts, parliament or other official buildings as areas where assemblies may not take place should </w:t>
      </w:r>
      <w:r w:rsidRPr="000B7187">
        <w:rPr>
          <w:rFonts w:asciiTheme="minorHAnsi" w:eastAsia="Times New Roman" w:hAnsiTheme="minorHAnsi" w:cs="Times New Roman"/>
          <w:i/>
          <w:sz w:val="24"/>
          <w:szCs w:val="24"/>
          <w:u w:val="single"/>
          <w:lang w:val="en-GB"/>
        </w:rPr>
        <w:t xml:space="preserve">generally </w:t>
      </w:r>
      <w:r w:rsidRPr="000B7187">
        <w:rPr>
          <w:rFonts w:asciiTheme="minorHAnsi" w:eastAsia="Times New Roman" w:hAnsiTheme="minorHAnsi" w:cs="Times New Roman"/>
          <w:i/>
          <w:sz w:val="24"/>
          <w:szCs w:val="24"/>
          <w:lang w:val="en-GB"/>
        </w:rPr>
        <w:t xml:space="preserve">be avoided, because these are public spaces. </w:t>
      </w:r>
      <w:r w:rsidRPr="000B7187">
        <w:rPr>
          <w:rFonts w:asciiTheme="minorHAnsi" w:eastAsia="Times New Roman" w:hAnsiTheme="minorHAnsi" w:cs="Times New Roman"/>
          <w:i/>
          <w:sz w:val="24"/>
          <w:szCs w:val="24"/>
          <w:u w:val="single"/>
          <w:lang w:val="en-GB"/>
        </w:rPr>
        <w:t>To the extent that assemblies in such places are prohibited, the restrictions must be specifically justified and narrowly circumscribed</w:t>
      </w:r>
      <w:r w:rsidRPr="000B7187">
        <w:rPr>
          <w:rFonts w:asciiTheme="minorHAnsi" w:eastAsia="Times New Roman" w:hAnsiTheme="minorHAnsi" w:cs="Times New Roman"/>
          <w:i/>
          <w:sz w:val="24"/>
          <w:szCs w:val="24"/>
          <w:lang w:val="en-GB"/>
        </w:rPr>
        <w:t xml:space="preserve">”. </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lastRenderedPageBreak/>
        <w:t>We suggest that the underlined words are deleted. We consider that the opportunity to hold peaceful assemblies in the immediate vicinity of all official buildings is particularly important. It allows its participants to express their opinion on the decisions by state bodies and to send their message directly to these bodies.</w:t>
      </w:r>
      <w:r w:rsidR="0017131E">
        <w:rPr>
          <w:rStyle w:val="FootnoteReference"/>
          <w:rFonts w:asciiTheme="minorHAnsi" w:eastAsia="Times New Roman" w:hAnsiTheme="minorHAnsi" w:cs="Times New Roman"/>
          <w:sz w:val="24"/>
          <w:szCs w:val="24"/>
          <w:lang w:val="en-GB"/>
        </w:rPr>
        <w:footnoteReference w:id="3"/>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70: </w:t>
      </w:r>
      <w:r w:rsidRPr="000B7187">
        <w:rPr>
          <w:rFonts w:asciiTheme="minorHAnsi" w:eastAsia="Times New Roman" w:hAnsiTheme="minorHAnsi" w:cs="Times New Roman"/>
          <w:i/>
          <w:sz w:val="24"/>
          <w:szCs w:val="24"/>
          <w:lang w:val="en-GB"/>
        </w:rPr>
        <w:t xml:space="preserve">“The wearing of face coverings or other disguises by assembly participants, such as hoods or masks, 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 </w:t>
      </w:r>
      <w:r w:rsidRPr="000B7187">
        <w:rPr>
          <w:rFonts w:asciiTheme="minorHAnsi" w:eastAsia="Times New Roman" w:hAnsiTheme="minorHAnsi" w:cs="Times New Roman"/>
          <w:i/>
          <w:sz w:val="24"/>
          <w:szCs w:val="24"/>
          <w:vertAlign w:val="superscript"/>
          <w:lang w:val="en-GB"/>
        </w:rPr>
        <w:t xml:space="preserve"> </w:t>
      </w:r>
      <w:r w:rsidRPr="000B7187">
        <w:rPr>
          <w:rFonts w:asciiTheme="minorHAnsi" w:eastAsia="Times New Roman" w:hAnsiTheme="minorHAnsi" w:cs="Times New Roman"/>
          <w:i/>
          <w:sz w:val="24"/>
          <w:szCs w:val="24"/>
          <w:u w:val="single"/>
          <w:lang w:val="en-GB"/>
        </w:rPr>
        <w:t>As such, blanket bans can only be justified on an exceptional basis</w:t>
      </w:r>
      <w:r w:rsidRPr="000B7187">
        <w:rPr>
          <w:rFonts w:asciiTheme="minorHAnsi" w:eastAsia="Times New Roman" w:hAnsiTheme="minorHAnsi" w:cs="Times New Roman"/>
          <w:i/>
          <w:sz w:val="24"/>
          <w:szCs w:val="24"/>
          <w:lang w:val="en-GB"/>
        </w:rPr>
        <w:t>”.</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that the underlined words are deleted. We consider that including them into the General Comment creates a risk that States use this exception to prohibit face coverings arbitrarily.</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74: </w:t>
      </w:r>
      <w:r w:rsidRPr="000B7187">
        <w:rPr>
          <w:rFonts w:asciiTheme="minorHAnsi" w:eastAsia="Times New Roman" w:hAnsiTheme="minorHAnsi" w:cs="Times New Roman"/>
          <w:i/>
          <w:sz w:val="24"/>
          <w:szCs w:val="24"/>
          <w:lang w:val="en-GB"/>
        </w:rPr>
        <w:t>“Requirements for participants to cover the costs of policing or security  or medical assistance or cleaning or [disruption of public transport traffic or vehicular or pedestrian movement] associated with peaceful assemblies are generally not compatible with article 21.</w:t>
      </w:r>
      <w:bookmarkStart w:id="1" w:name="__DdeLink__738_3628719763"/>
      <w:bookmarkEnd w:id="1"/>
      <w:r w:rsidRPr="000B7187">
        <w:rPr>
          <w:rFonts w:asciiTheme="minorHAnsi" w:eastAsia="Times New Roman" w:hAnsiTheme="minorHAnsi" w:cs="Times New Roman"/>
          <w:i/>
          <w:sz w:val="24"/>
          <w:szCs w:val="24"/>
          <w:lang w:val="en-GB"/>
        </w:rPr>
        <w:t xml:space="preserve"> These costs should as a rule be covered by public funds and should not be transferred to the participants [and/or or</w:t>
      </w:r>
      <w:r w:rsidRPr="000B7187">
        <w:rPr>
          <w:rFonts w:asciiTheme="minorHAnsi" w:eastAsia="Times New Roman" w:hAnsiTheme="minorHAnsi" w:cs="Times New Roman"/>
          <w:i/>
          <w:sz w:val="24"/>
          <w:szCs w:val="24"/>
          <w:lang w:val="en-GB"/>
        </w:rPr>
        <w:lastRenderedPageBreak/>
        <w:t>ganisers]. [Requirements to cover private companies’ losses of earnings associated with unintended disruptions of their economic activity due to peaceful assemblies are not compatible with Article 21]”.</w:t>
      </w:r>
    </w:p>
    <w:p w:rsidR="000827B2" w:rsidRPr="000B7187" w:rsidRDefault="003B0A48" w:rsidP="000B7187">
      <w:pPr>
        <w:spacing w:after="200" w:line="240" w:lineRule="auto"/>
        <w:ind w:left="737"/>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that the words in the square brackets are inserted.</w:t>
      </w:r>
    </w:p>
    <w:p w:rsidR="000827B2" w:rsidRPr="000B7187" w:rsidRDefault="003B0A48" w:rsidP="000B7187">
      <w:pPr>
        <w:numPr>
          <w:ilvl w:val="0"/>
          <w:numId w:val="5"/>
        </w:numPr>
        <w:spacing w:after="200" w:line="240" w:lineRule="auto"/>
        <w:ind w:left="737" w:hanging="34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75:</w:t>
      </w:r>
      <w:r w:rsidRPr="000B7187">
        <w:rPr>
          <w:rFonts w:asciiTheme="minorHAnsi" w:eastAsia="Times New Roman" w:hAnsiTheme="minorHAnsi" w:cs="Times New Roman"/>
          <w:i/>
          <w:sz w:val="24"/>
          <w:szCs w:val="24"/>
          <w:lang w:val="en-GB"/>
        </w:rPr>
        <w:t xml:space="preserve"> “Assembly organizers and participants are obliged to make reasonable efforts to comply with legal requirements, but they should be held accountable [, civilly or criminally,] for their own conduct only. Responsibility of organizers or participants for damage caused by other participants in an assembly should </w:t>
      </w:r>
      <w:r w:rsidRPr="000B7187">
        <w:rPr>
          <w:rFonts w:asciiTheme="minorHAnsi" w:eastAsia="Times New Roman" w:hAnsiTheme="minorHAnsi" w:cs="Times New Roman"/>
          <w:i/>
          <w:sz w:val="24"/>
          <w:szCs w:val="24"/>
          <w:u w:val="single"/>
          <w:lang w:val="en-GB"/>
        </w:rPr>
        <w:t>as a general rule</w:t>
      </w:r>
      <w:r w:rsidRPr="000B7187">
        <w:rPr>
          <w:rFonts w:asciiTheme="minorHAnsi" w:eastAsia="Times New Roman" w:hAnsiTheme="minorHAnsi" w:cs="Times New Roman"/>
          <w:i/>
          <w:sz w:val="24"/>
          <w:szCs w:val="24"/>
          <w:lang w:val="en-GB"/>
        </w:rPr>
        <w:t xml:space="preserve"> not be imposed.</w:t>
      </w:r>
      <w:r w:rsidRPr="000B7187">
        <w:rPr>
          <w:rFonts w:asciiTheme="minorHAnsi" w:eastAsia="Times New Roman" w:hAnsiTheme="minorHAnsi" w:cs="Times New Roman"/>
          <w:i/>
          <w:sz w:val="24"/>
          <w:szCs w:val="24"/>
          <w:vertAlign w:val="superscript"/>
          <w:lang w:val="en-GB"/>
        </w:rPr>
        <w:t xml:space="preserve"> </w:t>
      </w:r>
      <w:r w:rsidRPr="000B7187">
        <w:rPr>
          <w:rFonts w:asciiTheme="minorHAnsi" w:eastAsia="Times New Roman" w:hAnsiTheme="minorHAnsi" w:cs="Times New Roman"/>
          <w:i/>
          <w:sz w:val="24"/>
          <w:szCs w:val="24"/>
          <w:u w:val="single"/>
          <w:lang w:val="en-GB"/>
        </w:rPr>
        <w:t>If this is done, responsibility must be limited to what they could have foreseen and prevented with reasonable efforts.</w:t>
      </w:r>
      <w:r w:rsidRPr="000B7187">
        <w:rPr>
          <w:rFonts w:asciiTheme="minorHAnsi" w:eastAsia="Times New Roman" w:hAnsiTheme="minorHAnsi" w:cs="Times New Roman"/>
          <w:i/>
          <w:sz w:val="24"/>
          <w:szCs w:val="24"/>
          <w:lang w:val="en-GB"/>
        </w:rPr>
        <w:t xml:space="preserve"> It is good practice for assembly organizers to appoint marshals where necessary, but such an obligation must not be imposed”.</w:t>
      </w:r>
    </w:p>
    <w:p w:rsidR="000827B2" w:rsidRPr="000B7187" w:rsidRDefault="003B0A48" w:rsidP="000B7187">
      <w:pPr>
        <w:spacing w:after="200" w:line="240" w:lineRule="auto"/>
        <w:ind w:left="737"/>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that the words in the square brackets are inserted.</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that the underlined words are deleted. We suggest excluding the responsibility of the organisers for the actions of other people, without exceptions. This is because the ability to foresee and prevent the damage with reasonable efforts is a vague criteria and may be misused by authorities against organisers.</w:t>
      </w:r>
      <w:r w:rsidR="0017131E">
        <w:rPr>
          <w:rStyle w:val="FootnoteReference"/>
          <w:rFonts w:asciiTheme="minorHAnsi" w:eastAsia="Times New Roman" w:hAnsiTheme="minorHAnsi" w:cs="Times New Roman"/>
          <w:sz w:val="24"/>
          <w:szCs w:val="24"/>
          <w:lang w:val="en-GB"/>
        </w:rPr>
        <w:footnoteReference w:id="4"/>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76: </w:t>
      </w:r>
      <w:r w:rsidRPr="000B7187">
        <w:rPr>
          <w:rFonts w:asciiTheme="minorHAnsi" w:eastAsia="Times New Roman" w:hAnsiTheme="minorHAnsi" w:cs="Times New Roman"/>
          <w:i/>
          <w:sz w:val="24"/>
          <w:szCs w:val="24"/>
          <w:lang w:val="en-GB"/>
        </w:rPr>
        <w:t>“Where criminal or administrative sanctions are used against participants in a peaceful assembly, such sanctions must be proportionate and cannot apply where their conduct is protected by the right”.</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lastRenderedPageBreak/>
        <w:t xml:space="preserve">We suggest clarifying that the term “criminal” should be interpreted with reference to the interpretation by the Committee of the term “criminal charges” mentioned in Article 14 of the ICCPR, regardless of what national legal systems understand under this term “criminal”. </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suggest adding that it is not acceptable to provide for a higher responsibility for repeated violations of formal rules related to organising  assemblies or participating in them if such violations did not result in injury or death, or serious damage to property.</w:t>
      </w:r>
    </w:p>
    <w:p w:rsidR="000827B2" w:rsidRPr="000B7187" w:rsidRDefault="003B0A48" w:rsidP="000B7187">
      <w:pPr>
        <w:spacing w:after="200" w:line="240" w:lineRule="auto"/>
        <w:ind w:left="708"/>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adding that penalty imposed for violence originating from participants (organisers) of an assembly should be proportionate towards the seriousness of the offence and the harm inflicted.  </w:t>
      </w:r>
    </w:p>
    <w:p w:rsidR="000827B2" w:rsidRPr="000B7187" w:rsidRDefault="000827B2" w:rsidP="0017131E">
      <w:pPr>
        <w:spacing w:after="200" w:line="240" w:lineRule="auto"/>
        <w:jc w:val="both"/>
        <w:rPr>
          <w:rFonts w:asciiTheme="minorHAnsi" w:eastAsia="Times New Roman" w:hAnsiTheme="minorHAnsi" w:cs="Times New Roman"/>
          <w:sz w:val="24"/>
          <w:szCs w:val="24"/>
          <w:lang w:val="en-GB"/>
        </w:rPr>
      </w:pPr>
    </w:p>
    <w:p w:rsidR="000827B2" w:rsidRPr="00B96547" w:rsidRDefault="003B0A48" w:rsidP="00B96547">
      <w:pPr>
        <w:pStyle w:val="ListParagraph"/>
        <w:numPr>
          <w:ilvl w:val="0"/>
          <w:numId w:val="6"/>
        </w:numPr>
        <w:spacing w:after="200" w:line="240" w:lineRule="auto"/>
        <w:ind w:right="1140"/>
        <w:jc w:val="both"/>
        <w:rPr>
          <w:rFonts w:asciiTheme="minorHAnsi" w:eastAsia="Times New Roman" w:hAnsiTheme="minorHAnsi" w:cs="Times New Roman"/>
          <w:b/>
          <w:sz w:val="24"/>
          <w:szCs w:val="24"/>
          <w:lang w:val="en-GB"/>
        </w:rPr>
      </w:pPr>
      <w:r w:rsidRPr="00B96547">
        <w:rPr>
          <w:rFonts w:asciiTheme="minorHAnsi" w:eastAsia="Times New Roman" w:hAnsiTheme="minorHAnsi" w:cs="Times New Roman"/>
          <w:b/>
          <w:sz w:val="24"/>
          <w:szCs w:val="24"/>
          <w:lang w:val="en-GB"/>
        </w:rPr>
        <w:t>Notification and authorization regimes</w:t>
      </w:r>
    </w:p>
    <w:p w:rsidR="000827B2" w:rsidRPr="000B7187" w:rsidRDefault="003B0A48" w:rsidP="000B7187">
      <w:pPr>
        <w:keepLines/>
        <w:numPr>
          <w:ilvl w:val="0"/>
          <w:numId w:val="5"/>
        </w:numPr>
        <w:spacing w:after="200" w:line="240" w:lineRule="auto"/>
        <w:ind w:left="737" w:hanging="34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Para. 81: “</w:t>
      </w:r>
      <w:r w:rsidRPr="000B7187">
        <w:rPr>
          <w:rFonts w:asciiTheme="minorHAnsi" w:eastAsia="Times New Roman" w:hAnsiTheme="minorHAnsi" w:cs="Times New Roman"/>
          <w:i/>
          <w:sz w:val="24"/>
          <w:szCs w:val="24"/>
          <w:lang w:val="en-GB"/>
        </w:rPr>
        <w:t>A failure to notify the authorities of an assembly [or the mere fact that the assembly is not authorised] should not in itself be used as a basis for dispersing the assembly or arresting the participants or organisers, or the imposition of undue sanctions such as charging them with criminal offences. It also does not absolve the authorities from the obligation, within their abilities, to facilitate the assembly and to protect the participants”.</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words in the square brackets are inserted. </w:t>
      </w:r>
    </w:p>
    <w:p w:rsidR="000827B2" w:rsidRPr="000B7187" w:rsidRDefault="003B0A48" w:rsidP="000B7187">
      <w:pPr>
        <w:numPr>
          <w:ilvl w:val="0"/>
          <w:numId w:val="5"/>
        </w:numPr>
        <w:spacing w:after="200" w:line="240" w:lineRule="auto"/>
        <w:jc w:val="both"/>
        <w:rPr>
          <w:rFonts w:asciiTheme="minorHAnsi" w:eastAsia="Times New Roman" w:hAnsiTheme="minorHAnsi" w:cs="Times New Roman"/>
          <w:sz w:val="24"/>
          <w:szCs w:val="24"/>
          <w:lang w:val="en-GB"/>
        </w:rPr>
      </w:pPr>
      <w:r w:rsidRPr="000B7187">
        <w:rPr>
          <w:rFonts w:asciiTheme="minorHAnsi" w:eastAsia="Times New Roman" w:hAnsiTheme="minorHAnsi" w:cs="Times New Roman"/>
          <w:sz w:val="24"/>
          <w:szCs w:val="24"/>
          <w:lang w:val="en-GB"/>
        </w:rPr>
        <w:t>We suggest including the below points related to the notification and authorization regimes to the General Comment:</w:t>
      </w:r>
    </w:p>
    <w:p w:rsidR="000827B2" w:rsidRPr="000B7187" w:rsidRDefault="003B0A48" w:rsidP="000B7187">
      <w:pPr>
        <w:numPr>
          <w:ilvl w:val="0"/>
          <w:numId w:val="1"/>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If the authorities have refused to authorise a peaceful assembly for the reason that another event would occur at this place, the authorities (1) </w:t>
      </w:r>
      <w:r w:rsidRPr="000B7187">
        <w:rPr>
          <w:rFonts w:asciiTheme="minorHAnsi" w:eastAsia="Times New Roman" w:hAnsiTheme="minorHAnsi" w:cs="Times New Roman"/>
          <w:sz w:val="24"/>
          <w:szCs w:val="24"/>
          <w:lang w:val="en-GB"/>
        </w:rPr>
        <w:lastRenderedPageBreak/>
        <w:t>suggest another location for holding the assembly; (2) provide evidence that this event did take place and that it was not possible to hold two events on the same time.</w:t>
      </w:r>
      <w:r w:rsidR="0017131E">
        <w:rPr>
          <w:rStyle w:val="FootnoteReference"/>
          <w:rFonts w:asciiTheme="minorHAnsi" w:eastAsia="Times New Roman" w:hAnsiTheme="minorHAnsi" w:cs="Times New Roman"/>
          <w:sz w:val="24"/>
          <w:szCs w:val="24"/>
          <w:lang w:val="en-GB"/>
        </w:rPr>
        <w:footnoteReference w:id="5"/>
      </w:r>
    </w:p>
    <w:p w:rsidR="000827B2" w:rsidRPr="000B7187" w:rsidRDefault="003B0A48" w:rsidP="000B7187">
      <w:pPr>
        <w:numPr>
          <w:ilvl w:val="0"/>
          <w:numId w:val="1"/>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Notification system should be transparent. The authorities should provide everyone concerned with an opportunity to familiarize themselves with information on the number of notifications of holding assemblies, as well as on the results of consideration these notifications and the reasons for not authorising assemblies.</w:t>
      </w:r>
    </w:p>
    <w:p w:rsidR="000827B2" w:rsidRPr="000B7187" w:rsidRDefault="003B0A48" w:rsidP="000B7187">
      <w:pPr>
        <w:numPr>
          <w:ilvl w:val="0"/>
          <w:numId w:val="1"/>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It is not acceptable to prohibit individuals from organising assemblies or participating in them due to the reason that they had been previously held liable for violations of the formal rules related to organising  assemblies or participating in them if such violations did not result in injury or death, or serious damage to property. </w:t>
      </w:r>
    </w:p>
    <w:p w:rsidR="000827B2" w:rsidRPr="000B7187" w:rsidRDefault="003B0A48" w:rsidP="000B7187">
      <w:pPr>
        <w:numPr>
          <w:ilvl w:val="0"/>
          <w:numId w:val="1"/>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Cultural events should not have a pre-defined priority over other peaceful demonstrations.</w:t>
      </w:r>
      <w:r w:rsidR="0017131E">
        <w:rPr>
          <w:rStyle w:val="FootnoteReference"/>
          <w:rFonts w:asciiTheme="minorHAnsi" w:eastAsia="Times New Roman" w:hAnsiTheme="minorHAnsi" w:cs="Times New Roman"/>
          <w:sz w:val="24"/>
          <w:szCs w:val="24"/>
          <w:lang w:val="en-GB"/>
        </w:rPr>
        <w:footnoteReference w:id="6"/>
      </w:r>
    </w:p>
    <w:p w:rsidR="000827B2" w:rsidRPr="000B7187" w:rsidRDefault="003B0A48" w:rsidP="000B7187">
      <w:pPr>
        <w:numPr>
          <w:ilvl w:val="0"/>
          <w:numId w:val="1"/>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Holding sports-related, cultural or religious events, regardless of their scope, should not lead to restrictions to the freedom of peaceful assembly.</w:t>
      </w:r>
      <w:r w:rsidR="0017131E">
        <w:rPr>
          <w:rStyle w:val="FootnoteReference"/>
          <w:rFonts w:asciiTheme="minorHAnsi" w:eastAsia="Times New Roman" w:hAnsiTheme="minorHAnsi" w:cs="Times New Roman"/>
          <w:sz w:val="24"/>
          <w:szCs w:val="24"/>
          <w:lang w:val="en-GB"/>
        </w:rPr>
        <w:footnoteReference w:id="7"/>
      </w:r>
    </w:p>
    <w:p w:rsidR="000827B2" w:rsidRPr="000B7187" w:rsidRDefault="000827B2" w:rsidP="000B7187">
      <w:pPr>
        <w:spacing w:after="200" w:line="240" w:lineRule="auto"/>
        <w:ind w:left="1440"/>
        <w:jc w:val="both"/>
        <w:rPr>
          <w:rFonts w:asciiTheme="minorHAnsi" w:eastAsia="Times New Roman" w:hAnsiTheme="minorHAnsi" w:cs="Times New Roman"/>
          <w:sz w:val="24"/>
          <w:szCs w:val="24"/>
          <w:lang w:val="en-GB"/>
        </w:rPr>
      </w:pPr>
    </w:p>
    <w:p w:rsidR="000827B2" w:rsidRPr="00B96547" w:rsidRDefault="003B0A48" w:rsidP="00B96547">
      <w:pPr>
        <w:pStyle w:val="ListParagraph"/>
        <w:numPr>
          <w:ilvl w:val="0"/>
          <w:numId w:val="6"/>
        </w:numPr>
        <w:spacing w:after="200" w:line="240" w:lineRule="auto"/>
        <w:ind w:right="1140"/>
        <w:jc w:val="both"/>
        <w:rPr>
          <w:rFonts w:asciiTheme="minorHAnsi" w:hAnsiTheme="minorHAnsi"/>
          <w:b/>
          <w:sz w:val="24"/>
          <w:szCs w:val="24"/>
          <w:lang w:val="en-US"/>
        </w:rPr>
      </w:pPr>
      <w:r w:rsidRPr="00B96547">
        <w:rPr>
          <w:rFonts w:asciiTheme="minorHAnsi" w:eastAsia="Times New Roman" w:hAnsiTheme="minorHAnsi" w:cs="Times New Roman"/>
          <w:b/>
          <w:sz w:val="24"/>
          <w:szCs w:val="24"/>
          <w:lang w:val="en-GB"/>
        </w:rPr>
        <w:t>Duties and powers of law enforcement agencies</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92: </w:t>
      </w:r>
      <w:r w:rsidRPr="000B7187">
        <w:rPr>
          <w:rFonts w:asciiTheme="minorHAnsi" w:eastAsia="Times New Roman" w:hAnsiTheme="minorHAnsi" w:cs="Times New Roman"/>
          <w:i/>
          <w:sz w:val="24"/>
          <w:szCs w:val="24"/>
          <w:lang w:val="en-GB"/>
        </w:rPr>
        <w:t xml:space="preserve">“Wherever possible, only law enforcement officials who have been trained in the policing of assemblies should be deployed for that purpose. As a general rule, the military should not be used to police assemblies. The law enforcement officials responsible for policing assemblies should be suitably equipped, including where needed with appropriate less-lethal weapons and adequate personal protective equipment </w:t>
      </w:r>
      <w:r w:rsidRPr="000B7187">
        <w:rPr>
          <w:rFonts w:asciiTheme="minorHAnsi" w:eastAsia="Times New Roman" w:hAnsiTheme="minorHAnsi" w:cs="Times New Roman"/>
          <w:i/>
          <w:sz w:val="24"/>
          <w:szCs w:val="24"/>
          <w:u w:val="single"/>
          <w:lang w:val="en-GB"/>
        </w:rPr>
        <w:t>[</w:t>
      </w:r>
      <w:r w:rsidRPr="000B7187">
        <w:rPr>
          <w:rFonts w:asciiTheme="minorHAnsi" w:eastAsia="Times New Roman" w:hAnsiTheme="minorHAnsi" w:cs="Times New Roman"/>
          <w:i/>
          <w:sz w:val="24"/>
          <w:szCs w:val="24"/>
          <w:lang w:val="en-GB"/>
        </w:rPr>
        <w:t>, as result they should display a greater degree of tolerance to physical contact with participants of assemblies and bystanders]. States parties should ensure that all weapons, including less-lethal weapons, are subject to strict independent testing and should evaluate and monitor their impact on the rights to life and bodily integrity and the mental well-being of those affected”.</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words in the square brackets are inserted.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100: </w:t>
      </w:r>
      <w:bookmarkStart w:id="2" w:name="docs-internal-guid-b3c37da4-7fff-8f8f-22"/>
      <w:bookmarkEnd w:id="2"/>
      <w:r w:rsidRPr="000B7187">
        <w:rPr>
          <w:rFonts w:asciiTheme="minorHAnsi" w:eastAsia="Times New Roman" w:hAnsiTheme="minorHAnsi" w:cs="Times New Roman"/>
          <w:i/>
          <w:iCs/>
          <w:sz w:val="24"/>
          <w:szCs w:val="24"/>
          <w:lang w:val="en-GB"/>
        </w:rPr>
        <w:t>“</w:t>
      </w:r>
      <w:r w:rsidRPr="000B7187">
        <w:rPr>
          <w:rFonts w:asciiTheme="minorHAnsi" w:eastAsia="Times New Roman" w:hAnsiTheme="minorHAnsi" w:cs="Times New Roman"/>
          <w:i/>
          <w:iCs/>
          <w:color w:val="000000"/>
          <w:sz w:val="24"/>
          <w:szCs w:val="24"/>
          <w:lang w:val="en-GB"/>
        </w:rPr>
        <w:t xml:space="preserve">The State is responsible under international law for the actions and omissions of its law enforcement agencies and should promote a culture of accountability for law enforcement officials during assemblies. To enhance effective accountability, uniformed law enforcement officers should always display a form of identification during assemblies. [They should not wear face coverings unless it is justified by the need to </w:t>
      </w:r>
      <w:bookmarkStart w:id="3" w:name="__DdeLink__705_3628719763"/>
      <w:bookmarkEnd w:id="3"/>
      <w:r w:rsidRPr="000B7187">
        <w:rPr>
          <w:rFonts w:asciiTheme="minorHAnsi" w:eastAsia="Times New Roman" w:hAnsiTheme="minorHAnsi" w:cs="Times New Roman"/>
          <w:i/>
          <w:iCs/>
          <w:color w:val="000000"/>
          <w:sz w:val="24"/>
          <w:szCs w:val="24"/>
          <w:lang w:val="en-GB"/>
        </w:rPr>
        <w:t>protect them from violence]”</w:t>
      </w:r>
      <w:r w:rsidRPr="000B7187">
        <w:rPr>
          <w:rFonts w:asciiTheme="minorHAnsi" w:eastAsia="Times New Roman" w:hAnsiTheme="minorHAnsi" w:cs="Times New Roman"/>
          <w:color w:val="000000"/>
          <w:sz w:val="24"/>
          <w:szCs w:val="24"/>
          <w:lang w:val="en-GB"/>
        </w:rPr>
        <w:t>.</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words in the square brackets are inserted.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105: </w:t>
      </w:r>
      <w:r w:rsidRPr="000B7187">
        <w:rPr>
          <w:rFonts w:asciiTheme="minorHAnsi" w:eastAsia="Times New Roman" w:hAnsiTheme="minorHAnsi" w:cs="Times New Roman"/>
          <w:i/>
          <w:sz w:val="24"/>
          <w:szCs w:val="24"/>
          <w:lang w:val="en-GB"/>
        </w:rPr>
        <w:t xml:space="preserve">“The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international </w:t>
      </w:r>
      <w:r w:rsidRPr="000B7187">
        <w:rPr>
          <w:rFonts w:asciiTheme="minorHAnsi" w:eastAsia="Times New Roman" w:hAnsiTheme="minorHAnsi" w:cs="Times New Roman"/>
          <w:i/>
          <w:sz w:val="24"/>
          <w:szCs w:val="24"/>
          <w:lang w:val="en-GB"/>
        </w:rPr>
        <w:lastRenderedPageBreak/>
        <w:t>standards on privacy and does not have a chilling effect on participation in assemblies. [As a general rule, these recording devices should only be used in order to capture violent actions and ensure security]”.</w:t>
      </w:r>
    </w:p>
    <w:p w:rsidR="000827B2" w:rsidRPr="000B7187" w:rsidRDefault="003B0A48" w:rsidP="0017131E">
      <w:pPr>
        <w:spacing w:after="200" w:line="240" w:lineRule="auto"/>
        <w:ind w:firstLine="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suggest that the words in the square brackets are inserted. </w:t>
      </w:r>
    </w:p>
    <w:p w:rsidR="000827B2" w:rsidRPr="000B7187" w:rsidRDefault="000827B2" w:rsidP="000B7187">
      <w:pPr>
        <w:spacing w:after="200" w:line="240" w:lineRule="auto"/>
        <w:jc w:val="both"/>
        <w:rPr>
          <w:rFonts w:asciiTheme="minorHAnsi" w:eastAsia="Times New Roman" w:hAnsiTheme="minorHAnsi" w:cs="Times New Roman"/>
          <w:sz w:val="24"/>
          <w:szCs w:val="24"/>
          <w:lang w:val="en-GB"/>
        </w:rPr>
      </w:pPr>
    </w:p>
    <w:p w:rsidR="000827B2" w:rsidRPr="00B96547" w:rsidRDefault="003B0A48" w:rsidP="00B96547">
      <w:pPr>
        <w:pStyle w:val="ListParagraph"/>
        <w:numPr>
          <w:ilvl w:val="0"/>
          <w:numId w:val="6"/>
        </w:numPr>
        <w:spacing w:after="200" w:line="240" w:lineRule="auto"/>
        <w:jc w:val="both"/>
        <w:rPr>
          <w:rFonts w:asciiTheme="minorHAnsi" w:hAnsiTheme="minorHAnsi"/>
          <w:b/>
          <w:sz w:val="24"/>
          <w:szCs w:val="24"/>
          <w:lang w:val="en-US"/>
        </w:rPr>
      </w:pPr>
      <w:r w:rsidRPr="00B96547">
        <w:rPr>
          <w:rFonts w:asciiTheme="minorHAnsi" w:eastAsia="Times New Roman" w:hAnsiTheme="minorHAnsi" w:cs="Times New Roman"/>
          <w:b/>
          <w:sz w:val="24"/>
          <w:szCs w:val="24"/>
          <w:lang w:val="en-GB"/>
        </w:rPr>
        <w:t xml:space="preserve">Correlation between different articles of the CCPR </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Para. 113: </w:t>
      </w:r>
      <w:r w:rsidRPr="000B7187">
        <w:rPr>
          <w:rFonts w:asciiTheme="minorHAnsi" w:eastAsia="Times New Roman" w:hAnsiTheme="minorHAnsi" w:cs="Times New Roman"/>
          <w:i/>
          <w:iCs/>
          <w:sz w:val="24"/>
          <w:szCs w:val="24"/>
          <w:lang w:val="en-GB"/>
        </w:rPr>
        <w:t>“At the same time, participants in peaceful assemblies must not infringe on the rights of others. This may for example include their freedom of movement (art. 12 (1)). Socio-economic rights, such as the right to health or to education, may be implicated by assemblies in or proximate to amenities such as hospitals or educational facilities”.</w:t>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We consider that this paragraph requires clarification as it provides too broad opportunities for authorities to ban peaceful assemblies.</w:t>
      </w:r>
      <w:r w:rsidR="0017131E">
        <w:rPr>
          <w:rStyle w:val="FootnoteReference"/>
          <w:rFonts w:asciiTheme="minorHAnsi" w:eastAsia="Times New Roman" w:hAnsiTheme="minorHAnsi" w:cs="Times New Roman"/>
          <w:sz w:val="24"/>
          <w:szCs w:val="24"/>
          <w:lang w:val="en-GB"/>
        </w:rPr>
        <w:footnoteReference w:id="8"/>
      </w:r>
    </w:p>
    <w:p w:rsidR="000827B2" w:rsidRPr="000B7187" w:rsidRDefault="003B0A48" w:rsidP="000B7187">
      <w:pPr>
        <w:spacing w:after="200" w:line="240" w:lineRule="auto"/>
        <w:ind w:left="720"/>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 xml:space="preserve">We further consider that there is a need to clarify the correlation between para. 113 and the following phrase from para. 53 of the General Comment: </w:t>
      </w:r>
      <w:r w:rsidRPr="000B7187">
        <w:rPr>
          <w:rFonts w:asciiTheme="minorHAnsi" w:eastAsia="Times New Roman" w:hAnsiTheme="minorHAnsi" w:cs="Times New Roman"/>
          <w:i/>
          <w:sz w:val="24"/>
          <w:szCs w:val="24"/>
          <w:lang w:val="en-GB"/>
        </w:rPr>
        <w:t xml:space="preserve">“At the same time, since assemblies may entail by their very nature a certain level of disruption to ordinary life, such disruptions have to be accommodated, unless they impose a disproportionate burden, in which case the authorities must be able to provide detailed justification for any restrictions”. </w:t>
      </w:r>
    </w:p>
    <w:p w:rsidR="000827B2" w:rsidRPr="000B7187" w:rsidRDefault="000827B2" w:rsidP="000B7187">
      <w:pPr>
        <w:spacing w:after="200" w:line="240" w:lineRule="auto"/>
        <w:ind w:left="720"/>
        <w:jc w:val="both"/>
        <w:rPr>
          <w:rFonts w:asciiTheme="minorHAnsi" w:eastAsia="Times New Roman" w:hAnsiTheme="minorHAnsi" w:cs="Times New Roman"/>
          <w:i/>
          <w:sz w:val="24"/>
          <w:szCs w:val="24"/>
          <w:lang w:val="en-GB"/>
        </w:rPr>
      </w:pPr>
    </w:p>
    <w:p w:rsidR="000827B2" w:rsidRPr="00B96547" w:rsidRDefault="003B0A48" w:rsidP="00B96547">
      <w:pPr>
        <w:pStyle w:val="ListParagraph"/>
        <w:numPr>
          <w:ilvl w:val="0"/>
          <w:numId w:val="4"/>
        </w:numPr>
        <w:spacing w:after="200" w:line="240" w:lineRule="auto"/>
        <w:jc w:val="both"/>
        <w:rPr>
          <w:rFonts w:asciiTheme="minorHAnsi" w:hAnsiTheme="minorHAnsi"/>
          <w:b/>
          <w:sz w:val="24"/>
          <w:szCs w:val="24"/>
        </w:rPr>
      </w:pPr>
      <w:r w:rsidRPr="00B96547">
        <w:rPr>
          <w:rFonts w:asciiTheme="minorHAnsi" w:eastAsia="Times New Roman" w:hAnsiTheme="minorHAnsi" w:cs="Times New Roman"/>
          <w:b/>
          <w:sz w:val="24"/>
          <w:szCs w:val="24"/>
          <w:lang w:val="en-GB"/>
        </w:rPr>
        <w:lastRenderedPageBreak/>
        <w:t>CONCLUSION AND ORAL CONTRIBUTION</w:t>
      </w:r>
    </w:p>
    <w:p w:rsidR="000827B2" w:rsidRPr="000B7187" w:rsidRDefault="003B0A48" w:rsidP="000B7187">
      <w:pPr>
        <w:numPr>
          <w:ilvl w:val="0"/>
          <w:numId w:val="5"/>
        </w:numPr>
        <w:spacing w:after="200" w:line="240" w:lineRule="auto"/>
        <w:jc w:val="both"/>
        <w:rPr>
          <w:rFonts w:asciiTheme="minorHAnsi" w:hAnsiTheme="minorHAnsi"/>
          <w:sz w:val="24"/>
          <w:szCs w:val="24"/>
          <w:lang w:val="en-US"/>
        </w:rPr>
      </w:pPr>
      <w:r w:rsidRPr="000B7187">
        <w:rPr>
          <w:rFonts w:asciiTheme="minorHAnsi" w:eastAsia="Times New Roman" w:hAnsiTheme="minorHAnsi" w:cs="Times New Roman"/>
          <w:sz w:val="24"/>
          <w:szCs w:val="24"/>
          <w:lang w:val="en-GB"/>
        </w:rPr>
        <w:t>HRC “Memorial” and OVD-Info are is thankful to the Committee for its consideration of this contribution, and request an opportunity to present an oral contribution to the Committee during the meeting on 9 March 2020 to further clarify its various positions.</w:t>
      </w:r>
    </w:p>
    <w:sectPr w:rsidR="000827B2" w:rsidRPr="000B7187" w:rsidSect="000827B2">
      <w:headerReference w:type="default" r:id="rId13"/>
      <w:footerReference w:type="default" r:id="rId14"/>
      <w:footerReference w:type="first" r:id="rId15"/>
      <w:pgSz w:w="11906" w:h="16838"/>
      <w:pgMar w:top="1843" w:right="1440" w:bottom="1440" w:left="1440" w:header="720" w:footer="72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1C" w:rsidRDefault="00E1701C" w:rsidP="000827B2">
      <w:pPr>
        <w:spacing w:line="240" w:lineRule="auto"/>
      </w:pPr>
      <w:r>
        <w:separator/>
      </w:r>
    </w:p>
  </w:endnote>
  <w:endnote w:type="continuationSeparator" w:id="0">
    <w:p w:rsidR="00E1701C" w:rsidRDefault="00E1701C" w:rsidP="00082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4695"/>
      <w:docPartObj>
        <w:docPartGallery w:val="Page Numbers (Bottom of Page)"/>
        <w:docPartUnique/>
      </w:docPartObj>
    </w:sdtPr>
    <w:sdtEndPr/>
    <w:sdtContent>
      <w:p w:rsidR="000827B2" w:rsidRDefault="00403ED5">
        <w:pPr>
          <w:pStyle w:val="Footer1"/>
          <w:jc w:val="center"/>
        </w:pPr>
        <w:r>
          <w:rPr>
            <w:rFonts w:asciiTheme="minorHAnsi" w:hAnsiTheme="minorHAnsi"/>
            <w:sz w:val="20"/>
            <w:szCs w:val="20"/>
          </w:rPr>
          <w:fldChar w:fldCharType="begin"/>
        </w:r>
        <w:r w:rsidR="003B0A48">
          <w:rPr>
            <w:rFonts w:ascii="Cambria" w:hAnsi="Cambria"/>
            <w:sz w:val="20"/>
            <w:szCs w:val="20"/>
          </w:rPr>
          <w:instrText>PAGE</w:instrText>
        </w:r>
        <w:r>
          <w:rPr>
            <w:rFonts w:ascii="Cambria" w:hAnsi="Cambria"/>
            <w:sz w:val="20"/>
            <w:szCs w:val="20"/>
          </w:rPr>
          <w:fldChar w:fldCharType="separate"/>
        </w:r>
        <w:r w:rsidR="00AF045C">
          <w:rPr>
            <w:rFonts w:ascii="Cambria" w:hAnsi="Cambria"/>
            <w:noProof/>
            <w:sz w:val="20"/>
            <w:szCs w:val="20"/>
          </w:rPr>
          <w:t>2</w:t>
        </w:r>
        <w:r>
          <w:rPr>
            <w:rFonts w:ascii="Cambria" w:hAnsi="Cambria"/>
            <w:sz w:val="20"/>
            <w:szCs w:val="20"/>
          </w:rPr>
          <w:fldChar w:fldCharType="end"/>
        </w:r>
      </w:p>
    </w:sdtContent>
  </w:sdt>
  <w:p w:rsidR="000827B2" w:rsidRDefault="000827B2">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3849"/>
      <w:docPartObj>
        <w:docPartGallery w:val="Page Numbers (Bottom of Page)"/>
        <w:docPartUnique/>
      </w:docPartObj>
    </w:sdtPr>
    <w:sdtEndPr/>
    <w:sdtContent>
      <w:p w:rsidR="000827B2" w:rsidRDefault="000827B2">
        <w:pPr>
          <w:pStyle w:val="Footer1"/>
          <w:jc w:val="right"/>
        </w:pPr>
      </w:p>
      <w:p w:rsidR="000827B2" w:rsidRDefault="00AF045C">
        <w:pPr>
          <w:pStyle w:val="Footer1"/>
          <w:jc w:val="center"/>
        </w:pPr>
      </w:p>
    </w:sdtContent>
  </w:sdt>
  <w:p w:rsidR="000827B2" w:rsidRDefault="000827B2">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1C" w:rsidRDefault="00E1701C">
      <w:r>
        <w:separator/>
      </w:r>
    </w:p>
  </w:footnote>
  <w:footnote w:type="continuationSeparator" w:id="0">
    <w:p w:rsidR="00E1701C" w:rsidRDefault="00E1701C">
      <w:r>
        <w:continuationSeparator/>
      </w:r>
    </w:p>
  </w:footnote>
  <w:footnote w:id="1">
    <w:p w:rsidR="0017131E" w:rsidRPr="0017131E" w:rsidRDefault="0017131E">
      <w:pPr>
        <w:pStyle w:val="FootnoteText"/>
        <w:rPr>
          <w:lang w:val="en-US"/>
        </w:rPr>
      </w:pPr>
      <w:r>
        <w:rPr>
          <w:rStyle w:val="FootnoteReference"/>
        </w:rPr>
        <w:footnoteRef/>
      </w:r>
      <w:r w:rsidRPr="0017131E">
        <w:rPr>
          <w:lang w:val="en-US"/>
        </w:rPr>
        <w:t xml:space="preserve"> </w:t>
      </w:r>
      <w:r w:rsidRPr="000B7187">
        <w:rPr>
          <w:rFonts w:asciiTheme="minorHAnsi" w:eastAsia="Times New Roman" w:hAnsiTheme="minorHAnsi" w:cs="Times New Roman"/>
          <w:lang w:val="en-GB"/>
        </w:rPr>
        <w:t xml:space="preserve">For example, in Russia, </w:t>
      </w:r>
      <w:hyperlink r:id="rId1">
        <w:r w:rsidRPr="000B7187">
          <w:rPr>
            <w:rStyle w:val="-"/>
            <w:rFonts w:asciiTheme="minorHAnsi" w:eastAsia="Times New Roman" w:hAnsiTheme="minorHAnsi" w:cs="Times New Roman"/>
            <w:lang w:val="en-GB"/>
          </w:rPr>
          <w:t>a number of criminal cases</w:t>
        </w:r>
      </w:hyperlink>
      <w:r w:rsidRPr="000B7187">
        <w:rPr>
          <w:rFonts w:asciiTheme="minorHAnsi" w:eastAsia="Times New Roman" w:hAnsiTheme="minorHAnsi" w:cs="Times New Roman"/>
          <w:lang w:val="en-GB"/>
        </w:rPr>
        <w:t xml:space="preserve"> were initiated against participants of a peaceful assembly who merely touched policemen present at the scene or threw some undangerous objects (plastic cups, empty plastic bottles) towards them.</w:t>
      </w:r>
    </w:p>
  </w:footnote>
  <w:footnote w:id="2">
    <w:p w:rsidR="0017131E" w:rsidRPr="0017131E" w:rsidRDefault="0017131E">
      <w:pPr>
        <w:pStyle w:val="FootnoteText"/>
        <w:rPr>
          <w:lang w:val="en-US"/>
        </w:rPr>
      </w:pPr>
      <w:r>
        <w:rPr>
          <w:rStyle w:val="FootnoteReference"/>
        </w:rPr>
        <w:footnoteRef/>
      </w:r>
      <w:r w:rsidRPr="0017131E">
        <w:rPr>
          <w:lang w:val="en-US"/>
        </w:rPr>
        <w:t xml:space="preserve"> </w:t>
      </w:r>
      <w:r>
        <w:rPr>
          <w:rFonts w:ascii="Cambria" w:eastAsia="Times New Roman" w:hAnsi="Cambria" w:cs="Times New Roman"/>
          <w:lang w:val="en-GB"/>
        </w:rPr>
        <w:t>Our proposal is due to the fact that in Russia the discrimination is often based not on the basis of belonging to a certain group but on the basis of the subject of the assembly.</w:t>
      </w:r>
    </w:p>
  </w:footnote>
  <w:footnote w:id="3">
    <w:p w:rsidR="0017131E" w:rsidRPr="0017131E" w:rsidRDefault="0017131E">
      <w:pPr>
        <w:pStyle w:val="FootnoteText"/>
        <w:rPr>
          <w:lang w:val="en-US"/>
        </w:rPr>
      </w:pPr>
      <w:r>
        <w:rPr>
          <w:rStyle w:val="FootnoteReference"/>
        </w:rPr>
        <w:footnoteRef/>
      </w:r>
      <w:r w:rsidRPr="0017131E">
        <w:rPr>
          <w:lang w:val="en-US"/>
        </w:rPr>
        <w:t xml:space="preserve"> </w:t>
      </w:r>
      <w:r>
        <w:rPr>
          <w:rFonts w:ascii="Cambria" w:eastAsia="Times New Roman" w:hAnsi="Cambria" w:cs="Times New Roman"/>
          <w:lang w:val="en-GB"/>
        </w:rPr>
        <w:t>This point is particularly important for Russia as Russian legislation prohibits holding public events “in the immediate vicinity“ of certain buildings, in particular, “in the immediate vicinity” of buildings and land plots belonging to institutions that execute sentences of imprisonment, near residences of the President of the Russian Federation, and court buildings. In 2014, admiistrative liability was introduced for organizing, participating and calling for participation in «simultaneous mass presence» near the above buildings.</w:t>
      </w:r>
    </w:p>
  </w:footnote>
  <w:footnote w:id="4">
    <w:p w:rsidR="0017131E" w:rsidRPr="0017131E" w:rsidRDefault="0017131E">
      <w:pPr>
        <w:pStyle w:val="FootnoteText"/>
        <w:rPr>
          <w:lang w:val="en-US"/>
        </w:rPr>
      </w:pPr>
      <w:r>
        <w:rPr>
          <w:rStyle w:val="FootnoteReference"/>
        </w:rPr>
        <w:footnoteRef/>
      </w:r>
      <w:r w:rsidRPr="0017131E">
        <w:rPr>
          <w:lang w:val="en-US"/>
        </w:rPr>
        <w:t xml:space="preserve"> </w:t>
      </w:r>
      <w:r>
        <w:rPr>
          <w:rFonts w:ascii="Cambria" w:eastAsia="Times New Roman" w:hAnsi="Cambria" w:cs="Times New Roman"/>
          <w:lang w:val="en-GB"/>
        </w:rPr>
        <w:t>For example, the European Court of Human Rights’ Guide on Article 11 provides that “the organisers of the event should not be held responsible for the conduct of the attendees (</w:t>
      </w:r>
      <w:r>
        <w:rPr>
          <w:rFonts w:ascii="Cambria" w:eastAsia="Times New Roman" w:hAnsi="Cambria" w:cs="Times New Roman"/>
          <w:i/>
          <w:iCs/>
          <w:lang w:val="en-GB"/>
        </w:rPr>
        <w:t>Mesut Yıldız and Others v. Turkey</w:t>
      </w:r>
      <w:r>
        <w:rPr>
          <w:rFonts w:ascii="Cambria" w:eastAsia="Times New Roman" w:hAnsi="Cambria" w:cs="Times New Roman"/>
          <w:lang w:val="en-GB"/>
        </w:rPr>
        <w:t>, § 34)” (para. 103).</w:t>
      </w:r>
    </w:p>
  </w:footnote>
  <w:footnote w:id="5">
    <w:p w:rsidR="0017131E" w:rsidRPr="0017131E" w:rsidRDefault="0017131E">
      <w:pPr>
        <w:pStyle w:val="FootnoteText"/>
        <w:rPr>
          <w:lang w:val="en-US"/>
        </w:rPr>
      </w:pPr>
      <w:r>
        <w:rPr>
          <w:rStyle w:val="FootnoteReference"/>
        </w:rPr>
        <w:footnoteRef/>
      </w:r>
      <w:r w:rsidRPr="0017131E">
        <w:rPr>
          <w:lang w:val="en-US"/>
        </w:rPr>
        <w:t xml:space="preserve"> </w:t>
      </w:r>
      <w:r>
        <w:rPr>
          <w:rFonts w:ascii="Cambria" w:eastAsia="Times New Roman" w:hAnsi="Cambria" w:cs="Times New Roman"/>
          <w:lang w:val="en-GB"/>
        </w:rPr>
        <w:t>For instance, in Russia the authorities often refuse to authorise an assembly in a particular place arguing that another event will take place there. However, no event takes place.</w:t>
      </w:r>
    </w:p>
  </w:footnote>
  <w:footnote w:id="6">
    <w:p w:rsidR="0017131E" w:rsidRPr="0017131E" w:rsidRDefault="0017131E">
      <w:pPr>
        <w:pStyle w:val="FootnoteText"/>
        <w:rPr>
          <w:lang w:val="en-US"/>
        </w:rPr>
      </w:pPr>
      <w:r>
        <w:rPr>
          <w:rStyle w:val="FootnoteReference"/>
        </w:rPr>
        <w:footnoteRef/>
      </w:r>
      <w:r w:rsidRPr="0017131E">
        <w:rPr>
          <w:lang w:val="en-US"/>
        </w:rPr>
        <w:t xml:space="preserve"> </w:t>
      </w:r>
      <w:r>
        <w:rPr>
          <w:rFonts w:ascii="Cambria" w:eastAsia="Times New Roman" w:hAnsi="Cambria" w:cs="Times New Roman"/>
          <w:lang w:val="en-GB"/>
        </w:rPr>
        <w:t xml:space="preserve">For instance, in Russia organisers of cultural events (such as music festivals, etc.) </w:t>
      </w:r>
      <w:hyperlink r:id="rId2" w:anchor="3-2-2" w:history="1">
        <w:r>
          <w:rPr>
            <w:rStyle w:val="-"/>
            <w:rFonts w:ascii="Cambria" w:eastAsia="Times New Roman" w:hAnsi="Cambria" w:cs="Times New Roman"/>
            <w:lang w:val="en-GB"/>
          </w:rPr>
          <w:t>are allowed</w:t>
        </w:r>
      </w:hyperlink>
      <w:r>
        <w:rPr>
          <w:rFonts w:ascii="Cambria" w:eastAsia="Times New Roman" w:hAnsi="Cambria" w:cs="Times New Roman"/>
          <w:lang w:val="en-GB"/>
        </w:rPr>
        <w:t xml:space="preserve"> to notify the authorities about these events much more in advance than the organisers of peaceful assemblies. Thus, the organisers of public demonstrations are forced to choose the time and the place after those events have already been scheduled.</w:t>
      </w:r>
    </w:p>
  </w:footnote>
  <w:footnote w:id="7">
    <w:p w:rsidR="0017131E" w:rsidRPr="0017131E" w:rsidRDefault="0017131E">
      <w:pPr>
        <w:pStyle w:val="FootnoteText"/>
        <w:rPr>
          <w:lang w:val="en-US"/>
        </w:rPr>
      </w:pPr>
      <w:r>
        <w:rPr>
          <w:rStyle w:val="FootnoteReference"/>
        </w:rPr>
        <w:footnoteRef/>
      </w:r>
      <w:r w:rsidRPr="0017131E">
        <w:rPr>
          <w:lang w:val="en-US"/>
        </w:rPr>
        <w:t xml:space="preserve"> </w:t>
      </w:r>
      <w:r>
        <w:rPr>
          <w:rFonts w:ascii="Cambria" w:eastAsia="Times New Roman" w:hAnsi="Cambria" w:cs="Times New Roman"/>
          <w:lang w:val="en-GB"/>
        </w:rPr>
        <w:t xml:space="preserve">For instance, in Russia opportunities for holding peaceful assemblies </w:t>
      </w:r>
      <w:hyperlink r:id="rId3" w:anchor="10-3-6" w:history="1">
        <w:r>
          <w:rPr>
            <w:rStyle w:val="-"/>
            <w:rFonts w:ascii="Cambria" w:eastAsia="Times New Roman" w:hAnsi="Cambria" w:cs="Times New Roman"/>
            <w:lang w:val="en-GB"/>
          </w:rPr>
          <w:t>were significantly restricted</w:t>
        </w:r>
      </w:hyperlink>
      <w:r>
        <w:rPr>
          <w:rFonts w:ascii="Cambria" w:eastAsia="Times New Roman" w:hAnsi="Cambria" w:cs="Times New Roman"/>
          <w:lang w:val="en-GB"/>
        </w:rPr>
        <w:t xml:space="preserve"> during the Olympic Games in Sochi 2014 and the World Cup FIFA 2018.</w:t>
      </w:r>
    </w:p>
  </w:footnote>
  <w:footnote w:id="8">
    <w:p w:rsidR="0017131E" w:rsidRPr="0017131E" w:rsidRDefault="0017131E">
      <w:pPr>
        <w:pStyle w:val="FootnoteText"/>
        <w:rPr>
          <w:lang w:val="en-US"/>
        </w:rPr>
      </w:pPr>
      <w:r>
        <w:rPr>
          <w:rStyle w:val="FootnoteReference"/>
        </w:rPr>
        <w:footnoteRef/>
      </w:r>
      <w:r w:rsidRPr="0017131E">
        <w:rPr>
          <w:lang w:val="en-US"/>
        </w:rPr>
        <w:t xml:space="preserve"> </w:t>
      </w:r>
      <w:r>
        <w:rPr>
          <w:rFonts w:ascii="Cambria" w:eastAsia="Times New Roman" w:hAnsi="Cambria" w:cs="Times New Roman"/>
          <w:lang w:val="en-GB"/>
        </w:rPr>
        <w:t xml:space="preserve">For example, laws of several Russian regions provide that peaceful assemblies near drugstores are absolutely prohibited.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B2" w:rsidRPr="000B7187" w:rsidRDefault="003B0A48">
    <w:pPr>
      <w:pStyle w:val="Header1"/>
      <w:jc w:val="center"/>
      <w:rPr>
        <w:lang w:val="en-US"/>
      </w:rPr>
    </w:pPr>
    <w:r>
      <w:rPr>
        <w:rFonts w:asciiTheme="minorHAnsi" w:hAnsiTheme="minorHAnsi"/>
        <w:sz w:val="20"/>
        <w:szCs w:val="20"/>
        <w:lang w:val="en-US"/>
      </w:rPr>
      <w:t>Written comments to the Revised Draft of General Comment No. 37 on Article 21 of the ICCPR (right of peaceful assembly) prepared by Human Rights Centre “Memorial” and OVD-Info</w:t>
    </w:r>
  </w:p>
  <w:p w:rsidR="000827B2" w:rsidRDefault="000827B2">
    <w:pPr>
      <w:pStyle w:val="Header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5B22"/>
    <w:multiLevelType w:val="multilevel"/>
    <w:tmpl w:val="CEC04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B2206"/>
    <w:multiLevelType w:val="multilevel"/>
    <w:tmpl w:val="FAA673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182381"/>
    <w:multiLevelType w:val="multilevel"/>
    <w:tmpl w:val="747E7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905A46"/>
    <w:multiLevelType w:val="multilevel"/>
    <w:tmpl w:val="F210F7BE"/>
    <w:lvl w:ilvl="0">
      <w:start w:val="1"/>
      <w:numFmt w:val="bullet"/>
      <w:lvlText w:val="-"/>
      <w:lvlJc w:val="left"/>
      <w:pPr>
        <w:ind w:left="1440" w:hanging="360"/>
      </w:pPr>
      <w:rPr>
        <w:rFonts w:ascii="OpenSymbol" w:hAnsi="OpenSymbol" w:cs="OpenSymbol" w:hint="default"/>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 w15:restartNumberingAfterBreak="0">
    <w:nsid w:val="6F6D691D"/>
    <w:multiLevelType w:val="multilevel"/>
    <w:tmpl w:val="A0AEB9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1190A50"/>
    <w:multiLevelType w:val="multilevel"/>
    <w:tmpl w:val="B70604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7D74234"/>
    <w:multiLevelType w:val="multilevel"/>
    <w:tmpl w:val="29DE8B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B2"/>
    <w:rsid w:val="000827B2"/>
    <w:rsid w:val="000B7187"/>
    <w:rsid w:val="0017131E"/>
    <w:rsid w:val="003B0A48"/>
    <w:rsid w:val="00403ED5"/>
    <w:rsid w:val="005B3B58"/>
    <w:rsid w:val="00AF045C"/>
    <w:rsid w:val="00B96547"/>
    <w:rsid w:val="00D02563"/>
    <w:rsid w:val="00E1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56330-1C1D-4690-A917-7AFDB986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B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827B2"/>
    <w:pPr>
      <w:keepNext/>
      <w:keepLines/>
      <w:spacing w:before="400" w:after="120"/>
      <w:outlineLvl w:val="0"/>
    </w:pPr>
    <w:rPr>
      <w:sz w:val="40"/>
      <w:szCs w:val="40"/>
    </w:rPr>
  </w:style>
  <w:style w:type="paragraph" w:customStyle="1" w:styleId="Heading21">
    <w:name w:val="Heading 21"/>
    <w:basedOn w:val="Normal"/>
    <w:next w:val="Normal"/>
    <w:uiPriority w:val="9"/>
    <w:semiHidden/>
    <w:unhideWhenUsed/>
    <w:qFormat/>
    <w:rsid w:val="000827B2"/>
    <w:pPr>
      <w:keepNext/>
      <w:keepLines/>
      <w:spacing w:before="360" w:after="120"/>
      <w:outlineLvl w:val="1"/>
    </w:pPr>
    <w:rPr>
      <w:sz w:val="32"/>
      <w:szCs w:val="32"/>
    </w:rPr>
  </w:style>
  <w:style w:type="paragraph" w:customStyle="1" w:styleId="Heading31">
    <w:name w:val="Heading 31"/>
    <w:basedOn w:val="Normal"/>
    <w:next w:val="Normal"/>
    <w:uiPriority w:val="9"/>
    <w:semiHidden/>
    <w:unhideWhenUsed/>
    <w:qFormat/>
    <w:rsid w:val="000827B2"/>
    <w:pPr>
      <w:keepNext/>
      <w:keepLines/>
      <w:spacing w:before="320" w:after="80"/>
      <w:outlineLvl w:val="2"/>
    </w:pPr>
    <w:rPr>
      <w:color w:val="434343"/>
      <w:sz w:val="28"/>
      <w:szCs w:val="28"/>
    </w:rPr>
  </w:style>
  <w:style w:type="paragraph" w:customStyle="1" w:styleId="Heading41">
    <w:name w:val="Heading 41"/>
    <w:basedOn w:val="Normal"/>
    <w:next w:val="Normal"/>
    <w:uiPriority w:val="9"/>
    <w:semiHidden/>
    <w:unhideWhenUsed/>
    <w:qFormat/>
    <w:rsid w:val="000827B2"/>
    <w:pPr>
      <w:keepNext/>
      <w:keepLines/>
      <w:spacing w:before="280" w:after="80"/>
      <w:outlineLvl w:val="3"/>
    </w:pPr>
    <w:rPr>
      <w:color w:val="666666"/>
      <w:sz w:val="24"/>
      <w:szCs w:val="24"/>
    </w:rPr>
  </w:style>
  <w:style w:type="paragraph" w:customStyle="1" w:styleId="Heading51">
    <w:name w:val="Heading 51"/>
    <w:basedOn w:val="Normal"/>
    <w:next w:val="Normal"/>
    <w:uiPriority w:val="9"/>
    <w:semiHidden/>
    <w:unhideWhenUsed/>
    <w:qFormat/>
    <w:rsid w:val="000827B2"/>
    <w:pPr>
      <w:keepNext/>
      <w:keepLines/>
      <w:spacing w:before="240" w:after="80"/>
      <w:outlineLvl w:val="4"/>
    </w:pPr>
    <w:rPr>
      <w:color w:val="666666"/>
    </w:rPr>
  </w:style>
  <w:style w:type="paragraph" w:customStyle="1" w:styleId="Heading61">
    <w:name w:val="Heading 61"/>
    <w:basedOn w:val="Normal"/>
    <w:next w:val="Normal"/>
    <w:uiPriority w:val="9"/>
    <w:semiHidden/>
    <w:unhideWhenUsed/>
    <w:qFormat/>
    <w:rsid w:val="000827B2"/>
    <w:pPr>
      <w:keepNext/>
      <w:keepLines/>
      <w:spacing w:before="240" w:after="80"/>
      <w:outlineLvl w:val="5"/>
    </w:pPr>
    <w:rPr>
      <w:i/>
      <w:color w:val="666666"/>
    </w:rPr>
  </w:style>
  <w:style w:type="character" w:customStyle="1" w:styleId="a">
    <w:name w:val="Текст примечания Знак"/>
    <w:basedOn w:val="DefaultParagraphFont"/>
    <w:uiPriority w:val="99"/>
    <w:semiHidden/>
    <w:qFormat/>
    <w:rsid w:val="000827B2"/>
    <w:rPr>
      <w:sz w:val="20"/>
      <w:szCs w:val="20"/>
    </w:rPr>
  </w:style>
  <w:style w:type="character" w:styleId="CommentReference">
    <w:name w:val="annotation reference"/>
    <w:basedOn w:val="DefaultParagraphFont"/>
    <w:uiPriority w:val="99"/>
    <w:semiHidden/>
    <w:unhideWhenUsed/>
    <w:qFormat/>
    <w:rsid w:val="000827B2"/>
    <w:rPr>
      <w:sz w:val="16"/>
      <w:szCs w:val="16"/>
    </w:rPr>
  </w:style>
  <w:style w:type="character" w:customStyle="1" w:styleId="a0">
    <w:name w:val="Текст выноски Знак"/>
    <w:basedOn w:val="DefaultParagraphFont"/>
    <w:uiPriority w:val="99"/>
    <w:semiHidden/>
    <w:qFormat/>
    <w:rsid w:val="00C000C6"/>
    <w:rPr>
      <w:rFonts w:ascii="Segoe UI" w:hAnsi="Segoe UI" w:cs="Segoe UI"/>
      <w:sz w:val="18"/>
      <w:szCs w:val="18"/>
    </w:rPr>
  </w:style>
  <w:style w:type="character" w:customStyle="1" w:styleId="-">
    <w:name w:val="Интернет-ссылка"/>
    <w:basedOn w:val="DefaultParagraphFont"/>
    <w:uiPriority w:val="99"/>
    <w:unhideWhenUsed/>
    <w:rsid w:val="004B3319"/>
    <w:rPr>
      <w:color w:val="0000FF" w:themeColor="hyperlink"/>
      <w:u w:val="single"/>
    </w:rPr>
  </w:style>
  <w:style w:type="character" w:customStyle="1" w:styleId="UnresolvedMention">
    <w:name w:val="Unresolved Mention"/>
    <w:basedOn w:val="DefaultParagraphFont"/>
    <w:uiPriority w:val="99"/>
    <w:semiHidden/>
    <w:unhideWhenUsed/>
    <w:qFormat/>
    <w:rsid w:val="004B3319"/>
    <w:rPr>
      <w:color w:val="605E5C"/>
      <w:shd w:val="clear" w:color="auto" w:fill="E1DFDD"/>
    </w:rPr>
  </w:style>
  <w:style w:type="character" w:customStyle="1" w:styleId="a1">
    <w:name w:val="Верхний колонтитул Знак"/>
    <w:basedOn w:val="DefaultParagraphFont"/>
    <w:uiPriority w:val="99"/>
    <w:qFormat/>
    <w:rsid w:val="00BE521C"/>
  </w:style>
  <w:style w:type="character" w:customStyle="1" w:styleId="a2">
    <w:name w:val="Нижний колонтитул Знак"/>
    <w:basedOn w:val="DefaultParagraphFont"/>
    <w:uiPriority w:val="99"/>
    <w:qFormat/>
    <w:rsid w:val="00BE521C"/>
  </w:style>
  <w:style w:type="character" w:customStyle="1" w:styleId="ListLabel1">
    <w:name w:val="ListLabel 1"/>
    <w:qFormat/>
    <w:rsid w:val="000827B2"/>
    <w:rPr>
      <w:u w:val="none"/>
    </w:rPr>
  </w:style>
  <w:style w:type="character" w:customStyle="1" w:styleId="ListLabel2">
    <w:name w:val="ListLabel 2"/>
    <w:qFormat/>
    <w:rsid w:val="000827B2"/>
    <w:rPr>
      <w:u w:val="none"/>
    </w:rPr>
  </w:style>
  <w:style w:type="character" w:customStyle="1" w:styleId="ListLabel3">
    <w:name w:val="ListLabel 3"/>
    <w:qFormat/>
    <w:rsid w:val="000827B2"/>
    <w:rPr>
      <w:u w:val="none"/>
    </w:rPr>
  </w:style>
  <w:style w:type="character" w:customStyle="1" w:styleId="ListLabel4">
    <w:name w:val="ListLabel 4"/>
    <w:qFormat/>
    <w:rsid w:val="000827B2"/>
    <w:rPr>
      <w:u w:val="none"/>
    </w:rPr>
  </w:style>
  <w:style w:type="character" w:customStyle="1" w:styleId="ListLabel5">
    <w:name w:val="ListLabel 5"/>
    <w:qFormat/>
    <w:rsid w:val="000827B2"/>
    <w:rPr>
      <w:u w:val="none"/>
    </w:rPr>
  </w:style>
  <w:style w:type="character" w:customStyle="1" w:styleId="ListLabel6">
    <w:name w:val="ListLabel 6"/>
    <w:qFormat/>
    <w:rsid w:val="000827B2"/>
    <w:rPr>
      <w:u w:val="none"/>
    </w:rPr>
  </w:style>
  <w:style w:type="character" w:customStyle="1" w:styleId="ListLabel7">
    <w:name w:val="ListLabel 7"/>
    <w:qFormat/>
    <w:rsid w:val="000827B2"/>
    <w:rPr>
      <w:u w:val="none"/>
    </w:rPr>
  </w:style>
  <w:style w:type="character" w:customStyle="1" w:styleId="ListLabel8">
    <w:name w:val="ListLabel 8"/>
    <w:qFormat/>
    <w:rsid w:val="000827B2"/>
    <w:rPr>
      <w:u w:val="none"/>
    </w:rPr>
  </w:style>
  <w:style w:type="character" w:customStyle="1" w:styleId="ListLabel9">
    <w:name w:val="ListLabel 9"/>
    <w:qFormat/>
    <w:rsid w:val="000827B2"/>
    <w:rPr>
      <w:u w:val="none"/>
    </w:rPr>
  </w:style>
  <w:style w:type="character" w:customStyle="1" w:styleId="ListLabel10">
    <w:name w:val="ListLabel 10"/>
    <w:qFormat/>
    <w:rsid w:val="000827B2"/>
    <w:rPr>
      <w:u w:val="none"/>
    </w:rPr>
  </w:style>
  <w:style w:type="character" w:customStyle="1" w:styleId="ListLabel11">
    <w:name w:val="ListLabel 11"/>
    <w:qFormat/>
    <w:rsid w:val="000827B2"/>
    <w:rPr>
      <w:u w:val="none"/>
    </w:rPr>
  </w:style>
  <w:style w:type="character" w:customStyle="1" w:styleId="ListLabel12">
    <w:name w:val="ListLabel 12"/>
    <w:qFormat/>
    <w:rsid w:val="000827B2"/>
    <w:rPr>
      <w:u w:val="none"/>
    </w:rPr>
  </w:style>
  <w:style w:type="character" w:customStyle="1" w:styleId="ListLabel13">
    <w:name w:val="ListLabel 13"/>
    <w:qFormat/>
    <w:rsid w:val="000827B2"/>
    <w:rPr>
      <w:u w:val="none"/>
    </w:rPr>
  </w:style>
  <w:style w:type="character" w:customStyle="1" w:styleId="ListLabel14">
    <w:name w:val="ListLabel 14"/>
    <w:qFormat/>
    <w:rsid w:val="000827B2"/>
    <w:rPr>
      <w:u w:val="none"/>
    </w:rPr>
  </w:style>
  <w:style w:type="character" w:customStyle="1" w:styleId="ListLabel15">
    <w:name w:val="ListLabel 15"/>
    <w:qFormat/>
    <w:rsid w:val="000827B2"/>
    <w:rPr>
      <w:u w:val="none"/>
    </w:rPr>
  </w:style>
  <w:style w:type="character" w:customStyle="1" w:styleId="ListLabel16">
    <w:name w:val="ListLabel 16"/>
    <w:qFormat/>
    <w:rsid w:val="000827B2"/>
    <w:rPr>
      <w:u w:val="none"/>
    </w:rPr>
  </w:style>
  <w:style w:type="character" w:customStyle="1" w:styleId="ListLabel17">
    <w:name w:val="ListLabel 17"/>
    <w:qFormat/>
    <w:rsid w:val="000827B2"/>
    <w:rPr>
      <w:u w:val="none"/>
    </w:rPr>
  </w:style>
  <w:style w:type="character" w:customStyle="1" w:styleId="ListLabel18">
    <w:name w:val="ListLabel 18"/>
    <w:qFormat/>
    <w:rsid w:val="000827B2"/>
    <w:rPr>
      <w:u w:val="none"/>
    </w:rPr>
  </w:style>
  <w:style w:type="character" w:customStyle="1" w:styleId="ListLabel19">
    <w:name w:val="ListLabel 19"/>
    <w:qFormat/>
    <w:rsid w:val="000827B2"/>
    <w:rPr>
      <w:rFonts w:ascii="Cambria" w:hAnsi="Cambria"/>
      <w:sz w:val="24"/>
      <w:u w:val="none"/>
    </w:rPr>
  </w:style>
  <w:style w:type="character" w:customStyle="1" w:styleId="ListLabel20">
    <w:name w:val="ListLabel 20"/>
    <w:qFormat/>
    <w:rsid w:val="000827B2"/>
    <w:rPr>
      <w:u w:val="none"/>
    </w:rPr>
  </w:style>
  <w:style w:type="character" w:customStyle="1" w:styleId="ListLabel21">
    <w:name w:val="ListLabel 21"/>
    <w:qFormat/>
    <w:rsid w:val="000827B2"/>
    <w:rPr>
      <w:u w:val="none"/>
    </w:rPr>
  </w:style>
  <w:style w:type="character" w:customStyle="1" w:styleId="ListLabel22">
    <w:name w:val="ListLabel 22"/>
    <w:qFormat/>
    <w:rsid w:val="000827B2"/>
    <w:rPr>
      <w:u w:val="none"/>
    </w:rPr>
  </w:style>
  <w:style w:type="character" w:customStyle="1" w:styleId="ListLabel23">
    <w:name w:val="ListLabel 23"/>
    <w:qFormat/>
    <w:rsid w:val="000827B2"/>
    <w:rPr>
      <w:u w:val="none"/>
    </w:rPr>
  </w:style>
  <w:style w:type="character" w:customStyle="1" w:styleId="ListLabel24">
    <w:name w:val="ListLabel 24"/>
    <w:qFormat/>
    <w:rsid w:val="000827B2"/>
    <w:rPr>
      <w:u w:val="none"/>
    </w:rPr>
  </w:style>
  <w:style w:type="character" w:customStyle="1" w:styleId="ListLabel25">
    <w:name w:val="ListLabel 25"/>
    <w:qFormat/>
    <w:rsid w:val="000827B2"/>
    <w:rPr>
      <w:u w:val="none"/>
    </w:rPr>
  </w:style>
  <w:style w:type="character" w:customStyle="1" w:styleId="ListLabel26">
    <w:name w:val="ListLabel 26"/>
    <w:qFormat/>
    <w:rsid w:val="000827B2"/>
    <w:rPr>
      <w:u w:val="none"/>
    </w:rPr>
  </w:style>
  <w:style w:type="character" w:customStyle="1" w:styleId="ListLabel27">
    <w:name w:val="ListLabel 27"/>
    <w:qFormat/>
    <w:rsid w:val="000827B2"/>
    <w:rPr>
      <w:u w:val="none"/>
    </w:rPr>
  </w:style>
  <w:style w:type="character" w:customStyle="1" w:styleId="ListLabel28">
    <w:name w:val="ListLabel 28"/>
    <w:qFormat/>
    <w:rsid w:val="000827B2"/>
    <w:rPr>
      <w:rFonts w:ascii="Cambria" w:hAnsi="Cambria"/>
      <w:sz w:val="24"/>
      <w:u w:val="none"/>
    </w:rPr>
  </w:style>
  <w:style w:type="character" w:customStyle="1" w:styleId="ListLabel29">
    <w:name w:val="ListLabel 29"/>
    <w:qFormat/>
    <w:rsid w:val="000827B2"/>
    <w:rPr>
      <w:u w:val="none"/>
    </w:rPr>
  </w:style>
  <w:style w:type="character" w:customStyle="1" w:styleId="ListLabel30">
    <w:name w:val="ListLabel 30"/>
    <w:qFormat/>
    <w:rsid w:val="000827B2"/>
    <w:rPr>
      <w:u w:val="none"/>
    </w:rPr>
  </w:style>
  <w:style w:type="character" w:customStyle="1" w:styleId="ListLabel31">
    <w:name w:val="ListLabel 31"/>
    <w:qFormat/>
    <w:rsid w:val="000827B2"/>
    <w:rPr>
      <w:u w:val="none"/>
    </w:rPr>
  </w:style>
  <w:style w:type="character" w:customStyle="1" w:styleId="ListLabel32">
    <w:name w:val="ListLabel 32"/>
    <w:qFormat/>
    <w:rsid w:val="000827B2"/>
    <w:rPr>
      <w:u w:val="none"/>
    </w:rPr>
  </w:style>
  <w:style w:type="character" w:customStyle="1" w:styleId="ListLabel33">
    <w:name w:val="ListLabel 33"/>
    <w:qFormat/>
    <w:rsid w:val="000827B2"/>
    <w:rPr>
      <w:u w:val="none"/>
    </w:rPr>
  </w:style>
  <w:style w:type="character" w:customStyle="1" w:styleId="ListLabel34">
    <w:name w:val="ListLabel 34"/>
    <w:qFormat/>
    <w:rsid w:val="000827B2"/>
    <w:rPr>
      <w:u w:val="none"/>
    </w:rPr>
  </w:style>
  <w:style w:type="character" w:customStyle="1" w:styleId="ListLabel35">
    <w:name w:val="ListLabel 35"/>
    <w:qFormat/>
    <w:rsid w:val="000827B2"/>
    <w:rPr>
      <w:u w:val="none"/>
    </w:rPr>
  </w:style>
  <w:style w:type="character" w:customStyle="1" w:styleId="ListLabel36">
    <w:name w:val="ListLabel 36"/>
    <w:qFormat/>
    <w:rsid w:val="000827B2"/>
    <w:rPr>
      <w:u w:val="none"/>
    </w:rPr>
  </w:style>
  <w:style w:type="character" w:customStyle="1" w:styleId="ListLabel37">
    <w:name w:val="ListLabel 37"/>
    <w:qFormat/>
    <w:rsid w:val="000827B2"/>
    <w:rPr>
      <w:u w:val="none"/>
    </w:rPr>
  </w:style>
  <w:style w:type="character" w:customStyle="1" w:styleId="ListLabel38">
    <w:name w:val="ListLabel 38"/>
    <w:qFormat/>
    <w:rsid w:val="000827B2"/>
    <w:rPr>
      <w:u w:val="none"/>
    </w:rPr>
  </w:style>
  <w:style w:type="character" w:customStyle="1" w:styleId="ListLabel39">
    <w:name w:val="ListLabel 39"/>
    <w:qFormat/>
    <w:rsid w:val="000827B2"/>
    <w:rPr>
      <w:u w:val="none"/>
    </w:rPr>
  </w:style>
  <w:style w:type="character" w:customStyle="1" w:styleId="ListLabel40">
    <w:name w:val="ListLabel 40"/>
    <w:qFormat/>
    <w:rsid w:val="000827B2"/>
    <w:rPr>
      <w:u w:val="none"/>
    </w:rPr>
  </w:style>
  <w:style w:type="character" w:customStyle="1" w:styleId="ListLabel41">
    <w:name w:val="ListLabel 41"/>
    <w:qFormat/>
    <w:rsid w:val="000827B2"/>
    <w:rPr>
      <w:u w:val="none"/>
    </w:rPr>
  </w:style>
  <w:style w:type="character" w:customStyle="1" w:styleId="ListLabel42">
    <w:name w:val="ListLabel 42"/>
    <w:qFormat/>
    <w:rsid w:val="000827B2"/>
    <w:rPr>
      <w:u w:val="none"/>
    </w:rPr>
  </w:style>
  <w:style w:type="character" w:customStyle="1" w:styleId="ListLabel43">
    <w:name w:val="ListLabel 43"/>
    <w:qFormat/>
    <w:rsid w:val="000827B2"/>
    <w:rPr>
      <w:u w:val="none"/>
    </w:rPr>
  </w:style>
  <w:style w:type="character" w:customStyle="1" w:styleId="ListLabel44">
    <w:name w:val="ListLabel 44"/>
    <w:qFormat/>
    <w:rsid w:val="000827B2"/>
    <w:rPr>
      <w:u w:val="none"/>
    </w:rPr>
  </w:style>
  <w:style w:type="character" w:customStyle="1" w:styleId="ListLabel45">
    <w:name w:val="ListLabel 45"/>
    <w:qFormat/>
    <w:rsid w:val="000827B2"/>
    <w:rPr>
      <w:u w:val="none"/>
    </w:rPr>
  </w:style>
  <w:style w:type="character" w:customStyle="1" w:styleId="ListLabel46">
    <w:name w:val="ListLabel 46"/>
    <w:qFormat/>
    <w:rsid w:val="000827B2"/>
    <w:rPr>
      <w:rFonts w:asciiTheme="minorHAnsi" w:hAnsiTheme="minorHAnsi"/>
      <w:sz w:val="24"/>
      <w:szCs w:val="24"/>
      <w:lang w:val="en-US"/>
    </w:rPr>
  </w:style>
  <w:style w:type="character" w:customStyle="1" w:styleId="ListLabel47">
    <w:name w:val="ListLabel 47"/>
    <w:qFormat/>
    <w:rsid w:val="000827B2"/>
    <w:rPr>
      <w:rFonts w:asciiTheme="minorHAnsi" w:eastAsia="Times New Roman" w:hAnsiTheme="minorHAnsi" w:cs="Times New Roman"/>
      <w:sz w:val="24"/>
      <w:szCs w:val="24"/>
      <w:lang w:val="en-GB"/>
    </w:rPr>
  </w:style>
  <w:style w:type="character" w:customStyle="1" w:styleId="ListLabel48">
    <w:name w:val="ListLabel 48"/>
    <w:qFormat/>
    <w:rsid w:val="000827B2"/>
    <w:rPr>
      <w:rFonts w:ascii="Cambria" w:eastAsia="Times New Roman" w:hAnsi="Cambria" w:cs="Times New Roman"/>
      <w:sz w:val="24"/>
      <w:szCs w:val="24"/>
      <w:u w:val="single"/>
      <w:lang w:val="en-GB"/>
    </w:rPr>
  </w:style>
  <w:style w:type="character" w:customStyle="1" w:styleId="ListLabel49">
    <w:name w:val="ListLabel 49"/>
    <w:qFormat/>
    <w:rsid w:val="000827B2"/>
    <w:rPr>
      <w:rFonts w:ascii="Cambria" w:eastAsia="Times New Roman" w:hAnsi="Cambria" w:cs="Times New Roman"/>
      <w:color w:val="1155CC"/>
      <w:sz w:val="24"/>
      <w:szCs w:val="24"/>
      <w:u w:val="single"/>
      <w:lang w:val="en-GB"/>
    </w:rPr>
  </w:style>
  <w:style w:type="character" w:customStyle="1" w:styleId="ListLabel50">
    <w:name w:val="ListLabel 50"/>
    <w:qFormat/>
    <w:rsid w:val="000827B2"/>
    <w:rPr>
      <w:rFonts w:ascii="Cambria" w:eastAsia="Times New Roman" w:hAnsi="Cambria" w:cs="Times New Roman"/>
      <w:sz w:val="24"/>
      <w:szCs w:val="24"/>
      <w:lang w:val="en-GB"/>
    </w:rPr>
  </w:style>
  <w:style w:type="character" w:customStyle="1" w:styleId="a3">
    <w:name w:val="Символ сноски"/>
    <w:qFormat/>
    <w:rsid w:val="000827B2"/>
  </w:style>
  <w:style w:type="character" w:customStyle="1" w:styleId="a4">
    <w:name w:val="Привязка сноски"/>
    <w:rsid w:val="000827B2"/>
    <w:rPr>
      <w:vertAlign w:val="superscript"/>
    </w:rPr>
  </w:style>
  <w:style w:type="character" w:customStyle="1" w:styleId="a5">
    <w:name w:val="Привязка концевой сноски"/>
    <w:rsid w:val="000827B2"/>
    <w:rPr>
      <w:vertAlign w:val="superscript"/>
    </w:rPr>
  </w:style>
  <w:style w:type="character" w:customStyle="1" w:styleId="a6">
    <w:name w:val="Символ концевой сноски"/>
    <w:qFormat/>
    <w:rsid w:val="000827B2"/>
  </w:style>
  <w:style w:type="paragraph" w:customStyle="1" w:styleId="a7">
    <w:name w:val="Заголовок"/>
    <w:basedOn w:val="Normal"/>
    <w:next w:val="BodyText"/>
    <w:qFormat/>
    <w:rsid w:val="000827B2"/>
    <w:pPr>
      <w:keepNext/>
      <w:spacing w:before="240" w:after="120"/>
    </w:pPr>
    <w:rPr>
      <w:rFonts w:ascii="Liberation Sans" w:eastAsia="PingFang SC" w:hAnsi="Liberation Sans" w:cs="Arial Unicode MS"/>
      <w:sz w:val="28"/>
      <w:szCs w:val="28"/>
    </w:rPr>
  </w:style>
  <w:style w:type="paragraph" w:styleId="BodyText">
    <w:name w:val="Body Text"/>
    <w:basedOn w:val="Normal"/>
    <w:rsid w:val="000827B2"/>
    <w:pPr>
      <w:spacing w:after="140"/>
    </w:pPr>
  </w:style>
  <w:style w:type="paragraph" w:styleId="List">
    <w:name w:val="List"/>
    <w:basedOn w:val="BodyText"/>
    <w:rsid w:val="000827B2"/>
    <w:rPr>
      <w:rFonts w:cs="Arial Unicode MS"/>
    </w:rPr>
  </w:style>
  <w:style w:type="paragraph" w:customStyle="1" w:styleId="Caption1">
    <w:name w:val="Caption1"/>
    <w:basedOn w:val="Normal"/>
    <w:qFormat/>
    <w:rsid w:val="000827B2"/>
    <w:pPr>
      <w:suppressLineNumbers/>
      <w:spacing w:before="120" w:after="120"/>
    </w:pPr>
    <w:rPr>
      <w:rFonts w:cs="Arial Unicode MS"/>
      <w:i/>
      <w:iCs/>
      <w:sz w:val="24"/>
      <w:szCs w:val="24"/>
    </w:rPr>
  </w:style>
  <w:style w:type="paragraph" w:styleId="IndexHeading">
    <w:name w:val="index heading"/>
    <w:basedOn w:val="Normal"/>
    <w:qFormat/>
    <w:rsid w:val="000827B2"/>
    <w:pPr>
      <w:suppressLineNumbers/>
    </w:pPr>
    <w:rPr>
      <w:rFonts w:cs="Arial Unicode MS"/>
    </w:rPr>
  </w:style>
  <w:style w:type="paragraph" w:styleId="Title">
    <w:name w:val="Title"/>
    <w:basedOn w:val="Normal"/>
    <w:next w:val="Normal"/>
    <w:uiPriority w:val="10"/>
    <w:qFormat/>
    <w:rsid w:val="000827B2"/>
    <w:pPr>
      <w:keepNext/>
      <w:keepLines/>
      <w:spacing w:before="240" w:after="240"/>
      <w:jc w:val="both"/>
    </w:pPr>
    <w:rPr>
      <w:rFonts w:ascii="Times New Roman" w:eastAsia="Times New Roman" w:hAnsi="Times New Roman" w:cs="Times New Roman"/>
      <w:b/>
    </w:rPr>
  </w:style>
  <w:style w:type="paragraph" w:styleId="Subtitle">
    <w:name w:val="Subtitle"/>
    <w:basedOn w:val="Normal"/>
    <w:next w:val="Normal"/>
    <w:uiPriority w:val="11"/>
    <w:qFormat/>
    <w:rsid w:val="000827B2"/>
    <w:pPr>
      <w:keepNext/>
      <w:keepLines/>
      <w:spacing w:after="320"/>
    </w:pPr>
    <w:rPr>
      <w:color w:val="666666"/>
      <w:sz w:val="30"/>
      <w:szCs w:val="30"/>
    </w:rPr>
  </w:style>
  <w:style w:type="paragraph" w:styleId="CommentText">
    <w:name w:val="annotation text"/>
    <w:basedOn w:val="Normal"/>
    <w:uiPriority w:val="99"/>
    <w:semiHidden/>
    <w:unhideWhenUsed/>
    <w:qFormat/>
    <w:rsid w:val="000827B2"/>
    <w:pPr>
      <w:spacing w:line="240" w:lineRule="auto"/>
    </w:pPr>
    <w:rPr>
      <w:sz w:val="20"/>
      <w:szCs w:val="20"/>
    </w:rPr>
  </w:style>
  <w:style w:type="paragraph" w:styleId="BalloonText">
    <w:name w:val="Balloon Text"/>
    <w:basedOn w:val="Normal"/>
    <w:uiPriority w:val="99"/>
    <w:semiHidden/>
    <w:unhideWhenUsed/>
    <w:qFormat/>
    <w:rsid w:val="00C000C6"/>
    <w:pPr>
      <w:spacing w:line="240" w:lineRule="auto"/>
    </w:pPr>
    <w:rPr>
      <w:rFonts w:ascii="Segoe UI" w:hAnsi="Segoe UI" w:cs="Segoe UI"/>
      <w:sz w:val="18"/>
      <w:szCs w:val="18"/>
    </w:rPr>
  </w:style>
  <w:style w:type="paragraph" w:styleId="ListParagraph">
    <w:name w:val="List Paragraph"/>
    <w:basedOn w:val="Normal"/>
    <w:uiPriority w:val="34"/>
    <w:qFormat/>
    <w:rsid w:val="0021168C"/>
    <w:pPr>
      <w:ind w:left="720"/>
      <w:contextualSpacing/>
    </w:pPr>
  </w:style>
  <w:style w:type="paragraph" w:customStyle="1" w:styleId="Header1">
    <w:name w:val="Header1"/>
    <w:basedOn w:val="Normal"/>
    <w:uiPriority w:val="99"/>
    <w:unhideWhenUsed/>
    <w:rsid w:val="00BE521C"/>
    <w:pPr>
      <w:tabs>
        <w:tab w:val="center" w:pos="4677"/>
        <w:tab w:val="right" w:pos="9355"/>
      </w:tabs>
      <w:spacing w:line="240" w:lineRule="auto"/>
    </w:pPr>
  </w:style>
  <w:style w:type="paragraph" w:customStyle="1" w:styleId="Footer1">
    <w:name w:val="Footer1"/>
    <w:basedOn w:val="Normal"/>
    <w:uiPriority w:val="99"/>
    <w:unhideWhenUsed/>
    <w:rsid w:val="00BE521C"/>
    <w:pPr>
      <w:tabs>
        <w:tab w:val="center" w:pos="4677"/>
        <w:tab w:val="right" w:pos="9355"/>
      </w:tabs>
      <w:spacing w:line="240" w:lineRule="auto"/>
    </w:pPr>
  </w:style>
  <w:style w:type="paragraph" w:customStyle="1" w:styleId="FootnoteText1">
    <w:name w:val="Footnote Text1"/>
    <w:basedOn w:val="Normal"/>
    <w:rsid w:val="000827B2"/>
    <w:pPr>
      <w:suppressLineNumbers/>
      <w:ind w:left="339" w:hanging="339"/>
    </w:pPr>
    <w:rPr>
      <w:sz w:val="20"/>
      <w:szCs w:val="20"/>
    </w:rPr>
  </w:style>
  <w:style w:type="table" w:customStyle="1" w:styleId="TableNormal1">
    <w:name w:val="Table Normal1"/>
    <w:rsid w:val="000827B2"/>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17131E"/>
    <w:pPr>
      <w:spacing w:line="240" w:lineRule="auto"/>
    </w:pPr>
    <w:rPr>
      <w:sz w:val="20"/>
      <w:szCs w:val="20"/>
    </w:rPr>
  </w:style>
  <w:style w:type="character" w:customStyle="1" w:styleId="FootnoteTextChar">
    <w:name w:val="Footnote Text Char"/>
    <w:basedOn w:val="DefaultParagraphFont"/>
    <w:link w:val="FootnoteText"/>
    <w:uiPriority w:val="99"/>
    <w:semiHidden/>
    <w:rsid w:val="0017131E"/>
    <w:rPr>
      <w:sz w:val="20"/>
      <w:szCs w:val="20"/>
    </w:rPr>
  </w:style>
  <w:style w:type="character" w:styleId="FootnoteReference">
    <w:name w:val="footnote reference"/>
    <w:basedOn w:val="DefaultParagraphFont"/>
    <w:uiPriority w:val="99"/>
    <w:semiHidden/>
    <w:unhideWhenUsed/>
    <w:rsid w:val="00171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dinf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ohr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lushkova@memohrc.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vdinfo.org/reports/iskusstvo-zapreta" TargetMode="External"/><Relationship Id="rId2" Type="http://schemas.openxmlformats.org/officeDocument/2006/relationships/hyperlink" Target="https://ovdinfo.org/reports/iskusstvo-zapreta" TargetMode="External"/><Relationship Id="rId1" Type="http://schemas.openxmlformats.org/officeDocument/2006/relationships/hyperlink" Target="https://delo212.ru/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1910CC-E024-434D-91FC-5B2368B7A931}">
  <ds:schemaRefs>
    <ds:schemaRef ds:uri="http://schemas.openxmlformats.org/officeDocument/2006/bibliography"/>
  </ds:schemaRefs>
</ds:datastoreItem>
</file>

<file path=customXml/itemProps2.xml><?xml version="1.0" encoding="utf-8"?>
<ds:datastoreItem xmlns:ds="http://schemas.openxmlformats.org/officeDocument/2006/customXml" ds:itemID="{BB948335-07D0-4527-8F0A-9816F5347D30}"/>
</file>

<file path=customXml/itemProps3.xml><?xml version="1.0" encoding="utf-8"?>
<ds:datastoreItem xmlns:ds="http://schemas.openxmlformats.org/officeDocument/2006/customXml" ds:itemID="{A7879866-2A18-4A54-B195-8CB9E43F8DC1}"/>
</file>

<file path=customXml/itemProps4.xml><?xml version="1.0" encoding="utf-8"?>
<ds:datastoreItem xmlns:ds="http://schemas.openxmlformats.org/officeDocument/2006/customXml" ds:itemID="{A7D931BB-45D6-45F7-9241-9D6CE2C50473}"/>
</file>

<file path=docProps/app.xml><?xml version="1.0" encoding="utf-8"?>
<Properties xmlns="http://schemas.openxmlformats.org/officeDocument/2006/extended-properties" xmlns:vt="http://schemas.openxmlformats.org/officeDocument/2006/docPropsVTypes">
  <Template>Normal.dotm</Template>
  <TotalTime>0</TotalTime>
  <Pages>13</Pages>
  <Words>4256</Words>
  <Characters>24261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ROSNIANSKY Cherry Lou</cp:lastModifiedBy>
  <cp:revision>2</cp:revision>
  <dcterms:created xsi:type="dcterms:W3CDTF">2020-02-23T20:47:00Z</dcterms:created>
  <dcterms:modified xsi:type="dcterms:W3CDTF">2020-02-23T20:47:00Z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