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63C34" w14:textId="2687B2C7" w:rsidR="00570138" w:rsidRPr="00AA1676" w:rsidRDefault="00570138" w:rsidP="00B24CAD">
      <w:pPr>
        <w:contextualSpacing/>
        <w:jc w:val="center"/>
        <w:rPr>
          <w:rFonts w:ascii="Cambria" w:hAnsi="Cambria"/>
          <w:b/>
          <w:sz w:val="22"/>
          <w:szCs w:val="22"/>
        </w:rPr>
      </w:pPr>
      <w:r w:rsidRPr="00AA1676">
        <w:rPr>
          <w:rFonts w:ascii="Cambria" w:eastAsia="Calibri" w:hAnsi="Cambria" w:cs="Times New Roman"/>
          <w:noProof/>
          <w:sz w:val="22"/>
          <w:szCs w:val="22"/>
        </w:rPr>
        <w:drawing>
          <wp:anchor distT="0" distB="0" distL="114300" distR="114300" simplePos="0" relativeHeight="251659264" behindDoc="1" locked="1" layoutInCell="1" allowOverlap="1" wp14:anchorId="6703DB97" wp14:editId="0883A072">
            <wp:simplePos x="0" y="0"/>
            <wp:positionH relativeFrom="page">
              <wp:posOffset>-217805</wp:posOffset>
            </wp:positionH>
            <wp:positionV relativeFrom="page">
              <wp:posOffset>3810</wp:posOffset>
            </wp:positionV>
            <wp:extent cx="7991475" cy="10385425"/>
            <wp:effectExtent l="0" t="0" r="0" b="3175"/>
            <wp:wrapNone/>
            <wp:docPr id="4"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1475" cy="1038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2BD08C" w14:textId="77777777" w:rsidR="00570138" w:rsidRPr="00AA1676" w:rsidRDefault="00570138" w:rsidP="00B24CAD">
      <w:pPr>
        <w:contextualSpacing/>
        <w:jc w:val="center"/>
        <w:rPr>
          <w:rFonts w:ascii="Cambria" w:hAnsi="Cambria"/>
          <w:b/>
          <w:sz w:val="22"/>
          <w:szCs w:val="22"/>
        </w:rPr>
      </w:pPr>
    </w:p>
    <w:p w14:paraId="2ECCF4C0" w14:textId="77777777" w:rsidR="00570138" w:rsidRPr="00AA1676" w:rsidRDefault="00570138" w:rsidP="00B24CAD">
      <w:pPr>
        <w:contextualSpacing/>
        <w:jc w:val="center"/>
        <w:rPr>
          <w:rFonts w:ascii="Cambria" w:hAnsi="Cambria"/>
          <w:b/>
          <w:sz w:val="22"/>
          <w:szCs w:val="22"/>
        </w:rPr>
      </w:pPr>
    </w:p>
    <w:p w14:paraId="235C0029" w14:textId="77777777" w:rsidR="00AA1676" w:rsidRPr="00AA1676" w:rsidRDefault="00AA1676" w:rsidP="00AA1676">
      <w:pPr>
        <w:pStyle w:val="ListParagraph"/>
        <w:spacing w:before="0" w:beforeAutospacing="0" w:after="0" w:afterAutospacing="0"/>
        <w:contextualSpacing/>
        <w:jc w:val="center"/>
        <w:rPr>
          <w:rFonts w:ascii="Cambria" w:hAnsi="Cambria"/>
          <w:b/>
          <w:sz w:val="22"/>
          <w:szCs w:val="22"/>
        </w:rPr>
      </w:pPr>
    </w:p>
    <w:p w14:paraId="701C59B1" w14:textId="77777777" w:rsidR="00AA1676" w:rsidRPr="00AA1676" w:rsidRDefault="00AA1676" w:rsidP="00AA1676">
      <w:pPr>
        <w:pStyle w:val="ListParagraph"/>
        <w:spacing w:before="0" w:beforeAutospacing="0" w:after="0" w:afterAutospacing="0"/>
        <w:contextualSpacing/>
        <w:jc w:val="center"/>
        <w:rPr>
          <w:rFonts w:ascii="Cambria" w:hAnsi="Cambria"/>
          <w:b/>
          <w:sz w:val="22"/>
          <w:szCs w:val="22"/>
        </w:rPr>
      </w:pPr>
    </w:p>
    <w:p w14:paraId="318A7349" w14:textId="77777777" w:rsidR="00AA1676" w:rsidRPr="00AA1676" w:rsidRDefault="00AA1676" w:rsidP="00AA1676">
      <w:pPr>
        <w:pStyle w:val="ListParagraph"/>
        <w:spacing w:before="0" w:beforeAutospacing="0" w:after="0" w:afterAutospacing="0"/>
        <w:contextualSpacing/>
        <w:jc w:val="center"/>
        <w:rPr>
          <w:rFonts w:ascii="Cambria" w:hAnsi="Cambria"/>
          <w:b/>
          <w:sz w:val="22"/>
          <w:szCs w:val="22"/>
        </w:rPr>
      </w:pPr>
    </w:p>
    <w:p w14:paraId="05D96AE6" w14:textId="0AA9DCDB" w:rsidR="00B24CAD" w:rsidRPr="00AA1676" w:rsidRDefault="00216A68" w:rsidP="00AA1676">
      <w:pPr>
        <w:pStyle w:val="ListParagraph"/>
        <w:spacing w:before="0" w:beforeAutospacing="0" w:after="0" w:afterAutospacing="0"/>
        <w:contextualSpacing/>
        <w:jc w:val="center"/>
        <w:rPr>
          <w:rFonts w:ascii="Cambria" w:hAnsi="Cambria"/>
          <w:b/>
          <w:sz w:val="22"/>
          <w:szCs w:val="22"/>
        </w:rPr>
      </w:pPr>
      <w:r w:rsidRPr="00AA1676">
        <w:rPr>
          <w:rFonts w:ascii="Cambria" w:hAnsi="Cambria"/>
          <w:b/>
          <w:sz w:val="22"/>
          <w:szCs w:val="22"/>
        </w:rPr>
        <w:t>The Equal Rights Trust</w:t>
      </w:r>
    </w:p>
    <w:p w14:paraId="1592AF28" w14:textId="77777777" w:rsidR="00B24CAD" w:rsidRPr="00AA1676" w:rsidRDefault="00B24CAD" w:rsidP="00AA1676">
      <w:pPr>
        <w:pStyle w:val="ListParagraph"/>
        <w:spacing w:before="0" w:beforeAutospacing="0" w:after="0" w:afterAutospacing="0"/>
        <w:contextualSpacing/>
        <w:jc w:val="center"/>
        <w:rPr>
          <w:rFonts w:ascii="Cambria" w:hAnsi="Cambria"/>
          <w:b/>
          <w:sz w:val="22"/>
          <w:szCs w:val="22"/>
        </w:rPr>
      </w:pPr>
    </w:p>
    <w:p w14:paraId="128A63C9" w14:textId="613D4052" w:rsidR="00570138" w:rsidRPr="00AA1676" w:rsidRDefault="00570138" w:rsidP="00AA1676">
      <w:pPr>
        <w:pStyle w:val="ListParagraph"/>
        <w:spacing w:before="0" w:beforeAutospacing="0" w:after="0" w:afterAutospacing="0"/>
        <w:contextualSpacing/>
        <w:jc w:val="center"/>
        <w:rPr>
          <w:rFonts w:ascii="Cambria" w:hAnsi="Cambria"/>
          <w:b/>
          <w:color w:val="000000" w:themeColor="text1"/>
          <w:sz w:val="22"/>
          <w:szCs w:val="22"/>
        </w:rPr>
      </w:pPr>
      <w:r w:rsidRPr="00AA1676">
        <w:rPr>
          <w:rFonts w:ascii="Cambria" w:hAnsi="Cambria"/>
          <w:b/>
          <w:color w:val="000000" w:themeColor="text1"/>
          <w:sz w:val="22"/>
          <w:szCs w:val="22"/>
        </w:rPr>
        <w:t>Comments to the Draft General Comment No. 37 on Article 21 (Right of Peaceful Assembly) of the International Covenant on Civil and Political Rights</w:t>
      </w:r>
    </w:p>
    <w:p w14:paraId="401F70D7" w14:textId="27757410" w:rsidR="00216A68" w:rsidRPr="00AA1676" w:rsidRDefault="00216A68" w:rsidP="004C4C41">
      <w:pPr>
        <w:contextualSpacing/>
        <w:jc w:val="center"/>
        <w:rPr>
          <w:rFonts w:ascii="Cambria" w:hAnsi="Cambria"/>
          <w:bCs/>
          <w:color w:val="FF0000"/>
          <w:sz w:val="22"/>
          <w:szCs w:val="22"/>
        </w:rPr>
      </w:pPr>
    </w:p>
    <w:p w14:paraId="5FF25AA9" w14:textId="77777777" w:rsidR="00AA1676" w:rsidRPr="00AA1676" w:rsidRDefault="00AA1676" w:rsidP="004C4C41">
      <w:pPr>
        <w:contextualSpacing/>
        <w:jc w:val="center"/>
        <w:rPr>
          <w:rFonts w:ascii="Cambria" w:hAnsi="Cambria"/>
          <w:bCs/>
          <w:color w:val="FF0000"/>
          <w:sz w:val="22"/>
          <w:szCs w:val="22"/>
        </w:rPr>
      </w:pPr>
    </w:p>
    <w:p w14:paraId="378BD00B" w14:textId="1AA2C10B" w:rsidR="00216A68" w:rsidRPr="00AA1676" w:rsidRDefault="00216A68" w:rsidP="004C4C41">
      <w:pPr>
        <w:pStyle w:val="ListParagraph"/>
        <w:spacing w:before="0" w:beforeAutospacing="0" w:after="0" w:afterAutospacing="0"/>
        <w:ind w:left="720"/>
        <w:contextualSpacing/>
        <w:jc w:val="right"/>
        <w:rPr>
          <w:rFonts w:ascii="Cambria" w:hAnsi="Cambria" w:cs="Calibri"/>
          <w:i/>
          <w:iCs/>
          <w:color w:val="000000"/>
          <w:sz w:val="22"/>
          <w:szCs w:val="22"/>
        </w:rPr>
      </w:pPr>
      <w:r w:rsidRPr="00AA1676">
        <w:rPr>
          <w:rFonts w:ascii="Cambria" w:hAnsi="Cambria" w:cs="Calibri"/>
          <w:i/>
          <w:iCs/>
          <w:color w:val="000000"/>
          <w:sz w:val="22"/>
          <w:szCs w:val="22"/>
        </w:rPr>
        <w:t>February 2020</w:t>
      </w:r>
    </w:p>
    <w:p w14:paraId="76D472AE" w14:textId="77777777" w:rsidR="00334E53" w:rsidRPr="00AA1676" w:rsidRDefault="00334E53" w:rsidP="004C4C41">
      <w:pPr>
        <w:contextualSpacing/>
        <w:rPr>
          <w:rFonts w:ascii="Cambria" w:hAnsi="Cambria" w:cs="Calibri"/>
          <w:b/>
          <w:bCs/>
          <w:color w:val="000000"/>
          <w:sz w:val="22"/>
          <w:szCs w:val="22"/>
          <w:u w:val="single"/>
        </w:rPr>
      </w:pPr>
    </w:p>
    <w:p w14:paraId="7912DD60" w14:textId="77777777" w:rsidR="00A73A71" w:rsidRPr="00AA1676" w:rsidRDefault="00A73A71" w:rsidP="004C4C41">
      <w:pPr>
        <w:contextualSpacing/>
        <w:rPr>
          <w:rFonts w:ascii="Cambria" w:hAnsi="Cambria" w:cs="Calibri"/>
          <w:b/>
          <w:bCs/>
          <w:color w:val="000000"/>
          <w:sz w:val="22"/>
          <w:szCs w:val="22"/>
          <w:u w:val="single"/>
        </w:rPr>
      </w:pPr>
    </w:p>
    <w:p w14:paraId="18965977" w14:textId="5CCB29E3" w:rsidR="00216A68" w:rsidRPr="00AA1676" w:rsidRDefault="00216A68" w:rsidP="004C4C41">
      <w:pPr>
        <w:contextualSpacing/>
        <w:rPr>
          <w:rFonts w:ascii="Cambria" w:hAnsi="Cambria" w:cs="Calibri"/>
          <w:b/>
          <w:bCs/>
          <w:color w:val="000000"/>
          <w:sz w:val="22"/>
          <w:szCs w:val="22"/>
          <w:u w:val="single"/>
        </w:rPr>
      </w:pPr>
      <w:r w:rsidRPr="00AA1676">
        <w:rPr>
          <w:rFonts w:ascii="Cambria" w:hAnsi="Cambria" w:cs="Calibri"/>
          <w:b/>
          <w:bCs/>
          <w:color w:val="000000"/>
          <w:sz w:val="22"/>
          <w:szCs w:val="22"/>
          <w:u w:val="single"/>
        </w:rPr>
        <w:t>Introduction</w:t>
      </w:r>
    </w:p>
    <w:p w14:paraId="5991F176" w14:textId="4EE9176E" w:rsidR="00216A68" w:rsidRPr="00AA1676" w:rsidRDefault="00216A68" w:rsidP="004C4C41">
      <w:pPr>
        <w:contextualSpacing/>
        <w:rPr>
          <w:rFonts w:ascii="Cambria" w:eastAsia="Times New Roman" w:hAnsi="Cambria" w:cs="Calibri"/>
          <w:b/>
          <w:bCs/>
          <w:color w:val="000000"/>
          <w:sz w:val="22"/>
          <w:szCs w:val="22"/>
          <w:u w:val="single"/>
        </w:rPr>
      </w:pPr>
    </w:p>
    <w:p w14:paraId="7BFF9194" w14:textId="0F919905" w:rsidR="00B24CAD" w:rsidRPr="00AA1676" w:rsidRDefault="00216A68" w:rsidP="004C4C41">
      <w:pPr>
        <w:pStyle w:val="ListParagraph"/>
        <w:numPr>
          <w:ilvl w:val="0"/>
          <w:numId w:val="27"/>
        </w:numPr>
        <w:adjustRightInd w:val="0"/>
        <w:spacing w:before="0" w:beforeAutospacing="0" w:after="0" w:afterAutospacing="0"/>
        <w:contextualSpacing/>
        <w:jc w:val="both"/>
        <w:rPr>
          <w:rFonts w:ascii="Cambria" w:hAnsi="Cambria" w:cs="Calibri"/>
          <w:color w:val="000000" w:themeColor="text1"/>
          <w:sz w:val="22"/>
          <w:szCs w:val="22"/>
          <w:u w:val="single"/>
        </w:rPr>
      </w:pPr>
      <w:r w:rsidRPr="00AA1676">
        <w:rPr>
          <w:rFonts w:ascii="Cambria" w:hAnsi="Cambria" w:cs="Calibri"/>
          <w:color w:val="000000" w:themeColor="text1"/>
          <w:sz w:val="22"/>
          <w:szCs w:val="22"/>
        </w:rPr>
        <w:t>The Equal Rights Trust (</w:t>
      </w:r>
      <w:r w:rsidR="004347CF" w:rsidRPr="00AA1676">
        <w:rPr>
          <w:rFonts w:ascii="Cambria" w:hAnsi="Cambria" w:cs="Calibri"/>
          <w:color w:val="000000" w:themeColor="text1"/>
          <w:sz w:val="22"/>
          <w:szCs w:val="22"/>
        </w:rPr>
        <w:t>ERT</w:t>
      </w:r>
      <w:r w:rsidRPr="00AA1676">
        <w:rPr>
          <w:rFonts w:ascii="Cambria" w:hAnsi="Cambria" w:cs="Calibri"/>
          <w:color w:val="000000" w:themeColor="text1"/>
          <w:sz w:val="22"/>
          <w:szCs w:val="22"/>
        </w:rPr>
        <w:t>) is grateful for this opportunity to</w:t>
      </w:r>
      <w:r w:rsidR="00570138" w:rsidRPr="00AA1676">
        <w:rPr>
          <w:rFonts w:ascii="Cambria" w:hAnsi="Cambria" w:cs="Calibri"/>
          <w:color w:val="000000" w:themeColor="text1"/>
          <w:sz w:val="22"/>
          <w:szCs w:val="22"/>
        </w:rPr>
        <w:t xml:space="preserve"> provide</w:t>
      </w:r>
      <w:r w:rsidRPr="00AA1676">
        <w:rPr>
          <w:rFonts w:ascii="Cambria" w:hAnsi="Cambria" w:cs="Calibri"/>
          <w:color w:val="000000" w:themeColor="text1"/>
          <w:sz w:val="22"/>
          <w:szCs w:val="22"/>
        </w:rPr>
        <w:t xml:space="preserve"> comment</w:t>
      </w:r>
      <w:r w:rsidR="00570138" w:rsidRPr="00AA1676">
        <w:rPr>
          <w:rFonts w:ascii="Cambria" w:hAnsi="Cambria" w:cs="Calibri"/>
          <w:color w:val="000000" w:themeColor="text1"/>
          <w:sz w:val="22"/>
          <w:szCs w:val="22"/>
        </w:rPr>
        <w:t>s</w:t>
      </w:r>
      <w:r w:rsidRPr="00AA1676">
        <w:rPr>
          <w:rFonts w:ascii="Cambria" w:hAnsi="Cambria" w:cs="Calibri"/>
          <w:color w:val="000000" w:themeColor="text1"/>
          <w:sz w:val="22"/>
          <w:szCs w:val="22"/>
        </w:rPr>
        <w:t xml:space="preserve"> on the revised draft General Comment No. 37 </w:t>
      </w:r>
      <w:r w:rsidR="00DD398C" w:rsidRPr="00AA1676">
        <w:rPr>
          <w:rFonts w:ascii="Cambria" w:hAnsi="Cambria" w:cs="Calibri"/>
          <w:color w:val="000000" w:themeColor="text1"/>
          <w:sz w:val="22"/>
          <w:szCs w:val="22"/>
        </w:rPr>
        <w:t xml:space="preserve">on Article 21 </w:t>
      </w:r>
      <w:r w:rsidR="00B24CAD" w:rsidRPr="00AA1676">
        <w:rPr>
          <w:rFonts w:ascii="Cambria" w:hAnsi="Cambria" w:cs="Calibri"/>
          <w:color w:val="000000" w:themeColor="text1"/>
          <w:sz w:val="22"/>
          <w:szCs w:val="22"/>
        </w:rPr>
        <w:t>(right of peaceful assembly)</w:t>
      </w:r>
      <w:r w:rsidR="004347CF" w:rsidRPr="00AA1676">
        <w:rPr>
          <w:rFonts w:ascii="Cambria" w:hAnsi="Cambria" w:cs="Calibri"/>
          <w:color w:val="000000" w:themeColor="text1"/>
          <w:sz w:val="22"/>
          <w:szCs w:val="22"/>
        </w:rPr>
        <w:t>.</w:t>
      </w:r>
      <w:r w:rsidR="00B24CAD" w:rsidRPr="00AA1676">
        <w:rPr>
          <w:rFonts w:ascii="Cambria" w:hAnsi="Cambria" w:cs="Calibri"/>
          <w:color w:val="000000" w:themeColor="text1"/>
          <w:sz w:val="22"/>
          <w:szCs w:val="22"/>
        </w:rPr>
        <w:t xml:space="preserve"> </w:t>
      </w:r>
    </w:p>
    <w:p w14:paraId="676BB8B4" w14:textId="77777777" w:rsidR="00B24CAD" w:rsidRPr="00AA1676" w:rsidRDefault="00B24CAD" w:rsidP="004C4C41">
      <w:pPr>
        <w:pStyle w:val="ListParagraph"/>
        <w:adjustRightInd w:val="0"/>
        <w:spacing w:before="0" w:beforeAutospacing="0" w:after="0" w:afterAutospacing="0"/>
        <w:ind w:left="360"/>
        <w:contextualSpacing/>
        <w:jc w:val="both"/>
        <w:rPr>
          <w:rFonts w:ascii="Cambria" w:hAnsi="Cambria" w:cs="Calibri"/>
          <w:color w:val="000000" w:themeColor="text1"/>
          <w:sz w:val="22"/>
          <w:szCs w:val="22"/>
          <w:u w:val="single"/>
        </w:rPr>
      </w:pPr>
    </w:p>
    <w:p w14:paraId="2B790125" w14:textId="17B62245" w:rsidR="00834B1E" w:rsidRPr="00AA1676" w:rsidRDefault="00C32A85" w:rsidP="004C4C41">
      <w:pPr>
        <w:pStyle w:val="ListParagraph"/>
        <w:numPr>
          <w:ilvl w:val="0"/>
          <w:numId w:val="27"/>
        </w:numPr>
        <w:adjustRightInd w:val="0"/>
        <w:spacing w:before="0" w:beforeAutospacing="0" w:after="0" w:afterAutospacing="0"/>
        <w:contextualSpacing/>
        <w:jc w:val="both"/>
        <w:rPr>
          <w:rFonts w:ascii="Cambria" w:hAnsi="Cambria" w:cs="Calibri"/>
          <w:color w:val="000000" w:themeColor="text1"/>
          <w:sz w:val="22"/>
          <w:szCs w:val="22"/>
          <w:u w:val="single"/>
        </w:rPr>
      </w:pPr>
      <w:r w:rsidRPr="00AA1676">
        <w:rPr>
          <w:rFonts w:ascii="Cambria" w:hAnsi="Cambria" w:cs="Calibri"/>
          <w:color w:val="000000" w:themeColor="text1"/>
          <w:sz w:val="22"/>
          <w:szCs w:val="22"/>
        </w:rPr>
        <w:t xml:space="preserve">The Equal Rights Trust is an independent international organisation whose </w:t>
      </w:r>
      <w:r w:rsidR="00463967" w:rsidRPr="00AA1676">
        <w:rPr>
          <w:rFonts w:ascii="Cambria" w:hAnsi="Cambria" w:cs="Calibri"/>
          <w:color w:val="000000" w:themeColor="text1"/>
          <w:sz w:val="22"/>
          <w:szCs w:val="22"/>
        </w:rPr>
        <w:t>mission is to eliminate all forms of discrimination and ensure everyone can participate in life on an equal basis.</w:t>
      </w:r>
      <w:r w:rsidR="00AA0B6D" w:rsidRPr="00AA1676">
        <w:rPr>
          <w:rFonts w:ascii="Cambria" w:hAnsi="Cambria" w:cs="Calibri"/>
          <w:color w:val="000000" w:themeColor="text1"/>
          <w:sz w:val="22"/>
          <w:szCs w:val="22"/>
        </w:rPr>
        <w:t xml:space="preserve"> We work in partnership with equality defenders – civil society organisations (CSOs), lawyers, government representatives and others committed to using law to create an equal world – providing them with the technical, strategic and practical support they need to </w:t>
      </w:r>
      <w:r w:rsidR="00463967" w:rsidRPr="00AA1676">
        <w:rPr>
          <w:rFonts w:ascii="Cambria" w:hAnsi="Cambria" w:cs="Calibri"/>
          <w:color w:val="000000" w:themeColor="text1"/>
          <w:sz w:val="22"/>
          <w:szCs w:val="22"/>
        </w:rPr>
        <w:t>secure</w:t>
      </w:r>
      <w:r w:rsidR="00AA0B6D" w:rsidRPr="00AA1676">
        <w:rPr>
          <w:rFonts w:ascii="Cambria" w:hAnsi="Cambria" w:cs="Calibri"/>
          <w:color w:val="000000" w:themeColor="text1"/>
          <w:sz w:val="22"/>
          <w:szCs w:val="22"/>
        </w:rPr>
        <w:t xml:space="preserve"> the adoption and implementation of comprehensive equality laws. In connection with this work, we engage with UN bodies and procedures </w:t>
      </w:r>
      <w:r w:rsidR="00463967" w:rsidRPr="00AA1676">
        <w:rPr>
          <w:rFonts w:ascii="Cambria" w:hAnsi="Cambria" w:cs="Calibri"/>
          <w:color w:val="000000" w:themeColor="text1"/>
          <w:sz w:val="22"/>
          <w:szCs w:val="22"/>
        </w:rPr>
        <w:t>with the aim of increasing</w:t>
      </w:r>
      <w:r w:rsidR="00AA0B6D" w:rsidRPr="00AA1676">
        <w:rPr>
          <w:rFonts w:ascii="Cambria" w:hAnsi="Cambria" w:cs="Calibri"/>
          <w:color w:val="000000" w:themeColor="text1"/>
          <w:sz w:val="22"/>
          <w:szCs w:val="22"/>
        </w:rPr>
        <w:t xml:space="preserve"> knowledge and understanding of equality law and its role in the realisation of other rights and development</w:t>
      </w:r>
      <w:r w:rsidR="00834B1E" w:rsidRPr="00AA1676">
        <w:rPr>
          <w:rFonts w:ascii="Cambria" w:hAnsi="Cambria" w:cs="Calibri"/>
          <w:color w:val="000000" w:themeColor="text1"/>
          <w:sz w:val="22"/>
          <w:szCs w:val="22"/>
        </w:rPr>
        <w:t>.</w:t>
      </w:r>
    </w:p>
    <w:p w14:paraId="3C96DED0" w14:textId="77777777" w:rsidR="00D3415A" w:rsidRPr="00AA1676" w:rsidRDefault="00D3415A" w:rsidP="004C4C41">
      <w:pPr>
        <w:adjustRightInd w:val="0"/>
        <w:contextualSpacing/>
        <w:jc w:val="both"/>
        <w:rPr>
          <w:rFonts w:ascii="Cambria" w:hAnsi="Cambria" w:cs="Calibri"/>
          <w:color w:val="000000" w:themeColor="text1"/>
          <w:sz w:val="22"/>
          <w:szCs w:val="22"/>
        </w:rPr>
      </w:pPr>
    </w:p>
    <w:p w14:paraId="78A6B3CB" w14:textId="29ECB9D2" w:rsidR="003F2027" w:rsidRPr="00AA1676" w:rsidRDefault="00463967" w:rsidP="004C4C41">
      <w:pPr>
        <w:pStyle w:val="ListParagraph"/>
        <w:numPr>
          <w:ilvl w:val="0"/>
          <w:numId w:val="27"/>
        </w:numPr>
        <w:spacing w:before="0" w:beforeAutospacing="0" w:after="0" w:afterAutospacing="0"/>
        <w:contextualSpacing/>
        <w:jc w:val="both"/>
        <w:rPr>
          <w:rFonts w:ascii="Cambria" w:hAnsi="Cambria" w:cs="Calibri"/>
          <w:b/>
          <w:bCs/>
          <w:color w:val="000000"/>
          <w:sz w:val="22"/>
          <w:szCs w:val="22"/>
          <w:u w:val="single"/>
        </w:rPr>
      </w:pPr>
      <w:r w:rsidRPr="00AA1676">
        <w:rPr>
          <w:rFonts w:ascii="Cambria" w:hAnsi="Cambria" w:cs="Calibri"/>
          <w:color w:val="000000"/>
          <w:sz w:val="22"/>
          <w:szCs w:val="22"/>
          <w:u w:val="single"/>
        </w:rPr>
        <w:t>Our focus in this submission and our central recommendation is that the General Comment should fully recognise the relevance of the right to non-discrimination to Article 21, both in framing the nature and scope of the right, and in determining the nature and scope of permissible restrictions.</w:t>
      </w:r>
      <w:r w:rsidRPr="00AA1676">
        <w:rPr>
          <w:rFonts w:ascii="Cambria" w:hAnsi="Cambria" w:cs="Calibri"/>
          <w:color w:val="000000"/>
          <w:sz w:val="22"/>
          <w:szCs w:val="22"/>
        </w:rPr>
        <w:t xml:space="preserve"> </w:t>
      </w:r>
      <w:r w:rsidR="00477485" w:rsidRPr="00AA1676">
        <w:rPr>
          <w:rFonts w:ascii="Cambria" w:hAnsi="Cambria" w:cs="Calibri"/>
          <w:color w:val="000000"/>
          <w:sz w:val="22"/>
          <w:szCs w:val="22"/>
        </w:rPr>
        <w:t xml:space="preserve">The </w:t>
      </w:r>
      <w:r w:rsidRPr="00AA1676">
        <w:rPr>
          <w:rFonts w:ascii="Cambria" w:hAnsi="Cambria" w:cs="Calibri"/>
          <w:color w:val="000000"/>
          <w:sz w:val="22"/>
          <w:szCs w:val="22"/>
        </w:rPr>
        <w:t xml:space="preserve">equal and </w:t>
      </w:r>
      <w:r w:rsidR="00477485" w:rsidRPr="00AA1676">
        <w:rPr>
          <w:rFonts w:ascii="Cambria" w:hAnsi="Cambria" w:cs="Calibri"/>
          <w:color w:val="000000"/>
          <w:sz w:val="22"/>
          <w:szCs w:val="22"/>
        </w:rPr>
        <w:t xml:space="preserve">unfettered enjoyment of the right of peaceful assembly is </w:t>
      </w:r>
      <w:r w:rsidRPr="00AA1676">
        <w:rPr>
          <w:rFonts w:ascii="Cambria" w:hAnsi="Cambria" w:cs="Calibri"/>
          <w:color w:val="000000"/>
          <w:sz w:val="22"/>
          <w:szCs w:val="22"/>
        </w:rPr>
        <w:t xml:space="preserve">particularly </w:t>
      </w:r>
      <w:r w:rsidR="00477485" w:rsidRPr="00AA1676">
        <w:rPr>
          <w:rFonts w:ascii="Cambria" w:hAnsi="Cambria" w:cs="Calibri"/>
          <w:color w:val="000000"/>
          <w:sz w:val="22"/>
          <w:szCs w:val="22"/>
        </w:rPr>
        <w:t xml:space="preserve">important </w:t>
      </w:r>
      <w:r w:rsidRPr="00AA1676">
        <w:rPr>
          <w:rFonts w:ascii="Cambria" w:hAnsi="Cambria" w:cs="Calibri"/>
          <w:color w:val="000000"/>
          <w:sz w:val="22"/>
          <w:szCs w:val="22"/>
        </w:rPr>
        <w:t xml:space="preserve">for </w:t>
      </w:r>
      <w:r w:rsidR="00477485" w:rsidRPr="00AA1676">
        <w:rPr>
          <w:rFonts w:ascii="Cambria" w:hAnsi="Cambria" w:cs="Calibri"/>
          <w:color w:val="000000"/>
          <w:sz w:val="22"/>
          <w:szCs w:val="22"/>
        </w:rPr>
        <w:t>groups that are at risk of exclusion, marginalisation and discrimination. Its exercise is fundamental to the affirmation and expression of identity</w:t>
      </w:r>
      <w:r w:rsidR="003F2027" w:rsidRPr="00AA1676">
        <w:rPr>
          <w:rFonts w:ascii="Cambria" w:hAnsi="Cambria" w:cs="Calibri"/>
          <w:color w:val="000000"/>
          <w:sz w:val="22"/>
          <w:szCs w:val="22"/>
        </w:rPr>
        <w:t xml:space="preserve">; </w:t>
      </w:r>
      <w:r w:rsidRPr="00AA1676">
        <w:rPr>
          <w:rFonts w:ascii="Cambria" w:hAnsi="Cambria" w:cs="Calibri"/>
          <w:color w:val="000000"/>
          <w:sz w:val="22"/>
          <w:szCs w:val="22"/>
        </w:rPr>
        <w:t>essential to</w:t>
      </w:r>
      <w:r w:rsidR="00477485" w:rsidRPr="00AA1676">
        <w:rPr>
          <w:rFonts w:ascii="Cambria" w:hAnsi="Cambria" w:cs="Calibri"/>
          <w:color w:val="000000"/>
          <w:sz w:val="22"/>
          <w:szCs w:val="22"/>
        </w:rPr>
        <w:t xml:space="preserve"> allowing </w:t>
      </w:r>
      <w:r w:rsidRPr="00AA1676">
        <w:rPr>
          <w:rFonts w:ascii="Cambria" w:hAnsi="Cambria" w:cs="Calibri"/>
          <w:color w:val="000000"/>
          <w:sz w:val="22"/>
          <w:szCs w:val="22"/>
        </w:rPr>
        <w:t>group</w:t>
      </w:r>
      <w:r w:rsidR="00477485" w:rsidRPr="00AA1676">
        <w:rPr>
          <w:rFonts w:ascii="Cambria" w:hAnsi="Cambria" w:cs="Calibri"/>
          <w:color w:val="000000"/>
          <w:sz w:val="22"/>
          <w:szCs w:val="22"/>
        </w:rPr>
        <w:t xml:space="preserve"> ideas</w:t>
      </w:r>
      <w:r w:rsidRPr="00AA1676">
        <w:rPr>
          <w:rFonts w:ascii="Cambria" w:hAnsi="Cambria" w:cs="Calibri"/>
          <w:color w:val="000000"/>
          <w:sz w:val="22"/>
          <w:szCs w:val="22"/>
        </w:rPr>
        <w:t>, beliefs</w:t>
      </w:r>
      <w:r w:rsidR="00477485" w:rsidRPr="00AA1676">
        <w:rPr>
          <w:rFonts w:ascii="Cambria" w:hAnsi="Cambria" w:cs="Calibri"/>
          <w:color w:val="000000"/>
          <w:sz w:val="22"/>
          <w:szCs w:val="22"/>
        </w:rPr>
        <w:t xml:space="preserve"> and interests to be heard and taken into account</w:t>
      </w:r>
      <w:r w:rsidR="003F2027" w:rsidRPr="00AA1676">
        <w:rPr>
          <w:rFonts w:ascii="Cambria" w:hAnsi="Cambria" w:cs="Calibri"/>
          <w:color w:val="000000"/>
          <w:sz w:val="22"/>
          <w:szCs w:val="22"/>
        </w:rPr>
        <w:t>;</w:t>
      </w:r>
      <w:r w:rsidR="00477485" w:rsidRPr="00AA1676">
        <w:rPr>
          <w:rStyle w:val="FootnoteReference"/>
          <w:rFonts w:ascii="Cambria" w:hAnsi="Cambria" w:cs="Calibri"/>
          <w:color w:val="000000"/>
          <w:sz w:val="22"/>
          <w:szCs w:val="22"/>
        </w:rPr>
        <w:footnoteReference w:id="1"/>
      </w:r>
      <w:r w:rsidR="003F2027" w:rsidRPr="00AA1676">
        <w:rPr>
          <w:rFonts w:ascii="Cambria" w:hAnsi="Cambria" w:cs="Calibri"/>
          <w:color w:val="000000"/>
          <w:sz w:val="22"/>
          <w:szCs w:val="22"/>
        </w:rPr>
        <w:t xml:space="preserve"> and necessary to ensure that those exposed to discrimination can come together to challenge it. </w:t>
      </w:r>
      <w:r w:rsidR="00477485" w:rsidRPr="00AA1676">
        <w:rPr>
          <w:rFonts w:ascii="Cambria" w:hAnsi="Cambria" w:cs="Calibri"/>
          <w:color w:val="000000"/>
          <w:sz w:val="22"/>
          <w:szCs w:val="22"/>
        </w:rPr>
        <w:t xml:space="preserve"> </w:t>
      </w:r>
    </w:p>
    <w:p w14:paraId="2A630D74" w14:textId="77777777" w:rsidR="003F2027" w:rsidRPr="00AA1676" w:rsidRDefault="003F2027" w:rsidP="00AA1676">
      <w:pPr>
        <w:pStyle w:val="ListParagraph"/>
        <w:spacing w:before="0" w:beforeAutospacing="0" w:after="0" w:afterAutospacing="0"/>
        <w:ind w:left="567"/>
        <w:contextualSpacing/>
        <w:jc w:val="both"/>
        <w:rPr>
          <w:rFonts w:ascii="Cambria" w:hAnsi="Cambria" w:cs="Calibri"/>
          <w:b/>
          <w:bCs/>
          <w:color w:val="000000"/>
          <w:sz w:val="22"/>
          <w:szCs w:val="22"/>
          <w:u w:val="single"/>
        </w:rPr>
      </w:pPr>
    </w:p>
    <w:p w14:paraId="21E9CD26" w14:textId="68C93926" w:rsidR="00541B2A" w:rsidRPr="00AA1676" w:rsidRDefault="003F2027" w:rsidP="007F7805">
      <w:pPr>
        <w:pStyle w:val="ListParagraph"/>
        <w:numPr>
          <w:ilvl w:val="0"/>
          <w:numId w:val="27"/>
        </w:numPr>
        <w:spacing w:before="0" w:beforeAutospacing="0" w:after="0" w:afterAutospacing="0"/>
        <w:contextualSpacing/>
        <w:jc w:val="both"/>
        <w:rPr>
          <w:rFonts w:ascii="Cambria" w:hAnsi="Cambria" w:cs="Calibri"/>
          <w:b/>
          <w:bCs/>
          <w:color w:val="000000"/>
          <w:sz w:val="22"/>
          <w:szCs w:val="22"/>
          <w:u w:val="single"/>
        </w:rPr>
      </w:pPr>
      <w:r w:rsidRPr="00AA1676">
        <w:rPr>
          <w:rFonts w:ascii="Cambria" w:hAnsi="Cambria" w:cs="Calibri"/>
          <w:color w:val="000000"/>
          <w:sz w:val="22"/>
          <w:szCs w:val="22"/>
        </w:rPr>
        <w:t xml:space="preserve">In our view, it is essential that the General Comment clearly asserts the importance of ensuring non-discrimination in the enjoyment of the right to freedom of assembly. As we set out below, our experience working with equality defenders around the globe is that </w:t>
      </w:r>
      <w:r w:rsidR="004D71AB" w:rsidRPr="00AA1676">
        <w:rPr>
          <w:rFonts w:ascii="Cambria" w:hAnsi="Cambria" w:cs="Calibri"/>
          <w:color w:val="000000"/>
          <w:sz w:val="22"/>
          <w:szCs w:val="22"/>
        </w:rPr>
        <w:t>barriers to the enjoyment of the right to</w:t>
      </w:r>
      <w:r w:rsidRPr="00AA1676">
        <w:rPr>
          <w:rFonts w:ascii="Cambria" w:hAnsi="Cambria" w:cs="Calibri"/>
          <w:color w:val="000000"/>
          <w:sz w:val="22"/>
          <w:szCs w:val="22"/>
        </w:rPr>
        <w:t xml:space="preserve"> freedom of assembly is frequently discriminatory in nature. Ensuring non-discrimination in the enjoyment of the right is essential both to preventing unwarranted interference and to meeting the positive duty to facilitate peaceful assembly. D</w:t>
      </w:r>
      <w:r w:rsidR="00477485" w:rsidRPr="00AA1676">
        <w:rPr>
          <w:rFonts w:ascii="Cambria" w:hAnsi="Cambria" w:cs="Calibri"/>
          <w:color w:val="000000"/>
          <w:sz w:val="22"/>
          <w:szCs w:val="22"/>
        </w:rPr>
        <w:t>enial</w:t>
      </w:r>
      <w:r w:rsidR="00463967" w:rsidRPr="00AA1676">
        <w:rPr>
          <w:rFonts w:ascii="Cambria" w:hAnsi="Cambria" w:cs="Calibri"/>
          <w:color w:val="000000"/>
          <w:sz w:val="22"/>
          <w:szCs w:val="22"/>
        </w:rPr>
        <w:t xml:space="preserve">, </w:t>
      </w:r>
      <w:r w:rsidR="00477485" w:rsidRPr="00AA1676">
        <w:rPr>
          <w:rFonts w:ascii="Cambria" w:hAnsi="Cambria" w:cs="Calibri"/>
          <w:color w:val="000000"/>
          <w:sz w:val="22"/>
          <w:szCs w:val="22"/>
        </w:rPr>
        <w:t>restriction</w:t>
      </w:r>
      <w:r w:rsidR="00463967" w:rsidRPr="00AA1676">
        <w:rPr>
          <w:rFonts w:ascii="Cambria" w:hAnsi="Cambria" w:cs="Calibri"/>
          <w:color w:val="000000"/>
          <w:sz w:val="22"/>
          <w:szCs w:val="22"/>
        </w:rPr>
        <w:t xml:space="preserve"> or limitation</w:t>
      </w:r>
      <w:r w:rsidR="00477485" w:rsidRPr="00AA1676">
        <w:rPr>
          <w:rFonts w:ascii="Cambria" w:hAnsi="Cambria" w:cs="Calibri"/>
          <w:color w:val="000000"/>
          <w:sz w:val="22"/>
          <w:szCs w:val="22"/>
        </w:rPr>
        <w:t xml:space="preserve"> of </w:t>
      </w:r>
      <w:r w:rsidRPr="00AA1676">
        <w:rPr>
          <w:rFonts w:ascii="Cambria" w:hAnsi="Cambria" w:cs="Calibri"/>
          <w:color w:val="000000"/>
          <w:sz w:val="22"/>
          <w:szCs w:val="22"/>
        </w:rPr>
        <w:t xml:space="preserve">the </w:t>
      </w:r>
      <w:r w:rsidR="00477485" w:rsidRPr="00AA1676">
        <w:rPr>
          <w:rFonts w:ascii="Cambria" w:hAnsi="Cambria" w:cs="Calibri"/>
          <w:color w:val="000000"/>
          <w:sz w:val="22"/>
          <w:szCs w:val="22"/>
        </w:rPr>
        <w:t xml:space="preserve">right </w:t>
      </w:r>
      <w:r w:rsidR="00463967" w:rsidRPr="00AA1676">
        <w:rPr>
          <w:rFonts w:ascii="Cambria" w:hAnsi="Cambria" w:cs="Calibri"/>
          <w:color w:val="000000"/>
          <w:sz w:val="22"/>
          <w:szCs w:val="22"/>
        </w:rPr>
        <w:t xml:space="preserve">has </w:t>
      </w:r>
      <w:r w:rsidR="00477485" w:rsidRPr="00AA1676">
        <w:rPr>
          <w:rFonts w:ascii="Cambria" w:hAnsi="Cambria" w:cs="Calibri"/>
          <w:color w:val="000000"/>
          <w:sz w:val="22"/>
          <w:szCs w:val="22"/>
        </w:rPr>
        <w:t xml:space="preserve">a discriminatory and disproportionate impact on groups that have </w:t>
      </w:r>
      <w:r w:rsidR="00477485" w:rsidRPr="00AA1676">
        <w:rPr>
          <w:rFonts w:ascii="Cambria" w:hAnsi="Cambria" w:cs="Calibri"/>
          <w:color w:val="000000" w:themeColor="text1"/>
          <w:sz w:val="22"/>
          <w:szCs w:val="22"/>
        </w:rPr>
        <w:t>traditionally been marginalised.</w:t>
      </w:r>
      <w:r w:rsidR="00477485" w:rsidRPr="00AA1676">
        <w:rPr>
          <w:rStyle w:val="FootnoteReference"/>
          <w:rFonts w:ascii="Cambria" w:hAnsi="Cambria" w:cs="Calibri"/>
          <w:color w:val="000000" w:themeColor="text1"/>
          <w:sz w:val="22"/>
          <w:szCs w:val="22"/>
        </w:rPr>
        <w:footnoteReference w:id="2"/>
      </w:r>
      <w:r w:rsidR="00477485" w:rsidRPr="00AA1676">
        <w:rPr>
          <w:rFonts w:ascii="Cambria" w:hAnsi="Cambria" w:cs="Calibri"/>
          <w:color w:val="000000" w:themeColor="text1"/>
          <w:sz w:val="22"/>
          <w:szCs w:val="22"/>
        </w:rPr>
        <w:t xml:space="preserve"> As noted by the Special Rapporteur on the rights to freedom of peaceful assembly and of association in </w:t>
      </w:r>
      <w:r w:rsidR="00477485" w:rsidRPr="00AA1676">
        <w:rPr>
          <w:rFonts w:ascii="Cambria" w:hAnsi="Cambria" w:cs="Calibri"/>
          <w:color w:val="000000" w:themeColor="text1"/>
          <w:sz w:val="22"/>
          <w:szCs w:val="22"/>
        </w:rPr>
        <w:lastRenderedPageBreak/>
        <w:t>his 2014 report, “certain groups are at particular risk of having their space all but vanish”</w:t>
      </w:r>
      <w:r w:rsidR="00463967" w:rsidRPr="00AA1676">
        <w:rPr>
          <w:rFonts w:ascii="Cambria" w:hAnsi="Cambria" w:cs="Calibri"/>
          <w:color w:val="000000" w:themeColor="text1"/>
          <w:sz w:val="22"/>
          <w:szCs w:val="22"/>
        </w:rPr>
        <w:t>.</w:t>
      </w:r>
      <w:r w:rsidR="00477485" w:rsidRPr="00AA1676">
        <w:rPr>
          <w:rStyle w:val="FootnoteReference"/>
          <w:rFonts w:ascii="Cambria" w:hAnsi="Cambria" w:cs="Calibri"/>
          <w:color w:val="000000" w:themeColor="text1"/>
          <w:sz w:val="22"/>
          <w:szCs w:val="22"/>
        </w:rPr>
        <w:footnoteReference w:id="3"/>
      </w:r>
      <w:r w:rsidR="00477485" w:rsidRPr="00AA1676">
        <w:rPr>
          <w:rFonts w:ascii="Cambria" w:hAnsi="Cambria" w:cs="Calibri"/>
          <w:color w:val="000000" w:themeColor="text1"/>
          <w:sz w:val="22"/>
          <w:szCs w:val="22"/>
        </w:rPr>
        <w:t xml:space="preserve"> </w:t>
      </w:r>
      <w:r w:rsidRPr="00AA1676">
        <w:rPr>
          <w:rFonts w:ascii="Cambria" w:hAnsi="Cambria" w:cs="Calibri"/>
          <w:color w:val="000000" w:themeColor="text1"/>
          <w:sz w:val="22"/>
          <w:szCs w:val="22"/>
        </w:rPr>
        <w:t xml:space="preserve">This is true both because states interfere – through legal and other means – with peaceful assemblies by communities exposed to discrimination and because they fail to facilitate such assemblies, </w:t>
      </w:r>
      <w:r w:rsidR="0004191F" w:rsidRPr="00AA1676">
        <w:rPr>
          <w:rFonts w:ascii="Cambria" w:hAnsi="Cambria" w:cs="Calibri"/>
          <w:color w:val="000000" w:themeColor="text1"/>
          <w:sz w:val="22"/>
          <w:szCs w:val="22"/>
        </w:rPr>
        <w:t>whether by failing to protect from violence of by failing to accommodate the specific needs of certain communities.</w:t>
      </w:r>
    </w:p>
    <w:p w14:paraId="46585F01" w14:textId="77777777" w:rsidR="0004191F" w:rsidRPr="00AA1676" w:rsidRDefault="0004191F" w:rsidP="00AA1676">
      <w:pPr>
        <w:pStyle w:val="ListParagraph"/>
        <w:spacing w:before="0" w:beforeAutospacing="0" w:after="0" w:afterAutospacing="0"/>
        <w:ind w:left="567"/>
        <w:contextualSpacing/>
        <w:jc w:val="both"/>
        <w:rPr>
          <w:rFonts w:ascii="Cambria" w:hAnsi="Cambria" w:cs="Calibri"/>
          <w:b/>
          <w:bCs/>
          <w:color w:val="000000"/>
          <w:sz w:val="22"/>
          <w:szCs w:val="22"/>
          <w:u w:val="single"/>
        </w:rPr>
      </w:pPr>
    </w:p>
    <w:p w14:paraId="5E950998" w14:textId="1A9C9ED5" w:rsidR="0004191F" w:rsidRPr="00AA1676" w:rsidRDefault="0004191F" w:rsidP="006E615A">
      <w:pPr>
        <w:pStyle w:val="ListParagraph"/>
        <w:numPr>
          <w:ilvl w:val="0"/>
          <w:numId w:val="27"/>
        </w:numPr>
        <w:spacing w:before="0" w:beforeAutospacing="0" w:after="0" w:afterAutospacing="0"/>
        <w:contextualSpacing/>
        <w:jc w:val="both"/>
        <w:rPr>
          <w:rFonts w:ascii="Cambria" w:hAnsi="Cambria" w:cs="Calibri"/>
          <w:b/>
          <w:bCs/>
          <w:color w:val="000000"/>
          <w:sz w:val="22"/>
          <w:szCs w:val="22"/>
          <w:u w:val="single"/>
        </w:rPr>
      </w:pPr>
      <w:r w:rsidRPr="00AA1676">
        <w:rPr>
          <w:rFonts w:ascii="Cambria" w:hAnsi="Cambria" w:cs="Calibri"/>
          <w:color w:val="000000"/>
          <w:sz w:val="22"/>
          <w:szCs w:val="22"/>
        </w:rPr>
        <w:t xml:space="preserve">Our submission focuses on recommendations for strengthening the recognition of the right to non-discrimination in the General Comment. As such, the submission does not seek to provide a comprehensive or exhaustive assessment of the draft; rather, we focus on those areas where we feel discussion of non-discrimination should be strengthened. The submission is in two parts. The first part presents </w:t>
      </w:r>
      <w:r w:rsidR="004D71AB" w:rsidRPr="00AA1676">
        <w:rPr>
          <w:rFonts w:ascii="Cambria" w:hAnsi="Cambria" w:cs="Calibri"/>
          <w:color w:val="000000"/>
          <w:sz w:val="22"/>
          <w:szCs w:val="22"/>
        </w:rPr>
        <w:t xml:space="preserve">selected </w:t>
      </w:r>
      <w:r w:rsidRPr="00AA1676">
        <w:rPr>
          <w:rFonts w:ascii="Cambria" w:hAnsi="Cambria" w:cs="Calibri"/>
          <w:color w:val="000000"/>
          <w:sz w:val="22"/>
          <w:szCs w:val="22"/>
        </w:rPr>
        <w:t>evidence of different patterns of discriminatory denial and restriction of freedom of assembly, gathered in collaboration with our partners</w:t>
      </w:r>
      <w:r w:rsidR="004D71AB" w:rsidRPr="00AA1676">
        <w:rPr>
          <w:rFonts w:ascii="Cambria" w:hAnsi="Cambria" w:cs="Calibri"/>
          <w:color w:val="000000"/>
          <w:sz w:val="22"/>
          <w:szCs w:val="22"/>
        </w:rPr>
        <w:t xml:space="preserve"> around the world</w:t>
      </w:r>
      <w:r w:rsidRPr="00AA1676">
        <w:rPr>
          <w:rFonts w:ascii="Cambria" w:hAnsi="Cambria" w:cs="Calibri"/>
          <w:color w:val="000000"/>
          <w:sz w:val="22"/>
          <w:szCs w:val="22"/>
        </w:rPr>
        <w:t>. The second part makes specific recommendations for amendments or additions to the text of the General Comment</w:t>
      </w:r>
      <w:r w:rsidR="004D71AB" w:rsidRPr="00AA1676">
        <w:rPr>
          <w:rFonts w:ascii="Cambria" w:hAnsi="Cambria" w:cs="Calibri"/>
          <w:color w:val="000000"/>
          <w:sz w:val="22"/>
          <w:szCs w:val="22"/>
        </w:rPr>
        <w:t xml:space="preserve"> itself.</w:t>
      </w:r>
    </w:p>
    <w:p w14:paraId="3F5F47E7" w14:textId="77777777" w:rsidR="0068076F" w:rsidRPr="00AA1676" w:rsidRDefault="0068076F" w:rsidP="004C4C41">
      <w:pPr>
        <w:contextualSpacing/>
        <w:rPr>
          <w:rFonts w:ascii="Cambria" w:hAnsi="Cambria" w:cs="Calibri"/>
          <w:b/>
          <w:bCs/>
          <w:color w:val="000000"/>
          <w:sz w:val="22"/>
          <w:szCs w:val="22"/>
          <w:u w:val="single"/>
        </w:rPr>
      </w:pPr>
    </w:p>
    <w:p w14:paraId="1C96A7E5" w14:textId="0AA256AD" w:rsidR="00334E53" w:rsidRPr="00AA1676" w:rsidRDefault="00334E53" w:rsidP="00AA1676">
      <w:pPr>
        <w:tabs>
          <w:tab w:val="left" w:pos="567"/>
        </w:tabs>
        <w:contextualSpacing/>
        <w:rPr>
          <w:rFonts w:ascii="Cambria" w:hAnsi="Cambria" w:cs="Calibri"/>
          <w:b/>
          <w:bCs/>
          <w:color w:val="000000"/>
          <w:sz w:val="22"/>
          <w:szCs w:val="22"/>
          <w:u w:val="single"/>
        </w:rPr>
      </w:pPr>
      <w:r w:rsidRPr="00AA1676">
        <w:rPr>
          <w:rFonts w:ascii="Cambria" w:hAnsi="Cambria" w:cs="Calibri"/>
          <w:b/>
          <w:bCs/>
          <w:color w:val="000000"/>
          <w:sz w:val="22"/>
          <w:szCs w:val="22"/>
          <w:u w:val="single"/>
        </w:rPr>
        <w:t xml:space="preserve">A. </w:t>
      </w:r>
      <w:r w:rsidR="00463967" w:rsidRPr="00AA1676">
        <w:rPr>
          <w:rFonts w:ascii="Cambria" w:hAnsi="Cambria" w:cs="Calibri"/>
          <w:b/>
          <w:bCs/>
          <w:color w:val="000000"/>
          <w:sz w:val="22"/>
          <w:szCs w:val="22"/>
          <w:u w:val="single"/>
        </w:rPr>
        <w:tab/>
      </w:r>
      <w:r w:rsidR="007046DF" w:rsidRPr="00AA1676">
        <w:rPr>
          <w:rFonts w:ascii="Cambria" w:hAnsi="Cambria" w:cs="Calibri"/>
          <w:b/>
          <w:bCs/>
          <w:color w:val="000000"/>
          <w:sz w:val="22"/>
          <w:szCs w:val="22"/>
          <w:u w:val="single"/>
        </w:rPr>
        <w:t xml:space="preserve">Discriminatory </w:t>
      </w:r>
      <w:r w:rsidRPr="00AA1676">
        <w:rPr>
          <w:rFonts w:ascii="Cambria" w:hAnsi="Cambria" w:cs="Calibri"/>
          <w:b/>
          <w:bCs/>
          <w:color w:val="000000"/>
          <w:sz w:val="22"/>
          <w:szCs w:val="22"/>
          <w:u w:val="single"/>
        </w:rPr>
        <w:t>denial</w:t>
      </w:r>
      <w:r w:rsidR="00D941AE" w:rsidRPr="00AA1676">
        <w:rPr>
          <w:rFonts w:ascii="Cambria" w:hAnsi="Cambria" w:cs="Calibri"/>
          <w:b/>
          <w:bCs/>
          <w:color w:val="000000"/>
          <w:sz w:val="22"/>
          <w:szCs w:val="22"/>
          <w:u w:val="single"/>
        </w:rPr>
        <w:t>,</w:t>
      </w:r>
      <w:r w:rsidRPr="00AA1676">
        <w:rPr>
          <w:rFonts w:ascii="Cambria" w:hAnsi="Cambria" w:cs="Calibri"/>
          <w:b/>
          <w:bCs/>
          <w:color w:val="000000"/>
          <w:sz w:val="22"/>
          <w:szCs w:val="22"/>
          <w:u w:val="single"/>
        </w:rPr>
        <w:t xml:space="preserve"> restriction </w:t>
      </w:r>
      <w:r w:rsidR="00D941AE" w:rsidRPr="00AA1676">
        <w:rPr>
          <w:rFonts w:ascii="Cambria" w:hAnsi="Cambria" w:cs="Calibri"/>
          <w:b/>
          <w:bCs/>
          <w:color w:val="000000"/>
          <w:sz w:val="22"/>
          <w:szCs w:val="22"/>
          <w:u w:val="single"/>
        </w:rPr>
        <w:t xml:space="preserve">or limitation </w:t>
      </w:r>
      <w:r w:rsidRPr="00AA1676">
        <w:rPr>
          <w:rFonts w:ascii="Cambria" w:hAnsi="Cambria" w:cs="Calibri"/>
          <w:b/>
          <w:bCs/>
          <w:color w:val="000000"/>
          <w:sz w:val="22"/>
          <w:szCs w:val="22"/>
          <w:u w:val="single"/>
        </w:rPr>
        <w:t>of peaceful assembly</w:t>
      </w:r>
    </w:p>
    <w:p w14:paraId="4FAB7182" w14:textId="77777777" w:rsidR="00334E53" w:rsidRPr="00AA1676" w:rsidRDefault="00334E53" w:rsidP="004C4C41">
      <w:pPr>
        <w:pStyle w:val="ListParagraph"/>
        <w:spacing w:before="0" w:beforeAutospacing="0" w:after="0" w:afterAutospacing="0"/>
        <w:ind w:left="360"/>
        <w:contextualSpacing/>
        <w:jc w:val="both"/>
        <w:rPr>
          <w:rFonts w:ascii="Cambria" w:hAnsi="Cambria" w:cs="Calibri"/>
          <w:color w:val="000000"/>
          <w:sz w:val="22"/>
          <w:szCs w:val="22"/>
        </w:rPr>
      </w:pPr>
    </w:p>
    <w:p w14:paraId="24CC5702" w14:textId="11EBBB48" w:rsidR="0004191F" w:rsidRPr="00AA1676" w:rsidRDefault="0004191F" w:rsidP="004C4C41">
      <w:pPr>
        <w:pStyle w:val="ListParagraph"/>
        <w:numPr>
          <w:ilvl w:val="0"/>
          <w:numId w:val="27"/>
        </w:numPr>
        <w:spacing w:before="0" w:beforeAutospacing="0" w:after="0" w:afterAutospacing="0"/>
        <w:contextualSpacing/>
        <w:jc w:val="both"/>
        <w:rPr>
          <w:rFonts w:ascii="Cambria" w:hAnsi="Cambria" w:cs="Calibri"/>
          <w:color w:val="000000"/>
          <w:sz w:val="22"/>
          <w:szCs w:val="22"/>
        </w:rPr>
      </w:pPr>
      <w:r w:rsidRPr="00AA1676">
        <w:rPr>
          <w:rFonts w:ascii="Cambria" w:hAnsi="Cambria" w:cs="Calibri"/>
          <w:color w:val="000000"/>
          <w:sz w:val="22"/>
          <w:szCs w:val="22"/>
        </w:rPr>
        <w:t xml:space="preserve">As the Special Rapporteur on the rights to freedom of peaceful assembly and of association has noted, </w:t>
      </w:r>
      <w:r w:rsidR="00984316" w:rsidRPr="00AA1676">
        <w:rPr>
          <w:rFonts w:ascii="Cambria" w:hAnsi="Cambria" w:cs="Calibri"/>
          <w:color w:val="000000"/>
          <w:sz w:val="22"/>
          <w:szCs w:val="22"/>
        </w:rPr>
        <w:t>States have the obligation to fully respect and protect the right of all individuals to assemble peacefully, including in particular those belonging to groups at risk of discrimination.</w:t>
      </w:r>
      <w:r w:rsidR="00984316" w:rsidRPr="00AA1676">
        <w:rPr>
          <w:rStyle w:val="FootnoteReference"/>
          <w:rFonts w:ascii="Cambria" w:hAnsi="Cambria" w:cs="Calibri"/>
          <w:color w:val="000000"/>
          <w:sz w:val="22"/>
          <w:szCs w:val="22"/>
        </w:rPr>
        <w:footnoteReference w:id="4"/>
      </w:r>
      <w:r w:rsidR="00984316" w:rsidRPr="00AA1676">
        <w:rPr>
          <w:rFonts w:ascii="Cambria" w:hAnsi="Cambria" w:cs="Calibri"/>
          <w:color w:val="000000"/>
          <w:sz w:val="22"/>
          <w:szCs w:val="22"/>
        </w:rPr>
        <w:t xml:space="preserve"> </w:t>
      </w:r>
      <w:r w:rsidR="00B746E8" w:rsidRPr="00AA1676">
        <w:rPr>
          <w:rFonts w:ascii="Cambria" w:hAnsi="Cambria" w:cs="Calibri"/>
          <w:color w:val="000000"/>
          <w:sz w:val="22"/>
          <w:szCs w:val="22"/>
        </w:rPr>
        <w:t xml:space="preserve">The right of peaceful assembly must not only be </w:t>
      </w:r>
      <w:r w:rsidR="00B746E8" w:rsidRPr="00AA1676">
        <w:rPr>
          <w:rFonts w:ascii="Cambria" w:hAnsi="Cambria" w:cs="Calibri"/>
          <w:i/>
          <w:iCs/>
          <w:color w:val="000000"/>
          <w:sz w:val="22"/>
          <w:szCs w:val="22"/>
        </w:rPr>
        <w:t>protected</w:t>
      </w:r>
      <w:r w:rsidR="00B746E8" w:rsidRPr="00AA1676">
        <w:rPr>
          <w:rFonts w:ascii="Cambria" w:hAnsi="Cambria" w:cs="Calibri"/>
          <w:color w:val="000000"/>
          <w:sz w:val="22"/>
          <w:szCs w:val="22"/>
        </w:rPr>
        <w:t xml:space="preserve"> by the state, but also </w:t>
      </w:r>
      <w:r w:rsidR="00463967" w:rsidRPr="00AA1676">
        <w:rPr>
          <w:rFonts w:ascii="Cambria" w:hAnsi="Cambria" w:cs="Calibri"/>
          <w:i/>
          <w:iCs/>
          <w:color w:val="000000"/>
          <w:sz w:val="22"/>
          <w:szCs w:val="22"/>
        </w:rPr>
        <w:t xml:space="preserve">fulfilled </w:t>
      </w:r>
      <w:r w:rsidR="00B746E8" w:rsidRPr="00AA1676">
        <w:rPr>
          <w:rFonts w:ascii="Cambria" w:hAnsi="Cambria" w:cs="Calibri"/>
          <w:color w:val="000000"/>
          <w:sz w:val="22"/>
          <w:szCs w:val="22"/>
        </w:rPr>
        <w:t>through measures such as the creation of safe spaces for its exercise, the development of special measures of protection designed for each particular case, and public statements which advocate for a tolerant and conciliatory stance.</w:t>
      </w:r>
      <w:r w:rsidR="00B746E8" w:rsidRPr="00AA1676">
        <w:rPr>
          <w:rFonts w:ascii="Cambria" w:eastAsia="SimSun" w:hAnsi="Cambria"/>
          <w:sz w:val="22"/>
          <w:szCs w:val="22"/>
          <w:vertAlign w:val="superscript"/>
        </w:rPr>
        <w:footnoteReference w:id="5"/>
      </w:r>
      <w:r w:rsidR="00B746E8" w:rsidRPr="00AA1676">
        <w:rPr>
          <w:rFonts w:ascii="Cambria" w:hAnsi="Cambria" w:cs="Calibri"/>
          <w:color w:val="000000"/>
          <w:sz w:val="22"/>
          <w:szCs w:val="22"/>
        </w:rPr>
        <w:t xml:space="preserve"> </w:t>
      </w:r>
    </w:p>
    <w:p w14:paraId="0A10C22F" w14:textId="77777777" w:rsidR="0004191F" w:rsidRPr="00AA1676" w:rsidRDefault="0004191F" w:rsidP="00AA1676">
      <w:pPr>
        <w:pStyle w:val="ListParagraph"/>
        <w:spacing w:before="0" w:beforeAutospacing="0" w:after="0" w:afterAutospacing="0"/>
        <w:ind w:left="567"/>
        <w:contextualSpacing/>
        <w:jc w:val="both"/>
        <w:rPr>
          <w:rFonts w:ascii="Cambria" w:hAnsi="Cambria" w:cs="Calibri"/>
          <w:color w:val="000000"/>
          <w:sz w:val="22"/>
          <w:szCs w:val="22"/>
        </w:rPr>
      </w:pPr>
    </w:p>
    <w:p w14:paraId="5FFA51CE" w14:textId="3A9B64DA" w:rsidR="00A91633" w:rsidRPr="00AA1676" w:rsidRDefault="00D02BE3" w:rsidP="004C4C41">
      <w:pPr>
        <w:pStyle w:val="ListParagraph"/>
        <w:numPr>
          <w:ilvl w:val="0"/>
          <w:numId w:val="27"/>
        </w:numPr>
        <w:spacing w:before="0" w:beforeAutospacing="0" w:after="0" w:afterAutospacing="0"/>
        <w:contextualSpacing/>
        <w:jc w:val="both"/>
        <w:rPr>
          <w:rFonts w:ascii="Cambria" w:hAnsi="Cambria" w:cs="Calibri"/>
          <w:color w:val="000000"/>
          <w:sz w:val="22"/>
          <w:szCs w:val="22"/>
        </w:rPr>
      </w:pPr>
      <w:r w:rsidRPr="00AA1676">
        <w:rPr>
          <w:rFonts w:ascii="Cambria" w:hAnsi="Cambria" w:cs="Calibri"/>
          <w:color w:val="000000"/>
          <w:sz w:val="22"/>
          <w:szCs w:val="22"/>
        </w:rPr>
        <w:t>In our experience working with equality defenders in more than 40 countries, discrimination is frequently a central factor in the failure to respect, protect or fulfil the right to peaceful assembly. We set out below some of the key patterns of discriminatory denial or limitation of the right which we have observed in recent years:</w:t>
      </w:r>
    </w:p>
    <w:p w14:paraId="35539ECD" w14:textId="746A64F0" w:rsidR="00592ACD" w:rsidRPr="00AA1676" w:rsidRDefault="00592ACD" w:rsidP="004C4C41">
      <w:pPr>
        <w:contextualSpacing/>
        <w:jc w:val="both"/>
        <w:rPr>
          <w:rFonts w:ascii="Cambria" w:eastAsia="Times New Roman" w:hAnsi="Cambria" w:cs="Calibri"/>
          <w:color w:val="000000"/>
          <w:sz w:val="22"/>
          <w:szCs w:val="22"/>
        </w:rPr>
      </w:pPr>
    </w:p>
    <w:p w14:paraId="30AF2E05" w14:textId="14284B95" w:rsidR="00AF70DC" w:rsidRPr="00AA1676" w:rsidRDefault="00B746E8" w:rsidP="00AA1676">
      <w:pPr>
        <w:tabs>
          <w:tab w:val="left" w:pos="567"/>
        </w:tabs>
        <w:contextualSpacing/>
        <w:jc w:val="both"/>
        <w:rPr>
          <w:rFonts w:ascii="Cambria" w:hAnsi="Cambria" w:cs="Calibri"/>
          <w:b/>
          <w:bCs/>
          <w:i/>
          <w:iCs/>
          <w:color w:val="000000"/>
          <w:sz w:val="22"/>
          <w:szCs w:val="22"/>
        </w:rPr>
      </w:pPr>
      <w:r w:rsidRPr="00AA1676">
        <w:rPr>
          <w:rFonts w:ascii="Cambria" w:hAnsi="Cambria" w:cs="Calibri"/>
          <w:b/>
          <w:bCs/>
          <w:i/>
          <w:iCs/>
          <w:color w:val="000000"/>
          <w:sz w:val="22"/>
          <w:szCs w:val="22"/>
        </w:rPr>
        <w:t>(</w:t>
      </w:r>
      <w:r w:rsidR="00DD1E33" w:rsidRPr="00AA1676">
        <w:rPr>
          <w:rFonts w:ascii="Cambria" w:hAnsi="Cambria" w:cs="Calibri"/>
          <w:b/>
          <w:bCs/>
          <w:i/>
          <w:iCs/>
          <w:color w:val="000000"/>
          <w:sz w:val="22"/>
          <w:szCs w:val="22"/>
        </w:rPr>
        <w:t>i</w:t>
      </w:r>
      <w:r w:rsidRPr="00AA1676">
        <w:rPr>
          <w:rFonts w:ascii="Cambria" w:hAnsi="Cambria" w:cs="Calibri"/>
          <w:b/>
          <w:bCs/>
          <w:i/>
          <w:iCs/>
          <w:color w:val="000000"/>
          <w:sz w:val="22"/>
          <w:szCs w:val="22"/>
        </w:rPr>
        <w:t>)</w:t>
      </w:r>
      <w:r w:rsidR="00DD1E33" w:rsidRPr="00AA1676">
        <w:rPr>
          <w:rFonts w:ascii="Cambria" w:hAnsi="Cambria" w:cs="Calibri"/>
          <w:b/>
          <w:bCs/>
          <w:i/>
          <w:iCs/>
          <w:color w:val="000000"/>
          <w:sz w:val="22"/>
          <w:szCs w:val="22"/>
        </w:rPr>
        <w:t xml:space="preserve"> </w:t>
      </w:r>
      <w:r w:rsidR="00D338D7" w:rsidRPr="00AA1676">
        <w:rPr>
          <w:rFonts w:ascii="Cambria" w:hAnsi="Cambria" w:cs="Calibri"/>
          <w:b/>
          <w:bCs/>
          <w:i/>
          <w:iCs/>
          <w:color w:val="000000"/>
          <w:sz w:val="22"/>
          <w:szCs w:val="22"/>
        </w:rPr>
        <w:tab/>
      </w:r>
      <w:r w:rsidR="00AF70DC" w:rsidRPr="00AA1676">
        <w:rPr>
          <w:rFonts w:ascii="Cambria" w:hAnsi="Cambria" w:cs="Calibri"/>
          <w:b/>
          <w:bCs/>
          <w:i/>
          <w:iCs/>
          <w:color w:val="000000"/>
          <w:sz w:val="22"/>
          <w:szCs w:val="22"/>
        </w:rPr>
        <w:t xml:space="preserve">Discriminatory denial of assembly </w:t>
      </w:r>
      <w:r w:rsidR="00BA61E5" w:rsidRPr="00AA1676">
        <w:rPr>
          <w:rFonts w:ascii="Cambria" w:hAnsi="Cambria" w:cs="Calibri"/>
          <w:b/>
          <w:bCs/>
          <w:i/>
          <w:iCs/>
          <w:color w:val="000000"/>
          <w:sz w:val="22"/>
          <w:szCs w:val="22"/>
        </w:rPr>
        <w:t>through the law</w:t>
      </w:r>
    </w:p>
    <w:p w14:paraId="6CDA909A" w14:textId="3261CF84" w:rsidR="008C7124" w:rsidRPr="00AA1676" w:rsidRDefault="008C7124" w:rsidP="004C4C41">
      <w:pPr>
        <w:contextualSpacing/>
        <w:jc w:val="both"/>
        <w:rPr>
          <w:rFonts w:ascii="Cambria" w:eastAsia="Times New Roman" w:hAnsi="Cambria" w:cs="Calibri"/>
          <w:color w:val="000000"/>
          <w:sz w:val="22"/>
          <w:szCs w:val="22"/>
        </w:rPr>
      </w:pPr>
    </w:p>
    <w:p w14:paraId="7DA61755" w14:textId="4D29AC1B" w:rsidR="00956B51" w:rsidRPr="00AA1676" w:rsidRDefault="00956B51" w:rsidP="004C4C41">
      <w:pPr>
        <w:pStyle w:val="ListParagraph"/>
        <w:numPr>
          <w:ilvl w:val="0"/>
          <w:numId w:val="27"/>
        </w:numPr>
        <w:spacing w:before="0" w:beforeAutospacing="0" w:after="0" w:afterAutospacing="0"/>
        <w:contextualSpacing/>
        <w:jc w:val="both"/>
        <w:rPr>
          <w:rFonts w:ascii="Cambria" w:hAnsi="Cambria" w:cs="Calibri"/>
          <w:color w:val="000000"/>
          <w:sz w:val="22"/>
          <w:szCs w:val="22"/>
        </w:rPr>
      </w:pPr>
      <w:r w:rsidRPr="00AA1676">
        <w:rPr>
          <w:rFonts w:ascii="Cambria" w:hAnsi="Cambria" w:cs="Calibri"/>
          <w:color w:val="000000"/>
          <w:sz w:val="22"/>
          <w:szCs w:val="22"/>
        </w:rPr>
        <w:t>The Trust and our partners have identified multiple examples of laws which impose both directly and indirectly discriminatory restrictions or limitations on the right to freedom of assembly.</w:t>
      </w:r>
    </w:p>
    <w:p w14:paraId="52BC65B1" w14:textId="77777777" w:rsidR="00956B51" w:rsidRPr="00AA1676" w:rsidRDefault="00956B51" w:rsidP="00AA1676">
      <w:pPr>
        <w:pStyle w:val="ListParagraph"/>
        <w:spacing w:before="0" w:beforeAutospacing="0" w:after="0" w:afterAutospacing="0"/>
        <w:ind w:left="567"/>
        <w:contextualSpacing/>
        <w:jc w:val="both"/>
        <w:rPr>
          <w:rFonts w:ascii="Cambria" w:hAnsi="Cambria" w:cs="Calibri"/>
          <w:color w:val="000000"/>
          <w:sz w:val="22"/>
          <w:szCs w:val="22"/>
        </w:rPr>
      </w:pPr>
    </w:p>
    <w:p w14:paraId="3EA24C52" w14:textId="0EA683AE" w:rsidR="003F5E97" w:rsidRPr="00AA1676" w:rsidRDefault="00D90A8E" w:rsidP="00AA1676">
      <w:pPr>
        <w:pStyle w:val="ListParagraph"/>
        <w:numPr>
          <w:ilvl w:val="0"/>
          <w:numId w:val="27"/>
        </w:numPr>
        <w:spacing w:before="0" w:beforeAutospacing="0" w:after="0" w:afterAutospacing="0"/>
        <w:jc w:val="both"/>
        <w:rPr>
          <w:rFonts w:ascii="Cambria" w:hAnsi="Cambria" w:cs="Calibri"/>
          <w:color w:val="000000"/>
          <w:sz w:val="22"/>
          <w:szCs w:val="22"/>
        </w:rPr>
      </w:pPr>
      <w:r w:rsidRPr="00AA1676">
        <w:rPr>
          <w:rFonts w:ascii="Cambria" w:hAnsi="Cambria" w:cs="Calibri"/>
          <w:color w:val="000000"/>
          <w:sz w:val="22"/>
          <w:szCs w:val="22"/>
        </w:rPr>
        <w:t>As highlighted by the Special Rapporteur on the rights to freedom of peaceful assembly and of association</w:t>
      </w:r>
      <w:r w:rsidR="00334E53" w:rsidRPr="00AA1676">
        <w:rPr>
          <w:rFonts w:ascii="Cambria" w:hAnsi="Cambria" w:cs="Calibri"/>
          <w:color w:val="000000"/>
          <w:sz w:val="22"/>
          <w:szCs w:val="22"/>
        </w:rPr>
        <w:t xml:space="preserve"> in his 2014 report</w:t>
      </w:r>
      <w:r w:rsidRPr="00AA1676">
        <w:rPr>
          <w:rFonts w:ascii="Cambria" w:hAnsi="Cambria" w:cs="Calibri"/>
          <w:color w:val="000000"/>
          <w:sz w:val="22"/>
          <w:szCs w:val="22"/>
        </w:rPr>
        <w:t xml:space="preserve">, </w:t>
      </w:r>
      <w:r w:rsidR="00334E53" w:rsidRPr="00AA1676">
        <w:rPr>
          <w:rFonts w:ascii="Cambria" w:hAnsi="Cambria" w:cs="Calibri"/>
          <w:color w:val="000000"/>
          <w:sz w:val="22"/>
          <w:szCs w:val="22"/>
        </w:rPr>
        <w:t>“s</w:t>
      </w:r>
      <w:r w:rsidR="00925FD9" w:rsidRPr="00AA1676">
        <w:rPr>
          <w:rFonts w:ascii="Cambria" w:hAnsi="Cambria" w:cs="Calibri"/>
          <w:color w:val="000000"/>
          <w:sz w:val="22"/>
          <w:szCs w:val="22"/>
        </w:rPr>
        <w:t xml:space="preserve">exual orientation and gender identity </w:t>
      </w:r>
      <w:r w:rsidR="00925FD9" w:rsidRPr="00AA1676">
        <w:rPr>
          <w:rFonts w:ascii="Cambria" w:hAnsi="Cambria" w:cs="Calibri"/>
          <w:color w:val="000000" w:themeColor="text1"/>
          <w:sz w:val="22"/>
          <w:szCs w:val="22"/>
        </w:rPr>
        <w:t xml:space="preserve">have been increasingly used as a </w:t>
      </w:r>
      <w:r w:rsidR="00334E53" w:rsidRPr="00AA1676">
        <w:rPr>
          <w:rFonts w:ascii="Cambria" w:hAnsi="Cambria" w:cs="Calibri"/>
          <w:color w:val="000000" w:themeColor="text1"/>
          <w:sz w:val="22"/>
          <w:szCs w:val="22"/>
        </w:rPr>
        <w:t>basis for explicit discrimination in the area of assembly rights.”</w:t>
      </w:r>
      <w:r w:rsidR="00334E53" w:rsidRPr="00AA1676">
        <w:rPr>
          <w:rStyle w:val="FootnoteReference"/>
          <w:rFonts w:ascii="Cambria" w:hAnsi="Cambria" w:cs="Calibri"/>
          <w:color w:val="000000" w:themeColor="text1"/>
          <w:sz w:val="22"/>
          <w:szCs w:val="22"/>
        </w:rPr>
        <w:footnoteReference w:id="6"/>
      </w:r>
      <w:r w:rsidR="00953E66" w:rsidRPr="00AA1676">
        <w:rPr>
          <w:rFonts w:ascii="Cambria" w:hAnsi="Cambria" w:cs="Calibri"/>
          <w:color w:val="000000"/>
          <w:sz w:val="22"/>
          <w:szCs w:val="22"/>
        </w:rPr>
        <w:t xml:space="preserve"> I</w:t>
      </w:r>
      <w:r w:rsidR="0030492D" w:rsidRPr="00AA1676">
        <w:rPr>
          <w:rFonts w:ascii="Cambria" w:hAnsi="Cambria" w:cs="Calibri"/>
          <w:color w:val="000000"/>
          <w:sz w:val="22"/>
          <w:szCs w:val="22"/>
        </w:rPr>
        <w:t xml:space="preserve">n </w:t>
      </w:r>
      <w:r w:rsidR="0030492D" w:rsidRPr="00AA1676">
        <w:rPr>
          <w:rFonts w:ascii="Cambria" w:hAnsi="Cambria" w:cs="Calibri"/>
          <w:b/>
          <w:bCs/>
          <w:color w:val="000000"/>
          <w:sz w:val="22"/>
          <w:szCs w:val="22"/>
        </w:rPr>
        <w:t>Russia</w:t>
      </w:r>
      <w:r w:rsidR="0030492D" w:rsidRPr="00AA1676">
        <w:rPr>
          <w:rFonts w:ascii="Cambria" w:hAnsi="Cambria" w:cs="Calibri"/>
          <w:color w:val="000000"/>
          <w:sz w:val="22"/>
          <w:szCs w:val="22"/>
        </w:rPr>
        <w:t xml:space="preserve">, </w:t>
      </w:r>
      <w:r w:rsidR="00953E66" w:rsidRPr="00AA1676">
        <w:rPr>
          <w:rFonts w:ascii="Cambria" w:hAnsi="Cambria" w:cs="Calibri"/>
          <w:color w:val="000000"/>
          <w:sz w:val="22"/>
          <w:szCs w:val="22"/>
        </w:rPr>
        <w:t xml:space="preserve">for example, </w:t>
      </w:r>
      <w:r w:rsidR="0030492D" w:rsidRPr="00AA1676">
        <w:rPr>
          <w:rFonts w:ascii="Cambria" w:hAnsi="Cambria" w:cs="Calibri"/>
          <w:color w:val="000000"/>
          <w:sz w:val="22"/>
          <w:szCs w:val="22"/>
        </w:rPr>
        <w:t>anti-propaganda laws against “non-traditional sexual relationships” have been used to severely restrict and deny the right of peaceful assembly</w:t>
      </w:r>
      <w:r w:rsidR="00D02BE3" w:rsidRPr="00AA1676">
        <w:rPr>
          <w:rFonts w:ascii="Cambria" w:hAnsi="Cambria" w:cs="Calibri"/>
          <w:color w:val="000000"/>
          <w:sz w:val="22"/>
          <w:szCs w:val="22"/>
        </w:rPr>
        <w:t xml:space="preserve"> (together with the rights to freedom of expression and association)</w:t>
      </w:r>
      <w:r w:rsidR="0030492D" w:rsidRPr="00AA1676">
        <w:rPr>
          <w:rFonts w:ascii="Cambria" w:hAnsi="Cambria" w:cs="Calibri"/>
          <w:color w:val="000000"/>
          <w:sz w:val="22"/>
          <w:szCs w:val="22"/>
        </w:rPr>
        <w:t xml:space="preserve"> to LGBT+ groups and individuals. These limitations have been </w:t>
      </w:r>
      <w:r w:rsidR="000F2C33" w:rsidRPr="00AA1676">
        <w:rPr>
          <w:rFonts w:ascii="Cambria" w:hAnsi="Cambria" w:cs="Calibri"/>
          <w:color w:val="000000"/>
          <w:sz w:val="22"/>
          <w:szCs w:val="22"/>
        </w:rPr>
        <w:t xml:space="preserve">criticised at the international and European levels as clear violations of both international and European human </w:t>
      </w:r>
      <w:r w:rsidR="000F2C33" w:rsidRPr="00AA1676">
        <w:rPr>
          <w:rFonts w:ascii="Cambria" w:hAnsi="Cambria" w:cs="Calibri"/>
          <w:color w:val="000000"/>
          <w:sz w:val="22"/>
          <w:szCs w:val="22"/>
        </w:rPr>
        <w:lastRenderedPageBreak/>
        <w:t>rights law.</w:t>
      </w:r>
      <w:r w:rsidR="000F2C33" w:rsidRPr="00AA1676">
        <w:rPr>
          <w:rFonts w:ascii="Cambria" w:hAnsi="Cambria" w:cs="Calibri"/>
          <w:color w:val="000000"/>
          <w:sz w:val="22"/>
          <w:szCs w:val="22"/>
          <w:vertAlign w:val="superscript"/>
        </w:rPr>
        <w:t xml:space="preserve"> </w:t>
      </w:r>
      <w:r w:rsidR="000F2C33" w:rsidRPr="00AA1676">
        <w:rPr>
          <w:rFonts w:ascii="Cambria" w:hAnsi="Cambria"/>
          <w:sz w:val="22"/>
          <w:szCs w:val="22"/>
          <w:vertAlign w:val="superscript"/>
        </w:rPr>
        <w:footnoteReference w:id="7"/>
      </w:r>
      <w:r w:rsidR="000C784A" w:rsidRPr="00AA1676">
        <w:rPr>
          <w:rFonts w:ascii="Cambria" w:hAnsi="Cambria" w:cs="Calibri"/>
          <w:color w:val="000000"/>
          <w:sz w:val="22"/>
          <w:szCs w:val="22"/>
          <w:vertAlign w:val="superscript"/>
        </w:rPr>
        <w:t xml:space="preserve"> </w:t>
      </w:r>
      <w:r w:rsidR="00953E66" w:rsidRPr="00AA1676">
        <w:rPr>
          <w:rFonts w:ascii="Cambria" w:hAnsi="Cambria" w:cs="Calibri"/>
          <w:color w:val="000000" w:themeColor="text1"/>
          <w:sz w:val="22"/>
          <w:szCs w:val="22"/>
        </w:rPr>
        <w:t>As the Equal Rights Trust has documented, p</w:t>
      </w:r>
      <w:r w:rsidR="00657812" w:rsidRPr="00AA1676">
        <w:rPr>
          <w:rFonts w:ascii="Cambria" w:hAnsi="Cambria" w:cs="Calibri"/>
          <w:color w:val="000000" w:themeColor="text1"/>
          <w:sz w:val="22"/>
          <w:szCs w:val="22"/>
        </w:rPr>
        <w:t>ursuant to</w:t>
      </w:r>
      <w:r w:rsidR="000F2C33" w:rsidRPr="00AA1676">
        <w:rPr>
          <w:rFonts w:ascii="Cambria" w:hAnsi="Cambria" w:cs="Calibri"/>
          <w:color w:val="000000" w:themeColor="text1"/>
          <w:sz w:val="22"/>
          <w:szCs w:val="22"/>
        </w:rPr>
        <w:t xml:space="preserve"> the Russian Federal Law on Assemblies,</w:t>
      </w:r>
      <w:r w:rsidR="000C784A" w:rsidRPr="00AA1676">
        <w:rPr>
          <w:rFonts w:ascii="Cambria" w:hAnsi="Cambria" w:cs="Calibri"/>
          <w:color w:val="000000" w:themeColor="text1"/>
          <w:sz w:val="22"/>
          <w:szCs w:val="22"/>
        </w:rPr>
        <w:t xml:space="preserve"> local authorities </w:t>
      </w:r>
      <w:r w:rsidR="00953E66" w:rsidRPr="00AA1676">
        <w:rPr>
          <w:rFonts w:ascii="Cambria" w:hAnsi="Cambria" w:cs="Calibri"/>
          <w:color w:val="000000" w:themeColor="text1"/>
          <w:sz w:val="22"/>
          <w:szCs w:val="22"/>
        </w:rPr>
        <w:t xml:space="preserve">had </w:t>
      </w:r>
      <w:r w:rsidR="000C784A" w:rsidRPr="00AA1676">
        <w:rPr>
          <w:rFonts w:ascii="Cambria" w:hAnsi="Cambria" w:cs="Calibri"/>
          <w:color w:val="000000" w:themeColor="text1"/>
          <w:sz w:val="22"/>
          <w:szCs w:val="22"/>
        </w:rPr>
        <w:t>refused permissions for LGBT+ groups to hold assemblies in more than 70 cases</w:t>
      </w:r>
      <w:r w:rsidR="00953E66" w:rsidRPr="00AA1676">
        <w:rPr>
          <w:rFonts w:ascii="Cambria" w:hAnsi="Cambria" w:cs="Calibri"/>
          <w:color w:val="000000" w:themeColor="text1"/>
          <w:sz w:val="22"/>
          <w:szCs w:val="22"/>
        </w:rPr>
        <w:t xml:space="preserve"> by 2016</w:t>
      </w:r>
      <w:r w:rsidR="000C784A" w:rsidRPr="00AA1676">
        <w:rPr>
          <w:rFonts w:ascii="Cambria" w:hAnsi="Cambria" w:cs="Calibri"/>
          <w:color w:val="000000" w:themeColor="text1"/>
          <w:sz w:val="22"/>
          <w:szCs w:val="22"/>
        </w:rPr>
        <w:t>.</w:t>
      </w:r>
      <w:r w:rsidR="000C784A" w:rsidRPr="00AA1676">
        <w:rPr>
          <w:rStyle w:val="FootnoteReference"/>
          <w:rFonts w:ascii="Cambria" w:hAnsi="Cambria" w:cs="Calibri"/>
          <w:color w:val="000000" w:themeColor="text1"/>
          <w:sz w:val="22"/>
          <w:szCs w:val="22"/>
        </w:rPr>
        <w:footnoteReference w:id="8"/>
      </w:r>
      <w:r w:rsidR="000C784A" w:rsidRPr="00AA1676">
        <w:rPr>
          <w:rFonts w:ascii="Cambria" w:hAnsi="Cambria" w:cs="Calibri"/>
          <w:color w:val="000000" w:themeColor="text1"/>
          <w:sz w:val="22"/>
          <w:szCs w:val="22"/>
        </w:rPr>
        <w:t xml:space="preserve"> Refusals </w:t>
      </w:r>
      <w:r w:rsidR="00953E66" w:rsidRPr="00AA1676">
        <w:rPr>
          <w:rFonts w:ascii="Cambria" w:hAnsi="Cambria" w:cs="Calibri"/>
          <w:color w:val="000000" w:themeColor="text1"/>
          <w:sz w:val="22"/>
          <w:szCs w:val="22"/>
        </w:rPr>
        <w:t>we</w:t>
      </w:r>
      <w:r w:rsidR="000C784A" w:rsidRPr="00AA1676">
        <w:rPr>
          <w:rFonts w:ascii="Cambria" w:hAnsi="Cambria" w:cs="Calibri"/>
          <w:color w:val="000000" w:themeColor="text1"/>
          <w:sz w:val="22"/>
          <w:szCs w:val="22"/>
        </w:rPr>
        <w:t xml:space="preserve">re often explicitly linked to the LGBT+ </w:t>
      </w:r>
      <w:r w:rsidR="00D02BE3" w:rsidRPr="00AA1676">
        <w:rPr>
          <w:rFonts w:ascii="Cambria" w:hAnsi="Cambria" w:cs="Calibri"/>
          <w:color w:val="000000" w:themeColor="text1"/>
          <w:sz w:val="22"/>
          <w:szCs w:val="22"/>
        </w:rPr>
        <w:t xml:space="preserve">focus </w:t>
      </w:r>
      <w:r w:rsidR="000C784A" w:rsidRPr="00AA1676">
        <w:rPr>
          <w:rFonts w:ascii="Cambria" w:hAnsi="Cambria" w:cs="Calibri"/>
          <w:color w:val="000000" w:themeColor="text1"/>
          <w:sz w:val="22"/>
          <w:szCs w:val="22"/>
        </w:rPr>
        <w:t xml:space="preserve">of the assemblies, </w:t>
      </w:r>
      <w:r w:rsidR="00D02BE3" w:rsidRPr="00AA1676">
        <w:rPr>
          <w:rFonts w:ascii="Cambria" w:hAnsi="Cambria" w:cs="Calibri"/>
          <w:color w:val="000000" w:themeColor="text1"/>
          <w:sz w:val="22"/>
          <w:szCs w:val="22"/>
        </w:rPr>
        <w:t xml:space="preserve">using </w:t>
      </w:r>
      <w:r w:rsidR="000C784A" w:rsidRPr="00AA1676">
        <w:rPr>
          <w:rFonts w:ascii="Cambria" w:hAnsi="Cambria" w:cs="Calibri"/>
          <w:color w:val="000000" w:themeColor="text1"/>
          <w:sz w:val="22"/>
          <w:szCs w:val="22"/>
        </w:rPr>
        <w:t xml:space="preserve">the justification of “public morals”: </w:t>
      </w:r>
      <w:r w:rsidR="000F2C33" w:rsidRPr="00AA1676">
        <w:rPr>
          <w:rFonts w:ascii="Cambria" w:hAnsi="Cambria" w:cs="Calibri"/>
          <w:color w:val="000000"/>
          <w:sz w:val="22"/>
          <w:szCs w:val="22"/>
        </w:rPr>
        <w:t xml:space="preserve">authorities have </w:t>
      </w:r>
      <w:r w:rsidR="00953E66" w:rsidRPr="00AA1676">
        <w:rPr>
          <w:rFonts w:ascii="Cambria" w:hAnsi="Cambria" w:cs="Calibri"/>
          <w:color w:val="000000"/>
          <w:sz w:val="22"/>
          <w:szCs w:val="22"/>
        </w:rPr>
        <w:t xml:space="preserve">stated </w:t>
      </w:r>
      <w:r w:rsidR="000F2C33" w:rsidRPr="00AA1676">
        <w:rPr>
          <w:rFonts w:ascii="Cambria" w:hAnsi="Cambria" w:cs="Calibri"/>
          <w:color w:val="000000"/>
          <w:sz w:val="22"/>
          <w:szCs w:val="22"/>
        </w:rPr>
        <w:t xml:space="preserve">that these assemblies may </w:t>
      </w:r>
      <w:r w:rsidR="000F2C33" w:rsidRPr="00AA1676">
        <w:rPr>
          <w:rFonts w:ascii="Cambria" w:hAnsi="Cambria"/>
          <w:sz w:val="22"/>
          <w:szCs w:val="22"/>
        </w:rPr>
        <w:t>offend religious feelings</w:t>
      </w:r>
      <w:r w:rsidR="00A91633" w:rsidRPr="00AA1676">
        <w:rPr>
          <w:rFonts w:ascii="Cambria" w:hAnsi="Cambria"/>
          <w:sz w:val="22"/>
          <w:szCs w:val="22"/>
        </w:rPr>
        <w:t xml:space="preserve"> or </w:t>
      </w:r>
      <w:r w:rsidR="000F2C33" w:rsidRPr="00AA1676">
        <w:rPr>
          <w:rFonts w:ascii="Cambria" w:hAnsi="Cambria"/>
          <w:sz w:val="22"/>
          <w:szCs w:val="22"/>
        </w:rPr>
        <w:t>violate public morals</w:t>
      </w:r>
      <w:r w:rsidR="00A91633" w:rsidRPr="00AA1676">
        <w:rPr>
          <w:rFonts w:ascii="Cambria" w:hAnsi="Cambria"/>
          <w:sz w:val="22"/>
          <w:szCs w:val="22"/>
        </w:rPr>
        <w:t xml:space="preserve"> </w:t>
      </w:r>
      <w:r w:rsidR="00AA4FE3" w:rsidRPr="00AA1676">
        <w:rPr>
          <w:rFonts w:ascii="Cambria" w:hAnsi="Cambria"/>
          <w:sz w:val="22"/>
          <w:szCs w:val="22"/>
        </w:rPr>
        <w:t>or be harmful to children</w:t>
      </w:r>
      <w:r w:rsidR="00A91633" w:rsidRPr="00AA1676">
        <w:rPr>
          <w:rFonts w:ascii="Cambria" w:hAnsi="Cambria"/>
          <w:sz w:val="22"/>
          <w:szCs w:val="22"/>
        </w:rPr>
        <w:t xml:space="preserve"> and violate the prohibition of “homosexual propaganda”</w:t>
      </w:r>
      <w:r w:rsidR="00953E66" w:rsidRPr="00AA1676">
        <w:rPr>
          <w:rFonts w:ascii="Cambria" w:hAnsi="Cambria"/>
          <w:sz w:val="22"/>
          <w:szCs w:val="22"/>
        </w:rPr>
        <w:t>.</w:t>
      </w:r>
      <w:r w:rsidR="00AA4FE3" w:rsidRPr="00AA1676">
        <w:rPr>
          <w:rStyle w:val="FootnoteReference"/>
          <w:rFonts w:ascii="Cambria" w:hAnsi="Cambria"/>
          <w:sz w:val="22"/>
          <w:szCs w:val="22"/>
        </w:rPr>
        <w:footnoteReference w:id="9"/>
      </w:r>
      <w:r w:rsidR="00D02BE3" w:rsidRPr="00AA1676">
        <w:rPr>
          <w:rFonts w:ascii="Cambria" w:hAnsi="Cambria"/>
          <w:sz w:val="22"/>
          <w:szCs w:val="22"/>
        </w:rPr>
        <w:t xml:space="preserve"> This approach runs contrary to the Committee’s clear statement, in its General Comment 34 on freedom of expression, that “purpose of protecting morals must be based on principles not deriving exclusively from a single tradition” and that “such limitations must be understood in the light of (…) the principle of non-discrimination.</w:t>
      </w:r>
    </w:p>
    <w:p w14:paraId="551DA9E7" w14:textId="77777777" w:rsidR="00D02BE3" w:rsidRPr="00AA1676" w:rsidRDefault="00D02BE3" w:rsidP="00AA1676">
      <w:pPr>
        <w:pStyle w:val="ListParagraph"/>
        <w:spacing w:before="0" w:beforeAutospacing="0" w:after="0" w:afterAutospacing="0"/>
        <w:ind w:left="567"/>
        <w:jc w:val="both"/>
        <w:rPr>
          <w:rFonts w:ascii="Cambria" w:hAnsi="Cambria" w:cs="Calibri"/>
          <w:color w:val="000000"/>
          <w:sz w:val="22"/>
          <w:szCs w:val="22"/>
        </w:rPr>
      </w:pPr>
      <w:bookmarkStart w:id="0" w:name="_Hlk33183937"/>
    </w:p>
    <w:p w14:paraId="43293E0D" w14:textId="6838F00B" w:rsidR="00956B51" w:rsidRPr="00AA1676" w:rsidRDefault="00D02BE3" w:rsidP="00AA1676">
      <w:pPr>
        <w:pStyle w:val="ListParagraph"/>
        <w:numPr>
          <w:ilvl w:val="0"/>
          <w:numId w:val="27"/>
        </w:numPr>
        <w:spacing w:before="0" w:beforeAutospacing="0" w:after="0" w:afterAutospacing="0"/>
        <w:jc w:val="both"/>
        <w:rPr>
          <w:rFonts w:ascii="Cambria" w:hAnsi="Cambria" w:cs="Calibri"/>
          <w:color w:val="000000"/>
          <w:sz w:val="22"/>
          <w:szCs w:val="22"/>
          <w:lang w:val="en-US"/>
        </w:rPr>
      </w:pPr>
      <w:r w:rsidRPr="00AA1676">
        <w:rPr>
          <w:rFonts w:ascii="Cambria" w:hAnsi="Cambria" w:cs="Calibri"/>
          <w:color w:val="000000"/>
          <w:sz w:val="22"/>
          <w:szCs w:val="22"/>
        </w:rPr>
        <w:t xml:space="preserve">Our research </w:t>
      </w:r>
      <w:r w:rsidR="00956B51" w:rsidRPr="00AA1676">
        <w:rPr>
          <w:rFonts w:ascii="Cambria" w:hAnsi="Cambria" w:cs="Calibri"/>
          <w:color w:val="000000"/>
          <w:sz w:val="22"/>
          <w:szCs w:val="22"/>
        </w:rPr>
        <w:t xml:space="preserve">has also identified examples of laws which indirectly discriminate in respect of the right to freedom of assembly. In </w:t>
      </w:r>
      <w:r w:rsidR="00956B51" w:rsidRPr="00AA1676">
        <w:rPr>
          <w:rFonts w:ascii="Cambria" w:hAnsi="Cambria" w:cs="Calibri"/>
          <w:b/>
          <w:bCs/>
          <w:color w:val="000000"/>
          <w:sz w:val="22"/>
          <w:szCs w:val="22"/>
        </w:rPr>
        <w:t>Egypt</w:t>
      </w:r>
      <w:r w:rsidR="00956B51" w:rsidRPr="00AA1676">
        <w:rPr>
          <w:rFonts w:ascii="Cambria" w:hAnsi="Cambria" w:cs="Calibri"/>
          <w:color w:val="000000"/>
          <w:sz w:val="22"/>
          <w:szCs w:val="22"/>
        </w:rPr>
        <w:t xml:space="preserve">, for example, </w:t>
      </w:r>
      <w:r w:rsidR="00956B51" w:rsidRPr="00AA1676">
        <w:rPr>
          <w:rFonts w:ascii="Cambria" w:hAnsi="Cambria" w:cs="Calibri"/>
          <w:color w:val="000000"/>
          <w:sz w:val="22"/>
          <w:szCs w:val="22"/>
          <w:lang w:val="en-US"/>
        </w:rPr>
        <w:t xml:space="preserve">Article 5 of </w:t>
      </w:r>
      <w:r w:rsidR="00C94814" w:rsidRPr="00AA1676">
        <w:rPr>
          <w:rFonts w:ascii="Cambria" w:hAnsi="Cambria" w:cs="Calibri"/>
          <w:color w:val="000000"/>
          <w:sz w:val="22"/>
          <w:szCs w:val="22"/>
        </w:rPr>
        <w:t xml:space="preserve">Decision of the President of the Arab Republic of Egypt relating to Law. No. 107 of 2013 “on Organising the Right to Peaceful Public Meetings, Processions and Protests”, </w:t>
      </w:r>
      <w:r w:rsidR="00956B51" w:rsidRPr="00AA1676">
        <w:rPr>
          <w:rFonts w:ascii="Cambria" w:hAnsi="Cambria" w:cs="Calibri"/>
          <w:color w:val="000000"/>
          <w:sz w:val="22"/>
          <w:szCs w:val="22"/>
          <w:lang w:val="en-US"/>
        </w:rPr>
        <w:t>prohibits the conduct of “public meetings for political purposes (…) in places of worship or their arena, or their annexes”</w:t>
      </w:r>
      <w:r w:rsidR="00D941AE" w:rsidRPr="00AA1676">
        <w:rPr>
          <w:rFonts w:ascii="Cambria" w:hAnsi="Cambria" w:cs="Calibri"/>
          <w:color w:val="000000"/>
          <w:sz w:val="22"/>
          <w:szCs w:val="22"/>
          <w:lang w:val="en-US"/>
        </w:rPr>
        <w:t>. G</w:t>
      </w:r>
      <w:r w:rsidR="00956B51" w:rsidRPr="00AA1676">
        <w:rPr>
          <w:rFonts w:ascii="Cambria" w:hAnsi="Cambria" w:cs="Calibri"/>
          <w:color w:val="000000"/>
          <w:sz w:val="22"/>
          <w:szCs w:val="22"/>
          <w:lang w:val="en-US"/>
        </w:rPr>
        <w:t>iven the close association between certain political parties and religious communities in Egypt, this Article has a discriminatory effect on such groups.</w:t>
      </w:r>
      <w:r w:rsidR="00956B51" w:rsidRPr="00AA1676">
        <w:rPr>
          <w:rFonts w:ascii="Cambria" w:hAnsi="Cambria" w:cs="Calibri"/>
          <w:color w:val="000000"/>
          <w:sz w:val="22"/>
          <w:szCs w:val="22"/>
          <w:vertAlign w:val="superscript"/>
          <w:lang w:val="en-US"/>
        </w:rPr>
        <w:footnoteReference w:id="10"/>
      </w:r>
    </w:p>
    <w:p w14:paraId="3C4DAD88" w14:textId="77777777" w:rsidR="00D941AE" w:rsidRPr="00AA1676" w:rsidRDefault="00D941AE" w:rsidP="00AA1676">
      <w:pPr>
        <w:pStyle w:val="ListParagraph"/>
        <w:spacing w:before="0" w:beforeAutospacing="0" w:after="0" w:afterAutospacing="0"/>
        <w:rPr>
          <w:rFonts w:ascii="Cambria" w:hAnsi="Cambria" w:cs="Calibri"/>
          <w:color w:val="000000"/>
          <w:sz w:val="22"/>
          <w:szCs w:val="22"/>
          <w:lang w:val="en-US"/>
        </w:rPr>
      </w:pPr>
    </w:p>
    <w:p w14:paraId="71E6EB2F" w14:textId="03F1E1D1" w:rsidR="00A90CD6" w:rsidRPr="00AA1676" w:rsidRDefault="00D941AE" w:rsidP="00AA1676">
      <w:pPr>
        <w:pStyle w:val="ListParagraph"/>
        <w:numPr>
          <w:ilvl w:val="0"/>
          <w:numId w:val="27"/>
        </w:numPr>
        <w:tabs>
          <w:tab w:val="left" w:pos="5200"/>
        </w:tabs>
        <w:spacing w:before="0" w:beforeAutospacing="0" w:after="0" w:afterAutospacing="0"/>
        <w:jc w:val="both"/>
        <w:rPr>
          <w:rFonts w:ascii="Cambria" w:hAnsi="Cambria"/>
          <w:sz w:val="22"/>
          <w:szCs w:val="22"/>
        </w:rPr>
      </w:pPr>
      <w:r w:rsidRPr="00AA1676">
        <w:rPr>
          <w:rFonts w:ascii="Cambria" w:hAnsi="Cambria"/>
          <w:sz w:val="22"/>
          <w:szCs w:val="22"/>
        </w:rPr>
        <w:t xml:space="preserve">We have also found multiple examples of laws which permit limitation of peaceful assembly and which are applied in ways which discriminate on various grounds. For example, in </w:t>
      </w:r>
      <w:r w:rsidRPr="00AA1676">
        <w:rPr>
          <w:rFonts w:ascii="Cambria" w:hAnsi="Cambria"/>
          <w:b/>
          <w:bCs/>
          <w:sz w:val="22"/>
          <w:szCs w:val="22"/>
        </w:rPr>
        <w:t>Kazakhstan</w:t>
      </w:r>
      <w:r w:rsidRPr="00AA1676">
        <w:rPr>
          <w:rFonts w:ascii="Cambria" w:hAnsi="Cambria"/>
          <w:sz w:val="22"/>
          <w:szCs w:val="22"/>
        </w:rPr>
        <w:t xml:space="preserve">, we found evidence that </w:t>
      </w:r>
      <w:r w:rsidR="00A90CD6" w:rsidRPr="00AA1676">
        <w:rPr>
          <w:rFonts w:ascii="Cambria" w:hAnsi="Cambria"/>
          <w:sz w:val="22"/>
          <w:szCs w:val="22"/>
        </w:rPr>
        <w:t>Article 400 of the Criminal Code</w:t>
      </w:r>
      <w:r w:rsidRPr="00AA1676">
        <w:rPr>
          <w:rFonts w:ascii="Cambria" w:hAnsi="Cambria"/>
          <w:sz w:val="22"/>
          <w:szCs w:val="22"/>
        </w:rPr>
        <w:t>, which</w:t>
      </w:r>
      <w:r w:rsidR="00A90CD6" w:rsidRPr="00AA1676">
        <w:rPr>
          <w:rFonts w:ascii="Cambria" w:hAnsi="Cambria"/>
          <w:sz w:val="22"/>
          <w:szCs w:val="22"/>
        </w:rPr>
        <w:t xml:space="preserve"> prohibits any violation in the procedures </w:t>
      </w:r>
      <w:r w:rsidRPr="00AA1676">
        <w:rPr>
          <w:rFonts w:ascii="Cambria" w:hAnsi="Cambria"/>
          <w:sz w:val="22"/>
          <w:szCs w:val="22"/>
        </w:rPr>
        <w:t>for</w:t>
      </w:r>
      <w:r w:rsidR="00A90CD6" w:rsidRPr="00AA1676">
        <w:rPr>
          <w:rFonts w:ascii="Cambria" w:hAnsi="Cambria"/>
          <w:sz w:val="22"/>
          <w:szCs w:val="22"/>
        </w:rPr>
        <w:t xml:space="preserve"> holding rallies or demonstration</w:t>
      </w:r>
      <w:r w:rsidRPr="00AA1676">
        <w:rPr>
          <w:rFonts w:ascii="Cambria" w:hAnsi="Cambria"/>
          <w:sz w:val="22"/>
          <w:szCs w:val="22"/>
        </w:rPr>
        <w:t>s, has</w:t>
      </w:r>
      <w:r w:rsidR="00A90CD6" w:rsidRPr="00AA1676">
        <w:rPr>
          <w:rFonts w:ascii="Cambria" w:hAnsi="Cambria"/>
          <w:sz w:val="22"/>
          <w:szCs w:val="22"/>
        </w:rPr>
        <w:t xml:space="preserve"> been applied in ways which discriminate against those expressing political opinions which conflict with the government. For example, in April and May 2016, there were widespread protests in response to the government’s proposed amendments to the Land Code. The police responded aggressively, detaining hundreds of people, including journalists and human rights defenders seeking to monitor events</w:t>
      </w:r>
      <w:r w:rsidRPr="00AA1676">
        <w:rPr>
          <w:rFonts w:ascii="Cambria" w:hAnsi="Cambria"/>
          <w:sz w:val="22"/>
          <w:szCs w:val="22"/>
        </w:rPr>
        <w:t>.</w:t>
      </w:r>
      <w:r w:rsidR="00A90CD6" w:rsidRPr="00AA1676">
        <w:rPr>
          <w:rStyle w:val="FootnoteReference"/>
          <w:rFonts w:ascii="Cambria" w:hAnsi="Cambria"/>
          <w:sz w:val="22"/>
          <w:szCs w:val="22"/>
        </w:rPr>
        <w:footnoteReference w:id="11"/>
      </w:r>
    </w:p>
    <w:bookmarkEnd w:id="0"/>
    <w:p w14:paraId="52B0CDAB" w14:textId="77777777" w:rsidR="0026716A" w:rsidRPr="00AA1676" w:rsidRDefault="0026716A" w:rsidP="00AA1676">
      <w:pPr>
        <w:pStyle w:val="ListParagraph"/>
        <w:spacing w:before="0" w:beforeAutospacing="0" w:after="0" w:afterAutospacing="0"/>
        <w:ind w:left="567"/>
        <w:contextualSpacing/>
        <w:jc w:val="both"/>
        <w:rPr>
          <w:rFonts w:ascii="Cambria" w:hAnsi="Cambria" w:cs="Calibri"/>
          <w:color w:val="000000" w:themeColor="text1"/>
          <w:sz w:val="22"/>
          <w:szCs w:val="22"/>
        </w:rPr>
      </w:pPr>
    </w:p>
    <w:p w14:paraId="7802D75B" w14:textId="022FEED4" w:rsidR="00BA61E5" w:rsidRPr="00AA1676" w:rsidRDefault="00F42758" w:rsidP="00AA1676">
      <w:pPr>
        <w:tabs>
          <w:tab w:val="left" w:pos="567"/>
        </w:tabs>
        <w:contextualSpacing/>
        <w:jc w:val="both"/>
        <w:rPr>
          <w:rFonts w:ascii="Cambria" w:hAnsi="Cambria" w:cs="Calibri"/>
          <w:b/>
          <w:bCs/>
          <w:i/>
          <w:iCs/>
          <w:color w:val="000000"/>
          <w:sz w:val="22"/>
          <w:szCs w:val="22"/>
        </w:rPr>
      </w:pPr>
      <w:r w:rsidRPr="00AA1676">
        <w:rPr>
          <w:rFonts w:ascii="Cambria" w:hAnsi="Cambria" w:cs="Calibri"/>
          <w:b/>
          <w:bCs/>
          <w:i/>
          <w:iCs/>
          <w:color w:val="000000"/>
          <w:sz w:val="22"/>
          <w:szCs w:val="22"/>
        </w:rPr>
        <w:t>(ii)</w:t>
      </w:r>
      <w:r w:rsidR="00DD1E33" w:rsidRPr="00AA1676">
        <w:rPr>
          <w:rFonts w:ascii="Cambria" w:hAnsi="Cambria" w:cs="Calibri"/>
          <w:b/>
          <w:bCs/>
          <w:i/>
          <w:iCs/>
          <w:color w:val="000000"/>
          <w:sz w:val="22"/>
          <w:szCs w:val="22"/>
        </w:rPr>
        <w:t xml:space="preserve"> </w:t>
      </w:r>
      <w:r w:rsidR="004D71AB" w:rsidRPr="00AA1676">
        <w:rPr>
          <w:rFonts w:ascii="Cambria" w:hAnsi="Cambria" w:cs="Calibri"/>
          <w:b/>
          <w:bCs/>
          <w:i/>
          <w:iCs/>
          <w:color w:val="000000"/>
          <w:sz w:val="22"/>
          <w:szCs w:val="22"/>
        </w:rPr>
        <w:tab/>
      </w:r>
      <w:r w:rsidR="00BA61E5" w:rsidRPr="00AA1676">
        <w:rPr>
          <w:rFonts w:ascii="Cambria" w:hAnsi="Cambria" w:cs="Calibri"/>
          <w:b/>
          <w:bCs/>
          <w:i/>
          <w:iCs/>
          <w:color w:val="000000"/>
          <w:sz w:val="22"/>
          <w:szCs w:val="22"/>
        </w:rPr>
        <w:t>Discriminatory use of force by law enforcement as a response to assemblies</w:t>
      </w:r>
    </w:p>
    <w:p w14:paraId="200CA9BC" w14:textId="77777777" w:rsidR="00BA61E5" w:rsidRPr="00AA1676" w:rsidRDefault="00BA61E5" w:rsidP="00BA61E5">
      <w:pPr>
        <w:contextualSpacing/>
        <w:jc w:val="both"/>
        <w:rPr>
          <w:rFonts w:ascii="Cambria" w:hAnsi="Cambria" w:cs="Calibri"/>
          <w:b/>
          <w:bCs/>
          <w:color w:val="000000"/>
          <w:sz w:val="22"/>
          <w:szCs w:val="22"/>
        </w:rPr>
      </w:pPr>
    </w:p>
    <w:p w14:paraId="20D84586" w14:textId="3AB12441" w:rsidR="00BA61E5" w:rsidRPr="00AA1676" w:rsidRDefault="00BA61E5" w:rsidP="00BA61E5">
      <w:pPr>
        <w:pStyle w:val="ListParagraph"/>
        <w:numPr>
          <w:ilvl w:val="0"/>
          <w:numId w:val="27"/>
        </w:numPr>
        <w:spacing w:before="0" w:beforeAutospacing="0" w:after="0" w:afterAutospacing="0"/>
        <w:contextualSpacing/>
        <w:jc w:val="both"/>
        <w:rPr>
          <w:rFonts w:ascii="Cambria" w:hAnsi="Cambria" w:cs="Calibri"/>
          <w:color w:val="000000"/>
          <w:sz w:val="22"/>
          <w:szCs w:val="22"/>
        </w:rPr>
      </w:pPr>
      <w:r w:rsidRPr="00AA1676">
        <w:rPr>
          <w:rFonts w:ascii="Cambria" w:hAnsi="Cambria" w:cs="Calibri"/>
          <w:color w:val="000000"/>
          <w:sz w:val="22"/>
          <w:szCs w:val="22"/>
        </w:rPr>
        <w:t>The Special Rapporteur on the rights to freedom of peaceful assembly and of association has noted that violence, harassment, and arbitrary detention during protests are mainly directed against women and sexual minorities.</w:t>
      </w:r>
      <w:r w:rsidRPr="00AA1676">
        <w:rPr>
          <w:rStyle w:val="FootnoteReference"/>
          <w:rFonts w:ascii="Cambria" w:hAnsi="Cambria" w:cs="Calibri"/>
          <w:color w:val="000000"/>
          <w:sz w:val="22"/>
          <w:szCs w:val="22"/>
        </w:rPr>
        <w:footnoteReference w:id="12"/>
      </w:r>
      <w:r w:rsidRPr="00AA1676">
        <w:rPr>
          <w:rFonts w:ascii="Cambria" w:hAnsi="Cambria" w:cs="Calibri"/>
          <w:color w:val="000000"/>
          <w:sz w:val="22"/>
          <w:szCs w:val="22"/>
        </w:rPr>
        <w:t xml:space="preserve"> Together with our partners, the Equal Rights Trust has collected evidence of the discriminatory use of force both against these groups and also against ethnic minorities. </w:t>
      </w:r>
    </w:p>
    <w:p w14:paraId="23EFF04F" w14:textId="77777777" w:rsidR="00BA61E5" w:rsidRPr="00AA1676" w:rsidRDefault="00BA61E5" w:rsidP="00BA61E5">
      <w:pPr>
        <w:contextualSpacing/>
        <w:jc w:val="both"/>
        <w:rPr>
          <w:rFonts w:ascii="Cambria" w:hAnsi="Cambria" w:cs="Calibri"/>
          <w:color w:val="000000"/>
          <w:sz w:val="22"/>
          <w:szCs w:val="22"/>
        </w:rPr>
      </w:pPr>
    </w:p>
    <w:p w14:paraId="46E2DD3E" w14:textId="17B314DD" w:rsidR="00BA61E5" w:rsidRPr="00AA1676" w:rsidRDefault="00BA61E5" w:rsidP="00BA61E5">
      <w:pPr>
        <w:pStyle w:val="ListParagraph"/>
        <w:numPr>
          <w:ilvl w:val="0"/>
          <w:numId w:val="27"/>
        </w:numPr>
        <w:spacing w:before="0" w:beforeAutospacing="0" w:after="0" w:afterAutospacing="0"/>
        <w:contextualSpacing/>
        <w:jc w:val="both"/>
        <w:rPr>
          <w:rFonts w:ascii="Cambria" w:hAnsi="Cambria" w:cs="Calibri"/>
          <w:color w:val="000000"/>
          <w:sz w:val="22"/>
          <w:szCs w:val="22"/>
        </w:rPr>
      </w:pPr>
      <w:r w:rsidRPr="00AA1676">
        <w:rPr>
          <w:rFonts w:ascii="Cambria" w:hAnsi="Cambria" w:cs="Calibri"/>
          <w:color w:val="000000" w:themeColor="text1"/>
          <w:sz w:val="22"/>
          <w:szCs w:val="22"/>
        </w:rPr>
        <w:t xml:space="preserve">During the protests that followed the electoral crisis in </w:t>
      </w:r>
      <w:r w:rsidRPr="00AA1676">
        <w:rPr>
          <w:rFonts w:ascii="Cambria" w:hAnsi="Cambria" w:cs="Calibri"/>
          <w:b/>
          <w:bCs/>
          <w:color w:val="000000" w:themeColor="text1"/>
          <w:sz w:val="22"/>
          <w:szCs w:val="22"/>
        </w:rPr>
        <w:t>Bolivia</w:t>
      </w:r>
      <w:r w:rsidRPr="00AA1676">
        <w:rPr>
          <w:rFonts w:ascii="Cambria" w:hAnsi="Cambria" w:cs="Calibri"/>
          <w:color w:val="000000" w:themeColor="text1"/>
          <w:sz w:val="22"/>
          <w:szCs w:val="22"/>
        </w:rPr>
        <w:t xml:space="preserve"> in 2019, the media reported that, in Cochabamba, the police fired tear gas at indigenous supporters of President Morales who were </w:t>
      </w:r>
      <w:r w:rsidRPr="00AA1676">
        <w:rPr>
          <w:rFonts w:ascii="Cambria" w:hAnsi="Cambria" w:cs="Calibri"/>
          <w:color w:val="000000" w:themeColor="text1"/>
          <w:sz w:val="22"/>
          <w:szCs w:val="22"/>
        </w:rPr>
        <w:lastRenderedPageBreak/>
        <w:t>attempting to march peacefully.</w:t>
      </w:r>
      <w:r w:rsidRPr="00AA1676">
        <w:rPr>
          <w:rStyle w:val="FootnoteReference"/>
          <w:rFonts w:ascii="Cambria" w:hAnsi="Cambria"/>
          <w:sz w:val="22"/>
          <w:szCs w:val="22"/>
        </w:rPr>
        <w:t xml:space="preserve"> </w:t>
      </w:r>
      <w:r w:rsidRPr="00AA1676">
        <w:rPr>
          <w:rStyle w:val="FootnoteReference"/>
          <w:rFonts w:ascii="Cambria" w:hAnsi="Cambria"/>
          <w:sz w:val="22"/>
          <w:szCs w:val="22"/>
        </w:rPr>
        <w:footnoteReference w:id="13"/>
      </w:r>
      <w:r w:rsidRPr="00AA1676">
        <w:rPr>
          <w:rFonts w:ascii="Cambria" w:hAnsi="Cambria"/>
          <w:sz w:val="22"/>
          <w:szCs w:val="22"/>
        </w:rPr>
        <w:t xml:space="preserve"> The police also reportedly used tear gas to disperse a peaceful vigil held by indigenous groups in a public square in central La Paz.</w:t>
      </w:r>
      <w:r w:rsidRPr="00AA1676">
        <w:rPr>
          <w:rStyle w:val="FootnoteReference"/>
          <w:rFonts w:ascii="Cambria" w:hAnsi="Cambria"/>
          <w:sz w:val="22"/>
          <w:szCs w:val="22"/>
        </w:rPr>
        <w:footnoteReference w:id="14"/>
      </w:r>
      <w:r w:rsidRPr="00AA1676">
        <w:rPr>
          <w:rFonts w:ascii="Cambria" w:hAnsi="Cambria"/>
          <w:sz w:val="22"/>
          <w:szCs w:val="22"/>
        </w:rPr>
        <w:t xml:space="preserve"> </w:t>
      </w:r>
    </w:p>
    <w:p w14:paraId="084E6580" w14:textId="77777777" w:rsidR="00BA61E5" w:rsidRPr="00AA1676" w:rsidRDefault="00BA61E5" w:rsidP="00BA61E5">
      <w:pPr>
        <w:pStyle w:val="ListParagraph"/>
        <w:spacing w:before="0" w:beforeAutospacing="0" w:after="0" w:afterAutospacing="0"/>
        <w:ind w:left="720"/>
        <w:contextualSpacing/>
        <w:jc w:val="both"/>
        <w:rPr>
          <w:rFonts w:ascii="Cambria" w:hAnsi="Cambria" w:cs="Calibri"/>
          <w:color w:val="000000"/>
          <w:sz w:val="22"/>
          <w:szCs w:val="22"/>
        </w:rPr>
      </w:pPr>
    </w:p>
    <w:p w14:paraId="42988809" w14:textId="2C8AE226" w:rsidR="00BA61E5" w:rsidRPr="00AA1676" w:rsidRDefault="00BA61E5" w:rsidP="006E615A">
      <w:pPr>
        <w:pStyle w:val="ListParagraph"/>
        <w:numPr>
          <w:ilvl w:val="0"/>
          <w:numId w:val="27"/>
        </w:numPr>
        <w:spacing w:before="0" w:beforeAutospacing="0" w:after="0" w:afterAutospacing="0"/>
        <w:contextualSpacing/>
        <w:jc w:val="both"/>
        <w:rPr>
          <w:rFonts w:ascii="Cambria" w:hAnsi="Cambria" w:cs="Calibri"/>
          <w:color w:val="000000"/>
          <w:sz w:val="22"/>
          <w:szCs w:val="22"/>
        </w:rPr>
      </w:pPr>
      <w:r w:rsidRPr="00AA1676">
        <w:rPr>
          <w:rFonts w:ascii="Cambria" w:hAnsi="Cambria" w:cs="Calibri"/>
          <w:color w:val="000000"/>
          <w:sz w:val="22"/>
          <w:szCs w:val="22"/>
        </w:rPr>
        <w:t xml:space="preserve">The Chilean non-governmental organisation ABOFEM has reported to the Trust that, during 2019 protests in </w:t>
      </w:r>
      <w:r w:rsidRPr="00AA1676">
        <w:rPr>
          <w:rFonts w:ascii="Cambria" w:hAnsi="Cambria" w:cs="Calibri"/>
          <w:b/>
          <w:bCs/>
          <w:color w:val="000000"/>
          <w:sz w:val="22"/>
          <w:szCs w:val="22"/>
        </w:rPr>
        <w:t>Chile,</w:t>
      </w:r>
      <w:r w:rsidRPr="00AA1676">
        <w:rPr>
          <w:rFonts w:ascii="Cambria" w:hAnsi="Cambria" w:cs="Calibri"/>
          <w:color w:val="000000"/>
          <w:sz w:val="22"/>
          <w:szCs w:val="22"/>
        </w:rPr>
        <w:t xml:space="preserve"> </w:t>
      </w:r>
      <w:r w:rsidRPr="00AA1676">
        <w:rPr>
          <w:rFonts w:ascii="Cambria" w:hAnsi="Cambria"/>
          <w:sz w:val="22"/>
          <w:szCs w:val="22"/>
        </w:rPr>
        <w:t>the police (</w:t>
      </w:r>
      <w:r w:rsidRPr="00AA1676">
        <w:rPr>
          <w:rFonts w:ascii="Cambria" w:hAnsi="Cambria"/>
          <w:i/>
          <w:iCs/>
          <w:sz w:val="22"/>
          <w:szCs w:val="22"/>
        </w:rPr>
        <w:t>carabineros</w:t>
      </w:r>
      <w:r w:rsidRPr="00AA1676">
        <w:rPr>
          <w:rFonts w:ascii="Cambria" w:hAnsi="Cambria"/>
          <w:sz w:val="22"/>
          <w:szCs w:val="22"/>
        </w:rPr>
        <w:t xml:space="preserve">) used sexual violence, physical violence, and harassment against women as a way to repress, control, and punish protests. </w:t>
      </w:r>
      <w:r w:rsidRPr="00AA1676">
        <w:rPr>
          <w:rFonts w:ascii="Cambria" w:hAnsi="Cambria"/>
          <w:color w:val="000000" w:themeColor="text1"/>
          <w:sz w:val="22"/>
          <w:szCs w:val="22"/>
        </w:rPr>
        <w:t xml:space="preserve">ABOFEM reported </w:t>
      </w:r>
      <w:r w:rsidRPr="00AA1676">
        <w:rPr>
          <w:rFonts w:ascii="Cambria" w:hAnsi="Cambria"/>
          <w:sz w:val="22"/>
          <w:szCs w:val="22"/>
        </w:rPr>
        <w:t xml:space="preserve">2 cases of sexual assault; </w:t>
      </w:r>
      <w:r w:rsidRPr="00AA1676">
        <w:rPr>
          <w:rFonts w:ascii="Cambria" w:hAnsi="Cambria"/>
          <w:color w:val="000000" w:themeColor="text1"/>
          <w:sz w:val="22"/>
          <w:szCs w:val="22"/>
        </w:rPr>
        <w:t>18 cases of degrading, cruel, and inhuman treatment; 1 case of attempted murder; 1 case of kidnapping and rape; 24 cases of torture, and 1 case of rape.</w:t>
      </w:r>
      <w:r w:rsidRPr="00AA1676">
        <w:rPr>
          <w:rStyle w:val="FootnoteReference"/>
          <w:rFonts w:ascii="Cambria" w:hAnsi="Cambria"/>
          <w:color w:val="000000" w:themeColor="text1"/>
          <w:sz w:val="22"/>
          <w:szCs w:val="22"/>
        </w:rPr>
        <w:footnoteReference w:id="15"/>
      </w:r>
      <w:r w:rsidRPr="00AA1676">
        <w:rPr>
          <w:rFonts w:ascii="Cambria" w:hAnsi="Cambria"/>
          <w:color w:val="000000" w:themeColor="text1"/>
          <w:sz w:val="22"/>
          <w:szCs w:val="22"/>
        </w:rPr>
        <w:t xml:space="preserve"> According to information provided by ABOFEM, in many of these cases women were arbitrarily detained and forced to strip; once naked, they were forced to squat in front of police officers for long periods of time, while officers mocked them; hit them; insulted them; groped them; and threatened them with physical violence, rape, disappearance, and murder.</w:t>
      </w:r>
      <w:r w:rsidRPr="00AA1676">
        <w:rPr>
          <w:rStyle w:val="FootnoteReference"/>
          <w:rFonts w:ascii="Cambria" w:hAnsi="Cambria"/>
          <w:sz w:val="22"/>
          <w:szCs w:val="22"/>
        </w:rPr>
        <w:footnoteReference w:id="16"/>
      </w:r>
      <w:r w:rsidRPr="00AA1676">
        <w:rPr>
          <w:rFonts w:ascii="Cambria" w:hAnsi="Cambria"/>
          <w:sz w:val="22"/>
          <w:szCs w:val="22"/>
        </w:rPr>
        <w:t xml:space="preserve"> We were also provided with evidence that l</w:t>
      </w:r>
      <w:r w:rsidRPr="00AA1676">
        <w:rPr>
          <w:rFonts w:ascii="Cambria" w:hAnsi="Cambria" w:cs="Calibri"/>
          <w:color w:val="000000"/>
          <w:sz w:val="22"/>
          <w:szCs w:val="22"/>
        </w:rPr>
        <w:t xml:space="preserve">esbian women were also arbitrarily detained due to their sexual orientation or gender expression, and were locked in cells with men, where police officers forced them to </w:t>
      </w:r>
      <w:r w:rsidR="00A90CD6" w:rsidRPr="00AA1676">
        <w:rPr>
          <w:rFonts w:ascii="Cambria" w:hAnsi="Cambria" w:cs="Calibri"/>
          <w:color w:val="000000"/>
          <w:sz w:val="22"/>
          <w:szCs w:val="22"/>
        </w:rPr>
        <w:t>remove their clothes</w:t>
      </w:r>
      <w:r w:rsidRPr="00AA1676">
        <w:rPr>
          <w:rFonts w:ascii="Cambria" w:hAnsi="Cambria" w:cs="Calibri"/>
          <w:color w:val="000000"/>
          <w:sz w:val="22"/>
          <w:szCs w:val="22"/>
        </w:rPr>
        <w:t xml:space="preserve"> and squat while they called them homophobic slurs and humiliated them by hitting them, choking them, and subjected them to repetitive genital inspections.</w:t>
      </w:r>
      <w:r w:rsidRPr="00AA1676">
        <w:rPr>
          <w:rStyle w:val="FootnoteReference"/>
          <w:rFonts w:ascii="Cambria" w:hAnsi="Cambria"/>
          <w:sz w:val="22"/>
          <w:szCs w:val="22"/>
        </w:rPr>
        <w:footnoteReference w:id="17"/>
      </w:r>
      <w:r w:rsidRPr="00AA1676">
        <w:rPr>
          <w:rFonts w:ascii="Cambria" w:hAnsi="Cambria"/>
          <w:sz w:val="22"/>
          <w:szCs w:val="22"/>
        </w:rPr>
        <w:t xml:space="preserve"> ABOFEM reported that equality and human rights defenders have been harassed by the police and have been followed around by vehicles with no license plates.</w:t>
      </w:r>
      <w:r w:rsidRPr="00AA1676">
        <w:rPr>
          <w:rStyle w:val="FootnoteReference"/>
          <w:rFonts w:ascii="Cambria" w:hAnsi="Cambria"/>
          <w:color w:val="000000" w:themeColor="text1"/>
          <w:sz w:val="22"/>
          <w:szCs w:val="22"/>
        </w:rPr>
        <w:footnoteReference w:id="18"/>
      </w:r>
      <w:r w:rsidRPr="00AA1676">
        <w:rPr>
          <w:rFonts w:ascii="Cambria" w:hAnsi="Cambria"/>
          <w:sz w:val="22"/>
          <w:szCs w:val="22"/>
        </w:rPr>
        <w:t xml:space="preserve"> </w:t>
      </w:r>
    </w:p>
    <w:p w14:paraId="4D976F60" w14:textId="77777777" w:rsidR="00BA61E5" w:rsidRPr="00AA1676" w:rsidRDefault="00BA61E5" w:rsidP="00AA1676">
      <w:pPr>
        <w:pStyle w:val="ListParagraph"/>
        <w:spacing w:before="0" w:beforeAutospacing="0" w:after="0" w:afterAutospacing="0"/>
        <w:ind w:left="567"/>
        <w:contextualSpacing/>
        <w:jc w:val="both"/>
        <w:rPr>
          <w:rFonts w:ascii="Cambria" w:hAnsi="Cambria" w:cs="Calibri"/>
          <w:color w:val="000000"/>
          <w:sz w:val="22"/>
          <w:szCs w:val="22"/>
        </w:rPr>
      </w:pPr>
    </w:p>
    <w:p w14:paraId="3D19BC9A" w14:textId="03E9EEB8" w:rsidR="00DF1E39" w:rsidRPr="00AA1676" w:rsidRDefault="00BA61E5" w:rsidP="00AA1676">
      <w:pPr>
        <w:tabs>
          <w:tab w:val="left" w:pos="567"/>
        </w:tabs>
        <w:contextualSpacing/>
        <w:jc w:val="both"/>
        <w:rPr>
          <w:rFonts w:ascii="Cambria" w:hAnsi="Cambria" w:cs="Calibri"/>
          <w:b/>
          <w:bCs/>
          <w:i/>
          <w:iCs/>
          <w:color w:val="000000"/>
          <w:sz w:val="22"/>
          <w:szCs w:val="22"/>
        </w:rPr>
      </w:pPr>
      <w:r w:rsidRPr="00AA1676">
        <w:rPr>
          <w:rFonts w:ascii="Cambria" w:hAnsi="Cambria" w:cs="Calibri"/>
          <w:b/>
          <w:bCs/>
          <w:i/>
          <w:iCs/>
          <w:color w:val="000000"/>
          <w:sz w:val="22"/>
          <w:szCs w:val="22"/>
        </w:rPr>
        <w:t xml:space="preserve">(iii) </w:t>
      </w:r>
      <w:r w:rsidR="004D71AB" w:rsidRPr="00AA1676">
        <w:rPr>
          <w:rFonts w:ascii="Cambria" w:hAnsi="Cambria" w:cs="Calibri"/>
          <w:b/>
          <w:bCs/>
          <w:i/>
          <w:iCs/>
          <w:color w:val="000000"/>
          <w:sz w:val="22"/>
          <w:szCs w:val="22"/>
        </w:rPr>
        <w:tab/>
      </w:r>
      <w:r w:rsidR="003D50EC" w:rsidRPr="00AA1676">
        <w:rPr>
          <w:rFonts w:ascii="Cambria" w:hAnsi="Cambria" w:cs="Calibri"/>
          <w:b/>
          <w:bCs/>
          <w:i/>
          <w:iCs/>
          <w:color w:val="000000"/>
          <w:sz w:val="22"/>
          <w:szCs w:val="22"/>
        </w:rPr>
        <w:t>Discrimination in failing to facilitate assembly</w:t>
      </w:r>
    </w:p>
    <w:p w14:paraId="57C4021F" w14:textId="1592567A" w:rsidR="00D941AE" w:rsidRPr="00AA1676" w:rsidRDefault="00D941AE" w:rsidP="004C4C41">
      <w:pPr>
        <w:contextualSpacing/>
        <w:jc w:val="both"/>
        <w:rPr>
          <w:rFonts w:ascii="Cambria" w:hAnsi="Cambria" w:cs="Calibri"/>
          <w:i/>
          <w:iCs/>
          <w:color w:val="000000"/>
          <w:sz w:val="22"/>
          <w:szCs w:val="22"/>
        </w:rPr>
      </w:pPr>
    </w:p>
    <w:p w14:paraId="2A0C396C" w14:textId="375E4812" w:rsidR="00D941AE" w:rsidRPr="00AA1676" w:rsidRDefault="00D941AE" w:rsidP="004C4C41">
      <w:pPr>
        <w:contextualSpacing/>
        <w:jc w:val="both"/>
        <w:rPr>
          <w:rFonts w:ascii="Cambria" w:hAnsi="Cambria" w:cs="Calibri"/>
          <w:i/>
          <w:iCs/>
          <w:color w:val="000000"/>
          <w:sz w:val="22"/>
          <w:szCs w:val="22"/>
        </w:rPr>
      </w:pPr>
      <w:r w:rsidRPr="00AA1676">
        <w:rPr>
          <w:rFonts w:ascii="Cambria" w:hAnsi="Cambria" w:cs="Calibri"/>
          <w:i/>
          <w:iCs/>
          <w:color w:val="000000"/>
          <w:sz w:val="22"/>
          <w:szCs w:val="22"/>
        </w:rPr>
        <w:t>Protection from violence</w:t>
      </w:r>
    </w:p>
    <w:p w14:paraId="210F2D22" w14:textId="77777777" w:rsidR="003E7521" w:rsidRPr="00AA1676" w:rsidRDefault="003E7521" w:rsidP="004C4C41">
      <w:pPr>
        <w:pStyle w:val="ListParagraph"/>
        <w:spacing w:before="0" w:beforeAutospacing="0" w:after="0" w:afterAutospacing="0"/>
        <w:ind w:left="720"/>
        <w:contextualSpacing/>
        <w:jc w:val="both"/>
        <w:rPr>
          <w:rFonts w:ascii="Cambria" w:hAnsi="Cambria" w:cs="Calibri"/>
          <w:color w:val="000000"/>
          <w:sz w:val="22"/>
          <w:szCs w:val="22"/>
        </w:rPr>
      </w:pPr>
    </w:p>
    <w:p w14:paraId="5E60DB52" w14:textId="6940641B" w:rsidR="00956B51" w:rsidRPr="00AA1676" w:rsidRDefault="00956B51" w:rsidP="004C4C41">
      <w:pPr>
        <w:pStyle w:val="ListParagraph"/>
        <w:numPr>
          <w:ilvl w:val="0"/>
          <w:numId w:val="27"/>
        </w:numPr>
        <w:spacing w:before="0" w:beforeAutospacing="0" w:after="0" w:afterAutospacing="0"/>
        <w:contextualSpacing/>
        <w:jc w:val="both"/>
        <w:rPr>
          <w:rFonts w:ascii="Cambria" w:hAnsi="Cambria" w:cs="Calibri"/>
          <w:color w:val="000000"/>
          <w:sz w:val="22"/>
          <w:szCs w:val="22"/>
        </w:rPr>
      </w:pPr>
      <w:r w:rsidRPr="00AA1676">
        <w:rPr>
          <w:rFonts w:ascii="Cambria" w:hAnsi="Cambria" w:cs="Calibri"/>
          <w:color w:val="000000"/>
          <w:sz w:val="22"/>
          <w:szCs w:val="22"/>
        </w:rPr>
        <w:t>The obligation to facilitate peaceful assembly entails – at a minimum – an obligation to protect those involved in assemblies from violence by both state and non-state actors.</w:t>
      </w:r>
      <w:r w:rsidRPr="00AA1676">
        <w:rPr>
          <w:rStyle w:val="FootnoteReference"/>
          <w:rFonts w:ascii="Cambria" w:hAnsi="Cambria" w:cs="Calibri"/>
          <w:color w:val="000000"/>
          <w:sz w:val="22"/>
          <w:szCs w:val="22"/>
        </w:rPr>
        <w:footnoteReference w:id="19"/>
      </w:r>
      <w:r w:rsidRPr="00AA1676">
        <w:rPr>
          <w:rFonts w:ascii="Cambria" w:hAnsi="Cambria" w:cs="Calibri"/>
          <w:color w:val="000000"/>
          <w:sz w:val="22"/>
          <w:szCs w:val="22"/>
        </w:rPr>
        <w:t xml:space="preserve"> This obligation takes on particular significance when the group in question is subject to severe social stigma and at risk of violence because of their identity or beliefs. Yet our partner organisations have shared numerous examples in which states have failed to meet this essential obligation.</w:t>
      </w:r>
    </w:p>
    <w:p w14:paraId="360B57A6" w14:textId="77777777" w:rsidR="00956B51" w:rsidRPr="00AA1676" w:rsidRDefault="00956B51" w:rsidP="00AA1676">
      <w:pPr>
        <w:pStyle w:val="ListParagraph"/>
        <w:spacing w:before="0" w:beforeAutospacing="0" w:after="0" w:afterAutospacing="0"/>
        <w:ind w:left="567"/>
        <w:contextualSpacing/>
        <w:jc w:val="both"/>
        <w:rPr>
          <w:rFonts w:ascii="Cambria" w:hAnsi="Cambria" w:cs="Calibri"/>
          <w:color w:val="000000"/>
          <w:sz w:val="22"/>
          <w:szCs w:val="22"/>
        </w:rPr>
      </w:pPr>
    </w:p>
    <w:p w14:paraId="7FE8B6E5" w14:textId="4A02897A" w:rsidR="008A2A97" w:rsidRPr="00AA1676" w:rsidRDefault="003E7521" w:rsidP="004C4C41">
      <w:pPr>
        <w:pStyle w:val="ListParagraph"/>
        <w:numPr>
          <w:ilvl w:val="0"/>
          <w:numId w:val="27"/>
        </w:numPr>
        <w:spacing w:before="0" w:beforeAutospacing="0" w:after="0" w:afterAutospacing="0"/>
        <w:contextualSpacing/>
        <w:jc w:val="both"/>
        <w:rPr>
          <w:rFonts w:ascii="Cambria" w:hAnsi="Cambria" w:cs="Calibri"/>
          <w:color w:val="000000"/>
          <w:sz w:val="22"/>
          <w:szCs w:val="22"/>
        </w:rPr>
      </w:pPr>
      <w:r w:rsidRPr="00AA1676">
        <w:rPr>
          <w:rFonts w:ascii="Cambria" w:hAnsi="Cambria" w:cs="Calibri"/>
          <w:color w:val="000000"/>
          <w:sz w:val="22"/>
          <w:szCs w:val="22"/>
        </w:rPr>
        <w:t>In</w:t>
      </w:r>
      <w:r w:rsidRPr="00AA1676">
        <w:rPr>
          <w:rFonts w:ascii="Cambria" w:hAnsi="Cambria" w:cs="Calibri"/>
          <w:b/>
          <w:bCs/>
          <w:color w:val="000000"/>
          <w:sz w:val="22"/>
          <w:szCs w:val="22"/>
        </w:rPr>
        <w:t xml:space="preserve"> Armenia</w:t>
      </w:r>
      <w:r w:rsidRPr="00AA1676">
        <w:rPr>
          <w:rFonts w:ascii="Cambria" w:hAnsi="Cambria" w:cs="Calibri"/>
          <w:color w:val="000000"/>
          <w:sz w:val="22"/>
          <w:szCs w:val="22"/>
        </w:rPr>
        <w:t xml:space="preserve">, in November 2018, LGBT+ Christian Groups and New Generation (an NGO) were forced to cancel an event called “Forum of LGBT Christians of Eastern Europe and Central Asia” because the organisers of the event received various death threats. Despite the fact that they warned the police, </w:t>
      </w:r>
      <w:r w:rsidRPr="00AA1676">
        <w:rPr>
          <w:rFonts w:ascii="Cambria" w:hAnsi="Cambria" w:cs="Calibri"/>
          <w:color w:val="000000"/>
          <w:sz w:val="22"/>
          <w:szCs w:val="22"/>
        </w:rPr>
        <w:lastRenderedPageBreak/>
        <w:t>the government took an indifferent stance and refused to provide adequate security which would have allowed the event to occur peacefully.</w:t>
      </w:r>
      <w:r w:rsidRPr="00AA1676">
        <w:rPr>
          <w:rStyle w:val="FootnoteReference"/>
          <w:rFonts w:ascii="Cambria" w:hAnsi="Cambria"/>
          <w:sz w:val="22"/>
          <w:szCs w:val="22"/>
        </w:rPr>
        <w:t xml:space="preserve"> </w:t>
      </w:r>
      <w:r w:rsidRPr="00AA1676">
        <w:rPr>
          <w:rStyle w:val="FootnoteReference"/>
          <w:rFonts w:ascii="Cambria" w:hAnsi="Cambria"/>
          <w:sz w:val="22"/>
          <w:szCs w:val="22"/>
        </w:rPr>
        <w:footnoteReference w:id="20"/>
      </w:r>
    </w:p>
    <w:p w14:paraId="3D6D664D" w14:textId="77777777" w:rsidR="00A54055" w:rsidRPr="00AA1676" w:rsidRDefault="00A54055" w:rsidP="004C4C41">
      <w:pPr>
        <w:pStyle w:val="ListParagraph"/>
        <w:spacing w:before="0" w:beforeAutospacing="0" w:after="0" w:afterAutospacing="0"/>
        <w:ind w:left="360"/>
        <w:contextualSpacing/>
        <w:jc w:val="both"/>
        <w:rPr>
          <w:rFonts w:ascii="Cambria" w:hAnsi="Cambria" w:cs="Calibri"/>
          <w:color w:val="000000"/>
          <w:sz w:val="22"/>
          <w:szCs w:val="22"/>
        </w:rPr>
      </w:pPr>
    </w:p>
    <w:p w14:paraId="103126B5" w14:textId="31C57F5D" w:rsidR="00956B51" w:rsidRPr="00AA1676" w:rsidRDefault="00956B51" w:rsidP="00956B51">
      <w:pPr>
        <w:pStyle w:val="ListParagraph"/>
        <w:numPr>
          <w:ilvl w:val="0"/>
          <w:numId w:val="27"/>
        </w:numPr>
        <w:spacing w:before="0" w:beforeAutospacing="0" w:after="0" w:afterAutospacing="0"/>
        <w:contextualSpacing/>
        <w:jc w:val="both"/>
        <w:rPr>
          <w:rFonts w:ascii="Cambria" w:hAnsi="Cambria" w:cs="Calibri"/>
          <w:color w:val="000000"/>
          <w:sz w:val="22"/>
          <w:szCs w:val="22"/>
        </w:rPr>
      </w:pPr>
      <w:r w:rsidRPr="00AA1676">
        <w:rPr>
          <w:rFonts w:ascii="Cambria" w:hAnsi="Cambria" w:cs="Calibri"/>
          <w:color w:val="000000" w:themeColor="text1"/>
          <w:sz w:val="22"/>
          <w:szCs w:val="22"/>
        </w:rPr>
        <w:t xml:space="preserve">In </w:t>
      </w:r>
      <w:r w:rsidRPr="00AA1676">
        <w:rPr>
          <w:rFonts w:ascii="Cambria" w:hAnsi="Cambria" w:cs="Calibri"/>
          <w:b/>
          <w:bCs/>
          <w:color w:val="000000" w:themeColor="text1"/>
          <w:sz w:val="22"/>
          <w:szCs w:val="22"/>
        </w:rPr>
        <w:t>Paraguay</w:t>
      </w:r>
      <w:r w:rsidRPr="00AA1676">
        <w:rPr>
          <w:rFonts w:ascii="Cambria" w:hAnsi="Cambria" w:cs="Calibri"/>
          <w:color w:val="000000" w:themeColor="text1"/>
          <w:sz w:val="22"/>
          <w:szCs w:val="22"/>
        </w:rPr>
        <w:t xml:space="preserve">, </w:t>
      </w:r>
      <w:r w:rsidRPr="00AA1676">
        <w:rPr>
          <w:rFonts w:ascii="Cambria" w:hAnsi="Cambria" w:cs="Calibri"/>
          <w:color w:val="000000"/>
          <w:sz w:val="22"/>
          <w:szCs w:val="22"/>
        </w:rPr>
        <w:t xml:space="preserve">the Mayor of </w:t>
      </w:r>
      <w:proofErr w:type="spellStart"/>
      <w:r w:rsidRPr="00AA1676">
        <w:rPr>
          <w:rFonts w:ascii="Cambria" w:hAnsi="Cambria" w:cs="Calibri"/>
          <w:color w:val="000000"/>
          <w:sz w:val="22"/>
          <w:szCs w:val="22"/>
        </w:rPr>
        <w:t>Hernandarias</w:t>
      </w:r>
      <w:proofErr w:type="spellEnd"/>
      <w:r w:rsidRPr="00AA1676">
        <w:rPr>
          <w:rFonts w:ascii="Cambria" w:hAnsi="Cambria" w:cs="Calibri"/>
          <w:color w:val="000000"/>
          <w:sz w:val="22"/>
          <w:szCs w:val="22"/>
        </w:rPr>
        <w:t>, enacted Resolution No. 3076/19 prohibiting LGBT+ pride marches due to the fact that the town had been “declared pro-life and pro-family.”</w:t>
      </w:r>
      <w:r w:rsidRPr="00AA1676">
        <w:rPr>
          <w:rFonts w:ascii="Cambria" w:hAnsi="Cambria"/>
          <w:sz w:val="22"/>
          <w:szCs w:val="22"/>
          <w:vertAlign w:val="superscript"/>
        </w:rPr>
        <w:footnoteReference w:id="21"/>
      </w:r>
      <w:r w:rsidRPr="00AA1676">
        <w:rPr>
          <w:rFonts w:ascii="Cambria" w:hAnsi="Cambria" w:cs="Calibri"/>
          <w:color w:val="000000"/>
          <w:sz w:val="22"/>
          <w:szCs w:val="22"/>
        </w:rPr>
        <w:t xml:space="preserve"> This followed the declaration of other cities and of the Paraguayan Congress itself as “pro-life and pro-family”. The Mayor of </w:t>
      </w:r>
      <w:proofErr w:type="spellStart"/>
      <w:r w:rsidRPr="00AA1676">
        <w:rPr>
          <w:rFonts w:ascii="Cambria" w:hAnsi="Cambria" w:cs="Calibri"/>
          <w:color w:val="000000"/>
          <w:sz w:val="22"/>
          <w:szCs w:val="22"/>
        </w:rPr>
        <w:t>Hernandarias</w:t>
      </w:r>
      <w:proofErr w:type="spellEnd"/>
      <w:r w:rsidRPr="00AA1676">
        <w:rPr>
          <w:rFonts w:ascii="Cambria" w:hAnsi="Cambria" w:cs="Calibri"/>
          <w:color w:val="000000"/>
          <w:sz w:val="22"/>
          <w:szCs w:val="22"/>
        </w:rPr>
        <w:t xml:space="preserve"> stated that he could not allow LGBT+ persons to “walk around the streets acting immorally.”</w:t>
      </w:r>
      <w:r w:rsidRPr="00AA1676">
        <w:rPr>
          <w:rFonts w:ascii="Cambria" w:hAnsi="Cambria"/>
          <w:sz w:val="22"/>
          <w:szCs w:val="22"/>
          <w:vertAlign w:val="superscript"/>
        </w:rPr>
        <w:footnoteReference w:id="22"/>
      </w:r>
      <w:r w:rsidRPr="00AA1676">
        <w:rPr>
          <w:rFonts w:ascii="Cambria" w:hAnsi="Cambria" w:cs="Calibri"/>
          <w:color w:val="000000"/>
          <w:sz w:val="22"/>
          <w:szCs w:val="22"/>
        </w:rPr>
        <w:t xml:space="preserve"> He argued that Article 32 of the Constitution, which establishes the right to peaceful assembly, does not provide protection to expressions which contradict the “framework of respect” and which are “outside the scope of morality.”</w:t>
      </w:r>
      <w:r w:rsidRPr="00AA1676">
        <w:rPr>
          <w:rFonts w:ascii="Cambria" w:hAnsi="Cambria"/>
          <w:sz w:val="22"/>
          <w:szCs w:val="22"/>
          <w:vertAlign w:val="superscript"/>
        </w:rPr>
        <w:footnoteReference w:id="23"/>
      </w:r>
      <w:r w:rsidRPr="00AA1676">
        <w:rPr>
          <w:rFonts w:ascii="Cambria" w:hAnsi="Cambria" w:cs="Calibri"/>
          <w:color w:val="000000"/>
          <w:sz w:val="22"/>
          <w:szCs w:val="22"/>
        </w:rPr>
        <w:t xml:space="preserve"> LBGT+ groups nonetheless went ahead with a peaceful assembly in </w:t>
      </w:r>
      <w:proofErr w:type="spellStart"/>
      <w:r w:rsidRPr="00AA1676">
        <w:rPr>
          <w:rFonts w:ascii="Cambria" w:hAnsi="Cambria" w:cs="Calibri"/>
          <w:color w:val="000000"/>
          <w:sz w:val="22"/>
          <w:szCs w:val="22"/>
        </w:rPr>
        <w:t>Hernandarias</w:t>
      </w:r>
      <w:proofErr w:type="spellEnd"/>
      <w:r w:rsidRPr="00AA1676">
        <w:rPr>
          <w:rFonts w:ascii="Cambria" w:hAnsi="Cambria" w:cs="Calibri"/>
          <w:color w:val="000000"/>
          <w:sz w:val="22"/>
          <w:szCs w:val="22"/>
        </w:rPr>
        <w:t xml:space="preserve"> on 30 September 2019. Participants had planned to march from a public sq</w:t>
      </w:r>
      <w:bookmarkStart w:id="1" w:name="_GoBack"/>
      <w:bookmarkEnd w:id="1"/>
      <w:r w:rsidRPr="00AA1676">
        <w:rPr>
          <w:rFonts w:ascii="Cambria" w:hAnsi="Cambria" w:cs="Calibri"/>
          <w:color w:val="000000"/>
          <w:sz w:val="22"/>
          <w:szCs w:val="22"/>
        </w:rPr>
        <w:t>uare to a private rented space.</w:t>
      </w:r>
      <w:r w:rsidRPr="00AA1676">
        <w:rPr>
          <w:rStyle w:val="FootnoteReference"/>
          <w:rFonts w:ascii="Cambria" w:hAnsi="Cambria" w:cs="Calibri"/>
          <w:color w:val="000000"/>
          <w:sz w:val="22"/>
          <w:szCs w:val="22"/>
        </w:rPr>
        <w:t xml:space="preserve"> </w:t>
      </w:r>
      <w:r w:rsidRPr="00AA1676">
        <w:rPr>
          <w:rStyle w:val="FootnoteReference"/>
          <w:rFonts w:ascii="Cambria" w:hAnsi="Cambria" w:cs="Calibri"/>
          <w:color w:val="000000"/>
          <w:sz w:val="22"/>
          <w:szCs w:val="22"/>
        </w:rPr>
        <w:footnoteReference w:id="24"/>
      </w:r>
      <w:r w:rsidRPr="00AA1676">
        <w:rPr>
          <w:rFonts w:ascii="Cambria" w:hAnsi="Cambria" w:cs="Calibri"/>
          <w:color w:val="000000"/>
          <w:sz w:val="22"/>
          <w:szCs w:val="22"/>
        </w:rPr>
        <w:t xml:space="preserve"> The marchers were faced with attacks from right wing “pro-life and pro-family” groups which threw stones, debris, eggs, and fireworks at them. </w:t>
      </w:r>
      <w:r w:rsidRPr="00AA1676">
        <w:rPr>
          <w:rFonts w:ascii="Cambria" w:hAnsi="Cambria"/>
          <w:sz w:val="22"/>
          <w:szCs w:val="22"/>
        </w:rPr>
        <w:t>One man tried to run over the persons who were marching with his truck, while another one took a rainbow flag and set it on fire.</w:t>
      </w:r>
      <w:r w:rsidRPr="00AA1676">
        <w:rPr>
          <w:rStyle w:val="FootnoteReference"/>
          <w:rFonts w:ascii="Cambria" w:hAnsi="Cambria"/>
          <w:sz w:val="22"/>
          <w:szCs w:val="22"/>
        </w:rPr>
        <w:footnoteReference w:id="25"/>
      </w:r>
      <w:r w:rsidRPr="00AA1676">
        <w:rPr>
          <w:rFonts w:ascii="Cambria" w:hAnsi="Cambria"/>
          <w:sz w:val="22"/>
          <w:szCs w:val="22"/>
        </w:rPr>
        <w:t xml:space="preserve"> Regarding the attacks, the Mayor of </w:t>
      </w:r>
      <w:proofErr w:type="spellStart"/>
      <w:r w:rsidRPr="00AA1676">
        <w:rPr>
          <w:rFonts w:ascii="Cambria" w:hAnsi="Cambria"/>
          <w:sz w:val="22"/>
          <w:szCs w:val="22"/>
        </w:rPr>
        <w:t>Hernandarias</w:t>
      </w:r>
      <w:proofErr w:type="spellEnd"/>
      <w:r w:rsidRPr="00AA1676">
        <w:rPr>
          <w:rFonts w:ascii="Cambria" w:hAnsi="Cambria"/>
          <w:sz w:val="22"/>
          <w:szCs w:val="22"/>
        </w:rPr>
        <w:t xml:space="preserve"> publicly declared that the assembly had constituted a “provocation” because participants were acting “shamelessly” “disrespectfully” and against the laws of nature” in front of children, such that the violent attacks against them were justified.</w:t>
      </w:r>
    </w:p>
    <w:p w14:paraId="0B6FB6A3" w14:textId="42FF2371" w:rsidR="00D941AE" w:rsidRPr="00AA1676" w:rsidRDefault="00D941AE" w:rsidP="00D941AE">
      <w:pPr>
        <w:contextualSpacing/>
        <w:jc w:val="both"/>
        <w:rPr>
          <w:rFonts w:ascii="Cambria" w:hAnsi="Cambria" w:cs="Calibri"/>
          <w:color w:val="000000"/>
          <w:sz w:val="22"/>
          <w:szCs w:val="22"/>
        </w:rPr>
      </w:pPr>
    </w:p>
    <w:p w14:paraId="50FF807D" w14:textId="650C5369" w:rsidR="00D941AE" w:rsidRPr="00AA1676" w:rsidRDefault="00D941AE" w:rsidP="00AA1676">
      <w:pPr>
        <w:contextualSpacing/>
        <w:jc w:val="both"/>
        <w:rPr>
          <w:rFonts w:ascii="Cambria" w:hAnsi="Cambria" w:cs="Calibri"/>
          <w:i/>
          <w:iCs/>
          <w:color w:val="000000"/>
          <w:sz w:val="22"/>
          <w:szCs w:val="22"/>
        </w:rPr>
      </w:pPr>
      <w:r w:rsidRPr="00AA1676">
        <w:rPr>
          <w:rFonts w:ascii="Cambria" w:hAnsi="Cambria" w:cs="Calibri"/>
          <w:i/>
          <w:iCs/>
          <w:color w:val="000000"/>
          <w:sz w:val="22"/>
          <w:szCs w:val="22"/>
        </w:rPr>
        <w:t>Other obligations to facilitate</w:t>
      </w:r>
    </w:p>
    <w:p w14:paraId="04875DA2" w14:textId="77777777" w:rsidR="00956B51" w:rsidRPr="00AA1676" w:rsidRDefault="00956B51" w:rsidP="00AA1676">
      <w:pPr>
        <w:contextualSpacing/>
        <w:jc w:val="both"/>
        <w:rPr>
          <w:rFonts w:ascii="Cambria" w:hAnsi="Cambria" w:cs="Calibri"/>
          <w:color w:val="000000"/>
          <w:sz w:val="22"/>
          <w:szCs w:val="22"/>
        </w:rPr>
      </w:pPr>
    </w:p>
    <w:p w14:paraId="329EED53" w14:textId="7D73DF99" w:rsidR="00D941AE" w:rsidRPr="00AA1676" w:rsidRDefault="00A90CD6" w:rsidP="00D941AE">
      <w:pPr>
        <w:pStyle w:val="ListParagraph"/>
        <w:numPr>
          <w:ilvl w:val="0"/>
          <w:numId w:val="27"/>
        </w:numPr>
        <w:spacing w:before="0" w:beforeAutospacing="0" w:after="0" w:afterAutospacing="0"/>
        <w:contextualSpacing/>
        <w:jc w:val="both"/>
        <w:rPr>
          <w:rFonts w:ascii="Cambria" w:hAnsi="Cambria" w:cs="Calibri"/>
          <w:color w:val="000000"/>
          <w:sz w:val="22"/>
          <w:szCs w:val="22"/>
        </w:rPr>
      </w:pPr>
      <w:r w:rsidRPr="00AA1676">
        <w:rPr>
          <w:rFonts w:ascii="Cambria" w:hAnsi="Cambria" w:cs="Calibri"/>
          <w:color w:val="000000"/>
          <w:sz w:val="22"/>
          <w:szCs w:val="22"/>
        </w:rPr>
        <w:t xml:space="preserve">As noted in the draft General Comment, the obligation to facilitate peaceful assembly extends beyond protection from violence, and entails </w:t>
      </w:r>
      <w:r w:rsidR="00D941AE" w:rsidRPr="00AA1676">
        <w:rPr>
          <w:rFonts w:ascii="Cambria" w:hAnsi="Cambria" w:cs="Calibri"/>
          <w:i/>
          <w:iCs/>
          <w:color w:val="000000"/>
          <w:sz w:val="22"/>
          <w:szCs w:val="22"/>
        </w:rPr>
        <w:t xml:space="preserve">inter alia </w:t>
      </w:r>
      <w:r w:rsidRPr="00AA1676">
        <w:rPr>
          <w:rFonts w:ascii="Cambria" w:hAnsi="Cambria" w:cs="Calibri"/>
          <w:color w:val="000000"/>
          <w:sz w:val="22"/>
          <w:szCs w:val="22"/>
        </w:rPr>
        <w:t xml:space="preserve">obligations </w:t>
      </w:r>
      <w:r w:rsidR="00D941AE" w:rsidRPr="00AA1676">
        <w:rPr>
          <w:rFonts w:ascii="Cambria" w:hAnsi="Cambria" w:cs="Calibri"/>
          <w:color w:val="000000"/>
          <w:sz w:val="22"/>
          <w:szCs w:val="22"/>
        </w:rPr>
        <w:t xml:space="preserve">to enable </w:t>
      </w:r>
      <w:r w:rsidRPr="00AA1676">
        <w:rPr>
          <w:rFonts w:ascii="Cambria" w:hAnsi="Cambria" w:cs="Calibri"/>
          <w:color w:val="000000"/>
          <w:sz w:val="22"/>
          <w:szCs w:val="22"/>
        </w:rPr>
        <w:t xml:space="preserve">access to spaces for protests or assembly. </w:t>
      </w:r>
      <w:r w:rsidR="00D941AE" w:rsidRPr="00AA1676">
        <w:rPr>
          <w:rFonts w:ascii="Cambria" w:hAnsi="Cambria" w:cs="Calibri"/>
          <w:color w:val="000000"/>
          <w:sz w:val="22"/>
          <w:szCs w:val="22"/>
        </w:rPr>
        <w:t xml:space="preserve">Our research has identified examples where states have failed to fulfil this obligation, in ways which discriminate against particular groups. </w:t>
      </w:r>
    </w:p>
    <w:p w14:paraId="6155FD25" w14:textId="77777777" w:rsidR="00D941AE" w:rsidRPr="00AA1676" w:rsidRDefault="00D941AE" w:rsidP="00AA1676">
      <w:pPr>
        <w:pStyle w:val="ListParagraph"/>
        <w:spacing w:before="0" w:beforeAutospacing="0" w:after="0" w:afterAutospacing="0"/>
        <w:ind w:left="567"/>
        <w:contextualSpacing/>
        <w:jc w:val="both"/>
        <w:rPr>
          <w:rFonts w:ascii="Cambria" w:hAnsi="Cambria" w:cs="Calibri"/>
          <w:color w:val="000000"/>
          <w:sz w:val="22"/>
          <w:szCs w:val="22"/>
        </w:rPr>
      </w:pPr>
    </w:p>
    <w:p w14:paraId="4B8FFE57" w14:textId="41A522A9" w:rsidR="00D338D7" w:rsidRPr="00AA1676" w:rsidRDefault="001615A3" w:rsidP="00D338D7">
      <w:pPr>
        <w:pStyle w:val="ListParagraph"/>
        <w:numPr>
          <w:ilvl w:val="0"/>
          <w:numId w:val="27"/>
        </w:numPr>
        <w:spacing w:before="0" w:beforeAutospacing="0" w:after="0" w:afterAutospacing="0"/>
        <w:contextualSpacing/>
        <w:jc w:val="both"/>
        <w:rPr>
          <w:rFonts w:ascii="Cambria" w:hAnsi="Cambria" w:cs="Calibri"/>
          <w:color w:val="000000"/>
          <w:sz w:val="22"/>
          <w:szCs w:val="22"/>
        </w:rPr>
      </w:pPr>
      <w:r w:rsidRPr="00AA1676">
        <w:rPr>
          <w:rFonts w:ascii="Cambria" w:hAnsi="Cambria" w:cs="Calibri"/>
          <w:color w:val="000000"/>
          <w:sz w:val="22"/>
          <w:szCs w:val="22"/>
        </w:rPr>
        <w:t xml:space="preserve">Our partner in </w:t>
      </w:r>
      <w:r w:rsidRPr="00AA1676">
        <w:rPr>
          <w:rFonts w:ascii="Cambria" w:hAnsi="Cambria" w:cs="Calibri"/>
          <w:b/>
          <w:bCs/>
          <w:color w:val="000000"/>
          <w:sz w:val="22"/>
          <w:szCs w:val="22"/>
        </w:rPr>
        <w:t>Mongolia</w:t>
      </w:r>
      <w:r w:rsidRPr="00AA1676">
        <w:rPr>
          <w:rFonts w:ascii="Cambria" w:hAnsi="Cambria" w:cs="Calibri"/>
          <w:color w:val="000000"/>
          <w:sz w:val="22"/>
          <w:szCs w:val="22"/>
        </w:rPr>
        <w:t>, t</w:t>
      </w:r>
      <w:r w:rsidR="008A2A97" w:rsidRPr="00AA1676">
        <w:rPr>
          <w:rFonts w:ascii="Cambria" w:hAnsi="Cambria" w:cs="Calibri"/>
          <w:color w:val="000000"/>
          <w:sz w:val="22"/>
          <w:szCs w:val="22"/>
        </w:rPr>
        <w:t>he LGBT Centre</w:t>
      </w:r>
      <w:r w:rsidRPr="00AA1676">
        <w:rPr>
          <w:rFonts w:ascii="Cambria" w:hAnsi="Cambria" w:cs="Calibri"/>
          <w:color w:val="000000"/>
          <w:sz w:val="22"/>
          <w:szCs w:val="22"/>
        </w:rPr>
        <w:t xml:space="preserve">, </w:t>
      </w:r>
      <w:r w:rsidR="008A2A97" w:rsidRPr="00AA1676">
        <w:rPr>
          <w:rFonts w:ascii="Cambria" w:hAnsi="Cambria" w:cs="Calibri"/>
          <w:color w:val="000000"/>
          <w:sz w:val="22"/>
          <w:szCs w:val="22"/>
        </w:rPr>
        <w:t>has documented cases of failure to facilitate the celebration of peaceful assemblies</w:t>
      </w:r>
      <w:r w:rsidRPr="00AA1676">
        <w:rPr>
          <w:rFonts w:ascii="Cambria" w:hAnsi="Cambria" w:cs="Calibri"/>
          <w:color w:val="000000"/>
          <w:sz w:val="22"/>
          <w:szCs w:val="22"/>
        </w:rPr>
        <w:t xml:space="preserve"> by LGBT+ persons</w:t>
      </w:r>
      <w:r w:rsidR="008A2A97" w:rsidRPr="00AA1676">
        <w:rPr>
          <w:rFonts w:ascii="Cambria" w:hAnsi="Cambria" w:cs="Calibri"/>
          <w:color w:val="000000"/>
          <w:sz w:val="22"/>
          <w:szCs w:val="22"/>
        </w:rPr>
        <w:t>.</w:t>
      </w:r>
      <w:r w:rsidR="008A2A97" w:rsidRPr="00AA1676">
        <w:rPr>
          <w:rStyle w:val="FootnoteReference"/>
          <w:rFonts w:ascii="Cambria" w:hAnsi="Cambria" w:cs="Calibri"/>
          <w:color w:val="000000"/>
          <w:sz w:val="22"/>
          <w:szCs w:val="22"/>
        </w:rPr>
        <w:footnoteReference w:id="26"/>
      </w:r>
      <w:r w:rsidR="008A2A97" w:rsidRPr="00AA1676">
        <w:rPr>
          <w:rFonts w:ascii="Cambria" w:hAnsi="Cambria" w:cs="Calibri"/>
          <w:color w:val="000000"/>
          <w:sz w:val="22"/>
          <w:szCs w:val="22"/>
        </w:rPr>
        <w:t xml:space="preserve"> In 2017, the LGBT Centre attempted to organise </w:t>
      </w:r>
      <w:r w:rsidRPr="00AA1676">
        <w:rPr>
          <w:rFonts w:ascii="Cambria" w:hAnsi="Cambria" w:cs="Calibri"/>
          <w:color w:val="000000"/>
          <w:sz w:val="22"/>
          <w:szCs w:val="22"/>
        </w:rPr>
        <w:t xml:space="preserve">its </w:t>
      </w:r>
      <w:r w:rsidR="008A2A97" w:rsidRPr="00AA1676">
        <w:rPr>
          <w:rFonts w:ascii="Cambria" w:hAnsi="Cambria" w:cs="Calibri"/>
          <w:color w:val="000000"/>
          <w:sz w:val="22"/>
          <w:szCs w:val="22"/>
        </w:rPr>
        <w:t xml:space="preserve">annual Equality Pride Days (which featured events such as public concerts, marches, art exhibitions, a film festival, and other human rights-oriented events). The government of Mongolia </w:t>
      </w:r>
      <w:r w:rsidR="00B746E8" w:rsidRPr="00AA1676">
        <w:rPr>
          <w:rFonts w:ascii="Cambria" w:hAnsi="Cambria" w:cs="Calibri"/>
          <w:color w:val="000000"/>
          <w:sz w:val="22"/>
          <w:szCs w:val="22"/>
        </w:rPr>
        <w:t>denied</w:t>
      </w:r>
      <w:r w:rsidR="008A2A97" w:rsidRPr="00AA1676">
        <w:rPr>
          <w:rFonts w:ascii="Cambria" w:hAnsi="Cambria" w:cs="Calibri"/>
          <w:color w:val="000000"/>
          <w:sz w:val="22"/>
          <w:szCs w:val="22"/>
        </w:rPr>
        <w:t xml:space="preserve"> access to the public square where the concert was meant to take place. The police also obstructed access to the roads </w:t>
      </w:r>
      <w:r w:rsidRPr="00AA1676">
        <w:rPr>
          <w:rFonts w:ascii="Cambria" w:hAnsi="Cambria" w:cs="Calibri"/>
          <w:color w:val="000000"/>
          <w:sz w:val="22"/>
          <w:szCs w:val="22"/>
        </w:rPr>
        <w:t>used by the</w:t>
      </w:r>
      <w:r w:rsidR="008A2A97" w:rsidRPr="00AA1676">
        <w:rPr>
          <w:rFonts w:ascii="Cambria" w:hAnsi="Cambria" w:cs="Calibri"/>
          <w:color w:val="000000"/>
          <w:sz w:val="22"/>
          <w:szCs w:val="22"/>
        </w:rPr>
        <w:t xml:space="preserve"> march</w:t>
      </w:r>
      <w:r w:rsidRPr="00AA1676">
        <w:rPr>
          <w:rFonts w:ascii="Cambria" w:hAnsi="Cambria" w:cs="Calibri"/>
          <w:color w:val="000000"/>
          <w:sz w:val="22"/>
          <w:szCs w:val="22"/>
        </w:rPr>
        <w:t xml:space="preserve">, </w:t>
      </w:r>
      <w:r w:rsidR="008A2A97" w:rsidRPr="00AA1676">
        <w:rPr>
          <w:rFonts w:ascii="Cambria" w:hAnsi="Cambria" w:cs="Calibri"/>
          <w:color w:val="000000"/>
          <w:sz w:val="22"/>
          <w:szCs w:val="22"/>
        </w:rPr>
        <w:t xml:space="preserve">and dispersed participants. </w:t>
      </w:r>
    </w:p>
    <w:p w14:paraId="15B0DC7C" w14:textId="77777777" w:rsidR="00D338D7" w:rsidRPr="00AA1676" w:rsidRDefault="00D338D7" w:rsidP="00AA1676">
      <w:pPr>
        <w:contextualSpacing/>
        <w:jc w:val="both"/>
        <w:rPr>
          <w:rFonts w:ascii="Cambria" w:hAnsi="Cambria" w:cs="Calibri"/>
          <w:color w:val="000000"/>
          <w:sz w:val="22"/>
          <w:szCs w:val="22"/>
        </w:rPr>
      </w:pPr>
    </w:p>
    <w:p w14:paraId="334260F5" w14:textId="206C4D2C" w:rsidR="004D71AB" w:rsidRPr="00AA1676" w:rsidRDefault="004D71AB" w:rsidP="00AA1676">
      <w:pPr>
        <w:pStyle w:val="ListParagraph"/>
        <w:numPr>
          <w:ilvl w:val="0"/>
          <w:numId w:val="27"/>
        </w:numPr>
        <w:spacing w:before="0" w:beforeAutospacing="0" w:after="0" w:afterAutospacing="0"/>
        <w:contextualSpacing/>
        <w:jc w:val="both"/>
        <w:rPr>
          <w:rFonts w:ascii="Cambria" w:hAnsi="Cambria" w:cs="Calibri"/>
          <w:color w:val="000000"/>
          <w:sz w:val="22"/>
          <w:szCs w:val="22"/>
        </w:rPr>
      </w:pPr>
      <w:r w:rsidRPr="00AA1676">
        <w:rPr>
          <w:rFonts w:ascii="Cambria" w:hAnsi="Cambria" w:cs="Calibri"/>
          <w:color w:val="000000"/>
          <w:sz w:val="22"/>
          <w:szCs w:val="22"/>
        </w:rPr>
        <w:lastRenderedPageBreak/>
        <w:t xml:space="preserve">Moreover, in order to ensure the full enjoyment of the right to freedom of assembly without discrimination, states have an obligation to accommodate the specific needs of groups and individuals exposed to discrimination, including in particular persons with disabilities. Recent protests by the Extinction Rebellion group in London saw reports that the government of the United Kingdom had failed in this obligation, with allegations that the police had confiscated accessible toilets, ramps and wheelchairs, thus </w:t>
      </w:r>
      <w:r w:rsidR="00D338D7" w:rsidRPr="00AA1676">
        <w:rPr>
          <w:rFonts w:ascii="Cambria" w:hAnsi="Cambria" w:cs="Calibri"/>
          <w:color w:val="000000"/>
          <w:sz w:val="22"/>
          <w:szCs w:val="22"/>
        </w:rPr>
        <w:t>preventing persons with disabilities from exercising their right to freedom of assembly.</w:t>
      </w:r>
      <w:r w:rsidR="00D338D7" w:rsidRPr="00AA1676">
        <w:rPr>
          <w:rStyle w:val="FootnoteReference"/>
          <w:rFonts w:ascii="Cambria" w:hAnsi="Cambria" w:cs="Calibri"/>
          <w:color w:val="000000"/>
          <w:sz w:val="22"/>
          <w:szCs w:val="22"/>
        </w:rPr>
        <w:footnoteReference w:id="27"/>
      </w:r>
      <w:r w:rsidR="00D338D7" w:rsidRPr="00AA1676">
        <w:rPr>
          <w:rFonts w:ascii="Cambria" w:hAnsi="Cambria" w:cs="Calibri"/>
          <w:color w:val="000000"/>
          <w:sz w:val="22"/>
          <w:szCs w:val="22"/>
        </w:rPr>
        <w:t xml:space="preserve"> </w:t>
      </w:r>
    </w:p>
    <w:p w14:paraId="5F5B1BD2" w14:textId="77777777" w:rsidR="006904B5" w:rsidRPr="00AA1676" w:rsidRDefault="006904B5" w:rsidP="00AA1676">
      <w:pPr>
        <w:contextualSpacing/>
        <w:jc w:val="both"/>
        <w:rPr>
          <w:rFonts w:ascii="Cambria" w:hAnsi="Cambria" w:cs="Calibri"/>
          <w:color w:val="000000"/>
          <w:sz w:val="22"/>
          <w:szCs w:val="22"/>
        </w:rPr>
      </w:pPr>
    </w:p>
    <w:p w14:paraId="0C1A07AB" w14:textId="0A4E731E" w:rsidR="003F5E97" w:rsidRPr="00AA1676" w:rsidRDefault="004347CF" w:rsidP="00AA1676">
      <w:pPr>
        <w:tabs>
          <w:tab w:val="left" w:pos="567"/>
        </w:tabs>
        <w:contextualSpacing/>
        <w:jc w:val="both"/>
        <w:rPr>
          <w:rFonts w:ascii="Cambria" w:hAnsi="Cambria"/>
          <w:b/>
          <w:bCs/>
          <w:sz w:val="22"/>
          <w:szCs w:val="22"/>
          <w:u w:val="single"/>
        </w:rPr>
      </w:pPr>
      <w:r w:rsidRPr="00AA1676">
        <w:rPr>
          <w:rFonts w:ascii="Cambria" w:hAnsi="Cambria"/>
          <w:b/>
          <w:bCs/>
          <w:sz w:val="22"/>
          <w:szCs w:val="22"/>
          <w:u w:val="single"/>
        </w:rPr>
        <w:t xml:space="preserve">B. </w:t>
      </w:r>
      <w:r w:rsidR="00AA1676" w:rsidRPr="00AA1676">
        <w:rPr>
          <w:rFonts w:ascii="Cambria" w:hAnsi="Cambria"/>
          <w:b/>
          <w:bCs/>
          <w:sz w:val="22"/>
          <w:szCs w:val="22"/>
          <w:u w:val="single"/>
        </w:rPr>
        <w:tab/>
      </w:r>
      <w:r w:rsidR="003F5E97" w:rsidRPr="00AA1676">
        <w:rPr>
          <w:rFonts w:ascii="Cambria" w:hAnsi="Cambria"/>
          <w:b/>
          <w:bCs/>
          <w:sz w:val="22"/>
          <w:szCs w:val="22"/>
          <w:u w:val="single"/>
        </w:rPr>
        <w:t xml:space="preserve">Specific Comments </w:t>
      </w:r>
    </w:p>
    <w:p w14:paraId="0A381855" w14:textId="77777777" w:rsidR="003F5E97" w:rsidRPr="00AA1676" w:rsidRDefault="003F5E97" w:rsidP="004C4C41">
      <w:pPr>
        <w:contextualSpacing/>
        <w:jc w:val="both"/>
        <w:rPr>
          <w:rFonts w:ascii="Cambria" w:hAnsi="Cambria" w:cs="Calibri"/>
          <w:color w:val="000000"/>
          <w:sz w:val="22"/>
          <w:szCs w:val="22"/>
        </w:rPr>
      </w:pPr>
    </w:p>
    <w:p w14:paraId="532E3E96" w14:textId="7CBC7EF3" w:rsidR="00570138" w:rsidRPr="00AA1676" w:rsidRDefault="00D941AE" w:rsidP="004C4C41">
      <w:pPr>
        <w:pStyle w:val="ListParagraph"/>
        <w:numPr>
          <w:ilvl w:val="0"/>
          <w:numId w:val="27"/>
        </w:numPr>
        <w:spacing w:before="0" w:beforeAutospacing="0" w:after="0" w:afterAutospacing="0"/>
        <w:contextualSpacing/>
        <w:jc w:val="both"/>
        <w:rPr>
          <w:rFonts w:ascii="Cambria" w:hAnsi="Cambria" w:cs="Calibri"/>
          <w:color w:val="000000"/>
          <w:sz w:val="22"/>
          <w:szCs w:val="22"/>
        </w:rPr>
      </w:pPr>
      <w:r w:rsidRPr="00AA1676">
        <w:rPr>
          <w:rFonts w:ascii="Cambria" w:hAnsi="Cambria" w:cs="Calibri"/>
          <w:color w:val="000000"/>
          <w:sz w:val="22"/>
          <w:szCs w:val="22"/>
        </w:rPr>
        <w:t>As noted above, we consider it essential that</w:t>
      </w:r>
      <w:r w:rsidR="004347CF" w:rsidRPr="00AA1676">
        <w:rPr>
          <w:rFonts w:ascii="Cambria" w:hAnsi="Cambria" w:cs="Calibri"/>
          <w:color w:val="000000"/>
          <w:sz w:val="22"/>
          <w:szCs w:val="22"/>
        </w:rPr>
        <w:t xml:space="preserve"> </w:t>
      </w:r>
      <w:r w:rsidRPr="00AA1676">
        <w:rPr>
          <w:rFonts w:ascii="Cambria" w:hAnsi="Cambria" w:cs="Calibri"/>
          <w:color w:val="000000"/>
          <w:sz w:val="22"/>
          <w:szCs w:val="22"/>
        </w:rPr>
        <w:t xml:space="preserve">General Comment No. 37 recognises the  importance of non-discrimination to the determination of </w:t>
      </w:r>
      <w:r w:rsidR="004209E6" w:rsidRPr="00AA1676">
        <w:rPr>
          <w:rFonts w:ascii="Cambria" w:hAnsi="Cambria" w:cs="Calibri"/>
          <w:color w:val="000000"/>
          <w:sz w:val="22"/>
          <w:szCs w:val="22"/>
        </w:rPr>
        <w:t xml:space="preserve">both </w:t>
      </w:r>
      <w:r w:rsidRPr="00AA1676">
        <w:rPr>
          <w:rFonts w:ascii="Cambria" w:hAnsi="Cambria" w:cs="Calibri"/>
          <w:color w:val="000000"/>
          <w:sz w:val="22"/>
          <w:szCs w:val="22"/>
        </w:rPr>
        <w:t xml:space="preserve">the scope of the right to freedom of assembly and the scope of permissible restrictions to it, and </w:t>
      </w:r>
      <w:r w:rsidR="004209E6" w:rsidRPr="00AA1676">
        <w:rPr>
          <w:rFonts w:ascii="Cambria" w:hAnsi="Cambria" w:cs="Calibri"/>
          <w:color w:val="000000"/>
          <w:sz w:val="22"/>
          <w:szCs w:val="22"/>
        </w:rPr>
        <w:t xml:space="preserve">that it </w:t>
      </w:r>
      <w:r w:rsidRPr="00AA1676">
        <w:rPr>
          <w:rFonts w:ascii="Cambria" w:hAnsi="Cambria" w:cs="Calibri"/>
          <w:color w:val="000000"/>
          <w:sz w:val="22"/>
          <w:szCs w:val="22"/>
        </w:rPr>
        <w:t xml:space="preserve">acknowledges the potential for discrimination </w:t>
      </w:r>
      <w:r w:rsidR="00245B4C" w:rsidRPr="00AA1676">
        <w:rPr>
          <w:rFonts w:ascii="Cambria" w:hAnsi="Cambria" w:cs="Calibri"/>
          <w:color w:val="000000"/>
          <w:sz w:val="22"/>
          <w:szCs w:val="22"/>
        </w:rPr>
        <w:t>to be both a cause of</w:t>
      </w:r>
      <w:r w:rsidRPr="00AA1676">
        <w:rPr>
          <w:rFonts w:ascii="Cambria" w:hAnsi="Cambria" w:cs="Calibri"/>
          <w:color w:val="000000"/>
          <w:sz w:val="22"/>
          <w:szCs w:val="22"/>
        </w:rPr>
        <w:t xml:space="preserve"> interference with peaceful assembly and </w:t>
      </w:r>
      <w:r w:rsidR="00245B4C" w:rsidRPr="00AA1676">
        <w:rPr>
          <w:rFonts w:ascii="Cambria" w:hAnsi="Cambria" w:cs="Calibri"/>
          <w:color w:val="000000"/>
          <w:sz w:val="22"/>
          <w:szCs w:val="22"/>
        </w:rPr>
        <w:t>of</w:t>
      </w:r>
      <w:r w:rsidRPr="00AA1676">
        <w:rPr>
          <w:rFonts w:ascii="Cambria" w:hAnsi="Cambria" w:cs="Calibri"/>
          <w:color w:val="000000"/>
          <w:sz w:val="22"/>
          <w:szCs w:val="22"/>
        </w:rPr>
        <w:t xml:space="preserve"> failure to facilitate assemblies. To this end, </w:t>
      </w:r>
      <w:r w:rsidR="004347CF" w:rsidRPr="00AA1676">
        <w:rPr>
          <w:rFonts w:ascii="Cambria" w:hAnsi="Cambria" w:cs="Calibri"/>
          <w:color w:val="000000"/>
          <w:sz w:val="22"/>
          <w:szCs w:val="22"/>
        </w:rPr>
        <w:t xml:space="preserve">we offer the following </w:t>
      </w:r>
      <w:r w:rsidRPr="00AA1676">
        <w:rPr>
          <w:rFonts w:ascii="Cambria" w:hAnsi="Cambria" w:cs="Calibri"/>
          <w:color w:val="000000"/>
          <w:sz w:val="22"/>
          <w:szCs w:val="22"/>
        </w:rPr>
        <w:t xml:space="preserve">specific </w:t>
      </w:r>
      <w:r w:rsidR="004347CF" w:rsidRPr="00AA1676">
        <w:rPr>
          <w:rFonts w:ascii="Cambria" w:hAnsi="Cambria" w:cs="Calibri"/>
          <w:color w:val="000000"/>
          <w:sz w:val="22"/>
          <w:szCs w:val="22"/>
        </w:rPr>
        <w:t>comments on the text of the draft</w:t>
      </w:r>
      <w:r w:rsidR="008A6577" w:rsidRPr="00AA1676">
        <w:rPr>
          <w:rFonts w:ascii="Cambria" w:hAnsi="Cambria" w:cs="Calibri"/>
          <w:color w:val="000000"/>
          <w:sz w:val="22"/>
          <w:szCs w:val="22"/>
        </w:rPr>
        <w:t>.</w:t>
      </w:r>
    </w:p>
    <w:p w14:paraId="28F9566F" w14:textId="16F3782C" w:rsidR="008A6577" w:rsidRPr="00AA1676" w:rsidRDefault="008A6577" w:rsidP="008A6577">
      <w:pPr>
        <w:contextualSpacing/>
        <w:jc w:val="both"/>
        <w:rPr>
          <w:rFonts w:ascii="Cambria" w:hAnsi="Cambria" w:cs="Calibri"/>
          <w:color w:val="000000"/>
          <w:sz w:val="22"/>
          <w:szCs w:val="22"/>
        </w:rPr>
      </w:pPr>
    </w:p>
    <w:p w14:paraId="1555F4D9" w14:textId="015FCAB6" w:rsidR="008A6577" w:rsidRPr="00AA1676" w:rsidRDefault="008A6577" w:rsidP="00AA1676">
      <w:pPr>
        <w:contextualSpacing/>
        <w:jc w:val="both"/>
        <w:rPr>
          <w:rFonts w:ascii="Cambria" w:hAnsi="Cambria" w:cs="Calibri"/>
          <w:i/>
          <w:iCs/>
          <w:color w:val="000000"/>
          <w:sz w:val="22"/>
          <w:szCs w:val="22"/>
        </w:rPr>
      </w:pPr>
      <w:r w:rsidRPr="00AA1676">
        <w:rPr>
          <w:rFonts w:ascii="Cambria" w:hAnsi="Cambria" w:cs="Calibri"/>
          <w:i/>
          <w:iCs/>
          <w:color w:val="000000"/>
          <w:sz w:val="22"/>
          <w:szCs w:val="22"/>
        </w:rPr>
        <w:t>General Remarks</w:t>
      </w:r>
    </w:p>
    <w:p w14:paraId="338B6CDD" w14:textId="77777777" w:rsidR="001615A3" w:rsidRPr="00AA1676" w:rsidRDefault="001615A3" w:rsidP="00AA1676">
      <w:pPr>
        <w:pStyle w:val="ListParagraph"/>
        <w:spacing w:before="0" w:beforeAutospacing="0" w:after="0" w:afterAutospacing="0"/>
        <w:ind w:left="567"/>
        <w:contextualSpacing/>
        <w:jc w:val="both"/>
        <w:rPr>
          <w:rFonts w:ascii="Cambria" w:hAnsi="Cambria" w:cs="Calibri"/>
          <w:color w:val="000000"/>
          <w:sz w:val="22"/>
          <w:szCs w:val="22"/>
        </w:rPr>
      </w:pPr>
    </w:p>
    <w:p w14:paraId="6728CC27" w14:textId="665F234A" w:rsidR="004347CF" w:rsidRPr="00AA1676" w:rsidRDefault="00064162" w:rsidP="00F34EA0">
      <w:pPr>
        <w:pStyle w:val="ListParagraph"/>
        <w:numPr>
          <w:ilvl w:val="0"/>
          <w:numId w:val="27"/>
        </w:numPr>
        <w:spacing w:before="0" w:beforeAutospacing="0" w:after="0" w:afterAutospacing="0"/>
        <w:contextualSpacing/>
        <w:jc w:val="both"/>
        <w:rPr>
          <w:rFonts w:ascii="Cambria" w:hAnsi="Cambria" w:cs="Calibri"/>
          <w:color w:val="000000"/>
          <w:sz w:val="22"/>
          <w:szCs w:val="22"/>
        </w:rPr>
      </w:pPr>
      <w:r w:rsidRPr="00AA1676">
        <w:rPr>
          <w:rFonts w:ascii="Cambria" w:hAnsi="Cambria" w:cs="Calibri"/>
          <w:b/>
          <w:bCs/>
          <w:color w:val="000000"/>
          <w:sz w:val="22"/>
          <w:szCs w:val="22"/>
        </w:rPr>
        <w:t>§</w:t>
      </w:r>
      <w:r w:rsidR="004347CF" w:rsidRPr="00AA1676">
        <w:rPr>
          <w:rFonts w:ascii="Cambria" w:hAnsi="Cambria" w:cs="Calibri"/>
          <w:b/>
          <w:bCs/>
          <w:color w:val="000000"/>
          <w:sz w:val="22"/>
          <w:szCs w:val="22"/>
        </w:rPr>
        <w:t>2</w:t>
      </w:r>
      <w:r w:rsidRPr="00AA1676">
        <w:rPr>
          <w:rFonts w:ascii="Cambria" w:hAnsi="Cambria" w:cs="Calibri"/>
          <w:b/>
          <w:bCs/>
          <w:color w:val="000000"/>
          <w:sz w:val="22"/>
          <w:szCs w:val="22"/>
        </w:rPr>
        <w:t>.</w:t>
      </w:r>
      <w:r w:rsidR="004347CF" w:rsidRPr="00AA1676">
        <w:rPr>
          <w:rFonts w:ascii="Cambria" w:hAnsi="Cambria" w:cs="Calibri"/>
          <w:b/>
          <w:bCs/>
          <w:color w:val="000000"/>
          <w:sz w:val="22"/>
          <w:szCs w:val="22"/>
        </w:rPr>
        <w:t xml:space="preserve"> </w:t>
      </w:r>
      <w:r w:rsidRPr="00AA1676">
        <w:rPr>
          <w:rFonts w:ascii="Cambria" w:hAnsi="Cambria" w:cs="Calibri"/>
          <w:color w:val="000000"/>
          <w:sz w:val="22"/>
          <w:szCs w:val="22"/>
        </w:rPr>
        <w:t>We suggest it is noted that</w:t>
      </w:r>
      <w:r w:rsidR="004347CF" w:rsidRPr="00AA1676">
        <w:rPr>
          <w:rFonts w:ascii="Cambria" w:hAnsi="Cambria" w:cs="Calibri"/>
          <w:color w:val="000000"/>
          <w:sz w:val="22"/>
          <w:szCs w:val="22"/>
        </w:rPr>
        <w:t xml:space="preserve"> a failure to recognise the right to participate in peaceful assemblies is a marker of repression and discrimination. Denial </w:t>
      </w:r>
      <w:r w:rsidRPr="00AA1676">
        <w:rPr>
          <w:rFonts w:ascii="Cambria" w:hAnsi="Cambria" w:cs="Calibri"/>
          <w:color w:val="000000"/>
          <w:sz w:val="22"/>
          <w:szCs w:val="22"/>
        </w:rPr>
        <w:t>of the right of peaceful assembly</w:t>
      </w:r>
      <w:r w:rsidR="001615A3" w:rsidRPr="00AA1676">
        <w:rPr>
          <w:rFonts w:ascii="Cambria" w:hAnsi="Cambria" w:cs="Calibri"/>
          <w:color w:val="000000"/>
          <w:sz w:val="22"/>
          <w:szCs w:val="22"/>
        </w:rPr>
        <w:t xml:space="preserve"> is a driver of discrimination: it</w:t>
      </w:r>
      <w:r w:rsidRPr="00AA1676">
        <w:rPr>
          <w:rFonts w:ascii="Cambria" w:hAnsi="Cambria" w:cs="Calibri"/>
          <w:color w:val="000000"/>
          <w:sz w:val="22"/>
          <w:szCs w:val="22"/>
        </w:rPr>
        <w:t xml:space="preserve"> </w:t>
      </w:r>
      <w:r w:rsidR="001615A3" w:rsidRPr="00AA1676">
        <w:rPr>
          <w:rFonts w:ascii="Cambria" w:hAnsi="Cambria" w:cs="Calibri"/>
          <w:color w:val="000000"/>
          <w:sz w:val="22"/>
          <w:szCs w:val="22"/>
        </w:rPr>
        <w:t>compounds the</w:t>
      </w:r>
      <w:r w:rsidRPr="00AA1676">
        <w:rPr>
          <w:rFonts w:ascii="Cambria" w:hAnsi="Cambria" w:cs="Calibri"/>
          <w:color w:val="000000"/>
          <w:sz w:val="22"/>
          <w:szCs w:val="22"/>
        </w:rPr>
        <w:t xml:space="preserve"> marginalisation of groups at risk of discrimination</w:t>
      </w:r>
      <w:r w:rsidR="001615A3" w:rsidRPr="00AA1676">
        <w:rPr>
          <w:rFonts w:ascii="Cambria" w:hAnsi="Cambria" w:cs="Calibri"/>
          <w:color w:val="000000"/>
          <w:sz w:val="22"/>
          <w:szCs w:val="22"/>
        </w:rPr>
        <w:t>, limiting their ability to articulate their views and concerns,</w:t>
      </w:r>
      <w:r w:rsidRPr="00AA1676">
        <w:rPr>
          <w:rFonts w:ascii="Cambria" w:hAnsi="Cambria" w:cs="Calibri"/>
          <w:color w:val="000000"/>
          <w:sz w:val="22"/>
          <w:szCs w:val="22"/>
        </w:rPr>
        <w:t xml:space="preserve"> and exacerbates their inability to effectively exercise their rights</w:t>
      </w:r>
      <w:r w:rsidR="004347CF" w:rsidRPr="00AA1676">
        <w:rPr>
          <w:rFonts w:ascii="Cambria" w:hAnsi="Cambria" w:cs="Calibri"/>
          <w:color w:val="000000"/>
          <w:sz w:val="22"/>
          <w:szCs w:val="22"/>
        </w:rPr>
        <w:t>.</w:t>
      </w:r>
      <w:r w:rsidR="004347CF" w:rsidRPr="00AA1676">
        <w:rPr>
          <w:rFonts w:ascii="Cambria" w:hAnsi="Cambria" w:cs="Calibri"/>
          <w:color w:val="000000"/>
          <w:sz w:val="22"/>
          <w:szCs w:val="22"/>
          <w:vertAlign w:val="superscript"/>
        </w:rPr>
        <w:footnoteReference w:id="28"/>
      </w:r>
    </w:p>
    <w:p w14:paraId="1A26BFA3" w14:textId="77777777" w:rsidR="00064162" w:rsidRPr="00AA1676" w:rsidRDefault="00064162" w:rsidP="00064162">
      <w:pPr>
        <w:pStyle w:val="ListParagraph"/>
        <w:spacing w:before="0" w:beforeAutospacing="0" w:after="0" w:afterAutospacing="0"/>
        <w:ind w:left="360"/>
        <w:contextualSpacing/>
        <w:jc w:val="both"/>
        <w:rPr>
          <w:rFonts w:ascii="Cambria" w:hAnsi="Cambria" w:cs="Calibri"/>
          <w:color w:val="000000"/>
          <w:sz w:val="22"/>
          <w:szCs w:val="22"/>
        </w:rPr>
      </w:pPr>
    </w:p>
    <w:p w14:paraId="5BF96B60" w14:textId="589C2639" w:rsidR="004209E6" w:rsidRPr="00AA1676" w:rsidRDefault="004209E6" w:rsidP="007F7805">
      <w:pPr>
        <w:pStyle w:val="ListParagraph"/>
        <w:numPr>
          <w:ilvl w:val="0"/>
          <w:numId w:val="27"/>
        </w:numPr>
        <w:spacing w:before="0" w:beforeAutospacing="0" w:after="0" w:afterAutospacing="0"/>
        <w:contextualSpacing/>
        <w:jc w:val="both"/>
        <w:rPr>
          <w:rFonts w:ascii="Cambria" w:hAnsi="Cambria" w:cs="Calibri"/>
          <w:b/>
          <w:bCs/>
          <w:color w:val="000000"/>
          <w:sz w:val="22"/>
          <w:szCs w:val="22"/>
        </w:rPr>
      </w:pPr>
      <w:r w:rsidRPr="00AA1676">
        <w:rPr>
          <w:rFonts w:ascii="Cambria" w:hAnsi="Cambria" w:cs="Calibri"/>
          <w:b/>
          <w:bCs/>
          <w:color w:val="000000"/>
          <w:sz w:val="22"/>
          <w:szCs w:val="22"/>
        </w:rPr>
        <w:t>§5.</w:t>
      </w:r>
      <w:r w:rsidRPr="00AA1676">
        <w:rPr>
          <w:rFonts w:ascii="Cambria" w:hAnsi="Cambria" w:cs="Calibri"/>
          <w:color w:val="000000"/>
          <w:sz w:val="22"/>
          <w:szCs w:val="22"/>
        </w:rPr>
        <w:t xml:space="preserve"> We suggest that text is added to this paragraph to underline the fact that, by virtue of Article 2(1) of the Covenant, the right to peaceful assembly must be guaranteed without discrimination.</w:t>
      </w:r>
    </w:p>
    <w:p w14:paraId="79733790" w14:textId="77777777" w:rsidR="004209E6" w:rsidRPr="00AA1676" w:rsidRDefault="004209E6" w:rsidP="00AA1676">
      <w:pPr>
        <w:contextualSpacing/>
        <w:jc w:val="both"/>
        <w:rPr>
          <w:rFonts w:ascii="Cambria" w:hAnsi="Cambria" w:cs="Calibri"/>
          <w:b/>
          <w:bCs/>
          <w:color w:val="000000"/>
          <w:sz w:val="22"/>
          <w:szCs w:val="22"/>
        </w:rPr>
      </w:pPr>
    </w:p>
    <w:p w14:paraId="1EC591ED" w14:textId="17198C5C" w:rsidR="008A6577" w:rsidRPr="00AA1676" w:rsidRDefault="00064162" w:rsidP="006E615A">
      <w:pPr>
        <w:pStyle w:val="ListParagraph"/>
        <w:numPr>
          <w:ilvl w:val="0"/>
          <w:numId w:val="27"/>
        </w:numPr>
        <w:spacing w:before="0" w:beforeAutospacing="0" w:after="0" w:afterAutospacing="0"/>
        <w:contextualSpacing/>
        <w:jc w:val="both"/>
        <w:rPr>
          <w:rFonts w:ascii="Cambria" w:hAnsi="Cambria" w:cs="Calibri"/>
          <w:b/>
          <w:bCs/>
          <w:color w:val="000000"/>
          <w:sz w:val="22"/>
          <w:szCs w:val="22"/>
        </w:rPr>
      </w:pPr>
      <w:r w:rsidRPr="00AA1676">
        <w:rPr>
          <w:rFonts w:ascii="Cambria" w:hAnsi="Cambria" w:cs="Calibri"/>
          <w:b/>
          <w:bCs/>
          <w:color w:val="000000"/>
          <w:sz w:val="22"/>
          <w:szCs w:val="22"/>
        </w:rPr>
        <w:t xml:space="preserve">§8. </w:t>
      </w:r>
      <w:r w:rsidRPr="00AA1676">
        <w:rPr>
          <w:rFonts w:ascii="Cambria" w:hAnsi="Cambria" w:cs="Calibri"/>
          <w:color w:val="000000"/>
          <w:sz w:val="22"/>
          <w:szCs w:val="22"/>
        </w:rPr>
        <w:t xml:space="preserve">In our submission, it is </w:t>
      </w:r>
      <w:r w:rsidR="001615A3" w:rsidRPr="00AA1676">
        <w:rPr>
          <w:rFonts w:ascii="Cambria" w:hAnsi="Cambria" w:cs="Calibri"/>
          <w:color w:val="000000"/>
          <w:sz w:val="22"/>
          <w:szCs w:val="22"/>
        </w:rPr>
        <w:t xml:space="preserve">essential </w:t>
      </w:r>
      <w:r w:rsidRPr="00AA1676">
        <w:rPr>
          <w:rFonts w:ascii="Cambria" w:hAnsi="Cambria" w:cs="Calibri"/>
          <w:color w:val="000000"/>
          <w:sz w:val="22"/>
          <w:szCs w:val="22"/>
        </w:rPr>
        <w:t xml:space="preserve">to emphasise </w:t>
      </w:r>
      <w:r w:rsidR="001615A3" w:rsidRPr="00AA1676">
        <w:rPr>
          <w:rFonts w:ascii="Cambria" w:hAnsi="Cambria" w:cs="Calibri"/>
          <w:color w:val="000000"/>
          <w:sz w:val="22"/>
          <w:szCs w:val="22"/>
        </w:rPr>
        <w:t xml:space="preserve">not only </w:t>
      </w:r>
      <w:r w:rsidRPr="00AA1676">
        <w:rPr>
          <w:rFonts w:ascii="Cambria" w:hAnsi="Cambria" w:cs="Calibri"/>
          <w:color w:val="000000"/>
          <w:sz w:val="22"/>
          <w:szCs w:val="22"/>
        </w:rPr>
        <w:t>that any restrictions to the right of peaceful assembly must be narrowly drawn</w:t>
      </w:r>
      <w:r w:rsidR="001615A3" w:rsidRPr="00AA1676">
        <w:rPr>
          <w:rFonts w:ascii="Cambria" w:hAnsi="Cambria" w:cs="Calibri"/>
          <w:color w:val="000000"/>
          <w:sz w:val="22"/>
          <w:szCs w:val="22"/>
        </w:rPr>
        <w:t xml:space="preserve"> but that any restriction</w:t>
      </w:r>
      <w:r w:rsidRPr="00AA1676">
        <w:rPr>
          <w:rFonts w:ascii="Cambria" w:hAnsi="Cambria" w:cs="Calibri"/>
          <w:color w:val="000000"/>
          <w:sz w:val="22"/>
          <w:szCs w:val="22"/>
        </w:rPr>
        <w:t xml:space="preserve"> </w:t>
      </w:r>
      <w:r w:rsidR="001615A3" w:rsidRPr="00AA1676">
        <w:rPr>
          <w:rFonts w:ascii="Cambria" w:hAnsi="Cambria" w:cs="Calibri"/>
          <w:color w:val="000000"/>
          <w:sz w:val="22"/>
          <w:szCs w:val="22"/>
        </w:rPr>
        <w:t>must</w:t>
      </w:r>
      <w:r w:rsidRPr="00AA1676">
        <w:rPr>
          <w:rFonts w:ascii="Cambria" w:hAnsi="Cambria" w:cs="Calibri"/>
          <w:color w:val="000000"/>
          <w:sz w:val="22"/>
          <w:szCs w:val="22"/>
        </w:rPr>
        <w:t xml:space="preserve"> not violate the non-discrimination provisions of the Covenant.</w:t>
      </w:r>
      <w:r w:rsidR="00245B4C" w:rsidRPr="00AA1676">
        <w:rPr>
          <w:rFonts w:ascii="Cambria" w:hAnsi="Cambria" w:cs="Calibri"/>
          <w:color w:val="000000"/>
          <w:sz w:val="22"/>
          <w:szCs w:val="22"/>
        </w:rPr>
        <w:t xml:space="preserve"> We would recommend that the Committee adopts language similar to that used in its General Comment 34 on the right to freedom of expression</w:t>
      </w:r>
      <w:r w:rsidR="00245B4C" w:rsidRPr="00AA1676">
        <w:rPr>
          <w:rFonts w:ascii="Cambria" w:hAnsi="Cambria" w:cs="Calibri"/>
          <w:color w:val="000000"/>
          <w:sz w:val="22"/>
          <w:szCs w:val="22"/>
          <w:vertAlign w:val="superscript"/>
        </w:rPr>
        <w:t>.</w:t>
      </w:r>
      <w:r w:rsidRPr="00AA1676">
        <w:rPr>
          <w:rFonts w:ascii="Cambria" w:hAnsi="Cambria"/>
          <w:sz w:val="22"/>
          <w:szCs w:val="22"/>
          <w:vertAlign w:val="superscript"/>
        </w:rPr>
        <w:footnoteReference w:id="29"/>
      </w:r>
    </w:p>
    <w:p w14:paraId="09AD8995" w14:textId="77777777" w:rsidR="008A6577" w:rsidRPr="00AA1676" w:rsidRDefault="008A6577" w:rsidP="00AA1676">
      <w:pPr>
        <w:pStyle w:val="ListParagraph"/>
        <w:spacing w:before="0" w:beforeAutospacing="0" w:after="0" w:afterAutospacing="0"/>
        <w:ind w:left="567"/>
        <w:contextualSpacing/>
        <w:jc w:val="both"/>
        <w:rPr>
          <w:rFonts w:ascii="Cambria" w:hAnsi="Cambria" w:cs="Calibri"/>
          <w:b/>
          <w:bCs/>
          <w:color w:val="000000"/>
          <w:sz w:val="22"/>
          <w:szCs w:val="22"/>
        </w:rPr>
      </w:pPr>
    </w:p>
    <w:p w14:paraId="30B8EB80" w14:textId="568FD67E" w:rsidR="008A6577" w:rsidRPr="00AA1676" w:rsidRDefault="008A6577" w:rsidP="008A6577">
      <w:pPr>
        <w:pStyle w:val="ListParagraph"/>
        <w:numPr>
          <w:ilvl w:val="0"/>
          <w:numId w:val="27"/>
        </w:numPr>
        <w:spacing w:before="0" w:beforeAutospacing="0" w:after="0" w:afterAutospacing="0"/>
        <w:contextualSpacing/>
        <w:jc w:val="both"/>
        <w:rPr>
          <w:rFonts w:ascii="Cambria" w:hAnsi="Cambria" w:cs="Calibri"/>
          <w:color w:val="000000"/>
          <w:sz w:val="22"/>
          <w:szCs w:val="22"/>
        </w:rPr>
      </w:pPr>
      <w:r w:rsidRPr="00AA1676">
        <w:rPr>
          <w:rFonts w:ascii="Cambria" w:hAnsi="Cambria" w:cs="Calibri"/>
          <w:b/>
          <w:bCs/>
          <w:color w:val="000000"/>
          <w:sz w:val="22"/>
          <w:szCs w:val="22"/>
        </w:rPr>
        <w:t xml:space="preserve">§10. </w:t>
      </w:r>
      <w:r w:rsidRPr="00AA1676">
        <w:rPr>
          <w:rFonts w:ascii="Cambria" w:hAnsi="Cambria" w:cs="Calibri"/>
          <w:color w:val="000000"/>
          <w:sz w:val="22"/>
          <w:szCs w:val="22"/>
        </w:rPr>
        <w:t xml:space="preserve">In our view, this paragraph would benefit from recognition that responses to non “peaceful” assemblies can be disproportionate for reasons connected to discrimination, as for example with the use of such as sexual violence in response to protests in Chile, cited above. </w:t>
      </w:r>
    </w:p>
    <w:p w14:paraId="7BA72FA5" w14:textId="77777777" w:rsidR="008A6577" w:rsidRPr="00AA1676" w:rsidRDefault="008A6577" w:rsidP="00AA1676">
      <w:pPr>
        <w:contextualSpacing/>
        <w:jc w:val="both"/>
        <w:rPr>
          <w:rFonts w:ascii="Cambria" w:hAnsi="Cambria" w:cs="Calibri"/>
          <w:color w:val="000000"/>
          <w:sz w:val="22"/>
          <w:szCs w:val="22"/>
        </w:rPr>
      </w:pPr>
    </w:p>
    <w:p w14:paraId="25F0CD98" w14:textId="67247C62" w:rsidR="00064162" w:rsidRPr="00AA1676" w:rsidRDefault="00064162" w:rsidP="00F34EA0">
      <w:pPr>
        <w:pStyle w:val="ListParagraph"/>
        <w:numPr>
          <w:ilvl w:val="0"/>
          <w:numId w:val="27"/>
        </w:numPr>
        <w:spacing w:before="0" w:beforeAutospacing="0" w:after="0" w:afterAutospacing="0"/>
        <w:contextualSpacing/>
        <w:jc w:val="both"/>
        <w:rPr>
          <w:rFonts w:ascii="Cambria" w:hAnsi="Cambria" w:cs="Calibri"/>
          <w:color w:val="000000"/>
          <w:sz w:val="22"/>
          <w:szCs w:val="22"/>
        </w:rPr>
      </w:pPr>
      <w:r w:rsidRPr="00AA1676">
        <w:rPr>
          <w:rFonts w:ascii="Cambria" w:hAnsi="Cambria" w:cs="Calibri"/>
          <w:b/>
          <w:bCs/>
          <w:color w:val="000000"/>
          <w:sz w:val="22"/>
          <w:szCs w:val="22"/>
        </w:rPr>
        <w:t>§</w:t>
      </w:r>
      <w:r w:rsidR="00D2361F" w:rsidRPr="00AA1676">
        <w:rPr>
          <w:rFonts w:ascii="Cambria" w:hAnsi="Cambria" w:cs="Calibri"/>
          <w:b/>
          <w:bCs/>
          <w:color w:val="000000"/>
          <w:sz w:val="22"/>
          <w:szCs w:val="22"/>
        </w:rPr>
        <w:t xml:space="preserve">11. </w:t>
      </w:r>
      <w:r w:rsidR="00D2361F" w:rsidRPr="00AA1676">
        <w:rPr>
          <w:rFonts w:ascii="Cambria" w:hAnsi="Cambria" w:cs="Calibri"/>
          <w:color w:val="000000"/>
          <w:sz w:val="22"/>
          <w:szCs w:val="22"/>
        </w:rPr>
        <w:t xml:space="preserve">It is our submission that this paragraph would benefit from recognition that the use of surveillance technologies to monitor assemblies </w:t>
      </w:r>
      <w:r w:rsidR="00972B35" w:rsidRPr="00AA1676">
        <w:rPr>
          <w:rFonts w:ascii="Cambria" w:hAnsi="Cambria" w:cs="Calibri"/>
          <w:color w:val="000000"/>
          <w:sz w:val="22"/>
          <w:szCs w:val="22"/>
        </w:rPr>
        <w:t xml:space="preserve">can have </w:t>
      </w:r>
      <w:r w:rsidR="00D2361F" w:rsidRPr="00AA1676">
        <w:rPr>
          <w:rFonts w:ascii="Cambria" w:hAnsi="Cambria" w:cs="Calibri"/>
          <w:color w:val="000000"/>
          <w:sz w:val="22"/>
          <w:szCs w:val="22"/>
        </w:rPr>
        <w:t>discriminatory impacts</w:t>
      </w:r>
      <w:r w:rsidR="00972B35" w:rsidRPr="00AA1676">
        <w:rPr>
          <w:rFonts w:ascii="Cambria" w:hAnsi="Cambria" w:cs="Calibri"/>
          <w:color w:val="000000"/>
          <w:sz w:val="22"/>
          <w:szCs w:val="22"/>
        </w:rPr>
        <w:t>, and that states have an obligation to ensure that the use of such technologies is not discriminatory in purpose or effect</w:t>
      </w:r>
      <w:r w:rsidR="00D2361F" w:rsidRPr="00AA1676">
        <w:rPr>
          <w:rFonts w:ascii="Cambria" w:hAnsi="Cambria" w:cs="Calibri"/>
          <w:color w:val="000000"/>
          <w:sz w:val="22"/>
          <w:szCs w:val="22"/>
        </w:rPr>
        <w:t xml:space="preserve">. </w:t>
      </w:r>
      <w:r w:rsidR="00D2361F" w:rsidRPr="00AA1676">
        <w:rPr>
          <w:rFonts w:ascii="Cambria" w:hAnsi="Cambria" w:cs="Calibri"/>
          <w:iCs/>
          <w:color w:val="000000"/>
          <w:sz w:val="22"/>
          <w:szCs w:val="22"/>
        </w:rPr>
        <w:t xml:space="preserve">For example, in the UK, a freedom of information request found that the use of automated facial </w:t>
      </w:r>
      <w:r w:rsidR="00D2361F" w:rsidRPr="00AA1676">
        <w:rPr>
          <w:rFonts w:ascii="Cambria" w:hAnsi="Cambria" w:cs="Calibri"/>
          <w:iCs/>
          <w:color w:val="000000"/>
          <w:sz w:val="22"/>
          <w:szCs w:val="22"/>
        </w:rPr>
        <w:lastRenderedPageBreak/>
        <w:t>recognition by London’s Metropolitan Police Service (MPS) at the annual Notting Hill Carnival in 2016 and 2017 returned false positives in more than 98% of cases.</w:t>
      </w:r>
      <w:r w:rsidR="00D2361F" w:rsidRPr="00AA1676">
        <w:rPr>
          <w:rFonts w:ascii="Cambria" w:hAnsi="Cambria" w:cs="Calibri"/>
          <w:iCs/>
          <w:color w:val="000000"/>
          <w:sz w:val="22"/>
          <w:szCs w:val="22"/>
          <w:vertAlign w:val="superscript"/>
        </w:rPr>
        <w:footnoteReference w:id="30"/>
      </w:r>
      <w:r w:rsidR="00D2361F" w:rsidRPr="00AA1676">
        <w:rPr>
          <w:rFonts w:ascii="Cambria" w:hAnsi="Cambria" w:cs="Calibri"/>
          <w:iCs/>
          <w:color w:val="000000"/>
          <w:sz w:val="22"/>
          <w:szCs w:val="22"/>
        </w:rPr>
        <w:t xml:space="preserve"> </w:t>
      </w:r>
      <w:r w:rsidR="00D2361F" w:rsidRPr="00AA1676">
        <w:rPr>
          <w:rFonts w:ascii="Cambria" w:hAnsi="Cambria" w:cs="Calibri"/>
          <w:color w:val="000000"/>
          <w:sz w:val="22"/>
          <w:szCs w:val="22"/>
        </w:rPr>
        <w:t xml:space="preserve">   </w:t>
      </w:r>
    </w:p>
    <w:p w14:paraId="687E18D5" w14:textId="3960C720" w:rsidR="008A6577" w:rsidRPr="00AA1676" w:rsidRDefault="008A6577" w:rsidP="008A6577">
      <w:pPr>
        <w:contextualSpacing/>
        <w:jc w:val="both"/>
        <w:rPr>
          <w:rFonts w:ascii="Cambria" w:hAnsi="Cambria" w:cs="Calibri"/>
          <w:color w:val="000000"/>
          <w:sz w:val="22"/>
          <w:szCs w:val="22"/>
        </w:rPr>
      </w:pPr>
    </w:p>
    <w:p w14:paraId="50C3FB7A" w14:textId="12F179EB" w:rsidR="008A6577" w:rsidRPr="00AA1676" w:rsidRDefault="008A6577" w:rsidP="00AA1676">
      <w:pPr>
        <w:contextualSpacing/>
        <w:jc w:val="both"/>
        <w:rPr>
          <w:rFonts w:ascii="Cambria" w:hAnsi="Cambria" w:cs="Calibri"/>
          <w:i/>
          <w:iCs/>
          <w:color w:val="000000"/>
          <w:sz w:val="22"/>
          <w:szCs w:val="22"/>
        </w:rPr>
      </w:pPr>
      <w:r w:rsidRPr="00AA1676">
        <w:rPr>
          <w:rFonts w:ascii="Cambria" w:hAnsi="Cambria" w:cs="Calibri"/>
          <w:i/>
          <w:iCs/>
          <w:color w:val="000000"/>
          <w:sz w:val="22"/>
          <w:szCs w:val="22"/>
        </w:rPr>
        <w:t>Scope of the right to peaceful assembly</w:t>
      </w:r>
    </w:p>
    <w:p w14:paraId="1A5678B8" w14:textId="77777777" w:rsidR="00D2361F" w:rsidRPr="00AA1676" w:rsidRDefault="00D2361F" w:rsidP="00D2361F">
      <w:pPr>
        <w:pStyle w:val="ListParagraph"/>
        <w:spacing w:before="0" w:beforeAutospacing="0" w:after="0" w:afterAutospacing="0"/>
        <w:ind w:left="360"/>
        <w:contextualSpacing/>
        <w:jc w:val="both"/>
        <w:rPr>
          <w:rFonts w:ascii="Cambria" w:hAnsi="Cambria" w:cs="Calibri"/>
          <w:color w:val="000000"/>
          <w:sz w:val="22"/>
          <w:szCs w:val="22"/>
        </w:rPr>
      </w:pPr>
    </w:p>
    <w:p w14:paraId="4336599A" w14:textId="7C914018" w:rsidR="00D2361F" w:rsidRPr="00AA1676" w:rsidRDefault="00D2361F" w:rsidP="00F34EA0">
      <w:pPr>
        <w:pStyle w:val="ListParagraph"/>
        <w:numPr>
          <w:ilvl w:val="0"/>
          <w:numId w:val="27"/>
        </w:numPr>
        <w:spacing w:before="0" w:beforeAutospacing="0" w:after="0" w:afterAutospacing="0"/>
        <w:contextualSpacing/>
        <w:jc w:val="both"/>
        <w:rPr>
          <w:rFonts w:ascii="Cambria" w:hAnsi="Cambria" w:cs="Calibri"/>
          <w:color w:val="000000"/>
          <w:sz w:val="22"/>
          <w:szCs w:val="22"/>
        </w:rPr>
      </w:pPr>
      <w:r w:rsidRPr="00AA1676">
        <w:rPr>
          <w:rFonts w:ascii="Cambria" w:hAnsi="Cambria" w:cs="Calibri"/>
          <w:b/>
          <w:bCs/>
          <w:color w:val="000000"/>
          <w:sz w:val="22"/>
          <w:szCs w:val="22"/>
        </w:rPr>
        <w:t>§14.</w:t>
      </w:r>
      <w:r w:rsidRPr="00AA1676">
        <w:rPr>
          <w:rFonts w:ascii="Cambria" w:hAnsi="Cambria" w:cs="Calibri"/>
          <w:color w:val="000000"/>
          <w:sz w:val="22"/>
          <w:szCs w:val="22"/>
        </w:rPr>
        <w:t xml:space="preserve"> In addition to </w:t>
      </w:r>
      <w:r w:rsidR="001F1D4B" w:rsidRPr="00AA1676">
        <w:rPr>
          <w:rFonts w:ascii="Cambria" w:hAnsi="Cambria" w:cs="Calibri"/>
          <w:color w:val="000000"/>
          <w:sz w:val="22"/>
          <w:szCs w:val="22"/>
        </w:rPr>
        <w:t xml:space="preserve">the </w:t>
      </w:r>
      <w:r w:rsidR="008A6577" w:rsidRPr="00AA1676">
        <w:rPr>
          <w:rFonts w:ascii="Cambria" w:hAnsi="Cambria" w:cs="Calibri"/>
          <w:color w:val="000000"/>
          <w:sz w:val="22"/>
          <w:szCs w:val="22"/>
        </w:rPr>
        <w:t xml:space="preserve">expression of a collective position and the </w:t>
      </w:r>
      <w:r w:rsidR="001F1D4B" w:rsidRPr="00AA1676">
        <w:rPr>
          <w:rFonts w:ascii="Cambria" w:hAnsi="Cambria" w:cs="Calibri"/>
          <w:color w:val="000000"/>
          <w:sz w:val="22"/>
          <w:szCs w:val="22"/>
        </w:rPr>
        <w:t xml:space="preserve">assertion of </w:t>
      </w:r>
      <w:r w:rsidRPr="00AA1676">
        <w:rPr>
          <w:rFonts w:ascii="Cambria" w:hAnsi="Cambria" w:cs="Calibri"/>
          <w:color w:val="000000"/>
          <w:sz w:val="22"/>
          <w:szCs w:val="22"/>
        </w:rPr>
        <w:t xml:space="preserve">group solidarity or identity, we recommend that the General Comment recognises that participation in peaceful assembly can play a key role in empowering individuals belonging to groups </w:t>
      </w:r>
      <w:r w:rsidR="00BD4FE0" w:rsidRPr="00AA1676">
        <w:rPr>
          <w:rFonts w:ascii="Cambria" w:hAnsi="Cambria" w:cs="Calibri"/>
          <w:color w:val="000000"/>
          <w:sz w:val="22"/>
          <w:szCs w:val="22"/>
        </w:rPr>
        <w:t>exposed to discrimination</w:t>
      </w:r>
      <w:r w:rsidRPr="00AA1676">
        <w:rPr>
          <w:rFonts w:ascii="Cambria" w:hAnsi="Cambria" w:cs="Calibri"/>
          <w:color w:val="000000"/>
          <w:sz w:val="22"/>
          <w:szCs w:val="22"/>
        </w:rPr>
        <w:t xml:space="preserve"> to claim other rights and overcome </w:t>
      </w:r>
      <w:r w:rsidR="00BD4FE0" w:rsidRPr="00AA1676">
        <w:rPr>
          <w:rFonts w:ascii="Cambria" w:hAnsi="Cambria" w:cs="Calibri"/>
          <w:color w:val="000000"/>
          <w:sz w:val="22"/>
          <w:szCs w:val="22"/>
        </w:rPr>
        <w:t xml:space="preserve">the </w:t>
      </w:r>
      <w:r w:rsidRPr="00AA1676">
        <w:rPr>
          <w:rFonts w:ascii="Cambria" w:hAnsi="Cambria" w:cs="Calibri"/>
          <w:color w:val="000000"/>
          <w:sz w:val="22"/>
          <w:szCs w:val="22"/>
        </w:rPr>
        <w:t>challenges associated with marginalisation.</w:t>
      </w:r>
      <w:r w:rsidRPr="00AA1676">
        <w:rPr>
          <w:rStyle w:val="FootnoteReference"/>
          <w:rFonts w:ascii="Cambria" w:hAnsi="Cambria" w:cs="Calibri"/>
          <w:color w:val="000000"/>
          <w:sz w:val="22"/>
          <w:szCs w:val="22"/>
        </w:rPr>
        <w:footnoteReference w:id="31"/>
      </w:r>
      <w:r w:rsidRPr="00AA1676">
        <w:rPr>
          <w:rFonts w:ascii="Cambria" w:hAnsi="Cambria" w:cs="Calibri"/>
          <w:color w:val="000000"/>
          <w:sz w:val="22"/>
          <w:szCs w:val="22"/>
        </w:rPr>
        <w:t xml:space="preserve"> </w:t>
      </w:r>
    </w:p>
    <w:p w14:paraId="0D39CF2C" w14:textId="77777777" w:rsidR="00212EBD" w:rsidRPr="00AA1676" w:rsidRDefault="00212EBD" w:rsidP="00212EBD">
      <w:pPr>
        <w:pStyle w:val="ListParagraph"/>
        <w:spacing w:before="0" w:beforeAutospacing="0" w:after="0" w:afterAutospacing="0"/>
        <w:ind w:left="360"/>
        <w:contextualSpacing/>
        <w:jc w:val="both"/>
        <w:rPr>
          <w:rFonts w:ascii="Cambria" w:hAnsi="Cambria" w:cs="Calibri"/>
          <w:color w:val="000000"/>
          <w:sz w:val="22"/>
          <w:szCs w:val="22"/>
        </w:rPr>
      </w:pPr>
    </w:p>
    <w:p w14:paraId="777B864C" w14:textId="6B54DB51" w:rsidR="00212EBD" w:rsidRPr="00AA1676" w:rsidRDefault="00212EBD" w:rsidP="00F34EA0">
      <w:pPr>
        <w:pStyle w:val="ListParagraph"/>
        <w:numPr>
          <w:ilvl w:val="0"/>
          <w:numId w:val="27"/>
        </w:numPr>
        <w:spacing w:before="0" w:beforeAutospacing="0" w:after="0" w:afterAutospacing="0"/>
        <w:contextualSpacing/>
        <w:jc w:val="both"/>
        <w:rPr>
          <w:rFonts w:ascii="Cambria" w:hAnsi="Cambria" w:cs="Calibri"/>
          <w:color w:val="000000"/>
          <w:sz w:val="22"/>
          <w:szCs w:val="22"/>
        </w:rPr>
      </w:pPr>
      <w:r w:rsidRPr="00AA1676">
        <w:rPr>
          <w:rFonts w:ascii="Cambria" w:hAnsi="Cambria" w:cs="Calibri"/>
          <w:b/>
          <w:bCs/>
          <w:color w:val="000000"/>
          <w:sz w:val="22"/>
          <w:szCs w:val="22"/>
        </w:rPr>
        <w:t xml:space="preserve">§18. </w:t>
      </w:r>
      <w:r w:rsidRPr="00AA1676">
        <w:rPr>
          <w:rFonts w:ascii="Cambria" w:hAnsi="Cambria" w:cs="Calibri"/>
          <w:color w:val="000000"/>
          <w:sz w:val="22"/>
          <w:szCs w:val="22"/>
        </w:rPr>
        <w:t>It is our submission that Article 21 not only protects individuals that have not met all the domestic legal requirements, but also those individuals that violate such requirements if the</w:t>
      </w:r>
      <w:r w:rsidR="008A6577" w:rsidRPr="00AA1676">
        <w:rPr>
          <w:rFonts w:ascii="Cambria" w:hAnsi="Cambria" w:cs="Calibri"/>
          <w:color w:val="000000"/>
          <w:sz w:val="22"/>
          <w:szCs w:val="22"/>
        </w:rPr>
        <w:t xml:space="preserve"> requirements themselves </w:t>
      </w:r>
      <w:r w:rsidRPr="00AA1676">
        <w:rPr>
          <w:rFonts w:ascii="Cambria" w:hAnsi="Cambria" w:cs="Calibri"/>
          <w:color w:val="000000"/>
          <w:sz w:val="22"/>
          <w:szCs w:val="22"/>
        </w:rPr>
        <w:t xml:space="preserve"> are incompatible with the provisions of the Covenant</w:t>
      </w:r>
      <w:r w:rsidR="008A6577" w:rsidRPr="00AA1676">
        <w:rPr>
          <w:rFonts w:ascii="Cambria" w:hAnsi="Cambria" w:cs="Calibri"/>
          <w:color w:val="000000"/>
          <w:sz w:val="22"/>
          <w:szCs w:val="22"/>
        </w:rPr>
        <w:t>, including for reasons of discrimination</w:t>
      </w:r>
      <w:r w:rsidRPr="00AA1676">
        <w:rPr>
          <w:rFonts w:ascii="Cambria" w:hAnsi="Cambria" w:cs="Calibri"/>
          <w:color w:val="000000"/>
          <w:sz w:val="22"/>
          <w:szCs w:val="22"/>
        </w:rPr>
        <w:t xml:space="preserve">. </w:t>
      </w:r>
      <w:r w:rsidR="001F1D4B" w:rsidRPr="00AA1676">
        <w:rPr>
          <w:rFonts w:ascii="Cambria" w:hAnsi="Cambria" w:cs="Calibri"/>
          <w:color w:val="000000"/>
          <w:sz w:val="22"/>
          <w:szCs w:val="22"/>
        </w:rPr>
        <w:t>We consider this to be a particularly important clarification, given the potential for restrictions on freedom of assembly to be discriminatory in nature, as exemplified by the legal prohibition on assemblies by LGBT+ groups cited above: as these restrictions are themselves violative of the right to non-discrimination, contravention of such restrictions must be protected by Article 21.</w:t>
      </w:r>
    </w:p>
    <w:p w14:paraId="7584E781" w14:textId="77777777" w:rsidR="00212EBD" w:rsidRPr="00AA1676" w:rsidRDefault="00212EBD" w:rsidP="00212EBD">
      <w:pPr>
        <w:pStyle w:val="ListParagraph"/>
        <w:spacing w:before="0" w:beforeAutospacing="0" w:after="0" w:afterAutospacing="0"/>
        <w:ind w:left="360"/>
        <w:contextualSpacing/>
        <w:jc w:val="both"/>
        <w:rPr>
          <w:rFonts w:ascii="Cambria" w:hAnsi="Cambria" w:cs="Calibri"/>
          <w:color w:val="000000"/>
          <w:sz w:val="22"/>
          <w:szCs w:val="22"/>
        </w:rPr>
      </w:pPr>
    </w:p>
    <w:p w14:paraId="4268CA82" w14:textId="6AA52875" w:rsidR="00122E01" w:rsidRPr="00AA1676" w:rsidRDefault="00212EBD" w:rsidP="00122E01">
      <w:pPr>
        <w:pStyle w:val="ListParagraph"/>
        <w:numPr>
          <w:ilvl w:val="0"/>
          <w:numId w:val="27"/>
        </w:numPr>
        <w:spacing w:before="0"/>
        <w:contextualSpacing/>
        <w:jc w:val="both"/>
        <w:rPr>
          <w:rFonts w:ascii="Cambria" w:hAnsi="Cambria" w:cs="Calibri"/>
          <w:color w:val="000000"/>
          <w:sz w:val="22"/>
          <w:szCs w:val="22"/>
          <w:lang w:val="en-US"/>
        </w:rPr>
      </w:pPr>
      <w:r w:rsidRPr="00AA1676">
        <w:rPr>
          <w:rFonts w:ascii="Cambria" w:hAnsi="Cambria" w:cs="Calibri"/>
          <w:b/>
          <w:bCs/>
          <w:color w:val="000000"/>
          <w:sz w:val="22"/>
          <w:szCs w:val="22"/>
        </w:rPr>
        <w:t xml:space="preserve">§22. </w:t>
      </w:r>
      <w:r w:rsidRPr="00AA1676">
        <w:rPr>
          <w:rFonts w:ascii="Cambria" w:hAnsi="Cambria" w:cs="Calibri"/>
          <w:color w:val="000000"/>
          <w:sz w:val="22"/>
          <w:szCs w:val="22"/>
        </w:rPr>
        <w:t xml:space="preserve">We suggest that Option 1 is preferred. The reference to </w:t>
      </w:r>
      <w:r w:rsidR="001F1D4B" w:rsidRPr="00AA1676">
        <w:rPr>
          <w:rFonts w:ascii="Cambria" w:hAnsi="Cambria" w:cs="Calibri"/>
          <w:color w:val="000000"/>
          <w:sz w:val="22"/>
          <w:szCs w:val="22"/>
        </w:rPr>
        <w:t>A</w:t>
      </w:r>
      <w:r w:rsidRPr="00AA1676">
        <w:rPr>
          <w:rFonts w:ascii="Cambria" w:hAnsi="Cambria" w:cs="Calibri"/>
          <w:color w:val="000000"/>
          <w:sz w:val="22"/>
          <w:szCs w:val="22"/>
        </w:rPr>
        <w:t xml:space="preserve">rticle 20 is appropriate and necessary in framing the scope of the right of peaceful assembly. </w:t>
      </w:r>
      <w:r w:rsidR="001F1D4B" w:rsidRPr="00AA1676">
        <w:rPr>
          <w:rFonts w:ascii="Cambria" w:hAnsi="Cambria" w:cs="Calibri"/>
          <w:color w:val="000000"/>
          <w:sz w:val="22"/>
          <w:szCs w:val="22"/>
        </w:rPr>
        <w:t xml:space="preserve"> However, given the potential for Article 20 to be misapplied in ways which </w:t>
      </w:r>
      <w:r w:rsidR="00706A7D" w:rsidRPr="00AA1676">
        <w:rPr>
          <w:rFonts w:ascii="Cambria" w:hAnsi="Cambria" w:cs="Calibri"/>
          <w:color w:val="000000"/>
          <w:sz w:val="22"/>
          <w:szCs w:val="22"/>
        </w:rPr>
        <w:t xml:space="preserve">might </w:t>
      </w:r>
      <w:r w:rsidR="001F1D4B" w:rsidRPr="00AA1676">
        <w:rPr>
          <w:rFonts w:ascii="Cambria" w:hAnsi="Cambria" w:cs="Calibri"/>
          <w:color w:val="000000"/>
          <w:sz w:val="22"/>
          <w:szCs w:val="22"/>
        </w:rPr>
        <w:t xml:space="preserve">restrict – particularly pre-emptively </w:t>
      </w:r>
      <w:r w:rsidR="00706A7D" w:rsidRPr="00AA1676">
        <w:rPr>
          <w:rFonts w:ascii="Cambria" w:hAnsi="Cambria" w:cs="Calibri"/>
          <w:color w:val="000000"/>
          <w:sz w:val="22"/>
          <w:szCs w:val="22"/>
        </w:rPr>
        <w:t>–</w:t>
      </w:r>
      <w:r w:rsidR="001F1D4B" w:rsidRPr="00AA1676">
        <w:rPr>
          <w:rFonts w:ascii="Cambria" w:hAnsi="Cambria" w:cs="Calibri"/>
          <w:color w:val="000000"/>
          <w:sz w:val="22"/>
          <w:szCs w:val="22"/>
        </w:rPr>
        <w:t xml:space="preserve"> </w:t>
      </w:r>
      <w:r w:rsidR="00706A7D" w:rsidRPr="00AA1676">
        <w:rPr>
          <w:rFonts w:ascii="Cambria" w:hAnsi="Cambria" w:cs="Calibri"/>
          <w:color w:val="000000"/>
          <w:sz w:val="22"/>
          <w:szCs w:val="22"/>
        </w:rPr>
        <w:t xml:space="preserve">legitimate peaceful assembly, we recommend that the General Comment makes explicit reference to the </w:t>
      </w:r>
      <w:r w:rsidR="00122E01" w:rsidRPr="00AA1676">
        <w:rPr>
          <w:rFonts w:ascii="Cambria" w:hAnsi="Cambria" w:cs="Calibri"/>
          <w:color w:val="000000"/>
          <w:sz w:val="22"/>
          <w:szCs w:val="22"/>
        </w:rPr>
        <w:t xml:space="preserve">threshold test set out in the </w:t>
      </w:r>
      <w:r w:rsidR="00122E01" w:rsidRPr="00AA1676">
        <w:rPr>
          <w:rFonts w:ascii="Cambria" w:hAnsi="Cambria" w:cs="Calibri"/>
          <w:i/>
          <w:iCs/>
          <w:color w:val="000000"/>
          <w:sz w:val="22"/>
          <w:szCs w:val="22"/>
          <w:lang w:val="en-US"/>
        </w:rPr>
        <w:t>Rabat Plan of Action on the prohibition of advocacy of national, racial or religious hatred that constitutes incitement to discrimination, hostility or violence</w:t>
      </w:r>
      <w:r w:rsidR="00122E01" w:rsidRPr="00AA1676">
        <w:rPr>
          <w:rFonts w:ascii="Cambria" w:hAnsi="Cambria" w:cs="Calibri"/>
          <w:color w:val="000000"/>
          <w:sz w:val="22"/>
          <w:szCs w:val="22"/>
          <w:lang w:val="en-US"/>
        </w:rPr>
        <w:t>.</w:t>
      </w:r>
      <w:r w:rsidR="00122E01" w:rsidRPr="00AA1676">
        <w:rPr>
          <w:rStyle w:val="FootnoteReference"/>
          <w:rFonts w:ascii="Cambria" w:hAnsi="Cambria" w:cs="Calibri"/>
          <w:color w:val="000000"/>
          <w:sz w:val="22"/>
          <w:szCs w:val="22"/>
          <w:lang w:val="en-US"/>
        </w:rPr>
        <w:footnoteReference w:id="32"/>
      </w:r>
    </w:p>
    <w:p w14:paraId="33621C6F" w14:textId="77777777" w:rsidR="00212EBD" w:rsidRPr="00AA1676" w:rsidRDefault="00212EBD" w:rsidP="00212EBD">
      <w:pPr>
        <w:pStyle w:val="ListParagraph"/>
        <w:spacing w:before="0" w:beforeAutospacing="0" w:after="0" w:afterAutospacing="0"/>
        <w:ind w:left="360"/>
        <w:contextualSpacing/>
        <w:jc w:val="both"/>
        <w:rPr>
          <w:rFonts w:ascii="Cambria" w:hAnsi="Cambria" w:cs="Calibri"/>
          <w:color w:val="000000"/>
          <w:sz w:val="22"/>
          <w:szCs w:val="22"/>
        </w:rPr>
      </w:pPr>
    </w:p>
    <w:p w14:paraId="102CAC6D" w14:textId="1C7C1F27" w:rsidR="00122E01" w:rsidRPr="00AA1676" w:rsidRDefault="00122E01" w:rsidP="00122E01">
      <w:pPr>
        <w:pStyle w:val="ListParagraph"/>
        <w:numPr>
          <w:ilvl w:val="0"/>
          <w:numId w:val="27"/>
        </w:numPr>
        <w:spacing w:before="0" w:beforeAutospacing="0" w:after="0" w:afterAutospacing="0"/>
        <w:contextualSpacing/>
        <w:jc w:val="both"/>
        <w:rPr>
          <w:rFonts w:ascii="Cambria" w:hAnsi="Cambria" w:cs="Calibri"/>
          <w:color w:val="000000"/>
          <w:sz w:val="22"/>
          <w:szCs w:val="22"/>
        </w:rPr>
      </w:pPr>
      <w:r w:rsidRPr="00AA1676">
        <w:rPr>
          <w:rFonts w:ascii="Cambria" w:hAnsi="Cambria" w:cs="Calibri"/>
          <w:b/>
          <w:bCs/>
          <w:color w:val="000000"/>
          <w:sz w:val="22"/>
          <w:szCs w:val="22"/>
        </w:rPr>
        <w:t xml:space="preserve">§23. </w:t>
      </w:r>
      <w:r w:rsidRPr="00AA1676">
        <w:rPr>
          <w:rFonts w:ascii="Cambria" w:hAnsi="Cambria" w:cs="Calibri"/>
          <w:color w:val="000000"/>
          <w:sz w:val="22"/>
          <w:szCs w:val="22"/>
        </w:rPr>
        <w:t xml:space="preserve">We recommend that this paragraph makes reference to the need to ensure that law enforcement officials do not rely on </w:t>
      </w:r>
      <w:r w:rsidR="00C94814" w:rsidRPr="00AA1676">
        <w:rPr>
          <w:rFonts w:ascii="Cambria" w:hAnsi="Cambria" w:cs="Calibri"/>
          <w:color w:val="000000"/>
          <w:sz w:val="22"/>
          <w:szCs w:val="22"/>
        </w:rPr>
        <w:t xml:space="preserve">racial, </w:t>
      </w:r>
      <w:r w:rsidRPr="00AA1676">
        <w:rPr>
          <w:rFonts w:ascii="Cambria" w:hAnsi="Cambria" w:cs="Calibri"/>
          <w:color w:val="000000"/>
          <w:sz w:val="22"/>
          <w:szCs w:val="22"/>
        </w:rPr>
        <w:t>ethnic or other profiling</w:t>
      </w:r>
      <w:r w:rsidR="00C94814" w:rsidRPr="00AA1676">
        <w:rPr>
          <w:rFonts w:ascii="Cambria" w:hAnsi="Cambria" w:cs="Calibri"/>
          <w:color w:val="000000"/>
          <w:sz w:val="22"/>
          <w:szCs w:val="22"/>
        </w:rPr>
        <w:t xml:space="preserve"> or</w:t>
      </w:r>
      <w:r w:rsidRPr="00AA1676">
        <w:rPr>
          <w:rFonts w:ascii="Cambria" w:hAnsi="Cambria" w:cs="Calibri"/>
          <w:color w:val="000000"/>
          <w:sz w:val="22"/>
          <w:szCs w:val="22"/>
        </w:rPr>
        <w:t xml:space="preserve"> stereotyping </w:t>
      </w:r>
      <w:r w:rsidR="00C94814" w:rsidRPr="00AA1676">
        <w:rPr>
          <w:rFonts w:ascii="Cambria" w:hAnsi="Cambria" w:cs="Calibri"/>
          <w:color w:val="000000"/>
          <w:sz w:val="22"/>
          <w:szCs w:val="22"/>
        </w:rPr>
        <w:t>and do not otherwise discrimination i</w:t>
      </w:r>
      <w:r w:rsidRPr="00AA1676">
        <w:rPr>
          <w:rFonts w:ascii="Cambria" w:hAnsi="Cambria" w:cs="Calibri"/>
          <w:color w:val="000000"/>
          <w:sz w:val="22"/>
          <w:szCs w:val="22"/>
        </w:rPr>
        <w:t xml:space="preserve">n the determination of whether the carrying of objects renders an assembly violent.  </w:t>
      </w:r>
    </w:p>
    <w:p w14:paraId="23BFCD1E" w14:textId="4269725F" w:rsidR="00122E01" w:rsidRPr="00AA1676" w:rsidRDefault="00122E01" w:rsidP="00122E01">
      <w:pPr>
        <w:pStyle w:val="ListParagraph"/>
        <w:spacing w:before="0" w:beforeAutospacing="0" w:after="0" w:afterAutospacing="0"/>
        <w:ind w:left="567"/>
        <w:contextualSpacing/>
        <w:jc w:val="both"/>
        <w:rPr>
          <w:rFonts w:ascii="Cambria" w:hAnsi="Cambria" w:cs="Calibri"/>
          <w:color w:val="000000"/>
          <w:sz w:val="22"/>
          <w:szCs w:val="22"/>
        </w:rPr>
      </w:pPr>
    </w:p>
    <w:p w14:paraId="62557410" w14:textId="10A87D0A" w:rsidR="00E3487E" w:rsidRPr="00AA1676" w:rsidRDefault="00E3487E" w:rsidP="00AA1676">
      <w:pPr>
        <w:contextualSpacing/>
        <w:jc w:val="both"/>
        <w:rPr>
          <w:rFonts w:ascii="Cambria" w:hAnsi="Cambria" w:cs="Calibri"/>
          <w:bCs/>
          <w:i/>
          <w:iCs/>
          <w:color w:val="000000"/>
          <w:sz w:val="22"/>
          <w:szCs w:val="22"/>
        </w:rPr>
      </w:pPr>
      <w:r w:rsidRPr="00AA1676">
        <w:rPr>
          <w:rFonts w:ascii="Cambria" w:hAnsi="Cambria" w:cs="Calibri"/>
          <w:bCs/>
          <w:i/>
          <w:iCs/>
          <w:color w:val="000000"/>
          <w:sz w:val="22"/>
          <w:szCs w:val="22"/>
        </w:rPr>
        <w:t>The obligation of States parties in respect of the right of peaceful assembly</w:t>
      </w:r>
    </w:p>
    <w:p w14:paraId="0AC2EF79" w14:textId="77777777" w:rsidR="00E3487E" w:rsidRPr="00AA1676" w:rsidRDefault="00E3487E" w:rsidP="00AA1676">
      <w:pPr>
        <w:pStyle w:val="ListParagraph"/>
        <w:spacing w:before="0" w:beforeAutospacing="0" w:after="0" w:afterAutospacing="0"/>
        <w:ind w:left="567"/>
        <w:contextualSpacing/>
        <w:jc w:val="both"/>
        <w:rPr>
          <w:rFonts w:ascii="Cambria" w:hAnsi="Cambria" w:cs="Calibri"/>
          <w:color w:val="000000"/>
          <w:sz w:val="22"/>
          <w:szCs w:val="22"/>
        </w:rPr>
      </w:pPr>
    </w:p>
    <w:p w14:paraId="4626DFF7" w14:textId="6475718C" w:rsidR="00E0451E" w:rsidRPr="00AA1676" w:rsidRDefault="00212EBD" w:rsidP="004C4C41">
      <w:pPr>
        <w:pStyle w:val="ListParagraph"/>
        <w:numPr>
          <w:ilvl w:val="0"/>
          <w:numId w:val="27"/>
        </w:numPr>
        <w:spacing w:before="0" w:beforeAutospacing="0" w:after="0" w:afterAutospacing="0"/>
        <w:contextualSpacing/>
        <w:jc w:val="both"/>
        <w:rPr>
          <w:rFonts w:ascii="Cambria" w:hAnsi="Cambria" w:cs="Calibri"/>
          <w:color w:val="000000"/>
          <w:sz w:val="22"/>
          <w:szCs w:val="22"/>
        </w:rPr>
      </w:pPr>
      <w:r w:rsidRPr="00AA1676">
        <w:rPr>
          <w:rFonts w:ascii="Cambria" w:hAnsi="Cambria" w:cs="Calibri"/>
          <w:b/>
          <w:bCs/>
          <w:color w:val="000000"/>
          <w:sz w:val="22"/>
          <w:szCs w:val="22"/>
        </w:rPr>
        <w:t xml:space="preserve">§24. </w:t>
      </w:r>
      <w:r w:rsidRPr="00AA1676">
        <w:rPr>
          <w:rFonts w:ascii="Cambria" w:hAnsi="Cambria" w:cs="Calibri"/>
          <w:color w:val="000000"/>
          <w:sz w:val="22"/>
          <w:szCs w:val="22"/>
        </w:rPr>
        <w:t xml:space="preserve">In our submission, it is </w:t>
      </w:r>
      <w:r w:rsidR="00A3064D" w:rsidRPr="00AA1676">
        <w:rPr>
          <w:rFonts w:ascii="Cambria" w:hAnsi="Cambria" w:cs="Calibri"/>
          <w:color w:val="000000"/>
          <w:sz w:val="22"/>
          <w:szCs w:val="22"/>
        </w:rPr>
        <w:t>essential that the where reference is made to</w:t>
      </w:r>
      <w:r w:rsidR="005F7433" w:rsidRPr="00AA1676">
        <w:rPr>
          <w:rFonts w:ascii="Cambria" w:hAnsi="Cambria" w:cs="Calibri"/>
          <w:color w:val="000000"/>
          <w:sz w:val="22"/>
          <w:szCs w:val="22"/>
        </w:rPr>
        <w:t xml:space="preserve"> Article 2(1)</w:t>
      </w:r>
      <w:r w:rsidR="00A3064D" w:rsidRPr="00AA1676">
        <w:rPr>
          <w:rFonts w:ascii="Cambria" w:hAnsi="Cambria" w:cs="Calibri"/>
          <w:color w:val="000000"/>
          <w:sz w:val="22"/>
          <w:szCs w:val="22"/>
        </w:rPr>
        <w:t>, it is stated that the obligation to “respect and ensure” Covenant rights is an obligation to do so without discrimination</w:t>
      </w:r>
      <w:r w:rsidR="005F7433" w:rsidRPr="00AA1676">
        <w:rPr>
          <w:rFonts w:ascii="Cambria" w:hAnsi="Cambria" w:cs="Calibri"/>
          <w:color w:val="000000"/>
          <w:sz w:val="22"/>
          <w:szCs w:val="22"/>
        </w:rPr>
        <w:t xml:space="preserve">. </w:t>
      </w:r>
    </w:p>
    <w:p w14:paraId="44D5C554" w14:textId="77777777" w:rsidR="005F7433" w:rsidRPr="00AA1676" w:rsidRDefault="005F7433" w:rsidP="005F7433">
      <w:pPr>
        <w:pStyle w:val="ListParagraph"/>
        <w:spacing w:before="0" w:beforeAutospacing="0" w:after="0" w:afterAutospacing="0"/>
        <w:ind w:left="360"/>
        <w:contextualSpacing/>
        <w:jc w:val="both"/>
        <w:rPr>
          <w:rFonts w:ascii="Cambria" w:hAnsi="Cambria" w:cs="Calibri"/>
          <w:color w:val="000000"/>
          <w:sz w:val="22"/>
          <w:szCs w:val="22"/>
        </w:rPr>
      </w:pPr>
    </w:p>
    <w:p w14:paraId="2EF1FE9A" w14:textId="34638F73" w:rsidR="00E3487E" w:rsidRPr="00AA1676" w:rsidRDefault="00E3487E" w:rsidP="007F7805">
      <w:pPr>
        <w:pStyle w:val="ListParagraph"/>
        <w:numPr>
          <w:ilvl w:val="0"/>
          <w:numId w:val="27"/>
        </w:numPr>
        <w:spacing w:before="0" w:beforeAutospacing="0" w:after="0" w:afterAutospacing="0"/>
        <w:contextualSpacing/>
        <w:jc w:val="both"/>
        <w:rPr>
          <w:rFonts w:ascii="Cambria" w:hAnsi="Cambria" w:cs="Calibri"/>
          <w:color w:val="000000"/>
          <w:sz w:val="22"/>
          <w:szCs w:val="22"/>
        </w:rPr>
      </w:pPr>
      <w:r w:rsidRPr="00AA1676">
        <w:rPr>
          <w:rFonts w:ascii="Cambria" w:hAnsi="Cambria" w:cs="Calibri"/>
          <w:b/>
          <w:bCs/>
          <w:color w:val="000000"/>
          <w:sz w:val="22"/>
          <w:szCs w:val="22"/>
        </w:rPr>
        <w:t>§28.</w:t>
      </w:r>
      <w:r w:rsidRPr="00AA1676">
        <w:rPr>
          <w:rFonts w:ascii="Cambria" w:hAnsi="Cambria" w:cs="Calibri"/>
          <w:color w:val="000000"/>
          <w:sz w:val="22"/>
          <w:szCs w:val="22"/>
        </w:rPr>
        <w:t xml:space="preserve"> </w:t>
      </w:r>
      <w:r w:rsidR="006E615A" w:rsidRPr="00AA1676">
        <w:rPr>
          <w:rFonts w:ascii="Cambria" w:hAnsi="Cambria" w:cs="Calibri"/>
          <w:color w:val="000000"/>
          <w:sz w:val="22"/>
          <w:szCs w:val="22"/>
        </w:rPr>
        <w:t xml:space="preserve">We consider </w:t>
      </w:r>
      <w:r w:rsidR="00EF0C1A" w:rsidRPr="00AA1676">
        <w:rPr>
          <w:rFonts w:ascii="Cambria" w:hAnsi="Cambria" w:cs="Calibri"/>
          <w:color w:val="000000"/>
          <w:sz w:val="22"/>
          <w:szCs w:val="22"/>
        </w:rPr>
        <w:t>that this paragraph presents an opportunity for the Committee to underscore the fact that the right to freedom of assembly must be guaranteed without discrimination and to clarify that this gives rise to specific obligations in respect of the duties to refrain from interference with, and to facilitate, peaceful assembly. We would recommend that the paragraph is revised to focus on the positive duty to ensure enjoyment of the right without discrimination, rather than the negative obligations to “not deal with assemblies in a discriminatory manner” and “ensure equal and effective protection”.  We would urge the Committee to state explicitly that as part of the obligation of non-</w:t>
      </w:r>
      <w:r w:rsidR="00EF0C1A" w:rsidRPr="00AA1676">
        <w:rPr>
          <w:rFonts w:ascii="Cambria" w:hAnsi="Cambria" w:cs="Calibri"/>
          <w:color w:val="000000"/>
          <w:sz w:val="22"/>
          <w:szCs w:val="22"/>
        </w:rPr>
        <w:lastRenderedPageBreak/>
        <w:t xml:space="preserve">interference, states must ensure that neither law nor law enforcement practice should discriminate in the restriction or limitation of freedom of assembly. Similarly, we would recommend that the Committee highlights the fact that the obligation to facilitate entails specific obligations both to prevent violence against, and to facilitate assemblies by, members of groups exposed to discrimination. </w:t>
      </w:r>
    </w:p>
    <w:p w14:paraId="46F03923" w14:textId="77777777" w:rsidR="00E3487E" w:rsidRPr="00AA1676" w:rsidRDefault="00E3487E" w:rsidP="00AA1676">
      <w:pPr>
        <w:contextualSpacing/>
        <w:jc w:val="both"/>
        <w:rPr>
          <w:rFonts w:ascii="Cambria" w:hAnsi="Cambria" w:cs="Calibri"/>
          <w:b/>
          <w:bCs/>
          <w:color w:val="000000"/>
          <w:sz w:val="22"/>
          <w:szCs w:val="22"/>
        </w:rPr>
      </w:pPr>
    </w:p>
    <w:p w14:paraId="54D85B4B" w14:textId="0F84A90D" w:rsidR="005F7433" w:rsidRPr="00AA1676" w:rsidRDefault="005F7433" w:rsidP="007958AA">
      <w:pPr>
        <w:pStyle w:val="ListParagraph"/>
        <w:numPr>
          <w:ilvl w:val="0"/>
          <w:numId w:val="27"/>
        </w:numPr>
        <w:spacing w:before="0" w:beforeAutospacing="0" w:after="0" w:afterAutospacing="0"/>
        <w:contextualSpacing/>
        <w:jc w:val="both"/>
        <w:rPr>
          <w:rFonts w:ascii="Cambria" w:hAnsi="Cambria"/>
          <w:color w:val="000000" w:themeColor="text1"/>
          <w:sz w:val="22"/>
          <w:szCs w:val="22"/>
        </w:rPr>
      </w:pPr>
      <w:r w:rsidRPr="00AA1676">
        <w:rPr>
          <w:rFonts w:ascii="Cambria" w:hAnsi="Cambria" w:cs="Calibri"/>
          <w:b/>
          <w:bCs/>
          <w:color w:val="000000"/>
          <w:sz w:val="22"/>
          <w:szCs w:val="22"/>
        </w:rPr>
        <w:t>§</w:t>
      </w:r>
      <w:r w:rsidR="007958AA" w:rsidRPr="00AA1676">
        <w:rPr>
          <w:rFonts w:ascii="Cambria" w:hAnsi="Cambria" w:cs="Calibri"/>
          <w:b/>
          <w:bCs/>
          <w:color w:val="000000"/>
          <w:sz w:val="22"/>
          <w:szCs w:val="22"/>
        </w:rPr>
        <w:t>31</w:t>
      </w:r>
      <w:r w:rsidRPr="00AA1676">
        <w:rPr>
          <w:rFonts w:ascii="Cambria" w:hAnsi="Cambria" w:cs="Calibri"/>
          <w:b/>
          <w:bCs/>
          <w:color w:val="000000"/>
          <w:sz w:val="22"/>
          <w:szCs w:val="22"/>
        </w:rPr>
        <w:t xml:space="preserve">. </w:t>
      </w:r>
      <w:r w:rsidR="00E3487E" w:rsidRPr="00AA1676">
        <w:rPr>
          <w:rFonts w:ascii="Cambria" w:hAnsi="Cambria" w:cs="Calibri"/>
          <w:color w:val="000000"/>
          <w:sz w:val="22"/>
          <w:szCs w:val="22"/>
        </w:rPr>
        <w:t>We would urge the Committee to remove the words “in and of itself” in the first sentence, and to use the word “possible”, rather than “appropriate” in the second sentence. Further, w</w:t>
      </w:r>
      <w:r w:rsidRPr="00AA1676">
        <w:rPr>
          <w:rFonts w:ascii="Cambria" w:hAnsi="Cambria" w:cs="Calibri"/>
          <w:color w:val="000000"/>
          <w:sz w:val="22"/>
          <w:szCs w:val="22"/>
        </w:rPr>
        <w:t xml:space="preserve">e recommend that this paragraph </w:t>
      </w:r>
      <w:r w:rsidR="00E3487E" w:rsidRPr="00AA1676">
        <w:rPr>
          <w:rFonts w:ascii="Cambria" w:hAnsi="Cambria" w:cs="Calibri"/>
          <w:color w:val="000000"/>
          <w:sz w:val="22"/>
          <w:szCs w:val="22"/>
        </w:rPr>
        <w:t>underlines</w:t>
      </w:r>
      <w:r w:rsidRPr="00AA1676">
        <w:rPr>
          <w:rFonts w:ascii="Cambria" w:hAnsi="Cambria" w:cs="Calibri"/>
          <w:color w:val="000000"/>
          <w:sz w:val="22"/>
          <w:szCs w:val="22"/>
        </w:rPr>
        <w:t xml:space="preserve"> that in cases where there is a specific risk of violent counterdemonstrations or manifestations, the state must protect </w:t>
      </w:r>
      <w:r w:rsidR="00E3487E" w:rsidRPr="00AA1676">
        <w:rPr>
          <w:rFonts w:ascii="Cambria" w:hAnsi="Cambria" w:cs="Calibri"/>
          <w:color w:val="000000"/>
          <w:sz w:val="22"/>
          <w:szCs w:val="22"/>
        </w:rPr>
        <w:t>the</w:t>
      </w:r>
      <w:r w:rsidRPr="00AA1676">
        <w:rPr>
          <w:rFonts w:ascii="Cambria" w:hAnsi="Cambria" w:cs="Calibri"/>
          <w:color w:val="000000"/>
          <w:sz w:val="22"/>
          <w:szCs w:val="22"/>
        </w:rPr>
        <w:t xml:space="preserve"> assembly </w:t>
      </w:r>
      <w:r w:rsidR="00E3487E" w:rsidRPr="00AA1676">
        <w:rPr>
          <w:rFonts w:ascii="Cambria" w:hAnsi="Cambria" w:cs="Calibri"/>
          <w:color w:val="000000"/>
          <w:sz w:val="22"/>
          <w:szCs w:val="22"/>
        </w:rPr>
        <w:t>in question, rather than prohibiting for the ostensible protection of those involved</w:t>
      </w:r>
      <w:r w:rsidRPr="00AA1676">
        <w:rPr>
          <w:rFonts w:ascii="Cambria" w:hAnsi="Cambria" w:cs="Calibri"/>
          <w:color w:val="000000"/>
          <w:sz w:val="22"/>
          <w:szCs w:val="22"/>
        </w:rPr>
        <w:t>.</w:t>
      </w:r>
      <w:r w:rsidRPr="00AA1676">
        <w:rPr>
          <w:rStyle w:val="FootnoteReference"/>
          <w:rFonts w:ascii="Cambria" w:hAnsi="Cambria" w:cs="Calibri"/>
          <w:color w:val="000000"/>
          <w:sz w:val="22"/>
          <w:szCs w:val="22"/>
        </w:rPr>
        <w:footnoteReference w:id="33"/>
      </w:r>
      <w:r w:rsidRPr="00AA1676">
        <w:rPr>
          <w:rFonts w:ascii="Cambria" w:hAnsi="Cambria" w:cs="Calibri"/>
          <w:color w:val="000000"/>
          <w:sz w:val="22"/>
          <w:szCs w:val="22"/>
        </w:rPr>
        <w:t xml:space="preserve"> In Russia, </w:t>
      </w:r>
      <w:r w:rsidR="00A3064D" w:rsidRPr="00AA1676">
        <w:rPr>
          <w:rFonts w:ascii="Cambria" w:hAnsi="Cambria" w:cs="Calibri"/>
          <w:color w:val="000000"/>
          <w:sz w:val="22"/>
          <w:szCs w:val="22"/>
        </w:rPr>
        <w:t xml:space="preserve">for example, </w:t>
      </w:r>
      <w:r w:rsidRPr="00AA1676">
        <w:rPr>
          <w:rFonts w:ascii="Cambria" w:hAnsi="Cambria" w:cs="Calibri"/>
          <w:color w:val="000000"/>
          <w:sz w:val="22"/>
          <w:szCs w:val="22"/>
        </w:rPr>
        <w:t xml:space="preserve">it is frequently argued that LGBT+ assemblies may disturb the public order because they are disapproved </w:t>
      </w:r>
      <w:r w:rsidR="00A3064D" w:rsidRPr="00AA1676">
        <w:rPr>
          <w:rFonts w:ascii="Cambria" w:hAnsi="Cambria" w:cs="Calibri"/>
          <w:color w:val="000000"/>
          <w:sz w:val="22"/>
          <w:szCs w:val="22"/>
        </w:rPr>
        <w:t xml:space="preserve">of </w:t>
      </w:r>
      <w:r w:rsidRPr="00AA1676">
        <w:rPr>
          <w:rFonts w:ascii="Cambria" w:hAnsi="Cambria" w:cs="Calibri"/>
          <w:color w:val="000000"/>
          <w:sz w:val="22"/>
          <w:szCs w:val="22"/>
        </w:rPr>
        <w:t>by the majority of society</w:t>
      </w:r>
      <w:r w:rsidR="00A3064D" w:rsidRPr="00AA1676">
        <w:rPr>
          <w:rFonts w:ascii="Cambria" w:hAnsi="Cambria" w:cs="Calibri"/>
          <w:color w:val="000000"/>
          <w:sz w:val="22"/>
          <w:szCs w:val="22"/>
        </w:rPr>
        <w:t xml:space="preserve"> and so can result in</w:t>
      </w:r>
      <w:r w:rsidRPr="00AA1676">
        <w:rPr>
          <w:rFonts w:ascii="Cambria" w:hAnsi="Cambria" w:cs="Calibri"/>
          <w:color w:val="000000"/>
          <w:sz w:val="22"/>
          <w:szCs w:val="22"/>
        </w:rPr>
        <w:t xml:space="preserve"> clashes between activists and counter-protesters</w:t>
      </w:r>
      <w:r w:rsidRPr="00AA1676">
        <w:rPr>
          <w:rFonts w:ascii="Cambria" w:hAnsi="Cambria" w:cs="Calibri"/>
          <w:color w:val="000000" w:themeColor="text1"/>
          <w:sz w:val="22"/>
          <w:szCs w:val="22"/>
        </w:rPr>
        <w:t>.</w:t>
      </w:r>
      <w:r w:rsidRPr="00AA1676">
        <w:rPr>
          <w:rStyle w:val="FootnoteReference"/>
          <w:rFonts w:ascii="Cambria" w:hAnsi="Cambria"/>
          <w:color w:val="000000" w:themeColor="text1"/>
          <w:sz w:val="22"/>
          <w:szCs w:val="22"/>
        </w:rPr>
        <w:footnoteReference w:id="34"/>
      </w:r>
      <w:r w:rsidR="007958AA" w:rsidRPr="00AA1676">
        <w:rPr>
          <w:rFonts w:ascii="Cambria" w:hAnsi="Cambria"/>
          <w:color w:val="000000" w:themeColor="text1"/>
          <w:sz w:val="22"/>
          <w:szCs w:val="22"/>
        </w:rPr>
        <w:t xml:space="preserve"> Discriminat</w:t>
      </w:r>
      <w:r w:rsidR="00E3487E" w:rsidRPr="00AA1676">
        <w:rPr>
          <w:rFonts w:ascii="Cambria" w:hAnsi="Cambria"/>
          <w:color w:val="000000" w:themeColor="text1"/>
          <w:sz w:val="22"/>
          <w:szCs w:val="22"/>
        </w:rPr>
        <w:t xml:space="preserve">ion is not </w:t>
      </w:r>
      <w:r w:rsidR="007958AA" w:rsidRPr="00AA1676">
        <w:rPr>
          <w:rFonts w:ascii="Cambria" w:hAnsi="Cambria"/>
          <w:color w:val="000000" w:themeColor="text1"/>
          <w:sz w:val="22"/>
          <w:szCs w:val="22"/>
        </w:rPr>
        <w:t>a valid justification for this type of restriction. States have a duty to “take reasonable and appropriate measures to enable lawful demonstrations to proceed peacefully”</w:t>
      </w:r>
      <w:r w:rsidR="00A3064D" w:rsidRPr="00AA1676">
        <w:rPr>
          <w:rFonts w:ascii="Cambria" w:hAnsi="Cambria"/>
          <w:color w:val="000000" w:themeColor="text1"/>
          <w:sz w:val="22"/>
          <w:szCs w:val="22"/>
        </w:rPr>
        <w:t>;</w:t>
      </w:r>
      <w:r w:rsidR="007958AA" w:rsidRPr="00AA1676">
        <w:rPr>
          <w:rFonts w:ascii="Cambria" w:hAnsi="Cambria"/>
          <w:color w:val="000000" w:themeColor="text1"/>
          <w:sz w:val="22"/>
          <w:szCs w:val="22"/>
          <w:vertAlign w:val="superscript"/>
        </w:rPr>
        <w:footnoteReference w:id="35"/>
      </w:r>
      <w:r w:rsidR="007958AA" w:rsidRPr="00AA1676">
        <w:rPr>
          <w:rFonts w:ascii="Cambria" w:hAnsi="Cambria"/>
          <w:color w:val="000000" w:themeColor="text1"/>
          <w:sz w:val="22"/>
          <w:szCs w:val="22"/>
        </w:rPr>
        <w:t xml:space="preserve"> </w:t>
      </w:r>
      <w:r w:rsidR="00A3064D" w:rsidRPr="00AA1676">
        <w:rPr>
          <w:rFonts w:ascii="Cambria" w:hAnsi="Cambria"/>
          <w:color w:val="000000" w:themeColor="text1"/>
          <w:sz w:val="22"/>
          <w:szCs w:val="22"/>
        </w:rPr>
        <w:t>this duty</w:t>
      </w:r>
      <w:r w:rsidR="007958AA" w:rsidRPr="00AA1676">
        <w:rPr>
          <w:rFonts w:ascii="Cambria" w:hAnsi="Cambria"/>
          <w:color w:val="000000" w:themeColor="text1"/>
          <w:sz w:val="22"/>
          <w:szCs w:val="22"/>
        </w:rPr>
        <w:t xml:space="preserve"> entails the obligation to adequately assess security risks </w:t>
      </w:r>
      <w:r w:rsidR="00103633" w:rsidRPr="00AA1676">
        <w:rPr>
          <w:rFonts w:ascii="Cambria" w:hAnsi="Cambria"/>
          <w:color w:val="000000" w:themeColor="text1"/>
          <w:sz w:val="22"/>
          <w:szCs w:val="22"/>
        </w:rPr>
        <w:t xml:space="preserve">and to effectively </w:t>
      </w:r>
      <w:r w:rsidR="007958AA" w:rsidRPr="00AA1676">
        <w:rPr>
          <w:rFonts w:ascii="Cambria" w:hAnsi="Cambria"/>
          <w:color w:val="000000" w:themeColor="text1"/>
          <w:sz w:val="22"/>
          <w:szCs w:val="22"/>
        </w:rPr>
        <w:t>mitigate them</w:t>
      </w:r>
      <w:r w:rsidR="00103633" w:rsidRPr="00AA1676">
        <w:rPr>
          <w:rFonts w:ascii="Cambria" w:hAnsi="Cambria"/>
          <w:color w:val="000000" w:themeColor="text1"/>
          <w:sz w:val="22"/>
          <w:szCs w:val="22"/>
        </w:rPr>
        <w:t xml:space="preserve"> in order to protect the right to freedom of assembly</w:t>
      </w:r>
      <w:r w:rsidR="007958AA" w:rsidRPr="00AA1676">
        <w:rPr>
          <w:rFonts w:ascii="Cambria" w:hAnsi="Cambria"/>
          <w:color w:val="000000" w:themeColor="text1"/>
          <w:sz w:val="22"/>
          <w:szCs w:val="22"/>
        </w:rPr>
        <w:t>,</w:t>
      </w:r>
      <w:r w:rsidR="00103633" w:rsidRPr="00AA1676">
        <w:rPr>
          <w:rFonts w:ascii="Cambria" w:hAnsi="Cambria"/>
          <w:color w:val="000000" w:themeColor="text1"/>
          <w:sz w:val="22"/>
          <w:szCs w:val="22"/>
        </w:rPr>
        <w:t xml:space="preserve"> rather than </w:t>
      </w:r>
      <w:r w:rsidR="007958AA" w:rsidRPr="00AA1676">
        <w:rPr>
          <w:rFonts w:ascii="Cambria" w:hAnsi="Cambria"/>
          <w:color w:val="000000" w:themeColor="text1"/>
          <w:sz w:val="22"/>
          <w:szCs w:val="22"/>
        </w:rPr>
        <w:t xml:space="preserve">banning </w:t>
      </w:r>
      <w:r w:rsidR="00103633" w:rsidRPr="00AA1676">
        <w:rPr>
          <w:rFonts w:ascii="Cambria" w:hAnsi="Cambria"/>
          <w:color w:val="000000" w:themeColor="text1"/>
          <w:sz w:val="22"/>
          <w:szCs w:val="22"/>
        </w:rPr>
        <w:t xml:space="preserve">the </w:t>
      </w:r>
      <w:r w:rsidR="007958AA" w:rsidRPr="00AA1676">
        <w:rPr>
          <w:rFonts w:ascii="Cambria" w:hAnsi="Cambria"/>
          <w:color w:val="000000" w:themeColor="text1"/>
          <w:sz w:val="22"/>
          <w:szCs w:val="22"/>
        </w:rPr>
        <w:t>assembl</w:t>
      </w:r>
      <w:r w:rsidR="00103633" w:rsidRPr="00AA1676">
        <w:rPr>
          <w:rFonts w:ascii="Cambria" w:hAnsi="Cambria"/>
          <w:color w:val="000000" w:themeColor="text1"/>
          <w:sz w:val="22"/>
          <w:szCs w:val="22"/>
        </w:rPr>
        <w:t>y itself</w:t>
      </w:r>
      <w:r w:rsidR="007958AA" w:rsidRPr="00AA1676">
        <w:rPr>
          <w:rFonts w:ascii="Cambria" w:hAnsi="Cambria"/>
          <w:color w:val="000000" w:themeColor="text1"/>
          <w:sz w:val="22"/>
          <w:szCs w:val="22"/>
        </w:rPr>
        <w:t>.</w:t>
      </w:r>
      <w:r w:rsidR="00D46275" w:rsidRPr="00AA1676">
        <w:rPr>
          <w:rFonts w:ascii="Cambria" w:hAnsi="Cambria"/>
          <w:color w:val="000000" w:themeColor="text1"/>
          <w:sz w:val="22"/>
          <w:szCs w:val="22"/>
        </w:rPr>
        <w:t xml:space="preserve"> We note that there is reference to these obligations in paragraph 58 of the General Comment, however it is our submission that these considerations are relevant both in framing the nature and scope of State obligations in respect of the right, and the nature and scope of restrictions. </w:t>
      </w:r>
    </w:p>
    <w:p w14:paraId="1EED0BC2" w14:textId="77777777" w:rsidR="007958AA" w:rsidRPr="00AA1676" w:rsidRDefault="007958AA" w:rsidP="007958AA">
      <w:pPr>
        <w:pStyle w:val="ListParagraph"/>
        <w:spacing w:before="0" w:beforeAutospacing="0" w:after="0" w:afterAutospacing="0"/>
        <w:ind w:left="360"/>
        <w:contextualSpacing/>
        <w:jc w:val="both"/>
        <w:rPr>
          <w:rFonts w:ascii="Cambria" w:hAnsi="Cambria"/>
          <w:color w:val="000000" w:themeColor="text1"/>
          <w:sz w:val="22"/>
          <w:szCs w:val="22"/>
        </w:rPr>
      </w:pPr>
    </w:p>
    <w:p w14:paraId="02D8FD81" w14:textId="028D8A19" w:rsidR="00260758" w:rsidRPr="00AA1676" w:rsidRDefault="00260758" w:rsidP="006E615A">
      <w:pPr>
        <w:pStyle w:val="ListParagraph"/>
        <w:numPr>
          <w:ilvl w:val="0"/>
          <w:numId w:val="27"/>
        </w:numPr>
        <w:spacing w:before="0" w:beforeAutospacing="0" w:after="0" w:afterAutospacing="0"/>
        <w:contextualSpacing/>
        <w:jc w:val="both"/>
        <w:rPr>
          <w:rFonts w:ascii="Cambria" w:hAnsi="Cambria"/>
          <w:color w:val="000000" w:themeColor="text1"/>
          <w:sz w:val="22"/>
          <w:szCs w:val="22"/>
        </w:rPr>
      </w:pPr>
      <w:r w:rsidRPr="00AA1676">
        <w:rPr>
          <w:rFonts w:ascii="Cambria" w:hAnsi="Cambria" w:cs="Calibri"/>
          <w:b/>
          <w:bCs/>
          <w:color w:val="000000"/>
          <w:sz w:val="22"/>
          <w:szCs w:val="22"/>
        </w:rPr>
        <w:t xml:space="preserve">§37. </w:t>
      </w:r>
      <w:r w:rsidRPr="00AA1676">
        <w:rPr>
          <w:rFonts w:ascii="Cambria" w:hAnsi="Cambria" w:cs="Calibri"/>
          <w:color w:val="000000"/>
          <w:sz w:val="22"/>
          <w:szCs w:val="22"/>
        </w:rPr>
        <w:t>We suggest that the words “and must not discriminate” are added after the phrase “such restrictions are also to be narrowly construed”.</w:t>
      </w:r>
    </w:p>
    <w:p w14:paraId="78918CF1" w14:textId="77777777" w:rsidR="00260758" w:rsidRPr="00AA1676" w:rsidRDefault="00260758" w:rsidP="00AA1676">
      <w:pPr>
        <w:pStyle w:val="ListParagraph"/>
        <w:spacing w:before="0" w:beforeAutospacing="0" w:after="0" w:afterAutospacing="0"/>
        <w:ind w:left="567"/>
        <w:contextualSpacing/>
        <w:jc w:val="both"/>
        <w:rPr>
          <w:rFonts w:ascii="Cambria" w:hAnsi="Cambria"/>
          <w:color w:val="000000" w:themeColor="text1"/>
          <w:sz w:val="22"/>
          <w:szCs w:val="22"/>
        </w:rPr>
      </w:pPr>
    </w:p>
    <w:p w14:paraId="3B734EEB" w14:textId="0AF780A1" w:rsidR="007958AA" w:rsidRPr="00AA1676" w:rsidRDefault="000B0165" w:rsidP="007958AA">
      <w:pPr>
        <w:pStyle w:val="ListParagraph"/>
        <w:numPr>
          <w:ilvl w:val="0"/>
          <w:numId w:val="27"/>
        </w:numPr>
        <w:spacing w:before="0" w:beforeAutospacing="0" w:after="0" w:afterAutospacing="0"/>
        <w:contextualSpacing/>
        <w:jc w:val="both"/>
        <w:rPr>
          <w:rFonts w:ascii="Cambria" w:hAnsi="Cambria"/>
          <w:color w:val="000000" w:themeColor="text1"/>
          <w:sz w:val="22"/>
          <w:szCs w:val="22"/>
        </w:rPr>
      </w:pPr>
      <w:r w:rsidRPr="00AA1676">
        <w:rPr>
          <w:rFonts w:ascii="Cambria" w:hAnsi="Cambria" w:cs="Calibri"/>
          <w:b/>
          <w:bCs/>
          <w:color w:val="000000"/>
          <w:sz w:val="22"/>
          <w:szCs w:val="22"/>
        </w:rPr>
        <w:t xml:space="preserve">§38. </w:t>
      </w:r>
      <w:r w:rsidRPr="00AA1676">
        <w:rPr>
          <w:rFonts w:ascii="Cambria" w:hAnsi="Cambria" w:cs="Calibri"/>
          <w:color w:val="000000"/>
          <w:sz w:val="22"/>
          <w:szCs w:val="22"/>
        </w:rPr>
        <w:t xml:space="preserve">We suggest that General Comment No. 37 highlight that State parties should ensure the activities of Internet service providers do not unduly infringe upon the privacy or safety of assembly participants and do not discriminate.  </w:t>
      </w:r>
    </w:p>
    <w:p w14:paraId="540E6606" w14:textId="679FD2DD" w:rsidR="00260758" w:rsidRPr="00AA1676" w:rsidRDefault="00260758" w:rsidP="00260758">
      <w:pPr>
        <w:contextualSpacing/>
        <w:jc w:val="both"/>
        <w:rPr>
          <w:rFonts w:ascii="Cambria" w:hAnsi="Cambria"/>
          <w:color w:val="000000" w:themeColor="text1"/>
          <w:sz w:val="22"/>
          <w:szCs w:val="22"/>
        </w:rPr>
      </w:pPr>
    </w:p>
    <w:p w14:paraId="79694F88" w14:textId="31655114" w:rsidR="00260758" w:rsidRPr="00AA1676" w:rsidRDefault="00260758" w:rsidP="00AA1676">
      <w:pPr>
        <w:contextualSpacing/>
        <w:jc w:val="both"/>
        <w:rPr>
          <w:rFonts w:ascii="Cambria" w:hAnsi="Cambria"/>
          <w:i/>
          <w:iCs/>
          <w:color w:val="000000" w:themeColor="text1"/>
          <w:sz w:val="22"/>
          <w:szCs w:val="22"/>
        </w:rPr>
      </w:pPr>
      <w:r w:rsidRPr="00AA1676">
        <w:rPr>
          <w:rFonts w:ascii="Cambria" w:hAnsi="Cambria"/>
          <w:i/>
          <w:iCs/>
          <w:color w:val="000000" w:themeColor="text1"/>
          <w:sz w:val="22"/>
          <w:szCs w:val="22"/>
        </w:rPr>
        <w:t>Restrictions on the right to peaceful assembly</w:t>
      </w:r>
    </w:p>
    <w:p w14:paraId="7D7D7A37" w14:textId="77777777" w:rsidR="000B0165" w:rsidRPr="00AA1676" w:rsidRDefault="000B0165" w:rsidP="000B0165">
      <w:pPr>
        <w:pStyle w:val="ListParagraph"/>
        <w:spacing w:before="0" w:beforeAutospacing="0" w:after="0" w:afterAutospacing="0"/>
        <w:ind w:left="360"/>
        <w:contextualSpacing/>
        <w:jc w:val="both"/>
        <w:rPr>
          <w:rFonts w:ascii="Cambria" w:hAnsi="Cambria"/>
          <w:color w:val="000000" w:themeColor="text1"/>
          <w:sz w:val="22"/>
          <w:szCs w:val="22"/>
        </w:rPr>
      </w:pPr>
    </w:p>
    <w:p w14:paraId="1C3153A4" w14:textId="7BD06278" w:rsidR="000B0165" w:rsidRPr="00AA1676" w:rsidRDefault="000B0165" w:rsidP="007958AA">
      <w:pPr>
        <w:pStyle w:val="ListParagraph"/>
        <w:numPr>
          <w:ilvl w:val="0"/>
          <w:numId w:val="27"/>
        </w:numPr>
        <w:spacing w:before="0" w:beforeAutospacing="0" w:after="0" w:afterAutospacing="0"/>
        <w:contextualSpacing/>
        <w:jc w:val="both"/>
        <w:rPr>
          <w:rFonts w:ascii="Cambria" w:hAnsi="Cambria"/>
          <w:color w:val="000000" w:themeColor="text1"/>
          <w:sz w:val="22"/>
          <w:szCs w:val="22"/>
        </w:rPr>
      </w:pPr>
      <w:r w:rsidRPr="00AA1676">
        <w:rPr>
          <w:rFonts w:ascii="Cambria" w:hAnsi="Cambria" w:cs="Calibri"/>
          <w:b/>
          <w:bCs/>
          <w:color w:val="000000"/>
          <w:sz w:val="22"/>
          <w:szCs w:val="22"/>
        </w:rPr>
        <w:t xml:space="preserve">§40. </w:t>
      </w:r>
      <w:r w:rsidRPr="00AA1676">
        <w:rPr>
          <w:rFonts w:ascii="Cambria" w:hAnsi="Cambria" w:cs="Calibri"/>
          <w:color w:val="000000"/>
          <w:sz w:val="22"/>
          <w:szCs w:val="22"/>
        </w:rPr>
        <w:t xml:space="preserve">It is in our submission important that this paragraph </w:t>
      </w:r>
      <w:r w:rsidR="00260758" w:rsidRPr="00AA1676">
        <w:rPr>
          <w:rFonts w:ascii="Cambria" w:hAnsi="Cambria" w:cs="Calibri"/>
          <w:color w:val="000000"/>
          <w:sz w:val="22"/>
          <w:szCs w:val="22"/>
        </w:rPr>
        <w:t>should state explicitly</w:t>
      </w:r>
      <w:r w:rsidRPr="00AA1676">
        <w:rPr>
          <w:rFonts w:ascii="Cambria" w:hAnsi="Cambria" w:cs="Calibri"/>
          <w:color w:val="000000"/>
          <w:sz w:val="22"/>
          <w:szCs w:val="22"/>
        </w:rPr>
        <w:t xml:space="preserve"> that any restrictions must be understood in the light of universality of human rights and the principle of non-discrimination. Although we acknowledge that this language is included in para</w:t>
      </w:r>
      <w:r w:rsidR="00D46275" w:rsidRPr="00AA1676">
        <w:rPr>
          <w:rFonts w:ascii="Cambria" w:hAnsi="Cambria" w:cs="Calibri"/>
          <w:color w:val="000000"/>
          <w:sz w:val="22"/>
          <w:szCs w:val="22"/>
        </w:rPr>
        <w:t>graph</w:t>
      </w:r>
      <w:r w:rsidRPr="00AA1676">
        <w:rPr>
          <w:rFonts w:ascii="Cambria" w:hAnsi="Cambria" w:cs="Calibri"/>
          <w:color w:val="000000"/>
          <w:sz w:val="22"/>
          <w:szCs w:val="22"/>
        </w:rPr>
        <w:t xml:space="preserve"> 52 of the General Comment in relation to restrictions imposed for “the protection of morals”, </w:t>
      </w:r>
      <w:r w:rsidR="00916FE7" w:rsidRPr="00AA1676">
        <w:rPr>
          <w:rFonts w:ascii="Cambria" w:hAnsi="Cambria" w:cs="Calibri"/>
          <w:color w:val="000000"/>
          <w:sz w:val="22"/>
          <w:szCs w:val="22"/>
        </w:rPr>
        <w:t>we believe that the obligation to ensure non-discrimination is an</w:t>
      </w:r>
      <w:r w:rsidRPr="00AA1676">
        <w:rPr>
          <w:rFonts w:ascii="Cambria" w:hAnsi="Cambria" w:cs="Calibri"/>
          <w:color w:val="000000"/>
          <w:sz w:val="22"/>
          <w:szCs w:val="22"/>
        </w:rPr>
        <w:t xml:space="preserve"> important and relevant consideration in relation to any restriction to the right of peaceful assembly and it would be appropriate to include such language, or words to that effect, in this paragraph. </w:t>
      </w:r>
      <w:r w:rsidR="00916FE7" w:rsidRPr="00AA1676">
        <w:rPr>
          <w:rFonts w:ascii="Cambria" w:hAnsi="Cambria" w:cs="Calibri"/>
          <w:color w:val="000000"/>
          <w:sz w:val="22"/>
          <w:szCs w:val="22"/>
        </w:rPr>
        <w:t>In this respect, we would once again urge the Committee to adopt the approach taken in its General Comment 34 on freedom of expression.</w:t>
      </w:r>
      <w:r w:rsidR="00916FE7" w:rsidRPr="00AA1676">
        <w:rPr>
          <w:rStyle w:val="FootnoteReference"/>
          <w:rFonts w:ascii="Cambria" w:hAnsi="Cambria" w:cs="Calibri"/>
          <w:color w:val="000000"/>
          <w:sz w:val="22"/>
          <w:szCs w:val="22"/>
        </w:rPr>
        <w:t xml:space="preserve"> </w:t>
      </w:r>
      <w:r w:rsidR="00916FE7" w:rsidRPr="00AA1676">
        <w:rPr>
          <w:rStyle w:val="FootnoteReference"/>
          <w:rFonts w:ascii="Cambria" w:hAnsi="Cambria" w:cs="Calibri"/>
          <w:color w:val="000000"/>
          <w:sz w:val="22"/>
          <w:szCs w:val="22"/>
        </w:rPr>
        <w:footnoteReference w:id="36"/>
      </w:r>
    </w:p>
    <w:p w14:paraId="320B6F83" w14:textId="77777777" w:rsidR="000B0165" w:rsidRPr="00AA1676" w:rsidRDefault="000B0165" w:rsidP="000B0165">
      <w:pPr>
        <w:pStyle w:val="ListParagraph"/>
        <w:spacing w:before="0" w:beforeAutospacing="0" w:after="0" w:afterAutospacing="0"/>
        <w:ind w:left="360"/>
        <w:contextualSpacing/>
        <w:jc w:val="both"/>
        <w:rPr>
          <w:rFonts w:ascii="Cambria" w:hAnsi="Cambria"/>
          <w:color w:val="000000" w:themeColor="text1"/>
          <w:sz w:val="22"/>
          <w:szCs w:val="22"/>
        </w:rPr>
      </w:pPr>
    </w:p>
    <w:p w14:paraId="618A20DB" w14:textId="3A8EB17A" w:rsidR="000B0165" w:rsidRPr="00AA1676" w:rsidRDefault="000B0165" w:rsidP="007958AA">
      <w:pPr>
        <w:pStyle w:val="ListParagraph"/>
        <w:numPr>
          <w:ilvl w:val="0"/>
          <w:numId w:val="27"/>
        </w:numPr>
        <w:spacing w:before="0" w:beforeAutospacing="0" w:after="0" w:afterAutospacing="0"/>
        <w:contextualSpacing/>
        <w:jc w:val="both"/>
        <w:rPr>
          <w:rFonts w:ascii="Cambria" w:hAnsi="Cambria"/>
          <w:color w:val="000000" w:themeColor="text1"/>
          <w:sz w:val="22"/>
          <w:szCs w:val="22"/>
        </w:rPr>
      </w:pPr>
      <w:r w:rsidRPr="00AA1676">
        <w:rPr>
          <w:rFonts w:ascii="Cambria" w:hAnsi="Cambria" w:cs="Calibri"/>
          <w:b/>
          <w:bCs/>
          <w:color w:val="000000"/>
          <w:sz w:val="22"/>
          <w:szCs w:val="22"/>
        </w:rPr>
        <w:t xml:space="preserve">§44. </w:t>
      </w:r>
      <w:r w:rsidR="00916FE7" w:rsidRPr="00AA1676">
        <w:rPr>
          <w:rFonts w:ascii="Cambria" w:hAnsi="Cambria" w:cs="Calibri"/>
          <w:color w:val="000000"/>
          <w:sz w:val="22"/>
          <w:szCs w:val="22"/>
        </w:rPr>
        <w:t xml:space="preserve">For the reasons set out above in respect of paragraph 40, we recommend that text is added here to the effect </w:t>
      </w:r>
      <w:r w:rsidR="00C868C1" w:rsidRPr="00AA1676">
        <w:rPr>
          <w:rFonts w:ascii="Cambria" w:hAnsi="Cambria" w:cs="Calibri"/>
          <w:color w:val="000000"/>
          <w:sz w:val="22"/>
          <w:szCs w:val="22"/>
        </w:rPr>
        <w:t>that any restrictions on assembly must not</w:t>
      </w:r>
      <w:r w:rsidRPr="00AA1676">
        <w:rPr>
          <w:rFonts w:ascii="Cambria" w:hAnsi="Cambria" w:cs="Calibri"/>
          <w:color w:val="000000"/>
          <w:sz w:val="22"/>
          <w:szCs w:val="22"/>
        </w:rPr>
        <w:t xml:space="preserve"> violate the non-discrimination provisions of the Covenant. </w:t>
      </w:r>
    </w:p>
    <w:p w14:paraId="547ABE3A" w14:textId="77777777" w:rsidR="00916FE7" w:rsidRPr="00AA1676" w:rsidRDefault="00916FE7" w:rsidP="00AA1676">
      <w:pPr>
        <w:pStyle w:val="ListParagraph"/>
        <w:spacing w:before="0" w:beforeAutospacing="0" w:after="0" w:afterAutospacing="0"/>
        <w:ind w:left="567"/>
        <w:contextualSpacing/>
        <w:jc w:val="both"/>
        <w:rPr>
          <w:rFonts w:ascii="Cambria" w:hAnsi="Cambria"/>
          <w:color w:val="000000" w:themeColor="text1"/>
          <w:sz w:val="22"/>
          <w:szCs w:val="22"/>
        </w:rPr>
      </w:pPr>
    </w:p>
    <w:p w14:paraId="126B8D85" w14:textId="075D0952" w:rsidR="00916FE7" w:rsidRPr="00AA1676" w:rsidRDefault="00916FE7" w:rsidP="00916FE7">
      <w:pPr>
        <w:pStyle w:val="ListParagraph"/>
        <w:numPr>
          <w:ilvl w:val="0"/>
          <w:numId w:val="27"/>
        </w:numPr>
        <w:spacing w:before="0" w:beforeAutospacing="0" w:after="0" w:afterAutospacing="0"/>
        <w:contextualSpacing/>
        <w:jc w:val="both"/>
        <w:rPr>
          <w:rFonts w:ascii="Cambria" w:hAnsi="Cambria"/>
          <w:color w:val="000000" w:themeColor="text1"/>
          <w:sz w:val="22"/>
          <w:szCs w:val="22"/>
        </w:rPr>
      </w:pPr>
      <w:r w:rsidRPr="00AA1676">
        <w:rPr>
          <w:rFonts w:ascii="Cambria" w:hAnsi="Cambria" w:cs="Calibri"/>
          <w:b/>
          <w:bCs/>
          <w:color w:val="000000"/>
          <w:sz w:val="22"/>
          <w:szCs w:val="22"/>
        </w:rPr>
        <w:lastRenderedPageBreak/>
        <w:t xml:space="preserve">§45. </w:t>
      </w:r>
      <w:r w:rsidR="00C868C1" w:rsidRPr="00AA1676">
        <w:rPr>
          <w:rFonts w:ascii="Cambria" w:hAnsi="Cambria" w:cs="Calibri"/>
          <w:color w:val="000000"/>
          <w:sz w:val="22"/>
          <w:szCs w:val="22"/>
        </w:rPr>
        <w:t>For the reasons set out above in respect of paragraph 40, we recommend that text is added here to the effect that any restrictions on assembly must not violate the non-discrimination provisions of the Covenant.</w:t>
      </w:r>
    </w:p>
    <w:p w14:paraId="4001BD51" w14:textId="77777777" w:rsidR="00916FE7" w:rsidRPr="00AA1676" w:rsidRDefault="00916FE7" w:rsidP="00AA1676">
      <w:pPr>
        <w:contextualSpacing/>
        <w:jc w:val="both"/>
        <w:rPr>
          <w:rFonts w:ascii="Cambria" w:hAnsi="Cambria"/>
          <w:color w:val="000000" w:themeColor="text1"/>
          <w:sz w:val="22"/>
          <w:szCs w:val="22"/>
        </w:rPr>
      </w:pPr>
    </w:p>
    <w:p w14:paraId="2CD73493" w14:textId="16785F74" w:rsidR="00916FE7" w:rsidRPr="00AA1676" w:rsidRDefault="00916FE7" w:rsidP="00916FE7">
      <w:pPr>
        <w:pStyle w:val="ListParagraph"/>
        <w:numPr>
          <w:ilvl w:val="0"/>
          <w:numId w:val="27"/>
        </w:numPr>
        <w:spacing w:before="0" w:beforeAutospacing="0" w:after="0" w:afterAutospacing="0"/>
        <w:contextualSpacing/>
        <w:jc w:val="both"/>
        <w:rPr>
          <w:rFonts w:ascii="Cambria" w:hAnsi="Cambria"/>
          <w:color w:val="000000" w:themeColor="text1"/>
          <w:sz w:val="22"/>
          <w:szCs w:val="22"/>
        </w:rPr>
      </w:pPr>
      <w:r w:rsidRPr="00AA1676">
        <w:rPr>
          <w:rFonts w:ascii="Cambria" w:hAnsi="Cambria" w:cs="Calibri"/>
          <w:b/>
          <w:bCs/>
          <w:color w:val="000000"/>
          <w:sz w:val="22"/>
          <w:szCs w:val="22"/>
        </w:rPr>
        <w:t xml:space="preserve">§49. </w:t>
      </w:r>
      <w:r w:rsidRPr="00AA1676">
        <w:rPr>
          <w:rFonts w:ascii="Cambria" w:hAnsi="Cambria" w:cs="Calibri"/>
          <w:color w:val="000000"/>
          <w:sz w:val="22"/>
          <w:szCs w:val="22"/>
        </w:rPr>
        <w:t>For the reasons set out in our comments on paragraph 31 of the General Comment above, we recommend that text is added to this paragraph to clarify that the possibility of violent reaction to a peaceful assembly is not a legitimate reason to prohibit or restrict the assembly.</w:t>
      </w:r>
    </w:p>
    <w:p w14:paraId="22F29685" w14:textId="77777777" w:rsidR="00C868C1" w:rsidRPr="00AA1676" w:rsidRDefault="00C868C1" w:rsidP="00AA1676">
      <w:pPr>
        <w:pStyle w:val="ListParagraph"/>
        <w:spacing w:before="0" w:beforeAutospacing="0" w:after="0" w:afterAutospacing="0"/>
        <w:ind w:left="567"/>
        <w:contextualSpacing/>
        <w:jc w:val="both"/>
        <w:rPr>
          <w:rFonts w:ascii="Cambria" w:hAnsi="Cambria"/>
          <w:color w:val="000000" w:themeColor="text1"/>
          <w:sz w:val="22"/>
          <w:szCs w:val="22"/>
        </w:rPr>
      </w:pPr>
    </w:p>
    <w:p w14:paraId="6F75D4FA" w14:textId="7B649971" w:rsidR="00C868C1" w:rsidRPr="00AA1676" w:rsidRDefault="00C868C1" w:rsidP="00C868C1">
      <w:pPr>
        <w:pStyle w:val="ListParagraph"/>
        <w:numPr>
          <w:ilvl w:val="0"/>
          <w:numId w:val="27"/>
        </w:numPr>
        <w:spacing w:before="0" w:beforeAutospacing="0" w:after="0" w:afterAutospacing="0"/>
        <w:contextualSpacing/>
        <w:jc w:val="both"/>
        <w:rPr>
          <w:rFonts w:ascii="Cambria" w:hAnsi="Cambria"/>
          <w:color w:val="000000" w:themeColor="text1"/>
          <w:sz w:val="22"/>
          <w:szCs w:val="22"/>
        </w:rPr>
      </w:pPr>
      <w:r w:rsidRPr="00AA1676">
        <w:rPr>
          <w:rFonts w:ascii="Cambria" w:hAnsi="Cambria" w:cs="Calibri"/>
          <w:b/>
          <w:bCs/>
          <w:color w:val="000000"/>
          <w:sz w:val="22"/>
          <w:szCs w:val="22"/>
        </w:rPr>
        <w:t xml:space="preserve">§53. </w:t>
      </w:r>
      <w:r w:rsidRPr="00AA1676">
        <w:rPr>
          <w:rFonts w:ascii="Cambria" w:hAnsi="Cambria" w:cs="Calibri"/>
          <w:color w:val="000000"/>
          <w:sz w:val="22"/>
          <w:szCs w:val="22"/>
        </w:rPr>
        <w:t>For the reasons set out above in respect of paragraph 40, we recommend that text is added here to the effect that any restrictions on assembly must not violate the non-discrimination provisions of the Covenant.</w:t>
      </w:r>
    </w:p>
    <w:p w14:paraId="45C7F516" w14:textId="77777777" w:rsidR="00916FE7" w:rsidRPr="00AA1676" w:rsidRDefault="00916FE7" w:rsidP="00AA1676">
      <w:pPr>
        <w:contextualSpacing/>
        <w:jc w:val="both"/>
        <w:rPr>
          <w:rFonts w:ascii="Cambria" w:hAnsi="Cambria"/>
          <w:color w:val="000000" w:themeColor="text1"/>
          <w:sz w:val="22"/>
          <w:szCs w:val="22"/>
        </w:rPr>
      </w:pPr>
    </w:p>
    <w:p w14:paraId="763FD8DD" w14:textId="027BEA5B" w:rsidR="00737805" w:rsidRPr="00AA1676" w:rsidRDefault="00737805" w:rsidP="00737805">
      <w:pPr>
        <w:pStyle w:val="ListParagraph"/>
        <w:numPr>
          <w:ilvl w:val="0"/>
          <w:numId w:val="27"/>
        </w:numPr>
        <w:spacing w:before="0" w:beforeAutospacing="0" w:after="0" w:afterAutospacing="0"/>
        <w:contextualSpacing/>
        <w:jc w:val="both"/>
        <w:rPr>
          <w:rFonts w:ascii="Cambria" w:hAnsi="Cambria"/>
          <w:color w:val="000000" w:themeColor="text1"/>
          <w:sz w:val="22"/>
          <w:szCs w:val="22"/>
        </w:rPr>
      </w:pPr>
      <w:r w:rsidRPr="00AA1676">
        <w:rPr>
          <w:rFonts w:ascii="Cambria" w:hAnsi="Cambria" w:cs="Calibri"/>
          <w:b/>
          <w:bCs/>
          <w:color w:val="000000"/>
          <w:sz w:val="22"/>
          <w:szCs w:val="22"/>
        </w:rPr>
        <w:t xml:space="preserve">§55. </w:t>
      </w:r>
      <w:r w:rsidRPr="00AA1676">
        <w:rPr>
          <w:rFonts w:ascii="Cambria" w:hAnsi="Cambria" w:cs="Calibri"/>
          <w:color w:val="000000"/>
          <w:sz w:val="22"/>
          <w:szCs w:val="22"/>
        </w:rPr>
        <w:t>We recommend that the final sentence is amended to read “[r]</w:t>
      </w:r>
      <w:proofErr w:type="spellStart"/>
      <w:r w:rsidRPr="00AA1676">
        <w:rPr>
          <w:rFonts w:ascii="Cambria" w:hAnsi="Cambria" w:cs="Calibri"/>
          <w:color w:val="000000"/>
          <w:sz w:val="22"/>
          <w:szCs w:val="22"/>
        </w:rPr>
        <w:t>estrictions</w:t>
      </w:r>
      <w:proofErr w:type="spellEnd"/>
      <w:r w:rsidRPr="00AA1676">
        <w:rPr>
          <w:rFonts w:ascii="Cambria" w:hAnsi="Cambria" w:cs="Calibri"/>
          <w:color w:val="000000"/>
          <w:sz w:val="22"/>
          <w:szCs w:val="22"/>
        </w:rPr>
        <w:t xml:space="preserve"> must moreover not discriminate, either directly or indirectly, or be open to discriminatory application”.</w:t>
      </w:r>
    </w:p>
    <w:p w14:paraId="66DA5310" w14:textId="77777777" w:rsidR="00C94814" w:rsidRPr="00AA1676" w:rsidRDefault="00C94814" w:rsidP="00AA1676">
      <w:pPr>
        <w:contextualSpacing/>
        <w:jc w:val="both"/>
        <w:rPr>
          <w:rFonts w:ascii="Cambria" w:hAnsi="Cambria"/>
          <w:color w:val="000000" w:themeColor="text1"/>
          <w:sz w:val="22"/>
          <w:szCs w:val="22"/>
        </w:rPr>
      </w:pPr>
    </w:p>
    <w:p w14:paraId="5315C2DB" w14:textId="33CC8F1A" w:rsidR="007F7805" w:rsidRPr="00AA1676" w:rsidRDefault="007F7805" w:rsidP="007F7805">
      <w:pPr>
        <w:pStyle w:val="ListParagraph"/>
        <w:numPr>
          <w:ilvl w:val="0"/>
          <w:numId w:val="27"/>
        </w:numPr>
        <w:spacing w:before="0" w:beforeAutospacing="0" w:after="0" w:afterAutospacing="0"/>
        <w:contextualSpacing/>
        <w:jc w:val="both"/>
        <w:rPr>
          <w:rFonts w:ascii="Cambria" w:hAnsi="Cambria"/>
          <w:color w:val="000000" w:themeColor="text1"/>
          <w:sz w:val="22"/>
          <w:szCs w:val="22"/>
        </w:rPr>
      </w:pPr>
      <w:r w:rsidRPr="00AA1676">
        <w:rPr>
          <w:rFonts w:ascii="Cambria" w:hAnsi="Cambria" w:cs="Calibri"/>
          <w:b/>
          <w:bCs/>
          <w:color w:val="000000"/>
          <w:sz w:val="22"/>
          <w:szCs w:val="22"/>
        </w:rPr>
        <w:t xml:space="preserve">§57. </w:t>
      </w:r>
      <w:r w:rsidRPr="00AA1676">
        <w:rPr>
          <w:rFonts w:ascii="Cambria" w:hAnsi="Cambria" w:cs="Calibri"/>
          <w:color w:val="000000"/>
          <w:sz w:val="22"/>
          <w:szCs w:val="22"/>
        </w:rPr>
        <w:t xml:space="preserve">We refer to our comments on paragraph 22 of the General Comment above. </w:t>
      </w:r>
      <w:r w:rsidRPr="00AA1676">
        <w:rPr>
          <w:rFonts w:ascii="Cambria" w:hAnsi="Cambria" w:cs="Calibri"/>
          <w:b/>
          <w:bCs/>
          <w:color w:val="000000"/>
          <w:sz w:val="22"/>
          <w:szCs w:val="22"/>
        </w:rPr>
        <w:t xml:space="preserve"> </w:t>
      </w:r>
    </w:p>
    <w:p w14:paraId="16551302" w14:textId="77777777" w:rsidR="00737805" w:rsidRPr="00AA1676" w:rsidRDefault="00737805" w:rsidP="00AA1676">
      <w:pPr>
        <w:pStyle w:val="ListParagraph"/>
        <w:spacing w:before="0" w:beforeAutospacing="0" w:after="0" w:afterAutospacing="0"/>
        <w:ind w:left="567"/>
        <w:contextualSpacing/>
        <w:jc w:val="both"/>
        <w:rPr>
          <w:rFonts w:ascii="Cambria" w:hAnsi="Cambria"/>
          <w:color w:val="000000" w:themeColor="text1"/>
          <w:sz w:val="22"/>
          <w:szCs w:val="22"/>
        </w:rPr>
      </w:pPr>
    </w:p>
    <w:p w14:paraId="59A7442B" w14:textId="523D0D73" w:rsidR="00D46275" w:rsidRPr="00AA1676" w:rsidRDefault="00D46275" w:rsidP="00D46275">
      <w:pPr>
        <w:pStyle w:val="ListParagraph"/>
        <w:numPr>
          <w:ilvl w:val="0"/>
          <w:numId w:val="27"/>
        </w:numPr>
        <w:spacing w:before="0" w:beforeAutospacing="0" w:after="0" w:afterAutospacing="0"/>
        <w:contextualSpacing/>
        <w:jc w:val="both"/>
        <w:rPr>
          <w:rFonts w:ascii="Cambria" w:hAnsi="Cambria"/>
          <w:color w:val="000000" w:themeColor="text1"/>
          <w:sz w:val="22"/>
          <w:szCs w:val="22"/>
        </w:rPr>
      </w:pPr>
      <w:r w:rsidRPr="00AA1676">
        <w:rPr>
          <w:rFonts w:ascii="Cambria" w:hAnsi="Cambria" w:cs="Calibri"/>
          <w:b/>
          <w:bCs/>
          <w:color w:val="000000"/>
          <w:sz w:val="22"/>
          <w:szCs w:val="22"/>
        </w:rPr>
        <w:t xml:space="preserve">§58. </w:t>
      </w:r>
      <w:r w:rsidRPr="00AA1676">
        <w:rPr>
          <w:rFonts w:ascii="Cambria" w:hAnsi="Cambria" w:cs="Calibri"/>
          <w:color w:val="000000"/>
          <w:sz w:val="22"/>
          <w:szCs w:val="22"/>
        </w:rPr>
        <w:t xml:space="preserve">We refer to our comments on paragraph 31 of the General Comment above. </w:t>
      </w:r>
      <w:r w:rsidRPr="00AA1676">
        <w:rPr>
          <w:rFonts w:ascii="Cambria" w:hAnsi="Cambria" w:cs="Calibri"/>
          <w:b/>
          <w:bCs/>
          <w:color w:val="000000"/>
          <w:sz w:val="22"/>
          <w:szCs w:val="22"/>
        </w:rPr>
        <w:t xml:space="preserve"> </w:t>
      </w:r>
    </w:p>
    <w:p w14:paraId="713A75D9" w14:textId="77777777" w:rsidR="00D46275" w:rsidRPr="00AA1676" w:rsidRDefault="00D46275" w:rsidP="00D46275">
      <w:pPr>
        <w:contextualSpacing/>
        <w:jc w:val="both"/>
        <w:rPr>
          <w:rFonts w:ascii="Cambria" w:hAnsi="Cambria"/>
          <w:color w:val="000000" w:themeColor="text1"/>
          <w:sz w:val="22"/>
          <w:szCs w:val="22"/>
        </w:rPr>
      </w:pPr>
    </w:p>
    <w:p w14:paraId="287201DC" w14:textId="74D3F8B2" w:rsidR="00D46275" w:rsidRPr="00AA1676" w:rsidRDefault="002A4FDE" w:rsidP="006E615A">
      <w:pPr>
        <w:pStyle w:val="ListParagraph"/>
        <w:numPr>
          <w:ilvl w:val="0"/>
          <w:numId w:val="27"/>
        </w:numPr>
        <w:spacing w:before="0" w:beforeAutospacing="0" w:after="0" w:afterAutospacing="0"/>
        <w:contextualSpacing/>
        <w:jc w:val="both"/>
        <w:rPr>
          <w:rFonts w:ascii="Cambria" w:hAnsi="Cambria"/>
          <w:color w:val="000000" w:themeColor="text1"/>
          <w:sz w:val="22"/>
          <w:szCs w:val="22"/>
        </w:rPr>
      </w:pPr>
      <w:r w:rsidRPr="00AA1676">
        <w:rPr>
          <w:rFonts w:ascii="Cambria" w:hAnsi="Cambria" w:cs="Calibri"/>
          <w:b/>
          <w:bCs/>
          <w:color w:val="000000"/>
          <w:sz w:val="22"/>
          <w:szCs w:val="22"/>
        </w:rPr>
        <w:t xml:space="preserve">§60. </w:t>
      </w:r>
      <w:r w:rsidR="007F7805" w:rsidRPr="00AA1676">
        <w:rPr>
          <w:rFonts w:ascii="Cambria" w:hAnsi="Cambria" w:cs="Calibri"/>
          <w:color w:val="000000"/>
          <w:sz w:val="22"/>
          <w:szCs w:val="22"/>
        </w:rPr>
        <w:t>We urge the Committee to consider the use of the word “intrinsically” in the context of incitement within the meaning of Article 20 of the Covenant. We note that the Rabat Plan of Action does not make use of the word “intrinsic”; indeed, we are concerned that the notion of symbols being “intrinsically (…) associated with incitement” may be in conflict with the Rabat Plan’s recognition that “the question of distinguishing those forms of expression that should be defined as incitement to hatred and thus prohibited is contextual”. In respect of the remainder of the paragraph, we suggest</w:t>
      </w:r>
      <w:r w:rsidRPr="00AA1676">
        <w:rPr>
          <w:rFonts w:ascii="Cambria" w:hAnsi="Cambria" w:cs="Calibri"/>
          <w:color w:val="000000"/>
          <w:sz w:val="22"/>
          <w:szCs w:val="22"/>
        </w:rPr>
        <w:t xml:space="preserve"> that the words “incitement to discrimination, hostility of violence/acts of violence” are retained</w:t>
      </w:r>
      <w:r w:rsidR="007F7805" w:rsidRPr="00AA1676">
        <w:rPr>
          <w:rFonts w:ascii="Cambria" w:hAnsi="Cambria" w:cs="Calibri"/>
          <w:color w:val="000000"/>
          <w:sz w:val="22"/>
          <w:szCs w:val="22"/>
        </w:rPr>
        <w:t xml:space="preserve"> and recommend that this paragraph makes explicit reference to the threshold test set out in the </w:t>
      </w:r>
      <w:r w:rsidR="007F7805" w:rsidRPr="00AA1676">
        <w:rPr>
          <w:rFonts w:ascii="Cambria" w:hAnsi="Cambria" w:cs="Calibri"/>
          <w:color w:val="000000"/>
          <w:sz w:val="22"/>
          <w:szCs w:val="22"/>
          <w:lang w:val="en-US"/>
        </w:rPr>
        <w:t>Rabat Plan of Action.</w:t>
      </w:r>
      <w:r w:rsidR="00D338D7" w:rsidRPr="00AA1676">
        <w:rPr>
          <w:rStyle w:val="FootnoteReference"/>
          <w:rFonts w:ascii="Cambria" w:hAnsi="Cambria" w:cs="Calibri"/>
          <w:color w:val="000000"/>
          <w:sz w:val="22"/>
          <w:szCs w:val="22"/>
          <w:lang w:val="en-US"/>
        </w:rPr>
        <w:footnoteReference w:id="37"/>
      </w:r>
    </w:p>
    <w:p w14:paraId="68504F19" w14:textId="77777777" w:rsidR="002A4FDE" w:rsidRPr="00AA1676" w:rsidRDefault="002A4FDE" w:rsidP="002A4FDE">
      <w:pPr>
        <w:contextualSpacing/>
        <w:jc w:val="both"/>
        <w:rPr>
          <w:rFonts w:ascii="Cambria" w:hAnsi="Cambria"/>
          <w:color w:val="000000" w:themeColor="text1"/>
          <w:sz w:val="22"/>
          <w:szCs w:val="22"/>
        </w:rPr>
      </w:pPr>
    </w:p>
    <w:p w14:paraId="351B2B64" w14:textId="02F8B3DD" w:rsidR="002A4FDE" w:rsidRPr="00AA1676" w:rsidRDefault="002A4FDE" w:rsidP="007958AA">
      <w:pPr>
        <w:pStyle w:val="ListParagraph"/>
        <w:numPr>
          <w:ilvl w:val="0"/>
          <w:numId w:val="27"/>
        </w:numPr>
        <w:spacing w:before="0" w:beforeAutospacing="0" w:after="0" w:afterAutospacing="0"/>
        <w:contextualSpacing/>
        <w:jc w:val="both"/>
        <w:rPr>
          <w:rFonts w:ascii="Cambria" w:hAnsi="Cambria"/>
          <w:color w:val="000000" w:themeColor="text1"/>
          <w:sz w:val="22"/>
          <w:szCs w:val="22"/>
        </w:rPr>
      </w:pPr>
      <w:r w:rsidRPr="00AA1676">
        <w:rPr>
          <w:rFonts w:ascii="Cambria" w:hAnsi="Cambria" w:cs="Calibri"/>
          <w:b/>
          <w:bCs/>
          <w:color w:val="000000"/>
          <w:sz w:val="22"/>
          <w:szCs w:val="22"/>
        </w:rPr>
        <w:t xml:space="preserve">§71. </w:t>
      </w:r>
      <w:r w:rsidR="007F7805" w:rsidRPr="00AA1676">
        <w:rPr>
          <w:rFonts w:ascii="Cambria" w:hAnsi="Cambria" w:cs="Calibri"/>
          <w:color w:val="000000"/>
          <w:sz w:val="22"/>
          <w:szCs w:val="22"/>
        </w:rPr>
        <w:t>We consider that t</w:t>
      </w:r>
      <w:r w:rsidRPr="00AA1676">
        <w:rPr>
          <w:rFonts w:ascii="Cambria" w:hAnsi="Cambria" w:cs="Calibri"/>
          <w:color w:val="000000"/>
          <w:sz w:val="22"/>
          <w:szCs w:val="22"/>
        </w:rPr>
        <w:t xml:space="preserve">his paragraph would benefit from highlighting that the way in which data are retained and accessed, must strictly conform to the applicable international standards, including on the right to privacy and on the right to non-discrimination. </w:t>
      </w:r>
    </w:p>
    <w:p w14:paraId="3B4E7CC1" w14:textId="77777777" w:rsidR="002A4FDE" w:rsidRPr="00AA1676" w:rsidRDefault="002A4FDE" w:rsidP="002A4FDE">
      <w:pPr>
        <w:contextualSpacing/>
        <w:jc w:val="both"/>
        <w:rPr>
          <w:rFonts w:ascii="Cambria" w:hAnsi="Cambria"/>
          <w:color w:val="000000" w:themeColor="text1"/>
          <w:sz w:val="22"/>
          <w:szCs w:val="22"/>
        </w:rPr>
      </w:pPr>
    </w:p>
    <w:p w14:paraId="6235EA79" w14:textId="1A18C7AE" w:rsidR="000E4EF7" w:rsidRPr="00AA1676" w:rsidRDefault="002A4FDE" w:rsidP="000E4EF7">
      <w:pPr>
        <w:pStyle w:val="ListParagraph"/>
        <w:numPr>
          <w:ilvl w:val="0"/>
          <w:numId w:val="27"/>
        </w:numPr>
        <w:spacing w:before="0" w:beforeAutospacing="0" w:after="0" w:afterAutospacing="0"/>
        <w:contextualSpacing/>
        <w:jc w:val="both"/>
        <w:rPr>
          <w:rFonts w:ascii="Cambria" w:hAnsi="Cambria"/>
          <w:color w:val="000000" w:themeColor="text1"/>
          <w:sz w:val="22"/>
          <w:szCs w:val="22"/>
        </w:rPr>
      </w:pPr>
      <w:r w:rsidRPr="00AA1676">
        <w:rPr>
          <w:rFonts w:ascii="Cambria" w:hAnsi="Cambria" w:cs="Calibri"/>
          <w:b/>
          <w:bCs/>
          <w:color w:val="000000"/>
          <w:sz w:val="22"/>
          <w:szCs w:val="22"/>
        </w:rPr>
        <w:t xml:space="preserve">§72. </w:t>
      </w:r>
      <w:r w:rsidRPr="00AA1676">
        <w:rPr>
          <w:rFonts w:ascii="Cambria" w:hAnsi="Cambria" w:cs="Calibri"/>
          <w:color w:val="000000"/>
          <w:sz w:val="22"/>
          <w:szCs w:val="22"/>
        </w:rPr>
        <w:t xml:space="preserve">It is our submission that the discriminatory risks of the use of facial recognition and other new technologies are </w:t>
      </w:r>
      <w:r w:rsidR="007F7805" w:rsidRPr="00AA1676">
        <w:rPr>
          <w:rFonts w:ascii="Cambria" w:hAnsi="Cambria" w:cs="Calibri"/>
          <w:color w:val="000000"/>
          <w:sz w:val="22"/>
          <w:szCs w:val="22"/>
        </w:rPr>
        <w:t xml:space="preserve">highlighted </w:t>
      </w:r>
      <w:r w:rsidRPr="00AA1676">
        <w:rPr>
          <w:rFonts w:ascii="Cambria" w:hAnsi="Cambria" w:cs="Calibri"/>
          <w:color w:val="000000"/>
          <w:sz w:val="22"/>
          <w:szCs w:val="22"/>
        </w:rPr>
        <w:t xml:space="preserve">in this paragraph. </w:t>
      </w:r>
      <w:r w:rsidR="000E4EF7" w:rsidRPr="00AA1676">
        <w:rPr>
          <w:rFonts w:ascii="Cambria" w:hAnsi="Cambria" w:cs="Calibri"/>
          <w:color w:val="000000"/>
          <w:sz w:val="22"/>
          <w:szCs w:val="22"/>
        </w:rPr>
        <w:t>For example, a</w:t>
      </w:r>
      <w:r w:rsidR="000E4EF7" w:rsidRPr="00AA1676">
        <w:rPr>
          <w:rFonts w:ascii="Cambria" w:hAnsi="Cambria"/>
          <w:iCs/>
          <w:color w:val="000000" w:themeColor="text1"/>
          <w:sz w:val="22"/>
          <w:szCs w:val="22"/>
        </w:rPr>
        <w:t> test conducted by the American Civil Liberties Union in July 2018 found that the facial recognition tool “</w:t>
      </w:r>
      <w:proofErr w:type="spellStart"/>
      <w:r w:rsidR="000E4EF7" w:rsidRPr="00AA1676">
        <w:rPr>
          <w:rFonts w:ascii="Cambria" w:hAnsi="Cambria"/>
          <w:iCs/>
          <w:color w:val="000000" w:themeColor="text1"/>
          <w:sz w:val="22"/>
          <w:szCs w:val="22"/>
        </w:rPr>
        <w:t>Rekognition</w:t>
      </w:r>
      <w:proofErr w:type="spellEnd"/>
      <w:r w:rsidR="000E4EF7" w:rsidRPr="00AA1676">
        <w:rPr>
          <w:rFonts w:ascii="Cambria" w:hAnsi="Cambria"/>
          <w:iCs/>
          <w:color w:val="000000" w:themeColor="text1"/>
          <w:sz w:val="22"/>
          <w:szCs w:val="22"/>
        </w:rPr>
        <w:t>” incorrectly matched 28 members of Congress, identifying them as people who have been arrested for a crime.</w:t>
      </w:r>
      <w:r w:rsidR="000E4EF7" w:rsidRPr="00AA1676">
        <w:rPr>
          <w:rFonts w:ascii="Cambria" w:hAnsi="Cambria"/>
          <w:sz w:val="22"/>
          <w:szCs w:val="22"/>
          <w:vertAlign w:val="superscript"/>
        </w:rPr>
        <w:footnoteReference w:id="38"/>
      </w:r>
      <w:r w:rsidR="000E4EF7" w:rsidRPr="00AA1676">
        <w:rPr>
          <w:rFonts w:ascii="Cambria" w:hAnsi="Cambria"/>
          <w:iCs/>
          <w:color w:val="000000" w:themeColor="text1"/>
          <w:sz w:val="22"/>
          <w:szCs w:val="22"/>
        </w:rPr>
        <w:t xml:space="preserve"> The false matches were disproportionately of people of colour, including six members of the Congressional Black Caucus. </w:t>
      </w:r>
    </w:p>
    <w:p w14:paraId="430C7330" w14:textId="77777777" w:rsidR="000E4EF7" w:rsidRPr="00AA1676" w:rsidRDefault="000E4EF7" w:rsidP="000E4EF7">
      <w:pPr>
        <w:contextualSpacing/>
        <w:jc w:val="both"/>
        <w:rPr>
          <w:rFonts w:ascii="Cambria" w:hAnsi="Cambria"/>
          <w:color w:val="000000" w:themeColor="text1"/>
          <w:sz w:val="22"/>
          <w:szCs w:val="22"/>
        </w:rPr>
      </w:pPr>
    </w:p>
    <w:p w14:paraId="66C114BE" w14:textId="43B12000" w:rsidR="000E4EF7" w:rsidRPr="00AA1676" w:rsidRDefault="000E4EF7" w:rsidP="000E4EF7">
      <w:pPr>
        <w:pStyle w:val="ListParagraph"/>
        <w:numPr>
          <w:ilvl w:val="0"/>
          <w:numId w:val="27"/>
        </w:numPr>
        <w:spacing w:before="0" w:beforeAutospacing="0" w:after="0" w:afterAutospacing="0"/>
        <w:contextualSpacing/>
        <w:jc w:val="both"/>
        <w:rPr>
          <w:rFonts w:ascii="Cambria" w:hAnsi="Cambria"/>
          <w:color w:val="000000" w:themeColor="text1"/>
          <w:sz w:val="22"/>
          <w:szCs w:val="22"/>
        </w:rPr>
      </w:pPr>
      <w:r w:rsidRPr="00AA1676">
        <w:rPr>
          <w:rFonts w:ascii="Cambria" w:hAnsi="Cambria" w:cs="Calibri"/>
          <w:b/>
          <w:bCs/>
          <w:color w:val="000000"/>
          <w:sz w:val="22"/>
          <w:szCs w:val="22"/>
        </w:rPr>
        <w:t xml:space="preserve">§76. </w:t>
      </w:r>
      <w:r w:rsidRPr="00AA1676">
        <w:rPr>
          <w:rFonts w:ascii="Cambria" w:hAnsi="Cambria" w:cs="Calibri"/>
          <w:color w:val="000000"/>
          <w:sz w:val="22"/>
          <w:szCs w:val="22"/>
        </w:rPr>
        <w:t>It is important</w:t>
      </w:r>
      <w:r w:rsidR="006E615A" w:rsidRPr="00AA1676">
        <w:rPr>
          <w:rFonts w:ascii="Cambria" w:hAnsi="Cambria" w:cs="Calibri"/>
          <w:color w:val="000000"/>
          <w:sz w:val="22"/>
          <w:szCs w:val="22"/>
        </w:rPr>
        <w:t>,</w:t>
      </w:r>
      <w:r w:rsidRPr="00AA1676">
        <w:rPr>
          <w:rFonts w:ascii="Cambria" w:hAnsi="Cambria" w:cs="Calibri"/>
          <w:color w:val="000000"/>
          <w:sz w:val="22"/>
          <w:szCs w:val="22"/>
        </w:rPr>
        <w:t xml:space="preserve"> in our </w:t>
      </w:r>
      <w:r w:rsidR="006E615A" w:rsidRPr="00AA1676">
        <w:rPr>
          <w:rFonts w:ascii="Cambria" w:hAnsi="Cambria" w:cs="Calibri"/>
          <w:color w:val="000000"/>
          <w:sz w:val="22"/>
          <w:szCs w:val="22"/>
        </w:rPr>
        <w:t>view,</w:t>
      </w:r>
      <w:r w:rsidR="006E615A" w:rsidRPr="00AA1676">
        <w:rPr>
          <w:rFonts w:ascii="Cambria" w:hAnsi="Cambria" w:cs="Calibri"/>
          <w:color w:val="000000"/>
          <w:sz w:val="22"/>
          <w:szCs w:val="22"/>
        </w:rPr>
        <w:t xml:space="preserve"> </w:t>
      </w:r>
      <w:r w:rsidRPr="00AA1676">
        <w:rPr>
          <w:rFonts w:ascii="Cambria" w:hAnsi="Cambria" w:cs="Calibri"/>
          <w:color w:val="000000"/>
          <w:sz w:val="22"/>
          <w:szCs w:val="22"/>
        </w:rPr>
        <w:t xml:space="preserve">to highlight that any such sanctions must not discriminate. </w:t>
      </w:r>
      <w:r w:rsidR="006E615A" w:rsidRPr="00AA1676">
        <w:rPr>
          <w:rFonts w:ascii="Cambria" w:hAnsi="Cambria" w:cs="Calibri"/>
          <w:color w:val="000000"/>
          <w:sz w:val="22"/>
          <w:szCs w:val="22"/>
        </w:rPr>
        <w:t xml:space="preserve">We recommend the inclusion of language to the effect that particular care must be taken to ensure that measures of sanction do not have a disproportionate impact on individuals at risk of discrimination. </w:t>
      </w:r>
    </w:p>
    <w:p w14:paraId="21200A1B" w14:textId="77777777" w:rsidR="006E615A" w:rsidRPr="00AA1676" w:rsidRDefault="006E615A" w:rsidP="00AA1676">
      <w:pPr>
        <w:contextualSpacing/>
        <w:jc w:val="both"/>
        <w:rPr>
          <w:rFonts w:ascii="Cambria" w:hAnsi="Cambria"/>
          <w:color w:val="000000" w:themeColor="text1"/>
          <w:sz w:val="22"/>
          <w:szCs w:val="22"/>
        </w:rPr>
      </w:pPr>
    </w:p>
    <w:p w14:paraId="5F4FC448" w14:textId="5F114E8D" w:rsidR="006E615A" w:rsidRPr="00AA1676" w:rsidRDefault="006E615A" w:rsidP="00AA1676">
      <w:pPr>
        <w:contextualSpacing/>
        <w:jc w:val="both"/>
        <w:rPr>
          <w:rFonts w:ascii="Cambria" w:hAnsi="Cambria"/>
          <w:i/>
          <w:iCs/>
          <w:color w:val="000000" w:themeColor="text1"/>
          <w:sz w:val="22"/>
          <w:szCs w:val="22"/>
        </w:rPr>
      </w:pPr>
      <w:r w:rsidRPr="00AA1676">
        <w:rPr>
          <w:rFonts w:ascii="Cambria" w:hAnsi="Cambria"/>
          <w:i/>
          <w:iCs/>
          <w:color w:val="000000" w:themeColor="text1"/>
          <w:sz w:val="22"/>
          <w:szCs w:val="22"/>
        </w:rPr>
        <w:t>Duties and powers of law enforcement agencies</w:t>
      </w:r>
    </w:p>
    <w:p w14:paraId="5F393D9C" w14:textId="77777777" w:rsidR="000E4EF7" w:rsidRPr="00AA1676" w:rsidRDefault="000E4EF7" w:rsidP="000E4EF7">
      <w:pPr>
        <w:contextualSpacing/>
        <w:jc w:val="both"/>
        <w:rPr>
          <w:rFonts w:ascii="Cambria" w:hAnsi="Cambria"/>
          <w:color w:val="000000" w:themeColor="text1"/>
          <w:sz w:val="22"/>
          <w:szCs w:val="22"/>
        </w:rPr>
      </w:pPr>
    </w:p>
    <w:p w14:paraId="4A1C2DC7" w14:textId="7D257CE8" w:rsidR="000E4EF7" w:rsidRPr="00AA1676" w:rsidRDefault="000E4EF7" w:rsidP="000E4EF7">
      <w:pPr>
        <w:pStyle w:val="ListParagraph"/>
        <w:numPr>
          <w:ilvl w:val="0"/>
          <w:numId w:val="27"/>
        </w:numPr>
        <w:spacing w:before="0" w:beforeAutospacing="0" w:after="0" w:afterAutospacing="0"/>
        <w:contextualSpacing/>
        <w:jc w:val="both"/>
        <w:rPr>
          <w:rFonts w:ascii="Cambria" w:hAnsi="Cambria"/>
          <w:color w:val="000000" w:themeColor="text1"/>
          <w:sz w:val="22"/>
          <w:szCs w:val="22"/>
        </w:rPr>
      </w:pPr>
      <w:r w:rsidRPr="00AA1676">
        <w:rPr>
          <w:rFonts w:ascii="Cambria" w:hAnsi="Cambria" w:cs="Calibri"/>
          <w:b/>
          <w:bCs/>
          <w:color w:val="000000"/>
          <w:sz w:val="22"/>
          <w:szCs w:val="22"/>
        </w:rPr>
        <w:t xml:space="preserve">§85. </w:t>
      </w:r>
      <w:r w:rsidR="006E615A" w:rsidRPr="00AA1676">
        <w:rPr>
          <w:rFonts w:ascii="Cambria" w:hAnsi="Cambria" w:cs="Calibri"/>
          <w:color w:val="000000"/>
          <w:sz w:val="22"/>
          <w:szCs w:val="22"/>
        </w:rPr>
        <w:t xml:space="preserve">We submit that this paragraph should make explicit reference to the </w:t>
      </w:r>
      <w:r w:rsidRPr="00AA1676">
        <w:rPr>
          <w:rFonts w:ascii="Cambria" w:hAnsi="Cambria" w:cs="Calibri"/>
          <w:color w:val="000000"/>
          <w:sz w:val="22"/>
          <w:szCs w:val="22"/>
        </w:rPr>
        <w:t xml:space="preserve">duty of law enforcement agencies to prevent and protect participants of assemblies from discriminatory violence. </w:t>
      </w:r>
    </w:p>
    <w:p w14:paraId="5D9830F2" w14:textId="77777777" w:rsidR="000E4EF7" w:rsidRPr="00AA1676" w:rsidRDefault="000E4EF7" w:rsidP="000E4EF7">
      <w:pPr>
        <w:contextualSpacing/>
        <w:jc w:val="both"/>
        <w:rPr>
          <w:rFonts w:ascii="Cambria" w:hAnsi="Cambria"/>
          <w:color w:val="000000" w:themeColor="text1"/>
          <w:sz w:val="22"/>
          <w:szCs w:val="22"/>
        </w:rPr>
      </w:pPr>
    </w:p>
    <w:p w14:paraId="690BC780" w14:textId="5AFCD82B" w:rsidR="000E4EF7" w:rsidRPr="00AA1676" w:rsidRDefault="000E4EF7" w:rsidP="000E4EF7">
      <w:pPr>
        <w:pStyle w:val="ListParagraph"/>
        <w:numPr>
          <w:ilvl w:val="0"/>
          <w:numId w:val="27"/>
        </w:numPr>
        <w:spacing w:before="0" w:beforeAutospacing="0" w:after="0" w:afterAutospacing="0"/>
        <w:contextualSpacing/>
        <w:jc w:val="both"/>
        <w:rPr>
          <w:rFonts w:ascii="Cambria" w:hAnsi="Cambria"/>
          <w:color w:val="000000" w:themeColor="text1"/>
          <w:sz w:val="22"/>
          <w:szCs w:val="22"/>
        </w:rPr>
      </w:pPr>
      <w:r w:rsidRPr="00AA1676">
        <w:rPr>
          <w:rFonts w:ascii="Cambria" w:hAnsi="Cambria" w:cs="Calibri"/>
          <w:b/>
          <w:bCs/>
          <w:color w:val="000000"/>
          <w:sz w:val="22"/>
          <w:szCs w:val="22"/>
        </w:rPr>
        <w:t xml:space="preserve">§92. </w:t>
      </w:r>
      <w:r w:rsidRPr="00AA1676">
        <w:rPr>
          <w:rFonts w:ascii="Cambria" w:hAnsi="Cambria" w:cs="Calibri"/>
          <w:color w:val="000000"/>
          <w:sz w:val="22"/>
          <w:szCs w:val="22"/>
        </w:rPr>
        <w:t xml:space="preserve">We suggest that the General Comment would benefit from recognising that law enforcement officials responsible for policing assemblies should be provided with equality training, sensitisation and guidelines.  </w:t>
      </w:r>
    </w:p>
    <w:p w14:paraId="30FDD0CC" w14:textId="5AD876E2" w:rsidR="00446CB5" w:rsidRPr="00AA1676" w:rsidRDefault="00446CB5" w:rsidP="00446CB5">
      <w:pPr>
        <w:contextualSpacing/>
        <w:jc w:val="both"/>
        <w:rPr>
          <w:rFonts w:ascii="Cambria" w:hAnsi="Cambria"/>
          <w:color w:val="000000" w:themeColor="text1"/>
          <w:sz w:val="22"/>
          <w:szCs w:val="22"/>
        </w:rPr>
      </w:pPr>
    </w:p>
    <w:p w14:paraId="19A4F65C" w14:textId="0674762C" w:rsidR="006E615A" w:rsidRPr="00AA1676" w:rsidRDefault="006E615A" w:rsidP="006E615A">
      <w:pPr>
        <w:pStyle w:val="ListParagraph"/>
        <w:numPr>
          <w:ilvl w:val="0"/>
          <w:numId w:val="27"/>
        </w:numPr>
        <w:spacing w:before="0" w:beforeAutospacing="0" w:after="0" w:afterAutospacing="0"/>
        <w:contextualSpacing/>
        <w:jc w:val="both"/>
        <w:rPr>
          <w:rFonts w:ascii="Cambria" w:hAnsi="Cambria"/>
          <w:color w:val="000000" w:themeColor="text1"/>
          <w:sz w:val="22"/>
          <w:szCs w:val="22"/>
        </w:rPr>
      </w:pPr>
      <w:r w:rsidRPr="00AA1676">
        <w:rPr>
          <w:rFonts w:ascii="Cambria" w:hAnsi="Cambria" w:cs="Calibri"/>
          <w:b/>
          <w:bCs/>
          <w:color w:val="000000"/>
          <w:sz w:val="22"/>
          <w:szCs w:val="22"/>
        </w:rPr>
        <w:t>§9</w:t>
      </w:r>
      <w:r w:rsidRPr="00AA1676">
        <w:rPr>
          <w:rFonts w:ascii="Cambria" w:hAnsi="Cambria" w:cs="Calibri"/>
          <w:b/>
          <w:bCs/>
          <w:color w:val="000000"/>
          <w:sz w:val="22"/>
          <w:szCs w:val="22"/>
        </w:rPr>
        <w:t>4</w:t>
      </w:r>
      <w:r w:rsidRPr="00AA1676">
        <w:rPr>
          <w:rFonts w:ascii="Cambria" w:hAnsi="Cambria" w:cs="Calibri"/>
          <w:b/>
          <w:bCs/>
          <w:color w:val="000000"/>
          <w:sz w:val="22"/>
          <w:szCs w:val="22"/>
        </w:rPr>
        <w:t xml:space="preserve">. </w:t>
      </w:r>
      <w:r w:rsidRPr="00AA1676">
        <w:rPr>
          <w:rFonts w:ascii="Cambria" w:hAnsi="Cambria" w:cs="Calibri"/>
          <w:color w:val="000000"/>
          <w:sz w:val="22"/>
          <w:szCs w:val="22"/>
        </w:rPr>
        <w:t xml:space="preserve">We </w:t>
      </w:r>
      <w:r w:rsidRPr="00AA1676">
        <w:rPr>
          <w:rFonts w:ascii="Cambria" w:hAnsi="Cambria" w:cs="Calibri"/>
          <w:color w:val="000000"/>
          <w:sz w:val="22"/>
          <w:szCs w:val="22"/>
        </w:rPr>
        <w:t>recommend that that the phrase “[t]hey may not be used in a discriminatory manner” is replaced with the words “[t]hey may not be used in a manner which discriminates directly or indirectly”.</w:t>
      </w:r>
      <w:r w:rsidRPr="00AA1676">
        <w:rPr>
          <w:rFonts w:ascii="Cambria" w:hAnsi="Cambria" w:cs="Calibri"/>
          <w:color w:val="000000"/>
          <w:sz w:val="22"/>
          <w:szCs w:val="22"/>
        </w:rPr>
        <w:t xml:space="preserve">  </w:t>
      </w:r>
    </w:p>
    <w:p w14:paraId="3D55A4ED" w14:textId="77777777" w:rsidR="006E615A" w:rsidRPr="00AA1676" w:rsidRDefault="006E615A" w:rsidP="00446CB5">
      <w:pPr>
        <w:contextualSpacing/>
        <w:jc w:val="both"/>
        <w:rPr>
          <w:rFonts w:ascii="Cambria" w:hAnsi="Cambria"/>
          <w:color w:val="000000" w:themeColor="text1"/>
          <w:sz w:val="22"/>
          <w:szCs w:val="22"/>
        </w:rPr>
      </w:pPr>
    </w:p>
    <w:p w14:paraId="6BEC155F" w14:textId="059EEFD5" w:rsidR="00446CB5" w:rsidRPr="00AA1676" w:rsidRDefault="00446CB5" w:rsidP="000E4EF7">
      <w:pPr>
        <w:pStyle w:val="ListParagraph"/>
        <w:numPr>
          <w:ilvl w:val="0"/>
          <w:numId w:val="27"/>
        </w:numPr>
        <w:spacing w:before="0" w:beforeAutospacing="0" w:after="0" w:afterAutospacing="0"/>
        <w:contextualSpacing/>
        <w:jc w:val="both"/>
        <w:rPr>
          <w:rFonts w:ascii="Cambria" w:hAnsi="Cambria"/>
          <w:color w:val="000000" w:themeColor="text1"/>
          <w:sz w:val="22"/>
          <w:szCs w:val="22"/>
        </w:rPr>
      </w:pPr>
      <w:r w:rsidRPr="00AA1676">
        <w:rPr>
          <w:rFonts w:ascii="Cambria" w:hAnsi="Cambria" w:cs="Calibri"/>
          <w:b/>
          <w:bCs/>
          <w:color w:val="000000"/>
          <w:sz w:val="22"/>
          <w:szCs w:val="22"/>
        </w:rPr>
        <w:t xml:space="preserve">§101. </w:t>
      </w:r>
      <w:r w:rsidRPr="00AA1676">
        <w:rPr>
          <w:rFonts w:ascii="Cambria" w:hAnsi="Cambria" w:cs="Calibri"/>
          <w:color w:val="000000"/>
          <w:sz w:val="22"/>
          <w:szCs w:val="22"/>
        </w:rPr>
        <w:t xml:space="preserve">It is suggested that this paragraph also refers to the duty to investigate effectively, impartially and in a timely manner any allegation of discriminatory treatment by law enforcement officials during or in connection with assemblies. </w:t>
      </w:r>
    </w:p>
    <w:p w14:paraId="3D637A79" w14:textId="77777777" w:rsidR="00446CB5" w:rsidRPr="00AA1676" w:rsidRDefault="00446CB5" w:rsidP="00446CB5">
      <w:pPr>
        <w:contextualSpacing/>
        <w:jc w:val="both"/>
        <w:rPr>
          <w:rFonts w:ascii="Cambria" w:hAnsi="Cambria"/>
          <w:color w:val="000000" w:themeColor="text1"/>
          <w:sz w:val="22"/>
          <w:szCs w:val="22"/>
        </w:rPr>
      </w:pPr>
    </w:p>
    <w:p w14:paraId="675F95D5" w14:textId="77777777" w:rsidR="006E615A" w:rsidRPr="00AA1676" w:rsidRDefault="00446CB5" w:rsidP="00446CB5">
      <w:pPr>
        <w:pStyle w:val="ListParagraph"/>
        <w:numPr>
          <w:ilvl w:val="0"/>
          <w:numId w:val="27"/>
        </w:numPr>
        <w:spacing w:before="0" w:beforeAutospacing="0" w:after="0" w:afterAutospacing="0"/>
        <w:contextualSpacing/>
        <w:jc w:val="both"/>
        <w:rPr>
          <w:rFonts w:ascii="Cambria" w:hAnsi="Cambria"/>
          <w:color w:val="000000" w:themeColor="text1"/>
          <w:sz w:val="22"/>
          <w:szCs w:val="22"/>
        </w:rPr>
      </w:pPr>
      <w:r w:rsidRPr="00AA1676">
        <w:rPr>
          <w:rFonts w:ascii="Cambria" w:hAnsi="Cambria" w:cs="Calibri"/>
          <w:b/>
          <w:bCs/>
          <w:color w:val="000000"/>
          <w:sz w:val="22"/>
          <w:szCs w:val="22"/>
        </w:rPr>
        <w:t xml:space="preserve">§105. </w:t>
      </w:r>
      <w:r w:rsidRPr="00AA1676">
        <w:rPr>
          <w:rFonts w:ascii="Cambria" w:hAnsi="Cambria" w:cs="Calibri"/>
          <w:color w:val="000000"/>
          <w:sz w:val="22"/>
          <w:szCs w:val="22"/>
        </w:rPr>
        <w:t>In our submission, the authorities should also be provided with equality training to combat the discriminatory impacts of the use of recording devices.</w:t>
      </w:r>
    </w:p>
    <w:p w14:paraId="68ABA943" w14:textId="75D959BD" w:rsidR="006E615A" w:rsidRPr="00AA1676" w:rsidRDefault="006E615A" w:rsidP="006E615A">
      <w:pPr>
        <w:contextualSpacing/>
        <w:jc w:val="both"/>
        <w:rPr>
          <w:rFonts w:ascii="Cambria" w:hAnsi="Cambria" w:cs="Calibri"/>
          <w:bCs/>
          <w:i/>
          <w:iCs/>
          <w:color w:val="000000"/>
          <w:sz w:val="22"/>
          <w:szCs w:val="22"/>
        </w:rPr>
      </w:pPr>
    </w:p>
    <w:p w14:paraId="2E548FD0" w14:textId="77777777" w:rsidR="00D338D7" w:rsidRPr="00AA1676" w:rsidRDefault="00D338D7" w:rsidP="006E615A">
      <w:pPr>
        <w:contextualSpacing/>
        <w:jc w:val="both"/>
        <w:rPr>
          <w:rFonts w:ascii="Cambria" w:hAnsi="Cambria" w:cs="Calibri"/>
          <w:bCs/>
          <w:i/>
          <w:iCs/>
          <w:color w:val="000000"/>
          <w:sz w:val="22"/>
          <w:szCs w:val="22"/>
        </w:rPr>
      </w:pPr>
    </w:p>
    <w:p w14:paraId="4C021151" w14:textId="0AF26A93" w:rsidR="00446CB5" w:rsidRPr="00AA1676" w:rsidRDefault="006E615A" w:rsidP="006E615A">
      <w:pPr>
        <w:contextualSpacing/>
        <w:jc w:val="both"/>
        <w:rPr>
          <w:rFonts w:ascii="Cambria" w:hAnsi="Cambria" w:cs="Calibri"/>
          <w:color w:val="000000"/>
          <w:sz w:val="22"/>
          <w:szCs w:val="22"/>
        </w:rPr>
      </w:pPr>
      <w:r w:rsidRPr="00AA1676">
        <w:rPr>
          <w:rFonts w:ascii="Cambria" w:hAnsi="Cambria"/>
          <w:bCs/>
          <w:i/>
          <w:iCs/>
          <w:sz w:val="22"/>
          <w:szCs w:val="22"/>
        </w:rPr>
        <w:t>Relationship between article 21 and other provisions of the Covenant and other legal regimes</w:t>
      </w:r>
      <w:r w:rsidR="00446CB5" w:rsidRPr="00AA1676">
        <w:rPr>
          <w:rFonts w:ascii="Cambria" w:hAnsi="Cambria" w:cs="Calibri"/>
          <w:color w:val="000000"/>
          <w:sz w:val="22"/>
          <w:szCs w:val="22"/>
        </w:rPr>
        <w:t xml:space="preserve"> </w:t>
      </w:r>
    </w:p>
    <w:p w14:paraId="10EF2ECB" w14:textId="42E2EDB9" w:rsidR="006E615A" w:rsidRPr="00AA1676" w:rsidRDefault="006E615A" w:rsidP="006E615A">
      <w:pPr>
        <w:contextualSpacing/>
        <w:jc w:val="both"/>
        <w:rPr>
          <w:rFonts w:ascii="Cambria" w:hAnsi="Cambria" w:cs="Calibri"/>
          <w:color w:val="000000"/>
          <w:sz w:val="22"/>
          <w:szCs w:val="22"/>
        </w:rPr>
      </w:pPr>
    </w:p>
    <w:p w14:paraId="5FD14DDF" w14:textId="1ED49DE8" w:rsidR="006E615A" w:rsidRPr="00AA1676" w:rsidRDefault="006E615A" w:rsidP="006E615A">
      <w:pPr>
        <w:pStyle w:val="ListParagraph"/>
        <w:numPr>
          <w:ilvl w:val="0"/>
          <w:numId w:val="27"/>
        </w:numPr>
        <w:spacing w:before="0" w:beforeAutospacing="0" w:after="0" w:afterAutospacing="0"/>
        <w:contextualSpacing/>
        <w:jc w:val="both"/>
        <w:rPr>
          <w:rFonts w:ascii="Cambria" w:hAnsi="Cambria"/>
          <w:color w:val="000000" w:themeColor="text1"/>
          <w:sz w:val="22"/>
          <w:szCs w:val="22"/>
        </w:rPr>
      </w:pPr>
      <w:r w:rsidRPr="00AA1676">
        <w:rPr>
          <w:rFonts w:ascii="Cambria" w:hAnsi="Cambria" w:cs="Calibri"/>
          <w:b/>
          <w:bCs/>
          <w:color w:val="000000"/>
          <w:sz w:val="22"/>
          <w:szCs w:val="22"/>
        </w:rPr>
        <w:t>§1</w:t>
      </w:r>
      <w:r w:rsidRPr="00AA1676">
        <w:rPr>
          <w:rFonts w:ascii="Cambria" w:hAnsi="Cambria" w:cs="Calibri"/>
          <w:b/>
          <w:bCs/>
          <w:color w:val="000000"/>
          <w:sz w:val="22"/>
          <w:szCs w:val="22"/>
        </w:rPr>
        <w:t>11</w:t>
      </w:r>
      <w:r w:rsidRPr="00AA1676">
        <w:rPr>
          <w:rFonts w:ascii="Cambria" w:hAnsi="Cambria" w:cs="Calibri"/>
          <w:b/>
          <w:bCs/>
          <w:color w:val="000000"/>
          <w:sz w:val="22"/>
          <w:szCs w:val="22"/>
        </w:rPr>
        <w:t xml:space="preserve">. </w:t>
      </w:r>
      <w:r w:rsidRPr="00AA1676">
        <w:rPr>
          <w:rFonts w:ascii="Cambria" w:hAnsi="Cambria" w:cs="Calibri"/>
          <w:color w:val="000000"/>
          <w:sz w:val="22"/>
          <w:szCs w:val="22"/>
        </w:rPr>
        <w:t>We urge the Committee to take the opportunity to reiterate in this paragraph that Article 2(1) of the Covenant obliges states to ensure the enjoyment of the right to freedom of assembly without discrimination.</w:t>
      </w:r>
    </w:p>
    <w:p w14:paraId="180C5A4F" w14:textId="77777777" w:rsidR="00446CB5" w:rsidRPr="00AA1676" w:rsidRDefault="00446CB5" w:rsidP="00446CB5">
      <w:pPr>
        <w:contextualSpacing/>
        <w:rPr>
          <w:rFonts w:ascii="Cambria" w:hAnsi="Cambria"/>
          <w:b/>
          <w:bCs/>
          <w:sz w:val="22"/>
          <w:szCs w:val="22"/>
          <w:u w:val="single"/>
        </w:rPr>
      </w:pPr>
    </w:p>
    <w:p w14:paraId="2CF142C5" w14:textId="77777777" w:rsidR="00446CB5" w:rsidRPr="00AA1676" w:rsidRDefault="00446CB5" w:rsidP="00446CB5">
      <w:pPr>
        <w:contextualSpacing/>
        <w:rPr>
          <w:rFonts w:ascii="Cambria" w:hAnsi="Cambria"/>
          <w:b/>
          <w:bCs/>
          <w:sz w:val="22"/>
          <w:szCs w:val="22"/>
          <w:u w:val="single"/>
        </w:rPr>
      </w:pPr>
      <w:r w:rsidRPr="00AA1676">
        <w:rPr>
          <w:rFonts w:ascii="Cambria" w:hAnsi="Cambria"/>
          <w:b/>
          <w:bCs/>
          <w:sz w:val="22"/>
          <w:szCs w:val="22"/>
          <w:u w:val="single"/>
        </w:rPr>
        <w:t>Conclusion</w:t>
      </w:r>
    </w:p>
    <w:p w14:paraId="78F632EB" w14:textId="77777777" w:rsidR="00446CB5" w:rsidRPr="00AA1676" w:rsidRDefault="00446CB5" w:rsidP="00446CB5">
      <w:pPr>
        <w:contextualSpacing/>
        <w:jc w:val="both"/>
        <w:rPr>
          <w:rFonts w:ascii="Cambria" w:hAnsi="Cambria"/>
          <w:color w:val="000000" w:themeColor="text1"/>
          <w:sz w:val="22"/>
          <w:szCs w:val="22"/>
        </w:rPr>
      </w:pPr>
    </w:p>
    <w:p w14:paraId="5CF564DB" w14:textId="570579CC" w:rsidR="00446CB5" w:rsidRPr="00AA1676" w:rsidRDefault="00C94814" w:rsidP="00AA1676">
      <w:pPr>
        <w:pStyle w:val="ListParagraph"/>
        <w:numPr>
          <w:ilvl w:val="0"/>
          <w:numId w:val="27"/>
        </w:numPr>
        <w:spacing w:before="0" w:beforeAutospacing="0" w:after="0" w:afterAutospacing="0"/>
        <w:contextualSpacing/>
        <w:jc w:val="both"/>
        <w:rPr>
          <w:rFonts w:ascii="Cambria" w:hAnsi="Cambria"/>
          <w:color w:val="000000" w:themeColor="text1"/>
          <w:sz w:val="22"/>
          <w:szCs w:val="22"/>
        </w:rPr>
      </w:pPr>
      <w:r w:rsidRPr="00AA1676">
        <w:rPr>
          <w:rFonts w:ascii="Cambria" w:hAnsi="Cambria" w:cs="Calibri"/>
          <w:color w:val="000000"/>
          <w:sz w:val="22"/>
          <w:szCs w:val="22"/>
        </w:rPr>
        <w:t>For the reasons set out above, we consider that i</w:t>
      </w:r>
      <w:r w:rsidR="00036A9D" w:rsidRPr="00AA1676">
        <w:rPr>
          <w:rFonts w:ascii="Cambria" w:hAnsi="Cambria" w:cs="Calibri"/>
          <w:color w:val="000000"/>
          <w:sz w:val="22"/>
          <w:szCs w:val="22"/>
        </w:rPr>
        <w:t>t</w:t>
      </w:r>
      <w:r w:rsidR="00570138" w:rsidRPr="00AA1676">
        <w:rPr>
          <w:rFonts w:ascii="Cambria" w:hAnsi="Cambria" w:cs="Calibri"/>
          <w:color w:val="000000"/>
          <w:sz w:val="22"/>
          <w:szCs w:val="22"/>
        </w:rPr>
        <w:t xml:space="preserve"> is vital that an equal rights approach to freedom of assembly is adopted in the draft of the General Comment No. 37 on Article 21 of the Covenant. This requires </w:t>
      </w:r>
      <w:r w:rsidRPr="00AA1676">
        <w:rPr>
          <w:rFonts w:ascii="Cambria" w:hAnsi="Cambria" w:cs="Calibri"/>
          <w:color w:val="000000"/>
          <w:sz w:val="22"/>
          <w:szCs w:val="22"/>
        </w:rPr>
        <w:t>an acknowledgement of the essential role of the right to non-discrimination in understanding both the scope of the right and the scope of possible limitations, and in understanding the state’s obligations both of non-interference and of facilitation. We hope that our comments and recommendations assist in this respect.</w:t>
      </w:r>
    </w:p>
    <w:p w14:paraId="057ADEE5" w14:textId="77777777" w:rsidR="00446CB5" w:rsidRPr="00AA1676" w:rsidRDefault="00446CB5" w:rsidP="00446CB5">
      <w:pPr>
        <w:pStyle w:val="ListParagraph"/>
        <w:spacing w:before="0" w:beforeAutospacing="0" w:after="0" w:afterAutospacing="0"/>
        <w:ind w:left="360"/>
        <w:contextualSpacing/>
        <w:jc w:val="both"/>
        <w:rPr>
          <w:rFonts w:ascii="Cambria" w:hAnsi="Cambria"/>
          <w:color w:val="000000" w:themeColor="text1"/>
          <w:sz w:val="22"/>
          <w:szCs w:val="22"/>
        </w:rPr>
      </w:pPr>
    </w:p>
    <w:p w14:paraId="61135816" w14:textId="4D2AFEB9" w:rsidR="00570138" w:rsidRPr="00AA1676" w:rsidRDefault="00570138" w:rsidP="00446CB5">
      <w:pPr>
        <w:pStyle w:val="ListParagraph"/>
        <w:numPr>
          <w:ilvl w:val="0"/>
          <w:numId w:val="27"/>
        </w:numPr>
        <w:spacing w:before="0" w:beforeAutospacing="0" w:after="0" w:afterAutospacing="0"/>
        <w:contextualSpacing/>
        <w:jc w:val="both"/>
        <w:rPr>
          <w:rFonts w:ascii="Cambria" w:hAnsi="Cambria"/>
          <w:color w:val="000000" w:themeColor="text1"/>
          <w:sz w:val="22"/>
          <w:szCs w:val="22"/>
        </w:rPr>
      </w:pPr>
      <w:r w:rsidRPr="00AA1676">
        <w:rPr>
          <w:rFonts w:ascii="Cambria" w:hAnsi="Cambria" w:cs="Calibri"/>
          <w:color w:val="000000"/>
          <w:sz w:val="22"/>
          <w:szCs w:val="22"/>
        </w:rPr>
        <w:t xml:space="preserve">In closing, we would like to once again express our gratitude to the </w:t>
      </w:r>
      <w:r w:rsidR="00036A9D" w:rsidRPr="00AA1676">
        <w:rPr>
          <w:rFonts w:ascii="Cambria" w:hAnsi="Cambria" w:cs="Calibri"/>
          <w:color w:val="000000"/>
          <w:sz w:val="22"/>
          <w:szCs w:val="22"/>
        </w:rPr>
        <w:t xml:space="preserve">Human Rights Committee </w:t>
      </w:r>
      <w:r w:rsidRPr="00AA1676">
        <w:rPr>
          <w:rFonts w:ascii="Cambria" w:hAnsi="Cambria" w:cs="Calibri"/>
          <w:color w:val="000000"/>
          <w:sz w:val="22"/>
          <w:szCs w:val="22"/>
        </w:rPr>
        <w:t xml:space="preserve">for the opportunity to set out our position on the essential role of the principles of equality and non-discrimination in the understanding of the right of peaceful assembly. </w:t>
      </w:r>
    </w:p>
    <w:p w14:paraId="284ECD3C" w14:textId="77777777" w:rsidR="00661581" w:rsidRPr="00AA1676" w:rsidRDefault="00661581" w:rsidP="00A73A71">
      <w:pPr>
        <w:spacing w:line="276" w:lineRule="auto"/>
        <w:contextualSpacing/>
        <w:rPr>
          <w:rFonts w:ascii="Cambria" w:hAnsi="Cambria"/>
          <w:sz w:val="22"/>
          <w:szCs w:val="22"/>
        </w:rPr>
      </w:pPr>
    </w:p>
    <w:sectPr w:rsidR="00661581" w:rsidRPr="00AA1676" w:rsidSect="00AA1676">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22A7F" w14:textId="77777777" w:rsidR="00804534" w:rsidRDefault="00804534" w:rsidP="00AC1D05">
      <w:r>
        <w:separator/>
      </w:r>
    </w:p>
  </w:endnote>
  <w:endnote w:type="continuationSeparator" w:id="0">
    <w:p w14:paraId="595FDE37" w14:textId="77777777" w:rsidR="00804534" w:rsidRDefault="00804534" w:rsidP="00AC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266645"/>
      <w:docPartObj>
        <w:docPartGallery w:val="Page Numbers (Bottom of Page)"/>
        <w:docPartUnique/>
      </w:docPartObj>
    </w:sdtPr>
    <w:sdtEndPr>
      <w:rPr>
        <w:rFonts w:ascii="Cambria" w:hAnsi="Cambria"/>
        <w:noProof/>
        <w:sz w:val="22"/>
        <w:szCs w:val="22"/>
      </w:rPr>
    </w:sdtEndPr>
    <w:sdtContent>
      <w:p w14:paraId="0804A5C1" w14:textId="7E551FDD" w:rsidR="007F7805" w:rsidRPr="00657812" w:rsidRDefault="007F7805">
        <w:pPr>
          <w:pStyle w:val="Footer"/>
          <w:jc w:val="right"/>
          <w:rPr>
            <w:rFonts w:ascii="Cambria" w:hAnsi="Cambria"/>
            <w:sz w:val="22"/>
            <w:szCs w:val="22"/>
          </w:rPr>
        </w:pPr>
        <w:r w:rsidRPr="00657812">
          <w:rPr>
            <w:rFonts w:ascii="Cambria" w:hAnsi="Cambria"/>
            <w:sz w:val="22"/>
            <w:szCs w:val="22"/>
          </w:rPr>
          <w:fldChar w:fldCharType="begin"/>
        </w:r>
        <w:r w:rsidRPr="00657812">
          <w:rPr>
            <w:rFonts w:ascii="Cambria" w:hAnsi="Cambria"/>
            <w:sz w:val="22"/>
            <w:szCs w:val="22"/>
          </w:rPr>
          <w:instrText xml:space="preserve"> PAGE   \* MERGEFORMAT </w:instrText>
        </w:r>
        <w:r w:rsidRPr="00657812">
          <w:rPr>
            <w:rFonts w:ascii="Cambria" w:hAnsi="Cambria"/>
            <w:sz w:val="22"/>
            <w:szCs w:val="22"/>
          </w:rPr>
          <w:fldChar w:fldCharType="separate"/>
        </w:r>
        <w:r w:rsidRPr="00657812">
          <w:rPr>
            <w:rFonts w:ascii="Cambria" w:hAnsi="Cambria"/>
            <w:noProof/>
            <w:sz w:val="22"/>
            <w:szCs w:val="22"/>
          </w:rPr>
          <w:t>2</w:t>
        </w:r>
        <w:r w:rsidRPr="00657812">
          <w:rPr>
            <w:rFonts w:ascii="Cambria" w:hAnsi="Cambria"/>
            <w:noProof/>
            <w:sz w:val="22"/>
            <w:szCs w:val="22"/>
          </w:rPr>
          <w:fldChar w:fldCharType="end"/>
        </w:r>
      </w:p>
    </w:sdtContent>
  </w:sdt>
  <w:p w14:paraId="2357660E" w14:textId="77777777" w:rsidR="007F7805" w:rsidRDefault="007F7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26AB5" w14:textId="77777777" w:rsidR="00804534" w:rsidRDefault="00804534" w:rsidP="00AC1D05">
      <w:r>
        <w:separator/>
      </w:r>
    </w:p>
  </w:footnote>
  <w:footnote w:type="continuationSeparator" w:id="0">
    <w:p w14:paraId="7B4BD7DE" w14:textId="77777777" w:rsidR="00804534" w:rsidRDefault="00804534" w:rsidP="00AC1D05">
      <w:r>
        <w:continuationSeparator/>
      </w:r>
    </w:p>
  </w:footnote>
  <w:footnote w:id="1">
    <w:p w14:paraId="6DBCDBBA" w14:textId="081E5A82" w:rsidR="007F7805" w:rsidRPr="00AA1676" w:rsidRDefault="007F7805" w:rsidP="00AA1676">
      <w:pPr>
        <w:pStyle w:val="FootnoteText"/>
        <w:spacing w:after="120"/>
        <w:rPr>
          <w:rFonts w:ascii="Cambria" w:hAnsi="Cambria"/>
          <w:lang w:val="en-US"/>
        </w:rPr>
      </w:pPr>
      <w:r w:rsidRPr="00D338D7">
        <w:rPr>
          <w:rStyle w:val="FootnoteReference"/>
          <w:rFonts w:ascii="Cambria" w:hAnsi="Cambria"/>
        </w:rPr>
        <w:footnoteRef/>
      </w:r>
      <w:r w:rsidRPr="00AA1676">
        <w:rPr>
          <w:rFonts w:ascii="Cambria" w:hAnsi="Cambria"/>
        </w:rPr>
        <w:t xml:space="preserve"> </w:t>
      </w:r>
      <w:r w:rsidRPr="00AA1676">
        <w:rPr>
          <w:rFonts w:ascii="Cambria" w:eastAsia="Times New Roman" w:hAnsi="Cambria" w:cs="Times New Roman"/>
        </w:rPr>
        <w:t xml:space="preserve">Human Rights Council, </w:t>
      </w:r>
      <w:r w:rsidRPr="00AA1676">
        <w:rPr>
          <w:rFonts w:ascii="Cambria" w:eastAsia="Times New Roman" w:hAnsi="Cambria" w:cs="Times New Roman"/>
          <w:i/>
          <w:iCs/>
        </w:rPr>
        <w:t>Report of the Special Rapporteur on the rights to freedom of peaceful assembly and of association</w:t>
      </w:r>
      <w:r w:rsidRPr="00AA1676">
        <w:rPr>
          <w:rFonts w:ascii="Cambria" w:eastAsia="Times New Roman" w:hAnsi="Cambria" w:cs="Times New Roman"/>
        </w:rPr>
        <w:t>, Maina Kiai, UN Doc. A/HRC/26/29</w:t>
      </w:r>
      <w:r w:rsidRPr="00AA1676">
        <w:rPr>
          <w:rFonts w:ascii="Cambria" w:eastAsia="Times New Roman" w:hAnsi="Cambria" w:cs="Times New Roman"/>
          <w:lang w:val="en-US"/>
        </w:rPr>
        <w:t>, 14 April 2014 (“Report of the Special Rapporteur on freedom of assembly and association 2014”)</w:t>
      </w:r>
      <w:r w:rsidRPr="00AA1676">
        <w:rPr>
          <w:rFonts w:ascii="Cambria" w:hAnsi="Cambria"/>
        </w:rPr>
        <w:t xml:space="preserve">, </w:t>
      </w:r>
      <w:r w:rsidR="00C94814" w:rsidRPr="00AA1676">
        <w:rPr>
          <w:rFonts w:ascii="Cambria" w:hAnsi="Cambria"/>
        </w:rPr>
        <w:t>Para</w:t>
      </w:r>
      <w:r w:rsidR="00C94814" w:rsidRPr="00AA1676">
        <w:rPr>
          <w:rFonts w:ascii="Cambria" w:hAnsi="Cambria"/>
        </w:rPr>
        <w:t xml:space="preserve"> </w:t>
      </w:r>
      <w:r w:rsidRPr="00AA1676">
        <w:rPr>
          <w:rFonts w:ascii="Cambria" w:hAnsi="Cambria"/>
        </w:rPr>
        <w:t>72.</w:t>
      </w:r>
    </w:p>
  </w:footnote>
  <w:footnote w:id="2">
    <w:p w14:paraId="3584EB2B" w14:textId="0F82E713" w:rsidR="007F7805" w:rsidRPr="00AA1676" w:rsidRDefault="007F7805" w:rsidP="00AA1676">
      <w:pPr>
        <w:spacing w:after="120"/>
        <w:rPr>
          <w:rFonts w:ascii="Cambria" w:eastAsia="Times New Roman" w:hAnsi="Cambria" w:cs="Times New Roman"/>
          <w:sz w:val="20"/>
          <w:szCs w:val="20"/>
          <w:lang w:val="en-US"/>
        </w:rPr>
      </w:pPr>
      <w:r w:rsidRPr="00AA1676">
        <w:rPr>
          <w:rStyle w:val="FootnoteReference"/>
          <w:rFonts w:ascii="Cambria" w:hAnsi="Cambria"/>
          <w:sz w:val="20"/>
          <w:szCs w:val="20"/>
        </w:rPr>
        <w:footnoteRef/>
      </w:r>
      <w:r w:rsidRPr="00AA1676">
        <w:rPr>
          <w:rFonts w:ascii="Cambria" w:hAnsi="Cambria"/>
          <w:sz w:val="20"/>
          <w:szCs w:val="20"/>
        </w:rPr>
        <w:t xml:space="preserve"> </w:t>
      </w:r>
      <w:r w:rsidRPr="00AA1676">
        <w:rPr>
          <w:rFonts w:ascii="Cambria" w:eastAsia="Times New Roman" w:hAnsi="Cambria" w:cs="Times New Roman"/>
          <w:i/>
          <w:iCs/>
          <w:sz w:val="20"/>
          <w:szCs w:val="20"/>
        </w:rPr>
        <w:t>Ibid.</w:t>
      </w:r>
      <w:r w:rsidRPr="00AA1676">
        <w:rPr>
          <w:rFonts w:ascii="Cambria" w:eastAsia="Times New Roman" w:hAnsi="Cambria" w:cs="Times New Roman"/>
          <w:sz w:val="20"/>
          <w:szCs w:val="20"/>
        </w:rPr>
        <w:t xml:space="preserve">, </w:t>
      </w:r>
      <w:r w:rsidR="00C94814" w:rsidRPr="00AA1676">
        <w:rPr>
          <w:rFonts w:ascii="Cambria" w:hAnsi="Cambria"/>
          <w:sz w:val="20"/>
          <w:szCs w:val="20"/>
        </w:rPr>
        <w:t>Para</w:t>
      </w:r>
      <w:r w:rsidR="00C94814" w:rsidRPr="00AA1676">
        <w:rPr>
          <w:rFonts w:ascii="Cambria" w:hAnsi="Cambria"/>
          <w:sz w:val="20"/>
          <w:szCs w:val="20"/>
        </w:rPr>
        <w:t xml:space="preserve">s </w:t>
      </w:r>
      <w:r w:rsidRPr="00AA1676">
        <w:rPr>
          <w:rFonts w:ascii="Cambria" w:eastAsia="Times New Roman" w:hAnsi="Cambria" w:cs="Times New Roman"/>
          <w:sz w:val="20"/>
          <w:szCs w:val="20"/>
          <w:lang w:val="en-US"/>
        </w:rPr>
        <w:t>8 &amp; 14.</w:t>
      </w:r>
    </w:p>
  </w:footnote>
  <w:footnote w:id="3">
    <w:p w14:paraId="6EBEF8D3" w14:textId="6B2906E8" w:rsidR="007F7805" w:rsidRPr="00AA1676" w:rsidRDefault="007F7805" w:rsidP="00AA1676">
      <w:pPr>
        <w:pStyle w:val="FootnoteText"/>
        <w:spacing w:after="120"/>
        <w:rPr>
          <w:rFonts w:ascii="Cambria" w:hAnsi="Cambria"/>
        </w:rPr>
      </w:pPr>
      <w:r w:rsidRPr="00AA1676">
        <w:rPr>
          <w:rStyle w:val="FootnoteReference"/>
          <w:rFonts w:ascii="Cambria" w:hAnsi="Cambria"/>
        </w:rPr>
        <w:footnoteRef/>
      </w:r>
      <w:r w:rsidRPr="00AA1676">
        <w:rPr>
          <w:rFonts w:ascii="Cambria" w:hAnsi="Cambria"/>
        </w:rPr>
        <w:t xml:space="preserve"> </w:t>
      </w:r>
      <w:r w:rsidRPr="00AA1676">
        <w:rPr>
          <w:rFonts w:ascii="Cambria" w:hAnsi="Cambria"/>
          <w:i/>
          <w:iCs/>
        </w:rPr>
        <w:t>Ibid</w:t>
      </w:r>
      <w:r w:rsidRPr="00AA1676">
        <w:rPr>
          <w:rFonts w:ascii="Cambria" w:hAnsi="Cambria"/>
        </w:rPr>
        <w:t xml:space="preserve">., </w:t>
      </w:r>
      <w:r w:rsidR="00C94814" w:rsidRPr="00AA1676">
        <w:rPr>
          <w:rFonts w:ascii="Cambria" w:hAnsi="Cambria"/>
        </w:rPr>
        <w:t>P</w:t>
      </w:r>
      <w:r w:rsidRPr="00AA1676">
        <w:rPr>
          <w:rFonts w:ascii="Cambria" w:hAnsi="Cambria"/>
        </w:rPr>
        <w:t>ara</w:t>
      </w:r>
      <w:r w:rsidR="00C94814" w:rsidRPr="00AA1676">
        <w:rPr>
          <w:rFonts w:ascii="Cambria" w:hAnsi="Cambria"/>
        </w:rPr>
        <w:t xml:space="preserve"> </w:t>
      </w:r>
      <w:r w:rsidRPr="00AA1676">
        <w:rPr>
          <w:rFonts w:ascii="Cambria" w:hAnsi="Cambria"/>
        </w:rPr>
        <w:t>8.</w:t>
      </w:r>
    </w:p>
  </w:footnote>
  <w:footnote w:id="4">
    <w:p w14:paraId="6322CAAA" w14:textId="1FFAE05A" w:rsidR="007F7805" w:rsidRPr="00AA1676" w:rsidRDefault="007F7805" w:rsidP="00AA1676">
      <w:pPr>
        <w:pStyle w:val="FootnoteText"/>
        <w:spacing w:after="120"/>
        <w:rPr>
          <w:rFonts w:ascii="Cambria" w:hAnsi="Cambria"/>
          <w:lang w:val="en-US"/>
        </w:rPr>
      </w:pPr>
      <w:r w:rsidRPr="00AA1676">
        <w:rPr>
          <w:rStyle w:val="FootnoteReference"/>
          <w:rFonts w:ascii="Cambria" w:hAnsi="Cambria"/>
        </w:rPr>
        <w:footnoteRef/>
      </w:r>
      <w:r w:rsidRPr="00AA1676">
        <w:rPr>
          <w:rFonts w:ascii="Cambria" w:hAnsi="Cambria"/>
        </w:rPr>
        <w:t xml:space="preserve"> </w:t>
      </w:r>
      <w:r w:rsidRPr="00AA1676">
        <w:rPr>
          <w:rFonts w:ascii="Cambria" w:eastAsia="Times New Roman" w:hAnsi="Cambria" w:cs="Times New Roman"/>
          <w:i/>
          <w:iCs/>
        </w:rPr>
        <w:t>Ibid.</w:t>
      </w:r>
      <w:r w:rsidRPr="00AA1676">
        <w:rPr>
          <w:rFonts w:ascii="Cambria" w:eastAsia="Times New Roman" w:hAnsi="Cambria" w:cs="Times New Roman"/>
          <w:lang w:val="en-US"/>
        </w:rPr>
        <w:t xml:space="preserve">, </w:t>
      </w:r>
      <w:r w:rsidR="00C94814" w:rsidRPr="00AA1676">
        <w:rPr>
          <w:rFonts w:ascii="Cambria" w:hAnsi="Cambria"/>
        </w:rPr>
        <w:t>Para</w:t>
      </w:r>
      <w:r w:rsidRPr="00AA1676">
        <w:rPr>
          <w:rFonts w:ascii="Cambria" w:eastAsia="Times New Roman" w:hAnsi="Cambria" w:cs="Times New Roman"/>
          <w:lang w:val="en-US"/>
        </w:rPr>
        <w:t xml:space="preserve"> 22.</w:t>
      </w:r>
    </w:p>
  </w:footnote>
  <w:footnote w:id="5">
    <w:p w14:paraId="7CDA0697" w14:textId="77777777" w:rsidR="007F7805" w:rsidRPr="00AA1676" w:rsidRDefault="007F7805" w:rsidP="00AA1676">
      <w:pPr>
        <w:pStyle w:val="FootnoteText"/>
        <w:spacing w:after="120"/>
        <w:rPr>
          <w:rFonts w:ascii="Cambria" w:hAnsi="Cambria"/>
          <w:lang w:val="en-US"/>
        </w:rPr>
      </w:pPr>
      <w:r w:rsidRPr="00AA1676">
        <w:rPr>
          <w:rStyle w:val="FootnoteReference"/>
          <w:rFonts w:ascii="Cambria" w:hAnsi="Cambria"/>
        </w:rPr>
        <w:footnoteRef/>
      </w:r>
      <w:r w:rsidRPr="00AA1676">
        <w:rPr>
          <w:rFonts w:ascii="Cambria" w:hAnsi="Cambria"/>
        </w:rPr>
        <w:t xml:space="preserve"> Human Rights Council, </w:t>
      </w:r>
      <w:r w:rsidRPr="00AA1676">
        <w:rPr>
          <w:rFonts w:ascii="Cambria" w:hAnsi="Cambria"/>
          <w:i/>
          <w:iCs/>
        </w:rPr>
        <w:t>Joint report of the Special Rapporteur on the rights to freedom of peaceful assembly and of association and the Special Rapporteur on extrajudicial, summary or arbitrary executions on the proper management of assemblies</w:t>
      </w:r>
      <w:r w:rsidRPr="00AA1676">
        <w:rPr>
          <w:rFonts w:ascii="Cambria" w:hAnsi="Cambria"/>
          <w:lang w:val="en-US"/>
        </w:rPr>
        <w:t>, UN Doc. A/HRC/31/66, 4 February 2016, para. 16.</w:t>
      </w:r>
    </w:p>
  </w:footnote>
  <w:footnote w:id="6">
    <w:p w14:paraId="1EE6C530" w14:textId="767DB016" w:rsidR="007F7805" w:rsidRPr="00AA1676" w:rsidRDefault="007F7805" w:rsidP="00AA1676">
      <w:pPr>
        <w:pStyle w:val="FootnoteText"/>
        <w:spacing w:after="120"/>
        <w:rPr>
          <w:rFonts w:ascii="Cambria" w:hAnsi="Cambria"/>
        </w:rPr>
      </w:pPr>
      <w:r w:rsidRPr="00AA1676">
        <w:rPr>
          <w:rStyle w:val="FootnoteReference"/>
          <w:rFonts w:ascii="Cambria" w:hAnsi="Cambria"/>
        </w:rPr>
        <w:footnoteRef/>
      </w:r>
      <w:r w:rsidRPr="00AA1676">
        <w:rPr>
          <w:rFonts w:ascii="Cambria" w:hAnsi="Cambria"/>
        </w:rPr>
        <w:t xml:space="preserve"> </w:t>
      </w:r>
      <w:r w:rsidRPr="00AA1676">
        <w:rPr>
          <w:rFonts w:ascii="Cambria" w:hAnsi="Cambria"/>
          <w:i/>
          <w:iCs/>
        </w:rPr>
        <w:t>Ibid.</w:t>
      </w:r>
      <w:r w:rsidRPr="00AA1676">
        <w:rPr>
          <w:rFonts w:ascii="Cambria" w:hAnsi="Cambria"/>
        </w:rPr>
        <w:t xml:space="preserve">, </w:t>
      </w:r>
      <w:r w:rsidR="00C94814" w:rsidRPr="00AA1676">
        <w:rPr>
          <w:rFonts w:ascii="Cambria" w:hAnsi="Cambria"/>
        </w:rPr>
        <w:t>Para</w:t>
      </w:r>
      <w:r w:rsidRPr="00AA1676">
        <w:rPr>
          <w:rFonts w:ascii="Cambria" w:hAnsi="Cambria"/>
        </w:rPr>
        <w:t xml:space="preserve"> 27. </w:t>
      </w:r>
    </w:p>
  </w:footnote>
  <w:footnote w:id="7">
    <w:p w14:paraId="1863AE6C" w14:textId="69FE0D5B" w:rsidR="007F7805" w:rsidRPr="00AA1676" w:rsidRDefault="007F7805" w:rsidP="00AA1676">
      <w:pPr>
        <w:pStyle w:val="FootnoteText"/>
        <w:spacing w:after="120"/>
        <w:rPr>
          <w:rFonts w:ascii="Cambria" w:hAnsi="Cambria"/>
        </w:rPr>
      </w:pPr>
      <w:r w:rsidRPr="00AA1676">
        <w:rPr>
          <w:rStyle w:val="FootnoteReference"/>
          <w:rFonts w:ascii="Cambria" w:hAnsi="Cambria"/>
        </w:rPr>
        <w:footnoteRef/>
      </w:r>
      <w:r w:rsidRPr="00AA1676">
        <w:rPr>
          <w:rFonts w:ascii="Cambria" w:hAnsi="Cambria"/>
        </w:rPr>
        <w:t xml:space="preserve"> See Equal Rights Trust, </w:t>
      </w:r>
      <w:r w:rsidRPr="00AA1676">
        <w:rPr>
          <w:rFonts w:ascii="Cambria" w:hAnsi="Cambria"/>
          <w:i/>
          <w:iCs/>
        </w:rPr>
        <w:t>Justice or Complicity? LGBT Rights and the Russian Courts</w:t>
      </w:r>
      <w:r w:rsidRPr="00AA1676">
        <w:rPr>
          <w:rFonts w:ascii="Cambria" w:hAnsi="Cambria"/>
        </w:rPr>
        <w:t>, September 2016</w:t>
      </w:r>
      <w:r w:rsidRPr="00AA1676">
        <w:rPr>
          <w:rFonts w:ascii="Cambria" w:hAnsi="Cambria"/>
          <w:i/>
          <w:iCs/>
          <w:lang w:val="en-US"/>
        </w:rPr>
        <w:t xml:space="preserve">, </w:t>
      </w:r>
      <w:r w:rsidRPr="00AA1676">
        <w:rPr>
          <w:rFonts w:ascii="Cambria" w:hAnsi="Cambria"/>
          <w:lang w:val="en-US"/>
        </w:rPr>
        <w:t xml:space="preserve">available at: </w:t>
      </w:r>
      <w:hyperlink r:id="rId1" w:history="1">
        <w:r w:rsidRPr="00AA1676">
          <w:rPr>
            <w:rStyle w:val="Hyperlink"/>
            <w:rFonts w:ascii="Cambria" w:hAnsi="Cambria"/>
          </w:rPr>
          <w:t>https://www.equalrightstrust.org/sites/default/files/ertdocs/Justice%20or%20Complicity%20LGBT%20Rights%20and%20the%20Russian%20Courts_0.pdf</w:t>
        </w:r>
      </w:hyperlink>
      <w:r w:rsidRPr="00AA1676">
        <w:rPr>
          <w:rFonts w:ascii="Cambria" w:hAnsi="Cambria"/>
          <w:lang w:val="en-US"/>
        </w:rPr>
        <w:t xml:space="preserve"> (“</w:t>
      </w:r>
      <w:r w:rsidRPr="00AA1676">
        <w:rPr>
          <w:rFonts w:ascii="Cambria" w:hAnsi="Cambria"/>
          <w:i/>
          <w:iCs/>
          <w:lang w:val="en-US"/>
        </w:rPr>
        <w:t>Justice or Complicity?”</w:t>
      </w:r>
      <w:r w:rsidRPr="00AA1676">
        <w:rPr>
          <w:rFonts w:ascii="Cambria" w:hAnsi="Cambria"/>
          <w:lang w:val="en-US"/>
        </w:rPr>
        <w:t>),</w:t>
      </w:r>
      <w:r w:rsidRPr="00AA1676">
        <w:rPr>
          <w:rFonts w:ascii="Cambria" w:hAnsi="Cambria"/>
        </w:rPr>
        <w:t xml:space="preserve"> </w:t>
      </w:r>
      <w:r w:rsidRPr="00AA1676">
        <w:rPr>
          <w:rFonts w:ascii="Cambria" w:hAnsi="Cambria"/>
          <w:lang w:val="en-US"/>
        </w:rPr>
        <w:t xml:space="preserve">Part 2.3.2. </w:t>
      </w:r>
    </w:p>
  </w:footnote>
  <w:footnote w:id="8">
    <w:p w14:paraId="76317153" w14:textId="7FDB70D7" w:rsidR="007F7805" w:rsidRPr="00AA1676" w:rsidRDefault="007F7805" w:rsidP="00AA1676">
      <w:pPr>
        <w:pStyle w:val="FootnoteText"/>
        <w:spacing w:after="120"/>
        <w:rPr>
          <w:rFonts w:ascii="Cambria" w:hAnsi="Cambria"/>
          <w:lang w:val="en-US"/>
        </w:rPr>
      </w:pPr>
      <w:r w:rsidRPr="00AA1676">
        <w:rPr>
          <w:rStyle w:val="FootnoteReference"/>
          <w:rFonts w:ascii="Cambria" w:hAnsi="Cambria"/>
        </w:rPr>
        <w:footnoteRef/>
      </w:r>
      <w:r w:rsidRPr="00AA1676">
        <w:rPr>
          <w:rFonts w:ascii="Cambria" w:hAnsi="Cambria"/>
        </w:rPr>
        <w:t xml:space="preserve"> </w:t>
      </w:r>
      <w:r w:rsidR="00C94814" w:rsidRPr="00AA1676">
        <w:rPr>
          <w:rFonts w:ascii="Cambria" w:hAnsi="Cambria"/>
          <w:i/>
          <w:iCs/>
        </w:rPr>
        <w:t>Ibid</w:t>
      </w:r>
      <w:r w:rsidR="00C94814" w:rsidRPr="00AA1676">
        <w:rPr>
          <w:rFonts w:ascii="Cambria" w:hAnsi="Cambria"/>
        </w:rPr>
        <w:t xml:space="preserve">., </w:t>
      </w:r>
      <w:r w:rsidRPr="00AA1676">
        <w:rPr>
          <w:rFonts w:ascii="Cambria" w:hAnsi="Cambria"/>
        </w:rPr>
        <w:t>p.89.</w:t>
      </w:r>
    </w:p>
  </w:footnote>
  <w:footnote w:id="9">
    <w:p w14:paraId="06E9ACB8" w14:textId="58F14848" w:rsidR="007F7805" w:rsidRPr="00AA1676" w:rsidRDefault="007F7805" w:rsidP="00AA1676">
      <w:pPr>
        <w:spacing w:after="120"/>
        <w:rPr>
          <w:rFonts w:ascii="Cambria" w:eastAsia="Times New Roman" w:hAnsi="Cambria" w:cs="Times New Roman"/>
          <w:sz w:val="20"/>
          <w:szCs w:val="20"/>
        </w:rPr>
      </w:pPr>
      <w:r w:rsidRPr="00AA1676">
        <w:rPr>
          <w:rStyle w:val="FootnoteReference"/>
          <w:rFonts w:ascii="Cambria" w:hAnsi="Cambria"/>
          <w:sz w:val="20"/>
          <w:szCs w:val="20"/>
        </w:rPr>
        <w:footnoteRef/>
      </w:r>
      <w:r w:rsidRPr="00AA1676">
        <w:rPr>
          <w:rFonts w:ascii="Cambria" w:hAnsi="Cambria"/>
          <w:sz w:val="20"/>
          <w:szCs w:val="20"/>
        </w:rPr>
        <w:t xml:space="preserve"> </w:t>
      </w:r>
      <w:r w:rsidRPr="00AA1676">
        <w:rPr>
          <w:rFonts w:ascii="Cambria" w:hAnsi="Cambria"/>
          <w:i/>
          <w:iCs/>
          <w:sz w:val="20"/>
          <w:szCs w:val="20"/>
        </w:rPr>
        <w:t>Ibid</w:t>
      </w:r>
      <w:r w:rsidRPr="00AA1676">
        <w:rPr>
          <w:rFonts w:ascii="Cambria" w:hAnsi="Cambria"/>
          <w:sz w:val="20"/>
          <w:szCs w:val="20"/>
        </w:rPr>
        <w:t xml:space="preserve">., p.88. </w:t>
      </w:r>
    </w:p>
  </w:footnote>
  <w:footnote w:id="10">
    <w:p w14:paraId="12BB66EF" w14:textId="040AC6AA" w:rsidR="007F7805" w:rsidRPr="00AA1676" w:rsidRDefault="007F7805" w:rsidP="00AA1676">
      <w:pPr>
        <w:pStyle w:val="FootnoteText"/>
        <w:spacing w:after="120"/>
        <w:jc w:val="both"/>
        <w:rPr>
          <w:rFonts w:ascii="Cambria" w:hAnsi="Cambria"/>
          <w:lang w:val="en-US"/>
        </w:rPr>
      </w:pPr>
      <w:r w:rsidRPr="00AA1676">
        <w:rPr>
          <w:rStyle w:val="FootnoteReference"/>
          <w:rFonts w:ascii="Cambria" w:hAnsi="Cambria"/>
        </w:rPr>
        <w:footnoteRef/>
      </w:r>
      <w:r w:rsidRPr="00AA1676">
        <w:rPr>
          <w:rFonts w:ascii="Cambria" w:hAnsi="Cambria"/>
        </w:rPr>
        <w:t xml:space="preserve"> </w:t>
      </w:r>
      <w:r w:rsidR="00D338D7" w:rsidRPr="00AA1676">
        <w:rPr>
          <w:rFonts w:ascii="Cambria" w:hAnsi="Cambria"/>
          <w:lang w:val="en-US"/>
        </w:rPr>
        <w:t xml:space="preserve">Equal Rights Trust, </w:t>
      </w:r>
      <w:r w:rsidR="00D338D7" w:rsidRPr="00AA1676">
        <w:rPr>
          <w:rFonts w:ascii="Cambria" w:hAnsi="Cambria"/>
          <w:i/>
          <w:iCs/>
          <w:lang w:val="en-US"/>
        </w:rPr>
        <w:t>A Past Still Present: Addressing Discrimination and Inequality in Egypt</w:t>
      </w:r>
      <w:r w:rsidR="00D338D7" w:rsidRPr="00AA1676">
        <w:rPr>
          <w:rFonts w:ascii="Cambria" w:hAnsi="Cambria"/>
          <w:lang w:val="en-US"/>
        </w:rPr>
        <w:t>, 2018, p. 132, available at: https://www.equalrightstrust.org/ertdocumentbank/Egypt_EN_online.pdf</w:t>
      </w:r>
    </w:p>
  </w:footnote>
  <w:footnote w:id="11">
    <w:p w14:paraId="749EC4B0" w14:textId="6F8CDEDB" w:rsidR="007F7805" w:rsidRPr="00AA1676" w:rsidRDefault="007F7805" w:rsidP="00AA1676">
      <w:pPr>
        <w:pStyle w:val="FootnoteText"/>
        <w:spacing w:after="120"/>
        <w:jc w:val="both"/>
        <w:rPr>
          <w:rFonts w:ascii="Cambria" w:hAnsi="Cambria"/>
        </w:rPr>
      </w:pPr>
      <w:r w:rsidRPr="00AA1676">
        <w:rPr>
          <w:rStyle w:val="FootnoteReference"/>
          <w:rFonts w:ascii="Cambria" w:hAnsi="Cambria"/>
        </w:rPr>
        <w:footnoteRef/>
      </w:r>
      <w:r w:rsidRPr="00AA1676">
        <w:rPr>
          <w:rFonts w:ascii="Cambria" w:hAnsi="Cambria"/>
        </w:rPr>
        <w:t xml:space="preserve"> </w:t>
      </w:r>
      <w:r w:rsidR="00D338D7" w:rsidRPr="00AA1676">
        <w:rPr>
          <w:rFonts w:ascii="Cambria" w:hAnsi="Cambria"/>
        </w:rPr>
        <w:t xml:space="preserve">Equal Rights Trust, </w:t>
      </w:r>
      <w:r w:rsidR="00D338D7" w:rsidRPr="00AA1676">
        <w:rPr>
          <w:rFonts w:ascii="Cambria" w:hAnsi="Cambria"/>
          <w:i/>
          <w:iCs/>
        </w:rPr>
        <w:t>In the Name of Unity: Addressing Discrimination and Inequality in Kazakhstan</w:t>
      </w:r>
      <w:r w:rsidR="00D338D7" w:rsidRPr="00AA1676">
        <w:rPr>
          <w:rFonts w:ascii="Cambria" w:hAnsi="Cambria"/>
        </w:rPr>
        <w:t>, 2016, p. 200, available at:  https://www.equalrightstrust.org/sites/default/files/ertdocs/Kazakhstan_EN_0.pdf</w:t>
      </w:r>
    </w:p>
  </w:footnote>
  <w:footnote w:id="12">
    <w:p w14:paraId="6A802120" w14:textId="02F255BB" w:rsidR="007F7805" w:rsidRPr="00AA1676" w:rsidRDefault="007F7805" w:rsidP="00AA1676">
      <w:pPr>
        <w:pStyle w:val="FootnoteText"/>
        <w:spacing w:after="120"/>
        <w:rPr>
          <w:rFonts w:ascii="Cambria" w:hAnsi="Cambria"/>
          <w:lang w:val="en-US"/>
        </w:rPr>
      </w:pPr>
      <w:r w:rsidRPr="00AA1676">
        <w:rPr>
          <w:rStyle w:val="FootnoteReference"/>
          <w:rFonts w:ascii="Cambria" w:hAnsi="Cambria"/>
        </w:rPr>
        <w:footnoteRef/>
      </w:r>
      <w:r w:rsidRPr="00AA1676">
        <w:rPr>
          <w:rFonts w:ascii="Cambria" w:hAnsi="Cambria"/>
        </w:rPr>
        <w:t xml:space="preserve"> </w:t>
      </w:r>
      <w:r w:rsidR="00C94814" w:rsidRPr="00AA1676">
        <w:rPr>
          <w:rFonts w:ascii="Cambria" w:eastAsia="Times New Roman" w:hAnsi="Cambria" w:cs="Times New Roman"/>
          <w:lang w:val="en-US"/>
        </w:rPr>
        <w:t>See above, note 1,</w:t>
      </w:r>
      <w:r w:rsidRPr="00AA1676">
        <w:rPr>
          <w:rFonts w:ascii="Cambria" w:hAnsi="Cambria"/>
        </w:rPr>
        <w:t xml:space="preserve"> </w:t>
      </w:r>
      <w:r w:rsidR="00C94814" w:rsidRPr="00AA1676">
        <w:rPr>
          <w:rFonts w:ascii="Cambria" w:hAnsi="Cambria"/>
        </w:rPr>
        <w:t>P</w:t>
      </w:r>
      <w:r w:rsidRPr="00AA1676">
        <w:rPr>
          <w:rFonts w:ascii="Cambria" w:hAnsi="Cambria"/>
        </w:rPr>
        <w:t xml:space="preserve">aras 59-60. </w:t>
      </w:r>
    </w:p>
  </w:footnote>
  <w:footnote w:id="13">
    <w:p w14:paraId="146BE001" w14:textId="77777777" w:rsidR="007F7805" w:rsidRPr="00AA1676" w:rsidRDefault="007F7805" w:rsidP="00AA1676">
      <w:pPr>
        <w:pStyle w:val="FootnoteText"/>
        <w:spacing w:after="120"/>
        <w:rPr>
          <w:rFonts w:ascii="Cambria" w:hAnsi="Cambria"/>
          <w:b/>
          <w:bCs/>
          <w:lang w:val="en-US"/>
        </w:rPr>
      </w:pPr>
      <w:r w:rsidRPr="00AA1676">
        <w:rPr>
          <w:rStyle w:val="FootnoteReference"/>
          <w:rFonts w:ascii="Cambria" w:hAnsi="Cambria"/>
        </w:rPr>
        <w:footnoteRef/>
      </w:r>
      <w:r w:rsidRPr="00AA1676">
        <w:rPr>
          <w:rFonts w:ascii="Cambria" w:hAnsi="Cambria"/>
          <w:lang w:val="en-US"/>
        </w:rPr>
        <w:t xml:space="preserve"> </w:t>
      </w:r>
      <w:proofErr w:type="spellStart"/>
      <w:r w:rsidRPr="00AA1676">
        <w:rPr>
          <w:rFonts w:ascii="Cambria" w:hAnsi="Cambria"/>
          <w:lang w:val="en-US"/>
        </w:rPr>
        <w:t>Kurmanaev</w:t>
      </w:r>
      <w:proofErr w:type="spellEnd"/>
      <w:r w:rsidRPr="00AA1676">
        <w:rPr>
          <w:rFonts w:ascii="Cambria" w:hAnsi="Cambria"/>
          <w:lang w:val="en-US"/>
        </w:rPr>
        <w:t>, A. and Krauss, C. “</w:t>
      </w:r>
      <w:r w:rsidRPr="00AA1676">
        <w:rPr>
          <w:rFonts w:ascii="Cambria" w:hAnsi="Cambria"/>
        </w:rPr>
        <w:t>Ethnic Rifts in Bolivia Burst Into View With Fall of Evo Morales</w:t>
      </w:r>
      <w:r w:rsidRPr="00AA1676">
        <w:rPr>
          <w:rFonts w:ascii="Cambria" w:hAnsi="Cambria"/>
          <w:lang w:val="en-US"/>
        </w:rPr>
        <w:t xml:space="preserve">”, 15 November 2019, available at: </w:t>
      </w:r>
      <w:hyperlink r:id="rId2" w:history="1">
        <w:r w:rsidRPr="00AA1676">
          <w:rPr>
            <w:rStyle w:val="Hyperlink"/>
            <w:rFonts w:ascii="Cambria" w:hAnsi="Cambria"/>
            <w:lang w:val="en-US"/>
          </w:rPr>
          <w:t>https://www.nytimes.com/2019/11/15/world/americas/morales-bolivia-Indigenous-racism.html</w:t>
        </w:r>
      </w:hyperlink>
      <w:r w:rsidRPr="00AA1676">
        <w:rPr>
          <w:rFonts w:ascii="Cambria" w:hAnsi="Cambria"/>
          <w:lang w:val="en-US"/>
        </w:rPr>
        <w:t xml:space="preserve"> </w:t>
      </w:r>
    </w:p>
  </w:footnote>
  <w:footnote w:id="14">
    <w:p w14:paraId="097D3C51" w14:textId="77777777" w:rsidR="007F7805" w:rsidRPr="00AA1676" w:rsidRDefault="007F7805" w:rsidP="00AA1676">
      <w:pPr>
        <w:pStyle w:val="FootnoteText"/>
        <w:spacing w:after="120"/>
        <w:rPr>
          <w:rFonts w:ascii="Cambria" w:hAnsi="Cambria"/>
          <w:lang w:val="es-ES"/>
        </w:rPr>
      </w:pPr>
      <w:r w:rsidRPr="00AA1676">
        <w:rPr>
          <w:rStyle w:val="FootnoteReference"/>
          <w:rFonts w:ascii="Cambria" w:hAnsi="Cambria"/>
        </w:rPr>
        <w:footnoteRef/>
      </w:r>
      <w:r w:rsidRPr="00AA1676">
        <w:rPr>
          <w:rFonts w:ascii="Cambria" w:hAnsi="Cambria"/>
          <w:lang w:val="es-ES"/>
        </w:rPr>
        <w:t xml:space="preserve"> Telesur, “Policía reprime con gas a indígenas bolivianos en el Centro de la Paz”, 19 </w:t>
      </w:r>
      <w:proofErr w:type="spellStart"/>
      <w:r w:rsidRPr="00AA1676">
        <w:rPr>
          <w:rFonts w:ascii="Cambria" w:hAnsi="Cambria"/>
          <w:lang w:val="es-ES"/>
        </w:rPr>
        <w:t>Novembr</w:t>
      </w:r>
      <w:proofErr w:type="spellEnd"/>
      <w:r w:rsidRPr="00AA1676">
        <w:rPr>
          <w:rFonts w:ascii="Cambria" w:hAnsi="Cambria"/>
          <w:lang w:val="es-ES"/>
        </w:rPr>
        <w:t xml:space="preserve"> 2019, </w:t>
      </w:r>
      <w:proofErr w:type="spellStart"/>
      <w:r w:rsidRPr="00AA1676">
        <w:rPr>
          <w:rFonts w:ascii="Cambria" w:hAnsi="Cambria"/>
          <w:lang w:val="es-ES"/>
        </w:rPr>
        <w:t>available</w:t>
      </w:r>
      <w:proofErr w:type="spellEnd"/>
      <w:r w:rsidRPr="00AA1676">
        <w:rPr>
          <w:rFonts w:ascii="Cambria" w:hAnsi="Cambria"/>
          <w:lang w:val="es-ES"/>
        </w:rPr>
        <w:t xml:space="preserve"> at: </w:t>
      </w:r>
      <w:hyperlink r:id="rId3" w:history="1">
        <w:r w:rsidRPr="00AA1676">
          <w:rPr>
            <w:rStyle w:val="Hyperlink"/>
            <w:rFonts w:ascii="Cambria" w:hAnsi="Cambria"/>
            <w:lang w:val="es-ES"/>
          </w:rPr>
          <w:t>https://www.telesurtv.net/news/bolivia-fuerzas-policiales-represion-indigenas-ancianos-la-paz-20191119-0015.html</w:t>
        </w:r>
      </w:hyperlink>
      <w:r w:rsidRPr="00AA1676">
        <w:rPr>
          <w:rFonts w:ascii="Cambria" w:hAnsi="Cambria"/>
          <w:lang w:val="es-ES"/>
        </w:rPr>
        <w:t xml:space="preserve"> </w:t>
      </w:r>
    </w:p>
  </w:footnote>
  <w:footnote w:id="15">
    <w:p w14:paraId="247F9A83" w14:textId="68BFEF3C" w:rsidR="007F7805" w:rsidRPr="00AA1676" w:rsidRDefault="007F7805" w:rsidP="00AA1676">
      <w:pPr>
        <w:pStyle w:val="FootnoteText"/>
        <w:spacing w:after="120"/>
        <w:rPr>
          <w:rFonts w:ascii="Cambria" w:hAnsi="Cambria"/>
          <w:lang w:val="en-US"/>
        </w:rPr>
      </w:pPr>
      <w:r w:rsidRPr="00AA1676">
        <w:rPr>
          <w:rStyle w:val="FootnoteReference"/>
          <w:rFonts w:ascii="Cambria" w:hAnsi="Cambria"/>
        </w:rPr>
        <w:footnoteRef/>
      </w:r>
      <w:r w:rsidRPr="00AA1676">
        <w:rPr>
          <w:rFonts w:ascii="Cambria" w:hAnsi="Cambria"/>
          <w:lang w:val="en-US"/>
        </w:rPr>
        <w:t xml:space="preserve"> ABOFEM, </w:t>
      </w:r>
      <w:proofErr w:type="spellStart"/>
      <w:r w:rsidRPr="00AA1676">
        <w:rPr>
          <w:rFonts w:ascii="Cambria" w:hAnsi="Cambria"/>
          <w:lang w:val="en-US"/>
        </w:rPr>
        <w:t>Estadísticas</w:t>
      </w:r>
      <w:proofErr w:type="spellEnd"/>
      <w:r w:rsidRPr="00AA1676">
        <w:rPr>
          <w:rFonts w:ascii="Cambria" w:hAnsi="Cambria"/>
          <w:lang w:val="en-US"/>
        </w:rPr>
        <w:t xml:space="preserve"> </w:t>
      </w:r>
      <w:proofErr w:type="spellStart"/>
      <w:r w:rsidRPr="00AA1676">
        <w:rPr>
          <w:rFonts w:ascii="Cambria" w:hAnsi="Cambria"/>
          <w:lang w:val="en-US"/>
        </w:rPr>
        <w:t>Abofem</w:t>
      </w:r>
      <w:proofErr w:type="spellEnd"/>
      <w:r w:rsidRPr="00AA1676">
        <w:rPr>
          <w:rFonts w:ascii="Cambria" w:hAnsi="Cambria"/>
          <w:lang w:val="en-US"/>
        </w:rPr>
        <w:t xml:space="preserve"> </w:t>
      </w:r>
      <w:proofErr w:type="spellStart"/>
      <w:r w:rsidRPr="00AA1676">
        <w:rPr>
          <w:rFonts w:ascii="Cambria" w:hAnsi="Cambria"/>
          <w:lang w:val="en-US"/>
        </w:rPr>
        <w:t>Emergencias</w:t>
      </w:r>
      <w:proofErr w:type="spellEnd"/>
      <w:r w:rsidRPr="00AA1676">
        <w:rPr>
          <w:rFonts w:ascii="Cambria" w:hAnsi="Cambria"/>
          <w:lang w:val="en-US"/>
        </w:rPr>
        <w:t xml:space="preserve"> (Provided to </w:t>
      </w:r>
      <w:r w:rsidR="00C94814" w:rsidRPr="00AA1676">
        <w:rPr>
          <w:rFonts w:ascii="Cambria" w:hAnsi="Cambria"/>
          <w:lang w:val="en-US"/>
        </w:rPr>
        <w:t>the Equal Rights Trust</w:t>
      </w:r>
      <w:r w:rsidRPr="00AA1676">
        <w:rPr>
          <w:rFonts w:ascii="Cambria" w:hAnsi="Cambria"/>
          <w:lang w:val="en-US"/>
        </w:rPr>
        <w:t xml:space="preserve"> by ABOFEM upon request). </w:t>
      </w:r>
    </w:p>
  </w:footnote>
  <w:footnote w:id="16">
    <w:p w14:paraId="4E575813" w14:textId="321304E5" w:rsidR="007F7805" w:rsidRPr="00AA1676" w:rsidRDefault="007F7805" w:rsidP="00AA1676">
      <w:pPr>
        <w:pStyle w:val="FootnoteText"/>
        <w:spacing w:after="120"/>
        <w:rPr>
          <w:rFonts w:ascii="Cambria" w:hAnsi="Cambria"/>
          <w:lang w:val="es-ES"/>
        </w:rPr>
      </w:pPr>
      <w:r w:rsidRPr="00AA1676">
        <w:rPr>
          <w:rStyle w:val="FootnoteReference"/>
          <w:rFonts w:ascii="Cambria" w:hAnsi="Cambria"/>
        </w:rPr>
        <w:footnoteRef/>
      </w:r>
      <w:r w:rsidRPr="00AA1676">
        <w:rPr>
          <w:rFonts w:ascii="Cambria" w:hAnsi="Cambria"/>
          <w:lang w:val="es-ES"/>
        </w:rPr>
        <w:t xml:space="preserve"> ABOFEM (Asociación de Abogadas Feministas de Chile), </w:t>
      </w:r>
      <w:r w:rsidRPr="00AA1676">
        <w:rPr>
          <w:rFonts w:ascii="Cambria" w:hAnsi="Cambria" w:cs="Arial"/>
          <w:lang w:val="es-ES"/>
        </w:rPr>
        <w:t xml:space="preserve">informe preliminar sobre acceso a la justicia y la situación de derechos humanos en Chile, 2019 </w:t>
      </w:r>
      <w:r w:rsidRPr="00AA1676">
        <w:rPr>
          <w:rFonts w:ascii="Cambria" w:hAnsi="Cambria"/>
          <w:lang w:val="es-ES"/>
        </w:rPr>
        <w:t>(</w:t>
      </w:r>
      <w:r w:rsidR="006904B5" w:rsidRPr="00AA1676">
        <w:rPr>
          <w:rFonts w:ascii="Cambria" w:hAnsi="Cambria"/>
          <w:lang w:val="en-US"/>
        </w:rPr>
        <w:t>Provided to the Equal Rights Trust by ABOFEM upon request</w:t>
      </w:r>
      <w:r w:rsidR="006904B5" w:rsidRPr="00AA1676">
        <w:rPr>
          <w:rFonts w:ascii="Cambria" w:hAnsi="Cambria"/>
          <w:lang w:val="en-US"/>
        </w:rPr>
        <w:t>)</w:t>
      </w:r>
    </w:p>
  </w:footnote>
  <w:footnote w:id="17">
    <w:p w14:paraId="6AF1CB66" w14:textId="77777777" w:rsidR="007F7805" w:rsidRPr="00AA1676" w:rsidRDefault="007F7805" w:rsidP="00AA1676">
      <w:pPr>
        <w:pStyle w:val="FootnoteText"/>
        <w:spacing w:after="120"/>
        <w:rPr>
          <w:rFonts w:ascii="Cambria" w:hAnsi="Cambria"/>
          <w:lang w:val="en-US"/>
        </w:rPr>
      </w:pPr>
      <w:r w:rsidRPr="00AA1676">
        <w:rPr>
          <w:rStyle w:val="FootnoteReference"/>
          <w:rFonts w:ascii="Cambria" w:hAnsi="Cambria"/>
        </w:rPr>
        <w:footnoteRef/>
      </w:r>
      <w:r w:rsidRPr="00AA1676">
        <w:rPr>
          <w:rFonts w:ascii="Cambria" w:hAnsi="Cambria"/>
          <w:lang w:val="en-US"/>
        </w:rPr>
        <w:t xml:space="preserve"> </w:t>
      </w:r>
      <w:r w:rsidRPr="00AA1676">
        <w:rPr>
          <w:rFonts w:ascii="Cambria" w:hAnsi="Cambria"/>
          <w:i/>
          <w:iCs/>
          <w:lang w:val="en-US"/>
        </w:rPr>
        <w:t>Ibid</w:t>
      </w:r>
      <w:r w:rsidRPr="00AA1676">
        <w:rPr>
          <w:rFonts w:ascii="Cambria" w:hAnsi="Cambria"/>
          <w:lang w:val="en-US"/>
        </w:rPr>
        <w:t>.</w:t>
      </w:r>
    </w:p>
  </w:footnote>
  <w:footnote w:id="18">
    <w:p w14:paraId="591504F5" w14:textId="77777777" w:rsidR="007F7805" w:rsidRPr="00AA1676" w:rsidRDefault="007F7805" w:rsidP="00AA1676">
      <w:pPr>
        <w:pStyle w:val="NormalWeb"/>
        <w:shd w:val="clear" w:color="auto" w:fill="FFFFFF"/>
        <w:adjustRightInd w:val="0"/>
        <w:spacing w:before="0" w:beforeAutospacing="0" w:after="120" w:afterAutospacing="0"/>
        <w:rPr>
          <w:rFonts w:ascii="Cambria" w:hAnsi="Cambria"/>
          <w:sz w:val="20"/>
          <w:szCs w:val="20"/>
          <w:lang w:val="en-US"/>
        </w:rPr>
      </w:pPr>
      <w:r w:rsidRPr="00AA1676">
        <w:rPr>
          <w:rStyle w:val="FootnoteReference"/>
          <w:rFonts w:ascii="Cambria" w:hAnsi="Cambria"/>
          <w:sz w:val="20"/>
          <w:szCs w:val="20"/>
        </w:rPr>
        <w:footnoteRef/>
      </w:r>
      <w:r w:rsidRPr="00AA1676">
        <w:rPr>
          <w:rFonts w:ascii="Cambria" w:hAnsi="Cambria"/>
          <w:sz w:val="20"/>
          <w:szCs w:val="20"/>
          <w:lang w:val="en-US"/>
        </w:rPr>
        <w:t xml:space="preserve"> </w:t>
      </w:r>
      <w:r w:rsidRPr="00AA1676">
        <w:rPr>
          <w:rFonts w:ascii="Cambria" w:hAnsi="Cambria"/>
          <w:i/>
          <w:iCs/>
          <w:sz w:val="20"/>
          <w:szCs w:val="20"/>
          <w:lang w:val="en-US"/>
        </w:rPr>
        <w:t>Ibid</w:t>
      </w:r>
      <w:r w:rsidRPr="00AA1676">
        <w:rPr>
          <w:rFonts w:ascii="Cambria" w:hAnsi="Cambria"/>
          <w:sz w:val="20"/>
          <w:szCs w:val="20"/>
          <w:lang w:val="en-US"/>
        </w:rPr>
        <w:t>.</w:t>
      </w:r>
    </w:p>
  </w:footnote>
  <w:footnote w:id="19">
    <w:p w14:paraId="0F72E16D" w14:textId="57F56AE4" w:rsidR="007F7805" w:rsidRPr="00AA1676" w:rsidRDefault="007F7805" w:rsidP="00AA1676">
      <w:pPr>
        <w:pStyle w:val="FootnoteText"/>
        <w:spacing w:after="120"/>
        <w:rPr>
          <w:rFonts w:ascii="Cambria" w:hAnsi="Cambria"/>
          <w:lang w:val="es-BO"/>
        </w:rPr>
      </w:pPr>
      <w:r w:rsidRPr="00AA1676">
        <w:rPr>
          <w:rStyle w:val="FootnoteReference"/>
          <w:rFonts w:ascii="Cambria" w:hAnsi="Cambria"/>
        </w:rPr>
        <w:footnoteRef/>
      </w:r>
      <w:r w:rsidRPr="00AA1676">
        <w:rPr>
          <w:rFonts w:ascii="Cambria" w:hAnsi="Cambria"/>
          <w:lang w:val="en-US"/>
        </w:rPr>
        <w:t xml:space="preserve"> </w:t>
      </w:r>
      <w:r w:rsidR="006904B5" w:rsidRPr="00AA1676">
        <w:rPr>
          <w:rFonts w:ascii="Cambria" w:eastAsia="Times New Roman" w:hAnsi="Cambria" w:cs="Times New Roman"/>
          <w:lang w:val="en-US"/>
        </w:rPr>
        <w:t>See above, note 1, Para</w:t>
      </w:r>
      <w:r w:rsidRPr="00AA1676">
        <w:rPr>
          <w:rFonts w:ascii="Cambria" w:eastAsia="Times New Roman" w:hAnsi="Cambria" w:cs="Times New Roman"/>
          <w:lang w:val="en-US"/>
        </w:rPr>
        <w:t xml:space="preserve"> 9; see also, </w:t>
      </w:r>
      <w:r w:rsidRPr="00AA1676">
        <w:rPr>
          <w:rFonts w:ascii="Cambria" w:hAnsi="Cambria"/>
          <w:i/>
          <w:iCs/>
        </w:rPr>
        <w:t xml:space="preserve">M.C. and A.C. v Romania </w:t>
      </w:r>
      <w:r w:rsidRPr="00AA1676">
        <w:rPr>
          <w:rFonts w:ascii="Cambria" w:hAnsi="Cambria"/>
        </w:rPr>
        <w:t>(</w:t>
      </w:r>
      <w:r w:rsidRPr="00AA1676">
        <w:rPr>
          <w:rFonts w:ascii="Cambria" w:hAnsi="Cambria"/>
          <w:lang w:val="en-US"/>
        </w:rPr>
        <w:t xml:space="preserve">Application </w:t>
      </w:r>
      <w:r w:rsidRPr="00AA1676">
        <w:rPr>
          <w:rFonts w:ascii="Cambria" w:hAnsi="Cambria"/>
        </w:rPr>
        <w:t>No. 12060/12)</w:t>
      </w:r>
      <w:r w:rsidRPr="00AA1676">
        <w:rPr>
          <w:rFonts w:ascii="Cambria" w:hAnsi="Cambria"/>
          <w:lang w:val="en-US"/>
        </w:rPr>
        <w:t>, European Court of Human Rights (ECtHR), 12 April 2016, para.</w:t>
      </w:r>
      <w:r w:rsidRPr="00AA1676">
        <w:rPr>
          <w:rFonts w:ascii="Cambria" w:hAnsi="Cambria"/>
        </w:rPr>
        <w:t xml:space="preserve"> 10</w:t>
      </w:r>
      <w:r w:rsidRPr="00AA1676">
        <w:rPr>
          <w:rFonts w:ascii="Cambria" w:hAnsi="Cambria"/>
          <w:lang w:val="en-US"/>
        </w:rPr>
        <w:t>5</w:t>
      </w:r>
      <w:r w:rsidRPr="00AA1676">
        <w:rPr>
          <w:rFonts w:ascii="Cambria" w:hAnsi="Cambria"/>
          <w:i/>
          <w:iCs/>
          <w:lang w:val="en-US"/>
        </w:rPr>
        <w:t xml:space="preserve"> </w:t>
      </w:r>
      <w:r w:rsidRPr="00AA1676">
        <w:rPr>
          <w:rFonts w:ascii="Cambria" w:hAnsi="Cambria"/>
          <w:i/>
          <w:iCs/>
        </w:rPr>
        <w:t xml:space="preserve">Identoba </w:t>
      </w:r>
      <w:r w:rsidRPr="00AA1676">
        <w:rPr>
          <w:rFonts w:ascii="Cambria" w:hAnsi="Cambria"/>
          <w:i/>
          <w:iCs/>
          <w:lang w:val="en-US"/>
        </w:rPr>
        <w:t xml:space="preserve">and Others </w:t>
      </w:r>
      <w:r w:rsidRPr="00AA1676">
        <w:rPr>
          <w:rFonts w:ascii="Cambria" w:hAnsi="Cambria"/>
          <w:i/>
          <w:iCs/>
        </w:rPr>
        <w:t xml:space="preserve">v Georgia </w:t>
      </w:r>
      <w:r w:rsidRPr="00AA1676">
        <w:rPr>
          <w:rFonts w:ascii="Cambria" w:hAnsi="Cambria"/>
        </w:rPr>
        <w:t>(</w:t>
      </w:r>
      <w:r w:rsidRPr="00AA1676">
        <w:rPr>
          <w:rFonts w:ascii="Cambria" w:hAnsi="Cambria"/>
          <w:lang w:val="en-US"/>
        </w:rPr>
        <w:t xml:space="preserve">Application </w:t>
      </w:r>
      <w:r w:rsidRPr="00AA1676">
        <w:rPr>
          <w:rFonts w:ascii="Cambria" w:hAnsi="Cambria"/>
        </w:rPr>
        <w:t>No. 73235/12</w:t>
      </w:r>
      <w:r w:rsidRPr="00AA1676">
        <w:rPr>
          <w:rFonts w:ascii="Cambria" w:hAnsi="Cambria"/>
          <w:lang w:val="en-US"/>
        </w:rPr>
        <w:t>), ECtHR, 12 May 2015, para.</w:t>
      </w:r>
      <w:r w:rsidRPr="00AA1676">
        <w:rPr>
          <w:rFonts w:ascii="Cambria" w:hAnsi="Cambria"/>
        </w:rPr>
        <w:t xml:space="preserve"> </w:t>
      </w:r>
      <w:r w:rsidRPr="00AA1676">
        <w:rPr>
          <w:rFonts w:ascii="Cambria" w:hAnsi="Cambria"/>
          <w:lang w:val="es-BO"/>
        </w:rPr>
        <w:t xml:space="preserve">63. </w:t>
      </w:r>
    </w:p>
  </w:footnote>
  <w:footnote w:id="20">
    <w:p w14:paraId="0197C1A2" w14:textId="23229BBA" w:rsidR="007F7805" w:rsidRPr="00AA1676" w:rsidRDefault="007F7805" w:rsidP="00AA1676">
      <w:pPr>
        <w:pStyle w:val="FootnoteText"/>
        <w:spacing w:after="120"/>
        <w:rPr>
          <w:rFonts w:ascii="Cambria" w:hAnsi="Cambria"/>
          <w:lang w:val="en-US"/>
        </w:rPr>
      </w:pPr>
      <w:r w:rsidRPr="00AA1676">
        <w:rPr>
          <w:rStyle w:val="FootnoteReference"/>
          <w:rFonts w:ascii="Cambria" w:hAnsi="Cambria"/>
        </w:rPr>
        <w:footnoteRef/>
      </w:r>
      <w:r w:rsidRPr="00AA1676">
        <w:rPr>
          <w:rFonts w:ascii="Cambria" w:hAnsi="Cambria"/>
          <w:lang w:val="en-US"/>
        </w:rPr>
        <w:t xml:space="preserve"> </w:t>
      </w:r>
      <w:proofErr w:type="spellStart"/>
      <w:r w:rsidRPr="00AA1676">
        <w:rPr>
          <w:rFonts w:ascii="Cambria" w:hAnsi="Cambria"/>
          <w:lang w:val="en-US"/>
        </w:rPr>
        <w:t>Khandikian</w:t>
      </w:r>
      <w:proofErr w:type="spellEnd"/>
      <w:r w:rsidRPr="00AA1676">
        <w:rPr>
          <w:rFonts w:ascii="Cambria" w:hAnsi="Cambria"/>
          <w:lang w:val="en-US"/>
        </w:rPr>
        <w:t xml:space="preserve">, K., “Rainbow Hysteria: How LGBTI Issues Became A Mainstream Topic of Conversation”, 26 February 2019, available at: </w:t>
      </w:r>
      <w:hyperlink r:id="rId4" w:history="1">
        <w:r w:rsidRPr="00AA1676">
          <w:rPr>
            <w:rStyle w:val="Hyperlink"/>
            <w:rFonts w:ascii="Cambria" w:hAnsi="Cambria"/>
            <w:lang w:val="en-US"/>
          </w:rPr>
          <w:t>https://www.evnreport.com/raw-unfiltered/rainbow-hysteria-how-lgbt-issues-became-a-mainstream-topic-of-conversation</w:t>
        </w:r>
      </w:hyperlink>
    </w:p>
  </w:footnote>
  <w:footnote w:id="21">
    <w:p w14:paraId="3A9E3074" w14:textId="77777777" w:rsidR="007F7805" w:rsidRPr="00AA1676" w:rsidRDefault="007F7805" w:rsidP="00AA1676">
      <w:pPr>
        <w:pStyle w:val="FootnoteText"/>
        <w:spacing w:after="120"/>
        <w:jc w:val="both"/>
        <w:rPr>
          <w:rFonts w:ascii="Cambria" w:hAnsi="Cambria"/>
          <w:lang w:val="es-BO"/>
        </w:rPr>
      </w:pPr>
      <w:r w:rsidRPr="00AA1676">
        <w:rPr>
          <w:rStyle w:val="FootnoteReference"/>
          <w:rFonts w:ascii="Cambria" w:hAnsi="Cambria"/>
        </w:rPr>
        <w:footnoteRef/>
      </w:r>
      <w:r w:rsidRPr="00AA1676">
        <w:rPr>
          <w:rFonts w:ascii="Cambria" w:hAnsi="Cambria"/>
          <w:lang w:val="es-BO"/>
        </w:rPr>
        <w:t xml:space="preserve"> ABC Color, “Intendente prohíbe una marcha LGBT en Hernandarias”, 27 </w:t>
      </w:r>
      <w:proofErr w:type="spellStart"/>
      <w:r w:rsidRPr="00AA1676">
        <w:rPr>
          <w:rFonts w:ascii="Cambria" w:hAnsi="Cambria"/>
          <w:lang w:val="es-BO"/>
        </w:rPr>
        <w:t>September</w:t>
      </w:r>
      <w:proofErr w:type="spellEnd"/>
      <w:r w:rsidRPr="00AA1676">
        <w:rPr>
          <w:rFonts w:ascii="Cambria" w:hAnsi="Cambria"/>
          <w:lang w:val="es-BO"/>
        </w:rPr>
        <w:t xml:space="preserve"> 2019, </w:t>
      </w:r>
      <w:proofErr w:type="spellStart"/>
      <w:r w:rsidRPr="00AA1676">
        <w:rPr>
          <w:rFonts w:ascii="Cambria" w:hAnsi="Cambria"/>
          <w:lang w:val="es-BO"/>
        </w:rPr>
        <w:t>available</w:t>
      </w:r>
      <w:proofErr w:type="spellEnd"/>
      <w:r w:rsidRPr="00AA1676">
        <w:rPr>
          <w:rFonts w:ascii="Cambria" w:hAnsi="Cambria"/>
          <w:lang w:val="es-BO"/>
        </w:rPr>
        <w:t xml:space="preserve"> at: </w:t>
      </w:r>
      <w:hyperlink r:id="rId5" w:history="1">
        <w:r w:rsidRPr="00AA1676">
          <w:rPr>
            <w:rStyle w:val="Hyperlink"/>
            <w:rFonts w:ascii="Cambria" w:hAnsi="Cambria"/>
            <w:lang w:val="es-BO"/>
          </w:rPr>
          <w:t>https://www.abc.com.py/nacionales/2019/09/27/intendente-prohibe-una-marcha-lgbt-en-hernandarias/</w:t>
        </w:r>
      </w:hyperlink>
    </w:p>
  </w:footnote>
  <w:footnote w:id="22">
    <w:p w14:paraId="61B59BF1" w14:textId="77777777" w:rsidR="007F7805" w:rsidRPr="00AA1676" w:rsidRDefault="007F7805" w:rsidP="00AA1676">
      <w:pPr>
        <w:pStyle w:val="FootnoteText"/>
        <w:spacing w:after="120"/>
        <w:jc w:val="both"/>
        <w:rPr>
          <w:rFonts w:ascii="Cambria" w:hAnsi="Cambria"/>
          <w:lang w:val="es-BO"/>
        </w:rPr>
      </w:pPr>
      <w:r w:rsidRPr="00AA1676">
        <w:rPr>
          <w:rStyle w:val="FootnoteReference"/>
          <w:rFonts w:ascii="Cambria" w:hAnsi="Cambria"/>
        </w:rPr>
        <w:footnoteRef/>
      </w:r>
      <w:r w:rsidRPr="00AA1676">
        <w:rPr>
          <w:rFonts w:ascii="Cambria" w:hAnsi="Cambria"/>
          <w:lang w:val="es-BO"/>
        </w:rPr>
        <w:t xml:space="preserve"> </w:t>
      </w:r>
      <w:r w:rsidRPr="00AA1676">
        <w:rPr>
          <w:rFonts w:ascii="Cambria" w:hAnsi="Cambria"/>
          <w:i/>
          <w:iCs/>
          <w:lang w:val="es-BO"/>
        </w:rPr>
        <w:t xml:space="preserve">Ibid. </w:t>
      </w:r>
    </w:p>
  </w:footnote>
  <w:footnote w:id="23">
    <w:p w14:paraId="0F2C6989" w14:textId="77777777" w:rsidR="007F7805" w:rsidRPr="00AA1676" w:rsidRDefault="007F7805" w:rsidP="00AA1676">
      <w:pPr>
        <w:pStyle w:val="FootnoteText"/>
        <w:spacing w:after="120"/>
        <w:jc w:val="both"/>
        <w:rPr>
          <w:rFonts w:ascii="Cambria" w:hAnsi="Cambria"/>
          <w:lang w:val="es-BO"/>
        </w:rPr>
      </w:pPr>
      <w:r w:rsidRPr="00AA1676">
        <w:rPr>
          <w:rStyle w:val="FootnoteReference"/>
          <w:rFonts w:ascii="Cambria" w:hAnsi="Cambria"/>
        </w:rPr>
        <w:footnoteRef/>
      </w:r>
      <w:r w:rsidRPr="00AA1676">
        <w:rPr>
          <w:rFonts w:ascii="Cambria" w:hAnsi="Cambria"/>
          <w:lang w:val="es-BO"/>
        </w:rPr>
        <w:t xml:space="preserve"> </w:t>
      </w:r>
      <w:r w:rsidRPr="00AA1676">
        <w:rPr>
          <w:rFonts w:ascii="Cambria" w:hAnsi="Cambria"/>
          <w:i/>
          <w:iCs/>
          <w:lang w:val="es-BO"/>
        </w:rPr>
        <w:t xml:space="preserve">Ibid. </w:t>
      </w:r>
    </w:p>
  </w:footnote>
  <w:footnote w:id="24">
    <w:p w14:paraId="35D95F59" w14:textId="77777777" w:rsidR="007F7805" w:rsidRPr="00AA1676" w:rsidRDefault="007F7805" w:rsidP="00AA1676">
      <w:pPr>
        <w:pStyle w:val="FootnoteText"/>
        <w:spacing w:after="120"/>
        <w:rPr>
          <w:rFonts w:ascii="Cambria" w:hAnsi="Cambria"/>
          <w:lang w:val="es-BO"/>
        </w:rPr>
      </w:pPr>
      <w:r w:rsidRPr="00AA1676">
        <w:rPr>
          <w:rStyle w:val="FootnoteReference"/>
          <w:rFonts w:ascii="Cambria" w:hAnsi="Cambria"/>
        </w:rPr>
        <w:footnoteRef/>
      </w:r>
      <w:r w:rsidRPr="00AA1676">
        <w:rPr>
          <w:rFonts w:ascii="Cambria" w:hAnsi="Cambria"/>
          <w:lang w:val="es-BO"/>
        </w:rPr>
        <w:t xml:space="preserve"> ABC Color, “Marcha LGBT: Intendente justificó agresión de los ‘provida’”, 30 </w:t>
      </w:r>
      <w:proofErr w:type="spellStart"/>
      <w:r w:rsidRPr="00AA1676">
        <w:rPr>
          <w:rFonts w:ascii="Cambria" w:hAnsi="Cambria"/>
          <w:lang w:val="es-BO"/>
        </w:rPr>
        <w:t>September</w:t>
      </w:r>
      <w:proofErr w:type="spellEnd"/>
      <w:r w:rsidRPr="00AA1676">
        <w:rPr>
          <w:rFonts w:ascii="Cambria" w:hAnsi="Cambria"/>
          <w:lang w:val="es-BO"/>
        </w:rPr>
        <w:t xml:space="preserve"> 2019, </w:t>
      </w:r>
      <w:proofErr w:type="spellStart"/>
      <w:r w:rsidRPr="00AA1676">
        <w:rPr>
          <w:rFonts w:ascii="Cambria" w:hAnsi="Cambria"/>
          <w:lang w:val="es-BO"/>
        </w:rPr>
        <w:t>available</w:t>
      </w:r>
      <w:proofErr w:type="spellEnd"/>
      <w:r w:rsidRPr="00AA1676">
        <w:rPr>
          <w:rFonts w:ascii="Cambria" w:hAnsi="Cambria"/>
          <w:lang w:val="es-BO"/>
        </w:rPr>
        <w:t xml:space="preserve"> at: </w:t>
      </w:r>
      <w:hyperlink r:id="rId6" w:history="1">
        <w:r w:rsidRPr="00AA1676">
          <w:rPr>
            <w:rStyle w:val="Hyperlink"/>
            <w:rFonts w:ascii="Cambria" w:hAnsi="Cambria"/>
            <w:lang w:val="es-BO"/>
          </w:rPr>
          <w:t>https://www.abc.com.py/nacionales/2019/09/30/marcha-lgbt-intendente-justifico-agresion-de-los-provida/</w:t>
        </w:r>
      </w:hyperlink>
      <w:r w:rsidRPr="00AA1676">
        <w:rPr>
          <w:rFonts w:ascii="Cambria" w:hAnsi="Cambria"/>
          <w:lang w:val="es-BO"/>
        </w:rPr>
        <w:t xml:space="preserve"> </w:t>
      </w:r>
    </w:p>
  </w:footnote>
  <w:footnote w:id="25">
    <w:p w14:paraId="6F2BA41C" w14:textId="77777777" w:rsidR="007F7805" w:rsidRPr="00AA1676" w:rsidRDefault="007F7805" w:rsidP="00AA1676">
      <w:pPr>
        <w:pStyle w:val="FootnoteText"/>
        <w:spacing w:after="120"/>
        <w:rPr>
          <w:rFonts w:ascii="Cambria" w:hAnsi="Cambria"/>
          <w:lang w:val="es-ES"/>
        </w:rPr>
      </w:pPr>
      <w:r w:rsidRPr="00AA1676">
        <w:rPr>
          <w:rStyle w:val="FootnoteReference"/>
          <w:rFonts w:ascii="Cambria" w:hAnsi="Cambria"/>
        </w:rPr>
        <w:footnoteRef/>
      </w:r>
      <w:r w:rsidRPr="00AA1676">
        <w:rPr>
          <w:rFonts w:ascii="Cambria" w:hAnsi="Cambria"/>
          <w:lang w:val="es-BO"/>
        </w:rPr>
        <w:t xml:space="preserve"> </w:t>
      </w:r>
      <w:r w:rsidRPr="00AA1676">
        <w:rPr>
          <w:rFonts w:ascii="Cambria" w:hAnsi="Cambria"/>
          <w:lang w:val="es-ES"/>
        </w:rPr>
        <w:t xml:space="preserve">Quintana, J., “Grupos </w:t>
      </w:r>
      <w:proofErr w:type="spellStart"/>
      <w:r w:rsidRPr="00AA1676">
        <w:rPr>
          <w:rFonts w:ascii="Cambria" w:hAnsi="Cambria"/>
          <w:lang w:val="es-ES"/>
        </w:rPr>
        <w:t>antiderechos</w:t>
      </w:r>
      <w:proofErr w:type="spellEnd"/>
      <w:r w:rsidRPr="00AA1676">
        <w:rPr>
          <w:rFonts w:ascii="Cambria" w:hAnsi="Cambria"/>
          <w:lang w:val="es-ES"/>
        </w:rPr>
        <w:t xml:space="preserve"> atacaron marcha LGBT en Paraguay”, 30 </w:t>
      </w:r>
      <w:proofErr w:type="spellStart"/>
      <w:r w:rsidRPr="00AA1676">
        <w:rPr>
          <w:rFonts w:ascii="Cambria" w:hAnsi="Cambria"/>
          <w:lang w:val="es-ES"/>
        </w:rPr>
        <w:t>September</w:t>
      </w:r>
      <w:proofErr w:type="spellEnd"/>
      <w:r w:rsidRPr="00AA1676">
        <w:rPr>
          <w:rFonts w:ascii="Cambria" w:hAnsi="Cambria"/>
          <w:lang w:val="es-ES"/>
        </w:rPr>
        <w:t xml:space="preserve"> 2019, </w:t>
      </w:r>
      <w:proofErr w:type="spellStart"/>
      <w:r w:rsidRPr="00AA1676">
        <w:rPr>
          <w:rFonts w:ascii="Cambria" w:hAnsi="Cambria"/>
          <w:lang w:val="es-ES"/>
        </w:rPr>
        <w:t>available</w:t>
      </w:r>
      <w:proofErr w:type="spellEnd"/>
      <w:r w:rsidRPr="00AA1676">
        <w:rPr>
          <w:rFonts w:ascii="Cambria" w:hAnsi="Cambria"/>
          <w:lang w:val="es-ES"/>
        </w:rPr>
        <w:t xml:space="preserve"> at: </w:t>
      </w:r>
      <w:hyperlink r:id="rId7" w:history="1">
        <w:r w:rsidRPr="00AA1676">
          <w:rPr>
            <w:rStyle w:val="Hyperlink"/>
            <w:rFonts w:ascii="Cambria" w:hAnsi="Cambria"/>
            <w:lang w:val="es-BO"/>
          </w:rPr>
          <w:t>http://agenciapresentes.org/2019/09/30/grupos-antiderechos-atacaron-marcha-lgbt-en-hernandarias/</w:t>
        </w:r>
      </w:hyperlink>
      <w:r w:rsidRPr="00AA1676">
        <w:rPr>
          <w:rFonts w:ascii="Cambria" w:hAnsi="Cambria"/>
          <w:lang w:val="es-ES"/>
        </w:rPr>
        <w:t xml:space="preserve"> </w:t>
      </w:r>
    </w:p>
  </w:footnote>
  <w:footnote w:id="26">
    <w:p w14:paraId="33813B8A" w14:textId="7D128624" w:rsidR="007F7805" w:rsidRPr="00AA1676" w:rsidRDefault="007F7805" w:rsidP="00AA1676">
      <w:pPr>
        <w:pStyle w:val="FootnoteText"/>
        <w:spacing w:after="120"/>
        <w:rPr>
          <w:rFonts w:ascii="Cambria" w:hAnsi="Cambria"/>
          <w:lang w:val="en-US"/>
        </w:rPr>
      </w:pPr>
      <w:r w:rsidRPr="00AA1676">
        <w:rPr>
          <w:rStyle w:val="FootnoteReference"/>
          <w:rFonts w:ascii="Cambria" w:hAnsi="Cambria"/>
        </w:rPr>
        <w:footnoteRef/>
      </w:r>
      <w:r w:rsidRPr="00AA1676">
        <w:rPr>
          <w:rFonts w:ascii="Cambria" w:hAnsi="Cambria"/>
        </w:rPr>
        <w:t xml:space="preserve"> The LGBT Centre</w:t>
      </w:r>
      <w:r w:rsidR="006904B5" w:rsidRPr="00AA1676">
        <w:rPr>
          <w:rFonts w:ascii="Cambria" w:hAnsi="Cambria"/>
        </w:rPr>
        <w:t>,</w:t>
      </w:r>
      <w:r w:rsidRPr="00AA1676">
        <w:rPr>
          <w:rFonts w:ascii="Cambria" w:hAnsi="Cambria"/>
        </w:rPr>
        <w:t xml:space="preserve"> </w:t>
      </w:r>
      <w:r w:rsidRPr="00AA1676">
        <w:rPr>
          <w:rFonts w:ascii="Cambria" w:hAnsi="Cambria"/>
          <w:i/>
          <w:iCs/>
        </w:rPr>
        <w:t>Report on the Human Rights Situation of the Lesbian, Gay, Bisexual, Transgender and Intersex (LGBTI) People in Mongolia for the 118</w:t>
      </w:r>
      <w:r w:rsidRPr="00AA1676">
        <w:rPr>
          <w:rFonts w:ascii="Cambria" w:hAnsi="Cambria"/>
          <w:i/>
          <w:iCs/>
          <w:vertAlign w:val="superscript"/>
        </w:rPr>
        <w:t>th</w:t>
      </w:r>
      <w:r w:rsidRPr="00AA1676">
        <w:rPr>
          <w:rFonts w:ascii="Cambria" w:hAnsi="Cambria"/>
          <w:i/>
          <w:iCs/>
        </w:rPr>
        <w:t xml:space="preserve"> Session of the UN Human Rights Committee (CCPR),</w:t>
      </w:r>
      <w:r w:rsidRPr="00AA1676">
        <w:rPr>
          <w:rFonts w:ascii="Cambria" w:hAnsi="Cambria"/>
        </w:rPr>
        <w:t xml:space="preserve"> available at: </w:t>
      </w:r>
      <w:hyperlink r:id="rId8" w:history="1">
        <w:r w:rsidRPr="00AA1676">
          <w:rPr>
            <w:rStyle w:val="Hyperlink"/>
            <w:rFonts w:ascii="Cambria" w:hAnsi="Cambria"/>
          </w:rPr>
          <w:t>https://tbinternet.ohchr.org/Treaties/CCPR/Shared Documents/MNG/INT_CCPR_ICO_MNG_24697_E.docx</w:t>
        </w:r>
      </w:hyperlink>
    </w:p>
  </w:footnote>
  <w:footnote w:id="27">
    <w:p w14:paraId="25AB4DDF" w14:textId="59BFDD57" w:rsidR="00D338D7" w:rsidRPr="00AA1676" w:rsidRDefault="00D338D7" w:rsidP="00AA1676">
      <w:pPr>
        <w:pStyle w:val="FootnoteText"/>
        <w:spacing w:after="120"/>
        <w:rPr>
          <w:rFonts w:ascii="Cambria" w:hAnsi="Cambria"/>
        </w:rPr>
      </w:pPr>
      <w:r w:rsidRPr="00AA1676">
        <w:rPr>
          <w:rStyle w:val="FootnoteReference"/>
          <w:rFonts w:ascii="Cambria" w:hAnsi="Cambria"/>
        </w:rPr>
        <w:footnoteRef/>
      </w:r>
      <w:r w:rsidRPr="00AA1676">
        <w:rPr>
          <w:rFonts w:ascii="Cambria" w:hAnsi="Cambria"/>
        </w:rPr>
        <w:t xml:space="preserve"> </w:t>
      </w:r>
      <w:r w:rsidRPr="00AA1676">
        <w:rPr>
          <w:rFonts w:ascii="Cambria" w:eastAsia="Times New Roman" w:hAnsi="Cambria"/>
        </w:rPr>
        <w:t>Disability News Service, “Anger as police confiscate Extinction Rebellion accessible toilets, ramps and wheelchairs”</w:t>
      </w:r>
      <w:r w:rsidRPr="00AA1676">
        <w:rPr>
          <w:rFonts w:ascii="Cambria" w:eastAsia="Times New Roman" w:hAnsi="Cambria"/>
        </w:rPr>
        <w:t xml:space="preserve">, </w:t>
      </w:r>
      <w:r w:rsidRPr="00AA1676">
        <w:rPr>
          <w:rFonts w:ascii="Cambria" w:eastAsia="Times New Roman" w:hAnsi="Cambria"/>
        </w:rPr>
        <w:t>10 Oct 2019</w:t>
      </w:r>
      <w:r w:rsidRPr="00AA1676">
        <w:rPr>
          <w:rFonts w:ascii="Cambria" w:eastAsia="Times New Roman" w:hAnsi="Cambria"/>
        </w:rPr>
        <w:t>, available at:</w:t>
      </w:r>
      <w:r w:rsidRPr="00AA1676">
        <w:rPr>
          <w:rFonts w:ascii="Cambria" w:hAnsi="Cambria"/>
        </w:rPr>
        <w:t xml:space="preserve"> </w:t>
      </w:r>
      <w:hyperlink r:id="rId9" w:history="1">
        <w:r w:rsidRPr="00AA1676">
          <w:rPr>
            <w:rStyle w:val="Hyperlink"/>
            <w:rFonts w:ascii="Cambria" w:hAnsi="Cambria"/>
          </w:rPr>
          <w:t>https://www.disabilitynewsservice.com/anger-as-police-confiscate-extinction-rebellion-accessible-toilets-ramps-and-wheelchairs/</w:t>
        </w:r>
      </w:hyperlink>
      <w:r w:rsidRPr="00AA1676">
        <w:rPr>
          <w:rFonts w:ascii="Cambria" w:hAnsi="Cambria"/>
        </w:rPr>
        <w:t>.</w:t>
      </w:r>
    </w:p>
  </w:footnote>
  <w:footnote w:id="28">
    <w:p w14:paraId="3327DC75" w14:textId="672A721F" w:rsidR="007F7805" w:rsidRPr="00AA1676" w:rsidRDefault="007F7805" w:rsidP="00AA1676">
      <w:pPr>
        <w:pStyle w:val="FootnoteText"/>
        <w:spacing w:after="120"/>
        <w:rPr>
          <w:rFonts w:ascii="Cambria" w:hAnsi="Cambria"/>
          <w:lang w:val="en-US"/>
        </w:rPr>
      </w:pPr>
      <w:r w:rsidRPr="00AA1676">
        <w:rPr>
          <w:rStyle w:val="FootnoteReference"/>
          <w:rFonts w:ascii="Cambria" w:hAnsi="Cambria"/>
        </w:rPr>
        <w:footnoteRef/>
      </w:r>
      <w:r w:rsidRPr="00AA1676">
        <w:rPr>
          <w:rFonts w:ascii="Cambria" w:hAnsi="Cambria"/>
        </w:rPr>
        <w:t xml:space="preserve"> </w:t>
      </w:r>
      <w:r w:rsidR="006904B5" w:rsidRPr="00AA1676">
        <w:rPr>
          <w:rFonts w:ascii="Cambria" w:eastAsia="Times New Roman" w:hAnsi="Cambria" w:cs="Times New Roman"/>
          <w:lang w:val="en-US"/>
        </w:rPr>
        <w:t>See above, note 1, Para</w:t>
      </w:r>
      <w:r w:rsidRPr="00AA1676">
        <w:rPr>
          <w:rFonts w:ascii="Cambria" w:hAnsi="Cambria"/>
        </w:rPr>
        <w:t xml:space="preserve"> 8.</w:t>
      </w:r>
    </w:p>
  </w:footnote>
  <w:footnote w:id="29">
    <w:p w14:paraId="514FE0F3" w14:textId="6268F6A9" w:rsidR="007F7805" w:rsidRPr="00AA1676" w:rsidRDefault="007F7805" w:rsidP="00AA1676">
      <w:pPr>
        <w:pStyle w:val="FootnoteText"/>
        <w:spacing w:after="120"/>
        <w:rPr>
          <w:rFonts w:ascii="Cambria" w:hAnsi="Cambria"/>
        </w:rPr>
      </w:pPr>
      <w:r w:rsidRPr="00AA1676">
        <w:rPr>
          <w:rStyle w:val="FootnoteReference"/>
          <w:rFonts w:ascii="Cambria" w:hAnsi="Cambria"/>
        </w:rPr>
        <w:footnoteRef/>
      </w:r>
      <w:r w:rsidRPr="00AA1676">
        <w:rPr>
          <w:rFonts w:ascii="Cambria" w:hAnsi="Cambria"/>
        </w:rPr>
        <w:t xml:space="preserve"> See: Human Rights Committee, </w:t>
      </w:r>
      <w:r w:rsidRPr="00AA1676">
        <w:rPr>
          <w:rFonts w:ascii="Cambria" w:hAnsi="Cambria"/>
          <w:i/>
          <w:iCs/>
        </w:rPr>
        <w:t>General Comment No. 34: Article 19 (freedom of opinion and expression),</w:t>
      </w:r>
      <w:r w:rsidRPr="00AA1676">
        <w:rPr>
          <w:rFonts w:ascii="Cambria" w:hAnsi="Cambria"/>
        </w:rPr>
        <w:t xml:space="preserve"> UN Doc CCPR/C/GC/34</w:t>
      </w:r>
      <w:r w:rsidRPr="00AA1676">
        <w:rPr>
          <w:rFonts w:ascii="Cambria" w:hAnsi="Cambria"/>
          <w:lang w:val="en-US"/>
        </w:rPr>
        <w:t xml:space="preserve">, 12 December 2012 (“General Comment No.34), </w:t>
      </w:r>
      <w:r w:rsidR="006904B5" w:rsidRPr="00AA1676">
        <w:rPr>
          <w:rFonts w:ascii="Cambria" w:hAnsi="Cambria"/>
          <w:lang w:val="en-US"/>
        </w:rPr>
        <w:t>Para</w:t>
      </w:r>
      <w:r w:rsidRPr="00AA1676">
        <w:rPr>
          <w:rFonts w:ascii="Cambria" w:hAnsi="Cambria"/>
          <w:lang w:val="en-US"/>
        </w:rPr>
        <w:t xml:space="preserve"> 26.</w:t>
      </w:r>
    </w:p>
  </w:footnote>
  <w:footnote w:id="30">
    <w:p w14:paraId="43D0897B" w14:textId="77777777" w:rsidR="007F7805" w:rsidRPr="00AA1676" w:rsidRDefault="007F7805" w:rsidP="00AA1676">
      <w:pPr>
        <w:pStyle w:val="FootnoteText"/>
        <w:spacing w:after="120"/>
        <w:rPr>
          <w:rFonts w:ascii="Cambria" w:hAnsi="Cambria"/>
        </w:rPr>
      </w:pPr>
      <w:r w:rsidRPr="00AA1676">
        <w:rPr>
          <w:rStyle w:val="FootnoteReference"/>
          <w:rFonts w:ascii="Cambria" w:hAnsi="Cambria"/>
        </w:rPr>
        <w:footnoteRef/>
      </w:r>
      <w:r w:rsidRPr="00AA1676">
        <w:rPr>
          <w:rFonts w:ascii="Cambria" w:hAnsi="Cambria"/>
        </w:rPr>
        <w:t xml:space="preserve"> Available at: </w:t>
      </w:r>
      <w:hyperlink r:id="rId10" w:history="1">
        <w:r w:rsidRPr="00AA1676">
          <w:rPr>
            <w:rStyle w:val="Hyperlink"/>
            <w:rFonts w:ascii="Cambria" w:hAnsi="Cambria"/>
          </w:rPr>
          <w:t>https://www.met.police.uk/SysSiteAssets/foi-media/metropolitan-police/disclosure_2018/april_2018/information-rights-unit---mps-policies-on-automated-facial-recognition-afr-technology</w:t>
        </w:r>
      </w:hyperlink>
    </w:p>
  </w:footnote>
  <w:footnote w:id="31">
    <w:p w14:paraId="0798E62B" w14:textId="727AA27F" w:rsidR="007F7805" w:rsidRPr="00AA1676" w:rsidRDefault="007F7805" w:rsidP="00AA1676">
      <w:pPr>
        <w:pStyle w:val="FootnoteText"/>
        <w:spacing w:after="120"/>
        <w:rPr>
          <w:rFonts w:ascii="Cambria" w:hAnsi="Cambria"/>
        </w:rPr>
      </w:pPr>
      <w:r w:rsidRPr="00AA1676">
        <w:rPr>
          <w:rStyle w:val="FootnoteReference"/>
          <w:rFonts w:ascii="Cambria" w:hAnsi="Cambria"/>
        </w:rPr>
        <w:footnoteRef/>
      </w:r>
      <w:r w:rsidRPr="00AA1676">
        <w:rPr>
          <w:rFonts w:ascii="Cambria" w:hAnsi="Cambria"/>
        </w:rPr>
        <w:t xml:space="preserve"> </w:t>
      </w:r>
      <w:r w:rsidR="006904B5" w:rsidRPr="00AA1676">
        <w:rPr>
          <w:rFonts w:ascii="Cambria" w:eastAsia="Times New Roman" w:hAnsi="Cambria" w:cs="Times New Roman"/>
          <w:lang w:val="en-US"/>
        </w:rPr>
        <w:t xml:space="preserve">See above, note 1, Para </w:t>
      </w:r>
      <w:r w:rsidRPr="00AA1676">
        <w:rPr>
          <w:rFonts w:ascii="Cambria" w:eastAsia="Times New Roman" w:hAnsi="Cambria" w:cs="Times New Roman"/>
          <w:lang w:val="en-US"/>
        </w:rPr>
        <w:t xml:space="preserve">72. </w:t>
      </w:r>
    </w:p>
  </w:footnote>
  <w:footnote w:id="32">
    <w:p w14:paraId="6800156C" w14:textId="77777777" w:rsidR="00D338D7" w:rsidRPr="00AA1676" w:rsidRDefault="007F7805" w:rsidP="00AA1676">
      <w:pPr>
        <w:pStyle w:val="FootnoteText"/>
        <w:spacing w:after="120"/>
        <w:rPr>
          <w:rFonts w:ascii="Cambria" w:hAnsi="Cambria"/>
        </w:rPr>
      </w:pPr>
      <w:r w:rsidRPr="00AA1676">
        <w:rPr>
          <w:rStyle w:val="FootnoteReference"/>
          <w:rFonts w:ascii="Cambria" w:hAnsi="Cambria"/>
        </w:rPr>
        <w:footnoteRef/>
      </w:r>
      <w:r w:rsidRPr="00AA1676">
        <w:rPr>
          <w:rFonts w:ascii="Cambria" w:hAnsi="Cambria"/>
        </w:rPr>
        <w:t xml:space="preserve"> </w:t>
      </w:r>
      <w:r w:rsidR="00D338D7" w:rsidRPr="00AA1676">
        <w:rPr>
          <w:rFonts w:ascii="Cambria" w:hAnsi="Cambria"/>
        </w:rPr>
        <w:t xml:space="preserve">United Nations Human Rights Council, </w:t>
      </w:r>
      <w:r w:rsidR="00D338D7" w:rsidRPr="00AA1676">
        <w:rPr>
          <w:rFonts w:ascii="Cambria" w:hAnsi="Cambria"/>
          <w:i/>
          <w:iCs/>
        </w:rPr>
        <w:t xml:space="preserve">Annual report of the United Nations High Commissioner for Human Rights: Addendum, </w:t>
      </w:r>
      <w:r w:rsidR="00D338D7" w:rsidRPr="00AA1676">
        <w:rPr>
          <w:rFonts w:ascii="Cambria" w:hAnsi="Cambria"/>
        </w:rPr>
        <w:t>UN Doc. A/HRC/22/17/Add.4, 11 January 2013, Para 29.</w:t>
      </w:r>
    </w:p>
    <w:p w14:paraId="05B9BBF4" w14:textId="6642ADBF" w:rsidR="007F7805" w:rsidRPr="00AA1676" w:rsidRDefault="007F7805" w:rsidP="00AA1676">
      <w:pPr>
        <w:pStyle w:val="FootnoteText"/>
        <w:spacing w:after="120"/>
        <w:rPr>
          <w:rFonts w:ascii="Cambria" w:hAnsi="Cambria"/>
        </w:rPr>
      </w:pPr>
    </w:p>
  </w:footnote>
  <w:footnote w:id="33">
    <w:p w14:paraId="52758E20" w14:textId="65B8CDF5" w:rsidR="007F7805" w:rsidRPr="00AA1676" w:rsidRDefault="007F7805" w:rsidP="00AA1676">
      <w:pPr>
        <w:pStyle w:val="FootnoteText"/>
        <w:spacing w:after="120"/>
        <w:rPr>
          <w:rFonts w:ascii="Cambria" w:hAnsi="Cambria"/>
        </w:rPr>
      </w:pPr>
      <w:r w:rsidRPr="00AA1676">
        <w:rPr>
          <w:rStyle w:val="FootnoteReference"/>
          <w:rFonts w:ascii="Cambria" w:hAnsi="Cambria"/>
        </w:rPr>
        <w:footnoteRef/>
      </w:r>
      <w:r w:rsidRPr="00AA1676">
        <w:rPr>
          <w:rFonts w:ascii="Cambria" w:hAnsi="Cambria"/>
        </w:rPr>
        <w:t xml:space="preserve"> Human Rights Committee, </w:t>
      </w:r>
      <w:r w:rsidRPr="00AA1676">
        <w:rPr>
          <w:rFonts w:ascii="Cambria" w:hAnsi="Cambria"/>
          <w:i/>
        </w:rPr>
        <w:t>Alekseev v. Russian Federation</w:t>
      </w:r>
      <w:r w:rsidRPr="00AA1676">
        <w:rPr>
          <w:rFonts w:ascii="Cambria" w:hAnsi="Cambria"/>
        </w:rPr>
        <w:t>, Communication No. 1873/2009, UN Doc CCPR/C/109/D/1873/2009</w:t>
      </w:r>
      <w:r w:rsidRPr="00AA1676">
        <w:rPr>
          <w:rFonts w:ascii="Cambria" w:hAnsi="Cambria"/>
          <w:lang w:val="en-US"/>
        </w:rPr>
        <w:t xml:space="preserve">, 25 Marc 2009, </w:t>
      </w:r>
      <w:r w:rsidR="006904B5" w:rsidRPr="00AA1676">
        <w:rPr>
          <w:rFonts w:ascii="Cambria" w:hAnsi="Cambria"/>
        </w:rPr>
        <w:t>Para</w:t>
      </w:r>
      <w:r w:rsidRPr="00AA1676">
        <w:rPr>
          <w:rFonts w:ascii="Cambria" w:hAnsi="Cambria"/>
        </w:rPr>
        <w:t xml:space="preserve"> 9.6.</w:t>
      </w:r>
    </w:p>
  </w:footnote>
  <w:footnote w:id="34">
    <w:p w14:paraId="7C68686C" w14:textId="1A33DBCC" w:rsidR="007F7805" w:rsidRPr="00AA1676" w:rsidRDefault="007F7805" w:rsidP="00AA1676">
      <w:pPr>
        <w:spacing w:after="120"/>
        <w:rPr>
          <w:rFonts w:ascii="Cambria" w:eastAsia="Times New Roman" w:hAnsi="Cambria" w:cs="Times New Roman"/>
          <w:sz w:val="20"/>
          <w:szCs w:val="20"/>
          <w:lang w:val="en-US"/>
        </w:rPr>
      </w:pPr>
      <w:r w:rsidRPr="00AA1676">
        <w:rPr>
          <w:rStyle w:val="FootnoteReference"/>
          <w:rFonts w:ascii="Cambria" w:hAnsi="Cambria"/>
          <w:sz w:val="20"/>
          <w:szCs w:val="20"/>
        </w:rPr>
        <w:footnoteRef/>
      </w:r>
      <w:r w:rsidRPr="00AA1676">
        <w:rPr>
          <w:rFonts w:ascii="Cambria" w:hAnsi="Cambria"/>
          <w:sz w:val="20"/>
          <w:szCs w:val="20"/>
          <w:lang w:val="en-US"/>
        </w:rPr>
        <w:t xml:space="preserve"> </w:t>
      </w:r>
      <w:r w:rsidR="006904B5" w:rsidRPr="00AA1676">
        <w:rPr>
          <w:rFonts w:ascii="Cambria" w:eastAsia="Times New Roman" w:hAnsi="Cambria" w:cs="Times New Roman"/>
          <w:sz w:val="20"/>
          <w:szCs w:val="20"/>
        </w:rPr>
        <w:t>European Court of Human Rights</w:t>
      </w:r>
      <w:r w:rsidR="006904B5" w:rsidRPr="00AA1676">
        <w:rPr>
          <w:rFonts w:ascii="Cambria" w:eastAsia="Times New Roman" w:hAnsi="Cambria" w:cs="Times New Roman"/>
          <w:sz w:val="20"/>
          <w:szCs w:val="20"/>
        </w:rPr>
        <w:t>,</w:t>
      </w:r>
      <w:r w:rsidR="006904B5" w:rsidRPr="00AA1676">
        <w:rPr>
          <w:rFonts w:ascii="Cambria" w:eastAsia="Times New Roman" w:hAnsi="Cambria" w:cs="Times New Roman"/>
          <w:i/>
          <w:iCs/>
          <w:sz w:val="20"/>
          <w:szCs w:val="20"/>
        </w:rPr>
        <w:t xml:space="preserve"> </w:t>
      </w:r>
      <w:r w:rsidRPr="00AA1676">
        <w:rPr>
          <w:rFonts w:ascii="Cambria" w:eastAsia="Times New Roman" w:hAnsi="Cambria" w:cs="Times New Roman"/>
          <w:i/>
          <w:iCs/>
          <w:sz w:val="20"/>
          <w:szCs w:val="20"/>
        </w:rPr>
        <w:t>Alekseyev v Russia,</w:t>
      </w:r>
      <w:r w:rsidRPr="00AA1676">
        <w:rPr>
          <w:rFonts w:ascii="Cambria" w:eastAsia="Times New Roman" w:hAnsi="Cambria" w:cs="Times New Roman"/>
          <w:sz w:val="20"/>
          <w:szCs w:val="20"/>
        </w:rPr>
        <w:t xml:space="preserve"> Application No. 4916/07, 25924/08 and 14599/09,21 October 2010, </w:t>
      </w:r>
      <w:r w:rsidR="006904B5" w:rsidRPr="00AA1676">
        <w:rPr>
          <w:rFonts w:ascii="Cambria" w:eastAsia="Times New Roman" w:hAnsi="Cambria" w:cs="Times New Roman"/>
          <w:sz w:val="20"/>
          <w:szCs w:val="20"/>
        </w:rPr>
        <w:t xml:space="preserve">Paras </w:t>
      </w:r>
      <w:r w:rsidRPr="00AA1676">
        <w:rPr>
          <w:rFonts w:ascii="Cambria" w:eastAsia="Times New Roman" w:hAnsi="Cambria" w:cs="Times New Roman"/>
          <w:sz w:val="20"/>
          <w:szCs w:val="20"/>
          <w:lang w:val="en-US"/>
        </w:rPr>
        <w:t xml:space="preserve">56-63. </w:t>
      </w:r>
    </w:p>
  </w:footnote>
  <w:footnote w:id="35">
    <w:p w14:paraId="2EC673CE" w14:textId="5283D230" w:rsidR="007F7805" w:rsidRPr="00AA1676" w:rsidRDefault="007F7805" w:rsidP="00AA1676">
      <w:pPr>
        <w:spacing w:after="120"/>
        <w:rPr>
          <w:rFonts w:ascii="Cambria" w:eastAsia="Times New Roman" w:hAnsi="Cambria" w:cs="Times New Roman"/>
          <w:sz w:val="20"/>
          <w:szCs w:val="20"/>
          <w:lang w:val="en-US"/>
        </w:rPr>
      </w:pPr>
      <w:r w:rsidRPr="00AA1676">
        <w:rPr>
          <w:rStyle w:val="FootnoteReference"/>
          <w:rFonts w:ascii="Cambria" w:hAnsi="Cambria"/>
          <w:sz w:val="20"/>
          <w:szCs w:val="20"/>
        </w:rPr>
        <w:footnoteRef/>
      </w:r>
      <w:r w:rsidRPr="00AA1676">
        <w:rPr>
          <w:rFonts w:ascii="Cambria" w:hAnsi="Cambria"/>
          <w:i/>
          <w:iCs/>
          <w:sz w:val="20"/>
          <w:szCs w:val="20"/>
        </w:rPr>
        <w:t xml:space="preserve"> </w:t>
      </w:r>
      <w:r w:rsidRPr="00AA1676">
        <w:rPr>
          <w:rFonts w:ascii="Cambria" w:eastAsia="Times New Roman" w:hAnsi="Cambria" w:cs="Times New Roman"/>
          <w:i/>
          <w:iCs/>
          <w:sz w:val="20"/>
          <w:szCs w:val="20"/>
        </w:rPr>
        <w:t>Ibid.</w:t>
      </w:r>
      <w:r w:rsidRPr="00AA1676">
        <w:rPr>
          <w:rFonts w:ascii="Cambria" w:eastAsia="Times New Roman" w:hAnsi="Cambria" w:cs="Times New Roman"/>
          <w:sz w:val="20"/>
          <w:szCs w:val="20"/>
          <w:lang w:val="en-US"/>
        </w:rPr>
        <w:t xml:space="preserve">, </w:t>
      </w:r>
      <w:r w:rsidR="006904B5" w:rsidRPr="00AA1676">
        <w:rPr>
          <w:rFonts w:ascii="Cambria" w:hAnsi="Cambria"/>
          <w:sz w:val="20"/>
          <w:szCs w:val="20"/>
        </w:rPr>
        <w:t xml:space="preserve">Para </w:t>
      </w:r>
      <w:r w:rsidRPr="00AA1676">
        <w:rPr>
          <w:rFonts w:ascii="Cambria" w:eastAsia="Times New Roman" w:hAnsi="Cambria" w:cs="Times New Roman"/>
          <w:sz w:val="20"/>
          <w:szCs w:val="20"/>
          <w:lang w:val="en-US"/>
        </w:rPr>
        <w:t>73.</w:t>
      </w:r>
    </w:p>
  </w:footnote>
  <w:footnote w:id="36">
    <w:p w14:paraId="2CEE226C" w14:textId="531E0C53" w:rsidR="007F7805" w:rsidRPr="00AA1676" w:rsidRDefault="007F7805" w:rsidP="00AA1676">
      <w:pPr>
        <w:pStyle w:val="FootnoteText"/>
        <w:spacing w:after="120"/>
        <w:rPr>
          <w:rFonts w:ascii="Cambria" w:hAnsi="Cambria"/>
        </w:rPr>
      </w:pPr>
      <w:r w:rsidRPr="00AA1676">
        <w:rPr>
          <w:rStyle w:val="FootnoteReference"/>
          <w:rFonts w:ascii="Cambria" w:hAnsi="Cambria"/>
        </w:rPr>
        <w:footnoteRef/>
      </w:r>
      <w:r w:rsidRPr="00AA1676">
        <w:rPr>
          <w:rFonts w:ascii="Cambria" w:hAnsi="Cambria"/>
        </w:rPr>
        <w:t xml:space="preserve"> </w:t>
      </w:r>
      <w:r w:rsidR="006904B5" w:rsidRPr="00AA1676">
        <w:rPr>
          <w:rFonts w:ascii="Cambria" w:hAnsi="Cambria"/>
        </w:rPr>
        <w:t xml:space="preserve">See above, note </w:t>
      </w:r>
      <w:r w:rsidR="00AA1676">
        <w:rPr>
          <w:rFonts w:ascii="Cambria" w:hAnsi="Cambria"/>
        </w:rPr>
        <w:t>29</w:t>
      </w:r>
      <w:r w:rsidR="006904B5" w:rsidRPr="00AA1676">
        <w:rPr>
          <w:rFonts w:ascii="Cambria" w:hAnsi="Cambria"/>
        </w:rPr>
        <w:t>,</w:t>
      </w:r>
      <w:r w:rsidRPr="00AA1676">
        <w:rPr>
          <w:rFonts w:ascii="Cambria" w:hAnsi="Cambria"/>
        </w:rPr>
        <w:t xml:space="preserve"> </w:t>
      </w:r>
      <w:r w:rsidR="006904B5" w:rsidRPr="00AA1676">
        <w:rPr>
          <w:rFonts w:ascii="Cambria" w:hAnsi="Cambria"/>
        </w:rPr>
        <w:t xml:space="preserve">Para </w:t>
      </w:r>
      <w:r w:rsidRPr="00AA1676">
        <w:rPr>
          <w:rFonts w:ascii="Cambria" w:hAnsi="Cambria"/>
        </w:rPr>
        <w:t>32</w:t>
      </w:r>
    </w:p>
  </w:footnote>
  <w:footnote w:id="37">
    <w:p w14:paraId="78D52A73" w14:textId="52C9E7BA" w:rsidR="00D338D7" w:rsidRPr="00AA1676" w:rsidRDefault="00D338D7" w:rsidP="00AA1676">
      <w:pPr>
        <w:pStyle w:val="FootnoteText"/>
        <w:spacing w:after="120"/>
        <w:rPr>
          <w:rFonts w:ascii="Cambria" w:hAnsi="Cambria"/>
        </w:rPr>
      </w:pPr>
      <w:r w:rsidRPr="00AA1676">
        <w:rPr>
          <w:rStyle w:val="FootnoteReference"/>
          <w:rFonts w:ascii="Cambria" w:hAnsi="Cambria"/>
        </w:rPr>
        <w:footnoteRef/>
      </w:r>
      <w:r w:rsidRPr="00AA1676">
        <w:rPr>
          <w:rFonts w:ascii="Cambria" w:hAnsi="Cambria"/>
        </w:rPr>
        <w:t xml:space="preserve"> See above, note </w:t>
      </w:r>
      <w:r w:rsidR="00AA1676">
        <w:rPr>
          <w:rFonts w:ascii="Cambria" w:hAnsi="Cambria"/>
        </w:rPr>
        <w:t>32</w:t>
      </w:r>
      <w:r w:rsidRPr="00AA1676">
        <w:rPr>
          <w:rFonts w:ascii="Cambria" w:hAnsi="Cambria"/>
        </w:rPr>
        <w:t xml:space="preserve">, </w:t>
      </w:r>
      <w:r w:rsidRPr="00AA1676">
        <w:rPr>
          <w:rFonts w:ascii="Cambria" w:hAnsi="Cambria"/>
        </w:rPr>
        <w:t>Para 10.</w:t>
      </w:r>
    </w:p>
  </w:footnote>
  <w:footnote w:id="38">
    <w:p w14:paraId="0F2148A5" w14:textId="77777777" w:rsidR="007F7805" w:rsidRPr="00AA1676" w:rsidRDefault="007F7805" w:rsidP="00AA1676">
      <w:pPr>
        <w:spacing w:after="120"/>
        <w:rPr>
          <w:rFonts w:ascii="Cambria" w:hAnsi="Cambria" w:cs="Arial"/>
          <w:sz w:val="20"/>
          <w:szCs w:val="20"/>
        </w:rPr>
      </w:pPr>
      <w:r w:rsidRPr="00AA1676">
        <w:rPr>
          <w:rStyle w:val="FootnoteReference"/>
          <w:rFonts w:ascii="Cambria" w:hAnsi="Cambria"/>
          <w:sz w:val="20"/>
          <w:szCs w:val="20"/>
        </w:rPr>
        <w:footnoteRef/>
      </w:r>
      <w:r w:rsidRPr="00AA1676">
        <w:rPr>
          <w:rFonts w:ascii="Cambria" w:hAnsi="Cambria"/>
          <w:sz w:val="20"/>
          <w:szCs w:val="20"/>
        </w:rPr>
        <w:t xml:space="preserve"> Show, J. “Amazon’s Face Recognition Falsely Matched 28 Members of Congress With Mugshots,” 26 July 2018, ACLU, available at: </w:t>
      </w:r>
      <w:hyperlink r:id="rId11" w:history="1">
        <w:r w:rsidRPr="00AA1676">
          <w:rPr>
            <w:rStyle w:val="Hyperlink"/>
            <w:rFonts w:ascii="Cambria" w:hAnsi="Cambria"/>
            <w:sz w:val="20"/>
            <w:szCs w:val="20"/>
          </w:rPr>
          <w:t>https://www.aclu.org/blog/privacy-technology/surveillance-technologies/amazons-face-recognition-falsely-matched-28</w:t>
        </w:r>
      </w:hyperlink>
      <w:r w:rsidRPr="00AA1676">
        <w:rPr>
          <w:rFonts w:ascii="Cambria" w:hAnsi="Cambria"/>
          <w:sz w:val="20"/>
          <w:szCs w:val="20"/>
        </w:rPr>
        <w:t>. It is noted 11 of the 28 false matches misidentified people of colour (roughly 39%), including civil-rights leader Rep. John Lewis (D-GA) and five other members of the Congressional Black Caucus. Only 20% of current members of Congress are people of colour, which indicates that false-match rates affected members of colour at a significantly higher rate.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1A8"/>
    <w:multiLevelType w:val="hybridMultilevel"/>
    <w:tmpl w:val="258A7CB4"/>
    <w:lvl w:ilvl="0" w:tplc="389AB6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3520"/>
    <w:multiLevelType w:val="multilevel"/>
    <w:tmpl w:val="A308F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AC751B"/>
    <w:multiLevelType w:val="multilevel"/>
    <w:tmpl w:val="CD1656A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B0229"/>
    <w:multiLevelType w:val="hybridMultilevel"/>
    <w:tmpl w:val="2138C3D6"/>
    <w:lvl w:ilvl="0" w:tplc="8D3848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742B1"/>
    <w:multiLevelType w:val="hybridMultilevel"/>
    <w:tmpl w:val="8BF83626"/>
    <w:lvl w:ilvl="0" w:tplc="7660CB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3D2859"/>
    <w:multiLevelType w:val="multilevel"/>
    <w:tmpl w:val="15CC786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BA3A56"/>
    <w:multiLevelType w:val="multilevel"/>
    <w:tmpl w:val="7360B8F0"/>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DA6B71"/>
    <w:multiLevelType w:val="multilevel"/>
    <w:tmpl w:val="4B22A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65596B"/>
    <w:multiLevelType w:val="multilevel"/>
    <w:tmpl w:val="2B3ACD5A"/>
    <w:lvl w:ilvl="0">
      <w:start w:val="3"/>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622136"/>
    <w:multiLevelType w:val="multilevel"/>
    <w:tmpl w:val="865AD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114CC6"/>
    <w:multiLevelType w:val="hybridMultilevel"/>
    <w:tmpl w:val="3030EC96"/>
    <w:lvl w:ilvl="0" w:tplc="561266C2">
      <w:start w:val="1"/>
      <w:numFmt w:val="decimal"/>
      <w:lvlText w:val="%1."/>
      <w:lvlJc w:val="lef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E1793"/>
    <w:multiLevelType w:val="multilevel"/>
    <w:tmpl w:val="263888CE"/>
    <w:lvl w:ilvl="0">
      <w:start w:val="1"/>
      <w:numFmt w:val="decimal"/>
      <w:lvlText w:val="%1."/>
      <w:lvlJc w:val="left"/>
      <w:pPr>
        <w:ind w:left="576" w:hanging="576"/>
      </w:pPr>
      <w:rPr>
        <w:b w:val="0"/>
        <w:i w:val="0"/>
      </w:rPr>
    </w:lvl>
    <w:lvl w:ilvl="1">
      <w:start w:val="1"/>
      <w:numFmt w:val="lowerRoman"/>
      <w:lvlText w:val="(%2)"/>
      <w:lvlJc w:val="left"/>
      <w:pPr>
        <w:ind w:left="720" w:hanging="360"/>
      </w:pPr>
      <w:rPr>
        <w:b/>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924A70"/>
    <w:multiLevelType w:val="hybridMultilevel"/>
    <w:tmpl w:val="827C5F28"/>
    <w:lvl w:ilvl="0" w:tplc="D98EB1B2">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10E56EE"/>
    <w:multiLevelType w:val="multilevel"/>
    <w:tmpl w:val="7DD25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AF5919"/>
    <w:multiLevelType w:val="hybridMultilevel"/>
    <w:tmpl w:val="81A05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336784"/>
    <w:multiLevelType w:val="hybridMultilevel"/>
    <w:tmpl w:val="7A688ACC"/>
    <w:lvl w:ilvl="0" w:tplc="561266C2">
      <w:start w:val="1"/>
      <w:numFmt w:val="decimal"/>
      <w:lvlText w:val="%1."/>
      <w:lvlJc w:val="lef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63247"/>
    <w:multiLevelType w:val="hybridMultilevel"/>
    <w:tmpl w:val="9516DC08"/>
    <w:lvl w:ilvl="0" w:tplc="561266C2">
      <w:start w:val="1"/>
      <w:numFmt w:val="decimal"/>
      <w:lvlText w:val="%1."/>
      <w:lvlJc w:val="left"/>
      <w:pPr>
        <w:ind w:left="360" w:hanging="360"/>
      </w:pPr>
      <w:rPr>
        <w:rFonts w:hint="default"/>
        <w:b w:val="0"/>
        <w:bCs w:val="0"/>
        <w:color w:val="000000" w:themeColor="text1"/>
      </w:rPr>
    </w:lvl>
    <w:lvl w:ilvl="1" w:tplc="D520A9D4">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62419F"/>
    <w:multiLevelType w:val="multilevel"/>
    <w:tmpl w:val="530ED176"/>
    <w:lvl w:ilvl="0">
      <w:start w:val="3"/>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445853"/>
    <w:multiLevelType w:val="hybridMultilevel"/>
    <w:tmpl w:val="46243BE4"/>
    <w:lvl w:ilvl="0" w:tplc="08142C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124F9B"/>
    <w:multiLevelType w:val="hybridMultilevel"/>
    <w:tmpl w:val="843A1F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143481"/>
    <w:multiLevelType w:val="hybridMultilevel"/>
    <w:tmpl w:val="C1067988"/>
    <w:lvl w:ilvl="0" w:tplc="561266C2">
      <w:start w:val="1"/>
      <w:numFmt w:val="decimal"/>
      <w:lvlText w:val="%1."/>
      <w:lvlJc w:val="lef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10141"/>
    <w:multiLevelType w:val="hybridMultilevel"/>
    <w:tmpl w:val="6EDA4526"/>
    <w:lvl w:ilvl="0" w:tplc="561266C2">
      <w:start w:val="1"/>
      <w:numFmt w:val="decimal"/>
      <w:lvlText w:val="%1."/>
      <w:lvlJc w:val="lef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853F5"/>
    <w:multiLevelType w:val="multilevel"/>
    <w:tmpl w:val="33187B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DF0749"/>
    <w:multiLevelType w:val="hybridMultilevel"/>
    <w:tmpl w:val="ECF053E4"/>
    <w:lvl w:ilvl="0" w:tplc="9E6AEC9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C26716"/>
    <w:multiLevelType w:val="multilevel"/>
    <w:tmpl w:val="02140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FA6303"/>
    <w:multiLevelType w:val="hybridMultilevel"/>
    <w:tmpl w:val="2138C3D6"/>
    <w:lvl w:ilvl="0" w:tplc="8D3848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33E89"/>
    <w:multiLevelType w:val="hybridMultilevel"/>
    <w:tmpl w:val="2138C3D6"/>
    <w:lvl w:ilvl="0" w:tplc="8D3848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47FA7"/>
    <w:multiLevelType w:val="hybridMultilevel"/>
    <w:tmpl w:val="F5766554"/>
    <w:lvl w:ilvl="0" w:tplc="3FA2B70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E56EFC"/>
    <w:multiLevelType w:val="hybridMultilevel"/>
    <w:tmpl w:val="45D21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91151B"/>
    <w:multiLevelType w:val="hybridMultilevel"/>
    <w:tmpl w:val="D85A752E"/>
    <w:lvl w:ilvl="0" w:tplc="561266C2">
      <w:start w:val="1"/>
      <w:numFmt w:val="decimal"/>
      <w:lvlText w:val="%1."/>
      <w:lvlJc w:val="lef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612391"/>
    <w:multiLevelType w:val="multilevel"/>
    <w:tmpl w:val="65AAC69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B22D03"/>
    <w:multiLevelType w:val="hybridMultilevel"/>
    <w:tmpl w:val="FEE8BE0A"/>
    <w:lvl w:ilvl="0" w:tplc="A8D0B2DA">
      <w:start w:val="1"/>
      <w:numFmt w:val="decimal"/>
      <w:lvlText w:val="%1."/>
      <w:lvlJc w:val="left"/>
      <w:pPr>
        <w:ind w:left="567" w:hanging="567"/>
      </w:pPr>
      <w:rPr>
        <w:rFonts w:hint="default"/>
        <w:b w:val="0"/>
        <w:bCs w:val="0"/>
        <w:color w:val="000000" w:themeColor="text1"/>
      </w:rPr>
    </w:lvl>
    <w:lvl w:ilvl="1" w:tplc="D520A9D4">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74602A"/>
    <w:multiLevelType w:val="hybridMultilevel"/>
    <w:tmpl w:val="C1067988"/>
    <w:lvl w:ilvl="0" w:tplc="561266C2">
      <w:start w:val="1"/>
      <w:numFmt w:val="decimal"/>
      <w:lvlText w:val="%1."/>
      <w:lvlJc w:val="lef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B856B9"/>
    <w:multiLevelType w:val="hybridMultilevel"/>
    <w:tmpl w:val="EB9A1B4A"/>
    <w:lvl w:ilvl="0" w:tplc="389AB6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07292"/>
    <w:multiLevelType w:val="hybridMultilevel"/>
    <w:tmpl w:val="B44E82DA"/>
    <w:lvl w:ilvl="0" w:tplc="660C345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16537B"/>
    <w:multiLevelType w:val="hybridMultilevel"/>
    <w:tmpl w:val="F9CE131E"/>
    <w:lvl w:ilvl="0" w:tplc="401026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7"/>
  </w:num>
  <w:num w:numId="3">
    <w:abstractNumId w:val="2"/>
  </w:num>
  <w:num w:numId="4">
    <w:abstractNumId w:val="6"/>
  </w:num>
  <w:num w:numId="5">
    <w:abstractNumId w:val="17"/>
  </w:num>
  <w:num w:numId="6">
    <w:abstractNumId w:val="8"/>
  </w:num>
  <w:num w:numId="7">
    <w:abstractNumId w:val="9"/>
  </w:num>
  <w:num w:numId="8">
    <w:abstractNumId w:val="0"/>
  </w:num>
  <w:num w:numId="9">
    <w:abstractNumId w:val="33"/>
  </w:num>
  <w:num w:numId="10">
    <w:abstractNumId w:val="28"/>
  </w:num>
  <w:num w:numId="11">
    <w:abstractNumId w:val="14"/>
  </w:num>
  <w:num w:numId="12">
    <w:abstractNumId w:val="34"/>
  </w:num>
  <w:num w:numId="13">
    <w:abstractNumId w:val="29"/>
  </w:num>
  <w:num w:numId="14">
    <w:abstractNumId w:val="11"/>
  </w:num>
  <w:num w:numId="15">
    <w:abstractNumId w:val="1"/>
  </w:num>
  <w:num w:numId="16">
    <w:abstractNumId w:val="22"/>
  </w:num>
  <w:num w:numId="17">
    <w:abstractNumId w:val="25"/>
  </w:num>
  <w:num w:numId="18">
    <w:abstractNumId w:val="26"/>
  </w:num>
  <w:num w:numId="19">
    <w:abstractNumId w:val="3"/>
  </w:num>
  <w:num w:numId="20">
    <w:abstractNumId w:val="15"/>
  </w:num>
  <w:num w:numId="21">
    <w:abstractNumId w:val="30"/>
  </w:num>
  <w:num w:numId="22">
    <w:abstractNumId w:val="5"/>
  </w:num>
  <w:num w:numId="23">
    <w:abstractNumId w:val="21"/>
  </w:num>
  <w:num w:numId="24">
    <w:abstractNumId w:val="10"/>
  </w:num>
  <w:num w:numId="25">
    <w:abstractNumId w:val="32"/>
  </w:num>
  <w:num w:numId="26">
    <w:abstractNumId w:val="20"/>
  </w:num>
  <w:num w:numId="27">
    <w:abstractNumId w:val="31"/>
  </w:num>
  <w:num w:numId="28">
    <w:abstractNumId w:val="35"/>
  </w:num>
  <w:num w:numId="29">
    <w:abstractNumId w:val="13"/>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7"/>
  </w:num>
  <w:num w:numId="33">
    <w:abstractNumId w:val="23"/>
  </w:num>
  <w:num w:numId="34">
    <w:abstractNumId w:val="18"/>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24"/>
    <w:rsid w:val="0001174B"/>
    <w:rsid w:val="00027589"/>
    <w:rsid w:val="00036A9D"/>
    <w:rsid w:val="0004191F"/>
    <w:rsid w:val="000571EA"/>
    <w:rsid w:val="000626EE"/>
    <w:rsid w:val="00063328"/>
    <w:rsid w:val="00064162"/>
    <w:rsid w:val="00073F7A"/>
    <w:rsid w:val="000766F8"/>
    <w:rsid w:val="000B0165"/>
    <w:rsid w:val="000C40FE"/>
    <w:rsid w:val="000C784A"/>
    <w:rsid w:val="000D32B0"/>
    <w:rsid w:val="000E4EF7"/>
    <w:rsid w:val="000F2C33"/>
    <w:rsid w:val="00103633"/>
    <w:rsid w:val="00122E01"/>
    <w:rsid w:val="0016000F"/>
    <w:rsid w:val="001615A3"/>
    <w:rsid w:val="00176596"/>
    <w:rsid w:val="00180B76"/>
    <w:rsid w:val="00186CE6"/>
    <w:rsid w:val="001B41E4"/>
    <w:rsid w:val="001F1D4B"/>
    <w:rsid w:val="001F425A"/>
    <w:rsid w:val="00200844"/>
    <w:rsid w:val="00212EBD"/>
    <w:rsid w:val="00216A68"/>
    <w:rsid w:val="00245B4C"/>
    <w:rsid w:val="00256EAC"/>
    <w:rsid w:val="0025701D"/>
    <w:rsid w:val="00260758"/>
    <w:rsid w:val="0026716A"/>
    <w:rsid w:val="00267360"/>
    <w:rsid w:val="00277215"/>
    <w:rsid w:val="002A0580"/>
    <w:rsid w:val="002A4FDE"/>
    <w:rsid w:val="002A74E2"/>
    <w:rsid w:val="002B56CC"/>
    <w:rsid w:val="002C3F42"/>
    <w:rsid w:val="0030492D"/>
    <w:rsid w:val="003254D0"/>
    <w:rsid w:val="00334E53"/>
    <w:rsid w:val="00341560"/>
    <w:rsid w:val="00373FFC"/>
    <w:rsid w:val="003B73E8"/>
    <w:rsid w:val="003D50EC"/>
    <w:rsid w:val="003E7521"/>
    <w:rsid w:val="003F1121"/>
    <w:rsid w:val="003F2027"/>
    <w:rsid w:val="003F5E97"/>
    <w:rsid w:val="003F6622"/>
    <w:rsid w:val="003F6CA7"/>
    <w:rsid w:val="00400618"/>
    <w:rsid w:val="00413EAC"/>
    <w:rsid w:val="004209E6"/>
    <w:rsid w:val="004347CF"/>
    <w:rsid w:val="00446CB5"/>
    <w:rsid w:val="00463967"/>
    <w:rsid w:val="00475317"/>
    <w:rsid w:val="00477485"/>
    <w:rsid w:val="004847D1"/>
    <w:rsid w:val="00492F9E"/>
    <w:rsid w:val="004C4C41"/>
    <w:rsid w:val="004D1A7C"/>
    <w:rsid w:val="004D6745"/>
    <w:rsid w:val="004D71AB"/>
    <w:rsid w:val="00512469"/>
    <w:rsid w:val="00541B2A"/>
    <w:rsid w:val="0055129E"/>
    <w:rsid w:val="00570138"/>
    <w:rsid w:val="00592ACD"/>
    <w:rsid w:val="005F7433"/>
    <w:rsid w:val="00627F79"/>
    <w:rsid w:val="006374D3"/>
    <w:rsid w:val="00646BFD"/>
    <w:rsid w:val="006530A0"/>
    <w:rsid w:val="00657812"/>
    <w:rsid w:val="00661581"/>
    <w:rsid w:val="0068076F"/>
    <w:rsid w:val="006904B5"/>
    <w:rsid w:val="0069546B"/>
    <w:rsid w:val="006B2A19"/>
    <w:rsid w:val="006E615A"/>
    <w:rsid w:val="006F49AC"/>
    <w:rsid w:val="007046DF"/>
    <w:rsid w:val="00706A7D"/>
    <w:rsid w:val="00730482"/>
    <w:rsid w:val="00732D81"/>
    <w:rsid w:val="00737805"/>
    <w:rsid w:val="00747D6F"/>
    <w:rsid w:val="0075479E"/>
    <w:rsid w:val="007645C8"/>
    <w:rsid w:val="00766AD5"/>
    <w:rsid w:val="007905BC"/>
    <w:rsid w:val="00793F28"/>
    <w:rsid w:val="007958AA"/>
    <w:rsid w:val="007A6F60"/>
    <w:rsid w:val="007E175A"/>
    <w:rsid w:val="007F7805"/>
    <w:rsid w:val="00804534"/>
    <w:rsid w:val="00810149"/>
    <w:rsid w:val="00830461"/>
    <w:rsid w:val="00832796"/>
    <w:rsid w:val="00834B1E"/>
    <w:rsid w:val="008610AA"/>
    <w:rsid w:val="008742F9"/>
    <w:rsid w:val="00881ECE"/>
    <w:rsid w:val="00890B7D"/>
    <w:rsid w:val="00893F10"/>
    <w:rsid w:val="008956C2"/>
    <w:rsid w:val="008A2A97"/>
    <w:rsid w:val="008A6577"/>
    <w:rsid w:val="008B32B6"/>
    <w:rsid w:val="008C3D48"/>
    <w:rsid w:val="008C64F2"/>
    <w:rsid w:val="008C7124"/>
    <w:rsid w:val="008D76DC"/>
    <w:rsid w:val="009165B3"/>
    <w:rsid w:val="00916FE7"/>
    <w:rsid w:val="00925FD9"/>
    <w:rsid w:val="00953E66"/>
    <w:rsid w:val="00956B51"/>
    <w:rsid w:val="00972B35"/>
    <w:rsid w:val="00984316"/>
    <w:rsid w:val="009A175A"/>
    <w:rsid w:val="009B32C0"/>
    <w:rsid w:val="009D41BA"/>
    <w:rsid w:val="009D522F"/>
    <w:rsid w:val="00A16037"/>
    <w:rsid w:val="00A3064D"/>
    <w:rsid w:val="00A311BA"/>
    <w:rsid w:val="00A43DFB"/>
    <w:rsid w:val="00A52863"/>
    <w:rsid w:val="00A54055"/>
    <w:rsid w:val="00A72008"/>
    <w:rsid w:val="00A73A71"/>
    <w:rsid w:val="00A90CD6"/>
    <w:rsid w:val="00A91633"/>
    <w:rsid w:val="00AA0B6D"/>
    <w:rsid w:val="00AA1676"/>
    <w:rsid w:val="00AA4FE3"/>
    <w:rsid w:val="00AA7AD6"/>
    <w:rsid w:val="00AC1D05"/>
    <w:rsid w:val="00AF3B2F"/>
    <w:rsid w:val="00AF4322"/>
    <w:rsid w:val="00AF70DC"/>
    <w:rsid w:val="00B15035"/>
    <w:rsid w:val="00B150D8"/>
    <w:rsid w:val="00B24CAD"/>
    <w:rsid w:val="00B44269"/>
    <w:rsid w:val="00B70818"/>
    <w:rsid w:val="00B746E8"/>
    <w:rsid w:val="00B74A9D"/>
    <w:rsid w:val="00B74E95"/>
    <w:rsid w:val="00B85E20"/>
    <w:rsid w:val="00BA61E5"/>
    <w:rsid w:val="00BB46A9"/>
    <w:rsid w:val="00BB50CB"/>
    <w:rsid w:val="00BB7331"/>
    <w:rsid w:val="00BC7735"/>
    <w:rsid w:val="00BD4FE0"/>
    <w:rsid w:val="00BE632C"/>
    <w:rsid w:val="00C00482"/>
    <w:rsid w:val="00C07112"/>
    <w:rsid w:val="00C122B0"/>
    <w:rsid w:val="00C137A5"/>
    <w:rsid w:val="00C17762"/>
    <w:rsid w:val="00C204B5"/>
    <w:rsid w:val="00C231AE"/>
    <w:rsid w:val="00C32A85"/>
    <w:rsid w:val="00C502A6"/>
    <w:rsid w:val="00C6078C"/>
    <w:rsid w:val="00C868C1"/>
    <w:rsid w:val="00C94814"/>
    <w:rsid w:val="00CB06BF"/>
    <w:rsid w:val="00CB58B9"/>
    <w:rsid w:val="00D02BE3"/>
    <w:rsid w:val="00D12844"/>
    <w:rsid w:val="00D2361F"/>
    <w:rsid w:val="00D338D7"/>
    <w:rsid w:val="00D3415A"/>
    <w:rsid w:val="00D46275"/>
    <w:rsid w:val="00D5661A"/>
    <w:rsid w:val="00D90A8E"/>
    <w:rsid w:val="00D941AE"/>
    <w:rsid w:val="00DA6CAF"/>
    <w:rsid w:val="00DD1E33"/>
    <w:rsid w:val="00DD1ED9"/>
    <w:rsid w:val="00DD398C"/>
    <w:rsid w:val="00DD48E8"/>
    <w:rsid w:val="00DE0F92"/>
    <w:rsid w:val="00DF1E39"/>
    <w:rsid w:val="00E0451E"/>
    <w:rsid w:val="00E21BC5"/>
    <w:rsid w:val="00E3487E"/>
    <w:rsid w:val="00E37AC2"/>
    <w:rsid w:val="00E67F3E"/>
    <w:rsid w:val="00E84D9A"/>
    <w:rsid w:val="00E85A9E"/>
    <w:rsid w:val="00E85C56"/>
    <w:rsid w:val="00EB6D7F"/>
    <w:rsid w:val="00EC114B"/>
    <w:rsid w:val="00EE1167"/>
    <w:rsid w:val="00EF014F"/>
    <w:rsid w:val="00EF0C1A"/>
    <w:rsid w:val="00F14597"/>
    <w:rsid w:val="00F34EA0"/>
    <w:rsid w:val="00F42758"/>
    <w:rsid w:val="00F446C3"/>
    <w:rsid w:val="00F54717"/>
    <w:rsid w:val="00FA24D0"/>
    <w:rsid w:val="00FA2810"/>
    <w:rsid w:val="00FE2C54"/>
    <w:rsid w:val="00FF5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987C"/>
  <w15:chartTrackingRefBased/>
  <w15:docId w15:val="{2D7DC70E-A2EA-054E-A998-504454C8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45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22E0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0766F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12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C7124"/>
  </w:style>
  <w:style w:type="paragraph" w:styleId="BalloonText">
    <w:name w:val="Balloon Text"/>
    <w:basedOn w:val="Normal"/>
    <w:link w:val="BalloonTextChar"/>
    <w:uiPriority w:val="99"/>
    <w:semiHidden/>
    <w:unhideWhenUsed/>
    <w:rsid w:val="00AF70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70DC"/>
    <w:rPr>
      <w:rFonts w:ascii="Times New Roman" w:hAnsi="Times New Roman" w:cs="Times New Roman"/>
      <w:sz w:val="18"/>
      <w:szCs w:val="18"/>
      <w:lang w:val="en-GB"/>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Footnote reference,fn"/>
    <w:basedOn w:val="Normal"/>
    <w:link w:val="FootnoteTextChar"/>
    <w:uiPriority w:val="99"/>
    <w:unhideWhenUsed/>
    <w:qFormat/>
    <w:rsid w:val="00AC1D05"/>
    <w:rPr>
      <w:sz w:val="20"/>
      <w:szCs w:val="20"/>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fn Char"/>
    <w:basedOn w:val="DefaultParagraphFont"/>
    <w:link w:val="FootnoteText"/>
    <w:uiPriority w:val="99"/>
    <w:qFormat/>
    <w:rsid w:val="00AC1D05"/>
    <w:rPr>
      <w:sz w:val="20"/>
      <w:szCs w:val="20"/>
      <w:lang w:val="en-GB"/>
    </w:rPr>
  </w:style>
  <w:style w:type="character" w:styleId="FootnoteReference">
    <w:name w:val="footnote reference"/>
    <w:aliases w:val="4_G,Texto de nota al pie,Footnote number,Footnote Reference Char3,Footnote Reference Char1 Char,Char Char Car Char Car Char Car Char Car Char Car Char Char Char1 Char,Footnote Reference Char Char Char,ftref,BVI fnr,16 Point,SUPERS,4_"/>
    <w:basedOn w:val="DefaultParagraphFont"/>
    <w:link w:val="Appelnotedebasde"/>
    <w:uiPriority w:val="99"/>
    <w:unhideWhenUsed/>
    <w:qFormat/>
    <w:rsid w:val="00AC1D05"/>
    <w:rPr>
      <w:vertAlign w:val="superscript"/>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180B76"/>
    <w:pPr>
      <w:spacing w:before="120" w:after="120"/>
    </w:pPr>
    <w:rPr>
      <w:vertAlign w:val="superscript"/>
    </w:rPr>
  </w:style>
  <w:style w:type="character" w:styleId="Hyperlink">
    <w:name w:val="Hyperlink"/>
    <w:basedOn w:val="DefaultParagraphFont"/>
    <w:uiPriority w:val="99"/>
    <w:unhideWhenUsed/>
    <w:rsid w:val="004D6745"/>
    <w:rPr>
      <w:color w:val="0563C1" w:themeColor="hyperlink"/>
      <w:u w:val="single"/>
    </w:rPr>
  </w:style>
  <w:style w:type="paragraph" w:styleId="CommentText">
    <w:name w:val="annotation text"/>
    <w:basedOn w:val="Normal"/>
    <w:link w:val="CommentTextChar"/>
    <w:uiPriority w:val="99"/>
    <w:unhideWhenUsed/>
    <w:rsid w:val="00C07112"/>
    <w:rPr>
      <w:sz w:val="20"/>
      <w:szCs w:val="20"/>
    </w:rPr>
  </w:style>
  <w:style w:type="character" w:customStyle="1" w:styleId="CommentTextChar">
    <w:name w:val="Comment Text Char"/>
    <w:basedOn w:val="DefaultParagraphFont"/>
    <w:link w:val="CommentText"/>
    <w:uiPriority w:val="99"/>
    <w:rsid w:val="00C07112"/>
    <w:rPr>
      <w:sz w:val="20"/>
      <w:szCs w:val="20"/>
      <w:lang w:val="en-GB"/>
    </w:rPr>
  </w:style>
  <w:style w:type="character" w:styleId="CommentReference">
    <w:name w:val="annotation reference"/>
    <w:uiPriority w:val="99"/>
    <w:unhideWhenUsed/>
    <w:rsid w:val="00C07112"/>
    <w:rPr>
      <w:sz w:val="16"/>
      <w:szCs w:val="16"/>
    </w:rPr>
  </w:style>
  <w:style w:type="paragraph" w:styleId="NormalWeb">
    <w:name w:val="Normal (Web)"/>
    <w:basedOn w:val="Normal"/>
    <w:uiPriority w:val="99"/>
    <w:unhideWhenUsed/>
    <w:rsid w:val="008742F9"/>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254D0"/>
    <w:rPr>
      <w:b/>
      <w:bCs/>
    </w:rPr>
  </w:style>
  <w:style w:type="character" w:customStyle="1" w:styleId="CommentSubjectChar">
    <w:name w:val="Comment Subject Char"/>
    <w:basedOn w:val="CommentTextChar"/>
    <w:link w:val="CommentSubject"/>
    <w:uiPriority w:val="99"/>
    <w:semiHidden/>
    <w:rsid w:val="003254D0"/>
    <w:rPr>
      <w:b/>
      <w:bCs/>
      <w:sz w:val="20"/>
      <w:szCs w:val="20"/>
      <w:lang w:val="en-GB"/>
    </w:rPr>
  </w:style>
  <w:style w:type="paragraph" w:styleId="Revision">
    <w:name w:val="Revision"/>
    <w:hidden/>
    <w:uiPriority w:val="99"/>
    <w:semiHidden/>
    <w:rsid w:val="007A6F60"/>
  </w:style>
  <w:style w:type="character" w:styleId="FollowedHyperlink">
    <w:name w:val="FollowedHyperlink"/>
    <w:basedOn w:val="DefaultParagraphFont"/>
    <w:uiPriority w:val="99"/>
    <w:semiHidden/>
    <w:unhideWhenUsed/>
    <w:rsid w:val="003F1121"/>
    <w:rPr>
      <w:color w:val="954F72" w:themeColor="followedHyperlink"/>
      <w:u w:val="single"/>
    </w:rPr>
  </w:style>
  <w:style w:type="character" w:customStyle="1" w:styleId="highlight">
    <w:name w:val="highlight"/>
    <w:basedOn w:val="DefaultParagraphFont"/>
    <w:rsid w:val="00D5661A"/>
  </w:style>
  <w:style w:type="character" w:styleId="UnresolvedMention">
    <w:name w:val="Unresolved Mention"/>
    <w:basedOn w:val="DefaultParagraphFont"/>
    <w:uiPriority w:val="99"/>
    <w:semiHidden/>
    <w:unhideWhenUsed/>
    <w:rsid w:val="008A2A97"/>
    <w:rPr>
      <w:color w:val="605E5C"/>
      <w:shd w:val="clear" w:color="auto" w:fill="E1DFDD"/>
    </w:rPr>
  </w:style>
  <w:style w:type="character" w:styleId="Strong">
    <w:name w:val="Strong"/>
    <w:basedOn w:val="DefaultParagraphFont"/>
    <w:uiPriority w:val="22"/>
    <w:qFormat/>
    <w:rsid w:val="00570138"/>
    <w:rPr>
      <w:b/>
      <w:bCs/>
    </w:rPr>
  </w:style>
  <w:style w:type="character" w:customStyle="1" w:styleId="breadcrumbcurrent">
    <w:name w:val="breadcrumbcurrent"/>
    <w:basedOn w:val="DefaultParagraphFont"/>
    <w:rsid w:val="00570138"/>
  </w:style>
  <w:style w:type="character" w:customStyle="1" w:styleId="Heading5Char">
    <w:name w:val="Heading 5 Char"/>
    <w:basedOn w:val="DefaultParagraphFont"/>
    <w:link w:val="Heading5"/>
    <w:uiPriority w:val="9"/>
    <w:semiHidden/>
    <w:rsid w:val="000766F8"/>
    <w:rPr>
      <w:rFonts w:asciiTheme="majorHAnsi" w:eastAsiaTheme="majorEastAsia" w:hAnsiTheme="majorHAnsi" w:cstheme="majorBidi"/>
      <w:color w:val="2F5496" w:themeColor="accent1" w:themeShade="BF"/>
      <w:lang w:val="en-GB"/>
    </w:rPr>
  </w:style>
  <w:style w:type="character" w:customStyle="1" w:styleId="Heading1Char">
    <w:name w:val="Heading 1 Char"/>
    <w:basedOn w:val="DefaultParagraphFont"/>
    <w:link w:val="Heading1"/>
    <w:uiPriority w:val="9"/>
    <w:rsid w:val="007645C8"/>
    <w:rPr>
      <w:rFonts w:asciiTheme="majorHAnsi" w:eastAsiaTheme="majorEastAsia" w:hAnsiTheme="majorHAnsi" w:cstheme="majorBidi"/>
      <w:color w:val="2F5496" w:themeColor="accent1" w:themeShade="BF"/>
      <w:sz w:val="32"/>
      <w:szCs w:val="32"/>
      <w:lang w:val="en-GB"/>
    </w:rPr>
  </w:style>
  <w:style w:type="paragraph" w:styleId="Header">
    <w:name w:val="header"/>
    <w:basedOn w:val="Normal"/>
    <w:link w:val="HeaderChar"/>
    <w:uiPriority w:val="99"/>
    <w:unhideWhenUsed/>
    <w:rsid w:val="00036A9D"/>
    <w:pPr>
      <w:tabs>
        <w:tab w:val="center" w:pos="4513"/>
        <w:tab w:val="right" w:pos="9026"/>
      </w:tabs>
    </w:pPr>
  </w:style>
  <w:style w:type="character" w:customStyle="1" w:styleId="HeaderChar">
    <w:name w:val="Header Char"/>
    <w:basedOn w:val="DefaultParagraphFont"/>
    <w:link w:val="Header"/>
    <w:uiPriority w:val="99"/>
    <w:rsid w:val="00036A9D"/>
    <w:rPr>
      <w:lang w:val="en-GB"/>
    </w:rPr>
  </w:style>
  <w:style w:type="paragraph" w:styleId="Footer">
    <w:name w:val="footer"/>
    <w:basedOn w:val="Normal"/>
    <w:link w:val="FooterChar"/>
    <w:uiPriority w:val="99"/>
    <w:unhideWhenUsed/>
    <w:rsid w:val="00036A9D"/>
    <w:pPr>
      <w:tabs>
        <w:tab w:val="center" w:pos="4513"/>
        <w:tab w:val="right" w:pos="9026"/>
      </w:tabs>
    </w:pPr>
  </w:style>
  <w:style w:type="character" w:customStyle="1" w:styleId="FooterChar">
    <w:name w:val="Footer Char"/>
    <w:basedOn w:val="DefaultParagraphFont"/>
    <w:link w:val="Footer"/>
    <w:uiPriority w:val="99"/>
    <w:rsid w:val="00036A9D"/>
    <w:rPr>
      <w:lang w:val="en-GB"/>
    </w:rPr>
  </w:style>
  <w:style w:type="character" w:customStyle="1" w:styleId="Heading2Char">
    <w:name w:val="Heading 2 Char"/>
    <w:basedOn w:val="DefaultParagraphFont"/>
    <w:link w:val="Heading2"/>
    <w:uiPriority w:val="9"/>
    <w:semiHidden/>
    <w:rsid w:val="00122E0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1847">
      <w:bodyDiv w:val="1"/>
      <w:marLeft w:val="0"/>
      <w:marRight w:val="0"/>
      <w:marTop w:val="0"/>
      <w:marBottom w:val="0"/>
      <w:divBdr>
        <w:top w:val="none" w:sz="0" w:space="0" w:color="auto"/>
        <w:left w:val="none" w:sz="0" w:space="0" w:color="auto"/>
        <w:bottom w:val="none" w:sz="0" w:space="0" w:color="auto"/>
        <w:right w:val="none" w:sz="0" w:space="0" w:color="auto"/>
      </w:divBdr>
      <w:divsChild>
        <w:div w:id="5711805">
          <w:marLeft w:val="0"/>
          <w:marRight w:val="0"/>
          <w:marTop w:val="0"/>
          <w:marBottom w:val="0"/>
          <w:divBdr>
            <w:top w:val="none" w:sz="0" w:space="0" w:color="auto"/>
            <w:left w:val="none" w:sz="0" w:space="0" w:color="auto"/>
            <w:bottom w:val="none" w:sz="0" w:space="0" w:color="auto"/>
            <w:right w:val="none" w:sz="0" w:space="0" w:color="auto"/>
          </w:divBdr>
          <w:divsChild>
            <w:div w:id="1845516381">
              <w:marLeft w:val="0"/>
              <w:marRight w:val="0"/>
              <w:marTop w:val="0"/>
              <w:marBottom w:val="0"/>
              <w:divBdr>
                <w:top w:val="none" w:sz="0" w:space="0" w:color="auto"/>
                <w:left w:val="none" w:sz="0" w:space="0" w:color="auto"/>
                <w:bottom w:val="none" w:sz="0" w:space="0" w:color="auto"/>
                <w:right w:val="none" w:sz="0" w:space="0" w:color="auto"/>
              </w:divBdr>
              <w:divsChild>
                <w:div w:id="7403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7714">
      <w:bodyDiv w:val="1"/>
      <w:marLeft w:val="0"/>
      <w:marRight w:val="0"/>
      <w:marTop w:val="0"/>
      <w:marBottom w:val="0"/>
      <w:divBdr>
        <w:top w:val="none" w:sz="0" w:space="0" w:color="auto"/>
        <w:left w:val="none" w:sz="0" w:space="0" w:color="auto"/>
        <w:bottom w:val="none" w:sz="0" w:space="0" w:color="auto"/>
        <w:right w:val="none" w:sz="0" w:space="0" w:color="auto"/>
      </w:divBdr>
    </w:div>
    <w:div w:id="172257914">
      <w:bodyDiv w:val="1"/>
      <w:marLeft w:val="0"/>
      <w:marRight w:val="0"/>
      <w:marTop w:val="0"/>
      <w:marBottom w:val="0"/>
      <w:divBdr>
        <w:top w:val="none" w:sz="0" w:space="0" w:color="auto"/>
        <w:left w:val="none" w:sz="0" w:space="0" w:color="auto"/>
        <w:bottom w:val="none" w:sz="0" w:space="0" w:color="auto"/>
        <w:right w:val="none" w:sz="0" w:space="0" w:color="auto"/>
      </w:divBdr>
      <w:divsChild>
        <w:div w:id="382143462">
          <w:marLeft w:val="0"/>
          <w:marRight w:val="0"/>
          <w:marTop w:val="0"/>
          <w:marBottom w:val="0"/>
          <w:divBdr>
            <w:top w:val="none" w:sz="0" w:space="0" w:color="auto"/>
            <w:left w:val="none" w:sz="0" w:space="0" w:color="auto"/>
            <w:bottom w:val="none" w:sz="0" w:space="0" w:color="auto"/>
            <w:right w:val="none" w:sz="0" w:space="0" w:color="auto"/>
          </w:divBdr>
          <w:divsChild>
            <w:div w:id="35547384">
              <w:marLeft w:val="0"/>
              <w:marRight w:val="0"/>
              <w:marTop w:val="0"/>
              <w:marBottom w:val="0"/>
              <w:divBdr>
                <w:top w:val="none" w:sz="0" w:space="0" w:color="auto"/>
                <w:left w:val="none" w:sz="0" w:space="0" w:color="auto"/>
                <w:bottom w:val="none" w:sz="0" w:space="0" w:color="auto"/>
                <w:right w:val="none" w:sz="0" w:space="0" w:color="auto"/>
              </w:divBdr>
              <w:divsChild>
                <w:div w:id="5424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4175">
      <w:bodyDiv w:val="1"/>
      <w:marLeft w:val="0"/>
      <w:marRight w:val="0"/>
      <w:marTop w:val="0"/>
      <w:marBottom w:val="0"/>
      <w:divBdr>
        <w:top w:val="none" w:sz="0" w:space="0" w:color="auto"/>
        <w:left w:val="none" w:sz="0" w:space="0" w:color="auto"/>
        <w:bottom w:val="none" w:sz="0" w:space="0" w:color="auto"/>
        <w:right w:val="none" w:sz="0" w:space="0" w:color="auto"/>
      </w:divBdr>
    </w:div>
    <w:div w:id="216477840">
      <w:bodyDiv w:val="1"/>
      <w:marLeft w:val="0"/>
      <w:marRight w:val="0"/>
      <w:marTop w:val="0"/>
      <w:marBottom w:val="0"/>
      <w:divBdr>
        <w:top w:val="none" w:sz="0" w:space="0" w:color="auto"/>
        <w:left w:val="none" w:sz="0" w:space="0" w:color="auto"/>
        <w:bottom w:val="none" w:sz="0" w:space="0" w:color="auto"/>
        <w:right w:val="none" w:sz="0" w:space="0" w:color="auto"/>
      </w:divBdr>
      <w:divsChild>
        <w:div w:id="1952086065">
          <w:marLeft w:val="0"/>
          <w:marRight w:val="0"/>
          <w:marTop w:val="0"/>
          <w:marBottom w:val="0"/>
          <w:divBdr>
            <w:top w:val="none" w:sz="0" w:space="0" w:color="auto"/>
            <w:left w:val="none" w:sz="0" w:space="0" w:color="auto"/>
            <w:bottom w:val="none" w:sz="0" w:space="0" w:color="auto"/>
            <w:right w:val="none" w:sz="0" w:space="0" w:color="auto"/>
          </w:divBdr>
          <w:divsChild>
            <w:div w:id="445539785">
              <w:marLeft w:val="0"/>
              <w:marRight w:val="0"/>
              <w:marTop w:val="0"/>
              <w:marBottom w:val="0"/>
              <w:divBdr>
                <w:top w:val="none" w:sz="0" w:space="0" w:color="auto"/>
                <w:left w:val="none" w:sz="0" w:space="0" w:color="auto"/>
                <w:bottom w:val="none" w:sz="0" w:space="0" w:color="auto"/>
                <w:right w:val="none" w:sz="0" w:space="0" w:color="auto"/>
              </w:divBdr>
              <w:divsChild>
                <w:div w:id="2730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87534">
      <w:bodyDiv w:val="1"/>
      <w:marLeft w:val="0"/>
      <w:marRight w:val="0"/>
      <w:marTop w:val="0"/>
      <w:marBottom w:val="0"/>
      <w:divBdr>
        <w:top w:val="none" w:sz="0" w:space="0" w:color="auto"/>
        <w:left w:val="none" w:sz="0" w:space="0" w:color="auto"/>
        <w:bottom w:val="none" w:sz="0" w:space="0" w:color="auto"/>
        <w:right w:val="none" w:sz="0" w:space="0" w:color="auto"/>
      </w:divBdr>
    </w:div>
    <w:div w:id="347030380">
      <w:bodyDiv w:val="1"/>
      <w:marLeft w:val="0"/>
      <w:marRight w:val="0"/>
      <w:marTop w:val="0"/>
      <w:marBottom w:val="0"/>
      <w:divBdr>
        <w:top w:val="none" w:sz="0" w:space="0" w:color="auto"/>
        <w:left w:val="none" w:sz="0" w:space="0" w:color="auto"/>
        <w:bottom w:val="none" w:sz="0" w:space="0" w:color="auto"/>
        <w:right w:val="none" w:sz="0" w:space="0" w:color="auto"/>
      </w:divBdr>
    </w:div>
    <w:div w:id="369039232">
      <w:bodyDiv w:val="1"/>
      <w:marLeft w:val="0"/>
      <w:marRight w:val="0"/>
      <w:marTop w:val="0"/>
      <w:marBottom w:val="0"/>
      <w:divBdr>
        <w:top w:val="none" w:sz="0" w:space="0" w:color="auto"/>
        <w:left w:val="none" w:sz="0" w:space="0" w:color="auto"/>
        <w:bottom w:val="none" w:sz="0" w:space="0" w:color="auto"/>
        <w:right w:val="none" w:sz="0" w:space="0" w:color="auto"/>
      </w:divBdr>
    </w:div>
    <w:div w:id="395083621">
      <w:bodyDiv w:val="1"/>
      <w:marLeft w:val="0"/>
      <w:marRight w:val="0"/>
      <w:marTop w:val="0"/>
      <w:marBottom w:val="0"/>
      <w:divBdr>
        <w:top w:val="none" w:sz="0" w:space="0" w:color="auto"/>
        <w:left w:val="none" w:sz="0" w:space="0" w:color="auto"/>
        <w:bottom w:val="none" w:sz="0" w:space="0" w:color="auto"/>
        <w:right w:val="none" w:sz="0" w:space="0" w:color="auto"/>
      </w:divBdr>
    </w:div>
    <w:div w:id="416826708">
      <w:bodyDiv w:val="1"/>
      <w:marLeft w:val="0"/>
      <w:marRight w:val="0"/>
      <w:marTop w:val="0"/>
      <w:marBottom w:val="0"/>
      <w:divBdr>
        <w:top w:val="none" w:sz="0" w:space="0" w:color="auto"/>
        <w:left w:val="none" w:sz="0" w:space="0" w:color="auto"/>
        <w:bottom w:val="none" w:sz="0" w:space="0" w:color="auto"/>
        <w:right w:val="none" w:sz="0" w:space="0" w:color="auto"/>
      </w:divBdr>
    </w:div>
    <w:div w:id="469400909">
      <w:bodyDiv w:val="1"/>
      <w:marLeft w:val="0"/>
      <w:marRight w:val="0"/>
      <w:marTop w:val="0"/>
      <w:marBottom w:val="0"/>
      <w:divBdr>
        <w:top w:val="none" w:sz="0" w:space="0" w:color="auto"/>
        <w:left w:val="none" w:sz="0" w:space="0" w:color="auto"/>
        <w:bottom w:val="none" w:sz="0" w:space="0" w:color="auto"/>
        <w:right w:val="none" w:sz="0" w:space="0" w:color="auto"/>
      </w:divBdr>
    </w:div>
    <w:div w:id="472254524">
      <w:bodyDiv w:val="1"/>
      <w:marLeft w:val="0"/>
      <w:marRight w:val="0"/>
      <w:marTop w:val="0"/>
      <w:marBottom w:val="0"/>
      <w:divBdr>
        <w:top w:val="none" w:sz="0" w:space="0" w:color="auto"/>
        <w:left w:val="none" w:sz="0" w:space="0" w:color="auto"/>
        <w:bottom w:val="none" w:sz="0" w:space="0" w:color="auto"/>
        <w:right w:val="none" w:sz="0" w:space="0" w:color="auto"/>
      </w:divBdr>
    </w:div>
    <w:div w:id="534733355">
      <w:bodyDiv w:val="1"/>
      <w:marLeft w:val="0"/>
      <w:marRight w:val="0"/>
      <w:marTop w:val="0"/>
      <w:marBottom w:val="0"/>
      <w:divBdr>
        <w:top w:val="none" w:sz="0" w:space="0" w:color="auto"/>
        <w:left w:val="none" w:sz="0" w:space="0" w:color="auto"/>
        <w:bottom w:val="none" w:sz="0" w:space="0" w:color="auto"/>
        <w:right w:val="none" w:sz="0" w:space="0" w:color="auto"/>
      </w:divBdr>
    </w:div>
    <w:div w:id="566457439">
      <w:bodyDiv w:val="1"/>
      <w:marLeft w:val="0"/>
      <w:marRight w:val="0"/>
      <w:marTop w:val="0"/>
      <w:marBottom w:val="0"/>
      <w:divBdr>
        <w:top w:val="none" w:sz="0" w:space="0" w:color="auto"/>
        <w:left w:val="none" w:sz="0" w:space="0" w:color="auto"/>
        <w:bottom w:val="none" w:sz="0" w:space="0" w:color="auto"/>
        <w:right w:val="none" w:sz="0" w:space="0" w:color="auto"/>
      </w:divBdr>
    </w:div>
    <w:div w:id="593634632">
      <w:bodyDiv w:val="1"/>
      <w:marLeft w:val="0"/>
      <w:marRight w:val="0"/>
      <w:marTop w:val="0"/>
      <w:marBottom w:val="0"/>
      <w:divBdr>
        <w:top w:val="none" w:sz="0" w:space="0" w:color="auto"/>
        <w:left w:val="none" w:sz="0" w:space="0" w:color="auto"/>
        <w:bottom w:val="none" w:sz="0" w:space="0" w:color="auto"/>
        <w:right w:val="none" w:sz="0" w:space="0" w:color="auto"/>
      </w:divBdr>
      <w:divsChild>
        <w:div w:id="1489714348">
          <w:marLeft w:val="0"/>
          <w:marRight w:val="0"/>
          <w:marTop w:val="0"/>
          <w:marBottom w:val="0"/>
          <w:divBdr>
            <w:top w:val="none" w:sz="0" w:space="0" w:color="auto"/>
            <w:left w:val="none" w:sz="0" w:space="0" w:color="auto"/>
            <w:bottom w:val="none" w:sz="0" w:space="0" w:color="auto"/>
            <w:right w:val="none" w:sz="0" w:space="0" w:color="auto"/>
          </w:divBdr>
          <w:divsChild>
            <w:div w:id="1526140054">
              <w:marLeft w:val="0"/>
              <w:marRight w:val="0"/>
              <w:marTop w:val="0"/>
              <w:marBottom w:val="0"/>
              <w:divBdr>
                <w:top w:val="none" w:sz="0" w:space="0" w:color="auto"/>
                <w:left w:val="none" w:sz="0" w:space="0" w:color="auto"/>
                <w:bottom w:val="none" w:sz="0" w:space="0" w:color="auto"/>
                <w:right w:val="none" w:sz="0" w:space="0" w:color="auto"/>
              </w:divBdr>
              <w:divsChild>
                <w:div w:id="19267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00037">
      <w:bodyDiv w:val="1"/>
      <w:marLeft w:val="0"/>
      <w:marRight w:val="0"/>
      <w:marTop w:val="0"/>
      <w:marBottom w:val="0"/>
      <w:divBdr>
        <w:top w:val="none" w:sz="0" w:space="0" w:color="auto"/>
        <w:left w:val="none" w:sz="0" w:space="0" w:color="auto"/>
        <w:bottom w:val="none" w:sz="0" w:space="0" w:color="auto"/>
        <w:right w:val="none" w:sz="0" w:space="0" w:color="auto"/>
      </w:divBdr>
    </w:div>
    <w:div w:id="651374556">
      <w:bodyDiv w:val="1"/>
      <w:marLeft w:val="0"/>
      <w:marRight w:val="0"/>
      <w:marTop w:val="0"/>
      <w:marBottom w:val="0"/>
      <w:divBdr>
        <w:top w:val="none" w:sz="0" w:space="0" w:color="auto"/>
        <w:left w:val="none" w:sz="0" w:space="0" w:color="auto"/>
        <w:bottom w:val="none" w:sz="0" w:space="0" w:color="auto"/>
        <w:right w:val="none" w:sz="0" w:space="0" w:color="auto"/>
      </w:divBdr>
    </w:div>
    <w:div w:id="696278693">
      <w:bodyDiv w:val="1"/>
      <w:marLeft w:val="0"/>
      <w:marRight w:val="0"/>
      <w:marTop w:val="0"/>
      <w:marBottom w:val="0"/>
      <w:divBdr>
        <w:top w:val="none" w:sz="0" w:space="0" w:color="auto"/>
        <w:left w:val="none" w:sz="0" w:space="0" w:color="auto"/>
        <w:bottom w:val="none" w:sz="0" w:space="0" w:color="auto"/>
        <w:right w:val="none" w:sz="0" w:space="0" w:color="auto"/>
      </w:divBdr>
    </w:div>
    <w:div w:id="732236224">
      <w:bodyDiv w:val="1"/>
      <w:marLeft w:val="0"/>
      <w:marRight w:val="0"/>
      <w:marTop w:val="0"/>
      <w:marBottom w:val="0"/>
      <w:divBdr>
        <w:top w:val="none" w:sz="0" w:space="0" w:color="auto"/>
        <w:left w:val="none" w:sz="0" w:space="0" w:color="auto"/>
        <w:bottom w:val="none" w:sz="0" w:space="0" w:color="auto"/>
        <w:right w:val="none" w:sz="0" w:space="0" w:color="auto"/>
      </w:divBdr>
    </w:div>
    <w:div w:id="777792428">
      <w:bodyDiv w:val="1"/>
      <w:marLeft w:val="0"/>
      <w:marRight w:val="0"/>
      <w:marTop w:val="0"/>
      <w:marBottom w:val="0"/>
      <w:divBdr>
        <w:top w:val="none" w:sz="0" w:space="0" w:color="auto"/>
        <w:left w:val="none" w:sz="0" w:space="0" w:color="auto"/>
        <w:bottom w:val="none" w:sz="0" w:space="0" w:color="auto"/>
        <w:right w:val="none" w:sz="0" w:space="0" w:color="auto"/>
      </w:divBdr>
    </w:div>
    <w:div w:id="789125345">
      <w:bodyDiv w:val="1"/>
      <w:marLeft w:val="0"/>
      <w:marRight w:val="0"/>
      <w:marTop w:val="0"/>
      <w:marBottom w:val="0"/>
      <w:divBdr>
        <w:top w:val="none" w:sz="0" w:space="0" w:color="auto"/>
        <w:left w:val="none" w:sz="0" w:space="0" w:color="auto"/>
        <w:bottom w:val="none" w:sz="0" w:space="0" w:color="auto"/>
        <w:right w:val="none" w:sz="0" w:space="0" w:color="auto"/>
      </w:divBdr>
    </w:div>
    <w:div w:id="811141072">
      <w:bodyDiv w:val="1"/>
      <w:marLeft w:val="0"/>
      <w:marRight w:val="0"/>
      <w:marTop w:val="0"/>
      <w:marBottom w:val="0"/>
      <w:divBdr>
        <w:top w:val="none" w:sz="0" w:space="0" w:color="auto"/>
        <w:left w:val="none" w:sz="0" w:space="0" w:color="auto"/>
        <w:bottom w:val="none" w:sz="0" w:space="0" w:color="auto"/>
        <w:right w:val="none" w:sz="0" w:space="0" w:color="auto"/>
      </w:divBdr>
      <w:divsChild>
        <w:div w:id="2101019069">
          <w:marLeft w:val="0"/>
          <w:marRight w:val="0"/>
          <w:marTop w:val="0"/>
          <w:marBottom w:val="0"/>
          <w:divBdr>
            <w:top w:val="none" w:sz="0" w:space="0" w:color="auto"/>
            <w:left w:val="none" w:sz="0" w:space="0" w:color="auto"/>
            <w:bottom w:val="none" w:sz="0" w:space="0" w:color="auto"/>
            <w:right w:val="none" w:sz="0" w:space="0" w:color="auto"/>
          </w:divBdr>
          <w:divsChild>
            <w:div w:id="1322849738">
              <w:marLeft w:val="0"/>
              <w:marRight w:val="0"/>
              <w:marTop w:val="0"/>
              <w:marBottom w:val="0"/>
              <w:divBdr>
                <w:top w:val="none" w:sz="0" w:space="0" w:color="auto"/>
                <w:left w:val="none" w:sz="0" w:space="0" w:color="auto"/>
                <w:bottom w:val="none" w:sz="0" w:space="0" w:color="auto"/>
                <w:right w:val="none" w:sz="0" w:space="0" w:color="auto"/>
              </w:divBdr>
              <w:divsChild>
                <w:div w:id="4833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1882">
      <w:bodyDiv w:val="1"/>
      <w:marLeft w:val="0"/>
      <w:marRight w:val="0"/>
      <w:marTop w:val="0"/>
      <w:marBottom w:val="0"/>
      <w:divBdr>
        <w:top w:val="none" w:sz="0" w:space="0" w:color="auto"/>
        <w:left w:val="none" w:sz="0" w:space="0" w:color="auto"/>
        <w:bottom w:val="none" w:sz="0" w:space="0" w:color="auto"/>
        <w:right w:val="none" w:sz="0" w:space="0" w:color="auto"/>
      </w:divBdr>
    </w:div>
    <w:div w:id="891428518">
      <w:bodyDiv w:val="1"/>
      <w:marLeft w:val="0"/>
      <w:marRight w:val="0"/>
      <w:marTop w:val="0"/>
      <w:marBottom w:val="0"/>
      <w:divBdr>
        <w:top w:val="none" w:sz="0" w:space="0" w:color="auto"/>
        <w:left w:val="none" w:sz="0" w:space="0" w:color="auto"/>
        <w:bottom w:val="none" w:sz="0" w:space="0" w:color="auto"/>
        <w:right w:val="none" w:sz="0" w:space="0" w:color="auto"/>
      </w:divBdr>
    </w:div>
    <w:div w:id="933440572">
      <w:bodyDiv w:val="1"/>
      <w:marLeft w:val="0"/>
      <w:marRight w:val="0"/>
      <w:marTop w:val="0"/>
      <w:marBottom w:val="0"/>
      <w:divBdr>
        <w:top w:val="none" w:sz="0" w:space="0" w:color="auto"/>
        <w:left w:val="none" w:sz="0" w:space="0" w:color="auto"/>
        <w:bottom w:val="none" w:sz="0" w:space="0" w:color="auto"/>
        <w:right w:val="none" w:sz="0" w:space="0" w:color="auto"/>
      </w:divBdr>
      <w:divsChild>
        <w:div w:id="365101304">
          <w:marLeft w:val="0"/>
          <w:marRight w:val="0"/>
          <w:marTop w:val="0"/>
          <w:marBottom w:val="0"/>
          <w:divBdr>
            <w:top w:val="none" w:sz="0" w:space="0" w:color="auto"/>
            <w:left w:val="none" w:sz="0" w:space="0" w:color="auto"/>
            <w:bottom w:val="none" w:sz="0" w:space="0" w:color="auto"/>
            <w:right w:val="none" w:sz="0" w:space="0" w:color="auto"/>
          </w:divBdr>
          <w:divsChild>
            <w:div w:id="1330407735">
              <w:marLeft w:val="0"/>
              <w:marRight w:val="0"/>
              <w:marTop w:val="0"/>
              <w:marBottom w:val="0"/>
              <w:divBdr>
                <w:top w:val="none" w:sz="0" w:space="0" w:color="auto"/>
                <w:left w:val="none" w:sz="0" w:space="0" w:color="auto"/>
                <w:bottom w:val="none" w:sz="0" w:space="0" w:color="auto"/>
                <w:right w:val="none" w:sz="0" w:space="0" w:color="auto"/>
              </w:divBdr>
              <w:divsChild>
                <w:div w:id="11844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01731">
      <w:bodyDiv w:val="1"/>
      <w:marLeft w:val="0"/>
      <w:marRight w:val="0"/>
      <w:marTop w:val="0"/>
      <w:marBottom w:val="0"/>
      <w:divBdr>
        <w:top w:val="none" w:sz="0" w:space="0" w:color="auto"/>
        <w:left w:val="none" w:sz="0" w:space="0" w:color="auto"/>
        <w:bottom w:val="none" w:sz="0" w:space="0" w:color="auto"/>
        <w:right w:val="none" w:sz="0" w:space="0" w:color="auto"/>
      </w:divBdr>
    </w:div>
    <w:div w:id="964310994">
      <w:bodyDiv w:val="1"/>
      <w:marLeft w:val="0"/>
      <w:marRight w:val="0"/>
      <w:marTop w:val="0"/>
      <w:marBottom w:val="0"/>
      <w:divBdr>
        <w:top w:val="none" w:sz="0" w:space="0" w:color="auto"/>
        <w:left w:val="none" w:sz="0" w:space="0" w:color="auto"/>
        <w:bottom w:val="none" w:sz="0" w:space="0" w:color="auto"/>
        <w:right w:val="none" w:sz="0" w:space="0" w:color="auto"/>
      </w:divBdr>
    </w:div>
    <w:div w:id="977685220">
      <w:bodyDiv w:val="1"/>
      <w:marLeft w:val="0"/>
      <w:marRight w:val="0"/>
      <w:marTop w:val="0"/>
      <w:marBottom w:val="0"/>
      <w:divBdr>
        <w:top w:val="none" w:sz="0" w:space="0" w:color="auto"/>
        <w:left w:val="none" w:sz="0" w:space="0" w:color="auto"/>
        <w:bottom w:val="none" w:sz="0" w:space="0" w:color="auto"/>
        <w:right w:val="none" w:sz="0" w:space="0" w:color="auto"/>
      </w:divBdr>
    </w:div>
    <w:div w:id="992172860">
      <w:bodyDiv w:val="1"/>
      <w:marLeft w:val="0"/>
      <w:marRight w:val="0"/>
      <w:marTop w:val="0"/>
      <w:marBottom w:val="0"/>
      <w:divBdr>
        <w:top w:val="none" w:sz="0" w:space="0" w:color="auto"/>
        <w:left w:val="none" w:sz="0" w:space="0" w:color="auto"/>
        <w:bottom w:val="none" w:sz="0" w:space="0" w:color="auto"/>
        <w:right w:val="none" w:sz="0" w:space="0" w:color="auto"/>
      </w:divBdr>
    </w:div>
    <w:div w:id="1023477661">
      <w:bodyDiv w:val="1"/>
      <w:marLeft w:val="0"/>
      <w:marRight w:val="0"/>
      <w:marTop w:val="0"/>
      <w:marBottom w:val="0"/>
      <w:divBdr>
        <w:top w:val="none" w:sz="0" w:space="0" w:color="auto"/>
        <w:left w:val="none" w:sz="0" w:space="0" w:color="auto"/>
        <w:bottom w:val="none" w:sz="0" w:space="0" w:color="auto"/>
        <w:right w:val="none" w:sz="0" w:space="0" w:color="auto"/>
      </w:divBdr>
    </w:div>
    <w:div w:id="1050151133">
      <w:bodyDiv w:val="1"/>
      <w:marLeft w:val="0"/>
      <w:marRight w:val="0"/>
      <w:marTop w:val="0"/>
      <w:marBottom w:val="0"/>
      <w:divBdr>
        <w:top w:val="none" w:sz="0" w:space="0" w:color="auto"/>
        <w:left w:val="none" w:sz="0" w:space="0" w:color="auto"/>
        <w:bottom w:val="none" w:sz="0" w:space="0" w:color="auto"/>
        <w:right w:val="none" w:sz="0" w:space="0" w:color="auto"/>
      </w:divBdr>
      <w:divsChild>
        <w:div w:id="1975519074">
          <w:marLeft w:val="0"/>
          <w:marRight w:val="0"/>
          <w:marTop w:val="0"/>
          <w:marBottom w:val="0"/>
          <w:divBdr>
            <w:top w:val="none" w:sz="0" w:space="0" w:color="auto"/>
            <w:left w:val="none" w:sz="0" w:space="0" w:color="auto"/>
            <w:bottom w:val="none" w:sz="0" w:space="0" w:color="auto"/>
            <w:right w:val="none" w:sz="0" w:space="0" w:color="auto"/>
          </w:divBdr>
        </w:div>
      </w:divsChild>
    </w:div>
    <w:div w:id="1087074799">
      <w:bodyDiv w:val="1"/>
      <w:marLeft w:val="0"/>
      <w:marRight w:val="0"/>
      <w:marTop w:val="0"/>
      <w:marBottom w:val="0"/>
      <w:divBdr>
        <w:top w:val="none" w:sz="0" w:space="0" w:color="auto"/>
        <w:left w:val="none" w:sz="0" w:space="0" w:color="auto"/>
        <w:bottom w:val="none" w:sz="0" w:space="0" w:color="auto"/>
        <w:right w:val="none" w:sz="0" w:space="0" w:color="auto"/>
      </w:divBdr>
      <w:divsChild>
        <w:div w:id="1553496938">
          <w:marLeft w:val="0"/>
          <w:marRight w:val="0"/>
          <w:marTop w:val="0"/>
          <w:marBottom w:val="0"/>
          <w:divBdr>
            <w:top w:val="none" w:sz="0" w:space="0" w:color="auto"/>
            <w:left w:val="none" w:sz="0" w:space="0" w:color="auto"/>
            <w:bottom w:val="none" w:sz="0" w:space="0" w:color="auto"/>
            <w:right w:val="none" w:sz="0" w:space="0" w:color="auto"/>
          </w:divBdr>
          <w:divsChild>
            <w:div w:id="1361738359">
              <w:marLeft w:val="0"/>
              <w:marRight w:val="0"/>
              <w:marTop w:val="0"/>
              <w:marBottom w:val="0"/>
              <w:divBdr>
                <w:top w:val="none" w:sz="0" w:space="0" w:color="auto"/>
                <w:left w:val="none" w:sz="0" w:space="0" w:color="auto"/>
                <w:bottom w:val="none" w:sz="0" w:space="0" w:color="auto"/>
                <w:right w:val="none" w:sz="0" w:space="0" w:color="auto"/>
              </w:divBdr>
              <w:divsChild>
                <w:div w:id="16542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8305">
      <w:bodyDiv w:val="1"/>
      <w:marLeft w:val="0"/>
      <w:marRight w:val="0"/>
      <w:marTop w:val="0"/>
      <w:marBottom w:val="0"/>
      <w:divBdr>
        <w:top w:val="none" w:sz="0" w:space="0" w:color="auto"/>
        <w:left w:val="none" w:sz="0" w:space="0" w:color="auto"/>
        <w:bottom w:val="none" w:sz="0" w:space="0" w:color="auto"/>
        <w:right w:val="none" w:sz="0" w:space="0" w:color="auto"/>
      </w:divBdr>
    </w:div>
    <w:div w:id="1129982112">
      <w:bodyDiv w:val="1"/>
      <w:marLeft w:val="0"/>
      <w:marRight w:val="0"/>
      <w:marTop w:val="0"/>
      <w:marBottom w:val="0"/>
      <w:divBdr>
        <w:top w:val="none" w:sz="0" w:space="0" w:color="auto"/>
        <w:left w:val="none" w:sz="0" w:space="0" w:color="auto"/>
        <w:bottom w:val="none" w:sz="0" w:space="0" w:color="auto"/>
        <w:right w:val="none" w:sz="0" w:space="0" w:color="auto"/>
      </w:divBdr>
    </w:div>
    <w:div w:id="1149057868">
      <w:bodyDiv w:val="1"/>
      <w:marLeft w:val="0"/>
      <w:marRight w:val="0"/>
      <w:marTop w:val="0"/>
      <w:marBottom w:val="0"/>
      <w:divBdr>
        <w:top w:val="none" w:sz="0" w:space="0" w:color="auto"/>
        <w:left w:val="none" w:sz="0" w:space="0" w:color="auto"/>
        <w:bottom w:val="none" w:sz="0" w:space="0" w:color="auto"/>
        <w:right w:val="none" w:sz="0" w:space="0" w:color="auto"/>
      </w:divBdr>
      <w:divsChild>
        <w:div w:id="1226915005">
          <w:marLeft w:val="0"/>
          <w:marRight w:val="0"/>
          <w:marTop w:val="0"/>
          <w:marBottom w:val="0"/>
          <w:divBdr>
            <w:top w:val="none" w:sz="0" w:space="0" w:color="auto"/>
            <w:left w:val="none" w:sz="0" w:space="0" w:color="auto"/>
            <w:bottom w:val="none" w:sz="0" w:space="0" w:color="auto"/>
            <w:right w:val="none" w:sz="0" w:space="0" w:color="auto"/>
          </w:divBdr>
          <w:divsChild>
            <w:div w:id="457072111">
              <w:marLeft w:val="0"/>
              <w:marRight w:val="0"/>
              <w:marTop w:val="0"/>
              <w:marBottom w:val="0"/>
              <w:divBdr>
                <w:top w:val="none" w:sz="0" w:space="0" w:color="auto"/>
                <w:left w:val="none" w:sz="0" w:space="0" w:color="auto"/>
                <w:bottom w:val="none" w:sz="0" w:space="0" w:color="auto"/>
                <w:right w:val="none" w:sz="0" w:space="0" w:color="auto"/>
              </w:divBdr>
              <w:divsChild>
                <w:div w:id="14126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9115">
      <w:bodyDiv w:val="1"/>
      <w:marLeft w:val="0"/>
      <w:marRight w:val="0"/>
      <w:marTop w:val="0"/>
      <w:marBottom w:val="0"/>
      <w:divBdr>
        <w:top w:val="none" w:sz="0" w:space="0" w:color="auto"/>
        <w:left w:val="none" w:sz="0" w:space="0" w:color="auto"/>
        <w:bottom w:val="none" w:sz="0" w:space="0" w:color="auto"/>
        <w:right w:val="none" w:sz="0" w:space="0" w:color="auto"/>
      </w:divBdr>
    </w:div>
    <w:div w:id="1221600269">
      <w:bodyDiv w:val="1"/>
      <w:marLeft w:val="0"/>
      <w:marRight w:val="0"/>
      <w:marTop w:val="0"/>
      <w:marBottom w:val="0"/>
      <w:divBdr>
        <w:top w:val="none" w:sz="0" w:space="0" w:color="auto"/>
        <w:left w:val="none" w:sz="0" w:space="0" w:color="auto"/>
        <w:bottom w:val="none" w:sz="0" w:space="0" w:color="auto"/>
        <w:right w:val="none" w:sz="0" w:space="0" w:color="auto"/>
      </w:divBdr>
    </w:div>
    <w:div w:id="1227036920">
      <w:bodyDiv w:val="1"/>
      <w:marLeft w:val="0"/>
      <w:marRight w:val="0"/>
      <w:marTop w:val="0"/>
      <w:marBottom w:val="0"/>
      <w:divBdr>
        <w:top w:val="none" w:sz="0" w:space="0" w:color="auto"/>
        <w:left w:val="none" w:sz="0" w:space="0" w:color="auto"/>
        <w:bottom w:val="none" w:sz="0" w:space="0" w:color="auto"/>
        <w:right w:val="none" w:sz="0" w:space="0" w:color="auto"/>
      </w:divBdr>
    </w:div>
    <w:div w:id="1230188432">
      <w:bodyDiv w:val="1"/>
      <w:marLeft w:val="0"/>
      <w:marRight w:val="0"/>
      <w:marTop w:val="0"/>
      <w:marBottom w:val="0"/>
      <w:divBdr>
        <w:top w:val="none" w:sz="0" w:space="0" w:color="auto"/>
        <w:left w:val="none" w:sz="0" w:space="0" w:color="auto"/>
        <w:bottom w:val="none" w:sz="0" w:space="0" w:color="auto"/>
        <w:right w:val="none" w:sz="0" w:space="0" w:color="auto"/>
      </w:divBdr>
    </w:div>
    <w:div w:id="1244678770">
      <w:bodyDiv w:val="1"/>
      <w:marLeft w:val="0"/>
      <w:marRight w:val="0"/>
      <w:marTop w:val="0"/>
      <w:marBottom w:val="0"/>
      <w:divBdr>
        <w:top w:val="none" w:sz="0" w:space="0" w:color="auto"/>
        <w:left w:val="none" w:sz="0" w:space="0" w:color="auto"/>
        <w:bottom w:val="none" w:sz="0" w:space="0" w:color="auto"/>
        <w:right w:val="none" w:sz="0" w:space="0" w:color="auto"/>
      </w:divBdr>
    </w:div>
    <w:div w:id="1246377899">
      <w:bodyDiv w:val="1"/>
      <w:marLeft w:val="0"/>
      <w:marRight w:val="0"/>
      <w:marTop w:val="0"/>
      <w:marBottom w:val="0"/>
      <w:divBdr>
        <w:top w:val="none" w:sz="0" w:space="0" w:color="auto"/>
        <w:left w:val="none" w:sz="0" w:space="0" w:color="auto"/>
        <w:bottom w:val="none" w:sz="0" w:space="0" w:color="auto"/>
        <w:right w:val="none" w:sz="0" w:space="0" w:color="auto"/>
      </w:divBdr>
    </w:div>
    <w:div w:id="1277908650">
      <w:bodyDiv w:val="1"/>
      <w:marLeft w:val="0"/>
      <w:marRight w:val="0"/>
      <w:marTop w:val="0"/>
      <w:marBottom w:val="0"/>
      <w:divBdr>
        <w:top w:val="none" w:sz="0" w:space="0" w:color="auto"/>
        <w:left w:val="none" w:sz="0" w:space="0" w:color="auto"/>
        <w:bottom w:val="none" w:sz="0" w:space="0" w:color="auto"/>
        <w:right w:val="none" w:sz="0" w:space="0" w:color="auto"/>
      </w:divBdr>
      <w:divsChild>
        <w:div w:id="872696329">
          <w:marLeft w:val="0"/>
          <w:marRight w:val="0"/>
          <w:marTop w:val="0"/>
          <w:marBottom w:val="0"/>
          <w:divBdr>
            <w:top w:val="none" w:sz="0" w:space="0" w:color="auto"/>
            <w:left w:val="none" w:sz="0" w:space="0" w:color="auto"/>
            <w:bottom w:val="none" w:sz="0" w:space="0" w:color="auto"/>
            <w:right w:val="none" w:sz="0" w:space="0" w:color="auto"/>
          </w:divBdr>
          <w:divsChild>
            <w:div w:id="1275136122">
              <w:marLeft w:val="0"/>
              <w:marRight w:val="0"/>
              <w:marTop w:val="0"/>
              <w:marBottom w:val="0"/>
              <w:divBdr>
                <w:top w:val="none" w:sz="0" w:space="0" w:color="auto"/>
                <w:left w:val="none" w:sz="0" w:space="0" w:color="auto"/>
                <w:bottom w:val="none" w:sz="0" w:space="0" w:color="auto"/>
                <w:right w:val="none" w:sz="0" w:space="0" w:color="auto"/>
              </w:divBdr>
              <w:divsChild>
                <w:div w:id="730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15220">
      <w:bodyDiv w:val="1"/>
      <w:marLeft w:val="0"/>
      <w:marRight w:val="0"/>
      <w:marTop w:val="0"/>
      <w:marBottom w:val="0"/>
      <w:divBdr>
        <w:top w:val="none" w:sz="0" w:space="0" w:color="auto"/>
        <w:left w:val="none" w:sz="0" w:space="0" w:color="auto"/>
        <w:bottom w:val="none" w:sz="0" w:space="0" w:color="auto"/>
        <w:right w:val="none" w:sz="0" w:space="0" w:color="auto"/>
      </w:divBdr>
    </w:div>
    <w:div w:id="1315985125">
      <w:bodyDiv w:val="1"/>
      <w:marLeft w:val="0"/>
      <w:marRight w:val="0"/>
      <w:marTop w:val="0"/>
      <w:marBottom w:val="0"/>
      <w:divBdr>
        <w:top w:val="none" w:sz="0" w:space="0" w:color="auto"/>
        <w:left w:val="none" w:sz="0" w:space="0" w:color="auto"/>
        <w:bottom w:val="none" w:sz="0" w:space="0" w:color="auto"/>
        <w:right w:val="none" w:sz="0" w:space="0" w:color="auto"/>
      </w:divBdr>
    </w:div>
    <w:div w:id="1423139599">
      <w:bodyDiv w:val="1"/>
      <w:marLeft w:val="0"/>
      <w:marRight w:val="0"/>
      <w:marTop w:val="0"/>
      <w:marBottom w:val="0"/>
      <w:divBdr>
        <w:top w:val="none" w:sz="0" w:space="0" w:color="auto"/>
        <w:left w:val="none" w:sz="0" w:space="0" w:color="auto"/>
        <w:bottom w:val="none" w:sz="0" w:space="0" w:color="auto"/>
        <w:right w:val="none" w:sz="0" w:space="0" w:color="auto"/>
      </w:divBdr>
    </w:div>
    <w:div w:id="1454329325">
      <w:bodyDiv w:val="1"/>
      <w:marLeft w:val="0"/>
      <w:marRight w:val="0"/>
      <w:marTop w:val="0"/>
      <w:marBottom w:val="0"/>
      <w:divBdr>
        <w:top w:val="none" w:sz="0" w:space="0" w:color="auto"/>
        <w:left w:val="none" w:sz="0" w:space="0" w:color="auto"/>
        <w:bottom w:val="none" w:sz="0" w:space="0" w:color="auto"/>
        <w:right w:val="none" w:sz="0" w:space="0" w:color="auto"/>
      </w:divBdr>
    </w:div>
    <w:div w:id="1463379385">
      <w:bodyDiv w:val="1"/>
      <w:marLeft w:val="0"/>
      <w:marRight w:val="0"/>
      <w:marTop w:val="0"/>
      <w:marBottom w:val="0"/>
      <w:divBdr>
        <w:top w:val="none" w:sz="0" w:space="0" w:color="auto"/>
        <w:left w:val="none" w:sz="0" w:space="0" w:color="auto"/>
        <w:bottom w:val="none" w:sz="0" w:space="0" w:color="auto"/>
        <w:right w:val="none" w:sz="0" w:space="0" w:color="auto"/>
      </w:divBdr>
    </w:div>
    <w:div w:id="1473211777">
      <w:bodyDiv w:val="1"/>
      <w:marLeft w:val="0"/>
      <w:marRight w:val="0"/>
      <w:marTop w:val="0"/>
      <w:marBottom w:val="0"/>
      <w:divBdr>
        <w:top w:val="none" w:sz="0" w:space="0" w:color="auto"/>
        <w:left w:val="none" w:sz="0" w:space="0" w:color="auto"/>
        <w:bottom w:val="none" w:sz="0" w:space="0" w:color="auto"/>
        <w:right w:val="none" w:sz="0" w:space="0" w:color="auto"/>
      </w:divBdr>
    </w:div>
    <w:div w:id="1498156292">
      <w:bodyDiv w:val="1"/>
      <w:marLeft w:val="0"/>
      <w:marRight w:val="0"/>
      <w:marTop w:val="0"/>
      <w:marBottom w:val="0"/>
      <w:divBdr>
        <w:top w:val="none" w:sz="0" w:space="0" w:color="auto"/>
        <w:left w:val="none" w:sz="0" w:space="0" w:color="auto"/>
        <w:bottom w:val="none" w:sz="0" w:space="0" w:color="auto"/>
        <w:right w:val="none" w:sz="0" w:space="0" w:color="auto"/>
      </w:divBdr>
    </w:div>
    <w:div w:id="1507094277">
      <w:bodyDiv w:val="1"/>
      <w:marLeft w:val="0"/>
      <w:marRight w:val="0"/>
      <w:marTop w:val="0"/>
      <w:marBottom w:val="0"/>
      <w:divBdr>
        <w:top w:val="none" w:sz="0" w:space="0" w:color="auto"/>
        <w:left w:val="none" w:sz="0" w:space="0" w:color="auto"/>
        <w:bottom w:val="none" w:sz="0" w:space="0" w:color="auto"/>
        <w:right w:val="none" w:sz="0" w:space="0" w:color="auto"/>
      </w:divBdr>
    </w:div>
    <w:div w:id="1553036558">
      <w:bodyDiv w:val="1"/>
      <w:marLeft w:val="0"/>
      <w:marRight w:val="0"/>
      <w:marTop w:val="0"/>
      <w:marBottom w:val="0"/>
      <w:divBdr>
        <w:top w:val="none" w:sz="0" w:space="0" w:color="auto"/>
        <w:left w:val="none" w:sz="0" w:space="0" w:color="auto"/>
        <w:bottom w:val="none" w:sz="0" w:space="0" w:color="auto"/>
        <w:right w:val="none" w:sz="0" w:space="0" w:color="auto"/>
      </w:divBdr>
      <w:divsChild>
        <w:div w:id="893157247">
          <w:marLeft w:val="0"/>
          <w:marRight w:val="0"/>
          <w:marTop w:val="0"/>
          <w:marBottom w:val="0"/>
          <w:divBdr>
            <w:top w:val="none" w:sz="0" w:space="0" w:color="auto"/>
            <w:left w:val="none" w:sz="0" w:space="0" w:color="auto"/>
            <w:bottom w:val="none" w:sz="0" w:space="0" w:color="auto"/>
            <w:right w:val="none" w:sz="0" w:space="0" w:color="auto"/>
          </w:divBdr>
          <w:divsChild>
            <w:div w:id="1485199774">
              <w:marLeft w:val="0"/>
              <w:marRight w:val="0"/>
              <w:marTop w:val="0"/>
              <w:marBottom w:val="0"/>
              <w:divBdr>
                <w:top w:val="none" w:sz="0" w:space="0" w:color="auto"/>
                <w:left w:val="none" w:sz="0" w:space="0" w:color="auto"/>
                <w:bottom w:val="none" w:sz="0" w:space="0" w:color="auto"/>
                <w:right w:val="none" w:sz="0" w:space="0" w:color="auto"/>
              </w:divBdr>
              <w:divsChild>
                <w:div w:id="21283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8360">
      <w:bodyDiv w:val="1"/>
      <w:marLeft w:val="0"/>
      <w:marRight w:val="0"/>
      <w:marTop w:val="0"/>
      <w:marBottom w:val="0"/>
      <w:divBdr>
        <w:top w:val="none" w:sz="0" w:space="0" w:color="auto"/>
        <w:left w:val="none" w:sz="0" w:space="0" w:color="auto"/>
        <w:bottom w:val="none" w:sz="0" w:space="0" w:color="auto"/>
        <w:right w:val="none" w:sz="0" w:space="0" w:color="auto"/>
      </w:divBdr>
    </w:div>
    <w:div w:id="1578325168">
      <w:bodyDiv w:val="1"/>
      <w:marLeft w:val="0"/>
      <w:marRight w:val="0"/>
      <w:marTop w:val="0"/>
      <w:marBottom w:val="0"/>
      <w:divBdr>
        <w:top w:val="none" w:sz="0" w:space="0" w:color="auto"/>
        <w:left w:val="none" w:sz="0" w:space="0" w:color="auto"/>
        <w:bottom w:val="none" w:sz="0" w:space="0" w:color="auto"/>
        <w:right w:val="none" w:sz="0" w:space="0" w:color="auto"/>
      </w:divBdr>
    </w:div>
    <w:div w:id="1649550984">
      <w:bodyDiv w:val="1"/>
      <w:marLeft w:val="0"/>
      <w:marRight w:val="0"/>
      <w:marTop w:val="0"/>
      <w:marBottom w:val="0"/>
      <w:divBdr>
        <w:top w:val="none" w:sz="0" w:space="0" w:color="auto"/>
        <w:left w:val="none" w:sz="0" w:space="0" w:color="auto"/>
        <w:bottom w:val="none" w:sz="0" w:space="0" w:color="auto"/>
        <w:right w:val="none" w:sz="0" w:space="0" w:color="auto"/>
      </w:divBdr>
    </w:div>
    <w:div w:id="1665429537">
      <w:bodyDiv w:val="1"/>
      <w:marLeft w:val="0"/>
      <w:marRight w:val="0"/>
      <w:marTop w:val="0"/>
      <w:marBottom w:val="0"/>
      <w:divBdr>
        <w:top w:val="none" w:sz="0" w:space="0" w:color="auto"/>
        <w:left w:val="none" w:sz="0" w:space="0" w:color="auto"/>
        <w:bottom w:val="none" w:sz="0" w:space="0" w:color="auto"/>
        <w:right w:val="none" w:sz="0" w:space="0" w:color="auto"/>
      </w:divBdr>
    </w:div>
    <w:div w:id="1708484540">
      <w:bodyDiv w:val="1"/>
      <w:marLeft w:val="0"/>
      <w:marRight w:val="0"/>
      <w:marTop w:val="0"/>
      <w:marBottom w:val="0"/>
      <w:divBdr>
        <w:top w:val="none" w:sz="0" w:space="0" w:color="auto"/>
        <w:left w:val="none" w:sz="0" w:space="0" w:color="auto"/>
        <w:bottom w:val="none" w:sz="0" w:space="0" w:color="auto"/>
        <w:right w:val="none" w:sz="0" w:space="0" w:color="auto"/>
      </w:divBdr>
    </w:div>
    <w:div w:id="1740860647">
      <w:bodyDiv w:val="1"/>
      <w:marLeft w:val="0"/>
      <w:marRight w:val="0"/>
      <w:marTop w:val="0"/>
      <w:marBottom w:val="0"/>
      <w:divBdr>
        <w:top w:val="none" w:sz="0" w:space="0" w:color="auto"/>
        <w:left w:val="none" w:sz="0" w:space="0" w:color="auto"/>
        <w:bottom w:val="none" w:sz="0" w:space="0" w:color="auto"/>
        <w:right w:val="none" w:sz="0" w:space="0" w:color="auto"/>
      </w:divBdr>
    </w:div>
    <w:div w:id="1781683830">
      <w:bodyDiv w:val="1"/>
      <w:marLeft w:val="0"/>
      <w:marRight w:val="0"/>
      <w:marTop w:val="0"/>
      <w:marBottom w:val="0"/>
      <w:divBdr>
        <w:top w:val="none" w:sz="0" w:space="0" w:color="auto"/>
        <w:left w:val="none" w:sz="0" w:space="0" w:color="auto"/>
        <w:bottom w:val="none" w:sz="0" w:space="0" w:color="auto"/>
        <w:right w:val="none" w:sz="0" w:space="0" w:color="auto"/>
      </w:divBdr>
    </w:div>
    <w:div w:id="1782648577">
      <w:bodyDiv w:val="1"/>
      <w:marLeft w:val="0"/>
      <w:marRight w:val="0"/>
      <w:marTop w:val="0"/>
      <w:marBottom w:val="0"/>
      <w:divBdr>
        <w:top w:val="none" w:sz="0" w:space="0" w:color="auto"/>
        <w:left w:val="none" w:sz="0" w:space="0" w:color="auto"/>
        <w:bottom w:val="none" w:sz="0" w:space="0" w:color="auto"/>
        <w:right w:val="none" w:sz="0" w:space="0" w:color="auto"/>
      </w:divBdr>
      <w:divsChild>
        <w:div w:id="194857431">
          <w:marLeft w:val="0"/>
          <w:marRight w:val="0"/>
          <w:marTop w:val="0"/>
          <w:marBottom w:val="0"/>
          <w:divBdr>
            <w:top w:val="none" w:sz="0" w:space="0" w:color="auto"/>
            <w:left w:val="none" w:sz="0" w:space="0" w:color="auto"/>
            <w:bottom w:val="none" w:sz="0" w:space="0" w:color="auto"/>
            <w:right w:val="none" w:sz="0" w:space="0" w:color="auto"/>
          </w:divBdr>
          <w:divsChild>
            <w:div w:id="1334265000">
              <w:marLeft w:val="0"/>
              <w:marRight w:val="0"/>
              <w:marTop w:val="0"/>
              <w:marBottom w:val="0"/>
              <w:divBdr>
                <w:top w:val="none" w:sz="0" w:space="0" w:color="auto"/>
                <w:left w:val="none" w:sz="0" w:space="0" w:color="auto"/>
                <w:bottom w:val="none" w:sz="0" w:space="0" w:color="auto"/>
                <w:right w:val="none" w:sz="0" w:space="0" w:color="auto"/>
              </w:divBdr>
              <w:divsChild>
                <w:div w:id="17698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1940">
      <w:bodyDiv w:val="1"/>
      <w:marLeft w:val="0"/>
      <w:marRight w:val="0"/>
      <w:marTop w:val="0"/>
      <w:marBottom w:val="0"/>
      <w:divBdr>
        <w:top w:val="none" w:sz="0" w:space="0" w:color="auto"/>
        <w:left w:val="none" w:sz="0" w:space="0" w:color="auto"/>
        <w:bottom w:val="none" w:sz="0" w:space="0" w:color="auto"/>
        <w:right w:val="none" w:sz="0" w:space="0" w:color="auto"/>
      </w:divBdr>
      <w:divsChild>
        <w:div w:id="802312417">
          <w:marLeft w:val="0"/>
          <w:marRight w:val="0"/>
          <w:marTop w:val="0"/>
          <w:marBottom w:val="0"/>
          <w:divBdr>
            <w:top w:val="none" w:sz="0" w:space="0" w:color="auto"/>
            <w:left w:val="none" w:sz="0" w:space="0" w:color="auto"/>
            <w:bottom w:val="none" w:sz="0" w:space="0" w:color="auto"/>
            <w:right w:val="none" w:sz="0" w:space="0" w:color="auto"/>
          </w:divBdr>
          <w:divsChild>
            <w:div w:id="2078087921">
              <w:marLeft w:val="0"/>
              <w:marRight w:val="0"/>
              <w:marTop w:val="0"/>
              <w:marBottom w:val="0"/>
              <w:divBdr>
                <w:top w:val="none" w:sz="0" w:space="0" w:color="auto"/>
                <w:left w:val="none" w:sz="0" w:space="0" w:color="auto"/>
                <w:bottom w:val="none" w:sz="0" w:space="0" w:color="auto"/>
                <w:right w:val="none" w:sz="0" w:space="0" w:color="auto"/>
              </w:divBdr>
              <w:divsChild>
                <w:div w:id="4201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89301">
      <w:bodyDiv w:val="1"/>
      <w:marLeft w:val="0"/>
      <w:marRight w:val="0"/>
      <w:marTop w:val="0"/>
      <w:marBottom w:val="0"/>
      <w:divBdr>
        <w:top w:val="none" w:sz="0" w:space="0" w:color="auto"/>
        <w:left w:val="none" w:sz="0" w:space="0" w:color="auto"/>
        <w:bottom w:val="none" w:sz="0" w:space="0" w:color="auto"/>
        <w:right w:val="none" w:sz="0" w:space="0" w:color="auto"/>
      </w:divBdr>
    </w:div>
    <w:div w:id="1844667188">
      <w:bodyDiv w:val="1"/>
      <w:marLeft w:val="0"/>
      <w:marRight w:val="0"/>
      <w:marTop w:val="0"/>
      <w:marBottom w:val="0"/>
      <w:divBdr>
        <w:top w:val="none" w:sz="0" w:space="0" w:color="auto"/>
        <w:left w:val="none" w:sz="0" w:space="0" w:color="auto"/>
        <w:bottom w:val="none" w:sz="0" w:space="0" w:color="auto"/>
        <w:right w:val="none" w:sz="0" w:space="0" w:color="auto"/>
      </w:divBdr>
    </w:div>
    <w:div w:id="1858231706">
      <w:bodyDiv w:val="1"/>
      <w:marLeft w:val="0"/>
      <w:marRight w:val="0"/>
      <w:marTop w:val="0"/>
      <w:marBottom w:val="0"/>
      <w:divBdr>
        <w:top w:val="none" w:sz="0" w:space="0" w:color="auto"/>
        <w:left w:val="none" w:sz="0" w:space="0" w:color="auto"/>
        <w:bottom w:val="none" w:sz="0" w:space="0" w:color="auto"/>
        <w:right w:val="none" w:sz="0" w:space="0" w:color="auto"/>
      </w:divBdr>
    </w:div>
    <w:div w:id="1881627700">
      <w:bodyDiv w:val="1"/>
      <w:marLeft w:val="0"/>
      <w:marRight w:val="0"/>
      <w:marTop w:val="0"/>
      <w:marBottom w:val="0"/>
      <w:divBdr>
        <w:top w:val="none" w:sz="0" w:space="0" w:color="auto"/>
        <w:left w:val="none" w:sz="0" w:space="0" w:color="auto"/>
        <w:bottom w:val="none" w:sz="0" w:space="0" w:color="auto"/>
        <w:right w:val="none" w:sz="0" w:space="0" w:color="auto"/>
      </w:divBdr>
    </w:div>
    <w:div w:id="2006200016">
      <w:bodyDiv w:val="1"/>
      <w:marLeft w:val="0"/>
      <w:marRight w:val="0"/>
      <w:marTop w:val="0"/>
      <w:marBottom w:val="0"/>
      <w:divBdr>
        <w:top w:val="none" w:sz="0" w:space="0" w:color="auto"/>
        <w:left w:val="none" w:sz="0" w:space="0" w:color="auto"/>
        <w:bottom w:val="none" w:sz="0" w:space="0" w:color="auto"/>
        <w:right w:val="none" w:sz="0" w:space="0" w:color="auto"/>
      </w:divBdr>
    </w:div>
    <w:div w:id="2010596125">
      <w:bodyDiv w:val="1"/>
      <w:marLeft w:val="0"/>
      <w:marRight w:val="0"/>
      <w:marTop w:val="0"/>
      <w:marBottom w:val="0"/>
      <w:divBdr>
        <w:top w:val="none" w:sz="0" w:space="0" w:color="auto"/>
        <w:left w:val="none" w:sz="0" w:space="0" w:color="auto"/>
        <w:bottom w:val="none" w:sz="0" w:space="0" w:color="auto"/>
        <w:right w:val="none" w:sz="0" w:space="0" w:color="auto"/>
      </w:divBdr>
    </w:div>
    <w:div w:id="2064256510">
      <w:bodyDiv w:val="1"/>
      <w:marLeft w:val="0"/>
      <w:marRight w:val="0"/>
      <w:marTop w:val="0"/>
      <w:marBottom w:val="0"/>
      <w:divBdr>
        <w:top w:val="none" w:sz="0" w:space="0" w:color="auto"/>
        <w:left w:val="none" w:sz="0" w:space="0" w:color="auto"/>
        <w:bottom w:val="none" w:sz="0" w:space="0" w:color="auto"/>
        <w:right w:val="none" w:sz="0" w:space="0" w:color="auto"/>
      </w:divBdr>
    </w:div>
    <w:div w:id="2070029074">
      <w:bodyDiv w:val="1"/>
      <w:marLeft w:val="0"/>
      <w:marRight w:val="0"/>
      <w:marTop w:val="0"/>
      <w:marBottom w:val="0"/>
      <w:divBdr>
        <w:top w:val="none" w:sz="0" w:space="0" w:color="auto"/>
        <w:left w:val="none" w:sz="0" w:space="0" w:color="auto"/>
        <w:bottom w:val="none" w:sz="0" w:space="0" w:color="auto"/>
        <w:right w:val="none" w:sz="0" w:space="0" w:color="auto"/>
      </w:divBdr>
    </w:div>
    <w:div w:id="2077236336">
      <w:bodyDiv w:val="1"/>
      <w:marLeft w:val="0"/>
      <w:marRight w:val="0"/>
      <w:marTop w:val="0"/>
      <w:marBottom w:val="0"/>
      <w:divBdr>
        <w:top w:val="none" w:sz="0" w:space="0" w:color="auto"/>
        <w:left w:val="none" w:sz="0" w:space="0" w:color="auto"/>
        <w:bottom w:val="none" w:sz="0" w:space="0" w:color="auto"/>
        <w:right w:val="none" w:sz="0" w:space="0" w:color="auto"/>
      </w:divBdr>
      <w:divsChild>
        <w:div w:id="334920963">
          <w:marLeft w:val="0"/>
          <w:marRight w:val="0"/>
          <w:marTop w:val="0"/>
          <w:marBottom w:val="0"/>
          <w:divBdr>
            <w:top w:val="none" w:sz="0" w:space="0" w:color="auto"/>
            <w:left w:val="none" w:sz="0" w:space="0" w:color="auto"/>
            <w:bottom w:val="none" w:sz="0" w:space="0" w:color="auto"/>
            <w:right w:val="none" w:sz="0" w:space="0" w:color="auto"/>
          </w:divBdr>
          <w:divsChild>
            <w:div w:id="84420264">
              <w:marLeft w:val="0"/>
              <w:marRight w:val="0"/>
              <w:marTop w:val="0"/>
              <w:marBottom w:val="0"/>
              <w:divBdr>
                <w:top w:val="none" w:sz="0" w:space="0" w:color="auto"/>
                <w:left w:val="none" w:sz="0" w:space="0" w:color="auto"/>
                <w:bottom w:val="none" w:sz="0" w:space="0" w:color="auto"/>
                <w:right w:val="none" w:sz="0" w:space="0" w:color="auto"/>
              </w:divBdr>
              <w:divsChild>
                <w:div w:id="12369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tbinternet.ohchr.org/Treaties/CCPR/Shared%20Documents/MNG/INT_CCPR_ICO_MNG_24697_E.docx" TargetMode="External"/><Relationship Id="rId3" Type="http://schemas.openxmlformats.org/officeDocument/2006/relationships/hyperlink" Target="https://www.telesurtv.net/news/bolivia-fuerzas-policiales-represion-indigenas-ancianos-la-paz-20191119-0015.html" TargetMode="External"/><Relationship Id="rId7" Type="http://schemas.openxmlformats.org/officeDocument/2006/relationships/hyperlink" Target="http://agenciapresentes.org/2019/09/30/grupos-antiderechos-atacaron-marcha-lgbt-en-hernandarias/" TargetMode="External"/><Relationship Id="rId2" Type="http://schemas.openxmlformats.org/officeDocument/2006/relationships/hyperlink" Target="https://www.nytimes.com/2019/11/15/world/americas/morales-bolivia-Indigenous-racism.html" TargetMode="External"/><Relationship Id="rId1" Type="http://schemas.openxmlformats.org/officeDocument/2006/relationships/hyperlink" Target="https://www.equalrightstrust.org/sites/default/files/ertdocs/Justice%20or%20Complicity%20LGBT%20Rights%20and%20the%20Russian%20Courts_0.pdf" TargetMode="External"/><Relationship Id="rId6" Type="http://schemas.openxmlformats.org/officeDocument/2006/relationships/hyperlink" Target="https://www.abc.com.py/nacionales/2019/09/30/marcha-lgbt-intendente-justifico-agresion-de-los-provida/" TargetMode="External"/><Relationship Id="rId11" Type="http://schemas.openxmlformats.org/officeDocument/2006/relationships/hyperlink" Target="https://www.aclu.org/blog/privacy-technology/surveillance-technologies/amazons-face-recognition-falsely-matched-28" TargetMode="External"/><Relationship Id="rId5" Type="http://schemas.openxmlformats.org/officeDocument/2006/relationships/hyperlink" Target="https://www.abc.com.py/nacionales/2019/09/27/intendente-prohibe-una-marcha-lgbt-en-hernandarias/" TargetMode="External"/><Relationship Id="rId10" Type="http://schemas.openxmlformats.org/officeDocument/2006/relationships/hyperlink" Target="https://www.met.police.uk/SysSiteAssets/foi-media/metropolitan-police/disclosure_2018/april_2018/information-rights-unit---mps-policies-on-automated-facial-recognition-afr-technology" TargetMode="External"/><Relationship Id="rId4" Type="http://schemas.openxmlformats.org/officeDocument/2006/relationships/hyperlink" Target="https://www.evnreport.com/raw-unfiltered/rainbow-hysteria-how-lgbt-issues-became-a-mainstream-topic-of-conversation" TargetMode="External"/><Relationship Id="rId9" Type="http://schemas.openxmlformats.org/officeDocument/2006/relationships/hyperlink" Target="https://www.disabilitynewsservice.com/anger-as-police-confiscate-extinction-rebellion-accessible-toilets-ramps-and-wheelch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39FF07-7CA9-4D52-A4BB-FB885DACB35E}">
  <ds:schemaRefs>
    <ds:schemaRef ds:uri="http://schemas.openxmlformats.org/officeDocument/2006/bibliography"/>
  </ds:schemaRefs>
</ds:datastoreItem>
</file>

<file path=customXml/itemProps2.xml><?xml version="1.0" encoding="utf-8"?>
<ds:datastoreItem xmlns:ds="http://schemas.openxmlformats.org/officeDocument/2006/customXml" ds:itemID="{46FC2B1F-CB0C-4895-B581-CDADD552202E}"/>
</file>

<file path=customXml/itemProps3.xml><?xml version="1.0" encoding="utf-8"?>
<ds:datastoreItem xmlns:ds="http://schemas.openxmlformats.org/officeDocument/2006/customXml" ds:itemID="{C1B6FDCC-B26E-44C2-9DF7-BE0DAA02BF9C}"/>
</file>

<file path=customXml/itemProps4.xml><?xml version="1.0" encoding="utf-8"?>
<ds:datastoreItem xmlns:ds="http://schemas.openxmlformats.org/officeDocument/2006/customXml" ds:itemID="{91CCD06A-3CD1-470E-BE61-275B9B696D9B}"/>
</file>

<file path=docProps/app.xml><?xml version="1.0" encoding="utf-8"?>
<Properties xmlns="http://schemas.openxmlformats.org/officeDocument/2006/extended-properties" xmlns:vt="http://schemas.openxmlformats.org/officeDocument/2006/docPropsVTypes">
  <Template>Normal</Template>
  <TotalTime>5</TotalTime>
  <Pages>10</Pages>
  <Words>4135</Words>
  <Characters>23576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Ruiz</dc:creator>
  <cp:keywords/>
  <dc:description/>
  <cp:lastModifiedBy>Jim Fitzgerald</cp:lastModifiedBy>
  <cp:revision>3</cp:revision>
  <dcterms:created xsi:type="dcterms:W3CDTF">2020-02-21T15:22:00Z</dcterms:created>
  <dcterms:modified xsi:type="dcterms:W3CDTF">2020-02-21T15:26:00Z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