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29" w:rsidRPr="00E64E3E" w:rsidRDefault="00585CCE" w:rsidP="003E4C29">
      <w:pPr>
        <w:jc w:val="center"/>
        <w:rPr>
          <w:rFonts w:ascii="Montserrat" w:hAnsi="Montserrat"/>
          <w:smallCaps/>
          <w:sz w:val="22"/>
          <w:szCs w:val="24"/>
        </w:rPr>
      </w:pPr>
      <w:bookmarkStart w:id="0" w:name="_GoBack"/>
      <w:bookmarkEnd w:id="0"/>
      <w:r w:rsidRPr="00E64E3E">
        <w:rPr>
          <w:rFonts w:ascii="Montserrat" w:hAnsi="Montserrat"/>
          <w:smallCaps/>
          <w:szCs w:val="24"/>
        </w:rPr>
        <w:t>Comité de derechos humanos.</w:t>
      </w:r>
    </w:p>
    <w:p w:rsidR="003E4C29" w:rsidRPr="00E64E3E" w:rsidRDefault="003E4C29" w:rsidP="003E4C29">
      <w:pPr>
        <w:jc w:val="center"/>
        <w:rPr>
          <w:rFonts w:ascii="Montserrat" w:hAnsi="Montserrat"/>
          <w:sz w:val="22"/>
          <w:szCs w:val="24"/>
        </w:rPr>
      </w:pPr>
    </w:p>
    <w:p w:rsidR="003E4C29" w:rsidRPr="00E64E3E" w:rsidRDefault="003E4C29" w:rsidP="003E4C29">
      <w:pPr>
        <w:pBdr>
          <w:bottom w:val="single" w:sz="12" w:space="1" w:color="auto"/>
        </w:pBdr>
        <w:jc w:val="center"/>
        <w:rPr>
          <w:rFonts w:ascii="Montserrat" w:hAnsi="Montserrat"/>
          <w:b/>
          <w:sz w:val="22"/>
          <w:szCs w:val="24"/>
        </w:rPr>
      </w:pPr>
    </w:p>
    <w:p w:rsidR="003E4C29" w:rsidRPr="00E64E3E" w:rsidRDefault="003E4C29" w:rsidP="003E4C29">
      <w:pPr>
        <w:pBdr>
          <w:bottom w:val="single" w:sz="12" w:space="1" w:color="auto"/>
        </w:pBdr>
        <w:jc w:val="center"/>
        <w:rPr>
          <w:rFonts w:ascii="Montserrat" w:hAnsi="Montserrat"/>
          <w:b/>
          <w:sz w:val="22"/>
          <w:szCs w:val="24"/>
        </w:rPr>
      </w:pPr>
    </w:p>
    <w:p w:rsidR="003E4C29" w:rsidRPr="00E64E3E" w:rsidRDefault="003E4C29" w:rsidP="003E4C29">
      <w:pPr>
        <w:pBdr>
          <w:bottom w:val="single" w:sz="12" w:space="1" w:color="auto"/>
        </w:pBdr>
        <w:jc w:val="center"/>
        <w:rPr>
          <w:rFonts w:ascii="Montserrat" w:hAnsi="Montserrat"/>
          <w:b/>
          <w:sz w:val="22"/>
          <w:szCs w:val="24"/>
        </w:rPr>
      </w:pPr>
    </w:p>
    <w:p w:rsidR="008C40A4" w:rsidRPr="00E64E3E" w:rsidRDefault="008C40A4" w:rsidP="003E4C29">
      <w:pPr>
        <w:pBdr>
          <w:bottom w:val="single" w:sz="12" w:space="1" w:color="auto"/>
        </w:pBdr>
        <w:jc w:val="center"/>
        <w:rPr>
          <w:rFonts w:ascii="Montserrat" w:hAnsi="Montserrat"/>
          <w:b/>
          <w:sz w:val="22"/>
          <w:szCs w:val="24"/>
        </w:rPr>
      </w:pPr>
    </w:p>
    <w:p w:rsidR="003E4C29" w:rsidRPr="00E64E3E" w:rsidRDefault="003E4C29" w:rsidP="003E4C29">
      <w:pPr>
        <w:pBdr>
          <w:bottom w:val="single" w:sz="12" w:space="1" w:color="auto"/>
        </w:pBdr>
        <w:jc w:val="center"/>
        <w:rPr>
          <w:rFonts w:ascii="Montserrat" w:hAnsi="Montserrat"/>
          <w:b/>
          <w:sz w:val="22"/>
          <w:szCs w:val="24"/>
        </w:rPr>
      </w:pPr>
    </w:p>
    <w:p w:rsidR="00C43866" w:rsidRPr="00E64E3E" w:rsidRDefault="00C43866" w:rsidP="003E4C29">
      <w:pPr>
        <w:jc w:val="center"/>
        <w:rPr>
          <w:rFonts w:ascii="Montserrat" w:hAnsi="Montserrat"/>
          <w:b/>
          <w:sz w:val="22"/>
          <w:szCs w:val="24"/>
        </w:rPr>
      </w:pPr>
    </w:p>
    <w:p w:rsidR="003E4C29" w:rsidRPr="00E64E3E" w:rsidRDefault="00585CCE" w:rsidP="003E4C29">
      <w:pPr>
        <w:jc w:val="center"/>
        <w:rPr>
          <w:rFonts w:ascii="Montserrat" w:hAnsi="Montserrat"/>
          <w:smallCaps/>
          <w:sz w:val="20"/>
          <w:szCs w:val="24"/>
        </w:rPr>
      </w:pPr>
      <w:r w:rsidRPr="00E64E3E">
        <w:rPr>
          <w:rFonts w:ascii="Montserrat" w:hAnsi="Montserrat"/>
          <w:smallCaps/>
          <w:szCs w:val="24"/>
        </w:rPr>
        <w:t xml:space="preserve">Observaciones del Estado mexicano </w:t>
      </w:r>
      <w:r w:rsidR="00A0515E" w:rsidRPr="00E64E3E">
        <w:rPr>
          <w:rFonts w:ascii="Montserrat" w:hAnsi="Montserrat"/>
          <w:smallCaps/>
          <w:szCs w:val="24"/>
        </w:rPr>
        <w:t>al</w:t>
      </w:r>
      <w:r w:rsidR="00840410" w:rsidRPr="00E64E3E">
        <w:rPr>
          <w:rFonts w:ascii="Montserrat" w:hAnsi="Montserrat"/>
          <w:smallCaps/>
          <w:szCs w:val="24"/>
        </w:rPr>
        <w:t xml:space="preserve"> </w:t>
      </w:r>
      <w:r w:rsidR="00A0515E" w:rsidRPr="00E64E3E">
        <w:rPr>
          <w:rFonts w:ascii="Montserrat" w:hAnsi="Montserrat"/>
          <w:smallCaps/>
          <w:szCs w:val="24"/>
        </w:rPr>
        <w:t>proyecto de comentario general número 37 sobre el artículo 21 del pacto internacional de derechos civiles y políticos que elabora el comité de derechos humanos de la organización de las naciones unidas</w:t>
      </w:r>
    </w:p>
    <w:p w:rsidR="003E4C29" w:rsidRPr="00E64E3E" w:rsidRDefault="003E4C29" w:rsidP="003E4C29">
      <w:pPr>
        <w:pBdr>
          <w:bottom w:val="single" w:sz="12" w:space="1" w:color="auto"/>
        </w:pBdr>
        <w:jc w:val="center"/>
        <w:rPr>
          <w:rFonts w:ascii="Montserrat" w:hAnsi="Montserrat"/>
          <w:b/>
          <w:sz w:val="22"/>
          <w:szCs w:val="24"/>
        </w:rPr>
      </w:pPr>
    </w:p>
    <w:p w:rsidR="003E4C29" w:rsidRPr="00E64E3E" w:rsidRDefault="003E4C29" w:rsidP="003E4C29">
      <w:pPr>
        <w:spacing w:line="240" w:lineRule="auto"/>
        <w:rPr>
          <w:rFonts w:ascii="Montserrat" w:hAnsi="Montserrat"/>
          <w:smallCaps/>
          <w:sz w:val="22"/>
          <w:szCs w:val="24"/>
        </w:rPr>
      </w:pPr>
    </w:p>
    <w:p w:rsidR="00A0515E" w:rsidRPr="00E64E3E" w:rsidRDefault="00A0515E" w:rsidP="003E4C29">
      <w:pPr>
        <w:spacing w:line="240" w:lineRule="auto"/>
        <w:jc w:val="center"/>
        <w:rPr>
          <w:rFonts w:ascii="Montserrat" w:hAnsi="Montserrat"/>
          <w:smallCaps/>
          <w:sz w:val="22"/>
          <w:szCs w:val="24"/>
        </w:rPr>
      </w:pPr>
    </w:p>
    <w:p w:rsidR="00A0515E" w:rsidRPr="00E64E3E" w:rsidRDefault="00A0515E" w:rsidP="003E4C29">
      <w:pPr>
        <w:spacing w:line="240" w:lineRule="auto"/>
        <w:jc w:val="center"/>
        <w:rPr>
          <w:rFonts w:ascii="Montserrat" w:hAnsi="Montserrat"/>
          <w:smallCaps/>
          <w:sz w:val="22"/>
          <w:szCs w:val="24"/>
        </w:rPr>
      </w:pPr>
    </w:p>
    <w:p w:rsidR="00A0515E" w:rsidRPr="00E64E3E" w:rsidRDefault="00A0515E" w:rsidP="003E4C29">
      <w:pPr>
        <w:spacing w:line="240" w:lineRule="auto"/>
        <w:jc w:val="center"/>
        <w:rPr>
          <w:rFonts w:ascii="Montserrat" w:hAnsi="Montserrat"/>
          <w:smallCaps/>
          <w:sz w:val="22"/>
          <w:szCs w:val="24"/>
        </w:rPr>
      </w:pPr>
    </w:p>
    <w:p w:rsidR="00A0515E" w:rsidRPr="00E64E3E" w:rsidRDefault="00585CCE" w:rsidP="003E4C29">
      <w:pPr>
        <w:spacing w:line="240" w:lineRule="auto"/>
        <w:jc w:val="center"/>
        <w:rPr>
          <w:rFonts w:ascii="Montserrat" w:hAnsi="Montserrat"/>
          <w:smallCaps/>
          <w:sz w:val="22"/>
          <w:szCs w:val="24"/>
        </w:rPr>
      </w:pPr>
      <w:r w:rsidRPr="00E64E3E">
        <w:rPr>
          <w:rFonts w:ascii="Montserrat" w:hAnsi="Montserrat"/>
          <w:smallCaps/>
          <w:sz w:val="22"/>
          <w:szCs w:val="24"/>
        </w:rPr>
        <w:t>Observaciones</w:t>
      </w:r>
      <w:r w:rsidR="006367B0" w:rsidRPr="00E64E3E">
        <w:rPr>
          <w:rFonts w:ascii="Montserrat" w:hAnsi="Montserrat"/>
          <w:smallCaps/>
          <w:sz w:val="22"/>
          <w:szCs w:val="24"/>
        </w:rPr>
        <w:t xml:space="preserve"> </w:t>
      </w:r>
      <w:r w:rsidRPr="00E64E3E">
        <w:rPr>
          <w:rFonts w:ascii="Montserrat" w:hAnsi="Montserrat"/>
          <w:smallCaps/>
          <w:sz w:val="22"/>
          <w:szCs w:val="24"/>
        </w:rPr>
        <w:t xml:space="preserve">del Estado mexicano </w:t>
      </w:r>
      <w:r w:rsidR="00A0515E" w:rsidRPr="00E64E3E">
        <w:rPr>
          <w:rFonts w:ascii="Montserrat" w:hAnsi="Montserrat"/>
          <w:smallCaps/>
          <w:sz w:val="22"/>
          <w:szCs w:val="24"/>
        </w:rPr>
        <w:t>al comentario general 37 sobre el artículo 21 del pacto internacional de derechos civiles y políticos</w:t>
      </w:r>
    </w:p>
    <w:p w:rsidR="003E4C29" w:rsidRPr="00E64E3E" w:rsidRDefault="00EF6DF5" w:rsidP="003E4C29">
      <w:pPr>
        <w:spacing w:line="240" w:lineRule="auto"/>
        <w:jc w:val="center"/>
        <w:rPr>
          <w:rFonts w:ascii="Montserrat" w:hAnsi="Montserrat"/>
          <w:sz w:val="22"/>
          <w:szCs w:val="24"/>
        </w:rPr>
      </w:pPr>
      <w:r w:rsidRPr="00E64E3E">
        <w:rPr>
          <w:rFonts w:ascii="Montserrat" w:hAnsi="Montserrat"/>
          <w:smallCaps/>
          <w:sz w:val="22"/>
          <w:szCs w:val="24"/>
        </w:rPr>
        <w:lastRenderedPageBreak/>
        <w:t>21</w:t>
      </w:r>
      <w:r w:rsidR="00840410" w:rsidRPr="00E64E3E">
        <w:rPr>
          <w:rFonts w:ascii="Montserrat" w:hAnsi="Montserrat"/>
          <w:smallCaps/>
          <w:sz w:val="22"/>
          <w:szCs w:val="24"/>
        </w:rPr>
        <w:t xml:space="preserve"> de</w:t>
      </w:r>
      <w:r w:rsidR="00A0515E" w:rsidRPr="00E64E3E">
        <w:rPr>
          <w:rFonts w:ascii="Montserrat" w:hAnsi="Montserrat"/>
          <w:smallCaps/>
          <w:sz w:val="22"/>
          <w:szCs w:val="24"/>
        </w:rPr>
        <w:t xml:space="preserve"> febrer</w:t>
      </w:r>
      <w:r w:rsidR="00840410" w:rsidRPr="00E64E3E">
        <w:rPr>
          <w:rFonts w:ascii="Montserrat" w:hAnsi="Montserrat"/>
          <w:smallCaps/>
          <w:sz w:val="22"/>
          <w:szCs w:val="24"/>
        </w:rPr>
        <w:t>o de 2020</w:t>
      </w:r>
      <w:r w:rsidR="003F6CD5" w:rsidRPr="00E64E3E">
        <w:rPr>
          <w:rFonts w:ascii="Montserrat" w:hAnsi="Montserrat"/>
          <w:smallCaps/>
          <w:sz w:val="22"/>
          <w:szCs w:val="24"/>
        </w:rPr>
        <w:t>.</w:t>
      </w:r>
    </w:p>
    <w:p w:rsidR="003E4C29" w:rsidRPr="00E64E3E" w:rsidRDefault="003E4C29" w:rsidP="003E4C29">
      <w:pPr>
        <w:jc w:val="center"/>
        <w:rPr>
          <w:rFonts w:ascii="Montserrat" w:hAnsi="Montserrat"/>
          <w:sz w:val="22"/>
          <w:szCs w:val="24"/>
        </w:rPr>
      </w:pPr>
    </w:p>
    <w:p w:rsidR="006E3E7B" w:rsidRPr="00E64E3E" w:rsidRDefault="006E3E7B" w:rsidP="003E4C29">
      <w:pPr>
        <w:jc w:val="center"/>
        <w:rPr>
          <w:rFonts w:ascii="Montserrat" w:hAnsi="Montserrat"/>
          <w:sz w:val="22"/>
          <w:szCs w:val="24"/>
        </w:rPr>
      </w:pPr>
    </w:p>
    <w:p w:rsidR="006E3E7B" w:rsidRPr="00E64E3E" w:rsidRDefault="006E3E7B" w:rsidP="003E4C29">
      <w:pPr>
        <w:jc w:val="center"/>
        <w:rPr>
          <w:rFonts w:ascii="Montserrat" w:hAnsi="Montserrat"/>
          <w:sz w:val="22"/>
          <w:szCs w:val="24"/>
        </w:rPr>
      </w:pPr>
    </w:p>
    <w:p w:rsidR="006E3E7B" w:rsidRPr="00E64E3E" w:rsidRDefault="006E3E7B" w:rsidP="003E4C29">
      <w:pPr>
        <w:jc w:val="center"/>
        <w:rPr>
          <w:rFonts w:ascii="Montserrat" w:hAnsi="Montserrat"/>
          <w:sz w:val="22"/>
          <w:szCs w:val="24"/>
        </w:rPr>
      </w:pPr>
    </w:p>
    <w:p w:rsidR="006E3E7B" w:rsidRPr="00E64E3E" w:rsidRDefault="006E3E7B" w:rsidP="003E4C29">
      <w:pPr>
        <w:jc w:val="center"/>
        <w:rPr>
          <w:rFonts w:ascii="Montserrat" w:hAnsi="Montserrat"/>
          <w:sz w:val="22"/>
          <w:szCs w:val="24"/>
        </w:rPr>
      </w:pPr>
    </w:p>
    <w:p w:rsidR="003E4C29" w:rsidRPr="00E64E3E" w:rsidRDefault="003E4C29" w:rsidP="003E4C29">
      <w:pPr>
        <w:jc w:val="center"/>
        <w:rPr>
          <w:rFonts w:ascii="Montserrat" w:hAnsi="Montserrat"/>
          <w:sz w:val="22"/>
          <w:szCs w:val="24"/>
        </w:rPr>
      </w:pPr>
      <w:r w:rsidRPr="00E64E3E">
        <w:rPr>
          <w:rFonts w:ascii="Montserrat" w:hAnsi="Montserrat"/>
          <w:sz w:val="22"/>
          <w:szCs w:val="24"/>
        </w:rPr>
        <w:t xml:space="preserve">México, </w:t>
      </w:r>
      <w:r w:rsidR="00585CCE" w:rsidRPr="00E64E3E">
        <w:rPr>
          <w:rFonts w:ascii="Montserrat" w:hAnsi="Montserrat"/>
          <w:sz w:val="22"/>
          <w:szCs w:val="24"/>
        </w:rPr>
        <w:t xml:space="preserve">Ciudad de México a </w:t>
      </w:r>
      <w:r w:rsidR="00EF6DF5" w:rsidRPr="00E64E3E">
        <w:rPr>
          <w:rFonts w:ascii="Montserrat" w:hAnsi="Montserrat"/>
          <w:sz w:val="22"/>
          <w:szCs w:val="24"/>
        </w:rPr>
        <w:t>21</w:t>
      </w:r>
      <w:r w:rsidR="00840410" w:rsidRPr="00E64E3E">
        <w:rPr>
          <w:rFonts w:ascii="Montserrat" w:hAnsi="Montserrat"/>
          <w:sz w:val="22"/>
          <w:szCs w:val="24"/>
        </w:rPr>
        <w:t xml:space="preserve"> de </w:t>
      </w:r>
      <w:r w:rsidR="00A0515E" w:rsidRPr="00E64E3E">
        <w:rPr>
          <w:rFonts w:ascii="Montserrat" w:hAnsi="Montserrat"/>
          <w:sz w:val="22"/>
          <w:szCs w:val="24"/>
        </w:rPr>
        <w:t>febrero</w:t>
      </w:r>
      <w:r w:rsidR="00840410" w:rsidRPr="00E64E3E">
        <w:rPr>
          <w:rFonts w:ascii="Montserrat" w:hAnsi="Montserrat"/>
          <w:sz w:val="22"/>
          <w:szCs w:val="24"/>
        </w:rPr>
        <w:t xml:space="preserve"> de 20</w:t>
      </w:r>
      <w:r w:rsidR="00A0515E" w:rsidRPr="00E64E3E">
        <w:rPr>
          <w:rFonts w:ascii="Montserrat" w:hAnsi="Montserrat"/>
          <w:sz w:val="22"/>
          <w:szCs w:val="24"/>
        </w:rPr>
        <w:t>20</w:t>
      </w:r>
      <w:r w:rsidR="00294E94" w:rsidRPr="00E64E3E">
        <w:rPr>
          <w:rFonts w:ascii="Montserrat" w:hAnsi="Montserrat"/>
          <w:sz w:val="22"/>
          <w:szCs w:val="24"/>
        </w:rPr>
        <w:t>.</w:t>
      </w:r>
    </w:p>
    <w:p w:rsidR="00E64E3E" w:rsidRDefault="00E64E3E" w:rsidP="003E4C29">
      <w:pPr>
        <w:jc w:val="center"/>
        <w:rPr>
          <w:rFonts w:ascii="Montserrat" w:hAnsi="Montserrat"/>
          <w:b/>
          <w:sz w:val="22"/>
          <w:szCs w:val="24"/>
        </w:rPr>
      </w:pPr>
    </w:p>
    <w:p w:rsidR="003E4C29" w:rsidRPr="00EF6DF5" w:rsidRDefault="003E4C29" w:rsidP="003E4C29">
      <w:pPr>
        <w:jc w:val="center"/>
        <w:rPr>
          <w:rFonts w:ascii="Montserrat" w:hAnsi="Montserrat"/>
          <w:b/>
          <w:sz w:val="22"/>
          <w:szCs w:val="24"/>
        </w:rPr>
      </w:pPr>
      <w:r w:rsidRPr="00EF6DF5">
        <w:rPr>
          <w:rFonts w:ascii="Montserrat" w:hAnsi="Montserrat"/>
          <w:b/>
          <w:sz w:val="22"/>
          <w:szCs w:val="24"/>
        </w:rPr>
        <w:t>ÍNDICE</w:t>
      </w:r>
    </w:p>
    <w:sdt>
      <w:sdtPr>
        <w:rPr>
          <w:rFonts w:ascii="Montserrat" w:eastAsiaTheme="minorHAnsi" w:hAnsi="Montserrat" w:cs="Times New Roman"/>
          <w:b w:val="0"/>
          <w:bCs w:val="0"/>
          <w:color w:val="auto"/>
          <w:sz w:val="22"/>
          <w:szCs w:val="22"/>
          <w:lang w:val="es-ES" w:eastAsia="en-US"/>
        </w:rPr>
        <w:id w:val="955447137"/>
        <w:docPartObj>
          <w:docPartGallery w:val="Table of Contents"/>
          <w:docPartUnique/>
        </w:docPartObj>
      </w:sdtPr>
      <w:sdtEndPr>
        <w:rPr>
          <w:rFonts w:ascii="Times New Roman" w:hAnsi="Times New Roman"/>
          <w:sz w:val="24"/>
        </w:rPr>
      </w:sdtEndPr>
      <w:sdtContent>
        <w:p w:rsidR="003E4C29" w:rsidRPr="00EF6DF5" w:rsidRDefault="003E4C29" w:rsidP="00EF6DF5">
          <w:pPr>
            <w:pStyle w:val="TOCHeading"/>
            <w:jc w:val="both"/>
            <w:rPr>
              <w:rFonts w:ascii="Montserrat" w:hAnsi="Montserrat"/>
              <w:sz w:val="24"/>
            </w:rPr>
          </w:pPr>
        </w:p>
        <w:p w:rsidR="00BA0CF4" w:rsidRPr="00EF6DF5" w:rsidRDefault="00A0515E" w:rsidP="00EF6DF5">
          <w:pPr>
            <w:pStyle w:val="ListParagraph"/>
            <w:numPr>
              <w:ilvl w:val="0"/>
              <w:numId w:val="2"/>
            </w:numPr>
            <w:spacing w:line="480" w:lineRule="auto"/>
            <w:rPr>
              <w:rFonts w:ascii="Montserrat" w:eastAsiaTheme="majorEastAsia" w:hAnsi="Montserrat"/>
              <w:b/>
              <w:sz w:val="22"/>
              <w:szCs w:val="24"/>
            </w:rPr>
          </w:pPr>
          <w:r w:rsidRPr="00EF6DF5">
            <w:rPr>
              <w:rFonts w:ascii="Montserrat" w:eastAsiaTheme="majorEastAsia" w:hAnsi="Montserrat"/>
              <w:b/>
              <w:sz w:val="22"/>
              <w:szCs w:val="24"/>
              <w:lang w:val="es-ES_tradnl"/>
            </w:rPr>
            <w:t>Observaciones Generales…..</w:t>
          </w:r>
          <w:r w:rsidR="00840410" w:rsidRPr="00EF6DF5">
            <w:rPr>
              <w:rFonts w:ascii="Montserrat" w:eastAsiaTheme="majorEastAsia" w:hAnsi="Montserrat"/>
              <w:b/>
              <w:sz w:val="22"/>
              <w:szCs w:val="24"/>
              <w:lang w:val="es-ES_tradnl"/>
            </w:rPr>
            <w:t>……………</w:t>
          </w:r>
          <w:r w:rsidR="00BA0CF4" w:rsidRPr="00EF6DF5">
            <w:rPr>
              <w:rFonts w:ascii="Montserrat" w:eastAsiaTheme="majorEastAsia" w:hAnsi="Montserrat"/>
              <w:b/>
              <w:sz w:val="22"/>
              <w:szCs w:val="24"/>
              <w:lang w:val="es-ES_tradnl"/>
            </w:rPr>
            <w:t>.</w:t>
          </w:r>
          <w:r w:rsidR="002E799C" w:rsidRPr="00EF6DF5">
            <w:rPr>
              <w:rStyle w:val="Strong"/>
              <w:rFonts w:ascii="Montserrat" w:eastAsiaTheme="majorEastAsia" w:hAnsi="Montserrat"/>
              <w:bCs w:val="0"/>
              <w:sz w:val="22"/>
              <w:szCs w:val="24"/>
            </w:rPr>
            <w:t>……</w:t>
          </w:r>
          <w:r w:rsidR="00BA0CF4" w:rsidRPr="00EF6DF5">
            <w:rPr>
              <w:rStyle w:val="Strong"/>
              <w:rFonts w:ascii="Montserrat" w:eastAsiaTheme="majorEastAsia" w:hAnsi="Montserrat"/>
              <w:bCs w:val="0"/>
              <w:sz w:val="22"/>
              <w:szCs w:val="24"/>
            </w:rPr>
            <w:t>…………………………………</w:t>
          </w:r>
          <w:r w:rsidR="00840410" w:rsidRPr="00EF6DF5">
            <w:rPr>
              <w:rStyle w:val="Strong"/>
              <w:rFonts w:ascii="Montserrat" w:eastAsiaTheme="majorEastAsia" w:hAnsi="Montserrat"/>
              <w:bCs w:val="0"/>
              <w:sz w:val="22"/>
              <w:szCs w:val="24"/>
            </w:rPr>
            <w:t>…..</w:t>
          </w:r>
          <w:r w:rsidR="003125C1" w:rsidRPr="00EF6DF5">
            <w:rPr>
              <w:rStyle w:val="Strong"/>
              <w:rFonts w:ascii="Montserrat" w:eastAsiaTheme="majorEastAsia" w:hAnsi="Montserrat"/>
              <w:bCs w:val="0"/>
              <w:sz w:val="22"/>
              <w:szCs w:val="24"/>
            </w:rPr>
            <w:t>.</w:t>
          </w:r>
          <w:r w:rsidR="00E647E7" w:rsidRPr="00EF6DF5">
            <w:rPr>
              <w:rStyle w:val="Strong"/>
              <w:rFonts w:ascii="Montserrat" w:eastAsiaTheme="majorEastAsia" w:hAnsi="Montserrat"/>
              <w:bCs w:val="0"/>
              <w:sz w:val="22"/>
              <w:szCs w:val="24"/>
            </w:rPr>
            <w:t>..</w:t>
          </w:r>
          <w:r w:rsidR="00EF6DF5">
            <w:rPr>
              <w:rStyle w:val="Strong"/>
              <w:rFonts w:ascii="Montserrat" w:eastAsiaTheme="majorEastAsia" w:hAnsi="Montserrat"/>
              <w:bCs w:val="0"/>
              <w:sz w:val="22"/>
              <w:szCs w:val="24"/>
            </w:rPr>
            <w:t>.....................</w:t>
          </w:r>
          <w:r w:rsidR="00E647E7" w:rsidRPr="00EF6DF5">
            <w:rPr>
              <w:rStyle w:val="Strong"/>
              <w:rFonts w:ascii="Montserrat" w:eastAsiaTheme="majorEastAsia" w:hAnsi="Montserrat"/>
              <w:bCs w:val="0"/>
              <w:sz w:val="22"/>
              <w:szCs w:val="24"/>
            </w:rPr>
            <w:t>1</w:t>
          </w:r>
        </w:p>
        <w:p w:rsidR="00BA0CF4" w:rsidRPr="00EF6DF5" w:rsidRDefault="003E4C29" w:rsidP="00EF6DF5">
          <w:pPr>
            <w:pStyle w:val="Heading1"/>
            <w:numPr>
              <w:ilvl w:val="0"/>
              <w:numId w:val="2"/>
            </w:numPr>
            <w:spacing w:before="0" w:line="480" w:lineRule="auto"/>
            <w:ind w:hanging="357"/>
            <w:rPr>
              <w:rFonts w:ascii="Montserrat" w:hAnsi="Montserrat" w:cs="Times New Roman"/>
              <w:bCs w:val="0"/>
              <w:color w:val="auto"/>
              <w:sz w:val="22"/>
              <w:szCs w:val="24"/>
              <w:lang w:val="es-ES_tradnl"/>
            </w:rPr>
          </w:pPr>
          <w:r w:rsidRPr="00EF6DF5">
            <w:rPr>
              <w:rFonts w:ascii="Montserrat" w:hAnsi="Montserrat" w:cs="Times New Roman"/>
              <w:bCs w:val="0"/>
              <w:color w:val="auto"/>
              <w:sz w:val="22"/>
              <w:szCs w:val="24"/>
              <w:lang w:val="es-ES_tradnl"/>
            </w:rPr>
            <w:lastRenderedPageBreak/>
            <w:fldChar w:fldCharType="begin"/>
          </w:r>
          <w:r w:rsidRPr="00EF6DF5">
            <w:rPr>
              <w:rFonts w:ascii="Montserrat" w:hAnsi="Montserrat" w:cs="Times New Roman"/>
              <w:bCs w:val="0"/>
              <w:color w:val="auto"/>
              <w:sz w:val="22"/>
              <w:szCs w:val="24"/>
              <w:lang w:val="es-ES_tradnl"/>
            </w:rPr>
            <w:instrText xml:space="preserve"> TOC \o "1-3" \h \z \u </w:instrText>
          </w:r>
          <w:r w:rsidRPr="00EF6DF5">
            <w:rPr>
              <w:rFonts w:ascii="Montserrat" w:hAnsi="Montserrat" w:cs="Times New Roman"/>
              <w:bCs w:val="0"/>
              <w:color w:val="auto"/>
              <w:sz w:val="22"/>
              <w:szCs w:val="24"/>
              <w:lang w:val="es-ES_tradnl"/>
            </w:rPr>
            <w:fldChar w:fldCharType="separate"/>
          </w:r>
          <w:r w:rsidR="00BA0CF4" w:rsidRPr="00EF6DF5">
            <w:rPr>
              <w:rFonts w:ascii="Montserrat" w:hAnsi="Montserrat" w:cs="Times New Roman"/>
              <w:bCs w:val="0"/>
              <w:color w:val="auto"/>
              <w:sz w:val="22"/>
              <w:szCs w:val="24"/>
              <w:lang w:val="es-ES_tradnl"/>
            </w:rPr>
            <w:t xml:space="preserve"> </w:t>
          </w:r>
          <w:r w:rsidR="00A0515E" w:rsidRPr="00EF6DF5">
            <w:rPr>
              <w:rFonts w:ascii="Montserrat" w:hAnsi="Montserrat" w:cs="Times New Roman"/>
              <w:bCs w:val="0"/>
              <w:color w:val="auto"/>
              <w:sz w:val="22"/>
              <w:szCs w:val="24"/>
              <w:lang w:val="es-ES_tradnl"/>
            </w:rPr>
            <w:t>Alcance del derecho de reunión pacífica...</w:t>
          </w:r>
          <w:r w:rsidR="00BA0CF4" w:rsidRPr="00EF6DF5">
            <w:rPr>
              <w:rFonts w:ascii="Montserrat" w:hAnsi="Montserrat" w:cs="Times New Roman"/>
              <w:bCs w:val="0"/>
              <w:color w:val="auto"/>
              <w:sz w:val="22"/>
              <w:szCs w:val="24"/>
              <w:lang w:val="es-ES_tradnl"/>
            </w:rPr>
            <w:t>………</w:t>
          </w:r>
          <w:r w:rsidR="00840410" w:rsidRPr="00EF6DF5">
            <w:rPr>
              <w:rFonts w:ascii="Montserrat" w:hAnsi="Montserrat" w:cs="Times New Roman"/>
              <w:bCs w:val="0"/>
              <w:color w:val="auto"/>
              <w:sz w:val="22"/>
              <w:szCs w:val="24"/>
              <w:lang w:val="es-ES_tradnl"/>
            </w:rPr>
            <w:t>.</w:t>
          </w:r>
          <w:r w:rsidR="00BA0CF4" w:rsidRPr="00EF6DF5">
            <w:rPr>
              <w:rFonts w:ascii="Montserrat" w:hAnsi="Montserrat" w:cs="Times New Roman"/>
              <w:bCs w:val="0"/>
              <w:color w:val="auto"/>
              <w:sz w:val="22"/>
              <w:szCs w:val="24"/>
              <w:lang w:val="es-ES_tradnl"/>
            </w:rPr>
            <w:t>…………………………………</w:t>
          </w:r>
          <w:r w:rsidR="00EF6DF5">
            <w:rPr>
              <w:rFonts w:ascii="Montserrat" w:hAnsi="Montserrat" w:cs="Times New Roman"/>
              <w:bCs w:val="0"/>
              <w:color w:val="auto"/>
              <w:sz w:val="22"/>
              <w:szCs w:val="24"/>
              <w:lang w:val="es-ES_tradnl"/>
            </w:rPr>
            <w:t>……….</w:t>
          </w:r>
          <w:r w:rsidR="006B0BA3" w:rsidRPr="00EF6DF5">
            <w:rPr>
              <w:rFonts w:ascii="Montserrat" w:hAnsi="Montserrat" w:cs="Times New Roman"/>
              <w:bCs w:val="0"/>
              <w:color w:val="auto"/>
              <w:sz w:val="22"/>
              <w:szCs w:val="24"/>
              <w:lang w:val="es-ES_tradnl"/>
            </w:rPr>
            <w:t>.</w:t>
          </w:r>
          <w:r w:rsidR="00381AE9" w:rsidRPr="00EF6DF5">
            <w:rPr>
              <w:rFonts w:ascii="Montserrat" w:hAnsi="Montserrat" w:cs="Times New Roman"/>
              <w:bCs w:val="0"/>
              <w:color w:val="auto"/>
              <w:sz w:val="22"/>
              <w:szCs w:val="24"/>
              <w:lang w:val="es-ES_tradnl"/>
            </w:rPr>
            <w:t>4</w:t>
          </w:r>
        </w:p>
        <w:p w:rsidR="00A0515E" w:rsidRPr="00EF6DF5" w:rsidRDefault="00EF6DF5" w:rsidP="00EF6DF5">
          <w:pPr>
            <w:pStyle w:val="Heading1"/>
            <w:numPr>
              <w:ilvl w:val="0"/>
              <w:numId w:val="2"/>
            </w:numPr>
            <w:spacing w:before="0" w:line="480" w:lineRule="auto"/>
            <w:ind w:hanging="357"/>
            <w:rPr>
              <w:rFonts w:ascii="Montserrat" w:hAnsi="Montserrat" w:cs="Times New Roman"/>
              <w:bCs w:val="0"/>
              <w:color w:val="auto"/>
              <w:sz w:val="22"/>
              <w:szCs w:val="24"/>
              <w:lang w:val="es-ES_tradnl"/>
            </w:rPr>
          </w:pPr>
          <w:r>
            <w:rPr>
              <w:rFonts w:ascii="Montserrat" w:hAnsi="Montserrat" w:cs="Times New Roman"/>
              <w:bCs w:val="0"/>
              <w:color w:val="auto"/>
              <w:sz w:val="22"/>
              <w:szCs w:val="24"/>
              <w:lang w:val="es-ES_tradnl"/>
            </w:rPr>
            <w:t xml:space="preserve">La obligación de los Estados </w:t>
          </w:r>
          <w:r w:rsidR="00A0515E" w:rsidRPr="00EF6DF5">
            <w:rPr>
              <w:rFonts w:ascii="Montserrat" w:hAnsi="Montserrat" w:cs="Times New Roman"/>
              <w:bCs w:val="0"/>
              <w:color w:val="auto"/>
              <w:sz w:val="22"/>
              <w:szCs w:val="24"/>
              <w:lang w:val="es-ES_tradnl"/>
            </w:rPr>
            <w:t>con</w:t>
          </w:r>
          <w:r>
            <w:rPr>
              <w:rFonts w:ascii="Montserrat" w:hAnsi="Montserrat" w:cs="Times New Roman"/>
              <w:bCs w:val="0"/>
              <w:color w:val="auto"/>
              <w:sz w:val="22"/>
              <w:szCs w:val="24"/>
              <w:lang w:val="es-ES_tradnl"/>
            </w:rPr>
            <w:t xml:space="preserve"> respecto al derecho de reunión </w:t>
          </w:r>
          <w:r w:rsidR="00A0515E" w:rsidRPr="00EF6DF5">
            <w:rPr>
              <w:rFonts w:ascii="Montserrat" w:hAnsi="Montserrat" w:cs="Times New Roman"/>
              <w:bCs w:val="0"/>
              <w:color w:val="auto"/>
              <w:sz w:val="22"/>
              <w:szCs w:val="24"/>
              <w:lang w:val="es-ES_tradnl"/>
            </w:rPr>
            <w:t>pacífic</w:t>
          </w:r>
          <w:r>
            <w:rPr>
              <w:rFonts w:ascii="Montserrat" w:hAnsi="Montserrat" w:cs="Times New Roman"/>
              <w:bCs w:val="0"/>
              <w:color w:val="auto"/>
              <w:sz w:val="22"/>
              <w:szCs w:val="24"/>
              <w:lang w:val="es-ES_tradnl"/>
            </w:rPr>
            <w:t xml:space="preserve">a…4 </w:t>
          </w:r>
        </w:p>
        <w:p w:rsidR="001133C5" w:rsidRPr="00EF6DF5" w:rsidRDefault="001133C5" w:rsidP="00EF6DF5">
          <w:pPr>
            <w:pStyle w:val="Heading1"/>
            <w:numPr>
              <w:ilvl w:val="0"/>
              <w:numId w:val="2"/>
            </w:numPr>
            <w:spacing w:before="0" w:line="480" w:lineRule="auto"/>
            <w:ind w:hanging="357"/>
            <w:rPr>
              <w:rFonts w:ascii="Montserrat" w:hAnsi="Montserrat" w:cs="Times New Roman"/>
              <w:bCs w:val="0"/>
              <w:color w:val="auto"/>
              <w:sz w:val="22"/>
              <w:szCs w:val="24"/>
              <w:lang w:val="es-ES_tradnl"/>
            </w:rPr>
          </w:pPr>
          <w:r w:rsidRPr="00EF6DF5">
            <w:rPr>
              <w:rFonts w:ascii="Montserrat" w:hAnsi="Montserrat" w:cs="Times New Roman"/>
              <w:bCs w:val="0"/>
              <w:color w:val="auto"/>
              <w:sz w:val="22"/>
              <w:szCs w:val="24"/>
              <w:lang w:val="es-ES_tradnl"/>
            </w:rPr>
            <w:t>Relación con otros derechos………………………………………………</w:t>
          </w:r>
          <w:r w:rsidR="00EF6DF5">
            <w:rPr>
              <w:rFonts w:ascii="Montserrat" w:hAnsi="Montserrat" w:cs="Times New Roman"/>
              <w:bCs w:val="0"/>
              <w:color w:val="auto"/>
              <w:sz w:val="22"/>
              <w:szCs w:val="24"/>
              <w:lang w:val="es-ES_tradnl"/>
            </w:rPr>
            <w:t>………………</w:t>
          </w:r>
          <w:r w:rsidRPr="00EF6DF5">
            <w:rPr>
              <w:rFonts w:ascii="Montserrat" w:hAnsi="Montserrat" w:cs="Times New Roman"/>
              <w:bCs w:val="0"/>
              <w:color w:val="auto"/>
              <w:sz w:val="22"/>
              <w:szCs w:val="24"/>
              <w:lang w:val="es-ES_tradnl"/>
            </w:rPr>
            <w:t>…………</w:t>
          </w:r>
          <w:r w:rsidR="00EF6DF5">
            <w:rPr>
              <w:rFonts w:ascii="Montserrat" w:hAnsi="Montserrat" w:cs="Times New Roman"/>
              <w:bCs w:val="0"/>
              <w:color w:val="auto"/>
              <w:sz w:val="22"/>
              <w:szCs w:val="24"/>
              <w:lang w:val="es-ES_tradnl"/>
            </w:rPr>
            <w:t>.</w:t>
          </w:r>
          <w:r w:rsidR="00381AE9" w:rsidRPr="00EF6DF5">
            <w:rPr>
              <w:rFonts w:ascii="Montserrat" w:hAnsi="Montserrat" w:cs="Times New Roman"/>
              <w:bCs w:val="0"/>
              <w:color w:val="auto"/>
              <w:sz w:val="22"/>
              <w:szCs w:val="24"/>
              <w:lang w:val="es-ES_tradnl"/>
            </w:rPr>
            <w:t>…5</w:t>
          </w:r>
        </w:p>
        <w:p w:rsidR="00A0515E" w:rsidRPr="00EF6DF5" w:rsidRDefault="00A0515E" w:rsidP="00EF6DF5">
          <w:pPr>
            <w:pStyle w:val="Heading1"/>
            <w:numPr>
              <w:ilvl w:val="0"/>
              <w:numId w:val="2"/>
            </w:numPr>
            <w:spacing w:before="0" w:line="480" w:lineRule="auto"/>
            <w:ind w:hanging="357"/>
            <w:rPr>
              <w:rFonts w:ascii="Montserrat" w:hAnsi="Montserrat" w:cs="Times New Roman"/>
              <w:bCs w:val="0"/>
              <w:color w:val="auto"/>
              <w:sz w:val="22"/>
              <w:szCs w:val="24"/>
              <w:lang w:val="es-ES_tradnl"/>
            </w:rPr>
          </w:pPr>
          <w:r w:rsidRPr="00EF6DF5">
            <w:rPr>
              <w:rFonts w:ascii="Montserrat" w:hAnsi="Montserrat" w:cs="Times New Roman"/>
              <w:bCs w:val="0"/>
              <w:color w:val="auto"/>
              <w:sz w:val="22"/>
              <w:szCs w:val="24"/>
              <w:lang w:val="es-ES_tradnl"/>
            </w:rPr>
            <w:t>Restricciones al derecho de reunión pacífica</w:t>
          </w:r>
          <w:r w:rsidR="00EF6DF5">
            <w:rPr>
              <w:rFonts w:ascii="Montserrat" w:hAnsi="Montserrat" w:cs="Times New Roman"/>
              <w:bCs w:val="0"/>
              <w:color w:val="auto"/>
              <w:sz w:val="22"/>
              <w:szCs w:val="24"/>
              <w:lang w:val="es-ES_tradnl"/>
            </w:rPr>
            <w:t>…….</w:t>
          </w:r>
          <w:r w:rsidRPr="00EF6DF5">
            <w:rPr>
              <w:rFonts w:ascii="Montserrat" w:hAnsi="Montserrat" w:cs="Times New Roman"/>
              <w:bCs w:val="0"/>
              <w:color w:val="auto"/>
              <w:sz w:val="22"/>
              <w:szCs w:val="24"/>
              <w:lang w:val="es-ES_tradnl"/>
            </w:rPr>
            <w:t>………………………………………</w:t>
          </w:r>
          <w:r w:rsidR="00CF52A1" w:rsidRPr="00EF6DF5">
            <w:rPr>
              <w:rFonts w:ascii="Montserrat" w:hAnsi="Montserrat" w:cs="Times New Roman"/>
              <w:bCs w:val="0"/>
              <w:color w:val="auto"/>
              <w:sz w:val="22"/>
              <w:szCs w:val="24"/>
              <w:lang w:val="es-ES_tradnl"/>
            </w:rPr>
            <w:t>…</w:t>
          </w:r>
          <w:r w:rsidR="00EF6DF5">
            <w:rPr>
              <w:rFonts w:ascii="Montserrat" w:hAnsi="Montserrat" w:cs="Times New Roman"/>
              <w:bCs w:val="0"/>
              <w:color w:val="auto"/>
              <w:sz w:val="22"/>
              <w:szCs w:val="24"/>
              <w:lang w:val="es-ES_tradnl"/>
            </w:rPr>
            <w:t>.</w:t>
          </w:r>
          <w:r w:rsidR="00381AE9" w:rsidRPr="00EF6DF5">
            <w:rPr>
              <w:rFonts w:ascii="Montserrat" w:hAnsi="Montserrat" w:cs="Times New Roman"/>
              <w:bCs w:val="0"/>
              <w:color w:val="auto"/>
              <w:sz w:val="22"/>
              <w:szCs w:val="24"/>
              <w:lang w:val="es-ES_tradnl"/>
            </w:rPr>
            <w:t>6</w:t>
          </w:r>
        </w:p>
        <w:p w:rsidR="00A0515E" w:rsidRPr="00EF6DF5" w:rsidRDefault="00A0515E" w:rsidP="00EF6DF5">
          <w:pPr>
            <w:pStyle w:val="Heading1"/>
            <w:numPr>
              <w:ilvl w:val="0"/>
              <w:numId w:val="2"/>
            </w:numPr>
            <w:spacing w:before="0" w:line="480" w:lineRule="auto"/>
            <w:ind w:hanging="357"/>
            <w:rPr>
              <w:rFonts w:ascii="Montserrat" w:hAnsi="Montserrat" w:cs="Times New Roman"/>
              <w:bCs w:val="0"/>
              <w:color w:val="auto"/>
              <w:sz w:val="22"/>
              <w:szCs w:val="24"/>
              <w:lang w:val="es-ES_tradnl"/>
            </w:rPr>
          </w:pPr>
          <w:r w:rsidRPr="00EF6DF5">
            <w:rPr>
              <w:rFonts w:ascii="Montserrat" w:hAnsi="Montserrat" w:cs="Times New Roman"/>
              <w:bCs w:val="0"/>
              <w:color w:val="auto"/>
              <w:sz w:val="22"/>
              <w:szCs w:val="24"/>
              <w:lang w:val="es-ES_tradnl"/>
            </w:rPr>
            <w:t>Deberes y obligaciones de los organismos encargados de hacer cumplir la ley……</w:t>
          </w:r>
          <w:r w:rsidR="00EF6DF5">
            <w:rPr>
              <w:rFonts w:ascii="Montserrat" w:hAnsi="Montserrat" w:cs="Times New Roman"/>
              <w:bCs w:val="0"/>
              <w:color w:val="auto"/>
              <w:sz w:val="22"/>
              <w:szCs w:val="24"/>
              <w:lang w:val="es-ES_tradnl"/>
            </w:rPr>
            <w:t>……………………………………………………………………………………………………………………</w:t>
          </w:r>
          <w:r w:rsidR="00381AE9" w:rsidRPr="00EF6DF5">
            <w:rPr>
              <w:rFonts w:ascii="Montserrat" w:hAnsi="Montserrat" w:cs="Times New Roman"/>
              <w:bCs w:val="0"/>
              <w:color w:val="auto"/>
              <w:sz w:val="22"/>
              <w:szCs w:val="24"/>
              <w:lang w:val="es-ES_tradnl"/>
            </w:rPr>
            <w:t>8</w:t>
          </w:r>
        </w:p>
        <w:p w:rsidR="003E4C29" w:rsidRPr="006810EA" w:rsidRDefault="003E4C29" w:rsidP="00EF6DF5">
          <w:pPr>
            <w:spacing w:line="480" w:lineRule="auto"/>
            <w:ind w:firstLine="0"/>
          </w:pPr>
          <w:r w:rsidRPr="00EF6DF5">
            <w:rPr>
              <w:rFonts w:ascii="Montserrat" w:eastAsiaTheme="majorEastAsia" w:hAnsi="Montserrat"/>
              <w:b/>
              <w:sz w:val="22"/>
              <w:szCs w:val="24"/>
              <w:lang w:val="es-ES_tradnl"/>
            </w:rPr>
            <w:fldChar w:fldCharType="end"/>
          </w:r>
        </w:p>
      </w:sdtContent>
    </w:sdt>
    <w:p w:rsidR="003E4C29" w:rsidRDefault="003E4C29" w:rsidP="003E4C29">
      <w:pPr>
        <w:rPr>
          <w:b/>
          <w:szCs w:val="24"/>
        </w:rPr>
      </w:pPr>
    </w:p>
    <w:p w:rsidR="005225EC" w:rsidRDefault="005225EC" w:rsidP="005225EC">
      <w:pPr>
        <w:tabs>
          <w:tab w:val="left" w:pos="2610"/>
        </w:tabs>
        <w:ind w:firstLine="0"/>
        <w:rPr>
          <w:b/>
          <w:szCs w:val="24"/>
        </w:rPr>
      </w:pPr>
      <w:r>
        <w:rPr>
          <w:b/>
          <w:szCs w:val="24"/>
        </w:rPr>
        <w:tab/>
      </w:r>
    </w:p>
    <w:p w:rsidR="003E4C29" w:rsidRPr="005225EC" w:rsidRDefault="005225EC" w:rsidP="005225EC">
      <w:pPr>
        <w:tabs>
          <w:tab w:val="left" w:pos="2610"/>
        </w:tabs>
        <w:rPr>
          <w:szCs w:val="24"/>
        </w:rPr>
        <w:sectPr w:rsidR="003E4C29" w:rsidRPr="005225EC" w:rsidSect="00EF6DF5">
          <w:footerReference w:type="default" r:id="rId8"/>
          <w:pgSz w:w="12240" w:h="15840"/>
          <w:pgMar w:top="1417" w:right="1608" w:bottom="1417" w:left="1701" w:header="708" w:footer="708" w:gutter="0"/>
          <w:pgNumType w:fmt="lowerRoman" w:start="1"/>
          <w:cols w:space="708"/>
          <w:titlePg/>
          <w:docGrid w:linePitch="360"/>
        </w:sectPr>
      </w:pPr>
      <w:r>
        <w:rPr>
          <w:szCs w:val="24"/>
        </w:rPr>
        <w:tab/>
      </w:r>
    </w:p>
    <w:p w:rsidR="00E02100" w:rsidRDefault="00E02100" w:rsidP="00160BFA">
      <w:pPr>
        <w:spacing w:before="240" w:after="240" w:line="240" w:lineRule="auto"/>
        <w:jc w:val="center"/>
        <w:rPr>
          <w:rFonts w:ascii="Montserrat" w:hAnsi="Montserrat"/>
          <w:smallCaps/>
          <w:sz w:val="22"/>
          <w:szCs w:val="24"/>
        </w:rPr>
      </w:pPr>
      <w:r w:rsidRPr="00E02100">
        <w:rPr>
          <w:rFonts w:ascii="Montserrat" w:hAnsi="Montserrat"/>
          <w:smallCaps/>
          <w:sz w:val="22"/>
          <w:szCs w:val="24"/>
        </w:rPr>
        <w:lastRenderedPageBreak/>
        <w:t>Observaciones del Estado mexicano al comentario general 37 sobre el artículo 21 del pacto internacional de derechos civiles y políticos</w:t>
      </w:r>
    </w:p>
    <w:p w:rsidR="00D50425" w:rsidRPr="00EF6DF5" w:rsidRDefault="003F6CD5" w:rsidP="00160BFA">
      <w:pPr>
        <w:pStyle w:val="ListParagraph"/>
        <w:numPr>
          <w:ilvl w:val="0"/>
          <w:numId w:val="1"/>
        </w:numPr>
        <w:spacing w:before="240" w:after="240" w:line="240" w:lineRule="auto"/>
        <w:ind w:left="0" w:firstLine="0"/>
        <w:contextualSpacing w:val="0"/>
        <w:rPr>
          <w:rFonts w:ascii="Montserrat" w:hAnsi="Montserrat"/>
          <w:sz w:val="20"/>
          <w:szCs w:val="20"/>
        </w:rPr>
      </w:pPr>
      <w:r w:rsidRPr="00EF6DF5">
        <w:rPr>
          <w:rFonts w:ascii="Montserrat" w:hAnsi="Montserrat"/>
          <w:sz w:val="20"/>
          <w:szCs w:val="20"/>
        </w:rPr>
        <w:t>Por medio del presente, los Estados Unidos Mexicanos, en adelante “Estado mexicano” o “Estado”,</w:t>
      </w:r>
      <w:r w:rsidR="00CB4E6E" w:rsidRPr="00EF6DF5">
        <w:rPr>
          <w:rFonts w:ascii="Montserrat" w:hAnsi="Montserrat"/>
          <w:sz w:val="20"/>
          <w:szCs w:val="20"/>
        </w:rPr>
        <w:t xml:space="preserve"> </w:t>
      </w:r>
      <w:r w:rsidR="00E02100" w:rsidRPr="00EF6DF5">
        <w:rPr>
          <w:rFonts w:ascii="Montserrat" w:hAnsi="Montserrat"/>
          <w:sz w:val="20"/>
          <w:szCs w:val="20"/>
        </w:rPr>
        <w:t xml:space="preserve">emite sus observaciones </w:t>
      </w:r>
      <w:r w:rsidR="0084278F" w:rsidRPr="00EF6DF5">
        <w:rPr>
          <w:rFonts w:ascii="Montserrat" w:hAnsi="Montserrat"/>
          <w:sz w:val="20"/>
          <w:szCs w:val="20"/>
        </w:rPr>
        <w:t>a</w:t>
      </w:r>
      <w:r w:rsidR="00D55757" w:rsidRPr="00EF6DF5">
        <w:rPr>
          <w:rFonts w:ascii="Montserrat" w:hAnsi="Montserrat"/>
          <w:sz w:val="20"/>
          <w:szCs w:val="20"/>
        </w:rPr>
        <w:t xml:space="preserve">l Proyecto de Comentario General 37 sobre el Artículo 21 del Pacto Internacional de Derechos Civiles y Políticos (ICCPR, por sus siglas en inglés) </w:t>
      </w:r>
      <w:r w:rsidR="00E02100" w:rsidRPr="00EF6DF5">
        <w:rPr>
          <w:rFonts w:ascii="Montserrat" w:hAnsi="Montserrat"/>
          <w:sz w:val="20"/>
          <w:szCs w:val="20"/>
        </w:rPr>
        <w:t>emitido</w:t>
      </w:r>
      <w:r w:rsidR="00D55757" w:rsidRPr="00EF6DF5">
        <w:rPr>
          <w:rFonts w:ascii="Montserrat" w:hAnsi="Montserrat"/>
          <w:sz w:val="20"/>
          <w:szCs w:val="20"/>
        </w:rPr>
        <w:t xml:space="preserve"> por el Comité de Derechos humanos de la Organización de las Naciones Unidas.</w:t>
      </w:r>
    </w:p>
    <w:p w:rsidR="00376C99" w:rsidRPr="00EF6DF5" w:rsidRDefault="00D55757" w:rsidP="00160BFA">
      <w:pPr>
        <w:pStyle w:val="ListParagraph"/>
        <w:numPr>
          <w:ilvl w:val="0"/>
          <w:numId w:val="1"/>
        </w:numPr>
        <w:spacing w:before="240" w:after="240" w:line="240" w:lineRule="auto"/>
        <w:ind w:left="0" w:firstLine="0"/>
        <w:contextualSpacing w:val="0"/>
        <w:rPr>
          <w:rFonts w:ascii="Montserrat" w:hAnsi="Montserrat"/>
          <w:sz w:val="20"/>
          <w:szCs w:val="20"/>
        </w:rPr>
      </w:pPr>
      <w:r w:rsidRPr="00EF6DF5">
        <w:rPr>
          <w:rFonts w:ascii="Montserrat" w:hAnsi="Montserrat"/>
          <w:sz w:val="20"/>
          <w:szCs w:val="20"/>
        </w:rPr>
        <w:t xml:space="preserve">El Comité de Derechos Humanos de la </w:t>
      </w:r>
      <w:r w:rsidR="00A0037B" w:rsidRPr="00EF6DF5">
        <w:rPr>
          <w:rFonts w:ascii="Montserrat" w:hAnsi="Montserrat"/>
          <w:sz w:val="20"/>
          <w:szCs w:val="20"/>
        </w:rPr>
        <w:t>Organización de las Naciones Unidas, durante su 127ª sesión celebrada en noviembre de 2019, finalizó la primera lectura del Comentario General 37 sobre el artículo 21 del ICCPR, sobre el cual invitó a todas las partes interesadas a realizar observaciones sobre dicho borrador.</w:t>
      </w:r>
    </w:p>
    <w:p w:rsidR="00CB12ED" w:rsidRPr="00E64E3E" w:rsidRDefault="00E01B09" w:rsidP="00160BFA">
      <w:pPr>
        <w:pStyle w:val="ListParagraph"/>
        <w:numPr>
          <w:ilvl w:val="0"/>
          <w:numId w:val="1"/>
        </w:numPr>
        <w:spacing w:before="240" w:after="240" w:line="240" w:lineRule="auto"/>
        <w:ind w:left="0" w:firstLine="0"/>
        <w:contextualSpacing w:val="0"/>
        <w:rPr>
          <w:rFonts w:ascii="Montserrat" w:hAnsi="Montserrat"/>
          <w:sz w:val="20"/>
          <w:szCs w:val="20"/>
        </w:rPr>
      </w:pPr>
      <w:r w:rsidRPr="00E64E3E">
        <w:rPr>
          <w:rFonts w:ascii="Montserrat" w:hAnsi="Montserrat"/>
          <w:sz w:val="20"/>
          <w:szCs w:val="20"/>
        </w:rPr>
        <w:t>Con</w:t>
      </w:r>
      <w:r w:rsidR="008C40A4" w:rsidRPr="00E64E3E">
        <w:rPr>
          <w:rFonts w:ascii="Montserrat" w:hAnsi="Montserrat"/>
          <w:sz w:val="20"/>
          <w:szCs w:val="20"/>
        </w:rPr>
        <w:t xml:space="preserve"> relación </w:t>
      </w:r>
      <w:r w:rsidRPr="00E64E3E">
        <w:rPr>
          <w:rFonts w:ascii="Montserrat" w:hAnsi="Montserrat"/>
          <w:sz w:val="20"/>
          <w:szCs w:val="20"/>
        </w:rPr>
        <w:t>a</w:t>
      </w:r>
      <w:r w:rsidR="008C40A4" w:rsidRPr="00E64E3E">
        <w:rPr>
          <w:rFonts w:ascii="Montserrat" w:hAnsi="Montserrat"/>
          <w:sz w:val="20"/>
          <w:szCs w:val="20"/>
        </w:rPr>
        <w:t xml:space="preserve"> </w:t>
      </w:r>
      <w:r w:rsidR="00A0037B" w:rsidRPr="00E64E3E">
        <w:rPr>
          <w:rFonts w:ascii="Montserrat" w:hAnsi="Montserrat"/>
          <w:sz w:val="20"/>
          <w:szCs w:val="20"/>
        </w:rPr>
        <w:t>lo anterior, el Estado mexicano emite sus siguientes comentarios</w:t>
      </w:r>
      <w:r w:rsidR="00CB12ED" w:rsidRPr="00E64E3E">
        <w:rPr>
          <w:rFonts w:ascii="Montserrat" w:hAnsi="Montserrat"/>
          <w:sz w:val="20"/>
          <w:szCs w:val="20"/>
        </w:rPr>
        <w:t xml:space="preserve">: </w:t>
      </w:r>
    </w:p>
    <w:p w:rsidR="007577F1" w:rsidRPr="00E64E3E" w:rsidRDefault="00A0037B"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Observaciones Generales.</w:t>
      </w:r>
    </w:p>
    <w:p w:rsidR="00A0037B" w:rsidRPr="00E64E3E" w:rsidRDefault="00A0037B"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Alcance del derecho de reunión pacífica</w:t>
      </w:r>
    </w:p>
    <w:p w:rsidR="00A0037B" w:rsidRPr="00E64E3E" w:rsidRDefault="00A0037B"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La obligación de los Estados partes con respecto al derecho de reunión pacífica</w:t>
      </w:r>
    </w:p>
    <w:p w:rsidR="001133C5" w:rsidRPr="00E64E3E" w:rsidRDefault="001133C5"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Relación con otros derechos</w:t>
      </w:r>
    </w:p>
    <w:p w:rsidR="00A0037B" w:rsidRPr="00E64E3E" w:rsidRDefault="00A0037B"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Restricciones al derecho de reunión pacífica.</w:t>
      </w:r>
    </w:p>
    <w:p w:rsidR="00A0037B" w:rsidRPr="00E64E3E" w:rsidRDefault="00A0037B" w:rsidP="00160BFA">
      <w:pPr>
        <w:pStyle w:val="ListParagraph"/>
        <w:numPr>
          <w:ilvl w:val="0"/>
          <w:numId w:val="16"/>
        </w:numPr>
        <w:spacing w:before="240" w:after="240" w:line="240" w:lineRule="auto"/>
        <w:rPr>
          <w:rFonts w:ascii="Montserrat" w:hAnsi="Montserrat"/>
          <w:sz w:val="20"/>
          <w:szCs w:val="20"/>
        </w:rPr>
      </w:pPr>
      <w:r w:rsidRPr="00E64E3E">
        <w:rPr>
          <w:rFonts w:ascii="Montserrat" w:hAnsi="Montserrat"/>
          <w:sz w:val="20"/>
          <w:szCs w:val="20"/>
        </w:rPr>
        <w:t>Deberes y obligaciones de los organismos encargados de hacer cumplir la ley.</w:t>
      </w:r>
    </w:p>
    <w:p w:rsidR="007577F1" w:rsidRPr="00EF6DF5" w:rsidRDefault="007577F1" w:rsidP="00160BFA">
      <w:pPr>
        <w:pStyle w:val="ListParagraph"/>
        <w:spacing w:before="240" w:after="240" w:line="240" w:lineRule="auto"/>
        <w:ind w:left="502" w:firstLine="0"/>
        <w:rPr>
          <w:rFonts w:ascii="Montserrat" w:hAnsi="Montserrat"/>
          <w:sz w:val="20"/>
          <w:szCs w:val="20"/>
        </w:rPr>
      </w:pPr>
    </w:p>
    <w:p w:rsidR="00282732" w:rsidRPr="00EF6DF5" w:rsidRDefault="00282732" w:rsidP="00160BFA">
      <w:pPr>
        <w:pStyle w:val="ListParagraph"/>
        <w:spacing w:before="240" w:after="240" w:line="240" w:lineRule="auto"/>
        <w:ind w:left="502" w:firstLine="0"/>
        <w:rPr>
          <w:rFonts w:ascii="Montserrat" w:hAnsi="Montserrat"/>
          <w:sz w:val="20"/>
          <w:szCs w:val="20"/>
        </w:rPr>
      </w:pPr>
    </w:p>
    <w:p w:rsidR="00CF52A1" w:rsidRDefault="00696A78" w:rsidP="00E64E3E">
      <w:pPr>
        <w:pStyle w:val="ListParagraph"/>
        <w:numPr>
          <w:ilvl w:val="0"/>
          <w:numId w:val="17"/>
        </w:numPr>
        <w:spacing w:before="240" w:after="240" w:line="240" w:lineRule="auto"/>
        <w:ind w:left="142" w:firstLine="63"/>
        <w:rPr>
          <w:rFonts w:ascii="Montserrat" w:hAnsi="Montserrat"/>
          <w:b/>
          <w:sz w:val="20"/>
          <w:szCs w:val="20"/>
        </w:rPr>
      </w:pPr>
      <w:r w:rsidRPr="00EF6DF5">
        <w:rPr>
          <w:rFonts w:ascii="Montserrat" w:hAnsi="Montserrat"/>
          <w:b/>
          <w:sz w:val="20"/>
          <w:szCs w:val="20"/>
        </w:rPr>
        <w:t>Observaciones Generales</w:t>
      </w:r>
    </w:p>
    <w:p w:rsidR="00E64E3E" w:rsidRPr="00E64E3E" w:rsidRDefault="00E64E3E" w:rsidP="00E64E3E">
      <w:pPr>
        <w:pStyle w:val="ListParagraph"/>
        <w:spacing w:before="240" w:after="240" w:line="240" w:lineRule="auto"/>
        <w:ind w:left="205" w:firstLine="0"/>
        <w:rPr>
          <w:rStyle w:val="Strong"/>
          <w:rFonts w:ascii="Montserrat" w:hAnsi="Montserrat"/>
          <w:bCs w:val="0"/>
          <w:sz w:val="20"/>
          <w:szCs w:val="20"/>
        </w:rPr>
      </w:pPr>
    </w:p>
    <w:p w:rsidR="00630E48" w:rsidRPr="00EF6DF5" w:rsidRDefault="00630E48"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México, el derecho a la liberta</w:t>
      </w:r>
      <w:r w:rsidR="00C60A44" w:rsidRPr="00EF6DF5">
        <w:rPr>
          <w:rFonts w:ascii="Montserrat" w:hAnsi="Montserrat"/>
          <w:sz w:val="20"/>
          <w:szCs w:val="20"/>
        </w:rPr>
        <w:t>d</w:t>
      </w:r>
      <w:r w:rsidRPr="00EF6DF5">
        <w:rPr>
          <w:rFonts w:ascii="Montserrat" w:hAnsi="Montserrat"/>
          <w:sz w:val="20"/>
          <w:szCs w:val="20"/>
        </w:rPr>
        <w:t xml:space="preserve"> de asociación pacífica se encuentra regulado por el artículo 9°</w:t>
      </w:r>
      <w:r w:rsidR="008D5ACD">
        <w:rPr>
          <w:rFonts w:ascii="Montserrat" w:hAnsi="Montserrat"/>
          <w:sz w:val="20"/>
          <w:szCs w:val="20"/>
        </w:rPr>
        <w:t xml:space="preserve">de su Constitución Política, </w:t>
      </w:r>
      <w:r w:rsidRPr="00EF6DF5">
        <w:rPr>
          <w:rFonts w:ascii="Montserrat" w:hAnsi="Montserrat"/>
          <w:sz w:val="20"/>
          <w:szCs w:val="20"/>
        </w:rPr>
        <w:t>que a la letra dice:</w:t>
      </w:r>
    </w:p>
    <w:p w:rsidR="00133CE7" w:rsidRPr="00EF6DF5" w:rsidRDefault="00133CE7" w:rsidP="00160BFA">
      <w:pPr>
        <w:pStyle w:val="ListParagraph"/>
        <w:spacing w:before="240" w:after="240" w:line="240" w:lineRule="auto"/>
        <w:ind w:left="708" w:firstLine="0"/>
        <w:rPr>
          <w:rFonts w:ascii="Montserrat" w:hAnsi="Montserrat"/>
          <w:sz w:val="20"/>
          <w:szCs w:val="20"/>
        </w:rPr>
      </w:pPr>
    </w:p>
    <w:p w:rsidR="00630E48" w:rsidRPr="00EF6DF5" w:rsidRDefault="00630E48" w:rsidP="00160BFA">
      <w:pPr>
        <w:pStyle w:val="ListParagraph"/>
        <w:spacing w:before="240" w:after="240" w:line="240" w:lineRule="auto"/>
        <w:ind w:left="708" w:firstLine="0"/>
        <w:rPr>
          <w:rFonts w:ascii="Montserrat" w:hAnsi="Montserrat"/>
          <w:i/>
          <w:sz w:val="20"/>
          <w:szCs w:val="20"/>
        </w:rPr>
      </w:pPr>
      <w:r w:rsidRPr="00EF6DF5">
        <w:rPr>
          <w:rFonts w:ascii="Montserrat" w:hAnsi="Montserrat"/>
          <w:i/>
          <w:sz w:val="20"/>
          <w:szCs w:val="20"/>
        </w:rPr>
        <w:lastRenderedPageBreak/>
        <w:t>“Artículo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133CE7" w:rsidRPr="00EF6DF5" w:rsidRDefault="00133CE7" w:rsidP="00160BFA">
      <w:pPr>
        <w:pStyle w:val="ListParagraph"/>
        <w:spacing w:before="240" w:after="240" w:line="240" w:lineRule="auto"/>
        <w:ind w:left="708" w:firstLine="0"/>
        <w:rPr>
          <w:rFonts w:ascii="Montserrat" w:hAnsi="Montserrat"/>
          <w:i/>
          <w:sz w:val="20"/>
          <w:szCs w:val="20"/>
        </w:rPr>
      </w:pPr>
    </w:p>
    <w:p w:rsidR="00630E48" w:rsidRPr="00EF6DF5" w:rsidRDefault="00630E48" w:rsidP="00160BFA">
      <w:pPr>
        <w:pStyle w:val="ListParagraph"/>
        <w:spacing w:before="240" w:after="240" w:line="240" w:lineRule="auto"/>
        <w:ind w:left="708" w:firstLine="0"/>
        <w:rPr>
          <w:rFonts w:ascii="Montserrat" w:hAnsi="Montserrat"/>
          <w:i/>
          <w:sz w:val="20"/>
          <w:szCs w:val="20"/>
        </w:rPr>
      </w:pPr>
      <w:r w:rsidRPr="00EF6DF5">
        <w:rPr>
          <w:rFonts w:ascii="Montserrat" w:hAnsi="Montserrat"/>
          <w:i/>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3125C1" w:rsidRPr="00EF6DF5" w:rsidRDefault="003125C1" w:rsidP="00160BFA">
      <w:pPr>
        <w:pStyle w:val="ListParagraph"/>
        <w:spacing w:before="240" w:after="240" w:line="240" w:lineRule="auto"/>
        <w:ind w:left="708" w:firstLine="0"/>
        <w:rPr>
          <w:rFonts w:ascii="Montserrat" w:hAnsi="Montserrat"/>
          <w:sz w:val="20"/>
          <w:szCs w:val="20"/>
        </w:rPr>
      </w:pPr>
    </w:p>
    <w:p w:rsidR="00630E48" w:rsidRPr="00EF6DF5" w:rsidRDefault="00630E48"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Al respecto, la Suprema Corte de Justicia de la Nación (SCJN), resolvió acerca de las diferencias entre la libertad de asociación y la de </w:t>
      </w:r>
      <w:r w:rsidR="00CF52A1" w:rsidRPr="00EF6DF5">
        <w:rPr>
          <w:rFonts w:ascii="Montserrat" w:hAnsi="Montserrat"/>
          <w:sz w:val="20"/>
          <w:szCs w:val="20"/>
        </w:rPr>
        <w:t>reunión,</w:t>
      </w:r>
      <w:r w:rsidRPr="00EF6DF5">
        <w:rPr>
          <w:rFonts w:ascii="Montserrat" w:hAnsi="Montserrat"/>
          <w:sz w:val="20"/>
          <w:szCs w:val="20"/>
        </w:rPr>
        <w:t xml:space="preserve"> ambas consagradas en el ya mencionado artículo 9° Constitucional.</w:t>
      </w:r>
    </w:p>
    <w:p w:rsidR="003125C1" w:rsidRPr="00EF6DF5" w:rsidRDefault="003125C1" w:rsidP="00160BFA">
      <w:pPr>
        <w:pStyle w:val="ListParagraph"/>
        <w:spacing w:before="240" w:after="240" w:line="240" w:lineRule="auto"/>
        <w:ind w:left="363" w:firstLine="0"/>
        <w:rPr>
          <w:rFonts w:ascii="Montserrat" w:hAnsi="Montserrat"/>
          <w:sz w:val="20"/>
          <w:szCs w:val="20"/>
        </w:rPr>
      </w:pPr>
    </w:p>
    <w:p w:rsidR="00630E48" w:rsidRPr="00EF6DF5" w:rsidRDefault="00630E48" w:rsidP="00EF6DF5">
      <w:pPr>
        <w:pStyle w:val="ListParagraph"/>
        <w:spacing w:before="240" w:after="240" w:line="240" w:lineRule="auto"/>
        <w:ind w:left="708" w:firstLine="0"/>
        <w:rPr>
          <w:rFonts w:ascii="Montserrat" w:hAnsi="Montserrat"/>
          <w:i/>
          <w:sz w:val="20"/>
          <w:szCs w:val="20"/>
        </w:rPr>
      </w:pPr>
      <w:r w:rsidRPr="00EF6DF5">
        <w:rPr>
          <w:rFonts w:ascii="Montserrat" w:hAnsi="Montserrat"/>
          <w:i/>
          <w:sz w:val="20"/>
          <w:szCs w:val="20"/>
        </w:rPr>
        <w:t xml:space="preserve">“El derecho de libertad de asociación consagrado en el artículo 9o. de la Constitución Política de los Estados Unidos Mexicanos no debe confundirse con la libertad de reunión prevista en el mismo artículo constitucional. El primero es un derecho complejo compuesto por libertades de índole positiva y negativa que implica entre varias cuestiones la posibilidad de que cualquier individuo pueda establecer, por sí mismo y junto con otras personas, una entidad con personalidad jurídica propia, cuyo objeto y finalidad lícita sea de libre elección. En cambio, la libertad de reunión, aunque es un derecho que mantiene íntima relación con el de asociación, consiste en que todo individuo pueda congregarse o agruparse con otras personas, en un ámbito privado o público y con la finalidad lícita que se quiera, siempre que el ejercicio de este derecho se lleve a cabo de manera pacífica. La diferencia sustancial entre ambos derechos es que la libertad de asociación implica la formación de una nueva persona jurídica, con efectos jurídicos continuos y permanentes, mientras que una simple congregación de personas, aunque puede compartir los fines u objetivos de una asociación, se caracteriza por una existencia transitoria cuyos </w:t>
      </w:r>
      <w:r w:rsidRPr="00EF6DF5">
        <w:rPr>
          <w:rFonts w:ascii="Montserrat" w:hAnsi="Montserrat"/>
          <w:i/>
          <w:sz w:val="20"/>
          <w:szCs w:val="20"/>
        </w:rPr>
        <w:lastRenderedPageBreak/>
        <w:t>efectos se despliegan al momento de la reunión física de los individuos.”</w:t>
      </w:r>
      <w:r w:rsidRPr="00EF6DF5">
        <w:rPr>
          <w:rStyle w:val="FootnoteReference"/>
          <w:rFonts w:ascii="Montserrat" w:hAnsi="Montserrat"/>
          <w:sz w:val="20"/>
          <w:szCs w:val="20"/>
        </w:rPr>
        <w:footnoteReference w:id="1"/>
      </w:r>
    </w:p>
    <w:p w:rsidR="00D61A5B" w:rsidRPr="00EF6DF5" w:rsidRDefault="00D61A5B" w:rsidP="00EF6DF5">
      <w:pPr>
        <w:spacing w:before="240" w:after="240" w:line="240" w:lineRule="auto"/>
        <w:rPr>
          <w:rFonts w:ascii="Montserrat" w:hAnsi="Montserrat"/>
          <w:sz w:val="20"/>
          <w:szCs w:val="20"/>
        </w:rPr>
      </w:pPr>
      <w:r w:rsidRPr="00EF6DF5">
        <w:rPr>
          <w:rFonts w:ascii="Montserrat" w:hAnsi="Montserrat"/>
          <w:sz w:val="20"/>
          <w:szCs w:val="20"/>
        </w:rPr>
        <w:t>Asimismo, señala:</w:t>
      </w:r>
    </w:p>
    <w:p w:rsidR="00160BFA" w:rsidRPr="00EF6DF5" w:rsidRDefault="00D61A5B" w:rsidP="00160BFA">
      <w:pPr>
        <w:spacing w:before="240" w:after="240" w:line="240" w:lineRule="auto"/>
        <w:ind w:left="363" w:firstLine="0"/>
        <w:rPr>
          <w:rFonts w:ascii="Montserrat" w:hAnsi="Montserrat"/>
          <w:i/>
          <w:sz w:val="20"/>
          <w:szCs w:val="20"/>
        </w:rPr>
      </w:pPr>
      <w:r w:rsidRPr="00EF6DF5">
        <w:rPr>
          <w:rFonts w:ascii="Montserrat" w:hAnsi="Montserrat"/>
          <w:i/>
          <w:sz w:val="20"/>
          <w:szCs w:val="20"/>
        </w:rPr>
        <w:t>“En cuanto a la garantía de reunión es importante señalar que su ejercicio se debe llevar a cabo de manera pacífica, el objeto de la reunión debe ser lícito, su finalidad no puede estar en pugna con las buenas costumbres y las normas de orden público. En tanto que los individuos ejerzan su derecho de reunión bajo estas condiciones, el Estado tiene la obligación de abstenerse de coartar ese derecho.”</w:t>
      </w:r>
      <w:r w:rsidR="003A0F6F" w:rsidRPr="00EF6DF5">
        <w:rPr>
          <w:rStyle w:val="FootnoteReference"/>
          <w:rFonts w:ascii="Montserrat" w:hAnsi="Montserrat"/>
          <w:sz w:val="20"/>
          <w:szCs w:val="20"/>
        </w:rPr>
        <w:footnoteReference w:id="2"/>
      </w:r>
    </w:p>
    <w:p w:rsidR="00696A78" w:rsidRPr="00EF6DF5" w:rsidRDefault="00696A78"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relación con el papel fundamental de las reuniones pacíficas (párrafo 1), se señala que, además de ser importantes</w:t>
      </w:r>
      <w:r w:rsidR="00A206C8" w:rsidRPr="00EF6DF5">
        <w:rPr>
          <w:rFonts w:ascii="Montserrat" w:hAnsi="Montserrat"/>
          <w:sz w:val="20"/>
          <w:szCs w:val="20"/>
        </w:rPr>
        <w:t>,</w:t>
      </w:r>
      <w:r w:rsidRPr="00EF6DF5">
        <w:rPr>
          <w:rFonts w:ascii="Montserrat" w:hAnsi="Montserrat"/>
          <w:sz w:val="20"/>
          <w:szCs w:val="20"/>
        </w:rPr>
        <w:t xml:space="preserve"> pues permiten que las personas prueben ideas y enfoques, lo </w:t>
      </w:r>
      <w:r w:rsidR="00A206C8" w:rsidRPr="00EF6DF5">
        <w:rPr>
          <w:rFonts w:ascii="Montserrat" w:hAnsi="Montserrat"/>
          <w:sz w:val="20"/>
          <w:szCs w:val="20"/>
        </w:rPr>
        <w:t>son</w:t>
      </w:r>
      <w:r w:rsidRPr="00EF6DF5">
        <w:rPr>
          <w:rFonts w:ascii="Montserrat" w:hAnsi="Montserrat"/>
          <w:sz w:val="20"/>
          <w:szCs w:val="20"/>
        </w:rPr>
        <w:t xml:space="preserve"> también como un mecanismo para ejercer el derecho a la libertad de expresión y opinión, en concordancia con lo establecido en la Observación General No. 34 del Comité de Derechos Humanos, que a la letra indica: </w:t>
      </w:r>
    </w:p>
    <w:p w:rsidR="00696A78" w:rsidRPr="00EF6DF5" w:rsidRDefault="00696A78" w:rsidP="00160BFA">
      <w:pPr>
        <w:pStyle w:val="ListParagraph"/>
        <w:spacing w:before="240" w:after="240" w:line="240" w:lineRule="auto"/>
        <w:ind w:firstLine="0"/>
        <w:rPr>
          <w:rFonts w:ascii="Montserrat" w:hAnsi="Montserrat"/>
          <w:sz w:val="20"/>
          <w:szCs w:val="20"/>
        </w:rPr>
      </w:pPr>
    </w:p>
    <w:p w:rsidR="00696A78" w:rsidRPr="00EF6DF5" w:rsidRDefault="00CF52A1" w:rsidP="00160BFA">
      <w:pPr>
        <w:pStyle w:val="ListParagraph"/>
        <w:spacing w:before="240" w:after="240" w:line="240" w:lineRule="auto"/>
        <w:ind w:firstLine="0"/>
        <w:rPr>
          <w:rFonts w:ascii="Montserrat" w:hAnsi="Montserrat"/>
          <w:i/>
          <w:sz w:val="20"/>
          <w:szCs w:val="20"/>
        </w:rPr>
      </w:pPr>
      <w:r w:rsidRPr="00EF6DF5">
        <w:rPr>
          <w:rFonts w:ascii="Montserrat" w:hAnsi="Montserrat"/>
          <w:i/>
          <w:sz w:val="20"/>
          <w:szCs w:val="20"/>
        </w:rPr>
        <w:t>[</w:t>
      </w:r>
      <w:r w:rsidR="00696A78" w:rsidRPr="00EF6DF5">
        <w:rPr>
          <w:rFonts w:ascii="Montserrat" w:hAnsi="Montserrat"/>
          <w:i/>
          <w:sz w:val="20"/>
          <w:szCs w:val="20"/>
        </w:rPr>
        <w:t>…</w:t>
      </w:r>
      <w:r w:rsidRPr="00EF6DF5">
        <w:rPr>
          <w:rFonts w:ascii="Montserrat" w:hAnsi="Montserrat"/>
          <w:i/>
          <w:sz w:val="20"/>
          <w:szCs w:val="20"/>
        </w:rPr>
        <w:t>]</w:t>
      </w:r>
      <w:r w:rsidR="00696A78" w:rsidRPr="00EF6DF5">
        <w:rPr>
          <w:rFonts w:ascii="Montserrat" w:hAnsi="Montserrat"/>
          <w:i/>
          <w:sz w:val="20"/>
          <w:szCs w:val="20"/>
        </w:rPr>
        <w:t xml:space="preserve"> Ambas libertades [de opinión y expresión] están estrechamente relacionadas entre sí, dado que la libertad de expresión constituye el medio para intercambiar y formular opiniones.</w:t>
      </w:r>
    </w:p>
    <w:p w:rsidR="00696A78" w:rsidRPr="00EF6DF5" w:rsidRDefault="00696A78" w:rsidP="00160BFA">
      <w:pPr>
        <w:pStyle w:val="ListParagraph"/>
        <w:spacing w:before="240" w:after="240" w:line="240" w:lineRule="auto"/>
        <w:ind w:firstLine="0"/>
        <w:rPr>
          <w:rFonts w:ascii="Montserrat" w:hAnsi="Montserrat"/>
          <w:i/>
          <w:sz w:val="20"/>
          <w:szCs w:val="20"/>
        </w:rPr>
      </w:pPr>
    </w:p>
    <w:p w:rsidR="005C1821" w:rsidRPr="00EF6DF5" w:rsidRDefault="00696A78" w:rsidP="00160BFA">
      <w:pPr>
        <w:pStyle w:val="ListParagraph"/>
        <w:spacing w:before="240" w:after="240" w:line="240" w:lineRule="auto"/>
        <w:ind w:firstLine="0"/>
        <w:rPr>
          <w:rFonts w:ascii="Montserrat" w:hAnsi="Montserrat"/>
          <w:i/>
          <w:sz w:val="20"/>
          <w:szCs w:val="20"/>
        </w:rPr>
      </w:pPr>
      <w:r w:rsidRPr="00EF6DF5">
        <w:rPr>
          <w:rFonts w:ascii="Montserrat" w:hAnsi="Montserrat"/>
          <w:i/>
          <w:sz w:val="20"/>
          <w:szCs w:val="20"/>
        </w:rPr>
        <w:t>Las libertades de opinión y expresión constituyen la base para el pleno goce de una amplia gama de otros derechos humanos. Por ejemplo, la libertad de expresión es fundamental para el disfrute de los derechos a la libertad de reunión y de asociación, y para el ejercicio del derecho de voto.</w:t>
      </w:r>
      <w:r w:rsidR="005C1821" w:rsidRPr="00EF6DF5">
        <w:rPr>
          <w:rStyle w:val="FootnoteReference"/>
          <w:rFonts w:ascii="Montserrat" w:hAnsi="Montserrat"/>
          <w:sz w:val="20"/>
          <w:szCs w:val="20"/>
        </w:rPr>
        <w:footnoteReference w:id="3"/>
      </w:r>
    </w:p>
    <w:p w:rsidR="001133C5" w:rsidRPr="00EF6DF5" w:rsidRDefault="001133C5" w:rsidP="00160BFA">
      <w:pPr>
        <w:pStyle w:val="ListParagraph"/>
        <w:spacing w:before="240" w:after="240" w:line="240" w:lineRule="auto"/>
        <w:ind w:firstLine="0"/>
        <w:rPr>
          <w:rFonts w:ascii="Montserrat" w:hAnsi="Montserrat"/>
          <w:sz w:val="20"/>
          <w:szCs w:val="20"/>
        </w:rPr>
      </w:pPr>
    </w:p>
    <w:p w:rsidR="005C1821" w:rsidRPr="00EF6DF5" w:rsidRDefault="005C1821"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En relación con la importancia de las reuniones pacíficas para las personas, es necesario (párrafo 2) indicar que la marginación que viven </w:t>
      </w:r>
      <w:r w:rsidR="00EF6DF5" w:rsidRPr="00EF6DF5">
        <w:rPr>
          <w:rFonts w:ascii="Montserrat" w:hAnsi="Montserrat"/>
          <w:sz w:val="20"/>
          <w:szCs w:val="20"/>
        </w:rPr>
        <w:t>algunas</w:t>
      </w:r>
      <w:r w:rsidRPr="00EF6DF5">
        <w:rPr>
          <w:rFonts w:ascii="Montserrat" w:hAnsi="Montserrat"/>
          <w:sz w:val="20"/>
          <w:szCs w:val="20"/>
        </w:rPr>
        <w:t xml:space="preserve"> personas es en gran medida por ser parte de grupos </w:t>
      </w:r>
      <w:r w:rsidRPr="00EF6DF5">
        <w:rPr>
          <w:rFonts w:ascii="Montserrat" w:hAnsi="Montserrat"/>
          <w:sz w:val="20"/>
          <w:szCs w:val="20"/>
        </w:rPr>
        <w:lastRenderedPageBreak/>
        <w:t>históricamente discriminados</w:t>
      </w:r>
      <w:r w:rsidR="008D5ACD">
        <w:rPr>
          <w:rFonts w:ascii="Montserrat" w:hAnsi="Montserrat"/>
          <w:sz w:val="20"/>
          <w:szCs w:val="20"/>
        </w:rPr>
        <w:t>,</w:t>
      </w:r>
      <w:r w:rsidRPr="00EF6DF5">
        <w:rPr>
          <w:rFonts w:ascii="Montserrat" w:hAnsi="Montserrat"/>
          <w:sz w:val="20"/>
          <w:szCs w:val="20"/>
        </w:rPr>
        <w:t xml:space="preserve"> debido a algún/algunos motivos prohibidos de discriminación establecidos en los instrumentos internacionales. </w:t>
      </w:r>
    </w:p>
    <w:p w:rsidR="005C1821" w:rsidRPr="00EF6DF5" w:rsidRDefault="005C1821" w:rsidP="00160BFA">
      <w:pPr>
        <w:pStyle w:val="ListParagraph"/>
        <w:spacing w:before="240" w:after="240" w:line="240" w:lineRule="auto"/>
        <w:rPr>
          <w:rFonts w:ascii="Montserrat" w:eastAsia="MS Mincho" w:hAnsi="Montserrat"/>
          <w:bCs/>
          <w:sz w:val="20"/>
          <w:szCs w:val="20"/>
        </w:rPr>
      </w:pPr>
    </w:p>
    <w:p w:rsidR="005C1821" w:rsidRPr="00EF6DF5" w:rsidRDefault="005C1821" w:rsidP="00160BFA">
      <w:pPr>
        <w:pStyle w:val="ListParagraph"/>
        <w:spacing w:before="240" w:after="240" w:line="240" w:lineRule="auto"/>
        <w:ind w:left="363" w:firstLine="0"/>
        <w:rPr>
          <w:rFonts w:ascii="Montserrat" w:hAnsi="Montserrat"/>
          <w:sz w:val="20"/>
          <w:szCs w:val="20"/>
        </w:rPr>
      </w:pPr>
      <w:r w:rsidRPr="00EF6DF5">
        <w:rPr>
          <w:rFonts w:ascii="Montserrat" w:hAnsi="Montserrat"/>
          <w:sz w:val="20"/>
          <w:szCs w:val="20"/>
        </w:rPr>
        <w:t xml:space="preserve">Por otro lado, cuando se hace mención </w:t>
      </w:r>
      <w:r w:rsidR="00BF1AFE">
        <w:rPr>
          <w:rFonts w:ascii="Montserrat" w:hAnsi="Montserrat"/>
          <w:sz w:val="20"/>
          <w:szCs w:val="20"/>
        </w:rPr>
        <w:t>sobre</w:t>
      </w:r>
      <w:r w:rsidRPr="00EF6DF5">
        <w:rPr>
          <w:rFonts w:ascii="Montserrat" w:hAnsi="Montserrat"/>
          <w:sz w:val="20"/>
          <w:szCs w:val="20"/>
        </w:rPr>
        <w:t xml:space="preserve"> que las reuniones pacíficas abonan a sociedades pluralistas y tolerantes, es de señalar</w:t>
      </w:r>
      <w:r w:rsidR="008D5ACD">
        <w:rPr>
          <w:rFonts w:ascii="Montserrat" w:hAnsi="Montserrat"/>
          <w:sz w:val="20"/>
          <w:szCs w:val="20"/>
        </w:rPr>
        <w:t>se</w:t>
      </w:r>
      <w:r w:rsidRPr="00EF6DF5">
        <w:rPr>
          <w:rFonts w:ascii="Montserrat" w:hAnsi="Montserrat"/>
          <w:sz w:val="20"/>
          <w:szCs w:val="20"/>
        </w:rPr>
        <w:t xml:space="preserve"> que</w:t>
      </w:r>
      <w:r w:rsidR="006D493F" w:rsidRPr="00EF6DF5">
        <w:rPr>
          <w:rFonts w:ascii="Montserrat" w:hAnsi="Montserrat"/>
          <w:sz w:val="20"/>
          <w:szCs w:val="20"/>
        </w:rPr>
        <w:t>,</w:t>
      </w:r>
      <w:r w:rsidRPr="00EF6DF5">
        <w:rPr>
          <w:rFonts w:ascii="Montserrat" w:hAnsi="Montserrat"/>
          <w:sz w:val="20"/>
          <w:szCs w:val="20"/>
        </w:rPr>
        <w:t xml:space="preserve"> además éstas abonan a los principios de transparencia y rendición de cuentas que, a su vez, son esenciales para la promoción y la protección de los derechos humanos</w:t>
      </w:r>
      <w:r w:rsidRPr="00EF6DF5">
        <w:rPr>
          <w:rStyle w:val="FootnoteReference"/>
          <w:rFonts w:ascii="Montserrat" w:hAnsi="Montserrat"/>
          <w:sz w:val="20"/>
          <w:szCs w:val="20"/>
        </w:rPr>
        <w:footnoteReference w:id="4"/>
      </w:r>
      <w:r w:rsidRPr="00EF6DF5">
        <w:rPr>
          <w:rFonts w:ascii="Montserrat" w:hAnsi="Montserrat"/>
          <w:sz w:val="20"/>
          <w:szCs w:val="20"/>
        </w:rPr>
        <w:t xml:space="preserve">. Asimismo, </w:t>
      </w:r>
      <w:r w:rsidR="00BF1AFE">
        <w:rPr>
          <w:rFonts w:ascii="Montserrat" w:hAnsi="Montserrat"/>
          <w:sz w:val="20"/>
          <w:szCs w:val="20"/>
        </w:rPr>
        <w:t>cabe destacar</w:t>
      </w:r>
      <w:r w:rsidRPr="00EF6DF5">
        <w:rPr>
          <w:rFonts w:ascii="Montserrat" w:hAnsi="Montserrat"/>
          <w:sz w:val="20"/>
          <w:szCs w:val="20"/>
        </w:rPr>
        <w:t xml:space="preserve"> que no permitirlas es un ejercicio de represión y de exclusión, particularmente para los grupos históricamente discriminados. </w:t>
      </w:r>
    </w:p>
    <w:p w:rsidR="003125C1" w:rsidRPr="00EF6DF5" w:rsidRDefault="003125C1" w:rsidP="00160BFA">
      <w:pPr>
        <w:pStyle w:val="ListParagraph"/>
        <w:spacing w:before="240" w:after="240" w:line="240" w:lineRule="auto"/>
        <w:ind w:left="363" w:firstLine="0"/>
        <w:rPr>
          <w:rFonts w:ascii="Montserrat" w:hAnsi="Montserrat"/>
          <w:sz w:val="20"/>
          <w:szCs w:val="20"/>
        </w:rPr>
      </w:pPr>
    </w:p>
    <w:p w:rsidR="003125C1" w:rsidRPr="00EF6DF5" w:rsidRDefault="003125C1"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Sobre el reconocimiento del derecho a la asociación pacífica (párrafo 3), se indica la importancia de incluir la definición de reunión pacífica como referencia. De acuerdo con </w:t>
      </w:r>
      <w:r w:rsidR="00512A12" w:rsidRPr="00EF6DF5">
        <w:rPr>
          <w:rFonts w:ascii="Montserrat" w:hAnsi="Montserrat"/>
          <w:sz w:val="20"/>
          <w:szCs w:val="20"/>
        </w:rPr>
        <w:t xml:space="preserve">el </w:t>
      </w:r>
      <w:r w:rsidRPr="00EF6DF5">
        <w:rPr>
          <w:rFonts w:ascii="Montserrat" w:hAnsi="Montserrat"/>
          <w:sz w:val="20"/>
          <w:szCs w:val="20"/>
        </w:rPr>
        <w:t>Informe del Relator</w:t>
      </w:r>
      <w:r w:rsidR="00381AE9" w:rsidRPr="00EF6DF5">
        <w:rPr>
          <w:rStyle w:val="FootnoteReference"/>
          <w:rFonts w:ascii="Montserrat" w:hAnsi="Montserrat"/>
          <w:sz w:val="20"/>
          <w:szCs w:val="20"/>
        </w:rPr>
        <w:footnoteReference w:id="5"/>
      </w:r>
      <w:r w:rsidRPr="00EF6DF5">
        <w:rPr>
          <w:rFonts w:ascii="Montserrat" w:hAnsi="Montserrat"/>
          <w:sz w:val="20"/>
          <w:szCs w:val="20"/>
        </w:rPr>
        <w:t xml:space="preserve"> sobre los derechos a la libertad de reunión pacífica y de asociación, se entiende por “reunión” la congregación intencional y temporal de personas en un espacio privado o público con un propósito concreto. Por lo tanto, el concepto abarca manifestaciones, asambleas en el interior de locales, huelgas, procesiones, concentraciones, e incluso sentadas. </w:t>
      </w:r>
    </w:p>
    <w:p w:rsidR="003125C1" w:rsidRPr="00EF6DF5" w:rsidRDefault="003125C1" w:rsidP="00160BFA">
      <w:pPr>
        <w:pStyle w:val="ListParagraph"/>
        <w:spacing w:before="240" w:after="240" w:line="240" w:lineRule="auto"/>
        <w:ind w:left="363" w:firstLine="0"/>
        <w:rPr>
          <w:rFonts w:ascii="Montserrat" w:hAnsi="Montserrat"/>
          <w:sz w:val="20"/>
          <w:szCs w:val="20"/>
        </w:rPr>
      </w:pPr>
    </w:p>
    <w:p w:rsidR="003125C1" w:rsidRPr="00EF6DF5" w:rsidRDefault="00E96819"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Se estima pertinente argumentar que el párrafo (5) debe interpretarse con base en el artículo 2</w:t>
      </w:r>
      <w:r w:rsidR="00BF1AFE">
        <w:rPr>
          <w:rFonts w:ascii="Montserrat" w:hAnsi="Montserrat"/>
          <w:sz w:val="20"/>
          <w:szCs w:val="20"/>
        </w:rPr>
        <w:t>°</w:t>
      </w:r>
      <w:r w:rsidRPr="00EF6DF5">
        <w:rPr>
          <w:rFonts w:ascii="Montserrat" w:hAnsi="Montserrat"/>
          <w:sz w:val="20"/>
          <w:szCs w:val="20"/>
        </w:rPr>
        <w:t xml:space="preserve"> del Pacto Internacional para que su ámbito de aplicación incluya un espectro más amplio, es decir, pueblos indígenas, personas con discapacidad (en correspondencia con el art. 29</w:t>
      </w:r>
      <w:r w:rsidR="00BF1AFE">
        <w:rPr>
          <w:rFonts w:ascii="Montserrat" w:hAnsi="Montserrat"/>
          <w:sz w:val="20"/>
          <w:szCs w:val="20"/>
        </w:rPr>
        <w:t>°</w:t>
      </w:r>
      <w:r w:rsidRPr="00EF6DF5">
        <w:rPr>
          <w:rFonts w:ascii="Montserrat" w:hAnsi="Montserrat"/>
          <w:sz w:val="20"/>
          <w:szCs w:val="20"/>
        </w:rPr>
        <w:t xml:space="preserve"> de la Convención sobre los Derechos de las Personas con Discapacidad sobre participación en la vida política y pública) integrantes de minorías y otros grupos que se encuentran en riesgo, incluidas las víctimas de discriminación  por su identidad de género</w:t>
      </w:r>
      <w:r w:rsidR="00126DE3" w:rsidRPr="00EF6DF5">
        <w:rPr>
          <w:rFonts w:ascii="Montserrat" w:hAnsi="Montserrat"/>
          <w:sz w:val="20"/>
          <w:szCs w:val="20"/>
        </w:rPr>
        <w:t>.</w:t>
      </w:r>
      <w:r w:rsidRPr="00EF6DF5">
        <w:rPr>
          <w:rStyle w:val="FootnoteReference"/>
          <w:rFonts w:ascii="Montserrat" w:hAnsi="Montserrat"/>
          <w:sz w:val="20"/>
          <w:szCs w:val="20"/>
        </w:rPr>
        <w:footnoteReference w:id="6"/>
      </w:r>
      <w:r w:rsidRPr="00EF6DF5">
        <w:rPr>
          <w:rStyle w:val="FootnoteReference"/>
          <w:rFonts w:ascii="Montserrat" w:hAnsi="Montserrat"/>
          <w:sz w:val="20"/>
          <w:szCs w:val="20"/>
        </w:rPr>
        <w:t xml:space="preserve"> </w:t>
      </w:r>
      <w:r w:rsidRPr="00EF6DF5">
        <w:rPr>
          <w:rFonts w:ascii="Montserrat" w:hAnsi="Montserrat"/>
          <w:sz w:val="20"/>
          <w:szCs w:val="20"/>
        </w:rPr>
        <w:t xml:space="preserve">  </w:t>
      </w:r>
    </w:p>
    <w:p w:rsidR="00160BFA" w:rsidRPr="00EF6DF5" w:rsidRDefault="00160BFA" w:rsidP="00160BFA">
      <w:pPr>
        <w:pStyle w:val="ListParagraph"/>
        <w:spacing w:before="240" w:after="240" w:line="240" w:lineRule="auto"/>
        <w:ind w:left="363" w:firstLine="0"/>
        <w:rPr>
          <w:rFonts w:ascii="Montserrat" w:hAnsi="Montserrat"/>
          <w:sz w:val="20"/>
          <w:szCs w:val="20"/>
        </w:rPr>
      </w:pPr>
    </w:p>
    <w:p w:rsidR="005C1821" w:rsidRPr="00EF6DF5" w:rsidRDefault="005C1821"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relación con las limitaciones o restricciones de las reuniones pacíficas (párrafo 8), se indica que, además de que éstas sean es</w:t>
      </w:r>
      <w:r w:rsidRPr="00EF6DF5">
        <w:rPr>
          <w:rFonts w:ascii="Montserrat" w:hAnsi="Montserrat"/>
          <w:sz w:val="20"/>
          <w:szCs w:val="20"/>
        </w:rPr>
        <w:lastRenderedPageBreak/>
        <w:t>trictamente limitadas, las medidas tomadas para ello deben estar “fijadas por la ley" y deben cumplir pruebas estrictas de necesidad y proporcionalidad y no pueden poner en peligro el derecho</w:t>
      </w:r>
      <w:r w:rsidR="00126DE3" w:rsidRPr="00EF6DF5">
        <w:rPr>
          <w:rFonts w:ascii="Montserrat" w:hAnsi="Montserrat"/>
          <w:sz w:val="20"/>
          <w:szCs w:val="20"/>
        </w:rPr>
        <w:t>.</w:t>
      </w:r>
      <w:r w:rsidRPr="00EF6DF5">
        <w:rPr>
          <w:rStyle w:val="FootnoteReference"/>
          <w:rFonts w:ascii="Montserrat" w:hAnsi="Montserrat"/>
          <w:sz w:val="20"/>
          <w:szCs w:val="20"/>
        </w:rPr>
        <w:footnoteReference w:id="7"/>
      </w:r>
      <w:r w:rsidRPr="00EF6DF5">
        <w:rPr>
          <w:rStyle w:val="FootnoteReference"/>
          <w:rFonts w:ascii="Montserrat" w:hAnsi="Montserrat"/>
          <w:sz w:val="20"/>
          <w:szCs w:val="20"/>
        </w:rPr>
        <w:t xml:space="preserve"> </w:t>
      </w:r>
    </w:p>
    <w:p w:rsidR="005C1821" w:rsidRPr="00EF6DF5" w:rsidRDefault="005C1821" w:rsidP="00160BFA">
      <w:pPr>
        <w:pStyle w:val="ListParagraph"/>
        <w:spacing w:before="240" w:after="240" w:line="240" w:lineRule="auto"/>
        <w:ind w:left="363" w:firstLine="0"/>
        <w:rPr>
          <w:rFonts w:ascii="Montserrat" w:hAnsi="Montserrat"/>
          <w:sz w:val="20"/>
          <w:szCs w:val="20"/>
        </w:rPr>
      </w:pPr>
    </w:p>
    <w:p w:rsidR="00126DE3" w:rsidRPr="00EF6DF5" w:rsidRDefault="005C1821" w:rsidP="00160BFA">
      <w:pPr>
        <w:pStyle w:val="ListParagraph"/>
        <w:spacing w:before="240" w:after="240" w:line="240" w:lineRule="auto"/>
        <w:ind w:left="363" w:firstLine="0"/>
        <w:rPr>
          <w:rFonts w:ascii="Montserrat" w:hAnsi="Montserrat"/>
          <w:sz w:val="20"/>
          <w:szCs w:val="20"/>
        </w:rPr>
      </w:pPr>
      <w:r w:rsidRPr="00EF6DF5">
        <w:rPr>
          <w:rFonts w:ascii="Montserrat" w:hAnsi="Montserrat"/>
          <w:sz w:val="20"/>
          <w:szCs w:val="20"/>
        </w:rPr>
        <w:t xml:space="preserve">Asimismo, se retoma lo señalado por el Comité de Derechos Humanos que indica que: </w:t>
      </w:r>
    </w:p>
    <w:p w:rsidR="00160BFA" w:rsidRPr="00EF6DF5" w:rsidRDefault="00160BFA" w:rsidP="00160BFA">
      <w:pPr>
        <w:pStyle w:val="ListParagraph"/>
        <w:spacing w:before="240" w:after="240" w:line="240" w:lineRule="auto"/>
        <w:ind w:left="363" w:firstLine="0"/>
        <w:rPr>
          <w:rFonts w:ascii="Montserrat" w:hAnsi="Montserrat"/>
          <w:sz w:val="20"/>
          <w:szCs w:val="20"/>
        </w:rPr>
      </w:pPr>
    </w:p>
    <w:p w:rsidR="00E96819" w:rsidRPr="00EF6DF5" w:rsidRDefault="005C1821" w:rsidP="00160BFA">
      <w:pPr>
        <w:pStyle w:val="ListParagraph"/>
        <w:spacing w:before="240" w:after="240" w:line="240" w:lineRule="auto"/>
        <w:ind w:left="363" w:firstLine="0"/>
        <w:rPr>
          <w:rFonts w:ascii="Montserrat" w:hAnsi="Montserrat"/>
          <w:i/>
          <w:sz w:val="20"/>
          <w:szCs w:val="20"/>
        </w:rPr>
      </w:pPr>
      <w:r w:rsidRPr="00EF6DF5">
        <w:rPr>
          <w:rFonts w:ascii="Montserrat" w:hAnsi="Montserrat"/>
          <w:i/>
          <w:sz w:val="20"/>
          <w:szCs w:val="20"/>
        </w:rPr>
        <w:t>[…] Las restricciones no deben ser excesivamente amplias. En su Observación general Nº 27, el Comité señaló que "las medidas restrictivas deben ajustarse al principio de proporcionalidad; deben ser adecuadas para desempeñar su función protectora; deben ser el instrumento menos perturbador de los que permitan conseguir el resultado deseado, y deben guardar proporción con el interés que debe protegerse... El principio de proporcionalidad debe respetarse no solo en la ley que defina las restricciones sino también por las autoridades administrativas y judiciales que la apliquen</w:t>
      </w:r>
      <w:r w:rsidR="00126DE3" w:rsidRPr="00EF6DF5">
        <w:rPr>
          <w:rFonts w:ascii="Montserrat" w:hAnsi="Montserrat"/>
          <w:i/>
          <w:sz w:val="20"/>
          <w:szCs w:val="20"/>
        </w:rPr>
        <w:t>.</w:t>
      </w:r>
      <w:r w:rsidRPr="00EF6DF5">
        <w:rPr>
          <w:rStyle w:val="FootnoteReference"/>
          <w:rFonts w:ascii="Montserrat" w:hAnsi="Montserrat"/>
          <w:sz w:val="20"/>
          <w:szCs w:val="20"/>
        </w:rPr>
        <w:footnoteReference w:id="8"/>
      </w:r>
    </w:p>
    <w:p w:rsidR="003125C1" w:rsidRPr="00EF6DF5" w:rsidRDefault="003125C1" w:rsidP="00160BFA">
      <w:pPr>
        <w:pStyle w:val="ListParagraph"/>
        <w:spacing w:before="240" w:after="240" w:line="240" w:lineRule="auto"/>
        <w:ind w:left="363" w:firstLine="0"/>
        <w:rPr>
          <w:rFonts w:ascii="Montserrat" w:hAnsi="Montserrat"/>
          <w:sz w:val="20"/>
          <w:szCs w:val="20"/>
        </w:rPr>
      </w:pPr>
    </w:p>
    <w:p w:rsidR="005C1821" w:rsidRPr="00EF6DF5" w:rsidRDefault="005C1821"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relación con la protección del derecho a la reunión pacífica [párrafo 9] y los demás derechos que están protegidos en una amplia gama, se indica que es necesario señalar la importancia de la protección a la seguridad personal, toda vez que como lo menciona  la Resolución A/HRC/25/L.20 del Consejo de Derechos Humanos; existe una creciente criminalización, en todo el mundo, de personas y grupos por haber organizado manifestaciones o tomado parte de ellas, y reconoce las agresiones en el contexto de manifestaciones públicas</w:t>
      </w:r>
      <w:r w:rsidRPr="00EF6DF5">
        <w:rPr>
          <w:rStyle w:val="FootnoteReference"/>
          <w:rFonts w:ascii="Montserrat" w:hAnsi="Montserrat"/>
          <w:sz w:val="20"/>
          <w:szCs w:val="20"/>
        </w:rPr>
        <w:footnoteReference w:id="9"/>
      </w:r>
      <w:r w:rsidRPr="00EF6DF5">
        <w:rPr>
          <w:rFonts w:ascii="Montserrat" w:hAnsi="Montserrat"/>
          <w:sz w:val="20"/>
          <w:szCs w:val="20"/>
        </w:rPr>
        <w:t>.</w:t>
      </w:r>
    </w:p>
    <w:p w:rsidR="003125C1" w:rsidRPr="00EF6DF5" w:rsidRDefault="003125C1" w:rsidP="00160BFA">
      <w:pPr>
        <w:pStyle w:val="ListParagraph"/>
        <w:spacing w:before="240" w:after="240" w:line="240" w:lineRule="auto"/>
        <w:ind w:left="363" w:firstLine="0"/>
        <w:rPr>
          <w:rFonts w:ascii="Montserrat" w:hAnsi="Montserrat"/>
          <w:sz w:val="20"/>
          <w:szCs w:val="20"/>
        </w:rPr>
      </w:pPr>
    </w:p>
    <w:p w:rsidR="005C1821" w:rsidRPr="00EF6DF5" w:rsidRDefault="005C1821"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En relación con la violencia que se puede presentar en una reunión, particularmente al párrafo que indica </w:t>
      </w:r>
      <w:r w:rsidRPr="00EF6DF5">
        <w:rPr>
          <w:rFonts w:ascii="Montserrat" w:hAnsi="Montserrat"/>
          <w:i/>
          <w:sz w:val="20"/>
          <w:szCs w:val="20"/>
        </w:rPr>
        <w:t>“los actos aislados de violencia de algunas personas no deben atribuirse a otras”</w:t>
      </w:r>
      <w:r w:rsidRPr="00EF6DF5">
        <w:rPr>
          <w:rFonts w:ascii="Montserrat" w:hAnsi="Montserrat"/>
          <w:sz w:val="20"/>
          <w:szCs w:val="20"/>
        </w:rPr>
        <w:t xml:space="preserve">, conforme a la Resolución A/HRC/25/L.20 es importante complementar esta idea señalando que los </w:t>
      </w:r>
      <w:r w:rsidRPr="00EF6DF5">
        <w:rPr>
          <w:rFonts w:ascii="Montserrat" w:hAnsi="Montserrat"/>
          <w:i/>
          <w:sz w:val="20"/>
          <w:szCs w:val="20"/>
        </w:rPr>
        <w:t xml:space="preserve">actos aislados de violencia cometidos por otros en el transcurso de una manifestación no privan a las personas pacíficas de su </w:t>
      </w:r>
      <w:r w:rsidRPr="00EF6DF5">
        <w:rPr>
          <w:rFonts w:ascii="Montserrat" w:hAnsi="Montserrat"/>
          <w:i/>
          <w:sz w:val="20"/>
          <w:szCs w:val="20"/>
        </w:rPr>
        <w:lastRenderedPageBreak/>
        <w:t>derecho a la libertad de reunión pacífica, de expresión y de asociación.</w:t>
      </w:r>
      <w:r w:rsidRPr="00EF6DF5">
        <w:rPr>
          <w:rFonts w:ascii="Montserrat" w:hAnsi="Montserrat"/>
          <w:sz w:val="20"/>
          <w:szCs w:val="20"/>
        </w:rPr>
        <w:t xml:space="preserve">  </w:t>
      </w:r>
    </w:p>
    <w:p w:rsidR="00160BFA" w:rsidRPr="00EF6DF5" w:rsidRDefault="00160BFA" w:rsidP="00160BFA">
      <w:pPr>
        <w:pStyle w:val="ListParagraph"/>
        <w:spacing w:before="240" w:after="240" w:line="240" w:lineRule="auto"/>
        <w:ind w:left="205" w:firstLine="0"/>
        <w:rPr>
          <w:rFonts w:ascii="Montserrat" w:hAnsi="Montserrat"/>
          <w:b/>
          <w:sz w:val="20"/>
          <w:szCs w:val="20"/>
        </w:rPr>
      </w:pPr>
    </w:p>
    <w:p w:rsidR="00160BFA" w:rsidRPr="00EF6DF5" w:rsidRDefault="00160BFA" w:rsidP="00160BFA">
      <w:pPr>
        <w:pStyle w:val="ListParagraph"/>
        <w:spacing w:before="240" w:after="240" w:line="240" w:lineRule="auto"/>
        <w:ind w:left="205" w:firstLine="0"/>
        <w:rPr>
          <w:rFonts w:ascii="Montserrat" w:hAnsi="Montserrat"/>
          <w:b/>
          <w:sz w:val="20"/>
          <w:szCs w:val="20"/>
        </w:rPr>
      </w:pPr>
    </w:p>
    <w:p w:rsidR="00C217F0" w:rsidRPr="00EF6DF5" w:rsidRDefault="005C1821" w:rsidP="00160BFA">
      <w:pPr>
        <w:pStyle w:val="ListParagraph"/>
        <w:numPr>
          <w:ilvl w:val="0"/>
          <w:numId w:val="17"/>
        </w:numPr>
        <w:spacing w:before="240" w:after="240" w:line="240" w:lineRule="auto"/>
        <w:ind w:left="142" w:firstLine="63"/>
        <w:rPr>
          <w:rFonts w:ascii="Montserrat" w:hAnsi="Montserrat"/>
          <w:b/>
          <w:sz w:val="20"/>
          <w:szCs w:val="20"/>
        </w:rPr>
      </w:pPr>
      <w:r w:rsidRPr="00EF6DF5">
        <w:rPr>
          <w:rFonts w:ascii="Montserrat" w:hAnsi="Montserrat"/>
          <w:b/>
          <w:sz w:val="20"/>
          <w:szCs w:val="20"/>
        </w:rPr>
        <w:t>Alcance del derecho de reunión pacífica</w:t>
      </w:r>
      <w:r w:rsidR="00C217F0" w:rsidRPr="00EF6DF5">
        <w:rPr>
          <w:rFonts w:ascii="Montserrat" w:hAnsi="Montserrat"/>
          <w:b/>
          <w:sz w:val="20"/>
          <w:szCs w:val="20"/>
        </w:rPr>
        <w:t>.</w:t>
      </w:r>
    </w:p>
    <w:p w:rsidR="00CF52A1" w:rsidRPr="00EF6DF5" w:rsidRDefault="00CF52A1" w:rsidP="00160BFA">
      <w:pPr>
        <w:pStyle w:val="ListParagraph"/>
        <w:spacing w:before="240" w:after="240" w:line="240" w:lineRule="auto"/>
        <w:ind w:left="502" w:firstLine="0"/>
        <w:rPr>
          <w:rFonts w:ascii="Montserrat" w:hAnsi="Montserrat"/>
          <w:b/>
          <w:sz w:val="20"/>
          <w:szCs w:val="20"/>
        </w:rPr>
      </w:pPr>
    </w:p>
    <w:p w:rsidR="00C217F0" w:rsidRPr="00EF6DF5" w:rsidRDefault="00C217F0"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relación con el párrafo 22 en el que se indican dos opciones sobre el alcance de la protección del derecho a la reunión pacífica determinada por el artículo 20 del Pacto, se señala que, con el ánimo de resaltar una obligación del Estado, se elija la opción 2 sobre “eliminar este párrafo e indicar la necesidad de que el Estado actúe contra la incitación a la violencia. Lo anterior en concordancia con instrumentos regionales que señalan la obligación del Estado para prevenir, eliminar, prohibir y sancionar todos los actos y manifestaciones de discriminación e intolerancia, incluyendo la publicación, circulación o diseminación, por cualquier forma y/o medio de comunicación, incluida la Internet, de cualquier material que defienda, promueva o incite al odio, la discriminación y la intolerancia</w:t>
      </w:r>
      <w:r w:rsidR="00126DE3" w:rsidRPr="00EF6DF5">
        <w:rPr>
          <w:rFonts w:ascii="Montserrat" w:hAnsi="Montserrat"/>
          <w:sz w:val="20"/>
          <w:szCs w:val="20"/>
        </w:rPr>
        <w:t>.</w:t>
      </w:r>
      <w:r w:rsidRPr="00EF6DF5">
        <w:rPr>
          <w:rStyle w:val="FootnoteReference"/>
          <w:rFonts w:ascii="Montserrat" w:hAnsi="Montserrat"/>
          <w:sz w:val="20"/>
          <w:szCs w:val="20"/>
        </w:rPr>
        <w:footnoteReference w:id="10"/>
      </w:r>
      <w:r w:rsidRPr="00EF6DF5">
        <w:rPr>
          <w:rStyle w:val="FootnoteReference"/>
          <w:rFonts w:ascii="Montserrat" w:hAnsi="Montserrat"/>
          <w:sz w:val="20"/>
          <w:szCs w:val="20"/>
        </w:rPr>
        <w:t xml:space="preserve"> </w:t>
      </w:r>
      <w:r w:rsidRPr="00EF6DF5">
        <w:rPr>
          <w:rFonts w:ascii="Montserrat" w:hAnsi="Montserrat"/>
          <w:sz w:val="20"/>
          <w:szCs w:val="20"/>
        </w:rPr>
        <w:t xml:space="preserve"> </w:t>
      </w:r>
    </w:p>
    <w:p w:rsidR="00160BFA" w:rsidRPr="00EF6DF5" w:rsidRDefault="00160BFA" w:rsidP="00160BFA">
      <w:pPr>
        <w:pStyle w:val="ListParagraph"/>
        <w:spacing w:before="240" w:after="240" w:line="240" w:lineRule="auto"/>
        <w:ind w:left="502" w:firstLine="0"/>
        <w:rPr>
          <w:rFonts w:ascii="Montserrat" w:hAnsi="Montserrat"/>
          <w:b/>
          <w:sz w:val="20"/>
          <w:szCs w:val="20"/>
        </w:rPr>
      </w:pPr>
    </w:p>
    <w:p w:rsidR="00160BFA" w:rsidRPr="00EF6DF5" w:rsidRDefault="00160BFA" w:rsidP="00160BFA">
      <w:pPr>
        <w:pStyle w:val="ListParagraph"/>
        <w:spacing w:before="240" w:after="240" w:line="240" w:lineRule="auto"/>
        <w:ind w:left="502" w:firstLine="0"/>
        <w:rPr>
          <w:rFonts w:ascii="Montserrat" w:hAnsi="Montserrat"/>
          <w:b/>
          <w:sz w:val="20"/>
          <w:szCs w:val="20"/>
        </w:rPr>
      </w:pPr>
    </w:p>
    <w:p w:rsidR="001133C5" w:rsidRPr="00EF6DF5" w:rsidRDefault="001133C5" w:rsidP="00EF6DF5">
      <w:pPr>
        <w:pStyle w:val="ListParagraph"/>
        <w:numPr>
          <w:ilvl w:val="0"/>
          <w:numId w:val="17"/>
        </w:numPr>
        <w:spacing w:before="240" w:after="240" w:line="240" w:lineRule="auto"/>
        <w:rPr>
          <w:rFonts w:ascii="Montserrat" w:hAnsi="Montserrat"/>
          <w:b/>
          <w:sz w:val="20"/>
          <w:szCs w:val="20"/>
        </w:rPr>
      </w:pPr>
      <w:r w:rsidRPr="00EF6DF5">
        <w:rPr>
          <w:rFonts w:ascii="Montserrat" w:hAnsi="Montserrat"/>
          <w:b/>
          <w:sz w:val="20"/>
          <w:szCs w:val="20"/>
        </w:rPr>
        <w:t>Relación con otros derechos</w:t>
      </w:r>
    </w:p>
    <w:p w:rsidR="004974B8" w:rsidRPr="00EF6DF5" w:rsidRDefault="004974B8" w:rsidP="00160BFA">
      <w:pPr>
        <w:pStyle w:val="ListParagraph"/>
        <w:spacing w:before="240" w:after="240" w:line="240" w:lineRule="auto"/>
        <w:ind w:left="502" w:firstLine="0"/>
        <w:rPr>
          <w:rFonts w:ascii="Montserrat" w:hAnsi="Montserrat"/>
          <w:b/>
          <w:sz w:val="20"/>
          <w:szCs w:val="20"/>
        </w:rPr>
      </w:pPr>
    </w:p>
    <w:p w:rsidR="001133C5" w:rsidRPr="00EF6DF5" w:rsidRDefault="001133C5"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muchos casos las reuniones pacíficas no persiguen ideas u objetivos controvertidos, pero en ocasiones pueden ser utilizadas con el fin de reivindicar ideas u objetivos que resultan contenciosos o controvertidos dentro de la sociedad, (</w:t>
      </w:r>
      <w:proofErr w:type="spellStart"/>
      <w:r w:rsidRPr="00EF6DF5">
        <w:rPr>
          <w:rFonts w:ascii="Montserrat" w:hAnsi="Montserrat"/>
          <w:sz w:val="20"/>
          <w:szCs w:val="20"/>
        </w:rPr>
        <w:t>vg</w:t>
      </w:r>
      <w:proofErr w:type="spellEnd"/>
      <w:r w:rsidRPr="00EF6DF5">
        <w:rPr>
          <w:rFonts w:ascii="Montserrat" w:hAnsi="Montserrat"/>
          <w:sz w:val="20"/>
          <w:szCs w:val="20"/>
        </w:rPr>
        <w:t>, aborto, derechos sexuales y reproductivos, políticas económicas etc.)  lo que podría implicar tensiones entre sectores de la sociedad, reacciones por parte de ciudadanos con visiones antagónicas o incluso una perturbación en la circulación del tráfico o la actividad económica que genere reacciones contrarias a los participantes por parte de grupos afectados.</w:t>
      </w:r>
    </w:p>
    <w:p w:rsidR="004974B8" w:rsidRPr="00EF6DF5" w:rsidRDefault="004974B8" w:rsidP="00160BFA">
      <w:pPr>
        <w:pStyle w:val="ListParagraph"/>
        <w:spacing w:before="240" w:after="240" w:line="240" w:lineRule="auto"/>
        <w:ind w:left="363" w:firstLine="0"/>
        <w:rPr>
          <w:rFonts w:ascii="Montserrat" w:hAnsi="Montserrat"/>
          <w:sz w:val="20"/>
          <w:szCs w:val="20"/>
        </w:rPr>
      </w:pPr>
    </w:p>
    <w:p w:rsidR="001133C5" w:rsidRPr="00EF6DF5" w:rsidRDefault="00EF6DF5"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Se</w:t>
      </w:r>
      <w:r w:rsidR="001133C5" w:rsidRPr="00EF6DF5">
        <w:rPr>
          <w:rFonts w:ascii="Montserrat" w:hAnsi="Montserrat"/>
          <w:sz w:val="20"/>
          <w:szCs w:val="20"/>
        </w:rPr>
        <w:t xml:space="preserve"> considera que el análisis del Comité omite abordar la posible afectación y limitación al Art. 19 del Pacto (libre expresión), así como el papel del Estado frente a las reacciones hostiles o posibles </w:t>
      </w:r>
      <w:r w:rsidR="001133C5" w:rsidRPr="00EF6DF5">
        <w:rPr>
          <w:rFonts w:ascii="Montserrat" w:hAnsi="Montserrat"/>
          <w:sz w:val="20"/>
          <w:szCs w:val="20"/>
        </w:rPr>
        <w:lastRenderedPageBreak/>
        <w:t xml:space="preserve">discursos de odio como resultado del elemento de expresión de las reuniones pacíficas. </w:t>
      </w:r>
    </w:p>
    <w:p w:rsidR="004974B8" w:rsidRPr="00EF6DF5" w:rsidRDefault="004974B8" w:rsidP="00160BFA">
      <w:pPr>
        <w:pStyle w:val="ListParagraph"/>
        <w:spacing w:before="240" w:after="240" w:line="240" w:lineRule="auto"/>
        <w:ind w:left="363" w:firstLine="0"/>
        <w:rPr>
          <w:rFonts w:ascii="Montserrat" w:hAnsi="Montserrat"/>
          <w:sz w:val="20"/>
          <w:szCs w:val="20"/>
        </w:rPr>
      </w:pPr>
    </w:p>
    <w:p w:rsidR="001133C5" w:rsidRPr="00EF6DF5" w:rsidRDefault="001133C5"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Resultaría ilustrador, que el Comité elaborara más en el tema de la relación con otros derechos y en particular entre la relación del derecho de reunión pacífica y la libertad de expresión.</w:t>
      </w:r>
    </w:p>
    <w:p w:rsidR="004974B8" w:rsidRPr="00EF6DF5" w:rsidRDefault="004974B8" w:rsidP="00160BFA">
      <w:pPr>
        <w:pStyle w:val="ListParagraph"/>
        <w:spacing w:before="240" w:after="240" w:line="240" w:lineRule="auto"/>
        <w:ind w:left="363" w:firstLine="0"/>
        <w:rPr>
          <w:rFonts w:ascii="Montserrat" w:hAnsi="Montserrat"/>
          <w:sz w:val="20"/>
          <w:szCs w:val="20"/>
        </w:rPr>
      </w:pPr>
    </w:p>
    <w:p w:rsidR="0066572E" w:rsidRPr="00EF6DF5" w:rsidRDefault="001133C5">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este sentido, el Comentario General al Art. 19</w:t>
      </w:r>
      <w:r w:rsidR="00BF1AFE">
        <w:rPr>
          <w:rFonts w:ascii="Montserrat" w:hAnsi="Montserrat"/>
          <w:sz w:val="20"/>
          <w:szCs w:val="20"/>
        </w:rPr>
        <w:t>°</w:t>
      </w:r>
      <w:r w:rsidRPr="00EF6DF5">
        <w:rPr>
          <w:rFonts w:ascii="Montserrat" w:hAnsi="Montserrat"/>
          <w:sz w:val="20"/>
          <w:szCs w:val="20"/>
        </w:rPr>
        <w:t xml:space="preserve"> del Pacto establece al derecho de libertad de expresión como pilar fundamental para el disfrute del derecho de reunión, incluso cuando puedan considerarse profundamente ofensivas las expresiones.</w:t>
      </w:r>
    </w:p>
    <w:p w:rsidR="0066572E" w:rsidRPr="00EF6DF5" w:rsidRDefault="0066572E" w:rsidP="00EF6DF5">
      <w:pPr>
        <w:pStyle w:val="ListParagraph"/>
        <w:spacing w:before="240" w:after="240" w:line="240" w:lineRule="auto"/>
        <w:ind w:left="363" w:firstLine="0"/>
        <w:rPr>
          <w:rFonts w:ascii="Montserrat" w:hAnsi="Montserrat"/>
          <w:sz w:val="20"/>
          <w:szCs w:val="20"/>
        </w:rPr>
      </w:pPr>
    </w:p>
    <w:p w:rsidR="001133C5" w:rsidRPr="00EF6DF5" w:rsidRDefault="001133C5"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En una época en la que las redes sociales son la caja de resonancia de opiniones públicas y en las que muchas veces se insulta o se generan expresiones hostiles hacia los participantes, sería útil que el Comité, más allá de las cuestiones generales que ya plantea, pudiera orientar a los Estados con relación a los límites que pudieran tener estas expresiones a fin de generar un ambiente propicio para el desarrollo de la reunión, así como, por ejemplo el estándar que debe considerarse para quienes participan en la reunión, y si este hecho los convierte en figuras públicas susceptibles de un escrutinio público más robusto. </w:t>
      </w:r>
    </w:p>
    <w:p w:rsidR="001133C5" w:rsidRPr="00EF6DF5" w:rsidRDefault="001133C5" w:rsidP="00160BFA">
      <w:pPr>
        <w:pStyle w:val="ListParagraph"/>
        <w:spacing w:before="240" w:after="240" w:line="240" w:lineRule="auto"/>
        <w:ind w:left="363" w:firstLine="0"/>
        <w:rPr>
          <w:rFonts w:ascii="Montserrat" w:hAnsi="Montserrat"/>
          <w:b/>
          <w:sz w:val="20"/>
          <w:szCs w:val="20"/>
        </w:rPr>
      </w:pPr>
    </w:p>
    <w:p w:rsidR="00160BFA" w:rsidRPr="00EF6DF5" w:rsidRDefault="00160BFA" w:rsidP="00EF6DF5">
      <w:pPr>
        <w:pStyle w:val="ListParagraph"/>
        <w:spacing w:before="240" w:after="240" w:line="240" w:lineRule="auto"/>
        <w:ind w:left="363" w:firstLine="0"/>
        <w:rPr>
          <w:rFonts w:ascii="Montserrat" w:hAnsi="Montserrat"/>
          <w:b/>
          <w:sz w:val="20"/>
          <w:szCs w:val="20"/>
        </w:rPr>
      </w:pPr>
    </w:p>
    <w:p w:rsidR="00C217F0" w:rsidRPr="00EF6DF5" w:rsidRDefault="00C217F0" w:rsidP="00160BFA">
      <w:pPr>
        <w:pStyle w:val="ListParagraph"/>
        <w:numPr>
          <w:ilvl w:val="0"/>
          <w:numId w:val="17"/>
        </w:numPr>
        <w:spacing w:before="240" w:after="240" w:line="240" w:lineRule="auto"/>
        <w:rPr>
          <w:rFonts w:ascii="Montserrat" w:hAnsi="Montserrat"/>
          <w:b/>
          <w:sz w:val="20"/>
          <w:szCs w:val="20"/>
        </w:rPr>
      </w:pPr>
      <w:r w:rsidRPr="00EF6DF5">
        <w:rPr>
          <w:rFonts w:ascii="Montserrat" w:hAnsi="Montserrat"/>
          <w:b/>
          <w:sz w:val="20"/>
          <w:szCs w:val="20"/>
        </w:rPr>
        <w:t>La obligación de los Estados partes con respecto al derecho de reunión pacífica</w:t>
      </w:r>
      <w:r w:rsidR="00CF52A1" w:rsidRPr="00EF6DF5">
        <w:rPr>
          <w:rFonts w:ascii="Montserrat" w:hAnsi="Montserrat"/>
          <w:b/>
          <w:sz w:val="20"/>
          <w:szCs w:val="20"/>
        </w:rPr>
        <w:t>.</w:t>
      </w:r>
    </w:p>
    <w:p w:rsidR="00CF52A1" w:rsidRPr="00EF6DF5" w:rsidRDefault="00CF52A1" w:rsidP="00160BFA">
      <w:pPr>
        <w:pStyle w:val="ListParagraph"/>
        <w:spacing w:before="240" w:after="240" w:line="240" w:lineRule="auto"/>
        <w:ind w:left="502" w:firstLine="0"/>
        <w:rPr>
          <w:rFonts w:ascii="Montserrat" w:hAnsi="Montserrat"/>
          <w:b/>
          <w:sz w:val="20"/>
          <w:szCs w:val="20"/>
        </w:rPr>
      </w:pPr>
    </w:p>
    <w:p w:rsidR="00C217F0" w:rsidRPr="00EF6DF5" w:rsidRDefault="00C217F0"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Sobre los abusos por parte de actores no estatales señalados en el párrafo 27 en su búsqueda por facilitar las asambleas pacíficas y hacer posible que los participantes alcancen sus objetivos legítimos, se indica que el Estado tiene la obligación de proteger a los participantes en reuniones pacíficas de los actos perpetrados por miembros del aparato del Estado o individuos que trabajen a cuenta de éste. Además, se deberá observar lo establecido en el Informe del Relator Especial sobre las ejecuciones extrajudiciales, sumarias o arbitrarias, Christof Heyns, A/HRC/26/36, del 1 de abril de 2014. </w:t>
      </w:r>
    </w:p>
    <w:p w:rsidR="004974B8" w:rsidRPr="00EF6DF5" w:rsidRDefault="004974B8" w:rsidP="00160BFA">
      <w:pPr>
        <w:pStyle w:val="ListParagraph"/>
        <w:spacing w:before="240" w:after="240" w:line="240" w:lineRule="auto"/>
        <w:ind w:left="363" w:firstLine="0"/>
        <w:rPr>
          <w:rFonts w:ascii="Montserrat" w:hAnsi="Montserrat"/>
          <w:sz w:val="20"/>
          <w:szCs w:val="20"/>
        </w:rPr>
      </w:pPr>
    </w:p>
    <w:p w:rsidR="00C217F0" w:rsidRPr="00EF6DF5" w:rsidRDefault="00C217F0" w:rsidP="00160BFA">
      <w:pPr>
        <w:pStyle w:val="ListParagraph"/>
        <w:spacing w:before="240" w:after="240" w:line="240" w:lineRule="auto"/>
        <w:ind w:left="363" w:firstLine="0"/>
        <w:rPr>
          <w:rFonts w:ascii="Montserrat" w:hAnsi="Montserrat"/>
          <w:sz w:val="20"/>
          <w:szCs w:val="20"/>
        </w:rPr>
      </w:pPr>
      <w:r w:rsidRPr="00EF6DF5">
        <w:rPr>
          <w:rFonts w:ascii="Montserrat" w:hAnsi="Montserrat"/>
          <w:sz w:val="20"/>
          <w:szCs w:val="20"/>
        </w:rPr>
        <w:lastRenderedPageBreak/>
        <w:t xml:space="preserve">El citado Informe señala que para que el uso de la fuerza letal no se considere arbitrario, deberán prevalecer los siguientes elementos: </w:t>
      </w:r>
    </w:p>
    <w:p w:rsidR="00CF52A1" w:rsidRPr="00EF6DF5" w:rsidRDefault="00CF52A1" w:rsidP="00160BFA">
      <w:pPr>
        <w:pStyle w:val="ListParagraph"/>
        <w:spacing w:before="240" w:after="240" w:line="240" w:lineRule="auto"/>
        <w:ind w:left="363" w:firstLine="0"/>
        <w:rPr>
          <w:rFonts w:ascii="Montserrat" w:hAnsi="Montserrat"/>
          <w:sz w:val="20"/>
          <w:szCs w:val="20"/>
        </w:rPr>
      </w:pPr>
    </w:p>
    <w:p w:rsidR="00C217F0" w:rsidRPr="00EF6DF5" w:rsidRDefault="00C217F0" w:rsidP="00160BFA">
      <w:pPr>
        <w:pStyle w:val="ListParagraph"/>
        <w:numPr>
          <w:ilvl w:val="0"/>
          <w:numId w:val="29"/>
        </w:numPr>
        <w:spacing w:before="240" w:after="240" w:line="240" w:lineRule="auto"/>
        <w:rPr>
          <w:rFonts w:ascii="Montserrat" w:hAnsi="Montserrat"/>
          <w:sz w:val="20"/>
          <w:szCs w:val="20"/>
        </w:rPr>
      </w:pPr>
      <w:r w:rsidRPr="00EF6DF5">
        <w:rPr>
          <w:rFonts w:ascii="Montserrat" w:hAnsi="Montserrat"/>
          <w:i/>
          <w:sz w:val="20"/>
          <w:szCs w:val="20"/>
          <w:u w:val="single"/>
        </w:rPr>
        <w:t>Fundamento jurídico suficiente</w:t>
      </w:r>
      <w:r w:rsidRPr="00EF6DF5">
        <w:rPr>
          <w:rFonts w:ascii="Montserrat" w:hAnsi="Montserrat"/>
          <w:sz w:val="20"/>
          <w:szCs w:val="20"/>
        </w:rPr>
        <w:t>.  Este requisito se incumple si se emplea la fuerza letal sin que lo autorice la legislación nacional o si su empleo se basa en una legislación nacional que no se ajusta a la normativa internacional. En suma, las leyes en cuestión deberán publicarse y ponerse a disposición del público</w:t>
      </w:r>
    </w:p>
    <w:p w:rsidR="00C217F0" w:rsidRPr="00EF6DF5" w:rsidRDefault="00C217F0" w:rsidP="00160BFA">
      <w:pPr>
        <w:pStyle w:val="ListParagraph"/>
        <w:numPr>
          <w:ilvl w:val="0"/>
          <w:numId w:val="29"/>
        </w:numPr>
        <w:spacing w:before="240" w:after="240" w:line="240" w:lineRule="auto"/>
        <w:rPr>
          <w:rFonts w:ascii="Montserrat" w:hAnsi="Montserrat"/>
          <w:sz w:val="20"/>
          <w:szCs w:val="20"/>
        </w:rPr>
      </w:pPr>
      <w:r w:rsidRPr="00EF6DF5">
        <w:rPr>
          <w:rFonts w:ascii="Montserrat" w:hAnsi="Montserrat"/>
          <w:i/>
          <w:sz w:val="20"/>
          <w:szCs w:val="20"/>
          <w:u w:val="single"/>
        </w:rPr>
        <w:t>Objetivo Legítimo</w:t>
      </w:r>
      <w:r w:rsidRPr="00EF6DF5">
        <w:rPr>
          <w:rFonts w:ascii="Montserrat" w:hAnsi="Montserrat"/>
          <w:sz w:val="20"/>
          <w:szCs w:val="20"/>
        </w:rPr>
        <w:t>. El único objetivo que puede considerarse legítimo en caso de empleo de la fuerza letal es salvar la vida de una persona o proteger a una persona de lesiones graves.</w:t>
      </w:r>
    </w:p>
    <w:p w:rsidR="00C217F0" w:rsidRPr="00EF6DF5" w:rsidRDefault="00C217F0" w:rsidP="00160BFA">
      <w:pPr>
        <w:pStyle w:val="ListParagraph"/>
        <w:numPr>
          <w:ilvl w:val="0"/>
          <w:numId w:val="29"/>
        </w:numPr>
        <w:spacing w:before="240" w:after="240" w:line="240" w:lineRule="auto"/>
        <w:rPr>
          <w:rFonts w:ascii="Montserrat" w:hAnsi="Montserrat"/>
          <w:sz w:val="20"/>
          <w:szCs w:val="20"/>
        </w:rPr>
      </w:pPr>
      <w:r w:rsidRPr="00EF6DF5">
        <w:rPr>
          <w:rFonts w:ascii="Montserrat" w:hAnsi="Montserrat"/>
          <w:sz w:val="20"/>
          <w:szCs w:val="20"/>
          <w:u w:val="single"/>
        </w:rPr>
        <w:t>Necesidad</w:t>
      </w:r>
      <w:r w:rsidRPr="00EF6DF5">
        <w:rPr>
          <w:rFonts w:ascii="Montserrat" w:hAnsi="Montserrat"/>
          <w:sz w:val="20"/>
          <w:szCs w:val="20"/>
        </w:rPr>
        <w:t xml:space="preserve">. Se considera que, en el caso de la fuerza letal, la necesidad tiene tres componentes. </w:t>
      </w:r>
      <w:r w:rsidRPr="00EF6DF5">
        <w:rPr>
          <w:rFonts w:ascii="Montserrat" w:hAnsi="Montserrat"/>
          <w:b/>
          <w:sz w:val="20"/>
          <w:szCs w:val="20"/>
        </w:rPr>
        <w:t>La necesidad cualitativa</w:t>
      </w:r>
      <w:r w:rsidRPr="00EF6DF5">
        <w:rPr>
          <w:rFonts w:ascii="Montserrat" w:hAnsi="Montserrat"/>
          <w:sz w:val="20"/>
          <w:szCs w:val="20"/>
        </w:rPr>
        <w:t xml:space="preserve"> se refiere a que el uso de la fuerza potencialmente letal (por ejemplo, mediante un arma de fuego) es inevitable para lograr el objetivo. Se entiende por </w:t>
      </w:r>
      <w:r w:rsidRPr="00EF6DF5">
        <w:rPr>
          <w:rFonts w:ascii="Montserrat" w:hAnsi="Montserrat"/>
          <w:b/>
          <w:sz w:val="20"/>
          <w:szCs w:val="20"/>
        </w:rPr>
        <w:t>necesidad cuantitativa</w:t>
      </w:r>
      <w:r w:rsidRPr="00EF6DF5">
        <w:rPr>
          <w:rFonts w:ascii="Montserrat" w:hAnsi="Montserrat"/>
          <w:sz w:val="20"/>
          <w:szCs w:val="20"/>
        </w:rPr>
        <w:t xml:space="preserve"> que la cantidad de fuerza utilizada no excede de la necesaria para lograr el objetivo. La </w:t>
      </w:r>
      <w:r w:rsidRPr="00EF6DF5">
        <w:rPr>
          <w:rFonts w:ascii="Montserrat" w:hAnsi="Montserrat"/>
          <w:b/>
          <w:sz w:val="20"/>
          <w:szCs w:val="20"/>
        </w:rPr>
        <w:t>necesidad temporal</w:t>
      </w:r>
      <w:r w:rsidRPr="00EF6DF5">
        <w:rPr>
          <w:rFonts w:ascii="Montserrat" w:hAnsi="Montserrat"/>
          <w:sz w:val="20"/>
          <w:szCs w:val="20"/>
        </w:rPr>
        <w:t xml:space="preserve"> significa que el uso de la fuerza debe emplearse contra una persona que represente una amenaza inmediata. En el contexto del uso de fuerza letal (o potencialmente letal), es imperativo que exista necesidad absoluta.</w:t>
      </w:r>
    </w:p>
    <w:p w:rsidR="00C217F0" w:rsidRPr="00EF6DF5" w:rsidRDefault="00C217F0" w:rsidP="00160BFA">
      <w:pPr>
        <w:pStyle w:val="ListParagraph"/>
        <w:numPr>
          <w:ilvl w:val="0"/>
          <w:numId w:val="29"/>
        </w:numPr>
        <w:spacing w:before="240" w:after="240" w:line="240" w:lineRule="auto"/>
        <w:rPr>
          <w:rFonts w:ascii="Montserrat" w:hAnsi="Montserrat"/>
          <w:sz w:val="20"/>
          <w:szCs w:val="20"/>
        </w:rPr>
      </w:pPr>
      <w:r w:rsidRPr="00EF6DF5">
        <w:rPr>
          <w:rFonts w:ascii="Montserrat" w:hAnsi="Montserrat"/>
          <w:i/>
          <w:sz w:val="20"/>
          <w:szCs w:val="20"/>
          <w:u w:val="single"/>
        </w:rPr>
        <w:t>Proporcionalidad</w:t>
      </w:r>
      <w:r w:rsidRPr="00EF6DF5">
        <w:rPr>
          <w:rFonts w:ascii="Montserrat" w:hAnsi="Montserrat"/>
          <w:i/>
          <w:sz w:val="20"/>
          <w:szCs w:val="20"/>
        </w:rPr>
        <w:t>.</w:t>
      </w:r>
      <w:r w:rsidRPr="00EF6DF5">
        <w:rPr>
          <w:rFonts w:ascii="Montserrat" w:hAnsi="Montserrat"/>
          <w:sz w:val="20"/>
          <w:szCs w:val="20"/>
        </w:rPr>
        <w:t xml:space="preserve"> El uso de la fuerza letal también debe cumplir el requisito de la proporcionalidad. En términos generales, cuando se limita un derecho, la proporcionalidad requiere que se compare el bien que se hace con la amenaza planteada. La proporcionalidad determina el grado máximo de la fuerza que se puede emplear para lograr un objetivo legítimo concreto. Así pues, determina en qué punto debe interrumpirse la intensificación de la fuerza</w:t>
      </w:r>
    </w:p>
    <w:p w:rsidR="00C217F0" w:rsidRPr="00EF6DF5" w:rsidRDefault="00C217F0" w:rsidP="00160BFA">
      <w:pPr>
        <w:pStyle w:val="ListParagraph"/>
        <w:numPr>
          <w:ilvl w:val="0"/>
          <w:numId w:val="29"/>
        </w:numPr>
        <w:spacing w:before="240" w:after="240" w:line="240" w:lineRule="auto"/>
        <w:rPr>
          <w:rFonts w:ascii="Montserrat" w:hAnsi="Montserrat"/>
          <w:sz w:val="20"/>
          <w:szCs w:val="20"/>
        </w:rPr>
      </w:pPr>
      <w:r w:rsidRPr="00EF6DF5">
        <w:rPr>
          <w:rFonts w:ascii="Montserrat" w:hAnsi="Montserrat"/>
          <w:i/>
          <w:sz w:val="20"/>
          <w:szCs w:val="20"/>
          <w:u w:val="single"/>
        </w:rPr>
        <w:t>No discriminación</w:t>
      </w:r>
      <w:r w:rsidRPr="00EF6DF5">
        <w:rPr>
          <w:rFonts w:ascii="Montserrat" w:hAnsi="Montserrat"/>
          <w:i/>
          <w:sz w:val="20"/>
          <w:szCs w:val="20"/>
        </w:rPr>
        <w:t>.</w:t>
      </w:r>
      <w:r w:rsidRPr="00EF6DF5">
        <w:rPr>
          <w:rFonts w:ascii="Montserrat" w:hAnsi="Montserrat"/>
          <w:sz w:val="20"/>
          <w:szCs w:val="20"/>
        </w:rPr>
        <w:t xml:space="preserve"> los Estados deben adoptar una actitud tanto reactiva como dinámica, que cuente con todos los medios disponibles, para luchar contra la violencia por motivos raciales y otros tipos de violencia similar en el marco de las operaciones policiales</w:t>
      </w:r>
    </w:p>
    <w:p w:rsidR="00C217F0" w:rsidRPr="00EF6DF5" w:rsidRDefault="00C217F0" w:rsidP="00160BFA">
      <w:pPr>
        <w:pStyle w:val="ListParagraph"/>
        <w:numPr>
          <w:ilvl w:val="0"/>
          <w:numId w:val="29"/>
        </w:numPr>
        <w:spacing w:before="240" w:after="240" w:line="240" w:lineRule="auto"/>
        <w:rPr>
          <w:rFonts w:ascii="Montserrat" w:eastAsia="MS Mincho" w:hAnsi="Montserrat"/>
          <w:bCs/>
          <w:i/>
          <w:iCs/>
          <w:sz w:val="20"/>
          <w:szCs w:val="20"/>
        </w:rPr>
      </w:pPr>
      <w:r w:rsidRPr="00EF6DF5">
        <w:rPr>
          <w:rFonts w:ascii="Montserrat" w:hAnsi="Montserrat"/>
          <w:i/>
          <w:sz w:val="20"/>
          <w:szCs w:val="20"/>
          <w:u w:val="single"/>
        </w:rPr>
        <w:lastRenderedPageBreak/>
        <w:t>Disposiciones especiales sobre las manifestaciones</w:t>
      </w:r>
      <w:r w:rsidRPr="00EF6DF5">
        <w:rPr>
          <w:rFonts w:ascii="Montserrat" w:hAnsi="Montserrat"/>
          <w:i/>
          <w:sz w:val="20"/>
          <w:szCs w:val="20"/>
        </w:rPr>
        <w:t>.</w:t>
      </w:r>
      <w:r w:rsidRPr="00EF6DF5">
        <w:rPr>
          <w:rFonts w:ascii="Montserrat" w:hAnsi="Montserrat"/>
          <w:sz w:val="20"/>
          <w:szCs w:val="20"/>
        </w:rPr>
        <w:t xml:space="preserve"> Tres principios versan específicamente sobre la actuación en caso de reuniones. En caso de reuniones lícitas y pacíficas, no podrá utilizarse la fuerza. Si hay razones fundadas para poner fin a una reunión ilícita pero no violenta, solo podrá usarse la mínima fuerza necesaria. Claramente no procede el uso de la fuerza letal. En caso de reuniones violentas (que sean a la vez ilícitas y no pacíficas), también se deberá emplear la mínima fuerza posible y solo se podrán utilizar armas de fuego, pero no está permitido disparar indiscriminadamente a la multitud</w:t>
      </w:r>
      <w:r w:rsidR="005C3DDB" w:rsidRPr="00EF6DF5">
        <w:rPr>
          <w:rFonts w:ascii="Montserrat" w:hAnsi="Montserrat"/>
          <w:sz w:val="20"/>
          <w:szCs w:val="20"/>
        </w:rPr>
        <w:t>.</w:t>
      </w:r>
      <w:r w:rsidRPr="00EF6DF5">
        <w:rPr>
          <w:rStyle w:val="FootnoteReference"/>
          <w:rFonts w:ascii="Montserrat" w:hAnsi="Montserrat"/>
          <w:sz w:val="20"/>
          <w:szCs w:val="20"/>
        </w:rPr>
        <w:footnoteReference w:id="11"/>
      </w:r>
    </w:p>
    <w:p w:rsidR="002A654E" w:rsidRPr="00EF6DF5" w:rsidRDefault="002A654E" w:rsidP="00160BFA">
      <w:pPr>
        <w:pStyle w:val="ListParagraph"/>
        <w:spacing w:before="240" w:after="240" w:line="240" w:lineRule="auto"/>
        <w:ind w:left="363" w:firstLine="0"/>
        <w:rPr>
          <w:rFonts w:ascii="Montserrat" w:hAnsi="Montserrat"/>
          <w:sz w:val="20"/>
          <w:szCs w:val="20"/>
        </w:rPr>
      </w:pPr>
    </w:p>
    <w:p w:rsidR="00C217F0" w:rsidRPr="00EF6DF5" w:rsidRDefault="002A654E" w:rsidP="00160BFA">
      <w:pPr>
        <w:pStyle w:val="ListParagraph"/>
        <w:spacing w:before="240" w:after="240" w:line="240" w:lineRule="auto"/>
        <w:ind w:left="363" w:firstLine="0"/>
        <w:rPr>
          <w:rFonts w:ascii="Montserrat" w:hAnsi="Montserrat"/>
          <w:sz w:val="20"/>
          <w:szCs w:val="20"/>
        </w:rPr>
      </w:pPr>
      <w:r w:rsidRPr="00EF6DF5">
        <w:rPr>
          <w:rFonts w:ascii="Montserrat" w:hAnsi="Montserrat"/>
          <w:sz w:val="20"/>
          <w:szCs w:val="20"/>
        </w:rPr>
        <w:t>Asimismo, se debe observar la importancia de que las personas funcionarias que desempeñan tareas de seguridad en el contexto de manifestaciones pacíficas cuenten con una capacitación adecuada, y de abstenerse, en la medida de lo posible, de encomendar a personal militar el desempeño de dichas tareas</w:t>
      </w:r>
      <w:r w:rsidR="005C3DDB" w:rsidRPr="00EF6DF5">
        <w:rPr>
          <w:rFonts w:ascii="Montserrat" w:hAnsi="Montserrat"/>
          <w:sz w:val="20"/>
          <w:szCs w:val="20"/>
        </w:rPr>
        <w:t>.</w:t>
      </w:r>
      <w:r w:rsidRPr="00EF6DF5">
        <w:rPr>
          <w:rStyle w:val="FootnoteReference"/>
          <w:rFonts w:ascii="Montserrat" w:hAnsi="Montserrat"/>
          <w:sz w:val="20"/>
          <w:szCs w:val="20"/>
        </w:rPr>
        <w:footnoteReference w:id="12"/>
      </w:r>
    </w:p>
    <w:p w:rsidR="00CF52A1" w:rsidRPr="00EF6DF5" w:rsidRDefault="00CF52A1" w:rsidP="00160BFA">
      <w:pPr>
        <w:pStyle w:val="ListParagraph"/>
        <w:spacing w:before="240" w:after="240" w:line="240" w:lineRule="auto"/>
        <w:ind w:left="363" w:firstLine="0"/>
        <w:rPr>
          <w:rFonts w:ascii="Montserrat" w:hAnsi="Montserrat"/>
          <w:sz w:val="20"/>
          <w:szCs w:val="20"/>
        </w:rPr>
      </w:pPr>
    </w:p>
    <w:p w:rsidR="002A654E" w:rsidRPr="00EF6DF5" w:rsidRDefault="002A654E"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relación con la libertad de expresión y las reuniones pacíficas en la era digital (párrafo 38), se enfatiza en que toda restricción de los derechos a la libertad de reunión pacífica y de asociación debe tener un fundamento jurídico (es decir, debe estar en conformidad con la ley o prescrita por la ley, respectivamente) como lo deben tener el mandato y las facultades de la autoridad que imponga esa restricción</w:t>
      </w:r>
      <w:r w:rsidR="005C3DDB" w:rsidRPr="00EF6DF5">
        <w:rPr>
          <w:rFonts w:ascii="Montserrat" w:hAnsi="Montserrat"/>
          <w:sz w:val="20"/>
          <w:szCs w:val="20"/>
        </w:rPr>
        <w:t>.</w:t>
      </w:r>
      <w:r w:rsidRPr="00EF6DF5">
        <w:rPr>
          <w:rStyle w:val="FootnoteReference"/>
          <w:rFonts w:ascii="Montserrat" w:hAnsi="Montserrat"/>
          <w:sz w:val="20"/>
          <w:szCs w:val="20"/>
        </w:rPr>
        <w:footnoteReference w:id="13"/>
      </w:r>
      <w:r w:rsidRPr="00EF6DF5">
        <w:rPr>
          <w:rFonts w:ascii="Montserrat" w:hAnsi="Montserrat"/>
          <w:sz w:val="20"/>
          <w:szCs w:val="20"/>
        </w:rPr>
        <w:t xml:space="preserve">  </w:t>
      </w:r>
    </w:p>
    <w:p w:rsidR="00282732" w:rsidRPr="00EF6DF5" w:rsidRDefault="00282732" w:rsidP="00282732">
      <w:pPr>
        <w:pStyle w:val="ListParagraph"/>
        <w:spacing w:before="240" w:after="240" w:line="240" w:lineRule="auto"/>
        <w:ind w:left="502" w:firstLine="0"/>
        <w:rPr>
          <w:rFonts w:ascii="Montserrat" w:hAnsi="Montserrat"/>
          <w:b/>
          <w:sz w:val="20"/>
          <w:szCs w:val="20"/>
        </w:rPr>
      </w:pPr>
    </w:p>
    <w:p w:rsidR="00282732" w:rsidRPr="00EF6DF5" w:rsidRDefault="00282732" w:rsidP="00282732">
      <w:pPr>
        <w:pStyle w:val="ListParagraph"/>
        <w:spacing w:before="240" w:after="240" w:line="240" w:lineRule="auto"/>
        <w:ind w:left="502" w:firstLine="0"/>
        <w:rPr>
          <w:rFonts w:ascii="Montserrat" w:hAnsi="Montserrat"/>
          <w:b/>
          <w:sz w:val="20"/>
          <w:szCs w:val="20"/>
        </w:rPr>
      </w:pPr>
    </w:p>
    <w:p w:rsidR="002A654E" w:rsidRPr="00EF6DF5" w:rsidRDefault="002A654E" w:rsidP="00160BFA">
      <w:pPr>
        <w:pStyle w:val="ListParagraph"/>
        <w:numPr>
          <w:ilvl w:val="0"/>
          <w:numId w:val="17"/>
        </w:numPr>
        <w:spacing w:before="240" w:after="240" w:line="240" w:lineRule="auto"/>
        <w:rPr>
          <w:rFonts w:ascii="Montserrat" w:hAnsi="Montserrat"/>
          <w:b/>
          <w:sz w:val="20"/>
          <w:szCs w:val="20"/>
        </w:rPr>
      </w:pPr>
      <w:r w:rsidRPr="00EF6DF5">
        <w:rPr>
          <w:rFonts w:ascii="Montserrat" w:hAnsi="Montserrat"/>
          <w:b/>
          <w:sz w:val="20"/>
          <w:szCs w:val="20"/>
        </w:rPr>
        <w:t>Restricción al derecho de reunión pacífica</w:t>
      </w:r>
      <w:r w:rsidR="00CF52A1" w:rsidRPr="00EF6DF5">
        <w:rPr>
          <w:rFonts w:ascii="Montserrat" w:hAnsi="Montserrat"/>
          <w:b/>
          <w:sz w:val="20"/>
          <w:szCs w:val="20"/>
        </w:rPr>
        <w:t>.</w:t>
      </w:r>
    </w:p>
    <w:p w:rsidR="009F77AB" w:rsidRPr="00EF6DF5" w:rsidRDefault="009F77AB" w:rsidP="00EF6DF5">
      <w:pPr>
        <w:pStyle w:val="ListParagraph"/>
        <w:spacing w:before="240" w:after="240" w:line="240" w:lineRule="auto"/>
        <w:ind w:left="502" w:firstLine="0"/>
        <w:rPr>
          <w:rFonts w:ascii="Montserrat" w:hAnsi="Montserrat"/>
          <w:b/>
          <w:sz w:val="20"/>
          <w:szCs w:val="20"/>
        </w:rPr>
      </w:pPr>
    </w:p>
    <w:p w:rsidR="000412C9" w:rsidRPr="00EF6DF5" w:rsidRDefault="000412C9" w:rsidP="000412C9">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El derecho de reunión pacífica se debe reconocer y garantizar de manera amplia, y debe gestionarse dentro del marco de los derechos humanos. Si bien su ejercicio puede resultar en la afectación de otros derechos fundamentales de los ciudadanos q</w:t>
      </w:r>
      <w:r w:rsidR="008D5ACD">
        <w:rPr>
          <w:rFonts w:ascii="Montserrat" w:hAnsi="Montserrat"/>
          <w:sz w:val="20"/>
          <w:szCs w:val="20"/>
        </w:rPr>
        <w:t xml:space="preserve">ue no participan en las </w:t>
      </w:r>
      <w:r w:rsidR="008D5ACD">
        <w:rPr>
          <w:rFonts w:ascii="Montserrat" w:hAnsi="Montserrat"/>
          <w:sz w:val="20"/>
          <w:szCs w:val="20"/>
        </w:rPr>
        <w:lastRenderedPageBreak/>
        <w:t xml:space="preserve">mismas – </w:t>
      </w:r>
      <w:r w:rsidRPr="00EF6DF5">
        <w:rPr>
          <w:rFonts w:ascii="Montserrat" w:hAnsi="Montserrat"/>
          <w:sz w:val="20"/>
          <w:szCs w:val="20"/>
        </w:rPr>
        <w:t>como el derecho a</w:t>
      </w:r>
      <w:r w:rsidR="008D5ACD">
        <w:rPr>
          <w:rFonts w:ascii="Montserrat" w:hAnsi="Montserrat"/>
          <w:sz w:val="20"/>
          <w:szCs w:val="20"/>
        </w:rPr>
        <w:t>l</w:t>
      </w:r>
      <w:r w:rsidRPr="00EF6DF5">
        <w:rPr>
          <w:rFonts w:ascii="Montserrat" w:hAnsi="Montserrat"/>
          <w:sz w:val="20"/>
          <w:szCs w:val="20"/>
        </w:rPr>
        <w:t xml:space="preserve"> libre tránsito</w:t>
      </w:r>
      <w:r w:rsidR="008D5ACD">
        <w:rPr>
          <w:rFonts w:ascii="Montserrat" w:hAnsi="Montserrat"/>
          <w:sz w:val="20"/>
          <w:szCs w:val="20"/>
        </w:rPr>
        <w:t xml:space="preserve"> –</w:t>
      </w:r>
      <w:r w:rsidRPr="00EF6DF5">
        <w:rPr>
          <w:rFonts w:ascii="Montserrat" w:hAnsi="Montserrat"/>
          <w:sz w:val="20"/>
          <w:szCs w:val="20"/>
        </w:rPr>
        <w:t>, esto no justifica su limitación arbitraria.</w:t>
      </w:r>
    </w:p>
    <w:p w:rsidR="000412C9" w:rsidRPr="00EF6DF5" w:rsidRDefault="000412C9" w:rsidP="00EF6DF5">
      <w:pPr>
        <w:pStyle w:val="ListParagraph"/>
        <w:spacing w:before="240" w:after="240" w:line="240" w:lineRule="auto"/>
        <w:ind w:left="363" w:firstLine="0"/>
        <w:rPr>
          <w:rFonts w:ascii="Montserrat" w:hAnsi="Montserrat"/>
          <w:sz w:val="20"/>
          <w:szCs w:val="20"/>
        </w:rPr>
      </w:pPr>
    </w:p>
    <w:p w:rsidR="000412C9" w:rsidRPr="00EF6DF5" w:rsidRDefault="000412C9" w:rsidP="000412C9">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Para garantizar de manera efectiva el derecho de reunión pacífica, el Estado debe justificar cualquier tipo de restricción al mismo. Dichas limitaciones deben estar previstas en un ordenamiento jurídico, y limitarse a establecer requisitos fácticos, como la comunicación previa a las autoridades donde se señale la hora, fecha y lugar de la reunión, para que se puedan establecer las medidas pertinentes para garantizar la seguridad de los manifestantes y el orden público. Se coincide con el proyecto en el sentido de que bajo ninguna circunstancia las restricciones deben dirigirse a los motivos de la reunión, aplicando el mismo umbral que se utiliza en el derecho a la libertad de expresión.</w:t>
      </w:r>
    </w:p>
    <w:p w:rsidR="003A0F6F" w:rsidRPr="00EF6DF5" w:rsidRDefault="003A0F6F" w:rsidP="00EF6DF5">
      <w:pPr>
        <w:pStyle w:val="ListParagraph"/>
        <w:spacing w:before="240" w:after="240" w:line="240" w:lineRule="auto"/>
        <w:ind w:left="708" w:firstLine="0"/>
        <w:rPr>
          <w:rFonts w:ascii="Montserrat" w:hAnsi="Montserrat"/>
          <w:sz w:val="20"/>
          <w:szCs w:val="20"/>
        </w:rPr>
      </w:pPr>
    </w:p>
    <w:p w:rsidR="002A654E" w:rsidRPr="00EF6DF5" w:rsidRDefault="002A654E"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Se señala que jurisprudencia regional </w:t>
      </w:r>
      <w:r w:rsidR="008D5ACD">
        <w:rPr>
          <w:rFonts w:ascii="Montserrat" w:hAnsi="Montserrat"/>
          <w:sz w:val="20"/>
          <w:szCs w:val="20"/>
        </w:rPr>
        <w:t xml:space="preserve">americana </w:t>
      </w:r>
      <w:r w:rsidRPr="00EF6DF5">
        <w:rPr>
          <w:rFonts w:ascii="Montserrat" w:hAnsi="Montserrat"/>
          <w:sz w:val="20"/>
          <w:szCs w:val="20"/>
        </w:rPr>
        <w:t>ha indicado que existen límites o restricciones a la libertad de expresión y es necesario que se cumplan tres requisitos, a saber: 1) deben estar expresamente fijadas por la ley; 2) deben estar destinadas a proteger ya sea los derechos o la reputación de los demás, o la protección de la seguridad nacional, el orden público o la salud o moral pública; y 3) deben ser necesarias en una sociedad democrática. La Corte Interamericana de Derechos Humanos ha indicado que la libertad de expresión no es un derecho absoluto, este puede ser objeto de restricciones, tal como lo señala el artículo 13 de la C</w:t>
      </w:r>
      <w:r w:rsidR="005C3DDB" w:rsidRPr="00EF6DF5">
        <w:rPr>
          <w:rFonts w:ascii="Montserrat" w:hAnsi="Montserrat"/>
          <w:sz w:val="20"/>
          <w:szCs w:val="20"/>
        </w:rPr>
        <w:t>onvención en sus incisos 4 y 5.</w:t>
      </w:r>
      <w:r w:rsidRPr="00EF6DF5">
        <w:rPr>
          <w:rStyle w:val="FootnoteReference"/>
          <w:rFonts w:ascii="Montserrat" w:hAnsi="Montserrat"/>
          <w:sz w:val="20"/>
          <w:szCs w:val="20"/>
        </w:rPr>
        <w:footnoteReference w:id="14"/>
      </w:r>
    </w:p>
    <w:p w:rsidR="00CF52A1" w:rsidRPr="00EF6DF5" w:rsidRDefault="00CF52A1" w:rsidP="00160BFA">
      <w:pPr>
        <w:pStyle w:val="ListParagraph"/>
        <w:spacing w:before="240" w:after="240" w:line="240" w:lineRule="auto"/>
        <w:ind w:left="363" w:firstLine="0"/>
        <w:rPr>
          <w:rFonts w:ascii="Montserrat" w:hAnsi="Montserrat"/>
          <w:sz w:val="20"/>
          <w:szCs w:val="20"/>
        </w:rPr>
      </w:pPr>
    </w:p>
    <w:p w:rsidR="00CF52A1" w:rsidRPr="00EF6DF5" w:rsidRDefault="002A654E"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De acuerdo con el Consejo de Derechos Humanos </w:t>
      </w:r>
      <w:r w:rsidR="008D5ACD">
        <w:rPr>
          <w:rFonts w:ascii="Montserrat" w:hAnsi="Montserrat"/>
          <w:sz w:val="20"/>
          <w:szCs w:val="20"/>
        </w:rPr>
        <w:t>al pronunciarse sobre</w:t>
      </w:r>
      <w:r w:rsidRPr="00EF6DF5">
        <w:rPr>
          <w:rFonts w:ascii="Montserrat" w:hAnsi="Montserrat"/>
          <w:sz w:val="20"/>
          <w:szCs w:val="20"/>
        </w:rPr>
        <w:t xml:space="preserve"> La promoción y protección de los derechos humanos en el contexto de las manifestaciones pacíficas</w:t>
      </w:r>
      <w:r w:rsidR="008D5ACD">
        <w:rPr>
          <w:rFonts w:ascii="Montserrat" w:hAnsi="Montserrat"/>
          <w:sz w:val="20"/>
          <w:szCs w:val="20"/>
        </w:rPr>
        <w:t>,</w:t>
      </w:r>
      <w:r w:rsidRPr="00EF6DF5">
        <w:rPr>
          <w:rFonts w:ascii="Montserrat" w:hAnsi="Montserrat"/>
          <w:sz w:val="20"/>
          <w:szCs w:val="20"/>
        </w:rPr>
        <w:t xml:space="preserve"> el derecho a la reunión pacífica puede estar sujeto a ciertas restricciones tal como lo menciona aquí, pero el Estado mexicano cree que valdría la pena suscribir lo que dice la resolución al respecto al advertir que tales restricciones tiene que sujetarse a derecho, de acuerdo con las obligaciones asumidas por los Estados en virtud de los instrumentos Internacionales de derechos </w:t>
      </w:r>
      <w:r w:rsidRPr="00EF6DF5">
        <w:rPr>
          <w:rFonts w:ascii="Montserrat" w:hAnsi="Montserrat"/>
          <w:sz w:val="20"/>
          <w:szCs w:val="20"/>
        </w:rPr>
        <w:lastRenderedPageBreak/>
        <w:t xml:space="preserve">humanos aplicables y con la sujeción a una revisión </w:t>
      </w:r>
      <w:r w:rsidRPr="00EF6DF5">
        <w:rPr>
          <w:rFonts w:ascii="Montserrat" w:hAnsi="Montserrat"/>
          <w:b/>
          <w:sz w:val="20"/>
          <w:szCs w:val="20"/>
        </w:rPr>
        <w:t>administrativa o judicial competente, independiente, imparcial y diligente</w:t>
      </w:r>
      <w:r w:rsidR="005C3DDB" w:rsidRPr="00EF6DF5">
        <w:rPr>
          <w:rFonts w:ascii="Montserrat" w:hAnsi="Montserrat"/>
          <w:b/>
          <w:sz w:val="20"/>
          <w:szCs w:val="20"/>
        </w:rPr>
        <w:t>.</w:t>
      </w:r>
      <w:r w:rsidRPr="00EF6DF5">
        <w:rPr>
          <w:rStyle w:val="FootnoteReference"/>
          <w:rFonts w:ascii="Montserrat" w:hAnsi="Montserrat"/>
          <w:sz w:val="20"/>
          <w:szCs w:val="20"/>
        </w:rPr>
        <w:footnoteReference w:id="15"/>
      </w:r>
      <w:r w:rsidRPr="00EF6DF5">
        <w:rPr>
          <w:rFonts w:ascii="Montserrat" w:hAnsi="Montserrat"/>
          <w:sz w:val="20"/>
          <w:szCs w:val="20"/>
        </w:rPr>
        <w:t xml:space="preserve">  </w:t>
      </w:r>
    </w:p>
    <w:p w:rsidR="00CF52A1" w:rsidRPr="00EF6DF5" w:rsidRDefault="00CF52A1" w:rsidP="00282732">
      <w:pPr>
        <w:pStyle w:val="ListParagraph"/>
        <w:spacing w:before="240" w:after="240" w:line="240" w:lineRule="auto"/>
        <w:ind w:left="363" w:firstLine="0"/>
        <w:rPr>
          <w:rFonts w:ascii="Montserrat" w:hAnsi="Montserrat"/>
          <w:sz w:val="20"/>
          <w:szCs w:val="20"/>
        </w:rPr>
      </w:pPr>
    </w:p>
    <w:p w:rsidR="002A654E" w:rsidRPr="00EF6DF5" w:rsidRDefault="002A654E"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En relación con la limitación de las restricciones (párrafo 45), la Organización para la Seguridad y la Cooperación en Europa (OSCE), el término “necesidad” no equivale a “necesidad absoluta” u “obligatoriedad”, pero su significado tampoco es tan flexible como el de “utilidad” o “conveniencia”: en lugar de ello, el término expresa que tienen que existir “razones sociales acuciantes para una injerencia”. Cuando surja una necesidad social acuciante de esa índole, los Estados tendrán que asegurar que toda medida restrictiva adoptada se circunscriba a los límites de lo </w:t>
      </w:r>
      <w:r w:rsidRPr="00EF6DF5">
        <w:rPr>
          <w:rFonts w:ascii="Montserrat" w:hAnsi="Montserrat"/>
          <w:b/>
          <w:sz w:val="20"/>
          <w:szCs w:val="20"/>
        </w:rPr>
        <w:t>aceptable en una “sociedad democrática”</w:t>
      </w:r>
      <w:r w:rsidR="000B71B8" w:rsidRPr="00EF6DF5">
        <w:rPr>
          <w:rFonts w:ascii="Montserrat" w:hAnsi="Montserrat"/>
          <w:sz w:val="20"/>
          <w:szCs w:val="20"/>
        </w:rPr>
        <w:t>.</w:t>
      </w:r>
      <w:r w:rsidRPr="00EF6DF5">
        <w:rPr>
          <w:rStyle w:val="FootnoteReference"/>
          <w:rFonts w:ascii="Montserrat" w:hAnsi="Montserrat"/>
          <w:sz w:val="20"/>
          <w:szCs w:val="20"/>
        </w:rPr>
        <w:footnoteReference w:id="16"/>
      </w:r>
    </w:p>
    <w:p w:rsidR="00CF52A1" w:rsidRPr="00EF6DF5" w:rsidRDefault="00CF52A1" w:rsidP="00282732">
      <w:pPr>
        <w:pStyle w:val="ListParagraph"/>
        <w:spacing w:before="240" w:after="240" w:line="240" w:lineRule="auto"/>
        <w:ind w:left="363" w:firstLine="0"/>
        <w:rPr>
          <w:rFonts w:ascii="Montserrat" w:hAnsi="Montserrat"/>
          <w:sz w:val="20"/>
          <w:szCs w:val="20"/>
        </w:rPr>
      </w:pPr>
    </w:p>
    <w:p w:rsidR="002A654E" w:rsidRPr="00EF6DF5" w:rsidRDefault="002A654E" w:rsidP="000B71B8">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En ese mismo tenor sobre las restricciones (párrafo 54), el Relator Especial subraya la importancia de que las autoridades reguladoras comuniquen a los organizadores de reuniones las “razones oportunas y completas de las restricciones impuestas y pongan a su disposición un procedimiento de recurso acelerado”. Los organizadores deben tener la oportunidad de recurrir ante un tribunal independiente e imparcial que adopte una decisión sin demora.</w:t>
      </w:r>
      <w:r w:rsidRPr="00EF6DF5">
        <w:rPr>
          <w:rStyle w:val="FootnoteReference"/>
          <w:rFonts w:ascii="Montserrat" w:hAnsi="Montserrat"/>
          <w:sz w:val="20"/>
          <w:szCs w:val="20"/>
        </w:rPr>
        <w:footnoteReference w:id="17"/>
      </w:r>
    </w:p>
    <w:p w:rsidR="00282732" w:rsidRPr="00EF6DF5" w:rsidRDefault="00282732" w:rsidP="00282732">
      <w:pPr>
        <w:pStyle w:val="ListParagraph"/>
        <w:spacing w:before="240" w:after="240" w:line="240" w:lineRule="auto"/>
        <w:ind w:left="502" w:firstLine="0"/>
        <w:rPr>
          <w:rFonts w:ascii="Montserrat" w:hAnsi="Montserrat"/>
          <w:sz w:val="20"/>
          <w:szCs w:val="20"/>
        </w:rPr>
      </w:pPr>
    </w:p>
    <w:p w:rsidR="000B71B8" w:rsidRPr="00EF6DF5" w:rsidRDefault="000B71B8">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Cabe señalar que la Constitución Política de los Estados Unidos Mexicanos, marca una restricción en su artículo 24, párrafo 3° , en relación con el ejercicio de reunión pacífica en materia religiosa, al establecer:</w:t>
      </w:r>
    </w:p>
    <w:p w:rsidR="000B71B8" w:rsidRPr="00EF6DF5" w:rsidRDefault="000B71B8" w:rsidP="00EF6DF5">
      <w:pPr>
        <w:pStyle w:val="ListParagraph"/>
        <w:spacing w:before="240" w:after="240" w:line="240" w:lineRule="auto"/>
        <w:ind w:left="363" w:firstLine="0"/>
        <w:rPr>
          <w:rFonts w:ascii="Montserrat" w:hAnsi="Montserrat"/>
          <w:sz w:val="20"/>
          <w:szCs w:val="20"/>
        </w:rPr>
      </w:pPr>
    </w:p>
    <w:p w:rsidR="000B71B8" w:rsidRPr="00EF6DF5" w:rsidRDefault="000B71B8" w:rsidP="00EF6DF5">
      <w:pPr>
        <w:pStyle w:val="ListParagraph"/>
        <w:spacing w:before="240" w:after="240" w:line="240" w:lineRule="auto"/>
        <w:ind w:left="363" w:firstLine="0"/>
        <w:rPr>
          <w:rFonts w:ascii="Montserrat" w:hAnsi="Montserrat"/>
          <w:i/>
          <w:sz w:val="20"/>
          <w:szCs w:val="20"/>
        </w:rPr>
      </w:pPr>
      <w:r w:rsidRPr="00EF6DF5">
        <w:rPr>
          <w:rFonts w:ascii="Montserrat" w:hAnsi="Montserrat"/>
          <w:i/>
          <w:sz w:val="20"/>
          <w:szCs w:val="20"/>
        </w:rPr>
        <w:t>“…Los actos religiosos de culto público se celebrarán ordinariamente en los templos. Los que extraordinariamente se celebren fuera de éstos se sujetarán a la ley reglamentaria.”</w:t>
      </w:r>
    </w:p>
    <w:p w:rsidR="000B71B8" w:rsidRPr="00EF6DF5" w:rsidRDefault="000B71B8" w:rsidP="00EF6DF5">
      <w:pPr>
        <w:spacing w:before="240" w:after="240" w:line="240" w:lineRule="auto"/>
        <w:ind w:firstLine="0"/>
        <w:rPr>
          <w:rFonts w:ascii="Montserrat" w:hAnsi="Montserrat"/>
          <w:sz w:val="20"/>
          <w:szCs w:val="20"/>
        </w:rPr>
      </w:pPr>
      <w:r w:rsidRPr="00EF6DF5">
        <w:rPr>
          <w:rFonts w:ascii="Montserrat" w:hAnsi="Montserrat"/>
          <w:sz w:val="20"/>
          <w:szCs w:val="20"/>
        </w:rPr>
        <w:lastRenderedPageBreak/>
        <w:t>Por su parte, la Ley de Asociaciones Religiosas y Culto Público, complementa este artículo de la siguiente manera:</w:t>
      </w:r>
    </w:p>
    <w:p w:rsidR="000B71B8" w:rsidRPr="00EF6DF5" w:rsidRDefault="000B71B8" w:rsidP="00EF6DF5">
      <w:pPr>
        <w:pStyle w:val="ListParagraph"/>
        <w:numPr>
          <w:ilvl w:val="0"/>
          <w:numId w:val="28"/>
        </w:numPr>
        <w:spacing w:before="240" w:after="240" w:line="240" w:lineRule="auto"/>
        <w:rPr>
          <w:rFonts w:ascii="Montserrat" w:hAnsi="Montserrat"/>
          <w:sz w:val="20"/>
          <w:szCs w:val="20"/>
        </w:rPr>
      </w:pPr>
      <w:r w:rsidRPr="00EF6DF5">
        <w:rPr>
          <w:rFonts w:ascii="Montserrat" w:hAnsi="Montserrat"/>
          <w:sz w:val="20"/>
          <w:szCs w:val="20"/>
        </w:rPr>
        <w:t>Artículo 21, párrafo cuarto: Refiere imposibilidad de realizar reuniones de carácter público en los templos.</w:t>
      </w:r>
    </w:p>
    <w:p w:rsidR="000B71B8" w:rsidRPr="00EF6DF5" w:rsidRDefault="000B71B8" w:rsidP="00EF6DF5">
      <w:pPr>
        <w:pStyle w:val="ListParagraph"/>
        <w:numPr>
          <w:ilvl w:val="0"/>
          <w:numId w:val="28"/>
        </w:numPr>
        <w:spacing w:before="240" w:after="240" w:line="240" w:lineRule="auto"/>
        <w:rPr>
          <w:rFonts w:ascii="Montserrat" w:hAnsi="Montserrat"/>
          <w:sz w:val="20"/>
          <w:szCs w:val="20"/>
        </w:rPr>
      </w:pPr>
      <w:r w:rsidRPr="00EF6DF5">
        <w:rPr>
          <w:rFonts w:ascii="Montserrat" w:hAnsi="Montserrat"/>
          <w:sz w:val="20"/>
          <w:szCs w:val="20"/>
        </w:rPr>
        <w:t xml:space="preserve">Artículo 22: Ordena que los actos religiosos de culto público con carácter extraordinario fuera de los templos, deberán ser avisados con 15 días de anticipación a las autoridades federales o de la entidad correspondiente, indicando </w:t>
      </w:r>
      <w:r w:rsidR="007C1F51" w:rsidRPr="00EF6DF5">
        <w:rPr>
          <w:rFonts w:ascii="Montserrat" w:hAnsi="Montserrat"/>
          <w:sz w:val="20"/>
          <w:szCs w:val="20"/>
        </w:rPr>
        <w:t>los elementos ya mencionados en el numeral XIX de este informe</w:t>
      </w:r>
      <w:r w:rsidRPr="00EF6DF5">
        <w:rPr>
          <w:rFonts w:ascii="Montserrat" w:hAnsi="Montserrat"/>
          <w:sz w:val="20"/>
          <w:szCs w:val="20"/>
        </w:rPr>
        <w:t>, así como el motivo de la celebración. A su vez las autoridades podrán prohibir la celebración del acto mencionado, mediante fundamento y motivación de la decisión, y únicamente por razones de seguridad, protección de la salud, de la moral, la tranquilidad y el orden públicos y la protección de derechos de terceros.</w:t>
      </w:r>
    </w:p>
    <w:p w:rsidR="000B71B8" w:rsidRPr="00EF6DF5" w:rsidRDefault="000B71B8" w:rsidP="00EF6DF5">
      <w:pPr>
        <w:pStyle w:val="ListParagraph"/>
        <w:numPr>
          <w:ilvl w:val="0"/>
          <w:numId w:val="28"/>
        </w:numPr>
        <w:spacing w:before="240" w:after="240" w:line="240" w:lineRule="auto"/>
        <w:rPr>
          <w:rFonts w:ascii="Montserrat" w:hAnsi="Montserrat"/>
          <w:sz w:val="20"/>
          <w:szCs w:val="20"/>
        </w:rPr>
      </w:pPr>
      <w:r w:rsidRPr="00EF6DF5">
        <w:rPr>
          <w:rFonts w:ascii="Montserrat" w:hAnsi="Montserrat"/>
          <w:sz w:val="20"/>
          <w:szCs w:val="20"/>
        </w:rPr>
        <w:t>Artículo 24: Hace alusión a quienes no requerirán de aviso conforme al artículo anterior, siendo estos: i) La afluencia de grupos para dirigirse a los locales destinados ordinariamente al culto; ii) El tránsito de personas entre domicilios particulares con el propósito de celebrar conmemoraciones religiosas; y iii) Los actos que se realicen en locales cerrados o en aquellos en que el público no tenga libre acceso.</w:t>
      </w:r>
    </w:p>
    <w:p w:rsidR="00282732" w:rsidRPr="00EF6DF5" w:rsidRDefault="00282732" w:rsidP="00282732">
      <w:pPr>
        <w:pStyle w:val="ListParagraph"/>
        <w:spacing w:before="240" w:after="240" w:line="240" w:lineRule="auto"/>
        <w:ind w:left="502" w:firstLine="0"/>
        <w:rPr>
          <w:rFonts w:ascii="Montserrat" w:hAnsi="Montserrat"/>
          <w:sz w:val="20"/>
          <w:szCs w:val="20"/>
        </w:rPr>
      </w:pPr>
    </w:p>
    <w:p w:rsidR="002A654E" w:rsidRPr="00EF6DF5" w:rsidRDefault="002A654E" w:rsidP="00160BFA">
      <w:pPr>
        <w:pStyle w:val="ListParagraph"/>
        <w:numPr>
          <w:ilvl w:val="0"/>
          <w:numId w:val="17"/>
        </w:numPr>
        <w:spacing w:before="240" w:after="240" w:line="240" w:lineRule="auto"/>
        <w:rPr>
          <w:rFonts w:ascii="Montserrat" w:hAnsi="Montserrat"/>
          <w:sz w:val="20"/>
          <w:szCs w:val="20"/>
        </w:rPr>
      </w:pPr>
      <w:r w:rsidRPr="00EF6DF5">
        <w:rPr>
          <w:rFonts w:ascii="Montserrat" w:hAnsi="Montserrat"/>
          <w:b/>
          <w:sz w:val="20"/>
          <w:szCs w:val="20"/>
        </w:rPr>
        <w:t>Deberes  y obligaciones  de los organismos encargados de hacer cumplir la ley.</w:t>
      </w:r>
    </w:p>
    <w:p w:rsidR="00CF52A1" w:rsidRPr="00EF6DF5" w:rsidRDefault="00CF52A1" w:rsidP="00160BFA">
      <w:pPr>
        <w:pStyle w:val="ListParagraph"/>
        <w:spacing w:before="240" w:after="240" w:line="240" w:lineRule="auto"/>
        <w:ind w:left="502" w:firstLine="0"/>
        <w:rPr>
          <w:rFonts w:ascii="Montserrat" w:hAnsi="Montserrat"/>
          <w:sz w:val="20"/>
          <w:szCs w:val="20"/>
        </w:rPr>
      </w:pPr>
    </w:p>
    <w:p w:rsidR="00630E48" w:rsidRPr="00EF6DF5" w:rsidRDefault="00630E48" w:rsidP="00160BFA">
      <w:pPr>
        <w:pStyle w:val="ListParagraph"/>
        <w:numPr>
          <w:ilvl w:val="0"/>
          <w:numId w:val="25"/>
        </w:numPr>
        <w:spacing w:before="240" w:after="240" w:line="240" w:lineRule="auto"/>
        <w:rPr>
          <w:rFonts w:ascii="Montserrat" w:hAnsi="Montserrat"/>
          <w:sz w:val="20"/>
          <w:szCs w:val="20"/>
        </w:rPr>
      </w:pPr>
      <w:r w:rsidRPr="00EF6DF5">
        <w:rPr>
          <w:rFonts w:ascii="Montserrat" w:hAnsi="Montserrat"/>
          <w:sz w:val="20"/>
          <w:szCs w:val="20"/>
        </w:rPr>
        <w:t xml:space="preserve">En relación con la denuncia de uso ilegal de la fuerza por parte de las personas funcionarias encargadas de hacer cumplir la ley (párrafo 101), es importante hacer alusión el acceso a la justicia para las víctimas e instar a los Estados a que cumplan sus responsabilidades por las violaciones y los abusos de los derechos humanos a través de las instituciones judiciales u otros mecanismos nacionales, sobre la base de leyes que se ajusten a sus obligaciones y compromisos internacionales en materia de derechos humanos, y a que ofrezcan a las </w:t>
      </w:r>
      <w:r w:rsidRPr="00EF6DF5">
        <w:rPr>
          <w:rFonts w:ascii="Montserrat" w:hAnsi="Montserrat"/>
          <w:b/>
          <w:sz w:val="20"/>
          <w:szCs w:val="20"/>
        </w:rPr>
        <w:lastRenderedPageBreak/>
        <w:t>víctimas acceso a medidas de recurso y reparación</w:t>
      </w:r>
      <w:r w:rsidRPr="00EF6DF5">
        <w:rPr>
          <w:rFonts w:ascii="Montserrat" w:hAnsi="Montserrat"/>
          <w:sz w:val="20"/>
          <w:szCs w:val="20"/>
        </w:rPr>
        <w:t xml:space="preserve">, también en el contexto de las manifestaciones pacíficas. </w:t>
      </w:r>
      <w:r w:rsidRPr="00EF6DF5">
        <w:rPr>
          <w:rStyle w:val="FootnoteReference"/>
          <w:rFonts w:ascii="Montserrat" w:hAnsi="Montserrat"/>
          <w:sz w:val="20"/>
          <w:szCs w:val="20"/>
        </w:rPr>
        <w:footnoteReference w:id="18"/>
      </w:r>
    </w:p>
    <w:p w:rsidR="002A654E" w:rsidRPr="00EF6DF5" w:rsidRDefault="002A654E" w:rsidP="00160BFA">
      <w:pPr>
        <w:tabs>
          <w:tab w:val="left" w:pos="2244"/>
        </w:tabs>
        <w:spacing w:before="240" w:after="240" w:line="240" w:lineRule="auto"/>
        <w:ind w:firstLine="0"/>
        <w:rPr>
          <w:rFonts w:ascii="Montserrat" w:hAnsi="Montserrat"/>
          <w:sz w:val="20"/>
          <w:szCs w:val="20"/>
        </w:rPr>
      </w:pPr>
    </w:p>
    <w:sectPr w:rsidR="002A654E" w:rsidRPr="00EF6DF5" w:rsidSect="00EF6DF5">
      <w:endnotePr>
        <w:numFmt w:val="decimal"/>
      </w:endnotePr>
      <w:pgSz w:w="12240" w:h="15840"/>
      <w:pgMar w:top="709" w:right="1701" w:bottom="993" w:left="1701" w:header="708" w:footer="1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FF" w:rsidRDefault="00BF54FF" w:rsidP="003E4C29">
      <w:pPr>
        <w:spacing w:before="0" w:line="240" w:lineRule="auto"/>
      </w:pPr>
      <w:r>
        <w:separator/>
      </w:r>
    </w:p>
  </w:endnote>
  <w:endnote w:type="continuationSeparator" w:id="0">
    <w:p w:rsidR="00BF54FF" w:rsidRDefault="00BF54FF" w:rsidP="003E4C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95481"/>
      <w:docPartObj>
        <w:docPartGallery w:val="Page Numbers (Bottom of Page)"/>
        <w:docPartUnique/>
      </w:docPartObj>
    </w:sdtPr>
    <w:sdtEndPr/>
    <w:sdtContent>
      <w:p w:rsidR="003E4C29" w:rsidRDefault="003E4C29">
        <w:pPr>
          <w:pStyle w:val="Footer"/>
          <w:jc w:val="center"/>
        </w:pPr>
        <w:r>
          <w:fldChar w:fldCharType="begin"/>
        </w:r>
        <w:r>
          <w:instrText>PAGE   \* MERGEFORMAT</w:instrText>
        </w:r>
        <w:r>
          <w:fldChar w:fldCharType="separate"/>
        </w:r>
        <w:r w:rsidR="00F0681C" w:rsidRPr="00F0681C">
          <w:rPr>
            <w:noProof/>
            <w:lang w:val="es-ES"/>
          </w:rPr>
          <w:t>ii</w:t>
        </w:r>
        <w:r>
          <w:fldChar w:fldCharType="end"/>
        </w:r>
      </w:p>
    </w:sdtContent>
  </w:sdt>
  <w:p w:rsidR="003E4C29" w:rsidRDefault="003E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FF" w:rsidRDefault="00BF54FF" w:rsidP="003E4C29">
      <w:pPr>
        <w:spacing w:before="0" w:line="240" w:lineRule="auto"/>
      </w:pPr>
      <w:r>
        <w:separator/>
      </w:r>
    </w:p>
  </w:footnote>
  <w:footnote w:type="continuationSeparator" w:id="0">
    <w:p w:rsidR="00BF54FF" w:rsidRDefault="00BF54FF" w:rsidP="003E4C29">
      <w:pPr>
        <w:spacing w:before="0" w:line="240" w:lineRule="auto"/>
      </w:pPr>
      <w:r>
        <w:continuationSeparator/>
      </w:r>
    </w:p>
  </w:footnote>
  <w:footnote w:id="1">
    <w:p w:rsidR="00630E48" w:rsidRPr="00BF1AFE" w:rsidRDefault="00630E48" w:rsidP="0086261E">
      <w:pPr>
        <w:pStyle w:val="FootnoteText"/>
        <w:spacing w:before="0" w:line="240" w:lineRule="auto"/>
        <w:ind w:left="357"/>
        <w:rPr>
          <w:rFonts w:ascii="Montserrat" w:hAnsi="Montserrat"/>
          <w:sz w:val="14"/>
          <w:szCs w:val="14"/>
        </w:rPr>
      </w:pPr>
      <w:r w:rsidRPr="00BF1AFE">
        <w:rPr>
          <w:rStyle w:val="FootnoteReference"/>
          <w:sz w:val="16"/>
        </w:rPr>
        <w:footnoteRef/>
      </w:r>
      <w:r w:rsidRPr="00BF1AFE">
        <w:t xml:space="preserve"> </w:t>
      </w:r>
      <w:r w:rsidRPr="00BF1AFE">
        <w:rPr>
          <w:rFonts w:ascii="Montserrat" w:hAnsi="Montserrat"/>
          <w:sz w:val="14"/>
          <w:szCs w:val="14"/>
        </w:rPr>
        <w:t>Amparo en revisión 2186/2009. Álvaro Jesús Altamirano Ramírez. 13 de enero de 2010.</w:t>
      </w:r>
    </w:p>
  </w:footnote>
  <w:footnote w:id="2">
    <w:p w:rsidR="003A0F6F" w:rsidRPr="0086261E" w:rsidRDefault="003A0F6F" w:rsidP="0086261E">
      <w:pPr>
        <w:pStyle w:val="FootnoteText"/>
        <w:spacing w:before="0" w:line="240" w:lineRule="auto"/>
        <w:ind w:left="357"/>
        <w:rPr>
          <w:rFonts w:ascii="Montserrat" w:hAnsi="Montserrat"/>
          <w:sz w:val="14"/>
          <w:szCs w:val="14"/>
        </w:rPr>
      </w:pPr>
      <w:r w:rsidRPr="00BF1AFE">
        <w:rPr>
          <w:rStyle w:val="FootnoteReference"/>
          <w:rFonts w:ascii="Montserrat" w:hAnsi="Montserrat"/>
          <w:sz w:val="14"/>
          <w:szCs w:val="14"/>
        </w:rPr>
        <w:footnoteRef/>
      </w:r>
      <w:r w:rsidRPr="00BF1AFE">
        <w:rPr>
          <w:rFonts w:ascii="Montserrat" w:hAnsi="Montserrat"/>
          <w:sz w:val="14"/>
          <w:szCs w:val="14"/>
        </w:rPr>
        <w:t xml:space="preserve"> </w:t>
      </w:r>
      <w:r w:rsidRPr="00BF1AFE">
        <w:rPr>
          <w:rFonts w:ascii="Montserrat" w:hAnsi="Montserrat" w:cstheme="majorHAnsi"/>
          <w:sz w:val="14"/>
          <w:szCs w:val="14"/>
          <w:lang w:val="es-ES"/>
        </w:rPr>
        <w:t>Amparo Directo en Revisión 1204/2005</w:t>
      </w:r>
      <w:r w:rsidR="00BF1AFE" w:rsidRPr="00BF1AFE">
        <w:rPr>
          <w:rFonts w:ascii="Montserrat" w:hAnsi="Montserrat" w:cstheme="majorHAnsi"/>
          <w:sz w:val="14"/>
          <w:szCs w:val="14"/>
          <w:lang w:val="es-ES"/>
        </w:rPr>
        <w:t>.</w:t>
      </w:r>
      <w:r w:rsidR="00BF1AFE">
        <w:rPr>
          <w:rFonts w:ascii="Montserrat" w:hAnsi="Montserrat" w:cstheme="majorHAnsi"/>
          <w:sz w:val="14"/>
          <w:szCs w:val="14"/>
          <w:lang w:val="es-ES"/>
        </w:rPr>
        <w:t xml:space="preserve"> </w:t>
      </w:r>
    </w:p>
  </w:footnote>
  <w:footnote w:id="3">
    <w:p w:rsidR="005C1821" w:rsidRPr="0086261E" w:rsidRDefault="005C1821" w:rsidP="0086261E">
      <w:pPr>
        <w:pStyle w:val="FootnoteText"/>
        <w:spacing w:before="0" w:line="240" w:lineRule="auto"/>
        <w:ind w:left="357"/>
        <w:rPr>
          <w:rFonts w:ascii="Montserrat" w:hAnsi="Montserrat"/>
          <w:sz w:val="14"/>
          <w:szCs w:val="14"/>
        </w:rPr>
      </w:pPr>
      <w:r w:rsidRPr="0086261E">
        <w:rPr>
          <w:rStyle w:val="FootnoteReference"/>
          <w:rFonts w:ascii="Montserrat" w:hAnsi="Montserrat"/>
          <w:sz w:val="14"/>
          <w:szCs w:val="14"/>
        </w:rPr>
        <w:footnoteRef/>
      </w:r>
      <w:r w:rsidRPr="0086261E">
        <w:rPr>
          <w:rFonts w:ascii="Montserrat" w:hAnsi="Montserrat"/>
          <w:sz w:val="14"/>
          <w:szCs w:val="14"/>
        </w:rPr>
        <w:t xml:space="preserve"> </w:t>
      </w:r>
      <w:r w:rsidRPr="0086261E">
        <w:rPr>
          <w:rFonts w:ascii="Montserrat" w:hAnsi="Montserrat" w:cstheme="majorHAnsi"/>
          <w:sz w:val="14"/>
          <w:szCs w:val="14"/>
        </w:rPr>
        <w:t xml:space="preserve">Naciones Unidas, </w:t>
      </w:r>
      <w:r w:rsidRPr="0086261E">
        <w:rPr>
          <w:rFonts w:ascii="Montserrat" w:hAnsi="Montserrat" w:cstheme="majorHAnsi"/>
          <w:sz w:val="14"/>
          <w:szCs w:val="14"/>
          <w:lang w:val="es-ES"/>
        </w:rPr>
        <w:t>Comité de Derechos Civiles, Observación General No. 34 sobre Libertad de opinión y libertad de expresión, Documento CCPR/C/GC/34, 12 de septiembre de 2011, Párrafos 2 y 4.</w:t>
      </w:r>
    </w:p>
  </w:footnote>
  <w:footnote w:id="4">
    <w:p w:rsidR="005C1821" w:rsidRPr="0086261E" w:rsidRDefault="005C1821" w:rsidP="0086261E">
      <w:pPr>
        <w:pStyle w:val="FootnoteText"/>
        <w:spacing w:before="0" w:line="240" w:lineRule="auto"/>
        <w:ind w:left="357"/>
        <w:rPr>
          <w:rFonts w:ascii="Montserrat" w:hAnsi="Montserrat"/>
          <w:sz w:val="14"/>
          <w:szCs w:val="14"/>
        </w:rPr>
      </w:pPr>
      <w:r w:rsidRPr="0086261E">
        <w:rPr>
          <w:rStyle w:val="FootnoteReference"/>
          <w:rFonts w:ascii="Montserrat" w:hAnsi="Montserrat"/>
          <w:sz w:val="14"/>
          <w:szCs w:val="14"/>
        </w:rPr>
        <w:footnoteRef/>
      </w:r>
      <w:r w:rsidRPr="0086261E">
        <w:rPr>
          <w:rFonts w:ascii="Montserrat" w:hAnsi="Montserrat"/>
          <w:sz w:val="14"/>
          <w:szCs w:val="14"/>
        </w:rPr>
        <w:t xml:space="preserve"> </w:t>
      </w:r>
      <w:r w:rsidR="00381AE9" w:rsidRPr="0086261E">
        <w:rPr>
          <w:rFonts w:ascii="Montserrat" w:hAnsi="Montserrat" w:cstheme="majorHAnsi"/>
          <w:sz w:val="14"/>
          <w:szCs w:val="14"/>
          <w:lang w:val="es-ES"/>
        </w:rPr>
        <w:t>Ibíd.</w:t>
      </w:r>
      <w:r w:rsidRPr="0086261E">
        <w:rPr>
          <w:rFonts w:ascii="Montserrat" w:hAnsi="Montserrat" w:cstheme="majorHAnsi"/>
          <w:sz w:val="14"/>
          <w:szCs w:val="14"/>
          <w:lang w:val="es-ES"/>
        </w:rPr>
        <w:t>, párrafo 3.</w:t>
      </w:r>
    </w:p>
  </w:footnote>
  <w:footnote w:id="5">
    <w:p w:rsidR="00381AE9" w:rsidRPr="0086261E" w:rsidRDefault="00381AE9" w:rsidP="0086261E">
      <w:pPr>
        <w:pStyle w:val="FootnoteText"/>
        <w:spacing w:before="0" w:line="240" w:lineRule="auto"/>
        <w:ind w:left="357"/>
        <w:rPr>
          <w:rFonts w:ascii="Montserrat" w:hAnsi="Montserrat"/>
          <w:sz w:val="14"/>
          <w:szCs w:val="14"/>
        </w:rPr>
      </w:pPr>
      <w:r w:rsidRPr="0086261E">
        <w:rPr>
          <w:rStyle w:val="FootnoteReference"/>
          <w:rFonts w:ascii="Montserrat" w:hAnsi="Montserrat"/>
          <w:sz w:val="14"/>
          <w:szCs w:val="14"/>
        </w:rPr>
        <w:footnoteRef/>
      </w:r>
      <w:r w:rsidRPr="0086261E">
        <w:rPr>
          <w:rFonts w:ascii="Montserrat" w:hAnsi="Montserrat"/>
          <w:sz w:val="14"/>
          <w:szCs w:val="14"/>
        </w:rPr>
        <w:t xml:space="preserve"> </w:t>
      </w:r>
      <w:r w:rsidRPr="0086261E">
        <w:rPr>
          <w:rFonts w:ascii="Montserrat" w:hAnsi="Montserrat" w:cstheme="majorHAnsi"/>
          <w:sz w:val="14"/>
          <w:szCs w:val="14"/>
        </w:rPr>
        <w:t xml:space="preserve">Véase Informe del Relator sobre los derechos a la libertad de reunión pacífica y de asociación para el Consejo de Derechos Humanos, 21 de mayo de 2012.  A/HRC/20/27 </w:t>
      </w:r>
    </w:p>
  </w:footnote>
  <w:footnote w:id="6">
    <w:p w:rsidR="00E96819" w:rsidRPr="00BF1AFE" w:rsidRDefault="00E96819" w:rsidP="00BF1AFE">
      <w:pPr>
        <w:pStyle w:val="FootnoteText"/>
        <w:spacing w:before="0" w:line="240" w:lineRule="auto"/>
        <w:ind w:left="357"/>
        <w:rPr>
          <w:rFonts w:ascii="Montserrat" w:hAnsi="Montserrat"/>
          <w:sz w:val="14"/>
          <w:szCs w:val="16"/>
        </w:rPr>
      </w:pPr>
      <w:r w:rsidRPr="00BF1AFE">
        <w:rPr>
          <w:rStyle w:val="FootnoteReference"/>
          <w:rFonts w:ascii="Montserrat" w:hAnsi="Montserrat"/>
          <w:sz w:val="14"/>
          <w:szCs w:val="16"/>
        </w:rPr>
        <w:footnoteRef/>
      </w:r>
      <w:r w:rsidRPr="00BF1AFE">
        <w:rPr>
          <w:rFonts w:ascii="Montserrat" w:hAnsi="Montserrat"/>
          <w:sz w:val="14"/>
          <w:szCs w:val="16"/>
        </w:rPr>
        <w:t xml:space="preserve"> </w:t>
      </w:r>
      <w:r w:rsidR="00381AE9" w:rsidRPr="00BF1AFE">
        <w:rPr>
          <w:rFonts w:ascii="Montserrat" w:hAnsi="Montserrat"/>
          <w:sz w:val="14"/>
          <w:szCs w:val="16"/>
        </w:rPr>
        <w:t>Ibíd.</w:t>
      </w:r>
    </w:p>
  </w:footnote>
  <w:footnote w:id="7">
    <w:p w:rsidR="005C1821" w:rsidRPr="00BF1AFE" w:rsidRDefault="005C1821" w:rsidP="00BF1AFE">
      <w:pPr>
        <w:pStyle w:val="FootnoteText"/>
        <w:spacing w:before="0" w:line="240" w:lineRule="auto"/>
        <w:ind w:left="357"/>
        <w:rPr>
          <w:rFonts w:ascii="Montserrat" w:hAnsi="Montserrat"/>
          <w:sz w:val="14"/>
          <w:szCs w:val="16"/>
        </w:rPr>
      </w:pPr>
      <w:r w:rsidRPr="00BF1AFE">
        <w:rPr>
          <w:rStyle w:val="FootnoteReference"/>
          <w:rFonts w:ascii="Montserrat" w:hAnsi="Montserrat"/>
          <w:sz w:val="14"/>
          <w:szCs w:val="16"/>
        </w:rPr>
        <w:footnoteRef/>
      </w:r>
      <w:r w:rsidRPr="00BF1AFE">
        <w:rPr>
          <w:rFonts w:ascii="Montserrat" w:hAnsi="Montserrat"/>
          <w:sz w:val="14"/>
          <w:szCs w:val="16"/>
        </w:rPr>
        <w:t xml:space="preserve"> </w:t>
      </w:r>
      <w:r w:rsidRPr="00BF1AFE">
        <w:rPr>
          <w:rFonts w:ascii="Montserrat" w:hAnsi="Montserrat" w:cstheme="majorHAnsi"/>
          <w:sz w:val="14"/>
          <w:szCs w:val="16"/>
        </w:rPr>
        <w:t>Naciones Unidas, Comité de Derechos Civile</w:t>
      </w:r>
      <w:r w:rsidR="00BF1AFE">
        <w:rPr>
          <w:rFonts w:ascii="Montserrat" w:hAnsi="Montserrat" w:cstheme="majorHAnsi"/>
          <w:sz w:val="14"/>
          <w:szCs w:val="16"/>
        </w:rPr>
        <w:t>s, Observación General No. 34, pp.</w:t>
      </w:r>
      <w:r w:rsidRPr="00BF1AFE">
        <w:rPr>
          <w:rFonts w:ascii="Montserrat" w:hAnsi="Montserrat" w:cstheme="majorHAnsi"/>
          <w:sz w:val="14"/>
          <w:szCs w:val="16"/>
        </w:rPr>
        <w:t xml:space="preserve"> 21 y 22.</w:t>
      </w:r>
    </w:p>
  </w:footnote>
  <w:footnote w:id="8">
    <w:p w:rsidR="005C1821" w:rsidRPr="00BF1AFE" w:rsidRDefault="005C1821" w:rsidP="00BF1AFE">
      <w:pPr>
        <w:pStyle w:val="FootnoteText"/>
        <w:spacing w:before="0" w:line="240" w:lineRule="auto"/>
        <w:ind w:left="357"/>
        <w:rPr>
          <w:rFonts w:ascii="Montserrat" w:hAnsi="Montserrat"/>
          <w:sz w:val="18"/>
        </w:rPr>
      </w:pPr>
      <w:r w:rsidRPr="00BF1AFE">
        <w:rPr>
          <w:rStyle w:val="FootnoteReference"/>
          <w:rFonts w:ascii="Montserrat" w:hAnsi="Montserrat"/>
          <w:sz w:val="14"/>
          <w:szCs w:val="16"/>
        </w:rPr>
        <w:footnoteRef/>
      </w:r>
      <w:r w:rsidRPr="00BF1AFE">
        <w:rPr>
          <w:rFonts w:ascii="Montserrat" w:hAnsi="Montserrat"/>
          <w:sz w:val="14"/>
          <w:szCs w:val="16"/>
        </w:rPr>
        <w:t xml:space="preserve"> </w:t>
      </w:r>
      <w:r w:rsidR="004974B8" w:rsidRPr="00BF1AFE">
        <w:rPr>
          <w:rFonts w:ascii="Montserrat" w:hAnsi="Montserrat" w:cstheme="majorHAnsi"/>
          <w:sz w:val="14"/>
          <w:szCs w:val="16"/>
          <w:lang w:val="es-ES"/>
        </w:rPr>
        <w:t>Ibíd.</w:t>
      </w:r>
      <w:r w:rsidRPr="00BF1AFE">
        <w:rPr>
          <w:rFonts w:ascii="Montserrat" w:hAnsi="Montserrat" w:cstheme="majorHAnsi"/>
          <w:sz w:val="14"/>
          <w:szCs w:val="16"/>
          <w:lang w:val="es-ES"/>
        </w:rPr>
        <w:t xml:space="preserve">, párrafo 34. </w:t>
      </w:r>
    </w:p>
  </w:footnote>
  <w:footnote w:id="9">
    <w:p w:rsidR="005C1821" w:rsidRPr="00EF6DF5" w:rsidRDefault="005C1821" w:rsidP="00BF1AFE">
      <w:pPr>
        <w:pStyle w:val="FootnoteText"/>
        <w:spacing w:before="0" w:line="240" w:lineRule="auto"/>
        <w:ind w:left="357"/>
        <w:rPr>
          <w:rFonts w:asciiTheme="majorHAnsi" w:hAnsiTheme="majorHAnsi"/>
          <w:sz w:val="16"/>
          <w:szCs w:val="16"/>
        </w:rPr>
      </w:pPr>
      <w:r w:rsidRPr="00BF1AFE">
        <w:rPr>
          <w:rStyle w:val="FootnoteReference"/>
          <w:rFonts w:ascii="Montserrat" w:hAnsi="Montserrat"/>
          <w:sz w:val="18"/>
        </w:rPr>
        <w:footnoteRef/>
      </w:r>
      <w:r w:rsidRPr="00BF1AFE">
        <w:rPr>
          <w:rFonts w:ascii="Montserrat" w:hAnsi="Montserrat"/>
          <w:sz w:val="18"/>
        </w:rPr>
        <w:t xml:space="preserve"> </w:t>
      </w:r>
      <w:r w:rsidRPr="00BF1AFE">
        <w:rPr>
          <w:rFonts w:ascii="Montserrat" w:hAnsi="Montserrat" w:cstheme="majorHAnsi"/>
          <w:sz w:val="14"/>
          <w:szCs w:val="16"/>
        </w:rPr>
        <w:t xml:space="preserve">Consejo de Derechos Humanos. La promoción y protección de los Derechos Humanos en el contexto de las manifestaciones pacíficas. Resolución A/HRC/25/L.20, 24 de marzo de 2014. Disponible en: </w:t>
      </w:r>
      <w:hyperlink r:id="rId1" w:history="1">
        <w:r w:rsidRPr="00BF1AFE">
          <w:rPr>
            <w:rStyle w:val="Hyperlink"/>
            <w:rFonts w:ascii="Montserrat" w:hAnsi="Montserrat" w:cstheme="majorHAnsi"/>
            <w:color w:val="auto"/>
            <w:sz w:val="14"/>
            <w:szCs w:val="16"/>
          </w:rPr>
          <w:t>http://acnudh.org/wp-content/uploads/2015/04/PROTESTA-SOCIAL.pdf</w:t>
        </w:r>
      </w:hyperlink>
    </w:p>
  </w:footnote>
  <w:footnote w:id="10">
    <w:p w:rsidR="00C217F0" w:rsidRPr="00BF1AFE" w:rsidRDefault="00C217F0" w:rsidP="00BF1AFE">
      <w:pPr>
        <w:pStyle w:val="FootnoteText"/>
        <w:spacing w:before="0" w:line="240" w:lineRule="auto"/>
        <w:ind w:left="357"/>
        <w:rPr>
          <w:rFonts w:ascii="Montserrat" w:hAnsi="Montserrat"/>
        </w:rPr>
      </w:pPr>
      <w:r w:rsidRPr="00BF1AFE">
        <w:rPr>
          <w:rStyle w:val="FootnoteReference"/>
          <w:rFonts w:ascii="Montserrat" w:hAnsi="Montserrat"/>
          <w:sz w:val="14"/>
          <w:szCs w:val="16"/>
        </w:rPr>
        <w:footnoteRef/>
      </w:r>
      <w:r w:rsidRPr="00BF1AFE">
        <w:rPr>
          <w:rFonts w:ascii="Montserrat" w:hAnsi="Montserrat"/>
          <w:sz w:val="14"/>
          <w:szCs w:val="16"/>
        </w:rPr>
        <w:t xml:space="preserve"> </w:t>
      </w:r>
      <w:r w:rsidRPr="00BF1AFE">
        <w:rPr>
          <w:rFonts w:ascii="Montserrat" w:hAnsi="Montserrat" w:cstheme="majorHAnsi"/>
          <w:sz w:val="14"/>
          <w:szCs w:val="16"/>
          <w:lang w:val="es-ES"/>
        </w:rPr>
        <w:t>Organización de Estados Americanos, Convención Interamericana contra Toda Forma de Discriminación e Intolerancia, artículo 4, numeral ii inciso a).</w:t>
      </w:r>
    </w:p>
  </w:footnote>
  <w:footnote w:id="11">
    <w:p w:rsidR="00C217F0" w:rsidRPr="00BF1AFE" w:rsidRDefault="00C217F0" w:rsidP="00BF1AFE">
      <w:pPr>
        <w:pStyle w:val="FootnoteText"/>
        <w:spacing w:before="0" w:line="240" w:lineRule="auto"/>
        <w:ind w:left="357"/>
        <w:rPr>
          <w:rFonts w:ascii="Montserrat" w:hAnsi="Montserrat" w:cstheme="majorHAnsi"/>
          <w:sz w:val="14"/>
          <w:szCs w:val="14"/>
          <w:lang w:val="es-ES"/>
        </w:rPr>
      </w:pPr>
      <w:r w:rsidRPr="00BF1AFE">
        <w:rPr>
          <w:rStyle w:val="FootnoteReference"/>
          <w:sz w:val="14"/>
          <w:szCs w:val="14"/>
        </w:rPr>
        <w:footnoteRef/>
      </w:r>
      <w:r w:rsidRPr="00BF1AFE">
        <w:rPr>
          <w:sz w:val="14"/>
          <w:szCs w:val="14"/>
        </w:rPr>
        <w:t xml:space="preserve"> </w:t>
      </w:r>
      <w:r w:rsidRPr="00BF1AFE">
        <w:rPr>
          <w:rFonts w:ascii="Montserrat" w:hAnsi="Montserrat" w:cstheme="majorHAnsi"/>
          <w:sz w:val="14"/>
          <w:szCs w:val="14"/>
        </w:rPr>
        <w:t xml:space="preserve">Consejo de Derechos Humanos. Informe del Relator Especial sobre las ejecuciones extrajudiciales, sumarias o arbitrarias, Christof Heyns. Disponible en </w:t>
      </w:r>
      <w:hyperlink r:id="rId2" w:history="1">
        <w:r w:rsidRPr="00BF1AFE">
          <w:rPr>
            <w:rStyle w:val="Hyperlink"/>
            <w:rFonts w:ascii="Montserrat" w:hAnsi="Montserrat" w:cstheme="majorHAnsi"/>
            <w:color w:val="auto"/>
            <w:sz w:val="14"/>
            <w:szCs w:val="14"/>
          </w:rPr>
          <w:t>https://www.acnur.org/fileadmin/Documentos/BDL/2014/9615.pdf</w:t>
        </w:r>
      </w:hyperlink>
      <w:r w:rsidRPr="00BF1AFE">
        <w:rPr>
          <w:rFonts w:ascii="Montserrat" w:hAnsi="Montserrat" w:cstheme="majorHAnsi"/>
          <w:sz w:val="14"/>
          <w:szCs w:val="14"/>
        </w:rPr>
        <w:t xml:space="preserve"> </w:t>
      </w:r>
    </w:p>
  </w:footnote>
  <w:footnote w:id="12">
    <w:p w:rsidR="002A654E" w:rsidRPr="00BF1AFE" w:rsidRDefault="002A654E" w:rsidP="00BF1AFE">
      <w:pPr>
        <w:pStyle w:val="FootnoteText"/>
        <w:spacing w:before="0" w:line="240" w:lineRule="auto"/>
        <w:ind w:left="357"/>
        <w:rPr>
          <w:rFonts w:ascii="Montserrat" w:hAnsi="Montserrat" w:cstheme="majorHAnsi"/>
          <w:sz w:val="14"/>
          <w:szCs w:val="14"/>
          <w:lang w:val="es-ES"/>
        </w:rPr>
      </w:pPr>
      <w:r w:rsidRPr="00BF1AFE">
        <w:rPr>
          <w:rStyle w:val="FootnoteReference"/>
          <w:rFonts w:ascii="Montserrat" w:hAnsi="Montserrat"/>
          <w:sz w:val="14"/>
          <w:szCs w:val="14"/>
        </w:rPr>
        <w:footnoteRef/>
      </w:r>
      <w:r w:rsidRPr="00BF1AFE">
        <w:rPr>
          <w:rFonts w:ascii="Montserrat" w:hAnsi="Montserrat"/>
          <w:sz w:val="14"/>
          <w:szCs w:val="14"/>
        </w:rPr>
        <w:t xml:space="preserve"> </w:t>
      </w:r>
      <w:r w:rsidRPr="00BF1AFE">
        <w:rPr>
          <w:rFonts w:ascii="Montserrat" w:hAnsi="Montserrat" w:cstheme="majorHAnsi"/>
          <w:sz w:val="14"/>
          <w:szCs w:val="14"/>
        </w:rPr>
        <w:t xml:space="preserve">Véase Resolución A/HRC/25/L.20. </w:t>
      </w:r>
    </w:p>
  </w:footnote>
  <w:footnote w:id="13">
    <w:p w:rsidR="002A654E" w:rsidRPr="00EF6DF5" w:rsidRDefault="002A654E" w:rsidP="00BF1AFE">
      <w:pPr>
        <w:pStyle w:val="FootnoteText"/>
        <w:spacing w:before="0" w:line="240" w:lineRule="auto"/>
        <w:ind w:left="357"/>
        <w:rPr>
          <w:rFonts w:ascii="Montserrat" w:hAnsi="Montserrat" w:cstheme="majorHAnsi"/>
          <w:sz w:val="14"/>
          <w:szCs w:val="16"/>
        </w:rPr>
      </w:pPr>
      <w:r w:rsidRPr="00BF1AFE">
        <w:rPr>
          <w:rFonts w:ascii="Montserrat" w:hAnsi="Montserrat" w:cstheme="majorHAnsi"/>
          <w:sz w:val="14"/>
          <w:szCs w:val="14"/>
        </w:rPr>
        <w:footnoteRef/>
      </w:r>
      <w:r w:rsidRPr="00BF1AFE">
        <w:rPr>
          <w:rFonts w:ascii="Montserrat" w:hAnsi="Montserrat" w:cstheme="majorHAnsi"/>
          <w:sz w:val="14"/>
          <w:szCs w:val="14"/>
        </w:rPr>
        <w:t xml:space="preserve"> Véase Informe del Relator Especial sobre los derechos a la reunión pacífica y de asociación 17 de mayo de 2019.</w:t>
      </w:r>
      <w:r w:rsidRPr="00BF1AFE">
        <w:rPr>
          <w:rFonts w:ascii="Montserrat" w:hAnsi="Montserrat" w:cstheme="majorHAnsi"/>
          <w:sz w:val="12"/>
          <w:szCs w:val="16"/>
        </w:rPr>
        <w:t xml:space="preserve"> </w:t>
      </w:r>
    </w:p>
  </w:footnote>
  <w:footnote w:id="14">
    <w:p w:rsidR="002A654E" w:rsidRPr="00EF6DF5" w:rsidRDefault="002A654E" w:rsidP="00BF1AFE">
      <w:pPr>
        <w:pStyle w:val="FootnoteText"/>
        <w:spacing w:before="0" w:line="240" w:lineRule="auto"/>
        <w:ind w:left="357"/>
        <w:rPr>
          <w:rFonts w:ascii="Montserrat" w:hAnsi="Montserrat" w:cstheme="majorHAnsi"/>
          <w:sz w:val="14"/>
          <w:szCs w:val="16"/>
        </w:rPr>
      </w:pPr>
      <w:r w:rsidRPr="00EF6DF5">
        <w:rPr>
          <w:rFonts w:ascii="Montserrat" w:hAnsi="Montserrat" w:cstheme="majorHAnsi"/>
          <w:sz w:val="14"/>
          <w:szCs w:val="16"/>
        </w:rPr>
        <w:footnoteRef/>
      </w:r>
      <w:r w:rsidRPr="00EF6DF5">
        <w:rPr>
          <w:rFonts w:ascii="Montserrat" w:hAnsi="Montserrat" w:cstheme="majorHAnsi"/>
          <w:sz w:val="14"/>
          <w:szCs w:val="16"/>
        </w:rPr>
        <w:t xml:space="preserve"> Caso Ricardo </w:t>
      </w:r>
      <w:proofErr w:type="spellStart"/>
      <w:r w:rsidRPr="00EF6DF5">
        <w:rPr>
          <w:rFonts w:ascii="Montserrat" w:hAnsi="Montserrat" w:cstheme="majorHAnsi"/>
          <w:sz w:val="14"/>
          <w:szCs w:val="16"/>
        </w:rPr>
        <w:t>Canese</w:t>
      </w:r>
      <w:proofErr w:type="spellEnd"/>
      <w:r w:rsidRPr="00EF6DF5">
        <w:rPr>
          <w:rFonts w:ascii="Montserrat" w:hAnsi="Montserrat" w:cstheme="majorHAnsi"/>
          <w:sz w:val="14"/>
          <w:szCs w:val="16"/>
        </w:rPr>
        <w:t xml:space="preserve"> Vs. Paraguay. Fondo, Reparaciones y Costas. Sentencia de 31 de agosto de </w:t>
      </w:r>
      <w:r w:rsidR="00EF6DF5">
        <w:rPr>
          <w:rFonts w:ascii="Montserrat" w:hAnsi="Montserrat" w:cstheme="majorHAnsi"/>
          <w:sz w:val="14"/>
          <w:szCs w:val="16"/>
        </w:rPr>
        <w:t xml:space="preserve">2004. Serie C No. 111, párr.95; </w:t>
      </w:r>
      <w:r w:rsidRPr="00EF6DF5">
        <w:rPr>
          <w:rFonts w:ascii="Montserrat" w:hAnsi="Montserrat" w:cstheme="majorHAnsi"/>
          <w:sz w:val="14"/>
          <w:szCs w:val="16"/>
        </w:rPr>
        <w:t xml:space="preserve">Caso </w:t>
      </w:r>
      <w:proofErr w:type="spellStart"/>
      <w:r w:rsidRPr="00EF6DF5">
        <w:rPr>
          <w:rFonts w:ascii="Montserrat" w:hAnsi="Montserrat" w:cstheme="majorHAnsi"/>
          <w:sz w:val="14"/>
          <w:szCs w:val="16"/>
        </w:rPr>
        <w:t>Palamara</w:t>
      </w:r>
      <w:proofErr w:type="spellEnd"/>
      <w:r w:rsidRPr="00EF6DF5">
        <w:rPr>
          <w:rFonts w:ascii="Montserrat" w:hAnsi="Montserrat" w:cstheme="majorHAnsi"/>
          <w:sz w:val="14"/>
          <w:szCs w:val="16"/>
        </w:rPr>
        <w:t xml:space="preserve"> Iribarne Vs. Chile. Fondo, Reparaciones y Costas. Sentencia de 22 de noviembre de 2005. Serie C No. 135, párr.79.</w:t>
      </w:r>
    </w:p>
  </w:footnote>
  <w:footnote w:id="15">
    <w:p w:rsidR="002A654E" w:rsidRPr="00EF6DF5" w:rsidRDefault="002A654E" w:rsidP="00BF1AFE">
      <w:pPr>
        <w:pStyle w:val="FootnoteText"/>
        <w:spacing w:before="0" w:line="240" w:lineRule="auto"/>
        <w:ind w:left="357"/>
        <w:rPr>
          <w:rFonts w:asciiTheme="majorHAnsi" w:hAnsiTheme="majorHAnsi"/>
          <w:sz w:val="16"/>
          <w:szCs w:val="16"/>
        </w:rPr>
      </w:pPr>
      <w:r w:rsidRPr="00EF6DF5">
        <w:rPr>
          <w:rFonts w:ascii="Montserrat" w:hAnsi="Montserrat" w:cstheme="majorHAnsi"/>
          <w:sz w:val="14"/>
        </w:rPr>
        <w:footnoteRef/>
      </w:r>
      <w:r w:rsidRPr="00EF6DF5">
        <w:rPr>
          <w:rFonts w:ascii="Montserrat" w:hAnsi="Montserrat" w:cstheme="majorHAnsi"/>
          <w:sz w:val="14"/>
          <w:szCs w:val="16"/>
        </w:rPr>
        <w:t xml:space="preserve"> Véase Resolución A/HRC/25/L.20, 24 de marzo de 2014.</w:t>
      </w:r>
    </w:p>
  </w:footnote>
  <w:footnote w:id="16">
    <w:p w:rsidR="00EF6DF5" w:rsidRPr="0086261E" w:rsidRDefault="002A654E" w:rsidP="00BF1AFE">
      <w:pPr>
        <w:pStyle w:val="FootnoteText"/>
        <w:spacing w:before="0" w:line="240" w:lineRule="auto"/>
        <w:ind w:left="357"/>
        <w:rPr>
          <w:rFonts w:ascii="Montserrat" w:hAnsi="Montserrat" w:cstheme="majorHAnsi"/>
          <w:sz w:val="14"/>
          <w:szCs w:val="16"/>
          <w:lang w:val="en-US"/>
        </w:rPr>
      </w:pPr>
      <w:r w:rsidRPr="00EF6DF5">
        <w:rPr>
          <w:rStyle w:val="FootnoteReference"/>
          <w:rFonts w:ascii="Montserrat" w:hAnsi="Montserrat"/>
          <w:sz w:val="14"/>
          <w:szCs w:val="16"/>
        </w:rPr>
        <w:footnoteRef/>
      </w:r>
      <w:r w:rsidRPr="0086261E">
        <w:rPr>
          <w:rFonts w:ascii="Montserrat" w:hAnsi="Montserrat"/>
          <w:sz w:val="14"/>
          <w:szCs w:val="16"/>
          <w:lang w:val="en-US"/>
        </w:rPr>
        <w:t xml:space="preserve"> </w:t>
      </w:r>
      <w:proofErr w:type="spellStart"/>
      <w:r w:rsidR="00BF1AFE">
        <w:rPr>
          <w:rFonts w:ascii="Montserrat" w:hAnsi="Montserrat" w:cstheme="majorHAnsi"/>
          <w:sz w:val="14"/>
          <w:szCs w:val="16"/>
          <w:lang w:val="en-US"/>
        </w:rPr>
        <w:t>Véa</w:t>
      </w:r>
      <w:r w:rsidRPr="0086261E">
        <w:rPr>
          <w:rFonts w:ascii="Montserrat" w:hAnsi="Montserrat" w:cstheme="majorHAnsi"/>
          <w:sz w:val="14"/>
          <w:szCs w:val="16"/>
          <w:lang w:val="en-US"/>
        </w:rPr>
        <w:t>se</w:t>
      </w:r>
      <w:proofErr w:type="spellEnd"/>
      <w:r w:rsidRPr="0086261E">
        <w:rPr>
          <w:rFonts w:ascii="Montserrat" w:hAnsi="Montserrat" w:cstheme="majorHAnsi"/>
          <w:sz w:val="14"/>
          <w:szCs w:val="16"/>
          <w:lang w:val="en-US"/>
        </w:rPr>
        <w:t xml:space="preserve"> Key Guiding Principles of Freedom of Association with an </w:t>
      </w:r>
      <w:proofErr w:type="spellStart"/>
      <w:r w:rsidRPr="0086261E">
        <w:rPr>
          <w:rFonts w:ascii="Montserrat" w:hAnsi="Montserrat" w:cstheme="majorHAnsi"/>
          <w:sz w:val="14"/>
          <w:szCs w:val="16"/>
          <w:lang w:val="en-US"/>
        </w:rPr>
        <w:t>Emphasison</w:t>
      </w:r>
      <w:proofErr w:type="spellEnd"/>
      <w:r w:rsidRPr="0086261E">
        <w:rPr>
          <w:rFonts w:ascii="Montserrat" w:hAnsi="Montserrat" w:cstheme="majorHAnsi"/>
          <w:sz w:val="14"/>
          <w:szCs w:val="16"/>
          <w:lang w:val="en-US"/>
        </w:rPr>
        <w:t xml:space="preserve"> Non-Governmental Organizations,</w:t>
      </w:r>
    </w:p>
    <w:p w:rsidR="002A654E" w:rsidRPr="00EF6DF5" w:rsidRDefault="002A654E" w:rsidP="00BF1AFE">
      <w:pPr>
        <w:pStyle w:val="FootnoteText"/>
        <w:spacing w:before="0" w:line="240" w:lineRule="auto"/>
        <w:ind w:left="357"/>
        <w:rPr>
          <w:rFonts w:ascii="Montserrat" w:hAnsi="Montserrat" w:cstheme="majorHAnsi"/>
          <w:sz w:val="14"/>
          <w:szCs w:val="16"/>
          <w:lang w:val="es-ES"/>
        </w:rPr>
      </w:pPr>
      <w:r w:rsidRPr="0086261E">
        <w:rPr>
          <w:rFonts w:ascii="Montserrat" w:hAnsi="Montserrat" w:cstheme="majorHAnsi"/>
          <w:sz w:val="14"/>
          <w:szCs w:val="16"/>
          <w:lang w:val="en-US"/>
        </w:rPr>
        <w:t xml:space="preserve"> </w:t>
      </w:r>
      <w:r w:rsidRPr="00EF6DF5">
        <w:rPr>
          <w:rFonts w:ascii="Montserrat" w:hAnsi="Montserrat" w:cstheme="majorHAnsi"/>
          <w:sz w:val="14"/>
          <w:szCs w:val="16"/>
        </w:rPr>
        <w:t xml:space="preserve">Principios rectores de la libertad de asociación, con especial atención a las organizaciones no gubernamentales, párr. 5. </w:t>
      </w:r>
    </w:p>
  </w:footnote>
  <w:footnote w:id="17">
    <w:p w:rsidR="002A654E" w:rsidRPr="00EF6DF5" w:rsidRDefault="002A654E" w:rsidP="00BF1AFE">
      <w:pPr>
        <w:pStyle w:val="FootnoteText"/>
        <w:spacing w:before="0" w:line="240" w:lineRule="auto"/>
        <w:ind w:left="357"/>
        <w:rPr>
          <w:rFonts w:ascii="Montserrat" w:hAnsi="Montserrat"/>
          <w:sz w:val="18"/>
        </w:rPr>
      </w:pPr>
      <w:r w:rsidRPr="00EF6DF5">
        <w:rPr>
          <w:rStyle w:val="FootnoteReference"/>
          <w:rFonts w:ascii="Montserrat" w:hAnsi="Montserrat"/>
          <w:sz w:val="14"/>
          <w:szCs w:val="16"/>
        </w:rPr>
        <w:footnoteRef/>
      </w:r>
      <w:r w:rsidRPr="00EF6DF5">
        <w:rPr>
          <w:rFonts w:ascii="Montserrat" w:hAnsi="Montserrat"/>
          <w:sz w:val="14"/>
          <w:szCs w:val="16"/>
        </w:rPr>
        <w:t xml:space="preserve"> </w:t>
      </w:r>
      <w:r w:rsidR="00EF6DF5" w:rsidRPr="00EF6DF5">
        <w:rPr>
          <w:rFonts w:ascii="Montserrat" w:hAnsi="Montserrat" w:cstheme="majorHAnsi"/>
          <w:sz w:val="14"/>
          <w:szCs w:val="16"/>
        </w:rPr>
        <w:t>Véase</w:t>
      </w:r>
      <w:r w:rsidRPr="00EF6DF5">
        <w:rPr>
          <w:rFonts w:ascii="Montserrat" w:hAnsi="Montserrat" w:cstheme="majorHAnsi"/>
          <w:sz w:val="14"/>
          <w:szCs w:val="16"/>
        </w:rPr>
        <w:t xml:space="preserve"> Informe del Relator sobre los derechos a la libertad de </w:t>
      </w:r>
      <w:r w:rsidR="00EF6DF5" w:rsidRPr="00EF6DF5">
        <w:rPr>
          <w:rFonts w:ascii="Montserrat" w:hAnsi="Montserrat" w:cstheme="majorHAnsi"/>
          <w:sz w:val="14"/>
          <w:szCs w:val="16"/>
        </w:rPr>
        <w:t>reunión</w:t>
      </w:r>
      <w:r w:rsidRPr="00EF6DF5">
        <w:rPr>
          <w:rFonts w:ascii="Montserrat" w:hAnsi="Montserrat" w:cstheme="majorHAnsi"/>
          <w:sz w:val="14"/>
          <w:szCs w:val="16"/>
        </w:rPr>
        <w:t xml:space="preserve"> pacífica y de asociación, 21 de mayo de 2012.</w:t>
      </w:r>
    </w:p>
  </w:footnote>
  <w:footnote w:id="18">
    <w:p w:rsidR="00630E48" w:rsidRPr="00BF1AFE" w:rsidRDefault="00630E48" w:rsidP="00BF1AFE">
      <w:pPr>
        <w:pStyle w:val="FootnoteText"/>
        <w:spacing w:before="0" w:line="240" w:lineRule="auto"/>
        <w:ind w:left="357"/>
        <w:rPr>
          <w:sz w:val="14"/>
          <w:szCs w:val="14"/>
        </w:rPr>
      </w:pPr>
      <w:r w:rsidRPr="00BF1AFE">
        <w:rPr>
          <w:rStyle w:val="FootnoteReference"/>
          <w:rFonts w:ascii="Montserrat" w:hAnsi="Montserrat"/>
          <w:sz w:val="14"/>
          <w:szCs w:val="14"/>
        </w:rPr>
        <w:footnoteRef/>
      </w:r>
      <w:r w:rsidRPr="00BF1AFE">
        <w:rPr>
          <w:rFonts w:ascii="Montserrat" w:hAnsi="Montserrat"/>
          <w:sz w:val="14"/>
          <w:szCs w:val="14"/>
        </w:rPr>
        <w:t xml:space="preserve"> </w:t>
      </w:r>
      <w:r w:rsidRPr="00BF1AFE">
        <w:rPr>
          <w:rFonts w:ascii="Montserrat" w:hAnsi="Montserrat" w:cstheme="majorHAnsi"/>
          <w:sz w:val="14"/>
          <w:szCs w:val="14"/>
        </w:rPr>
        <w:t>Véase Resolución A/HRC/25/L.20, 24 de marzo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E16"/>
    <w:multiLevelType w:val="hybridMultilevel"/>
    <w:tmpl w:val="C4D0E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76B93"/>
    <w:multiLevelType w:val="hybridMultilevel"/>
    <w:tmpl w:val="0F5449F0"/>
    <w:lvl w:ilvl="0" w:tplc="E898A366">
      <w:start w:val="1"/>
      <w:numFmt w:val="upperLetter"/>
      <w:lvlText w:val="%1."/>
      <w:lvlJc w:val="left"/>
      <w:pPr>
        <w:ind w:left="363" w:hanging="360"/>
      </w:pPr>
      <w:rPr>
        <w:rFonts w:ascii="Times New Roman" w:eastAsiaTheme="majorEastAsia" w:hAnsi="Times New Roman" w:cs="Times New Roman"/>
        <w:b/>
        <w:color w:val="auto"/>
      </w:rPr>
    </w:lvl>
    <w:lvl w:ilvl="1" w:tplc="080A0019">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 w15:restartNumberingAfterBreak="0">
    <w:nsid w:val="0E697DB0"/>
    <w:multiLevelType w:val="hybridMultilevel"/>
    <w:tmpl w:val="268AED22"/>
    <w:lvl w:ilvl="0" w:tplc="8FC6449C">
      <w:start w:val="1"/>
      <w:numFmt w:val="decimal"/>
      <w:lvlText w:val="%1."/>
      <w:lvlJc w:val="left"/>
      <w:pPr>
        <w:ind w:left="502" w:hanging="360"/>
      </w:pPr>
      <w:rPr>
        <w:rFonts w:hint="default"/>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82FE7"/>
    <w:multiLevelType w:val="hybridMultilevel"/>
    <w:tmpl w:val="B51A5B70"/>
    <w:lvl w:ilvl="0" w:tplc="080A001B">
      <w:start w:val="1"/>
      <w:numFmt w:val="lowerRoman"/>
      <w:lvlText w:val="%1."/>
      <w:lvlJc w:val="righ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4" w15:restartNumberingAfterBreak="0">
    <w:nsid w:val="0FA84979"/>
    <w:multiLevelType w:val="hybridMultilevel"/>
    <w:tmpl w:val="F97A5F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F05564"/>
    <w:multiLevelType w:val="hybridMultilevel"/>
    <w:tmpl w:val="98429736"/>
    <w:lvl w:ilvl="0" w:tplc="5BDA2A38">
      <w:start w:val="1"/>
      <w:numFmt w:val="upperLetter"/>
      <w:lvlText w:val="%1."/>
      <w:lvlJc w:val="left"/>
      <w:pPr>
        <w:ind w:left="363" w:hanging="360"/>
      </w:pPr>
      <w:rPr>
        <w:b/>
      </w:rPr>
    </w:lvl>
    <w:lvl w:ilvl="1" w:tplc="080A0019">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6" w15:restartNumberingAfterBreak="0">
    <w:nsid w:val="13F95E71"/>
    <w:multiLevelType w:val="hybridMultilevel"/>
    <w:tmpl w:val="A8DC6A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51441"/>
    <w:multiLevelType w:val="hybridMultilevel"/>
    <w:tmpl w:val="62CE0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711FE5"/>
    <w:multiLevelType w:val="hybridMultilevel"/>
    <w:tmpl w:val="9F40E504"/>
    <w:lvl w:ilvl="0" w:tplc="77B8561A">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05470"/>
    <w:multiLevelType w:val="hybridMultilevel"/>
    <w:tmpl w:val="268AED22"/>
    <w:lvl w:ilvl="0" w:tplc="8FC6449C">
      <w:start w:val="1"/>
      <w:numFmt w:val="decimal"/>
      <w:lvlText w:val="%1."/>
      <w:lvlJc w:val="left"/>
      <w:pPr>
        <w:ind w:left="502" w:hanging="360"/>
      </w:pPr>
      <w:rPr>
        <w:rFonts w:hint="default"/>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B636C"/>
    <w:multiLevelType w:val="hybridMultilevel"/>
    <w:tmpl w:val="189ED404"/>
    <w:lvl w:ilvl="0" w:tplc="1A70C0D0">
      <w:start w:val="1"/>
      <w:numFmt w:val="upperLetter"/>
      <w:lvlText w:val="%1."/>
      <w:lvlJc w:val="left"/>
      <w:pPr>
        <w:ind w:left="502" w:hanging="360"/>
      </w:pPr>
      <w:rPr>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11" w15:restartNumberingAfterBreak="0">
    <w:nsid w:val="31E5680E"/>
    <w:multiLevelType w:val="hybridMultilevel"/>
    <w:tmpl w:val="98429736"/>
    <w:lvl w:ilvl="0" w:tplc="5BDA2A38">
      <w:start w:val="1"/>
      <w:numFmt w:val="upperLetter"/>
      <w:lvlText w:val="%1."/>
      <w:lvlJc w:val="left"/>
      <w:pPr>
        <w:ind w:left="363" w:hanging="360"/>
      </w:pPr>
      <w:rPr>
        <w:b/>
      </w:rPr>
    </w:lvl>
    <w:lvl w:ilvl="1" w:tplc="080A0019">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12" w15:restartNumberingAfterBreak="0">
    <w:nsid w:val="379345FF"/>
    <w:multiLevelType w:val="hybridMultilevel"/>
    <w:tmpl w:val="98429736"/>
    <w:lvl w:ilvl="0" w:tplc="5BDA2A38">
      <w:start w:val="1"/>
      <w:numFmt w:val="upperLetter"/>
      <w:lvlText w:val="%1."/>
      <w:lvlJc w:val="left"/>
      <w:pPr>
        <w:ind w:left="363" w:hanging="360"/>
      </w:pPr>
      <w:rPr>
        <w:b/>
      </w:rPr>
    </w:lvl>
    <w:lvl w:ilvl="1" w:tplc="080A0019">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13" w15:restartNumberingAfterBreak="0">
    <w:nsid w:val="382F2BAA"/>
    <w:multiLevelType w:val="hybridMultilevel"/>
    <w:tmpl w:val="594C2D98"/>
    <w:lvl w:ilvl="0" w:tplc="5084366E">
      <w:start w:val="2"/>
      <w:numFmt w:val="upperLetter"/>
      <w:lvlText w:val="%1."/>
      <w:lvlJc w:val="left"/>
      <w:pPr>
        <w:ind w:left="363" w:hanging="360"/>
      </w:pPr>
      <w:rPr>
        <w:rFonts w:hint="default"/>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14" w15:restartNumberingAfterBreak="0">
    <w:nsid w:val="3882029B"/>
    <w:multiLevelType w:val="hybridMultilevel"/>
    <w:tmpl w:val="A6E0625A"/>
    <w:lvl w:ilvl="0" w:tplc="9A509468">
      <w:start w:val="1"/>
      <w:numFmt w:val="upperRoman"/>
      <w:lvlText w:val="%1."/>
      <w:lvlJc w:val="left"/>
      <w:pPr>
        <w:ind w:left="363" w:hanging="720"/>
      </w:pPr>
      <w:rPr>
        <w:rFonts w:ascii="Montserrat" w:hAnsi="Montserrat" w:hint="default"/>
        <w:b w:val="0"/>
        <w:sz w:val="20"/>
        <w:szCs w:val="20"/>
      </w:rPr>
    </w:lvl>
    <w:lvl w:ilvl="1" w:tplc="080A0019" w:tentative="1">
      <w:start w:val="1"/>
      <w:numFmt w:val="lowerLetter"/>
      <w:lvlText w:val="%2."/>
      <w:lvlJc w:val="left"/>
      <w:pPr>
        <w:ind w:left="723" w:hanging="360"/>
      </w:pPr>
    </w:lvl>
    <w:lvl w:ilvl="2" w:tplc="080A001B" w:tentative="1">
      <w:start w:val="1"/>
      <w:numFmt w:val="lowerRoman"/>
      <w:lvlText w:val="%3."/>
      <w:lvlJc w:val="right"/>
      <w:pPr>
        <w:ind w:left="1443" w:hanging="180"/>
      </w:pPr>
    </w:lvl>
    <w:lvl w:ilvl="3" w:tplc="080A000F" w:tentative="1">
      <w:start w:val="1"/>
      <w:numFmt w:val="decimal"/>
      <w:lvlText w:val="%4."/>
      <w:lvlJc w:val="left"/>
      <w:pPr>
        <w:ind w:left="2163" w:hanging="360"/>
      </w:pPr>
    </w:lvl>
    <w:lvl w:ilvl="4" w:tplc="080A0019" w:tentative="1">
      <w:start w:val="1"/>
      <w:numFmt w:val="lowerLetter"/>
      <w:lvlText w:val="%5."/>
      <w:lvlJc w:val="left"/>
      <w:pPr>
        <w:ind w:left="2883" w:hanging="360"/>
      </w:pPr>
    </w:lvl>
    <w:lvl w:ilvl="5" w:tplc="080A001B" w:tentative="1">
      <w:start w:val="1"/>
      <w:numFmt w:val="lowerRoman"/>
      <w:lvlText w:val="%6."/>
      <w:lvlJc w:val="right"/>
      <w:pPr>
        <w:ind w:left="3603" w:hanging="180"/>
      </w:pPr>
    </w:lvl>
    <w:lvl w:ilvl="6" w:tplc="080A000F" w:tentative="1">
      <w:start w:val="1"/>
      <w:numFmt w:val="decimal"/>
      <w:lvlText w:val="%7."/>
      <w:lvlJc w:val="left"/>
      <w:pPr>
        <w:ind w:left="4323" w:hanging="360"/>
      </w:pPr>
    </w:lvl>
    <w:lvl w:ilvl="7" w:tplc="080A0019" w:tentative="1">
      <w:start w:val="1"/>
      <w:numFmt w:val="lowerLetter"/>
      <w:lvlText w:val="%8."/>
      <w:lvlJc w:val="left"/>
      <w:pPr>
        <w:ind w:left="5043" w:hanging="360"/>
      </w:pPr>
    </w:lvl>
    <w:lvl w:ilvl="8" w:tplc="080A001B" w:tentative="1">
      <w:start w:val="1"/>
      <w:numFmt w:val="lowerRoman"/>
      <w:lvlText w:val="%9."/>
      <w:lvlJc w:val="right"/>
      <w:pPr>
        <w:ind w:left="5763" w:hanging="180"/>
      </w:pPr>
    </w:lvl>
  </w:abstractNum>
  <w:abstractNum w:abstractNumId="15" w15:restartNumberingAfterBreak="0">
    <w:nsid w:val="397A31C9"/>
    <w:multiLevelType w:val="hybridMultilevel"/>
    <w:tmpl w:val="4DB47D72"/>
    <w:lvl w:ilvl="0" w:tplc="080A0003">
      <w:start w:val="1"/>
      <w:numFmt w:val="bullet"/>
      <w:lvlText w:val="o"/>
      <w:lvlJc w:val="left"/>
      <w:pPr>
        <w:ind w:left="1083" w:hanging="360"/>
      </w:pPr>
      <w:rPr>
        <w:rFonts w:ascii="Courier New" w:hAnsi="Courier New" w:cs="Courier New"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16" w15:restartNumberingAfterBreak="0">
    <w:nsid w:val="54BC0ACB"/>
    <w:multiLevelType w:val="hybridMultilevel"/>
    <w:tmpl w:val="BF92E7D4"/>
    <w:lvl w:ilvl="0" w:tplc="160664B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55C1071C"/>
    <w:multiLevelType w:val="hybridMultilevel"/>
    <w:tmpl w:val="E2FA44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A4F7C"/>
    <w:multiLevelType w:val="hybridMultilevel"/>
    <w:tmpl w:val="2AF2FB48"/>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5A10690A"/>
    <w:multiLevelType w:val="hybridMultilevel"/>
    <w:tmpl w:val="CB761C4A"/>
    <w:lvl w:ilvl="0" w:tplc="6784C6B6">
      <w:start w:val="1"/>
      <w:numFmt w:val="upperLetter"/>
      <w:lvlText w:val="%1."/>
      <w:lvlJc w:val="left"/>
      <w:pPr>
        <w:ind w:left="363" w:hanging="360"/>
      </w:pPr>
      <w:rPr>
        <w:rFonts w:hint="default"/>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0" w15:restartNumberingAfterBreak="0">
    <w:nsid w:val="5B7F58E5"/>
    <w:multiLevelType w:val="hybridMultilevel"/>
    <w:tmpl w:val="150E16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ECA2A2B"/>
    <w:multiLevelType w:val="hybridMultilevel"/>
    <w:tmpl w:val="ED627D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3F2478"/>
    <w:multiLevelType w:val="hybridMultilevel"/>
    <w:tmpl w:val="A4561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1F6596"/>
    <w:multiLevelType w:val="hybridMultilevel"/>
    <w:tmpl w:val="0BB2055C"/>
    <w:lvl w:ilvl="0" w:tplc="07768C24">
      <w:start w:val="1"/>
      <w:numFmt w:val="upperLetter"/>
      <w:lvlText w:val="%1."/>
      <w:lvlJc w:val="right"/>
      <w:pPr>
        <w:ind w:left="993" w:hanging="360"/>
      </w:pPr>
      <w:rPr>
        <w:rFonts w:ascii="Times New Roman" w:eastAsiaTheme="minorHAnsi" w:hAnsi="Times New Roman" w:cs="Times New Roman"/>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4" w15:restartNumberingAfterBreak="0">
    <w:nsid w:val="68FB3CFA"/>
    <w:multiLevelType w:val="hybridMultilevel"/>
    <w:tmpl w:val="25ACA75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D3D14D1"/>
    <w:multiLevelType w:val="hybridMultilevel"/>
    <w:tmpl w:val="8CB0BBA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FB1D78"/>
    <w:multiLevelType w:val="hybridMultilevel"/>
    <w:tmpl w:val="85DE1CA4"/>
    <w:lvl w:ilvl="0" w:tplc="8FC6449C">
      <w:start w:val="1"/>
      <w:numFmt w:val="decimal"/>
      <w:lvlText w:val="%1."/>
      <w:lvlJc w:val="left"/>
      <w:pPr>
        <w:ind w:left="502" w:hanging="360"/>
      </w:pPr>
      <w:rPr>
        <w:rFonts w:hint="default"/>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1EB20120">
      <w:numFmt w:val="bullet"/>
      <w:lvlText w:val=""/>
      <w:lvlJc w:val="left"/>
      <w:pPr>
        <w:ind w:left="5235" w:hanging="555"/>
      </w:pPr>
      <w:rPr>
        <w:rFonts w:ascii="Symbol" w:eastAsiaTheme="minorHAnsi" w:hAnsi="Symbol" w:cs="Times New Roman" w:hint="default"/>
      </w:r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4D258D"/>
    <w:multiLevelType w:val="hybridMultilevel"/>
    <w:tmpl w:val="98429736"/>
    <w:lvl w:ilvl="0" w:tplc="5BDA2A38">
      <w:start w:val="1"/>
      <w:numFmt w:val="upperLetter"/>
      <w:lvlText w:val="%1."/>
      <w:lvlJc w:val="left"/>
      <w:pPr>
        <w:ind w:left="363" w:hanging="360"/>
      </w:pPr>
      <w:rPr>
        <w:b/>
      </w:rPr>
    </w:lvl>
    <w:lvl w:ilvl="1" w:tplc="080A0019">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8" w15:restartNumberingAfterBreak="0">
    <w:nsid w:val="7C897903"/>
    <w:multiLevelType w:val="hybridMultilevel"/>
    <w:tmpl w:val="268AED22"/>
    <w:lvl w:ilvl="0" w:tplc="8FC6449C">
      <w:start w:val="1"/>
      <w:numFmt w:val="decimal"/>
      <w:lvlText w:val="%1."/>
      <w:lvlJc w:val="left"/>
      <w:pPr>
        <w:ind w:left="502" w:hanging="360"/>
      </w:pPr>
      <w:rPr>
        <w:rFonts w:hint="default"/>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
  </w:num>
  <w:num w:numId="3">
    <w:abstractNumId w:val="11"/>
  </w:num>
  <w:num w:numId="4">
    <w:abstractNumId w:val="5"/>
  </w:num>
  <w:num w:numId="5">
    <w:abstractNumId w:val="12"/>
  </w:num>
  <w:num w:numId="6">
    <w:abstractNumId w:val="27"/>
  </w:num>
  <w:num w:numId="7">
    <w:abstractNumId w:val="3"/>
  </w:num>
  <w:num w:numId="8">
    <w:abstractNumId w:val="9"/>
  </w:num>
  <w:num w:numId="9">
    <w:abstractNumId w:val="2"/>
  </w:num>
  <w:num w:numId="10">
    <w:abstractNumId w:val="17"/>
  </w:num>
  <w:num w:numId="11">
    <w:abstractNumId w:val="28"/>
  </w:num>
  <w:num w:numId="12">
    <w:abstractNumId w:val="19"/>
  </w:num>
  <w:num w:numId="13">
    <w:abstractNumId w:val="13"/>
  </w:num>
  <w:num w:numId="14">
    <w:abstractNumId w:val="18"/>
  </w:num>
  <w:num w:numId="15">
    <w:abstractNumId w:val="25"/>
  </w:num>
  <w:num w:numId="16">
    <w:abstractNumId w:val="23"/>
  </w:num>
  <w:num w:numId="17">
    <w:abstractNumId w:val="10"/>
  </w:num>
  <w:num w:numId="18">
    <w:abstractNumId w:val="21"/>
  </w:num>
  <w:num w:numId="19">
    <w:abstractNumId w:val="6"/>
  </w:num>
  <w:num w:numId="20">
    <w:abstractNumId w:val="22"/>
  </w:num>
  <w:num w:numId="21">
    <w:abstractNumId w:val="20"/>
  </w:num>
  <w:num w:numId="22">
    <w:abstractNumId w:val="16"/>
  </w:num>
  <w:num w:numId="23">
    <w:abstractNumId w:val="7"/>
  </w:num>
  <w:num w:numId="24">
    <w:abstractNumId w:val="0"/>
  </w:num>
  <w:num w:numId="25">
    <w:abstractNumId w:val="14"/>
  </w:num>
  <w:num w:numId="26">
    <w:abstractNumId w:val="8"/>
  </w:num>
  <w:num w:numId="27">
    <w:abstractNumId w:val="24"/>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29"/>
    <w:rsid w:val="00006EB0"/>
    <w:rsid w:val="00011EEC"/>
    <w:rsid w:val="00030909"/>
    <w:rsid w:val="000412C9"/>
    <w:rsid w:val="00052FE6"/>
    <w:rsid w:val="000616F7"/>
    <w:rsid w:val="00067D5A"/>
    <w:rsid w:val="00071F39"/>
    <w:rsid w:val="00075C41"/>
    <w:rsid w:val="00075E54"/>
    <w:rsid w:val="000834A0"/>
    <w:rsid w:val="0008358A"/>
    <w:rsid w:val="00083BCA"/>
    <w:rsid w:val="00084CDD"/>
    <w:rsid w:val="00090696"/>
    <w:rsid w:val="0009168E"/>
    <w:rsid w:val="00092876"/>
    <w:rsid w:val="00096E8D"/>
    <w:rsid w:val="000B5120"/>
    <w:rsid w:val="000B71B8"/>
    <w:rsid w:val="000C2911"/>
    <w:rsid w:val="000C570F"/>
    <w:rsid w:val="000C6D4B"/>
    <w:rsid w:val="000D017C"/>
    <w:rsid w:val="000D090C"/>
    <w:rsid w:val="000D22F7"/>
    <w:rsid w:val="000E7BC9"/>
    <w:rsid w:val="000F0E05"/>
    <w:rsid w:val="001133C5"/>
    <w:rsid w:val="0011782A"/>
    <w:rsid w:val="00124800"/>
    <w:rsid w:val="00124DD0"/>
    <w:rsid w:val="00126DE3"/>
    <w:rsid w:val="00133CE7"/>
    <w:rsid w:val="001424FD"/>
    <w:rsid w:val="00142702"/>
    <w:rsid w:val="0014441E"/>
    <w:rsid w:val="00160BFA"/>
    <w:rsid w:val="00173C4A"/>
    <w:rsid w:val="00180DA4"/>
    <w:rsid w:val="00186A1A"/>
    <w:rsid w:val="001960D6"/>
    <w:rsid w:val="001B4263"/>
    <w:rsid w:val="001B5D21"/>
    <w:rsid w:val="001C5526"/>
    <w:rsid w:val="001C696A"/>
    <w:rsid w:val="001D0E62"/>
    <w:rsid w:val="001D4CCD"/>
    <w:rsid w:val="001D5EE0"/>
    <w:rsid w:val="001D6C14"/>
    <w:rsid w:val="001D79AC"/>
    <w:rsid w:val="001E15CC"/>
    <w:rsid w:val="001E6C5A"/>
    <w:rsid w:val="00200B27"/>
    <w:rsid w:val="002037B0"/>
    <w:rsid w:val="00210437"/>
    <w:rsid w:val="00210CAB"/>
    <w:rsid w:val="00227583"/>
    <w:rsid w:val="0023184E"/>
    <w:rsid w:val="0024140C"/>
    <w:rsid w:val="00241B50"/>
    <w:rsid w:val="00247610"/>
    <w:rsid w:val="0025129A"/>
    <w:rsid w:val="00251786"/>
    <w:rsid w:val="00253E95"/>
    <w:rsid w:val="00257617"/>
    <w:rsid w:val="00260044"/>
    <w:rsid w:val="002809D9"/>
    <w:rsid w:val="00282732"/>
    <w:rsid w:val="00294E94"/>
    <w:rsid w:val="00295F47"/>
    <w:rsid w:val="002A54D1"/>
    <w:rsid w:val="002A654E"/>
    <w:rsid w:val="002A65F8"/>
    <w:rsid w:val="002B24A7"/>
    <w:rsid w:val="002B27B5"/>
    <w:rsid w:val="002C105B"/>
    <w:rsid w:val="002C6B4F"/>
    <w:rsid w:val="002D7BCD"/>
    <w:rsid w:val="002E0C5E"/>
    <w:rsid w:val="002E2343"/>
    <w:rsid w:val="002E44A7"/>
    <w:rsid w:val="002E72CA"/>
    <w:rsid w:val="002E799C"/>
    <w:rsid w:val="002F7615"/>
    <w:rsid w:val="00305A34"/>
    <w:rsid w:val="003125C1"/>
    <w:rsid w:val="0031411B"/>
    <w:rsid w:val="00323D37"/>
    <w:rsid w:val="00325FCE"/>
    <w:rsid w:val="00333006"/>
    <w:rsid w:val="0034381D"/>
    <w:rsid w:val="00352ED4"/>
    <w:rsid w:val="003569AB"/>
    <w:rsid w:val="00366D30"/>
    <w:rsid w:val="00373004"/>
    <w:rsid w:val="00376C99"/>
    <w:rsid w:val="00381AE9"/>
    <w:rsid w:val="00394616"/>
    <w:rsid w:val="00395EF1"/>
    <w:rsid w:val="003A0F6F"/>
    <w:rsid w:val="003A150F"/>
    <w:rsid w:val="003A546C"/>
    <w:rsid w:val="003C37B5"/>
    <w:rsid w:val="003C581C"/>
    <w:rsid w:val="003D78D3"/>
    <w:rsid w:val="003E4C29"/>
    <w:rsid w:val="003F60FE"/>
    <w:rsid w:val="003F6CD5"/>
    <w:rsid w:val="00403B6A"/>
    <w:rsid w:val="00404B21"/>
    <w:rsid w:val="00426E79"/>
    <w:rsid w:val="00430E6B"/>
    <w:rsid w:val="0045276B"/>
    <w:rsid w:val="00457383"/>
    <w:rsid w:val="00465BFE"/>
    <w:rsid w:val="00465E6A"/>
    <w:rsid w:val="004737E1"/>
    <w:rsid w:val="00473C03"/>
    <w:rsid w:val="00484D52"/>
    <w:rsid w:val="00486D72"/>
    <w:rsid w:val="00487ED3"/>
    <w:rsid w:val="00490BC6"/>
    <w:rsid w:val="0049133A"/>
    <w:rsid w:val="004917C9"/>
    <w:rsid w:val="0049630F"/>
    <w:rsid w:val="004974B8"/>
    <w:rsid w:val="004A2E4A"/>
    <w:rsid w:val="004A36E2"/>
    <w:rsid w:val="004A7CFB"/>
    <w:rsid w:val="004B2BBE"/>
    <w:rsid w:val="004C791B"/>
    <w:rsid w:val="004D27BF"/>
    <w:rsid w:val="004D5B08"/>
    <w:rsid w:val="00512A12"/>
    <w:rsid w:val="00513B35"/>
    <w:rsid w:val="005148B7"/>
    <w:rsid w:val="005225EC"/>
    <w:rsid w:val="0053404E"/>
    <w:rsid w:val="00540D6F"/>
    <w:rsid w:val="00544A40"/>
    <w:rsid w:val="0055147A"/>
    <w:rsid w:val="005569B9"/>
    <w:rsid w:val="005573FD"/>
    <w:rsid w:val="0056208C"/>
    <w:rsid w:val="005631BD"/>
    <w:rsid w:val="00563BF9"/>
    <w:rsid w:val="00571BEF"/>
    <w:rsid w:val="00575E1F"/>
    <w:rsid w:val="00585CCE"/>
    <w:rsid w:val="005875F2"/>
    <w:rsid w:val="0059379C"/>
    <w:rsid w:val="005A05D9"/>
    <w:rsid w:val="005A1358"/>
    <w:rsid w:val="005A708F"/>
    <w:rsid w:val="005B0030"/>
    <w:rsid w:val="005B17FF"/>
    <w:rsid w:val="005C164D"/>
    <w:rsid w:val="005C1821"/>
    <w:rsid w:val="005C3DDB"/>
    <w:rsid w:val="005C5B50"/>
    <w:rsid w:val="005E2DD1"/>
    <w:rsid w:val="005E6716"/>
    <w:rsid w:val="005F1043"/>
    <w:rsid w:val="005F5671"/>
    <w:rsid w:val="006112E9"/>
    <w:rsid w:val="00617B2D"/>
    <w:rsid w:val="00625476"/>
    <w:rsid w:val="00630E48"/>
    <w:rsid w:val="006367B0"/>
    <w:rsid w:val="006477FE"/>
    <w:rsid w:val="0066241D"/>
    <w:rsid w:val="006629FA"/>
    <w:rsid w:val="0066496A"/>
    <w:rsid w:val="0066572E"/>
    <w:rsid w:val="0067216D"/>
    <w:rsid w:val="00687EA5"/>
    <w:rsid w:val="0069216E"/>
    <w:rsid w:val="00696A78"/>
    <w:rsid w:val="006A0897"/>
    <w:rsid w:val="006B0BA3"/>
    <w:rsid w:val="006B0C79"/>
    <w:rsid w:val="006B2ED2"/>
    <w:rsid w:val="006B65CC"/>
    <w:rsid w:val="006C5399"/>
    <w:rsid w:val="006C5827"/>
    <w:rsid w:val="006D1837"/>
    <w:rsid w:val="006D493F"/>
    <w:rsid w:val="006D497D"/>
    <w:rsid w:val="006E3E7B"/>
    <w:rsid w:val="006F15A4"/>
    <w:rsid w:val="0070529F"/>
    <w:rsid w:val="00705774"/>
    <w:rsid w:val="00707315"/>
    <w:rsid w:val="00723B5D"/>
    <w:rsid w:val="0074492F"/>
    <w:rsid w:val="00753D5F"/>
    <w:rsid w:val="00753F68"/>
    <w:rsid w:val="007577F1"/>
    <w:rsid w:val="0076717F"/>
    <w:rsid w:val="00770521"/>
    <w:rsid w:val="00773115"/>
    <w:rsid w:val="00774554"/>
    <w:rsid w:val="00784BCF"/>
    <w:rsid w:val="007874CA"/>
    <w:rsid w:val="00797BB5"/>
    <w:rsid w:val="007A23E7"/>
    <w:rsid w:val="007B5C69"/>
    <w:rsid w:val="007C1F51"/>
    <w:rsid w:val="007C2B88"/>
    <w:rsid w:val="007C3EF7"/>
    <w:rsid w:val="007C6EE2"/>
    <w:rsid w:val="007D7E01"/>
    <w:rsid w:val="007E5C68"/>
    <w:rsid w:val="007E644B"/>
    <w:rsid w:val="00811073"/>
    <w:rsid w:val="0081248B"/>
    <w:rsid w:val="0081298D"/>
    <w:rsid w:val="00820D7E"/>
    <w:rsid w:val="00836FB4"/>
    <w:rsid w:val="00840410"/>
    <w:rsid w:val="0084278F"/>
    <w:rsid w:val="00855A95"/>
    <w:rsid w:val="008563E4"/>
    <w:rsid w:val="0086127F"/>
    <w:rsid w:val="0086261E"/>
    <w:rsid w:val="008674BA"/>
    <w:rsid w:val="00872212"/>
    <w:rsid w:val="00874C9A"/>
    <w:rsid w:val="008B06BD"/>
    <w:rsid w:val="008B75F2"/>
    <w:rsid w:val="008C141C"/>
    <w:rsid w:val="008C40A4"/>
    <w:rsid w:val="008D5ACD"/>
    <w:rsid w:val="008D7A35"/>
    <w:rsid w:val="008E09FC"/>
    <w:rsid w:val="008E17CA"/>
    <w:rsid w:val="008E472F"/>
    <w:rsid w:val="008E4B8E"/>
    <w:rsid w:val="008F0DC4"/>
    <w:rsid w:val="009033BC"/>
    <w:rsid w:val="0090382E"/>
    <w:rsid w:val="009249A7"/>
    <w:rsid w:val="00930570"/>
    <w:rsid w:val="00931EC2"/>
    <w:rsid w:val="0093453C"/>
    <w:rsid w:val="00944B74"/>
    <w:rsid w:val="009574B9"/>
    <w:rsid w:val="009618DB"/>
    <w:rsid w:val="00965897"/>
    <w:rsid w:val="00965E18"/>
    <w:rsid w:val="00965EC5"/>
    <w:rsid w:val="009709E5"/>
    <w:rsid w:val="009738C7"/>
    <w:rsid w:val="00973A88"/>
    <w:rsid w:val="00983603"/>
    <w:rsid w:val="0099734E"/>
    <w:rsid w:val="009977B1"/>
    <w:rsid w:val="009C2919"/>
    <w:rsid w:val="009C6F5D"/>
    <w:rsid w:val="009D1083"/>
    <w:rsid w:val="009F3FB6"/>
    <w:rsid w:val="009F77AB"/>
    <w:rsid w:val="00A0037B"/>
    <w:rsid w:val="00A04FB2"/>
    <w:rsid w:val="00A0515E"/>
    <w:rsid w:val="00A05BB0"/>
    <w:rsid w:val="00A05BF0"/>
    <w:rsid w:val="00A0617B"/>
    <w:rsid w:val="00A10AD3"/>
    <w:rsid w:val="00A206C8"/>
    <w:rsid w:val="00A50D65"/>
    <w:rsid w:val="00A64C61"/>
    <w:rsid w:val="00A93D9E"/>
    <w:rsid w:val="00A95D1F"/>
    <w:rsid w:val="00A96694"/>
    <w:rsid w:val="00AA38CF"/>
    <w:rsid w:val="00AA7CA2"/>
    <w:rsid w:val="00AB01AB"/>
    <w:rsid w:val="00AB2BC8"/>
    <w:rsid w:val="00AC25BD"/>
    <w:rsid w:val="00AC48AD"/>
    <w:rsid w:val="00AD1131"/>
    <w:rsid w:val="00AD153F"/>
    <w:rsid w:val="00AD1F81"/>
    <w:rsid w:val="00AD47C9"/>
    <w:rsid w:val="00AE321F"/>
    <w:rsid w:val="00B2402F"/>
    <w:rsid w:val="00B26DA8"/>
    <w:rsid w:val="00B32DF8"/>
    <w:rsid w:val="00B35FC2"/>
    <w:rsid w:val="00B37634"/>
    <w:rsid w:val="00B407F1"/>
    <w:rsid w:val="00B4149E"/>
    <w:rsid w:val="00B522B3"/>
    <w:rsid w:val="00B73663"/>
    <w:rsid w:val="00B921DF"/>
    <w:rsid w:val="00B931A0"/>
    <w:rsid w:val="00B97209"/>
    <w:rsid w:val="00BA0CF4"/>
    <w:rsid w:val="00BC1B1D"/>
    <w:rsid w:val="00BC56F8"/>
    <w:rsid w:val="00BD0FAE"/>
    <w:rsid w:val="00BD3ACC"/>
    <w:rsid w:val="00BE0D16"/>
    <w:rsid w:val="00BF1AFE"/>
    <w:rsid w:val="00BF1B82"/>
    <w:rsid w:val="00BF54FF"/>
    <w:rsid w:val="00BF6D11"/>
    <w:rsid w:val="00BF7F38"/>
    <w:rsid w:val="00C03CEF"/>
    <w:rsid w:val="00C07F8C"/>
    <w:rsid w:val="00C14B90"/>
    <w:rsid w:val="00C217F0"/>
    <w:rsid w:val="00C222E6"/>
    <w:rsid w:val="00C30644"/>
    <w:rsid w:val="00C32B2A"/>
    <w:rsid w:val="00C43866"/>
    <w:rsid w:val="00C56970"/>
    <w:rsid w:val="00C60A44"/>
    <w:rsid w:val="00C8530A"/>
    <w:rsid w:val="00C9476F"/>
    <w:rsid w:val="00CA596B"/>
    <w:rsid w:val="00CB12ED"/>
    <w:rsid w:val="00CB4E6E"/>
    <w:rsid w:val="00CC5A62"/>
    <w:rsid w:val="00CD595F"/>
    <w:rsid w:val="00CD661F"/>
    <w:rsid w:val="00CE104B"/>
    <w:rsid w:val="00CF2D56"/>
    <w:rsid w:val="00CF3415"/>
    <w:rsid w:val="00CF3A82"/>
    <w:rsid w:val="00CF52A1"/>
    <w:rsid w:val="00D033CE"/>
    <w:rsid w:val="00D055ED"/>
    <w:rsid w:val="00D11BDC"/>
    <w:rsid w:val="00D20E04"/>
    <w:rsid w:val="00D20FFD"/>
    <w:rsid w:val="00D2678E"/>
    <w:rsid w:val="00D341AF"/>
    <w:rsid w:val="00D45A39"/>
    <w:rsid w:val="00D50425"/>
    <w:rsid w:val="00D546C6"/>
    <w:rsid w:val="00D55757"/>
    <w:rsid w:val="00D5776C"/>
    <w:rsid w:val="00D61A5B"/>
    <w:rsid w:val="00D76A1C"/>
    <w:rsid w:val="00D84143"/>
    <w:rsid w:val="00D84422"/>
    <w:rsid w:val="00D9673E"/>
    <w:rsid w:val="00DA309E"/>
    <w:rsid w:val="00DB44BA"/>
    <w:rsid w:val="00DB744D"/>
    <w:rsid w:val="00DE6A08"/>
    <w:rsid w:val="00DF4006"/>
    <w:rsid w:val="00DF53EF"/>
    <w:rsid w:val="00DF7983"/>
    <w:rsid w:val="00E01B09"/>
    <w:rsid w:val="00E02100"/>
    <w:rsid w:val="00E04B77"/>
    <w:rsid w:val="00E07654"/>
    <w:rsid w:val="00E1127A"/>
    <w:rsid w:val="00E12062"/>
    <w:rsid w:val="00E25FB4"/>
    <w:rsid w:val="00E3023C"/>
    <w:rsid w:val="00E31B39"/>
    <w:rsid w:val="00E52A45"/>
    <w:rsid w:val="00E56681"/>
    <w:rsid w:val="00E57F18"/>
    <w:rsid w:val="00E647E7"/>
    <w:rsid w:val="00E64E3E"/>
    <w:rsid w:val="00E819B7"/>
    <w:rsid w:val="00E8412F"/>
    <w:rsid w:val="00E859D5"/>
    <w:rsid w:val="00E87AFB"/>
    <w:rsid w:val="00E96819"/>
    <w:rsid w:val="00EB5508"/>
    <w:rsid w:val="00EB6B6E"/>
    <w:rsid w:val="00ED1E25"/>
    <w:rsid w:val="00ED2D77"/>
    <w:rsid w:val="00ED6C4C"/>
    <w:rsid w:val="00ED7093"/>
    <w:rsid w:val="00EE0355"/>
    <w:rsid w:val="00EE1409"/>
    <w:rsid w:val="00EE6BD4"/>
    <w:rsid w:val="00EF52E6"/>
    <w:rsid w:val="00EF6034"/>
    <w:rsid w:val="00EF65BF"/>
    <w:rsid w:val="00EF6DF5"/>
    <w:rsid w:val="00F02905"/>
    <w:rsid w:val="00F04972"/>
    <w:rsid w:val="00F0681C"/>
    <w:rsid w:val="00F1355F"/>
    <w:rsid w:val="00F168B9"/>
    <w:rsid w:val="00F17D9B"/>
    <w:rsid w:val="00F20D0C"/>
    <w:rsid w:val="00F211A6"/>
    <w:rsid w:val="00F33175"/>
    <w:rsid w:val="00F33334"/>
    <w:rsid w:val="00F34B95"/>
    <w:rsid w:val="00F419FE"/>
    <w:rsid w:val="00F428FA"/>
    <w:rsid w:val="00F44956"/>
    <w:rsid w:val="00F522DD"/>
    <w:rsid w:val="00F52326"/>
    <w:rsid w:val="00F528A0"/>
    <w:rsid w:val="00F74470"/>
    <w:rsid w:val="00F81855"/>
    <w:rsid w:val="00F83F96"/>
    <w:rsid w:val="00F8451B"/>
    <w:rsid w:val="00F84915"/>
    <w:rsid w:val="00F854A5"/>
    <w:rsid w:val="00FB0343"/>
    <w:rsid w:val="00FB0943"/>
    <w:rsid w:val="00FC1FC2"/>
    <w:rsid w:val="00FC5BEF"/>
    <w:rsid w:val="00FC6728"/>
    <w:rsid w:val="00FC6F35"/>
    <w:rsid w:val="00FD0BB7"/>
    <w:rsid w:val="00FD21BE"/>
    <w:rsid w:val="00FD30F8"/>
    <w:rsid w:val="00FE263D"/>
    <w:rsid w:val="00FE66F8"/>
    <w:rsid w:val="00FF1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ECAB09-484D-4CD8-89BD-3F0A818E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29"/>
    <w:pPr>
      <w:spacing w:before="120" w:after="0" w:line="360" w:lineRule="auto"/>
      <w:ind w:hanging="357"/>
      <w:jc w:val="both"/>
    </w:pPr>
    <w:rPr>
      <w:rFonts w:ascii="Times New Roman" w:hAnsi="Times New Roman" w:cs="Times New Roman"/>
      <w:sz w:val="24"/>
    </w:rPr>
  </w:style>
  <w:style w:type="paragraph" w:styleId="Heading1">
    <w:name w:val="heading 1"/>
    <w:basedOn w:val="Normal"/>
    <w:next w:val="Normal"/>
    <w:link w:val="Heading1Char"/>
    <w:uiPriority w:val="9"/>
    <w:qFormat/>
    <w:rsid w:val="003E4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C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4C29"/>
    <w:pPr>
      <w:ind w:left="720"/>
      <w:contextualSpacing/>
    </w:pPr>
  </w:style>
  <w:style w:type="paragraph" w:styleId="FootnoteText">
    <w:name w:val="footnote text"/>
    <w:basedOn w:val="Normal"/>
    <w:link w:val="FootnoteTextChar"/>
    <w:uiPriority w:val="99"/>
    <w:semiHidden/>
    <w:unhideWhenUsed/>
    <w:rsid w:val="003E4C29"/>
    <w:rPr>
      <w:sz w:val="20"/>
      <w:szCs w:val="20"/>
    </w:rPr>
  </w:style>
  <w:style w:type="character" w:customStyle="1" w:styleId="FootnoteTextChar">
    <w:name w:val="Footnote Text Char"/>
    <w:basedOn w:val="DefaultParagraphFont"/>
    <w:link w:val="FootnoteText"/>
    <w:uiPriority w:val="99"/>
    <w:semiHidden/>
    <w:rsid w:val="003E4C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E4C29"/>
    <w:rPr>
      <w:vertAlign w:val="superscript"/>
    </w:rPr>
  </w:style>
  <w:style w:type="paragraph" w:styleId="Footer">
    <w:name w:val="footer"/>
    <w:basedOn w:val="Normal"/>
    <w:link w:val="FooterChar"/>
    <w:uiPriority w:val="99"/>
    <w:unhideWhenUsed/>
    <w:rsid w:val="003E4C29"/>
    <w:pPr>
      <w:tabs>
        <w:tab w:val="center" w:pos="4419"/>
        <w:tab w:val="right" w:pos="8838"/>
      </w:tabs>
      <w:spacing w:before="0" w:line="240" w:lineRule="auto"/>
    </w:pPr>
  </w:style>
  <w:style w:type="character" w:customStyle="1" w:styleId="FooterChar">
    <w:name w:val="Footer Char"/>
    <w:basedOn w:val="DefaultParagraphFont"/>
    <w:link w:val="Footer"/>
    <w:uiPriority w:val="99"/>
    <w:rsid w:val="003E4C29"/>
    <w:rPr>
      <w:rFonts w:ascii="Times New Roman" w:hAnsi="Times New Roman" w:cs="Times New Roman"/>
      <w:sz w:val="24"/>
    </w:rPr>
  </w:style>
  <w:style w:type="paragraph" w:styleId="TOCHeading">
    <w:name w:val="TOC Heading"/>
    <w:basedOn w:val="Heading1"/>
    <w:next w:val="Normal"/>
    <w:uiPriority w:val="39"/>
    <w:unhideWhenUsed/>
    <w:qFormat/>
    <w:rsid w:val="003E4C29"/>
    <w:pPr>
      <w:spacing w:line="276" w:lineRule="auto"/>
      <w:ind w:firstLine="0"/>
      <w:jc w:val="left"/>
      <w:outlineLvl w:val="9"/>
    </w:pPr>
    <w:rPr>
      <w:lang w:eastAsia="es-MX"/>
    </w:rPr>
  </w:style>
  <w:style w:type="paragraph" w:styleId="TOC1">
    <w:name w:val="toc 1"/>
    <w:basedOn w:val="Normal"/>
    <w:next w:val="Normal"/>
    <w:autoRedefine/>
    <w:uiPriority w:val="39"/>
    <w:unhideWhenUsed/>
    <w:rsid w:val="003E4C29"/>
    <w:pPr>
      <w:tabs>
        <w:tab w:val="right" w:leader="dot" w:pos="8828"/>
      </w:tabs>
      <w:spacing w:after="100"/>
    </w:pPr>
    <w:rPr>
      <w:b/>
      <w:smallCaps/>
      <w:noProof/>
    </w:rPr>
  </w:style>
  <w:style w:type="character" w:styleId="Hyperlink">
    <w:name w:val="Hyperlink"/>
    <w:basedOn w:val="DefaultParagraphFont"/>
    <w:uiPriority w:val="99"/>
    <w:unhideWhenUsed/>
    <w:rsid w:val="003E4C29"/>
    <w:rPr>
      <w:color w:val="0000FF" w:themeColor="hyperlink"/>
      <w:u w:val="single"/>
    </w:rPr>
  </w:style>
  <w:style w:type="paragraph" w:styleId="BalloonText">
    <w:name w:val="Balloon Text"/>
    <w:basedOn w:val="Normal"/>
    <w:link w:val="BalloonTextChar"/>
    <w:uiPriority w:val="99"/>
    <w:semiHidden/>
    <w:unhideWhenUsed/>
    <w:rsid w:val="003E4C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29"/>
    <w:rPr>
      <w:rFonts w:ascii="Tahoma" w:hAnsi="Tahoma" w:cs="Tahoma"/>
      <w:sz w:val="16"/>
      <w:szCs w:val="16"/>
    </w:rPr>
  </w:style>
  <w:style w:type="paragraph" w:styleId="NormalWeb">
    <w:name w:val="Normal (Web)"/>
    <w:basedOn w:val="Normal"/>
    <w:uiPriority w:val="99"/>
    <w:unhideWhenUsed/>
    <w:rsid w:val="002E72CA"/>
    <w:pPr>
      <w:spacing w:before="100" w:beforeAutospacing="1" w:after="100" w:afterAutospacing="1" w:line="240" w:lineRule="auto"/>
      <w:ind w:firstLine="0"/>
      <w:jc w:val="left"/>
    </w:pPr>
    <w:rPr>
      <w:rFonts w:eastAsia="Times New Roman"/>
      <w:szCs w:val="24"/>
      <w:lang w:eastAsia="es-MX"/>
    </w:rPr>
  </w:style>
  <w:style w:type="character" w:styleId="Strong">
    <w:name w:val="Strong"/>
    <w:basedOn w:val="DefaultParagraphFont"/>
    <w:uiPriority w:val="22"/>
    <w:qFormat/>
    <w:rsid w:val="0045276B"/>
    <w:rPr>
      <w:b/>
      <w:bCs/>
    </w:rPr>
  </w:style>
  <w:style w:type="paragraph" w:styleId="EndnoteText">
    <w:name w:val="endnote text"/>
    <w:basedOn w:val="Normal"/>
    <w:link w:val="EndnoteTextChar"/>
    <w:uiPriority w:val="99"/>
    <w:semiHidden/>
    <w:unhideWhenUsed/>
    <w:rsid w:val="00CF2D5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F2D5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F2D56"/>
    <w:rPr>
      <w:vertAlign w:val="superscript"/>
    </w:rPr>
  </w:style>
  <w:style w:type="character" w:styleId="CommentReference">
    <w:name w:val="annotation reference"/>
    <w:basedOn w:val="DefaultParagraphFont"/>
    <w:uiPriority w:val="99"/>
    <w:semiHidden/>
    <w:unhideWhenUsed/>
    <w:rsid w:val="006D493F"/>
    <w:rPr>
      <w:sz w:val="16"/>
      <w:szCs w:val="16"/>
    </w:rPr>
  </w:style>
  <w:style w:type="paragraph" w:styleId="CommentText">
    <w:name w:val="annotation text"/>
    <w:basedOn w:val="Normal"/>
    <w:link w:val="CommentTextChar"/>
    <w:uiPriority w:val="99"/>
    <w:semiHidden/>
    <w:unhideWhenUsed/>
    <w:rsid w:val="006D493F"/>
    <w:pPr>
      <w:spacing w:line="240" w:lineRule="auto"/>
    </w:pPr>
    <w:rPr>
      <w:sz w:val="20"/>
      <w:szCs w:val="20"/>
    </w:rPr>
  </w:style>
  <w:style w:type="character" w:customStyle="1" w:styleId="CommentTextChar">
    <w:name w:val="Comment Text Char"/>
    <w:basedOn w:val="DefaultParagraphFont"/>
    <w:link w:val="CommentText"/>
    <w:uiPriority w:val="99"/>
    <w:semiHidden/>
    <w:rsid w:val="006D49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93F"/>
    <w:rPr>
      <w:b/>
      <w:bCs/>
    </w:rPr>
  </w:style>
  <w:style w:type="character" w:customStyle="1" w:styleId="CommentSubjectChar">
    <w:name w:val="Comment Subject Char"/>
    <w:basedOn w:val="CommentTextChar"/>
    <w:link w:val="CommentSubject"/>
    <w:uiPriority w:val="99"/>
    <w:semiHidden/>
    <w:rsid w:val="006D493F"/>
    <w:rPr>
      <w:rFonts w:ascii="Times New Roman" w:hAnsi="Times New Roman" w:cs="Times New Roman"/>
      <w:b/>
      <w:bCs/>
      <w:sz w:val="20"/>
      <w:szCs w:val="20"/>
    </w:rPr>
  </w:style>
  <w:style w:type="paragraph" w:styleId="Header">
    <w:name w:val="header"/>
    <w:basedOn w:val="Normal"/>
    <w:link w:val="HeaderChar"/>
    <w:uiPriority w:val="99"/>
    <w:unhideWhenUsed/>
    <w:rsid w:val="00EF6DF5"/>
    <w:pPr>
      <w:tabs>
        <w:tab w:val="center" w:pos="4419"/>
        <w:tab w:val="right" w:pos="8838"/>
      </w:tabs>
      <w:spacing w:before="0" w:line="240" w:lineRule="auto"/>
    </w:pPr>
  </w:style>
  <w:style w:type="character" w:customStyle="1" w:styleId="HeaderChar">
    <w:name w:val="Header Char"/>
    <w:basedOn w:val="DefaultParagraphFont"/>
    <w:link w:val="Header"/>
    <w:uiPriority w:val="99"/>
    <w:rsid w:val="00EF6DF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3407">
      <w:bodyDiv w:val="1"/>
      <w:marLeft w:val="0"/>
      <w:marRight w:val="0"/>
      <w:marTop w:val="0"/>
      <w:marBottom w:val="0"/>
      <w:divBdr>
        <w:top w:val="none" w:sz="0" w:space="0" w:color="auto"/>
        <w:left w:val="none" w:sz="0" w:space="0" w:color="auto"/>
        <w:bottom w:val="none" w:sz="0" w:space="0" w:color="auto"/>
        <w:right w:val="none" w:sz="0" w:space="0" w:color="auto"/>
      </w:divBdr>
      <w:divsChild>
        <w:div w:id="1865897945">
          <w:marLeft w:val="0"/>
          <w:marRight w:val="0"/>
          <w:marTop w:val="0"/>
          <w:marBottom w:val="0"/>
          <w:divBdr>
            <w:top w:val="none" w:sz="0" w:space="0" w:color="auto"/>
            <w:left w:val="none" w:sz="0" w:space="0" w:color="auto"/>
            <w:bottom w:val="none" w:sz="0" w:space="0" w:color="auto"/>
            <w:right w:val="none" w:sz="0" w:space="0" w:color="auto"/>
          </w:divBdr>
          <w:divsChild>
            <w:div w:id="51932384">
              <w:marLeft w:val="0"/>
              <w:marRight w:val="0"/>
              <w:marTop w:val="450"/>
              <w:marBottom w:val="0"/>
              <w:divBdr>
                <w:top w:val="none" w:sz="0" w:space="0" w:color="auto"/>
                <w:left w:val="none" w:sz="0" w:space="0" w:color="auto"/>
                <w:bottom w:val="none" w:sz="0" w:space="0" w:color="auto"/>
                <w:right w:val="none" w:sz="0" w:space="0" w:color="auto"/>
              </w:divBdr>
              <w:divsChild>
                <w:div w:id="1984001482">
                  <w:marLeft w:val="0"/>
                  <w:marRight w:val="0"/>
                  <w:marTop w:val="0"/>
                  <w:marBottom w:val="0"/>
                  <w:divBdr>
                    <w:top w:val="none" w:sz="0" w:space="0" w:color="auto"/>
                    <w:left w:val="none" w:sz="0" w:space="0" w:color="auto"/>
                    <w:bottom w:val="none" w:sz="0" w:space="0" w:color="auto"/>
                    <w:right w:val="none" w:sz="0" w:space="0" w:color="auto"/>
                  </w:divBdr>
                  <w:divsChild>
                    <w:div w:id="1982727665">
                      <w:marLeft w:val="0"/>
                      <w:marRight w:val="0"/>
                      <w:marTop w:val="0"/>
                      <w:marBottom w:val="0"/>
                      <w:divBdr>
                        <w:top w:val="none" w:sz="0" w:space="0" w:color="auto"/>
                        <w:left w:val="single" w:sz="12" w:space="0" w:color="F3F3F3"/>
                        <w:bottom w:val="none" w:sz="0" w:space="0" w:color="auto"/>
                        <w:right w:val="none" w:sz="0" w:space="0" w:color="auto"/>
                      </w:divBdr>
                      <w:divsChild>
                        <w:div w:id="862866370">
                          <w:marLeft w:val="0"/>
                          <w:marRight w:val="0"/>
                          <w:marTop w:val="0"/>
                          <w:marBottom w:val="75"/>
                          <w:divBdr>
                            <w:top w:val="none" w:sz="0" w:space="0" w:color="auto"/>
                            <w:left w:val="none" w:sz="0" w:space="0" w:color="auto"/>
                            <w:bottom w:val="none" w:sz="0" w:space="0" w:color="auto"/>
                            <w:right w:val="none" w:sz="0" w:space="0" w:color="auto"/>
                          </w:divBdr>
                          <w:divsChild>
                            <w:div w:id="1618947997">
                              <w:marLeft w:val="0"/>
                              <w:marRight w:val="0"/>
                              <w:marTop w:val="0"/>
                              <w:marBottom w:val="75"/>
                              <w:divBdr>
                                <w:top w:val="none" w:sz="0" w:space="0" w:color="auto"/>
                                <w:left w:val="none" w:sz="0" w:space="0" w:color="auto"/>
                                <w:bottom w:val="none" w:sz="0" w:space="0" w:color="auto"/>
                                <w:right w:val="none" w:sz="0" w:space="0" w:color="auto"/>
                              </w:divBdr>
                              <w:divsChild>
                                <w:div w:id="707415862">
                                  <w:marLeft w:val="0"/>
                                  <w:marRight w:val="0"/>
                                  <w:marTop w:val="0"/>
                                  <w:marBottom w:val="75"/>
                                  <w:divBdr>
                                    <w:top w:val="none" w:sz="0" w:space="0" w:color="auto"/>
                                    <w:left w:val="none" w:sz="0" w:space="0" w:color="auto"/>
                                    <w:bottom w:val="none" w:sz="0" w:space="0" w:color="auto"/>
                                    <w:right w:val="none" w:sz="0" w:space="0" w:color="auto"/>
                                  </w:divBdr>
                                  <w:divsChild>
                                    <w:div w:id="263614032">
                                      <w:marLeft w:val="0"/>
                                      <w:marRight w:val="0"/>
                                      <w:marTop w:val="0"/>
                                      <w:marBottom w:val="75"/>
                                      <w:divBdr>
                                        <w:top w:val="none" w:sz="0" w:space="0" w:color="auto"/>
                                        <w:left w:val="none" w:sz="0" w:space="0" w:color="auto"/>
                                        <w:bottom w:val="none" w:sz="0" w:space="0" w:color="auto"/>
                                        <w:right w:val="none" w:sz="0" w:space="0" w:color="auto"/>
                                      </w:divBdr>
                                      <w:divsChild>
                                        <w:div w:id="18339869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826547">
      <w:bodyDiv w:val="1"/>
      <w:marLeft w:val="0"/>
      <w:marRight w:val="0"/>
      <w:marTop w:val="0"/>
      <w:marBottom w:val="0"/>
      <w:divBdr>
        <w:top w:val="none" w:sz="0" w:space="0" w:color="auto"/>
        <w:left w:val="none" w:sz="0" w:space="0" w:color="auto"/>
        <w:bottom w:val="none" w:sz="0" w:space="0" w:color="auto"/>
        <w:right w:val="none" w:sz="0" w:space="0" w:color="auto"/>
      </w:divBdr>
    </w:div>
    <w:div w:id="20586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nur.org/fileadmin/Documentos/BDL/2014/9615.pdf" TargetMode="External"/><Relationship Id="rId1" Type="http://schemas.openxmlformats.org/officeDocument/2006/relationships/hyperlink" Target="http://acnudh.org/wp-content/uploads/2015/04/PROTESTA-SO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DB8E8-8897-486C-97BA-5487B96D6818}">
  <ds:schemaRefs>
    <ds:schemaRef ds:uri="http://schemas.openxmlformats.org/officeDocument/2006/bibliography"/>
  </ds:schemaRefs>
</ds:datastoreItem>
</file>

<file path=customXml/itemProps2.xml><?xml version="1.0" encoding="utf-8"?>
<ds:datastoreItem xmlns:ds="http://schemas.openxmlformats.org/officeDocument/2006/customXml" ds:itemID="{47E41F5B-9C6E-4DC5-B8EA-13D329C590A3}"/>
</file>

<file path=customXml/itemProps3.xml><?xml version="1.0" encoding="utf-8"?>
<ds:datastoreItem xmlns:ds="http://schemas.openxmlformats.org/officeDocument/2006/customXml" ds:itemID="{6E31C297-6AC4-4008-BA47-5A88D46169F5}"/>
</file>

<file path=customXml/itemProps4.xml><?xml version="1.0" encoding="utf-8"?>
<ds:datastoreItem xmlns:ds="http://schemas.openxmlformats.org/officeDocument/2006/customXml" ds:itemID="{2296C73E-828F-4295-BA46-528B747BF80E}"/>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19096</Characters>
  <Application>Microsoft Office Word</Application>
  <DocSecurity>4</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Secretaría de Relaciones Exteriores</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Díaz-Ordaz Rigada, Guillermo Eduardo</dc:creator>
  <cp:lastModifiedBy>ROSNIANSKY Cherry Lou</cp:lastModifiedBy>
  <cp:revision>2</cp:revision>
  <cp:lastPrinted>2015-02-05T23:39:00Z</cp:lastPrinted>
  <dcterms:created xsi:type="dcterms:W3CDTF">2020-02-25T07:35:00Z</dcterms:created>
  <dcterms:modified xsi:type="dcterms:W3CDTF">2020-02-25T07:35:00Z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